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0A2F0">
      <w:pPr>
        <w:pStyle w:val="7"/>
        <w:spacing w:before="129"/>
        <w:ind w:left="6681"/>
      </w:pPr>
      <w:r>
        <w:t>项目编号：</w:t>
      </w:r>
      <w:r>
        <w:rPr>
          <w:rFonts w:hint="eastAsia"/>
        </w:rPr>
        <w:t>2026-43</w:t>
      </w:r>
    </w:p>
    <w:p w14:paraId="4FFF20B8">
      <w:pPr>
        <w:pStyle w:val="8"/>
        <w:rPr>
          <w:b/>
          <w:sz w:val="20"/>
        </w:rPr>
      </w:pPr>
    </w:p>
    <w:p w14:paraId="3F889AA6">
      <w:pPr>
        <w:pStyle w:val="8"/>
        <w:rPr>
          <w:b/>
          <w:sz w:val="20"/>
        </w:rPr>
      </w:pPr>
    </w:p>
    <w:p w14:paraId="76658835">
      <w:pPr>
        <w:pStyle w:val="8"/>
        <w:rPr>
          <w:b/>
          <w:sz w:val="20"/>
        </w:rPr>
      </w:pPr>
    </w:p>
    <w:p w14:paraId="2C4E5B0C">
      <w:pPr>
        <w:pStyle w:val="8"/>
        <w:rPr>
          <w:b/>
          <w:sz w:val="20"/>
        </w:rPr>
      </w:pPr>
    </w:p>
    <w:p w14:paraId="4CCFD673">
      <w:pPr>
        <w:pStyle w:val="8"/>
        <w:spacing w:before="9"/>
        <w:rPr>
          <w:b/>
          <w:sz w:val="23"/>
        </w:rPr>
      </w:pPr>
    </w:p>
    <w:p w14:paraId="164E59CB">
      <w:pPr>
        <w:pStyle w:val="8"/>
        <w:jc w:val="center"/>
        <w:rPr>
          <w:rFonts w:hint="eastAsia" w:eastAsia="宋体"/>
          <w:b/>
          <w:sz w:val="20"/>
          <w:lang w:eastAsia="zh-CN"/>
        </w:rPr>
      </w:pPr>
      <w:r>
        <w:rPr>
          <w:rFonts w:hint="eastAsia"/>
          <w:b/>
          <w:sz w:val="52"/>
          <w:lang w:eastAsia="zh-CN"/>
        </w:rPr>
        <w:t>阿克苏某单位隔离网及立柱维修</w:t>
      </w:r>
    </w:p>
    <w:p w14:paraId="26129888">
      <w:pPr>
        <w:pStyle w:val="8"/>
        <w:rPr>
          <w:b/>
          <w:sz w:val="20"/>
        </w:rPr>
      </w:pPr>
    </w:p>
    <w:p w14:paraId="73BED33B">
      <w:pPr>
        <w:pStyle w:val="8"/>
        <w:rPr>
          <w:b/>
          <w:sz w:val="20"/>
        </w:rPr>
      </w:pPr>
    </w:p>
    <w:p w14:paraId="1784259A">
      <w:pPr>
        <w:pStyle w:val="8"/>
        <w:rPr>
          <w:b/>
          <w:sz w:val="20"/>
        </w:rPr>
      </w:pPr>
    </w:p>
    <w:p w14:paraId="77174A51">
      <w:pPr>
        <w:pStyle w:val="8"/>
        <w:rPr>
          <w:b/>
          <w:sz w:val="20"/>
        </w:rPr>
      </w:pPr>
    </w:p>
    <w:p w14:paraId="73DB7DD1">
      <w:pPr>
        <w:pStyle w:val="8"/>
        <w:rPr>
          <w:b/>
          <w:sz w:val="20"/>
        </w:rPr>
      </w:pPr>
    </w:p>
    <w:p w14:paraId="5CAB0032">
      <w:pPr>
        <w:pStyle w:val="8"/>
        <w:rPr>
          <w:b/>
          <w:sz w:val="20"/>
        </w:rPr>
      </w:pPr>
    </w:p>
    <w:p w14:paraId="19D4DAFB">
      <w:pPr>
        <w:pStyle w:val="8"/>
        <w:rPr>
          <w:b/>
          <w:sz w:val="20"/>
        </w:rPr>
      </w:pPr>
    </w:p>
    <w:p w14:paraId="44C29B16">
      <w:pPr>
        <w:spacing w:before="535"/>
        <w:ind w:left="2003" w:right="1693" w:firstLine="0"/>
        <w:jc w:val="center"/>
        <w:rPr>
          <w:b/>
          <w:sz w:val="84"/>
        </w:rPr>
      </w:pPr>
      <w:r>
        <w:rPr>
          <w:b/>
          <w:sz w:val="84"/>
        </w:rPr>
        <w:t>招标文件</w:t>
      </w:r>
    </w:p>
    <w:p w14:paraId="512D1DF5">
      <w:pPr>
        <w:pStyle w:val="8"/>
        <w:rPr>
          <w:b/>
          <w:sz w:val="20"/>
        </w:rPr>
      </w:pPr>
    </w:p>
    <w:p w14:paraId="2E3D2281">
      <w:pPr>
        <w:pStyle w:val="8"/>
        <w:rPr>
          <w:b/>
          <w:sz w:val="20"/>
        </w:rPr>
      </w:pPr>
    </w:p>
    <w:p w14:paraId="20E034B0">
      <w:pPr>
        <w:pStyle w:val="8"/>
        <w:rPr>
          <w:b/>
          <w:sz w:val="11"/>
        </w:rPr>
      </w:pPr>
    </w:p>
    <w:p w14:paraId="117565D9">
      <w:pPr>
        <w:pStyle w:val="8"/>
        <w:rPr>
          <w:b/>
          <w:sz w:val="20"/>
        </w:rPr>
      </w:pPr>
    </w:p>
    <w:p w14:paraId="1D4C4E33">
      <w:pPr>
        <w:pStyle w:val="8"/>
        <w:rPr>
          <w:b/>
          <w:sz w:val="20"/>
        </w:rPr>
      </w:pPr>
    </w:p>
    <w:p w14:paraId="25913E9C">
      <w:pPr>
        <w:pStyle w:val="8"/>
        <w:rPr>
          <w:b/>
          <w:sz w:val="20"/>
        </w:rPr>
      </w:pPr>
    </w:p>
    <w:p w14:paraId="7C19F2CC">
      <w:pPr>
        <w:rPr>
          <w:b/>
          <w:sz w:val="20"/>
        </w:rPr>
      </w:pPr>
    </w:p>
    <w:p w14:paraId="6ABDA242">
      <w:pPr>
        <w:pStyle w:val="8"/>
        <w:rPr>
          <w:b/>
          <w:sz w:val="20"/>
        </w:rPr>
      </w:pPr>
    </w:p>
    <w:p w14:paraId="4374111D"/>
    <w:p w14:paraId="2C4C21F0">
      <w:pPr>
        <w:pStyle w:val="8"/>
        <w:rPr>
          <w:b/>
          <w:sz w:val="15"/>
        </w:rPr>
      </w:pPr>
    </w:p>
    <w:p w14:paraId="21CE2208">
      <w:pPr>
        <w:pStyle w:val="5"/>
        <w:tabs>
          <w:tab w:val="left" w:pos="6064"/>
        </w:tabs>
        <w:spacing w:before="0" w:line="240" w:lineRule="auto"/>
        <w:ind w:left="0" w:right="0" w:firstLine="1606" w:firstLineChars="500"/>
        <w:jc w:val="left"/>
      </w:pPr>
      <w:r>
        <w:t>采</w:t>
      </w:r>
      <w:r>
        <w:rPr>
          <w:spacing w:val="-8"/>
        </w:rPr>
        <w:t xml:space="preserve"> </w:t>
      </w:r>
      <w:r>
        <w:t>购</w:t>
      </w:r>
      <w:r>
        <w:rPr>
          <w:spacing w:val="-5"/>
        </w:rPr>
        <w:t xml:space="preserve"> </w:t>
      </w:r>
      <w:r>
        <w:t>人：</w:t>
      </w:r>
      <w:r>
        <w:rPr>
          <w:rFonts w:hint="eastAsia"/>
        </w:rPr>
        <w:t>新疆维吾尔自治区阿克苏某单位</w:t>
      </w:r>
      <w:r>
        <w:t xml:space="preserve">（盖章) </w:t>
      </w:r>
    </w:p>
    <w:p w14:paraId="01997F58">
      <w:pPr>
        <w:bidi w:val="0"/>
        <w:ind w:firstLine="1606" w:firstLineChars="500"/>
        <w:rPr>
          <w:rFonts w:hint="eastAsia" w:ascii="宋体" w:hAnsi="宋体" w:eastAsia="宋体" w:cs="宋体"/>
          <w:b/>
          <w:bCs/>
          <w:sz w:val="32"/>
          <w:szCs w:val="32"/>
          <w:lang w:val="zh-CN" w:eastAsia="zh-CN" w:bidi="zh-CN"/>
        </w:rPr>
      </w:pPr>
    </w:p>
    <w:p w14:paraId="5EABB748">
      <w:pPr>
        <w:bidi w:val="0"/>
        <w:ind w:firstLine="1606" w:firstLineChars="500"/>
        <w:rPr>
          <w:rFonts w:hint="eastAsia" w:ascii="宋体" w:hAnsi="宋体" w:eastAsia="宋体" w:cs="宋体"/>
          <w:b/>
          <w:bCs/>
          <w:sz w:val="32"/>
          <w:szCs w:val="32"/>
          <w:lang w:val="zh-CN" w:eastAsia="zh-CN" w:bidi="zh-CN"/>
        </w:rPr>
      </w:pPr>
      <w:r>
        <w:rPr>
          <w:rFonts w:hint="eastAsia" w:ascii="宋体" w:hAnsi="宋体" w:eastAsia="宋体" w:cs="宋体"/>
          <w:b/>
          <w:bCs/>
          <w:sz w:val="32"/>
          <w:szCs w:val="32"/>
          <w:lang w:val="zh-CN" w:eastAsia="zh-CN" w:bidi="zh-CN"/>
        </w:rPr>
        <w:t>联系人及联系电话：吴先生</w:t>
      </w:r>
      <w:r>
        <w:rPr>
          <w:rFonts w:hint="eastAsia" w:ascii="宋体" w:hAnsi="宋体" w:eastAsia="宋体" w:cs="宋体"/>
          <w:b/>
          <w:bCs/>
          <w:sz w:val="32"/>
          <w:szCs w:val="32"/>
          <w:lang w:val="zh-CN" w:eastAsia="zh-CN" w:bidi="zh-CN"/>
        </w:rPr>
        <w:tab/>
      </w:r>
      <w:r>
        <w:rPr>
          <w:rFonts w:hint="eastAsia" w:ascii="宋体" w:hAnsi="宋体" w:eastAsia="宋体" w:cs="宋体"/>
          <w:b/>
          <w:bCs/>
          <w:sz w:val="32"/>
          <w:szCs w:val="32"/>
          <w:lang w:val="en-US" w:eastAsia="zh-CN" w:bidi="zh-CN"/>
        </w:rPr>
        <w:t>19590127395</w:t>
      </w:r>
    </w:p>
    <w:p w14:paraId="02FB6EDE">
      <w:pPr>
        <w:pStyle w:val="8"/>
        <w:rPr>
          <w:b/>
          <w:w w:val="95"/>
          <w:sz w:val="32"/>
        </w:rPr>
      </w:pPr>
    </w:p>
    <w:p w14:paraId="35ED2B1A">
      <w:pPr>
        <w:rPr>
          <w:b/>
          <w:w w:val="95"/>
          <w:sz w:val="32"/>
        </w:rPr>
      </w:pPr>
    </w:p>
    <w:p w14:paraId="54A5CC37">
      <w:pPr>
        <w:pStyle w:val="8"/>
        <w:rPr>
          <w:b/>
          <w:w w:val="95"/>
          <w:sz w:val="32"/>
        </w:rPr>
      </w:pPr>
    </w:p>
    <w:p w14:paraId="7AFA20DE"/>
    <w:p w14:paraId="776EF3C8">
      <w:pPr>
        <w:bidi w:val="0"/>
        <w:ind w:firstLine="1526" w:firstLineChars="500"/>
        <w:rPr>
          <w:b/>
          <w:w w:val="95"/>
          <w:sz w:val="32"/>
        </w:rPr>
      </w:pPr>
      <w:r>
        <w:rPr>
          <w:b/>
          <w:w w:val="95"/>
          <w:sz w:val="32"/>
        </w:rPr>
        <w:t>代理机构：</w:t>
      </w:r>
      <w:r>
        <w:rPr>
          <w:rFonts w:hint="eastAsia"/>
          <w:b/>
          <w:w w:val="95"/>
          <w:sz w:val="32"/>
          <w:lang w:val="en-US" w:eastAsia="zh-CN"/>
        </w:rPr>
        <w:t>新疆疆裕百川工程项目管理有限公司</w:t>
      </w:r>
      <w:r>
        <w:rPr>
          <w:b/>
          <w:w w:val="95"/>
          <w:sz w:val="32"/>
        </w:rPr>
        <w:t xml:space="preserve">（盖章) </w:t>
      </w:r>
    </w:p>
    <w:p w14:paraId="0F477CE9">
      <w:pPr>
        <w:bidi w:val="0"/>
        <w:rPr>
          <w:b/>
          <w:sz w:val="32"/>
        </w:rPr>
      </w:pPr>
    </w:p>
    <w:p w14:paraId="4CAA8931">
      <w:pPr>
        <w:bidi w:val="0"/>
        <w:ind w:firstLine="1606" w:firstLineChars="500"/>
        <w:rPr>
          <w:rFonts w:hint="default" w:eastAsia="宋体"/>
          <w:b/>
          <w:sz w:val="32"/>
          <w:lang w:val="en-US" w:eastAsia="zh-CN"/>
        </w:rPr>
      </w:pPr>
      <w:r>
        <w:rPr>
          <w:b/>
          <w:sz w:val="32"/>
        </w:rPr>
        <w:t>联系人及联系电话：</w:t>
      </w:r>
      <w:r>
        <w:rPr>
          <w:rFonts w:hint="eastAsia"/>
          <w:b/>
          <w:sz w:val="32"/>
          <w:lang w:eastAsia="zh-CN"/>
        </w:rPr>
        <w:t>杨志</w:t>
      </w:r>
      <w:r>
        <w:rPr>
          <w:b/>
          <w:sz w:val="32"/>
        </w:rPr>
        <w:tab/>
      </w:r>
      <w:r>
        <w:rPr>
          <w:rFonts w:hint="eastAsia"/>
          <w:b/>
          <w:sz w:val="32"/>
          <w:lang w:val="en-US" w:eastAsia="zh-CN"/>
        </w:rPr>
        <w:t>15699079700</w:t>
      </w:r>
    </w:p>
    <w:p w14:paraId="27C18212">
      <w:pPr>
        <w:spacing w:after="0" w:line="410" w:lineRule="auto"/>
        <w:jc w:val="left"/>
        <w:rPr>
          <w:sz w:val="32"/>
        </w:rPr>
        <w:sectPr>
          <w:type w:val="continuous"/>
          <w:pgSz w:w="11910" w:h="16840"/>
          <w:pgMar w:top="1120" w:right="900" w:bottom="280" w:left="960" w:header="720" w:footer="720" w:gutter="0"/>
          <w:cols w:space="720" w:num="1"/>
        </w:sectPr>
      </w:pPr>
    </w:p>
    <w:p w14:paraId="77A86760">
      <w:pPr>
        <w:spacing w:before="9"/>
        <w:ind w:left="270" w:right="328" w:firstLine="0"/>
        <w:jc w:val="center"/>
        <w:rPr>
          <w:b/>
          <w:sz w:val="52"/>
        </w:rPr>
      </w:pPr>
      <w:r>
        <w:rPr>
          <w:b/>
          <w:sz w:val="52"/>
        </w:rPr>
        <w:t>目录</w:t>
      </w:r>
    </w:p>
    <w:p w14:paraId="1EAF7BBB">
      <w:pPr>
        <w:pStyle w:val="8"/>
        <w:spacing w:before="7"/>
        <w:rPr>
          <w:b/>
          <w:sz w:val="74"/>
        </w:rPr>
      </w:pPr>
    </w:p>
    <w:p w14:paraId="7C42E05D">
      <w:pPr>
        <w:tabs>
          <w:tab w:val="left" w:leader="dot" w:pos="9539"/>
        </w:tabs>
        <w:spacing w:before="0"/>
        <w:ind w:left="287" w:right="0" w:firstLine="0"/>
        <w:jc w:val="left"/>
        <w:rPr>
          <w:sz w:val="32"/>
        </w:rPr>
      </w:pPr>
      <w:r>
        <w:fldChar w:fldCharType="begin"/>
      </w:r>
      <w:r>
        <w:instrText xml:space="preserve"> HYPERLINK \l "_bookmark0" </w:instrText>
      </w:r>
      <w:r>
        <w:fldChar w:fldCharType="separate"/>
      </w:r>
      <w:r>
        <w:rPr>
          <w:sz w:val="32"/>
        </w:rPr>
        <w:t>公开招标公告</w:t>
      </w:r>
      <w:r>
        <w:rPr>
          <w:sz w:val="32"/>
        </w:rPr>
        <w:fldChar w:fldCharType="end"/>
      </w:r>
      <w:r>
        <w:rPr>
          <w:sz w:val="32"/>
        </w:rPr>
        <w:tab/>
      </w:r>
      <w:r>
        <w:fldChar w:fldCharType="begin"/>
      </w:r>
      <w:r>
        <w:instrText xml:space="preserve"> HYPERLINK \l "_bookmark0" </w:instrText>
      </w:r>
      <w:r>
        <w:fldChar w:fldCharType="separate"/>
      </w:r>
      <w:r>
        <w:rPr>
          <w:sz w:val="32"/>
        </w:rPr>
        <w:t>1</w:t>
      </w:r>
      <w:r>
        <w:rPr>
          <w:sz w:val="32"/>
        </w:rPr>
        <w:fldChar w:fldCharType="end"/>
      </w:r>
    </w:p>
    <w:p w14:paraId="25841BCF">
      <w:pPr>
        <w:pStyle w:val="8"/>
        <w:spacing w:before="10"/>
        <w:rPr>
          <w:sz w:val="32"/>
        </w:rPr>
      </w:pPr>
    </w:p>
    <w:p w14:paraId="098BDD6E">
      <w:pPr>
        <w:tabs>
          <w:tab w:val="left" w:leader="dot" w:pos="9539"/>
        </w:tabs>
        <w:spacing w:before="0"/>
        <w:ind w:left="287" w:right="0" w:firstLine="0"/>
        <w:jc w:val="left"/>
        <w:rPr>
          <w:sz w:val="32"/>
        </w:rPr>
      </w:pPr>
      <w:r>
        <w:fldChar w:fldCharType="begin"/>
      </w:r>
      <w:r>
        <w:instrText xml:space="preserve"> HYPERLINK \l "_bookmark1" </w:instrText>
      </w:r>
      <w:r>
        <w:fldChar w:fldCharType="separate"/>
      </w:r>
      <w:r>
        <w:rPr>
          <w:sz w:val="32"/>
        </w:rPr>
        <w:t>第一章</w:t>
      </w:r>
      <w:r>
        <w:rPr>
          <w:spacing w:val="-5"/>
          <w:sz w:val="32"/>
        </w:rPr>
        <w:t xml:space="preserve"> </w:t>
      </w:r>
      <w:r>
        <w:rPr>
          <w:sz w:val="32"/>
        </w:rPr>
        <w:t>投标人须知前附表</w:t>
      </w:r>
      <w:r>
        <w:rPr>
          <w:sz w:val="32"/>
        </w:rPr>
        <w:tab/>
      </w:r>
      <w:r>
        <w:rPr>
          <w:rFonts w:hint="eastAsia"/>
          <w:sz w:val="32"/>
          <w:lang w:val="en-US" w:eastAsia="zh-CN"/>
        </w:rPr>
        <w:t>5</w:t>
      </w:r>
      <w:r>
        <w:rPr>
          <w:sz w:val="32"/>
        </w:rPr>
        <w:fldChar w:fldCharType="end"/>
      </w:r>
    </w:p>
    <w:p w14:paraId="3BAEC984">
      <w:pPr>
        <w:pStyle w:val="8"/>
        <w:spacing w:before="11"/>
        <w:rPr>
          <w:sz w:val="32"/>
        </w:rPr>
      </w:pPr>
    </w:p>
    <w:p w14:paraId="3DC04BD7">
      <w:pPr>
        <w:tabs>
          <w:tab w:val="left" w:leader="dot" w:pos="9379"/>
        </w:tabs>
        <w:spacing w:before="0"/>
        <w:ind w:left="287" w:right="0" w:firstLine="0"/>
        <w:jc w:val="left"/>
        <w:rPr>
          <w:sz w:val="32"/>
        </w:rPr>
      </w:pPr>
      <w:r>
        <w:fldChar w:fldCharType="begin"/>
      </w:r>
      <w:r>
        <w:instrText xml:space="preserve"> HYPERLINK \l "_bookmark2" </w:instrText>
      </w:r>
      <w:r>
        <w:fldChar w:fldCharType="separate"/>
      </w:r>
      <w:r>
        <w:rPr>
          <w:sz w:val="32"/>
        </w:rPr>
        <w:t>第二章</w:t>
      </w:r>
      <w:r>
        <w:rPr>
          <w:spacing w:val="-4"/>
          <w:sz w:val="32"/>
        </w:rPr>
        <w:t xml:space="preserve"> </w:t>
      </w:r>
      <w:r>
        <w:rPr>
          <w:sz w:val="32"/>
        </w:rPr>
        <w:t>投标人须知</w:t>
      </w:r>
      <w:r>
        <w:rPr>
          <w:sz w:val="32"/>
        </w:rPr>
        <w:tab/>
      </w:r>
      <w:r>
        <w:rPr>
          <w:sz w:val="32"/>
        </w:rPr>
        <w:t>1</w:t>
      </w:r>
      <w:r>
        <w:rPr>
          <w:sz w:val="32"/>
        </w:rPr>
        <w:fldChar w:fldCharType="end"/>
      </w:r>
      <w:r>
        <w:rPr>
          <w:sz w:val="32"/>
        </w:rPr>
        <w:t>0</w:t>
      </w:r>
    </w:p>
    <w:p w14:paraId="0E876051">
      <w:pPr>
        <w:pStyle w:val="8"/>
        <w:spacing w:before="10"/>
        <w:rPr>
          <w:sz w:val="32"/>
        </w:rPr>
      </w:pPr>
    </w:p>
    <w:p w14:paraId="56A7E56E">
      <w:pPr>
        <w:tabs>
          <w:tab w:val="left" w:leader="dot" w:pos="9379"/>
        </w:tabs>
        <w:spacing w:before="0"/>
        <w:ind w:left="287" w:right="0" w:firstLine="0"/>
        <w:jc w:val="left"/>
        <w:rPr>
          <w:sz w:val="32"/>
        </w:rPr>
      </w:pPr>
      <w:r>
        <w:fldChar w:fldCharType="begin"/>
      </w:r>
      <w:r>
        <w:instrText xml:space="preserve"> HYPERLINK \l "_bookmark3" </w:instrText>
      </w:r>
      <w:r>
        <w:fldChar w:fldCharType="separate"/>
      </w:r>
      <w:r>
        <w:rPr>
          <w:sz w:val="32"/>
        </w:rPr>
        <w:t>第三章</w:t>
      </w:r>
      <w:r>
        <w:rPr>
          <w:spacing w:val="-4"/>
          <w:sz w:val="32"/>
        </w:rPr>
        <w:t xml:space="preserve"> </w:t>
      </w:r>
      <w:r>
        <w:rPr>
          <w:sz w:val="32"/>
        </w:rPr>
        <w:t>评标方法</w:t>
      </w:r>
      <w:r>
        <w:rPr>
          <w:sz w:val="32"/>
        </w:rPr>
        <w:tab/>
      </w:r>
      <w:r>
        <w:rPr>
          <w:sz w:val="32"/>
        </w:rPr>
        <w:t>2</w:t>
      </w:r>
      <w:r>
        <w:rPr>
          <w:sz w:val="32"/>
        </w:rPr>
        <w:fldChar w:fldCharType="end"/>
      </w:r>
      <w:r>
        <w:rPr>
          <w:sz w:val="32"/>
        </w:rPr>
        <w:t>4</w:t>
      </w:r>
    </w:p>
    <w:p w14:paraId="561D97E9">
      <w:pPr>
        <w:pStyle w:val="8"/>
        <w:spacing w:before="8"/>
        <w:rPr>
          <w:sz w:val="32"/>
        </w:rPr>
      </w:pPr>
    </w:p>
    <w:p w14:paraId="58756D7B">
      <w:pPr>
        <w:tabs>
          <w:tab w:val="left" w:leader="dot" w:pos="9379"/>
        </w:tabs>
        <w:spacing w:before="0"/>
        <w:ind w:left="287" w:right="0" w:firstLine="0"/>
        <w:jc w:val="left"/>
        <w:rPr>
          <w:sz w:val="32"/>
        </w:rPr>
      </w:pPr>
      <w:r>
        <w:fldChar w:fldCharType="begin"/>
      </w:r>
      <w:r>
        <w:instrText xml:space="preserve"> HYPERLINK \l "_bookmark4" </w:instrText>
      </w:r>
      <w:r>
        <w:fldChar w:fldCharType="separate"/>
      </w:r>
      <w:r>
        <w:rPr>
          <w:sz w:val="32"/>
        </w:rPr>
        <w:t>第四章</w:t>
      </w:r>
      <w:r>
        <w:rPr>
          <w:spacing w:val="-3"/>
          <w:sz w:val="32"/>
        </w:rPr>
        <w:t xml:space="preserve"> </w:t>
      </w:r>
      <w:r>
        <w:rPr>
          <w:sz w:val="32"/>
        </w:rPr>
        <w:t>合同条款及格式</w:t>
      </w:r>
      <w:r>
        <w:rPr>
          <w:sz w:val="32"/>
        </w:rPr>
        <w:tab/>
      </w:r>
      <w:r>
        <w:rPr>
          <w:sz w:val="32"/>
        </w:rPr>
        <w:t>3</w:t>
      </w:r>
      <w:r>
        <w:rPr>
          <w:sz w:val="32"/>
        </w:rPr>
        <w:fldChar w:fldCharType="end"/>
      </w:r>
      <w:r>
        <w:rPr>
          <w:sz w:val="32"/>
        </w:rPr>
        <w:t>2</w:t>
      </w:r>
    </w:p>
    <w:p w14:paraId="26CEC379">
      <w:pPr>
        <w:pStyle w:val="8"/>
        <w:spacing w:before="10"/>
        <w:rPr>
          <w:sz w:val="32"/>
        </w:rPr>
      </w:pPr>
    </w:p>
    <w:p w14:paraId="32A78D84">
      <w:pPr>
        <w:tabs>
          <w:tab w:val="left" w:leader="dot" w:pos="9379"/>
        </w:tabs>
        <w:spacing w:before="1"/>
        <w:ind w:left="287" w:right="0" w:firstLine="0"/>
        <w:jc w:val="left"/>
        <w:rPr>
          <w:sz w:val="32"/>
        </w:rPr>
      </w:pPr>
      <w:r>
        <w:fldChar w:fldCharType="begin"/>
      </w:r>
      <w:r>
        <w:instrText xml:space="preserve"> HYPERLINK \l "_bookmark5" </w:instrText>
      </w:r>
      <w:r>
        <w:fldChar w:fldCharType="separate"/>
      </w:r>
      <w:r>
        <w:rPr>
          <w:sz w:val="32"/>
        </w:rPr>
        <w:t>第五章</w:t>
      </w:r>
      <w:r>
        <w:rPr>
          <w:spacing w:val="-4"/>
          <w:sz w:val="32"/>
        </w:rPr>
        <w:t xml:space="preserve"> </w:t>
      </w:r>
      <w:r>
        <w:rPr>
          <w:sz w:val="32"/>
        </w:rPr>
        <w:t>采购需求</w:t>
      </w:r>
      <w:r>
        <w:rPr>
          <w:sz w:val="32"/>
        </w:rPr>
        <w:tab/>
      </w:r>
      <w:r>
        <w:rPr>
          <w:sz w:val="32"/>
        </w:rPr>
        <w:t>43</w:t>
      </w:r>
      <w:r>
        <w:rPr>
          <w:sz w:val="32"/>
        </w:rPr>
        <w:fldChar w:fldCharType="end"/>
      </w:r>
    </w:p>
    <w:p w14:paraId="3DDA4433">
      <w:pPr>
        <w:pStyle w:val="8"/>
        <w:spacing w:before="10"/>
        <w:rPr>
          <w:sz w:val="32"/>
        </w:rPr>
      </w:pPr>
    </w:p>
    <w:p w14:paraId="65BE2F35">
      <w:pPr>
        <w:tabs>
          <w:tab w:val="left" w:leader="dot" w:pos="9379"/>
        </w:tabs>
        <w:spacing w:before="0"/>
        <w:ind w:left="287" w:right="0" w:firstLine="0"/>
        <w:jc w:val="left"/>
        <w:rPr>
          <w:rFonts w:hint="eastAsia" w:eastAsia="宋体"/>
          <w:sz w:val="32"/>
          <w:lang w:eastAsia="zh-CN"/>
        </w:rPr>
      </w:pPr>
      <w:r>
        <w:fldChar w:fldCharType="begin"/>
      </w:r>
      <w:r>
        <w:instrText xml:space="preserve"> HYPERLINK \l "_bookmark6" </w:instrText>
      </w:r>
      <w:r>
        <w:fldChar w:fldCharType="separate"/>
      </w:r>
      <w:r>
        <w:rPr>
          <w:sz w:val="32"/>
        </w:rPr>
        <w:t>第六章</w:t>
      </w:r>
      <w:r>
        <w:rPr>
          <w:spacing w:val="-5"/>
          <w:sz w:val="32"/>
        </w:rPr>
        <w:t xml:space="preserve"> </w:t>
      </w:r>
      <w:r>
        <w:rPr>
          <w:sz w:val="32"/>
        </w:rPr>
        <w:t>投标文件部分格式</w:t>
      </w:r>
      <w:r>
        <w:rPr>
          <w:sz w:val="32"/>
        </w:rPr>
        <w:fldChar w:fldCharType="end"/>
      </w:r>
      <w:r>
        <w:rPr>
          <w:sz w:val="32"/>
        </w:rPr>
        <w:tab/>
      </w:r>
      <w:r>
        <w:rPr>
          <w:sz w:val="32"/>
        </w:rPr>
        <w:t>4</w:t>
      </w:r>
      <w:r>
        <w:rPr>
          <w:rFonts w:hint="eastAsia"/>
          <w:sz w:val="32"/>
          <w:lang w:val="en-US" w:eastAsia="zh-CN"/>
        </w:rPr>
        <w:t>4</w:t>
      </w:r>
    </w:p>
    <w:p w14:paraId="7D13BB7F">
      <w:pPr>
        <w:spacing w:after="0"/>
        <w:jc w:val="left"/>
        <w:rPr>
          <w:sz w:val="32"/>
        </w:rPr>
        <w:sectPr>
          <w:pgSz w:w="11910" w:h="16840"/>
          <w:pgMar w:top="1240" w:right="900" w:bottom="280" w:left="960" w:header="720" w:footer="720" w:gutter="0"/>
          <w:cols w:space="720" w:num="1"/>
        </w:sectPr>
      </w:pPr>
    </w:p>
    <w:p w14:paraId="4F0CEC20">
      <w:pPr>
        <w:spacing w:before="19"/>
        <w:ind w:left="270" w:right="330" w:firstLine="0"/>
        <w:jc w:val="both"/>
        <w:rPr>
          <w:b/>
          <w:sz w:val="40"/>
        </w:rPr>
      </w:pPr>
      <w:bookmarkStart w:id="0" w:name="_bookmark0"/>
      <w:bookmarkEnd w:id="0"/>
    </w:p>
    <w:p w14:paraId="5D46AF9D">
      <w:pPr>
        <w:jc w:val="center"/>
        <w:rPr>
          <w:b/>
          <w:bCs/>
          <w:sz w:val="20"/>
          <w:szCs w:val="21"/>
        </w:rPr>
      </w:pPr>
      <w:r>
        <w:rPr>
          <w:rFonts w:hint="eastAsia" w:ascii="华文中宋" w:hAnsi="华文中宋" w:eastAsia="华文中宋"/>
          <w:b/>
          <w:bCs/>
          <w:sz w:val="32"/>
          <w:szCs w:val="32"/>
          <w:lang w:eastAsia="zh-CN"/>
        </w:rPr>
        <w:t>阿克苏某单位隔离网及立柱维修公开招标公告</w:t>
      </w:r>
    </w:p>
    <w:p w14:paraId="64E048A3">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14:paraId="273E741B">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none"/>
          <w:lang w:val="en-US" w:eastAsia="zh-CN"/>
        </w:rPr>
        <w:t>阿克苏某单位隔离网及立柱维修招标项目</w:t>
      </w:r>
      <w:r>
        <w:rPr>
          <w:rFonts w:hint="eastAsia" w:ascii="仿宋" w:hAnsi="仿宋" w:eastAsia="仿宋"/>
          <w:sz w:val="28"/>
          <w:szCs w:val="28"/>
        </w:rPr>
        <w:t>的</w:t>
      </w:r>
      <w:r>
        <w:rPr>
          <w:rFonts w:hint="eastAsia" w:ascii="仿宋" w:hAnsi="仿宋" w:eastAsia="仿宋"/>
          <w:sz w:val="28"/>
          <w:szCs w:val="28"/>
          <w:u w:val="none"/>
          <w:lang w:val="en-US" w:eastAsia="zh-CN"/>
        </w:rPr>
        <w:t>潜在投标人应在政采云平台上获取招标文件，并于2026年06月22日 11:00（北京时间）前递交投标文件。 </w:t>
      </w:r>
    </w:p>
    <w:p w14:paraId="59174E7B">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bookmarkStart w:id="1" w:name="_Toc35393629"/>
      <w:bookmarkStart w:id="2" w:name="_Toc28359012"/>
      <w:bookmarkStart w:id="3" w:name="_Toc28359089"/>
      <w:bookmarkStart w:id="4" w:name="_Toc23325"/>
      <w:bookmarkStart w:id="5" w:name="_Toc35393798"/>
      <w:r>
        <w:rPr>
          <w:rFonts w:hint="eastAsia" w:ascii="仿宋" w:hAnsi="仿宋" w:eastAsia="仿宋" w:cs="仿宋"/>
          <w:b/>
          <w:bCs/>
          <w:sz w:val="28"/>
          <w:szCs w:val="28"/>
        </w:rPr>
        <w:t>一、项目基本情况</w:t>
      </w:r>
      <w:bookmarkEnd w:id="1"/>
      <w:bookmarkEnd w:id="2"/>
      <w:bookmarkEnd w:id="3"/>
      <w:bookmarkEnd w:id="4"/>
      <w:bookmarkEnd w:id="5"/>
    </w:p>
    <w:p w14:paraId="35B3AE41">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项目编号：2026-43</w:t>
      </w:r>
    </w:p>
    <w:p w14:paraId="7DB3D992">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cs="仿宋"/>
          <w:sz w:val="28"/>
          <w:szCs w:val="28"/>
        </w:rPr>
        <w:t>项目名称：</w:t>
      </w:r>
      <w:r>
        <w:rPr>
          <w:rFonts w:hint="eastAsia" w:ascii="仿宋" w:hAnsi="仿宋" w:eastAsia="仿宋"/>
          <w:sz w:val="28"/>
          <w:szCs w:val="28"/>
          <w:u w:val="none"/>
          <w:lang w:val="en-US" w:eastAsia="zh-CN"/>
        </w:rPr>
        <w:t>阿克苏某单位隔离网及立柱维修</w:t>
      </w:r>
    </w:p>
    <w:p w14:paraId="40A569B3">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采购方式：</w:t>
      </w:r>
      <w:r>
        <w:rPr>
          <w:rFonts w:hint="eastAsia" w:ascii="仿宋" w:hAnsi="仿宋" w:eastAsia="仿宋" w:cs="仿宋"/>
          <w:sz w:val="28"/>
          <w:szCs w:val="28"/>
          <w:lang w:val="en-US" w:eastAsia="zh-CN"/>
        </w:rPr>
        <w:t>公开招标</w:t>
      </w:r>
    </w:p>
    <w:p w14:paraId="7C0E3679">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r>
        <w:rPr>
          <w:rFonts w:hint="eastAsia" w:ascii="仿宋" w:hAnsi="仿宋" w:eastAsia="仿宋" w:cs="仿宋"/>
          <w:sz w:val="28"/>
          <w:szCs w:val="28"/>
        </w:rPr>
        <w:t>：580474.31</w:t>
      </w:r>
    </w:p>
    <w:p w14:paraId="7721EF6B">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r>
        <w:rPr>
          <w:rFonts w:hint="eastAsia" w:ascii="仿宋" w:hAnsi="仿宋" w:eastAsia="仿宋" w:cs="仿宋"/>
          <w:sz w:val="28"/>
          <w:szCs w:val="28"/>
        </w:rPr>
        <w:t>：580117.49</w:t>
      </w:r>
    </w:p>
    <w:p w14:paraId="058A7185">
      <w:pPr>
        <w:pageBreakBefore w:val="0"/>
        <w:kinsoku/>
        <w:wordWrap/>
        <w:overflowPunct/>
        <w:topLinePunct w:val="0"/>
        <w:autoSpaceDE/>
        <w:autoSpaceDN/>
        <w:bidi w:val="0"/>
        <w:adjustRightInd/>
        <w:snapToGrid/>
        <w:spacing w:line="400" w:lineRule="exact"/>
        <w:ind w:firstLine="560" w:firstLineChars="200"/>
        <w:textAlignment w:val="auto"/>
        <w:rPr>
          <w:rFonts w:hint="eastAsia"/>
          <w:lang w:val="en-US" w:eastAsia="zh-CN"/>
        </w:rPr>
      </w:pPr>
      <w:r>
        <w:rPr>
          <w:rFonts w:hint="eastAsia" w:ascii="仿宋" w:hAnsi="仿宋" w:eastAsia="仿宋" w:cs="仿宋"/>
          <w:sz w:val="28"/>
          <w:szCs w:val="28"/>
        </w:rPr>
        <w:t>采购需求：</w:t>
      </w:r>
      <w:bookmarkStart w:id="6" w:name="OLE_LINK1"/>
    </w:p>
    <w:bookmarkEnd w:id="6"/>
    <w:p w14:paraId="43CBDED2">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cs="仿宋"/>
          <w:sz w:val="28"/>
          <w:szCs w:val="28"/>
        </w:rPr>
        <w:t>标项名称:</w:t>
      </w:r>
      <w:r>
        <w:rPr>
          <w:rFonts w:hint="eastAsia" w:ascii="仿宋" w:hAnsi="仿宋" w:eastAsia="仿宋"/>
          <w:sz w:val="28"/>
          <w:szCs w:val="28"/>
          <w:u w:val="none"/>
          <w:lang w:val="en-US" w:eastAsia="zh-CN"/>
        </w:rPr>
        <w:t>阿克苏某单位隔离网及立柱维修</w:t>
      </w:r>
    </w:p>
    <w:p w14:paraId="4ABFEB8D">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数量:</w:t>
      </w:r>
      <w:r>
        <w:rPr>
          <w:rFonts w:hint="eastAsia" w:ascii="仿宋" w:hAnsi="仿宋" w:eastAsia="仿宋" w:cs="仿宋"/>
          <w:sz w:val="28"/>
          <w:szCs w:val="28"/>
          <w:lang w:val="en-US" w:eastAsia="zh-CN"/>
        </w:rPr>
        <w:t>1</w:t>
      </w:r>
    </w:p>
    <w:p w14:paraId="735681C0">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预算金额（元）:580474.31</w:t>
      </w:r>
    </w:p>
    <w:p w14:paraId="4325045A">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单位：批</w:t>
      </w:r>
      <w:r>
        <w:rPr>
          <w:rFonts w:hint="eastAsia" w:ascii="仿宋" w:hAnsi="仿宋" w:eastAsia="仿宋" w:cs="仿宋"/>
          <w:sz w:val="28"/>
          <w:szCs w:val="28"/>
        </w:rPr>
        <w:t xml:space="preserve">  </w:t>
      </w:r>
    </w:p>
    <w:p w14:paraId="68ED009E">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sz w:val="28"/>
          <w:szCs w:val="28"/>
        </w:rPr>
        <w:t>简要规格描述或项目基本概况介绍、用途：</w:t>
      </w:r>
      <w:r>
        <w:rPr>
          <w:rFonts w:hint="eastAsia" w:ascii="仿宋" w:hAnsi="仿宋" w:eastAsia="仿宋" w:cs="仿宋"/>
          <w:sz w:val="28"/>
          <w:szCs w:val="28"/>
          <w:lang w:val="en-US" w:eastAsia="zh-CN"/>
        </w:rPr>
        <w:t>阿克苏某单位隔离网及立柱维修、改造。（详见招标文件）</w:t>
      </w:r>
    </w:p>
    <w:p w14:paraId="0966145A">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合同履约期限：自合同签订之日起</w:t>
      </w:r>
      <w:r>
        <w:rPr>
          <w:rFonts w:hint="eastAsia" w:ascii="仿宋" w:hAnsi="仿宋" w:eastAsia="仿宋" w:cs="仿宋"/>
          <w:sz w:val="28"/>
          <w:szCs w:val="28"/>
          <w:lang w:val="en-US" w:eastAsia="zh-CN"/>
        </w:rPr>
        <w:t>90天</w:t>
      </w:r>
      <w:r>
        <w:rPr>
          <w:rFonts w:hint="eastAsia" w:ascii="仿宋" w:hAnsi="仿宋" w:eastAsia="仿宋" w:cs="仿宋"/>
          <w:sz w:val="28"/>
          <w:szCs w:val="28"/>
          <w:lang w:eastAsia="zh-CN"/>
        </w:rPr>
        <w:t>。</w:t>
      </w:r>
    </w:p>
    <w:p w14:paraId="41D5A699">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否</w:t>
      </w:r>
      <w:r>
        <w:rPr>
          <w:rFonts w:hint="eastAsia" w:ascii="仿宋" w:hAnsi="仿宋" w:eastAsia="仿宋" w:cs="仿宋"/>
          <w:sz w:val="28"/>
          <w:szCs w:val="28"/>
        </w:rPr>
        <w:t>）接受联合体投标。</w:t>
      </w:r>
    </w:p>
    <w:p w14:paraId="0C594F5B">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rPr>
      </w:pPr>
      <w:bookmarkStart w:id="7" w:name="_Toc35393630"/>
      <w:bookmarkStart w:id="8" w:name="_Toc19651"/>
      <w:bookmarkStart w:id="9" w:name="_Toc28359090"/>
      <w:bookmarkStart w:id="10" w:name="_Toc28359013"/>
      <w:bookmarkStart w:id="11" w:name="_Toc35393799"/>
      <w:r>
        <w:rPr>
          <w:rFonts w:hint="eastAsia" w:ascii="仿宋" w:hAnsi="仿宋" w:eastAsia="仿宋" w:cs="仿宋"/>
          <w:b/>
          <w:bCs/>
          <w:color w:val="auto"/>
          <w:sz w:val="28"/>
          <w:szCs w:val="28"/>
        </w:rPr>
        <w:t>二、申请人的资格要求：</w:t>
      </w:r>
      <w:bookmarkEnd w:id="7"/>
      <w:bookmarkEnd w:id="8"/>
      <w:bookmarkEnd w:id="9"/>
      <w:bookmarkEnd w:id="10"/>
      <w:bookmarkEnd w:id="11"/>
    </w:p>
    <w:p w14:paraId="41F17C32">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lang w:val="en-US" w:eastAsia="zh-CN"/>
        </w:rPr>
      </w:pPr>
      <w:bookmarkStart w:id="12" w:name="_Toc28359091"/>
      <w:bookmarkStart w:id="13" w:name="_Toc35393800"/>
      <w:bookmarkStart w:id="14" w:name="_Toc17628"/>
      <w:bookmarkStart w:id="15" w:name="_Toc35393631"/>
      <w:bookmarkStart w:id="16" w:name="_Toc28359014"/>
      <w:r>
        <w:rPr>
          <w:rFonts w:hint="eastAsia" w:ascii="仿宋" w:hAnsi="仿宋" w:eastAsia="仿宋" w:cs="仿宋"/>
          <w:b w:val="0"/>
          <w:bCs w:val="0"/>
          <w:color w:val="auto"/>
          <w:sz w:val="28"/>
          <w:szCs w:val="28"/>
          <w:lang w:val="en-US" w:eastAsia="zh-CN"/>
        </w:rPr>
        <w:t>1.满足《中华人民共和国政府采购法》第二十二条规定；</w:t>
      </w:r>
    </w:p>
    <w:p w14:paraId="485E68CF">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2.落实政府采购政策需满足的资格要求：本项目为专门面向中小企业。</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（1）《政府采购促进中小企业发展管理办法》（财库〔2020〕46号）》；</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（2）《国务院办公厅关于建立政府强制采购节能产品制度的通知》（国办发〔2007〕51号）；</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3）《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（4）《关于推动解决政府采购异常低价问题的通知》（财库〔2026〕2号）。 </w:t>
      </w:r>
    </w:p>
    <w:p w14:paraId="21A29922">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3.本项目的特定资格要求：无</w:t>
      </w:r>
    </w:p>
    <w:p w14:paraId="01C9A823">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三、获取招标文件</w:t>
      </w:r>
      <w:bookmarkEnd w:id="12"/>
      <w:bookmarkEnd w:id="13"/>
      <w:bookmarkEnd w:id="14"/>
      <w:bookmarkEnd w:id="15"/>
      <w:bookmarkEnd w:id="16"/>
    </w:p>
    <w:p w14:paraId="59737A89">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05</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日至</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06</w:t>
      </w:r>
      <w:r>
        <w:rPr>
          <w:rFonts w:hint="eastAsia" w:ascii="仿宋" w:hAnsi="仿宋" w:eastAsia="仿宋" w:cs="仿宋"/>
          <w:sz w:val="28"/>
          <w:szCs w:val="28"/>
        </w:rPr>
        <w:t>月</w:t>
      </w:r>
      <w:r>
        <w:rPr>
          <w:rFonts w:hint="eastAsia" w:ascii="仿宋" w:hAnsi="仿宋" w:eastAsia="仿宋" w:cs="仿宋"/>
          <w:sz w:val="28"/>
          <w:szCs w:val="28"/>
          <w:lang w:val="en-US" w:eastAsia="zh-CN"/>
        </w:rPr>
        <w:t>05</w:t>
      </w:r>
      <w:r>
        <w:rPr>
          <w:rFonts w:hint="eastAsia" w:ascii="仿宋" w:hAnsi="仿宋" w:eastAsia="仿宋" w:cs="仿宋"/>
          <w:sz w:val="28"/>
          <w:szCs w:val="28"/>
        </w:rPr>
        <w:t>日，每天上午</w:t>
      </w:r>
      <w:r>
        <w:rPr>
          <w:rFonts w:hint="eastAsia" w:ascii="仿宋" w:hAnsi="仿宋" w:eastAsia="仿宋" w:cs="仿宋"/>
          <w:sz w:val="28"/>
          <w:szCs w:val="28"/>
          <w:lang w:val="en-US" w:eastAsia="zh-CN"/>
        </w:rPr>
        <w:t>10:00</w:t>
      </w:r>
      <w:r>
        <w:rPr>
          <w:rFonts w:hint="eastAsia" w:ascii="仿宋" w:hAnsi="仿宋" w:eastAsia="仿宋" w:cs="仿宋"/>
          <w:sz w:val="28"/>
          <w:szCs w:val="28"/>
        </w:rPr>
        <w:t>至</w:t>
      </w:r>
      <w:r>
        <w:rPr>
          <w:rFonts w:hint="eastAsia" w:ascii="仿宋" w:hAnsi="仿宋" w:eastAsia="仿宋" w:cs="仿宋"/>
          <w:sz w:val="28"/>
          <w:szCs w:val="28"/>
          <w:lang w:val="en-US" w:eastAsia="zh-CN"/>
        </w:rPr>
        <w:t>14:00</w:t>
      </w:r>
      <w:r>
        <w:rPr>
          <w:rFonts w:hint="eastAsia" w:ascii="仿宋" w:hAnsi="仿宋" w:eastAsia="仿宋" w:cs="仿宋"/>
          <w:sz w:val="28"/>
          <w:szCs w:val="28"/>
        </w:rPr>
        <w:t>，下午</w:t>
      </w:r>
      <w:r>
        <w:rPr>
          <w:rFonts w:hint="eastAsia" w:ascii="仿宋" w:hAnsi="仿宋" w:eastAsia="仿宋" w:cs="仿宋"/>
          <w:sz w:val="28"/>
          <w:szCs w:val="28"/>
          <w:lang w:val="en-US" w:eastAsia="zh-CN"/>
        </w:rPr>
        <w:t>16:00</w:t>
      </w:r>
      <w:r>
        <w:rPr>
          <w:rFonts w:hint="eastAsia" w:ascii="仿宋" w:hAnsi="仿宋" w:eastAsia="仿宋" w:cs="仿宋"/>
          <w:sz w:val="28"/>
          <w:szCs w:val="28"/>
        </w:rPr>
        <w:t>至</w:t>
      </w:r>
      <w:r>
        <w:rPr>
          <w:rFonts w:hint="eastAsia" w:ascii="仿宋" w:hAnsi="仿宋" w:eastAsia="仿宋" w:cs="仿宋"/>
          <w:sz w:val="28"/>
          <w:szCs w:val="28"/>
          <w:lang w:val="en-US" w:eastAsia="zh-CN"/>
        </w:rPr>
        <w:t>20:00</w:t>
      </w:r>
      <w:r>
        <w:rPr>
          <w:rFonts w:hint="eastAsia" w:ascii="仿宋" w:hAnsi="仿宋" w:eastAsia="仿宋" w:cs="仿宋"/>
          <w:sz w:val="28"/>
          <w:szCs w:val="28"/>
        </w:rPr>
        <w:t>（北京时间，法定节假日除外 ）</w:t>
      </w:r>
    </w:p>
    <w:p w14:paraId="1712680E">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地点：政采云平台</w:t>
      </w:r>
      <w:r>
        <w:rPr>
          <w:rFonts w:hint="eastAsia" w:ascii="仿宋" w:hAnsi="仿宋" w:eastAsia="仿宋" w:cs="仿宋"/>
          <w:sz w:val="28"/>
          <w:szCs w:val="28"/>
          <w:lang w:val="en-US" w:eastAsia="zh-CN"/>
        </w:rPr>
        <w:t>线上</w:t>
      </w:r>
    </w:p>
    <w:p w14:paraId="4E76C751">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1F7B714">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售价：</w:t>
      </w:r>
      <w:r>
        <w:rPr>
          <w:rFonts w:hint="eastAsia" w:ascii="仿宋" w:hAnsi="仿宋" w:eastAsia="仿宋" w:cs="仿宋"/>
          <w:sz w:val="28"/>
          <w:szCs w:val="28"/>
          <w:lang w:val="en-US" w:eastAsia="zh-CN"/>
        </w:rPr>
        <w:t>0元</w:t>
      </w:r>
    </w:p>
    <w:p w14:paraId="0E7E2791">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bookmarkStart w:id="17" w:name="_Toc28359019"/>
      <w:bookmarkStart w:id="18" w:name="_Toc35393806"/>
      <w:bookmarkStart w:id="19" w:name="_Toc29692"/>
      <w:bookmarkStart w:id="20" w:name="_Toc35393637"/>
      <w:bookmarkStart w:id="21" w:name="_Toc28359096"/>
      <w:r>
        <w:rPr>
          <w:rFonts w:hint="eastAsia" w:ascii="仿宋" w:hAnsi="仿宋" w:eastAsia="仿宋" w:cs="仿宋"/>
          <w:b/>
          <w:bCs/>
          <w:sz w:val="28"/>
          <w:szCs w:val="28"/>
        </w:rPr>
        <w:t>四、提交投标文件截止时间、开标时间和地点</w:t>
      </w:r>
    </w:p>
    <w:p w14:paraId="7AC8F79C">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提交投标文件截止时间：202</w:t>
      </w:r>
      <w:r>
        <w:rPr>
          <w:rFonts w:hint="eastAsia" w:ascii="仿宋" w:hAnsi="仿宋" w:eastAsia="仿宋" w:cs="仿宋"/>
          <w:b w:val="0"/>
          <w:sz w:val="28"/>
          <w:szCs w:val="28"/>
          <w:lang w:val="en-US" w:eastAsia="zh-CN"/>
        </w:rPr>
        <w:t xml:space="preserve">6 </w:t>
      </w:r>
      <w:r>
        <w:rPr>
          <w:rFonts w:hint="eastAsia" w:ascii="仿宋" w:hAnsi="仿宋" w:eastAsia="仿宋" w:cs="仿宋"/>
          <w:b w:val="0"/>
          <w:sz w:val="28"/>
          <w:szCs w:val="28"/>
        </w:rPr>
        <w:t>年</w:t>
      </w:r>
      <w:r>
        <w:rPr>
          <w:rFonts w:hint="eastAsia" w:ascii="仿宋" w:hAnsi="仿宋" w:eastAsia="仿宋" w:cs="仿宋"/>
          <w:b w:val="0"/>
          <w:sz w:val="28"/>
          <w:szCs w:val="28"/>
          <w:lang w:val="en-US" w:eastAsia="zh-CN"/>
        </w:rPr>
        <w:t>06</w:t>
      </w:r>
      <w:r>
        <w:rPr>
          <w:rFonts w:hint="eastAsia" w:ascii="仿宋" w:hAnsi="仿宋" w:eastAsia="仿宋" w:cs="仿宋"/>
          <w:b w:val="0"/>
          <w:sz w:val="28"/>
          <w:szCs w:val="28"/>
        </w:rPr>
        <w:t>月</w:t>
      </w:r>
      <w:r>
        <w:rPr>
          <w:rFonts w:hint="eastAsia" w:ascii="仿宋" w:hAnsi="仿宋" w:eastAsia="仿宋" w:cs="仿宋"/>
          <w:b w:val="0"/>
          <w:sz w:val="28"/>
          <w:szCs w:val="28"/>
          <w:lang w:val="en-US" w:eastAsia="zh-CN"/>
        </w:rPr>
        <w:t>22</w:t>
      </w:r>
      <w:r>
        <w:rPr>
          <w:rFonts w:hint="eastAsia" w:ascii="仿宋" w:hAnsi="仿宋" w:eastAsia="仿宋" w:cs="仿宋"/>
          <w:b w:val="0"/>
          <w:sz w:val="28"/>
          <w:szCs w:val="28"/>
        </w:rPr>
        <w:t>日 1</w:t>
      </w:r>
      <w:r>
        <w:rPr>
          <w:rFonts w:hint="eastAsia" w:ascii="仿宋" w:hAnsi="仿宋" w:eastAsia="仿宋" w:cs="仿宋"/>
          <w:b w:val="0"/>
          <w:sz w:val="28"/>
          <w:szCs w:val="28"/>
          <w:lang w:val="en-US" w:eastAsia="zh-CN"/>
        </w:rPr>
        <w:t>1</w:t>
      </w:r>
      <w:r>
        <w:rPr>
          <w:rFonts w:hint="eastAsia" w:ascii="仿宋" w:hAnsi="仿宋" w:eastAsia="仿宋" w:cs="仿宋"/>
          <w:b w:val="0"/>
          <w:sz w:val="28"/>
          <w:szCs w:val="28"/>
        </w:rPr>
        <w:t>:</w:t>
      </w:r>
      <w:r>
        <w:rPr>
          <w:rFonts w:hint="eastAsia" w:ascii="仿宋" w:hAnsi="仿宋" w:eastAsia="仿宋" w:cs="仿宋"/>
          <w:b w:val="0"/>
          <w:sz w:val="28"/>
          <w:szCs w:val="28"/>
          <w:lang w:val="en-US" w:eastAsia="zh-CN"/>
        </w:rPr>
        <w:t>0</w:t>
      </w:r>
      <w:r>
        <w:rPr>
          <w:rFonts w:hint="eastAsia" w:ascii="仿宋" w:hAnsi="仿宋" w:eastAsia="仿宋" w:cs="仿宋"/>
          <w:b w:val="0"/>
          <w:sz w:val="28"/>
          <w:szCs w:val="28"/>
        </w:rPr>
        <w:t>0（北京时间）</w:t>
      </w:r>
    </w:p>
    <w:p w14:paraId="0141F2BA">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投标地点：请登录政采云投标客户端投标</w:t>
      </w:r>
    </w:p>
    <w:p w14:paraId="15ED59D6">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开标时间：202</w:t>
      </w:r>
      <w:r>
        <w:rPr>
          <w:rFonts w:hint="eastAsia" w:ascii="仿宋" w:hAnsi="仿宋" w:eastAsia="仿宋" w:cs="仿宋"/>
          <w:b w:val="0"/>
          <w:sz w:val="28"/>
          <w:szCs w:val="28"/>
          <w:lang w:val="en-US" w:eastAsia="zh-CN"/>
        </w:rPr>
        <w:t>6</w:t>
      </w:r>
      <w:r>
        <w:rPr>
          <w:rFonts w:hint="eastAsia" w:ascii="仿宋" w:hAnsi="仿宋" w:eastAsia="仿宋" w:cs="仿宋"/>
          <w:b w:val="0"/>
          <w:sz w:val="28"/>
          <w:szCs w:val="28"/>
        </w:rPr>
        <w:t>年</w:t>
      </w:r>
      <w:r>
        <w:rPr>
          <w:rFonts w:hint="eastAsia" w:ascii="仿宋" w:hAnsi="仿宋" w:eastAsia="仿宋" w:cs="仿宋"/>
          <w:b w:val="0"/>
          <w:sz w:val="28"/>
          <w:szCs w:val="28"/>
          <w:lang w:val="en-US" w:eastAsia="zh-CN"/>
        </w:rPr>
        <w:t>06</w:t>
      </w:r>
      <w:r>
        <w:rPr>
          <w:rFonts w:hint="eastAsia" w:ascii="仿宋" w:hAnsi="仿宋" w:eastAsia="仿宋" w:cs="仿宋"/>
          <w:b w:val="0"/>
          <w:sz w:val="28"/>
          <w:szCs w:val="28"/>
        </w:rPr>
        <w:t>月</w:t>
      </w:r>
      <w:r>
        <w:rPr>
          <w:rFonts w:hint="eastAsia" w:ascii="仿宋" w:hAnsi="仿宋" w:eastAsia="仿宋" w:cs="仿宋"/>
          <w:b w:val="0"/>
          <w:sz w:val="28"/>
          <w:szCs w:val="28"/>
          <w:lang w:val="en-US" w:eastAsia="zh-CN"/>
        </w:rPr>
        <w:t>22</w:t>
      </w:r>
      <w:r>
        <w:rPr>
          <w:rFonts w:hint="eastAsia" w:ascii="仿宋" w:hAnsi="仿宋" w:eastAsia="仿宋" w:cs="仿宋"/>
          <w:b w:val="0"/>
          <w:sz w:val="28"/>
          <w:szCs w:val="28"/>
        </w:rPr>
        <w:t>日 1</w:t>
      </w:r>
      <w:r>
        <w:rPr>
          <w:rFonts w:hint="eastAsia" w:ascii="仿宋" w:hAnsi="仿宋" w:eastAsia="仿宋" w:cs="仿宋"/>
          <w:b w:val="0"/>
          <w:sz w:val="28"/>
          <w:szCs w:val="28"/>
          <w:lang w:val="en-US" w:eastAsia="zh-CN"/>
        </w:rPr>
        <w:t>1</w:t>
      </w:r>
      <w:r>
        <w:rPr>
          <w:rFonts w:hint="eastAsia" w:ascii="仿宋" w:hAnsi="仿宋" w:eastAsia="仿宋" w:cs="仿宋"/>
          <w:b w:val="0"/>
          <w:sz w:val="28"/>
          <w:szCs w:val="28"/>
        </w:rPr>
        <w:t>:</w:t>
      </w:r>
      <w:r>
        <w:rPr>
          <w:rFonts w:hint="eastAsia" w:ascii="仿宋" w:hAnsi="仿宋" w:eastAsia="仿宋" w:cs="仿宋"/>
          <w:b w:val="0"/>
          <w:sz w:val="28"/>
          <w:szCs w:val="28"/>
          <w:lang w:val="en-US" w:eastAsia="zh-CN"/>
        </w:rPr>
        <w:t>0</w:t>
      </w:r>
      <w:r>
        <w:rPr>
          <w:rFonts w:hint="eastAsia" w:ascii="仿宋" w:hAnsi="仿宋" w:eastAsia="仿宋" w:cs="仿宋"/>
          <w:b w:val="0"/>
          <w:sz w:val="28"/>
          <w:szCs w:val="28"/>
        </w:rPr>
        <w:t>0（北京时间）</w:t>
      </w:r>
    </w:p>
    <w:p w14:paraId="54ADF4C5">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sz w:val="28"/>
          <w:szCs w:val="28"/>
        </w:rPr>
      </w:pPr>
      <w:r>
        <w:rPr>
          <w:rFonts w:hint="eastAsia" w:ascii="仿宋" w:hAnsi="仿宋" w:eastAsia="仿宋" w:cs="仿宋"/>
          <w:b w:val="0"/>
          <w:sz w:val="28"/>
          <w:szCs w:val="28"/>
        </w:rPr>
        <w:t>开标地点：投标人登录政采云平台https://www.zcygov.cn/，进入“项目采购-开标评标-右边选择对应项目点击“进入项目”进入开标大厅。</w:t>
      </w:r>
    </w:p>
    <w:p w14:paraId="3AB7C50C">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五、公告期限</w:t>
      </w:r>
    </w:p>
    <w:p w14:paraId="22498668">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自本公告发布之日起5个工作日。</w:t>
      </w:r>
    </w:p>
    <w:p w14:paraId="1E574047">
      <w:pPr>
        <w:pageBreakBefore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其他补充事宜</w:t>
      </w:r>
    </w:p>
    <w:p w14:paraId="0EECB267">
      <w:pPr>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1、本项目实行网上投标，采用电子投标文件。</w:t>
      </w:r>
    </w:p>
    <w:p w14:paraId="58E70A26">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9FA0935">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3、供应商将政采云电子交易客户端下载、安装完成后，可通过账号密码或CA登录客户端进行投标文件的制作。在使用政采云投标客户端时，建议使用WIN7及以上操作系统。</w:t>
      </w:r>
    </w:p>
    <w:p w14:paraId="3808CFCB">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4、其他事项： 1.请投标人随时关注本项目的澄清、答疑、变更事项。</w:t>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2.相互关联存在实际控制、管理关系的两个企业，不得参加同一项目的采购活动。</w:t>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3.本项目实行网上投标，采用电子投标文件。若投标人参与投标，投标人须提前办理CA锁并自行承担投标一切费用。</w:t>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4.各投标人应在开标前应确保成为新疆政府采购网正式注册入库供应商，并完成CA数字证书申领。因未注册入库、未办理CA数字证书等原因造成无法投标或投标失败等后果由投标人自行承担。</w:t>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5.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6.投标人应当在投标文件提交截止时间前，将生成的“电子加密投标文件”上传递交至“政府采购云平台”。投标文件提交截止时间以后上传提交的投标文件将被“政府采购云平台”拒收。</w:t>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7.投标文件开启时间后30分钟内投标人可以登录“政采云”平台，用“项目采购-开标评标”功能进行解密投标文件。若投标人在规定时间内未按时解密的，视为投标文件撤回。</w:t>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注意事项：</w:t>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（1）请务必确保投标文件制作客户端为最新版本，旧版本可能导致投标文件解密失败。</w:t>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（2）请务必确保投标文件制作时所用的CA锁与投标文件解密时的CA锁为同一把，否则可能导致投标文件解密失败。  </w:t>
      </w:r>
    </w:p>
    <w:p w14:paraId="6ED04AA6">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特别提示：</w:t>
      </w:r>
    </w:p>
    <w:p w14:paraId="450146AF">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采购限额标准以上，200万元以下的货物和服务采购项目、400万元以下的工程采购项目，适宜由中小企业提供的，采购人应当专门面向中小企业采购。</w:t>
      </w:r>
    </w:p>
    <w:p w14:paraId="6DD04D6B">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2、超过200万元的货物和服务采购项目，预留该部分采购项目预算总额的30%以上专门面向中小企业采购，其中预留给小微企业的比例不低于60%。</w:t>
      </w:r>
    </w:p>
    <w:p w14:paraId="0C2E7AD2">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3、超过400万元的工程采购项目中适宜由中小企业提供的，预留该部分采购项目预算总额的40%以上专门面向中小企业采购，其中预留给小微企业的比例不低于60%。</w:t>
      </w:r>
    </w:p>
    <w:p w14:paraId="50AAE34D">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A363EF">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3B975D2">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七、对本次采购提出询问，请按以下方式联系</w:t>
      </w:r>
    </w:p>
    <w:p w14:paraId="68C2B6D7">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1.采购人信息</w:t>
      </w:r>
      <w:bookmarkEnd w:id="17"/>
      <w:bookmarkEnd w:id="18"/>
      <w:bookmarkEnd w:id="19"/>
      <w:bookmarkEnd w:id="20"/>
      <w:bookmarkEnd w:id="21"/>
    </w:p>
    <w:p w14:paraId="6015BC0F">
      <w:pPr>
        <w:pageBreakBefore w:val="0"/>
        <w:kinsoku/>
        <w:wordWrap/>
        <w:overflowPunct/>
        <w:topLinePunct w:val="0"/>
        <w:autoSpaceDE/>
        <w:autoSpaceDN/>
        <w:bidi w:val="0"/>
        <w:adjustRightInd/>
        <w:snapToGrid/>
        <w:spacing w:line="400" w:lineRule="exact"/>
        <w:ind w:firstLine="560" w:firstLineChars="200"/>
        <w:jc w:val="left"/>
        <w:textAlignment w:val="auto"/>
        <w:rPr>
          <w:rFonts w:hint="default"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rPr>
        <w:t>名  称：新疆维吾尔自治区阿克苏某单位</w:t>
      </w:r>
    </w:p>
    <w:p w14:paraId="496C48F2">
      <w:pPr>
        <w:pageBreakBefore w:val="0"/>
        <w:kinsoku/>
        <w:wordWrap/>
        <w:overflowPunct/>
        <w:topLinePunct w:val="0"/>
        <w:autoSpaceDE/>
        <w:autoSpaceDN/>
        <w:bidi w:val="0"/>
        <w:adjustRightInd/>
        <w:snapToGrid/>
        <w:spacing w:line="400" w:lineRule="exact"/>
        <w:ind w:firstLine="560" w:firstLineChars="200"/>
        <w:jc w:val="left"/>
        <w:textAlignment w:val="auto"/>
        <w:rPr>
          <w:rFonts w:hint="default" w:ascii="仿宋" w:hAnsi="仿宋" w:eastAsia="仿宋" w:cs="仿宋"/>
          <w:color w:val="auto"/>
          <w:sz w:val="28"/>
          <w:szCs w:val="28"/>
          <w:u w:val="none"/>
          <w:lang w:val="en-US"/>
        </w:rPr>
      </w:pPr>
      <w:r>
        <w:rPr>
          <w:rFonts w:hint="default" w:ascii="仿宋" w:hAnsi="仿宋" w:eastAsia="仿宋" w:cs="仿宋"/>
          <w:color w:val="auto"/>
          <w:sz w:val="28"/>
          <w:szCs w:val="28"/>
          <w:u w:val="none"/>
          <w:lang w:val="en-US"/>
        </w:rPr>
        <w:t>地  址：</w:t>
      </w:r>
      <w:r>
        <w:rPr>
          <w:rFonts w:hint="default" w:ascii="仿宋" w:hAnsi="仿宋" w:eastAsia="仿宋" w:cs="仿宋"/>
          <w:color w:val="auto"/>
          <w:sz w:val="28"/>
          <w:szCs w:val="28"/>
          <w:u w:val="none"/>
          <w:lang w:val="en-US" w:eastAsia="zh-CN"/>
        </w:rPr>
        <w:t>阿克苏市南工业园区纺织大道65号</w:t>
      </w:r>
    </w:p>
    <w:p w14:paraId="76F99B64">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rPr>
        <w:t>联系方式：</w:t>
      </w:r>
      <w:bookmarkStart w:id="22" w:name="_Toc31440"/>
      <w:bookmarkStart w:id="23" w:name="_Toc35393807"/>
      <w:bookmarkStart w:id="24" w:name="_Toc35393638"/>
      <w:bookmarkStart w:id="25" w:name="_Toc28359097"/>
      <w:bookmarkStart w:id="26" w:name="_Toc28359020"/>
      <w:r>
        <w:rPr>
          <w:rFonts w:hint="eastAsia" w:ascii="仿宋" w:hAnsi="仿宋" w:eastAsia="仿宋" w:cs="仿宋"/>
          <w:color w:val="auto"/>
          <w:sz w:val="28"/>
          <w:szCs w:val="28"/>
          <w:u w:val="none"/>
          <w:lang w:val="en-US" w:eastAsia="zh-CN"/>
        </w:rPr>
        <w:t>19590127395</w:t>
      </w:r>
    </w:p>
    <w:p w14:paraId="4B82DFA4">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sz w:val="28"/>
          <w:szCs w:val="28"/>
          <w:u w:val="none"/>
        </w:rPr>
      </w:pPr>
      <w:r>
        <w:rPr>
          <w:rFonts w:hint="eastAsia" w:ascii="仿宋" w:hAnsi="仿宋" w:eastAsia="仿宋" w:cs="仿宋"/>
          <w:b w:val="0"/>
          <w:sz w:val="28"/>
          <w:szCs w:val="28"/>
          <w:u w:val="none"/>
        </w:rPr>
        <w:t>2.采购代理机构信息</w:t>
      </w:r>
      <w:bookmarkEnd w:id="22"/>
      <w:bookmarkEnd w:id="23"/>
      <w:bookmarkEnd w:id="24"/>
      <w:bookmarkEnd w:id="25"/>
      <w:bookmarkEnd w:id="26"/>
    </w:p>
    <w:p w14:paraId="6A96E66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名  称：</w:t>
      </w:r>
      <w:r>
        <w:rPr>
          <w:rFonts w:hint="eastAsia" w:ascii="仿宋" w:hAnsi="仿宋" w:eastAsia="仿宋" w:cs="仿宋"/>
          <w:sz w:val="28"/>
          <w:szCs w:val="28"/>
          <w:u w:val="none"/>
          <w:lang w:val="en-US" w:eastAsia="zh-CN"/>
        </w:rPr>
        <w:t>新疆疆裕百川工程项目管理有限公司</w:t>
      </w:r>
    </w:p>
    <w:p w14:paraId="5EC9246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u w:val="none"/>
          <w:lang w:eastAsia="zh-CN"/>
        </w:rPr>
      </w:pPr>
      <w:r>
        <w:rPr>
          <w:rFonts w:hint="eastAsia" w:ascii="仿宋" w:hAnsi="仿宋" w:eastAsia="仿宋" w:cs="仿宋"/>
          <w:sz w:val="28"/>
          <w:szCs w:val="28"/>
          <w:u w:val="none"/>
        </w:rPr>
        <w:t>地　址：</w:t>
      </w:r>
      <w:r>
        <w:rPr>
          <w:rFonts w:hint="eastAsia" w:ascii="仿宋" w:hAnsi="仿宋" w:eastAsia="仿宋" w:cs="仿宋"/>
          <w:sz w:val="28"/>
          <w:szCs w:val="28"/>
          <w:u w:val="none"/>
          <w:lang w:val="en-US" w:eastAsia="zh-CN"/>
        </w:rPr>
        <w:t>新疆阿克苏地区阿克苏市红桥街道长安社区友谊北路阿克苏丝路古镇奇石玉石博览旅游文化中心16-001(二至三层)  </w:t>
      </w:r>
    </w:p>
    <w:p w14:paraId="05E11A6C">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联系方式：</w:t>
      </w:r>
      <w:bookmarkStart w:id="27" w:name="_Toc35393639"/>
      <w:bookmarkStart w:id="28" w:name="_Toc28359021"/>
      <w:bookmarkStart w:id="29" w:name="_Toc18856"/>
      <w:bookmarkStart w:id="30" w:name="_Toc28359098"/>
      <w:bookmarkStart w:id="31" w:name="_Toc35393808"/>
      <w:r>
        <w:rPr>
          <w:rFonts w:hint="eastAsia" w:ascii="仿宋" w:hAnsi="仿宋" w:eastAsia="仿宋" w:cs="仿宋"/>
          <w:sz w:val="28"/>
          <w:szCs w:val="28"/>
          <w:u w:val="none"/>
          <w:lang w:val="en-US" w:eastAsia="zh-CN"/>
        </w:rPr>
        <w:t>15699079700</w:t>
      </w:r>
    </w:p>
    <w:p w14:paraId="0DA533A8">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sz w:val="28"/>
          <w:szCs w:val="28"/>
          <w:u w:val="none"/>
        </w:rPr>
      </w:pPr>
      <w:r>
        <w:rPr>
          <w:rFonts w:hint="eastAsia" w:ascii="仿宋" w:hAnsi="仿宋" w:eastAsia="仿宋" w:cs="仿宋"/>
          <w:b w:val="0"/>
          <w:sz w:val="28"/>
          <w:szCs w:val="28"/>
          <w:u w:val="none"/>
        </w:rPr>
        <w:t>3.项目联系方式</w:t>
      </w:r>
      <w:bookmarkEnd w:id="27"/>
      <w:bookmarkEnd w:id="28"/>
      <w:bookmarkEnd w:id="29"/>
      <w:bookmarkEnd w:id="30"/>
      <w:bookmarkEnd w:id="31"/>
    </w:p>
    <w:p w14:paraId="5DCCD083">
      <w:pPr>
        <w:pStyle w:val="9"/>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项目联系人：</w:t>
      </w:r>
      <w:r>
        <w:rPr>
          <w:rFonts w:hint="eastAsia" w:ascii="仿宋" w:hAnsi="仿宋" w:eastAsia="仿宋" w:cs="仿宋"/>
          <w:sz w:val="28"/>
          <w:szCs w:val="28"/>
          <w:u w:val="none"/>
          <w:lang w:val="en-US" w:eastAsia="zh-CN"/>
        </w:rPr>
        <w:t xml:space="preserve">杨志   </w:t>
      </w:r>
    </w:p>
    <w:p w14:paraId="298443F8">
      <w:pPr>
        <w:ind w:firstLine="560" w:firstLineChars="200"/>
        <w:rPr>
          <w:rFonts w:hint="default"/>
          <w:u w:val="none"/>
          <w:lang w:val="en-US"/>
        </w:rPr>
      </w:pPr>
      <w:r>
        <w:rPr>
          <w:rFonts w:hint="eastAsia" w:ascii="仿宋" w:hAnsi="仿宋" w:eastAsia="仿宋" w:cs="仿宋"/>
          <w:sz w:val="28"/>
          <w:szCs w:val="28"/>
          <w:u w:val="none"/>
        </w:rPr>
        <w:t>电　话：</w:t>
      </w:r>
      <w:r>
        <w:rPr>
          <w:rFonts w:hint="eastAsia" w:ascii="仿宋" w:hAnsi="仿宋" w:eastAsia="仿宋" w:cs="仿宋"/>
          <w:sz w:val="28"/>
          <w:szCs w:val="28"/>
          <w:u w:val="none"/>
          <w:lang w:val="en-US" w:eastAsia="zh-CN"/>
        </w:rPr>
        <w:t>15699079700</w:t>
      </w:r>
    </w:p>
    <w:p w14:paraId="6D56EE99">
      <w:pPr>
        <w:spacing w:before="19"/>
        <w:ind w:left="270" w:right="330" w:firstLine="0"/>
        <w:jc w:val="center"/>
        <w:rPr>
          <w:b/>
          <w:sz w:val="40"/>
        </w:rPr>
      </w:pPr>
    </w:p>
    <w:p w14:paraId="47183F1C">
      <w:pPr>
        <w:spacing w:before="19"/>
        <w:ind w:left="270" w:right="330" w:firstLine="0"/>
        <w:jc w:val="center"/>
        <w:rPr>
          <w:b/>
          <w:sz w:val="40"/>
        </w:rPr>
      </w:pPr>
    </w:p>
    <w:p w14:paraId="04A20F76">
      <w:pPr>
        <w:spacing w:before="19"/>
        <w:ind w:left="270" w:right="330" w:firstLine="0"/>
        <w:jc w:val="center"/>
        <w:rPr>
          <w:b/>
          <w:sz w:val="40"/>
        </w:rPr>
      </w:pPr>
    </w:p>
    <w:p w14:paraId="6BC5A28F">
      <w:pPr>
        <w:spacing w:before="19"/>
        <w:ind w:left="270" w:right="330" w:firstLine="0"/>
        <w:jc w:val="center"/>
        <w:rPr>
          <w:b/>
          <w:sz w:val="40"/>
        </w:rPr>
      </w:pPr>
    </w:p>
    <w:p w14:paraId="52234DC8">
      <w:pPr>
        <w:spacing w:before="19"/>
        <w:ind w:left="270" w:right="330" w:firstLine="0"/>
        <w:jc w:val="center"/>
        <w:rPr>
          <w:b/>
          <w:sz w:val="40"/>
        </w:rPr>
      </w:pPr>
    </w:p>
    <w:p w14:paraId="0189A0B4">
      <w:pPr>
        <w:spacing w:before="19"/>
        <w:ind w:left="270" w:right="330" w:firstLine="0"/>
        <w:jc w:val="center"/>
        <w:rPr>
          <w:b/>
          <w:sz w:val="40"/>
        </w:rPr>
      </w:pPr>
    </w:p>
    <w:p w14:paraId="4BEB6268">
      <w:pPr>
        <w:spacing w:before="19"/>
        <w:ind w:left="270" w:right="330" w:firstLine="0"/>
        <w:jc w:val="center"/>
        <w:rPr>
          <w:b/>
          <w:sz w:val="40"/>
        </w:rPr>
      </w:pPr>
    </w:p>
    <w:p w14:paraId="54A15667">
      <w:pPr>
        <w:spacing w:before="19"/>
        <w:ind w:left="270" w:right="330" w:firstLine="0"/>
        <w:jc w:val="center"/>
        <w:rPr>
          <w:b/>
          <w:sz w:val="40"/>
        </w:rPr>
      </w:pPr>
    </w:p>
    <w:p w14:paraId="4B31EC15">
      <w:pPr>
        <w:spacing w:before="19"/>
        <w:ind w:left="270" w:right="330" w:firstLine="0"/>
        <w:jc w:val="center"/>
        <w:rPr>
          <w:b/>
          <w:sz w:val="40"/>
        </w:rPr>
      </w:pPr>
    </w:p>
    <w:p w14:paraId="69AE3520">
      <w:pPr>
        <w:spacing w:before="19"/>
        <w:ind w:left="270" w:right="330" w:firstLine="0"/>
        <w:jc w:val="center"/>
        <w:rPr>
          <w:b/>
          <w:sz w:val="40"/>
        </w:rPr>
      </w:pPr>
    </w:p>
    <w:p w14:paraId="1EC1BEB9">
      <w:pPr>
        <w:spacing w:before="19"/>
        <w:ind w:left="270" w:right="330" w:firstLine="0"/>
        <w:jc w:val="center"/>
        <w:rPr>
          <w:b/>
          <w:sz w:val="40"/>
        </w:rPr>
      </w:pPr>
    </w:p>
    <w:p w14:paraId="128953F6">
      <w:pPr>
        <w:spacing w:before="19"/>
        <w:ind w:left="270" w:right="330" w:firstLine="0"/>
        <w:jc w:val="center"/>
        <w:rPr>
          <w:b/>
          <w:sz w:val="40"/>
        </w:rPr>
      </w:pPr>
    </w:p>
    <w:p w14:paraId="5BE5D208">
      <w:pPr>
        <w:spacing w:before="19"/>
        <w:ind w:left="270" w:right="330" w:firstLine="0"/>
        <w:jc w:val="center"/>
        <w:rPr>
          <w:b/>
          <w:sz w:val="40"/>
        </w:rPr>
      </w:pPr>
    </w:p>
    <w:p w14:paraId="751A2320">
      <w:pPr>
        <w:spacing w:before="19"/>
        <w:ind w:right="330"/>
        <w:jc w:val="both"/>
        <w:rPr>
          <w:b/>
          <w:sz w:val="40"/>
        </w:rPr>
      </w:pPr>
    </w:p>
    <w:p w14:paraId="622F9518">
      <w:pPr>
        <w:spacing w:before="19"/>
        <w:ind w:left="270" w:right="330" w:firstLine="0"/>
        <w:jc w:val="center"/>
        <w:rPr>
          <w:b/>
          <w:sz w:val="40"/>
        </w:rPr>
      </w:pPr>
    </w:p>
    <w:p w14:paraId="70E3672B">
      <w:pPr>
        <w:spacing w:before="19"/>
        <w:ind w:left="270" w:right="330" w:firstLine="0"/>
        <w:jc w:val="center"/>
        <w:rPr>
          <w:b/>
          <w:sz w:val="40"/>
        </w:rPr>
      </w:pPr>
    </w:p>
    <w:p w14:paraId="5784895D">
      <w:pPr>
        <w:spacing w:before="19"/>
        <w:ind w:left="270" w:right="330" w:firstLine="0"/>
        <w:jc w:val="center"/>
        <w:rPr>
          <w:b/>
          <w:sz w:val="40"/>
        </w:rPr>
      </w:pPr>
    </w:p>
    <w:p w14:paraId="15C579DB">
      <w:pPr>
        <w:spacing w:before="19"/>
        <w:ind w:left="270" w:right="330" w:firstLine="0"/>
        <w:jc w:val="center"/>
        <w:rPr>
          <w:b/>
          <w:sz w:val="40"/>
        </w:rPr>
      </w:pPr>
    </w:p>
    <w:p w14:paraId="1BEDBFE8">
      <w:pPr>
        <w:spacing w:before="19"/>
        <w:ind w:left="270" w:right="330" w:firstLine="0"/>
        <w:jc w:val="center"/>
        <w:rPr>
          <w:b/>
          <w:sz w:val="40"/>
        </w:rPr>
      </w:pPr>
    </w:p>
    <w:p w14:paraId="66B73378">
      <w:pPr>
        <w:spacing w:before="19"/>
        <w:ind w:left="270" w:right="330" w:firstLine="0"/>
        <w:jc w:val="center"/>
        <w:rPr>
          <w:b/>
          <w:sz w:val="40"/>
        </w:rPr>
      </w:pPr>
    </w:p>
    <w:p w14:paraId="01CD1296">
      <w:pPr>
        <w:spacing w:before="19"/>
        <w:ind w:left="270" w:right="330" w:firstLine="0"/>
        <w:jc w:val="center"/>
        <w:rPr>
          <w:b/>
          <w:sz w:val="40"/>
        </w:rPr>
      </w:pPr>
    </w:p>
    <w:p w14:paraId="0CEE9731">
      <w:pPr>
        <w:spacing w:before="19"/>
        <w:ind w:left="270" w:right="330" w:firstLine="0"/>
        <w:jc w:val="center"/>
        <w:rPr>
          <w:b/>
          <w:sz w:val="40"/>
        </w:rPr>
      </w:pPr>
    </w:p>
    <w:p w14:paraId="49EE9252">
      <w:pPr>
        <w:spacing w:before="19"/>
        <w:ind w:left="270" w:right="330" w:firstLine="0"/>
        <w:jc w:val="center"/>
        <w:rPr>
          <w:b/>
          <w:sz w:val="40"/>
        </w:rPr>
      </w:pPr>
      <w:r>
        <w:rPr>
          <w:b/>
          <w:sz w:val="40"/>
        </w:rPr>
        <w:t>第一章 投标人须知前附表</w:t>
      </w:r>
    </w:p>
    <w:p w14:paraId="7151C527">
      <w:pPr>
        <w:pStyle w:val="8"/>
        <w:spacing w:before="5"/>
        <w:rPr>
          <w:b/>
          <w:sz w:val="7"/>
        </w:rPr>
      </w:pPr>
    </w:p>
    <w:tbl>
      <w:tblPr>
        <w:tblStyle w:val="13"/>
        <w:tblW w:w="0" w:type="auto"/>
        <w:tblInd w:w="1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436"/>
        <w:gridCol w:w="7544"/>
      </w:tblGrid>
      <w:tr w14:paraId="4981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686" w:type="dxa"/>
          </w:tcPr>
          <w:p w14:paraId="2AB494F0">
            <w:pPr>
              <w:pStyle w:val="18"/>
              <w:spacing w:before="139"/>
              <w:ind w:left="72" w:right="137"/>
              <w:jc w:val="center"/>
              <w:rPr>
                <w:b/>
                <w:sz w:val="21"/>
              </w:rPr>
            </w:pPr>
            <w:r>
              <w:rPr>
                <w:b/>
                <w:sz w:val="21"/>
              </w:rPr>
              <w:t>序号</w:t>
            </w:r>
          </w:p>
        </w:tc>
        <w:tc>
          <w:tcPr>
            <w:tcW w:w="1436" w:type="dxa"/>
          </w:tcPr>
          <w:p w14:paraId="58661975">
            <w:pPr>
              <w:pStyle w:val="18"/>
              <w:spacing w:before="139"/>
              <w:ind w:left="46" w:right="111"/>
              <w:jc w:val="center"/>
              <w:rPr>
                <w:b/>
                <w:sz w:val="21"/>
              </w:rPr>
            </w:pPr>
            <w:r>
              <w:rPr>
                <w:b/>
                <w:sz w:val="21"/>
              </w:rPr>
              <w:t>名称</w:t>
            </w:r>
          </w:p>
        </w:tc>
        <w:tc>
          <w:tcPr>
            <w:tcW w:w="7544" w:type="dxa"/>
          </w:tcPr>
          <w:p w14:paraId="4E3789AC">
            <w:pPr>
              <w:pStyle w:val="18"/>
              <w:spacing w:before="139"/>
              <w:ind w:left="3501" w:right="3566"/>
              <w:jc w:val="center"/>
              <w:rPr>
                <w:b/>
                <w:sz w:val="21"/>
              </w:rPr>
            </w:pPr>
            <w:r>
              <w:rPr>
                <w:b/>
                <w:sz w:val="21"/>
              </w:rPr>
              <w:t>内容</w:t>
            </w:r>
          </w:p>
        </w:tc>
      </w:tr>
      <w:tr w14:paraId="67837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686" w:type="dxa"/>
          </w:tcPr>
          <w:p w14:paraId="680F8995">
            <w:pPr>
              <w:pStyle w:val="18"/>
              <w:spacing w:before="5"/>
              <w:rPr>
                <w:b/>
                <w:sz w:val="26"/>
              </w:rPr>
            </w:pPr>
          </w:p>
          <w:p w14:paraId="6D994F05">
            <w:pPr>
              <w:pStyle w:val="18"/>
              <w:spacing w:before="1"/>
              <w:ind w:right="64"/>
              <w:jc w:val="center"/>
              <w:rPr>
                <w:sz w:val="21"/>
              </w:rPr>
            </w:pPr>
            <w:r>
              <w:rPr>
                <w:w w:val="99"/>
                <w:sz w:val="21"/>
              </w:rPr>
              <w:t>1</w:t>
            </w:r>
          </w:p>
        </w:tc>
        <w:tc>
          <w:tcPr>
            <w:tcW w:w="1436" w:type="dxa"/>
          </w:tcPr>
          <w:p w14:paraId="7B91E157">
            <w:pPr>
              <w:pStyle w:val="18"/>
              <w:spacing w:before="5"/>
              <w:rPr>
                <w:b/>
                <w:sz w:val="26"/>
              </w:rPr>
            </w:pPr>
          </w:p>
          <w:p w14:paraId="0614D45B">
            <w:pPr>
              <w:pStyle w:val="18"/>
              <w:spacing w:before="1"/>
              <w:ind w:left="46" w:right="111"/>
              <w:jc w:val="center"/>
              <w:rPr>
                <w:sz w:val="21"/>
              </w:rPr>
            </w:pPr>
            <w:r>
              <w:rPr>
                <w:sz w:val="21"/>
              </w:rPr>
              <w:t>采 购 人</w:t>
            </w:r>
          </w:p>
        </w:tc>
        <w:tc>
          <w:tcPr>
            <w:tcW w:w="7544" w:type="dxa"/>
          </w:tcPr>
          <w:p w14:paraId="5FABFB08">
            <w:pPr>
              <w:pStyle w:val="18"/>
              <w:tabs>
                <w:tab w:val="left" w:pos="446"/>
              </w:tabs>
              <w:spacing w:before="137"/>
              <w:ind w:left="26"/>
              <w:rPr>
                <w:rFonts w:hint="eastAsia" w:eastAsia="宋体"/>
                <w:color w:val="auto"/>
                <w:sz w:val="21"/>
                <w:lang w:eastAsia="zh-CN"/>
              </w:rPr>
            </w:pPr>
            <w:r>
              <w:rPr>
                <w:sz w:val="21"/>
              </w:rPr>
              <w:t>名</w:t>
            </w:r>
            <w:r>
              <w:rPr>
                <w:sz w:val="21"/>
              </w:rPr>
              <w:tab/>
            </w:r>
            <w:r>
              <w:rPr>
                <w:sz w:val="21"/>
              </w:rPr>
              <w:t>称：</w:t>
            </w:r>
            <w:r>
              <w:rPr>
                <w:rFonts w:hint="default"/>
                <w:color w:val="auto"/>
                <w:sz w:val="21"/>
                <w:lang w:val="en-US"/>
              </w:rPr>
              <w:t>新疆维吾尔自治区阿克苏某单位</w:t>
            </w:r>
          </w:p>
          <w:p w14:paraId="31F54116">
            <w:pPr>
              <w:pStyle w:val="18"/>
              <w:tabs>
                <w:tab w:val="left" w:pos="2232"/>
                <w:tab w:val="left" w:pos="2652"/>
              </w:tabs>
              <w:spacing w:before="132"/>
              <w:ind w:left="26"/>
              <w:rPr>
                <w:sz w:val="21"/>
              </w:rPr>
            </w:pPr>
            <w:r>
              <w:rPr>
                <w:sz w:val="21"/>
              </w:rPr>
              <w:t>联系人：</w:t>
            </w:r>
            <w:r>
              <w:rPr>
                <w:rFonts w:hint="eastAsia"/>
                <w:sz w:val="21"/>
                <w:lang w:eastAsia="zh-CN"/>
              </w:rPr>
              <w:t>吴先生</w:t>
            </w:r>
            <w:r>
              <w:rPr>
                <w:sz w:val="21"/>
              </w:rPr>
              <w:tab/>
            </w:r>
            <w:r>
              <w:rPr>
                <w:sz w:val="21"/>
              </w:rPr>
              <w:t>电</w:t>
            </w:r>
            <w:r>
              <w:rPr>
                <w:sz w:val="21"/>
              </w:rPr>
              <w:tab/>
            </w:r>
            <w:r>
              <w:rPr>
                <w:sz w:val="21"/>
              </w:rPr>
              <w:t>话：</w:t>
            </w:r>
            <w:r>
              <w:rPr>
                <w:rFonts w:hint="eastAsia"/>
                <w:sz w:val="21"/>
                <w:lang w:val="en-US" w:eastAsia="zh-CN"/>
              </w:rPr>
              <w:t>19590127395</w:t>
            </w:r>
          </w:p>
        </w:tc>
      </w:tr>
      <w:tr w14:paraId="01C7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686" w:type="dxa"/>
          </w:tcPr>
          <w:p w14:paraId="044276AA">
            <w:pPr>
              <w:pStyle w:val="18"/>
              <w:spacing w:before="5"/>
              <w:rPr>
                <w:b/>
                <w:sz w:val="26"/>
              </w:rPr>
            </w:pPr>
          </w:p>
          <w:p w14:paraId="690C0005">
            <w:pPr>
              <w:pStyle w:val="18"/>
              <w:ind w:right="64"/>
              <w:jc w:val="center"/>
              <w:rPr>
                <w:sz w:val="21"/>
              </w:rPr>
            </w:pPr>
            <w:r>
              <w:rPr>
                <w:w w:val="99"/>
                <w:sz w:val="21"/>
              </w:rPr>
              <w:t>2</w:t>
            </w:r>
          </w:p>
        </w:tc>
        <w:tc>
          <w:tcPr>
            <w:tcW w:w="1436" w:type="dxa"/>
          </w:tcPr>
          <w:p w14:paraId="29D40848">
            <w:pPr>
              <w:pStyle w:val="18"/>
              <w:spacing w:before="5"/>
              <w:rPr>
                <w:b/>
                <w:sz w:val="26"/>
              </w:rPr>
            </w:pPr>
          </w:p>
          <w:p w14:paraId="4BF653AE">
            <w:pPr>
              <w:pStyle w:val="18"/>
              <w:ind w:left="46" w:right="111"/>
              <w:jc w:val="center"/>
              <w:rPr>
                <w:sz w:val="21"/>
              </w:rPr>
            </w:pPr>
            <w:r>
              <w:rPr>
                <w:sz w:val="21"/>
              </w:rPr>
              <w:t>代理机构</w:t>
            </w:r>
          </w:p>
        </w:tc>
        <w:tc>
          <w:tcPr>
            <w:tcW w:w="7544" w:type="dxa"/>
          </w:tcPr>
          <w:p w14:paraId="77CD05A2">
            <w:pPr>
              <w:pStyle w:val="18"/>
              <w:tabs>
                <w:tab w:val="left" w:pos="446"/>
              </w:tabs>
              <w:spacing w:before="139"/>
              <w:ind w:left="26"/>
              <w:rPr>
                <w:rFonts w:hint="eastAsia" w:eastAsia="宋体"/>
                <w:sz w:val="21"/>
                <w:lang w:eastAsia="zh-CN"/>
              </w:rPr>
            </w:pPr>
            <w:r>
              <w:rPr>
                <w:sz w:val="21"/>
              </w:rPr>
              <w:t>名</w:t>
            </w:r>
            <w:r>
              <w:rPr>
                <w:sz w:val="21"/>
              </w:rPr>
              <w:tab/>
            </w:r>
            <w:r>
              <w:rPr>
                <w:sz w:val="21"/>
              </w:rPr>
              <w:t>称：</w:t>
            </w:r>
            <w:r>
              <w:rPr>
                <w:rFonts w:hint="eastAsia"/>
                <w:sz w:val="21"/>
                <w:lang w:eastAsia="zh-CN"/>
              </w:rPr>
              <w:t>新疆疆裕百川工程项目管理有限公司</w:t>
            </w:r>
          </w:p>
          <w:p w14:paraId="7F7E894D">
            <w:pPr>
              <w:pStyle w:val="18"/>
              <w:tabs>
                <w:tab w:val="left" w:pos="2232"/>
                <w:tab w:val="left" w:pos="2652"/>
              </w:tabs>
              <w:spacing w:before="129"/>
              <w:ind w:left="26"/>
              <w:rPr>
                <w:rFonts w:hint="default" w:eastAsia="宋体"/>
                <w:sz w:val="21"/>
                <w:lang w:val="en-US" w:eastAsia="zh-CN"/>
              </w:rPr>
            </w:pPr>
            <w:r>
              <w:rPr>
                <w:sz w:val="21"/>
              </w:rPr>
              <w:t>联系人：</w:t>
            </w:r>
            <w:r>
              <w:rPr>
                <w:rFonts w:hint="eastAsia"/>
                <w:sz w:val="21"/>
                <w:lang w:eastAsia="zh-CN"/>
              </w:rPr>
              <w:t>杨志</w:t>
            </w:r>
            <w:r>
              <w:rPr>
                <w:sz w:val="21"/>
              </w:rPr>
              <w:tab/>
            </w:r>
            <w:r>
              <w:rPr>
                <w:sz w:val="21"/>
              </w:rPr>
              <w:t>电</w:t>
            </w:r>
            <w:r>
              <w:rPr>
                <w:sz w:val="21"/>
              </w:rPr>
              <w:tab/>
            </w:r>
            <w:r>
              <w:rPr>
                <w:sz w:val="21"/>
              </w:rPr>
              <w:t>话：</w:t>
            </w:r>
            <w:r>
              <w:rPr>
                <w:rFonts w:hint="eastAsia"/>
                <w:sz w:val="21"/>
                <w:lang w:val="en-US" w:eastAsia="zh-CN"/>
              </w:rPr>
              <w:t>15699079700</w:t>
            </w:r>
          </w:p>
        </w:tc>
      </w:tr>
      <w:tr w14:paraId="489C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686" w:type="dxa"/>
          </w:tcPr>
          <w:p w14:paraId="728F7A26">
            <w:pPr>
              <w:pStyle w:val="18"/>
              <w:spacing w:before="138"/>
              <w:ind w:right="64"/>
              <w:jc w:val="center"/>
              <w:rPr>
                <w:sz w:val="21"/>
              </w:rPr>
            </w:pPr>
            <w:r>
              <w:rPr>
                <w:w w:val="99"/>
                <w:sz w:val="21"/>
              </w:rPr>
              <w:t>3</w:t>
            </w:r>
          </w:p>
        </w:tc>
        <w:tc>
          <w:tcPr>
            <w:tcW w:w="1436" w:type="dxa"/>
          </w:tcPr>
          <w:p w14:paraId="4168E5E9">
            <w:pPr>
              <w:pStyle w:val="18"/>
              <w:spacing w:before="138"/>
              <w:ind w:left="46" w:right="111"/>
              <w:jc w:val="center"/>
              <w:rPr>
                <w:sz w:val="21"/>
              </w:rPr>
            </w:pPr>
            <w:r>
              <w:rPr>
                <w:sz w:val="21"/>
              </w:rPr>
              <w:t>项目名称</w:t>
            </w:r>
          </w:p>
        </w:tc>
        <w:tc>
          <w:tcPr>
            <w:tcW w:w="7544" w:type="dxa"/>
          </w:tcPr>
          <w:p w14:paraId="443E4167">
            <w:pPr>
              <w:pStyle w:val="18"/>
              <w:spacing w:before="138"/>
              <w:ind w:left="26"/>
              <w:rPr>
                <w:rFonts w:hint="eastAsia" w:eastAsia="宋体"/>
                <w:sz w:val="21"/>
                <w:lang w:eastAsia="zh-CN"/>
              </w:rPr>
            </w:pPr>
            <w:r>
              <w:rPr>
                <w:rFonts w:hint="eastAsia"/>
                <w:sz w:val="21"/>
                <w:lang w:eastAsia="zh-CN"/>
              </w:rPr>
              <w:t>阿克苏某单位隔离网及立柱维修</w:t>
            </w:r>
          </w:p>
        </w:tc>
      </w:tr>
      <w:tr w14:paraId="21E10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686" w:type="dxa"/>
            <w:vAlign w:val="center"/>
          </w:tcPr>
          <w:p w14:paraId="12F5589A">
            <w:pPr>
              <w:pStyle w:val="18"/>
              <w:spacing w:before="5"/>
              <w:jc w:val="center"/>
              <w:rPr>
                <w:b/>
                <w:sz w:val="26"/>
              </w:rPr>
            </w:pPr>
          </w:p>
          <w:p w14:paraId="5C0606CF">
            <w:pPr>
              <w:pStyle w:val="18"/>
              <w:ind w:right="64"/>
              <w:jc w:val="center"/>
              <w:rPr>
                <w:sz w:val="21"/>
              </w:rPr>
            </w:pPr>
            <w:r>
              <w:rPr>
                <w:w w:val="99"/>
                <w:sz w:val="21"/>
              </w:rPr>
              <w:t>4</w:t>
            </w:r>
          </w:p>
        </w:tc>
        <w:tc>
          <w:tcPr>
            <w:tcW w:w="1436" w:type="dxa"/>
            <w:vAlign w:val="center"/>
          </w:tcPr>
          <w:p w14:paraId="71131972">
            <w:pPr>
              <w:pStyle w:val="18"/>
              <w:ind w:right="111"/>
              <w:jc w:val="center"/>
              <w:rPr>
                <w:sz w:val="21"/>
              </w:rPr>
            </w:pPr>
            <w:r>
              <w:rPr>
                <w:rFonts w:hint="eastAsia"/>
                <w:sz w:val="21"/>
                <w:lang w:eastAsia="zh-CN"/>
              </w:rPr>
              <w:t>采购</w:t>
            </w:r>
            <w:r>
              <w:rPr>
                <w:sz w:val="21"/>
              </w:rPr>
              <w:t>内容</w:t>
            </w:r>
          </w:p>
        </w:tc>
        <w:tc>
          <w:tcPr>
            <w:tcW w:w="7544" w:type="dxa"/>
            <w:vAlign w:val="center"/>
          </w:tcPr>
          <w:p w14:paraId="1934C3F5">
            <w:pPr>
              <w:pStyle w:val="18"/>
              <w:spacing w:before="6" w:line="400" w:lineRule="atLeast"/>
              <w:ind w:left="26" w:right="94"/>
              <w:jc w:val="both"/>
              <w:rPr>
                <w:b/>
                <w:sz w:val="21"/>
              </w:rPr>
            </w:pPr>
            <w:r>
              <w:rPr>
                <w:rFonts w:hint="eastAsia" w:ascii="宋体" w:hAnsi="宋体" w:eastAsia="宋体" w:cs="宋体"/>
                <w:sz w:val="21"/>
                <w:lang w:val="en-US" w:eastAsia="zh-CN"/>
              </w:rPr>
              <w:t>阿克苏某单位隔离网及立柱维修、改造。（详见工程量清单）</w:t>
            </w:r>
          </w:p>
        </w:tc>
      </w:tr>
      <w:tr w14:paraId="3EBCF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686" w:type="dxa"/>
          </w:tcPr>
          <w:p w14:paraId="72157C3D">
            <w:pPr>
              <w:pStyle w:val="18"/>
              <w:spacing w:before="139"/>
              <w:ind w:right="64"/>
              <w:jc w:val="center"/>
              <w:rPr>
                <w:sz w:val="21"/>
              </w:rPr>
            </w:pPr>
            <w:r>
              <w:rPr>
                <w:w w:val="99"/>
                <w:sz w:val="21"/>
              </w:rPr>
              <w:t>5</w:t>
            </w:r>
          </w:p>
        </w:tc>
        <w:tc>
          <w:tcPr>
            <w:tcW w:w="1436" w:type="dxa"/>
          </w:tcPr>
          <w:p w14:paraId="1CBAB5B7">
            <w:pPr>
              <w:pStyle w:val="18"/>
              <w:spacing w:before="139"/>
              <w:ind w:left="46" w:right="111"/>
              <w:jc w:val="center"/>
              <w:rPr>
                <w:sz w:val="21"/>
              </w:rPr>
            </w:pPr>
            <w:r>
              <w:rPr>
                <w:sz w:val="21"/>
              </w:rPr>
              <w:t>地点</w:t>
            </w:r>
          </w:p>
        </w:tc>
        <w:tc>
          <w:tcPr>
            <w:tcW w:w="7544" w:type="dxa"/>
          </w:tcPr>
          <w:p w14:paraId="61F34AC1">
            <w:pPr>
              <w:pStyle w:val="18"/>
              <w:spacing w:before="139"/>
              <w:ind w:left="26"/>
              <w:rPr>
                <w:b w:val="0"/>
                <w:bCs/>
                <w:sz w:val="21"/>
              </w:rPr>
            </w:pPr>
            <w:r>
              <w:rPr>
                <w:rFonts w:hint="eastAsia"/>
                <w:b w:val="0"/>
                <w:bCs/>
                <w:sz w:val="21"/>
                <w:lang w:val="en-US" w:eastAsia="zh-CN"/>
              </w:rPr>
              <w:t>阿克苏某单位</w:t>
            </w:r>
          </w:p>
        </w:tc>
      </w:tr>
      <w:tr w14:paraId="380CD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686" w:type="dxa"/>
          </w:tcPr>
          <w:p w14:paraId="3FB7FC0A">
            <w:pPr>
              <w:pStyle w:val="18"/>
              <w:spacing w:before="137"/>
              <w:ind w:right="64"/>
              <w:jc w:val="center"/>
              <w:rPr>
                <w:color w:val="auto"/>
                <w:sz w:val="21"/>
              </w:rPr>
            </w:pPr>
            <w:r>
              <w:rPr>
                <w:color w:val="auto"/>
                <w:w w:val="99"/>
                <w:sz w:val="21"/>
              </w:rPr>
              <w:t>6</w:t>
            </w:r>
          </w:p>
        </w:tc>
        <w:tc>
          <w:tcPr>
            <w:tcW w:w="1436" w:type="dxa"/>
          </w:tcPr>
          <w:p w14:paraId="0F84DC6D">
            <w:pPr>
              <w:pStyle w:val="18"/>
              <w:spacing w:before="137"/>
              <w:ind w:left="46" w:right="111"/>
              <w:jc w:val="center"/>
              <w:rPr>
                <w:rFonts w:hint="eastAsia" w:eastAsia="宋体"/>
                <w:color w:val="auto"/>
                <w:sz w:val="21"/>
                <w:lang w:eastAsia="zh-CN"/>
              </w:rPr>
            </w:pPr>
            <w:r>
              <w:rPr>
                <w:rFonts w:hint="eastAsia" w:eastAsia="宋体"/>
                <w:color w:val="auto"/>
                <w:sz w:val="21"/>
                <w:lang w:eastAsia="zh-CN"/>
              </w:rPr>
              <w:t>合同履约期限</w:t>
            </w:r>
          </w:p>
        </w:tc>
        <w:tc>
          <w:tcPr>
            <w:tcW w:w="7544" w:type="dxa"/>
          </w:tcPr>
          <w:p w14:paraId="64AA99B7">
            <w:pPr>
              <w:pStyle w:val="18"/>
              <w:spacing w:before="137"/>
              <w:ind w:left="26"/>
              <w:rPr>
                <w:b w:val="0"/>
                <w:bCs/>
                <w:color w:val="auto"/>
                <w:sz w:val="21"/>
              </w:rPr>
            </w:pPr>
            <w:r>
              <w:rPr>
                <w:rFonts w:hint="eastAsia"/>
                <w:b w:val="0"/>
                <w:bCs/>
                <w:color w:val="auto"/>
                <w:sz w:val="21"/>
              </w:rPr>
              <w:t>自合同签订之日起</w:t>
            </w:r>
            <w:r>
              <w:rPr>
                <w:rFonts w:hint="eastAsia"/>
                <w:b w:val="0"/>
                <w:bCs/>
                <w:color w:val="auto"/>
                <w:sz w:val="21"/>
                <w:lang w:val="en-US" w:eastAsia="zh-CN"/>
              </w:rPr>
              <w:t>90天</w:t>
            </w:r>
            <w:r>
              <w:rPr>
                <w:rFonts w:hint="eastAsia"/>
                <w:b w:val="0"/>
                <w:bCs/>
                <w:color w:val="auto"/>
                <w:sz w:val="21"/>
                <w:lang w:eastAsia="zh-CN"/>
              </w:rPr>
              <w:t>。</w:t>
            </w:r>
          </w:p>
        </w:tc>
      </w:tr>
      <w:tr w14:paraId="3467E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686" w:type="dxa"/>
          </w:tcPr>
          <w:p w14:paraId="3B8B8191">
            <w:pPr>
              <w:pStyle w:val="18"/>
              <w:spacing w:before="138"/>
              <w:ind w:right="64"/>
              <w:jc w:val="center"/>
              <w:rPr>
                <w:color w:val="auto"/>
                <w:sz w:val="21"/>
              </w:rPr>
            </w:pPr>
            <w:r>
              <w:rPr>
                <w:color w:val="auto"/>
                <w:w w:val="99"/>
                <w:sz w:val="21"/>
              </w:rPr>
              <w:t>7</w:t>
            </w:r>
          </w:p>
        </w:tc>
        <w:tc>
          <w:tcPr>
            <w:tcW w:w="1436" w:type="dxa"/>
          </w:tcPr>
          <w:p w14:paraId="117B6263">
            <w:pPr>
              <w:pStyle w:val="18"/>
              <w:spacing w:before="138"/>
              <w:ind w:left="46" w:right="111"/>
              <w:jc w:val="center"/>
              <w:rPr>
                <w:rFonts w:hint="eastAsia" w:eastAsia="宋体"/>
                <w:color w:val="auto"/>
                <w:sz w:val="21"/>
                <w:lang w:eastAsia="zh-CN"/>
              </w:rPr>
            </w:pPr>
            <w:r>
              <w:rPr>
                <w:color w:val="auto"/>
                <w:sz w:val="21"/>
              </w:rPr>
              <w:t>质量</w:t>
            </w:r>
            <w:r>
              <w:rPr>
                <w:rFonts w:hint="eastAsia"/>
                <w:color w:val="auto"/>
                <w:sz w:val="21"/>
                <w:lang w:eastAsia="zh-CN"/>
              </w:rPr>
              <w:t>目标</w:t>
            </w:r>
          </w:p>
        </w:tc>
        <w:tc>
          <w:tcPr>
            <w:tcW w:w="7544" w:type="dxa"/>
          </w:tcPr>
          <w:p w14:paraId="250C878B">
            <w:pPr>
              <w:pStyle w:val="18"/>
              <w:tabs>
                <w:tab w:val="center" w:pos="3765"/>
              </w:tabs>
              <w:spacing w:before="138"/>
              <w:ind w:left="26"/>
              <w:rPr>
                <w:rFonts w:hint="eastAsia" w:eastAsia="宋体"/>
                <w:b w:val="0"/>
                <w:bCs/>
                <w:color w:val="auto"/>
                <w:sz w:val="21"/>
                <w:lang w:eastAsia="zh-CN"/>
              </w:rPr>
            </w:pPr>
            <w:r>
              <w:rPr>
                <w:b w:val="0"/>
                <w:bCs/>
                <w:color w:val="auto"/>
                <w:sz w:val="21"/>
              </w:rPr>
              <w:t>符合质量验收合格标准。</w:t>
            </w:r>
            <w:r>
              <w:rPr>
                <w:rFonts w:hint="eastAsia"/>
                <w:b w:val="0"/>
                <w:bCs/>
                <w:color w:val="auto"/>
                <w:sz w:val="21"/>
                <w:lang w:eastAsia="zh-CN"/>
              </w:rPr>
              <w:tab/>
            </w:r>
          </w:p>
        </w:tc>
      </w:tr>
      <w:tr w14:paraId="5DFC2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9" w:hRule="atLeast"/>
        </w:trPr>
        <w:tc>
          <w:tcPr>
            <w:tcW w:w="686" w:type="dxa"/>
          </w:tcPr>
          <w:p w14:paraId="48AB71C0">
            <w:pPr>
              <w:pStyle w:val="18"/>
              <w:rPr>
                <w:b/>
                <w:color w:val="auto"/>
                <w:sz w:val="20"/>
              </w:rPr>
            </w:pPr>
          </w:p>
          <w:p w14:paraId="6BD91D7B">
            <w:pPr>
              <w:pStyle w:val="18"/>
              <w:rPr>
                <w:b/>
                <w:color w:val="auto"/>
                <w:sz w:val="22"/>
              </w:rPr>
            </w:pPr>
          </w:p>
          <w:p w14:paraId="225D4066">
            <w:pPr>
              <w:pStyle w:val="18"/>
              <w:spacing w:before="1"/>
              <w:ind w:right="64"/>
              <w:jc w:val="center"/>
              <w:rPr>
                <w:rFonts w:hint="eastAsia" w:eastAsia="宋体"/>
                <w:color w:val="auto"/>
                <w:sz w:val="21"/>
                <w:lang w:eastAsia="zh-CN"/>
              </w:rPr>
            </w:pPr>
            <w:r>
              <w:rPr>
                <w:rFonts w:hint="eastAsia"/>
                <w:color w:val="auto"/>
                <w:w w:val="99"/>
                <w:sz w:val="21"/>
                <w:lang w:val="en-US" w:eastAsia="zh-CN"/>
              </w:rPr>
              <w:t>8</w:t>
            </w:r>
          </w:p>
        </w:tc>
        <w:tc>
          <w:tcPr>
            <w:tcW w:w="1436" w:type="dxa"/>
          </w:tcPr>
          <w:p w14:paraId="397DF980">
            <w:pPr>
              <w:pStyle w:val="18"/>
              <w:rPr>
                <w:b/>
                <w:color w:val="auto"/>
                <w:sz w:val="20"/>
              </w:rPr>
            </w:pPr>
          </w:p>
          <w:p w14:paraId="4F159E1B">
            <w:pPr>
              <w:pStyle w:val="18"/>
              <w:rPr>
                <w:b/>
                <w:color w:val="auto"/>
                <w:sz w:val="22"/>
              </w:rPr>
            </w:pPr>
          </w:p>
          <w:p w14:paraId="203E8DFE">
            <w:pPr>
              <w:pStyle w:val="18"/>
              <w:spacing w:before="1"/>
              <w:ind w:left="46" w:right="111"/>
              <w:jc w:val="center"/>
              <w:rPr>
                <w:color w:val="auto"/>
                <w:sz w:val="21"/>
              </w:rPr>
            </w:pPr>
            <w:r>
              <w:rPr>
                <w:color w:val="auto"/>
                <w:sz w:val="21"/>
              </w:rPr>
              <w:t>付款方式</w:t>
            </w:r>
          </w:p>
        </w:tc>
        <w:tc>
          <w:tcPr>
            <w:tcW w:w="7544" w:type="dxa"/>
          </w:tcPr>
          <w:p w14:paraId="06907F03">
            <w:pPr>
              <w:pStyle w:val="18"/>
              <w:spacing w:before="1" w:line="400" w:lineRule="atLeast"/>
              <w:ind w:right="94"/>
              <w:rPr>
                <w:b/>
                <w:color w:val="auto"/>
                <w:sz w:val="21"/>
              </w:rPr>
            </w:pPr>
            <w:r>
              <w:rPr>
                <w:rFonts w:hint="eastAsia"/>
                <w:b w:val="0"/>
                <w:bCs/>
                <w:color w:val="auto"/>
                <w:sz w:val="21"/>
              </w:rPr>
              <w:t>合同签订后按照工程进度支付相应进度款，具体以甲方资金拨付为准，工程竣工验收合格并结算后，工程款支付至结算价款（无结算时参照合同价）的97%；剩余3%作为质量保修金，保修期满后无质量问题一次无息付清。</w:t>
            </w:r>
          </w:p>
        </w:tc>
      </w:tr>
      <w:tr w14:paraId="43C0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686" w:type="dxa"/>
          </w:tcPr>
          <w:p w14:paraId="51EF1457">
            <w:pPr>
              <w:pStyle w:val="18"/>
              <w:spacing w:before="4"/>
              <w:rPr>
                <w:b/>
                <w:color w:val="auto"/>
                <w:sz w:val="26"/>
              </w:rPr>
            </w:pPr>
          </w:p>
          <w:p w14:paraId="5E05736C">
            <w:pPr>
              <w:pStyle w:val="18"/>
              <w:ind w:left="72" w:right="136"/>
              <w:jc w:val="center"/>
              <w:rPr>
                <w:rFonts w:hint="eastAsia" w:eastAsia="宋体"/>
                <w:color w:val="auto"/>
                <w:sz w:val="21"/>
                <w:lang w:eastAsia="zh-CN"/>
              </w:rPr>
            </w:pPr>
            <w:r>
              <w:rPr>
                <w:rFonts w:hint="eastAsia"/>
                <w:color w:val="auto"/>
                <w:sz w:val="21"/>
                <w:lang w:val="en-US" w:eastAsia="zh-CN"/>
              </w:rPr>
              <w:t>9</w:t>
            </w:r>
          </w:p>
        </w:tc>
        <w:tc>
          <w:tcPr>
            <w:tcW w:w="1436" w:type="dxa"/>
          </w:tcPr>
          <w:p w14:paraId="0D782DAB">
            <w:pPr>
              <w:pStyle w:val="18"/>
              <w:spacing w:before="4"/>
              <w:rPr>
                <w:b/>
                <w:color w:val="auto"/>
                <w:sz w:val="26"/>
              </w:rPr>
            </w:pPr>
          </w:p>
          <w:p w14:paraId="6E7B5C20">
            <w:pPr>
              <w:pStyle w:val="18"/>
              <w:ind w:left="46" w:right="111"/>
              <w:jc w:val="center"/>
              <w:rPr>
                <w:rFonts w:hint="eastAsia" w:eastAsia="宋体"/>
                <w:color w:val="auto"/>
                <w:sz w:val="21"/>
                <w:lang w:eastAsia="zh-CN"/>
              </w:rPr>
            </w:pPr>
            <w:r>
              <w:rPr>
                <w:rFonts w:hint="eastAsia"/>
                <w:color w:val="auto"/>
                <w:sz w:val="21"/>
                <w:lang w:eastAsia="zh-CN"/>
              </w:rPr>
              <w:t>最高限价</w:t>
            </w:r>
          </w:p>
        </w:tc>
        <w:tc>
          <w:tcPr>
            <w:tcW w:w="7544" w:type="dxa"/>
          </w:tcPr>
          <w:p w14:paraId="543F7FF0">
            <w:pPr>
              <w:pStyle w:val="18"/>
              <w:spacing w:before="7" w:line="400" w:lineRule="atLeast"/>
              <w:ind w:left="26" w:right="15"/>
              <w:rPr>
                <w:b/>
                <w:color w:val="auto"/>
                <w:sz w:val="21"/>
              </w:rPr>
            </w:pPr>
            <w:r>
              <w:rPr>
                <w:b/>
                <w:bCs/>
                <w:color w:val="auto"/>
                <w:sz w:val="21"/>
              </w:rPr>
              <w:t>本次项目</w:t>
            </w:r>
            <w:r>
              <w:rPr>
                <w:rFonts w:hint="eastAsia"/>
                <w:b/>
                <w:color w:val="auto"/>
                <w:sz w:val="21"/>
                <w:lang w:eastAsia="zh-CN"/>
              </w:rPr>
              <w:t>最高限价</w:t>
            </w:r>
            <w:r>
              <w:rPr>
                <w:b/>
                <w:color w:val="auto"/>
                <w:sz w:val="21"/>
              </w:rPr>
              <w:t>：</w:t>
            </w:r>
            <w:r>
              <w:rPr>
                <w:b/>
                <w:color w:val="auto"/>
                <w:sz w:val="21"/>
                <w:u w:val="single"/>
              </w:rPr>
              <w:t xml:space="preserve"> </w:t>
            </w:r>
            <w:r>
              <w:rPr>
                <w:rFonts w:hint="eastAsia"/>
                <w:b/>
                <w:color w:val="auto"/>
                <w:sz w:val="21"/>
                <w:u w:val="single"/>
              </w:rPr>
              <w:t>580117.49</w:t>
            </w:r>
            <w:r>
              <w:rPr>
                <w:b/>
                <w:color w:val="auto"/>
                <w:sz w:val="21"/>
                <w:u w:val="single"/>
              </w:rPr>
              <w:t>元（大写：</w:t>
            </w:r>
            <w:r>
              <w:rPr>
                <w:rFonts w:hint="eastAsia"/>
                <w:b/>
                <w:color w:val="auto"/>
                <w:sz w:val="21"/>
                <w:u w:val="single"/>
                <w:lang w:eastAsia="zh-CN"/>
              </w:rPr>
              <w:t>伍拾捌万零壹佰壹拾柒元肆角玖分</w:t>
            </w:r>
            <w:r>
              <w:rPr>
                <w:b/>
                <w:color w:val="auto"/>
                <w:sz w:val="21"/>
                <w:u w:val="single"/>
              </w:rPr>
              <w:t>）</w:t>
            </w:r>
            <w:r>
              <w:rPr>
                <w:b/>
                <w:color w:val="auto"/>
                <w:sz w:val="21"/>
              </w:rPr>
              <w:t>，</w:t>
            </w:r>
          </w:p>
          <w:p w14:paraId="35B3649D">
            <w:pPr>
              <w:pStyle w:val="18"/>
              <w:spacing w:before="7" w:line="400" w:lineRule="atLeast"/>
              <w:ind w:left="26" w:right="15"/>
              <w:rPr>
                <w:b/>
                <w:color w:val="auto"/>
                <w:sz w:val="21"/>
              </w:rPr>
            </w:pPr>
            <w:r>
              <w:rPr>
                <w:b/>
                <w:color w:val="auto"/>
                <w:sz w:val="21"/>
              </w:rPr>
              <w:t>本项目资金来源为</w:t>
            </w:r>
            <w:r>
              <w:rPr>
                <w:rFonts w:hint="eastAsia"/>
                <w:b/>
                <w:color w:val="auto"/>
                <w:sz w:val="21"/>
                <w:lang w:val="en-US" w:eastAsia="zh-CN"/>
              </w:rPr>
              <w:t>财政</w:t>
            </w:r>
            <w:r>
              <w:rPr>
                <w:b/>
                <w:color w:val="auto"/>
                <w:sz w:val="21"/>
              </w:rPr>
              <w:t>资金。</w:t>
            </w:r>
          </w:p>
        </w:tc>
      </w:tr>
      <w:tr w14:paraId="1AD0D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8" w:hRule="atLeast"/>
        </w:trPr>
        <w:tc>
          <w:tcPr>
            <w:tcW w:w="686" w:type="dxa"/>
          </w:tcPr>
          <w:p w14:paraId="665FAE8C">
            <w:pPr>
              <w:pStyle w:val="18"/>
              <w:rPr>
                <w:b/>
                <w:color w:val="auto"/>
                <w:sz w:val="20"/>
              </w:rPr>
            </w:pPr>
          </w:p>
          <w:p w14:paraId="49C99712">
            <w:pPr>
              <w:pStyle w:val="18"/>
              <w:rPr>
                <w:b/>
                <w:color w:val="auto"/>
                <w:sz w:val="20"/>
              </w:rPr>
            </w:pPr>
          </w:p>
          <w:p w14:paraId="648DA435">
            <w:pPr>
              <w:pStyle w:val="18"/>
              <w:rPr>
                <w:b/>
                <w:color w:val="auto"/>
                <w:sz w:val="20"/>
              </w:rPr>
            </w:pPr>
          </w:p>
          <w:p w14:paraId="01CFBA10">
            <w:pPr>
              <w:pStyle w:val="18"/>
              <w:spacing w:before="11"/>
              <w:rPr>
                <w:b/>
                <w:color w:val="auto"/>
                <w:sz w:val="28"/>
              </w:rPr>
            </w:pPr>
          </w:p>
          <w:p w14:paraId="4DCA0F1F">
            <w:pPr>
              <w:pStyle w:val="18"/>
              <w:ind w:left="72" w:right="136"/>
              <w:jc w:val="center"/>
              <w:rPr>
                <w:rFonts w:hint="eastAsia" w:eastAsia="宋体"/>
                <w:color w:val="auto"/>
                <w:sz w:val="21"/>
                <w:lang w:eastAsia="zh-CN"/>
              </w:rPr>
            </w:pPr>
            <w:r>
              <w:rPr>
                <w:color w:val="auto"/>
                <w:sz w:val="21"/>
              </w:rPr>
              <w:t>1</w:t>
            </w:r>
            <w:r>
              <w:rPr>
                <w:rFonts w:hint="eastAsia"/>
                <w:color w:val="auto"/>
                <w:sz w:val="21"/>
                <w:lang w:val="en-US" w:eastAsia="zh-CN"/>
              </w:rPr>
              <w:t>0</w:t>
            </w:r>
          </w:p>
        </w:tc>
        <w:tc>
          <w:tcPr>
            <w:tcW w:w="1436" w:type="dxa"/>
          </w:tcPr>
          <w:p w14:paraId="627079A1">
            <w:pPr>
              <w:pStyle w:val="18"/>
              <w:rPr>
                <w:b/>
                <w:color w:val="auto"/>
                <w:sz w:val="20"/>
              </w:rPr>
            </w:pPr>
          </w:p>
          <w:p w14:paraId="48418CE9">
            <w:pPr>
              <w:pStyle w:val="18"/>
              <w:rPr>
                <w:b/>
                <w:color w:val="auto"/>
                <w:sz w:val="20"/>
              </w:rPr>
            </w:pPr>
          </w:p>
          <w:p w14:paraId="05F86A91">
            <w:pPr>
              <w:pStyle w:val="18"/>
              <w:rPr>
                <w:b/>
                <w:color w:val="auto"/>
                <w:sz w:val="20"/>
              </w:rPr>
            </w:pPr>
          </w:p>
          <w:p w14:paraId="5D1111DB">
            <w:pPr>
              <w:pStyle w:val="18"/>
              <w:spacing w:before="168" w:line="357" w:lineRule="auto"/>
              <w:ind w:left="466" w:right="217" w:hanging="315"/>
              <w:rPr>
                <w:color w:val="auto"/>
                <w:sz w:val="21"/>
              </w:rPr>
            </w:pPr>
            <w:r>
              <w:rPr>
                <w:color w:val="auto"/>
                <w:sz w:val="21"/>
              </w:rPr>
              <w:t>报价及结算方式</w:t>
            </w:r>
          </w:p>
        </w:tc>
        <w:tc>
          <w:tcPr>
            <w:tcW w:w="7544" w:type="dxa"/>
            <w:vAlign w:val="center"/>
          </w:tcPr>
          <w:p w14:paraId="6AE2D6B3">
            <w:pPr>
              <w:pStyle w:val="18"/>
              <w:spacing w:before="138"/>
              <w:ind w:left="26"/>
              <w:jc w:val="both"/>
              <w:rPr>
                <w:b w:val="0"/>
                <w:bCs/>
                <w:color w:val="auto"/>
                <w:sz w:val="21"/>
              </w:rPr>
            </w:pPr>
            <w:r>
              <w:rPr>
                <w:b w:val="0"/>
                <w:bCs/>
                <w:color w:val="auto"/>
                <w:sz w:val="21"/>
              </w:rPr>
              <w:t>1、报价方式：</w:t>
            </w:r>
            <w:r>
              <w:rPr>
                <w:rFonts w:hint="eastAsia"/>
                <w:b w:val="0"/>
                <w:bCs/>
                <w:color w:val="auto"/>
                <w:sz w:val="21"/>
                <w:lang w:val="zh-CN"/>
              </w:rPr>
              <w:t>含税全包价。（本次投标报价为一次不得更改报价，投标人只有一次报价的机会。投标报价（即开标报价）不得有选择性报价和附有条件的报价，且不得高于最高限价。</w:t>
            </w:r>
          </w:p>
          <w:p w14:paraId="377A05C0">
            <w:pPr>
              <w:pStyle w:val="18"/>
              <w:spacing w:before="131"/>
              <w:ind w:left="26"/>
              <w:jc w:val="both"/>
              <w:rPr>
                <w:color w:val="auto"/>
                <w:sz w:val="21"/>
              </w:rPr>
            </w:pPr>
            <w:r>
              <w:rPr>
                <w:color w:val="auto"/>
                <w:sz w:val="21"/>
              </w:rPr>
              <w:t>2、结算方式：</w:t>
            </w:r>
          </w:p>
          <w:p w14:paraId="296AFE88">
            <w:pPr>
              <w:pStyle w:val="18"/>
              <w:numPr>
                <w:ilvl w:val="0"/>
                <w:numId w:val="0"/>
              </w:numPr>
              <w:tabs>
                <w:tab w:val="left" w:pos="554"/>
              </w:tabs>
              <w:spacing w:before="130" w:after="0" w:line="357" w:lineRule="auto"/>
              <w:ind w:left="26" w:leftChars="0" w:right="91" w:rightChars="0"/>
              <w:jc w:val="both"/>
              <w:rPr>
                <w:color w:val="auto"/>
                <w:sz w:val="21"/>
              </w:rPr>
            </w:pPr>
            <w:r>
              <w:rPr>
                <w:rFonts w:hint="eastAsia"/>
                <w:b w:val="0"/>
                <w:bCs/>
                <w:color w:val="auto"/>
                <w:sz w:val="21"/>
              </w:rPr>
              <w:t>工程最终结算价款以施工现场实际工程量收方为准。</w:t>
            </w:r>
          </w:p>
        </w:tc>
      </w:tr>
      <w:tr w14:paraId="7EC18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4" w:hRule="atLeast"/>
        </w:trPr>
        <w:tc>
          <w:tcPr>
            <w:tcW w:w="686" w:type="dxa"/>
            <w:tcBorders>
              <w:bottom w:val="single" w:color="000000" w:sz="4" w:space="0"/>
            </w:tcBorders>
          </w:tcPr>
          <w:p w14:paraId="068515AA">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54A1FAD4">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3AB1BF29">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35DBA3C4">
            <w:pPr>
              <w:pStyle w:val="18"/>
              <w:keepNext w:val="0"/>
              <w:keepLines w:val="0"/>
              <w:pageBreakBefore w:val="0"/>
              <w:widowControl w:val="0"/>
              <w:kinsoku/>
              <w:wordWrap/>
              <w:overflowPunct/>
              <w:topLinePunct w:val="0"/>
              <w:autoSpaceDE w:val="0"/>
              <w:autoSpaceDN w:val="0"/>
              <w:bidi w:val="0"/>
              <w:adjustRightInd/>
              <w:snapToGrid/>
              <w:spacing w:before="11" w:line="400" w:lineRule="exact"/>
              <w:textAlignment w:val="auto"/>
              <w:rPr>
                <w:b/>
                <w:sz w:val="28"/>
              </w:rPr>
            </w:pPr>
          </w:p>
          <w:p w14:paraId="41057602">
            <w:pPr>
              <w:pStyle w:val="18"/>
              <w:keepNext w:val="0"/>
              <w:keepLines w:val="0"/>
              <w:pageBreakBefore w:val="0"/>
              <w:widowControl w:val="0"/>
              <w:kinsoku/>
              <w:wordWrap/>
              <w:overflowPunct/>
              <w:topLinePunct w:val="0"/>
              <w:autoSpaceDE w:val="0"/>
              <w:autoSpaceDN w:val="0"/>
              <w:bidi w:val="0"/>
              <w:adjustRightInd/>
              <w:snapToGrid/>
              <w:spacing w:line="400" w:lineRule="exact"/>
              <w:ind w:left="72" w:right="136"/>
              <w:jc w:val="center"/>
              <w:textAlignment w:val="auto"/>
              <w:rPr>
                <w:rFonts w:hint="eastAsia" w:eastAsia="宋体"/>
                <w:sz w:val="21"/>
                <w:lang w:eastAsia="zh-CN"/>
              </w:rPr>
            </w:pPr>
            <w:r>
              <w:rPr>
                <w:sz w:val="21"/>
              </w:rPr>
              <w:t>1</w:t>
            </w:r>
            <w:r>
              <w:rPr>
                <w:rFonts w:hint="eastAsia"/>
                <w:sz w:val="21"/>
                <w:lang w:val="en-US" w:eastAsia="zh-CN"/>
              </w:rPr>
              <w:t>1</w:t>
            </w:r>
          </w:p>
        </w:tc>
        <w:tc>
          <w:tcPr>
            <w:tcW w:w="1436" w:type="dxa"/>
            <w:tcBorders>
              <w:bottom w:val="single" w:color="000000" w:sz="4" w:space="0"/>
              <w:right w:val="single" w:color="000000" w:sz="4" w:space="0"/>
            </w:tcBorders>
          </w:tcPr>
          <w:p w14:paraId="37CAD8ED">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68354BD2">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335D1D20">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7E069AD9">
            <w:pPr>
              <w:pStyle w:val="18"/>
              <w:keepNext w:val="0"/>
              <w:keepLines w:val="0"/>
              <w:pageBreakBefore w:val="0"/>
              <w:widowControl w:val="0"/>
              <w:kinsoku/>
              <w:wordWrap/>
              <w:overflowPunct/>
              <w:topLinePunct w:val="0"/>
              <w:autoSpaceDE w:val="0"/>
              <w:autoSpaceDN w:val="0"/>
              <w:bidi w:val="0"/>
              <w:adjustRightInd/>
              <w:snapToGrid/>
              <w:spacing w:before="168" w:line="400" w:lineRule="exact"/>
              <w:ind w:left="572" w:right="117" w:hanging="526"/>
              <w:textAlignment w:val="auto"/>
              <w:rPr>
                <w:sz w:val="21"/>
              </w:rPr>
            </w:pPr>
            <w:r>
              <w:rPr>
                <w:sz w:val="21"/>
              </w:rPr>
              <w:t>投标人资格要求</w:t>
            </w:r>
          </w:p>
        </w:tc>
        <w:tc>
          <w:tcPr>
            <w:tcW w:w="7544" w:type="dxa"/>
            <w:tcBorders>
              <w:left w:val="single" w:color="000000" w:sz="4" w:space="0"/>
              <w:bottom w:val="single" w:color="000000" w:sz="4" w:space="0"/>
            </w:tcBorders>
          </w:tcPr>
          <w:p w14:paraId="027016D6">
            <w:pPr>
              <w:pStyle w:val="18"/>
              <w:keepNext w:val="0"/>
              <w:keepLines w:val="0"/>
              <w:pageBreakBefore w:val="0"/>
              <w:widowControl w:val="0"/>
              <w:kinsoku/>
              <w:wordWrap/>
              <w:overflowPunct/>
              <w:topLinePunct w:val="0"/>
              <w:autoSpaceDE w:val="0"/>
              <w:autoSpaceDN w:val="0"/>
              <w:bidi w:val="0"/>
              <w:adjustRightInd/>
              <w:snapToGrid/>
              <w:spacing w:before="138" w:line="400" w:lineRule="exact"/>
              <w:ind w:left="28"/>
              <w:textAlignment w:val="auto"/>
              <w:rPr>
                <w:b/>
                <w:sz w:val="21"/>
              </w:rPr>
            </w:pPr>
            <w:r>
              <w:rPr>
                <w:b/>
                <w:sz w:val="21"/>
              </w:rPr>
              <w:t>1、满足《中华人民共和国政府采购法》第二十二条规定：</w:t>
            </w:r>
          </w:p>
          <w:p w14:paraId="2788EDBC">
            <w:pPr>
              <w:pStyle w:val="18"/>
              <w:keepNext w:val="0"/>
              <w:keepLines w:val="0"/>
              <w:pageBreakBefore w:val="0"/>
              <w:widowControl w:val="0"/>
              <w:kinsoku/>
              <w:wordWrap/>
              <w:overflowPunct/>
              <w:topLinePunct w:val="0"/>
              <w:autoSpaceDE w:val="0"/>
              <w:autoSpaceDN w:val="0"/>
              <w:bidi w:val="0"/>
              <w:adjustRightInd/>
              <w:snapToGrid/>
              <w:spacing w:before="1" w:line="400" w:lineRule="exact"/>
              <w:ind w:left="28" w:right="91"/>
              <w:textAlignment w:val="auto"/>
              <w:rPr>
                <w:sz w:val="21"/>
              </w:rPr>
            </w:pPr>
            <w:r>
              <w:rPr>
                <w:rFonts w:hint="eastAsia"/>
                <w:sz w:val="21"/>
                <w:lang w:eastAsia="zh-CN"/>
              </w:rPr>
              <w:t>（</w:t>
            </w:r>
            <w:r>
              <w:rPr>
                <w:rFonts w:hint="eastAsia"/>
                <w:sz w:val="21"/>
                <w:lang w:val="en-US" w:eastAsia="zh-CN"/>
              </w:rPr>
              <w:t>1</w:t>
            </w:r>
            <w:r>
              <w:rPr>
                <w:rFonts w:hint="eastAsia"/>
                <w:sz w:val="21"/>
                <w:lang w:eastAsia="zh-CN"/>
              </w:rPr>
              <w:t>）</w:t>
            </w:r>
            <w:r>
              <w:rPr>
                <w:sz w:val="21"/>
              </w:rPr>
              <w:t>具有独立承担民事责任的能力：在中华人民共和国境内注册或登记，提供有效的营业执照；</w:t>
            </w:r>
          </w:p>
          <w:p w14:paraId="33D47FEF">
            <w:pPr>
              <w:pStyle w:val="18"/>
              <w:keepNext w:val="0"/>
              <w:keepLines w:val="0"/>
              <w:pageBreakBefore w:val="0"/>
              <w:widowControl w:val="0"/>
              <w:numPr>
                <w:ilvl w:val="0"/>
                <w:numId w:val="0"/>
              </w:numPr>
              <w:tabs>
                <w:tab w:val="left" w:pos="556"/>
              </w:tabs>
              <w:kinsoku/>
              <w:wordWrap/>
              <w:overflowPunct/>
              <w:topLinePunct w:val="0"/>
              <w:autoSpaceDE w:val="0"/>
              <w:autoSpaceDN w:val="0"/>
              <w:bidi w:val="0"/>
              <w:adjustRightInd/>
              <w:snapToGrid/>
              <w:spacing w:before="2" w:after="0" w:line="400" w:lineRule="exact"/>
              <w:ind w:left="27" w:leftChars="0" w:right="0" w:rightChars="0"/>
              <w:jc w:val="left"/>
              <w:textAlignment w:val="auto"/>
              <w:rPr>
                <w:sz w:val="21"/>
              </w:rPr>
            </w:pPr>
            <w:r>
              <w:rPr>
                <w:rFonts w:hint="eastAsia"/>
                <w:sz w:val="21"/>
                <w:lang w:eastAsia="zh-CN"/>
              </w:rPr>
              <w:t>（</w:t>
            </w:r>
            <w:r>
              <w:rPr>
                <w:rFonts w:hint="eastAsia"/>
                <w:sz w:val="21"/>
                <w:lang w:val="en-US" w:eastAsia="zh-CN"/>
              </w:rPr>
              <w:t>2</w:t>
            </w:r>
            <w:r>
              <w:rPr>
                <w:rFonts w:hint="eastAsia"/>
                <w:sz w:val="21"/>
                <w:lang w:eastAsia="zh-CN"/>
              </w:rPr>
              <w:t>）</w:t>
            </w:r>
            <w:r>
              <w:rPr>
                <w:sz w:val="21"/>
              </w:rPr>
              <w:t>具有良好的商业信誉和健全的财务会计制度：投标人没有处于被责令停业、</w:t>
            </w:r>
          </w:p>
          <w:p w14:paraId="73331D46">
            <w:pPr>
              <w:pStyle w:val="18"/>
              <w:keepNext w:val="0"/>
              <w:keepLines w:val="0"/>
              <w:pageBreakBefore w:val="0"/>
              <w:widowControl w:val="0"/>
              <w:kinsoku/>
              <w:wordWrap/>
              <w:overflowPunct/>
              <w:topLinePunct w:val="0"/>
              <w:autoSpaceDE w:val="0"/>
              <w:autoSpaceDN w:val="0"/>
              <w:bidi w:val="0"/>
              <w:adjustRightInd/>
              <w:snapToGrid/>
              <w:spacing w:before="1" w:line="400" w:lineRule="exact"/>
              <w:ind w:left="28" w:right="91"/>
              <w:textAlignment w:val="auto"/>
              <w:rPr>
                <w:sz w:val="21"/>
              </w:rPr>
            </w:pPr>
            <w:r>
              <w:rPr>
                <w:sz w:val="21"/>
              </w:rPr>
              <w:t>财产被接管、冻结、破产状态，提供下述任意一种形式的证明材料：①2024</w:t>
            </w:r>
            <w:r>
              <w:rPr>
                <w:spacing w:val="-20"/>
                <w:sz w:val="21"/>
              </w:rPr>
              <w:t>年度</w:t>
            </w:r>
            <w:r>
              <w:rPr>
                <w:spacing w:val="-40"/>
                <w:sz w:val="21"/>
              </w:rPr>
              <w:t xml:space="preserve">或 </w:t>
            </w:r>
            <w:r>
              <w:rPr>
                <w:sz w:val="21"/>
              </w:rPr>
              <w:t>2025</w:t>
            </w:r>
            <w:r>
              <w:rPr>
                <w:spacing w:val="-11"/>
                <w:sz w:val="21"/>
              </w:rPr>
              <w:t>年度经审计完整有效的财务报告；②银行出具的资信证明</w:t>
            </w:r>
            <w:r>
              <w:rPr>
                <w:sz w:val="21"/>
              </w:rPr>
              <w:t>（须提供采购公</w:t>
            </w:r>
          </w:p>
        </w:tc>
      </w:tr>
    </w:tbl>
    <w:p w14:paraId="3C2264BA">
      <w:pPr>
        <w:keepNext w:val="0"/>
        <w:keepLines w:val="0"/>
        <w:pageBreakBefore w:val="0"/>
        <w:widowControl w:val="0"/>
        <w:kinsoku/>
        <w:wordWrap/>
        <w:overflowPunct/>
        <w:topLinePunct w:val="0"/>
        <w:autoSpaceDE w:val="0"/>
        <w:autoSpaceDN w:val="0"/>
        <w:bidi w:val="0"/>
        <w:adjustRightInd/>
        <w:snapToGrid/>
        <w:spacing w:after="0" w:line="400" w:lineRule="exact"/>
        <w:textAlignment w:val="auto"/>
        <w:rPr>
          <w:sz w:val="21"/>
        </w:rPr>
        <w:sectPr>
          <w:footerReference r:id="rId5" w:type="default"/>
          <w:pgSz w:w="11910" w:h="16840"/>
          <w:pgMar w:top="1180" w:right="900" w:bottom="1020" w:left="960" w:header="0" w:footer="748" w:gutter="0"/>
          <w:pgNumType w:fmt="decimal" w:start="1"/>
          <w:cols w:space="720" w:num="1"/>
        </w:sectPr>
      </w:pPr>
    </w:p>
    <w:tbl>
      <w:tblPr>
        <w:tblStyle w:val="13"/>
        <w:tblW w:w="0" w:type="auto"/>
        <w:tblInd w:w="1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436"/>
        <w:gridCol w:w="7544"/>
      </w:tblGrid>
      <w:tr w14:paraId="7C2F2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6" w:hRule="atLeast"/>
        </w:trPr>
        <w:tc>
          <w:tcPr>
            <w:tcW w:w="686" w:type="dxa"/>
          </w:tcPr>
          <w:p w14:paraId="327A8D56">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Times New Roman"/>
                <w:sz w:val="20"/>
              </w:rPr>
            </w:pPr>
          </w:p>
        </w:tc>
        <w:tc>
          <w:tcPr>
            <w:tcW w:w="1436" w:type="dxa"/>
            <w:tcBorders>
              <w:right w:val="single" w:color="000000" w:sz="4" w:space="0"/>
            </w:tcBorders>
          </w:tcPr>
          <w:p w14:paraId="6C371B49">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Times New Roman"/>
                <w:sz w:val="20"/>
              </w:rPr>
            </w:pPr>
          </w:p>
        </w:tc>
        <w:tc>
          <w:tcPr>
            <w:tcW w:w="7544" w:type="dxa"/>
            <w:tcBorders>
              <w:left w:val="single" w:color="000000" w:sz="4" w:space="0"/>
            </w:tcBorders>
          </w:tcPr>
          <w:p w14:paraId="5916A9DF">
            <w:pPr>
              <w:pStyle w:val="18"/>
              <w:keepNext w:val="0"/>
              <w:keepLines w:val="0"/>
              <w:pageBreakBefore w:val="0"/>
              <w:widowControl w:val="0"/>
              <w:kinsoku/>
              <w:wordWrap/>
              <w:overflowPunct/>
              <w:topLinePunct w:val="0"/>
              <w:autoSpaceDE w:val="0"/>
              <w:autoSpaceDN w:val="0"/>
              <w:bidi w:val="0"/>
              <w:adjustRightInd/>
              <w:snapToGrid/>
              <w:spacing w:before="137" w:line="400" w:lineRule="exact"/>
              <w:ind w:left="28" w:right="94"/>
              <w:jc w:val="both"/>
              <w:textAlignment w:val="auto"/>
              <w:rPr>
                <w:sz w:val="21"/>
              </w:rPr>
            </w:pPr>
            <w:r>
              <w:rPr>
                <w:spacing w:val="-7"/>
                <w:sz w:val="21"/>
              </w:rPr>
              <w:t>告发布之日前</w:t>
            </w:r>
            <w:r>
              <w:rPr>
                <w:sz w:val="21"/>
              </w:rPr>
              <w:t>12</w:t>
            </w:r>
            <w:r>
              <w:rPr>
                <w:spacing w:val="-9"/>
                <w:sz w:val="21"/>
              </w:rPr>
              <w:t>个月的资信证明；公司开户不足</w:t>
            </w:r>
            <w:r>
              <w:rPr>
                <w:sz w:val="21"/>
              </w:rPr>
              <w:t>12</w:t>
            </w:r>
            <w:r>
              <w:rPr>
                <w:spacing w:val="-6"/>
                <w:sz w:val="21"/>
              </w:rPr>
              <w:t>个月的，提供自开户之日起</w:t>
            </w:r>
            <w:r>
              <w:rPr>
                <w:spacing w:val="-3"/>
                <w:sz w:val="21"/>
              </w:rPr>
              <w:t>至采购公告发布之日止的资信证明</w:t>
            </w:r>
            <w:r>
              <w:rPr>
                <w:sz w:val="21"/>
              </w:rPr>
              <w:t>）。银行资信证明应能说明该投标人与银行在上述要求的时限内业务往来正常，无不良记录，企业信誉良好等，银行出具的存款证明不能作为本次采购项目的银行资信证明使用；</w:t>
            </w:r>
          </w:p>
          <w:p w14:paraId="4C0F05D1">
            <w:pPr>
              <w:pStyle w:val="18"/>
              <w:keepNext w:val="0"/>
              <w:keepLines w:val="0"/>
              <w:pageBreakBefore w:val="0"/>
              <w:widowControl w:val="0"/>
              <w:numPr>
                <w:ilvl w:val="0"/>
                <w:numId w:val="0"/>
              </w:numPr>
              <w:tabs>
                <w:tab w:val="left" w:pos="556"/>
              </w:tabs>
              <w:kinsoku/>
              <w:wordWrap/>
              <w:overflowPunct/>
              <w:topLinePunct w:val="0"/>
              <w:autoSpaceDE w:val="0"/>
              <w:autoSpaceDN w:val="0"/>
              <w:bidi w:val="0"/>
              <w:adjustRightInd/>
              <w:snapToGrid/>
              <w:spacing w:before="0" w:after="0" w:line="400" w:lineRule="exact"/>
              <w:ind w:left="27" w:leftChars="0" w:right="0" w:rightChars="0"/>
              <w:jc w:val="left"/>
              <w:textAlignment w:val="auto"/>
              <w:rPr>
                <w:sz w:val="21"/>
              </w:rPr>
            </w:pPr>
            <w:r>
              <w:rPr>
                <w:rFonts w:hint="eastAsia"/>
                <w:sz w:val="21"/>
                <w:lang w:eastAsia="zh-CN"/>
              </w:rPr>
              <w:t>（</w:t>
            </w:r>
            <w:r>
              <w:rPr>
                <w:rFonts w:hint="eastAsia"/>
                <w:sz w:val="21"/>
                <w:lang w:val="en-US" w:eastAsia="zh-CN"/>
              </w:rPr>
              <w:t>3</w:t>
            </w:r>
            <w:r>
              <w:rPr>
                <w:rFonts w:hint="eastAsia"/>
                <w:sz w:val="21"/>
                <w:lang w:eastAsia="zh-CN"/>
              </w:rPr>
              <w:t>）</w:t>
            </w:r>
            <w:r>
              <w:rPr>
                <w:sz w:val="21"/>
              </w:rPr>
              <w:t>具有履行合同所必需的设备和专业技术能力：提供承诺函；</w:t>
            </w:r>
          </w:p>
          <w:p w14:paraId="233A6F19">
            <w:pPr>
              <w:pStyle w:val="18"/>
              <w:keepNext w:val="0"/>
              <w:keepLines w:val="0"/>
              <w:pageBreakBefore w:val="0"/>
              <w:widowControl w:val="0"/>
              <w:numPr>
                <w:ilvl w:val="0"/>
                <w:numId w:val="0"/>
              </w:numPr>
              <w:tabs>
                <w:tab w:val="left" w:pos="556"/>
              </w:tabs>
              <w:kinsoku/>
              <w:wordWrap/>
              <w:overflowPunct/>
              <w:topLinePunct w:val="0"/>
              <w:autoSpaceDE w:val="0"/>
              <w:autoSpaceDN w:val="0"/>
              <w:bidi w:val="0"/>
              <w:adjustRightInd/>
              <w:snapToGrid/>
              <w:spacing w:before="132" w:after="0" w:line="400" w:lineRule="exact"/>
              <w:ind w:left="27" w:leftChars="0" w:right="0" w:rightChars="0"/>
              <w:jc w:val="left"/>
              <w:textAlignment w:val="auto"/>
              <w:rPr>
                <w:sz w:val="21"/>
              </w:rPr>
            </w:pPr>
            <w:r>
              <w:rPr>
                <w:rFonts w:hint="eastAsia"/>
                <w:sz w:val="21"/>
                <w:lang w:eastAsia="zh-CN"/>
              </w:rPr>
              <w:t>（</w:t>
            </w:r>
            <w:r>
              <w:rPr>
                <w:rFonts w:hint="eastAsia"/>
                <w:sz w:val="21"/>
                <w:lang w:val="en-US" w:eastAsia="zh-CN"/>
              </w:rPr>
              <w:t>4</w:t>
            </w:r>
            <w:r>
              <w:rPr>
                <w:rFonts w:hint="eastAsia"/>
                <w:sz w:val="21"/>
                <w:lang w:eastAsia="zh-CN"/>
              </w:rPr>
              <w:t>）</w:t>
            </w:r>
            <w:r>
              <w:rPr>
                <w:sz w:val="21"/>
              </w:rPr>
              <w:t>有依法缴纳税收和社会保障资金的良好记录：</w:t>
            </w:r>
          </w:p>
          <w:p w14:paraId="1233976E">
            <w:pPr>
              <w:pStyle w:val="18"/>
              <w:keepNext w:val="0"/>
              <w:keepLines w:val="0"/>
              <w:pageBreakBefore w:val="0"/>
              <w:widowControl w:val="0"/>
              <w:numPr>
                <w:ilvl w:val="0"/>
                <w:numId w:val="0"/>
              </w:numPr>
              <w:tabs>
                <w:tab w:val="left" w:pos="556"/>
              </w:tabs>
              <w:kinsoku/>
              <w:wordWrap/>
              <w:overflowPunct/>
              <w:topLinePunct w:val="0"/>
              <w:autoSpaceDE w:val="0"/>
              <w:autoSpaceDN w:val="0"/>
              <w:bidi w:val="0"/>
              <w:adjustRightInd/>
              <w:snapToGrid/>
              <w:spacing w:before="129" w:after="0" w:line="400" w:lineRule="exact"/>
              <w:ind w:right="91" w:rightChars="0"/>
              <w:jc w:val="both"/>
              <w:textAlignment w:val="auto"/>
              <w:rPr>
                <w:sz w:val="21"/>
              </w:rPr>
            </w:pPr>
            <w:r>
              <w:rPr>
                <w:rFonts w:hint="eastAsia"/>
                <w:spacing w:val="-10"/>
                <w:sz w:val="21"/>
                <w:lang w:eastAsia="zh-CN"/>
              </w:rPr>
              <w:t>（</w:t>
            </w:r>
            <w:r>
              <w:rPr>
                <w:rFonts w:hint="eastAsia"/>
                <w:spacing w:val="-10"/>
                <w:sz w:val="21"/>
                <w:lang w:val="en-US" w:eastAsia="zh-CN"/>
              </w:rPr>
              <w:t>5</w:t>
            </w:r>
            <w:r>
              <w:rPr>
                <w:rFonts w:hint="eastAsia"/>
                <w:spacing w:val="-10"/>
                <w:sz w:val="21"/>
                <w:lang w:eastAsia="zh-CN"/>
              </w:rPr>
              <w:t>）</w:t>
            </w:r>
            <w:r>
              <w:rPr>
                <w:spacing w:val="-10"/>
                <w:sz w:val="21"/>
              </w:rPr>
              <w:t>提供投标人</w:t>
            </w:r>
            <w:r>
              <w:rPr>
                <w:sz w:val="21"/>
              </w:rPr>
              <w:t>202</w:t>
            </w:r>
            <w:r>
              <w:rPr>
                <w:rFonts w:hint="eastAsia"/>
                <w:sz w:val="21"/>
                <w:lang w:val="en-US" w:eastAsia="zh-CN"/>
              </w:rPr>
              <w:t>6</w:t>
            </w:r>
            <w:r>
              <w:rPr>
                <w:spacing w:val="-39"/>
                <w:sz w:val="21"/>
              </w:rPr>
              <w:t xml:space="preserve">年 </w:t>
            </w:r>
            <w:r>
              <w:rPr>
                <w:spacing w:val="-9"/>
                <w:sz w:val="21"/>
              </w:rPr>
              <w:t>任意一个月</w:t>
            </w:r>
            <w:r>
              <w:rPr>
                <w:sz w:val="21"/>
              </w:rPr>
              <w:t>（以税款所属时期为准</w:t>
            </w:r>
            <w:r>
              <w:rPr>
                <w:spacing w:val="-15"/>
                <w:sz w:val="21"/>
              </w:rPr>
              <w:t>）</w:t>
            </w:r>
            <w:r>
              <w:rPr>
                <w:sz w:val="21"/>
              </w:rPr>
              <w:t>依法纳税凭证原件或有电子专用章的完税证明；如未达到应缴税标准，须同时提供以下三项材料：①相应说明、②证明材料(如：增值税纳税申报表或零纳税申报表)、③加盖税务局章（或电子章）的无欠税证明；</w:t>
            </w:r>
          </w:p>
          <w:p w14:paraId="70154A11">
            <w:pPr>
              <w:pStyle w:val="18"/>
              <w:keepNext w:val="0"/>
              <w:keepLines w:val="0"/>
              <w:pageBreakBefore w:val="0"/>
              <w:widowControl w:val="0"/>
              <w:numPr>
                <w:ilvl w:val="0"/>
                <w:numId w:val="0"/>
              </w:numPr>
              <w:tabs>
                <w:tab w:val="left" w:pos="556"/>
              </w:tabs>
              <w:kinsoku/>
              <w:wordWrap/>
              <w:overflowPunct/>
              <w:topLinePunct w:val="0"/>
              <w:autoSpaceDE w:val="0"/>
              <w:autoSpaceDN w:val="0"/>
              <w:bidi w:val="0"/>
              <w:adjustRightInd/>
              <w:snapToGrid/>
              <w:spacing w:before="0" w:after="0" w:line="400" w:lineRule="exact"/>
              <w:ind w:right="0" w:rightChars="0"/>
              <w:jc w:val="both"/>
              <w:textAlignment w:val="auto"/>
              <w:rPr>
                <w:sz w:val="21"/>
              </w:rPr>
            </w:pPr>
            <w:r>
              <w:rPr>
                <w:rFonts w:hint="eastAsia"/>
                <w:spacing w:val="-9"/>
                <w:sz w:val="21"/>
                <w:lang w:eastAsia="zh-CN"/>
              </w:rPr>
              <w:t>（</w:t>
            </w:r>
            <w:r>
              <w:rPr>
                <w:rFonts w:hint="eastAsia"/>
                <w:spacing w:val="-9"/>
                <w:sz w:val="21"/>
                <w:lang w:val="en-US" w:eastAsia="zh-CN"/>
              </w:rPr>
              <w:t>6</w:t>
            </w:r>
            <w:r>
              <w:rPr>
                <w:rFonts w:hint="eastAsia"/>
                <w:spacing w:val="-9"/>
                <w:sz w:val="21"/>
                <w:lang w:eastAsia="zh-CN"/>
              </w:rPr>
              <w:t>）</w:t>
            </w:r>
            <w:r>
              <w:rPr>
                <w:spacing w:val="-9"/>
                <w:sz w:val="21"/>
              </w:rPr>
              <w:t>提供投标人</w:t>
            </w:r>
            <w:r>
              <w:rPr>
                <w:rFonts w:hint="eastAsia"/>
                <w:spacing w:val="-9"/>
                <w:sz w:val="21"/>
                <w:lang w:val="en-US" w:eastAsia="zh-CN"/>
              </w:rPr>
              <w:t>2026年</w:t>
            </w:r>
            <w:r>
              <w:rPr>
                <w:spacing w:val="-8"/>
                <w:sz w:val="21"/>
              </w:rPr>
              <w:t>任意一个月依法缴纳社会保险的凭据。</w:t>
            </w:r>
          </w:p>
          <w:p w14:paraId="734E226F">
            <w:pPr>
              <w:pStyle w:val="18"/>
              <w:keepNext w:val="0"/>
              <w:keepLines w:val="0"/>
              <w:pageBreakBefore w:val="0"/>
              <w:widowControl w:val="0"/>
              <w:kinsoku/>
              <w:wordWrap/>
              <w:overflowPunct/>
              <w:topLinePunct w:val="0"/>
              <w:autoSpaceDE w:val="0"/>
              <w:autoSpaceDN w:val="0"/>
              <w:bidi w:val="0"/>
              <w:adjustRightInd/>
              <w:snapToGrid/>
              <w:spacing w:before="132" w:line="400" w:lineRule="exact"/>
              <w:ind w:left="28" w:right="96"/>
              <w:textAlignment w:val="auto"/>
              <w:rPr>
                <w:b/>
                <w:sz w:val="21"/>
              </w:rPr>
            </w:pPr>
            <w:r>
              <w:rPr>
                <w:b/>
                <w:sz w:val="21"/>
              </w:rPr>
              <w:t>注：依法免税或不需要缴纳社会保障资金的投标人，应提供相应文件证明其依法免税或不需要缴纳社会保障资金。</w:t>
            </w:r>
          </w:p>
          <w:p w14:paraId="6FAA7A11">
            <w:pPr>
              <w:pStyle w:val="18"/>
              <w:keepNext w:val="0"/>
              <w:keepLines w:val="0"/>
              <w:pageBreakBefore w:val="0"/>
              <w:widowControl w:val="0"/>
              <w:numPr>
                <w:ilvl w:val="0"/>
                <w:numId w:val="0"/>
              </w:numPr>
              <w:tabs>
                <w:tab w:val="left" w:pos="556"/>
              </w:tabs>
              <w:kinsoku/>
              <w:wordWrap/>
              <w:overflowPunct/>
              <w:topLinePunct w:val="0"/>
              <w:autoSpaceDE w:val="0"/>
              <w:autoSpaceDN w:val="0"/>
              <w:bidi w:val="0"/>
              <w:adjustRightInd/>
              <w:snapToGrid/>
              <w:spacing w:before="129" w:after="0" w:line="400" w:lineRule="exact"/>
              <w:ind w:right="91" w:rightChars="0"/>
              <w:jc w:val="both"/>
              <w:textAlignment w:val="auto"/>
              <w:rPr>
                <w:sz w:val="21"/>
              </w:rPr>
            </w:pPr>
            <w:r>
              <w:rPr>
                <w:rFonts w:hint="eastAsia"/>
                <w:sz w:val="21"/>
                <w:lang w:eastAsia="zh-CN"/>
              </w:rPr>
              <w:t>（</w:t>
            </w:r>
            <w:r>
              <w:rPr>
                <w:rFonts w:hint="eastAsia"/>
                <w:sz w:val="21"/>
                <w:lang w:val="en-US" w:eastAsia="zh-CN"/>
              </w:rPr>
              <w:t>7</w:t>
            </w:r>
            <w:r>
              <w:rPr>
                <w:rFonts w:hint="eastAsia"/>
                <w:sz w:val="21"/>
                <w:lang w:eastAsia="zh-CN"/>
              </w:rPr>
              <w:t>）</w:t>
            </w:r>
            <w:r>
              <w:rPr>
                <w:sz w:val="21"/>
              </w:rPr>
              <w:t>参加政府采购活动前三年内，在经营活动中没有重大违法记录：提供无重大违法记录声明函。</w:t>
            </w:r>
          </w:p>
          <w:p w14:paraId="1061956C">
            <w:pPr>
              <w:pStyle w:val="18"/>
              <w:keepNext w:val="0"/>
              <w:keepLines w:val="0"/>
              <w:pageBreakBefore w:val="0"/>
              <w:widowControl w:val="0"/>
              <w:kinsoku/>
              <w:wordWrap/>
              <w:overflowPunct/>
              <w:topLinePunct w:val="0"/>
              <w:autoSpaceDE w:val="0"/>
              <w:autoSpaceDN w:val="0"/>
              <w:bidi w:val="0"/>
              <w:adjustRightInd/>
              <w:snapToGrid/>
              <w:spacing w:line="400" w:lineRule="exact"/>
              <w:ind w:left="28"/>
              <w:textAlignment w:val="auto"/>
              <w:rPr>
                <w:b/>
                <w:sz w:val="21"/>
              </w:rPr>
            </w:pPr>
            <w:r>
              <w:rPr>
                <w:b/>
                <w:sz w:val="21"/>
              </w:rPr>
              <w:t>2、落实政府采购政策需满足的资格要求：</w:t>
            </w:r>
          </w:p>
          <w:p w14:paraId="73F67027">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sz w:val="21"/>
              </w:rPr>
            </w:pPr>
            <w:r>
              <w:rPr>
                <w:rFonts w:hint="eastAsia"/>
                <w:sz w:val="21"/>
                <w:lang w:val="en-US" w:eastAsia="zh-CN"/>
              </w:rPr>
              <w:t>本项目为专门面向中小企业</w:t>
            </w:r>
            <w:r>
              <w:rPr>
                <w:sz w:val="21"/>
              </w:rPr>
              <w:t>，供应商应为符合政策要求的</w:t>
            </w:r>
            <w:r>
              <w:rPr>
                <w:rFonts w:hint="eastAsia"/>
                <w:sz w:val="21"/>
                <w:lang w:eastAsia="zh-CN"/>
              </w:rPr>
              <w:t>中</w:t>
            </w:r>
            <w:r>
              <w:rPr>
                <w:sz w:val="21"/>
              </w:rPr>
              <w:t>小企业(含小型、微型企业)，投标供应商不再单独享受价格扣除，须出具《中小企业声明函》；</w:t>
            </w:r>
          </w:p>
          <w:p w14:paraId="19A35154">
            <w:pPr>
              <w:pStyle w:val="18"/>
              <w:keepNext w:val="0"/>
              <w:keepLines w:val="0"/>
              <w:pageBreakBefore w:val="0"/>
              <w:widowControl w:val="0"/>
              <w:kinsoku/>
              <w:wordWrap/>
              <w:overflowPunct/>
              <w:topLinePunct w:val="0"/>
              <w:autoSpaceDE w:val="0"/>
              <w:autoSpaceDN w:val="0"/>
              <w:bidi w:val="0"/>
              <w:adjustRightInd/>
              <w:snapToGrid/>
              <w:spacing w:line="400" w:lineRule="exact"/>
              <w:ind w:left="28"/>
              <w:textAlignment w:val="auto"/>
              <w:rPr>
                <w:rFonts w:hint="eastAsia" w:eastAsia="宋体"/>
                <w:b/>
                <w:sz w:val="21"/>
                <w:lang w:eastAsia="zh-CN"/>
              </w:rPr>
            </w:pPr>
            <w:r>
              <w:rPr>
                <w:b/>
                <w:sz w:val="21"/>
              </w:rPr>
              <w:t>3、本项目的特定资格要求：</w:t>
            </w:r>
            <w:r>
              <w:rPr>
                <w:rFonts w:hint="eastAsia"/>
                <w:b/>
                <w:sz w:val="21"/>
                <w:lang w:eastAsia="zh-CN"/>
              </w:rPr>
              <w:t>无</w:t>
            </w:r>
          </w:p>
          <w:p w14:paraId="3994D958">
            <w:pPr>
              <w:pStyle w:val="18"/>
              <w:keepNext w:val="0"/>
              <w:keepLines w:val="0"/>
              <w:pageBreakBefore w:val="0"/>
              <w:widowControl w:val="0"/>
              <w:kinsoku/>
              <w:wordWrap/>
              <w:overflowPunct/>
              <w:topLinePunct w:val="0"/>
              <w:autoSpaceDE w:val="0"/>
              <w:autoSpaceDN w:val="0"/>
              <w:bidi w:val="0"/>
              <w:adjustRightInd/>
              <w:snapToGrid/>
              <w:spacing w:line="400" w:lineRule="exact"/>
              <w:ind w:left="28"/>
              <w:textAlignment w:val="auto"/>
              <w:rPr>
                <w:b/>
                <w:sz w:val="21"/>
              </w:rPr>
            </w:pPr>
            <w:r>
              <w:rPr>
                <w:b/>
                <w:sz w:val="21"/>
              </w:rPr>
              <w:t>4、本项目不接受联合体投标。</w:t>
            </w:r>
          </w:p>
        </w:tc>
      </w:tr>
      <w:tr w14:paraId="309E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4" w:hRule="atLeast"/>
        </w:trPr>
        <w:tc>
          <w:tcPr>
            <w:tcW w:w="686" w:type="dxa"/>
            <w:tcBorders>
              <w:bottom w:val="single" w:color="000000" w:sz="4" w:space="0"/>
            </w:tcBorders>
          </w:tcPr>
          <w:p w14:paraId="52FC16CD">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1BD4D2A4">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6B9EEA6F">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17E31748">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528C6EE0">
            <w:pPr>
              <w:pStyle w:val="18"/>
              <w:keepNext w:val="0"/>
              <w:keepLines w:val="0"/>
              <w:pageBreakBefore w:val="0"/>
              <w:widowControl w:val="0"/>
              <w:kinsoku/>
              <w:wordWrap/>
              <w:overflowPunct/>
              <w:topLinePunct w:val="0"/>
              <w:autoSpaceDE w:val="0"/>
              <w:autoSpaceDN w:val="0"/>
              <w:bidi w:val="0"/>
              <w:adjustRightInd/>
              <w:snapToGrid/>
              <w:spacing w:before="5" w:line="400" w:lineRule="exact"/>
              <w:textAlignment w:val="auto"/>
              <w:rPr>
                <w:b/>
                <w:sz w:val="24"/>
              </w:rPr>
            </w:pPr>
          </w:p>
          <w:p w14:paraId="5427022A">
            <w:pPr>
              <w:pStyle w:val="18"/>
              <w:keepNext w:val="0"/>
              <w:keepLines w:val="0"/>
              <w:pageBreakBefore w:val="0"/>
              <w:widowControl w:val="0"/>
              <w:kinsoku/>
              <w:wordWrap/>
              <w:overflowPunct/>
              <w:topLinePunct w:val="0"/>
              <w:autoSpaceDE w:val="0"/>
              <w:autoSpaceDN w:val="0"/>
              <w:bidi w:val="0"/>
              <w:adjustRightInd/>
              <w:snapToGrid/>
              <w:spacing w:before="1" w:line="400" w:lineRule="exact"/>
              <w:ind w:left="197"/>
              <w:textAlignment w:val="auto"/>
              <w:rPr>
                <w:rFonts w:hint="eastAsia" w:eastAsia="宋体"/>
                <w:sz w:val="21"/>
                <w:lang w:eastAsia="zh-CN"/>
              </w:rPr>
            </w:pPr>
            <w:r>
              <w:rPr>
                <w:sz w:val="21"/>
              </w:rPr>
              <w:t>1</w:t>
            </w:r>
            <w:r>
              <w:rPr>
                <w:rFonts w:hint="eastAsia"/>
                <w:sz w:val="21"/>
                <w:lang w:val="en-US" w:eastAsia="zh-CN"/>
              </w:rPr>
              <w:t>2</w:t>
            </w:r>
          </w:p>
        </w:tc>
        <w:tc>
          <w:tcPr>
            <w:tcW w:w="1436" w:type="dxa"/>
            <w:tcBorders>
              <w:bottom w:val="single" w:color="000000" w:sz="4" w:space="0"/>
              <w:right w:val="single" w:color="000000" w:sz="4" w:space="0"/>
            </w:tcBorders>
          </w:tcPr>
          <w:p w14:paraId="64C43CB7">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360DD1DB">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3C62B279">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09AE82ED">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b/>
                <w:sz w:val="20"/>
              </w:rPr>
            </w:pPr>
          </w:p>
          <w:p w14:paraId="327EEFF8">
            <w:pPr>
              <w:pStyle w:val="18"/>
              <w:keepNext w:val="0"/>
              <w:keepLines w:val="0"/>
              <w:pageBreakBefore w:val="0"/>
              <w:widowControl w:val="0"/>
              <w:kinsoku/>
              <w:wordWrap/>
              <w:overflowPunct/>
              <w:topLinePunct w:val="0"/>
              <w:autoSpaceDE w:val="0"/>
              <w:autoSpaceDN w:val="0"/>
              <w:bidi w:val="0"/>
              <w:adjustRightInd/>
              <w:snapToGrid/>
              <w:spacing w:before="5" w:line="400" w:lineRule="exact"/>
              <w:textAlignment w:val="auto"/>
              <w:rPr>
                <w:b/>
                <w:sz w:val="24"/>
              </w:rPr>
            </w:pPr>
          </w:p>
          <w:p w14:paraId="395DA84A">
            <w:pPr>
              <w:pStyle w:val="18"/>
              <w:keepNext w:val="0"/>
              <w:keepLines w:val="0"/>
              <w:pageBreakBefore w:val="0"/>
              <w:widowControl w:val="0"/>
              <w:kinsoku/>
              <w:wordWrap/>
              <w:overflowPunct/>
              <w:topLinePunct w:val="0"/>
              <w:autoSpaceDE w:val="0"/>
              <w:autoSpaceDN w:val="0"/>
              <w:bidi w:val="0"/>
              <w:adjustRightInd/>
              <w:snapToGrid/>
              <w:spacing w:before="1" w:line="400" w:lineRule="exact"/>
              <w:ind w:left="152"/>
              <w:textAlignment w:val="auto"/>
              <w:rPr>
                <w:sz w:val="21"/>
              </w:rPr>
            </w:pPr>
            <w:r>
              <w:rPr>
                <w:sz w:val="21"/>
              </w:rPr>
              <w:t>投标保证金</w:t>
            </w:r>
          </w:p>
        </w:tc>
        <w:tc>
          <w:tcPr>
            <w:tcW w:w="7544" w:type="dxa"/>
            <w:tcBorders>
              <w:left w:val="single" w:color="000000" w:sz="4" w:space="0"/>
              <w:bottom w:val="single" w:color="000000" w:sz="4" w:space="0"/>
            </w:tcBorders>
          </w:tcPr>
          <w:p w14:paraId="223A18CE">
            <w:pPr>
              <w:pStyle w:val="18"/>
              <w:keepNext w:val="0"/>
              <w:keepLines w:val="0"/>
              <w:pageBreakBefore w:val="0"/>
              <w:widowControl w:val="0"/>
              <w:kinsoku/>
              <w:wordWrap/>
              <w:overflowPunct/>
              <w:topLinePunct w:val="0"/>
              <w:autoSpaceDE w:val="0"/>
              <w:autoSpaceDN w:val="0"/>
              <w:bidi w:val="0"/>
              <w:adjustRightInd/>
              <w:snapToGrid/>
              <w:spacing w:before="131" w:line="400" w:lineRule="exact"/>
              <w:ind w:left="28"/>
              <w:textAlignment w:val="auto"/>
              <w:rPr>
                <w:rFonts w:hint="eastAsia"/>
                <w:b/>
                <w:bCs/>
                <w:sz w:val="21"/>
                <w:lang w:eastAsia="zh-CN"/>
              </w:rPr>
            </w:pPr>
            <w:r>
              <w:rPr>
                <w:rFonts w:hint="eastAsia"/>
                <w:sz w:val="21"/>
                <w:lang w:eastAsia="zh-CN"/>
              </w:rPr>
              <w:t>1、投标保证金的金额：</w:t>
            </w:r>
            <w:r>
              <w:rPr>
                <w:rFonts w:hint="eastAsia"/>
                <w:sz w:val="21"/>
                <w:lang w:val="en-US" w:eastAsia="zh-CN"/>
              </w:rPr>
              <w:t>/</w:t>
            </w:r>
            <w:r>
              <w:rPr>
                <w:rFonts w:hint="eastAsia"/>
                <w:sz w:val="21"/>
                <w:lang w:eastAsia="zh-CN"/>
              </w:rPr>
              <w:t>（￥</w:t>
            </w:r>
            <w:r>
              <w:rPr>
                <w:rFonts w:hint="eastAsia"/>
                <w:sz w:val="21"/>
                <w:lang w:val="en-US" w:eastAsia="zh-CN"/>
              </w:rPr>
              <w:t>/</w:t>
            </w:r>
            <w:r>
              <w:rPr>
                <w:rFonts w:hint="eastAsia"/>
                <w:sz w:val="21"/>
                <w:lang w:eastAsia="zh-CN"/>
              </w:rPr>
              <w:t>元）</w:t>
            </w:r>
            <w:r>
              <w:rPr>
                <w:rFonts w:hint="eastAsia"/>
                <w:b/>
                <w:bCs/>
                <w:sz w:val="21"/>
                <w:lang w:eastAsia="zh-CN"/>
              </w:rPr>
              <w:t>（本项目不做要求）</w:t>
            </w:r>
          </w:p>
          <w:p w14:paraId="410122F6">
            <w:pPr>
              <w:pStyle w:val="18"/>
              <w:keepNext w:val="0"/>
              <w:keepLines w:val="0"/>
              <w:pageBreakBefore w:val="0"/>
              <w:widowControl w:val="0"/>
              <w:kinsoku/>
              <w:wordWrap/>
              <w:overflowPunct/>
              <w:topLinePunct w:val="0"/>
              <w:autoSpaceDE w:val="0"/>
              <w:autoSpaceDN w:val="0"/>
              <w:bidi w:val="0"/>
              <w:adjustRightInd/>
              <w:snapToGrid/>
              <w:spacing w:before="131" w:line="400" w:lineRule="exact"/>
              <w:ind w:left="28"/>
              <w:textAlignment w:val="auto"/>
              <w:rPr>
                <w:rFonts w:hint="eastAsia"/>
                <w:sz w:val="21"/>
                <w:lang w:eastAsia="zh-CN"/>
              </w:rPr>
            </w:pPr>
            <w:r>
              <w:rPr>
                <w:rFonts w:hint="eastAsia"/>
                <w:sz w:val="21"/>
                <w:lang w:eastAsia="zh-CN"/>
              </w:rPr>
              <w:t>2、投标保证金缴纳形式：支票、汇票、本票或者金融机构、担保机构出具的保函  等非现金形式提交。</w:t>
            </w:r>
          </w:p>
          <w:p w14:paraId="2D542BB2">
            <w:pPr>
              <w:pStyle w:val="18"/>
              <w:keepNext w:val="0"/>
              <w:keepLines w:val="0"/>
              <w:pageBreakBefore w:val="0"/>
              <w:widowControl w:val="0"/>
              <w:kinsoku/>
              <w:wordWrap/>
              <w:overflowPunct/>
              <w:topLinePunct w:val="0"/>
              <w:autoSpaceDE w:val="0"/>
              <w:autoSpaceDN w:val="0"/>
              <w:bidi w:val="0"/>
              <w:adjustRightInd/>
              <w:snapToGrid/>
              <w:spacing w:before="131" w:line="400" w:lineRule="exact"/>
              <w:ind w:left="28"/>
              <w:textAlignment w:val="auto"/>
              <w:rPr>
                <w:rFonts w:hint="eastAsia"/>
                <w:sz w:val="21"/>
                <w:lang w:eastAsia="zh-CN"/>
              </w:rPr>
            </w:pPr>
            <w:r>
              <w:rPr>
                <w:rFonts w:hint="eastAsia"/>
                <w:sz w:val="21"/>
                <w:lang w:eastAsia="zh-CN"/>
              </w:rPr>
              <w:t>（1）账户信息：</w:t>
            </w:r>
          </w:p>
          <w:p w14:paraId="669710BB">
            <w:pPr>
              <w:pStyle w:val="18"/>
              <w:keepNext w:val="0"/>
              <w:keepLines w:val="0"/>
              <w:pageBreakBefore w:val="0"/>
              <w:widowControl w:val="0"/>
              <w:kinsoku/>
              <w:wordWrap/>
              <w:overflowPunct/>
              <w:topLinePunct w:val="0"/>
              <w:autoSpaceDE w:val="0"/>
              <w:autoSpaceDN w:val="0"/>
              <w:bidi w:val="0"/>
              <w:adjustRightInd/>
              <w:snapToGrid/>
              <w:spacing w:before="131" w:line="400" w:lineRule="exact"/>
              <w:ind w:left="28"/>
              <w:textAlignment w:val="auto"/>
              <w:rPr>
                <w:rFonts w:hint="eastAsia"/>
                <w:sz w:val="21"/>
                <w:lang w:eastAsia="zh-CN"/>
              </w:rPr>
            </w:pPr>
            <w:r>
              <w:rPr>
                <w:rFonts w:hint="eastAsia"/>
                <w:sz w:val="21"/>
                <w:lang w:eastAsia="zh-CN"/>
              </w:rPr>
              <w:t>户名：新疆疆裕百川工程项目管理有限公司</w:t>
            </w:r>
          </w:p>
          <w:p w14:paraId="704BBDCC">
            <w:pPr>
              <w:pStyle w:val="18"/>
              <w:keepNext w:val="0"/>
              <w:keepLines w:val="0"/>
              <w:pageBreakBefore w:val="0"/>
              <w:widowControl w:val="0"/>
              <w:kinsoku/>
              <w:wordWrap/>
              <w:overflowPunct/>
              <w:topLinePunct w:val="0"/>
              <w:autoSpaceDE w:val="0"/>
              <w:autoSpaceDN w:val="0"/>
              <w:bidi w:val="0"/>
              <w:adjustRightInd/>
              <w:snapToGrid/>
              <w:spacing w:before="131" w:line="400" w:lineRule="exact"/>
              <w:ind w:left="28"/>
              <w:textAlignment w:val="auto"/>
              <w:rPr>
                <w:rFonts w:hint="eastAsia"/>
                <w:sz w:val="21"/>
                <w:lang w:eastAsia="zh-CN"/>
              </w:rPr>
            </w:pPr>
            <w:r>
              <w:rPr>
                <w:rFonts w:hint="eastAsia"/>
                <w:sz w:val="21"/>
                <w:lang w:eastAsia="zh-CN"/>
              </w:rPr>
              <w:t>开户银行：阿克苏塔里木农商行阿克苏北大街支行</w:t>
            </w:r>
          </w:p>
          <w:p w14:paraId="42F8F00C">
            <w:pPr>
              <w:pStyle w:val="18"/>
              <w:keepNext w:val="0"/>
              <w:keepLines w:val="0"/>
              <w:pageBreakBefore w:val="0"/>
              <w:widowControl w:val="0"/>
              <w:kinsoku/>
              <w:wordWrap/>
              <w:overflowPunct/>
              <w:topLinePunct w:val="0"/>
              <w:autoSpaceDE w:val="0"/>
              <w:autoSpaceDN w:val="0"/>
              <w:bidi w:val="0"/>
              <w:adjustRightInd/>
              <w:snapToGrid/>
              <w:spacing w:before="131" w:line="400" w:lineRule="exact"/>
              <w:ind w:left="28"/>
              <w:textAlignment w:val="auto"/>
              <w:rPr>
                <w:sz w:val="21"/>
              </w:rPr>
            </w:pPr>
            <w:r>
              <w:rPr>
                <w:rFonts w:hint="eastAsia"/>
                <w:sz w:val="21"/>
                <w:lang w:eastAsia="zh-CN"/>
              </w:rPr>
              <w:t>开户行行号：402891000194</w:t>
            </w:r>
          </w:p>
        </w:tc>
      </w:tr>
    </w:tbl>
    <w:p w14:paraId="7616E5EE">
      <w:pPr>
        <w:keepNext w:val="0"/>
        <w:keepLines w:val="0"/>
        <w:pageBreakBefore w:val="0"/>
        <w:widowControl w:val="0"/>
        <w:kinsoku/>
        <w:wordWrap/>
        <w:overflowPunct/>
        <w:topLinePunct w:val="0"/>
        <w:autoSpaceDE w:val="0"/>
        <w:autoSpaceDN w:val="0"/>
        <w:bidi w:val="0"/>
        <w:adjustRightInd/>
        <w:snapToGrid/>
        <w:spacing w:line="400" w:lineRule="exact"/>
        <w:textAlignment w:val="auto"/>
        <w:rPr>
          <w:sz w:val="2"/>
          <w:szCs w:val="2"/>
        </w:rPr>
      </w:pPr>
    </w:p>
    <w:p w14:paraId="2F76B9D4">
      <w:pPr>
        <w:keepNext w:val="0"/>
        <w:keepLines w:val="0"/>
        <w:pageBreakBefore w:val="0"/>
        <w:widowControl w:val="0"/>
        <w:kinsoku/>
        <w:wordWrap/>
        <w:overflowPunct/>
        <w:topLinePunct w:val="0"/>
        <w:autoSpaceDE w:val="0"/>
        <w:autoSpaceDN w:val="0"/>
        <w:bidi w:val="0"/>
        <w:adjustRightInd/>
        <w:snapToGrid/>
        <w:spacing w:after="0" w:line="400" w:lineRule="exact"/>
        <w:textAlignment w:val="auto"/>
        <w:rPr>
          <w:sz w:val="2"/>
          <w:szCs w:val="2"/>
        </w:rPr>
        <w:sectPr>
          <w:pgSz w:w="11910" w:h="16840"/>
          <w:pgMar w:top="1240" w:right="900" w:bottom="940" w:left="960" w:header="0" w:footer="748" w:gutter="0"/>
          <w:pgNumType w:fmt="decimal"/>
          <w:cols w:space="720" w:num="1"/>
        </w:sectPr>
      </w:pPr>
    </w:p>
    <w:tbl>
      <w:tblPr>
        <w:tblStyle w:val="13"/>
        <w:tblW w:w="0" w:type="auto"/>
        <w:tblInd w:w="1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436"/>
        <w:gridCol w:w="7544"/>
      </w:tblGrid>
      <w:tr w14:paraId="498D9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6" w:hRule="atLeast"/>
        </w:trPr>
        <w:tc>
          <w:tcPr>
            <w:tcW w:w="686" w:type="dxa"/>
            <w:tcBorders>
              <w:bottom w:val="single" w:color="000000" w:sz="4" w:space="0"/>
            </w:tcBorders>
          </w:tcPr>
          <w:p w14:paraId="4A9689EC">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Times New Roman"/>
                <w:sz w:val="20"/>
              </w:rPr>
            </w:pPr>
          </w:p>
        </w:tc>
        <w:tc>
          <w:tcPr>
            <w:tcW w:w="1436" w:type="dxa"/>
            <w:tcBorders>
              <w:bottom w:val="single" w:color="000000" w:sz="4" w:space="0"/>
              <w:right w:val="single" w:color="000000" w:sz="4" w:space="0"/>
            </w:tcBorders>
          </w:tcPr>
          <w:p w14:paraId="3ABE2F77">
            <w:pPr>
              <w:pStyle w:val="1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Times New Roman"/>
                <w:sz w:val="20"/>
              </w:rPr>
            </w:pPr>
          </w:p>
        </w:tc>
        <w:tc>
          <w:tcPr>
            <w:tcW w:w="7544" w:type="dxa"/>
            <w:tcBorders>
              <w:left w:val="single" w:color="000000" w:sz="4" w:space="0"/>
              <w:bottom w:val="single" w:color="000000" w:sz="4" w:space="0"/>
            </w:tcBorders>
          </w:tcPr>
          <w:p w14:paraId="71972B01">
            <w:pPr>
              <w:pStyle w:val="18"/>
              <w:keepNext w:val="0"/>
              <w:keepLines w:val="0"/>
              <w:pageBreakBefore w:val="0"/>
              <w:widowControl w:val="0"/>
              <w:numPr>
                <w:ilvl w:val="0"/>
                <w:numId w:val="0"/>
              </w:numPr>
              <w:tabs>
                <w:tab w:val="left" w:pos="556"/>
              </w:tabs>
              <w:kinsoku/>
              <w:wordWrap/>
              <w:overflowPunct/>
              <w:topLinePunct w:val="0"/>
              <w:autoSpaceDE w:val="0"/>
              <w:autoSpaceDN w:val="0"/>
              <w:bidi w:val="0"/>
              <w:adjustRightInd/>
              <w:snapToGrid/>
              <w:spacing w:before="132" w:after="0" w:line="400" w:lineRule="exact"/>
              <w:ind w:left="28" w:leftChars="0" w:right="91" w:rightChars="0"/>
              <w:jc w:val="both"/>
              <w:textAlignment w:val="auto"/>
              <w:rPr>
                <w:sz w:val="21"/>
              </w:rPr>
            </w:pPr>
            <w:r>
              <w:rPr>
                <w:rFonts w:hint="eastAsia"/>
                <w:sz w:val="21"/>
                <w:lang w:eastAsia="zh-CN"/>
              </w:rPr>
              <w:t>（</w:t>
            </w:r>
            <w:r>
              <w:rPr>
                <w:rFonts w:hint="eastAsia"/>
                <w:sz w:val="21"/>
                <w:lang w:val="en-US" w:eastAsia="zh-CN"/>
              </w:rPr>
              <w:t>2</w:t>
            </w:r>
            <w:r>
              <w:rPr>
                <w:rFonts w:hint="eastAsia"/>
                <w:sz w:val="21"/>
                <w:lang w:eastAsia="zh-CN"/>
              </w:rPr>
              <w:t>）</w:t>
            </w:r>
            <w:r>
              <w:rPr>
                <w:sz w:val="21"/>
              </w:rPr>
              <w:t>账号：</w:t>
            </w:r>
            <w:r>
              <w:rPr>
                <w:rFonts w:hint="eastAsia"/>
                <w:sz w:val="21"/>
              </w:rPr>
              <w:t>8521  3001  2010  1091  23223</w:t>
            </w:r>
          </w:p>
          <w:p w14:paraId="5F259CD3">
            <w:pPr>
              <w:pStyle w:val="18"/>
              <w:keepNext w:val="0"/>
              <w:keepLines w:val="0"/>
              <w:pageBreakBefore w:val="0"/>
              <w:widowControl w:val="0"/>
              <w:numPr>
                <w:ilvl w:val="0"/>
                <w:numId w:val="0"/>
              </w:numPr>
              <w:tabs>
                <w:tab w:val="left" w:pos="556"/>
              </w:tabs>
              <w:kinsoku/>
              <w:wordWrap/>
              <w:overflowPunct/>
              <w:topLinePunct w:val="0"/>
              <w:autoSpaceDE w:val="0"/>
              <w:autoSpaceDN w:val="0"/>
              <w:bidi w:val="0"/>
              <w:adjustRightInd/>
              <w:snapToGrid/>
              <w:spacing w:before="132" w:after="0" w:line="400" w:lineRule="exact"/>
              <w:ind w:left="28" w:leftChars="0" w:right="91" w:rightChars="0"/>
              <w:jc w:val="both"/>
              <w:textAlignment w:val="auto"/>
              <w:rPr>
                <w:sz w:val="21"/>
              </w:rPr>
            </w:pPr>
            <w:r>
              <w:rPr>
                <w:rFonts w:hint="eastAsia"/>
                <w:spacing w:val="-2"/>
                <w:sz w:val="21"/>
                <w:lang w:eastAsia="zh-CN"/>
              </w:rPr>
              <w:t>（</w:t>
            </w:r>
            <w:r>
              <w:rPr>
                <w:rFonts w:hint="eastAsia"/>
                <w:spacing w:val="-2"/>
                <w:sz w:val="21"/>
                <w:lang w:val="en-US" w:eastAsia="zh-CN"/>
              </w:rPr>
              <w:t>3</w:t>
            </w:r>
            <w:r>
              <w:rPr>
                <w:rFonts w:hint="eastAsia"/>
                <w:spacing w:val="-2"/>
                <w:sz w:val="21"/>
                <w:lang w:eastAsia="zh-CN"/>
              </w:rPr>
              <w:t>）</w:t>
            </w:r>
            <w:r>
              <w:rPr>
                <w:spacing w:val="-2"/>
                <w:sz w:val="21"/>
              </w:rPr>
              <w:t>以政采云电子保函形式递交的，按照以下形式在线申请并在投标截止时间前</w:t>
            </w:r>
            <w:r>
              <w:rPr>
                <w:sz w:val="21"/>
              </w:rPr>
              <w:t>办理完成：新疆政府采购网-“电子保函”页面，在线完成保函的申请、审核、</w:t>
            </w:r>
            <w:r>
              <w:rPr>
                <w:spacing w:val="-7"/>
                <w:w w:val="95"/>
                <w:sz w:val="21"/>
              </w:rPr>
              <w:t xml:space="preserve"> </w:t>
            </w:r>
            <w:r>
              <w:rPr>
                <w:sz w:val="21"/>
              </w:rPr>
              <w:t>出函等环节。如遇问题可拨打政府采购咨询热线：95763；</w:t>
            </w:r>
          </w:p>
          <w:p w14:paraId="3BC7FC93">
            <w:pPr>
              <w:pStyle w:val="18"/>
              <w:keepNext w:val="0"/>
              <w:keepLines w:val="0"/>
              <w:pageBreakBefore w:val="0"/>
              <w:widowControl w:val="0"/>
              <w:numPr>
                <w:ilvl w:val="0"/>
                <w:numId w:val="0"/>
              </w:numPr>
              <w:tabs>
                <w:tab w:val="left" w:pos="556"/>
              </w:tabs>
              <w:kinsoku/>
              <w:wordWrap/>
              <w:overflowPunct/>
              <w:topLinePunct w:val="0"/>
              <w:autoSpaceDE w:val="0"/>
              <w:autoSpaceDN w:val="0"/>
              <w:bidi w:val="0"/>
              <w:adjustRightInd/>
              <w:snapToGrid/>
              <w:spacing w:before="0" w:after="0" w:line="400" w:lineRule="exact"/>
              <w:ind w:left="28" w:leftChars="0" w:right="93" w:rightChars="0"/>
              <w:jc w:val="both"/>
              <w:textAlignment w:val="auto"/>
              <w:rPr>
                <w:sz w:val="21"/>
              </w:rPr>
            </w:pPr>
            <w:r>
              <w:rPr>
                <w:rFonts w:hint="eastAsia"/>
                <w:spacing w:val="-3"/>
                <w:sz w:val="21"/>
                <w:lang w:eastAsia="zh-CN"/>
              </w:rPr>
              <w:t>（</w:t>
            </w:r>
            <w:r>
              <w:rPr>
                <w:rFonts w:hint="eastAsia"/>
                <w:spacing w:val="-3"/>
                <w:sz w:val="21"/>
                <w:lang w:val="en-US" w:eastAsia="zh-CN"/>
              </w:rPr>
              <w:t>4</w:t>
            </w:r>
            <w:r>
              <w:rPr>
                <w:rFonts w:hint="eastAsia"/>
                <w:spacing w:val="-3"/>
                <w:sz w:val="21"/>
                <w:lang w:eastAsia="zh-CN"/>
              </w:rPr>
              <w:t>）</w:t>
            </w:r>
            <w:r>
              <w:rPr>
                <w:spacing w:val="-3"/>
                <w:sz w:val="21"/>
              </w:rPr>
              <w:t>投标保证金的退还：采购人或者采购代理机构应当自中标通知书发出之日</w:t>
            </w:r>
            <w:r>
              <w:rPr>
                <w:spacing w:val="2"/>
                <w:sz w:val="21"/>
              </w:rPr>
              <w:t xml:space="preserve">起 </w:t>
            </w:r>
            <w:r>
              <w:rPr>
                <w:spacing w:val="3"/>
                <w:sz w:val="21"/>
              </w:rPr>
              <w:t>5</w:t>
            </w:r>
            <w:r>
              <w:rPr>
                <w:sz w:val="21"/>
              </w:rPr>
              <w:t>个工作日内退还未中标人的投标保证金，自采购合同签订之日起5个工作日内退还中标人的投标保证金。退还时请提供准确银行账户信息，因信息错误造成的损失由投标人自行承担。出现法律法规或招标文件规定的不予退还保证金情形的，投标保证金将不予退还。</w:t>
            </w:r>
          </w:p>
          <w:p w14:paraId="3DC374CE">
            <w:pPr>
              <w:pStyle w:val="18"/>
              <w:keepNext w:val="0"/>
              <w:keepLines w:val="0"/>
              <w:pageBreakBefore w:val="0"/>
              <w:widowControl w:val="0"/>
              <w:kinsoku/>
              <w:wordWrap/>
              <w:overflowPunct/>
              <w:topLinePunct w:val="0"/>
              <w:autoSpaceDE w:val="0"/>
              <w:autoSpaceDN w:val="0"/>
              <w:bidi w:val="0"/>
              <w:adjustRightInd/>
              <w:snapToGrid/>
              <w:spacing w:line="400" w:lineRule="exact"/>
              <w:ind w:left="28" w:right="91"/>
              <w:textAlignment w:val="auto"/>
              <w:rPr>
                <w:sz w:val="21"/>
              </w:rPr>
            </w:pPr>
            <w:r>
              <w:rPr>
                <w:b/>
                <w:sz w:val="21"/>
              </w:rPr>
              <w:t>注：</w:t>
            </w:r>
            <w:r>
              <w:rPr>
                <w:b/>
                <w:sz w:val="21"/>
                <w:u w:val="single"/>
              </w:rPr>
              <w:t>投标保证金应标注清楚标项名称</w:t>
            </w:r>
            <w:r>
              <w:rPr>
                <w:sz w:val="21"/>
              </w:rPr>
              <w:t>，必须于</w:t>
            </w:r>
            <w:r>
              <w:rPr>
                <w:b/>
                <w:sz w:val="21"/>
              </w:rPr>
              <w:t>投标文件递交截止时间</w:t>
            </w:r>
            <w:r>
              <w:rPr>
                <w:sz w:val="21"/>
              </w:rPr>
              <w:t>（以实际到账时间为准）之前缴纳，否则其投标文件将被</w:t>
            </w:r>
            <w:r>
              <w:rPr>
                <w:b/>
                <w:sz w:val="21"/>
                <w:u w:val="single"/>
              </w:rPr>
              <w:t>拒绝</w:t>
            </w:r>
            <w:r>
              <w:rPr>
                <w:sz w:val="21"/>
              </w:rPr>
              <w:t>评审，视为无效投标，投标人</w:t>
            </w:r>
          </w:p>
          <w:p w14:paraId="30374FFA">
            <w:pPr>
              <w:pStyle w:val="18"/>
              <w:keepNext w:val="0"/>
              <w:keepLines w:val="0"/>
              <w:pageBreakBefore w:val="0"/>
              <w:widowControl w:val="0"/>
              <w:kinsoku/>
              <w:wordWrap/>
              <w:overflowPunct/>
              <w:topLinePunct w:val="0"/>
              <w:autoSpaceDE w:val="0"/>
              <w:autoSpaceDN w:val="0"/>
              <w:bidi w:val="0"/>
              <w:adjustRightInd/>
              <w:snapToGrid/>
              <w:spacing w:line="400" w:lineRule="exact"/>
              <w:ind w:left="28"/>
              <w:textAlignment w:val="auto"/>
              <w:rPr>
                <w:sz w:val="21"/>
              </w:rPr>
            </w:pPr>
            <w:r>
              <w:rPr>
                <w:sz w:val="21"/>
              </w:rPr>
              <w:t>提交投标保证金应充分考虑资金在途时间。</w:t>
            </w:r>
          </w:p>
        </w:tc>
      </w:tr>
      <w:tr w14:paraId="676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686" w:type="dxa"/>
            <w:tcBorders>
              <w:top w:val="single" w:color="000000" w:sz="4" w:space="0"/>
            </w:tcBorders>
          </w:tcPr>
          <w:p w14:paraId="473C8421">
            <w:pPr>
              <w:pStyle w:val="18"/>
              <w:spacing w:before="137"/>
              <w:ind w:left="197"/>
              <w:rPr>
                <w:rFonts w:hint="eastAsia" w:eastAsia="宋体"/>
                <w:sz w:val="21"/>
                <w:lang w:eastAsia="zh-CN"/>
              </w:rPr>
            </w:pPr>
            <w:r>
              <w:rPr>
                <w:sz w:val="21"/>
              </w:rPr>
              <w:t>1</w:t>
            </w:r>
            <w:r>
              <w:rPr>
                <w:rFonts w:hint="eastAsia"/>
                <w:sz w:val="21"/>
                <w:lang w:val="en-US" w:eastAsia="zh-CN"/>
              </w:rPr>
              <w:t>3</w:t>
            </w:r>
          </w:p>
        </w:tc>
        <w:tc>
          <w:tcPr>
            <w:tcW w:w="1436" w:type="dxa"/>
            <w:tcBorders>
              <w:top w:val="single" w:color="000000" w:sz="4" w:space="0"/>
            </w:tcBorders>
          </w:tcPr>
          <w:p w14:paraId="1BA794C9">
            <w:pPr>
              <w:pStyle w:val="18"/>
              <w:spacing w:before="137"/>
              <w:ind w:left="46" w:right="111"/>
              <w:jc w:val="center"/>
              <w:rPr>
                <w:sz w:val="21"/>
              </w:rPr>
            </w:pPr>
            <w:r>
              <w:rPr>
                <w:sz w:val="21"/>
              </w:rPr>
              <w:t>投标有效期</w:t>
            </w:r>
          </w:p>
        </w:tc>
        <w:tc>
          <w:tcPr>
            <w:tcW w:w="7544" w:type="dxa"/>
            <w:tcBorders>
              <w:top w:val="single" w:color="000000" w:sz="4" w:space="0"/>
            </w:tcBorders>
          </w:tcPr>
          <w:p w14:paraId="667781CC">
            <w:pPr>
              <w:pStyle w:val="18"/>
              <w:spacing w:before="137"/>
              <w:ind w:left="26"/>
              <w:rPr>
                <w:b/>
                <w:sz w:val="21"/>
              </w:rPr>
            </w:pPr>
            <w:r>
              <w:rPr>
                <w:b/>
                <w:sz w:val="21"/>
              </w:rPr>
              <w:t>90日历日（自投标截止之日起计算）</w:t>
            </w:r>
          </w:p>
        </w:tc>
      </w:tr>
      <w:tr w14:paraId="4B79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1" w:hRule="atLeast"/>
        </w:trPr>
        <w:tc>
          <w:tcPr>
            <w:tcW w:w="686" w:type="dxa"/>
          </w:tcPr>
          <w:p w14:paraId="7436B664">
            <w:pPr>
              <w:pStyle w:val="18"/>
              <w:rPr>
                <w:b/>
                <w:sz w:val="20"/>
              </w:rPr>
            </w:pPr>
          </w:p>
          <w:p w14:paraId="1189BF1A">
            <w:pPr>
              <w:pStyle w:val="18"/>
              <w:rPr>
                <w:b/>
                <w:sz w:val="20"/>
              </w:rPr>
            </w:pPr>
          </w:p>
          <w:p w14:paraId="4B8ED4A0">
            <w:pPr>
              <w:pStyle w:val="18"/>
              <w:spacing w:before="3"/>
              <w:rPr>
                <w:b/>
                <w:sz w:val="17"/>
              </w:rPr>
            </w:pPr>
          </w:p>
          <w:p w14:paraId="28459EF6">
            <w:pPr>
              <w:pStyle w:val="18"/>
              <w:ind w:left="197"/>
              <w:rPr>
                <w:rFonts w:hint="eastAsia" w:eastAsia="宋体"/>
                <w:sz w:val="21"/>
                <w:lang w:eastAsia="zh-CN"/>
              </w:rPr>
            </w:pPr>
            <w:r>
              <w:rPr>
                <w:sz w:val="21"/>
              </w:rPr>
              <w:t>1</w:t>
            </w:r>
            <w:r>
              <w:rPr>
                <w:rFonts w:hint="eastAsia"/>
                <w:sz w:val="21"/>
                <w:lang w:val="en-US" w:eastAsia="zh-CN"/>
              </w:rPr>
              <w:t>4</w:t>
            </w:r>
          </w:p>
        </w:tc>
        <w:tc>
          <w:tcPr>
            <w:tcW w:w="1436" w:type="dxa"/>
          </w:tcPr>
          <w:p w14:paraId="0A73A26B">
            <w:pPr>
              <w:pStyle w:val="18"/>
              <w:rPr>
                <w:b/>
                <w:sz w:val="20"/>
              </w:rPr>
            </w:pPr>
          </w:p>
          <w:p w14:paraId="58A2A8DC">
            <w:pPr>
              <w:pStyle w:val="18"/>
              <w:spacing w:before="6"/>
              <w:rPr>
                <w:b/>
                <w:sz w:val="21"/>
              </w:rPr>
            </w:pPr>
          </w:p>
          <w:p w14:paraId="3630D4AB">
            <w:pPr>
              <w:pStyle w:val="18"/>
              <w:spacing w:before="1" w:line="357" w:lineRule="auto"/>
              <w:ind w:left="152" w:right="217"/>
              <w:rPr>
                <w:sz w:val="21"/>
              </w:rPr>
            </w:pPr>
            <w:r>
              <w:rPr>
                <w:sz w:val="21"/>
              </w:rPr>
              <w:t>投标文件的上传和递交</w:t>
            </w:r>
          </w:p>
        </w:tc>
        <w:tc>
          <w:tcPr>
            <w:tcW w:w="7544" w:type="dxa"/>
          </w:tcPr>
          <w:p w14:paraId="31A9920B">
            <w:pPr>
              <w:pStyle w:val="18"/>
              <w:spacing w:before="134" w:line="357" w:lineRule="auto"/>
              <w:ind w:left="26" w:right="91"/>
              <w:jc w:val="both"/>
              <w:rPr>
                <w:b/>
                <w:sz w:val="21"/>
              </w:rPr>
            </w:pPr>
            <w:r>
              <w:rPr>
                <w:b/>
                <w:sz w:val="21"/>
              </w:rPr>
              <w:t>电子加密投标文件：</w:t>
            </w:r>
            <w:r>
              <w:rPr>
                <w:sz w:val="21"/>
              </w:rPr>
              <w:t>投标文件制作完成并生成加密标书，在投标截止时间前，投标人将加密的投标文件上传至政采云平台，</w:t>
            </w:r>
            <w:r>
              <w:rPr>
                <w:b/>
                <w:sz w:val="21"/>
              </w:rPr>
              <w:t>未能在投标截止时间前成功上传电子</w:t>
            </w:r>
            <w:r>
              <w:rPr>
                <w:b/>
                <w:w w:val="95"/>
                <w:sz w:val="21"/>
              </w:rPr>
              <w:t>加密投标文件的投标无效</w:t>
            </w:r>
            <w:r>
              <w:rPr>
                <w:w w:val="95"/>
                <w:sz w:val="21"/>
              </w:rPr>
              <w:t>。</w:t>
            </w:r>
            <w:r>
              <w:rPr>
                <w:sz w:val="21"/>
              </w:rPr>
              <w:t>在开标时间开始后，待采购代理机构发出解密通知后</w:t>
            </w:r>
            <w:r>
              <w:rPr>
                <w:b/>
                <w:w w:val="95"/>
                <w:sz w:val="21"/>
                <w:u w:val="single"/>
              </w:rPr>
              <w:t>3</w:t>
            </w:r>
            <w:r>
              <w:rPr>
                <w:b/>
                <w:sz w:val="21"/>
                <w:u w:val="single"/>
              </w:rPr>
              <w:t>0分钟内</w:t>
            </w:r>
            <w:r>
              <w:rPr>
                <w:sz w:val="21"/>
              </w:rPr>
              <w:t>解密投标文件，</w:t>
            </w:r>
            <w:r>
              <w:rPr>
                <w:b/>
                <w:sz w:val="21"/>
              </w:rPr>
              <w:t>未在规定时间内解密投标文件的视为投标无效。</w:t>
            </w:r>
          </w:p>
        </w:tc>
      </w:tr>
      <w:tr w14:paraId="5D3E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686" w:type="dxa"/>
          </w:tcPr>
          <w:p w14:paraId="158D6EE4">
            <w:pPr>
              <w:pStyle w:val="18"/>
              <w:spacing w:before="1"/>
              <w:rPr>
                <w:b/>
                <w:sz w:val="26"/>
              </w:rPr>
            </w:pPr>
          </w:p>
          <w:p w14:paraId="6E3B485C">
            <w:pPr>
              <w:pStyle w:val="18"/>
              <w:ind w:left="197"/>
              <w:rPr>
                <w:rFonts w:hint="eastAsia" w:eastAsia="宋体"/>
                <w:sz w:val="21"/>
                <w:lang w:eastAsia="zh-CN"/>
              </w:rPr>
            </w:pPr>
            <w:r>
              <w:rPr>
                <w:sz w:val="21"/>
              </w:rPr>
              <w:t>1</w:t>
            </w:r>
            <w:r>
              <w:rPr>
                <w:rFonts w:hint="eastAsia"/>
                <w:sz w:val="21"/>
                <w:lang w:val="en-US" w:eastAsia="zh-CN"/>
              </w:rPr>
              <w:t>5</w:t>
            </w:r>
          </w:p>
        </w:tc>
        <w:tc>
          <w:tcPr>
            <w:tcW w:w="1436" w:type="dxa"/>
          </w:tcPr>
          <w:p w14:paraId="4950E535">
            <w:pPr>
              <w:pStyle w:val="18"/>
              <w:spacing w:before="1" w:line="400" w:lineRule="atLeast"/>
              <w:ind w:left="466" w:right="323" w:hanging="209"/>
              <w:rPr>
                <w:sz w:val="21"/>
              </w:rPr>
            </w:pPr>
            <w:r>
              <w:rPr>
                <w:sz w:val="21"/>
              </w:rPr>
              <w:t>投标文件份数</w:t>
            </w:r>
          </w:p>
        </w:tc>
        <w:tc>
          <w:tcPr>
            <w:tcW w:w="7544" w:type="dxa"/>
          </w:tcPr>
          <w:p w14:paraId="6BA097FE">
            <w:pPr>
              <w:pStyle w:val="18"/>
              <w:spacing w:before="1" w:line="400" w:lineRule="atLeast"/>
              <w:ind w:left="26" w:right="91"/>
              <w:rPr>
                <w:sz w:val="21"/>
              </w:rPr>
            </w:pPr>
            <w:r>
              <w:rPr>
                <w:b/>
                <w:spacing w:val="-3"/>
                <w:w w:val="95"/>
                <w:sz w:val="21"/>
              </w:rPr>
              <w:t>本项目为不见面开标，</w:t>
            </w:r>
            <w:r>
              <w:rPr>
                <w:spacing w:val="-5"/>
                <w:sz w:val="21"/>
              </w:rPr>
              <w:t>无需现场提交纸质版投标文件及电子版U盘或光盘，加密的电子投标文件在投标截止时间前通过CA在政采云平台上传。</w:t>
            </w:r>
          </w:p>
        </w:tc>
      </w:tr>
      <w:tr w14:paraId="5050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686" w:type="dxa"/>
          </w:tcPr>
          <w:p w14:paraId="5112A86C">
            <w:pPr>
              <w:pStyle w:val="18"/>
              <w:spacing w:before="137"/>
              <w:ind w:left="197"/>
              <w:rPr>
                <w:rFonts w:hint="eastAsia" w:eastAsia="宋体"/>
                <w:sz w:val="21"/>
                <w:lang w:eastAsia="zh-CN"/>
              </w:rPr>
            </w:pPr>
            <w:r>
              <w:rPr>
                <w:sz w:val="21"/>
              </w:rPr>
              <w:t>1</w:t>
            </w:r>
            <w:r>
              <w:rPr>
                <w:rFonts w:hint="eastAsia"/>
                <w:sz w:val="21"/>
                <w:lang w:val="en-US" w:eastAsia="zh-CN"/>
              </w:rPr>
              <w:t>6</w:t>
            </w:r>
          </w:p>
        </w:tc>
        <w:tc>
          <w:tcPr>
            <w:tcW w:w="1436" w:type="dxa"/>
          </w:tcPr>
          <w:p w14:paraId="1ADDD057">
            <w:pPr>
              <w:pStyle w:val="18"/>
              <w:spacing w:before="137"/>
              <w:ind w:left="46" w:right="111"/>
              <w:jc w:val="center"/>
              <w:rPr>
                <w:sz w:val="21"/>
              </w:rPr>
            </w:pPr>
            <w:r>
              <w:rPr>
                <w:sz w:val="21"/>
              </w:rPr>
              <w:t>评标方法</w:t>
            </w:r>
          </w:p>
        </w:tc>
        <w:tc>
          <w:tcPr>
            <w:tcW w:w="7544" w:type="dxa"/>
          </w:tcPr>
          <w:p w14:paraId="07E51EA9">
            <w:pPr>
              <w:pStyle w:val="18"/>
              <w:spacing w:before="137"/>
              <w:ind w:left="26"/>
              <w:rPr>
                <w:sz w:val="21"/>
              </w:rPr>
            </w:pPr>
            <w:r>
              <w:rPr>
                <w:b/>
                <w:sz w:val="21"/>
              </w:rPr>
              <w:t>综合评分法</w:t>
            </w:r>
            <w:r>
              <w:rPr>
                <w:sz w:val="21"/>
              </w:rPr>
              <w:t>（详见第三章 评标方法）</w:t>
            </w:r>
          </w:p>
        </w:tc>
      </w:tr>
      <w:tr w14:paraId="62DF3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686" w:type="dxa"/>
          </w:tcPr>
          <w:p w14:paraId="7251F75F">
            <w:pPr>
              <w:pStyle w:val="18"/>
              <w:spacing w:before="4"/>
              <w:rPr>
                <w:b/>
                <w:sz w:val="26"/>
              </w:rPr>
            </w:pPr>
          </w:p>
          <w:p w14:paraId="2ECB5C2F">
            <w:pPr>
              <w:pStyle w:val="18"/>
              <w:ind w:left="197"/>
              <w:rPr>
                <w:rFonts w:hint="eastAsia" w:eastAsia="宋体"/>
                <w:sz w:val="21"/>
                <w:lang w:eastAsia="zh-CN"/>
              </w:rPr>
            </w:pPr>
            <w:r>
              <w:rPr>
                <w:sz w:val="21"/>
              </w:rPr>
              <w:t>1</w:t>
            </w:r>
            <w:r>
              <w:rPr>
                <w:rFonts w:hint="eastAsia"/>
                <w:sz w:val="21"/>
                <w:lang w:val="en-US" w:eastAsia="zh-CN"/>
              </w:rPr>
              <w:t>7</w:t>
            </w:r>
          </w:p>
        </w:tc>
        <w:tc>
          <w:tcPr>
            <w:tcW w:w="1436" w:type="dxa"/>
          </w:tcPr>
          <w:p w14:paraId="309259A2">
            <w:pPr>
              <w:pStyle w:val="18"/>
              <w:spacing w:before="7" w:line="400" w:lineRule="atLeast"/>
              <w:ind w:left="466" w:right="114" w:hanging="420"/>
              <w:rPr>
                <w:sz w:val="21"/>
              </w:rPr>
            </w:pPr>
            <w:r>
              <w:rPr>
                <w:sz w:val="21"/>
              </w:rPr>
              <w:t>评标委员会的组建</w:t>
            </w:r>
          </w:p>
        </w:tc>
        <w:tc>
          <w:tcPr>
            <w:tcW w:w="7544" w:type="dxa"/>
          </w:tcPr>
          <w:p w14:paraId="6C2ACE33">
            <w:pPr>
              <w:pStyle w:val="18"/>
              <w:spacing w:before="7" w:line="400" w:lineRule="atLeast"/>
              <w:ind w:left="26" w:right="1831"/>
              <w:rPr>
                <w:b/>
                <w:spacing w:val="-15"/>
                <w:sz w:val="21"/>
              </w:rPr>
            </w:pPr>
            <w:r>
              <w:rPr>
                <w:b/>
                <w:sz w:val="21"/>
              </w:rPr>
              <w:t>评标委员会构成：</w:t>
            </w:r>
            <w:r>
              <w:rPr>
                <w:b/>
                <w:sz w:val="21"/>
                <w:u w:val="single"/>
              </w:rPr>
              <w:t>5</w:t>
            </w:r>
            <w:r>
              <w:rPr>
                <w:b/>
                <w:spacing w:val="-11"/>
                <w:sz w:val="21"/>
              </w:rPr>
              <w:t xml:space="preserve"> 人，其中采购人代表 </w:t>
            </w:r>
            <w:r>
              <w:rPr>
                <w:rFonts w:hint="eastAsia"/>
                <w:b/>
                <w:sz w:val="21"/>
                <w:u w:val="single"/>
                <w:lang w:val="en-US" w:eastAsia="zh-CN"/>
              </w:rPr>
              <w:t>0</w:t>
            </w:r>
            <w:r>
              <w:rPr>
                <w:b/>
                <w:spacing w:val="-17"/>
                <w:sz w:val="21"/>
              </w:rPr>
              <w:t xml:space="preserve">人，专家 </w:t>
            </w:r>
            <w:r>
              <w:rPr>
                <w:rFonts w:hint="eastAsia"/>
                <w:b/>
                <w:sz w:val="21"/>
                <w:u w:val="single"/>
                <w:lang w:val="en-US" w:eastAsia="zh-CN"/>
              </w:rPr>
              <w:t>5</w:t>
            </w:r>
            <w:r>
              <w:rPr>
                <w:b/>
                <w:spacing w:val="-15"/>
                <w:sz w:val="21"/>
              </w:rPr>
              <w:t xml:space="preserve"> 人；</w:t>
            </w:r>
          </w:p>
          <w:p w14:paraId="57404FF3">
            <w:pPr>
              <w:pStyle w:val="18"/>
              <w:spacing w:before="7" w:line="400" w:lineRule="atLeast"/>
              <w:ind w:left="26" w:right="1831"/>
              <w:rPr>
                <w:sz w:val="21"/>
              </w:rPr>
            </w:pPr>
            <w:r>
              <w:rPr>
                <w:spacing w:val="-5"/>
                <w:sz w:val="21"/>
              </w:rPr>
              <w:t>评标专家确定方式：从政府采购云平台专家名册中随机抽取。</w:t>
            </w:r>
          </w:p>
        </w:tc>
      </w:tr>
      <w:tr w14:paraId="58B5D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686" w:type="dxa"/>
          </w:tcPr>
          <w:p w14:paraId="445C6A3D">
            <w:pPr>
              <w:pStyle w:val="18"/>
              <w:spacing w:before="5"/>
              <w:rPr>
                <w:b/>
                <w:sz w:val="26"/>
              </w:rPr>
            </w:pPr>
          </w:p>
          <w:p w14:paraId="1396614F">
            <w:pPr>
              <w:pStyle w:val="18"/>
              <w:spacing w:before="1"/>
              <w:ind w:left="197"/>
              <w:rPr>
                <w:rFonts w:hint="eastAsia" w:eastAsia="宋体"/>
                <w:sz w:val="21"/>
                <w:lang w:eastAsia="zh-CN"/>
              </w:rPr>
            </w:pPr>
            <w:r>
              <w:rPr>
                <w:sz w:val="21"/>
              </w:rPr>
              <w:t>1</w:t>
            </w:r>
            <w:r>
              <w:rPr>
                <w:rFonts w:hint="eastAsia"/>
                <w:sz w:val="21"/>
                <w:lang w:val="en-US" w:eastAsia="zh-CN"/>
              </w:rPr>
              <w:t>8</w:t>
            </w:r>
          </w:p>
        </w:tc>
        <w:tc>
          <w:tcPr>
            <w:tcW w:w="1436" w:type="dxa"/>
          </w:tcPr>
          <w:p w14:paraId="009478D7">
            <w:pPr>
              <w:pStyle w:val="18"/>
              <w:spacing w:before="6" w:line="400" w:lineRule="atLeast"/>
              <w:ind w:left="257" w:right="112" w:hanging="212"/>
              <w:rPr>
                <w:sz w:val="21"/>
              </w:rPr>
            </w:pPr>
            <w:r>
              <w:rPr>
                <w:sz w:val="21"/>
              </w:rPr>
              <w:t>推荐的中标候选人数量</w:t>
            </w:r>
          </w:p>
        </w:tc>
        <w:tc>
          <w:tcPr>
            <w:tcW w:w="7544" w:type="dxa"/>
          </w:tcPr>
          <w:p w14:paraId="16DC0525">
            <w:pPr>
              <w:pStyle w:val="18"/>
              <w:spacing w:before="5"/>
              <w:rPr>
                <w:b/>
                <w:sz w:val="26"/>
              </w:rPr>
            </w:pPr>
          </w:p>
          <w:p w14:paraId="2E7E4BCE">
            <w:pPr>
              <w:pStyle w:val="18"/>
              <w:spacing w:before="1"/>
              <w:ind w:left="26"/>
              <w:rPr>
                <w:sz w:val="21"/>
              </w:rPr>
            </w:pPr>
            <w:r>
              <w:rPr>
                <w:sz w:val="21"/>
              </w:rPr>
              <w:t>3名，并标明排序。</w:t>
            </w:r>
          </w:p>
        </w:tc>
      </w:tr>
      <w:tr w14:paraId="4E7E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686" w:type="dxa"/>
          </w:tcPr>
          <w:p w14:paraId="3EA300B5">
            <w:pPr>
              <w:pStyle w:val="18"/>
              <w:rPr>
                <w:b/>
                <w:sz w:val="20"/>
              </w:rPr>
            </w:pPr>
          </w:p>
          <w:p w14:paraId="69E63ACF">
            <w:pPr>
              <w:pStyle w:val="18"/>
              <w:spacing w:before="12"/>
              <w:rPr>
                <w:b/>
                <w:sz w:val="21"/>
              </w:rPr>
            </w:pPr>
          </w:p>
          <w:p w14:paraId="6C7206EB">
            <w:pPr>
              <w:pStyle w:val="18"/>
              <w:ind w:left="197"/>
              <w:rPr>
                <w:rFonts w:hint="default" w:eastAsia="宋体"/>
                <w:sz w:val="21"/>
                <w:lang w:val="en-US" w:eastAsia="zh-CN"/>
              </w:rPr>
            </w:pPr>
            <w:r>
              <w:rPr>
                <w:rFonts w:hint="eastAsia"/>
                <w:sz w:val="21"/>
                <w:lang w:val="en-US" w:eastAsia="zh-CN"/>
              </w:rPr>
              <w:t>19</w:t>
            </w:r>
          </w:p>
        </w:tc>
        <w:tc>
          <w:tcPr>
            <w:tcW w:w="1436" w:type="dxa"/>
          </w:tcPr>
          <w:p w14:paraId="466968BD">
            <w:pPr>
              <w:pStyle w:val="18"/>
              <w:spacing w:before="139" w:line="355" w:lineRule="auto"/>
              <w:ind w:left="46" w:right="114"/>
              <w:jc w:val="center"/>
              <w:rPr>
                <w:sz w:val="21"/>
              </w:rPr>
            </w:pPr>
            <w:r>
              <w:rPr>
                <w:sz w:val="21"/>
              </w:rPr>
              <w:t>投标截止时间和投标文件递</w:t>
            </w:r>
          </w:p>
          <w:p w14:paraId="1350E521">
            <w:pPr>
              <w:pStyle w:val="18"/>
              <w:spacing w:before="3"/>
              <w:ind w:left="46" w:right="109"/>
              <w:jc w:val="center"/>
              <w:rPr>
                <w:sz w:val="21"/>
              </w:rPr>
            </w:pPr>
            <w:r>
              <w:rPr>
                <w:sz w:val="21"/>
              </w:rPr>
              <w:t>交地点</w:t>
            </w:r>
          </w:p>
        </w:tc>
        <w:tc>
          <w:tcPr>
            <w:tcW w:w="7544" w:type="dxa"/>
          </w:tcPr>
          <w:p w14:paraId="48BDC435">
            <w:pPr>
              <w:pStyle w:val="18"/>
              <w:spacing w:before="5"/>
              <w:rPr>
                <w:b/>
                <w:sz w:val="26"/>
              </w:rPr>
            </w:pPr>
          </w:p>
          <w:p w14:paraId="454A8CC8">
            <w:pPr>
              <w:pStyle w:val="18"/>
              <w:spacing w:line="357" w:lineRule="auto"/>
              <w:ind w:left="26" w:right="2757"/>
              <w:rPr>
                <w:sz w:val="21"/>
              </w:rPr>
            </w:pPr>
            <w:r>
              <w:rPr>
                <w:sz w:val="21"/>
              </w:rPr>
              <w:t>投标截止时间：</w:t>
            </w:r>
            <w:r>
              <w:rPr>
                <w:b/>
                <w:w w:val="95"/>
                <w:sz w:val="21"/>
                <w:u w:val="single"/>
              </w:rPr>
              <w:t>2026年</w:t>
            </w:r>
            <w:r>
              <w:rPr>
                <w:rFonts w:hint="eastAsia"/>
                <w:b/>
                <w:w w:val="95"/>
                <w:sz w:val="21"/>
                <w:u w:val="single"/>
                <w:lang w:val="en-US" w:eastAsia="zh-CN"/>
              </w:rPr>
              <w:t>06</w:t>
            </w:r>
            <w:r>
              <w:rPr>
                <w:b/>
                <w:w w:val="95"/>
                <w:sz w:val="21"/>
                <w:u w:val="single"/>
              </w:rPr>
              <w:t>月</w:t>
            </w:r>
            <w:r>
              <w:rPr>
                <w:rFonts w:hint="eastAsia"/>
                <w:b/>
                <w:w w:val="95"/>
                <w:sz w:val="21"/>
                <w:u w:val="single"/>
                <w:lang w:val="en-US" w:eastAsia="zh-CN"/>
              </w:rPr>
              <w:t>22</w:t>
            </w:r>
            <w:r>
              <w:rPr>
                <w:b/>
                <w:w w:val="95"/>
                <w:sz w:val="21"/>
                <w:u w:val="single"/>
              </w:rPr>
              <w:t>日1</w:t>
            </w:r>
            <w:r>
              <w:rPr>
                <w:rFonts w:hint="eastAsia"/>
                <w:b/>
                <w:w w:val="95"/>
                <w:sz w:val="21"/>
                <w:u w:val="single"/>
                <w:lang w:val="en-US" w:eastAsia="zh-CN"/>
              </w:rPr>
              <w:t>1</w:t>
            </w:r>
            <w:r>
              <w:rPr>
                <w:b/>
                <w:w w:val="95"/>
                <w:sz w:val="21"/>
                <w:u w:val="single"/>
              </w:rPr>
              <w:t>:</w:t>
            </w:r>
            <w:r>
              <w:rPr>
                <w:rFonts w:hint="eastAsia"/>
                <w:b/>
                <w:w w:val="95"/>
                <w:sz w:val="21"/>
                <w:u w:val="single"/>
                <w:lang w:val="en-US" w:eastAsia="zh-CN"/>
              </w:rPr>
              <w:t xml:space="preserve"> 0</w:t>
            </w:r>
            <w:r>
              <w:rPr>
                <w:b/>
                <w:w w:val="95"/>
                <w:sz w:val="21"/>
                <w:u w:val="single"/>
              </w:rPr>
              <w:t xml:space="preserve">0（北京时间） </w:t>
            </w:r>
            <w:r>
              <w:rPr>
                <w:sz w:val="21"/>
              </w:rPr>
              <w:t>投标文件递交地点：请登录政采云投标客户端投标</w:t>
            </w:r>
          </w:p>
        </w:tc>
      </w:tr>
      <w:tr w14:paraId="6F08D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686" w:type="dxa"/>
          </w:tcPr>
          <w:p w14:paraId="3061BE89">
            <w:pPr>
              <w:pStyle w:val="18"/>
              <w:ind w:left="197"/>
              <w:rPr>
                <w:rFonts w:hint="eastAsia"/>
                <w:b/>
                <w:sz w:val="20"/>
                <w:lang w:val="en-US" w:eastAsia="zh-CN"/>
              </w:rPr>
            </w:pPr>
          </w:p>
          <w:p w14:paraId="7314F816">
            <w:pPr>
              <w:pStyle w:val="18"/>
              <w:ind w:left="197"/>
              <w:rPr>
                <w:rFonts w:hint="eastAsia"/>
                <w:b/>
                <w:sz w:val="20"/>
                <w:lang w:val="en-US" w:eastAsia="zh-CN"/>
              </w:rPr>
            </w:pPr>
          </w:p>
          <w:p w14:paraId="43B1F725">
            <w:pPr>
              <w:pStyle w:val="18"/>
              <w:ind w:left="197"/>
              <w:rPr>
                <w:rFonts w:hint="default" w:eastAsia="宋体"/>
                <w:sz w:val="21"/>
                <w:lang w:val="en-US" w:eastAsia="zh-CN"/>
              </w:rPr>
            </w:pPr>
            <w:r>
              <w:rPr>
                <w:rFonts w:hint="eastAsia"/>
                <w:b/>
                <w:sz w:val="20"/>
                <w:lang w:val="en-US" w:eastAsia="zh-CN"/>
              </w:rPr>
              <w:t>20</w:t>
            </w:r>
          </w:p>
        </w:tc>
        <w:tc>
          <w:tcPr>
            <w:tcW w:w="1436" w:type="dxa"/>
          </w:tcPr>
          <w:p w14:paraId="0B0DA097">
            <w:pPr>
              <w:pStyle w:val="18"/>
              <w:spacing w:before="5"/>
              <w:rPr>
                <w:b/>
                <w:sz w:val="26"/>
              </w:rPr>
            </w:pPr>
          </w:p>
          <w:p w14:paraId="1BE5AB4A">
            <w:pPr>
              <w:pStyle w:val="18"/>
              <w:spacing w:line="355" w:lineRule="auto"/>
              <w:ind w:left="257" w:right="217" w:hanging="106"/>
              <w:rPr>
                <w:sz w:val="21"/>
              </w:rPr>
            </w:pPr>
            <w:r>
              <w:rPr>
                <w:sz w:val="21"/>
              </w:rPr>
              <w:t>开标时间和开标地点</w:t>
            </w:r>
          </w:p>
        </w:tc>
        <w:tc>
          <w:tcPr>
            <w:tcW w:w="7544" w:type="dxa"/>
          </w:tcPr>
          <w:p w14:paraId="1C20BFDE">
            <w:pPr>
              <w:pStyle w:val="18"/>
              <w:spacing w:before="137"/>
              <w:ind w:left="26"/>
              <w:rPr>
                <w:b/>
                <w:sz w:val="21"/>
              </w:rPr>
            </w:pPr>
            <w:r>
              <w:rPr>
                <w:sz w:val="21"/>
              </w:rPr>
              <w:t>开标时间：</w:t>
            </w:r>
            <w:r>
              <w:rPr>
                <w:b/>
                <w:sz w:val="21"/>
                <w:u w:val="single"/>
              </w:rPr>
              <w:t>2026年</w:t>
            </w:r>
            <w:r>
              <w:rPr>
                <w:rFonts w:hint="eastAsia"/>
                <w:b/>
                <w:sz w:val="21"/>
                <w:u w:val="single"/>
                <w:lang w:val="en-US" w:eastAsia="zh-CN"/>
              </w:rPr>
              <w:t>06</w:t>
            </w:r>
            <w:r>
              <w:rPr>
                <w:b/>
                <w:sz w:val="21"/>
                <w:u w:val="single"/>
              </w:rPr>
              <w:t>月</w:t>
            </w:r>
            <w:r>
              <w:rPr>
                <w:rFonts w:hint="eastAsia"/>
                <w:b/>
                <w:sz w:val="21"/>
                <w:u w:val="single"/>
                <w:lang w:val="en-US" w:eastAsia="zh-CN"/>
              </w:rPr>
              <w:t>22</w:t>
            </w:r>
            <w:r>
              <w:rPr>
                <w:b/>
                <w:sz w:val="21"/>
                <w:u w:val="single"/>
              </w:rPr>
              <w:t>日1</w:t>
            </w:r>
            <w:r>
              <w:rPr>
                <w:rFonts w:hint="eastAsia"/>
                <w:b/>
                <w:sz w:val="21"/>
                <w:u w:val="single"/>
                <w:lang w:val="en-US" w:eastAsia="zh-CN"/>
              </w:rPr>
              <w:t>1</w:t>
            </w:r>
            <w:r>
              <w:rPr>
                <w:b/>
                <w:sz w:val="21"/>
                <w:u w:val="single"/>
              </w:rPr>
              <w:t>:</w:t>
            </w:r>
            <w:r>
              <w:rPr>
                <w:rFonts w:hint="eastAsia"/>
                <w:b/>
                <w:sz w:val="21"/>
                <w:u w:val="single"/>
                <w:lang w:val="en-US" w:eastAsia="zh-CN"/>
              </w:rPr>
              <w:t>0</w:t>
            </w:r>
            <w:r>
              <w:rPr>
                <w:b/>
                <w:sz w:val="21"/>
                <w:u w:val="single"/>
              </w:rPr>
              <w:t>0（北京时间）</w:t>
            </w:r>
          </w:p>
          <w:p w14:paraId="150881EF">
            <w:pPr>
              <w:pStyle w:val="18"/>
              <w:spacing w:before="1" w:line="400" w:lineRule="atLeast"/>
              <w:ind w:left="26" w:right="92"/>
              <w:rPr>
                <w:sz w:val="21"/>
              </w:rPr>
            </w:pPr>
            <w:r>
              <w:rPr>
                <w:sz w:val="21"/>
              </w:rPr>
              <w:t>开标地点：投标人登录政采云平台https：//</w:t>
            </w:r>
            <w:r>
              <w:fldChar w:fldCharType="begin"/>
            </w:r>
            <w:r>
              <w:instrText xml:space="preserve"> HYPERLINK "http://www.zcygov.cn/" \h </w:instrText>
            </w:r>
            <w:r>
              <w:fldChar w:fldCharType="separate"/>
            </w:r>
            <w:r>
              <w:rPr>
                <w:sz w:val="21"/>
              </w:rPr>
              <w:t>www.zcygov.cn/</w:t>
            </w:r>
            <w:r>
              <w:rPr>
                <w:sz w:val="21"/>
              </w:rPr>
              <w:fldChar w:fldCharType="end"/>
            </w:r>
            <w:r>
              <w:rPr>
                <w:sz w:val="21"/>
              </w:rPr>
              <w:t>，进入“项目采购- 开标评标-右边选择对应项目点击“进入项目”进入开标大厅</w:t>
            </w:r>
          </w:p>
        </w:tc>
      </w:tr>
      <w:tr w14:paraId="5F20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686" w:type="dxa"/>
          </w:tcPr>
          <w:p w14:paraId="5007AB75">
            <w:pPr>
              <w:pStyle w:val="18"/>
              <w:spacing w:before="137"/>
              <w:ind w:left="197"/>
              <w:rPr>
                <w:color w:val="auto"/>
                <w:sz w:val="21"/>
              </w:rPr>
            </w:pPr>
          </w:p>
          <w:p w14:paraId="62473820">
            <w:pPr>
              <w:pStyle w:val="18"/>
              <w:spacing w:before="137"/>
              <w:ind w:left="197"/>
              <w:rPr>
                <w:rFonts w:hint="eastAsia" w:eastAsia="宋体"/>
                <w:color w:val="auto"/>
                <w:sz w:val="21"/>
                <w:lang w:eastAsia="zh-CN"/>
              </w:rPr>
            </w:pPr>
            <w:r>
              <w:rPr>
                <w:color w:val="auto"/>
                <w:sz w:val="21"/>
              </w:rPr>
              <w:t>2</w:t>
            </w:r>
            <w:r>
              <w:rPr>
                <w:rFonts w:hint="eastAsia"/>
                <w:color w:val="auto"/>
                <w:sz w:val="21"/>
                <w:lang w:val="en-US" w:eastAsia="zh-CN"/>
              </w:rPr>
              <w:t>1</w:t>
            </w:r>
          </w:p>
        </w:tc>
        <w:tc>
          <w:tcPr>
            <w:tcW w:w="1436" w:type="dxa"/>
          </w:tcPr>
          <w:p w14:paraId="72B1123C">
            <w:pPr>
              <w:pStyle w:val="18"/>
              <w:spacing w:before="137"/>
              <w:ind w:left="46" w:right="111"/>
              <w:jc w:val="center"/>
              <w:rPr>
                <w:color w:val="auto"/>
                <w:sz w:val="21"/>
              </w:rPr>
            </w:pPr>
          </w:p>
          <w:p w14:paraId="5338E6C8">
            <w:pPr>
              <w:pStyle w:val="18"/>
              <w:spacing w:before="137"/>
              <w:ind w:left="46" w:right="111"/>
              <w:jc w:val="center"/>
              <w:rPr>
                <w:color w:val="auto"/>
                <w:sz w:val="21"/>
              </w:rPr>
            </w:pPr>
            <w:r>
              <w:rPr>
                <w:color w:val="auto"/>
                <w:sz w:val="21"/>
              </w:rPr>
              <w:t>履约保证金</w:t>
            </w:r>
          </w:p>
        </w:tc>
        <w:tc>
          <w:tcPr>
            <w:tcW w:w="7544" w:type="dxa"/>
          </w:tcPr>
          <w:p w14:paraId="2E205A90">
            <w:pPr>
              <w:pStyle w:val="18"/>
              <w:spacing w:before="1" w:line="400" w:lineRule="atLeast"/>
              <w:ind w:left="26" w:right="92"/>
              <w:rPr>
                <w:rFonts w:ascii="宋体" w:hAnsi="宋体" w:eastAsia="宋体" w:cs="宋体"/>
                <w:sz w:val="21"/>
              </w:rPr>
            </w:pPr>
            <w:r>
              <w:rPr>
                <w:rFonts w:ascii="宋体" w:hAnsi="宋体" w:eastAsia="宋体" w:cs="宋体"/>
                <w:sz w:val="21"/>
              </w:rPr>
              <w:t>本项目是否要求缴纳履约保证金：</w:t>
            </w:r>
            <w:r>
              <w:rPr>
                <w:rFonts w:ascii="宋体" w:hAnsi="宋体" w:eastAsia="宋体" w:cs="宋体"/>
                <w:sz w:val="21"/>
              </w:rPr>
              <w:sym w:font="Wingdings" w:char="00FE"/>
            </w:r>
            <w:r>
              <w:rPr>
                <w:rFonts w:ascii="宋体" w:hAnsi="宋体" w:eastAsia="宋体" w:cs="宋体"/>
                <w:sz w:val="21"/>
              </w:rPr>
              <w:t>是</w:t>
            </w:r>
            <w:r>
              <w:rPr>
                <w:rFonts w:ascii="宋体" w:hAnsi="宋体" w:eastAsia="宋体" w:cs="宋体"/>
                <w:sz w:val="21"/>
              </w:rPr>
              <w:tab/>
            </w:r>
            <w:r>
              <w:rPr>
                <w:rFonts w:ascii="宋体" w:hAnsi="宋体" w:eastAsia="宋体" w:cs="宋体"/>
                <w:sz w:val="21"/>
              </w:rPr>
              <w:sym w:font="Wingdings" w:char="00A8"/>
            </w:r>
            <w:r>
              <w:rPr>
                <w:rFonts w:ascii="宋体" w:hAnsi="宋体" w:eastAsia="宋体" w:cs="宋体"/>
                <w:sz w:val="21"/>
              </w:rPr>
              <w:t>否</w:t>
            </w:r>
          </w:p>
          <w:p w14:paraId="276ED091">
            <w:pPr>
              <w:pStyle w:val="18"/>
              <w:spacing w:before="1" w:line="400" w:lineRule="atLeast"/>
              <w:ind w:left="26" w:right="92"/>
              <w:rPr>
                <w:rFonts w:hint="eastAsia" w:ascii="宋体" w:hAnsi="宋体" w:eastAsia="宋体" w:cs="宋体"/>
                <w:sz w:val="21"/>
                <w:lang w:val="en-US" w:eastAsia="zh-CN"/>
              </w:rPr>
            </w:pPr>
            <w:r>
              <w:rPr>
                <w:rFonts w:hint="eastAsia" w:ascii="宋体" w:hAnsi="宋体" w:eastAsia="宋体" w:cs="宋体"/>
                <w:sz w:val="21"/>
                <w:lang w:val="en-US" w:eastAsia="zh-CN"/>
              </w:rPr>
              <w:t xml:space="preserve">履约担保的形式：支票、汇票、银行转账或银行保函、工程保证保险 </w:t>
            </w:r>
          </w:p>
          <w:p w14:paraId="6AFCC248">
            <w:pPr>
              <w:pStyle w:val="18"/>
              <w:spacing w:before="1" w:line="400" w:lineRule="atLeast"/>
              <w:ind w:left="26" w:right="92"/>
              <w:rPr>
                <w:b/>
                <w:color w:val="FF0000"/>
                <w:sz w:val="21"/>
              </w:rPr>
            </w:pPr>
            <w:r>
              <w:rPr>
                <w:rFonts w:hint="eastAsia" w:ascii="宋体" w:hAnsi="宋体" w:eastAsia="宋体" w:cs="宋体"/>
                <w:sz w:val="21"/>
                <w:lang w:val="en-US" w:eastAsia="zh-CN"/>
              </w:rPr>
              <w:t xml:space="preserve">履约担保的金额：合同价的5% </w:t>
            </w:r>
          </w:p>
        </w:tc>
      </w:tr>
    </w:tbl>
    <w:p w14:paraId="3C7B9244">
      <w:pPr>
        <w:rPr>
          <w:sz w:val="2"/>
          <w:szCs w:val="2"/>
        </w:rPr>
      </w:pPr>
    </w:p>
    <w:p w14:paraId="7F3A40A8">
      <w:pPr>
        <w:spacing w:after="0"/>
        <w:rPr>
          <w:sz w:val="2"/>
          <w:szCs w:val="2"/>
        </w:rPr>
        <w:sectPr>
          <w:pgSz w:w="11910" w:h="16840"/>
          <w:pgMar w:top="1240" w:right="900" w:bottom="940" w:left="960" w:header="0" w:footer="748" w:gutter="0"/>
          <w:pgNumType w:fmt="decimal"/>
          <w:cols w:space="720" w:num="1"/>
        </w:sectPr>
      </w:pPr>
    </w:p>
    <w:tbl>
      <w:tblPr>
        <w:tblStyle w:val="13"/>
        <w:tblW w:w="0" w:type="auto"/>
        <w:tblInd w:w="1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436"/>
        <w:gridCol w:w="7544"/>
      </w:tblGrid>
      <w:tr w14:paraId="2378E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686" w:type="dxa"/>
          </w:tcPr>
          <w:p w14:paraId="5986F72A">
            <w:pPr>
              <w:pStyle w:val="18"/>
              <w:spacing w:before="137"/>
              <w:ind w:left="197"/>
              <w:rPr>
                <w:rFonts w:hint="default" w:eastAsia="宋体"/>
                <w:sz w:val="21"/>
                <w:lang w:val="en-US" w:eastAsia="zh-CN"/>
              </w:rPr>
            </w:pPr>
            <w:r>
              <w:rPr>
                <w:sz w:val="21"/>
              </w:rPr>
              <w:t>2</w:t>
            </w:r>
            <w:r>
              <w:rPr>
                <w:rFonts w:hint="eastAsia"/>
                <w:sz w:val="21"/>
                <w:lang w:val="en-US" w:eastAsia="zh-CN"/>
              </w:rPr>
              <w:t>2</w:t>
            </w:r>
          </w:p>
        </w:tc>
        <w:tc>
          <w:tcPr>
            <w:tcW w:w="1436" w:type="dxa"/>
            <w:tcBorders>
              <w:top w:val="single" w:color="000000" w:sz="4" w:space="0"/>
            </w:tcBorders>
          </w:tcPr>
          <w:p w14:paraId="44E75761">
            <w:pPr>
              <w:pStyle w:val="18"/>
              <w:spacing w:before="137"/>
              <w:ind w:left="26" w:right="94"/>
              <w:jc w:val="center"/>
              <w:rPr>
                <w:sz w:val="21"/>
              </w:rPr>
            </w:pPr>
            <w:r>
              <w:rPr>
                <w:sz w:val="21"/>
              </w:rPr>
              <w:t>是否允许分包</w:t>
            </w:r>
          </w:p>
        </w:tc>
        <w:tc>
          <w:tcPr>
            <w:tcW w:w="7544" w:type="dxa"/>
          </w:tcPr>
          <w:p w14:paraId="09B77545">
            <w:pPr>
              <w:pStyle w:val="18"/>
              <w:spacing w:before="137"/>
              <w:ind w:left="26"/>
              <w:rPr>
                <w:sz w:val="21"/>
              </w:rPr>
            </w:pPr>
            <w:r>
              <w:rPr>
                <w:sz w:val="21"/>
              </w:rPr>
              <w:t>本项目不允许分包。</w:t>
            </w:r>
          </w:p>
        </w:tc>
      </w:tr>
      <w:tr w14:paraId="21E79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686" w:type="dxa"/>
          </w:tcPr>
          <w:p w14:paraId="0807887F">
            <w:pPr>
              <w:pStyle w:val="18"/>
              <w:spacing w:before="4"/>
              <w:rPr>
                <w:b/>
                <w:sz w:val="26"/>
              </w:rPr>
            </w:pPr>
          </w:p>
          <w:p w14:paraId="05CD38DF">
            <w:pPr>
              <w:pStyle w:val="18"/>
              <w:ind w:left="197"/>
              <w:rPr>
                <w:rFonts w:hint="eastAsia" w:eastAsia="宋体"/>
                <w:sz w:val="21"/>
                <w:lang w:eastAsia="zh-CN"/>
              </w:rPr>
            </w:pPr>
            <w:r>
              <w:rPr>
                <w:sz w:val="21"/>
              </w:rPr>
              <w:t>2</w:t>
            </w:r>
            <w:r>
              <w:rPr>
                <w:rFonts w:hint="eastAsia"/>
                <w:sz w:val="21"/>
                <w:lang w:val="en-US" w:eastAsia="zh-CN"/>
              </w:rPr>
              <w:t>3</w:t>
            </w:r>
          </w:p>
        </w:tc>
        <w:tc>
          <w:tcPr>
            <w:tcW w:w="1436" w:type="dxa"/>
          </w:tcPr>
          <w:p w14:paraId="43E7F708">
            <w:pPr>
              <w:pStyle w:val="18"/>
              <w:spacing w:before="7" w:line="400" w:lineRule="atLeast"/>
              <w:ind w:left="466" w:right="323" w:hanging="209"/>
              <w:rPr>
                <w:sz w:val="21"/>
              </w:rPr>
            </w:pPr>
            <w:r>
              <w:rPr>
                <w:sz w:val="21"/>
              </w:rPr>
              <w:t>中标结果公告</w:t>
            </w:r>
          </w:p>
        </w:tc>
        <w:tc>
          <w:tcPr>
            <w:tcW w:w="7544" w:type="dxa"/>
          </w:tcPr>
          <w:p w14:paraId="6DE97CF9">
            <w:pPr>
              <w:pStyle w:val="18"/>
              <w:spacing w:before="4"/>
              <w:rPr>
                <w:b/>
                <w:sz w:val="26"/>
              </w:rPr>
            </w:pPr>
          </w:p>
          <w:p w14:paraId="7604DF36">
            <w:pPr>
              <w:pStyle w:val="18"/>
              <w:ind w:left="26"/>
              <w:rPr>
                <w:sz w:val="21"/>
              </w:rPr>
            </w:pPr>
            <w:r>
              <w:rPr>
                <w:sz w:val="21"/>
              </w:rPr>
              <w:t>本项目中标结果公告将在新疆政府采购网发布，公告期限为1个工作日。</w:t>
            </w:r>
          </w:p>
        </w:tc>
      </w:tr>
      <w:tr w14:paraId="48DAD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686" w:type="dxa"/>
          </w:tcPr>
          <w:p w14:paraId="6B0681AC">
            <w:pPr>
              <w:pStyle w:val="18"/>
              <w:spacing w:before="6"/>
              <w:rPr>
                <w:b/>
                <w:sz w:val="26"/>
              </w:rPr>
            </w:pPr>
          </w:p>
          <w:p w14:paraId="17EE4225">
            <w:pPr>
              <w:pStyle w:val="18"/>
              <w:ind w:left="197"/>
              <w:rPr>
                <w:rFonts w:hint="eastAsia" w:eastAsia="宋体"/>
                <w:sz w:val="21"/>
                <w:lang w:eastAsia="zh-CN"/>
              </w:rPr>
            </w:pPr>
            <w:r>
              <w:rPr>
                <w:sz w:val="21"/>
              </w:rPr>
              <w:t>2</w:t>
            </w:r>
            <w:r>
              <w:rPr>
                <w:rFonts w:hint="eastAsia"/>
                <w:sz w:val="21"/>
                <w:lang w:val="en-US" w:eastAsia="zh-CN"/>
              </w:rPr>
              <w:t>4</w:t>
            </w:r>
          </w:p>
        </w:tc>
        <w:tc>
          <w:tcPr>
            <w:tcW w:w="1436" w:type="dxa"/>
            <w:tcBorders>
              <w:bottom w:val="single" w:color="000000" w:sz="4" w:space="0"/>
            </w:tcBorders>
          </w:tcPr>
          <w:p w14:paraId="106CAAE7">
            <w:pPr>
              <w:pStyle w:val="18"/>
              <w:spacing w:before="6"/>
              <w:rPr>
                <w:b/>
                <w:sz w:val="26"/>
              </w:rPr>
            </w:pPr>
          </w:p>
          <w:p w14:paraId="649A588C">
            <w:pPr>
              <w:pStyle w:val="18"/>
              <w:ind w:left="46" w:right="111"/>
              <w:jc w:val="center"/>
              <w:rPr>
                <w:sz w:val="21"/>
              </w:rPr>
            </w:pPr>
            <w:r>
              <w:rPr>
                <w:sz w:val="21"/>
              </w:rPr>
              <w:t>代理服务费</w:t>
            </w:r>
          </w:p>
        </w:tc>
        <w:tc>
          <w:tcPr>
            <w:tcW w:w="7544" w:type="dxa"/>
          </w:tcPr>
          <w:p w14:paraId="55D1150D">
            <w:pPr>
              <w:pStyle w:val="18"/>
              <w:spacing w:before="6" w:line="400" w:lineRule="atLeast"/>
              <w:ind w:left="26" w:right="92"/>
              <w:rPr>
                <w:rFonts w:hint="eastAsia"/>
                <w:b w:val="0"/>
                <w:bCs/>
                <w:sz w:val="21"/>
                <w:lang w:val="en-US" w:eastAsia="zh-CN"/>
              </w:rPr>
            </w:pPr>
            <w:r>
              <w:rPr>
                <w:rFonts w:hint="eastAsia"/>
                <w:b w:val="0"/>
                <w:bCs/>
                <w:sz w:val="21"/>
                <w:lang w:val="en-US" w:eastAsia="zh-CN"/>
              </w:rPr>
              <w:t>参照以《国家发展改革委关于降低部分建设项目收费标准规范收费行为等有关问题的通知》（发改价格[2011]534号）收费，下浮20%收取代理服务费。</w:t>
            </w:r>
          </w:p>
          <w:p w14:paraId="6B7BEF1D">
            <w:pPr>
              <w:pStyle w:val="18"/>
              <w:spacing w:before="6" w:line="400" w:lineRule="atLeast"/>
              <w:ind w:left="26" w:right="92"/>
              <w:rPr>
                <w:b/>
                <w:sz w:val="21"/>
              </w:rPr>
            </w:pPr>
            <w:r>
              <w:rPr>
                <w:rFonts w:hint="eastAsia"/>
                <w:b w:val="0"/>
                <w:bCs/>
                <w:sz w:val="21"/>
                <w:lang w:eastAsia="zh-CN"/>
              </w:rPr>
              <w:t>领取中标通知书</w:t>
            </w:r>
            <w:r>
              <w:rPr>
                <w:rFonts w:hint="eastAsia"/>
                <w:b w:val="0"/>
                <w:bCs/>
                <w:sz w:val="21"/>
              </w:rPr>
              <w:t>时中标人向招标代理机构一次性付清。</w:t>
            </w:r>
            <w:r>
              <w:rPr>
                <w:rFonts w:hint="eastAsia"/>
                <w:b w:val="0"/>
                <w:bCs/>
                <w:sz w:val="21"/>
                <w:lang w:val="en-US" w:eastAsia="zh-CN"/>
              </w:rPr>
              <w:t>委托人在本次招标代理服务过程中不承担任何费用。</w:t>
            </w:r>
          </w:p>
        </w:tc>
      </w:tr>
      <w:tr w14:paraId="63F7D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6" w:hRule="atLeast"/>
        </w:trPr>
        <w:tc>
          <w:tcPr>
            <w:tcW w:w="686" w:type="dxa"/>
          </w:tcPr>
          <w:p w14:paraId="1AA77282">
            <w:pPr>
              <w:pStyle w:val="18"/>
              <w:rPr>
                <w:b/>
                <w:sz w:val="20"/>
              </w:rPr>
            </w:pPr>
          </w:p>
          <w:p w14:paraId="460C3361">
            <w:pPr>
              <w:pStyle w:val="18"/>
              <w:rPr>
                <w:b/>
                <w:sz w:val="20"/>
              </w:rPr>
            </w:pPr>
          </w:p>
          <w:p w14:paraId="5DFBF456">
            <w:pPr>
              <w:pStyle w:val="18"/>
              <w:rPr>
                <w:b/>
                <w:sz w:val="20"/>
              </w:rPr>
            </w:pPr>
          </w:p>
          <w:p w14:paraId="58583305">
            <w:pPr>
              <w:pStyle w:val="18"/>
              <w:rPr>
                <w:b/>
                <w:sz w:val="20"/>
              </w:rPr>
            </w:pPr>
          </w:p>
          <w:p w14:paraId="429864EF">
            <w:pPr>
              <w:pStyle w:val="18"/>
              <w:rPr>
                <w:b/>
                <w:sz w:val="20"/>
              </w:rPr>
            </w:pPr>
          </w:p>
          <w:p w14:paraId="3C6F00EE">
            <w:pPr>
              <w:pStyle w:val="18"/>
              <w:rPr>
                <w:b/>
                <w:sz w:val="20"/>
              </w:rPr>
            </w:pPr>
          </w:p>
          <w:p w14:paraId="2C7768AC">
            <w:pPr>
              <w:pStyle w:val="18"/>
              <w:rPr>
                <w:b/>
                <w:sz w:val="20"/>
              </w:rPr>
            </w:pPr>
          </w:p>
          <w:p w14:paraId="2D095FB8">
            <w:pPr>
              <w:pStyle w:val="18"/>
              <w:rPr>
                <w:b/>
                <w:sz w:val="20"/>
              </w:rPr>
            </w:pPr>
          </w:p>
          <w:p w14:paraId="6DBD4890">
            <w:pPr>
              <w:pStyle w:val="18"/>
              <w:rPr>
                <w:b/>
                <w:sz w:val="20"/>
              </w:rPr>
            </w:pPr>
          </w:p>
          <w:p w14:paraId="36ACE7F2">
            <w:pPr>
              <w:pStyle w:val="18"/>
              <w:rPr>
                <w:b/>
                <w:sz w:val="20"/>
              </w:rPr>
            </w:pPr>
          </w:p>
          <w:p w14:paraId="7CAC8EB8">
            <w:pPr>
              <w:pStyle w:val="18"/>
              <w:rPr>
                <w:b/>
                <w:sz w:val="20"/>
              </w:rPr>
            </w:pPr>
          </w:p>
          <w:p w14:paraId="1BCF0227">
            <w:pPr>
              <w:pStyle w:val="18"/>
              <w:rPr>
                <w:b/>
                <w:sz w:val="20"/>
              </w:rPr>
            </w:pPr>
          </w:p>
          <w:p w14:paraId="4BBC5862">
            <w:pPr>
              <w:pStyle w:val="18"/>
              <w:rPr>
                <w:b/>
                <w:sz w:val="20"/>
              </w:rPr>
            </w:pPr>
          </w:p>
          <w:p w14:paraId="72F436FA">
            <w:pPr>
              <w:pStyle w:val="18"/>
              <w:rPr>
                <w:b/>
                <w:sz w:val="20"/>
              </w:rPr>
            </w:pPr>
          </w:p>
          <w:p w14:paraId="758E97B3">
            <w:pPr>
              <w:pStyle w:val="18"/>
              <w:rPr>
                <w:b/>
                <w:sz w:val="20"/>
              </w:rPr>
            </w:pPr>
          </w:p>
          <w:p w14:paraId="1F62B1B0">
            <w:pPr>
              <w:pStyle w:val="18"/>
              <w:rPr>
                <w:b/>
                <w:sz w:val="20"/>
              </w:rPr>
            </w:pPr>
          </w:p>
          <w:p w14:paraId="3D884FA8">
            <w:pPr>
              <w:pStyle w:val="18"/>
              <w:rPr>
                <w:b/>
                <w:sz w:val="20"/>
              </w:rPr>
            </w:pPr>
          </w:p>
          <w:p w14:paraId="50F4995C">
            <w:pPr>
              <w:pStyle w:val="18"/>
              <w:spacing w:before="3"/>
              <w:rPr>
                <w:b/>
                <w:sz w:val="14"/>
              </w:rPr>
            </w:pPr>
          </w:p>
          <w:p w14:paraId="132B2944">
            <w:pPr>
              <w:pStyle w:val="18"/>
              <w:ind w:left="197"/>
              <w:rPr>
                <w:rFonts w:hint="eastAsia" w:eastAsia="宋体"/>
                <w:sz w:val="21"/>
                <w:lang w:eastAsia="zh-CN"/>
              </w:rPr>
            </w:pPr>
            <w:r>
              <w:rPr>
                <w:sz w:val="21"/>
              </w:rPr>
              <w:t>2</w:t>
            </w:r>
            <w:r>
              <w:rPr>
                <w:rFonts w:hint="eastAsia"/>
                <w:sz w:val="21"/>
                <w:lang w:val="en-US" w:eastAsia="zh-CN"/>
              </w:rPr>
              <w:t>5</w:t>
            </w:r>
          </w:p>
        </w:tc>
        <w:tc>
          <w:tcPr>
            <w:tcW w:w="1436" w:type="dxa"/>
            <w:tcBorders>
              <w:top w:val="single" w:color="000000" w:sz="4" w:space="0"/>
              <w:bottom w:val="single" w:color="000000" w:sz="4" w:space="0"/>
            </w:tcBorders>
          </w:tcPr>
          <w:p w14:paraId="0817AA39">
            <w:pPr>
              <w:pStyle w:val="18"/>
              <w:rPr>
                <w:b/>
                <w:sz w:val="20"/>
              </w:rPr>
            </w:pPr>
          </w:p>
          <w:p w14:paraId="3B00BF4F">
            <w:pPr>
              <w:pStyle w:val="18"/>
              <w:rPr>
                <w:b/>
                <w:sz w:val="20"/>
              </w:rPr>
            </w:pPr>
          </w:p>
          <w:p w14:paraId="33B92F85">
            <w:pPr>
              <w:pStyle w:val="18"/>
              <w:rPr>
                <w:b/>
                <w:sz w:val="20"/>
              </w:rPr>
            </w:pPr>
          </w:p>
          <w:p w14:paraId="3BF6EAC8">
            <w:pPr>
              <w:pStyle w:val="18"/>
              <w:rPr>
                <w:b/>
                <w:sz w:val="20"/>
              </w:rPr>
            </w:pPr>
          </w:p>
          <w:p w14:paraId="1F7C38DF">
            <w:pPr>
              <w:pStyle w:val="18"/>
              <w:rPr>
                <w:b/>
                <w:sz w:val="20"/>
              </w:rPr>
            </w:pPr>
          </w:p>
          <w:p w14:paraId="1563961F">
            <w:pPr>
              <w:pStyle w:val="18"/>
              <w:rPr>
                <w:b/>
                <w:sz w:val="20"/>
              </w:rPr>
            </w:pPr>
          </w:p>
          <w:p w14:paraId="431CA4BC">
            <w:pPr>
              <w:pStyle w:val="18"/>
              <w:rPr>
                <w:b/>
                <w:sz w:val="20"/>
              </w:rPr>
            </w:pPr>
          </w:p>
          <w:p w14:paraId="70AEAFDA">
            <w:pPr>
              <w:pStyle w:val="18"/>
              <w:rPr>
                <w:b/>
                <w:sz w:val="20"/>
              </w:rPr>
            </w:pPr>
          </w:p>
          <w:p w14:paraId="723FD372">
            <w:pPr>
              <w:pStyle w:val="18"/>
              <w:rPr>
                <w:b/>
                <w:sz w:val="20"/>
              </w:rPr>
            </w:pPr>
          </w:p>
          <w:p w14:paraId="7E8A1B6C">
            <w:pPr>
              <w:pStyle w:val="18"/>
              <w:rPr>
                <w:b/>
                <w:sz w:val="20"/>
              </w:rPr>
            </w:pPr>
          </w:p>
          <w:p w14:paraId="3948F0B9">
            <w:pPr>
              <w:pStyle w:val="18"/>
              <w:rPr>
                <w:b/>
                <w:sz w:val="20"/>
              </w:rPr>
            </w:pPr>
          </w:p>
          <w:p w14:paraId="1B159CFB">
            <w:pPr>
              <w:pStyle w:val="18"/>
              <w:rPr>
                <w:b/>
                <w:sz w:val="20"/>
              </w:rPr>
            </w:pPr>
          </w:p>
          <w:p w14:paraId="4F2A5E7D">
            <w:pPr>
              <w:pStyle w:val="18"/>
              <w:rPr>
                <w:b/>
                <w:sz w:val="20"/>
              </w:rPr>
            </w:pPr>
          </w:p>
          <w:p w14:paraId="6F145044">
            <w:pPr>
              <w:pStyle w:val="18"/>
              <w:rPr>
                <w:b/>
                <w:sz w:val="20"/>
              </w:rPr>
            </w:pPr>
          </w:p>
          <w:p w14:paraId="21AF6472">
            <w:pPr>
              <w:pStyle w:val="18"/>
              <w:rPr>
                <w:b/>
                <w:sz w:val="20"/>
              </w:rPr>
            </w:pPr>
          </w:p>
          <w:p w14:paraId="5BCBA20D">
            <w:pPr>
              <w:pStyle w:val="18"/>
              <w:rPr>
                <w:b/>
                <w:sz w:val="20"/>
              </w:rPr>
            </w:pPr>
          </w:p>
          <w:p w14:paraId="40E3B80F">
            <w:pPr>
              <w:pStyle w:val="18"/>
              <w:spacing w:before="6"/>
              <w:rPr>
                <w:b/>
                <w:sz w:val="18"/>
              </w:rPr>
            </w:pPr>
          </w:p>
          <w:p w14:paraId="28F1EA14">
            <w:pPr>
              <w:pStyle w:val="18"/>
              <w:ind w:left="46"/>
              <w:rPr>
                <w:sz w:val="21"/>
              </w:rPr>
            </w:pPr>
            <w:r>
              <w:rPr>
                <w:w w:val="95"/>
                <w:sz w:val="21"/>
              </w:rPr>
              <w:t>异常低价投标</w:t>
            </w:r>
          </w:p>
          <w:p w14:paraId="615DA68A">
            <w:pPr>
              <w:pStyle w:val="18"/>
              <w:spacing w:before="132"/>
              <w:ind w:left="46"/>
              <w:rPr>
                <w:sz w:val="21"/>
              </w:rPr>
            </w:pPr>
            <w:r>
              <w:rPr>
                <w:w w:val="95"/>
                <w:sz w:val="21"/>
              </w:rPr>
              <w:t>（响应）审查</w:t>
            </w:r>
          </w:p>
        </w:tc>
        <w:tc>
          <w:tcPr>
            <w:tcW w:w="7544" w:type="dxa"/>
          </w:tcPr>
          <w:p w14:paraId="5984922E">
            <w:pPr>
              <w:pStyle w:val="18"/>
              <w:spacing w:before="6" w:line="400" w:lineRule="atLeast"/>
              <w:ind w:left="26" w:right="92"/>
              <w:rPr>
                <w:rFonts w:hint="eastAsia" w:ascii="宋体" w:hAnsi="宋体" w:eastAsia="宋体" w:cs="宋体"/>
                <w:b w:val="0"/>
                <w:bCs/>
                <w:sz w:val="21"/>
                <w:lang w:val="en-US" w:eastAsia="zh-CN"/>
              </w:rPr>
            </w:pPr>
            <w:r>
              <w:rPr>
                <w:rFonts w:hint="eastAsia" w:ascii="宋体" w:hAnsi="宋体" w:eastAsia="宋体" w:cs="宋体"/>
                <w:b w:val="0"/>
                <w:bCs/>
                <w:sz w:val="21"/>
                <w:lang w:val="en-US" w:eastAsia="zh-CN"/>
              </w:rPr>
              <w:t>政府采购评审中出现下列情形之一的，评审委员会应当启动异常低价投标（响应）审查程序：</w:t>
            </w:r>
          </w:p>
          <w:p w14:paraId="7A94CC72">
            <w:pPr>
              <w:pStyle w:val="18"/>
              <w:spacing w:before="6" w:line="400" w:lineRule="atLeast"/>
              <w:ind w:left="26" w:right="92"/>
              <w:rPr>
                <w:rFonts w:hint="eastAsia" w:ascii="宋体" w:hAnsi="宋体" w:eastAsia="宋体" w:cs="宋体"/>
                <w:b w:val="0"/>
                <w:bCs/>
                <w:sz w:val="21"/>
                <w:lang w:val="en-US" w:eastAsia="zh-CN"/>
              </w:rPr>
            </w:pPr>
            <w:r>
              <w:rPr>
                <w:rFonts w:hint="eastAsia" w:ascii="宋体" w:hAnsi="宋体" w:eastAsia="宋体" w:cs="宋体"/>
                <w:b w:val="0"/>
                <w:bCs/>
                <w:sz w:val="21"/>
                <w:lang w:val="en-US" w:eastAsia="zh-CN"/>
              </w:rPr>
              <w:t>（1）投标（响应）报价低于全部通过符合性审查供应商投标（响应）报价平均值 50%的，即投标（响应）报价&lt;全部通过符合性审查供应商投标（响应）报价平均值×50%；</w:t>
            </w:r>
          </w:p>
          <w:p w14:paraId="46ECE1B6">
            <w:pPr>
              <w:pStyle w:val="18"/>
              <w:spacing w:before="6" w:line="400" w:lineRule="atLeast"/>
              <w:ind w:left="26" w:right="92"/>
              <w:rPr>
                <w:rFonts w:hint="eastAsia" w:ascii="宋体" w:hAnsi="宋体" w:eastAsia="宋体" w:cs="宋体"/>
                <w:b w:val="0"/>
                <w:bCs/>
                <w:sz w:val="21"/>
                <w:lang w:val="en-US" w:eastAsia="zh-CN"/>
              </w:rPr>
            </w:pPr>
            <w:r>
              <w:rPr>
                <w:rFonts w:hint="eastAsia" w:ascii="宋体" w:hAnsi="宋体" w:eastAsia="宋体" w:cs="宋体"/>
                <w:b w:val="0"/>
                <w:bCs/>
                <w:sz w:val="21"/>
                <w:lang w:val="en-US" w:eastAsia="zh-CN"/>
              </w:rPr>
              <w:t>（2）投标（响应）报价低于通过符合性审查的次低报价供应商投标（响应）报价 50%的，即投标（响应）报价&lt;通过符合性审查的次低报价供应商投标（响应）报价×50%；</w:t>
            </w:r>
          </w:p>
          <w:p w14:paraId="470CB774">
            <w:pPr>
              <w:pStyle w:val="18"/>
              <w:spacing w:before="6" w:line="400" w:lineRule="atLeast"/>
              <w:ind w:left="26" w:right="92"/>
              <w:rPr>
                <w:rFonts w:hint="eastAsia" w:ascii="宋体" w:hAnsi="宋体" w:eastAsia="宋体" w:cs="宋体"/>
                <w:b w:val="0"/>
                <w:bCs/>
                <w:sz w:val="21"/>
                <w:lang w:val="en-US" w:eastAsia="zh-CN"/>
              </w:rPr>
            </w:pPr>
            <w:r>
              <w:rPr>
                <w:rFonts w:hint="eastAsia" w:ascii="宋体" w:hAnsi="宋体" w:eastAsia="宋体" w:cs="宋体"/>
                <w:b w:val="0"/>
                <w:bCs/>
                <w:sz w:val="21"/>
                <w:lang w:val="en-US" w:eastAsia="zh-CN"/>
              </w:rPr>
              <w:t>（3）投标（响应）报价低于采购项目最高限价 45%的，即投标（响应）报价&lt;采购项目最高限价×45%；</w:t>
            </w:r>
          </w:p>
          <w:p w14:paraId="0B78E1D3">
            <w:pPr>
              <w:pStyle w:val="18"/>
              <w:spacing w:before="6" w:line="400" w:lineRule="atLeast"/>
              <w:ind w:left="26" w:right="92"/>
              <w:rPr>
                <w:rFonts w:hint="eastAsia" w:ascii="宋体" w:hAnsi="宋体" w:eastAsia="宋体" w:cs="宋体"/>
                <w:b w:val="0"/>
                <w:bCs/>
                <w:sz w:val="21"/>
                <w:lang w:val="en-US" w:eastAsia="zh-CN"/>
              </w:rPr>
            </w:pPr>
            <w:r>
              <w:rPr>
                <w:rFonts w:hint="eastAsia" w:ascii="宋体" w:hAnsi="宋体" w:eastAsia="宋体" w:cs="宋体"/>
                <w:b w:val="0"/>
                <w:bCs/>
                <w:sz w:val="21"/>
                <w:lang w:val="en-US" w:eastAsia="zh-CN"/>
              </w:rPr>
              <w:t>（4）评审委员会基于专业判断，认为供应商报价过低，有可能影响产品质量或者不能诚信履约的其他情形。</w:t>
            </w:r>
          </w:p>
          <w:p w14:paraId="772E73CE">
            <w:pPr>
              <w:pStyle w:val="18"/>
              <w:spacing w:line="357" w:lineRule="auto"/>
              <w:ind w:left="26" w:right="93" w:firstLine="420"/>
              <w:jc w:val="both"/>
              <w:rPr>
                <w:sz w:val="21"/>
              </w:rPr>
            </w:pPr>
            <w:r>
              <w:rPr>
                <w:sz w:val="21"/>
              </w:rPr>
              <w:t>评审委员会启动异常低价投标</w:t>
            </w:r>
            <w:r>
              <w:rPr>
                <w:spacing w:val="4"/>
                <w:sz w:val="21"/>
              </w:rPr>
              <w:t>（</w:t>
            </w:r>
            <w:r>
              <w:rPr>
                <w:sz w:val="21"/>
              </w:rPr>
              <w:t>响应）</w:t>
            </w:r>
            <w:r>
              <w:rPr>
                <w:spacing w:val="-5"/>
                <w:sz w:val="21"/>
              </w:rPr>
              <w:t xml:space="preserve">审查后，属于前述第 </w:t>
            </w:r>
            <w:r>
              <w:rPr>
                <w:sz w:val="21"/>
              </w:rPr>
              <w:t>1</w:t>
            </w:r>
            <w:r>
              <w:rPr>
                <w:spacing w:val="-19"/>
                <w:sz w:val="21"/>
              </w:rPr>
              <w:t xml:space="preserve"> 项至第 </w:t>
            </w:r>
            <w:r>
              <w:rPr>
                <w:sz w:val="21"/>
              </w:rPr>
              <w:t>4</w:t>
            </w:r>
            <w:r>
              <w:rPr>
                <w:spacing w:val="-17"/>
                <w:sz w:val="21"/>
              </w:rPr>
              <w:t xml:space="preserve"> 项情</w:t>
            </w:r>
            <w:r>
              <w:rPr>
                <w:spacing w:val="-5"/>
                <w:sz w:val="21"/>
              </w:rPr>
              <w:t>形的，应当要求相关供应商在评审现场合理的时间内对投标</w:t>
            </w:r>
            <w:r>
              <w:rPr>
                <w:spacing w:val="4"/>
                <w:sz w:val="21"/>
              </w:rPr>
              <w:t>（</w:t>
            </w:r>
            <w:r>
              <w:rPr>
                <w:sz w:val="21"/>
              </w:rPr>
              <w:t>响应）价格作出解释，提供项目具体成本测算等与报价合理性相关的书面说明及必要的证明材料， 包括但不限于原材料成本、人工成本、制造费用等，给予相关供应商的合理时间</w:t>
            </w:r>
            <w:r>
              <w:rPr>
                <w:b/>
                <w:spacing w:val="-10"/>
                <w:sz w:val="21"/>
              </w:rPr>
              <w:t xml:space="preserve">一般不少于 </w:t>
            </w:r>
            <w:r>
              <w:rPr>
                <w:b/>
                <w:sz w:val="21"/>
              </w:rPr>
              <w:t>30</w:t>
            </w:r>
            <w:r>
              <w:rPr>
                <w:b/>
                <w:spacing w:val="-21"/>
                <w:sz w:val="21"/>
              </w:rPr>
              <w:t xml:space="preserve"> 分钟</w:t>
            </w:r>
            <w:r>
              <w:rPr>
                <w:spacing w:val="-12"/>
                <w:sz w:val="21"/>
              </w:rPr>
              <w:t xml:space="preserve">。其中，属于第 </w:t>
            </w:r>
            <w:r>
              <w:rPr>
                <w:sz w:val="21"/>
              </w:rPr>
              <w:t>3</w:t>
            </w:r>
            <w:r>
              <w:rPr>
                <w:spacing w:val="-9"/>
                <w:sz w:val="21"/>
              </w:rPr>
              <w:t xml:space="preserve"> 项情形，供应商已随投标</w:t>
            </w:r>
            <w:r>
              <w:rPr>
                <w:sz w:val="21"/>
              </w:rPr>
              <w:t>（响应</w:t>
            </w:r>
            <w:r>
              <w:rPr>
                <w:spacing w:val="-10"/>
                <w:sz w:val="21"/>
              </w:rPr>
              <w:t>）</w:t>
            </w:r>
            <w:r>
              <w:rPr>
                <w:sz w:val="21"/>
              </w:rPr>
              <w:t>文件一并提交相关书面说明及必要的证明材料的，在评审现场可不再重复提交。</w:t>
            </w:r>
          </w:p>
          <w:p w14:paraId="0941C7E9">
            <w:pPr>
              <w:pStyle w:val="18"/>
              <w:spacing w:line="357" w:lineRule="auto"/>
              <w:ind w:left="26" w:right="94" w:firstLine="420"/>
              <w:jc w:val="both"/>
              <w:rPr>
                <w:sz w:val="21"/>
              </w:rPr>
            </w:pPr>
            <w:r>
              <w:rPr>
                <w:sz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w:t>
            </w:r>
          </w:p>
          <w:p w14:paraId="75248D67">
            <w:pPr>
              <w:pStyle w:val="18"/>
              <w:spacing w:line="266" w:lineRule="exact"/>
              <w:ind w:left="26"/>
              <w:rPr>
                <w:sz w:val="21"/>
              </w:rPr>
            </w:pPr>
            <w:r>
              <w:rPr>
                <w:sz w:val="21"/>
              </w:rPr>
              <w:t>当将其作为无效投标（响应）处理。</w:t>
            </w:r>
          </w:p>
        </w:tc>
      </w:tr>
      <w:tr w14:paraId="4429D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0" w:hRule="atLeast"/>
        </w:trPr>
        <w:tc>
          <w:tcPr>
            <w:tcW w:w="686" w:type="dxa"/>
          </w:tcPr>
          <w:p w14:paraId="56EE1FF4">
            <w:pPr>
              <w:pStyle w:val="18"/>
              <w:rPr>
                <w:b/>
                <w:sz w:val="20"/>
              </w:rPr>
            </w:pPr>
          </w:p>
          <w:p w14:paraId="56B725DB">
            <w:pPr>
              <w:pStyle w:val="18"/>
              <w:rPr>
                <w:b/>
                <w:sz w:val="20"/>
              </w:rPr>
            </w:pPr>
          </w:p>
          <w:p w14:paraId="4B5EF369">
            <w:pPr>
              <w:pStyle w:val="18"/>
              <w:rPr>
                <w:b/>
                <w:sz w:val="20"/>
              </w:rPr>
            </w:pPr>
          </w:p>
          <w:p w14:paraId="57FDDF8D">
            <w:pPr>
              <w:pStyle w:val="18"/>
              <w:spacing w:before="169"/>
              <w:ind w:left="197"/>
              <w:rPr>
                <w:rFonts w:hint="eastAsia" w:eastAsia="宋体"/>
                <w:sz w:val="21"/>
                <w:lang w:eastAsia="zh-CN"/>
              </w:rPr>
            </w:pPr>
            <w:r>
              <w:rPr>
                <w:sz w:val="21"/>
              </w:rPr>
              <w:t>2</w:t>
            </w:r>
            <w:r>
              <w:rPr>
                <w:rFonts w:hint="eastAsia"/>
                <w:sz w:val="21"/>
                <w:lang w:val="en-US" w:eastAsia="zh-CN"/>
              </w:rPr>
              <w:t>6</w:t>
            </w:r>
          </w:p>
        </w:tc>
        <w:tc>
          <w:tcPr>
            <w:tcW w:w="1436" w:type="dxa"/>
            <w:tcBorders>
              <w:top w:val="single" w:color="000000" w:sz="4" w:space="0"/>
              <w:bottom w:val="single" w:color="000000" w:sz="4" w:space="0"/>
            </w:tcBorders>
          </w:tcPr>
          <w:p w14:paraId="6A35652E">
            <w:pPr>
              <w:pStyle w:val="18"/>
              <w:rPr>
                <w:b/>
                <w:sz w:val="20"/>
              </w:rPr>
            </w:pPr>
          </w:p>
          <w:p w14:paraId="341AAB92">
            <w:pPr>
              <w:pStyle w:val="18"/>
              <w:rPr>
                <w:b/>
                <w:sz w:val="20"/>
              </w:rPr>
            </w:pPr>
          </w:p>
          <w:p w14:paraId="355A325E">
            <w:pPr>
              <w:pStyle w:val="18"/>
              <w:spacing w:before="8"/>
              <w:rPr>
                <w:b/>
                <w:sz w:val="17"/>
              </w:rPr>
            </w:pPr>
          </w:p>
          <w:p w14:paraId="4536D1B2">
            <w:pPr>
              <w:pStyle w:val="18"/>
              <w:spacing w:line="355" w:lineRule="auto"/>
              <w:ind w:left="466" w:right="114" w:hanging="420"/>
              <w:rPr>
                <w:sz w:val="21"/>
              </w:rPr>
            </w:pPr>
            <w:r>
              <w:rPr>
                <w:sz w:val="21"/>
              </w:rPr>
              <w:t>中小企业所属行业</w:t>
            </w:r>
          </w:p>
        </w:tc>
        <w:tc>
          <w:tcPr>
            <w:tcW w:w="7544" w:type="dxa"/>
          </w:tcPr>
          <w:p w14:paraId="77F14340">
            <w:pPr>
              <w:pStyle w:val="18"/>
              <w:spacing w:before="129"/>
              <w:ind w:left="26"/>
              <w:rPr>
                <w:b/>
                <w:sz w:val="21"/>
              </w:rPr>
            </w:pPr>
            <w:r>
              <w:rPr>
                <w:b/>
                <w:sz w:val="21"/>
              </w:rPr>
              <w:t>本项目采购标的对应的中小企业划分标准所属行业：</w:t>
            </w:r>
            <w:r>
              <w:rPr>
                <w:b/>
                <w:color w:val="auto"/>
                <w:sz w:val="21"/>
                <w:u w:val="single"/>
              </w:rPr>
              <w:t xml:space="preserve"> </w:t>
            </w:r>
            <w:r>
              <w:rPr>
                <w:rFonts w:hint="eastAsia"/>
                <w:b/>
                <w:color w:val="auto"/>
                <w:sz w:val="21"/>
                <w:u w:val="single"/>
                <w:lang w:eastAsia="zh-CN"/>
              </w:rPr>
              <w:t>建筑业</w:t>
            </w:r>
            <w:r>
              <w:rPr>
                <w:b/>
                <w:color w:val="auto"/>
                <w:sz w:val="21"/>
                <w:u w:val="single"/>
              </w:rPr>
              <w:t xml:space="preserve"> </w:t>
            </w:r>
            <w:r>
              <w:rPr>
                <w:b/>
                <w:sz w:val="21"/>
              </w:rPr>
              <w:t>。</w:t>
            </w:r>
          </w:p>
          <w:p w14:paraId="11972792">
            <w:pPr>
              <w:pStyle w:val="18"/>
              <w:spacing w:before="132" w:line="357" w:lineRule="auto"/>
              <w:ind w:left="26" w:right="94"/>
              <w:rPr>
                <w:sz w:val="21"/>
              </w:rPr>
            </w:pPr>
            <w:r>
              <w:rPr>
                <w:sz w:val="21"/>
              </w:rPr>
              <w:t>行业划分标准按《国民经济行业分类》执行。中小企业划分标准按《中小企业划型标准规定》（工信部联企业[2011]300 号）文件规定执行。</w:t>
            </w:r>
          </w:p>
          <w:p w14:paraId="6A169D3A">
            <w:pPr>
              <w:pStyle w:val="18"/>
              <w:spacing w:line="266" w:lineRule="exact"/>
              <w:ind w:left="26"/>
              <w:rPr>
                <w:sz w:val="21"/>
              </w:rPr>
            </w:pPr>
            <w:r>
              <w:rPr>
                <w:b/>
                <w:sz w:val="21"/>
              </w:rPr>
              <w:t>中小企业划型标准详见附件一</w:t>
            </w:r>
            <w:r>
              <w:rPr>
                <w:sz w:val="21"/>
              </w:rPr>
              <w:t>。</w:t>
            </w:r>
          </w:p>
        </w:tc>
      </w:tr>
    </w:tbl>
    <w:p w14:paraId="10124C7F">
      <w:pPr>
        <w:rPr>
          <w:sz w:val="2"/>
          <w:szCs w:val="2"/>
        </w:rPr>
      </w:pPr>
    </w:p>
    <w:p w14:paraId="6DEC9135">
      <w:pPr>
        <w:spacing w:after="0"/>
        <w:rPr>
          <w:sz w:val="2"/>
          <w:szCs w:val="2"/>
        </w:rPr>
        <w:sectPr>
          <w:pgSz w:w="11910" w:h="16840"/>
          <w:pgMar w:top="1240" w:right="900" w:bottom="940" w:left="960" w:header="0" w:footer="748" w:gutter="0"/>
          <w:pgNumType w:fmt="decimal"/>
          <w:cols w:space="720" w:num="1"/>
        </w:sectPr>
      </w:pPr>
    </w:p>
    <w:tbl>
      <w:tblPr>
        <w:tblStyle w:val="13"/>
        <w:tblW w:w="0" w:type="auto"/>
        <w:tblInd w:w="1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436"/>
        <w:gridCol w:w="7544"/>
      </w:tblGrid>
      <w:tr w14:paraId="04E2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3" w:hRule="atLeast"/>
        </w:trPr>
        <w:tc>
          <w:tcPr>
            <w:tcW w:w="686" w:type="dxa"/>
          </w:tcPr>
          <w:p w14:paraId="0E5CB83F">
            <w:pPr>
              <w:pStyle w:val="18"/>
              <w:rPr>
                <w:b/>
                <w:sz w:val="20"/>
              </w:rPr>
            </w:pPr>
          </w:p>
          <w:p w14:paraId="533A11DA">
            <w:pPr>
              <w:pStyle w:val="18"/>
              <w:rPr>
                <w:b/>
                <w:sz w:val="20"/>
              </w:rPr>
            </w:pPr>
          </w:p>
          <w:p w14:paraId="091CBDE8">
            <w:pPr>
              <w:pStyle w:val="18"/>
              <w:rPr>
                <w:b/>
                <w:sz w:val="20"/>
              </w:rPr>
            </w:pPr>
          </w:p>
          <w:p w14:paraId="04E93A55">
            <w:pPr>
              <w:pStyle w:val="18"/>
              <w:rPr>
                <w:b/>
                <w:sz w:val="20"/>
              </w:rPr>
            </w:pPr>
          </w:p>
          <w:p w14:paraId="675E8A56">
            <w:pPr>
              <w:pStyle w:val="18"/>
              <w:rPr>
                <w:b/>
                <w:sz w:val="20"/>
              </w:rPr>
            </w:pPr>
          </w:p>
          <w:p w14:paraId="2B07B476">
            <w:pPr>
              <w:pStyle w:val="18"/>
              <w:rPr>
                <w:b/>
                <w:sz w:val="20"/>
              </w:rPr>
            </w:pPr>
          </w:p>
          <w:p w14:paraId="7DB67209">
            <w:pPr>
              <w:pStyle w:val="18"/>
              <w:rPr>
                <w:b/>
                <w:sz w:val="20"/>
              </w:rPr>
            </w:pPr>
          </w:p>
          <w:p w14:paraId="56007E4D">
            <w:pPr>
              <w:pStyle w:val="18"/>
              <w:rPr>
                <w:b/>
                <w:sz w:val="20"/>
              </w:rPr>
            </w:pPr>
          </w:p>
          <w:p w14:paraId="3FFE7F88">
            <w:pPr>
              <w:pStyle w:val="18"/>
              <w:rPr>
                <w:b/>
                <w:sz w:val="20"/>
              </w:rPr>
            </w:pPr>
          </w:p>
          <w:p w14:paraId="3084CE18">
            <w:pPr>
              <w:pStyle w:val="18"/>
              <w:rPr>
                <w:b/>
                <w:sz w:val="20"/>
              </w:rPr>
            </w:pPr>
          </w:p>
          <w:p w14:paraId="6749BC01">
            <w:pPr>
              <w:pStyle w:val="18"/>
              <w:rPr>
                <w:b/>
                <w:sz w:val="20"/>
              </w:rPr>
            </w:pPr>
          </w:p>
          <w:p w14:paraId="268462E2">
            <w:pPr>
              <w:pStyle w:val="18"/>
              <w:rPr>
                <w:b/>
                <w:sz w:val="20"/>
              </w:rPr>
            </w:pPr>
          </w:p>
          <w:p w14:paraId="36A250FD">
            <w:pPr>
              <w:pStyle w:val="18"/>
              <w:rPr>
                <w:b/>
                <w:sz w:val="20"/>
              </w:rPr>
            </w:pPr>
          </w:p>
          <w:p w14:paraId="0FC7DF40">
            <w:pPr>
              <w:pStyle w:val="18"/>
              <w:spacing w:before="1"/>
              <w:rPr>
                <w:b/>
                <w:sz w:val="16"/>
              </w:rPr>
            </w:pPr>
          </w:p>
          <w:p w14:paraId="4D904073">
            <w:pPr>
              <w:pStyle w:val="18"/>
              <w:spacing w:before="1"/>
              <w:ind w:left="197"/>
              <w:rPr>
                <w:rFonts w:hint="eastAsia" w:eastAsia="宋体"/>
                <w:sz w:val="21"/>
                <w:lang w:eastAsia="zh-CN"/>
              </w:rPr>
            </w:pPr>
            <w:r>
              <w:rPr>
                <w:sz w:val="21"/>
              </w:rPr>
              <w:t>2</w:t>
            </w:r>
            <w:r>
              <w:rPr>
                <w:rFonts w:hint="eastAsia"/>
                <w:sz w:val="21"/>
                <w:lang w:val="en-US" w:eastAsia="zh-CN"/>
              </w:rPr>
              <w:t>7</w:t>
            </w:r>
          </w:p>
        </w:tc>
        <w:tc>
          <w:tcPr>
            <w:tcW w:w="1436" w:type="dxa"/>
            <w:tcBorders>
              <w:top w:val="single" w:color="000000" w:sz="4" w:space="0"/>
              <w:bottom w:val="single" w:color="000000" w:sz="4" w:space="0"/>
            </w:tcBorders>
          </w:tcPr>
          <w:p w14:paraId="7C921292">
            <w:pPr>
              <w:pStyle w:val="18"/>
              <w:rPr>
                <w:b/>
                <w:sz w:val="20"/>
              </w:rPr>
            </w:pPr>
          </w:p>
          <w:p w14:paraId="31AC32BA">
            <w:pPr>
              <w:pStyle w:val="18"/>
              <w:rPr>
                <w:b/>
                <w:sz w:val="20"/>
              </w:rPr>
            </w:pPr>
          </w:p>
          <w:p w14:paraId="0F838A45">
            <w:pPr>
              <w:pStyle w:val="18"/>
              <w:rPr>
                <w:b/>
                <w:sz w:val="20"/>
              </w:rPr>
            </w:pPr>
          </w:p>
          <w:p w14:paraId="1852FF03">
            <w:pPr>
              <w:pStyle w:val="18"/>
              <w:rPr>
                <w:b/>
                <w:sz w:val="20"/>
              </w:rPr>
            </w:pPr>
          </w:p>
          <w:p w14:paraId="4706A0B8">
            <w:pPr>
              <w:pStyle w:val="18"/>
              <w:rPr>
                <w:b/>
                <w:sz w:val="20"/>
              </w:rPr>
            </w:pPr>
          </w:p>
          <w:p w14:paraId="6B352233">
            <w:pPr>
              <w:pStyle w:val="18"/>
              <w:rPr>
                <w:b/>
                <w:sz w:val="20"/>
              </w:rPr>
            </w:pPr>
          </w:p>
          <w:p w14:paraId="4EBE2044">
            <w:pPr>
              <w:pStyle w:val="18"/>
              <w:rPr>
                <w:b/>
                <w:sz w:val="20"/>
              </w:rPr>
            </w:pPr>
          </w:p>
          <w:p w14:paraId="5A6188BB">
            <w:pPr>
              <w:pStyle w:val="18"/>
              <w:rPr>
                <w:b/>
                <w:sz w:val="20"/>
              </w:rPr>
            </w:pPr>
          </w:p>
          <w:p w14:paraId="5C48C01D">
            <w:pPr>
              <w:pStyle w:val="18"/>
              <w:rPr>
                <w:b/>
                <w:sz w:val="20"/>
              </w:rPr>
            </w:pPr>
          </w:p>
          <w:p w14:paraId="12C1F095">
            <w:pPr>
              <w:pStyle w:val="18"/>
              <w:rPr>
                <w:b/>
                <w:sz w:val="20"/>
              </w:rPr>
            </w:pPr>
          </w:p>
          <w:p w14:paraId="733CB623">
            <w:pPr>
              <w:pStyle w:val="18"/>
              <w:rPr>
                <w:b/>
                <w:sz w:val="20"/>
              </w:rPr>
            </w:pPr>
          </w:p>
          <w:p w14:paraId="5C0A64EC">
            <w:pPr>
              <w:pStyle w:val="18"/>
              <w:rPr>
                <w:b/>
                <w:sz w:val="20"/>
              </w:rPr>
            </w:pPr>
          </w:p>
          <w:p w14:paraId="66C619BE">
            <w:pPr>
              <w:pStyle w:val="18"/>
              <w:rPr>
                <w:b/>
                <w:sz w:val="20"/>
              </w:rPr>
            </w:pPr>
          </w:p>
          <w:p w14:paraId="0942E30F">
            <w:pPr>
              <w:pStyle w:val="18"/>
              <w:spacing w:before="1"/>
              <w:rPr>
                <w:b/>
                <w:sz w:val="16"/>
              </w:rPr>
            </w:pPr>
          </w:p>
          <w:p w14:paraId="266F38A3">
            <w:pPr>
              <w:pStyle w:val="18"/>
              <w:spacing w:before="1"/>
              <w:ind w:left="255"/>
              <w:rPr>
                <w:b/>
                <w:sz w:val="21"/>
              </w:rPr>
            </w:pPr>
            <w:r>
              <w:rPr>
                <w:b/>
                <w:sz w:val="21"/>
              </w:rPr>
              <w:t>特别提示</w:t>
            </w:r>
          </w:p>
        </w:tc>
        <w:tc>
          <w:tcPr>
            <w:tcW w:w="7544" w:type="dxa"/>
          </w:tcPr>
          <w:p w14:paraId="0D95279C">
            <w:pPr>
              <w:pStyle w:val="18"/>
              <w:spacing w:before="137" w:line="357" w:lineRule="auto"/>
              <w:ind w:left="26" w:right="17"/>
              <w:rPr>
                <w:b/>
                <w:sz w:val="21"/>
              </w:rPr>
            </w:pPr>
            <w:r>
              <w:rPr>
                <w:b/>
                <w:w w:val="95"/>
                <w:sz w:val="21"/>
              </w:rPr>
              <w:t xml:space="preserve">1、请各投标单位认真阅读并充分响应采购文件要求，其中采购文件内容中加粗、 </w:t>
            </w:r>
            <w:r>
              <w:rPr>
                <w:b/>
                <w:sz w:val="21"/>
              </w:rPr>
              <w:t>加下划线、废标、无效、投标被否决等字样的条款，着重提醒各投标人注意。因误读采购文件而造成的后果，采购人及代理机构概不负责。</w:t>
            </w:r>
          </w:p>
          <w:p w14:paraId="233C16E6">
            <w:pPr>
              <w:pStyle w:val="18"/>
              <w:spacing w:line="357" w:lineRule="auto"/>
              <w:ind w:left="26" w:right="91"/>
              <w:rPr>
                <w:b/>
                <w:sz w:val="21"/>
              </w:rPr>
            </w:pPr>
            <w:r>
              <w:rPr>
                <w:sz w:val="21"/>
              </w:rPr>
              <w:t>2、根据《财政部关于在政府采购活动中查询及使用信用记录有关问题的通知》（财</w:t>
            </w:r>
            <w:r>
              <w:rPr>
                <w:spacing w:val="-7"/>
                <w:sz w:val="21"/>
              </w:rPr>
              <w:t>库【</w:t>
            </w:r>
            <w:r>
              <w:rPr>
                <w:sz w:val="21"/>
              </w:rPr>
              <w:t>2016</w:t>
            </w:r>
            <w:r>
              <w:rPr>
                <w:spacing w:val="-13"/>
                <w:sz w:val="21"/>
              </w:rPr>
              <w:t>】</w:t>
            </w:r>
            <w:r>
              <w:rPr>
                <w:sz w:val="21"/>
              </w:rPr>
              <w:t>125</w:t>
            </w:r>
            <w:r>
              <w:rPr>
                <w:spacing w:val="-38"/>
                <w:sz w:val="21"/>
              </w:rPr>
              <w:t xml:space="preserve"> 号</w:t>
            </w:r>
            <w:r>
              <w:rPr>
                <w:spacing w:val="-15"/>
                <w:sz w:val="21"/>
              </w:rPr>
              <w:t>）</w:t>
            </w:r>
            <w:r>
              <w:rPr>
                <w:spacing w:val="-7"/>
                <w:sz w:val="21"/>
              </w:rPr>
              <w:t>规定，凡拟参加本次采购项目的投标人，如在“信用中国”网</w:t>
            </w:r>
            <w:r>
              <w:rPr>
                <w:rFonts w:ascii="宋体" w:hAnsi="宋体" w:eastAsia="宋体" w:cs="宋体"/>
                <w:spacing w:val="-6"/>
                <w:sz w:val="21"/>
              </w:rPr>
              <w:t>（</w:t>
            </w:r>
            <w:r>
              <w:rPr>
                <w:rFonts w:ascii="宋体" w:hAnsi="宋体" w:eastAsia="宋体" w:cs="宋体"/>
                <w:spacing w:val="-6"/>
                <w:sz w:val="21"/>
              </w:rPr>
              <w:fldChar w:fldCharType="begin"/>
            </w:r>
            <w:r>
              <w:rPr>
                <w:rFonts w:ascii="宋体" w:hAnsi="宋体" w:eastAsia="宋体" w:cs="宋体"/>
                <w:spacing w:val="-6"/>
                <w:sz w:val="21"/>
              </w:rPr>
              <w:instrText xml:space="preserve"> HYPERLINK "http://www.creditchina.gov.cn/" \h </w:instrText>
            </w:r>
            <w:r>
              <w:rPr>
                <w:rFonts w:ascii="宋体" w:hAnsi="宋体" w:eastAsia="宋体" w:cs="宋体"/>
                <w:spacing w:val="-6"/>
                <w:sz w:val="21"/>
              </w:rPr>
              <w:fldChar w:fldCharType="separate"/>
            </w:r>
            <w:r>
              <w:rPr>
                <w:rFonts w:ascii="宋体" w:hAnsi="宋体" w:eastAsia="宋体" w:cs="宋体"/>
                <w:spacing w:val="-6"/>
                <w:sz w:val="21"/>
              </w:rPr>
              <w:t>www.creditchina.gov.cn</w:t>
            </w:r>
            <w:r>
              <w:rPr>
                <w:rFonts w:ascii="宋体" w:hAnsi="宋体" w:eastAsia="宋体" w:cs="宋体"/>
                <w:spacing w:val="-6"/>
                <w:sz w:val="21"/>
              </w:rPr>
              <w:fldChar w:fldCharType="end"/>
            </w:r>
            <w:r>
              <w:rPr>
                <w:rFonts w:ascii="宋体" w:hAnsi="宋体" w:eastAsia="宋体" w:cs="宋体"/>
                <w:spacing w:val="-6"/>
                <w:sz w:val="21"/>
              </w:rPr>
              <w:t>）、中国政府采购网（</w:t>
            </w:r>
            <w:r>
              <w:rPr>
                <w:rFonts w:ascii="宋体" w:hAnsi="宋体" w:eastAsia="宋体" w:cs="宋体"/>
                <w:spacing w:val="-6"/>
                <w:sz w:val="21"/>
              </w:rPr>
              <w:fldChar w:fldCharType="begin"/>
            </w:r>
            <w:r>
              <w:rPr>
                <w:rFonts w:ascii="宋体" w:hAnsi="宋体" w:eastAsia="宋体" w:cs="宋体"/>
                <w:spacing w:val="-6"/>
                <w:sz w:val="21"/>
              </w:rPr>
              <w:instrText xml:space="preserve"> HYPERLINK "http://www.ccgp.gov.cn/" \h </w:instrText>
            </w:r>
            <w:r>
              <w:rPr>
                <w:rFonts w:ascii="宋体" w:hAnsi="宋体" w:eastAsia="宋体" w:cs="宋体"/>
                <w:spacing w:val="-6"/>
                <w:sz w:val="21"/>
              </w:rPr>
              <w:fldChar w:fldCharType="separate"/>
            </w:r>
            <w:r>
              <w:rPr>
                <w:rFonts w:ascii="宋体" w:hAnsi="宋体" w:eastAsia="宋体" w:cs="宋体"/>
                <w:spacing w:val="-6"/>
                <w:sz w:val="21"/>
              </w:rPr>
              <w:t>www.ccgp.gov.cn</w:t>
            </w:r>
            <w:r>
              <w:rPr>
                <w:rFonts w:ascii="宋体" w:hAnsi="宋体" w:eastAsia="宋体" w:cs="宋体"/>
                <w:spacing w:val="-6"/>
                <w:sz w:val="21"/>
              </w:rPr>
              <w:fldChar w:fldCharType="end"/>
            </w:r>
            <w:r>
              <w:rPr>
                <w:rFonts w:ascii="宋体" w:hAnsi="宋体" w:eastAsia="宋体" w:cs="宋体"/>
                <w:spacing w:val="-6"/>
                <w:sz w:val="21"/>
              </w:rPr>
              <w:t xml:space="preserve">）列入失信被 </w:t>
            </w:r>
            <w:r>
              <w:rPr>
                <w:w w:val="95"/>
                <w:sz w:val="21"/>
              </w:rPr>
              <w:t xml:space="preserve"> </w:t>
            </w:r>
            <w:r>
              <w:rPr>
                <w:sz w:val="21"/>
              </w:rPr>
              <w:t>执行人、重大税收违法案件当事人名单、政府采购严重违法失信行为记录名单的</w:t>
            </w:r>
            <w:r>
              <w:rPr>
                <w:b/>
                <w:w w:val="95"/>
                <w:sz w:val="21"/>
              </w:rPr>
              <w:t>（尚在处罚期内的</w:t>
            </w:r>
            <w:r>
              <w:rPr>
                <w:b/>
                <w:spacing w:val="-24"/>
                <w:w w:val="95"/>
                <w:sz w:val="21"/>
              </w:rPr>
              <w:t>）</w:t>
            </w:r>
            <w:r>
              <w:rPr>
                <w:b/>
                <w:spacing w:val="-7"/>
                <w:w w:val="95"/>
                <w:sz w:val="21"/>
              </w:rPr>
              <w:t>，其投标无效。中标人若在投标有效期内有上述失信行为的，</w:t>
            </w:r>
            <w:r>
              <w:rPr>
                <w:b/>
                <w:spacing w:val="-7"/>
                <w:sz w:val="21"/>
              </w:rPr>
              <w:t>采购人有权取消其中标资格。</w:t>
            </w:r>
          </w:p>
          <w:p w14:paraId="01996A90">
            <w:pPr>
              <w:pStyle w:val="18"/>
              <w:spacing w:line="357" w:lineRule="auto"/>
              <w:ind w:left="26" w:right="-15"/>
              <w:rPr>
                <w:b/>
                <w:sz w:val="21"/>
              </w:rPr>
            </w:pPr>
            <w:r>
              <w:rPr>
                <w:sz w:val="21"/>
              </w:rPr>
              <w:t>3</w:t>
            </w:r>
            <w:r>
              <w:rPr>
                <w:spacing w:val="-6"/>
                <w:sz w:val="21"/>
              </w:rPr>
              <w:t>、单位负责人为同一人或者存在直接控股、管理关系的不同供应商，不得参加同</w:t>
            </w:r>
            <w:r>
              <w:rPr>
                <w:spacing w:val="-9"/>
                <w:w w:val="95"/>
                <w:sz w:val="21"/>
              </w:rPr>
              <w:t>一</w:t>
            </w:r>
            <w:r>
              <w:rPr>
                <w:rFonts w:ascii="宋体" w:hAnsi="宋体" w:eastAsia="宋体" w:cs="宋体"/>
                <w:spacing w:val="-6"/>
                <w:sz w:val="21"/>
              </w:rPr>
              <w:t>合同项下的政府采购活动。除单一来源采购项目外，为采购项目提供整体设计、</w:t>
            </w:r>
            <w:r>
              <w:rPr>
                <w:spacing w:val="-9"/>
                <w:w w:val="95"/>
                <w:sz w:val="21"/>
              </w:rPr>
              <w:t xml:space="preserve"> </w:t>
            </w:r>
            <w:r>
              <w:rPr>
                <w:spacing w:val="-3"/>
                <w:sz w:val="21"/>
              </w:rPr>
              <w:t>规范编制或者项目管理、监理、检测等服务的供应商，不得再参加该采购项目的其他采购活动。</w:t>
            </w:r>
            <w:r>
              <w:rPr>
                <w:b/>
                <w:spacing w:val="-3"/>
                <w:sz w:val="21"/>
              </w:rPr>
              <w:t>存在以上行为的投标人，其投标无效。</w:t>
            </w:r>
          </w:p>
          <w:p w14:paraId="68D9E78A">
            <w:pPr>
              <w:pStyle w:val="18"/>
              <w:spacing w:line="357" w:lineRule="auto"/>
              <w:ind w:left="26" w:right="91"/>
              <w:rPr>
                <w:b/>
                <w:sz w:val="21"/>
              </w:rPr>
            </w:pPr>
            <w:r>
              <w:rPr>
                <w:rFonts w:ascii="宋体" w:hAnsi="宋体" w:eastAsia="宋体" w:cs="宋体"/>
                <w:spacing w:val="-3"/>
                <w:sz w:val="21"/>
              </w:rPr>
              <w:t>4、投标人应承担其编制投标文件与递交投标文件所涉及的一切费用，不论投标结</w:t>
            </w:r>
            <w:r>
              <w:rPr>
                <w:spacing w:val="-6"/>
                <w:sz w:val="21"/>
              </w:rPr>
              <w:t>果如何，采购人对上述费用不做任何补偿。</w:t>
            </w:r>
          </w:p>
        </w:tc>
      </w:tr>
      <w:tr w14:paraId="577C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9" w:hRule="atLeast"/>
        </w:trPr>
        <w:tc>
          <w:tcPr>
            <w:tcW w:w="686" w:type="dxa"/>
          </w:tcPr>
          <w:p w14:paraId="5B30D51E">
            <w:pPr>
              <w:pStyle w:val="18"/>
              <w:rPr>
                <w:b/>
                <w:sz w:val="20"/>
              </w:rPr>
            </w:pPr>
          </w:p>
          <w:p w14:paraId="4EB7E392">
            <w:pPr>
              <w:pStyle w:val="18"/>
              <w:rPr>
                <w:b/>
                <w:sz w:val="20"/>
              </w:rPr>
            </w:pPr>
          </w:p>
          <w:p w14:paraId="16A2B42B">
            <w:pPr>
              <w:pStyle w:val="18"/>
              <w:rPr>
                <w:b/>
                <w:sz w:val="20"/>
              </w:rPr>
            </w:pPr>
          </w:p>
          <w:p w14:paraId="160BAB5F">
            <w:pPr>
              <w:pStyle w:val="18"/>
              <w:rPr>
                <w:b/>
                <w:sz w:val="20"/>
              </w:rPr>
            </w:pPr>
          </w:p>
          <w:p w14:paraId="5DFAF7C6">
            <w:pPr>
              <w:pStyle w:val="18"/>
              <w:rPr>
                <w:b/>
                <w:sz w:val="20"/>
              </w:rPr>
            </w:pPr>
          </w:p>
          <w:p w14:paraId="5BB602FA">
            <w:pPr>
              <w:pStyle w:val="18"/>
              <w:rPr>
                <w:b/>
                <w:sz w:val="20"/>
              </w:rPr>
            </w:pPr>
          </w:p>
          <w:p w14:paraId="019F1960">
            <w:pPr>
              <w:pStyle w:val="18"/>
              <w:rPr>
                <w:b/>
                <w:sz w:val="20"/>
              </w:rPr>
            </w:pPr>
          </w:p>
          <w:p w14:paraId="1D088DCB">
            <w:pPr>
              <w:pStyle w:val="18"/>
              <w:rPr>
                <w:b/>
                <w:sz w:val="20"/>
              </w:rPr>
            </w:pPr>
          </w:p>
          <w:p w14:paraId="33988DC2">
            <w:pPr>
              <w:pStyle w:val="18"/>
              <w:rPr>
                <w:b/>
                <w:sz w:val="20"/>
              </w:rPr>
            </w:pPr>
          </w:p>
          <w:p w14:paraId="6E285596">
            <w:pPr>
              <w:pStyle w:val="18"/>
              <w:rPr>
                <w:b/>
                <w:sz w:val="20"/>
              </w:rPr>
            </w:pPr>
          </w:p>
          <w:p w14:paraId="19E570D9">
            <w:pPr>
              <w:pStyle w:val="18"/>
              <w:rPr>
                <w:b/>
                <w:sz w:val="20"/>
              </w:rPr>
            </w:pPr>
          </w:p>
          <w:p w14:paraId="32E7A046">
            <w:pPr>
              <w:pStyle w:val="18"/>
              <w:rPr>
                <w:b/>
                <w:sz w:val="20"/>
              </w:rPr>
            </w:pPr>
          </w:p>
          <w:p w14:paraId="0A49E5C6">
            <w:pPr>
              <w:pStyle w:val="18"/>
              <w:spacing w:before="7"/>
              <w:rPr>
                <w:b/>
                <w:sz w:val="20"/>
              </w:rPr>
            </w:pPr>
          </w:p>
          <w:p w14:paraId="4F3B0554">
            <w:pPr>
              <w:pStyle w:val="18"/>
              <w:spacing w:before="1"/>
              <w:ind w:left="197"/>
              <w:rPr>
                <w:rFonts w:hint="eastAsia" w:eastAsia="宋体"/>
                <w:sz w:val="21"/>
                <w:lang w:eastAsia="zh-CN"/>
              </w:rPr>
            </w:pPr>
            <w:r>
              <w:rPr>
                <w:sz w:val="21"/>
              </w:rPr>
              <w:t>2</w:t>
            </w:r>
            <w:r>
              <w:rPr>
                <w:rFonts w:hint="eastAsia"/>
                <w:sz w:val="21"/>
                <w:lang w:val="en-US" w:eastAsia="zh-CN"/>
              </w:rPr>
              <w:t>8</w:t>
            </w:r>
          </w:p>
        </w:tc>
        <w:tc>
          <w:tcPr>
            <w:tcW w:w="1436" w:type="dxa"/>
            <w:tcBorders>
              <w:top w:val="single" w:color="000000" w:sz="4" w:space="0"/>
              <w:bottom w:val="single" w:color="000000" w:sz="4" w:space="0"/>
            </w:tcBorders>
          </w:tcPr>
          <w:p w14:paraId="7BBFFAA1">
            <w:pPr>
              <w:pStyle w:val="18"/>
              <w:rPr>
                <w:b/>
                <w:sz w:val="20"/>
              </w:rPr>
            </w:pPr>
          </w:p>
          <w:p w14:paraId="38DB9BD4">
            <w:pPr>
              <w:pStyle w:val="18"/>
              <w:rPr>
                <w:b/>
                <w:sz w:val="20"/>
              </w:rPr>
            </w:pPr>
          </w:p>
          <w:p w14:paraId="265A5CE9">
            <w:pPr>
              <w:pStyle w:val="18"/>
              <w:rPr>
                <w:b/>
                <w:sz w:val="20"/>
              </w:rPr>
            </w:pPr>
          </w:p>
          <w:p w14:paraId="549499D5">
            <w:pPr>
              <w:pStyle w:val="18"/>
              <w:rPr>
                <w:b/>
                <w:sz w:val="20"/>
              </w:rPr>
            </w:pPr>
          </w:p>
          <w:p w14:paraId="3714A222">
            <w:pPr>
              <w:pStyle w:val="18"/>
              <w:rPr>
                <w:b/>
                <w:sz w:val="20"/>
              </w:rPr>
            </w:pPr>
          </w:p>
          <w:p w14:paraId="6FA6CA78">
            <w:pPr>
              <w:pStyle w:val="18"/>
              <w:rPr>
                <w:b/>
                <w:sz w:val="20"/>
              </w:rPr>
            </w:pPr>
          </w:p>
          <w:p w14:paraId="01DD1777">
            <w:pPr>
              <w:pStyle w:val="18"/>
              <w:rPr>
                <w:b/>
                <w:sz w:val="20"/>
              </w:rPr>
            </w:pPr>
          </w:p>
          <w:p w14:paraId="01FEAAFB">
            <w:pPr>
              <w:pStyle w:val="18"/>
              <w:rPr>
                <w:b/>
                <w:sz w:val="20"/>
              </w:rPr>
            </w:pPr>
          </w:p>
          <w:p w14:paraId="749A38C7">
            <w:pPr>
              <w:pStyle w:val="18"/>
              <w:rPr>
                <w:b/>
                <w:sz w:val="20"/>
              </w:rPr>
            </w:pPr>
          </w:p>
          <w:p w14:paraId="4A37F72C">
            <w:pPr>
              <w:pStyle w:val="18"/>
              <w:rPr>
                <w:b/>
                <w:sz w:val="20"/>
              </w:rPr>
            </w:pPr>
          </w:p>
          <w:p w14:paraId="44C655A1">
            <w:pPr>
              <w:pStyle w:val="18"/>
              <w:rPr>
                <w:b/>
                <w:sz w:val="20"/>
              </w:rPr>
            </w:pPr>
          </w:p>
          <w:p w14:paraId="43ACD0A3">
            <w:pPr>
              <w:pStyle w:val="18"/>
              <w:rPr>
                <w:b/>
                <w:sz w:val="20"/>
              </w:rPr>
            </w:pPr>
          </w:p>
          <w:p w14:paraId="775FFCC0">
            <w:pPr>
              <w:pStyle w:val="18"/>
              <w:spacing w:before="7"/>
              <w:rPr>
                <w:b/>
                <w:sz w:val="20"/>
              </w:rPr>
            </w:pPr>
          </w:p>
          <w:p w14:paraId="2B90AB0E">
            <w:pPr>
              <w:pStyle w:val="18"/>
              <w:spacing w:before="1"/>
              <w:ind w:left="257"/>
              <w:rPr>
                <w:sz w:val="21"/>
              </w:rPr>
            </w:pPr>
            <w:r>
              <w:rPr>
                <w:sz w:val="21"/>
              </w:rPr>
              <w:t>其他要求</w:t>
            </w:r>
          </w:p>
        </w:tc>
        <w:tc>
          <w:tcPr>
            <w:tcW w:w="7544" w:type="dxa"/>
          </w:tcPr>
          <w:p w14:paraId="769ABBD5">
            <w:pPr>
              <w:pStyle w:val="18"/>
              <w:spacing w:before="137" w:line="357" w:lineRule="auto"/>
              <w:ind w:left="26" w:right="-15"/>
              <w:rPr>
                <w:sz w:val="21"/>
              </w:rPr>
            </w:pPr>
            <w:r>
              <w:rPr>
                <w:sz w:val="21"/>
              </w:rPr>
              <w:t>1</w:t>
            </w:r>
            <w:r>
              <w:rPr>
                <w:spacing w:val="-6"/>
                <w:sz w:val="21"/>
              </w:rPr>
              <w:t>、根据住房城乡建设部办公厅及人力资源社会保障部办公厅相关文件要求，严厉</w:t>
            </w:r>
            <w:r>
              <w:rPr>
                <w:spacing w:val="-3"/>
                <w:sz w:val="21"/>
              </w:rPr>
              <w:t>打击工程建设领域专业技术人员违规“挂证”现象，维护建筑市场秩序，保障工</w:t>
            </w:r>
            <w:r>
              <w:rPr>
                <w:spacing w:val="-7"/>
                <w:w w:val="95"/>
                <w:sz w:val="21"/>
              </w:rPr>
              <w:t>程质</w:t>
            </w:r>
            <w:r>
              <w:rPr>
                <w:rFonts w:ascii="宋体" w:hAnsi="宋体" w:eastAsia="宋体" w:cs="宋体"/>
                <w:spacing w:val="-6"/>
                <w:sz w:val="21"/>
              </w:rPr>
              <w:t>量安全，促进建筑专业高质量发展，本项目管理机构人员（包含项目负责人、</w:t>
            </w:r>
            <w:r>
              <w:rPr>
                <w:sz w:val="21"/>
              </w:rPr>
              <w:t>技术负责人、施工员、安全员、质量员等）不得出现违规“挂证”现象，一经发现取消其投标资格，并依法严肃处理。</w:t>
            </w:r>
          </w:p>
          <w:p w14:paraId="49BE52FE">
            <w:pPr>
              <w:pStyle w:val="18"/>
              <w:spacing w:line="355" w:lineRule="auto"/>
              <w:ind w:left="26" w:right="95"/>
              <w:rPr>
                <w:sz w:val="21"/>
              </w:rPr>
            </w:pPr>
            <w:r>
              <w:rPr>
                <w:rFonts w:ascii="宋体" w:hAnsi="宋体" w:eastAsia="宋体" w:cs="宋体"/>
                <w:sz w:val="21"/>
              </w:rPr>
              <w:t>2、本项目不接受在项目施工中出现过质量缺陷、质量问题及质量事故尚未得到</w:t>
            </w:r>
            <w:r>
              <w:rPr>
                <w:spacing w:val="-6"/>
                <w:w w:val="95"/>
                <w:sz w:val="21"/>
              </w:rPr>
              <w:t>解</w:t>
            </w:r>
            <w:r>
              <w:rPr>
                <w:spacing w:val="-6"/>
                <w:sz w:val="21"/>
              </w:rPr>
              <w:t>决的供应商。</w:t>
            </w:r>
          </w:p>
          <w:p w14:paraId="4F62FD3B">
            <w:pPr>
              <w:pStyle w:val="18"/>
              <w:spacing w:before="132" w:line="355" w:lineRule="auto"/>
              <w:ind w:left="26" w:right="91"/>
              <w:rPr>
                <w:sz w:val="21"/>
              </w:rPr>
            </w:pPr>
            <w:r>
              <w:rPr>
                <w:rFonts w:hint="eastAsia"/>
                <w:sz w:val="21"/>
                <w:lang w:val="en-US" w:eastAsia="zh-CN"/>
              </w:rPr>
              <w:t>3</w:t>
            </w:r>
            <w:r>
              <w:rPr>
                <w:sz w:val="21"/>
              </w:rPr>
              <w:t>、中标人须在签订合同后</w:t>
            </w:r>
            <w:r>
              <w:rPr>
                <w:b/>
                <w:sz w:val="21"/>
                <w:u w:val="single"/>
              </w:rPr>
              <w:t>1个工作日</w:t>
            </w:r>
            <w:r>
              <w:rPr>
                <w:sz w:val="21"/>
              </w:rPr>
              <w:t>内将双方签订的最终合同原件扫描后发送至代理机构，以便发布合同公告；</w:t>
            </w:r>
          </w:p>
        </w:tc>
      </w:tr>
    </w:tbl>
    <w:p w14:paraId="0600437B">
      <w:pPr>
        <w:rPr>
          <w:sz w:val="2"/>
          <w:szCs w:val="2"/>
        </w:rPr>
      </w:pPr>
    </w:p>
    <w:tbl>
      <w:tblPr>
        <w:tblStyle w:val="13"/>
        <w:tblpPr w:leftFromText="180" w:rightFromText="180" w:vertAnchor="text" w:horzAnchor="page" w:tblpX="1128" w:tblpY="-3961"/>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1436"/>
        <w:gridCol w:w="7544"/>
      </w:tblGrid>
      <w:tr w14:paraId="2C88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5" w:hRule="atLeast"/>
        </w:trPr>
        <w:tc>
          <w:tcPr>
            <w:tcW w:w="686" w:type="dxa"/>
          </w:tcPr>
          <w:p w14:paraId="360638AF">
            <w:pPr>
              <w:pStyle w:val="18"/>
              <w:rPr>
                <w:b/>
                <w:sz w:val="20"/>
              </w:rPr>
            </w:pPr>
          </w:p>
          <w:p w14:paraId="0D043AE3">
            <w:pPr>
              <w:pStyle w:val="18"/>
              <w:rPr>
                <w:b/>
                <w:sz w:val="20"/>
              </w:rPr>
            </w:pPr>
          </w:p>
          <w:p w14:paraId="159C99FA">
            <w:pPr>
              <w:pStyle w:val="18"/>
              <w:rPr>
                <w:b/>
                <w:sz w:val="20"/>
              </w:rPr>
            </w:pPr>
          </w:p>
          <w:p w14:paraId="64BFED7E">
            <w:pPr>
              <w:pStyle w:val="18"/>
              <w:rPr>
                <w:b/>
                <w:sz w:val="20"/>
              </w:rPr>
            </w:pPr>
          </w:p>
          <w:p w14:paraId="74C97DF1">
            <w:pPr>
              <w:pStyle w:val="18"/>
              <w:rPr>
                <w:b/>
                <w:sz w:val="20"/>
              </w:rPr>
            </w:pPr>
          </w:p>
          <w:p w14:paraId="571186D7">
            <w:pPr>
              <w:pStyle w:val="18"/>
              <w:spacing w:before="12"/>
              <w:rPr>
                <w:b/>
                <w:sz w:val="19"/>
              </w:rPr>
            </w:pPr>
          </w:p>
          <w:p w14:paraId="2516CA08">
            <w:pPr>
              <w:pStyle w:val="18"/>
              <w:ind w:left="197"/>
              <w:rPr>
                <w:rFonts w:hint="default" w:eastAsia="宋体"/>
                <w:sz w:val="21"/>
                <w:lang w:val="en-US" w:eastAsia="zh-CN"/>
              </w:rPr>
            </w:pPr>
            <w:r>
              <w:rPr>
                <w:rFonts w:hint="eastAsia"/>
                <w:sz w:val="21"/>
                <w:lang w:val="en-US" w:eastAsia="zh-CN"/>
              </w:rPr>
              <w:t>29</w:t>
            </w:r>
          </w:p>
        </w:tc>
        <w:tc>
          <w:tcPr>
            <w:tcW w:w="1436" w:type="dxa"/>
            <w:tcBorders>
              <w:top w:val="single" w:color="000000" w:sz="4" w:space="0"/>
              <w:bottom w:val="single" w:color="000000" w:sz="4" w:space="0"/>
            </w:tcBorders>
          </w:tcPr>
          <w:p w14:paraId="516952C7">
            <w:pPr>
              <w:pStyle w:val="18"/>
              <w:rPr>
                <w:b/>
                <w:sz w:val="20"/>
              </w:rPr>
            </w:pPr>
          </w:p>
          <w:p w14:paraId="6DBA1F87">
            <w:pPr>
              <w:pStyle w:val="18"/>
              <w:rPr>
                <w:b/>
                <w:sz w:val="20"/>
              </w:rPr>
            </w:pPr>
          </w:p>
          <w:p w14:paraId="41549E9B">
            <w:pPr>
              <w:pStyle w:val="18"/>
              <w:rPr>
                <w:b/>
                <w:sz w:val="20"/>
              </w:rPr>
            </w:pPr>
          </w:p>
          <w:p w14:paraId="070CD51F">
            <w:pPr>
              <w:pStyle w:val="18"/>
              <w:rPr>
                <w:b/>
                <w:sz w:val="20"/>
              </w:rPr>
            </w:pPr>
          </w:p>
          <w:p w14:paraId="50151CD2">
            <w:pPr>
              <w:pStyle w:val="18"/>
              <w:rPr>
                <w:b/>
                <w:sz w:val="20"/>
              </w:rPr>
            </w:pPr>
          </w:p>
          <w:p w14:paraId="2A77F58B">
            <w:pPr>
              <w:pStyle w:val="18"/>
              <w:spacing w:before="12"/>
              <w:rPr>
                <w:b/>
                <w:sz w:val="19"/>
              </w:rPr>
            </w:pPr>
          </w:p>
          <w:p w14:paraId="4E20F04A">
            <w:pPr>
              <w:pStyle w:val="18"/>
              <w:ind w:left="46" w:right="109"/>
              <w:jc w:val="center"/>
              <w:rPr>
                <w:sz w:val="21"/>
              </w:rPr>
            </w:pPr>
            <w:r>
              <w:rPr>
                <w:sz w:val="21"/>
              </w:rPr>
              <w:t>解释权</w:t>
            </w:r>
          </w:p>
        </w:tc>
        <w:tc>
          <w:tcPr>
            <w:tcW w:w="7544" w:type="dxa"/>
          </w:tcPr>
          <w:p w14:paraId="6399AB5F">
            <w:pPr>
              <w:pStyle w:val="18"/>
              <w:spacing w:before="138" w:line="357" w:lineRule="auto"/>
              <w:ind w:left="26" w:right="-15"/>
              <w:rPr>
                <w:sz w:val="21"/>
              </w:rPr>
            </w:pPr>
            <w:r>
              <w:rPr>
                <w:sz w:val="21"/>
              </w:rPr>
              <w:t>构成本采购文件的各个组成文件应互为解释，互为说明；如有不明确或不一致， 构成合同文件组成内容，以合同文件约定内容为准，且以专用合同条款约定的合同文件优先顺序解释；除采购文件中有特别规定外，仅适用于招标投标阶段的规</w:t>
            </w:r>
            <w:r>
              <w:rPr>
                <w:rFonts w:ascii="宋体" w:hAnsi="宋体" w:eastAsia="宋体" w:cs="宋体"/>
                <w:sz w:val="21"/>
              </w:rPr>
              <w:t>定，按招标公告、投标人须知前附表、投标人须知、评标方法、合同条款及格式</w:t>
            </w:r>
            <w:r>
              <w:rPr>
                <w:spacing w:val="-7"/>
                <w:w w:val="95"/>
                <w:sz w:val="21"/>
              </w:rPr>
              <w:t>、</w:t>
            </w:r>
            <w:r>
              <w:rPr>
                <w:spacing w:val="-2"/>
                <w:sz w:val="21"/>
              </w:rPr>
              <w:t>采购需求、投标文件部分格式的先后顺序解释；同一组成文件中就同一事项的规</w:t>
            </w:r>
            <w:r>
              <w:rPr>
                <w:sz w:val="21"/>
              </w:rPr>
              <w:t>定或约定不一致的，以编排顺序在后者为准；同一组成文件不同版本之间有不一致的，以形成时间在后者为准。按本款前述规定仍不成形成结论的，由采购人及代理机构负责解释。</w:t>
            </w:r>
          </w:p>
        </w:tc>
      </w:tr>
      <w:tr w14:paraId="34E76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86" w:type="dxa"/>
          </w:tcPr>
          <w:p w14:paraId="42A4A9B1">
            <w:pPr>
              <w:pStyle w:val="18"/>
              <w:spacing w:before="137"/>
              <w:ind w:left="197"/>
              <w:rPr>
                <w:rFonts w:hint="eastAsia" w:eastAsia="宋体"/>
                <w:sz w:val="21"/>
                <w:lang w:eastAsia="zh-CN"/>
              </w:rPr>
            </w:pPr>
            <w:r>
              <w:rPr>
                <w:sz w:val="21"/>
              </w:rPr>
              <w:t>3</w:t>
            </w:r>
            <w:r>
              <w:rPr>
                <w:rFonts w:hint="eastAsia"/>
                <w:sz w:val="21"/>
                <w:lang w:val="en-US" w:eastAsia="zh-CN"/>
              </w:rPr>
              <w:t>0</w:t>
            </w:r>
          </w:p>
        </w:tc>
        <w:tc>
          <w:tcPr>
            <w:tcW w:w="1436" w:type="dxa"/>
            <w:tcBorders>
              <w:top w:val="single" w:color="000000" w:sz="4" w:space="0"/>
              <w:bottom w:val="single" w:color="000000" w:sz="4" w:space="0"/>
            </w:tcBorders>
          </w:tcPr>
          <w:p w14:paraId="7B1E87AD">
            <w:pPr>
              <w:pStyle w:val="18"/>
              <w:spacing w:before="137"/>
              <w:ind w:left="46" w:right="111"/>
              <w:jc w:val="center"/>
              <w:rPr>
                <w:sz w:val="21"/>
              </w:rPr>
            </w:pPr>
            <w:r>
              <w:rPr>
                <w:sz w:val="21"/>
              </w:rPr>
              <w:t>未尽事项</w:t>
            </w:r>
          </w:p>
        </w:tc>
        <w:tc>
          <w:tcPr>
            <w:tcW w:w="7544" w:type="dxa"/>
          </w:tcPr>
          <w:p w14:paraId="2156A6F8">
            <w:pPr>
              <w:pStyle w:val="18"/>
              <w:spacing w:before="137"/>
              <w:ind w:left="26"/>
              <w:rPr>
                <w:sz w:val="21"/>
              </w:rPr>
            </w:pPr>
            <w:r>
              <w:rPr>
                <w:sz w:val="21"/>
              </w:rPr>
              <w:t>采购人与中标人协商事项，具体在合同中约定。</w:t>
            </w:r>
          </w:p>
        </w:tc>
      </w:tr>
    </w:tbl>
    <w:p w14:paraId="4C2F5C38">
      <w:pPr>
        <w:pStyle w:val="7"/>
        <w:spacing w:before="10"/>
      </w:pPr>
      <w:r>
        <w:t>如有矛盾，以本表为准。</w:t>
      </w:r>
    </w:p>
    <w:p w14:paraId="524429C6">
      <w:pPr>
        <w:spacing w:after="0"/>
        <w:rPr>
          <w:sz w:val="21"/>
        </w:rPr>
        <w:sectPr>
          <w:pgSz w:w="11910" w:h="16840"/>
          <w:pgMar w:top="1240" w:right="900" w:bottom="940" w:left="960" w:header="0" w:footer="748" w:gutter="0"/>
          <w:pgNumType w:fmt="decimal"/>
          <w:cols w:space="720" w:num="1"/>
        </w:sectPr>
      </w:pPr>
    </w:p>
    <w:p w14:paraId="11FB40FF">
      <w:pPr>
        <w:spacing w:before="29"/>
        <w:ind w:right="328"/>
        <w:jc w:val="center"/>
        <w:rPr>
          <w:b/>
          <w:sz w:val="40"/>
        </w:rPr>
      </w:pPr>
      <w:r>
        <w:rPr>
          <w:b/>
          <w:sz w:val="40"/>
        </w:rPr>
        <w:t>第二章 投标人须知</w:t>
      </w:r>
    </w:p>
    <w:p w14:paraId="53076A2C">
      <w:pPr>
        <w:pStyle w:val="8"/>
        <w:spacing w:before="1"/>
        <w:rPr>
          <w:b/>
          <w:sz w:val="57"/>
        </w:rPr>
      </w:pPr>
    </w:p>
    <w:p w14:paraId="5F8DDA85">
      <w:pPr>
        <w:spacing w:before="1"/>
        <w:ind w:left="270" w:right="331" w:firstLine="0"/>
        <w:jc w:val="center"/>
        <w:rPr>
          <w:b/>
          <w:sz w:val="32"/>
        </w:rPr>
      </w:pPr>
      <w:r>
        <w:rPr>
          <w:b/>
          <w:sz w:val="32"/>
        </w:rPr>
        <w:t>一、总则</w:t>
      </w:r>
    </w:p>
    <w:p w14:paraId="72F1B5EE">
      <w:pPr>
        <w:pStyle w:val="8"/>
        <w:rPr>
          <w:b/>
          <w:sz w:val="32"/>
        </w:rPr>
      </w:pPr>
    </w:p>
    <w:p w14:paraId="4EB6034E">
      <w:pPr>
        <w:spacing w:before="268"/>
        <w:ind w:left="287" w:right="0" w:firstLine="0"/>
        <w:jc w:val="left"/>
        <w:rPr>
          <w:b/>
          <w:sz w:val="24"/>
        </w:rPr>
      </w:pPr>
      <w:r>
        <w:rPr>
          <w:b/>
          <w:sz w:val="24"/>
        </w:rPr>
        <w:t>1、开标会的资格要求、开标时间及地点</w:t>
      </w:r>
    </w:p>
    <w:p w14:paraId="3C6E674E">
      <w:pPr>
        <w:pStyle w:val="17"/>
        <w:numPr>
          <w:ilvl w:val="1"/>
          <w:numId w:val="3"/>
        </w:numPr>
        <w:tabs>
          <w:tab w:val="left" w:pos="1248"/>
        </w:tabs>
        <w:spacing w:before="160" w:after="0" w:line="240" w:lineRule="auto"/>
        <w:ind w:left="1248" w:right="0" w:hanging="480"/>
        <w:jc w:val="both"/>
        <w:rPr>
          <w:sz w:val="24"/>
        </w:rPr>
      </w:pPr>
      <w:r>
        <w:rPr>
          <w:sz w:val="24"/>
        </w:rPr>
        <w:t>本项目开标的时间、地点已在投标人须知前附表列清。</w:t>
      </w:r>
    </w:p>
    <w:p w14:paraId="08E2D47C">
      <w:pPr>
        <w:pStyle w:val="17"/>
        <w:numPr>
          <w:ilvl w:val="1"/>
          <w:numId w:val="3"/>
        </w:numPr>
        <w:tabs>
          <w:tab w:val="left" w:pos="1248"/>
        </w:tabs>
        <w:spacing w:before="161" w:after="0" w:line="240" w:lineRule="auto"/>
        <w:ind w:left="1248" w:right="0" w:hanging="480"/>
        <w:jc w:val="both"/>
        <w:rPr>
          <w:sz w:val="24"/>
        </w:rPr>
      </w:pPr>
      <w:r>
        <w:rPr>
          <w:sz w:val="24"/>
        </w:rPr>
        <w:t>投标人应派代表线上参加开标会。</w:t>
      </w:r>
    </w:p>
    <w:p w14:paraId="5628146D">
      <w:pPr>
        <w:pStyle w:val="17"/>
        <w:numPr>
          <w:ilvl w:val="1"/>
          <w:numId w:val="3"/>
        </w:numPr>
        <w:tabs>
          <w:tab w:val="left" w:pos="1248"/>
        </w:tabs>
        <w:spacing w:before="158" w:after="0" w:line="362" w:lineRule="auto"/>
        <w:ind w:left="287" w:right="346" w:firstLine="480"/>
        <w:jc w:val="both"/>
        <w:rPr>
          <w:sz w:val="24"/>
        </w:rPr>
      </w:pPr>
      <w:r>
        <w:rPr>
          <w:sz w:val="24"/>
        </w:rPr>
        <w:t>所有资格证明文件必须满足招标文件的要求，否则将拒绝其投标，本次投标人具体资格要求如下：</w:t>
      </w:r>
    </w:p>
    <w:p w14:paraId="0590A462">
      <w:pPr>
        <w:pStyle w:val="17"/>
        <w:numPr>
          <w:ilvl w:val="2"/>
          <w:numId w:val="3"/>
        </w:numPr>
        <w:tabs>
          <w:tab w:val="left" w:pos="1488"/>
        </w:tabs>
        <w:spacing w:before="5" w:after="0" w:line="240" w:lineRule="auto"/>
        <w:ind w:left="1488" w:right="0" w:hanging="720"/>
        <w:jc w:val="both"/>
        <w:rPr>
          <w:sz w:val="24"/>
        </w:rPr>
      </w:pPr>
      <w:r>
        <w:rPr>
          <w:sz w:val="24"/>
        </w:rPr>
        <w:t>投标人应当符合</w:t>
      </w:r>
      <w:r>
        <w:rPr>
          <w:b/>
          <w:spacing w:val="-1"/>
          <w:sz w:val="24"/>
        </w:rPr>
        <w:t>投标人须知前附表</w:t>
      </w:r>
      <w:r>
        <w:rPr>
          <w:sz w:val="24"/>
        </w:rPr>
        <w:t>中规定的资格条件要求；</w:t>
      </w:r>
    </w:p>
    <w:p w14:paraId="0376ADD1">
      <w:pPr>
        <w:pStyle w:val="17"/>
        <w:numPr>
          <w:ilvl w:val="2"/>
          <w:numId w:val="3"/>
        </w:numPr>
        <w:tabs>
          <w:tab w:val="left" w:pos="1496"/>
        </w:tabs>
        <w:spacing w:before="160" w:after="0" w:line="364" w:lineRule="auto"/>
        <w:ind w:left="287" w:right="344" w:firstLine="480"/>
        <w:jc w:val="both"/>
        <w:rPr>
          <w:sz w:val="24"/>
        </w:rPr>
      </w:pPr>
      <w:r>
        <w:rPr>
          <w:sz w:val="24"/>
        </w:rPr>
        <w:t>投标人信用情况：投标人被列入失信被执行人、重大税收违法失信主体、政府采购严重违法失信行为记录名单（处罚决定规定的时间和地域范围内）。投标人在中国政</w:t>
      </w:r>
      <w:r>
        <w:rPr>
          <w:spacing w:val="-5"/>
          <w:sz w:val="24"/>
        </w:rPr>
        <w:t>府采购网</w:t>
      </w:r>
      <w:r>
        <w:rPr>
          <w:spacing w:val="-1"/>
          <w:sz w:val="24"/>
        </w:rPr>
        <w:t>（</w:t>
      </w:r>
      <w:r>
        <w:fldChar w:fldCharType="begin"/>
      </w:r>
      <w:r>
        <w:instrText xml:space="preserve"> HYPERLINK "http://www.ccgp.gov.cn/" \h </w:instrText>
      </w:r>
      <w:r>
        <w:fldChar w:fldCharType="separate"/>
      </w:r>
      <w:r>
        <w:rPr>
          <w:spacing w:val="-1"/>
          <w:sz w:val="24"/>
        </w:rPr>
        <w:t>www.ccgp.gov.cn</w:t>
      </w:r>
      <w:r>
        <w:rPr>
          <w:spacing w:val="-1"/>
          <w:sz w:val="24"/>
        </w:rPr>
        <w:fldChar w:fldCharType="end"/>
      </w:r>
      <w:r>
        <w:rPr>
          <w:spacing w:val="-1"/>
          <w:sz w:val="24"/>
        </w:rPr>
        <w:t>）</w:t>
      </w:r>
      <w:r>
        <w:rPr>
          <w:spacing w:val="-3"/>
          <w:sz w:val="24"/>
        </w:rPr>
        <w:t>被列入政府采购严重违法失信行为记录名单，或在“信用中</w:t>
      </w:r>
      <w:r>
        <w:rPr>
          <w:sz w:val="24"/>
        </w:rPr>
        <w:t>国”网站（</w:t>
      </w:r>
      <w:r>
        <w:fldChar w:fldCharType="begin"/>
      </w:r>
      <w:r>
        <w:instrText xml:space="preserve"> HYPERLINK "http://www.creditchina.gov.cn/" \h </w:instrText>
      </w:r>
      <w:r>
        <w:fldChar w:fldCharType="separate"/>
      </w:r>
      <w:r>
        <w:rPr>
          <w:sz w:val="24"/>
        </w:rPr>
        <w:t>www.creditchina.gov.cn</w:t>
      </w:r>
      <w:r>
        <w:rPr>
          <w:sz w:val="24"/>
        </w:rPr>
        <w:fldChar w:fldCharType="end"/>
      </w:r>
      <w:r>
        <w:rPr>
          <w:sz w:val="24"/>
        </w:rPr>
        <w:t>）被列入失信被执行人、重大税收违法失信主体，投</w:t>
      </w:r>
      <w:r>
        <w:rPr>
          <w:spacing w:val="-2"/>
          <w:sz w:val="24"/>
        </w:rPr>
        <w:t>标人将被认定为投标无效。以联合体形式参加投标的，联合体任何成员存在以上不良信用记录的，联合体投标人将被认定为投标无效。</w:t>
      </w:r>
    </w:p>
    <w:p w14:paraId="256B5DD8">
      <w:pPr>
        <w:pStyle w:val="7"/>
        <w:spacing w:line="304" w:lineRule="exact"/>
      </w:pPr>
      <w:r>
        <w:t>2、适用范围和定义</w:t>
      </w:r>
    </w:p>
    <w:p w14:paraId="2D0DF482">
      <w:pPr>
        <w:pStyle w:val="17"/>
        <w:numPr>
          <w:ilvl w:val="1"/>
          <w:numId w:val="4"/>
        </w:numPr>
        <w:tabs>
          <w:tab w:val="left" w:pos="1251"/>
        </w:tabs>
        <w:spacing w:before="158" w:after="0" w:line="240" w:lineRule="auto"/>
        <w:ind w:left="1250" w:right="0" w:hanging="483"/>
        <w:jc w:val="both"/>
        <w:rPr>
          <w:sz w:val="24"/>
        </w:rPr>
      </w:pPr>
      <w:r>
        <w:rPr>
          <w:b/>
          <w:spacing w:val="-1"/>
          <w:sz w:val="24"/>
        </w:rPr>
        <w:t>适用范围：</w:t>
      </w:r>
      <w:r>
        <w:rPr>
          <w:sz w:val="24"/>
        </w:rPr>
        <w:t>本招标文件仅适用于本采购文件中所述的相关服务。</w:t>
      </w:r>
    </w:p>
    <w:p w14:paraId="127FC424">
      <w:pPr>
        <w:pStyle w:val="7"/>
        <w:numPr>
          <w:ilvl w:val="1"/>
          <w:numId w:val="4"/>
        </w:numPr>
        <w:tabs>
          <w:tab w:val="left" w:pos="1251"/>
        </w:tabs>
        <w:spacing w:before="161" w:after="0" w:line="240" w:lineRule="auto"/>
        <w:ind w:left="1250" w:right="0" w:hanging="483"/>
        <w:jc w:val="both"/>
      </w:pPr>
      <w:r>
        <w:t>定义</w:t>
      </w:r>
    </w:p>
    <w:p w14:paraId="46808FFC">
      <w:pPr>
        <w:pStyle w:val="17"/>
        <w:numPr>
          <w:ilvl w:val="2"/>
          <w:numId w:val="4"/>
        </w:numPr>
        <w:tabs>
          <w:tab w:val="left" w:pos="1488"/>
        </w:tabs>
        <w:spacing w:before="158" w:after="0" w:line="240" w:lineRule="auto"/>
        <w:ind w:left="1488" w:right="0" w:hanging="720"/>
        <w:jc w:val="both"/>
        <w:rPr>
          <w:sz w:val="24"/>
        </w:rPr>
      </w:pPr>
      <w:r>
        <w:rPr>
          <w:sz w:val="24"/>
        </w:rPr>
        <w:t>“采购人”、“甲方”均系指</w:t>
      </w:r>
      <w:r>
        <w:rPr>
          <w:rFonts w:hint="eastAsia"/>
          <w:sz w:val="24"/>
          <w:lang w:eastAsia="zh-CN"/>
        </w:rPr>
        <w:t>新疆维吾尔自治区阿克苏某单位</w:t>
      </w:r>
      <w:r>
        <w:rPr>
          <w:sz w:val="24"/>
        </w:rPr>
        <w:t>。</w:t>
      </w:r>
    </w:p>
    <w:p w14:paraId="513AE540">
      <w:pPr>
        <w:pStyle w:val="17"/>
        <w:numPr>
          <w:ilvl w:val="2"/>
          <w:numId w:val="4"/>
        </w:numPr>
        <w:tabs>
          <w:tab w:val="left" w:pos="1488"/>
        </w:tabs>
        <w:spacing w:before="160" w:after="0" w:line="240" w:lineRule="auto"/>
        <w:ind w:left="1488" w:right="0" w:hanging="720"/>
        <w:jc w:val="both"/>
        <w:rPr>
          <w:sz w:val="24"/>
        </w:rPr>
      </w:pPr>
      <w:r>
        <w:rPr>
          <w:sz w:val="24"/>
        </w:rPr>
        <w:t>“采购代理机构”系指</w:t>
      </w:r>
      <w:r>
        <w:rPr>
          <w:rFonts w:hint="eastAsia"/>
          <w:sz w:val="24"/>
          <w:lang w:eastAsia="zh-CN"/>
        </w:rPr>
        <w:t>新疆疆裕百川工程项目管理有限公司</w:t>
      </w:r>
      <w:r>
        <w:rPr>
          <w:sz w:val="24"/>
        </w:rPr>
        <w:t>。</w:t>
      </w:r>
    </w:p>
    <w:p w14:paraId="73F8C897">
      <w:pPr>
        <w:pStyle w:val="17"/>
        <w:numPr>
          <w:ilvl w:val="2"/>
          <w:numId w:val="4"/>
        </w:numPr>
        <w:tabs>
          <w:tab w:val="left" w:pos="1488"/>
        </w:tabs>
        <w:spacing w:before="161" w:after="0" w:line="364" w:lineRule="auto"/>
        <w:ind w:left="287" w:right="344" w:firstLine="480"/>
        <w:jc w:val="both"/>
        <w:rPr>
          <w:sz w:val="24"/>
        </w:rPr>
      </w:pPr>
      <w:r>
        <w:rPr>
          <w:sz w:val="24"/>
        </w:rPr>
        <w:t>“投标人”、“供应商”均系指响应采购需求，并按照采购文件的要求参与本</w:t>
      </w:r>
      <w:r>
        <w:rPr>
          <w:spacing w:val="-4"/>
          <w:sz w:val="24"/>
        </w:rPr>
        <w:t>次采购任务竞争的法人、其他组织或者自然人，中标</w:t>
      </w:r>
      <w:r>
        <w:rPr>
          <w:sz w:val="24"/>
        </w:rPr>
        <w:t>/</w:t>
      </w:r>
      <w:r>
        <w:rPr>
          <w:spacing w:val="-4"/>
          <w:sz w:val="24"/>
        </w:rPr>
        <w:t>成交后即为中标人，签定合同后即为</w:t>
      </w:r>
      <w:r>
        <w:rPr>
          <w:sz w:val="24"/>
        </w:rPr>
        <w:t>“乙方”。</w:t>
      </w:r>
    </w:p>
    <w:p w14:paraId="3661B6DB">
      <w:pPr>
        <w:pStyle w:val="17"/>
        <w:numPr>
          <w:ilvl w:val="2"/>
          <w:numId w:val="4"/>
        </w:numPr>
        <w:tabs>
          <w:tab w:val="left" w:pos="1488"/>
        </w:tabs>
        <w:spacing w:before="0" w:after="0" w:line="362" w:lineRule="auto"/>
        <w:ind w:left="287" w:right="344" w:firstLine="480"/>
        <w:jc w:val="both"/>
        <w:rPr>
          <w:sz w:val="24"/>
        </w:rPr>
      </w:pPr>
      <w:r>
        <w:rPr>
          <w:sz w:val="24"/>
        </w:rPr>
        <w:t>“货物”系指投标人按合同要求，须向采购人提供的一切产品及相关技术资料和材料。</w:t>
      </w:r>
    </w:p>
    <w:p w14:paraId="33CBF2CF">
      <w:pPr>
        <w:pStyle w:val="17"/>
        <w:numPr>
          <w:ilvl w:val="2"/>
          <w:numId w:val="4"/>
        </w:numPr>
        <w:tabs>
          <w:tab w:val="left" w:pos="1488"/>
        </w:tabs>
        <w:spacing w:before="2" w:after="0" w:line="364" w:lineRule="auto"/>
        <w:ind w:left="287" w:right="346" w:firstLine="480"/>
        <w:jc w:val="both"/>
        <w:rPr>
          <w:sz w:val="24"/>
        </w:rPr>
      </w:pPr>
      <w:r>
        <w:rPr>
          <w:sz w:val="24"/>
        </w:rPr>
        <w:t>“服务”系指采购文件中规定投标人须承担标的标明的服务、技术协助、培训及其他类似的责任。</w:t>
      </w:r>
    </w:p>
    <w:p w14:paraId="708627CF">
      <w:pPr>
        <w:pStyle w:val="17"/>
        <w:numPr>
          <w:ilvl w:val="2"/>
          <w:numId w:val="4"/>
        </w:numPr>
        <w:tabs>
          <w:tab w:val="left" w:pos="1488"/>
        </w:tabs>
        <w:spacing w:before="0" w:after="0" w:line="306" w:lineRule="exact"/>
        <w:ind w:left="1488" w:right="0" w:hanging="720"/>
        <w:jc w:val="both"/>
        <w:rPr>
          <w:sz w:val="24"/>
        </w:rPr>
      </w:pPr>
      <w:r>
        <w:rPr>
          <w:sz w:val="24"/>
        </w:rPr>
        <w:t>“甲方”系指购买货物或服务的单位。</w:t>
      </w:r>
    </w:p>
    <w:p w14:paraId="563FC72A">
      <w:pPr>
        <w:pStyle w:val="17"/>
        <w:numPr>
          <w:ilvl w:val="2"/>
          <w:numId w:val="4"/>
        </w:numPr>
        <w:tabs>
          <w:tab w:val="left" w:pos="1488"/>
        </w:tabs>
        <w:spacing w:before="160" w:after="0" w:line="240" w:lineRule="auto"/>
        <w:ind w:left="1488" w:right="0" w:hanging="720"/>
        <w:jc w:val="both"/>
        <w:rPr>
          <w:sz w:val="24"/>
        </w:rPr>
      </w:pPr>
      <w:r>
        <w:rPr>
          <w:sz w:val="24"/>
        </w:rPr>
        <w:t>“乙方”系指根据合同约定提供服务的中标人。</w:t>
      </w:r>
    </w:p>
    <w:p w14:paraId="70384025">
      <w:pPr>
        <w:spacing w:after="0" w:line="240" w:lineRule="auto"/>
        <w:jc w:val="both"/>
        <w:rPr>
          <w:sz w:val="24"/>
        </w:rPr>
        <w:sectPr>
          <w:footerReference r:id="rId6" w:type="default"/>
          <w:pgSz w:w="11910" w:h="16840"/>
          <w:pgMar w:top="1220" w:right="900" w:bottom="1020" w:left="960" w:header="0" w:footer="828" w:gutter="0"/>
          <w:pgNumType w:fmt="decimal"/>
          <w:cols w:space="720" w:num="1"/>
        </w:sectPr>
      </w:pPr>
    </w:p>
    <w:p w14:paraId="2FB71A60">
      <w:pPr>
        <w:pStyle w:val="17"/>
        <w:numPr>
          <w:ilvl w:val="2"/>
          <w:numId w:val="4"/>
        </w:numPr>
        <w:tabs>
          <w:tab w:val="left" w:pos="1488"/>
        </w:tabs>
        <w:spacing w:before="49" w:after="0" w:line="362" w:lineRule="auto"/>
        <w:ind w:left="287" w:right="4718" w:firstLine="480"/>
        <w:jc w:val="left"/>
        <w:rPr>
          <w:b/>
          <w:sz w:val="24"/>
        </w:rPr>
      </w:pPr>
      <w:r>
        <w:rPr>
          <w:spacing w:val="-2"/>
          <w:sz w:val="24"/>
        </w:rPr>
        <w:t>项目说明：详见投标人须知前附表。</w:t>
      </w:r>
      <w:r>
        <w:rPr>
          <w:b/>
          <w:sz w:val="24"/>
        </w:rPr>
        <w:t>3、投标费用</w:t>
      </w:r>
    </w:p>
    <w:p w14:paraId="37168929">
      <w:pPr>
        <w:pStyle w:val="17"/>
        <w:numPr>
          <w:ilvl w:val="1"/>
          <w:numId w:val="5"/>
        </w:numPr>
        <w:tabs>
          <w:tab w:val="left" w:pos="1248"/>
        </w:tabs>
        <w:spacing w:before="5" w:after="0" w:line="362" w:lineRule="auto"/>
        <w:ind w:left="287" w:right="346" w:firstLine="480"/>
        <w:jc w:val="left"/>
        <w:rPr>
          <w:sz w:val="24"/>
        </w:rPr>
      </w:pPr>
      <w:r>
        <w:rPr>
          <w:sz w:val="24"/>
        </w:rPr>
        <w:t>投标人应承担所有编写、提交投标文件、参加采购活动等有关的费用，不论投标的结果如何，采购人和采购代理机构在任何情况下均无义务和责任承担这些费用。</w:t>
      </w:r>
    </w:p>
    <w:p w14:paraId="4E1E4A37">
      <w:pPr>
        <w:pStyle w:val="8"/>
        <w:spacing w:before="158"/>
        <w:ind w:left="287" w:firstLine="480" w:firstLineChars="200"/>
        <w:rPr>
          <w:rFonts w:ascii="宋体" w:hAnsi="宋体" w:eastAsia="宋体" w:cs="宋体"/>
          <w:sz w:val="24"/>
          <w:szCs w:val="22"/>
          <w:lang w:val="zh-CN" w:eastAsia="zh-CN" w:bidi="zh-CN"/>
        </w:rPr>
      </w:pPr>
      <w:r>
        <w:rPr>
          <w:rFonts w:hint="eastAsia" w:ascii="宋体" w:hAnsi="宋体" w:eastAsia="宋体" w:cs="宋体"/>
          <w:sz w:val="24"/>
          <w:szCs w:val="22"/>
          <w:lang w:val="en-US" w:eastAsia="zh-CN" w:bidi="zh-CN"/>
        </w:rPr>
        <w:t xml:space="preserve">3.2  </w:t>
      </w:r>
      <w:r>
        <w:rPr>
          <w:rFonts w:hint="eastAsia" w:ascii="宋体" w:hAnsi="宋体" w:eastAsia="宋体" w:cs="宋体"/>
          <w:sz w:val="24"/>
          <w:szCs w:val="22"/>
          <w:lang w:val="zh-CN" w:eastAsia="zh-CN" w:bidi="zh-CN"/>
        </w:rPr>
        <w:t>发改价格【2015】299号及国家发展改革委办公厅发改办价格［2003］857号；领取中标通知书时中标人向招标代理机构一次性付清。</w:t>
      </w:r>
      <w:r>
        <w:rPr>
          <w:rFonts w:hint="eastAsia" w:ascii="宋体" w:hAnsi="宋体" w:eastAsia="宋体" w:cs="宋体"/>
          <w:sz w:val="24"/>
          <w:szCs w:val="22"/>
          <w:lang w:val="en-US" w:eastAsia="zh-CN" w:bidi="zh-CN"/>
        </w:rPr>
        <w:t>委托人在本次招标代理服务过程中不承担任何费用。（下浮20%收取代理服务费。）</w:t>
      </w:r>
    </w:p>
    <w:p w14:paraId="7C8EF14D">
      <w:pPr>
        <w:pStyle w:val="8"/>
        <w:rPr>
          <w:rFonts w:ascii="宋体" w:hAnsi="宋体" w:eastAsia="宋体" w:cs="宋体"/>
          <w:sz w:val="24"/>
          <w:szCs w:val="22"/>
          <w:lang w:val="zh-CN" w:eastAsia="zh-CN" w:bidi="zh-CN"/>
        </w:rPr>
      </w:pPr>
    </w:p>
    <w:p w14:paraId="7B4DCA70">
      <w:pPr>
        <w:pStyle w:val="8"/>
        <w:spacing w:before="12"/>
        <w:rPr>
          <w:sz w:val="22"/>
        </w:rPr>
      </w:pPr>
    </w:p>
    <w:p w14:paraId="5AFF8F07">
      <w:pPr>
        <w:spacing w:before="0"/>
        <w:ind w:left="270" w:right="331" w:firstLine="0"/>
        <w:jc w:val="center"/>
        <w:rPr>
          <w:b/>
          <w:sz w:val="32"/>
        </w:rPr>
      </w:pPr>
      <w:r>
        <w:rPr>
          <w:b/>
          <w:sz w:val="32"/>
        </w:rPr>
        <w:t>二、招标文件的组成</w:t>
      </w:r>
    </w:p>
    <w:p w14:paraId="0829E605">
      <w:pPr>
        <w:pStyle w:val="8"/>
        <w:rPr>
          <w:b/>
          <w:sz w:val="32"/>
        </w:rPr>
      </w:pPr>
    </w:p>
    <w:p w14:paraId="662A73CE">
      <w:pPr>
        <w:pStyle w:val="7"/>
        <w:spacing w:before="268"/>
      </w:pPr>
      <w:r>
        <w:t>4、招标文件</w:t>
      </w:r>
    </w:p>
    <w:p w14:paraId="44FD3329">
      <w:pPr>
        <w:pStyle w:val="17"/>
        <w:numPr>
          <w:ilvl w:val="1"/>
          <w:numId w:val="6"/>
        </w:numPr>
        <w:tabs>
          <w:tab w:val="left" w:pos="1248"/>
        </w:tabs>
        <w:spacing w:before="161" w:after="0" w:line="364" w:lineRule="auto"/>
        <w:ind w:left="768" w:right="6158" w:firstLine="0"/>
        <w:jc w:val="left"/>
        <w:rPr>
          <w:sz w:val="24"/>
        </w:rPr>
      </w:pPr>
      <w:r>
        <w:rPr>
          <w:spacing w:val="-2"/>
          <w:sz w:val="24"/>
        </w:rPr>
        <w:t xml:space="preserve">招标文件包括下列内容： </w:t>
      </w:r>
      <w:r>
        <w:rPr>
          <w:sz w:val="24"/>
        </w:rPr>
        <w:t>公开招标公告</w:t>
      </w:r>
    </w:p>
    <w:p w14:paraId="1B812D2D">
      <w:pPr>
        <w:pStyle w:val="8"/>
        <w:spacing w:line="364" w:lineRule="auto"/>
        <w:ind w:left="760" w:right="6398" w:firstLine="7"/>
      </w:pPr>
      <w:r>
        <w:t>第一章：投标人须知前附表第二章：投标人须知</w:t>
      </w:r>
    </w:p>
    <w:p w14:paraId="2F59B26D">
      <w:pPr>
        <w:pStyle w:val="8"/>
        <w:spacing w:line="306" w:lineRule="exact"/>
        <w:ind w:left="760"/>
      </w:pPr>
      <w:r>
        <w:t>第三章：评标方法</w:t>
      </w:r>
    </w:p>
    <w:p w14:paraId="440907FF">
      <w:pPr>
        <w:pStyle w:val="8"/>
        <w:spacing w:before="157" w:line="364" w:lineRule="auto"/>
        <w:ind w:left="760" w:right="6644"/>
      </w:pPr>
      <w:r>
        <w:rPr>
          <w:spacing w:val="-2"/>
        </w:rPr>
        <w:t>第四章：合同条款及格式</w:t>
      </w:r>
      <w:r>
        <w:t>第五章：采购需求</w:t>
      </w:r>
    </w:p>
    <w:p w14:paraId="354CFF5C">
      <w:pPr>
        <w:pStyle w:val="8"/>
        <w:spacing w:before="1"/>
        <w:ind w:left="760"/>
      </w:pPr>
      <w:r>
        <w:t>第六章：投标文件部分格式</w:t>
      </w:r>
    </w:p>
    <w:p w14:paraId="3A63D575">
      <w:pPr>
        <w:pStyle w:val="17"/>
        <w:numPr>
          <w:ilvl w:val="1"/>
          <w:numId w:val="6"/>
        </w:numPr>
        <w:tabs>
          <w:tab w:val="left" w:pos="1248"/>
        </w:tabs>
        <w:spacing w:before="158" w:after="0" w:line="364" w:lineRule="auto"/>
        <w:ind w:left="287" w:right="346" w:firstLine="480"/>
        <w:jc w:val="left"/>
        <w:rPr>
          <w:sz w:val="24"/>
        </w:rPr>
      </w:pPr>
      <w:r>
        <w:rPr>
          <w:sz w:val="24"/>
        </w:rPr>
        <w:t>招标文件由本文件及采购人按有关规定发出的招标文件补充构成。招标文件的澄清、修改、招标答疑纪要等书面材料在本招标项目中均称招标文件补充。</w:t>
      </w:r>
    </w:p>
    <w:p w14:paraId="30C69799">
      <w:pPr>
        <w:pStyle w:val="7"/>
        <w:spacing w:line="306" w:lineRule="exact"/>
      </w:pPr>
      <w:r>
        <w:t>5、招标文件的澄清及修改</w:t>
      </w:r>
    </w:p>
    <w:p w14:paraId="33B0EEDF">
      <w:pPr>
        <w:pStyle w:val="17"/>
        <w:numPr>
          <w:ilvl w:val="1"/>
          <w:numId w:val="7"/>
        </w:numPr>
        <w:tabs>
          <w:tab w:val="left" w:pos="1248"/>
        </w:tabs>
        <w:spacing w:before="161" w:after="0" w:line="364" w:lineRule="auto"/>
        <w:ind w:left="287" w:right="344" w:firstLine="480"/>
        <w:jc w:val="both"/>
        <w:rPr>
          <w:sz w:val="24"/>
        </w:rPr>
      </w:pPr>
      <w:r>
        <w:rPr>
          <w:spacing w:val="-8"/>
          <w:sz w:val="24"/>
        </w:rPr>
        <w:t xml:space="preserve">在投标截止时间 </w:t>
      </w:r>
      <w:r>
        <w:rPr>
          <w:sz w:val="24"/>
        </w:rPr>
        <w:t>15</w:t>
      </w:r>
      <w:r>
        <w:rPr>
          <w:spacing w:val="-13"/>
          <w:sz w:val="24"/>
        </w:rPr>
        <w:t xml:space="preserve"> 日以前，采购人都可能以招标文件补充的方式澄清及修改招标</w:t>
      </w:r>
      <w:r>
        <w:rPr>
          <w:spacing w:val="-6"/>
          <w:w w:val="95"/>
          <w:sz w:val="24"/>
        </w:rPr>
        <w:t>文件。修改后的文件通过新疆政府采购云平台</w:t>
      </w:r>
      <w:r>
        <w:fldChar w:fldCharType="begin"/>
      </w:r>
      <w:r>
        <w:instrText xml:space="preserve"> HYPERLINK "http://www.zcygov.cn/" \h </w:instrText>
      </w:r>
      <w:r>
        <w:fldChar w:fldCharType="separate"/>
      </w:r>
      <w:r>
        <w:rPr>
          <w:w w:val="95"/>
          <w:sz w:val="24"/>
        </w:rPr>
        <w:t>（www.zcygov.cn</w:t>
      </w:r>
      <w:r>
        <w:rPr>
          <w:w w:val="95"/>
          <w:sz w:val="24"/>
        </w:rPr>
        <w:fldChar w:fldCharType="end"/>
      </w:r>
      <w:r>
        <w:rPr>
          <w:w w:val="95"/>
          <w:sz w:val="24"/>
        </w:rPr>
        <w:t>）</w:t>
      </w:r>
      <w:r>
        <w:rPr>
          <w:spacing w:val="-7"/>
          <w:w w:val="95"/>
          <w:sz w:val="24"/>
        </w:rPr>
        <w:t>发布，</w:t>
      </w:r>
      <w:r>
        <w:rPr>
          <w:b/>
          <w:spacing w:val="-2"/>
          <w:w w:val="95"/>
          <w:sz w:val="24"/>
        </w:rPr>
        <w:t>投标人自行及时查</w:t>
      </w:r>
      <w:r>
        <w:rPr>
          <w:b/>
          <w:sz w:val="24"/>
        </w:rPr>
        <w:t>阅。</w:t>
      </w:r>
      <w:r>
        <w:rPr>
          <w:sz w:val="24"/>
        </w:rPr>
        <w:t>采购人和采购代理机构不对因投标人未及时查阅或误读等原因造成的结果负责。</w:t>
      </w:r>
    </w:p>
    <w:p w14:paraId="26EDEE6A">
      <w:pPr>
        <w:pStyle w:val="17"/>
        <w:numPr>
          <w:ilvl w:val="1"/>
          <w:numId w:val="7"/>
        </w:numPr>
        <w:tabs>
          <w:tab w:val="left" w:pos="1248"/>
        </w:tabs>
        <w:spacing w:before="0" w:after="0" w:line="364" w:lineRule="auto"/>
        <w:ind w:left="287" w:right="344" w:firstLine="480"/>
        <w:jc w:val="both"/>
        <w:rPr>
          <w:b/>
          <w:sz w:val="24"/>
        </w:rPr>
      </w:pPr>
      <w:r>
        <w:rPr>
          <w:sz w:val="24"/>
        </w:rPr>
        <w:t>招标文件补充作为招标文件的组成部分，对投标人具有同等约束力。</w:t>
      </w:r>
      <w:r>
        <w:rPr>
          <w:b/>
          <w:sz w:val="24"/>
        </w:rPr>
        <w:t>如果招标文件补充内容与在此招标文件补充发出之前的招标文件中相关内容相冲突，请投标人执行招标文件补充的相关内容。</w:t>
      </w:r>
    </w:p>
    <w:p w14:paraId="6D75F5D0">
      <w:pPr>
        <w:pStyle w:val="17"/>
        <w:numPr>
          <w:ilvl w:val="1"/>
          <w:numId w:val="7"/>
        </w:numPr>
        <w:tabs>
          <w:tab w:val="left" w:pos="1248"/>
        </w:tabs>
        <w:spacing w:before="0" w:after="0" w:line="364" w:lineRule="auto"/>
        <w:ind w:left="287" w:right="344" w:firstLine="480"/>
        <w:jc w:val="both"/>
        <w:rPr>
          <w:sz w:val="24"/>
        </w:rPr>
      </w:pPr>
      <w:r>
        <w:rPr>
          <w:sz w:val="24"/>
        </w:rPr>
        <w:t>为使投标人在编制投标文件时把招标文件补充内容考虑进去，采购人可以相应延长投标截止日期，具体时间将在招标文件补充中写明。</w:t>
      </w:r>
    </w:p>
    <w:p w14:paraId="66CB85B3">
      <w:pPr>
        <w:spacing w:after="0" w:line="364" w:lineRule="auto"/>
        <w:jc w:val="both"/>
        <w:rPr>
          <w:sz w:val="24"/>
        </w:rPr>
        <w:sectPr>
          <w:pgSz w:w="11910" w:h="16840"/>
          <w:pgMar w:top="1200" w:right="900" w:bottom="1020" w:left="960" w:header="0" w:footer="828" w:gutter="0"/>
          <w:pgNumType w:fmt="decimal"/>
          <w:cols w:space="720" w:num="1"/>
        </w:sectPr>
      </w:pPr>
    </w:p>
    <w:p w14:paraId="20371FBF">
      <w:pPr>
        <w:pStyle w:val="5"/>
        <w:spacing w:before="30"/>
      </w:pPr>
      <w:r>
        <w:t>三、投标文件的编制</w:t>
      </w:r>
    </w:p>
    <w:p w14:paraId="328DBB41">
      <w:pPr>
        <w:pStyle w:val="8"/>
        <w:rPr>
          <w:b/>
          <w:sz w:val="32"/>
        </w:rPr>
      </w:pPr>
    </w:p>
    <w:p w14:paraId="3BE2C3C2">
      <w:pPr>
        <w:pStyle w:val="7"/>
        <w:keepNext w:val="0"/>
        <w:keepLines w:val="0"/>
        <w:pageBreakBefore w:val="0"/>
        <w:widowControl w:val="0"/>
        <w:kinsoku/>
        <w:wordWrap/>
        <w:overflowPunct/>
        <w:topLinePunct w:val="0"/>
        <w:autoSpaceDE w:val="0"/>
        <w:autoSpaceDN w:val="0"/>
        <w:bidi w:val="0"/>
        <w:adjustRightInd/>
        <w:snapToGrid/>
        <w:spacing w:before="268" w:line="340" w:lineRule="exact"/>
        <w:textAlignment w:val="auto"/>
      </w:pPr>
      <w:r>
        <w:t>6、投标文件的编写</w:t>
      </w:r>
    </w:p>
    <w:p w14:paraId="13785B3D">
      <w:pPr>
        <w:pStyle w:val="17"/>
        <w:keepNext w:val="0"/>
        <w:keepLines w:val="0"/>
        <w:pageBreakBefore w:val="0"/>
        <w:widowControl w:val="0"/>
        <w:numPr>
          <w:ilvl w:val="1"/>
          <w:numId w:val="8"/>
        </w:numPr>
        <w:tabs>
          <w:tab w:val="left" w:pos="1248"/>
        </w:tabs>
        <w:kinsoku/>
        <w:wordWrap/>
        <w:overflowPunct/>
        <w:topLinePunct w:val="0"/>
        <w:autoSpaceDE w:val="0"/>
        <w:autoSpaceDN w:val="0"/>
        <w:bidi w:val="0"/>
        <w:adjustRightInd/>
        <w:snapToGrid/>
        <w:spacing w:before="158" w:after="0" w:line="340" w:lineRule="exact"/>
        <w:ind w:left="287" w:right="344" w:firstLine="480"/>
        <w:jc w:val="left"/>
        <w:textAlignment w:val="auto"/>
        <w:rPr>
          <w:sz w:val="24"/>
        </w:rPr>
      </w:pPr>
      <w:r>
        <w:rPr>
          <w:sz w:val="24"/>
        </w:rPr>
        <w:t>投标人应按招标文件的要求，认真编制投标文件。投标文件应对招标文件提出的实质性要求和条件做出响应。</w:t>
      </w:r>
    </w:p>
    <w:p w14:paraId="016A583E">
      <w:pPr>
        <w:pStyle w:val="17"/>
        <w:keepNext w:val="0"/>
        <w:keepLines w:val="0"/>
        <w:pageBreakBefore w:val="0"/>
        <w:widowControl w:val="0"/>
        <w:numPr>
          <w:ilvl w:val="1"/>
          <w:numId w:val="8"/>
        </w:numPr>
        <w:tabs>
          <w:tab w:val="left" w:pos="1248"/>
        </w:tabs>
        <w:kinsoku/>
        <w:wordWrap/>
        <w:overflowPunct/>
        <w:topLinePunct w:val="0"/>
        <w:autoSpaceDE w:val="0"/>
        <w:autoSpaceDN w:val="0"/>
        <w:bidi w:val="0"/>
        <w:adjustRightInd/>
        <w:snapToGrid/>
        <w:spacing w:before="0" w:after="0" w:line="340" w:lineRule="exact"/>
        <w:ind w:left="287" w:right="346" w:firstLine="480"/>
        <w:jc w:val="left"/>
        <w:textAlignment w:val="auto"/>
        <w:rPr>
          <w:sz w:val="24"/>
        </w:rPr>
      </w:pPr>
      <w:r>
        <w:rPr>
          <w:sz w:val="24"/>
        </w:rPr>
        <w:t>投标人应仔细阅读招标文件，了解招标文件的要求。在充分理解招标文件提出的服务质量、服务、商务技术等条件后，制作投标文件。</w:t>
      </w:r>
    </w:p>
    <w:p w14:paraId="5987E53B">
      <w:pPr>
        <w:pStyle w:val="7"/>
        <w:keepNext w:val="0"/>
        <w:keepLines w:val="0"/>
        <w:pageBreakBefore w:val="0"/>
        <w:widowControl w:val="0"/>
        <w:numPr>
          <w:ilvl w:val="1"/>
          <w:numId w:val="8"/>
        </w:numPr>
        <w:tabs>
          <w:tab w:val="left" w:pos="1248"/>
        </w:tabs>
        <w:kinsoku/>
        <w:wordWrap/>
        <w:overflowPunct/>
        <w:topLinePunct w:val="0"/>
        <w:autoSpaceDE w:val="0"/>
        <w:autoSpaceDN w:val="0"/>
        <w:bidi w:val="0"/>
        <w:adjustRightInd/>
        <w:snapToGrid/>
        <w:spacing w:before="0" w:after="0" w:line="340" w:lineRule="exact"/>
        <w:ind w:left="287" w:right="2050" w:firstLine="480"/>
        <w:jc w:val="left"/>
        <w:textAlignment w:val="auto"/>
      </w:pPr>
      <w:r>
        <w:rPr>
          <w:spacing w:val="-1"/>
        </w:rPr>
        <w:t>投标文件应编制封面、目录及页码，且目录及页码应相互对应。</w:t>
      </w:r>
      <w:r>
        <w:t>7、投标的语言及计量单位</w:t>
      </w:r>
    </w:p>
    <w:p w14:paraId="729770A8">
      <w:pPr>
        <w:pStyle w:val="17"/>
        <w:keepNext w:val="0"/>
        <w:keepLines w:val="0"/>
        <w:pageBreakBefore w:val="0"/>
        <w:widowControl w:val="0"/>
        <w:numPr>
          <w:ilvl w:val="1"/>
          <w:numId w:val="9"/>
        </w:numPr>
        <w:tabs>
          <w:tab w:val="left" w:pos="1248"/>
        </w:tabs>
        <w:kinsoku/>
        <w:wordWrap/>
        <w:overflowPunct/>
        <w:topLinePunct w:val="0"/>
        <w:autoSpaceDE w:val="0"/>
        <w:autoSpaceDN w:val="0"/>
        <w:bidi w:val="0"/>
        <w:adjustRightInd/>
        <w:snapToGrid/>
        <w:spacing w:before="0" w:after="0" w:line="340" w:lineRule="exact"/>
        <w:ind w:left="287" w:right="344" w:firstLine="480"/>
        <w:jc w:val="both"/>
        <w:textAlignment w:val="auto"/>
        <w:rPr>
          <w:sz w:val="24"/>
        </w:rPr>
      </w:pPr>
      <w:r>
        <w:rPr>
          <w:sz w:val="24"/>
        </w:rPr>
        <w:t>投标人的投标文件以及投标人与采购代理机构就有关招标活动的所有来往函电均应使用中文。如果投标文件或与投标有关的其它文件、信件及来往函电以其它语言书写， 投标人应将其译成中文。</w:t>
      </w:r>
    </w:p>
    <w:p w14:paraId="468C0F4C">
      <w:pPr>
        <w:pStyle w:val="17"/>
        <w:keepNext w:val="0"/>
        <w:keepLines w:val="0"/>
        <w:pageBreakBefore w:val="0"/>
        <w:widowControl w:val="0"/>
        <w:numPr>
          <w:ilvl w:val="1"/>
          <w:numId w:val="9"/>
        </w:numPr>
        <w:tabs>
          <w:tab w:val="left" w:pos="1248"/>
        </w:tabs>
        <w:kinsoku/>
        <w:wordWrap/>
        <w:overflowPunct/>
        <w:topLinePunct w:val="0"/>
        <w:autoSpaceDE w:val="0"/>
        <w:autoSpaceDN w:val="0"/>
        <w:bidi w:val="0"/>
        <w:adjustRightInd/>
        <w:snapToGrid/>
        <w:spacing w:before="0" w:after="0" w:line="340" w:lineRule="exact"/>
        <w:ind w:left="287" w:right="346" w:firstLine="480"/>
        <w:jc w:val="both"/>
        <w:textAlignment w:val="auto"/>
        <w:rPr>
          <w:sz w:val="24"/>
        </w:rPr>
      </w:pPr>
      <w:r>
        <w:rPr>
          <w:sz w:val="24"/>
        </w:rPr>
        <w:t>投标文件中所使用的计量单位除招标文件中有特殊规定外，一律使用法定计量单位。</w:t>
      </w:r>
    </w:p>
    <w:p w14:paraId="41E6439F">
      <w:pPr>
        <w:pStyle w:val="7"/>
        <w:keepNext w:val="0"/>
        <w:keepLines w:val="0"/>
        <w:pageBreakBefore w:val="0"/>
        <w:widowControl w:val="0"/>
        <w:kinsoku/>
        <w:wordWrap/>
        <w:overflowPunct/>
        <w:topLinePunct w:val="0"/>
        <w:autoSpaceDE w:val="0"/>
        <w:autoSpaceDN w:val="0"/>
        <w:bidi w:val="0"/>
        <w:adjustRightInd/>
        <w:snapToGrid/>
        <w:spacing w:line="340" w:lineRule="exact"/>
        <w:textAlignment w:val="auto"/>
      </w:pPr>
      <w:r>
        <w:t>8、投标文件构成</w:t>
      </w:r>
    </w:p>
    <w:p w14:paraId="0CF12B74">
      <w:pPr>
        <w:pStyle w:val="8"/>
        <w:keepNext w:val="0"/>
        <w:keepLines w:val="0"/>
        <w:pageBreakBefore w:val="0"/>
        <w:widowControl w:val="0"/>
        <w:kinsoku/>
        <w:wordWrap/>
        <w:overflowPunct/>
        <w:topLinePunct w:val="0"/>
        <w:autoSpaceDE w:val="0"/>
        <w:autoSpaceDN w:val="0"/>
        <w:bidi w:val="0"/>
        <w:adjustRightInd/>
        <w:snapToGrid/>
        <w:spacing w:before="154" w:line="340" w:lineRule="exact"/>
        <w:ind w:left="756"/>
        <w:textAlignment w:val="auto"/>
      </w:pPr>
      <w:r>
        <w:t>8.1 投标文件包括封面、目录及正文部分，正文部分包含以下内容：</w:t>
      </w:r>
    </w:p>
    <w:p w14:paraId="4FB446DD">
      <w:pPr>
        <w:pStyle w:val="17"/>
        <w:keepNext w:val="0"/>
        <w:keepLines w:val="0"/>
        <w:pageBreakBefore w:val="0"/>
        <w:widowControl w:val="0"/>
        <w:numPr>
          <w:ilvl w:val="0"/>
          <w:numId w:val="0"/>
        </w:numPr>
        <w:tabs>
          <w:tab w:val="left" w:pos="1357"/>
        </w:tabs>
        <w:kinsoku/>
        <w:wordWrap/>
        <w:overflowPunct/>
        <w:topLinePunct w:val="0"/>
        <w:autoSpaceDE w:val="0"/>
        <w:autoSpaceDN w:val="0"/>
        <w:bidi w:val="0"/>
        <w:adjustRightInd/>
        <w:snapToGrid/>
        <w:spacing w:before="161"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投标承诺书</w:t>
      </w:r>
    </w:p>
    <w:p w14:paraId="0F414138">
      <w:pPr>
        <w:pStyle w:val="17"/>
        <w:keepNext w:val="0"/>
        <w:keepLines w:val="0"/>
        <w:pageBreakBefore w:val="0"/>
        <w:widowControl w:val="0"/>
        <w:numPr>
          <w:ilvl w:val="0"/>
          <w:numId w:val="0"/>
        </w:numPr>
        <w:tabs>
          <w:tab w:val="left" w:pos="1357"/>
        </w:tabs>
        <w:kinsoku/>
        <w:wordWrap/>
        <w:overflowPunct/>
        <w:topLinePunct w:val="0"/>
        <w:autoSpaceDE w:val="0"/>
        <w:autoSpaceDN w:val="0"/>
        <w:bidi w:val="0"/>
        <w:adjustRightInd/>
        <w:snapToGrid/>
        <w:spacing w:before="160"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开标一览表</w:t>
      </w:r>
    </w:p>
    <w:p w14:paraId="24412A7A">
      <w:pPr>
        <w:pStyle w:val="17"/>
        <w:keepNext w:val="0"/>
        <w:keepLines w:val="0"/>
        <w:pageBreakBefore w:val="0"/>
        <w:widowControl w:val="0"/>
        <w:numPr>
          <w:ilvl w:val="0"/>
          <w:numId w:val="0"/>
        </w:numPr>
        <w:tabs>
          <w:tab w:val="left" w:pos="1357"/>
        </w:tabs>
        <w:kinsoku/>
        <w:wordWrap/>
        <w:overflowPunct/>
        <w:topLinePunct w:val="0"/>
        <w:autoSpaceDE w:val="0"/>
        <w:autoSpaceDN w:val="0"/>
        <w:bidi w:val="0"/>
        <w:adjustRightInd/>
        <w:snapToGrid/>
        <w:spacing w:before="158"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3</w:t>
      </w:r>
      <w:r>
        <w:rPr>
          <w:rFonts w:hint="eastAsia"/>
          <w:sz w:val="24"/>
          <w:lang w:eastAsia="zh-CN"/>
        </w:rPr>
        <w:t>）</w:t>
      </w:r>
      <w:r>
        <w:rPr>
          <w:sz w:val="24"/>
        </w:rPr>
        <w:t>投标供应商代表身份证明</w:t>
      </w:r>
    </w:p>
    <w:p w14:paraId="46D2F5D3">
      <w:pPr>
        <w:pStyle w:val="17"/>
        <w:keepNext w:val="0"/>
        <w:keepLines w:val="0"/>
        <w:pageBreakBefore w:val="0"/>
        <w:widowControl w:val="0"/>
        <w:numPr>
          <w:ilvl w:val="0"/>
          <w:numId w:val="0"/>
        </w:numPr>
        <w:tabs>
          <w:tab w:val="left" w:pos="1357"/>
        </w:tabs>
        <w:kinsoku/>
        <w:wordWrap/>
        <w:overflowPunct/>
        <w:topLinePunct w:val="0"/>
        <w:autoSpaceDE w:val="0"/>
        <w:autoSpaceDN w:val="0"/>
        <w:bidi w:val="0"/>
        <w:adjustRightInd/>
        <w:snapToGrid/>
        <w:spacing w:before="161"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4</w:t>
      </w:r>
      <w:r>
        <w:rPr>
          <w:rFonts w:hint="eastAsia"/>
          <w:sz w:val="24"/>
          <w:lang w:eastAsia="zh-CN"/>
        </w:rPr>
        <w:t>）</w:t>
      </w:r>
      <w:r>
        <w:rPr>
          <w:sz w:val="24"/>
        </w:rPr>
        <w:t>投标人资格证明文件</w:t>
      </w:r>
    </w:p>
    <w:p w14:paraId="731B9832">
      <w:pPr>
        <w:pStyle w:val="17"/>
        <w:keepNext w:val="0"/>
        <w:keepLines w:val="0"/>
        <w:pageBreakBefore w:val="0"/>
        <w:widowControl w:val="0"/>
        <w:numPr>
          <w:ilvl w:val="0"/>
          <w:numId w:val="0"/>
        </w:numPr>
        <w:tabs>
          <w:tab w:val="left" w:pos="1357"/>
        </w:tabs>
        <w:kinsoku/>
        <w:wordWrap/>
        <w:overflowPunct/>
        <w:topLinePunct w:val="0"/>
        <w:autoSpaceDE w:val="0"/>
        <w:autoSpaceDN w:val="0"/>
        <w:bidi w:val="0"/>
        <w:adjustRightInd/>
        <w:snapToGrid/>
        <w:spacing w:before="158"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5</w:t>
      </w:r>
      <w:r>
        <w:rPr>
          <w:rFonts w:hint="eastAsia"/>
          <w:sz w:val="24"/>
          <w:lang w:eastAsia="zh-CN"/>
        </w:rPr>
        <w:t>）</w:t>
      </w:r>
      <w:r>
        <w:rPr>
          <w:sz w:val="24"/>
        </w:rPr>
        <w:t>投标保证金缴纳凭证</w:t>
      </w:r>
      <w:r>
        <w:rPr>
          <w:rFonts w:hint="eastAsia"/>
          <w:sz w:val="24"/>
          <w:lang w:eastAsia="zh-CN"/>
        </w:rPr>
        <w:t>（如有）</w:t>
      </w:r>
    </w:p>
    <w:p w14:paraId="3D972C7F">
      <w:pPr>
        <w:pStyle w:val="17"/>
        <w:keepNext w:val="0"/>
        <w:keepLines w:val="0"/>
        <w:pageBreakBefore w:val="0"/>
        <w:widowControl w:val="0"/>
        <w:numPr>
          <w:ilvl w:val="0"/>
          <w:numId w:val="0"/>
        </w:numPr>
        <w:tabs>
          <w:tab w:val="left" w:pos="1357"/>
        </w:tabs>
        <w:kinsoku/>
        <w:wordWrap/>
        <w:overflowPunct/>
        <w:topLinePunct w:val="0"/>
        <w:autoSpaceDE w:val="0"/>
        <w:autoSpaceDN w:val="0"/>
        <w:bidi w:val="0"/>
        <w:adjustRightInd/>
        <w:snapToGrid/>
        <w:spacing w:before="158"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6</w:t>
      </w:r>
      <w:r>
        <w:rPr>
          <w:rFonts w:hint="eastAsia"/>
          <w:sz w:val="24"/>
          <w:lang w:eastAsia="zh-CN"/>
        </w:rPr>
        <w:t>）</w:t>
      </w:r>
      <w:r>
        <w:rPr>
          <w:sz w:val="24"/>
        </w:rPr>
        <w:t>商务条款偏离表</w:t>
      </w:r>
    </w:p>
    <w:p w14:paraId="74054643">
      <w:pPr>
        <w:pStyle w:val="17"/>
        <w:keepNext w:val="0"/>
        <w:keepLines w:val="0"/>
        <w:pageBreakBefore w:val="0"/>
        <w:widowControl w:val="0"/>
        <w:numPr>
          <w:ilvl w:val="0"/>
          <w:numId w:val="0"/>
        </w:numPr>
        <w:tabs>
          <w:tab w:val="left" w:pos="1357"/>
        </w:tabs>
        <w:kinsoku/>
        <w:wordWrap/>
        <w:overflowPunct/>
        <w:topLinePunct w:val="0"/>
        <w:autoSpaceDE w:val="0"/>
        <w:autoSpaceDN w:val="0"/>
        <w:bidi w:val="0"/>
        <w:adjustRightInd/>
        <w:snapToGrid/>
        <w:spacing w:before="158"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7</w:t>
      </w:r>
      <w:r>
        <w:rPr>
          <w:rFonts w:hint="eastAsia"/>
          <w:sz w:val="24"/>
          <w:lang w:eastAsia="zh-CN"/>
        </w:rPr>
        <w:t>）</w:t>
      </w:r>
      <w:r>
        <w:rPr>
          <w:sz w:val="24"/>
        </w:rPr>
        <w:t>类似业绩</w:t>
      </w:r>
    </w:p>
    <w:p w14:paraId="66032530">
      <w:pPr>
        <w:pStyle w:val="17"/>
        <w:keepNext w:val="0"/>
        <w:keepLines w:val="0"/>
        <w:pageBreakBefore w:val="0"/>
        <w:widowControl w:val="0"/>
        <w:numPr>
          <w:ilvl w:val="0"/>
          <w:numId w:val="0"/>
        </w:numPr>
        <w:tabs>
          <w:tab w:val="left" w:pos="1357"/>
        </w:tabs>
        <w:kinsoku/>
        <w:wordWrap/>
        <w:overflowPunct/>
        <w:topLinePunct w:val="0"/>
        <w:autoSpaceDE w:val="0"/>
        <w:autoSpaceDN w:val="0"/>
        <w:bidi w:val="0"/>
        <w:adjustRightInd/>
        <w:snapToGrid/>
        <w:spacing w:before="160"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8</w:t>
      </w:r>
      <w:r>
        <w:rPr>
          <w:rFonts w:hint="eastAsia"/>
          <w:sz w:val="24"/>
          <w:lang w:eastAsia="zh-CN"/>
        </w:rPr>
        <w:t>）</w:t>
      </w:r>
      <w:r>
        <w:rPr>
          <w:sz w:val="24"/>
        </w:rPr>
        <w:t>项目人员配置</w:t>
      </w:r>
    </w:p>
    <w:p w14:paraId="1B460184">
      <w:pPr>
        <w:pStyle w:val="17"/>
        <w:keepNext w:val="0"/>
        <w:keepLines w:val="0"/>
        <w:pageBreakBefore w:val="0"/>
        <w:widowControl w:val="0"/>
        <w:numPr>
          <w:ilvl w:val="0"/>
          <w:numId w:val="0"/>
        </w:numPr>
        <w:tabs>
          <w:tab w:val="left" w:pos="1357"/>
        </w:tabs>
        <w:kinsoku/>
        <w:wordWrap/>
        <w:overflowPunct/>
        <w:topLinePunct w:val="0"/>
        <w:autoSpaceDE w:val="0"/>
        <w:autoSpaceDN w:val="0"/>
        <w:bidi w:val="0"/>
        <w:adjustRightInd/>
        <w:snapToGrid/>
        <w:spacing w:before="158"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9</w:t>
      </w:r>
      <w:r>
        <w:rPr>
          <w:rFonts w:hint="eastAsia"/>
          <w:sz w:val="24"/>
          <w:lang w:eastAsia="zh-CN"/>
        </w:rPr>
        <w:t>）</w:t>
      </w:r>
      <w:r>
        <w:rPr>
          <w:sz w:val="24"/>
        </w:rPr>
        <w:t>管理制度</w:t>
      </w:r>
    </w:p>
    <w:p w14:paraId="310938E5">
      <w:pPr>
        <w:pStyle w:val="17"/>
        <w:keepNext w:val="0"/>
        <w:keepLines w:val="0"/>
        <w:pageBreakBefore w:val="0"/>
        <w:widowControl w:val="0"/>
        <w:numPr>
          <w:ilvl w:val="0"/>
          <w:numId w:val="0"/>
        </w:numPr>
        <w:tabs>
          <w:tab w:val="left" w:pos="1477"/>
        </w:tabs>
        <w:kinsoku/>
        <w:wordWrap/>
        <w:overflowPunct/>
        <w:topLinePunct w:val="0"/>
        <w:autoSpaceDE w:val="0"/>
        <w:autoSpaceDN w:val="0"/>
        <w:bidi w:val="0"/>
        <w:adjustRightInd/>
        <w:snapToGrid/>
        <w:spacing w:before="161"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10</w:t>
      </w:r>
      <w:r>
        <w:rPr>
          <w:rFonts w:hint="eastAsia"/>
          <w:sz w:val="24"/>
          <w:lang w:eastAsia="zh-CN"/>
        </w:rPr>
        <w:t>）</w:t>
      </w:r>
      <w:r>
        <w:rPr>
          <w:sz w:val="24"/>
        </w:rPr>
        <w:t>项目实施方案</w:t>
      </w:r>
    </w:p>
    <w:p w14:paraId="341C5E20">
      <w:pPr>
        <w:pStyle w:val="17"/>
        <w:keepNext w:val="0"/>
        <w:keepLines w:val="0"/>
        <w:pageBreakBefore w:val="0"/>
        <w:widowControl w:val="0"/>
        <w:numPr>
          <w:ilvl w:val="0"/>
          <w:numId w:val="0"/>
        </w:numPr>
        <w:tabs>
          <w:tab w:val="left" w:pos="1477"/>
        </w:tabs>
        <w:kinsoku/>
        <w:wordWrap/>
        <w:overflowPunct/>
        <w:topLinePunct w:val="0"/>
        <w:autoSpaceDE w:val="0"/>
        <w:autoSpaceDN w:val="0"/>
        <w:bidi w:val="0"/>
        <w:adjustRightInd/>
        <w:snapToGrid/>
        <w:spacing w:before="158"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11</w:t>
      </w:r>
      <w:r>
        <w:rPr>
          <w:rFonts w:hint="eastAsia"/>
          <w:sz w:val="24"/>
          <w:lang w:eastAsia="zh-CN"/>
        </w:rPr>
        <w:t>）</w:t>
      </w:r>
      <w:r>
        <w:rPr>
          <w:sz w:val="24"/>
        </w:rPr>
        <w:t>安全文明施工及管理方案</w:t>
      </w:r>
    </w:p>
    <w:p w14:paraId="1815FC1C">
      <w:pPr>
        <w:pStyle w:val="17"/>
        <w:keepNext w:val="0"/>
        <w:keepLines w:val="0"/>
        <w:pageBreakBefore w:val="0"/>
        <w:widowControl w:val="0"/>
        <w:numPr>
          <w:ilvl w:val="0"/>
          <w:numId w:val="0"/>
        </w:numPr>
        <w:tabs>
          <w:tab w:val="left" w:pos="1477"/>
        </w:tabs>
        <w:kinsoku/>
        <w:wordWrap/>
        <w:overflowPunct/>
        <w:topLinePunct w:val="0"/>
        <w:autoSpaceDE w:val="0"/>
        <w:autoSpaceDN w:val="0"/>
        <w:bidi w:val="0"/>
        <w:adjustRightInd/>
        <w:snapToGrid/>
        <w:spacing w:before="158"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12</w:t>
      </w:r>
      <w:r>
        <w:rPr>
          <w:rFonts w:hint="eastAsia"/>
          <w:sz w:val="24"/>
          <w:lang w:eastAsia="zh-CN"/>
        </w:rPr>
        <w:t>）</w:t>
      </w:r>
      <w:r>
        <w:rPr>
          <w:sz w:val="24"/>
        </w:rPr>
        <w:t>机械设备投入</w:t>
      </w:r>
    </w:p>
    <w:p w14:paraId="5B884552">
      <w:pPr>
        <w:pStyle w:val="17"/>
        <w:keepNext w:val="0"/>
        <w:keepLines w:val="0"/>
        <w:pageBreakBefore w:val="0"/>
        <w:widowControl w:val="0"/>
        <w:numPr>
          <w:ilvl w:val="0"/>
          <w:numId w:val="0"/>
        </w:numPr>
        <w:tabs>
          <w:tab w:val="left" w:pos="1477"/>
        </w:tabs>
        <w:kinsoku/>
        <w:wordWrap/>
        <w:overflowPunct/>
        <w:topLinePunct w:val="0"/>
        <w:autoSpaceDE w:val="0"/>
        <w:autoSpaceDN w:val="0"/>
        <w:bidi w:val="0"/>
        <w:adjustRightInd/>
        <w:snapToGrid/>
        <w:spacing w:before="160"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13</w:t>
      </w:r>
      <w:r>
        <w:rPr>
          <w:rFonts w:hint="eastAsia"/>
          <w:sz w:val="24"/>
          <w:lang w:eastAsia="zh-CN"/>
        </w:rPr>
        <w:t>）</w:t>
      </w:r>
      <w:r>
        <w:rPr>
          <w:sz w:val="24"/>
        </w:rPr>
        <w:t>重点难点分析及应急处理措施方案</w:t>
      </w:r>
    </w:p>
    <w:p w14:paraId="27A0DCE3">
      <w:pPr>
        <w:pStyle w:val="17"/>
        <w:keepNext w:val="0"/>
        <w:keepLines w:val="0"/>
        <w:pageBreakBefore w:val="0"/>
        <w:widowControl w:val="0"/>
        <w:numPr>
          <w:ilvl w:val="0"/>
          <w:numId w:val="0"/>
        </w:numPr>
        <w:tabs>
          <w:tab w:val="left" w:pos="1477"/>
        </w:tabs>
        <w:kinsoku/>
        <w:wordWrap/>
        <w:overflowPunct/>
        <w:topLinePunct w:val="0"/>
        <w:autoSpaceDE w:val="0"/>
        <w:autoSpaceDN w:val="0"/>
        <w:bidi w:val="0"/>
        <w:adjustRightInd/>
        <w:snapToGrid/>
        <w:spacing w:before="161" w:after="0" w:line="340" w:lineRule="exact"/>
        <w:ind w:left="756" w:leftChars="0" w:right="0" w:rightChars="0"/>
        <w:jc w:val="left"/>
        <w:textAlignment w:val="auto"/>
        <w:rPr>
          <w:sz w:val="24"/>
        </w:rPr>
      </w:pPr>
      <w:r>
        <w:rPr>
          <w:rFonts w:hint="eastAsia"/>
          <w:sz w:val="24"/>
          <w:lang w:eastAsia="zh-CN"/>
        </w:rPr>
        <w:t>（</w:t>
      </w:r>
      <w:r>
        <w:rPr>
          <w:rFonts w:hint="eastAsia"/>
          <w:sz w:val="24"/>
          <w:lang w:val="en-US" w:eastAsia="zh-CN"/>
        </w:rPr>
        <w:t>14</w:t>
      </w:r>
      <w:r>
        <w:rPr>
          <w:rFonts w:hint="eastAsia"/>
          <w:sz w:val="24"/>
          <w:lang w:eastAsia="zh-CN"/>
        </w:rPr>
        <w:t>）</w:t>
      </w:r>
      <w:r>
        <w:rPr>
          <w:sz w:val="24"/>
        </w:rPr>
        <w:t>响应时间承诺</w:t>
      </w:r>
    </w:p>
    <w:p w14:paraId="0E5895C2">
      <w:pPr>
        <w:keepNext w:val="0"/>
        <w:keepLines w:val="0"/>
        <w:pageBreakBefore w:val="0"/>
        <w:widowControl w:val="0"/>
        <w:kinsoku/>
        <w:wordWrap/>
        <w:overflowPunct/>
        <w:topLinePunct w:val="0"/>
        <w:autoSpaceDE w:val="0"/>
        <w:autoSpaceDN w:val="0"/>
        <w:bidi w:val="0"/>
        <w:adjustRightInd/>
        <w:snapToGrid/>
        <w:spacing w:after="0" w:line="340" w:lineRule="exact"/>
        <w:jc w:val="left"/>
        <w:textAlignment w:val="auto"/>
        <w:rPr>
          <w:sz w:val="24"/>
        </w:rPr>
      </w:pPr>
    </w:p>
    <w:p w14:paraId="5F3C6A89">
      <w:pPr>
        <w:keepNext w:val="0"/>
        <w:keepLines w:val="0"/>
        <w:pageBreakBefore w:val="0"/>
        <w:widowControl w:val="0"/>
        <w:kinsoku/>
        <w:wordWrap/>
        <w:overflowPunct/>
        <w:topLinePunct w:val="0"/>
        <w:autoSpaceDE w:val="0"/>
        <w:autoSpaceDN w:val="0"/>
        <w:bidi w:val="0"/>
        <w:adjustRightInd/>
        <w:snapToGrid/>
        <w:spacing w:after="0" w:line="340" w:lineRule="exact"/>
        <w:ind w:firstLine="720" w:firstLineChars="300"/>
        <w:jc w:val="left"/>
        <w:textAlignment w:val="auto"/>
        <w:rPr>
          <w:sz w:val="24"/>
        </w:rPr>
      </w:pPr>
      <w:r>
        <w:rPr>
          <w:rFonts w:hint="eastAsia"/>
          <w:sz w:val="24"/>
          <w:lang w:eastAsia="zh-CN"/>
        </w:rPr>
        <w:t>（</w:t>
      </w:r>
      <w:r>
        <w:rPr>
          <w:rFonts w:hint="eastAsia"/>
          <w:sz w:val="24"/>
          <w:lang w:val="en-US" w:eastAsia="zh-CN"/>
        </w:rPr>
        <w:t>15</w:t>
      </w:r>
      <w:r>
        <w:rPr>
          <w:rFonts w:hint="eastAsia"/>
          <w:sz w:val="24"/>
          <w:lang w:eastAsia="zh-CN"/>
        </w:rPr>
        <w:t>）</w:t>
      </w:r>
      <w:r>
        <w:rPr>
          <w:rFonts w:hint="eastAsia"/>
          <w:sz w:val="24"/>
        </w:rPr>
        <w:t>工期提前承诺</w:t>
      </w:r>
    </w:p>
    <w:p w14:paraId="165FCED7">
      <w:pPr>
        <w:keepNext w:val="0"/>
        <w:keepLines w:val="0"/>
        <w:pageBreakBefore w:val="0"/>
        <w:widowControl w:val="0"/>
        <w:kinsoku/>
        <w:wordWrap/>
        <w:overflowPunct/>
        <w:topLinePunct w:val="0"/>
        <w:autoSpaceDE w:val="0"/>
        <w:autoSpaceDN w:val="0"/>
        <w:bidi w:val="0"/>
        <w:adjustRightInd/>
        <w:snapToGrid/>
        <w:spacing w:after="0" w:line="340" w:lineRule="exact"/>
        <w:jc w:val="left"/>
        <w:textAlignment w:val="auto"/>
        <w:rPr>
          <w:sz w:val="24"/>
        </w:rPr>
        <w:sectPr>
          <w:pgSz w:w="11910" w:h="16840"/>
          <w:pgMar w:top="1220" w:right="900" w:bottom="1020" w:left="960" w:header="0" w:footer="828" w:gutter="0"/>
          <w:pgNumType w:fmt="decimal"/>
          <w:cols w:space="720" w:num="1"/>
        </w:sectPr>
      </w:pPr>
    </w:p>
    <w:p w14:paraId="4CE5D1ED">
      <w:pPr>
        <w:pStyle w:val="17"/>
        <w:numPr>
          <w:ilvl w:val="0"/>
          <w:numId w:val="0"/>
        </w:numPr>
        <w:tabs>
          <w:tab w:val="left" w:pos="1477"/>
        </w:tabs>
        <w:spacing w:before="49" w:after="0" w:line="362" w:lineRule="auto"/>
        <w:ind w:left="755" w:leftChars="0" w:right="4730" w:rightChars="0"/>
        <w:jc w:val="left"/>
        <w:rPr>
          <w:b/>
          <w:sz w:val="24"/>
        </w:rPr>
      </w:pPr>
      <w:r>
        <w:rPr>
          <w:rFonts w:hint="eastAsia"/>
          <w:spacing w:val="-2"/>
          <w:sz w:val="24"/>
          <w:lang w:eastAsia="zh-CN"/>
        </w:rPr>
        <w:t>（</w:t>
      </w:r>
      <w:r>
        <w:rPr>
          <w:rFonts w:hint="eastAsia"/>
          <w:spacing w:val="-2"/>
          <w:sz w:val="24"/>
          <w:lang w:val="en-US" w:eastAsia="zh-CN"/>
        </w:rPr>
        <w:t>16</w:t>
      </w:r>
      <w:r>
        <w:rPr>
          <w:rFonts w:hint="eastAsia"/>
          <w:spacing w:val="-2"/>
          <w:sz w:val="24"/>
          <w:lang w:eastAsia="zh-CN"/>
        </w:rPr>
        <w:t>）</w:t>
      </w:r>
      <w:r>
        <w:rPr>
          <w:spacing w:val="-2"/>
          <w:sz w:val="24"/>
        </w:rPr>
        <w:t>投标人认为需要提供的其他材料说明</w:t>
      </w:r>
      <w:r>
        <w:rPr>
          <w:b/>
          <w:sz w:val="24"/>
        </w:rPr>
        <w:t>9、投标书内容填写说明</w:t>
      </w:r>
    </w:p>
    <w:p w14:paraId="6226E6F7">
      <w:pPr>
        <w:pStyle w:val="17"/>
        <w:numPr>
          <w:ilvl w:val="1"/>
          <w:numId w:val="10"/>
        </w:numPr>
        <w:tabs>
          <w:tab w:val="left" w:pos="1248"/>
        </w:tabs>
        <w:spacing w:before="5" w:after="0" w:line="240" w:lineRule="auto"/>
        <w:ind w:left="1248" w:right="0" w:hanging="480"/>
        <w:jc w:val="left"/>
        <w:rPr>
          <w:sz w:val="24"/>
        </w:rPr>
      </w:pPr>
      <w:r>
        <w:rPr>
          <w:sz w:val="24"/>
        </w:rPr>
        <w:t>投标人应按招标文件中要求的统一格式填写，无格式的投标人自行编制。</w:t>
      </w:r>
    </w:p>
    <w:p w14:paraId="769031F4">
      <w:pPr>
        <w:pStyle w:val="17"/>
        <w:numPr>
          <w:ilvl w:val="1"/>
          <w:numId w:val="10"/>
        </w:numPr>
        <w:tabs>
          <w:tab w:val="left" w:pos="1248"/>
        </w:tabs>
        <w:spacing w:before="158" w:after="0" w:line="240" w:lineRule="auto"/>
        <w:ind w:left="1248" w:right="0" w:hanging="480"/>
        <w:jc w:val="left"/>
        <w:rPr>
          <w:sz w:val="24"/>
        </w:rPr>
      </w:pPr>
      <w:r>
        <w:rPr>
          <w:sz w:val="24"/>
        </w:rPr>
        <w:t>开标一览表的内容，要求按格式填写、不能随意涂改。</w:t>
      </w:r>
    </w:p>
    <w:p w14:paraId="42049734">
      <w:pPr>
        <w:pStyle w:val="7"/>
        <w:numPr>
          <w:ilvl w:val="1"/>
          <w:numId w:val="10"/>
        </w:numPr>
        <w:tabs>
          <w:tab w:val="left" w:pos="1248"/>
        </w:tabs>
        <w:spacing w:before="160" w:after="0" w:line="362" w:lineRule="auto"/>
        <w:ind w:left="287" w:right="4702" w:firstLine="480"/>
        <w:jc w:val="left"/>
      </w:pPr>
      <w:r>
        <w:rPr>
          <w:spacing w:val="-1"/>
        </w:rPr>
        <w:t>投标人按招标文件要求编制投标文件。</w:t>
      </w:r>
      <w:r>
        <w:t>10、投标报价</w:t>
      </w:r>
    </w:p>
    <w:p w14:paraId="01173246">
      <w:pPr>
        <w:pStyle w:val="17"/>
        <w:numPr>
          <w:ilvl w:val="1"/>
          <w:numId w:val="11"/>
        </w:numPr>
        <w:tabs>
          <w:tab w:val="left" w:pos="1368"/>
        </w:tabs>
        <w:spacing w:before="161" w:after="0" w:line="362" w:lineRule="auto"/>
        <w:ind w:left="287" w:right="344" w:firstLine="480"/>
        <w:jc w:val="left"/>
        <w:rPr>
          <w:sz w:val="24"/>
        </w:rPr>
      </w:pPr>
      <w:r>
        <w:rPr>
          <w:spacing w:val="-4"/>
          <w:sz w:val="24"/>
        </w:rPr>
        <w:t>投标报价为本招标文件所确定的采购范围内的全部工作内容的价格体现。任何有</w:t>
      </w:r>
      <w:r>
        <w:rPr>
          <w:sz w:val="24"/>
        </w:rPr>
        <w:t>选择的报价将不予接受。</w:t>
      </w:r>
    </w:p>
    <w:p w14:paraId="2B7ED15B">
      <w:pPr>
        <w:pStyle w:val="17"/>
        <w:numPr>
          <w:ilvl w:val="1"/>
          <w:numId w:val="11"/>
        </w:numPr>
        <w:tabs>
          <w:tab w:val="left" w:pos="1368"/>
        </w:tabs>
        <w:spacing w:before="2" w:after="0" w:line="240" w:lineRule="auto"/>
        <w:ind w:left="1368" w:right="0" w:hanging="600"/>
        <w:jc w:val="left"/>
        <w:rPr>
          <w:sz w:val="24"/>
        </w:rPr>
      </w:pPr>
      <w:r>
        <w:rPr>
          <w:sz w:val="24"/>
        </w:rPr>
        <w:t>报价币种为人民币。</w:t>
      </w:r>
    </w:p>
    <w:p w14:paraId="7E64E884">
      <w:pPr>
        <w:pStyle w:val="7"/>
        <w:numPr>
          <w:ilvl w:val="1"/>
          <w:numId w:val="11"/>
        </w:numPr>
        <w:tabs>
          <w:tab w:val="left" w:pos="1368"/>
        </w:tabs>
        <w:spacing w:before="161" w:after="0" w:line="240" w:lineRule="auto"/>
        <w:ind w:left="1368" w:right="0" w:hanging="600"/>
        <w:jc w:val="left"/>
      </w:pPr>
      <w:r>
        <w:t>投标文件报价出现前后不一致的，按照下列规定修正：</w:t>
      </w:r>
    </w:p>
    <w:p w14:paraId="55BAA55E">
      <w:pPr>
        <w:pStyle w:val="17"/>
        <w:numPr>
          <w:ilvl w:val="0"/>
          <w:numId w:val="12"/>
        </w:numPr>
        <w:tabs>
          <w:tab w:val="left" w:pos="1369"/>
        </w:tabs>
        <w:spacing w:before="160" w:after="0" w:line="362" w:lineRule="auto"/>
        <w:ind w:left="287" w:right="344" w:firstLine="480"/>
        <w:jc w:val="left"/>
        <w:rPr>
          <w:sz w:val="24"/>
        </w:rPr>
      </w:pPr>
      <w:r>
        <w:rPr>
          <w:spacing w:val="-2"/>
          <w:sz w:val="24"/>
        </w:rPr>
        <w:t>投标文件中开标一览表</w:t>
      </w:r>
      <w:r>
        <w:rPr>
          <w:spacing w:val="-3"/>
          <w:sz w:val="24"/>
        </w:rPr>
        <w:t>（</w:t>
      </w:r>
      <w:r>
        <w:rPr>
          <w:sz w:val="24"/>
        </w:rPr>
        <w:t>报价表</w:t>
      </w:r>
      <w:r>
        <w:rPr>
          <w:spacing w:val="-17"/>
          <w:sz w:val="24"/>
        </w:rPr>
        <w:t>）</w:t>
      </w:r>
      <w:r>
        <w:rPr>
          <w:spacing w:val="-2"/>
          <w:sz w:val="24"/>
        </w:rPr>
        <w:t>内容与投标文件中相应内容不一致的，以开标</w:t>
      </w:r>
      <w:r>
        <w:rPr>
          <w:sz w:val="24"/>
        </w:rPr>
        <w:t>一览表（报价表）为准；</w:t>
      </w:r>
    </w:p>
    <w:p w14:paraId="11B39ACF">
      <w:pPr>
        <w:pStyle w:val="17"/>
        <w:numPr>
          <w:ilvl w:val="0"/>
          <w:numId w:val="12"/>
        </w:numPr>
        <w:tabs>
          <w:tab w:val="left" w:pos="1369"/>
        </w:tabs>
        <w:spacing w:before="5" w:after="0" w:line="240" w:lineRule="auto"/>
        <w:ind w:left="1369" w:right="0" w:hanging="601"/>
        <w:jc w:val="left"/>
        <w:rPr>
          <w:sz w:val="24"/>
        </w:rPr>
      </w:pPr>
      <w:r>
        <w:rPr>
          <w:sz w:val="24"/>
        </w:rPr>
        <w:t>大写金额和小写金额不一致的，以大写金额为准；</w:t>
      </w:r>
    </w:p>
    <w:p w14:paraId="478B8F7D">
      <w:pPr>
        <w:pStyle w:val="17"/>
        <w:numPr>
          <w:ilvl w:val="0"/>
          <w:numId w:val="12"/>
        </w:numPr>
        <w:tabs>
          <w:tab w:val="left" w:pos="1369"/>
        </w:tabs>
        <w:spacing w:before="158" w:after="0" w:line="364" w:lineRule="auto"/>
        <w:ind w:left="287" w:right="344" w:firstLine="480"/>
        <w:jc w:val="left"/>
        <w:rPr>
          <w:sz w:val="24"/>
        </w:rPr>
      </w:pPr>
      <w:r>
        <w:rPr>
          <w:spacing w:val="-3"/>
          <w:sz w:val="24"/>
        </w:rPr>
        <w:t>单价金额小数点或者百分比有明显错位的，以开标一览表的总价为准，并修改</w:t>
      </w:r>
      <w:r>
        <w:rPr>
          <w:spacing w:val="-6"/>
          <w:sz w:val="24"/>
        </w:rPr>
        <w:t>单价；</w:t>
      </w:r>
    </w:p>
    <w:p w14:paraId="3E81D6EA">
      <w:pPr>
        <w:pStyle w:val="17"/>
        <w:numPr>
          <w:ilvl w:val="0"/>
          <w:numId w:val="12"/>
        </w:numPr>
        <w:tabs>
          <w:tab w:val="left" w:pos="1369"/>
        </w:tabs>
        <w:spacing w:before="0" w:after="0" w:line="306" w:lineRule="exact"/>
        <w:ind w:left="1369" w:right="0" w:hanging="601"/>
        <w:jc w:val="left"/>
        <w:rPr>
          <w:sz w:val="24"/>
        </w:rPr>
      </w:pPr>
      <w:r>
        <w:rPr>
          <w:sz w:val="24"/>
        </w:rPr>
        <w:t>总价金额与按单价汇总金额不一致的，以单价金额计算结果为准；</w:t>
      </w:r>
    </w:p>
    <w:p w14:paraId="594F9387">
      <w:pPr>
        <w:pStyle w:val="17"/>
        <w:numPr>
          <w:ilvl w:val="0"/>
          <w:numId w:val="12"/>
        </w:numPr>
        <w:tabs>
          <w:tab w:val="left" w:pos="1369"/>
        </w:tabs>
        <w:spacing w:before="161" w:after="0" w:line="362" w:lineRule="auto"/>
        <w:ind w:left="287" w:right="344" w:firstLine="480"/>
        <w:jc w:val="left"/>
        <w:rPr>
          <w:sz w:val="24"/>
        </w:rPr>
      </w:pPr>
      <w:r>
        <w:rPr>
          <w:spacing w:val="-5"/>
          <w:sz w:val="24"/>
        </w:rPr>
        <w:t>电子招投标的，开启报价环节与投标文件中开标一览表不一致的，以投标文件</w:t>
      </w:r>
      <w:r>
        <w:rPr>
          <w:spacing w:val="-4"/>
          <w:sz w:val="24"/>
        </w:rPr>
        <w:t>中开标一览表内容为准。</w:t>
      </w:r>
    </w:p>
    <w:p w14:paraId="15E350C2">
      <w:pPr>
        <w:pStyle w:val="7"/>
        <w:spacing w:before="5" w:line="362" w:lineRule="auto"/>
        <w:ind w:right="344" w:firstLine="480"/>
      </w:pPr>
      <w:r>
        <w:t>同时出现两种以上不一致的，按照前款规定的顺序修正。修正后的报价经投标人确认后产生约束力，投标人不确认的，其投标无效。</w:t>
      </w:r>
    </w:p>
    <w:p w14:paraId="743313D0">
      <w:pPr>
        <w:pStyle w:val="17"/>
        <w:numPr>
          <w:ilvl w:val="1"/>
          <w:numId w:val="11"/>
        </w:numPr>
        <w:tabs>
          <w:tab w:val="left" w:pos="1368"/>
        </w:tabs>
        <w:spacing w:before="5" w:after="0" w:line="364" w:lineRule="auto"/>
        <w:ind w:left="287" w:right="344" w:firstLine="480"/>
        <w:jc w:val="left"/>
        <w:rPr>
          <w:sz w:val="24"/>
        </w:rPr>
      </w:pPr>
      <w:r>
        <w:rPr>
          <w:spacing w:val="-5"/>
          <w:sz w:val="24"/>
        </w:rPr>
        <w:t>本合同所列价格在合同有效期内为固定不变。任何在招标文件和投标文件中未专</w:t>
      </w:r>
      <w:r>
        <w:rPr>
          <w:sz w:val="24"/>
        </w:rPr>
        <w:t>门提及，但对执行本项目合同是必不可少的；其费用已包含在合同单价中。</w:t>
      </w:r>
    </w:p>
    <w:p w14:paraId="2D825C3F">
      <w:pPr>
        <w:pStyle w:val="17"/>
        <w:numPr>
          <w:ilvl w:val="1"/>
          <w:numId w:val="11"/>
        </w:numPr>
        <w:tabs>
          <w:tab w:val="left" w:pos="1368"/>
        </w:tabs>
        <w:spacing w:before="0" w:after="0" w:line="364" w:lineRule="auto"/>
        <w:ind w:left="287" w:right="224" w:firstLine="480"/>
        <w:jc w:val="left"/>
        <w:rPr>
          <w:sz w:val="24"/>
        </w:rPr>
      </w:pPr>
      <w:r>
        <w:rPr>
          <w:spacing w:val="-9"/>
          <w:sz w:val="24"/>
        </w:rPr>
        <w:t>政府采购评审中出现下列情形之一的，评审委员会应当启动异常低价投标</w:t>
      </w:r>
      <w:r>
        <w:rPr>
          <w:sz w:val="24"/>
        </w:rPr>
        <w:t>（响应</w:t>
      </w:r>
      <w:r>
        <w:rPr>
          <w:spacing w:val="-16"/>
          <w:sz w:val="24"/>
        </w:rPr>
        <w:t xml:space="preserve">） </w:t>
      </w:r>
      <w:r>
        <w:rPr>
          <w:sz w:val="24"/>
        </w:rPr>
        <w:t>审查程序：</w:t>
      </w:r>
    </w:p>
    <w:p w14:paraId="06790FE4">
      <w:pPr>
        <w:pStyle w:val="17"/>
        <w:numPr>
          <w:ilvl w:val="0"/>
          <w:numId w:val="13"/>
        </w:numPr>
        <w:tabs>
          <w:tab w:val="left" w:pos="1369"/>
        </w:tabs>
        <w:spacing w:before="0" w:after="0" w:line="362" w:lineRule="auto"/>
        <w:ind w:left="287" w:right="344" w:firstLine="480"/>
        <w:jc w:val="left"/>
        <w:rPr>
          <w:sz w:val="24"/>
        </w:rPr>
      </w:pPr>
      <w:r>
        <w:rPr>
          <w:spacing w:val="-2"/>
          <w:sz w:val="24"/>
        </w:rPr>
        <w:t>投标</w:t>
      </w:r>
      <w:r>
        <w:rPr>
          <w:sz w:val="24"/>
        </w:rPr>
        <w:t>（响应</w:t>
      </w:r>
      <w:r>
        <w:rPr>
          <w:spacing w:val="-3"/>
          <w:sz w:val="24"/>
        </w:rPr>
        <w:t>）</w:t>
      </w:r>
      <w:r>
        <w:rPr>
          <w:sz w:val="24"/>
        </w:rPr>
        <w:t>报价低于全部通过符合性审查供应商投标（响应）</w:t>
      </w:r>
      <w:r>
        <w:rPr>
          <w:spacing w:val="-10"/>
          <w:sz w:val="24"/>
        </w:rPr>
        <w:t xml:space="preserve">报价平均值 </w:t>
      </w:r>
      <w:r>
        <w:rPr>
          <w:spacing w:val="-5"/>
          <w:sz w:val="24"/>
        </w:rPr>
        <w:t xml:space="preserve">50% </w:t>
      </w:r>
      <w:r>
        <w:rPr>
          <w:sz w:val="24"/>
        </w:rPr>
        <w:t>的，即投标（响应）报价&lt;全部通过符合性审查供应商投标（响应）报价平均值×50%；</w:t>
      </w:r>
    </w:p>
    <w:p w14:paraId="6DAC4DA2">
      <w:pPr>
        <w:pStyle w:val="17"/>
        <w:numPr>
          <w:ilvl w:val="0"/>
          <w:numId w:val="13"/>
        </w:numPr>
        <w:tabs>
          <w:tab w:val="left" w:pos="1369"/>
        </w:tabs>
        <w:spacing w:before="2" w:after="0" w:line="364" w:lineRule="auto"/>
        <w:ind w:left="287" w:right="344" w:firstLine="480"/>
        <w:jc w:val="left"/>
        <w:rPr>
          <w:sz w:val="24"/>
        </w:rPr>
      </w:pPr>
      <w:r>
        <w:rPr>
          <w:spacing w:val="-2"/>
          <w:sz w:val="24"/>
        </w:rPr>
        <w:t>投标</w:t>
      </w:r>
      <w:r>
        <w:rPr>
          <w:sz w:val="24"/>
        </w:rPr>
        <w:t>（响应</w:t>
      </w:r>
      <w:r>
        <w:rPr>
          <w:spacing w:val="-3"/>
          <w:sz w:val="24"/>
        </w:rPr>
        <w:t>）</w:t>
      </w:r>
      <w:r>
        <w:rPr>
          <w:sz w:val="24"/>
        </w:rPr>
        <w:t>报价低于通过符合性审查的次低报价供应商投标（响应）</w:t>
      </w:r>
      <w:r>
        <w:rPr>
          <w:spacing w:val="-20"/>
          <w:sz w:val="24"/>
        </w:rPr>
        <w:t xml:space="preserve">报价 </w:t>
      </w:r>
      <w:r>
        <w:rPr>
          <w:spacing w:val="-5"/>
          <w:sz w:val="24"/>
        </w:rPr>
        <w:t xml:space="preserve">50% </w:t>
      </w:r>
      <w:r>
        <w:rPr>
          <w:sz w:val="24"/>
        </w:rPr>
        <w:t>的，即投标（响应）报价&lt;通过符合性审查的次低报价供应商投标（响应）报价×50%；</w:t>
      </w:r>
    </w:p>
    <w:p w14:paraId="426C8F79">
      <w:pPr>
        <w:pStyle w:val="17"/>
        <w:numPr>
          <w:ilvl w:val="0"/>
          <w:numId w:val="13"/>
        </w:numPr>
        <w:tabs>
          <w:tab w:val="left" w:pos="1376"/>
        </w:tabs>
        <w:spacing w:before="0" w:after="0" w:line="364" w:lineRule="auto"/>
        <w:ind w:left="287" w:right="344" w:firstLine="480"/>
        <w:jc w:val="left"/>
        <w:rPr>
          <w:sz w:val="24"/>
        </w:rPr>
      </w:pPr>
      <w:r>
        <w:rPr>
          <w:spacing w:val="2"/>
          <w:sz w:val="24"/>
        </w:rPr>
        <w:t>投标</w:t>
      </w:r>
      <w:r>
        <w:rPr>
          <w:sz w:val="24"/>
        </w:rPr>
        <w:t>（</w:t>
      </w:r>
      <w:r>
        <w:rPr>
          <w:spacing w:val="2"/>
          <w:sz w:val="24"/>
        </w:rPr>
        <w:t>响应</w:t>
      </w:r>
      <w:r>
        <w:rPr>
          <w:sz w:val="24"/>
        </w:rPr>
        <w:t>）</w:t>
      </w:r>
      <w:r>
        <w:rPr>
          <w:spacing w:val="-3"/>
          <w:sz w:val="24"/>
        </w:rPr>
        <w:t xml:space="preserve">报价低于采购项目最高限价 </w:t>
      </w:r>
      <w:r>
        <w:rPr>
          <w:sz w:val="24"/>
        </w:rPr>
        <w:t>45%的，即投标（响应</w:t>
      </w:r>
      <w:r>
        <w:rPr>
          <w:spacing w:val="4"/>
          <w:sz w:val="24"/>
        </w:rPr>
        <w:t>）</w:t>
      </w:r>
      <w:r>
        <w:rPr>
          <w:sz w:val="24"/>
        </w:rPr>
        <w:t>报价&lt;采购项目最高限价×45%；</w:t>
      </w:r>
    </w:p>
    <w:p w14:paraId="3A1479F5">
      <w:pPr>
        <w:spacing w:after="0" w:line="364" w:lineRule="auto"/>
        <w:jc w:val="left"/>
        <w:rPr>
          <w:sz w:val="24"/>
        </w:rPr>
        <w:sectPr>
          <w:pgSz w:w="11910" w:h="16840"/>
          <w:pgMar w:top="1200" w:right="900" w:bottom="1020" w:left="960" w:header="0" w:footer="828" w:gutter="0"/>
          <w:pgNumType w:fmt="decimal"/>
          <w:cols w:space="720" w:num="1"/>
        </w:sectPr>
      </w:pPr>
    </w:p>
    <w:p w14:paraId="5B08C1C5">
      <w:pPr>
        <w:pStyle w:val="17"/>
        <w:numPr>
          <w:ilvl w:val="0"/>
          <w:numId w:val="13"/>
        </w:numPr>
        <w:tabs>
          <w:tab w:val="left" w:pos="1369"/>
        </w:tabs>
        <w:spacing w:before="49" w:after="0" w:line="362" w:lineRule="auto"/>
        <w:ind w:left="287" w:right="344" w:firstLine="480"/>
        <w:jc w:val="left"/>
        <w:rPr>
          <w:sz w:val="24"/>
        </w:rPr>
      </w:pPr>
      <w:r>
        <w:rPr>
          <w:spacing w:val="-3"/>
          <w:sz w:val="24"/>
        </w:rPr>
        <w:t>评审委员会基于专业判断，认为供应商报价过低，有可能影响产品质量或者不</w:t>
      </w:r>
      <w:r>
        <w:rPr>
          <w:spacing w:val="-4"/>
          <w:sz w:val="24"/>
        </w:rPr>
        <w:t>能诚信履约的其他情形。</w:t>
      </w:r>
    </w:p>
    <w:p w14:paraId="513040AE">
      <w:pPr>
        <w:pStyle w:val="8"/>
        <w:spacing w:before="5" w:line="364" w:lineRule="auto"/>
        <w:ind w:left="287" w:right="344" w:firstLine="480"/>
        <w:jc w:val="both"/>
      </w:pPr>
      <w:r>
        <w:t>评审委员会启动异常低价投标（响应）</w:t>
      </w:r>
      <w:r>
        <w:rPr>
          <w:spacing w:val="-6"/>
        </w:rPr>
        <w:t xml:space="preserve">审查后，属于前述第 </w:t>
      </w:r>
      <w:r>
        <w:t>1</w:t>
      </w:r>
      <w:r>
        <w:rPr>
          <w:spacing w:val="-21"/>
        </w:rPr>
        <w:t xml:space="preserve"> 项至第 </w:t>
      </w:r>
      <w:r>
        <w:t>4</w:t>
      </w:r>
      <w:r>
        <w:rPr>
          <w:spacing w:val="-9"/>
        </w:rPr>
        <w:t xml:space="preserve"> 项情形的，应当要求相关供应商在评审现场合理的时间内对投标（响应）价格作出解释，提供项目具体成本测算等与报价合理性相关的书面说明及必要的证明材料，包括但不限于原材料成本、</w:t>
      </w:r>
      <w:r>
        <w:rPr>
          <w:spacing w:val="-8"/>
        </w:rPr>
        <w:t xml:space="preserve">人工成本、制造费用等，给予相关供应商的合理时间一般不少于 </w:t>
      </w:r>
      <w:r>
        <w:t>30</w:t>
      </w:r>
      <w:r>
        <w:rPr>
          <w:spacing w:val="-13"/>
        </w:rPr>
        <w:t xml:space="preserve"> 分钟。其中，属于第 </w:t>
      </w:r>
      <w:r>
        <w:rPr>
          <w:spacing w:val="-15"/>
        </w:rPr>
        <w:t xml:space="preserve">3 </w:t>
      </w:r>
      <w:r>
        <w:t>项情形，供应商已随投标（响应）文件一并提交相关书面说明及必要的证明材料的，在评审现场可不再重复提交。</w:t>
      </w:r>
    </w:p>
    <w:p w14:paraId="1E8E5C56">
      <w:pPr>
        <w:pStyle w:val="8"/>
        <w:spacing w:line="364" w:lineRule="auto"/>
        <w:ind w:left="287" w:right="163" w:firstLine="480"/>
      </w:pPr>
      <w: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F9EFCF">
      <w:pPr>
        <w:pStyle w:val="7"/>
        <w:spacing w:line="305" w:lineRule="exact"/>
      </w:pPr>
      <w:r>
        <w:t>11、投标文件的签署及规定</w:t>
      </w:r>
    </w:p>
    <w:p w14:paraId="45307C8C">
      <w:pPr>
        <w:pStyle w:val="17"/>
        <w:numPr>
          <w:ilvl w:val="1"/>
          <w:numId w:val="14"/>
        </w:numPr>
        <w:tabs>
          <w:tab w:val="left" w:pos="1368"/>
        </w:tabs>
        <w:spacing w:before="157" w:after="0" w:line="362" w:lineRule="auto"/>
        <w:ind w:left="287" w:right="344" w:firstLine="480"/>
        <w:jc w:val="both"/>
        <w:rPr>
          <w:sz w:val="24"/>
        </w:rPr>
      </w:pPr>
      <w:r>
        <w:rPr>
          <w:spacing w:val="-6"/>
          <w:sz w:val="24"/>
        </w:rPr>
        <w:t>投标人应按招标文件的要求，认真编制投标文件，投标文件应对招标文件提出的</w:t>
      </w:r>
      <w:r>
        <w:rPr>
          <w:sz w:val="24"/>
        </w:rPr>
        <w:t>实质性要求和条件做出响应。</w:t>
      </w:r>
    </w:p>
    <w:p w14:paraId="34F30311">
      <w:pPr>
        <w:pStyle w:val="17"/>
        <w:numPr>
          <w:ilvl w:val="1"/>
          <w:numId w:val="14"/>
        </w:numPr>
        <w:tabs>
          <w:tab w:val="left" w:pos="1368"/>
        </w:tabs>
        <w:spacing w:before="4" w:after="0" w:line="364" w:lineRule="auto"/>
        <w:ind w:left="287" w:right="346" w:firstLine="480"/>
        <w:jc w:val="both"/>
        <w:rPr>
          <w:b/>
          <w:sz w:val="24"/>
        </w:rPr>
      </w:pPr>
      <w:r>
        <w:rPr>
          <w:sz w:val="24"/>
        </w:rPr>
        <w:t>投标文件应由</w:t>
      </w:r>
      <w:r>
        <w:rPr>
          <w:b/>
          <w:spacing w:val="-3"/>
          <w:sz w:val="24"/>
        </w:rPr>
        <w:t>投标人的法定代表人</w:t>
      </w:r>
      <w:r>
        <w:rPr>
          <w:b/>
          <w:sz w:val="24"/>
        </w:rPr>
        <w:t>（或其委托代理人</w:t>
      </w:r>
      <w:r>
        <w:rPr>
          <w:b/>
          <w:spacing w:val="-22"/>
          <w:sz w:val="24"/>
        </w:rPr>
        <w:t>）</w:t>
      </w:r>
      <w:r>
        <w:rPr>
          <w:b/>
          <w:spacing w:val="-11"/>
          <w:sz w:val="24"/>
        </w:rPr>
        <w:t>盖章</w:t>
      </w:r>
      <w:r>
        <w:rPr>
          <w:b/>
          <w:sz w:val="24"/>
        </w:rPr>
        <w:t>（或签字</w:t>
      </w:r>
      <w:r>
        <w:rPr>
          <w:b/>
          <w:spacing w:val="-22"/>
          <w:sz w:val="24"/>
        </w:rPr>
        <w:t>）</w:t>
      </w:r>
      <w:r>
        <w:rPr>
          <w:b/>
          <w:spacing w:val="-3"/>
          <w:sz w:val="24"/>
        </w:rPr>
        <w:t>并加盖单</w:t>
      </w:r>
      <w:r>
        <w:rPr>
          <w:b/>
          <w:sz w:val="24"/>
        </w:rPr>
        <w:t>位公章</w:t>
      </w:r>
      <w:r>
        <w:rPr>
          <w:sz w:val="24"/>
        </w:rPr>
        <w:t>。委托代理人签字的，投标文件应附法定代表人签署的授权委托书。投标文件中应尽量避免涂改、行间插字或删除。如果出现上述情况，</w:t>
      </w:r>
      <w:r>
        <w:rPr>
          <w:b/>
          <w:sz w:val="24"/>
        </w:rPr>
        <w:t>改动之处应由投标人的法定代表人</w:t>
      </w:r>
    </w:p>
    <w:p w14:paraId="4AECD345">
      <w:pPr>
        <w:spacing w:before="0" w:line="364" w:lineRule="auto"/>
        <w:ind w:left="287" w:right="346" w:firstLine="0"/>
        <w:jc w:val="both"/>
        <w:rPr>
          <w:b/>
          <w:sz w:val="24"/>
        </w:rPr>
      </w:pPr>
      <w:r>
        <w:rPr>
          <w:b/>
          <w:sz w:val="24"/>
        </w:rPr>
        <w:t>（或其委托代理人）盖章（或签字）并加盖单位公章</w:t>
      </w:r>
      <w:r>
        <w:rPr>
          <w:sz w:val="24"/>
        </w:rPr>
        <w:t>。</w:t>
      </w:r>
      <w:r>
        <w:rPr>
          <w:b/>
          <w:sz w:val="24"/>
        </w:rPr>
        <w:t>投标文件封面应由法定代表人（或其委托代理人）盖章（或签字）并加盖单位公章</w:t>
      </w:r>
      <w:r>
        <w:rPr>
          <w:sz w:val="24"/>
        </w:rPr>
        <w:t>。由委托代理人签字或盖章的投标文件中须同时提交投标文件签署授权委托书。</w:t>
      </w:r>
      <w:r>
        <w:rPr>
          <w:b/>
          <w:sz w:val="24"/>
        </w:rPr>
        <w:t>投标文件签署授权委托书的格式、签字、盖章及内容均应符合法律规定的要求，否则投标文件签署授权委托书无效。</w:t>
      </w:r>
    </w:p>
    <w:p w14:paraId="76D1DA44">
      <w:pPr>
        <w:pStyle w:val="17"/>
        <w:numPr>
          <w:ilvl w:val="1"/>
          <w:numId w:val="14"/>
        </w:numPr>
        <w:tabs>
          <w:tab w:val="left" w:pos="1368"/>
        </w:tabs>
        <w:spacing w:before="0" w:after="0" w:line="364" w:lineRule="auto"/>
        <w:ind w:left="287" w:right="224" w:firstLine="480"/>
        <w:jc w:val="left"/>
        <w:rPr>
          <w:sz w:val="24"/>
        </w:rPr>
      </w:pPr>
      <w:r>
        <w:rPr>
          <w:spacing w:val="-3"/>
          <w:sz w:val="24"/>
        </w:rPr>
        <w:t>投标文件一般应无涂改和行间插字现象。表面整洁，如确需涂改（</w:t>
      </w:r>
      <w:r>
        <w:rPr>
          <w:sz w:val="24"/>
        </w:rPr>
        <w:t>或插字</w:t>
      </w:r>
      <w:r>
        <w:rPr>
          <w:spacing w:val="-14"/>
          <w:sz w:val="24"/>
        </w:rPr>
        <w:t>）</w:t>
      </w:r>
      <w:r>
        <w:rPr>
          <w:spacing w:val="-7"/>
          <w:sz w:val="24"/>
        </w:rPr>
        <w:t>，应</w:t>
      </w:r>
      <w:r>
        <w:rPr>
          <w:spacing w:val="-10"/>
          <w:sz w:val="24"/>
        </w:rPr>
        <w:t>在修改之处加盖单位公章，并由投标人的法定代表人</w:t>
      </w:r>
      <w:r>
        <w:rPr>
          <w:spacing w:val="-3"/>
          <w:sz w:val="24"/>
        </w:rPr>
        <w:t>（</w:t>
      </w:r>
      <w:r>
        <w:rPr>
          <w:sz w:val="24"/>
        </w:rPr>
        <w:t>或其授权的代理人</w:t>
      </w:r>
      <w:r>
        <w:rPr>
          <w:spacing w:val="-17"/>
          <w:sz w:val="24"/>
        </w:rPr>
        <w:t>）</w:t>
      </w:r>
      <w:r>
        <w:rPr>
          <w:spacing w:val="-8"/>
          <w:sz w:val="24"/>
        </w:rPr>
        <w:t>签字</w:t>
      </w:r>
      <w:r>
        <w:rPr>
          <w:sz w:val="24"/>
        </w:rPr>
        <w:t>（或盖章</w:t>
      </w:r>
      <w:r>
        <w:rPr>
          <w:spacing w:val="-14"/>
          <w:sz w:val="24"/>
        </w:rPr>
        <w:t xml:space="preserve">） </w:t>
      </w:r>
      <w:r>
        <w:rPr>
          <w:sz w:val="24"/>
        </w:rPr>
        <w:t>确认。</w:t>
      </w:r>
    </w:p>
    <w:p w14:paraId="0AFE86DE">
      <w:pPr>
        <w:pStyle w:val="7"/>
        <w:spacing w:line="304" w:lineRule="exact"/>
      </w:pPr>
      <w:r>
        <w:t>12、投标保证金</w:t>
      </w:r>
    </w:p>
    <w:p w14:paraId="131B620A">
      <w:pPr>
        <w:pStyle w:val="17"/>
        <w:numPr>
          <w:ilvl w:val="1"/>
          <w:numId w:val="15"/>
        </w:numPr>
        <w:tabs>
          <w:tab w:val="left" w:pos="1368"/>
        </w:tabs>
        <w:spacing w:before="156" w:after="0" w:line="364" w:lineRule="auto"/>
        <w:ind w:left="287" w:right="344" w:firstLine="480"/>
        <w:jc w:val="left"/>
        <w:rPr>
          <w:sz w:val="24"/>
        </w:rPr>
      </w:pPr>
      <w:r>
        <w:rPr>
          <w:spacing w:val="-7"/>
          <w:sz w:val="24"/>
        </w:rPr>
        <w:t>为保证采购工作的顺利进行，各投标人应按投标人须知前附表规定缴纳投标保证</w:t>
      </w:r>
      <w:r>
        <w:rPr>
          <w:sz w:val="24"/>
        </w:rPr>
        <w:t>金，投标保证金缴纳方式详见投标人须知前附表。</w:t>
      </w:r>
    </w:p>
    <w:p w14:paraId="57734535">
      <w:pPr>
        <w:pStyle w:val="17"/>
        <w:numPr>
          <w:ilvl w:val="1"/>
          <w:numId w:val="15"/>
        </w:numPr>
        <w:tabs>
          <w:tab w:val="left" w:pos="1368"/>
        </w:tabs>
        <w:spacing w:before="1" w:after="0" w:line="240" w:lineRule="auto"/>
        <w:ind w:left="1368" w:right="0" w:hanging="600"/>
        <w:jc w:val="left"/>
        <w:rPr>
          <w:sz w:val="24"/>
        </w:rPr>
      </w:pPr>
      <w:r>
        <w:rPr>
          <w:sz w:val="24"/>
        </w:rPr>
        <w:t>投标人有下列情况之一者，投标保证金将不予退还：</w:t>
      </w:r>
    </w:p>
    <w:p w14:paraId="392DC8E4">
      <w:pPr>
        <w:pStyle w:val="17"/>
        <w:numPr>
          <w:ilvl w:val="0"/>
          <w:numId w:val="16"/>
        </w:numPr>
        <w:tabs>
          <w:tab w:val="left" w:pos="1369"/>
        </w:tabs>
        <w:spacing w:before="158" w:after="0" w:line="240" w:lineRule="auto"/>
        <w:ind w:left="1369" w:right="0" w:hanging="601"/>
        <w:jc w:val="left"/>
        <w:rPr>
          <w:sz w:val="24"/>
        </w:rPr>
      </w:pPr>
      <w:r>
        <w:rPr>
          <w:sz w:val="24"/>
        </w:rPr>
        <w:t>投标人在规定的投标有效期内撤销或修改其投标文件；</w:t>
      </w:r>
    </w:p>
    <w:p w14:paraId="0AA68D4F">
      <w:pPr>
        <w:pStyle w:val="17"/>
        <w:numPr>
          <w:ilvl w:val="0"/>
          <w:numId w:val="16"/>
        </w:numPr>
        <w:tabs>
          <w:tab w:val="left" w:pos="1369"/>
        </w:tabs>
        <w:spacing w:before="160" w:after="0" w:line="240" w:lineRule="auto"/>
        <w:ind w:left="1369" w:right="0" w:hanging="601"/>
        <w:jc w:val="left"/>
        <w:rPr>
          <w:sz w:val="24"/>
        </w:rPr>
      </w:pPr>
      <w:r>
        <w:rPr>
          <w:spacing w:val="-4"/>
          <w:sz w:val="24"/>
        </w:rPr>
        <w:t>中标人在收到中标通知书后，无正当理由</w:t>
      </w:r>
      <w:r>
        <w:rPr>
          <w:sz w:val="24"/>
        </w:rPr>
        <w:t>（正当理由是指不可抗力或采购人原因</w:t>
      </w:r>
    </w:p>
    <w:p w14:paraId="55A43CE8">
      <w:pPr>
        <w:spacing w:after="0" w:line="240" w:lineRule="auto"/>
        <w:jc w:val="left"/>
        <w:rPr>
          <w:sz w:val="24"/>
        </w:rPr>
        <w:sectPr>
          <w:pgSz w:w="11910" w:h="16840"/>
          <w:pgMar w:top="1200" w:right="900" w:bottom="1020" w:left="960" w:header="0" w:footer="828" w:gutter="0"/>
          <w:pgNumType w:fmt="decimal"/>
          <w:cols w:space="720" w:num="1"/>
        </w:sectPr>
      </w:pPr>
    </w:p>
    <w:p w14:paraId="16A290E0">
      <w:pPr>
        <w:pStyle w:val="8"/>
        <w:spacing w:before="49"/>
        <w:ind w:left="287"/>
      </w:pPr>
      <w:r>
        <w:t>无法签订合同的）拒签合同协议书或向采购人提出附加条件。</w:t>
      </w:r>
    </w:p>
    <w:p w14:paraId="7F46B6B3">
      <w:pPr>
        <w:pStyle w:val="17"/>
        <w:numPr>
          <w:ilvl w:val="1"/>
          <w:numId w:val="15"/>
        </w:numPr>
        <w:tabs>
          <w:tab w:val="left" w:pos="1368"/>
        </w:tabs>
        <w:spacing w:before="158" w:after="0" w:line="364" w:lineRule="auto"/>
        <w:ind w:left="287" w:right="344" w:firstLine="480"/>
        <w:jc w:val="left"/>
        <w:rPr>
          <w:sz w:val="24"/>
        </w:rPr>
      </w:pPr>
      <w:r>
        <w:rPr>
          <w:spacing w:val="-5"/>
          <w:sz w:val="24"/>
        </w:rPr>
        <w:t xml:space="preserve">自中标通知书发出之日起 </w:t>
      </w:r>
      <w:r>
        <w:rPr>
          <w:sz w:val="24"/>
        </w:rPr>
        <w:t>5</w:t>
      </w:r>
      <w:r>
        <w:rPr>
          <w:spacing w:val="-13"/>
          <w:sz w:val="24"/>
        </w:rPr>
        <w:t xml:space="preserve"> 个工作日内退还未中标人的投标保证金，自采购合同</w:t>
      </w:r>
      <w:r>
        <w:rPr>
          <w:spacing w:val="-10"/>
          <w:sz w:val="24"/>
        </w:rPr>
        <w:t xml:space="preserve">签订之日起 </w:t>
      </w:r>
      <w:r>
        <w:rPr>
          <w:sz w:val="24"/>
        </w:rPr>
        <w:t>5</w:t>
      </w:r>
      <w:r>
        <w:rPr>
          <w:spacing w:val="-8"/>
          <w:sz w:val="24"/>
        </w:rPr>
        <w:t xml:space="preserve"> 个工作日内退还中标人的投标保证金。</w:t>
      </w:r>
    </w:p>
    <w:p w14:paraId="641EE8D3">
      <w:pPr>
        <w:pStyle w:val="8"/>
      </w:pPr>
    </w:p>
    <w:p w14:paraId="5F1FF326">
      <w:pPr>
        <w:pStyle w:val="5"/>
        <w:spacing w:before="161"/>
      </w:pPr>
      <w:r>
        <w:t>四、投标文件的制作、上传及递交要求</w:t>
      </w:r>
    </w:p>
    <w:p w14:paraId="4688D836">
      <w:pPr>
        <w:pStyle w:val="8"/>
        <w:rPr>
          <w:b/>
          <w:sz w:val="32"/>
        </w:rPr>
      </w:pPr>
    </w:p>
    <w:p w14:paraId="18E91822">
      <w:pPr>
        <w:pStyle w:val="7"/>
        <w:spacing w:before="268"/>
      </w:pPr>
      <w:r>
        <w:t>13、投标文件的制作要求</w:t>
      </w:r>
    </w:p>
    <w:p w14:paraId="49379A0E">
      <w:pPr>
        <w:pStyle w:val="17"/>
        <w:numPr>
          <w:ilvl w:val="1"/>
          <w:numId w:val="17"/>
        </w:numPr>
        <w:tabs>
          <w:tab w:val="left" w:pos="1373"/>
        </w:tabs>
        <w:spacing w:before="158" w:after="0" w:line="364" w:lineRule="auto"/>
        <w:ind w:left="287" w:right="344" w:firstLine="480"/>
        <w:jc w:val="both"/>
        <w:rPr>
          <w:sz w:val="24"/>
        </w:rPr>
      </w:pPr>
      <w:r>
        <w:rPr>
          <w:spacing w:val="3"/>
          <w:sz w:val="24"/>
        </w:rPr>
        <w:t>供应商应按照投标文件组成内容及项目招标需求和新疆政府采购云平台要求制作投标文件，不按招标文件和新疆政府采购云平台要求制作投标文件的将视情况处理（拒收等），由此产生的责任由供应商自行承担。</w:t>
      </w:r>
    </w:p>
    <w:p w14:paraId="7960358C">
      <w:pPr>
        <w:pStyle w:val="17"/>
        <w:numPr>
          <w:ilvl w:val="1"/>
          <w:numId w:val="17"/>
        </w:numPr>
        <w:tabs>
          <w:tab w:val="left" w:pos="1368"/>
        </w:tabs>
        <w:spacing w:before="0" w:after="0" w:line="364" w:lineRule="auto"/>
        <w:ind w:left="287" w:right="278" w:firstLine="480"/>
        <w:jc w:val="both"/>
        <w:rPr>
          <w:sz w:val="24"/>
        </w:rPr>
      </w:pPr>
      <w:r>
        <w:rPr>
          <w:sz w:val="24"/>
        </w:rPr>
        <w:t>电子投标文件部分：投标人应根据“政采云供应商项目采购-电子招投标操作指</w:t>
      </w:r>
      <w:r>
        <w:rPr>
          <w:spacing w:val="-17"/>
          <w:sz w:val="24"/>
        </w:rPr>
        <w:t>南”及本采购文件规定的格式和顺序编制电子投标文件并进行关联定位。本文件《第六章 投标文件部分格式》中有提供格式的，供应商应按照格式进行编制（格式中要求提供相关证明材料的还需后附相关证明材料），并按格式要求在指定位置根据要求进行签章，否则视</w:t>
      </w:r>
      <w:r>
        <w:rPr>
          <w:spacing w:val="-18"/>
          <w:sz w:val="24"/>
        </w:rPr>
        <w:t>为未提供；本文件《第六章 投标文件部分格式》未提供格式的，请供应商自行拟定格式。</w:t>
      </w:r>
    </w:p>
    <w:p w14:paraId="71939DA2">
      <w:pPr>
        <w:pStyle w:val="17"/>
        <w:numPr>
          <w:ilvl w:val="1"/>
          <w:numId w:val="17"/>
        </w:numPr>
        <w:tabs>
          <w:tab w:val="left" w:pos="1368"/>
        </w:tabs>
        <w:spacing w:before="0" w:after="0" w:line="364" w:lineRule="auto"/>
        <w:ind w:left="287" w:right="344" w:firstLine="480"/>
        <w:jc w:val="both"/>
        <w:rPr>
          <w:sz w:val="24"/>
        </w:rPr>
      </w:pPr>
      <w:r>
        <w:rPr>
          <w:spacing w:val="-5"/>
          <w:sz w:val="24"/>
        </w:rPr>
        <w:t xml:space="preserve">供应商应对所提供的全部资料的真实性、有效性承担法律责任，电子投标文件中所须加盖公章部分均采用 </w:t>
      </w:r>
      <w:r>
        <w:rPr>
          <w:sz w:val="24"/>
        </w:rPr>
        <w:t>CA</w:t>
      </w:r>
      <w:r>
        <w:rPr>
          <w:spacing w:val="-15"/>
          <w:sz w:val="24"/>
        </w:rPr>
        <w:t xml:space="preserve"> 签章。</w:t>
      </w:r>
    </w:p>
    <w:p w14:paraId="0A651B92">
      <w:pPr>
        <w:pStyle w:val="17"/>
        <w:numPr>
          <w:ilvl w:val="1"/>
          <w:numId w:val="17"/>
        </w:numPr>
        <w:tabs>
          <w:tab w:val="left" w:pos="1368"/>
        </w:tabs>
        <w:spacing w:before="0" w:after="0" w:line="364" w:lineRule="auto"/>
        <w:ind w:left="287" w:right="344" w:firstLine="480"/>
        <w:jc w:val="both"/>
        <w:rPr>
          <w:sz w:val="24"/>
        </w:rPr>
      </w:pPr>
      <w:r>
        <w:rPr>
          <w:spacing w:val="-4"/>
          <w:sz w:val="24"/>
        </w:rPr>
        <w:t>投标文件以及供应商与采购代理机构就有关投标事宜的所有来往函电，均应以中</w:t>
      </w:r>
      <w:r>
        <w:rPr>
          <w:sz w:val="24"/>
        </w:rPr>
        <w:t>文汉语书写。除签字、盖章、专用名称等特殊情形外，以中文汉语以外的文字表述的投标文件视同未提供。</w:t>
      </w:r>
    </w:p>
    <w:p w14:paraId="158E3A0B">
      <w:pPr>
        <w:pStyle w:val="17"/>
        <w:numPr>
          <w:ilvl w:val="1"/>
          <w:numId w:val="17"/>
        </w:numPr>
        <w:tabs>
          <w:tab w:val="left" w:pos="1368"/>
        </w:tabs>
        <w:spacing w:before="0" w:after="0" w:line="364" w:lineRule="auto"/>
        <w:ind w:left="287" w:right="344" w:firstLine="480"/>
        <w:jc w:val="both"/>
        <w:rPr>
          <w:sz w:val="24"/>
        </w:rPr>
      </w:pPr>
      <w:r>
        <w:rPr>
          <w:spacing w:val="-7"/>
          <w:sz w:val="24"/>
        </w:rPr>
        <w:t>投标计量单位，招标文件已有明确规定的，使用招标文件规定的计量单位；招标</w:t>
      </w:r>
      <w:r>
        <w:rPr>
          <w:sz w:val="24"/>
        </w:rPr>
        <w:t>文件没有规定的，应采用中华人民共和国法定计量单位（货币单位：人民币元）。</w:t>
      </w:r>
    </w:p>
    <w:p w14:paraId="5F552577">
      <w:pPr>
        <w:pStyle w:val="17"/>
        <w:numPr>
          <w:ilvl w:val="1"/>
          <w:numId w:val="17"/>
        </w:numPr>
        <w:tabs>
          <w:tab w:val="left" w:pos="1368"/>
        </w:tabs>
        <w:spacing w:before="0" w:after="0" w:line="306" w:lineRule="exact"/>
        <w:ind w:left="1368" w:right="0" w:hanging="600"/>
        <w:jc w:val="both"/>
        <w:rPr>
          <w:sz w:val="24"/>
        </w:rPr>
      </w:pPr>
      <w:r>
        <w:rPr>
          <w:sz w:val="24"/>
        </w:rPr>
        <w:t>若供应商不按招标文件的要求提供资格审查材料，其风险由供应商自行承担。</w:t>
      </w:r>
    </w:p>
    <w:p w14:paraId="0BD55DCD">
      <w:pPr>
        <w:pStyle w:val="17"/>
        <w:numPr>
          <w:ilvl w:val="1"/>
          <w:numId w:val="17"/>
        </w:numPr>
        <w:tabs>
          <w:tab w:val="left" w:pos="1368"/>
        </w:tabs>
        <w:spacing w:before="154" w:after="0" w:line="362" w:lineRule="auto"/>
        <w:ind w:left="287" w:right="518" w:firstLine="480"/>
        <w:jc w:val="left"/>
        <w:rPr>
          <w:b/>
          <w:sz w:val="24"/>
        </w:rPr>
      </w:pPr>
      <w:r>
        <w:rPr>
          <w:spacing w:val="-1"/>
          <w:sz w:val="24"/>
        </w:rPr>
        <w:t>与本次投标无关的内容请不要制作在内，确保投标文件有针对性、简洁明了。</w:t>
      </w:r>
      <w:r>
        <w:rPr>
          <w:b/>
          <w:sz w:val="24"/>
        </w:rPr>
        <w:t>14、投标文件的上传</w:t>
      </w:r>
    </w:p>
    <w:p w14:paraId="41D082DD">
      <w:pPr>
        <w:pStyle w:val="17"/>
        <w:numPr>
          <w:ilvl w:val="1"/>
          <w:numId w:val="18"/>
        </w:numPr>
        <w:tabs>
          <w:tab w:val="left" w:pos="1368"/>
        </w:tabs>
        <w:spacing w:before="5" w:after="0" w:line="240" w:lineRule="auto"/>
        <w:ind w:left="1368" w:right="0" w:hanging="600"/>
        <w:jc w:val="left"/>
        <w:rPr>
          <w:sz w:val="24"/>
        </w:rPr>
      </w:pPr>
      <w:r>
        <w:rPr>
          <w:sz w:val="24"/>
        </w:rPr>
        <w:t>电子加密投标文件：</w:t>
      </w:r>
    </w:p>
    <w:p w14:paraId="4C1475E4">
      <w:pPr>
        <w:pStyle w:val="17"/>
        <w:numPr>
          <w:ilvl w:val="2"/>
          <w:numId w:val="18"/>
        </w:numPr>
        <w:tabs>
          <w:tab w:val="left" w:pos="1613"/>
        </w:tabs>
        <w:spacing w:before="158" w:after="0" w:line="364" w:lineRule="auto"/>
        <w:ind w:left="287" w:right="344" w:firstLine="480"/>
        <w:jc w:val="left"/>
        <w:rPr>
          <w:sz w:val="24"/>
        </w:rPr>
      </w:pPr>
      <w:r>
        <w:rPr>
          <w:spacing w:val="3"/>
          <w:sz w:val="24"/>
        </w:rPr>
        <w:t>供应商应在投标截止时间前将电子加密投标文件成功上传递交至新疆政府采购云平台，否则投标无效；</w:t>
      </w:r>
    </w:p>
    <w:p w14:paraId="1AD6C5AE">
      <w:pPr>
        <w:pStyle w:val="17"/>
        <w:numPr>
          <w:ilvl w:val="2"/>
          <w:numId w:val="18"/>
        </w:numPr>
        <w:tabs>
          <w:tab w:val="left" w:pos="1608"/>
        </w:tabs>
        <w:spacing w:before="1" w:after="0" w:line="362" w:lineRule="auto"/>
        <w:ind w:left="287" w:right="998" w:firstLine="480"/>
        <w:jc w:val="left"/>
        <w:rPr>
          <w:b/>
          <w:sz w:val="24"/>
        </w:rPr>
      </w:pPr>
      <w:r>
        <w:rPr>
          <w:spacing w:val="-1"/>
          <w:sz w:val="24"/>
        </w:rPr>
        <w:t>供应商成功上传电子加密投标文件后，可自行打印投标文件接收回执。</w:t>
      </w:r>
      <w:r>
        <w:rPr>
          <w:b/>
          <w:sz w:val="24"/>
        </w:rPr>
        <w:t>15、投标文件的递交要求</w:t>
      </w:r>
    </w:p>
    <w:p w14:paraId="748885D2">
      <w:pPr>
        <w:spacing w:after="0" w:line="362" w:lineRule="auto"/>
        <w:jc w:val="left"/>
        <w:rPr>
          <w:sz w:val="24"/>
        </w:rPr>
        <w:sectPr>
          <w:pgSz w:w="11910" w:h="16840"/>
          <w:pgMar w:top="1200" w:right="900" w:bottom="1020" w:left="960" w:header="0" w:footer="828" w:gutter="0"/>
          <w:pgNumType w:fmt="decimal"/>
          <w:cols w:space="720" w:num="1"/>
        </w:sectPr>
      </w:pPr>
    </w:p>
    <w:p w14:paraId="47F704C4">
      <w:pPr>
        <w:pStyle w:val="17"/>
        <w:numPr>
          <w:ilvl w:val="1"/>
          <w:numId w:val="19"/>
        </w:numPr>
        <w:tabs>
          <w:tab w:val="left" w:pos="1368"/>
        </w:tabs>
        <w:spacing w:before="49" w:after="0" w:line="362" w:lineRule="auto"/>
        <w:ind w:left="287" w:right="344" w:firstLine="480"/>
        <w:jc w:val="left"/>
        <w:rPr>
          <w:sz w:val="24"/>
        </w:rPr>
      </w:pPr>
      <w:r>
        <w:rPr>
          <w:spacing w:val="-4"/>
          <w:sz w:val="24"/>
        </w:rPr>
        <w:t>供应商须按照招标文件和政采云平台的要求编制并加密投标文件。在投标文件递</w:t>
      </w:r>
      <w:r>
        <w:rPr>
          <w:sz w:val="24"/>
        </w:rPr>
        <w:t>交截止时间以前完成投标文件的传输递交，截止时间后递交的投标文件，将被拒收。</w:t>
      </w:r>
    </w:p>
    <w:p w14:paraId="3516DB9C">
      <w:pPr>
        <w:pStyle w:val="17"/>
        <w:numPr>
          <w:ilvl w:val="1"/>
          <w:numId w:val="19"/>
        </w:numPr>
        <w:tabs>
          <w:tab w:val="left" w:pos="1368"/>
        </w:tabs>
        <w:spacing w:before="5" w:after="0" w:line="362" w:lineRule="auto"/>
        <w:ind w:left="287" w:right="344" w:firstLine="480"/>
        <w:jc w:val="left"/>
        <w:rPr>
          <w:sz w:val="24"/>
        </w:rPr>
      </w:pPr>
      <w:r>
        <w:rPr>
          <w:spacing w:val="-9"/>
          <w:sz w:val="24"/>
        </w:rPr>
        <w:t>如有特殊情况，采购代理机构延长截止时间和开标时间，采购代理机构和供应商</w:t>
      </w:r>
      <w:r>
        <w:rPr>
          <w:sz w:val="24"/>
        </w:rPr>
        <w:t>的权利和义务将受到新的截止时间和开标时间的约束。</w:t>
      </w:r>
    </w:p>
    <w:p w14:paraId="6DD1DFBE">
      <w:pPr>
        <w:pStyle w:val="7"/>
        <w:spacing w:before="5"/>
      </w:pPr>
      <w:r>
        <w:t>16、投标文件的补充、修改与撤回</w:t>
      </w:r>
    </w:p>
    <w:p w14:paraId="43DFDAB0">
      <w:pPr>
        <w:pStyle w:val="17"/>
        <w:numPr>
          <w:ilvl w:val="1"/>
          <w:numId w:val="20"/>
        </w:numPr>
        <w:tabs>
          <w:tab w:val="left" w:pos="1308"/>
        </w:tabs>
        <w:spacing w:before="158" w:after="0" w:line="364" w:lineRule="auto"/>
        <w:ind w:left="287" w:right="344" w:firstLine="480"/>
        <w:jc w:val="both"/>
        <w:rPr>
          <w:sz w:val="24"/>
        </w:rPr>
      </w:pPr>
      <w:r>
        <w:rPr>
          <w:spacing w:val="-2"/>
          <w:sz w:val="24"/>
        </w:rPr>
        <w:t>投标人应当在投标截止时间前完成电子交易文件的传输递交，投标截止时间前可</w:t>
      </w:r>
      <w:r>
        <w:rPr>
          <w:sz w:val="24"/>
        </w:rPr>
        <w:t>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 供应商不得修改（补充）或撤回其投标文件。</w:t>
      </w:r>
    </w:p>
    <w:p w14:paraId="2F30EF0A">
      <w:pPr>
        <w:pStyle w:val="17"/>
        <w:numPr>
          <w:ilvl w:val="1"/>
          <w:numId w:val="20"/>
        </w:numPr>
        <w:tabs>
          <w:tab w:val="left" w:pos="1308"/>
        </w:tabs>
        <w:spacing w:before="0" w:after="0" w:line="364" w:lineRule="auto"/>
        <w:ind w:left="287" w:right="344" w:firstLine="480"/>
        <w:jc w:val="both"/>
        <w:rPr>
          <w:sz w:val="24"/>
        </w:rPr>
      </w:pPr>
      <w:r>
        <w:rPr>
          <w:spacing w:val="-2"/>
          <w:sz w:val="24"/>
        </w:rPr>
        <w:t>本项目投标有效期以投标须知前附表为准。供应商的投标文件中承诺的投标有效</w:t>
      </w:r>
      <w:r>
        <w:rPr>
          <w:sz w:val="24"/>
        </w:rPr>
        <w:t>期少于招标文件中载明的投标有效期的，投标无效。投标文件合格提交后，自投标截止日期起，在投标有效期内有效。在原定投标有效期满之前，如果出现特殊情况，采购代理机构可以以书面形式通知供应商延长投标有效期。供应商同意延长的，不得要求或被允许修改其投标文件；供应商拒绝延长的，其投标无效。拒绝延长投标有效期的供应商不得再参与该项目后续采购活动。</w:t>
      </w:r>
    </w:p>
    <w:p w14:paraId="685C8E80">
      <w:pPr>
        <w:pStyle w:val="8"/>
      </w:pPr>
    </w:p>
    <w:p w14:paraId="58B06080">
      <w:pPr>
        <w:pStyle w:val="5"/>
        <w:spacing w:before="154"/>
      </w:pPr>
      <w:r>
        <w:t>五、开标及评标</w:t>
      </w:r>
    </w:p>
    <w:p w14:paraId="610C9AAF">
      <w:pPr>
        <w:pStyle w:val="8"/>
        <w:rPr>
          <w:b/>
          <w:sz w:val="32"/>
        </w:rPr>
      </w:pPr>
    </w:p>
    <w:p w14:paraId="7F705EC0">
      <w:pPr>
        <w:pStyle w:val="7"/>
        <w:spacing w:before="270"/>
      </w:pPr>
      <w:r>
        <w:t>17、开标</w:t>
      </w:r>
    </w:p>
    <w:p w14:paraId="72E4BE74">
      <w:pPr>
        <w:pStyle w:val="17"/>
        <w:numPr>
          <w:ilvl w:val="1"/>
          <w:numId w:val="21"/>
        </w:numPr>
        <w:tabs>
          <w:tab w:val="left" w:pos="1368"/>
        </w:tabs>
        <w:spacing w:before="158" w:after="0" w:line="364" w:lineRule="auto"/>
        <w:ind w:left="287" w:right="344" w:firstLine="480"/>
        <w:jc w:val="left"/>
        <w:rPr>
          <w:sz w:val="24"/>
        </w:rPr>
      </w:pPr>
      <w:r>
        <w:rPr>
          <w:spacing w:val="-8"/>
          <w:sz w:val="24"/>
        </w:rPr>
        <w:t>开标准备：本项目开标的准备工作由采购代理机构负责落实，开标过程由采购代</w:t>
      </w:r>
      <w:r>
        <w:rPr>
          <w:sz w:val="24"/>
        </w:rPr>
        <w:t>理机构负责记录。</w:t>
      </w:r>
    </w:p>
    <w:p w14:paraId="25A98C16">
      <w:pPr>
        <w:pStyle w:val="7"/>
        <w:numPr>
          <w:ilvl w:val="1"/>
          <w:numId w:val="21"/>
        </w:numPr>
        <w:tabs>
          <w:tab w:val="left" w:pos="1368"/>
        </w:tabs>
        <w:spacing w:before="0" w:after="0" w:line="306" w:lineRule="exact"/>
        <w:ind w:left="1368" w:right="0" w:hanging="600"/>
        <w:jc w:val="left"/>
        <w:rPr>
          <w:b w:val="0"/>
        </w:rPr>
      </w:pPr>
      <w:r>
        <w:rPr>
          <w:spacing w:val="-11"/>
        </w:rPr>
        <w:t xml:space="preserve">投标人不足 </w:t>
      </w:r>
      <w:r>
        <w:t>3</w:t>
      </w:r>
      <w:r>
        <w:rPr>
          <w:spacing w:val="-8"/>
        </w:rPr>
        <w:t xml:space="preserve"> 家的，不得开标</w:t>
      </w:r>
      <w:r>
        <w:rPr>
          <w:b w:val="0"/>
        </w:rPr>
        <w:t>。</w:t>
      </w:r>
    </w:p>
    <w:p w14:paraId="0D44773F">
      <w:pPr>
        <w:pStyle w:val="17"/>
        <w:numPr>
          <w:ilvl w:val="1"/>
          <w:numId w:val="21"/>
        </w:numPr>
        <w:tabs>
          <w:tab w:val="left" w:pos="1368"/>
        </w:tabs>
        <w:spacing w:before="161" w:after="0" w:line="240" w:lineRule="auto"/>
        <w:ind w:left="1368" w:right="0" w:hanging="600"/>
        <w:jc w:val="left"/>
        <w:rPr>
          <w:sz w:val="24"/>
        </w:rPr>
      </w:pPr>
      <w:r>
        <w:rPr>
          <w:sz w:val="24"/>
        </w:rPr>
        <w:t>开标程序</w:t>
      </w:r>
    </w:p>
    <w:p w14:paraId="34CDDFA5">
      <w:pPr>
        <w:pStyle w:val="17"/>
        <w:numPr>
          <w:ilvl w:val="0"/>
          <w:numId w:val="22"/>
        </w:numPr>
        <w:tabs>
          <w:tab w:val="left" w:pos="1369"/>
        </w:tabs>
        <w:spacing w:before="158" w:after="0" w:line="364" w:lineRule="auto"/>
        <w:ind w:left="287" w:right="344" w:firstLine="480"/>
        <w:jc w:val="left"/>
        <w:rPr>
          <w:sz w:val="24"/>
        </w:rPr>
      </w:pPr>
      <w:r>
        <w:rPr>
          <w:spacing w:val="-5"/>
          <w:sz w:val="24"/>
        </w:rPr>
        <w:t>开标时间到后，主持人宣布开标会议开始，本项目开标由采购人或者采购代理</w:t>
      </w:r>
      <w:r>
        <w:rPr>
          <w:spacing w:val="-4"/>
          <w:sz w:val="24"/>
        </w:rPr>
        <w:t>机构主持。</w:t>
      </w:r>
    </w:p>
    <w:p w14:paraId="6F2D1642">
      <w:pPr>
        <w:pStyle w:val="17"/>
        <w:numPr>
          <w:ilvl w:val="0"/>
          <w:numId w:val="22"/>
        </w:numPr>
        <w:tabs>
          <w:tab w:val="left" w:pos="1369"/>
        </w:tabs>
        <w:spacing w:before="0" w:after="0" w:line="364" w:lineRule="auto"/>
        <w:ind w:left="287" w:right="344" w:firstLine="480"/>
        <w:jc w:val="left"/>
        <w:rPr>
          <w:sz w:val="24"/>
        </w:rPr>
      </w:pPr>
      <w:r>
        <w:rPr>
          <w:spacing w:val="-2"/>
          <w:sz w:val="24"/>
        </w:rPr>
        <w:t>投标文件解密</w:t>
      </w:r>
      <w:r>
        <w:rPr>
          <w:sz w:val="24"/>
        </w:rPr>
        <w:t>（</w:t>
      </w:r>
      <w:r>
        <w:rPr>
          <w:spacing w:val="-4"/>
          <w:sz w:val="24"/>
        </w:rPr>
        <w:t>解密规定见《投标人须知前附表》</w:t>
      </w:r>
      <w:r>
        <w:rPr>
          <w:spacing w:val="-11"/>
          <w:sz w:val="24"/>
        </w:rPr>
        <w:t>）</w:t>
      </w:r>
      <w:r>
        <w:rPr>
          <w:spacing w:val="-5"/>
          <w:sz w:val="24"/>
        </w:rPr>
        <w:t>，投标文件无法按时解密等</w:t>
      </w:r>
      <w:r>
        <w:rPr>
          <w:sz w:val="24"/>
        </w:rPr>
        <w:t>一切后果由供应商自行承担。</w:t>
      </w:r>
    </w:p>
    <w:p w14:paraId="1673651E">
      <w:pPr>
        <w:pStyle w:val="17"/>
        <w:numPr>
          <w:ilvl w:val="0"/>
          <w:numId w:val="22"/>
        </w:numPr>
        <w:tabs>
          <w:tab w:val="left" w:pos="1369"/>
        </w:tabs>
        <w:spacing w:before="0" w:after="0" w:line="240" w:lineRule="auto"/>
        <w:ind w:left="1369" w:right="0" w:hanging="601"/>
        <w:jc w:val="left"/>
        <w:rPr>
          <w:sz w:val="24"/>
        </w:rPr>
      </w:pPr>
      <w:r>
        <w:rPr>
          <w:sz w:val="24"/>
        </w:rPr>
        <w:t>公布投标文件解密情况（投标文件成功解密的供应商名单等信息）。</w:t>
      </w:r>
    </w:p>
    <w:p w14:paraId="3AAD6DE1">
      <w:pPr>
        <w:pStyle w:val="17"/>
        <w:numPr>
          <w:ilvl w:val="0"/>
          <w:numId w:val="22"/>
        </w:numPr>
        <w:tabs>
          <w:tab w:val="left" w:pos="1369"/>
        </w:tabs>
        <w:spacing w:before="158" w:after="0" w:line="240" w:lineRule="auto"/>
        <w:ind w:left="1369" w:right="0" w:hanging="601"/>
        <w:jc w:val="left"/>
        <w:rPr>
          <w:sz w:val="24"/>
        </w:rPr>
      </w:pPr>
      <w:r>
        <w:rPr>
          <w:spacing w:val="-6"/>
          <w:sz w:val="24"/>
        </w:rPr>
        <w:t>开启投标供应商的报价，公布开标一览表有关内容，并【开启签字时段】，供应</w:t>
      </w:r>
    </w:p>
    <w:p w14:paraId="36C3CCF3">
      <w:pPr>
        <w:spacing w:after="0" w:line="240" w:lineRule="auto"/>
        <w:jc w:val="left"/>
        <w:rPr>
          <w:sz w:val="24"/>
        </w:rPr>
        <w:sectPr>
          <w:pgSz w:w="11910" w:h="16840"/>
          <w:pgMar w:top="1200" w:right="900" w:bottom="1020" w:left="960" w:header="0" w:footer="828" w:gutter="0"/>
          <w:pgNumType w:fmt="decimal"/>
          <w:cols w:space="720" w:num="1"/>
        </w:sectPr>
      </w:pPr>
    </w:p>
    <w:p w14:paraId="0F5AFD17">
      <w:pPr>
        <w:pStyle w:val="8"/>
        <w:spacing w:before="49"/>
        <w:ind w:left="287"/>
      </w:pPr>
      <w:r>
        <w:t>商对开标记录进行在线签字确认（不予确认的应说明理由，否则视为无异议）。</w:t>
      </w:r>
    </w:p>
    <w:p w14:paraId="2D9B277D">
      <w:pPr>
        <w:pStyle w:val="17"/>
        <w:numPr>
          <w:ilvl w:val="0"/>
          <w:numId w:val="22"/>
        </w:numPr>
        <w:tabs>
          <w:tab w:val="left" w:pos="1369"/>
        </w:tabs>
        <w:spacing w:before="158" w:after="0" w:line="364" w:lineRule="auto"/>
        <w:ind w:left="768" w:right="5798" w:firstLine="0"/>
        <w:jc w:val="left"/>
        <w:rPr>
          <w:b/>
          <w:sz w:val="24"/>
        </w:rPr>
      </w:pPr>
      <w:r>
        <w:rPr>
          <w:spacing w:val="-2"/>
          <w:sz w:val="24"/>
        </w:rPr>
        <w:t>开标结束，进入评审流程。</w:t>
      </w:r>
      <w:r>
        <w:rPr>
          <w:b/>
          <w:sz w:val="24"/>
        </w:rPr>
        <w:t>特别情况说明：</w:t>
      </w:r>
    </w:p>
    <w:p w14:paraId="1D03D48B">
      <w:pPr>
        <w:pStyle w:val="17"/>
        <w:numPr>
          <w:ilvl w:val="0"/>
          <w:numId w:val="23"/>
        </w:numPr>
        <w:tabs>
          <w:tab w:val="left" w:pos="1369"/>
        </w:tabs>
        <w:spacing w:before="0" w:after="0" w:line="364" w:lineRule="auto"/>
        <w:ind w:left="287" w:right="224" w:firstLine="480"/>
        <w:jc w:val="both"/>
        <w:rPr>
          <w:sz w:val="24"/>
        </w:rPr>
      </w:pPr>
      <w:r>
        <w:rPr>
          <w:spacing w:val="-4"/>
          <w:sz w:val="24"/>
        </w:rPr>
        <w:t>本项目采用电子交易，采购代理机构将按照招标文件规定的时间通过“新疆政府</w:t>
      </w:r>
      <w:r>
        <w:rPr>
          <w:spacing w:val="-6"/>
          <w:sz w:val="24"/>
        </w:rPr>
        <w:t>采购云平台，网址：</w:t>
      </w:r>
      <w:r>
        <w:fldChar w:fldCharType="begin"/>
      </w:r>
      <w:r>
        <w:instrText xml:space="preserve"> HYPERLINK "http://www.zcygov.cn/" \h </w:instrText>
      </w:r>
      <w:r>
        <w:fldChar w:fldCharType="separate"/>
      </w:r>
      <w:r>
        <w:rPr>
          <w:sz w:val="24"/>
        </w:rPr>
        <w:t>www.zcygov.cn</w:t>
      </w:r>
      <w:r>
        <w:rPr>
          <w:sz w:val="24"/>
        </w:rPr>
        <w:fldChar w:fldCharType="end"/>
      </w:r>
      <w:r>
        <w:rPr>
          <w:spacing w:val="-3"/>
          <w:sz w:val="24"/>
        </w:rPr>
        <w:t>”组织开标、开启投标文件，所有供应商均应当准时在</w:t>
      </w:r>
      <w:r>
        <w:rPr>
          <w:spacing w:val="-11"/>
          <w:sz w:val="24"/>
        </w:rPr>
        <w:t>线参加。如遇“新疆政府采购云平台”电子化开标或评审程序调整的，按调整后程序执行。</w:t>
      </w:r>
    </w:p>
    <w:p w14:paraId="521F0349">
      <w:pPr>
        <w:pStyle w:val="17"/>
        <w:numPr>
          <w:ilvl w:val="0"/>
          <w:numId w:val="23"/>
        </w:numPr>
        <w:tabs>
          <w:tab w:val="left" w:pos="1369"/>
        </w:tabs>
        <w:spacing w:before="0" w:after="0" w:line="364" w:lineRule="auto"/>
        <w:ind w:left="287" w:right="344" w:firstLine="480"/>
        <w:jc w:val="left"/>
        <w:rPr>
          <w:sz w:val="24"/>
        </w:rPr>
      </w:pPr>
      <w:r>
        <w:rPr>
          <w:spacing w:val="-3"/>
          <w:sz w:val="24"/>
        </w:rPr>
        <w:t>供应商对开标过程和开标记录有疑义，以及认为采购人、采购代理机构相关工</w:t>
      </w:r>
      <w:r>
        <w:rPr>
          <w:spacing w:val="-4"/>
          <w:sz w:val="24"/>
        </w:rPr>
        <w:t>作人员有需要回避的情形的，应当场提出询问或回避申请。</w:t>
      </w:r>
    </w:p>
    <w:p w14:paraId="72A7905B">
      <w:pPr>
        <w:pStyle w:val="17"/>
        <w:numPr>
          <w:ilvl w:val="0"/>
          <w:numId w:val="23"/>
        </w:numPr>
        <w:tabs>
          <w:tab w:val="left" w:pos="1369"/>
        </w:tabs>
        <w:spacing w:before="0" w:after="0" w:line="364" w:lineRule="auto"/>
        <w:ind w:left="287" w:right="158" w:firstLine="480"/>
        <w:jc w:val="left"/>
        <w:rPr>
          <w:b/>
          <w:sz w:val="24"/>
        </w:rPr>
      </w:pPr>
      <w:r>
        <w:rPr>
          <w:spacing w:val="-4"/>
          <w:sz w:val="24"/>
        </w:rPr>
        <w:t xml:space="preserve">开标过程中需要相关当事人进行签字或盖章确认的材料将通过“政府采购云平台”进行，若因“政府采购云平台”技术问题无法进行签字或盖章确认的，采购代理机构将 通过电子邮件等形式予以确认，请供应商保证办理投标事宜人员电话畅通、网络在线，签 </w:t>
      </w:r>
      <w:r>
        <w:rPr>
          <w:spacing w:val="-10"/>
          <w:sz w:val="24"/>
        </w:rPr>
        <w:t xml:space="preserve">字或盖章确认的时间为 </w:t>
      </w:r>
      <w:r>
        <w:rPr>
          <w:sz w:val="24"/>
        </w:rPr>
        <w:t>20</w:t>
      </w:r>
      <w:r>
        <w:rPr>
          <w:spacing w:val="-12"/>
          <w:sz w:val="24"/>
        </w:rPr>
        <w:t xml:space="preserve"> 分钟。如未及时签字或盖章确认的，视为无异议。供应商未参加开标的视同认可开标结果，事后不得对采购相关人员、开标过程和开标结果提出异议，同 时投标供应商因未在线参加开标而导致投标文件无法按时解密等一切后果由供应商自行承担</w:t>
      </w:r>
      <w:r>
        <w:rPr>
          <w:spacing w:val="-10"/>
          <w:sz w:val="24"/>
        </w:rPr>
        <w:t xml:space="preserve">。 </w:t>
      </w:r>
    </w:p>
    <w:p w14:paraId="20667525">
      <w:pPr>
        <w:pStyle w:val="17"/>
        <w:numPr>
          <w:ilvl w:val="0"/>
          <w:numId w:val="23"/>
        </w:numPr>
        <w:tabs>
          <w:tab w:val="left" w:pos="1369"/>
        </w:tabs>
        <w:spacing w:before="0" w:after="0" w:line="364" w:lineRule="auto"/>
        <w:ind w:left="287" w:right="158" w:firstLine="480"/>
        <w:jc w:val="left"/>
        <w:rPr>
          <w:b/>
          <w:sz w:val="24"/>
        </w:rPr>
      </w:pPr>
      <w:r>
        <w:rPr>
          <w:b/>
          <w:sz w:val="24"/>
        </w:rPr>
        <w:t>18、评标</w:t>
      </w:r>
    </w:p>
    <w:p w14:paraId="2A10846A">
      <w:pPr>
        <w:pStyle w:val="17"/>
        <w:numPr>
          <w:ilvl w:val="1"/>
          <w:numId w:val="24"/>
        </w:numPr>
        <w:tabs>
          <w:tab w:val="left" w:pos="1368"/>
        </w:tabs>
        <w:spacing w:before="0" w:after="0" w:line="305" w:lineRule="exact"/>
        <w:ind w:left="1368" w:right="0" w:hanging="600"/>
        <w:jc w:val="left"/>
        <w:rPr>
          <w:sz w:val="24"/>
        </w:rPr>
      </w:pPr>
      <w:r>
        <w:rPr>
          <w:sz w:val="24"/>
        </w:rPr>
        <w:t>评标委员会（评审小组）</w:t>
      </w:r>
    </w:p>
    <w:p w14:paraId="48695EAA">
      <w:pPr>
        <w:pStyle w:val="17"/>
        <w:numPr>
          <w:ilvl w:val="0"/>
          <w:numId w:val="0"/>
        </w:numPr>
        <w:tabs>
          <w:tab w:val="left" w:pos="1608"/>
        </w:tabs>
        <w:spacing w:before="155" w:after="0" w:line="240" w:lineRule="auto"/>
        <w:ind w:left="768" w:leftChars="0" w:right="0" w:rightChars="0"/>
        <w:jc w:val="left"/>
        <w:rPr>
          <w:sz w:val="24"/>
        </w:rPr>
      </w:pPr>
      <w:r>
        <w:rPr>
          <w:rFonts w:hint="eastAsia"/>
          <w:spacing w:val="-15"/>
          <w:sz w:val="24"/>
          <w:lang w:eastAsia="zh-CN"/>
        </w:rPr>
        <w:t>（</w:t>
      </w:r>
      <w:r>
        <w:rPr>
          <w:rFonts w:hint="eastAsia"/>
          <w:spacing w:val="-15"/>
          <w:sz w:val="24"/>
          <w:lang w:val="en-US" w:eastAsia="zh-CN"/>
        </w:rPr>
        <w:t>1</w:t>
      </w:r>
      <w:r>
        <w:rPr>
          <w:rFonts w:hint="eastAsia"/>
          <w:spacing w:val="-15"/>
          <w:sz w:val="24"/>
          <w:lang w:eastAsia="zh-CN"/>
        </w:rPr>
        <w:t>）</w:t>
      </w:r>
      <w:r>
        <w:rPr>
          <w:spacing w:val="-15"/>
          <w:sz w:val="24"/>
        </w:rPr>
        <w:t>按照《中华人民共和国政府采购法》</w:t>
      </w:r>
      <w:r>
        <w:rPr>
          <w:spacing w:val="-19"/>
          <w:sz w:val="24"/>
        </w:rPr>
        <w:t>、《中华人民共和国政府采购法实施条例》、</w:t>
      </w:r>
    </w:p>
    <w:p w14:paraId="6BECAC6A">
      <w:pPr>
        <w:pStyle w:val="8"/>
        <w:spacing w:before="160" w:line="362" w:lineRule="auto"/>
        <w:ind w:left="287" w:right="344"/>
      </w:pPr>
      <w:r>
        <w:rPr>
          <w:spacing w:val="-3"/>
        </w:rPr>
        <w:t>《政府采购货物和服务招标投标管理办法》</w:t>
      </w:r>
      <w:r>
        <w:t>（</w:t>
      </w:r>
      <w:r>
        <w:rPr>
          <w:spacing w:val="-10"/>
        </w:rPr>
        <w:t xml:space="preserve">财政部令第 </w:t>
      </w:r>
      <w:r>
        <w:t>87</w:t>
      </w:r>
      <w:r>
        <w:rPr>
          <w:spacing w:val="-30"/>
        </w:rPr>
        <w:t xml:space="preserve"> 号</w:t>
      </w:r>
      <w:r>
        <w:rPr>
          <w:spacing w:val="-25"/>
        </w:rPr>
        <w:t>）</w:t>
      </w:r>
      <w:r>
        <w:rPr>
          <w:spacing w:val="-2"/>
        </w:rPr>
        <w:t>的相关规定依法组建评评</w:t>
      </w:r>
      <w:r>
        <w:t>标委员会（评审小组）。</w:t>
      </w:r>
    </w:p>
    <w:p w14:paraId="7C30CA4B">
      <w:pPr>
        <w:pStyle w:val="17"/>
        <w:numPr>
          <w:ilvl w:val="0"/>
          <w:numId w:val="0"/>
        </w:numPr>
        <w:tabs>
          <w:tab w:val="left" w:pos="1608"/>
        </w:tabs>
        <w:spacing w:before="5" w:after="0" w:line="362" w:lineRule="auto"/>
        <w:ind w:left="767" w:leftChars="0" w:right="344" w:rightChars="0"/>
        <w:jc w:val="left"/>
        <w:rPr>
          <w:sz w:val="24"/>
        </w:rPr>
      </w:pPr>
      <w:r>
        <w:rPr>
          <w:rFonts w:hint="eastAsia"/>
          <w:spacing w:val="-5"/>
          <w:sz w:val="24"/>
          <w:lang w:eastAsia="zh-CN"/>
        </w:rPr>
        <w:t>（</w:t>
      </w:r>
      <w:r>
        <w:rPr>
          <w:rFonts w:hint="eastAsia"/>
          <w:spacing w:val="-5"/>
          <w:sz w:val="24"/>
          <w:lang w:val="en-US" w:eastAsia="zh-CN"/>
        </w:rPr>
        <w:t>2</w:t>
      </w:r>
      <w:r>
        <w:rPr>
          <w:rFonts w:hint="eastAsia"/>
          <w:spacing w:val="-5"/>
          <w:sz w:val="24"/>
          <w:lang w:eastAsia="zh-CN"/>
        </w:rPr>
        <w:t>）</w:t>
      </w:r>
      <w:r>
        <w:rPr>
          <w:spacing w:val="-5"/>
          <w:sz w:val="24"/>
        </w:rPr>
        <w:t>评审小组人选于投标文件开启前确定，评审小组成员名单在中标结果确定前保</w:t>
      </w:r>
      <w:r>
        <w:rPr>
          <w:sz w:val="24"/>
        </w:rPr>
        <w:t>密。</w:t>
      </w:r>
    </w:p>
    <w:p w14:paraId="191E55EF">
      <w:pPr>
        <w:pStyle w:val="17"/>
        <w:numPr>
          <w:ilvl w:val="0"/>
          <w:numId w:val="0"/>
        </w:numPr>
        <w:tabs>
          <w:tab w:val="left" w:pos="1608"/>
        </w:tabs>
        <w:spacing w:before="5" w:after="0" w:line="364" w:lineRule="auto"/>
        <w:ind w:left="767" w:leftChars="0" w:right="104" w:rightChars="0"/>
        <w:jc w:val="left"/>
        <w:rPr>
          <w:sz w:val="24"/>
        </w:rPr>
      </w:pPr>
      <w:r>
        <w:rPr>
          <w:rFonts w:hint="eastAsia"/>
          <w:spacing w:val="-9"/>
          <w:sz w:val="24"/>
          <w:lang w:eastAsia="zh-CN"/>
        </w:rPr>
        <w:t>（</w:t>
      </w:r>
      <w:r>
        <w:rPr>
          <w:rFonts w:hint="eastAsia"/>
          <w:spacing w:val="-9"/>
          <w:sz w:val="24"/>
          <w:lang w:val="en-US" w:eastAsia="zh-CN"/>
        </w:rPr>
        <w:t>3</w:t>
      </w:r>
      <w:r>
        <w:rPr>
          <w:rFonts w:hint="eastAsia"/>
          <w:spacing w:val="-9"/>
          <w:sz w:val="24"/>
          <w:lang w:eastAsia="zh-CN"/>
        </w:rPr>
        <w:t>）</w:t>
      </w:r>
      <w:r>
        <w:rPr>
          <w:spacing w:val="-9"/>
          <w:sz w:val="24"/>
        </w:rPr>
        <w:t xml:space="preserve">评审小组有关技术、经济等方面的专家和采购人熟悉相关业务的代表人员组成， </w:t>
      </w:r>
      <w:r>
        <w:rPr>
          <w:sz w:val="24"/>
        </w:rPr>
        <w:t>成员为五人以上的单数，其中技术、经济等方面的成员人数不少于成员总数的三分之二。</w:t>
      </w:r>
    </w:p>
    <w:p w14:paraId="57285397">
      <w:pPr>
        <w:pStyle w:val="17"/>
        <w:numPr>
          <w:ilvl w:val="0"/>
          <w:numId w:val="0"/>
        </w:numPr>
        <w:tabs>
          <w:tab w:val="left" w:pos="1608"/>
        </w:tabs>
        <w:spacing w:before="0" w:after="0" w:line="364" w:lineRule="auto"/>
        <w:ind w:left="767" w:leftChars="0" w:right="344" w:rightChars="0"/>
        <w:jc w:val="both"/>
        <w:rPr>
          <w:sz w:val="24"/>
        </w:rPr>
      </w:pPr>
      <w:r>
        <w:rPr>
          <w:rFonts w:hint="eastAsia"/>
          <w:spacing w:val="-16"/>
          <w:sz w:val="24"/>
          <w:lang w:eastAsia="zh-CN"/>
        </w:rPr>
        <w:t>（</w:t>
      </w:r>
      <w:r>
        <w:rPr>
          <w:rFonts w:hint="eastAsia"/>
          <w:spacing w:val="-16"/>
          <w:sz w:val="24"/>
          <w:lang w:val="en-US" w:eastAsia="zh-CN"/>
        </w:rPr>
        <w:t>4</w:t>
      </w:r>
      <w:r>
        <w:rPr>
          <w:rFonts w:hint="eastAsia"/>
          <w:spacing w:val="-16"/>
          <w:sz w:val="24"/>
          <w:lang w:eastAsia="zh-CN"/>
        </w:rPr>
        <w:t>）</w:t>
      </w:r>
      <w:r>
        <w:rPr>
          <w:spacing w:val="-16"/>
          <w:sz w:val="24"/>
        </w:rPr>
        <w:t>按前款规定，</w:t>
      </w:r>
      <w:r>
        <w:rPr>
          <w:b/>
          <w:spacing w:val="-1"/>
          <w:sz w:val="24"/>
        </w:rPr>
        <w:t>评审小组的成员从政府采购云平台专家名册中采取随机抽取的方</w:t>
      </w:r>
      <w:r>
        <w:rPr>
          <w:b/>
          <w:spacing w:val="-15"/>
          <w:sz w:val="24"/>
        </w:rPr>
        <w:t>式确定</w:t>
      </w:r>
      <w:r>
        <w:rPr>
          <w:rFonts w:hint="eastAsia"/>
          <w:b/>
          <w:spacing w:val="-15"/>
          <w:sz w:val="24"/>
          <w:lang w:val="en-US" w:eastAsia="zh-CN"/>
        </w:rPr>
        <w:t>5</w:t>
      </w:r>
      <w:r>
        <w:rPr>
          <w:b/>
          <w:spacing w:val="-14"/>
          <w:sz w:val="24"/>
        </w:rPr>
        <w:t xml:space="preserve">人、采购人代表 </w:t>
      </w:r>
      <w:r>
        <w:rPr>
          <w:rFonts w:hint="eastAsia"/>
          <w:b/>
          <w:sz w:val="24"/>
          <w:lang w:val="en-US" w:eastAsia="zh-CN"/>
        </w:rPr>
        <w:t>0</w:t>
      </w:r>
      <w:r>
        <w:rPr>
          <w:b/>
          <w:spacing w:val="-24"/>
          <w:sz w:val="24"/>
        </w:rPr>
        <w:t xml:space="preserve"> 人，共 </w:t>
      </w:r>
      <w:r>
        <w:rPr>
          <w:b/>
          <w:sz w:val="24"/>
        </w:rPr>
        <w:t>5</w:t>
      </w:r>
      <w:r>
        <w:rPr>
          <w:b/>
          <w:spacing w:val="-12"/>
          <w:sz w:val="24"/>
        </w:rPr>
        <w:t xml:space="preserve"> 人组成。</w:t>
      </w:r>
      <w:r>
        <w:rPr>
          <w:sz w:val="24"/>
        </w:rPr>
        <w:t>对于技术复杂、专业性要求较高或者国家有特殊要求的采购项目，采取随机抽取的方式抽取的专家不能满足采购工作需要时，经财政</w:t>
      </w:r>
      <w:r>
        <w:rPr>
          <w:spacing w:val="-2"/>
          <w:sz w:val="24"/>
        </w:rPr>
        <w:t xml:space="preserve">部门审批，将采取直接确定的方式选定评审小组的人选。在评审专家中推选 </w:t>
      </w:r>
      <w:r>
        <w:rPr>
          <w:sz w:val="24"/>
        </w:rPr>
        <w:t>1</w:t>
      </w:r>
      <w:r>
        <w:rPr>
          <w:spacing w:val="-8"/>
          <w:sz w:val="24"/>
        </w:rPr>
        <w:t xml:space="preserve"> 名评标委员会组长，采购人代表不得担任评标委员会组长。评标委员会根据招标文件的规定，进行投标文件的评审、得出评标结果，提交评标报告，并向采购人推荐</w:t>
      </w:r>
      <w:r>
        <w:rPr>
          <w:spacing w:val="-1"/>
          <w:sz w:val="24"/>
          <w:u w:val="single"/>
        </w:rPr>
        <w:t xml:space="preserve"> </w:t>
      </w:r>
      <w:r>
        <w:rPr>
          <w:b/>
          <w:sz w:val="24"/>
          <w:u w:val="single"/>
        </w:rPr>
        <w:t>3</w:t>
      </w:r>
      <w:r>
        <w:rPr>
          <w:b/>
          <w:spacing w:val="-31"/>
          <w:sz w:val="24"/>
          <w:u w:val="single"/>
        </w:rPr>
        <w:t xml:space="preserve"> 名</w:t>
      </w:r>
      <w:r>
        <w:rPr>
          <w:b/>
          <w:spacing w:val="-1"/>
          <w:sz w:val="24"/>
        </w:rPr>
        <w:t xml:space="preserve"> </w:t>
      </w:r>
      <w:r>
        <w:rPr>
          <w:sz w:val="24"/>
        </w:rPr>
        <w:t>中标候选人。</w:t>
      </w:r>
    </w:p>
    <w:p w14:paraId="1640FBB0">
      <w:pPr>
        <w:pStyle w:val="17"/>
        <w:numPr>
          <w:ilvl w:val="0"/>
          <w:numId w:val="0"/>
        </w:numPr>
        <w:tabs>
          <w:tab w:val="left" w:pos="1608"/>
        </w:tabs>
        <w:spacing w:before="0" w:after="0" w:line="304" w:lineRule="exact"/>
        <w:ind w:left="768" w:leftChars="0" w:right="0" w:rightChars="0"/>
        <w:jc w:val="both"/>
        <w:rPr>
          <w:sz w:val="24"/>
        </w:rPr>
      </w:pPr>
      <w:r>
        <w:rPr>
          <w:sz w:val="24"/>
        </w:rPr>
        <w:t>有下列情形之一的，不得担任评标委员会成员：</w:t>
      </w:r>
    </w:p>
    <w:p w14:paraId="7A6418F5">
      <w:pPr>
        <w:pStyle w:val="17"/>
        <w:numPr>
          <w:ilvl w:val="0"/>
          <w:numId w:val="25"/>
        </w:numPr>
        <w:tabs>
          <w:tab w:val="left" w:pos="1369"/>
        </w:tabs>
        <w:spacing w:before="160" w:after="0" w:line="240" w:lineRule="auto"/>
        <w:ind w:left="1369" w:right="0" w:hanging="601"/>
        <w:jc w:val="left"/>
        <w:rPr>
          <w:sz w:val="24"/>
        </w:rPr>
      </w:pPr>
      <w:r>
        <w:rPr>
          <w:sz w:val="24"/>
        </w:rPr>
        <w:t>与投标方或者投标方主要负责人有近亲关系的；</w:t>
      </w:r>
    </w:p>
    <w:p w14:paraId="5B75990F">
      <w:pPr>
        <w:spacing w:after="0" w:line="240" w:lineRule="auto"/>
        <w:jc w:val="left"/>
        <w:rPr>
          <w:sz w:val="24"/>
        </w:rPr>
        <w:sectPr>
          <w:pgSz w:w="11910" w:h="16840"/>
          <w:pgMar w:top="1200" w:right="900" w:bottom="1020" w:left="960" w:header="0" w:footer="828" w:gutter="0"/>
          <w:pgNumType w:fmt="decimal"/>
          <w:cols w:space="720" w:num="1"/>
        </w:sectPr>
      </w:pPr>
    </w:p>
    <w:p w14:paraId="318EEC46">
      <w:pPr>
        <w:pStyle w:val="17"/>
        <w:numPr>
          <w:ilvl w:val="0"/>
          <w:numId w:val="25"/>
        </w:numPr>
        <w:tabs>
          <w:tab w:val="left" w:pos="1369"/>
        </w:tabs>
        <w:spacing w:before="49" w:after="0" w:line="240" w:lineRule="auto"/>
        <w:ind w:left="1369" w:right="0" w:hanging="601"/>
        <w:jc w:val="left"/>
        <w:rPr>
          <w:sz w:val="24"/>
        </w:rPr>
      </w:pPr>
      <w:r>
        <w:rPr>
          <w:sz w:val="24"/>
        </w:rPr>
        <w:t>与项目主管部门或者行政监督部门的人员有近亲关系的；</w:t>
      </w:r>
    </w:p>
    <w:p w14:paraId="277BA7ED">
      <w:pPr>
        <w:pStyle w:val="17"/>
        <w:numPr>
          <w:ilvl w:val="0"/>
          <w:numId w:val="25"/>
        </w:numPr>
        <w:tabs>
          <w:tab w:val="left" w:pos="1369"/>
        </w:tabs>
        <w:spacing w:before="158" w:after="0" w:line="240" w:lineRule="auto"/>
        <w:ind w:left="1369" w:right="0" w:hanging="601"/>
        <w:jc w:val="left"/>
        <w:rPr>
          <w:sz w:val="24"/>
        </w:rPr>
      </w:pPr>
      <w:r>
        <w:rPr>
          <w:sz w:val="24"/>
        </w:rPr>
        <w:t>与投标人有经济利益关系，可能影响对投标公正评审的；</w:t>
      </w:r>
    </w:p>
    <w:p w14:paraId="161986CC">
      <w:pPr>
        <w:pStyle w:val="17"/>
        <w:numPr>
          <w:ilvl w:val="0"/>
          <w:numId w:val="25"/>
        </w:numPr>
        <w:tabs>
          <w:tab w:val="left" w:pos="1369"/>
        </w:tabs>
        <w:spacing w:before="160" w:after="0" w:line="362" w:lineRule="auto"/>
        <w:ind w:left="287" w:right="344" w:firstLine="480"/>
        <w:jc w:val="left"/>
        <w:rPr>
          <w:sz w:val="24"/>
        </w:rPr>
      </w:pPr>
      <w:r>
        <w:rPr>
          <w:spacing w:val="-6"/>
          <w:sz w:val="24"/>
        </w:rPr>
        <w:t>曾因在招标、评标以及其他与招标投标有关活动中从事违法行为而受过行政处</w:t>
      </w:r>
      <w:r>
        <w:rPr>
          <w:spacing w:val="-4"/>
          <w:sz w:val="24"/>
        </w:rPr>
        <w:t>罚或刑事处罚的。</w:t>
      </w:r>
    </w:p>
    <w:p w14:paraId="31315C9F">
      <w:pPr>
        <w:pStyle w:val="17"/>
        <w:numPr>
          <w:ilvl w:val="0"/>
          <w:numId w:val="0"/>
        </w:numPr>
        <w:tabs>
          <w:tab w:val="left" w:pos="1608"/>
        </w:tabs>
        <w:spacing w:before="5" w:after="0" w:line="240" w:lineRule="auto"/>
        <w:ind w:left="768" w:leftChars="0" w:right="0" w:rightChars="0"/>
        <w:jc w:val="left"/>
        <w:rPr>
          <w:sz w:val="24"/>
        </w:rPr>
      </w:pPr>
      <w:r>
        <w:rPr>
          <w:spacing w:val="-3"/>
          <w:sz w:val="24"/>
        </w:rPr>
        <w:t>评标委员会成员与参加采购活动的投标人存在下列利害关系之一的，应当回避：</w:t>
      </w:r>
    </w:p>
    <w:p w14:paraId="100B0AAC">
      <w:pPr>
        <w:pStyle w:val="17"/>
        <w:numPr>
          <w:ilvl w:val="0"/>
          <w:numId w:val="26"/>
        </w:numPr>
        <w:tabs>
          <w:tab w:val="left" w:pos="1369"/>
        </w:tabs>
        <w:spacing w:before="158" w:after="0" w:line="364" w:lineRule="auto"/>
        <w:ind w:left="287" w:right="344" w:firstLine="480"/>
        <w:jc w:val="left"/>
        <w:rPr>
          <w:sz w:val="24"/>
        </w:rPr>
      </w:pPr>
      <w:r>
        <w:rPr>
          <w:spacing w:val="-3"/>
          <w:sz w:val="24"/>
        </w:rPr>
        <w:t>参加采购活动前三年内，与投标供应商存在劳动关系，或者担任过投标供应商</w:t>
      </w:r>
      <w:r>
        <w:rPr>
          <w:spacing w:val="-4"/>
          <w:sz w:val="24"/>
        </w:rPr>
        <w:t>的董事、监事，或者是投标供应商的控股股东或实际控制人；</w:t>
      </w:r>
    </w:p>
    <w:p w14:paraId="4C1F1B23">
      <w:pPr>
        <w:pStyle w:val="17"/>
        <w:numPr>
          <w:ilvl w:val="0"/>
          <w:numId w:val="26"/>
        </w:numPr>
        <w:tabs>
          <w:tab w:val="left" w:pos="1369"/>
        </w:tabs>
        <w:spacing w:before="2" w:after="0" w:line="362" w:lineRule="auto"/>
        <w:ind w:left="287" w:right="344" w:firstLine="480"/>
        <w:jc w:val="left"/>
        <w:rPr>
          <w:sz w:val="24"/>
        </w:rPr>
      </w:pPr>
      <w:r>
        <w:rPr>
          <w:spacing w:val="-3"/>
          <w:sz w:val="24"/>
        </w:rPr>
        <w:t>与投标供应商的法定代表人或者负责人有夫妻、直系血亲、三代以内旁系血亲</w:t>
      </w:r>
      <w:r>
        <w:rPr>
          <w:spacing w:val="-4"/>
          <w:sz w:val="24"/>
        </w:rPr>
        <w:t>或者近姻亲关系；</w:t>
      </w:r>
    </w:p>
    <w:p w14:paraId="32B7264E">
      <w:pPr>
        <w:pStyle w:val="17"/>
        <w:numPr>
          <w:ilvl w:val="0"/>
          <w:numId w:val="26"/>
        </w:numPr>
        <w:tabs>
          <w:tab w:val="left" w:pos="1369"/>
        </w:tabs>
        <w:spacing w:before="2" w:after="0" w:line="240" w:lineRule="auto"/>
        <w:ind w:left="1369" w:right="0" w:hanging="601"/>
        <w:jc w:val="left"/>
        <w:rPr>
          <w:sz w:val="24"/>
        </w:rPr>
      </w:pPr>
      <w:r>
        <w:rPr>
          <w:sz w:val="24"/>
        </w:rPr>
        <w:t>与投标供应商有其他可能影响政府采购活动公平、公正进行的关系。</w:t>
      </w:r>
    </w:p>
    <w:p w14:paraId="7532D825">
      <w:pPr>
        <w:pStyle w:val="8"/>
        <w:spacing w:before="161" w:line="364" w:lineRule="auto"/>
        <w:ind w:left="287" w:right="346" w:firstLine="480"/>
      </w:pPr>
      <w:r>
        <w:t>评审专家发现本人与参加采购活动的投标人有利害关系的，应当主动提出回避。采购人或者招标方发现评审专家与参加采购活动的供应商有利害关系的，将要求其回避。</w:t>
      </w:r>
    </w:p>
    <w:p w14:paraId="7E45F627">
      <w:pPr>
        <w:pStyle w:val="17"/>
        <w:numPr>
          <w:ilvl w:val="0"/>
          <w:numId w:val="0"/>
        </w:numPr>
        <w:tabs>
          <w:tab w:val="left" w:pos="1608"/>
        </w:tabs>
        <w:spacing w:before="0" w:after="0" w:line="306" w:lineRule="exact"/>
        <w:ind w:left="768" w:leftChars="0" w:right="0" w:rightChars="0"/>
        <w:jc w:val="left"/>
        <w:rPr>
          <w:sz w:val="24"/>
        </w:rPr>
      </w:pPr>
      <w:r>
        <w:rPr>
          <w:sz w:val="24"/>
        </w:rPr>
        <w:t>评标委员会成员应当熟悉招标文件及以下内容：</w:t>
      </w:r>
    </w:p>
    <w:p w14:paraId="627D541E">
      <w:pPr>
        <w:pStyle w:val="17"/>
        <w:numPr>
          <w:ilvl w:val="0"/>
          <w:numId w:val="27"/>
        </w:numPr>
        <w:tabs>
          <w:tab w:val="left" w:pos="1369"/>
        </w:tabs>
        <w:spacing w:before="160" w:after="0" w:line="240" w:lineRule="auto"/>
        <w:ind w:left="1369" w:right="0" w:hanging="601"/>
        <w:jc w:val="left"/>
        <w:rPr>
          <w:sz w:val="24"/>
        </w:rPr>
      </w:pPr>
      <w:r>
        <w:rPr>
          <w:sz w:val="24"/>
        </w:rPr>
        <w:t>招标目的。</w:t>
      </w:r>
    </w:p>
    <w:p w14:paraId="2E6D00E9">
      <w:pPr>
        <w:pStyle w:val="17"/>
        <w:numPr>
          <w:ilvl w:val="0"/>
          <w:numId w:val="27"/>
        </w:numPr>
        <w:tabs>
          <w:tab w:val="left" w:pos="1369"/>
        </w:tabs>
        <w:spacing w:before="158" w:after="0" w:line="240" w:lineRule="auto"/>
        <w:ind w:left="1369" w:right="0" w:hanging="601"/>
        <w:jc w:val="left"/>
        <w:rPr>
          <w:sz w:val="24"/>
        </w:rPr>
      </w:pPr>
      <w:r>
        <w:rPr>
          <w:sz w:val="24"/>
        </w:rPr>
        <w:t>招标项目的范围、性质。</w:t>
      </w:r>
    </w:p>
    <w:p w14:paraId="28043F8B">
      <w:pPr>
        <w:pStyle w:val="17"/>
        <w:numPr>
          <w:ilvl w:val="0"/>
          <w:numId w:val="27"/>
        </w:numPr>
        <w:tabs>
          <w:tab w:val="left" w:pos="1369"/>
        </w:tabs>
        <w:spacing w:before="161" w:after="0" w:line="240" w:lineRule="auto"/>
        <w:ind w:left="1369" w:right="0" w:hanging="601"/>
        <w:jc w:val="left"/>
        <w:rPr>
          <w:sz w:val="24"/>
        </w:rPr>
      </w:pPr>
      <w:r>
        <w:rPr>
          <w:sz w:val="24"/>
        </w:rPr>
        <w:t>招标文件中规定的主要技术要求、标准和商务条款。</w:t>
      </w:r>
    </w:p>
    <w:p w14:paraId="02E360DC">
      <w:pPr>
        <w:pStyle w:val="17"/>
        <w:numPr>
          <w:ilvl w:val="0"/>
          <w:numId w:val="27"/>
        </w:numPr>
        <w:tabs>
          <w:tab w:val="left" w:pos="1369"/>
        </w:tabs>
        <w:spacing w:before="158" w:after="0" w:line="240" w:lineRule="auto"/>
        <w:ind w:left="1369" w:right="0" w:hanging="601"/>
        <w:jc w:val="left"/>
        <w:rPr>
          <w:sz w:val="24"/>
        </w:rPr>
      </w:pPr>
      <w:r>
        <w:rPr>
          <w:sz w:val="24"/>
        </w:rPr>
        <w:t>招标文件规定的评标标准、评标方法和在评标过程中应考虑的相关因素。</w:t>
      </w:r>
    </w:p>
    <w:p w14:paraId="212B4381">
      <w:pPr>
        <w:pStyle w:val="17"/>
        <w:numPr>
          <w:ilvl w:val="0"/>
          <w:numId w:val="27"/>
        </w:numPr>
        <w:tabs>
          <w:tab w:val="left" w:pos="1369"/>
        </w:tabs>
        <w:spacing w:before="160" w:after="0" w:line="240" w:lineRule="auto"/>
        <w:ind w:left="1369" w:right="0" w:hanging="601"/>
        <w:jc w:val="left"/>
        <w:rPr>
          <w:sz w:val="24"/>
        </w:rPr>
      </w:pPr>
      <w:r>
        <w:rPr>
          <w:sz w:val="24"/>
        </w:rPr>
        <w:t>采购人将向评标委员会提供评标所需的信息和数据。</w:t>
      </w:r>
    </w:p>
    <w:p w14:paraId="77A6674F">
      <w:pPr>
        <w:pStyle w:val="17"/>
        <w:numPr>
          <w:ilvl w:val="0"/>
          <w:numId w:val="27"/>
        </w:numPr>
        <w:tabs>
          <w:tab w:val="left" w:pos="1369"/>
        </w:tabs>
        <w:spacing w:before="158" w:after="0" w:line="364" w:lineRule="auto"/>
        <w:ind w:left="287" w:right="344" w:firstLine="480"/>
        <w:jc w:val="left"/>
        <w:rPr>
          <w:sz w:val="24"/>
        </w:rPr>
      </w:pPr>
      <w:r>
        <w:rPr>
          <w:spacing w:val="-2"/>
          <w:sz w:val="24"/>
        </w:rPr>
        <w:t>评标委员会应当根据招标文件规定的评标标准和方法，对投标文件进行评审和</w:t>
      </w:r>
      <w:r>
        <w:rPr>
          <w:spacing w:val="-4"/>
          <w:sz w:val="24"/>
        </w:rPr>
        <w:t>比较。招标文件中没有规定的标准和方法不得作为评标的依据。</w:t>
      </w:r>
    </w:p>
    <w:p w14:paraId="1C94A3AB">
      <w:pPr>
        <w:pStyle w:val="17"/>
        <w:numPr>
          <w:ilvl w:val="0"/>
          <w:numId w:val="27"/>
        </w:numPr>
        <w:tabs>
          <w:tab w:val="left" w:pos="1369"/>
        </w:tabs>
        <w:spacing w:before="0" w:after="0" w:line="364" w:lineRule="auto"/>
        <w:ind w:left="287" w:right="344" w:firstLine="480"/>
        <w:jc w:val="both"/>
        <w:rPr>
          <w:sz w:val="24"/>
        </w:rPr>
      </w:pPr>
      <w:r>
        <w:rPr>
          <w:spacing w:val="-5"/>
          <w:sz w:val="24"/>
        </w:rPr>
        <w:t>评标委员会成员应当客观、公正地履行职责，遵守职业道德，并对所提出的评审</w:t>
      </w:r>
      <w:r>
        <w:rPr>
          <w:sz w:val="24"/>
        </w:rPr>
        <w:t>意见承担个人责任。评标委员会成员不得与任何投标人或者与招标结果有利害关系的人员进行私下接触，不得收受投标人、中介人或其他有利害关系人的财物或好处。</w:t>
      </w:r>
    </w:p>
    <w:p w14:paraId="5DF7EB8E">
      <w:pPr>
        <w:pStyle w:val="17"/>
        <w:numPr>
          <w:ilvl w:val="0"/>
          <w:numId w:val="27"/>
        </w:numPr>
        <w:tabs>
          <w:tab w:val="left" w:pos="1369"/>
        </w:tabs>
        <w:spacing w:before="0" w:after="0" w:line="364" w:lineRule="auto"/>
        <w:ind w:left="287" w:right="344" w:firstLine="480"/>
        <w:jc w:val="both"/>
        <w:rPr>
          <w:sz w:val="24"/>
        </w:rPr>
      </w:pPr>
      <w:r>
        <w:rPr>
          <w:spacing w:val="-2"/>
          <w:sz w:val="24"/>
        </w:rPr>
        <w:t>评标委员会成员和与本项目评标活动有关的工作人员，不得透露对投标文件的</w:t>
      </w:r>
      <w:r>
        <w:rPr>
          <w:spacing w:val="-4"/>
          <w:sz w:val="24"/>
        </w:rPr>
        <w:t>评审和比较、中标候选人的推荐情况以及与评标有关的其他情况。与评标活动有关的工作人员，是指评标委员会成员以外的、因参与评标监督工作或者事务性工作而知悉有关评标情况的所有人员。</w:t>
      </w:r>
    </w:p>
    <w:p w14:paraId="19A1A908">
      <w:pPr>
        <w:pStyle w:val="17"/>
        <w:numPr>
          <w:ilvl w:val="1"/>
          <w:numId w:val="24"/>
        </w:numPr>
        <w:tabs>
          <w:tab w:val="left" w:pos="1368"/>
        </w:tabs>
        <w:spacing w:before="0" w:after="0" w:line="305" w:lineRule="exact"/>
        <w:ind w:left="1368" w:right="0" w:hanging="600"/>
        <w:jc w:val="both"/>
        <w:rPr>
          <w:sz w:val="24"/>
        </w:rPr>
      </w:pPr>
      <w:r>
        <w:rPr>
          <w:sz w:val="24"/>
        </w:rPr>
        <w:t>评审工作的组织</w:t>
      </w:r>
    </w:p>
    <w:p w14:paraId="402532B2">
      <w:pPr>
        <w:pStyle w:val="8"/>
        <w:spacing w:before="159" w:line="364" w:lineRule="auto"/>
        <w:ind w:left="287" w:right="344" w:firstLine="480"/>
        <w:jc w:val="both"/>
      </w:pPr>
      <w:r>
        <w:t xml:space="preserve">采购人或采购代理机构负责组织、评标委员会（评审小组）负责本项目的评审工作， </w:t>
      </w:r>
      <w:r>
        <w:rPr>
          <w:spacing w:val="-6"/>
        </w:rPr>
        <w:t>并依据《政府采购货物和服务招标投标管理办法</w:t>
      </w:r>
      <w:r>
        <w:rPr>
          <w:spacing w:val="-3"/>
        </w:rPr>
        <w:t>（</w:t>
      </w:r>
      <w:r>
        <w:rPr>
          <w:spacing w:val="-12"/>
        </w:rPr>
        <w:t xml:space="preserve">财政部第 </w:t>
      </w:r>
      <w:r>
        <w:t>87</w:t>
      </w:r>
      <w:r>
        <w:rPr>
          <w:spacing w:val="-20"/>
        </w:rPr>
        <w:t xml:space="preserve"> 号令</w:t>
      </w:r>
      <w:r>
        <w:rPr>
          <w:spacing w:val="-17"/>
        </w:rPr>
        <w:t>）</w:t>
      </w:r>
      <w:r>
        <w:rPr>
          <w:spacing w:val="-6"/>
        </w:rPr>
        <w:t>》第四十五条的相关</w:t>
      </w:r>
      <w:r>
        <w:t>规定履行职责。</w:t>
      </w:r>
    </w:p>
    <w:p w14:paraId="0215CC66">
      <w:pPr>
        <w:spacing w:after="0" w:line="364" w:lineRule="auto"/>
        <w:jc w:val="both"/>
        <w:sectPr>
          <w:pgSz w:w="11910" w:h="16840"/>
          <w:pgMar w:top="1200" w:right="900" w:bottom="1020" w:left="960" w:header="0" w:footer="828" w:gutter="0"/>
          <w:pgNumType w:fmt="decimal"/>
          <w:cols w:space="720" w:num="1"/>
        </w:sectPr>
      </w:pPr>
    </w:p>
    <w:p w14:paraId="420E2444">
      <w:pPr>
        <w:pStyle w:val="17"/>
        <w:numPr>
          <w:ilvl w:val="1"/>
          <w:numId w:val="24"/>
        </w:numPr>
        <w:tabs>
          <w:tab w:val="left" w:pos="1368"/>
        </w:tabs>
        <w:spacing w:before="49" w:after="0" w:line="240" w:lineRule="auto"/>
        <w:ind w:left="1368" w:right="0" w:hanging="600"/>
        <w:jc w:val="both"/>
        <w:rPr>
          <w:sz w:val="24"/>
        </w:rPr>
      </w:pPr>
      <w:r>
        <w:rPr>
          <w:sz w:val="24"/>
        </w:rPr>
        <w:t>评审程序</w:t>
      </w:r>
    </w:p>
    <w:p w14:paraId="089EAA76">
      <w:pPr>
        <w:pStyle w:val="17"/>
        <w:numPr>
          <w:ilvl w:val="0"/>
          <w:numId w:val="0"/>
        </w:numPr>
        <w:tabs>
          <w:tab w:val="left" w:pos="1608"/>
        </w:tabs>
        <w:spacing w:before="158" w:after="0" w:line="364" w:lineRule="auto"/>
        <w:ind w:left="767" w:leftChars="0" w:right="224" w:rightChars="0"/>
        <w:jc w:val="both"/>
        <w:rPr>
          <w:sz w:val="24"/>
        </w:rPr>
      </w:pPr>
      <w:r>
        <w:rPr>
          <w:color w:val="auto"/>
          <w:spacing w:val="-8"/>
          <w:sz w:val="24"/>
        </w:rPr>
        <w:t>资格审查：公开招标采购项目开标结束后，采购人</w:t>
      </w:r>
      <w:r>
        <w:rPr>
          <w:rFonts w:hint="eastAsia"/>
          <w:color w:val="auto"/>
          <w:spacing w:val="-16"/>
          <w:sz w:val="24"/>
          <w:lang w:eastAsia="zh-CN"/>
        </w:rPr>
        <w:t>委托评审小组依法</w:t>
      </w:r>
      <w:r>
        <w:rPr>
          <w:color w:val="auto"/>
          <w:spacing w:val="-8"/>
          <w:sz w:val="24"/>
        </w:rPr>
        <w:t>对投标人</w:t>
      </w:r>
      <w:r>
        <w:rPr>
          <w:b/>
          <w:color w:val="auto"/>
          <w:spacing w:val="-8"/>
          <w:sz w:val="24"/>
        </w:rPr>
        <w:t>政采云资格响应文件模块上传的资格响应文件</w:t>
      </w:r>
      <w:r>
        <w:rPr>
          <w:color w:val="auto"/>
          <w:spacing w:val="-8"/>
          <w:sz w:val="24"/>
        </w:rPr>
        <w:t>进行审查，以确定投标人是否具备</w:t>
      </w:r>
      <w:r>
        <w:rPr>
          <w:color w:val="auto"/>
          <w:spacing w:val="-16"/>
          <w:sz w:val="24"/>
        </w:rPr>
        <w:t>投标资格。本项目资格审查由</w:t>
      </w:r>
      <w:r>
        <w:rPr>
          <w:rFonts w:hint="eastAsia"/>
          <w:color w:val="auto"/>
          <w:spacing w:val="-16"/>
          <w:sz w:val="24"/>
          <w:lang w:eastAsia="zh-CN"/>
        </w:rPr>
        <w:t>评审小组负责</w:t>
      </w:r>
      <w:r>
        <w:rPr>
          <w:color w:val="auto"/>
          <w:spacing w:val="-16"/>
          <w:sz w:val="24"/>
        </w:rPr>
        <w:t>，依法对投标供应商的资格证明文件进行审查</w:t>
      </w:r>
      <w:r>
        <w:rPr>
          <w:color w:val="auto"/>
          <w:sz w:val="24"/>
        </w:rPr>
        <w:t>（详见资格审查表</w:t>
      </w:r>
      <w:r>
        <w:rPr>
          <w:color w:val="auto"/>
          <w:spacing w:val="-24"/>
          <w:sz w:val="24"/>
        </w:rPr>
        <w:t>）</w:t>
      </w:r>
      <w:r>
        <w:rPr>
          <w:color w:val="auto"/>
          <w:spacing w:val="-8"/>
          <w:sz w:val="24"/>
        </w:rPr>
        <w:t>。</w:t>
      </w:r>
      <w:r>
        <w:rPr>
          <w:spacing w:val="-8"/>
          <w:sz w:val="24"/>
        </w:rPr>
        <w:t>资格审查未获通过的供应商，其商务技术文件及报价文件不再进入评审。</w:t>
      </w:r>
    </w:p>
    <w:p w14:paraId="5C1EED47">
      <w:pPr>
        <w:pStyle w:val="17"/>
        <w:numPr>
          <w:ilvl w:val="0"/>
          <w:numId w:val="0"/>
        </w:numPr>
        <w:tabs>
          <w:tab w:val="left" w:pos="1608"/>
        </w:tabs>
        <w:spacing w:before="0" w:after="0" w:line="364" w:lineRule="auto"/>
        <w:ind w:left="767" w:leftChars="0" w:right="344" w:rightChars="0"/>
        <w:jc w:val="both"/>
        <w:rPr>
          <w:sz w:val="24"/>
        </w:rPr>
      </w:pPr>
      <w:r>
        <w:rPr>
          <w:spacing w:val="-8"/>
          <w:sz w:val="24"/>
        </w:rPr>
        <w:t>符合性审查：依据招标文件的规定，评标委员会从投标文件的有效性、完整性</w:t>
      </w:r>
      <w:r>
        <w:rPr>
          <w:sz w:val="24"/>
        </w:rPr>
        <w:t>和对招标文件的响应程度进行审查，以确定是否对招标文件的实质性要求作出响应。经审</w:t>
      </w:r>
      <w:r>
        <w:rPr>
          <w:spacing w:val="-7"/>
          <w:sz w:val="24"/>
        </w:rPr>
        <w:t xml:space="preserve">查合格投标人不足 </w:t>
      </w:r>
      <w:r>
        <w:rPr>
          <w:sz w:val="24"/>
        </w:rPr>
        <w:t>3</w:t>
      </w:r>
      <w:r>
        <w:rPr>
          <w:spacing w:val="-8"/>
          <w:sz w:val="24"/>
        </w:rPr>
        <w:t xml:space="preserve"> 家的，项目废标，采购人依法重新组织采购活动。</w:t>
      </w:r>
    </w:p>
    <w:p w14:paraId="14A5351C">
      <w:pPr>
        <w:pStyle w:val="17"/>
        <w:numPr>
          <w:ilvl w:val="0"/>
          <w:numId w:val="0"/>
        </w:numPr>
        <w:tabs>
          <w:tab w:val="left" w:pos="1608"/>
        </w:tabs>
        <w:spacing w:before="0" w:after="0" w:line="307" w:lineRule="exact"/>
        <w:ind w:left="768" w:leftChars="0" w:right="0" w:rightChars="0"/>
        <w:jc w:val="both"/>
        <w:rPr>
          <w:sz w:val="24"/>
        </w:rPr>
      </w:pPr>
      <w:r>
        <w:rPr>
          <w:sz w:val="24"/>
        </w:rPr>
        <w:t>对投标文件的比较和评价</w:t>
      </w:r>
    </w:p>
    <w:p w14:paraId="3E4EEB93">
      <w:pPr>
        <w:pStyle w:val="8"/>
        <w:spacing w:before="156" w:line="364" w:lineRule="auto"/>
        <w:ind w:left="287" w:right="346" w:firstLine="480"/>
      </w:pPr>
      <w:r>
        <w:t>评标委员会将按招标文件中规定的评标方法和标准，对资格性审查和符合性审查合格的投标文件依法独立进行评估与评价，并给予评价或打分，不受任何单位和个人的干预。</w:t>
      </w:r>
    </w:p>
    <w:p w14:paraId="7450F623">
      <w:pPr>
        <w:pStyle w:val="17"/>
        <w:numPr>
          <w:ilvl w:val="0"/>
          <w:numId w:val="0"/>
        </w:numPr>
        <w:tabs>
          <w:tab w:val="left" w:pos="1608"/>
        </w:tabs>
        <w:spacing w:before="1" w:after="0" w:line="240" w:lineRule="auto"/>
        <w:ind w:left="768" w:leftChars="0" w:right="0" w:rightChars="0"/>
        <w:jc w:val="left"/>
        <w:rPr>
          <w:sz w:val="24"/>
        </w:rPr>
      </w:pPr>
      <w:r>
        <w:rPr>
          <w:sz w:val="24"/>
        </w:rPr>
        <w:t>评审结束后，由评标委员会对本次评审结果进行排名，并提交评标报告。</w:t>
      </w:r>
    </w:p>
    <w:p w14:paraId="1877A1E8">
      <w:pPr>
        <w:pStyle w:val="17"/>
        <w:numPr>
          <w:ilvl w:val="0"/>
          <w:numId w:val="0"/>
        </w:numPr>
        <w:tabs>
          <w:tab w:val="left" w:pos="1608"/>
        </w:tabs>
        <w:spacing w:before="158" w:after="0" w:line="364" w:lineRule="auto"/>
        <w:ind w:left="767" w:leftChars="0" w:right="344" w:rightChars="0"/>
        <w:jc w:val="left"/>
        <w:rPr>
          <w:sz w:val="24"/>
        </w:rPr>
      </w:pPr>
      <w:r>
        <w:rPr>
          <w:spacing w:val="-9"/>
          <w:sz w:val="24"/>
        </w:rPr>
        <w:t>评标结束后，采购人确认中标结果，由采购代理机构在新疆政府采购网发布中</w:t>
      </w:r>
      <w:r>
        <w:rPr>
          <w:sz w:val="24"/>
        </w:rPr>
        <w:t>标结果公告。</w:t>
      </w:r>
    </w:p>
    <w:p w14:paraId="5C2668F1">
      <w:pPr>
        <w:pStyle w:val="17"/>
        <w:numPr>
          <w:ilvl w:val="1"/>
          <w:numId w:val="24"/>
        </w:numPr>
        <w:tabs>
          <w:tab w:val="left" w:pos="1368"/>
        </w:tabs>
        <w:spacing w:before="0" w:after="0" w:line="306" w:lineRule="exact"/>
        <w:ind w:left="1368" w:right="0" w:hanging="600"/>
        <w:jc w:val="left"/>
        <w:rPr>
          <w:sz w:val="24"/>
        </w:rPr>
      </w:pPr>
      <w:r>
        <w:rPr>
          <w:sz w:val="24"/>
        </w:rPr>
        <w:t>评标原则及方法</w:t>
      </w:r>
    </w:p>
    <w:p w14:paraId="42EAE7C6">
      <w:pPr>
        <w:pStyle w:val="17"/>
        <w:numPr>
          <w:ilvl w:val="0"/>
          <w:numId w:val="0"/>
        </w:numPr>
        <w:tabs>
          <w:tab w:val="left" w:pos="1608"/>
        </w:tabs>
        <w:spacing w:before="160" w:after="0" w:line="240" w:lineRule="auto"/>
        <w:ind w:left="768" w:leftChars="0" w:right="0" w:rightChars="0"/>
        <w:jc w:val="left"/>
        <w:rPr>
          <w:sz w:val="24"/>
        </w:rPr>
      </w:pPr>
      <w:r>
        <w:rPr>
          <w:sz w:val="24"/>
        </w:rPr>
        <w:t>评标原则</w:t>
      </w:r>
    </w:p>
    <w:p w14:paraId="7F09E318">
      <w:pPr>
        <w:pStyle w:val="17"/>
        <w:numPr>
          <w:ilvl w:val="0"/>
          <w:numId w:val="28"/>
        </w:numPr>
        <w:tabs>
          <w:tab w:val="left" w:pos="1369"/>
        </w:tabs>
        <w:spacing w:before="158" w:after="0" w:line="240" w:lineRule="auto"/>
        <w:ind w:left="1369" w:right="0" w:hanging="601"/>
        <w:jc w:val="left"/>
        <w:rPr>
          <w:sz w:val="24"/>
        </w:rPr>
      </w:pPr>
      <w:r>
        <w:rPr>
          <w:sz w:val="24"/>
        </w:rPr>
        <w:t>竞争优选。</w:t>
      </w:r>
    </w:p>
    <w:p w14:paraId="35E4255E">
      <w:pPr>
        <w:pStyle w:val="17"/>
        <w:numPr>
          <w:ilvl w:val="0"/>
          <w:numId w:val="28"/>
        </w:numPr>
        <w:tabs>
          <w:tab w:val="left" w:pos="1369"/>
        </w:tabs>
        <w:spacing w:before="161" w:after="0" w:line="240" w:lineRule="auto"/>
        <w:ind w:left="1369" w:right="0" w:hanging="601"/>
        <w:jc w:val="left"/>
        <w:rPr>
          <w:sz w:val="24"/>
        </w:rPr>
      </w:pPr>
      <w:r>
        <w:rPr>
          <w:sz w:val="24"/>
        </w:rPr>
        <w:t>公平、公正、科学、合理。</w:t>
      </w:r>
    </w:p>
    <w:p w14:paraId="4B3A4C61">
      <w:pPr>
        <w:pStyle w:val="17"/>
        <w:numPr>
          <w:ilvl w:val="0"/>
          <w:numId w:val="0"/>
        </w:numPr>
        <w:tabs>
          <w:tab w:val="left" w:pos="1608"/>
        </w:tabs>
        <w:spacing w:before="158" w:after="0" w:line="240" w:lineRule="auto"/>
        <w:ind w:left="768" w:leftChars="0" w:right="0" w:rightChars="0"/>
        <w:jc w:val="left"/>
        <w:rPr>
          <w:sz w:val="24"/>
        </w:rPr>
      </w:pPr>
      <w:r>
        <w:rPr>
          <w:sz w:val="24"/>
        </w:rPr>
        <w:t>评标方法</w:t>
      </w:r>
    </w:p>
    <w:p w14:paraId="448310DA">
      <w:pPr>
        <w:pStyle w:val="8"/>
        <w:spacing w:before="161" w:line="362" w:lineRule="auto"/>
        <w:ind w:left="287" w:right="3878" w:firstLine="480"/>
        <w:rPr>
          <w:b/>
        </w:rPr>
      </w:pPr>
      <w:r>
        <w:t>评标采用综合评分法，详见“第三章 评标方法”。</w:t>
      </w:r>
      <w:r>
        <w:rPr>
          <w:b/>
        </w:rPr>
        <w:t>19、监督</w:t>
      </w:r>
    </w:p>
    <w:p w14:paraId="5E0029D2">
      <w:pPr>
        <w:pStyle w:val="17"/>
        <w:numPr>
          <w:ilvl w:val="1"/>
          <w:numId w:val="29"/>
        </w:numPr>
        <w:tabs>
          <w:tab w:val="left" w:pos="1368"/>
        </w:tabs>
        <w:spacing w:before="4" w:after="0" w:line="240" w:lineRule="auto"/>
        <w:ind w:left="1368" w:right="0" w:hanging="600"/>
        <w:jc w:val="left"/>
        <w:rPr>
          <w:sz w:val="24"/>
        </w:rPr>
      </w:pPr>
      <w:r>
        <w:rPr>
          <w:spacing w:val="-12"/>
          <w:sz w:val="24"/>
        </w:rPr>
        <w:t>采购人自行组建监督小组，监督小组对开标、评标、定标的全过程依法进行监督。</w:t>
      </w:r>
    </w:p>
    <w:p w14:paraId="166E6BC0">
      <w:pPr>
        <w:pStyle w:val="17"/>
        <w:numPr>
          <w:ilvl w:val="1"/>
          <w:numId w:val="29"/>
        </w:numPr>
        <w:tabs>
          <w:tab w:val="left" w:pos="1368"/>
        </w:tabs>
        <w:spacing w:before="161" w:after="0" w:line="240" w:lineRule="auto"/>
        <w:ind w:left="1368" w:right="0" w:hanging="600"/>
        <w:jc w:val="left"/>
        <w:rPr>
          <w:sz w:val="24"/>
        </w:rPr>
      </w:pPr>
      <w:r>
        <w:rPr>
          <w:sz w:val="24"/>
        </w:rPr>
        <w:t>监督小组成员遵循法定的回避规定。</w:t>
      </w:r>
    </w:p>
    <w:p w14:paraId="17230D83">
      <w:pPr>
        <w:pStyle w:val="17"/>
        <w:numPr>
          <w:ilvl w:val="1"/>
          <w:numId w:val="29"/>
        </w:numPr>
        <w:tabs>
          <w:tab w:val="left" w:pos="1368"/>
        </w:tabs>
        <w:spacing w:before="158" w:after="0" w:line="240" w:lineRule="auto"/>
        <w:ind w:left="1368" w:right="0" w:hanging="600"/>
        <w:jc w:val="left"/>
        <w:rPr>
          <w:sz w:val="24"/>
        </w:rPr>
      </w:pPr>
      <w:r>
        <w:rPr>
          <w:sz w:val="24"/>
        </w:rPr>
        <w:t>遵纪守法，客观、公正、廉洁地履行职责。</w:t>
      </w:r>
    </w:p>
    <w:p w14:paraId="7F62EF44">
      <w:pPr>
        <w:pStyle w:val="17"/>
        <w:numPr>
          <w:ilvl w:val="1"/>
          <w:numId w:val="29"/>
        </w:numPr>
        <w:tabs>
          <w:tab w:val="left" w:pos="1368"/>
        </w:tabs>
        <w:spacing w:before="161" w:after="0" w:line="240" w:lineRule="auto"/>
        <w:ind w:left="1368" w:right="0" w:hanging="600"/>
        <w:jc w:val="left"/>
        <w:rPr>
          <w:sz w:val="24"/>
        </w:rPr>
      </w:pPr>
      <w:r>
        <w:rPr>
          <w:sz w:val="24"/>
        </w:rPr>
        <w:t>配合采购人答复投标人提出的质疑；配合财政部门的投诉处理和监督检查工作。</w:t>
      </w:r>
    </w:p>
    <w:p w14:paraId="3701730D">
      <w:pPr>
        <w:pStyle w:val="8"/>
      </w:pPr>
    </w:p>
    <w:p w14:paraId="4EB11F5E">
      <w:pPr>
        <w:pStyle w:val="8"/>
        <w:spacing w:before="10"/>
      </w:pPr>
    </w:p>
    <w:p w14:paraId="10B89A27">
      <w:pPr>
        <w:pStyle w:val="5"/>
      </w:pPr>
      <w:r>
        <w:t>六、定标</w:t>
      </w:r>
    </w:p>
    <w:p w14:paraId="3EE426E6">
      <w:pPr>
        <w:pStyle w:val="8"/>
        <w:rPr>
          <w:b/>
          <w:sz w:val="32"/>
        </w:rPr>
      </w:pPr>
    </w:p>
    <w:p w14:paraId="3FDDDEAA">
      <w:pPr>
        <w:pStyle w:val="8"/>
        <w:spacing w:before="1"/>
        <w:rPr>
          <w:b/>
          <w:sz w:val="33"/>
        </w:rPr>
      </w:pPr>
    </w:p>
    <w:p w14:paraId="24FB3D73">
      <w:pPr>
        <w:pStyle w:val="7"/>
      </w:pPr>
      <w:r>
        <w:t>20、中标人的确定</w:t>
      </w:r>
    </w:p>
    <w:p w14:paraId="60572BBE">
      <w:pPr>
        <w:pStyle w:val="17"/>
        <w:numPr>
          <w:ilvl w:val="0"/>
          <w:numId w:val="0"/>
        </w:numPr>
        <w:tabs>
          <w:tab w:val="left" w:pos="1368"/>
        </w:tabs>
        <w:spacing w:before="161" w:after="0" w:line="240" w:lineRule="auto"/>
        <w:ind w:left="768" w:leftChars="0" w:right="0" w:rightChars="0"/>
        <w:jc w:val="left"/>
        <w:rPr>
          <w:sz w:val="24"/>
        </w:rPr>
      </w:pPr>
      <w:r>
        <w:rPr>
          <w:rFonts w:hint="eastAsia"/>
          <w:spacing w:val="-5"/>
          <w:sz w:val="24"/>
          <w:lang w:val="en-US" w:eastAsia="zh-CN"/>
        </w:rPr>
        <w:t xml:space="preserve">20.1  </w:t>
      </w:r>
      <w:r>
        <w:rPr>
          <w:spacing w:val="-5"/>
          <w:sz w:val="24"/>
        </w:rPr>
        <w:t xml:space="preserve">采购人自收到评标报告之日起 </w:t>
      </w:r>
      <w:r>
        <w:rPr>
          <w:sz w:val="24"/>
        </w:rPr>
        <w:t>5</w:t>
      </w:r>
      <w:r>
        <w:rPr>
          <w:spacing w:val="-12"/>
          <w:sz w:val="24"/>
        </w:rPr>
        <w:t xml:space="preserve"> 个工作日内，在评标报告确定的中标候选人名单</w:t>
      </w:r>
    </w:p>
    <w:p w14:paraId="1BB9B254">
      <w:pPr>
        <w:spacing w:after="0" w:line="240" w:lineRule="auto"/>
        <w:jc w:val="left"/>
        <w:rPr>
          <w:sz w:val="24"/>
        </w:rPr>
        <w:sectPr>
          <w:pgSz w:w="11910" w:h="16840"/>
          <w:pgMar w:top="1200" w:right="900" w:bottom="1020" w:left="960" w:header="0" w:footer="828" w:gutter="0"/>
          <w:pgNumType w:fmt="decimal"/>
          <w:cols w:space="720" w:num="1"/>
        </w:sectPr>
      </w:pPr>
    </w:p>
    <w:p w14:paraId="546198F8">
      <w:pPr>
        <w:pStyle w:val="8"/>
        <w:spacing w:before="49" w:line="362" w:lineRule="auto"/>
        <w:ind w:left="287" w:right="344"/>
      </w:pPr>
      <w:r>
        <w:t>中按顺序确定中标人。中标候选人并列的，由采购人或者采购人委托评标委员会按照招标文件规定的方式确定中标人；招标文件未规定的，采取随机抽取的方式确定。</w:t>
      </w:r>
    </w:p>
    <w:p w14:paraId="4EEB5401">
      <w:pPr>
        <w:pStyle w:val="17"/>
        <w:numPr>
          <w:ilvl w:val="0"/>
          <w:numId w:val="0"/>
        </w:numPr>
        <w:tabs>
          <w:tab w:val="left" w:pos="1373"/>
        </w:tabs>
        <w:spacing w:before="5" w:after="0" w:line="364" w:lineRule="auto"/>
        <w:ind w:left="767" w:leftChars="0" w:right="344" w:rightChars="0"/>
        <w:jc w:val="both"/>
        <w:rPr>
          <w:sz w:val="24"/>
        </w:rPr>
      </w:pPr>
      <w:r>
        <w:rPr>
          <w:rFonts w:hint="eastAsia"/>
          <w:spacing w:val="-3"/>
          <w:sz w:val="24"/>
          <w:lang w:val="en-US" w:eastAsia="zh-CN"/>
        </w:rPr>
        <w:t xml:space="preserve">20.2  </w:t>
      </w:r>
      <w:r>
        <w:rPr>
          <w:spacing w:val="-3"/>
          <w:sz w:val="24"/>
        </w:rPr>
        <w:t xml:space="preserve">采购人自收到评标报告 </w:t>
      </w:r>
      <w:r>
        <w:rPr>
          <w:sz w:val="24"/>
        </w:rPr>
        <w:t>5</w:t>
      </w:r>
      <w:r>
        <w:rPr>
          <w:spacing w:val="-4"/>
          <w:sz w:val="24"/>
        </w:rPr>
        <w:t xml:space="preserve"> 个工作日内未按评标报告推荐的中标候选人顺序确定中标人，又不能说明合法理由的，视同按评标报告推荐的顺序确定排名第一的中标候选人为中标人。</w:t>
      </w:r>
    </w:p>
    <w:p w14:paraId="1D4D1BFA">
      <w:pPr>
        <w:pStyle w:val="17"/>
        <w:numPr>
          <w:ilvl w:val="0"/>
          <w:numId w:val="0"/>
        </w:numPr>
        <w:tabs>
          <w:tab w:val="left" w:pos="1368"/>
        </w:tabs>
        <w:spacing w:before="0" w:after="0" w:line="364" w:lineRule="auto"/>
        <w:ind w:left="767" w:leftChars="0" w:right="344" w:rightChars="0"/>
        <w:jc w:val="both"/>
        <w:rPr>
          <w:sz w:val="24"/>
        </w:rPr>
      </w:pPr>
      <w:r>
        <w:rPr>
          <w:rFonts w:hint="eastAsia"/>
          <w:spacing w:val="-3"/>
          <w:sz w:val="24"/>
          <w:lang w:val="en-US" w:eastAsia="zh-CN"/>
        </w:rPr>
        <w:t xml:space="preserve">20.3  </w:t>
      </w:r>
      <w:r>
        <w:rPr>
          <w:spacing w:val="-3"/>
          <w:sz w:val="24"/>
        </w:rPr>
        <w:t xml:space="preserve">采购人或者采购代理机构自中标人确定之日起 </w:t>
      </w:r>
      <w:r>
        <w:rPr>
          <w:sz w:val="24"/>
        </w:rPr>
        <w:t>2</w:t>
      </w:r>
      <w:r>
        <w:rPr>
          <w:spacing w:val="-13"/>
          <w:sz w:val="24"/>
        </w:rPr>
        <w:t xml:space="preserve"> 个工作日内，在新疆政府采购网</w:t>
      </w:r>
      <w:r>
        <w:rPr>
          <w:sz w:val="24"/>
        </w:rPr>
        <w:t>上公布中标结果，发布中标结果公告。</w:t>
      </w:r>
    </w:p>
    <w:p w14:paraId="300C9B0B">
      <w:pPr>
        <w:pStyle w:val="7"/>
      </w:pPr>
      <w:r>
        <w:rPr>
          <w:w w:val="95"/>
        </w:rPr>
        <w:t>21、中标通知书</w:t>
      </w:r>
    </w:p>
    <w:p w14:paraId="63C6CA12">
      <w:pPr>
        <w:pStyle w:val="8"/>
        <w:spacing w:before="156" w:line="362" w:lineRule="auto"/>
        <w:ind w:left="287" w:right="344" w:firstLine="480"/>
      </w:pPr>
      <w:r>
        <w:t>21.1</w:t>
      </w:r>
      <w:r>
        <w:rPr>
          <w:spacing w:val="-7"/>
        </w:rPr>
        <w:t xml:space="preserve"> 在投标有效期内，中标人确定后，发布中标结果公告的同时由采购人签发经核准</w:t>
      </w:r>
      <w:r>
        <w:t>的中标通知书。</w:t>
      </w:r>
    </w:p>
    <w:p w14:paraId="50FEE383">
      <w:pPr>
        <w:pStyle w:val="8"/>
      </w:pPr>
    </w:p>
    <w:p w14:paraId="3D18FC25">
      <w:pPr>
        <w:pStyle w:val="5"/>
        <w:spacing w:before="165"/>
      </w:pPr>
      <w:r>
        <w:t>七、授予合同</w:t>
      </w:r>
    </w:p>
    <w:p w14:paraId="4B454239">
      <w:pPr>
        <w:pStyle w:val="8"/>
        <w:rPr>
          <w:b/>
          <w:sz w:val="32"/>
        </w:rPr>
      </w:pPr>
    </w:p>
    <w:p w14:paraId="26B1A6CE">
      <w:pPr>
        <w:pStyle w:val="7"/>
        <w:spacing w:before="270"/>
      </w:pPr>
      <w:r>
        <w:t>22、签订合同</w:t>
      </w:r>
    </w:p>
    <w:p w14:paraId="7A3D00AC">
      <w:pPr>
        <w:pStyle w:val="17"/>
        <w:numPr>
          <w:ilvl w:val="0"/>
          <w:numId w:val="0"/>
        </w:numPr>
        <w:tabs>
          <w:tab w:val="left" w:pos="1368"/>
        </w:tabs>
        <w:spacing w:before="158" w:after="0" w:line="364" w:lineRule="auto"/>
        <w:ind w:left="767" w:leftChars="0" w:right="344" w:rightChars="0"/>
        <w:jc w:val="both"/>
        <w:rPr>
          <w:sz w:val="24"/>
        </w:rPr>
      </w:pPr>
      <w:r>
        <w:rPr>
          <w:rFonts w:hint="eastAsia"/>
          <w:spacing w:val="-5"/>
          <w:sz w:val="24"/>
          <w:lang w:val="en-US" w:eastAsia="zh-CN"/>
        </w:rPr>
        <w:t xml:space="preserve">22.1  </w:t>
      </w:r>
      <w:r>
        <w:rPr>
          <w:spacing w:val="-5"/>
          <w:sz w:val="24"/>
        </w:rPr>
        <w:t>采购人和中标人要依法及时签订和执行采购合同。根据《关于加强和规范政府采</w:t>
      </w:r>
      <w:r>
        <w:rPr>
          <w:spacing w:val="1"/>
          <w:sz w:val="24"/>
        </w:rPr>
        <w:t>购管理工作的通知》</w:t>
      </w:r>
      <w:r>
        <w:rPr>
          <w:spacing w:val="4"/>
          <w:sz w:val="24"/>
        </w:rPr>
        <w:t>（</w:t>
      </w:r>
      <w:r>
        <w:rPr>
          <w:spacing w:val="3"/>
          <w:sz w:val="24"/>
        </w:rPr>
        <w:t>新财购〔</w:t>
      </w:r>
      <w:r>
        <w:rPr>
          <w:sz w:val="24"/>
        </w:rPr>
        <w:t>2025</w:t>
      </w:r>
      <w:r>
        <w:rPr>
          <w:spacing w:val="4"/>
          <w:sz w:val="24"/>
        </w:rPr>
        <w:t>〕</w:t>
      </w:r>
      <w:r>
        <w:rPr>
          <w:sz w:val="24"/>
        </w:rPr>
        <w:t>61</w:t>
      </w:r>
      <w:r>
        <w:rPr>
          <w:spacing w:val="-28"/>
          <w:sz w:val="24"/>
        </w:rPr>
        <w:t xml:space="preserve"> 号</w:t>
      </w:r>
      <w:r>
        <w:rPr>
          <w:spacing w:val="4"/>
          <w:sz w:val="24"/>
        </w:rPr>
        <w:t>）</w:t>
      </w:r>
      <w:r>
        <w:rPr>
          <w:spacing w:val="3"/>
          <w:sz w:val="24"/>
        </w:rPr>
        <w:t>要求，</w:t>
      </w:r>
      <w:r>
        <w:rPr>
          <w:b/>
          <w:spacing w:val="-2"/>
          <w:sz w:val="24"/>
        </w:rPr>
        <w:t xml:space="preserve">原则上在中标通知书发出之日起 </w:t>
      </w:r>
      <w:r>
        <w:rPr>
          <w:b/>
          <w:sz w:val="24"/>
        </w:rPr>
        <w:t xml:space="preserve">20 </w:t>
      </w:r>
      <w:r>
        <w:rPr>
          <w:b/>
          <w:spacing w:val="-9"/>
          <w:sz w:val="24"/>
        </w:rPr>
        <w:t xml:space="preserve">日内签订政府采购合同，最长不得超过 </w:t>
      </w:r>
      <w:r>
        <w:rPr>
          <w:b/>
          <w:sz w:val="24"/>
        </w:rPr>
        <w:t>30</w:t>
      </w:r>
      <w:r>
        <w:rPr>
          <w:b/>
          <w:spacing w:val="-32"/>
          <w:sz w:val="24"/>
        </w:rPr>
        <w:t xml:space="preserve"> 日</w:t>
      </w:r>
      <w:r>
        <w:rPr>
          <w:spacing w:val="-8"/>
          <w:sz w:val="24"/>
        </w:rPr>
        <w:t>。采购人与中标供应商所签订的合同不得对招</w:t>
      </w:r>
      <w:r>
        <w:rPr>
          <w:sz w:val="24"/>
        </w:rPr>
        <w:t>标文件确定的事项和中标人投标文件作实质性修改。采购人不得向中标（成交）供应商提出任何不合理的要求作为签订合同的条件。</w:t>
      </w:r>
    </w:p>
    <w:p w14:paraId="4809E4E8">
      <w:pPr>
        <w:pStyle w:val="17"/>
        <w:numPr>
          <w:ilvl w:val="0"/>
          <w:numId w:val="0"/>
        </w:numPr>
        <w:tabs>
          <w:tab w:val="left" w:pos="1368"/>
        </w:tabs>
        <w:spacing w:before="0" w:after="0" w:line="362" w:lineRule="auto"/>
        <w:ind w:left="767" w:leftChars="0" w:right="344" w:rightChars="0"/>
        <w:jc w:val="both"/>
        <w:rPr>
          <w:sz w:val="24"/>
        </w:rPr>
      </w:pPr>
      <w:r>
        <w:rPr>
          <w:rFonts w:hint="eastAsia"/>
          <w:spacing w:val="-4"/>
          <w:sz w:val="24"/>
          <w:lang w:val="en-US" w:eastAsia="zh-CN"/>
        </w:rPr>
        <w:t xml:space="preserve">22.2  </w:t>
      </w:r>
      <w:r>
        <w:rPr>
          <w:spacing w:val="-4"/>
          <w:sz w:val="24"/>
        </w:rPr>
        <w:t xml:space="preserve">采购人应当自政府采购合同签订之日起 </w:t>
      </w:r>
      <w:r>
        <w:rPr>
          <w:sz w:val="24"/>
        </w:rPr>
        <w:t>2</w:t>
      </w:r>
      <w:r>
        <w:rPr>
          <w:spacing w:val="-13"/>
          <w:sz w:val="24"/>
        </w:rPr>
        <w:t xml:space="preserve"> 个工作日内，将政府采购合同在新疆政</w:t>
      </w:r>
      <w:r>
        <w:rPr>
          <w:sz w:val="24"/>
        </w:rPr>
        <w:t>府采购网上进行公告，但政府采购合同中涉及国家秘密、商业秘密的内容除外。</w:t>
      </w:r>
    </w:p>
    <w:p w14:paraId="0EDC5B5C">
      <w:pPr>
        <w:pStyle w:val="17"/>
        <w:numPr>
          <w:ilvl w:val="0"/>
          <w:numId w:val="0"/>
        </w:numPr>
        <w:tabs>
          <w:tab w:val="left" w:pos="1368"/>
        </w:tabs>
        <w:spacing w:before="3" w:after="0" w:line="364" w:lineRule="auto"/>
        <w:ind w:left="767" w:leftChars="0" w:right="344" w:rightChars="0"/>
        <w:jc w:val="both"/>
        <w:rPr>
          <w:sz w:val="24"/>
        </w:rPr>
      </w:pPr>
      <w:r>
        <w:rPr>
          <w:rFonts w:hint="eastAsia"/>
          <w:spacing w:val="-7"/>
          <w:sz w:val="24"/>
          <w:lang w:val="en-US" w:eastAsia="zh-CN"/>
        </w:rPr>
        <w:t xml:space="preserve">22.3  </w:t>
      </w:r>
      <w:r>
        <w:rPr>
          <w:spacing w:val="-7"/>
          <w:sz w:val="24"/>
        </w:rPr>
        <w:t>合同签定后，中标人应按合同的规定履行合同，未按规定履约的，采购人有权取</w:t>
      </w:r>
      <w:r>
        <w:rPr>
          <w:sz w:val="24"/>
        </w:rPr>
        <w:t>消合同，并且不退还中标人的投标保证金。投标保证金及履约保证金不足以赔偿采购人损失的，采购人有权向中标人继续追偿。</w:t>
      </w:r>
    </w:p>
    <w:p w14:paraId="0A0EBE3A">
      <w:pPr>
        <w:pStyle w:val="17"/>
        <w:numPr>
          <w:ilvl w:val="0"/>
          <w:numId w:val="0"/>
        </w:numPr>
        <w:tabs>
          <w:tab w:val="left" w:pos="1368"/>
        </w:tabs>
        <w:spacing w:before="0" w:after="0" w:line="364" w:lineRule="auto"/>
        <w:ind w:left="767" w:leftChars="0" w:right="278" w:rightChars="0"/>
        <w:jc w:val="both"/>
        <w:rPr>
          <w:sz w:val="24"/>
        </w:rPr>
      </w:pPr>
      <w:r>
        <w:rPr>
          <w:rFonts w:hint="eastAsia"/>
          <w:spacing w:val="-1"/>
          <w:sz w:val="24"/>
          <w:lang w:val="en-US" w:eastAsia="zh-CN"/>
        </w:rPr>
        <w:t xml:space="preserve">22.4  </w:t>
      </w:r>
      <w:r>
        <w:rPr>
          <w:spacing w:val="-1"/>
          <w:sz w:val="24"/>
        </w:rPr>
        <w:t xml:space="preserve">供应商不得违规转包政府采购合同。如果对合同的非主体部分进行转让或分包， </w:t>
      </w:r>
      <w:r>
        <w:rPr>
          <w:sz w:val="24"/>
        </w:rPr>
        <w:t>投标人必须在投标文件中予以说明，并需经采购人同意。否则，采购人有权取消中标人的中标资格。</w:t>
      </w:r>
    </w:p>
    <w:p w14:paraId="4B1F56C5">
      <w:pPr>
        <w:pStyle w:val="17"/>
        <w:numPr>
          <w:ilvl w:val="0"/>
          <w:numId w:val="0"/>
        </w:numPr>
        <w:tabs>
          <w:tab w:val="left" w:pos="1368"/>
        </w:tabs>
        <w:spacing w:before="0" w:after="0" w:line="364" w:lineRule="auto"/>
        <w:ind w:left="767" w:leftChars="0" w:right="344" w:rightChars="0"/>
        <w:jc w:val="both"/>
        <w:rPr>
          <w:sz w:val="24"/>
        </w:rPr>
      </w:pPr>
      <w:r>
        <w:rPr>
          <w:rFonts w:hint="eastAsia"/>
          <w:sz w:val="24"/>
          <w:lang w:val="en-US" w:eastAsia="zh-CN"/>
        </w:rPr>
        <w:t xml:space="preserve">22.5  </w:t>
      </w:r>
      <w:r>
        <w:rPr>
          <w:sz w:val="24"/>
        </w:rPr>
        <w:t>依据《政府采购促进中小企业发展管理办法》（财库﹝2020﹞46</w:t>
      </w:r>
      <w:r>
        <w:rPr>
          <w:spacing w:val="18"/>
          <w:sz w:val="24"/>
        </w:rPr>
        <w:t xml:space="preserve"> 号</w:t>
      </w:r>
      <w:r>
        <w:rPr>
          <w:sz w:val="24"/>
        </w:rPr>
        <w:t>）规定享受扶持政策获得政府采购合同的，小微企业不得将合同分包给大中型企业，中型企业不得将合同分包给大型企业。</w:t>
      </w:r>
    </w:p>
    <w:p w14:paraId="3EEE10B5">
      <w:pPr>
        <w:spacing w:after="0" w:line="364" w:lineRule="auto"/>
        <w:jc w:val="both"/>
        <w:rPr>
          <w:sz w:val="24"/>
        </w:rPr>
        <w:sectPr>
          <w:footerReference r:id="rId7" w:type="default"/>
          <w:pgSz w:w="11910" w:h="16840"/>
          <w:pgMar w:top="1200" w:right="900" w:bottom="1020" w:left="960" w:header="0" w:footer="828" w:gutter="0"/>
          <w:pgNumType w:fmt="decimal"/>
          <w:cols w:space="720" w:num="1"/>
        </w:sectPr>
      </w:pPr>
    </w:p>
    <w:p w14:paraId="7C511691">
      <w:pPr>
        <w:pStyle w:val="17"/>
        <w:numPr>
          <w:ilvl w:val="0"/>
          <w:numId w:val="0"/>
        </w:numPr>
        <w:tabs>
          <w:tab w:val="left" w:pos="1368"/>
        </w:tabs>
        <w:spacing w:before="49" w:after="0" w:line="362" w:lineRule="auto"/>
        <w:ind w:left="767" w:leftChars="0" w:right="344" w:rightChars="0"/>
        <w:jc w:val="left"/>
        <w:rPr>
          <w:sz w:val="24"/>
        </w:rPr>
      </w:pPr>
      <w:r>
        <w:rPr>
          <w:rFonts w:hint="eastAsia"/>
          <w:spacing w:val="-5"/>
          <w:sz w:val="24"/>
          <w:lang w:val="en-US" w:eastAsia="zh-CN"/>
        </w:rPr>
        <w:t xml:space="preserve">22.6  </w:t>
      </w:r>
      <w:r>
        <w:rPr>
          <w:spacing w:val="-5"/>
          <w:sz w:val="24"/>
        </w:rPr>
        <w:t>中标供应商拒绝与采购人签订合同的，采购人可以按照评审报告推荐的中标候选</w:t>
      </w:r>
      <w:r>
        <w:rPr>
          <w:sz w:val="24"/>
        </w:rPr>
        <w:t>人名单排序，确定下一候选人为中标供应商，也可以重新开展政府采购活动。</w:t>
      </w:r>
    </w:p>
    <w:p w14:paraId="65DB7729">
      <w:pPr>
        <w:pStyle w:val="7"/>
        <w:spacing w:before="5"/>
      </w:pPr>
      <w:r>
        <w:t>23、合同的组成</w:t>
      </w:r>
    </w:p>
    <w:p w14:paraId="5F146681">
      <w:pPr>
        <w:pStyle w:val="17"/>
        <w:numPr>
          <w:ilvl w:val="1"/>
          <w:numId w:val="30"/>
        </w:numPr>
        <w:tabs>
          <w:tab w:val="left" w:pos="1368"/>
        </w:tabs>
        <w:spacing w:before="158" w:after="0" w:line="240" w:lineRule="auto"/>
        <w:ind w:left="1368" w:right="0" w:hanging="600"/>
        <w:jc w:val="left"/>
        <w:rPr>
          <w:sz w:val="24"/>
        </w:rPr>
      </w:pPr>
      <w:r>
        <w:rPr>
          <w:sz w:val="24"/>
        </w:rPr>
        <w:t>合同；</w:t>
      </w:r>
    </w:p>
    <w:p w14:paraId="2C0049A9">
      <w:pPr>
        <w:pStyle w:val="17"/>
        <w:numPr>
          <w:ilvl w:val="1"/>
          <w:numId w:val="30"/>
        </w:numPr>
        <w:tabs>
          <w:tab w:val="left" w:pos="1368"/>
        </w:tabs>
        <w:spacing w:before="160" w:after="0" w:line="240" w:lineRule="auto"/>
        <w:ind w:left="1368" w:right="0" w:hanging="600"/>
        <w:jc w:val="left"/>
        <w:rPr>
          <w:sz w:val="24"/>
        </w:rPr>
      </w:pPr>
      <w:r>
        <w:rPr>
          <w:sz w:val="24"/>
        </w:rPr>
        <w:t>采购需求及合同条款；</w:t>
      </w:r>
    </w:p>
    <w:p w14:paraId="33D43423">
      <w:pPr>
        <w:pStyle w:val="17"/>
        <w:numPr>
          <w:ilvl w:val="1"/>
          <w:numId w:val="30"/>
        </w:numPr>
        <w:tabs>
          <w:tab w:val="left" w:pos="1368"/>
        </w:tabs>
        <w:spacing w:before="158" w:after="0" w:line="240" w:lineRule="auto"/>
        <w:ind w:left="1368" w:right="0" w:hanging="600"/>
        <w:jc w:val="left"/>
        <w:rPr>
          <w:sz w:val="24"/>
        </w:rPr>
      </w:pPr>
      <w:r>
        <w:rPr>
          <w:sz w:val="24"/>
        </w:rPr>
        <w:t>中标通知书；</w:t>
      </w:r>
    </w:p>
    <w:p w14:paraId="5A1B03F8">
      <w:pPr>
        <w:pStyle w:val="17"/>
        <w:numPr>
          <w:ilvl w:val="1"/>
          <w:numId w:val="30"/>
        </w:numPr>
        <w:tabs>
          <w:tab w:val="left" w:pos="1368"/>
        </w:tabs>
        <w:spacing w:before="161" w:after="0" w:line="240" w:lineRule="auto"/>
        <w:ind w:left="1368" w:right="0" w:hanging="600"/>
        <w:jc w:val="left"/>
        <w:rPr>
          <w:sz w:val="24"/>
        </w:rPr>
      </w:pPr>
      <w:r>
        <w:rPr>
          <w:sz w:val="24"/>
        </w:rPr>
        <w:t>中标单位的投标文件；</w:t>
      </w:r>
    </w:p>
    <w:p w14:paraId="308995E3">
      <w:pPr>
        <w:pStyle w:val="17"/>
        <w:numPr>
          <w:ilvl w:val="1"/>
          <w:numId w:val="30"/>
        </w:numPr>
        <w:tabs>
          <w:tab w:val="left" w:pos="1368"/>
        </w:tabs>
        <w:spacing w:before="160" w:after="0" w:line="240" w:lineRule="auto"/>
        <w:ind w:left="1368" w:right="0" w:hanging="600"/>
        <w:jc w:val="left"/>
        <w:rPr>
          <w:sz w:val="24"/>
        </w:rPr>
      </w:pPr>
      <w:r>
        <w:rPr>
          <w:sz w:val="24"/>
        </w:rPr>
        <w:t>招标文件及其补充文件。</w:t>
      </w:r>
    </w:p>
    <w:p w14:paraId="47F0BE7C">
      <w:pPr>
        <w:pStyle w:val="8"/>
      </w:pPr>
    </w:p>
    <w:p w14:paraId="0B6B1E30">
      <w:pPr>
        <w:pStyle w:val="8"/>
        <w:spacing w:before="10"/>
      </w:pPr>
    </w:p>
    <w:p w14:paraId="28093660">
      <w:pPr>
        <w:pStyle w:val="5"/>
        <w:spacing w:before="1"/>
        <w:ind w:right="328"/>
      </w:pPr>
      <w:r>
        <w:t>八、验收</w:t>
      </w:r>
    </w:p>
    <w:p w14:paraId="7445EB9A">
      <w:pPr>
        <w:pStyle w:val="8"/>
        <w:rPr>
          <w:b/>
          <w:sz w:val="32"/>
        </w:rPr>
      </w:pPr>
    </w:p>
    <w:p w14:paraId="2211C5C6">
      <w:pPr>
        <w:pStyle w:val="7"/>
        <w:spacing w:before="270"/>
      </w:pPr>
      <w:r>
        <w:t>24、组织验收</w:t>
      </w:r>
    </w:p>
    <w:p w14:paraId="3A772F0C">
      <w:pPr>
        <w:pStyle w:val="17"/>
        <w:numPr>
          <w:ilvl w:val="1"/>
          <w:numId w:val="31"/>
        </w:numPr>
        <w:tabs>
          <w:tab w:val="left" w:pos="1368"/>
        </w:tabs>
        <w:spacing w:before="158" w:after="0" w:line="240" w:lineRule="auto"/>
        <w:ind w:left="1368" w:right="0" w:hanging="600"/>
        <w:jc w:val="both"/>
        <w:rPr>
          <w:sz w:val="24"/>
        </w:rPr>
      </w:pPr>
      <w:r>
        <w:rPr>
          <w:spacing w:val="-4"/>
          <w:sz w:val="24"/>
        </w:rPr>
        <w:t>验收标准及要求按本招标文件“第五章 采购需求”、合同及国家相关标准执行。</w:t>
      </w:r>
    </w:p>
    <w:p w14:paraId="121A7C72">
      <w:pPr>
        <w:pStyle w:val="17"/>
        <w:numPr>
          <w:ilvl w:val="1"/>
          <w:numId w:val="31"/>
        </w:numPr>
        <w:tabs>
          <w:tab w:val="left" w:pos="1368"/>
        </w:tabs>
        <w:spacing w:before="161" w:after="0" w:line="362" w:lineRule="auto"/>
        <w:ind w:left="287" w:right="344" w:firstLine="480"/>
        <w:jc w:val="both"/>
        <w:rPr>
          <w:sz w:val="24"/>
        </w:rPr>
      </w:pPr>
      <w:r>
        <w:rPr>
          <w:spacing w:val="-7"/>
          <w:sz w:val="24"/>
        </w:rPr>
        <w:t>采购人验收结束后，应当出具验收书，列明各项验收情况及项目总体评价，由验</w:t>
      </w:r>
      <w:r>
        <w:rPr>
          <w:sz w:val="24"/>
        </w:rPr>
        <w:t>收双方共同签署。验收结果应当与采购合同约定的资金支付条件挂钩，履约验收的各项资料应当存档备查。</w:t>
      </w:r>
    </w:p>
    <w:p w14:paraId="51FBA16D">
      <w:pPr>
        <w:pStyle w:val="17"/>
        <w:numPr>
          <w:ilvl w:val="1"/>
          <w:numId w:val="31"/>
        </w:numPr>
        <w:tabs>
          <w:tab w:val="left" w:pos="1368"/>
        </w:tabs>
        <w:spacing w:before="6" w:after="0" w:line="364" w:lineRule="auto"/>
        <w:ind w:left="287" w:right="344" w:firstLine="480"/>
        <w:jc w:val="both"/>
        <w:rPr>
          <w:sz w:val="24"/>
        </w:rPr>
      </w:pPr>
      <w:r>
        <w:rPr>
          <w:spacing w:val="-5"/>
          <w:sz w:val="24"/>
        </w:rPr>
        <w:t>对于采购人和使用人分离的采购项目，应当邀请实际使用人参与验收。采购人可</w:t>
      </w:r>
      <w:r>
        <w:rPr>
          <w:sz w:val="24"/>
        </w:rPr>
        <w:t>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14:paraId="6ABE81E2">
      <w:pPr>
        <w:pStyle w:val="17"/>
        <w:numPr>
          <w:ilvl w:val="1"/>
          <w:numId w:val="31"/>
        </w:numPr>
        <w:tabs>
          <w:tab w:val="left" w:pos="1368"/>
        </w:tabs>
        <w:spacing w:before="0" w:after="0" w:line="364" w:lineRule="auto"/>
        <w:ind w:left="287" w:right="344" w:firstLine="480"/>
        <w:jc w:val="both"/>
        <w:rPr>
          <w:sz w:val="24"/>
        </w:rPr>
      </w:pPr>
      <w:r>
        <w:rPr>
          <w:spacing w:val="-7"/>
          <w:sz w:val="24"/>
        </w:rPr>
        <w:t xml:space="preserve">验收不合格的中标单位，必须在接到通知后 </w:t>
      </w:r>
      <w:r>
        <w:rPr>
          <w:sz w:val="24"/>
        </w:rPr>
        <w:t>5</w:t>
      </w:r>
      <w:r>
        <w:rPr>
          <w:spacing w:val="-11"/>
          <w:sz w:val="24"/>
        </w:rPr>
        <w:t xml:space="preserve"> 个日历日内确保通过验收，未能达</w:t>
      </w:r>
      <w:r>
        <w:rPr>
          <w:spacing w:val="-2"/>
          <w:sz w:val="24"/>
        </w:rPr>
        <w:t xml:space="preserve">到投标文件响应标准，所造成的损失由投标人全部承担。如接到通知后 </w:t>
      </w:r>
      <w:r>
        <w:rPr>
          <w:sz w:val="24"/>
        </w:rPr>
        <w:t>5</w:t>
      </w:r>
      <w:r>
        <w:rPr>
          <w:spacing w:val="-7"/>
          <w:sz w:val="24"/>
        </w:rPr>
        <w:t xml:space="preserve"> 个日历日内验收仍不合格，采购人可提出索赔或取消其服务合同。</w:t>
      </w:r>
    </w:p>
    <w:p w14:paraId="7DD24CE9">
      <w:pPr>
        <w:pStyle w:val="17"/>
        <w:numPr>
          <w:ilvl w:val="1"/>
          <w:numId w:val="31"/>
        </w:numPr>
        <w:tabs>
          <w:tab w:val="left" w:pos="1368"/>
        </w:tabs>
        <w:spacing w:before="0" w:after="0" w:line="307" w:lineRule="exact"/>
        <w:ind w:left="1368" w:right="0" w:hanging="600"/>
        <w:jc w:val="both"/>
        <w:rPr>
          <w:sz w:val="24"/>
        </w:rPr>
      </w:pPr>
      <w:r>
        <w:rPr>
          <w:sz w:val="24"/>
        </w:rPr>
        <w:t>验收依据</w:t>
      </w:r>
    </w:p>
    <w:p w14:paraId="6F510EE7">
      <w:pPr>
        <w:pStyle w:val="17"/>
        <w:numPr>
          <w:ilvl w:val="0"/>
          <w:numId w:val="32"/>
        </w:numPr>
        <w:tabs>
          <w:tab w:val="left" w:pos="1369"/>
        </w:tabs>
        <w:spacing w:before="156" w:after="0" w:line="240" w:lineRule="auto"/>
        <w:ind w:left="1369" w:right="0" w:hanging="601"/>
        <w:jc w:val="left"/>
        <w:rPr>
          <w:sz w:val="24"/>
        </w:rPr>
      </w:pPr>
      <w:r>
        <w:rPr>
          <w:sz w:val="24"/>
        </w:rPr>
        <w:t>合同文本及合同补充文件（条款）；</w:t>
      </w:r>
    </w:p>
    <w:p w14:paraId="7BFD7BB8">
      <w:pPr>
        <w:pStyle w:val="17"/>
        <w:numPr>
          <w:ilvl w:val="0"/>
          <w:numId w:val="32"/>
        </w:numPr>
        <w:tabs>
          <w:tab w:val="left" w:pos="1369"/>
        </w:tabs>
        <w:spacing w:before="160" w:after="0" w:line="240" w:lineRule="auto"/>
        <w:ind w:left="1369" w:right="0" w:hanging="601"/>
        <w:jc w:val="left"/>
        <w:rPr>
          <w:sz w:val="24"/>
        </w:rPr>
      </w:pPr>
      <w:r>
        <w:rPr>
          <w:sz w:val="24"/>
        </w:rPr>
        <w:t>采购文件；</w:t>
      </w:r>
    </w:p>
    <w:p w14:paraId="61525F29">
      <w:pPr>
        <w:pStyle w:val="17"/>
        <w:numPr>
          <w:ilvl w:val="0"/>
          <w:numId w:val="32"/>
        </w:numPr>
        <w:tabs>
          <w:tab w:val="left" w:pos="1369"/>
        </w:tabs>
        <w:spacing w:before="158" w:after="0" w:line="240" w:lineRule="auto"/>
        <w:ind w:left="1369" w:right="0" w:hanging="601"/>
        <w:jc w:val="left"/>
        <w:rPr>
          <w:sz w:val="24"/>
        </w:rPr>
      </w:pPr>
      <w:r>
        <w:rPr>
          <w:sz w:val="24"/>
        </w:rPr>
        <w:t>投标响应文件；</w:t>
      </w:r>
    </w:p>
    <w:p w14:paraId="61C35A45">
      <w:pPr>
        <w:pStyle w:val="17"/>
        <w:numPr>
          <w:ilvl w:val="0"/>
          <w:numId w:val="32"/>
        </w:numPr>
        <w:tabs>
          <w:tab w:val="left" w:pos="1369"/>
        </w:tabs>
        <w:spacing w:before="161" w:after="0" w:line="240" w:lineRule="auto"/>
        <w:ind w:left="1369" w:right="0" w:hanging="601"/>
        <w:jc w:val="left"/>
        <w:rPr>
          <w:sz w:val="24"/>
        </w:rPr>
      </w:pPr>
      <w:r>
        <w:rPr>
          <w:sz w:val="24"/>
        </w:rPr>
        <w:t>采购需求；</w:t>
      </w:r>
    </w:p>
    <w:p w14:paraId="783AAE93">
      <w:pPr>
        <w:pStyle w:val="17"/>
        <w:numPr>
          <w:ilvl w:val="0"/>
          <w:numId w:val="32"/>
        </w:numPr>
        <w:tabs>
          <w:tab w:val="left" w:pos="1369"/>
        </w:tabs>
        <w:spacing w:before="160" w:after="0" w:line="240" w:lineRule="auto"/>
        <w:ind w:left="1369" w:right="0" w:hanging="601"/>
        <w:jc w:val="left"/>
        <w:rPr>
          <w:sz w:val="24"/>
        </w:rPr>
      </w:pPr>
      <w:r>
        <w:rPr>
          <w:sz w:val="24"/>
        </w:rPr>
        <w:t>其他相关文件。</w:t>
      </w:r>
    </w:p>
    <w:p w14:paraId="6B123739">
      <w:pPr>
        <w:spacing w:after="0" w:line="240" w:lineRule="auto"/>
        <w:jc w:val="left"/>
        <w:rPr>
          <w:sz w:val="24"/>
        </w:rPr>
        <w:sectPr>
          <w:pgSz w:w="11910" w:h="16840"/>
          <w:pgMar w:top="1200" w:right="900" w:bottom="1020" w:left="960" w:header="0" w:footer="828" w:gutter="0"/>
          <w:pgNumType w:fmt="decimal"/>
          <w:cols w:space="720" w:num="1"/>
        </w:sectPr>
      </w:pPr>
    </w:p>
    <w:p w14:paraId="24531815">
      <w:pPr>
        <w:pStyle w:val="5"/>
        <w:spacing w:before="30"/>
        <w:ind w:right="333"/>
      </w:pPr>
      <w:r>
        <w:t>九、重新招标</w:t>
      </w:r>
    </w:p>
    <w:p w14:paraId="11AFCB75">
      <w:pPr>
        <w:pStyle w:val="8"/>
        <w:rPr>
          <w:b/>
          <w:sz w:val="32"/>
        </w:rPr>
      </w:pPr>
    </w:p>
    <w:p w14:paraId="6F277BF6">
      <w:pPr>
        <w:pStyle w:val="7"/>
        <w:spacing w:before="268"/>
      </w:pPr>
      <w:r>
        <w:t>25、有下列情形之一的，采购人将重新招标：</w:t>
      </w:r>
    </w:p>
    <w:p w14:paraId="76C8C049">
      <w:pPr>
        <w:pStyle w:val="17"/>
        <w:numPr>
          <w:ilvl w:val="0"/>
          <w:numId w:val="0"/>
        </w:numPr>
        <w:tabs>
          <w:tab w:val="left" w:pos="1368"/>
        </w:tabs>
        <w:spacing w:before="158" w:after="0" w:line="364" w:lineRule="auto"/>
        <w:ind w:left="767" w:leftChars="0" w:right="344" w:rightChars="0"/>
        <w:jc w:val="both"/>
        <w:rPr>
          <w:sz w:val="24"/>
        </w:rPr>
      </w:pPr>
      <w:r>
        <w:rPr>
          <w:rFonts w:hint="eastAsia"/>
          <w:spacing w:val="-8"/>
          <w:sz w:val="24"/>
          <w:lang w:val="en-US" w:eastAsia="zh-CN"/>
        </w:rPr>
        <w:t xml:space="preserve">25.1  </w:t>
      </w:r>
      <w:r>
        <w:rPr>
          <w:spacing w:val="-8"/>
          <w:sz w:val="24"/>
        </w:rPr>
        <w:t xml:space="preserve">公开招标数额标准以上的采购项目，投标截止后投标人不足 </w:t>
      </w:r>
      <w:r>
        <w:rPr>
          <w:sz w:val="24"/>
        </w:rPr>
        <w:t>3</w:t>
      </w:r>
      <w:r>
        <w:rPr>
          <w:spacing w:val="-9"/>
          <w:sz w:val="24"/>
        </w:rPr>
        <w:t xml:space="preserve"> 家或者通过资格审</w:t>
      </w:r>
      <w:r>
        <w:rPr>
          <w:spacing w:val="-5"/>
          <w:sz w:val="24"/>
        </w:rPr>
        <w:t xml:space="preserve">查或符合性审查的投标人不足 </w:t>
      </w:r>
      <w:r>
        <w:rPr>
          <w:sz w:val="24"/>
        </w:rPr>
        <w:t>3</w:t>
      </w:r>
      <w:r>
        <w:rPr>
          <w:spacing w:val="-8"/>
          <w:sz w:val="24"/>
        </w:rPr>
        <w:t xml:space="preserve"> 家的，除采购任务取消情形外，采购人重新招标；</w:t>
      </w:r>
    </w:p>
    <w:p w14:paraId="40D59CF7">
      <w:pPr>
        <w:pStyle w:val="17"/>
        <w:numPr>
          <w:ilvl w:val="0"/>
          <w:numId w:val="0"/>
        </w:numPr>
        <w:tabs>
          <w:tab w:val="left" w:pos="1368"/>
        </w:tabs>
        <w:spacing w:before="0" w:after="0" w:line="364" w:lineRule="auto"/>
        <w:ind w:left="767" w:leftChars="0" w:right="344" w:rightChars="0"/>
        <w:jc w:val="both"/>
        <w:rPr>
          <w:sz w:val="24"/>
        </w:rPr>
      </w:pPr>
      <w:r>
        <w:rPr>
          <w:rFonts w:hint="eastAsia"/>
          <w:spacing w:val="-5"/>
          <w:sz w:val="24"/>
          <w:lang w:val="en-US" w:eastAsia="zh-CN"/>
        </w:rPr>
        <w:t xml:space="preserve">25.2  </w:t>
      </w:r>
      <w:r>
        <w:rPr>
          <w:spacing w:val="-5"/>
          <w:sz w:val="24"/>
        </w:rPr>
        <w:t>中标或者成交供应商拒绝与采购人签订合同的，采购人可以按照评审报告推荐的</w:t>
      </w:r>
      <w:r>
        <w:rPr>
          <w:sz w:val="24"/>
        </w:rPr>
        <w:t>中标或者成交候选人名单排序，确定下一候选人为中标或者成交供应商，也可以重新开展政府采购活动。</w:t>
      </w:r>
    </w:p>
    <w:p w14:paraId="68D62196">
      <w:pPr>
        <w:pStyle w:val="8"/>
      </w:pPr>
    </w:p>
    <w:p w14:paraId="7040AF27">
      <w:pPr>
        <w:pStyle w:val="5"/>
        <w:spacing w:before="158"/>
        <w:ind w:right="328"/>
      </w:pPr>
      <w:r>
        <w:t>十、质疑</w:t>
      </w:r>
    </w:p>
    <w:p w14:paraId="61DC86DD">
      <w:pPr>
        <w:pStyle w:val="8"/>
        <w:rPr>
          <w:b/>
          <w:sz w:val="32"/>
        </w:rPr>
      </w:pPr>
    </w:p>
    <w:p w14:paraId="1626DB5F">
      <w:pPr>
        <w:pStyle w:val="7"/>
        <w:spacing w:before="268"/>
      </w:pPr>
      <w:r>
        <w:t>26、质疑</w:t>
      </w:r>
    </w:p>
    <w:p w14:paraId="1AD41898">
      <w:pPr>
        <w:pStyle w:val="17"/>
        <w:numPr>
          <w:ilvl w:val="1"/>
          <w:numId w:val="33"/>
        </w:numPr>
        <w:tabs>
          <w:tab w:val="left" w:pos="1368"/>
        </w:tabs>
        <w:spacing w:before="161" w:after="0" w:line="364" w:lineRule="auto"/>
        <w:ind w:left="287" w:right="344" w:firstLine="480"/>
        <w:jc w:val="both"/>
        <w:rPr>
          <w:sz w:val="24"/>
        </w:rPr>
      </w:pPr>
      <w:r>
        <w:rPr>
          <w:spacing w:val="-7"/>
          <w:sz w:val="24"/>
        </w:rPr>
        <w:t>投标人认为招标文件、采购过程和中标、成交结果使自己的权益受到损害的，可</w:t>
      </w:r>
      <w:r>
        <w:rPr>
          <w:sz w:val="24"/>
        </w:rPr>
        <w:t>以在知道或者应知其权益受到损害之日起七个工作日内，以书面形式向采购人提出质疑。投标人应在法定质疑期内一次性提出针对同一采购程序环节的质疑。</w:t>
      </w:r>
    </w:p>
    <w:p w14:paraId="68C8C385">
      <w:pPr>
        <w:pStyle w:val="8"/>
        <w:spacing w:line="364" w:lineRule="auto"/>
        <w:ind w:left="287" w:right="104" w:firstLine="480"/>
        <w:jc w:val="both"/>
      </w:pPr>
      <w:r>
        <w:t xml:space="preserve">质疑供应商对采购人、采购代理机构的答复不满意或者采购人、采购代理机构未在规 </w:t>
      </w:r>
      <w:r>
        <w:rPr>
          <w:spacing w:val="-10"/>
        </w:rPr>
        <w:t xml:space="preserve">定时间内作出答复的，可以在答复期满后 </w:t>
      </w:r>
      <w:r>
        <w:t>15</w:t>
      </w:r>
      <w:r>
        <w:rPr>
          <w:spacing w:val="-9"/>
        </w:rPr>
        <w:t xml:space="preserve"> 个工作日内向同级政府采购监督管理部门投诉。</w:t>
      </w:r>
    </w:p>
    <w:p w14:paraId="7EE1A73C">
      <w:pPr>
        <w:pStyle w:val="17"/>
        <w:numPr>
          <w:ilvl w:val="1"/>
          <w:numId w:val="33"/>
        </w:numPr>
        <w:tabs>
          <w:tab w:val="left" w:pos="1368"/>
        </w:tabs>
        <w:spacing w:before="0" w:after="0" w:line="362" w:lineRule="auto"/>
        <w:ind w:left="287" w:right="344" w:firstLine="480"/>
        <w:jc w:val="both"/>
        <w:rPr>
          <w:sz w:val="24"/>
        </w:rPr>
      </w:pPr>
      <w:r>
        <w:rPr>
          <w:spacing w:val="-9"/>
          <w:sz w:val="24"/>
        </w:rPr>
        <w:t>质疑、投诉应当采用书面形式，质疑书、投诉书均应明确阐述招标文件、招标过</w:t>
      </w:r>
      <w:r>
        <w:rPr>
          <w:sz w:val="24"/>
        </w:rPr>
        <w:t>程或中标结果中使自己合法权益受到损害的实质性内容，提供相关事实、依据和证据及其来源或线索，便于有关单位调查、答复和处理。</w:t>
      </w:r>
    </w:p>
    <w:p w14:paraId="5BFA1E5C">
      <w:pPr>
        <w:pStyle w:val="17"/>
        <w:numPr>
          <w:ilvl w:val="1"/>
          <w:numId w:val="33"/>
        </w:numPr>
        <w:tabs>
          <w:tab w:val="left" w:pos="1368"/>
        </w:tabs>
        <w:spacing w:before="4" w:after="0" w:line="364" w:lineRule="auto"/>
        <w:ind w:left="287" w:right="344" w:firstLine="480"/>
        <w:jc w:val="both"/>
        <w:rPr>
          <w:sz w:val="24"/>
        </w:rPr>
      </w:pPr>
      <w:r>
        <w:rPr>
          <w:spacing w:val="-4"/>
          <w:sz w:val="24"/>
        </w:rPr>
        <w:t>质疑</w:t>
      </w:r>
      <w:r>
        <w:rPr>
          <w:spacing w:val="-3"/>
          <w:sz w:val="24"/>
        </w:rPr>
        <w:t>（</w:t>
      </w:r>
      <w:r>
        <w:rPr>
          <w:sz w:val="24"/>
        </w:rPr>
        <w:t>投诉</w:t>
      </w:r>
      <w:r>
        <w:rPr>
          <w:spacing w:val="-8"/>
          <w:sz w:val="24"/>
        </w:rPr>
        <w:t>）</w:t>
      </w:r>
      <w:r>
        <w:rPr>
          <w:spacing w:val="-2"/>
          <w:sz w:val="24"/>
        </w:rPr>
        <w:t>书应载明质疑</w:t>
      </w:r>
      <w:r>
        <w:rPr>
          <w:sz w:val="24"/>
        </w:rPr>
        <w:t>（投诉</w:t>
      </w:r>
      <w:r>
        <w:rPr>
          <w:spacing w:val="-8"/>
          <w:sz w:val="24"/>
        </w:rPr>
        <w:t>）</w:t>
      </w:r>
      <w:r>
        <w:rPr>
          <w:spacing w:val="-7"/>
          <w:sz w:val="24"/>
        </w:rPr>
        <w:t>人全称、地址、邮编、传真、联系人、联系</w:t>
      </w:r>
      <w:r>
        <w:rPr>
          <w:sz w:val="24"/>
        </w:rPr>
        <w:t>电话，电子邮箱。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 并加盖公章。投标人委托代理人提出质疑（投诉），应当提交供应商签署的授权委托书。</w:t>
      </w:r>
      <w:r>
        <w:rPr>
          <w:spacing w:val="-8"/>
          <w:sz w:val="24"/>
        </w:rPr>
        <w:t>质疑</w:t>
      </w:r>
      <w:r>
        <w:rPr>
          <w:sz w:val="24"/>
        </w:rPr>
        <w:t>（投诉</w:t>
      </w:r>
      <w:r>
        <w:rPr>
          <w:spacing w:val="-15"/>
          <w:sz w:val="24"/>
        </w:rPr>
        <w:t>）</w:t>
      </w:r>
      <w:r>
        <w:rPr>
          <w:spacing w:val="-3"/>
          <w:sz w:val="24"/>
        </w:rPr>
        <w:t>书必须有联系人署名。</w:t>
      </w:r>
      <w:r>
        <w:rPr>
          <w:sz w:val="24"/>
        </w:rPr>
        <w:t>（</w:t>
      </w:r>
      <w:r>
        <w:rPr>
          <w:spacing w:val="-6"/>
          <w:sz w:val="24"/>
        </w:rPr>
        <w:t xml:space="preserve">质疑函格式见财政部令 </w:t>
      </w:r>
      <w:r>
        <w:rPr>
          <w:sz w:val="24"/>
        </w:rPr>
        <w:t>94</w:t>
      </w:r>
      <w:r>
        <w:rPr>
          <w:spacing w:val="-10"/>
          <w:sz w:val="24"/>
        </w:rPr>
        <w:t xml:space="preserve"> 号《政府采购质疑和投诉</w:t>
      </w:r>
      <w:r>
        <w:rPr>
          <w:sz w:val="24"/>
        </w:rPr>
        <w:t>办法》）。</w:t>
      </w:r>
    </w:p>
    <w:p w14:paraId="1F5A58BB">
      <w:pPr>
        <w:pStyle w:val="17"/>
        <w:numPr>
          <w:ilvl w:val="1"/>
          <w:numId w:val="33"/>
        </w:numPr>
        <w:tabs>
          <w:tab w:val="left" w:pos="1368"/>
        </w:tabs>
        <w:spacing w:before="0" w:after="0" w:line="304" w:lineRule="exact"/>
        <w:ind w:left="1368" w:right="0" w:hanging="600"/>
        <w:jc w:val="both"/>
        <w:rPr>
          <w:sz w:val="24"/>
        </w:rPr>
      </w:pPr>
      <w:r>
        <w:rPr>
          <w:sz w:val="24"/>
        </w:rPr>
        <w:t>供应商提出质疑应当提交质疑函和必要的证明材料。质疑函应当包括下列内容：</w:t>
      </w:r>
    </w:p>
    <w:p w14:paraId="6B1470D9">
      <w:pPr>
        <w:pStyle w:val="17"/>
        <w:numPr>
          <w:ilvl w:val="0"/>
          <w:numId w:val="34"/>
        </w:numPr>
        <w:tabs>
          <w:tab w:val="left" w:pos="1369"/>
        </w:tabs>
        <w:spacing w:before="158" w:after="0" w:line="240" w:lineRule="auto"/>
        <w:ind w:left="1369" w:right="0" w:hanging="601"/>
        <w:jc w:val="left"/>
        <w:rPr>
          <w:sz w:val="24"/>
        </w:rPr>
      </w:pPr>
      <w:r>
        <w:rPr>
          <w:sz w:val="24"/>
        </w:rPr>
        <w:t>供应商的姓名或者名称、地址、邮编、联系人及联系电话；</w:t>
      </w:r>
    </w:p>
    <w:p w14:paraId="3A607F14">
      <w:pPr>
        <w:pStyle w:val="17"/>
        <w:numPr>
          <w:ilvl w:val="0"/>
          <w:numId w:val="34"/>
        </w:numPr>
        <w:tabs>
          <w:tab w:val="left" w:pos="1369"/>
        </w:tabs>
        <w:spacing w:before="161" w:after="0" w:line="240" w:lineRule="auto"/>
        <w:ind w:left="1369" w:right="0" w:hanging="601"/>
        <w:jc w:val="left"/>
        <w:rPr>
          <w:sz w:val="24"/>
        </w:rPr>
      </w:pPr>
      <w:r>
        <w:rPr>
          <w:sz w:val="24"/>
        </w:rPr>
        <w:t>质疑项目的名称、编号；</w:t>
      </w:r>
    </w:p>
    <w:p w14:paraId="1293A9D0">
      <w:pPr>
        <w:spacing w:after="0" w:line="240" w:lineRule="auto"/>
        <w:jc w:val="left"/>
        <w:rPr>
          <w:sz w:val="24"/>
        </w:rPr>
        <w:sectPr>
          <w:pgSz w:w="11910" w:h="16840"/>
          <w:pgMar w:top="1220" w:right="900" w:bottom="1020" w:left="960" w:header="0" w:footer="828" w:gutter="0"/>
          <w:pgNumType w:fmt="decimal"/>
          <w:cols w:space="720" w:num="1"/>
        </w:sectPr>
      </w:pPr>
    </w:p>
    <w:p w14:paraId="5F514349">
      <w:pPr>
        <w:pStyle w:val="17"/>
        <w:numPr>
          <w:ilvl w:val="0"/>
          <w:numId w:val="34"/>
        </w:numPr>
        <w:tabs>
          <w:tab w:val="left" w:pos="1369"/>
        </w:tabs>
        <w:spacing w:before="49" w:after="0" w:line="240" w:lineRule="auto"/>
        <w:ind w:left="1369" w:right="0" w:hanging="601"/>
        <w:jc w:val="left"/>
        <w:rPr>
          <w:sz w:val="24"/>
        </w:rPr>
      </w:pPr>
      <w:r>
        <w:rPr>
          <w:sz w:val="24"/>
        </w:rPr>
        <w:t>具体、明确的质疑事项和与质疑事项相关的请求；</w:t>
      </w:r>
    </w:p>
    <w:p w14:paraId="4592D41F">
      <w:pPr>
        <w:pStyle w:val="17"/>
        <w:numPr>
          <w:ilvl w:val="0"/>
          <w:numId w:val="34"/>
        </w:numPr>
        <w:tabs>
          <w:tab w:val="left" w:pos="1369"/>
        </w:tabs>
        <w:spacing w:before="158" w:after="0" w:line="240" w:lineRule="auto"/>
        <w:ind w:left="1369" w:right="0" w:hanging="601"/>
        <w:jc w:val="left"/>
        <w:rPr>
          <w:sz w:val="24"/>
        </w:rPr>
      </w:pPr>
      <w:r>
        <w:rPr>
          <w:sz w:val="24"/>
        </w:rPr>
        <w:t>事实依据；</w:t>
      </w:r>
    </w:p>
    <w:p w14:paraId="37C86C0F">
      <w:pPr>
        <w:pStyle w:val="17"/>
        <w:numPr>
          <w:ilvl w:val="0"/>
          <w:numId w:val="34"/>
        </w:numPr>
        <w:tabs>
          <w:tab w:val="left" w:pos="1369"/>
        </w:tabs>
        <w:spacing w:before="160" w:after="0" w:line="240" w:lineRule="auto"/>
        <w:ind w:left="1369" w:right="0" w:hanging="601"/>
        <w:jc w:val="left"/>
        <w:rPr>
          <w:sz w:val="24"/>
        </w:rPr>
      </w:pPr>
      <w:r>
        <w:rPr>
          <w:sz w:val="24"/>
        </w:rPr>
        <w:t>必要的法律依据；</w:t>
      </w:r>
    </w:p>
    <w:p w14:paraId="084E5B88">
      <w:pPr>
        <w:pStyle w:val="17"/>
        <w:numPr>
          <w:ilvl w:val="0"/>
          <w:numId w:val="34"/>
        </w:numPr>
        <w:tabs>
          <w:tab w:val="left" w:pos="1369"/>
        </w:tabs>
        <w:spacing w:before="158" w:after="0" w:line="240" w:lineRule="auto"/>
        <w:ind w:left="1369" w:right="0" w:hanging="601"/>
        <w:jc w:val="left"/>
        <w:rPr>
          <w:sz w:val="24"/>
        </w:rPr>
      </w:pPr>
      <w:r>
        <w:rPr>
          <w:sz w:val="24"/>
        </w:rPr>
        <w:t>提出质疑的日期。</w:t>
      </w:r>
    </w:p>
    <w:p w14:paraId="595B1828">
      <w:pPr>
        <w:pStyle w:val="8"/>
        <w:spacing w:before="161" w:line="362" w:lineRule="auto"/>
        <w:ind w:left="287" w:right="344" w:firstLine="480"/>
      </w:pPr>
      <w:r>
        <w:t>供应商为自然人的，应当由本人签字；供应商为法人或者其他组织的，应当由法定代表人、主要负责人，或者其授权代表签字或者盖章，并加盖公章。</w:t>
      </w:r>
    </w:p>
    <w:p w14:paraId="6D9AAA79">
      <w:pPr>
        <w:pStyle w:val="17"/>
        <w:numPr>
          <w:ilvl w:val="1"/>
          <w:numId w:val="33"/>
        </w:numPr>
        <w:tabs>
          <w:tab w:val="left" w:pos="1368"/>
        </w:tabs>
        <w:spacing w:before="5" w:after="0" w:line="240" w:lineRule="auto"/>
        <w:ind w:left="1368" w:right="0" w:hanging="600"/>
        <w:jc w:val="left"/>
        <w:rPr>
          <w:sz w:val="24"/>
        </w:rPr>
      </w:pPr>
      <w:r>
        <w:rPr>
          <w:sz w:val="24"/>
        </w:rPr>
        <w:t>代理机构通过以下方式接收质疑函：</w:t>
      </w:r>
    </w:p>
    <w:p w14:paraId="1C1E781F">
      <w:pPr>
        <w:pStyle w:val="17"/>
        <w:numPr>
          <w:ilvl w:val="0"/>
          <w:numId w:val="35"/>
        </w:numPr>
        <w:tabs>
          <w:tab w:val="left" w:pos="1369"/>
        </w:tabs>
        <w:spacing w:before="160" w:after="0" w:line="362" w:lineRule="auto"/>
        <w:ind w:left="287" w:right="344" w:firstLine="480"/>
        <w:jc w:val="left"/>
        <w:rPr>
          <w:sz w:val="24"/>
        </w:rPr>
      </w:pPr>
      <w:r>
        <w:rPr>
          <w:spacing w:val="-8"/>
          <w:sz w:val="24"/>
        </w:rPr>
        <w:t>接收质疑函的方式：加盖公章的纸质版质疑函</w:t>
      </w:r>
      <w:r>
        <w:rPr>
          <w:sz w:val="24"/>
        </w:rPr>
        <w:t>（</w:t>
      </w:r>
      <w:r>
        <w:rPr>
          <w:spacing w:val="-6"/>
          <w:sz w:val="24"/>
        </w:rPr>
        <w:t xml:space="preserve">具体格式详见财政部令 </w:t>
      </w:r>
      <w:r>
        <w:rPr>
          <w:sz w:val="24"/>
        </w:rPr>
        <w:t>94</w:t>
      </w:r>
      <w:r>
        <w:rPr>
          <w:spacing w:val="-36"/>
          <w:sz w:val="24"/>
        </w:rPr>
        <w:t xml:space="preserve"> 号《</w:t>
      </w:r>
      <w:r>
        <w:rPr>
          <w:spacing w:val="-4"/>
          <w:sz w:val="24"/>
        </w:rPr>
        <w:t>政府采购质疑和投诉办法》</w:t>
      </w:r>
      <w:r>
        <w:rPr>
          <w:sz w:val="24"/>
        </w:rPr>
        <w:t>）；</w:t>
      </w:r>
    </w:p>
    <w:p w14:paraId="2CA40D76">
      <w:pPr>
        <w:pStyle w:val="17"/>
        <w:numPr>
          <w:ilvl w:val="0"/>
          <w:numId w:val="35"/>
        </w:numPr>
        <w:tabs>
          <w:tab w:val="left" w:pos="1369"/>
        </w:tabs>
        <w:spacing w:before="3" w:after="0" w:line="240" w:lineRule="auto"/>
        <w:ind w:left="1369" w:right="0" w:hanging="601"/>
        <w:jc w:val="left"/>
        <w:rPr>
          <w:sz w:val="24"/>
        </w:rPr>
      </w:pPr>
      <w:r>
        <w:rPr>
          <w:sz w:val="24"/>
        </w:rPr>
        <w:t>联系部门：</w:t>
      </w:r>
      <w:r>
        <w:rPr>
          <w:rFonts w:hint="eastAsia"/>
          <w:sz w:val="24"/>
          <w:lang w:eastAsia="zh-CN"/>
        </w:rPr>
        <w:t>新疆疆裕百川工程项目管理有限公司</w:t>
      </w:r>
      <w:r>
        <w:rPr>
          <w:sz w:val="24"/>
        </w:rPr>
        <w:t>；</w:t>
      </w:r>
    </w:p>
    <w:p w14:paraId="447DD4E1">
      <w:pPr>
        <w:pStyle w:val="8"/>
        <w:spacing w:before="160"/>
        <w:ind w:left="768"/>
      </w:pPr>
      <w:r>
        <w:t>（3）联系方式：</w:t>
      </w:r>
      <w:r>
        <w:rPr>
          <w:rFonts w:hint="eastAsia"/>
          <w:lang w:val="en-US" w:eastAsia="zh-CN"/>
        </w:rPr>
        <w:t>15699079700</w:t>
      </w:r>
      <w:r>
        <w:t>；</w:t>
      </w:r>
    </w:p>
    <w:p w14:paraId="2FFAA661">
      <w:pPr>
        <w:pStyle w:val="8"/>
        <w:spacing w:before="161"/>
        <w:ind w:left="768"/>
      </w:pPr>
      <w:r>
        <w:t>（4）通讯地址：</w:t>
      </w:r>
      <w:r>
        <w:rPr>
          <w:rFonts w:hint="eastAsia"/>
          <w:lang w:val="en-US" w:eastAsia="zh-CN"/>
        </w:rPr>
        <w:t>新疆阿克苏地区阿克苏市红桥街道长安社区友谊北路阿克苏丝路古镇奇石玉石博览旅游文化中心16-001(二至三层)</w:t>
      </w:r>
      <w:r>
        <w:t>。</w:t>
      </w:r>
    </w:p>
    <w:p w14:paraId="5990633E">
      <w:pPr>
        <w:pStyle w:val="17"/>
        <w:numPr>
          <w:ilvl w:val="1"/>
          <w:numId w:val="33"/>
        </w:numPr>
        <w:tabs>
          <w:tab w:val="left" w:pos="1308"/>
        </w:tabs>
        <w:spacing w:before="158" w:after="0" w:line="364" w:lineRule="auto"/>
        <w:ind w:left="287" w:right="224" w:firstLine="480"/>
        <w:jc w:val="left"/>
        <w:rPr>
          <w:sz w:val="24"/>
        </w:rPr>
      </w:pPr>
      <w:r>
        <w:rPr>
          <w:spacing w:val="-9"/>
          <w:sz w:val="24"/>
        </w:rPr>
        <w:t xml:space="preserve">投标人通过邮寄方式递交质疑函的，在质疑函寄出的同时，须电话告知代理机构， </w:t>
      </w:r>
      <w:r>
        <w:rPr>
          <w:sz w:val="24"/>
        </w:rPr>
        <w:t>并同步递交所邮寄质疑函的清晰扫描件。</w:t>
      </w:r>
    </w:p>
    <w:p w14:paraId="1C52F59D">
      <w:pPr>
        <w:pStyle w:val="7"/>
        <w:spacing w:line="306" w:lineRule="exact"/>
      </w:pPr>
      <w:bookmarkStart w:id="32" w:name="_bookmark3"/>
      <w:bookmarkEnd w:id="32"/>
      <w:r>
        <w:t>27、虚假、恶意投诉法律责任</w:t>
      </w:r>
    </w:p>
    <w:p w14:paraId="6E259F22">
      <w:pPr>
        <w:pStyle w:val="17"/>
        <w:numPr>
          <w:ilvl w:val="1"/>
          <w:numId w:val="36"/>
        </w:numPr>
        <w:tabs>
          <w:tab w:val="left" w:pos="1249"/>
        </w:tabs>
        <w:spacing w:before="160" w:after="0" w:line="364" w:lineRule="auto"/>
        <w:ind w:left="287" w:right="344" w:firstLine="480"/>
        <w:jc w:val="both"/>
        <w:rPr>
          <w:sz w:val="24"/>
        </w:rPr>
      </w:pPr>
      <w:r>
        <w:rPr>
          <w:sz w:val="24"/>
        </w:rPr>
        <w:t>《中华人民共和国政府采购法实施条例》第七十三条：供应商捏造事实、提供虚假材料或者以非法手段取得证明材料进行投诉的，由财政部门列入不良行为记录名单，禁止其1至3年内参加政府采购活动。</w:t>
      </w:r>
    </w:p>
    <w:p w14:paraId="074C4FFD">
      <w:pPr>
        <w:pStyle w:val="17"/>
        <w:numPr>
          <w:ilvl w:val="1"/>
          <w:numId w:val="36"/>
        </w:numPr>
        <w:tabs>
          <w:tab w:val="left" w:pos="1249"/>
        </w:tabs>
        <w:spacing w:before="0" w:after="0" w:line="304" w:lineRule="exact"/>
        <w:ind w:left="1249" w:right="0" w:hanging="481"/>
        <w:jc w:val="both"/>
        <w:rPr>
          <w:sz w:val="24"/>
        </w:rPr>
      </w:pPr>
      <w:r>
        <w:rPr>
          <w:spacing w:val="-5"/>
          <w:sz w:val="24"/>
        </w:rPr>
        <w:t>《政府采购质疑和投诉办法》</w:t>
      </w:r>
      <w:r>
        <w:rPr>
          <w:spacing w:val="-3"/>
          <w:sz w:val="24"/>
        </w:rPr>
        <w:t>（</w:t>
      </w:r>
      <w:r>
        <w:rPr>
          <w:sz w:val="24"/>
        </w:rPr>
        <w:t>财政部令第94号</w:t>
      </w:r>
      <w:r>
        <w:rPr>
          <w:spacing w:val="-15"/>
          <w:sz w:val="24"/>
        </w:rPr>
        <w:t>）</w:t>
      </w:r>
      <w:r>
        <w:rPr>
          <w:sz w:val="24"/>
        </w:rPr>
        <w:t>第三十七条 投诉人在全国范围</w:t>
      </w:r>
    </w:p>
    <w:p w14:paraId="70BB2317">
      <w:pPr>
        <w:pStyle w:val="8"/>
        <w:spacing w:before="161"/>
        <w:ind w:left="287"/>
      </w:pPr>
      <w:r>
        <w:t>12个月内三次以上投诉查无实据的，由财政部门列入不良行为记录名单。</w:t>
      </w:r>
    </w:p>
    <w:p w14:paraId="55A488E8">
      <w:pPr>
        <w:pStyle w:val="8"/>
        <w:spacing w:before="158" w:line="364" w:lineRule="auto"/>
        <w:ind w:left="287" w:right="157" w:firstLine="480"/>
      </w:pPr>
      <w:r>
        <w:t>投诉人有下列行为之一的，属于虚假、恶意投诉，由财政部门列入不良行为记录名单， 禁止其1至3年内参加政府采购活动：</w:t>
      </w:r>
    </w:p>
    <w:p w14:paraId="445F6FFD">
      <w:pPr>
        <w:pStyle w:val="17"/>
        <w:numPr>
          <w:ilvl w:val="0"/>
          <w:numId w:val="37"/>
        </w:numPr>
        <w:tabs>
          <w:tab w:val="left" w:pos="1369"/>
        </w:tabs>
        <w:spacing w:before="1" w:after="0" w:line="240" w:lineRule="auto"/>
        <w:ind w:left="1369" w:right="0" w:hanging="601"/>
        <w:jc w:val="left"/>
        <w:rPr>
          <w:sz w:val="24"/>
        </w:rPr>
      </w:pPr>
      <w:r>
        <w:rPr>
          <w:sz w:val="24"/>
        </w:rPr>
        <w:t>捏造事实；</w:t>
      </w:r>
    </w:p>
    <w:p w14:paraId="3C31A3FC">
      <w:pPr>
        <w:pStyle w:val="17"/>
        <w:numPr>
          <w:ilvl w:val="0"/>
          <w:numId w:val="37"/>
        </w:numPr>
        <w:tabs>
          <w:tab w:val="left" w:pos="1369"/>
        </w:tabs>
        <w:spacing w:before="158" w:after="0" w:line="240" w:lineRule="auto"/>
        <w:ind w:left="1369" w:right="0" w:hanging="601"/>
        <w:jc w:val="left"/>
        <w:rPr>
          <w:sz w:val="24"/>
        </w:rPr>
      </w:pPr>
      <w:r>
        <w:rPr>
          <w:sz w:val="24"/>
        </w:rPr>
        <w:t>提供虚假材料；</w:t>
      </w:r>
    </w:p>
    <w:p w14:paraId="5C319261">
      <w:pPr>
        <w:pStyle w:val="17"/>
        <w:numPr>
          <w:ilvl w:val="0"/>
          <w:numId w:val="37"/>
        </w:numPr>
        <w:tabs>
          <w:tab w:val="left" w:pos="1369"/>
        </w:tabs>
        <w:spacing w:before="161" w:after="0" w:line="362" w:lineRule="auto"/>
        <w:ind w:left="287" w:right="344" w:firstLine="480"/>
        <w:jc w:val="left"/>
        <w:rPr>
          <w:sz w:val="24"/>
        </w:rPr>
      </w:pPr>
      <w:r>
        <w:rPr>
          <w:spacing w:val="-3"/>
          <w:sz w:val="24"/>
        </w:rPr>
        <w:t>以非法手段取得证明材料。证据来源的合法性存在明显疑问，投诉人无法证明</w:t>
      </w:r>
      <w:r>
        <w:rPr>
          <w:spacing w:val="-4"/>
          <w:sz w:val="24"/>
        </w:rPr>
        <w:t>其取得方式合法的，视为以非法手段取得证明材料。</w:t>
      </w:r>
    </w:p>
    <w:p w14:paraId="18A81D96">
      <w:pPr>
        <w:spacing w:after="0" w:line="362" w:lineRule="auto"/>
        <w:jc w:val="left"/>
        <w:rPr>
          <w:sz w:val="24"/>
        </w:rPr>
        <w:sectPr>
          <w:pgSz w:w="11910" w:h="16840"/>
          <w:pgMar w:top="1200" w:right="900" w:bottom="1020" w:left="960" w:header="0" w:footer="828" w:gutter="0"/>
          <w:pgNumType w:fmt="decimal"/>
          <w:cols w:space="720" w:num="1"/>
        </w:sectPr>
      </w:pPr>
    </w:p>
    <w:p w14:paraId="2B433F30">
      <w:pPr>
        <w:pStyle w:val="3"/>
        <w:ind w:right="330"/>
      </w:pPr>
      <w:r>
        <w:t>第三章 评标方法</w:t>
      </w:r>
    </w:p>
    <w:p w14:paraId="1311EEDA">
      <w:pPr>
        <w:pStyle w:val="8"/>
        <w:spacing w:before="9"/>
        <w:rPr>
          <w:b/>
          <w:sz w:val="34"/>
        </w:rPr>
      </w:pPr>
    </w:p>
    <w:p w14:paraId="5C7A6FEC">
      <w:pPr>
        <w:pStyle w:val="7"/>
      </w:pPr>
      <w:r>
        <w:t>1、评标方法</w:t>
      </w:r>
    </w:p>
    <w:p w14:paraId="64880CB6">
      <w:pPr>
        <w:pStyle w:val="8"/>
        <w:spacing w:before="161" w:line="364" w:lineRule="auto"/>
        <w:ind w:left="287" w:right="344" w:firstLine="480"/>
        <w:jc w:val="both"/>
      </w:pPr>
      <w:r>
        <w:t>1.1</w:t>
      </w:r>
      <w:r>
        <w:rPr>
          <w:spacing w:val="3"/>
        </w:rPr>
        <w:t xml:space="preserve"> 本次评标采用</w:t>
      </w:r>
      <w:r>
        <w:rPr>
          <w:b/>
          <w:u w:val="single"/>
        </w:rPr>
        <w:t>综合评分法</w:t>
      </w:r>
      <w:r>
        <w:t>。根据《中华人民共和国政府采购法》、《中华人民共</w:t>
      </w:r>
      <w:r>
        <w:rPr>
          <w:spacing w:val="-3"/>
        </w:rPr>
        <w:t>和国政府采购法实施条例》、《政府采购货物和服务招标投标管理办法》</w:t>
      </w:r>
      <w:r>
        <w:t>（</w:t>
      </w:r>
      <w:r>
        <w:rPr>
          <w:spacing w:val="-10"/>
        </w:rPr>
        <w:t xml:space="preserve">财政部令第 </w:t>
      </w:r>
      <w:r>
        <w:rPr>
          <w:spacing w:val="-8"/>
        </w:rPr>
        <w:t xml:space="preserve">87 </w:t>
      </w:r>
      <w:r>
        <w:t>号</w:t>
      </w:r>
      <w:r>
        <w:rPr>
          <w:spacing w:val="-3"/>
        </w:rPr>
        <w:t>）</w:t>
      </w:r>
      <w:r>
        <w:t>中所规定的标准和补充规定等法律法规和有关实施办法。评标委员会将对投标文件提</w:t>
      </w:r>
      <w:r>
        <w:rPr>
          <w:spacing w:val="-2"/>
        </w:rPr>
        <w:t>出的技术参数响应、业绩、售后承诺、投标价格等，能否最大限度的满足招标文件中规定的各项要求和评价标准进行评审和比较。</w:t>
      </w:r>
    </w:p>
    <w:p w14:paraId="7C7D07D2">
      <w:pPr>
        <w:pStyle w:val="7"/>
        <w:spacing w:line="306" w:lineRule="exact"/>
      </w:pPr>
      <w:r>
        <w:t>2、评标程序</w:t>
      </w:r>
    </w:p>
    <w:p w14:paraId="52587809">
      <w:pPr>
        <w:pStyle w:val="17"/>
        <w:numPr>
          <w:ilvl w:val="1"/>
          <w:numId w:val="38"/>
        </w:numPr>
        <w:tabs>
          <w:tab w:val="left" w:pos="1248"/>
        </w:tabs>
        <w:spacing w:before="158" w:after="0" w:line="240" w:lineRule="auto"/>
        <w:ind w:left="1248" w:right="0" w:hanging="480"/>
        <w:jc w:val="left"/>
        <w:rPr>
          <w:sz w:val="24"/>
        </w:rPr>
      </w:pPr>
      <w:r>
        <w:rPr>
          <w:sz w:val="24"/>
        </w:rPr>
        <w:t>评标准备；</w:t>
      </w:r>
    </w:p>
    <w:p w14:paraId="46A8E21A">
      <w:pPr>
        <w:pStyle w:val="17"/>
        <w:numPr>
          <w:ilvl w:val="1"/>
          <w:numId w:val="38"/>
        </w:numPr>
        <w:tabs>
          <w:tab w:val="left" w:pos="1248"/>
        </w:tabs>
        <w:spacing w:before="158" w:after="0" w:line="240" w:lineRule="auto"/>
        <w:ind w:left="1248" w:right="0" w:hanging="480"/>
        <w:jc w:val="left"/>
        <w:rPr>
          <w:sz w:val="24"/>
        </w:rPr>
      </w:pPr>
      <w:r>
        <w:rPr>
          <w:sz w:val="24"/>
        </w:rPr>
        <w:t>资格审查；</w:t>
      </w:r>
    </w:p>
    <w:p w14:paraId="29D451E5">
      <w:pPr>
        <w:pStyle w:val="17"/>
        <w:numPr>
          <w:ilvl w:val="1"/>
          <w:numId w:val="38"/>
        </w:numPr>
        <w:tabs>
          <w:tab w:val="left" w:pos="1248"/>
        </w:tabs>
        <w:spacing w:before="160" w:after="0" w:line="240" w:lineRule="auto"/>
        <w:ind w:left="1248" w:right="0" w:hanging="480"/>
        <w:jc w:val="left"/>
        <w:rPr>
          <w:sz w:val="24"/>
        </w:rPr>
      </w:pPr>
      <w:r>
        <w:rPr>
          <w:sz w:val="24"/>
        </w:rPr>
        <w:t>符合性审查；</w:t>
      </w:r>
    </w:p>
    <w:p w14:paraId="45CE3785">
      <w:pPr>
        <w:pStyle w:val="17"/>
        <w:numPr>
          <w:ilvl w:val="1"/>
          <w:numId w:val="38"/>
        </w:numPr>
        <w:tabs>
          <w:tab w:val="left" w:pos="1248"/>
        </w:tabs>
        <w:spacing w:before="161" w:after="0" w:line="240" w:lineRule="auto"/>
        <w:ind w:left="1248" w:right="0" w:hanging="480"/>
        <w:jc w:val="left"/>
        <w:rPr>
          <w:sz w:val="24"/>
        </w:rPr>
      </w:pPr>
      <w:r>
        <w:rPr>
          <w:sz w:val="24"/>
        </w:rPr>
        <w:t>澄清说明或补证；</w:t>
      </w:r>
    </w:p>
    <w:p w14:paraId="1541616D">
      <w:pPr>
        <w:pStyle w:val="17"/>
        <w:numPr>
          <w:ilvl w:val="1"/>
          <w:numId w:val="38"/>
        </w:numPr>
        <w:tabs>
          <w:tab w:val="left" w:pos="1248"/>
        </w:tabs>
        <w:spacing w:before="158" w:after="0" w:line="240" w:lineRule="auto"/>
        <w:ind w:left="1248" w:right="0" w:hanging="480"/>
        <w:jc w:val="left"/>
        <w:rPr>
          <w:sz w:val="24"/>
        </w:rPr>
      </w:pPr>
      <w:r>
        <w:rPr>
          <w:sz w:val="24"/>
        </w:rPr>
        <w:t>详细评审；</w:t>
      </w:r>
    </w:p>
    <w:p w14:paraId="0631D59E">
      <w:pPr>
        <w:pStyle w:val="17"/>
        <w:numPr>
          <w:ilvl w:val="1"/>
          <w:numId w:val="38"/>
        </w:numPr>
        <w:tabs>
          <w:tab w:val="left" w:pos="1248"/>
        </w:tabs>
        <w:spacing w:before="160" w:after="0" w:line="362" w:lineRule="auto"/>
        <w:ind w:left="287" w:right="5198" w:firstLine="480"/>
        <w:jc w:val="left"/>
        <w:rPr>
          <w:b/>
          <w:sz w:val="24"/>
        </w:rPr>
      </w:pPr>
      <w:r>
        <w:rPr>
          <w:spacing w:val="-2"/>
          <w:sz w:val="24"/>
        </w:rPr>
        <w:t>推荐中标候选人并提交评标报告。</w:t>
      </w:r>
      <w:r>
        <w:rPr>
          <w:b/>
          <w:sz w:val="24"/>
        </w:rPr>
        <w:t>3、评标准备</w:t>
      </w:r>
    </w:p>
    <w:p w14:paraId="664A3547">
      <w:pPr>
        <w:pStyle w:val="17"/>
        <w:numPr>
          <w:ilvl w:val="1"/>
          <w:numId w:val="39"/>
        </w:numPr>
        <w:tabs>
          <w:tab w:val="left" w:pos="1248"/>
        </w:tabs>
        <w:spacing w:before="5" w:after="0" w:line="240" w:lineRule="auto"/>
        <w:ind w:left="1248" w:right="0" w:hanging="480"/>
        <w:jc w:val="left"/>
        <w:rPr>
          <w:sz w:val="24"/>
        </w:rPr>
      </w:pPr>
      <w:r>
        <w:rPr>
          <w:sz w:val="24"/>
        </w:rPr>
        <w:t>评标委员会按照本招标文件规定依法组建。</w:t>
      </w:r>
    </w:p>
    <w:p w14:paraId="13E39D9A">
      <w:pPr>
        <w:pStyle w:val="17"/>
        <w:numPr>
          <w:ilvl w:val="1"/>
          <w:numId w:val="39"/>
        </w:numPr>
        <w:tabs>
          <w:tab w:val="left" w:pos="1248"/>
        </w:tabs>
        <w:spacing w:before="159" w:after="0" w:line="364" w:lineRule="auto"/>
        <w:ind w:left="287" w:right="344" w:firstLine="480"/>
        <w:jc w:val="both"/>
        <w:rPr>
          <w:sz w:val="24"/>
        </w:rPr>
      </w:pPr>
      <w:r>
        <w:rPr>
          <w:sz w:val="24"/>
        </w:rPr>
        <w:t>采购人或采购代理机构应向评标委员会提供评标所需的信息和数据，包括招标文件、未在开标会上当场拒绝的各投标文件、开标会记录、有关的法律、法规、规章、国家标准以及采购人或评标委员会认为必要的其他信息和数据。</w:t>
      </w:r>
    </w:p>
    <w:p w14:paraId="54D4BBA9">
      <w:pPr>
        <w:pStyle w:val="17"/>
        <w:numPr>
          <w:ilvl w:val="1"/>
          <w:numId w:val="39"/>
        </w:numPr>
        <w:tabs>
          <w:tab w:val="left" w:pos="1248"/>
        </w:tabs>
        <w:spacing w:before="0" w:after="0" w:line="364" w:lineRule="auto"/>
        <w:ind w:left="287" w:right="224" w:firstLine="480"/>
        <w:jc w:val="left"/>
        <w:rPr>
          <w:sz w:val="24"/>
        </w:rPr>
      </w:pPr>
      <w:r>
        <w:rPr>
          <w:spacing w:val="-4"/>
          <w:sz w:val="24"/>
        </w:rPr>
        <w:t>评标委员会组长应组织评标委员会成员认真研究招标文件，了解和熟悉招标目的、</w:t>
      </w:r>
      <w:r>
        <w:rPr>
          <w:sz w:val="24"/>
        </w:rPr>
        <w:t>采购需求、主要合同条件、技术标准和要求、质量</w:t>
      </w:r>
      <w:r>
        <w:rPr>
          <w:rFonts w:hint="eastAsia"/>
          <w:sz w:val="24"/>
          <w:lang w:eastAsia="zh-CN"/>
        </w:rPr>
        <w:t>目标</w:t>
      </w:r>
      <w:r>
        <w:rPr>
          <w:sz w:val="24"/>
        </w:rPr>
        <w:t>和</w:t>
      </w:r>
      <w:r>
        <w:rPr>
          <w:rFonts w:hint="eastAsia"/>
          <w:sz w:val="24"/>
          <w:lang w:eastAsia="zh-CN"/>
        </w:rPr>
        <w:t>工期</w:t>
      </w:r>
      <w:r>
        <w:rPr>
          <w:sz w:val="24"/>
        </w:rPr>
        <w:t>等，掌握评标标准和方法。未在招标文件中规定的标准和方法不得作为评标的依据。</w:t>
      </w:r>
    </w:p>
    <w:p w14:paraId="4ED4B8C3">
      <w:pPr>
        <w:pStyle w:val="7"/>
        <w:spacing w:line="307" w:lineRule="exact"/>
      </w:pPr>
      <w:r>
        <w:t>4、评审</w:t>
      </w:r>
    </w:p>
    <w:p w14:paraId="4F08E68A">
      <w:pPr>
        <w:pStyle w:val="17"/>
        <w:numPr>
          <w:ilvl w:val="1"/>
          <w:numId w:val="40"/>
        </w:numPr>
        <w:tabs>
          <w:tab w:val="left" w:pos="1241"/>
        </w:tabs>
        <w:spacing w:before="157" w:after="0" w:line="240" w:lineRule="auto"/>
        <w:ind w:left="1240" w:right="0" w:hanging="485"/>
        <w:jc w:val="left"/>
        <w:rPr>
          <w:b/>
          <w:sz w:val="24"/>
        </w:rPr>
      </w:pPr>
      <w:r>
        <w:rPr>
          <w:b/>
          <w:sz w:val="24"/>
        </w:rPr>
        <w:t>资格审查（详见附表一）</w:t>
      </w:r>
    </w:p>
    <w:p w14:paraId="0EDDE695">
      <w:pPr>
        <w:pStyle w:val="17"/>
        <w:numPr>
          <w:ilvl w:val="1"/>
          <w:numId w:val="40"/>
        </w:numPr>
        <w:tabs>
          <w:tab w:val="left" w:pos="1241"/>
        </w:tabs>
        <w:spacing w:before="158" w:after="0" w:line="240" w:lineRule="auto"/>
        <w:ind w:left="1240" w:right="0" w:hanging="485"/>
        <w:jc w:val="left"/>
        <w:rPr>
          <w:b/>
          <w:sz w:val="24"/>
        </w:rPr>
      </w:pPr>
      <w:r>
        <w:rPr>
          <w:b/>
          <w:sz w:val="24"/>
        </w:rPr>
        <w:t>符合性审查（详见附表二）</w:t>
      </w:r>
    </w:p>
    <w:p w14:paraId="47DD5AFF">
      <w:pPr>
        <w:pStyle w:val="17"/>
        <w:numPr>
          <w:ilvl w:val="1"/>
          <w:numId w:val="40"/>
        </w:numPr>
        <w:tabs>
          <w:tab w:val="left" w:pos="1241"/>
        </w:tabs>
        <w:spacing w:before="161" w:after="0" w:line="240" w:lineRule="auto"/>
        <w:ind w:left="1240" w:right="0" w:hanging="485"/>
        <w:jc w:val="left"/>
        <w:rPr>
          <w:b/>
          <w:sz w:val="24"/>
        </w:rPr>
      </w:pPr>
      <w:r>
        <w:rPr>
          <w:b/>
          <w:sz w:val="24"/>
        </w:rPr>
        <w:t>详细评审标准</w:t>
      </w:r>
    </w:p>
    <w:p w14:paraId="436A2159">
      <w:pPr>
        <w:pStyle w:val="8"/>
        <w:spacing w:before="158"/>
        <w:ind w:left="768"/>
      </w:pPr>
      <w:r>
        <w:t>评标委员会将采用综合评分法对投标文件报价和商务、技术部分进行详细评审、比较。</w:t>
      </w:r>
    </w:p>
    <w:p w14:paraId="52FB7872">
      <w:pPr>
        <w:pStyle w:val="7"/>
        <w:numPr>
          <w:ilvl w:val="2"/>
          <w:numId w:val="40"/>
        </w:numPr>
        <w:tabs>
          <w:tab w:val="left" w:pos="1481"/>
        </w:tabs>
        <w:spacing w:before="160" w:after="0" w:line="240" w:lineRule="auto"/>
        <w:ind w:left="1480" w:right="0" w:hanging="725"/>
        <w:jc w:val="left"/>
      </w:pPr>
      <w:r>
        <w:t>商务、技术部分评审</w:t>
      </w:r>
    </w:p>
    <w:p w14:paraId="49F6BBC6">
      <w:pPr>
        <w:spacing w:before="161"/>
        <w:ind w:left="768" w:right="0" w:firstLine="0"/>
        <w:jc w:val="left"/>
        <w:rPr>
          <w:sz w:val="24"/>
        </w:rPr>
      </w:pPr>
      <w:r>
        <w:rPr>
          <w:sz w:val="24"/>
        </w:rPr>
        <w:t>按照招标文件要求对投标文件进行评审</w:t>
      </w:r>
      <w:r>
        <w:rPr>
          <w:b/>
          <w:sz w:val="24"/>
        </w:rPr>
        <w:t>（评审标准详见附表三</w:t>
      </w:r>
      <w:r>
        <w:rPr>
          <w:sz w:val="24"/>
        </w:rPr>
        <w:t>）</w:t>
      </w:r>
    </w:p>
    <w:p w14:paraId="0F0B9BB2">
      <w:pPr>
        <w:pStyle w:val="7"/>
        <w:numPr>
          <w:ilvl w:val="2"/>
          <w:numId w:val="40"/>
        </w:numPr>
        <w:tabs>
          <w:tab w:val="left" w:pos="1462"/>
        </w:tabs>
        <w:spacing w:before="158" w:after="0" w:line="240" w:lineRule="auto"/>
        <w:ind w:left="1461" w:right="0" w:hanging="726"/>
        <w:jc w:val="left"/>
      </w:pPr>
      <w:r>
        <w:t>投标报价评审</w:t>
      </w:r>
    </w:p>
    <w:p w14:paraId="66243EC8">
      <w:pPr>
        <w:spacing w:after="0" w:line="240" w:lineRule="auto"/>
        <w:jc w:val="left"/>
        <w:sectPr>
          <w:pgSz w:w="11910" w:h="16840"/>
          <w:pgMar w:top="1220" w:right="900" w:bottom="1020" w:left="960" w:header="0" w:footer="828" w:gutter="0"/>
          <w:pgNumType w:fmt="decimal"/>
          <w:cols w:space="720" w:num="1"/>
        </w:sectPr>
      </w:pPr>
    </w:p>
    <w:p w14:paraId="62B5C9A3">
      <w:pPr>
        <w:pStyle w:val="8"/>
        <w:spacing w:before="49" w:line="364" w:lineRule="auto"/>
        <w:ind w:left="287" w:right="346" w:firstLine="468"/>
        <w:jc w:val="both"/>
      </w:pPr>
      <w:r>
        <w:rPr>
          <w:b/>
        </w:rPr>
        <w:t>报价部分评标主要因素：</w:t>
      </w:r>
      <w:r>
        <w:t>价格分采用低价优先法计算，即满足招标文件要求且</w:t>
      </w:r>
      <w:r>
        <w:rPr>
          <w:rFonts w:hint="eastAsia"/>
          <w:color w:val="000000" w:themeColor="text1"/>
          <w:lang w:eastAsia="zh-CN"/>
        </w:rPr>
        <w:t>投标报价</w:t>
      </w:r>
      <w:r>
        <w:t>最低的投标报价为评标基准价，其报价部分为满分。评委按照招标文件要求对投标文件进行评审。</w:t>
      </w:r>
    </w:p>
    <w:p w14:paraId="53B0CCF8">
      <w:pPr>
        <w:pStyle w:val="17"/>
        <w:numPr>
          <w:ilvl w:val="3"/>
          <w:numId w:val="40"/>
        </w:numPr>
        <w:tabs>
          <w:tab w:val="left" w:pos="1728"/>
        </w:tabs>
        <w:spacing w:before="0" w:after="0" w:line="304" w:lineRule="exact"/>
        <w:ind w:left="1728" w:right="0" w:hanging="960"/>
        <w:jc w:val="both"/>
        <w:rPr>
          <w:sz w:val="24"/>
        </w:rPr>
      </w:pPr>
      <w:r>
        <w:rPr>
          <w:sz w:val="24"/>
        </w:rPr>
        <w:t>评标基准价的计算</w:t>
      </w:r>
    </w:p>
    <w:p w14:paraId="1EB4DA70">
      <w:pPr>
        <w:pStyle w:val="7"/>
        <w:spacing w:before="160"/>
        <w:ind w:left="768"/>
        <w:rPr>
          <w:rFonts w:hint="eastAsia" w:eastAsia="宋体"/>
          <w:lang w:eastAsia="zh-CN"/>
        </w:rPr>
      </w:pPr>
      <w:r>
        <w:t>评标基准价=</w:t>
      </w:r>
      <w:r>
        <w:rPr>
          <w:rFonts w:hint="eastAsia"/>
          <w:lang w:eastAsia="zh-CN"/>
        </w:rPr>
        <w:t>最低投标报价</w:t>
      </w:r>
    </w:p>
    <w:p w14:paraId="4CFA1726">
      <w:pPr>
        <w:pStyle w:val="17"/>
        <w:numPr>
          <w:ilvl w:val="3"/>
          <w:numId w:val="40"/>
        </w:numPr>
        <w:tabs>
          <w:tab w:val="left" w:pos="1733"/>
        </w:tabs>
        <w:spacing w:before="158" w:after="0" w:line="364" w:lineRule="auto"/>
        <w:ind w:left="768" w:right="1682" w:firstLine="0"/>
        <w:jc w:val="left"/>
        <w:rPr>
          <w:b/>
          <w:color w:val="auto"/>
          <w:sz w:val="24"/>
        </w:rPr>
      </w:pPr>
      <w:r>
        <w:rPr>
          <w:b/>
          <w:color w:val="auto"/>
          <w:spacing w:val="-1"/>
          <w:sz w:val="24"/>
        </w:rPr>
        <w:t>投标报价得分=［评标基准价／</w:t>
      </w:r>
      <w:r>
        <w:rPr>
          <w:rFonts w:hint="eastAsia"/>
          <w:b/>
          <w:color w:val="auto"/>
          <w:spacing w:val="-1"/>
          <w:sz w:val="24"/>
          <w:lang w:eastAsia="zh-CN"/>
        </w:rPr>
        <w:t>投标报价</w:t>
      </w:r>
      <w:r>
        <w:rPr>
          <w:b/>
          <w:color w:val="auto"/>
          <w:spacing w:val="-1"/>
          <w:sz w:val="24"/>
        </w:rPr>
        <w:t>］×</w:t>
      </w:r>
      <w:r>
        <w:rPr>
          <w:rFonts w:hint="eastAsia"/>
          <w:b/>
          <w:color w:val="auto"/>
          <w:spacing w:val="-1"/>
          <w:sz w:val="24"/>
        </w:rPr>
        <w:t>价格权值</w:t>
      </w:r>
      <w:r>
        <w:rPr>
          <w:b/>
          <w:color w:val="auto"/>
          <w:spacing w:val="-1"/>
          <w:sz w:val="24"/>
        </w:rPr>
        <w:t>×10</w:t>
      </w:r>
      <w:r>
        <w:rPr>
          <w:rFonts w:hint="eastAsia"/>
          <w:b/>
          <w:color w:val="auto"/>
          <w:spacing w:val="-1"/>
          <w:sz w:val="24"/>
          <w:lang w:val="en-US" w:eastAsia="zh-CN"/>
        </w:rPr>
        <w:t>0</w:t>
      </w:r>
    </w:p>
    <w:p w14:paraId="165FB016">
      <w:pPr>
        <w:pStyle w:val="17"/>
        <w:numPr>
          <w:ilvl w:val="3"/>
          <w:numId w:val="40"/>
        </w:numPr>
        <w:tabs>
          <w:tab w:val="left" w:pos="1733"/>
        </w:tabs>
        <w:spacing w:before="158" w:after="0" w:line="364" w:lineRule="auto"/>
        <w:ind w:left="768" w:right="1682" w:firstLine="0"/>
        <w:jc w:val="left"/>
        <w:rPr>
          <w:b/>
          <w:sz w:val="24"/>
        </w:rPr>
      </w:pPr>
      <w:r>
        <w:rPr>
          <w:b/>
          <w:spacing w:val="-1"/>
          <w:sz w:val="24"/>
        </w:rPr>
        <w:t>计算保留小数点后两位，小数点后三位“四舍五入”。</w:t>
      </w:r>
    </w:p>
    <w:p w14:paraId="5D2E24DD">
      <w:pPr>
        <w:pStyle w:val="17"/>
        <w:numPr>
          <w:ilvl w:val="1"/>
          <w:numId w:val="40"/>
        </w:numPr>
        <w:tabs>
          <w:tab w:val="left" w:pos="1241"/>
        </w:tabs>
        <w:spacing w:before="2" w:after="0" w:line="240" w:lineRule="auto"/>
        <w:ind w:left="1240" w:right="0" w:hanging="485"/>
        <w:jc w:val="left"/>
        <w:rPr>
          <w:b/>
          <w:sz w:val="24"/>
        </w:rPr>
      </w:pPr>
      <w:r>
        <w:rPr>
          <w:b/>
          <w:sz w:val="24"/>
        </w:rPr>
        <w:t>投标文件的澄清和补正</w:t>
      </w:r>
    </w:p>
    <w:p w14:paraId="25A5E89D">
      <w:pPr>
        <w:pStyle w:val="17"/>
        <w:numPr>
          <w:ilvl w:val="2"/>
          <w:numId w:val="40"/>
        </w:numPr>
        <w:tabs>
          <w:tab w:val="left" w:pos="1479"/>
        </w:tabs>
        <w:spacing w:before="158" w:after="0" w:line="364" w:lineRule="auto"/>
        <w:ind w:left="287" w:right="344" w:firstLine="468"/>
        <w:jc w:val="both"/>
        <w:rPr>
          <w:sz w:val="24"/>
        </w:rPr>
      </w:pPr>
      <w:r>
        <w:rPr>
          <w:sz w:val="24"/>
        </w:rPr>
        <w:t>评标委员会应当以书面形式要求投标人对投标文件中含义不明确、对同类问题表述不一致或者有明显文字和计算错误的内容作必要的澄清、说明或者补正。投标人的澄清、说明或者补正应当采用书面形式，并加盖公章，或者由法定代表人或其授权的代表签字。拒不按照要求对投标文件进行澄清、说明或者补正的，评标委员会可以否决其投标， 作无效标处理。评标委员会不接受投标人主动提出的澄清、说明或补正。</w:t>
      </w:r>
    </w:p>
    <w:p w14:paraId="07631418">
      <w:pPr>
        <w:pStyle w:val="17"/>
        <w:numPr>
          <w:ilvl w:val="2"/>
          <w:numId w:val="40"/>
        </w:numPr>
        <w:tabs>
          <w:tab w:val="left" w:pos="1488"/>
        </w:tabs>
        <w:spacing w:before="0" w:after="0" w:line="364" w:lineRule="auto"/>
        <w:ind w:left="287" w:right="344" w:firstLine="480"/>
        <w:jc w:val="both"/>
        <w:rPr>
          <w:sz w:val="24"/>
        </w:rPr>
      </w:pPr>
      <w:r>
        <w:rPr>
          <w:sz w:val="24"/>
        </w:rPr>
        <w:t>投标人的澄清、说明和补正不得超出投标文件的范围或者改变投标文件的实质性内容（算术性错误修正的除外）。投标人的书面澄清、说明和补正属于投标文件的组成部分。</w:t>
      </w:r>
    </w:p>
    <w:p w14:paraId="4FDA01AA">
      <w:pPr>
        <w:pStyle w:val="17"/>
        <w:numPr>
          <w:ilvl w:val="2"/>
          <w:numId w:val="40"/>
        </w:numPr>
        <w:tabs>
          <w:tab w:val="left" w:pos="1431"/>
        </w:tabs>
        <w:spacing w:before="0" w:after="0" w:line="364" w:lineRule="auto"/>
        <w:ind w:left="287" w:right="344" w:firstLine="480"/>
        <w:jc w:val="both"/>
        <w:rPr>
          <w:sz w:val="24"/>
        </w:rPr>
      </w:pPr>
      <w:r>
        <w:rPr>
          <w:sz w:val="24"/>
        </w:rPr>
        <w:t>评标委员会对投标人提交的澄清、说明或补正有疑问的，可以要求投标人进一步澄清、说明或补正，直至满足评标委员会的要求。满足招标文件全部实质性要求且按照评审因素的量化指标评审得分最高的供应商为排名第一的中标候选人。</w:t>
      </w:r>
    </w:p>
    <w:p w14:paraId="05514BB7">
      <w:pPr>
        <w:pStyle w:val="7"/>
        <w:numPr>
          <w:ilvl w:val="1"/>
          <w:numId w:val="40"/>
        </w:numPr>
        <w:tabs>
          <w:tab w:val="left" w:pos="1251"/>
        </w:tabs>
        <w:spacing w:before="0" w:after="0" w:line="307" w:lineRule="exact"/>
        <w:ind w:left="1250" w:right="0" w:hanging="483"/>
        <w:jc w:val="both"/>
      </w:pPr>
      <w:r>
        <w:t>评标结果</w:t>
      </w:r>
    </w:p>
    <w:p w14:paraId="52340F38">
      <w:pPr>
        <w:pStyle w:val="17"/>
        <w:numPr>
          <w:ilvl w:val="2"/>
          <w:numId w:val="40"/>
        </w:numPr>
        <w:tabs>
          <w:tab w:val="left" w:pos="1488"/>
        </w:tabs>
        <w:spacing w:before="153" w:after="0" w:line="364" w:lineRule="auto"/>
        <w:ind w:left="287" w:right="344" w:firstLine="480"/>
        <w:jc w:val="both"/>
        <w:rPr>
          <w:sz w:val="24"/>
        </w:rPr>
      </w:pPr>
      <w:r>
        <w:rPr>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4E49770">
      <w:pPr>
        <w:pStyle w:val="17"/>
        <w:numPr>
          <w:ilvl w:val="2"/>
          <w:numId w:val="40"/>
        </w:numPr>
        <w:tabs>
          <w:tab w:val="left" w:pos="1488"/>
        </w:tabs>
        <w:spacing w:before="0" w:after="0" w:line="307" w:lineRule="exact"/>
        <w:ind w:left="1488" w:right="0" w:hanging="720"/>
        <w:jc w:val="both"/>
        <w:rPr>
          <w:sz w:val="24"/>
        </w:rPr>
      </w:pPr>
      <w:r>
        <w:rPr>
          <w:sz w:val="24"/>
        </w:rPr>
        <w:t>评标委员会完成评标后，向采购人提交书面评标报告。</w:t>
      </w:r>
    </w:p>
    <w:p w14:paraId="3F559E09">
      <w:pPr>
        <w:pStyle w:val="17"/>
        <w:numPr>
          <w:ilvl w:val="2"/>
          <w:numId w:val="40"/>
        </w:numPr>
        <w:tabs>
          <w:tab w:val="left" w:pos="1488"/>
        </w:tabs>
        <w:spacing w:before="160" w:after="0" w:line="364" w:lineRule="auto"/>
        <w:ind w:left="287" w:right="344" w:firstLine="480"/>
        <w:jc w:val="both"/>
        <w:rPr>
          <w:sz w:val="24"/>
        </w:rPr>
      </w:pPr>
      <w:r>
        <w:rPr>
          <w:spacing w:val="-3"/>
          <w:sz w:val="24"/>
        </w:rPr>
        <w:t xml:space="preserve">采购人应当自收到评标报告之日起 </w:t>
      </w:r>
      <w:r>
        <w:rPr>
          <w:sz w:val="24"/>
        </w:rPr>
        <w:t>5</w:t>
      </w:r>
      <w:r>
        <w:rPr>
          <w:spacing w:val="-7"/>
          <w:sz w:val="24"/>
        </w:rPr>
        <w:t xml:space="preserve"> 个工作日内在评标报告推荐的中标候选人中按顺序确定中标供应商。中标供应商拒绝与采购人签订合同的，采购人可以按照评标报告推荐的中标候选人名单排序，确定下一候选人为中标供应商，也可以重新开展政府采购活动。</w:t>
      </w:r>
    </w:p>
    <w:p w14:paraId="6A0F34E8">
      <w:pPr>
        <w:pStyle w:val="7"/>
        <w:spacing w:line="305" w:lineRule="exact"/>
      </w:pPr>
      <w:r>
        <w:t>5、投标无效的情形</w:t>
      </w:r>
    </w:p>
    <w:p w14:paraId="34F9274B">
      <w:pPr>
        <w:pStyle w:val="17"/>
        <w:numPr>
          <w:ilvl w:val="1"/>
          <w:numId w:val="41"/>
        </w:numPr>
        <w:tabs>
          <w:tab w:val="left" w:pos="1248"/>
        </w:tabs>
        <w:spacing w:before="159" w:after="0" w:line="240" w:lineRule="auto"/>
        <w:ind w:left="1248" w:right="0" w:hanging="480"/>
        <w:jc w:val="left"/>
        <w:rPr>
          <w:sz w:val="24"/>
        </w:rPr>
      </w:pPr>
      <w:r>
        <w:rPr>
          <w:sz w:val="24"/>
        </w:rPr>
        <w:t>投标人或其投标文件有下列情形之一的，其投标作无效标处理：</w:t>
      </w:r>
    </w:p>
    <w:p w14:paraId="1EFC3E24">
      <w:pPr>
        <w:pStyle w:val="7"/>
        <w:numPr>
          <w:ilvl w:val="2"/>
          <w:numId w:val="41"/>
        </w:numPr>
        <w:tabs>
          <w:tab w:val="left" w:pos="1493"/>
        </w:tabs>
        <w:spacing w:before="160" w:after="0" w:line="240" w:lineRule="auto"/>
        <w:ind w:left="1492" w:right="0" w:hanging="725"/>
        <w:jc w:val="left"/>
      </w:pPr>
      <w:r>
        <w:t>有下列情形之一的，视为投标人串通投标，其投标无效：</w:t>
      </w:r>
    </w:p>
    <w:p w14:paraId="09324D3E">
      <w:pPr>
        <w:spacing w:after="0" w:line="240" w:lineRule="auto"/>
        <w:jc w:val="left"/>
        <w:sectPr>
          <w:pgSz w:w="11910" w:h="16840"/>
          <w:pgMar w:top="1200" w:right="900" w:bottom="1020" w:left="960" w:header="0" w:footer="828" w:gutter="0"/>
          <w:pgNumType w:fmt="decimal"/>
          <w:cols w:space="720" w:num="1"/>
        </w:sectPr>
      </w:pPr>
    </w:p>
    <w:p w14:paraId="31EE02B5">
      <w:pPr>
        <w:pStyle w:val="17"/>
        <w:numPr>
          <w:ilvl w:val="0"/>
          <w:numId w:val="42"/>
        </w:numPr>
        <w:tabs>
          <w:tab w:val="left" w:pos="1369"/>
        </w:tabs>
        <w:spacing w:before="49" w:after="0" w:line="240" w:lineRule="auto"/>
        <w:ind w:left="1369" w:right="0" w:hanging="601"/>
        <w:jc w:val="left"/>
        <w:rPr>
          <w:b/>
          <w:sz w:val="24"/>
        </w:rPr>
      </w:pPr>
      <w:r>
        <w:rPr>
          <w:b/>
          <w:w w:val="95"/>
          <w:sz w:val="24"/>
        </w:rPr>
        <w:t>不同投标人的投标文件由同一单位或者个人编制；</w:t>
      </w:r>
    </w:p>
    <w:p w14:paraId="0084101E">
      <w:pPr>
        <w:pStyle w:val="17"/>
        <w:numPr>
          <w:ilvl w:val="0"/>
          <w:numId w:val="42"/>
        </w:numPr>
        <w:tabs>
          <w:tab w:val="left" w:pos="1369"/>
        </w:tabs>
        <w:spacing w:before="158" w:after="0" w:line="240" w:lineRule="auto"/>
        <w:ind w:left="1369" w:right="0" w:hanging="601"/>
        <w:jc w:val="left"/>
        <w:rPr>
          <w:b/>
          <w:sz w:val="24"/>
        </w:rPr>
      </w:pPr>
      <w:r>
        <w:rPr>
          <w:b/>
          <w:w w:val="95"/>
          <w:sz w:val="24"/>
        </w:rPr>
        <w:t>不同投标人委托同一单位或者个人办理投标事宜；</w:t>
      </w:r>
    </w:p>
    <w:p w14:paraId="42C70D8C">
      <w:pPr>
        <w:pStyle w:val="17"/>
        <w:numPr>
          <w:ilvl w:val="0"/>
          <w:numId w:val="42"/>
        </w:numPr>
        <w:tabs>
          <w:tab w:val="left" w:pos="1369"/>
        </w:tabs>
        <w:spacing w:before="160" w:after="0" w:line="240" w:lineRule="auto"/>
        <w:ind w:left="1369" w:right="0" w:hanging="601"/>
        <w:jc w:val="left"/>
        <w:rPr>
          <w:b/>
          <w:sz w:val="24"/>
        </w:rPr>
      </w:pPr>
      <w:r>
        <w:rPr>
          <w:b/>
          <w:sz w:val="24"/>
        </w:rPr>
        <w:t>不同投标人的投标文件载明的项目管理成员或者联系人员为同一人；</w:t>
      </w:r>
    </w:p>
    <w:p w14:paraId="35C23992">
      <w:pPr>
        <w:pStyle w:val="17"/>
        <w:numPr>
          <w:ilvl w:val="0"/>
          <w:numId w:val="42"/>
        </w:numPr>
        <w:tabs>
          <w:tab w:val="left" w:pos="1369"/>
        </w:tabs>
        <w:spacing w:before="158" w:after="0" w:line="240" w:lineRule="auto"/>
        <w:ind w:left="1369" w:right="0" w:hanging="601"/>
        <w:jc w:val="left"/>
        <w:rPr>
          <w:b/>
          <w:sz w:val="24"/>
        </w:rPr>
      </w:pPr>
      <w:r>
        <w:rPr>
          <w:b/>
          <w:sz w:val="24"/>
        </w:rPr>
        <w:t>不同投标人的投标文件异常一致或者投标报价呈规律性差异；</w:t>
      </w:r>
    </w:p>
    <w:p w14:paraId="2B80C76F">
      <w:pPr>
        <w:pStyle w:val="17"/>
        <w:numPr>
          <w:ilvl w:val="0"/>
          <w:numId w:val="42"/>
        </w:numPr>
        <w:tabs>
          <w:tab w:val="left" w:pos="1369"/>
        </w:tabs>
        <w:spacing w:before="161" w:after="0" w:line="240" w:lineRule="auto"/>
        <w:ind w:left="1369" w:right="0" w:hanging="601"/>
        <w:jc w:val="left"/>
        <w:rPr>
          <w:b/>
          <w:sz w:val="24"/>
        </w:rPr>
      </w:pPr>
      <w:r>
        <w:rPr>
          <w:b/>
          <w:sz w:val="24"/>
        </w:rPr>
        <w:t>不同投标人的投标保证金从同一单位或者个人的账户转出；</w:t>
      </w:r>
    </w:p>
    <w:p w14:paraId="5EF03733">
      <w:pPr>
        <w:pStyle w:val="17"/>
        <w:numPr>
          <w:ilvl w:val="0"/>
          <w:numId w:val="42"/>
        </w:numPr>
        <w:tabs>
          <w:tab w:val="left" w:pos="1369"/>
        </w:tabs>
        <w:spacing w:before="158" w:after="0" w:line="240" w:lineRule="auto"/>
        <w:ind w:left="1369" w:right="0" w:hanging="601"/>
        <w:jc w:val="left"/>
        <w:rPr>
          <w:b/>
          <w:sz w:val="24"/>
        </w:rPr>
      </w:pPr>
      <w:r>
        <w:rPr>
          <w:b/>
          <w:sz w:val="24"/>
        </w:rPr>
        <w:t>串通投标或弄虚作假或有其他违法行为的；</w:t>
      </w:r>
    </w:p>
    <w:p w14:paraId="47BE8308">
      <w:pPr>
        <w:pStyle w:val="17"/>
        <w:numPr>
          <w:ilvl w:val="2"/>
          <w:numId w:val="41"/>
        </w:numPr>
        <w:tabs>
          <w:tab w:val="left" w:pos="1493"/>
        </w:tabs>
        <w:spacing w:before="160" w:after="0" w:line="240" w:lineRule="auto"/>
        <w:ind w:left="1492" w:right="0" w:hanging="725"/>
        <w:jc w:val="left"/>
        <w:rPr>
          <w:b/>
          <w:sz w:val="24"/>
        </w:rPr>
      </w:pPr>
      <w:r>
        <w:rPr>
          <w:b/>
          <w:sz w:val="24"/>
        </w:rPr>
        <w:t>不按评标委员会要求澄清、说明或补正的；</w:t>
      </w:r>
    </w:p>
    <w:p w14:paraId="1542D2AC">
      <w:pPr>
        <w:pStyle w:val="17"/>
        <w:numPr>
          <w:ilvl w:val="2"/>
          <w:numId w:val="41"/>
        </w:numPr>
        <w:tabs>
          <w:tab w:val="left" w:pos="1493"/>
        </w:tabs>
        <w:spacing w:before="161" w:after="0" w:line="362" w:lineRule="auto"/>
        <w:ind w:left="287" w:right="346" w:firstLine="480"/>
        <w:jc w:val="left"/>
        <w:rPr>
          <w:b/>
          <w:sz w:val="24"/>
        </w:rPr>
      </w:pPr>
      <w:r>
        <w:rPr>
          <w:b/>
          <w:spacing w:val="-9"/>
          <w:sz w:val="24"/>
        </w:rPr>
        <w:t xml:space="preserve">报价出现“第二章投标人须知 </w:t>
      </w:r>
      <w:r>
        <w:rPr>
          <w:b/>
          <w:spacing w:val="-3"/>
          <w:sz w:val="24"/>
        </w:rPr>
        <w:t>10.6</w:t>
      </w:r>
      <w:r>
        <w:rPr>
          <w:b/>
          <w:spacing w:val="-5"/>
          <w:sz w:val="24"/>
        </w:rPr>
        <w:t>”的情形，拒绝或者变相拒绝提供有效书面说明或者书面说明不能证明其报价合理性的；</w:t>
      </w:r>
    </w:p>
    <w:p w14:paraId="0DF14CA8">
      <w:pPr>
        <w:pStyle w:val="17"/>
        <w:numPr>
          <w:ilvl w:val="2"/>
          <w:numId w:val="41"/>
        </w:numPr>
        <w:tabs>
          <w:tab w:val="left" w:pos="1493"/>
        </w:tabs>
        <w:spacing w:before="3" w:after="0" w:line="364" w:lineRule="auto"/>
        <w:ind w:left="287" w:right="346" w:firstLine="480"/>
        <w:jc w:val="left"/>
        <w:rPr>
          <w:b/>
          <w:sz w:val="24"/>
        </w:rPr>
      </w:pPr>
      <w:r>
        <w:rPr>
          <w:b/>
          <w:sz w:val="24"/>
        </w:rPr>
        <w:t>投标报价有算术错误或不一致情形的，评标委员会按照招标文件规定的原则对投标报价进行修正，修正后的投标报价对投标人起约束作用，投标人不接受修正价格的；</w:t>
      </w:r>
    </w:p>
    <w:p w14:paraId="3E4CDDB1">
      <w:pPr>
        <w:pStyle w:val="17"/>
        <w:numPr>
          <w:ilvl w:val="2"/>
          <w:numId w:val="41"/>
        </w:numPr>
        <w:tabs>
          <w:tab w:val="left" w:pos="1493"/>
        </w:tabs>
        <w:spacing w:before="1" w:after="0" w:line="240" w:lineRule="auto"/>
        <w:ind w:left="1492" w:right="0" w:hanging="725"/>
        <w:jc w:val="left"/>
        <w:rPr>
          <w:b/>
          <w:sz w:val="24"/>
        </w:rPr>
      </w:pPr>
      <w:r>
        <w:rPr>
          <w:b/>
          <w:sz w:val="24"/>
        </w:rPr>
        <w:t>招标文件或法律约定的其他投标无效的情形。</w:t>
      </w:r>
    </w:p>
    <w:p w14:paraId="77DCFE66">
      <w:pPr>
        <w:spacing w:after="0" w:line="240" w:lineRule="auto"/>
        <w:jc w:val="left"/>
        <w:rPr>
          <w:sz w:val="24"/>
        </w:rPr>
        <w:sectPr>
          <w:pgSz w:w="11910" w:h="16840"/>
          <w:pgMar w:top="1200" w:right="900" w:bottom="1020" w:left="960" w:header="0" w:footer="828" w:gutter="0"/>
          <w:pgNumType w:fmt="decimal"/>
          <w:cols w:space="720" w:num="1"/>
        </w:sectPr>
      </w:pPr>
    </w:p>
    <w:p w14:paraId="45DDB23D">
      <w:pPr>
        <w:spacing w:before="49"/>
        <w:ind w:left="287" w:right="0" w:firstLine="0"/>
        <w:jc w:val="left"/>
        <w:rPr>
          <w:b/>
          <w:sz w:val="28"/>
        </w:rPr>
      </w:pPr>
      <w:r>
        <w:rPr>
          <w:b/>
          <w:sz w:val="28"/>
        </w:rPr>
        <w:t>附表一</w:t>
      </w:r>
    </w:p>
    <w:p w14:paraId="18EED742">
      <w:pPr>
        <w:spacing w:before="187"/>
        <w:ind w:left="270" w:right="328" w:firstLine="0"/>
        <w:jc w:val="center"/>
        <w:rPr>
          <w:b/>
          <w:sz w:val="28"/>
        </w:rPr>
      </w:pPr>
      <w:r>
        <w:rPr>
          <w:b/>
          <w:sz w:val="28"/>
        </w:rPr>
        <w:t>资格审查表</w:t>
      </w:r>
    </w:p>
    <w:tbl>
      <w:tblPr>
        <w:tblStyle w:val="13"/>
        <w:tblW w:w="0" w:type="auto"/>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3235"/>
        <w:gridCol w:w="5059"/>
        <w:gridCol w:w="779"/>
      </w:tblGrid>
      <w:tr w14:paraId="5C3CD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05" w:type="dxa"/>
          </w:tcPr>
          <w:p w14:paraId="4E5BDDDB">
            <w:pPr>
              <w:pStyle w:val="18"/>
              <w:spacing w:before="13" w:line="398" w:lineRule="exact"/>
              <w:ind w:left="146" w:right="137"/>
              <w:rPr>
                <w:sz w:val="21"/>
              </w:rPr>
            </w:pPr>
            <w:r>
              <w:rPr>
                <w:sz w:val="21"/>
              </w:rPr>
              <w:t>序号</w:t>
            </w:r>
          </w:p>
        </w:tc>
        <w:tc>
          <w:tcPr>
            <w:tcW w:w="3235" w:type="dxa"/>
          </w:tcPr>
          <w:p w14:paraId="434411CA">
            <w:pPr>
              <w:pStyle w:val="18"/>
              <w:spacing w:before="1"/>
              <w:rPr>
                <w:b/>
                <w:sz w:val="25"/>
              </w:rPr>
            </w:pPr>
          </w:p>
          <w:p w14:paraId="4B148F80">
            <w:pPr>
              <w:pStyle w:val="18"/>
              <w:ind w:left="1175" w:right="1170"/>
              <w:jc w:val="center"/>
              <w:rPr>
                <w:sz w:val="21"/>
              </w:rPr>
            </w:pPr>
            <w:r>
              <w:rPr>
                <w:sz w:val="21"/>
              </w:rPr>
              <w:t>审查内容</w:t>
            </w:r>
          </w:p>
        </w:tc>
        <w:tc>
          <w:tcPr>
            <w:tcW w:w="5059" w:type="dxa"/>
          </w:tcPr>
          <w:p w14:paraId="629F0E4F">
            <w:pPr>
              <w:pStyle w:val="18"/>
              <w:spacing w:before="1"/>
              <w:rPr>
                <w:b/>
                <w:sz w:val="25"/>
              </w:rPr>
            </w:pPr>
          </w:p>
          <w:p w14:paraId="4C02BEF4">
            <w:pPr>
              <w:pStyle w:val="18"/>
              <w:ind w:left="2087" w:right="2082"/>
              <w:jc w:val="center"/>
              <w:rPr>
                <w:sz w:val="21"/>
              </w:rPr>
            </w:pPr>
            <w:r>
              <w:rPr>
                <w:sz w:val="21"/>
              </w:rPr>
              <w:t>要求说明</w:t>
            </w:r>
          </w:p>
        </w:tc>
        <w:tc>
          <w:tcPr>
            <w:tcW w:w="779" w:type="dxa"/>
          </w:tcPr>
          <w:p w14:paraId="13906286">
            <w:pPr>
              <w:pStyle w:val="18"/>
              <w:spacing w:before="34" w:line="400" w:lineRule="atLeast"/>
              <w:ind w:left="179" w:right="170"/>
              <w:rPr>
                <w:sz w:val="21"/>
              </w:rPr>
            </w:pPr>
            <w:r>
              <w:rPr>
                <w:sz w:val="21"/>
              </w:rPr>
              <w:t>是否符合</w:t>
            </w:r>
          </w:p>
        </w:tc>
      </w:tr>
      <w:tr w14:paraId="757D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505" w:type="dxa"/>
          </w:tcPr>
          <w:p w14:paraId="43EFD5C0">
            <w:pPr>
              <w:pStyle w:val="18"/>
              <w:spacing w:before="1"/>
              <w:rPr>
                <w:b/>
                <w:sz w:val="25"/>
              </w:rPr>
            </w:pPr>
          </w:p>
          <w:p w14:paraId="4469C3E3">
            <w:pPr>
              <w:pStyle w:val="18"/>
              <w:ind w:left="198"/>
              <w:rPr>
                <w:sz w:val="21"/>
              </w:rPr>
            </w:pPr>
            <w:r>
              <w:rPr>
                <w:w w:val="99"/>
                <w:sz w:val="21"/>
              </w:rPr>
              <w:t>1</w:t>
            </w:r>
          </w:p>
        </w:tc>
        <w:tc>
          <w:tcPr>
            <w:tcW w:w="3235" w:type="dxa"/>
          </w:tcPr>
          <w:p w14:paraId="22FD2A33">
            <w:pPr>
              <w:pStyle w:val="18"/>
              <w:spacing w:before="1"/>
              <w:rPr>
                <w:b/>
                <w:sz w:val="25"/>
              </w:rPr>
            </w:pPr>
          </w:p>
          <w:p w14:paraId="1A662151">
            <w:pPr>
              <w:pStyle w:val="18"/>
              <w:ind w:left="111"/>
              <w:jc w:val="center"/>
              <w:rPr>
                <w:sz w:val="21"/>
              </w:rPr>
            </w:pPr>
            <w:r>
              <w:rPr>
                <w:sz w:val="21"/>
              </w:rPr>
              <w:t>具有独立承担民事责任的能力</w:t>
            </w:r>
          </w:p>
        </w:tc>
        <w:tc>
          <w:tcPr>
            <w:tcW w:w="5059" w:type="dxa"/>
          </w:tcPr>
          <w:p w14:paraId="60886E62">
            <w:pPr>
              <w:pStyle w:val="18"/>
              <w:spacing w:before="13" w:line="398" w:lineRule="exact"/>
              <w:ind w:left="111" w:right="106"/>
              <w:rPr>
                <w:sz w:val="21"/>
              </w:rPr>
            </w:pPr>
            <w:r>
              <w:rPr>
                <w:rFonts w:ascii="宋体" w:hAnsi="宋体" w:eastAsia="宋体" w:cs="宋体"/>
                <w:sz w:val="21"/>
              </w:rPr>
              <w:t>在中华人民共和国境内注册或登记，提供有效的营业 执照。</w:t>
            </w:r>
          </w:p>
        </w:tc>
        <w:tc>
          <w:tcPr>
            <w:tcW w:w="779" w:type="dxa"/>
          </w:tcPr>
          <w:p w14:paraId="6A0E7D34">
            <w:pPr>
              <w:pStyle w:val="18"/>
              <w:rPr>
                <w:rFonts w:ascii="Times New Roman"/>
                <w:sz w:val="20"/>
              </w:rPr>
            </w:pPr>
          </w:p>
        </w:tc>
      </w:tr>
      <w:tr w14:paraId="26928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4" w:hRule="atLeast"/>
        </w:trPr>
        <w:tc>
          <w:tcPr>
            <w:tcW w:w="505" w:type="dxa"/>
          </w:tcPr>
          <w:p w14:paraId="4B8723C7">
            <w:pPr>
              <w:pStyle w:val="18"/>
              <w:rPr>
                <w:b/>
                <w:sz w:val="20"/>
              </w:rPr>
            </w:pPr>
          </w:p>
          <w:p w14:paraId="5181A3E6">
            <w:pPr>
              <w:pStyle w:val="18"/>
              <w:rPr>
                <w:b/>
                <w:sz w:val="20"/>
              </w:rPr>
            </w:pPr>
          </w:p>
          <w:p w14:paraId="2965ED80">
            <w:pPr>
              <w:pStyle w:val="18"/>
              <w:rPr>
                <w:b/>
                <w:sz w:val="20"/>
              </w:rPr>
            </w:pPr>
          </w:p>
          <w:p w14:paraId="5D22E039">
            <w:pPr>
              <w:pStyle w:val="18"/>
              <w:rPr>
                <w:b/>
                <w:sz w:val="20"/>
              </w:rPr>
            </w:pPr>
          </w:p>
          <w:p w14:paraId="44AE8CD5">
            <w:pPr>
              <w:pStyle w:val="18"/>
              <w:rPr>
                <w:b/>
                <w:sz w:val="20"/>
              </w:rPr>
            </w:pPr>
          </w:p>
          <w:p w14:paraId="08EF6971">
            <w:pPr>
              <w:pStyle w:val="18"/>
              <w:rPr>
                <w:b/>
                <w:sz w:val="20"/>
              </w:rPr>
            </w:pPr>
          </w:p>
          <w:p w14:paraId="1B55B2A9">
            <w:pPr>
              <w:pStyle w:val="18"/>
              <w:rPr>
                <w:b/>
                <w:sz w:val="20"/>
              </w:rPr>
            </w:pPr>
          </w:p>
          <w:p w14:paraId="2F79F6A8">
            <w:pPr>
              <w:pStyle w:val="18"/>
              <w:spacing w:before="128"/>
              <w:ind w:left="198"/>
              <w:rPr>
                <w:sz w:val="21"/>
              </w:rPr>
            </w:pPr>
            <w:r>
              <w:rPr>
                <w:w w:val="99"/>
                <w:sz w:val="21"/>
              </w:rPr>
              <w:t>2</w:t>
            </w:r>
          </w:p>
        </w:tc>
        <w:tc>
          <w:tcPr>
            <w:tcW w:w="3235" w:type="dxa"/>
          </w:tcPr>
          <w:p w14:paraId="09F31B5F">
            <w:pPr>
              <w:pStyle w:val="18"/>
              <w:rPr>
                <w:b/>
                <w:sz w:val="20"/>
              </w:rPr>
            </w:pPr>
          </w:p>
          <w:p w14:paraId="17FC2262">
            <w:pPr>
              <w:pStyle w:val="18"/>
              <w:rPr>
                <w:b/>
                <w:sz w:val="20"/>
              </w:rPr>
            </w:pPr>
          </w:p>
          <w:p w14:paraId="02A068C7">
            <w:pPr>
              <w:pStyle w:val="18"/>
              <w:rPr>
                <w:b/>
                <w:sz w:val="20"/>
              </w:rPr>
            </w:pPr>
          </w:p>
          <w:p w14:paraId="029CE6CB">
            <w:pPr>
              <w:pStyle w:val="18"/>
              <w:rPr>
                <w:b/>
                <w:sz w:val="20"/>
              </w:rPr>
            </w:pPr>
          </w:p>
          <w:p w14:paraId="41FDA05E">
            <w:pPr>
              <w:pStyle w:val="18"/>
              <w:rPr>
                <w:b/>
                <w:sz w:val="20"/>
              </w:rPr>
            </w:pPr>
          </w:p>
          <w:p w14:paraId="6DBEB578">
            <w:pPr>
              <w:pStyle w:val="18"/>
              <w:rPr>
                <w:b/>
                <w:sz w:val="20"/>
              </w:rPr>
            </w:pPr>
          </w:p>
          <w:p w14:paraId="099A8C92">
            <w:pPr>
              <w:pStyle w:val="18"/>
              <w:spacing w:before="3"/>
              <w:rPr>
                <w:b/>
                <w:sz w:val="14"/>
              </w:rPr>
            </w:pPr>
          </w:p>
          <w:p w14:paraId="17C844B0">
            <w:pPr>
              <w:pStyle w:val="18"/>
              <w:spacing w:line="357" w:lineRule="auto"/>
              <w:ind w:left="111" w:right="104"/>
              <w:jc w:val="center"/>
              <w:rPr>
                <w:sz w:val="21"/>
              </w:rPr>
            </w:pPr>
            <w:r>
              <w:rPr>
                <w:rFonts w:ascii="宋体" w:hAnsi="宋体" w:eastAsia="宋体" w:cs="宋体"/>
                <w:sz w:val="21"/>
              </w:rPr>
              <w:t>具有良好的商业信誉和健全的财务会计制度</w:t>
            </w:r>
          </w:p>
        </w:tc>
        <w:tc>
          <w:tcPr>
            <w:tcW w:w="5059" w:type="dxa"/>
          </w:tcPr>
          <w:p w14:paraId="54DD9B5E">
            <w:pPr>
              <w:pStyle w:val="18"/>
              <w:ind w:left="111"/>
              <w:rPr>
                <w:sz w:val="21"/>
              </w:rPr>
            </w:pPr>
            <w:r>
              <w:rPr>
                <w:rFonts w:ascii="宋体" w:hAnsi="宋体" w:eastAsia="宋体" w:cs="宋体"/>
                <w:sz w:val="21"/>
              </w:rPr>
              <w:t>具有良好的商业信誉和健全的财务会计制度：投标人没有处于被责令停业、财产被接管、冻结、破产状态，提供下述任意一种形式的证明材料：①2024年度或2025 年度经审计完整有效的财务报告；②银行出具的资信证明（须提供采购公告发布之日前 12 个月的资信证明；公司开户不足 12 个月的，提供自开户之日起至采购公告发布之日止的资信证明）。银行资信证明应能说明该投标人与银行在上述要求的时限内业务往来正常，无不良记录，企业信誉良好等，银行出具的存款证明不能作为本次采购项目的银行资信证明使用。</w:t>
            </w:r>
          </w:p>
        </w:tc>
        <w:tc>
          <w:tcPr>
            <w:tcW w:w="779" w:type="dxa"/>
          </w:tcPr>
          <w:p w14:paraId="0C6AC3D7">
            <w:pPr>
              <w:pStyle w:val="18"/>
              <w:rPr>
                <w:rFonts w:ascii="Times New Roman"/>
                <w:sz w:val="20"/>
              </w:rPr>
            </w:pPr>
          </w:p>
        </w:tc>
      </w:tr>
      <w:tr w14:paraId="5B731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505" w:type="dxa"/>
          </w:tcPr>
          <w:p w14:paraId="29FF3048">
            <w:pPr>
              <w:pStyle w:val="18"/>
              <w:rPr>
                <w:b/>
                <w:sz w:val="20"/>
              </w:rPr>
            </w:pPr>
          </w:p>
          <w:p w14:paraId="67CC62D1">
            <w:pPr>
              <w:pStyle w:val="18"/>
              <w:spacing w:before="4"/>
              <w:rPr>
                <w:b/>
                <w:sz w:val="15"/>
              </w:rPr>
            </w:pPr>
          </w:p>
          <w:p w14:paraId="4FFFE3E2">
            <w:pPr>
              <w:pStyle w:val="18"/>
              <w:ind w:left="198"/>
              <w:rPr>
                <w:sz w:val="21"/>
              </w:rPr>
            </w:pPr>
            <w:r>
              <w:rPr>
                <w:w w:val="99"/>
                <w:sz w:val="21"/>
              </w:rPr>
              <w:t>3</w:t>
            </w:r>
          </w:p>
        </w:tc>
        <w:tc>
          <w:tcPr>
            <w:tcW w:w="3235" w:type="dxa"/>
          </w:tcPr>
          <w:p w14:paraId="325A9751">
            <w:pPr>
              <w:pStyle w:val="18"/>
              <w:spacing w:before="9"/>
              <w:rPr>
                <w:b/>
                <w:sz w:val="19"/>
              </w:rPr>
            </w:pPr>
          </w:p>
          <w:p w14:paraId="611170AA">
            <w:pPr>
              <w:pStyle w:val="18"/>
              <w:spacing w:before="1" w:line="357" w:lineRule="auto"/>
              <w:ind w:left="111" w:right="104"/>
              <w:jc w:val="center"/>
              <w:rPr>
                <w:sz w:val="21"/>
              </w:rPr>
            </w:pPr>
            <w:r>
              <w:rPr>
                <w:rFonts w:ascii="宋体" w:hAnsi="宋体" w:eastAsia="宋体" w:cs="宋体"/>
                <w:sz w:val="21"/>
              </w:rPr>
              <w:t>具有履行合同所必需的设备和专业技术能力</w:t>
            </w:r>
          </w:p>
        </w:tc>
        <w:tc>
          <w:tcPr>
            <w:tcW w:w="5059" w:type="dxa"/>
          </w:tcPr>
          <w:p w14:paraId="29E2DC0A">
            <w:pPr>
              <w:pStyle w:val="18"/>
              <w:rPr>
                <w:b/>
                <w:sz w:val="20"/>
              </w:rPr>
            </w:pPr>
          </w:p>
          <w:p w14:paraId="0179E155">
            <w:pPr>
              <w:pStyle w:val="18"/>
              <w:spacing w:before="4"/>
              <w:rPr>
                <w:b/>
                <w:sz w:val="15"/>
              </w:rPr>
            </w:pPr>
          </w:p>
          <w:p w14:paraId="423A6CD3">
            <w:pPr>
              <w:pStyle w:val="18"/>
              <w:ind w:left="111"/>
              <w:rPr>
                <w:sz w:val="21"/>
              </w:rPr>
            </w:pPr>
            <w:r>
              <w:rPr>
                <w:sz w:val="21"/>
              </w:rPr>
              <w:t>提供承诺函。</w:t>
            </w:r>
          </w:p>
        </w:tc>
        <w:tc>
          <w:tcPr>
            <w:tcW w:w="779" w:type="dxa"/>
          </w:tcPr>
          <w:p w14:paraId="38B166E3">
            <w:pPr>
              <w:pStyle w:val="18"/>
              <w:rPr>
                <w:rFonts w:ascii="Times New Roman"/>
                <w:sz w:val="20"/>
              </w:rPr>
            </w:pPr>
          </w:p>
        </w:tc>
      </w:tr>
      <w:tr w14:paraId="0623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4" w:hRule="atLeast"/>
        </w:trPr>
        <w:tc>
          <w:tcPr>
            <w:tcW w:w="505" w:type="dxa"/>
          </w:tcPr>
          <w:p w14:paraId="5DB24400">
            <w:pPr>
              <w:pStyle w:val="18"/>
              <w:rPr>
                <w:b/>
                <w:sz w:val="20"/>
              </w:rPr>
            </w:pPr>
          </w:p>
          <w:p w14:paraId="221A7FA7">
            <w:pPr>
              <w:pStyle w:val="18"/>
              <w:rPr>
                <w:b/>
                <w:sz w:val="20"/>
              </w:rPr>
            </w:pPr>
          </w:p>
          <w:p w14:paraId="615DAFCA">
            <w:pPr>
              <w:pStyle w:val="18"/>
              <w:rPr>
                <w:b/>
                <w:sz w:val="20"/>
              </w:rPr>
            </w:pPr>
          </w:p>
          <w:p w14:paraId="39DF3697">
            <w:pPr>
              <w:pStyle w:val="18"/>
              <w:rPr>
                <w:b/>
                <w:sz w:val="20"/>
              </w:rPr>
            </w:pPr>
          </w:p>
          <w:p w14:paraId="08879905">
            <w:pPr>
              <w:pStyle w:val="18"/>
              <w:rPr>
                <w:b/>
                <w:sz w:val="20"/>
              </w:rPr>
            </w:pPr>
          </w:p>
          <w:p w14:paraId="5E20D246">
            <w:pPr>
              <w:pStyle w:val="18"/>
              <w:spacing w:before="8"/>
              <w:rPr>
                <w:b/>
                <w:sz w:val="18"/>
              </w:rPr>
            </w:pPr>
          </w:p>
          <w:p w14:paraId="00616F47">
            <w:pPr>
              <w:pStyle w:val="18"/>
              <w:ind w:left="198"/>
              <w:rPr>
                <w:sz w:val="21"/>
              </w:rPr>
            </w:pPr>
            <w:r>
              <w:rPr>
                <w:w w:val="99"/>
                <w:sz w:val="21"/>
              </w:rPr>
              <w:t>4</w:t>
            </w:r>
          </w:p>
        </w:tc>
        <w:tc>
          <w:tcPr>
            <w:tcW w:w="3235" w:type="dxa"/>
          </w:tcPr>
          <w:p w14:paraId="06E3DF4D">
            <w:pPr>
              <w:pStyle w:val="18"/>
              <w:rPr>
                <w:b/>
                <w:sz w:val="20"/>
              </w:rPr>
            </w:pPr>
          </w:p>
          <w:p w14:paraId="7E8FC457">
            <w:pPr>
              <w:pStyle w:val="18"/>
              <w:rPr>
                <w:b/>
                <w:sz w:val="20"/>
              </w:rPr>
            </w:pPr>
          </w:p>
          <w:p w14:paraId="4064B4B8">
            <w:pPr>
              <w:pStyle w:val="18"/>
              <w:rPr>
                <w:b/>
                <w:sz w:val="20"/>
              </w:rPr>
            </w:pPr>
          </w:p>
          <w:p w14:paraId="68D14D11">
            <w:pPr>
              <w:pStyle w:val="18"/>
              <w:rPr>
                <w:b/>
                <w:sz w:val="20"/>
              </w:rPr>
            </w:pPr>
          </w:p>
          <w:p w14:paraId="4BE7A43D">
            <w:pPr>
              <w:pStyle w:val="18"/>
              <w:rPr>
                <w:b/>
                <w:sz w:val="20"/>
              </w:rPr>
            </w:pPr>
          </w:p>
          <w:p w14:paraId="74D94761">
            <w:pPr>
              <w:pStyle w:val="18"/>
              <w:spacing w:before="8"/>
              <w:rPr>
                <w:b/>
                <w:sz w:val="18"/>
              </w:rPr>
            </w:pPr>
          </w:p>
          <w:p w14:paraId="41FC352E">
            <w:pPr>
              <w:pStyle w:val="18"/>
              <w:ind w:left="111"/>
              <w:jc w:val="center"/>
              <w:rPr>
                <w:sz w:val="21"/>
              </w:rPr>
            </w:pPr>
            <w:r>
              <w:rPr>
                <w:sz w:val="21"/>
              </w:rPr>
              <w:t>有依法缴纳税收的良好记录</w:t>
            </w:r>
          </w:p>
        </w:tc>
        <w:tc>
          <w:tcPr>
            <w:tcW w:w="5059" w:type="dxa"/>
          </w:tcPr>
          <w:p w14:paraId="1365506D">
            <w:pPr>
              <w:pStyle w:val="18"/>
              <w:spacing w:before="121" w:line="357" w:lineRule="auto"/>
              <w:ind w:left="111" w:right="101"/>
              <w:jc w:val="both"/>
              <w:rPr>
                <w:rFonts w:ascii="宋体" w:hAnsi="宋体" w:eastAsia="宋体" w:cs="宋体"/>
                <w:spacing w:val="-8"/>
                <w:sz w:val="21"/>
              </w:rPr>
            </w:pPr>
            <w:r>
              <w:rPr>
                <w:spacing w:val="-9"/>
                <w:sz w:val="21"/>
              </w:rPr>
              <w:t xml:space="preserve">提供投标人 </w:t>
            </w:r>
            <w:r>
              <w:rPr>
                <w:sz w:val="21"/>
              </w:rPr>
              <w:t>202</w:t>
            </w:r>
            <w:r>
              <w:rPr>
                <w:rFonts w:hint="eastAsia"/>
                <w:sz w:val="21"/>
                <w:lang w:val="en-US" w:eastAsia="zh-CN"/>
              </w:rPr>
              <w:t>6</w:t>
            </w:r>
            <w:r>
              <w:rPr>
                <w:spacing w:val="-37"/>
                <w:sz w:val="21"/>
              </w:rPr>
              <w:t>年</w:t>
            </w:r>
            <w:r>
              <w:rPr>
                <w:spacing w:val="-8"/>
                <w:sz w:val="21"/>
              </w:rPr>
              <w:t>任意一个月</w:t>
            </w:r>
            <w:r>
              <w:rPr>
                <w:sz w:val="21"/>
              </w:rPr>
              <w:t>（以税款所属时期为准）依法纳税凭证原件或有电子专用章的完税证明；如未</w:t>
            </w:r>
            <w:r>
              <w:rPr>
                <w:rFonts w:ascii="宋体" w:hAnsi="宋体" w:eastAsia="宋体" w:cs="宋体"/>
                <w:spacing w:val="-8"/>
                <w:sz w:val="21"/>
              </w:rPr>
              <w:t>达到应缴税标准，须同时提供以下三项材料：①相应说明、②证明材料(如：增值税纳税申报 表或零纳税申报表)、③加盖税务局章（或电子章）的 无欠税证明；</w:t>
            </w:r>
          </w:p>
          <w:p w14:paraId="0F027223">
            <w:pPr>
              <w:pStyle w:val="18"/>
              <w:spacing w:before="121" w:line="357" w:lineRule="auto"/>
              <w:ind w:left="111" w:right="101"/>
              <w:jc w:val="both"/>
              <w:rPr>
                <w:rFonts w:ascii="宋体" w:hAnsi="宋体" w:eastAsia="宋体" w:cs="宋体"/>
                <w:spacing w:val="-8"/>
                <w:sz w:val="21"/>
              </w:rPr>
            </w:pPr>
            <w:r>
              <w:rPr>
                <w:rFonts w:ascii="宋体" w:hAnsi="宋体" w:eastAsia="宋体" w:cs="宋体"/>
                <w:spacing w:val="-8"/>
                <w:sz w:val="21"/>
              </w:rPr>
              <w:t>注：依法免税的供应商，应提供相应文件证明其依法</w:t>
            </w:r>
          </w:p>
          <w:p w14:paraId="2FF0DC8D">
            <w:pPr>
              <w:pStyle w:val="18"/>
              <w:spacing w:before="121" w:line="357" w:lineRule="auto"/>
              <w:ind w:left="111" w:right="101"/>
              <w:jc w:val="both"/>
              <w:rPr>
                <w:sz w:val="21"/>
              </w:rPr>
            </w:pPr>
            <w:r>
              <w:rPr>
                <w:rFonts w:ascii="宋体" w:hAnsi="宋体" w:eastAsia="宋体" w:cs="宋体"/>
                <w:spacing w:val="-8"/>
                <w:sz w:val="21"/>
              </w:rPr>
              <w:t>免税。</w:t>
            </w:r>
          </w:p>
        </w:tc>
        <w:tc>
          <w:tcPr>
            <w:tcW w:w="779" w:type="dxa"/>
          </w:tcPr>
          <w:p w14:paraId="50677D93">
            <w:pPr>
              <w:pStyle w:val="18"/>
              <w:rPr>
                <w:rFonts w:ascii="Times New Roman"/>
                <w:sz w:val="20"/>
              </w:rPr>
            </w:pPr>
          </w:p>
        </w:tc>
      </w:tr>
      <w:tr w14:paraId="46F4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trPr>
        <w:tc>
          <w:tcPr>
            <w:tcW w:w="505" w:type="dxa"/>
          </w:tcPr>
          <w:p w14:paraId="2BE2F1F4">
            <w:pPr>
              <w:pStyle w:val="18"/>
              <w:rPr>
                <w:b/>
                <w:sz w:val="20"/>
              </w:rPr>
            </w:pPr>
          </w:p>
          <w:p w14:paraId="43276EB1">
            <w:pPr>
              <w:pStyle w:val="18"/>
              <w:rPr>
                <w:b/>
                <w:sz w:val="20"/>
              </w:rPr>
            </w:pPr>
          </w:p>
          <w:p w14:paraId="3BF4003C">
            <w:pPr>
              <w:pStyle w:val="18"/>
              <w:spacing w:before="11"/>
              <w:rPr>
                <w:b/>
                <w:sz w:val="19"/>
              </w:rPr>
            </w:pPr>
          </w:p>
          <w:p w14:paraId="6064F6F0">
            <w:pPr>
              <w:pStyle w:val="18"/>
              <w:ind w:left="198"/>
              <w:rPr>
                <w:sz w:val="21"/>
              </w:rPr>
            </w:pPr>
            <w:r>
              <w:rPr>
                <w:w w:val="99"/>
                <w:sz w:val="21"/>
              </w:rPr>
              <w:t>5</w:t>
            </w:r>
          </w:p>
        </w:tc>
        <w:tc>
          <w:tcPr>
            <w:tcW w:w="3235" w:type="dxa"/>
          </w:tcPr>
          <w:p w14:paraId="118074C0">
            <w:pPr>
              <w:pStyle w:val="18"/>
              <w:rPr>
                <w:b/>
                <w:sz w:val="20"/>
              </w:rPr>
            </w:pPr>
          </w:p>
          <w:p w14:paraId="2FD2D1D9">
            <w:pPr>
              <w:pStyle w:val="18"/>
              <w:spacing w:before="4"/>
              <w:rPr>
                <w:b/>
                <w:sz w:val="24"/>
              </w:rPr>
            </w:pPr>
          </w:p>
          <w:p w14:paraId="5619F601">
            <w:pPr>
              <w:pStyle w:val="18"/>
              <w:spacing w:line="357" w:lineRule="auto"/>
              <w:ind w:left="111" w:right="104"/>
              <w:jc w:val="center"/>
              <w:rPr>
                <w:sz w:val="21"/>
              </w:rPr>
            </w:pPr>
            <w:r>
              <w:rPr>
                <w:rFonts w:ascii="宋体" w:hAnsi="宋体" w:eastAsia="宋体" w:cs="宋体"/>
                <w:spacing w:val="-8"/>
                <w:sz w:val="21"/>
              </w:rPr>
              <w:t>有依法缴纳社会保障资金的良好记录</w:t>
            </w:r>
          </w:p>
        </w:tc>
        <w:tc>
          <w:tcPr>
            <w:tcW w:w="5059" w:type="dxa"/>
          </w:tcPr>
          <w:p w14:paraId="082CCE0C">
            <w:pPr>
              <w:pStyle w:val="18"/>
              <w:spacing w:before="167" w:line="357" w:lineRule="auto"/>
              <w:ind w:left="111" w:right="103"/>
              <w:rPr>
                <w:sz w:val="21"/>
              </w:rPr>
            </w:pPr>
            <w:r>
              <w:rPr>
                <w:spacing w:val="-9"/>
                <w:sz w:val="21"/>
              </w:rPr>
              <w:t xml:space="preserve">提供投标人 </w:t>
            </w:r>
            <w:r>
              <w:rPr>
                <w:sz w:val="21"/>
              </w:rPr>
              <w:t>202</w:t>
            </w:r>
            <w:r>
              <w:rPr>
                <w:rFonts w:hint="eastAsia"/>
                <w:sz w:val="21"/>
                <w:lang w:val="en-US" w:eastAsia="zh-CN"/>
              </w:rPr>
              <w:t>6</w:t>
            </w:r>
            <w:r>
              <w:rPr>
                <w:spacing w:val="-8"/>
                <w:sz w:val="21"/>
              </w:rPr>
              <w:t>任意一个月依法缴纳社会保险的凭据；</w:t>
            </w:r>
          </w:p>
          <w:p w14:paraId="2543892E">
            <w:pPr>
              <w:pStyle w:val="18"/>
              <w:spacing w:line="355" w:lineRule="auto"/>
              <w:ind w:left="111" w:right="103"/>
              <w:rPr>
                <w:sz w:val="21"/>
              </w:rPr>
            </w:pPr>
            <w:r>
              <w:rPr>
                <w:sz w:val="21"/>
              </w:rPr>
              <w:t>注：依法不需要缴纳社会保障资金的供应商，应提供相应文件证明其依法不需要缴纳社会保障资金。</w:t>
            </w:r>
          </w:p>
        </w:tc>
        <w:tc>
          <w:tcPr>
            <w:tcW w:w="779" w:type="dxa"/>
          </w:tcPr>
          <w:p w14:paraId="2BBCDD53">
            <w:pPr>
              <w:pStyle w:val="18"/>
              <w:rPr>
                <w:rFonts w:ascii="Times New Roman"/>
                <w:sz w:val="20"/>
              </w:rPr>
            </w:pPr>
          </w:p>
        </w:tc>
      </w:tr>
      <w:tr w14:paraId="4B316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505" w:type="dxa"/>
          </w:tcPr>
          <w:p w14:paraId="654A20A8">
            <w:pPr>
              <w:pStyle w:val="18"/>
              <w:rPr>
                <w:b/>
                <w:sz w:val="20"/>
              </w:rPr>
            </w:pPr>
          </w:p>
          <w:p w14:paraId="79242B57">
            <w:pPr>
              <w:pStyle w:val="18"/>
              <w:spacing w:before="159"/>
              <w:ind w:left="198"/>
              <w:rPr>
                <w:sz w:val="21"/>
              </w:rPr>
            </w:pPr>
            <w:r>
              <w:rPr>
                <w:w w:val="99"/>
                <w:sz w:val="21"/>
              </w:rPr>
              <w:t>6</w:t>
            </w:r>
          </w:p>
        </w:tc>
        <w:tc>
          <w:tcPr>
            <w:tcW w:w="3235" w:type="dxa"/>
          </w:tcPr>
          <w:p w14:paraId="2ED15586">
            <w:pPr>
              <w:pStyle w:val="18"/>
              <w:spacing w:before="11"/>
              <w:rPr>
                <w:b/>
                <w:sz w:val="16"/>
              </w:rPr>
            </w:pPr>
          </w:p>
          <w:p w14:paraId="0481B0F9">
            <w:pPr>
              <w:pStyle w:val="18"/>
              <w:spacing w:line="355" w:lineRule="auto"/>
              <w:ind w:left="111" w:right="104"/>
              <w:jc w:val="center"/>
              <w:rPr>
                <w:sz w:val="21"/>
              </w:rPr>
            </w:pPr>
            <w:r>
              <w:rPr>
                <w:rFonts w:ascii="宋体" w:hAnsi="宋体" w:eastAsia="宋体" w:cs="宋体"/>
                <w:spacing w:val="-8"/>
                <w:sz w:val="21"/>
              </w:rPr>
              <w:t>参加政府采购活动前三年内，在经营活动中没有重大违法记录</w:t>
            </w:r>
          </w:p>
        </w:tc>
        <w:tc>
          <w:tcPr>
            <w:tcW w:w="5059" w:type="dxa"/>
          </w:tcPr>
          <w:p w14:paraId="53CAAE31">
            <w:pPr>
              <w:pStyle w:val="18"/>
              <w:rPr>
                <w:b/>
                <w:sz w:val="20"/>
              </w:rPr>
            </w:pPr>
          </w:p>
          <w:p w14:paraId="3D9ED826">
            <w:pPr>
              <w:pStyle w:val="18"/>
              <w:spacing w:before="159"/>
              <w:ind w:left="111"/>
              <w:rPr>
                <w:sz w:val="21"/>
              </w:rPr>
            </w:pPr>
            <w:r>
              <w:rPr>
                <w:sz w:val="21"/>
              </w:rPr>
              <w:t>提供无重大违法记录声明函。</w:t>
            </w:r>
          </w:p>
        </w:tc>
        <w:tc>
          <w:tcPr>
            <w:tcW w:w="779" w:type="dxa"/>
          </w:tcPr>
          <w:p w14:paraId="3FABAC90">
            <w:pPr>
              <w:pStyle w:val="18"/>
              <w:rPr>
                <w:rFonts w:ascii="Times New Roman"/>
                <w:sz w:val="20"/>
              </w:rPr>
            </w:pPr>
          </w:p>
        </w:tc>
      </w:tr>
    </w:tbl>
    <w:p w14:paraId="6BDFEB01">
      <w:pPr>
        <w:spacing w:after="0"/>
        <w:rPr>
          <w:rFonts w:ascii="Times New Roman"/>
          <w:sz w:val="20"/>
        </w:rPr>
        <w:sectPr>
          <w:pgSz w:w="11910" w:h="16840"/>
          <w:pgMar w:top="1200" w:right="900" w:bottom="1020" w:left="960" w:header="0" w:footer="828" w:gutter="0"/>
          <w:pgNumType w:fmt="decimal"/>
          <w:cols w:space="720" w:num="1"/>
        </w:sectPr>
      </w:pPr>
    </w:p>
    <w:tbl>
      <w:tblPr>
        <w:tblStyle w:val="13"/>
        <w:tblW w:w="0" w:type="auto"/>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3235"/>
        <w:gridCol w:w="5059"/>
        <w:gridCol w:w="779"/>
      </w:tblGrid>
      <w:tr w14:paraId="76E8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2" w:hRule="atLeast"/>
        </w:trPr>
        <w:tc>
          <w:tcPr>
            <w:tcW w:w="505" w:type="dxa"/>
          </w:tcPr>
          <w:p w14:paraId="1D62769C">
            <w:pPr>
              <w:pStyle w:val="18"/>
              <w:rPr>
                <w:b/>
                <w:sz w:val="20"/>
              </w:rPr>
            </w:pPr>
          </w:p>
          <w:p w14:paraId="72710162">
            <w:pPr>
              <w:pStyle w:val="18"/>
              <w:rPr>
                <w:b/>
                <w:sz w:val="20"/>
              </w:rPr>
            </w:pPr>
          </w:p>
          <w:p w14:paraId="733D8973">
            <w:pPr>
              <w:pStyle w:val="18"/>
              <w:rPr>
                <w:b/>
                <w:sz w:val="20"/>
              </w:rPr>
            </w:pPr>
          </w:p>
          <w:p w14:paraId="1C74D634">
            <w:pPr>
              <w:pStyle w:val="18"/>
              <w:rPr>
                <w:b/>
                <w:sz w:val="20"/>
              </w:rPr>
            </w:pPr>
          </w:p>
          <w:p w14:paraId="56EE3155">
            <w:pPr>
              <w:pStyle w:val="18"/>
              <w:spacing w:before="148"/>
              <w:ind w:firstLine="207" w:firstLineChars="100"/>
              <w:rPr>
                <w:sz w:val="21"/>
              </w:rPr>
            </w:pPr>
            <w:r>
              <w:rPr>
                <w:w w:val="99"/>
                <w:sz w:val="21"/>
              </w:rPr>
              <w:t>7</w:t>
            </w:r>
          </w:p>
        </w:tc>
        <w:tc>
          <w:tcPr>
            <w:tcW w:w="3235" w:type="dxa"/>
          </w:tcPr>
          <w:p w14:paraId="76DB9819">
            <w:pPr>
              <w:pStyle w:val="18"/>
              <w:rPr>
                <w:b/>
                <w:sz w:val="20"/>
              </w:rPr>
            </w:pPr>
          </w:p>
          <w:p w14:paraId="222CAC20">
            <w:pPr>
              <w:pStyle w:val="18"/>
              <w:rPr>
                <w:b/>
                <w:sz w:val="20"/>
              </w:rPr>
            </w:pPr>
          </w:p>
          <w:p w14:paraId="5A9FE2A4">
            <w:pPr>
              <w:pStyle w:val="18"/>
              <w:rPr>
                <w:b/>
                <w:sz w:val="20"/>
              </w:rPr>
            </w:pPr>
          </w:p>
          <w:p w14:paraId="08491ECE">
            <w:pPr>
              <w:pStyle w:val="18"/>
              <w:rPr>
                <w:b/>
                <w:sz w:val="20"/>
              </w:rPr>
            </w:pPr>
          </w:p>
          <w:p w14:paraId="7C0E5649">
            <w:pPr>
              <w:pStyle w:val="18"/>
              <w:spacing w:line="357" w:lineRule="auto"/>
              <w:ind w:right="104"/>
              <w:jc w:val="center"/>
              <w:rPr>
                <w:sz w:val="21"/>
              </w:rPr>
            </w:pPr>
            <w:r>
              <w:rPr>
                <w:rFonts w:ascii="宋体" w:hAnsi="宋体" w:eastAsia="宋体" w:cs="宋体"/>
                <w:spacing w:val="-8"/>
                <w:sz w:val="21"/>
              </w:rPr>
              <w:t>落实政府采购政策需满足的资格要求</w:t>
            </w:r>
          </w:p>
        </w:tc>
        <w:tc>
          <w:tcPr>
            <w:tcW w:w="5059" w:type="dxa"/>
          </w:tcPr>
          <w:p w14:paraId="2FF7063A">
            <w:pPr>
              <w:pStyle w:val="18"/>
              <w:spacing w:before="11"/>
              <w:rPr>
                <w:b/>
                <w:sz w:val="25"/>
              </w:rPr>
            </w:pPr>
          </w:p>
          <w:p w14:paraId="0891A61F">
            <w:pPr>
              <w:pStyle w:val="18"/>
              <w:bidi w:val="0"/>
              <w:rPr>
                <w:rFonts w:hint="eastAsia"/>
                <w:sz w:val="21"/>
                <w:lang w:val="en-US" w:eastAsia="zh-CN"/>
              </w:rPr>
            </w:pPr>
          </w:p>
          <w:p w14:paraId="7111C60F">
            <w:pPr>
              <w:pStyle w:val="18"/>
              <w:bidi w:val="0"/>
              <w:rPr>
                <w:rFonts w:hint="eastAsia"/>
                <w:sz w:val="21"/>
                <w:lang w:val="en-US" w:eastAsia="zh-CN"/>
              </w:rPr>
            </w:pPr>
          </w:p>
          <w:p w14:paraId="045A301F">
            <w:pPr>
              <w:pStyle w:val="18"/>
              <w:bidi w:val="0"/>
              <w:rPr>
                <w:sz w:val="21"/>
              </w:rPr>
            </w:pPr>
            <w:r>
              <w:rPr>
                <w:rFonts w:hint="eastAsia"/>
                <w:sz w:val="21"/>
                <w:lang w:val="en-US" w:eastAsia="zh-CN"/>
              </w:rPr>
              <w:t>本项目为专门面向中小企业</w:t>
            </w:r>
            <w:r>
              <w:rPr>
                <w:sz w:val="21"/>
              </w:rPr>
              <w:t>，供应商应为符合政策要求的</w:t>
            </w:r>
            <w:r>
              <w:rPr>
                <w:rFonts w:hint="eastAsia"/>
                <w:sz w:val="21"/>
                <w:lang w:eastAsia="zh-CN"/>
              </w:rPr>
              <w:t>中</w:t>
            </w:r>
            <w:r>
              <w:rPr>
                <w:sz w:val="21"/>
              </w:rPr>
              <w:t>小企业(含小型、微型企业)，投标供应商不再单独享受价格扣除，须出具《中小企业声明函》；</w:t>
            </w:r>
          </w:p>
          <w:p w14:paraId="1D6DEDAA">
            <w:pPr>
              <w:pStyle w:val="18"/>
              <w:spacing w:line="357" w:lineRule="auto"/>
              <w:ind w:left="28" w:right="94"/>
              <w:jc w:val="both"/>
              <w:rPr>
                <w:sz w:val="21"/>
              </w:rPr>
            </w:pPr>
          </w:p>
        </w:tc>
        <w:tc>
          <w:tcPr>
            <w:tcW w:w="779" w:type="dxa"/>
          </w:tcPr>
          <w:p w14:paraId="262F6650">
            <w:pPr>
              <w:pStyle w:val="18"/>
              <w:rPr>
                <w:rFonts w:ascii="Times New Roman"/>
                <w:sz w:val="20"/>
              </w:rPr>
            </w:pPr>
          </w:p>
        </w:tc>
      </w:tr>
      <w:tr w14:paraId="351AE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2" w:hRule="atLeast"/>
        </w:trPr>
        <w:tc>
          <w:tcPr>
            <w:tcW w:w="505" w:type="dxa"/>
          </w:tcPr>
          <w:p w14:paraId="322A798A">
            <w:pPr>
              <w:pStyle w:val="18"/>
              <w:rPr>
                <w:b/>
                <w:sz w:val="20"/>
              </w:rPr>
            </w:pPr>
          </w:p>
          <w:p w14:paraId="42A51A47">
            <w:pPr>
              <w:pStyle w:val="18"/>
              <w:rPr>
                <w:b/>
                <w:sz w:val="20"/>
              </w:rPr>
            </w:pPr>
          </w:p>
          <w:p w14:paraId="2F4BCE12">
            <w:pPr>
              <w:pStyle w:val="18"/>
              <w:rPr>
                <w:b/>
                <w:sz w:val="20"/>
              </w:rPr>
            </w:pPr>
          </w:p>
          <w:p w14:paraId="128273E4">
            <w:pPr>
              <w:pStyle w:val="18"/>
              <w:spacing w:before="5"/>
              <w:rPr>
                <w:b/>
                <w:sz w:val="22"/>
              </w:rPr>
            </w:pPr>
          </w:p>
          <w:p w14:paraId="73344779">
            <w:pPr>
              <w:pStyle w:val="18"/>
              <w:ind w:left="198"/>
              <w:rPr>
                <w:rFonts w:hint="eastAsia" w:eastAsia="宋体"/>
                <w:sz w:val="21"/>
                <w:lang w:eastAsia="zh-CN"/>
              </w:rPr>
            </w:pPr>
            <w:r>
              <w:rPr>
                <w:rFonts w:hint="eastAsia"/>
                <w:w w:val="99"/>
                <w:sz w:val="21"/>
                <w:lang w:val="en-US" w:eastAsia="zh-CN"/>
              </w:rPr>
              <w:t>8</w:t>
            </w:r>
          </w:p>
        </w:tc>
        <w:tc>
          <w:tcPr>
            <w:tcW w:w="3235" w:type="dxa"/>
          </w:tcPr>
          <w:p w14:paraId="0605BF12">
            <w:pPr>
              <w:pStyle w:val="18"/>
              <w:rPr>
                <w:b/>
                <w:sz w:val="20"/>
              </w:rPr>
            </w:pPr>
          </w:p>
          <w:p w14:paraId="7BC14FBD">
            <w:pPr>
              <w:pStyle w:val="18"/>
              <w:rPr>
                <w:b/>
                <w:sz w:val="20"/>
              </w:rPr>
            </w:pPr>
          </w:p>
          <w:p w14:paraId="53AB5E08">
            <w:pPr>
              <w:pStyle w:val="18"/>
              <w:rPr>
                <w:b/>
                <w:sz w:val="20"/>
              </w:rPr>
            </w:pPr>
          </w:p>
          <w:p w14:paraId="6D74CB95">
            <w:pPr>
              <w:pStyle w:val="18"/>
              <w:spacing w:before="5"/>
              <w:rPr>
                <w:b/>
                <w:sz w:val="22"/>
              </w:rPr>
            </w:pPr>
          </w:p>
          <w:p w14:paraId="5FD30195">
            <w:pPr>
              <w:pStyle w:val="18"/>
              <w:ind w:left="111" w:firstLine="1050" w:firstLineChars="500"/>
              <w:rPr>
                <w:sz w:val="21"/>
              </w:rPr>
            </w:pPr>
            <w:r>
              <w:rPr>
                <w:sz w:val="21"/>
              </w:rPr>
              <w:t>信用情况</w:t>
            </w:r>
          </w:p>
        </w:tc>
        <w:tc>
          <w:tcPr>
            <w:tcW w:w="5059" w:type="dxa"/>
          </w:tcPr>
          <w:p w14:paraId="787F4504">
            <w:pPr>
              <w:pStyle w:val="18"/>
              <w:rPr>
                <w:b/>
                <w:sz w:val="20"/>
              </w:rPr>
            </w:pPr>
          </w:p>
          <w:p w14:paraId="4F29FA38">
            <w:pPr>
              <w:pStyle w:val="18"/>
              <w:spacing w:line="357" w:lineRule="auto"/>
              <w:ind w:left="111" w:right="103"/>
              <w:jc w:val="both"/>
              <w:rPr>
                <w:b/>
                <w:sz w:val="21"/>
              </w:rPr>
            </w:pPr>
            <w:r>
              <w:rPr>
                <w:rFonts w:ascii="宋体" w:hAnsi="宋体" w:eastAsia="宋体" w:cs="宋体"/>
                <w:sz w:val="21"/>
              </w:rPr>
              <w:t xml:space="preserve">投标人在信用中国未被列入失信被执行人名单、重大税收违法失信主体，在中国政府采购网未被列入政府采购严重违法失信行为记录名单(尚在处罚期内的)。 </w:t>
            </w:r>
          </w:p>
        </w:tc>
        <w:tc>
          <w:tcPr>
            <w:tcW w:w="779" w:type="dxa"/>
          </w:tcPr>
          <w:p w14:paraId="01294148">
            <w:pPr>
              <w:pStyle w:val="18"/>
              <w:rPr>
                <w:rFonts w:ascii="Times New Roman"/>
                <w:sz w:val="20"/>
              </w:rPr>
            </w:pPr>
          </w:p>
        </w:tc>
      </w:tr>
      <w:tr w14:paraId="58A48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799" w:type="dxa"/>
            <w:gridSpan w:val="3"/>
          </w:tcPr>
          <w:p w14:paraId="01834FD4">
            <w:pPr>
              <w:pStyle w:val="18"/>
              <w:spacing w:before="10"/>
              <w:rPr>
                <w:b/>
                <w:sz w:val="19"/>
              </w:rPr>
            </w:pPr>
          </w:p>
          <w:p w14:paraId="1FF074EF">
            <w:pPr>
              <w:pStyle w:val="18"/>
              <w:spacing w:before="1"/>
              <w:ind w:left="112"/>
              <w:rPr>
                <w:sz w:val="21"/>
              </w:rPr>
            </w:pPr>
            <w:r>
              <w:rPr>
                <w:sz w:val="21"/>
              </w:rPr>
              <w:t>结论：是否通过资格审查。</w:t>
            </w:r>
          </w:p>
        </w:tc>
        <w:tc>
          <w:tcPr>
            <w:tcW w:w="779" w:type="dxa"/>
          </w:tcPr>
          <w:p w14:paraId="7EE8D1AB">
            <w:pPr>
              <w:pStyle w:val="18"/>
              <w:rPr>
                <w:rFonts w:ascii="Times New Roman"/>
                <w:sz w:val="20"/>
              </w:rPr>
            </w:pPr>
          </w:p>
        </w:tc>
      </w:tr>
    </w:tbl>
    <w:p w14:paraId="5154F6BC">
      <w:pPr>
        <w:pStyle w:val="8"/>
        <w:spacing w:before="12"/>
        <w:rPr>
          <w:b/>
          <w:sz w:val="13"/>
        </w:rPr>
      </w:pPr>
    </w:p>
    <w:p w14:paraId="7F0F36DA">
      <w:pPr>
        <w:spacing w:before="70" w:line="364" w:lineRule="auto"/>
        <w:ind w:left="287" w:right="346" w:firstLine="0"/>
        <w:jc w:val="left"/>
        <w:rPr>
          <w:b/>
          <w:sz w:val="21"/>
        </w:rPr>
      </w:pPr>
      <w:r>
        <w:rPr>
          <w:b/>
          <w:sz w:val="21"/>
        </w:rPr>
        <w:t>注：（1）表中所述资格审查结果分两种：符合或不符合，对某一分项资格审查认为不符合时，必须要写明原因，凡有一项不符合者，其结论即为“不符合”，投标无效，不进入后期评审阶段。</w:t>
      </w:r>
    </w:p>
    <w:p w14:paraId="4197BDF0">
      <w:pPr>
        <w:spacing w:before="0" w:line="267" w:lineRule="exact"/>
        <w:ind w:left="708" w:right="0" w:firstLine="0"/>
        <w:jc w:val="left"/>
        <w:rPr>
          <w:b/>
          <w:sz w:val="21"/>
        </w:rPr>
      </w:pPr>
      <w:r>
        <w:rPr>
          <w:b/>
          <w:sz w:val="21"/>
        </w:rPr>
        <w:t>（2）经审查符合的投标人不足 3 家的，项目废标，采购人依法重新组织采购活动。</w:t>
      </w:r>
    </w:p>
    <w:p w14:paraId="38A4AAFB">
      <w:pPr>
        <w:spacing w:after="0" w:line="267" w:lineRule="exact"/>
        <w:jc w:val="left"/>
        <w:rPr>
          <w:sz w:val="21"/>
        </w:rPr>
        <w:sectPr>
          <w:pgSz w:w="11910" w:h="16840"/>
          <w:pgMar w:top="1240" w:right="900" w:bottom="1020" w:left="960" w:header="0" w:footer="828" w:gutter="0"/>
          <w:pgNumType w:fmt="decimal"/>
          <w:cols w:space="720" w:num="1"/>
        </w:sectPr>
      </w:pPr>
    </w:p>
    <w:p w14:paraId="1B031F5C">
      <w:pPr>
        <w:spacing w:before="49"/>
        <w:ind w:left="287" w:right="0" w:firstLine="0"/>
        <w:jc w:val="left"/>
        <w:rPr>
          <w:b/>
          <w:sz w:val="28"/>
        </w:rPr>
      </w:pPr>
      <w:r>
        <w:rPr>
          <w:b/>
          <w:sz w:val="28"/>
        </w:rPr>
        <w:t>附表二</w:t>
      </w:r>
    </w:p>
    <w:p w14:paraId="608E4A56">
      <w:pPr>
        <w:spacing w:before="187"/>
        <w:ind w:left="270" w:right="328" w:firstLine="0"/>
        <w:jc w:val="center"/>
        <w:rPr>
          <w:b/>
          <w:sz w:val="28"/>
        </w:rPr>
      </w:pPr>
      <w:r>
        <w:rPr>
          <w:b/>
          <w:sz w:val="28"/>
        </w:rPr>
        <w:t>符合性审查表</w:t>
      </w:r>
    </w:p>
    <w:tbl>
      <w:tblPr>
        <w:tblStyle w:val="13"/>
        <w:tblW w:w="0" w:type="auto"/>
        <w:tblInd w:w="16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7"/>
        <w:gridCol w:w="487"/>
        <w:gridCol w:w="6990"/>
        <w:gridCol w:w="705"/>
        <w:gridCol w:w="924"/>
      </w:tblGrid>
      <w:tr w14:paraId="641F54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587" w:type="dxa"/>
            <w:vMerge w:val="restart"/>
            <w:tcBorders>
              <w:bottom w:val="single" w:color="000000" w:sz="6" w:space="0"/>
              <w:right w:val="single" w:color="000000" w:sz="6" w:space="0"/>
            </w:tcBorders>
          </w:tcPr>
          <w:p w14:paraId="2CA62301">
            <w:pPr>
              <w:pStyle w:val="18"/>
              <w:spacing w:before="1"/>
              <w:rPr>
                <w:b/>
                <w:sz w:val="27"/>
              </w:rPr>
            </w:pPr>
          </w:p>
          <w:p w14:paraId="7B80DD6E">
            <w:pPr>
              <w:pStyle w:val="18"/>
              <w:spacing w:line="242" w:lineRule="auto"/>
              <w:ind w:left="181" w:right="160"/>
              <w:rPr>
                <w:b/>
                <w:sz w:val="22"/>
              </w:rPr>
            </w:pPr>
            <w:r>
              <w:rPr>
                <w:b/>
                <w:sz w:val="22"/>
              </w:rPr>
              <w:t>项目</w:t>
            </w:r>
          </w:p>
        </w:tc>
        <w:tc>
          <w:tcPr>
            <w:tcW w:w="7477" w:type="dxa"/>
            <w:gridSpan w:val="2"/>
            <w:vMerge w:val="restart"/>
            <w:tcBorders>
              <w:left w:val="single" w:color="000000" w:sz="6" w:space="0"/>
              <w:bottom w:val="single" w:color="000000" w:sz="6" w:space="0"/>
              <w:right w:val="single" w:color="000000" w:sz="6" w:space="0"/>
            </w:tcBorders>
          </w:tcPr>
          <w:p w14:paraId="01D1C19C">
            <w:pPr>
              <w:pStyle w:val="18"/>
              <w:rPr>
                <w:b/>
                <w:sz w:val="22"/>
              </w:rPr>
            </w:pPr>
          </w:p>
          <w:p w14:paraId="75406DB9">
            <w:pPr>
              <w:pStyle w:val="18"/>
              <w:spacing w:before="1"/>
              <w:rPr>
                <w:b/>
                <w:sz w:val="16"/>
              </w:rPr>
            </w:pPr>
          </w:p>
          <w:p w14:paraId="6BC7F011">
            <w:pPr>
              <w:pStyle w:val="18"/>
              <w:ind w:left="3284" w:right="3253"/>
              <w:jc w:val="center"/>
              <w:rPr>
                <w:b/>
                <w:sz w:val="22"/>
              </w:rPr>
            </w:pPr>
            <w:r>
              <w:rPr>
                <w:b/>
                <w:sz w:val="22"/>
              </w:rPr>
              <w:t>评审内容</w:t>
            </w:r>
          </w:p>
        </w:tc>
        <w:tc>
          <w:tcPr>
            <w:tcW w:w="1629" w:type="dxa"/>
            <w:gridSpan w:val="2"/>
            <w:tcBorders>
              <w:left w:val="single" w:color="000000" w:sz="6" w:space="0"/>
              <w:bottom w:val="single" w:color="000000" w:sz="6" w:space="0"/>
            </w:tcBorders>
          </w:tcPr>
          <w:p w14:paraId="33DA6635">
            <w:pPr>
              <w:pStyle w:val="18"/>
              <w:spacing w:before="169"/>
              <w:ind w:left="380"/>
              <w:rPr>
                <w:b/>
                <w:sz w:val="22"/>
              </w:rPr>
            </w:pPr>
            <w:r>
              <w:rPr>
                <w:b/>
                <w:sz w:val="22"/>
              </w:rPr>
              <w:t>评审意见</w:t>
            </w:r>
          </w:p>
        </w:tc>
      </w:tr>
      <w:tr w14:paraId="374A65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587" w:type="dxa"/>
            <w:vMerge w:val="continue"/>
            <w:tcBorders>
              <w:top w:val="nil"/>
              <w:bottom w:val="single" w:color="000000" w:sz="6" w:space="0"/>
              <w:right w:val="single" w:color="000000" w:sz="6" w:space="0"/>
            </w:tcBorders>
          </w:tcPr>
          <w:p w14:paraId="71BC62A4">
            <w:pPr>
              <w:rPr>
                <w:sz w:val="2"/>
                <w:szCs w:val="2"/>
              </w:rPr>
            </w:pPr>
          </w:p>
        </w:tc>
        <w:tc>
          <w:tcPr>
            <w:tcW w:w="7477" w:type="dxa"/>
            <w:gridSpan w:val="2"/>
            <w:vMerge w:val="continue"/>
            <w:tcBorders>
              <w:top w:val="nil"/>
              <w:left w:val="single" w:color="000000" w:sz="6" w:space="0"/>
              <w:bottom w:val="single" w:color="000000" w:sz="6" w:space="0"/>
              <w:right w:val="single" w:color="000000" w:sz="6" w:space="0"/>
            </w:tcBorders>
          </w:tcPr>
          <w:p w14:paraId="180A5475">
            <w:pPr>
              <w:rPr>
                <w:sz w:val="2"/>
                <w:szCs w:val="2"/>
              </w:rPr>
            </w:pPr>
          </w:p>
        </w:tc>
        <w:tc>
          <w:tcPr>
            <w:tcW w:w="705" w:type="dxa"/>
            <w:tcBorders>
              <w:top w:val="single" w:color="000000" w:sz="6" w:space="0"/>
              <w:left w:val="single" w:color="000000" w:sz="6" w:space="0"/>
              <w:bottom w:val="single" w:color="000000" w:sz="6" w:space="0"/>
              <w:right w:val="single" w:color="000000" w:sz="6" w:space="0"/>
            </w:tcBorders>
          </w:tcPr>
          <w:p w14:paraId="0B986002">
            <w:pPr>
              <w:pStyle w:val="18"/>
              <w:spacing w:before="171"/>
              <w:ind w:left="138"/>
              <w:rPr>
                <w:b/>
                <w:sz w:val="22"/>
              </w:rPr>
            </w:pPr>
            <w:r>
              <w:rPr>
                <w:b/>
                <w:sz w:val="22"/>
              </w:rPr>
              <w:t>符合</w:t>
            </w:r>
          </w:p>
        </w:tc>
        <w:tc>
          <w:tcPr>
            <w:tcW w:w="924" w:type="dxa"/>
            <w:tcBorders>
              <w:top w:val="single" w:color="000000" w:sz="6" w:space="0"/>
              <w:left w:val="single" w:color="000000" w:sz="6" w:space="0"/>
              <w:bottom w:val="single" w:color="000000" w:sz="6" w:space="0"/>
            </w:tcBorders>
          </w:tcPr>
          <w:p w14:paraId="3F4D7B15">
            <w:pPr>
              <w:pStyle w:val="18"/>
              <w:spacing w:before="171"/>
              <w:ind w:left="136"/>
              <w:rPr>
                <w:b/>
                <w:sz w:val="22"/>
              </w:rPr>
            </w:pPr>
            <w:r>
              <w:rPr>
                <w:b/>
                <w:sz w:val="22"/>
              </w:rPr>
              <w:t>不符合</w:t>
            </w:r>
          </w:p>
        </w:tc>
      </w:tr>
      <w:tr w14:paraId="3E0C40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587" w:type="dxa"/>
            <w:vMerge w:val="restart"/>
            <w:tcBorders>
              <w:top w:val="single" w:color="000000" w:sz="6" w:space="0"/>
              <w:bottom w:val="single" w:color="000000" w:sz="4" w:space="0"/>
              <w:right w:val="single" w:color="000000" w:sz="6" w:space="0"/>
            </w:tcBorders>
          </w:tcPr>
          <w:p w14:paraId="5E9EB87D">
            <w:pPr>
              <w:pStyle w:val="18"/>
              <w:rPr>
                <w:b/>
                <w:sz w:val="22"/>
              </w:rPr>
            </w:pPr>
          </w:p>
          <w:p w14:paraId="40CCB985">
            <w:pPr>
              <w:pStyle w:val="18"/>
              <w:rPr>
                <w:b/>
                <w:sz w:val="22"/>
              </w:rPr>
            </w:pPr>
          </w:p>
          <w:p w14:paraId="698DF170">
            <w:pPr>
              <w:pStyle w:val="18"/>
              <w:rPr>
                <w:b/>
                <w:sz w:val="22"/>
              </w:rPr>
            </w:pPr>
          </w:p>
          <w:p w14:paraId="0CB9FD2F">
            <w:pPr>
              <w:pStyle w:val="18"/>
              <w:rPr>
                <w:b/>
                <w:sz w:val="22"/>
              </w:rPr>
            </w:pPr>
          </w:p>
          <w:p w14:paraId="57562401">
            <w:pPr>
              <w:pStyle w:val="18"/>
              <w:rPr>
                <w:b/>
                <w:sz w:val="22"/>
              </w:rPr>
            </w:pPr>
          </w:p>
          <w:p w14:paraId="225827BF">
            <w:pPr>
              <w:pStyle w:val="18"/>
              <w:rPr>
                <w:b/>
                <w:sz w:val="22"/>
              </w:rPr>
            </w:pPr>
          </w:p>
          <w:p w14:paraId="4E205E73">
            <w:pPr>
              <w:pStyle w:val="18"/>
              <w:spacing w:before="3"/>
              <w:rPr>
                <w:b/>
                <w:sz w:val="17"/>
              </w:rPr>
            </w:pPr>
          </w:p>
          <w:p w14:paraId="67AEFE58">
            <w:pPr>
              <w:pStyle w:val="18"/>
              <w:spacing w:line="242" w:lineRule="auto"/>
              <w:ind w:left="181" w:right="160"/>
              <w:jc w:val="both"/>
              <w:rPr>
                <w:sz w:val="22"/>
              </w:rPr>
            </w:pPr>
            <w:r>
              <w:rPr>
                <w:sz w:val="22"/>
              </w:rPr>
              <w:t>商务技术符合性审查</w:t>
            </w:r>
          </w:p>
        </w:tc>
        <w:tc>
          <w:tcPr>
            <w:tcW w:w="487" w:type="dxa"/>
            <w:tcBorders>
              <w:top w:val="single" w:color="000000" w:sz="6" w:space="0"/>
              <w:left w:val="single" w:color="000000" w:sz="6" w:space="0"/>
              <w:bottom w:val="single" w:color="000000" w:sz="6" w:space="0"/>
              <w:right w:val="single" w:color="000000" w:sz="6" w:space="0"/>
            </w:tcBorders>
          </w:tcPr>
          <w:p w14:paraId="5C0A0CAD">
            <w:pPr>
              <w:pStyle w:val="18"/>
              <w:spacing w:before="187"/>
              <w:ind w:right="166"/>
              <w:jc w:val="right"/>
              <w:rPr>
                <w:sz w:val="22"/>
              </w:rPr>
            </w:pPr>
            <w:r>
              <w:rPr>
                <w:w w:val="100"/>
                <w:sz w:val="22"/>
              </w:rPr>
              <w:t>1</w:t>
            </w:r>
          </w:p>
        </w:tc>
        <w:tc>
          <w:tcPr>
            <w:tcW w:w="6990" w:type="dxa"/>
            <w:tcBorders>
              <w:top w:val="single" w:color="000000" w:sz="6" w:space="0"/>
              <w:left w:val="single" w:color="000000" w:sz="6" w:space="0"/>
              <w:bottom w:val="single" w:color="000000" w:sz="6" w:space="0"/>
              <w:right w:val="single" w:color="000000" w:sz="6" w:space="0"/>
            </w:tcBorders>
          </w:tcPr>
          <w:p w14:paraId="178AF521">
            <w:pPr>
              <w:pStyle w:val="18"/>
              <w:spacing w:before="187"/>
              <w:ind w:left="115"/>
              <w:rPr>
                <w:sz w:val="22"/>
              </w:rPr>
            </w:pPr>
            <w:r>
              <w:rPr>
                <w:sz w:val="22"/>
              </w:rPr>
              <w:t>按照招标文件要求提供法定代表人身份证明或法定代表人授权委托书；</w:t>
            </w:r>
          </w:p>
        </w:tc>
        <w:tc>
          <w:tcPr>
            <w:tcW w:w="705" w:type="dxa"/>
            <w:tcBorders>
              <w:top w:val="single" w:color="000000" w:sz="6" w:space="0"/>
              <w:left w:val="single" w:color="000000" w:sz="6" w:space="0"/>
              <w:bottom w:val="single" w:color="000000" w:sz="6" w:space="0"/>
              <w:right w:val="single" w:color="000000" w:sz="4" w:space="0"/>
            </w:tcBorders>
          </w:tcPr>
          <w:p w14:paraId="43B19712">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4F410A4A">
            <w:pPr>
              <w:pStyle w:val="18"/>
              <w:rPr>
                <w:rFonts w:ascii="Times New Roman"/>
                <w:sz w:val="20"/>
              </w:rPr>
            </w:pPr>
          </w:p>
        </w:tc>
      </w:tr>
      <w:tr w14:paraId="501731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87" w:type="dxa"/>
            <w:vMerge w:val="continue"/>
            <w:tcBorders>
              <w:top w:val="nil"/>
              <w:bottom w:val="single" w:color="000000" w:sz="4" w:space="0"/>
              <w:right w:val="single" w:color="000000" w:sz="6" w:space="0"/>
            </w:tcBorders>
          </w:tcPr>
          <w:p w14:paraId="3AAE0021">
            <w:pPr>
              <w:rPr>
                <w:sz w:val="2"/>
                <w:szCs w:val="2"/>
              </w:rPr>
            </w:pPr>
          </w:p>
        </w:tc>
        <w:tc>
          <w:tcPr>
            <w:tcW w:w="487" w:type="dxa"/>
            <w:tcBorders>
              <w:top w:val="single" w:color="000000" w:sz="6" w:space="0"/>
              <w:left w:val="single" w:color="000000" w:sz="6" w:space="0"/>
              <w:bottom w:val="single" w:color="000000" w:sz="6" w:space="0"/>
              <w:right w:val="single" w:color="000000" w:sz="6" w:space="0"/>
            </w:tcBorders>
          </w:tcPr>
          <w:p w14:paraId="5A87FC04">
            <w:pPr>
              <w:pStyle w:val="18"/>
              <w:spacing w:before="189"/>
              <w:ind w:right="166"/>
              <w:jc w:val="right"/>
              <w:rPr>
                <w:sz w:val="22"/>
              </w:rPr>
            </w:pPr>
            <w:r>
              <w:rPr>
                <w:w w:val="100"/>
                <w:sz w:val="22"/>
              </w:rPr>
              <w:t>2</w:t>
            </w:r>
          </w:p>
        </w:tc>
        <w:tc>
          <w:tcPr>
            <w:tcW w:w="6990" w:type="dxa"/>
            <w:tcBorders>
              <w:top w:val="single" w:color="000000" w:sz="6" w:space="0"/>
              <w:left w:val="single" w:color="000000" w:sz="6" w:space="0"/>
              <w:bottom w:val="single" w:color="000000" w:sz="6" w:space="0"/>
              <w:right w:val="single" w:color="000000" w:sz="6" w:space="0"/>
            </w:tcBorders>
          </w:tcPr>
          <w:p w14:paraId="5F735A75">
            <w:pPr>
              <w:pStyle w:val="18"/>
              <w:spacing w:before="189"/>
              <w:ind w:left="115"/>
              <w:rPr>
                <w:sz w:val="22"/>
              </w:rPr>
            </w:pPr>
            <w:r>
              <w:rPr>
                <w:sz w:val="22"/>
              </w:rPr>
              <w:t>投标人名称与营业执照及其它资格证明文件一致；</w:t>
            </w:r>
          </w:p>
        </w:tc>
        <w:tc>
          <w:tcPr>
            <w:tcW w:w="705" w:type="dxa"/>
            <w:tcBorders>
              <w:top w:val="single" w:color="000000" w:sz="6" w:space="0"/>
              <w:left w:val="single" w:color="000000" w:sz="6" w:space="0"/>
              <w:bottom w:val="single" w:color="000000" w:sz="6" w:space="0"/>
              <w:right w:val="single" w:color="000000" w:sz="4" w:space="0"/>
            </w:tcBorders>
          </w:tcPr>
          <w:p w14:paraId="11B79A19">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3E07A599">
            <w:pPr>
              <w:pStyle w:val="18"/>
              <w:rPr>
                <w:rFonts w:ascii="Times New Roman"/>
                <w:sz w:val="20"/>
              </w:rPr>
            </w:pPr>
          </w:p>
        </w:tc>
      </w:tr>
      <w:tr w14:paraId="26C149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587" w:type="dxa"/>
            <w:vMerge w:val="continue"/>
            <w:tcBorders>
              <w:top w:val="nil"/>
              <w:bottom w:val="single" w:color="000000" w:sz="4" w:space="0"/>
              <w:right w:val="single" w:color="000000" w:sz="6" w:space="0"/>
            </w:tcBorders>
          </w:tcPr>
          <w:p w14:paraId="74EEA595">
            <w:pPr>
              <w:rPr>
                <w:sz w:val="2"/>
                <w:szCs w:val="2"/>
              </w:rPr>
            </w:pPr>
          </w:p>
        </w:tc>
        <w:tc>
          <w:tcPr>
            <w:tcW w:w="487" w:type="dxa"/>
            <w:tcBorders>
              <w:top w:val="single" w:color="000000" w:sz="6" w:space="0"/>
              <w:left w:val="single" w:color="000000" w:sz="6" w:space="0"/>
              <w:bottom w:val="single" w:color="000000" w:sz="6" w:space="0"/>
              <w:right w:val="single" w:color="000000" w:sz="6" w:space="0"/>
            </w:tcBorders>
          </w:tcPr>
          <w:p w14:paraId="7763955E">
            <w:pPr>
              <w:pStyle w:val="18"/>
              <w:spacing w:before="188"/>
              <w:ind w:right="166"/>
              <w:jc w:val="right"/>
              <w:rPr>
                <w:sz w:val="22"/>
              </w:rPr>
            </w:pPr>
            <w:r>
              <w:rPr>
                <w:w w:val="100"/>
                <w:sz w:val="22"/>
              </w:rPr>
              <w:t>3</w:t>
            </w:r>
          </w:p>
        </w:tc>
        <w:tc>
          <w:tcPr>
            <w:tcW w:w="6990" w:type="dxa"/>
            <w:tcBorders>
              <w:top w:val="single" w:color="000000" w:sz="6" w:space="0"/>
              <w:left w:val="single" w:color="000000" w:sz="6" w:space="0"/>
              <w:bottom w:val="single" w:color="000000" w:sz="6" w:space="0"/>
              <w:right w:val="single" w:color="000000" w:sz="6" w:space="0"/>
            </w:tcBorders>
          </w:tcPr>
          <w:p w14:paraId="218FF8F4">
            <w:pPr>
              <w:pStyle w:val="18"/>
              <w:spacing w:before="188"/>
              <w:ind w:left="115"/>
              <w:rPr>
                <w:sz w:val="22"/>
              </w:rPr>
            </w:pPr>
            <w:r>
              <w:rPr>
                <w:sz w:val="22"/>
              </w:rPr>
              <w:t>投标文件按招标文件要求签署、盖章；</w:t>
            </w:r>
          </w:p>
        </w:tc>
        <w:tc>
          <w:tcPr>
            <w:tcW w:w="705" w:type="dxa"/>
            <w:tcBorders>
              <w:top w:val="single" w:color="000000" w:sz="6" w:space="0"/>
              <w:left w:val="single" w:color="000000" w:sz="6" w:space="0"/>
              <w:bottom w:val="single" w:color="000000" w:sz="6" w:space="0"/>
              <w:right w:val="single" w:color="000000" w:sz="4" w:space="0"/>
            </w:tcBorders>
          </w:tcPr>
          <w:p w14:paraId="58938491">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15FD76A1">
            <w:pPr>
              <w:pStyle w:val="18"/>
              <w:rPr>
                <w:rFonts w:ascii="Times New Roman"/>
                <w:sz w:val="20"/>
              </w:rPr>
            </w:pPr>
          </w:p>
        </w:tc>
      </w:tr>
      <w:tr w14:paraId="4E6AD6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87" w:type="dxa"/>
            <w:vMerge w:val="continue"/>
            <w:tcBorders>
              <w:top w:val="nil"/>
              <w:bottom w:val="single" w:color="000000" w:sz="4" w:space="0"/>
              <w:right w:val="single" w:color="000000" w:sz="6" w:space="0"/>
            </w:tcBorders>
          </w:tcPr>
          <w:p w14:paraId="42A05AA9">
            <w:pPr>
              <w:rPr>
                <w:sz w:val="2"/>
                <w:szCs w:val="2"/>
              </w:rPr>
            </w:pPr>
          </w:p>
        </w:tc>
        <w:tc>
          <w:tcPr>
            <w:tcW w:w="487" w:type="dxa"/>
            <w:tcBorders>
              <w:top w:val="single" w:color="000000" w:sz="6" w:space="0"/>
              <w:left w:val="single" w:color="000000" w:sz="6" w:space="0"/>
              <w:bottom w:val="single" w:color="000000" w:sz="6" w:space="0"/>
              <w:right w:val="single" w:color="000000" w:sz="6" w:space="0"/>
            </w:tcBorders>
          </w:tcPr>
          <w:p w14:paraId="3DA45803">
            <w:pPr>
              <w:pStyle w:val="18"/>
              <w:spacing w:before="187"/>
              <w:ind w:right="166"/>
              <w:jc w:val="right"/>
              <w:rPr>
                <w:sz w:val="22"/>
              </w:rPr>
            </w:pPr>
            <w:r>
              <w:rPr>
                <w:w w:val="100"/>
                <w:sz w:val="22"/>
              </w:rPr>
              <w:t>4</w:t>
            </w:r>
          </w:p>
        </w:tc>
        <w:tc>
          <w:tcPr>
            <w:tcW w:w="6990" w:type="dxa"/>
            <w:tcBorders>
              <w:top w:val="single" w:color="000000" w:sz="6" w:space="0"/>
              <w:left w:val="single" w:color="000000" w:sz="6" w:space="0"/>
              <w:bottom w:val="single" w:color="000000" w:sz="6" w:space="0"/>
              <w:right w:val="single" w:color="000000" w:sz="6" w:space="0"/>
            </w:tcBorders>
          </w:tcPr>
          <w:p w14:paraId="64536F4E">
            <w:pPr>
              <w:pStyle w:val="18"/>
              <w:spacing w:before="187"/>
              <w:ind w:left="115"/>
              <w:rPr>
                <w:sz w:val="22"/>
              </w:rPr>
            </w:pPr>
            <w:r>
              <w:rPr>
                <w:sz w:val="22"/>
              </w:rPr>
              <w:t>按照招标文件规定格式完整编制投标文件；</w:t>
            </w:r>
          </w:p>
        </w:tc>
        <w:tc>
          <w:tcPr>
            <w:tcW w:w="705" w:type="dxa"/>
            <w:tcBorders>
              <w:top w:val="single" w:color="000000" w:sz="6" w:space="0"/>
              <w:left w:val="single" w:color="000000" w:sz="6" w:space="0"/>
              <w:bottom w:val="single" w:color="000000" w:sz="6" w:space="0"/>
              <w:right w:val="single" w:color="000000" w:sz="4" w:space="0"/>
            </w:tcBorders>
          </w:tcPr>
          <w:p w14:paraId="344EC94E">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3B176C0A">
            <w:pPr>
              <w:pStyle w:val="18"/>
              <w:rPr>
                <w:rFonts w:ascii="Times New Roman"/>
                <w:sz w:val="20"/>
              </w:rPr>
            </w:pPr>
          </w:p>
        </w:tc>
      </w:tr>
      <w:tr w14:paraId="39E84B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587" w:type="dxa"/>
            <w:vMerge w:val="continue"/>
            <w:tcBorders>
              <w:top w:val="nil"/>
              <w:bottom w:val="single" w:color="000000" w:sz="4" w:space="0"/>
              <w:right w:val="single" w:color="000000" w:sz="6" w:space="0"/>
            </w:tcBorders>
          </w:tcPr>
          <w:p w14:paraId="6E1E881E">
            <w:pPr>
              <w:rPr>
                <w:sz w:val="2"/>
                <w:szCs w:val="2"/>
              </w:rPr>
            </w:pPr>
          </w:p>
        </w:tc>
        <w:tc>
          <w:tcPr>
            <w:tcW w:w="487" w:type="dxa"/>
            <w:tcBorders>
              <w:top w:val="single" w:color="000000" w:sz="6" w:space="0"/>
              <w:left w:val="single" w:color="000000" w:sz="6" w:space="0"/>
              <w:bottom w:val="single" w:color="000000" w:sz="6" w:space="0"/>
              <w:right w:val="single" w:color="000000" w:sz="6" w:space="0"/>
            </w:tcBorders>
            <w:vAlign w:val="center"/>
          </w:tcPr>
          <w:p w14:paraId="67981681">
            <w:pPr>
              <w:pStyle w:val="18"/>
              <w:spacing w:before="196"/>
              <w:ind w:right="166"/>
              <w:jc w:val="center"/>
              <w:rPr>
                <w:sz w:val="22"/>
              </w:rPr>
            </w:pPr>
            <w:r>
              <w:rPr>
                <w:rFonts w:hint="eastAsia"/>
                <w:w w:val="100"/>
                <w:sz w:val="22"/>
                <w:lang w:val="en-US" w:eastAsia="zh-CN"/>
              </w:rPr>
              <w:t xml:space="preserve"> </w:t>
            </w:r>
            <w:r>
              <w:rPr>
                <w:w w:val="100"/>
                <w:sz w:val="22"/>
              </w:rPr>
              <w:t>5</w:t>
            </w:r>
          </w:p>
        </w:tc>
        <w:tc>
          <w:tcPr>
            <w:tcW w:w="6990" w:type="dxa"/>
            <w:tcBorders>
              <w:top w:val="single" w:color="000000" w:sz="6" w:space="0"/>
              <w:left w:val="single" w:color="000000" w:sz="6" w:space="0"/>
              <w:bottom w:val="single" w:color="000000" w:sz="6" w:space="0"/>
              <w:right w:val="single" w:color="000000" w:sz="6" w:space="0"/>
            </w:tcBorders>
            <w:vAlign w:val="center"/>
          </w:tcPr>
          <w:p w14:paraId="266B1033">
            <w:pPr>
              <w:pStyle w:val="18"/>
              <w:spacing w:line="320" w:lineRule="exact"/>
              <w:ind w:left="115" w:right="84"/>
              <w:jc w:val="both"/>
              <w:rPr>
                <w:sz w:val="22"/>
              </w:rPr>
            </w:pPr>
            <w:r>
              <w:rPr>
                <w:rFonts w:hint="eastAsia" w:ascii="宋体" w:hAnsi="宋体" w:eastAsia="宋体" w:cs="宋体"/>
                <w:sz w:val="22"/>
                <w:lang w:eastAsia="zh-CN"/>
              </w:rPr>
              <w:t>采购</w:t>
            </w:r>
            <w:r>
              <w:rPr>
                <w:rFonts w:ascii="宋体" w:hAnsi="宋体" w:eastAsia="宋体" w:cs="宋体"/>
                <w:sz w:val="22"/>
              </w:rPr>
              <w:t>内容、地点、</w:t>
            </w:r>
            <w:r>
              <w:rPr>
                <w:rFonts w:hint="eastAsia" w:ascii="宋体" w:hAnsi="宋体" w:eastAsia="宋体" w:cs="宋体"/>
                <w:sz w:val="22"/>
                <w:lang w:eastAsia="zh-CN"/>
              </w:rPr>
              <w:t>工期</w:t>
            </w:r>
            <w:r>
              <w:rPr>
                <w:rFonts w:ascii="宋体" w:hAnsi="宋体" w:eastAsia="宋体" w:cs="宋体"/>
                <w:sz w:val="22"/>
              </w:rPr>
              <w:t>、质量</w:t>
            </w:r>
            <w:r>
              <w:rPr>
                <w:rFonts w:hint="eastAsia" w:ascii="宋体" w:hAnsi="宋体" w:eastAsia="宋体" w:cs="宋体"/>
                <w:sz w:val="22"/>
                <w:lang w:eastAsia="zh-CN"/>
              </w:rPr>
              <w:t>目标</w:t>
            </w:r>
            <w:r>
              <w:rPr>
                <w:rFonts w:ascii="宋体" w:hAnsi="宋体" w:eastAsia="宋体" w:cs="宋体"/>
                <w:sz w:val="22"/>
              </w:rPr>
              <w:t>、付款方式等符合招标文件要求；</w:t>
            </w:r>
          </w:p>
        </w:tc>
        <w:tc>
          <w:tcPr>
            <w:tcW w:w="705" w:type="dxa"/>
            <w:tcBorders>
              <w:top w:val="single" w:color="000000" w:sz="6" w:space="0"/>
              <w:left w:val="single" w:color="000000" w:sz="6" w:space="0"/>
              <w:bottom w:val="single" w:color="000000" w:sz="6" w:space="0"/>
              <w:right w:val="single" w:color="000000" w:sz="4" w:space="0"/>
            </w:tcBorders>
          </w:tcPr>
          <w:p w14:paraId="4EE7C810">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14FEF614">
            <w:pPr>
              <w:pStyle w:val="18"/>
              <w:rPr>
                <w:rFonts w:ascii="Times New Roman"/>
                <w:sz w:val="20"/>
              </w:rPr>
            </w:pPr>
          </w:p>
        </w:tc>
      </w:tr>
      <w:tr w14:paraId="31A75A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87" w:type="dxa"/>
            <w:vMerge w:val="continue"/>
            <w:tcBorders>
              <w:top w:val="nil"/>
              <w:bottom w:val="single" w:color="000000" w:sz="4" w:space="0"/>
              <w:right w:val="single" w:color="000000" w:sz="6" w:space="0"/>
            </w:tcBorders>
          </w:tcPr>
          <w:p w14:paraId="6E21D595">
            <w:pPr>
              <w:rPr>
                <w:sz w:val="2"/>
                <w:szCs w:val="2"/>
              </w:rPr>
            </w:pPr>
          </w:p>
        </w:tc>
        <w:tc>
          <w:tcPr>
            <w:tcW w:w="487" w:type="dxa"/>
            <w:tcBorders>
              <w:top w:val="single" w:color="000000" w:sz="6" w:space="0"/>
              <w:left w:val="single" w:color="000000" w:sz="6" w:space="0"/>
              <w:bottom w:val="single" w:color="000000" w:sz="6" w:space="0"/>
              <w:right w:val="single" w:color="000000" w:sz="6" w:space="0"/>
            </w:tcBorders>
          </w:tcPr>
          <w:p w14:paraId="12EBE34A">
            <w:pPr>
              <w:pStyle w:val="18"/>
              <w:spacing w:before="187"/>
              <w:ind w:right="166"/>
              <w:jc w:val="right"/>
              <w:rPr>
                <w:color w:val="auto"/>
                <w:sz w:val="22"/>
              </w:rPr>
            </w:pPr>
            <w:r>
              <w:rPr>
                <w:color w:val="auto"/>
                <w:w w:val="100"/>
                <w:sz w:val="22"/>
              </w:rPr>
              <w:t>6</w:t>
            </w:r>
          </w:p>
        </w:tc>
        <w:tc>
          <w:tcPr>
            <w:tcW w:w="6990" w:type="dxa"/>
            <w:tcBorders>
              <w:top w:val="single" w:color="000000" w:sz="6" w:space="0"/>
              <w:left w:val="single" w:color="000000" w:sz="6" w:space="0"/>
              <w:bottom w:val="single" w:color="000000" w:sz="6" w:space="0"/>
              <w:right w:val="single" w:color="000000" w:sz="6" w:space="0"/>
            </w:tcBorders>
          </w:tcPr>
          <w:p w14:paraId="03FEDA7B">
            <w:pPr>
              <w:pStyle w:val="18"/>
              <w:spacing w:before="187"/>
              <w:ind w:left="115"/>
              <w:rPr>
                <w:color w:val="auto"/>
                <w:sz w:val="22"/>
              </w:rPr>
            </w:pPr>
            <w:r>
              <w:rPr>
                <w:color w:val="auto"/>
                <w:sz w:val="22"/>
              </w:rPr>
              <w:t>按照招标文件要求提交投标保证金；</w:t>
            </w:r>
            <w:r>
              <w:rPr>
                <w:rFonts w:hint="eastAsia"/>
                <w:color w:val="auto"/>
                <w:sz w:val="22"/>
                <w:lang w:eastAsia="zh-CN"/>
              </w:rPr>
              <w:t>（如有）</w:t>
            </w:r>
          </w:p>
        </w:tc>
        <w:tc>
          <w:tcPr>
            <w:tcW w:w="705" w:type="dxa"/>
            <w:tcBorders>
              <w:top w:val="single" w:color="000000" w:sz="6" w:space="0"/>
              <w:left w:val="single" w:color="000000" w:sz="6" w:space="0"/>
              <w:bottom w:val="single" w:color="000000" w:sz="6" w:space="0"/>
              <w:right w:val="single" w:color="000000" w:sz="4" w:space="0"/>
            </w:tcBorders>
          </w:tcPr>
          <w:p w14:paraId="3725DF0A">
            <w:pPr>
              <w:pStyle w:val="18"/>
              <w:rPr>
                <w:rFonts w:ascii="Times New Roman"/>
                <w:color w:val="FF0000"/>
                <w:sz w:val="20"/>
              </w:rPr>
            </w:pPr>
          </w:p>
        </w:tc>
        <w:tc>
          <w:tcPr>
            <w:tcW w:w="924" w:type="dxa"/>
            <w:tcBorders>
              <w:top w:val="single" w:color="000000" w:sz="6" w:space="0"/>
              <w:left w:val="single" w:color="000000" w:sz="4" w:space="0"/>
              <w:bottom w:val="single" w:color="000000" w:sz="6" w:space="0"/>
            </w:tcBorders>
          </w:tcPr>
          <w:p w14:paraId="2B4EB8C1">
            <w:pPr>
              <w:pStyle w:val="18"/>
              <w:rPr>
                <w:rFonts w:ascii="Times New Roman"/>
                <w:color w:val="FF0000"/>
                <w:sz w:val="20"/>
              </w:rPr>
            </w:pPr>
          </w:p>
        </w:tc>
      </w:tr>
      <w:tr w14:paraId="16A79A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87" w:type="dxa"/>
            <w:vMerge w:val="continue"/>
            <w:tcBorders>
              <w:top w:val="nil"/>
              <w:bottom w:val="single" w:color="000000" w:sz="4" w:space="0"/>
              <w:right w:val="single" w:color="000000" w:sz="6" w:space="0"/>
            </w:tcBorders>
          </w:tcPr>
          <w:p w14:paraId="112C19EF">
            <w:pPr>
              <w:rPr>
                <w:sz w:val="2"/>
                <w:szCs w:val="2"/>
              </w:rPr>
            </w:pPr>
          </w:p>
        </w:tc>
        <w:tc>
          <w:tcPr>
            <w:tcW w:w="487" w:type="dxa"/>
            <w:tcBorders>
              <w:top w:val="single" w:color="000000" w:sz="6" w:space="0"/>
              <w:left w:val="single" w:color="000000" w:sz="6" w:space="0"/>
              <w:bottom w:val="single" w:color="000000" w:sz="6" w:space="0"/>
              <w:right w:val="single" w:color="000000" w:sz="6" w:space="0"/>
            </w:tcBorders>
          </w:tcPr>
          <w:p w14:paraId="78865D12">
            <w:pPr>
              <w:pStyle w:val="18"/>
              <w:spacing w:before="189"/>
              <w:ind w:right="166"/>
              <w:jc w:val="right"/>
              <w:rPr>
                <w:sz w:val="22"/>
              </w:rPr>
            </w:pPr>
            <w:r>
              <w:rPr>
                <w:w w:val="100"/>
                <w:sz w:val="22"/>
              </w:rPr>
              <w:t>7</w:t>
            </w:r>
          </w:p>
        </w:tc>
        <w:tc>
          <w:tcPr>
            <w:tcW w:w="6990" w:type="dxa"/>
            <w:tcBorders>
              <w:top w:val="single" w:color="000000" w:sz="6" w:space="0"/>
              <w:left w:val="single" w:color="000000" w:sz="6" w:space="0"/>
              <w:bottom w:val="single" w:color="000000" w:sz="6" w:space="0"/>
              <w:right w:val="single" w:color="000000" w:sz="6" w:space="0"/>
            </w:tcBorders>
          </w:tcPr>
          <w:p w14:paraId="01C7AF8D">
            <w:pPr>
              <w:pStyle w:val="18"/>
              <w:spacing w:before="189"/>
              <w:ind w:left="115"/>
              <w:rPr>
                <w:sz w:val="22"/>
              </w:rPr>
            </w:pPr>
            <w:r>
              <w:rPr>
                <w:sz w:val="22"/>
              </w:rPr>
              <w:t>投标有效期符合招标文件要求；</w:t>
            </w:r>
          </w:p>
        </w:tc>
        <w:tc>
          <w:tcPr>
            <w:tcW w:w="705" w:type="dxa"/>
            <w:tcBorders>
              <w:top w:val="single" w:color="000000" w:sz="6" w:space="0"/>
              <w:left w:val="single" w:color="000000" w:sz="6" w:space="0"/>
              <w:bottom w:val="single" w:color="000000" w:sz="6" w:space="0"/>
              <w:right w:val="single" w:color="000000" w:sz="4" w:space="0"/>
            </w:tcBorders>
          </w:tcPr>
          <w:p w14:paraId="6F001383">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40E5811A">
            <w:pPr>
              <w:pStyle w:val="18"/>
              <w:rPr>
                <w:rFonts w:ascii="Times New Roman"/>
                <w:sz w:val="20"/>
              </w:rPr>
            </w:pPr>
          </w:p>
        </w:tc>
      </w:tr>
      <w:tr w14:paraId="372710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587" w:type="dxa"/>
            <w:vMerge w:val="continue"/>
            <w:tcBorders>
              <w:top w:val="nil"/>
              <w:bottom w:val="single" w:color="000000" w:sz="4" w:space="0"/>
              <w:right w:val="single" w:color="000000" w:sz="6" w:space="0"/>
            </w:tcBorders>
          </w:tcPr>
          <w:p w14:paraId="0BECAC02">
            <w:pPr>
              <w:rPr>
                <w:sz w:val="2"/>
                <w:szCs w:val="2"/>
              </w:rPr>
            </w:pPr>
          </w:p>
        </w:tc>
        <w:tc>
          <w:tcPr>
            <w:tcW w:w="487" w:type="dxa"/>
            <w:tcBorders>
              <w:top w:val="single" w:color="000000" w:sz="6" w:space="0"/>
              <w:left w:val="single" w:color="000000" w:sz="6" w:space="0"/>
              <w:bottom w:val="single" w:color="000000" w:sz="6" w:space="0"/>
              <w:right w:val="single" w:color="000000" w:sz="6" w:space="0"/>
            </w:tcBorders>
          </w:tcPr>
          <w:p w14:paraId="2A38B98A">
            <w:pPr>
              <w:pStyle w:val="18"/>
              <w:spacing w:before="188"/>
              <w:ind w:right="166"/>
              <w:jc w:val="right"/>
              <w:rPr>
                <w:sz w:val="22"/>
              </w:rPr>
            </w:pPr>
            <w:r>
              <w:rPr>
                <w:w w:val="100"/>
                <w:sz w:val="22"/>
              </w:rPr>
              <w:t>8</w:t>
            </w:r>
          </w:p>
        </w:tc>
        <w:tc>
          <w:tcPr>
            <w:tcW w:w="6990" w:type="dxa"/>
            <w:tcBorders>
              <w:top w:val="single" w:color="000000" w:sz="6" w:space="0"/>
              <w:left w:val="single" w:color="000000" w:sz="6" w:space="0"/>
              <w:bottom w:val="single" w:color="000000" w:sz="6" w:space="0"/>
              <w:right w:val="single" w:color="000000" w:sz="6" w:space="0"/>
            </w:tcBorders>
          </w:tcPr>
          <w:p w14:paraId="268EBFDC">
            <w:pPr>
              <w:pStyle w:val="18"/>
              <w:spacing w:before="169"/>
              <w:ind w:left="115"/>
              <w:rPr>
                <w:sz w:val="22"/>
              </w:rPr>
            </w:pPr>
            <w:r>
              <w:rPr>
                <w:sz w:val="22"/>
              </w:rPr>
              <w:t>没有不符合招标文件中规定的其他实质性要求；</w:t>
            </w:r>
          </w:p>
        </w:tc>
        <w:tc>
          <w:tcPr>
            <w:tcW w:w="705" w:type="dxa"/>
            <w:tcBorders>
              <w:top w:val="single" w:color="000000" w:sz="6" w:space="0"/>
              <w:left w:val="single" w:color="000000" w:sz="6" w:space="0"/>
              <w:bottom w:val="single" w:color="000000" w:sz="6" w:space="0"/>
              <w:right w:val="single" w:color="000000" w:sz="4" w:space="0"/>
            </w:tcBorders>
          </w:tcPr>
          <w:p w14:paraId="7983BF20">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7CE33312">
            <w:pPr>
              <w:pStyle w:val="18"/>
              <w:rPr>
                <w:rFonts w:ascii="Times New Roman"/>
                <w:sz w:val="20"/>
              </w:rPr>
            </w:pPr>
          </w:p>
        </w:tc>
      </w:tr>
      <w:tr w14:paraId="6E849A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87" w:type="dxa"/>
            <w:vMerge w:val="continue"/>
            <w:tcBorders>
              <w:top w:val="nil"/>
              <w:bottom w:val="single" w:color="000000" w:sz="4" w:space="0"/>
              <w:right w:val="single" w:color="000000" w:sz="6" w:space="0"/>
            </w:tcBorders>
          </w:tcPr>
          <w:p w14:paraId="0AAC7E45">
            <w:pPr>
              <w:rPr>
                <w:sz w:val="2"/>
                <w:szCs w:val="2"/>
              </w:rPr>
            </w:pPr>
          </w:p>
        </w:tc>
        <w:tc>
          <w:tcPr>
            <w:tcW w:w="487" w:type="dxa"/>
            <w:tcBorders>
              <w:top w:val="single" w:color="000000" w:sz="6" w:space="0"/>
              <w:left w:val="single" w:color="000000" w:sz="6" w:space="0"/>
              <w:bottom w:val="single" w:color="000000" w:sz="6" w:space="0"/>
              <w:right w:val="single" w:color="000000" w:sz="6" w:space="0"/>
            </w:tcBorders>
          </w:tcPr>
          <w:p w14:paraId="69E340D5">
            <w:pPr>
              <w:pStyle w:val="18"/>
              <w:spacing w:before="188"/>
              <w:ind w:right="166"/>
              <w:jc w:val="right"/>
              <w:rPr>
                <w:sz w:val="22"/>
              </w:rPr>
            </w:pPr>
            <w:r>
              <w:rPr>
                <w:w w:val="100"/>
                <w:sz w:val="22"/>
              </w:rPr>
              <w:t>9</w:t>
            </w:r>
          </w:p>
        </w:tc>
        <w:tc>
          <w:tcPr>
            <w:tcW w:w="6990" w:type="dxa"/>
            <w:tcBorders>
              <w:top w:val="single" w:color="000000" w:sz="6" w:space="0"/>
              <w:left w:val="single" w:color="000000" w:sz="6" w:space="0"/>
              <w:bottom w:val="single" w:color="000000" w:sz="6" w:space="0"/>
              <w:right w:val="single" w:color="000000" w:sz="6" w:space="0"/>
            </w:tcBorders>
          </w:tcPr>
          <w:p w14:paraId="57ED09EA">
            <w:pPr>
              <w:pStyle w:val="18"/>
              <w:spacing w:before="171"/>
              <w:ind w:left="115"/>
              <w:rPr>
                <w:sz w:val="22"/>
              </w:rPr>
            </w:pPr>
            <w:r>
              <w:rPr>
                <w:sz w:val="22"/>
              </w:rPr>
              <w:t>不存在其他无效情形，如不符合法律、法规和采购文件规定的。</w:t>
            </w:r>
          </w:p>
        </w:tc>
        <w:tc>
          <w:tcPr>
            <w:tcW w:w="705" w:type="dxa"/>
            <w:tcBorders>
              <w:top w:val="single" w:color="000000" w:sz="6" w:space="0"/>
              <w:left w:val="single" w:color="000000" w:sz="6" w:space="0"/>
              <w:bottom w:val="single" w:color="000000" w:sz="6" w:space="0"/>
              <w:right w:val="single" w:color="000000" w:sz="4" w:space="0"/>
            </w:tcBorders>
          </w:tcPr>
          <w:p w14:paraId="1609DF4D">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27EDEBA6">
            <w:pPr>
              <w:pStyle w:val="18"/>
              <w:rPr>
                <w:rFonts w:ascii="Times New Roman"/>
                <w:sz w:val="20"/>
              </w:rPr>
            </w:pPr>
          </w:p>
        </w:tc>
      </w:tr>
      <w:tr w14:paraId="5CBA48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87" w:type="dxa"/>
            <w:vMerge w:val="continue"/>
            <w:tcBorders>
              <w:top w:val="nil"/>
              <w:bottom w:val="single" w:color="000000" w:sz="4" w:space="0"/>
              <w:right w:val="single" w:color="000000" w:sz="6" w:space="0"/>
            </w:tcBorders>
          </w:tcPr>
          <w:p w14:paraId="46DD1910">
            <w:pPr>
              <w:rPr>
                <w:sz w:val="2"/>
                <w:szCs w:val="2"/>
              </w:rPr>
            </w:pPr>
          </w:p>
        </w:tc>
        <w:tc>
          <w:tcPr>
            <w:tcW w:w="7477" w:type="dxa"/>
            <w:gridSpan w:val="2"/>
            <w:tcBorders>
              <w:top w:val="single" w:color="000000" w:sz="6" w:space="0"/>
              <w:left w:val="single" w:color="000000" w:sz="6" w:space="0"/>
              <w:bottom w:val="single" w:color="000000" w:sz="6" w:space="0"/>
              <w:right w:val="single" w:color="000000" w:sz="6" w:space="0"/>
            </w:tcBorders>
          </w:tcPr>
          <w:p w14:paraId="72361D2E">
            <w:pPr>
              <w:pStyle w:val="18"/>
              <w:spacing w:before="187"/>
              <w:ind w:left="115"/>
              <w:rPr>
                <w:sz w:val="22"/>
              </w:rPr>
            </w:pPr>
            <w:r>
              <w:rPr>
                <w:sz w:val="22"/>
              </w:rPr>
              <w:t>结论：是否符合。</w:t>
            </w:r>
          </w:p>
        </w:tc>
        <w:tc>
          <w:tcPr>
            <w:tcW w:w="705" w:type="dxa"/>
            <w:tcBorders>
              <w:top w:val="single" w:color="000000" w:sz="6" w:space="0"/>
              <w:left w:val="single" w:color="000000" w:sz="6" w:space="0"/>
              <w:bottom w:val="single" w:color="000000" w:sz="6" w:space="0"/>
              <w:right w:val="single" w:color="000000" w:sz="4" w:space="0"/>
            </w:tcBorders>
          </w:tcPr>
          <w:p w14:paraId="5A1045DF">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0FD14CEF">
            <w:pPr>
              <w:pStyle w:val="18"/>
              <w:rPr>
                <w:rFonts w:ascii="Times New Roman"/>
                <w:sz w:val="20"/>
              </w:rPr>
            </w:pPr>
          </w:p>
        </w:tc>
      </w:tr>
      <w:tr w14:paraId="020192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587" w:type="dxa"/>
            <w:vMerge w:val="restart"/>
            <w:tcBorders>
              <w:top w:val="single" w:color="000000" w:sz="4" w:space="0"/>
              <w:right w:val="single" w:color="000000" w:sz="6" w:space="0"/>
            </w:tcBorders>
          </w:tcPr>
          <w:p w14:paraId="212B2508">
            <w:pPr>
              <w:pStyle w:val="18"/>
              <w:spacing w:before="2"/>
              <w:rPr>
                <w:b/>
                <w:sz w:val="24"/>
              </w:rPr>
            </w:pPr>
          </w:p>
          <w:p w14:paraId="430C05E1">
            <w:pPr>
              <w:pStyle w:val="18"/>
              <w:spacing w:before="1" w:line="242" w:lineRule="auto"/>
              <w:ind w:left="181" w:right="160"/>
              <w:jc w:val="both"/>
              <w:rPr>
                <w:sz w:val="22"/>
              </w:rPr>
            </w:pPr>
            <w:r>
              <w:rPr>
                <w:sz w:val="22"/>
              </w:rPr>
              <w:t>报价符合性审查</w:t>
            </w:r>
          </w:p>
        </w:tc>
        <w:tc>
          <w:tcPr>
            <w:tcW w:w="487" w:type="dxa"/>
            <w:tcBorders>
              <w:top w:val="single" w:color="000000" w:sz="4" w:space="0"/>
              <w:left w:val="single" w:color="000000" w:sz="6" w:space="0"/>
              <w:bottom w:val="single" w:color="000000" w:sz="6" w:space="0"/>
              <w:right w:val="single" w:color="000000" w:sz="6" w:space="0"/>
            </w:tcBorders>
          </w:tcPr>
          <w:p w14:paraId="354F0797">
            <w:pPr>
              <w:pStyle w:val="18"/>
              <w:spacing w:before="189"/>
              <w:ind w:right="166"/>
              <w:jc w:val="right"/>
              <w:rPr>
                <w:sz w:val="22"/>
              </w:rPr>
            </w:pPr>
            <w:r>
              <w:rPr>
                <w:w w:val="100"/>
                <w:sz w:val="22"/>
              </w:rPr>
              <w:t>1</w:t>
            </w:r>
          </w:p>
        </w:tc>
        <w:tc>
          <w:tcPr>
            <w:tcW w:w="6990" w:type="dxa"/>
            <w:tcBorders>
              <w:top w:val="single" w:color="000000" w:sz="6" w:space="0"/>
              <w:left w:val="single" w:color="000000" w:sz="6" w:space="0"/>
              <w:bottom w:val="single" w:color="000000" w:sz="6" w:space="0"/>
              <w:right w:val="single" w:color="000000" w:sz="6" w:space="0"/>
            </w:tcBorders>
          </w:tcPr>
          <w:p w14:paraId="6B018369">
            <w:pPr>
              <w:pStyle w:val="18"/>
              <w:spacing w:before="189"/>
              <w:ind w:left="115"/>
              <w:rPr>
                <w:sz w:val="22"/>
              </w:rPr>
            </w:pPr>
            <w:r>
              <w:rPr>
                <w:sz w:val="22"/>
              </w:rPr>
              <w:t>投标人未对同一采购项目做出两个以上报价而未明确效力；</w:t>
            </w:r>
          </w:p>
        </w:tc>
        <w:tc>
          <w:tcPr>
            <w:tcW w:w="705" w:type="dxa"/>
            <w:tcBorders>
              <w:top w:val="single" w:color="000000" w:sz="6" w:space="0"/>
              <w:left w:val="single" w:color="000000" w:sz="6" w:space="0"/>
              <w:bottom w:val="single" w:color="000000" w:sz="6" w:space="0"/>
              <w:right w:val="single" w:color="000000" w:sz="4" w:space="0"/>
            </w:tcBorders>
          </w:tcPr>
          <w:p w14:paraId="21622D87">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076B0BF6">
            <w:pPr>
              <w:pStyle w:val="18"/>
              <w:rPr>
                <w:rFonts w:ascii="Times New Roman"/>
                <w:sz w:val="20"/>
              </w:rPr>
            </w:pPr>
          </w:p>
        </w:tc>
      </w:tr>
      <w:tr w14:paraId="20807D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8" w:hRule="atLeast"/>
        </w:trPr>
        <w:tc>
          <w:tcPr>
            <w:tcW w:w="587" w:type="dxa"/>
            <w:vMerge w:val="continue"/>
            <w:tcBorders>
              <w:top w:val="nil"/>
              <w:right w:val="single" w:color="000000" w:sz="6" w:space="0"/>
            </w:tcBorders>
          </w:tcPr>
          <w:p w14:paraId="11417E7A">
            <w:pPr>
              <w:rPr>
                <w:sz w:val="2"/>
                <w:szCs w:val="2"/>
              </w:rPr>
            </w:pPr>
          </w:p>
        </w:tc>
        <w:tc>
          <w:tcPr>
            <w:tcW w:w="487" w:type="dxa"/>
            <w:tcBorders>
              <w:top w:val="single" w:color="000000" w:sz="6" w:space="0"/>
              <w:left w:val="single" w:color="000000" w:sz="6" w:space="0"/>
              <w:bottom w:val="single" w:color="000000" w:sz="6" w:space="0"/>
              <w:right w:val="single" w:color="000000" w:sz="6" w:space="0"/>
            </w:tcBorders>
          </w:tcPr>
          <w:p w14:paraId="2B22779F">
            <w:pPr>
              <w:pStyle w:val="18"/>
              <w:spacing w:before="180"/>
              <w:ind w:right="166"/>
              <w:jc w:val="right"/>
              <w:rPr>
                <w:rFonts w:hint="eastAsia" w:eastAsia="宋体"/>
                <w:sz w:val="22"/>
                <w:lang w:eastAsia="zh-CN"/>
              </w:rPr>
            </w:pPr>
            <w:r>
              <w:rPr>
                <w:rFonts w:hint="eastAsia"/>
                <w:w w:val="100"/>
                <w:sz w:val="22"/>
                <w:lang w:val="en-US" w:eastAsia="zh-CN"/>
              </w:rPr>
              <w:t>2</w:t>
            </w:r>
          </w:p>
        </w:tc>
        <w:tc>
          <w:tcPr>
            <w:tcW w:w="6990" w:type="dxa"/>
            <w:tcBorders>
              <w:top w:val="single" w:color="000000" w:sz="6" w:space="0"/>
              <w:left w:val="single" w:color="000000" w:sz="6" w:space="0"/>
              <w:bottom w:val="single" w:color="000000" w:sz="6" w:space="0"/>
              <w:right w:val="single" w:color="000000" w:sz="6" w:space="0"/>
            </w:tcBorders>
          </w:tcPr>
          <w:p w14:paraId="4AFAA4E6">
            <w:pPr>
              <w:pStyle w:val="18"/>
              <w:spacing w:before="163"/>
              <w:ind w:left="115"/>
              <w:rPr>
                <w:sz w:val="22"/>
              </w:rPr>
            </w:pPr>
            <w:r>
              <w:rPr>
                <w:sz w:val="22"/>
              </w:rPr>
              <w:t>报价没有不符合招标文件中规定的其他实质性要求；</w:t>
            </w:r>
          </w:p>
        </w:tc>
        <w:tc>
          <w:tcPr>
            <w:tcW w:w="705" w:type="dxa"/>
            <w:tcBorders>
              <w:top w:val="single" w:color="000000" w:sz="6" w:space="0"/>
              <w:left w:val="single" w:color="000000" w:sz="6" w:space="0"/>
              <w:bottom w:val="single" w:color="000000" w:sz="6" w:space="0"/>
              <w:right w:val="single" w:color="000000" w:sz="4" w:space="0"/>
            </w:tcBorders>
          </w:tcPr>
          <w:p w14:paraId="6C2D56D2">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2E6F453D">
            <w:pPr>
              <w:pStyle w:val="18"/>
              <w:rPr>
                <w:rFonts w:ascii="Times New Roman"/>
                <w:sz w:val="20"/>
              </w:rPr>
            </w:pPr>
          </w:p>
        </w:tc>
      </w:tr>
      <w:tr w14:paraId="00FA8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9" w:hRule="atLeast"/>
        </w:trPr>
        <w:tc>
          <w:tcPr>
            <w:tcW w:w="587" w:type="dxa"/>
            <w:vMerge w:val="continue"/>
            <w:tcBorders>
              <w:top w:val="nil"/>
              <w:right w:val="single" w:color="000000" w:sz="6" w:space="0"/>
            </w:tcBorders>
          </w:tcPr>
          <w:p w14:paraId="61E8DEF0">
            <w:pPr>
              <w:rPr>
                <w:sz w:val="2"/>
                <w:szCs w:val="2"/>
              </w:rPr>
            </w:pPr>
          </w:p>
        </w:tc>
        <w:tc>
          <w:tcPr>
            <w:tcW w:w="487" w:type="dxa"/>
            <w:tcBorders>
              <w:top w:val="single" w:color="000000" w:sz="6" w:space="0"/>
              <w:left w:val="single" w:color="000000" w:sz="6" w:space="0"/>
              <w:bottom w:val="single" w:color="000000" w:sz="6" w:space="0"/>
              <w:right w:val="single" w:color="000000" w:sz="6" w:space="0"/>
            </w:tcBorders>
          </w:tcPr>
          <w:p w14:paraId="357F5A3A">
            <w:pPr>
              <w:pStyle w:val="18"/>
              <w:spacing w:before="179"/>
              <w:ind w:right="166"/>
              <w:jc w:val="right"/>
              <w:rPr>
                <w:rFonts w:hint="eastAsia" w:eastAsia="宋体"/>
                <w:sz w:val="22"/>
                <w:lang w:eastAsia="zh-CN"/>
              </w:rPr>
            </w:pPr>
            <w:r>
              <w:rPr>
                <w:rFonts w:hint="eastAsia"/>
                <w:w w:val="100"/>
                <w:sz w:val="22"/>
                <w:lang w:val="en-US" w:eastAsia="zh-CN"/>
              </w:rPr>
              <w:t>3</w:t>
            </w:r>
          </w:p>
        </w:tc>
        <w:tc>
          <w:tcPr>
            <w:tcW w:w="6990" w:type="dxa"/>
            <w:tcBorders>
              <w:top w:val="single" w:color="000000" w:sz="6" w:space="0"/>
              <w:left w:val="single" w:color="000000" w:sz="6" w:space="0"/>
              <w:bottom w:val="single" w:color="000000" w:sz="6" w:space="0"/>
              <w:right w:val="single" w:color="000000" w:sz="6" w:space="0"/>
            </w:tcBorders>
          </w:tcPr>
          <w:p w14:paraId="64CFAB4B">
            <w:pPr>
              <w:pStyle w:val="18"/>
              <w:spacing w:before="163"/>
              <w:ind w:left="115"/>
              <w:rPr>
                <w:sz w:val="22"/>
              </w:rPr>
            </w:pPr>
            <w:r>
              <w:rPr>
                <w:sz w:val="22"/>
              </w:rPr>
              <w:t>报价不存在其他无效情形，如不符合法律、法规和采购文件规定的。</w:t>
            </w:r>
          </w:p>
        </w:tc>
        <w:tc>
          <w:tcPr>
            <w:tcW w:w="705" w:type="dxa"/>
            <w:tcBorders>
              <w:top w:val="single" w:color="000000" w:sz="6" w:space="0"/>
              <w:left w:val="single" w:color="000000" w:sz="6" w:space="0"/>
              <w:bottom w:val="single" w:color="000000" w:sz="6" w:space="0"/>
              <w:right w:val="single" w:color="000000" w:sz="4" w:space="0"/>
            </w:tcBorders>
          </w:tcPr>
          <w:p w14:paraId="5ECB9E89">
            <w:pPr>
              <w:pStyle w:val="18"/>
              <w:rPr>
                <w:rFonts w:ascii="Times New Roman"/>
                <w:sz w:val="20"/>
              </w:rPr>
            </w:pPr>
          </w:p>
        </w:tc>
        <w:tc>
          <w:tcPr>
            <w:tcW w:w="924" w:type="dxa"/>
            <w:tcBorders>
              <w:top w:val="single" w:color="000000" w:sz="6" w:space="0"/>
              <w:left w:val="single" w:color="000000" w:sz="4" w:space="0"/>
              <w:bottom w:val="single" w:color="000000" w:sz="6" w:space="0"/>
            </w:tcBorders>
          </w:tcPr>
          <w:p w14:paraId="04BAFC8D">
            <w:pPr>
              <w:pStyle w:val="18"/>
              <w:rPr>
                <w:rFonts w:ascii="Times New Roman"/>
                <w:sz w:val="20"/>
              </w:rPr>
            </w:pPr>
          </w:p>
        </w:tc>
      </w:tr>
      <w:tr w14:paraId="03AC8E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587" w:type="dxa"/>
            <w:vMerge w:val="continue"/>
            <w:tcBorders>
              <w:top w:val="nil"/>
              <w:right w:val="single" w:color="000000" w:sz="6" w:space="0"/>
            </w:tcBorders>
          </w:tcPr>
          <w:p w14:paraId="68CFFEF7">
            <w:pPr>
              <w:rPr>
                <w:sz w:val="2"/>
                <w:szCs w:val="2"/>
              </w:rPr>
            </w:pPr>
          </w:p>
        </w:tc>
        <w:tc>
          <w:tcPr>
            <w:tcW w:w="7477" w:type="dxa"/>
            <w:gridSpan w:val="2"/>
            <w:tcBorders>
              <w:top w:val="single" w:color="000000" w:sz="6" w:space="0"/>
              <w:left w:val="single" w:color="000000" w:sz="6" w:space="0"/>
              <w:right w:val="single" w:color="000000" w:sz="6" w:space="0"/>
            </w:tcBorders>
          </w:tcPr>
          <w:p w14:paraId="7577F12A">
            <w:pPr>
              <w:pStyle w:val="18"/>
              <w:spacing w:before="181"/>
              <w:ind w:left="115"/>
              <w:rPr>
                <w:sz w:val="22"/>
              </w:rPr>
            </w:pPr>
            <w:r>
              <w:rPr>
                <w:sz w:val="22"/>
              </w:rPr>
              <w:t>结论：是否符合。</w:t>
            </w:r>
          </w:p>
        </w:tc>
        <w:tc>
          <w:tcPr>
            <w:tcW w:w="705" w:type="dxa"/>
            <w:tcBorders>
              <w:top w:val="single" w:color="000000" w:sz="6" w:space="0"/>
              <w:left w:val="single" w:color="000000" w:sz="6" w:space="0"/>
              <w:right w:val="single" w:color="000000" w:sz="6" w:space="0"/>
            </w:tcBorders>
          </w:tcPr>
          <w:p w14:paraId="00B95808">
            <w:pPr>
              <w:pStyle w:val="18"/>
              <w:rPr>
                <w:rFonts w:ascii="Times New Roman"/>
                <w:sz w:val="20"/>
              </w:rPr>
            </w:pPr>
          </w:p>
        </w:tc>
        <w:tc>
          <w:tcPr>
            <w:tcW w:w="924" w:type="dxa"/>
            <w:tcBorders>
              <w:top w:val="single" w:color="000000" w:sz="6" w:space="0"/>
              <w:left w:val="single" w:color="000000" w:sz="6" w:space="0"/>
            </w:tcBorders>
          </w:tcPr>
          <w:p w14:paraId="10FFC51C">
            <w:pPr>
              <w:pStyle w:val="18"/>
              <w:rPr>
                <w:rFonts w:ascii="Times New Roman"/>
                <w:sz w:val="20"/>
              </w:rPr>
            </w:pPr>
          </w:p>
        </w:tc>
      </w:tr>
    </w:tbl>
    <w:p w14:paraId="42B1A239">
      <w:pPr>
        <w:spacing w:before="110" w:line="357" w:lineRule="auto"/>
        <w:ind w:left="287" w:right="346" w:firstLine="420"/>
        <w:jc w:val="both"/>
        <w:rPr>
          <w:b/>
          <w:sz w:val="21"/>
        </w:rPr>
      </w:pPr>
      <w:r>
        <w:rPr>
          <w:b/>
          <w:spacing w:val="-7"/>
          <w:w w:val="95"/>
          <w:sz w:val="21"/>
        </w:rPr>
        <w:t xml:space="preserve">注：表中所述分项评审结果分两种：符合或不符合，评委对某一分项评审认为不符合时，必须要写   </w:t>
      </w:r>
      <w:r>
        <w:rPr>
          <w:b/>
          <w:spacing w:val="-10"/>
          <w:w w:val="95"/>
          <w:sz w:val="21"/>
        </w:rPr>
        <w:t xml:space="preserve">明原因，凡有一项不符合者，其结论即为“不符合”，投标无效，不进入后期评审阶段。经审查符合的   </w:t>
      </w:r>
      <w:r>
        <w:rPr>
          <w:b/>
          <w:spacing w:val="-18"/>
          <w:sz w:val="21"/>
        </w:rPr>
        <w:t xml:space="preserve">投标人不足 </w:t>
      </w:r>
      <w:r>
        <w:rPr>
          <w:b/>
          <w:sz w:val="21"/>
        </w:rPr>
        <w:t>3</w:t>
      </w:r>
      <w:r>
        <w:rPr>
          <w:b/>
          <w:spacing w:val="-8"/>
          <w:sz w:val="21"/>
        </w:rPr>
        <w:t xml:space="preserve"> 家的，项目废标，采购人依法重新组织采购活动。</w:t>
      </w:r>
    </w:p>
    <w:p w14:paraId="1FE7F7CE">
      <w:pPr>
        <w:spacing w:after="0" w:line="357" w:lineRule="auto"/>
        <w:jc w:val="both"/>
        <w:rPr>
          <w:sz w:val="21"/>
        </w:rPr>
        <w:sectPr>
          <w:pgSz w:w="11910" w:h="16840"/>
          <w:pgMar w:top="1200" w:right="900" w:bottom="1020" w:left="960" w:header="0" w:footer="828" w:gutter="0"/>
          <w:pgNumType w:fmt="decimal"/>
          <w:cols w:space="720" w:num="1"/>
        </w:sectPr>
      </w:pPr>
    </w:p>
    <w:p w14:paraId="032B6287">
      <w:pPr>
        <w:pStyle w:val="6"/>
        <w:ind w:left="270" w:right="8896"/>
        <w:jc w:val="center"/>
      </w:pPr>
      <w:r>
        <w:t>附表三</w:t>
      </w:r>
    </w:p>
    <w:p w14:paraId="461EEB8E">
      <w:pPr>
        <w:spacing w:before="105"/>
        <w:ind w:left="270" w:right="330" w:firstLine="0"/>
        <w:jc w:val="center"/>
        <w:rPr>
          <w:b/>
          <w:sz w:val="28"/>
        </w:rPr>
      </w:pPr>
      <w:r>
        <w:rPr>
          <w:b/>
          <w:sz w:val="28"/>
        </w:rPr>
        <w:t>评审标准</w:t>
      </w:r>
    </w:p>
    <w:p w14:paraId="3313BBD5">
      <w:pPr>
        <w:pStyle w:val="8"/>
        <w:spacing w:before="11" w:after="1"/>
        <w:rPr>
          <w:b/>
          <w:sz w:val="7"/>
        </w:rPr>
      </w:pPr>
    </w:p>
    <w:tbl>
      <w:tblPr>
        <w:tblStyle w:val="13"/>
        <w:tblW w:w="0" w:type="auto"/>
        <w:tblInd w:w="17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68"/>
        <w:gridCol w:w="1412"/>
        <w:gridCol w:w="7481"/>
      </w:tblGrid>
      <w:tr w14:paraId="6A12E0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768" w:type="dxa"/>
            <w:tcBorders>
              <w:bottom w:val="single" w:color="000000" w:sz="4" w:space="0"/>
              <w:right w:val="single" w:color="000000" w:sz="4" w:space="0"/>
            </w:tcBorders>
          </w:tcPr>
          <w:p w14:paraId="5DCC25E3">
            <w:pPr>
              <w:pStyle w:val="18"/>
              <w:spacing w:before="77"/>
              <w:ind w:left="172"/>
              <w:rPr>
                <w:rFonts w:hint="eastAsia" w:ascii="宋体" w:hAnsi="宋体" w:eastAsia="宋体" w:cs="宋体"/>
                <w:b/>
                <w:sz w:val="21"/>
              </w:rPr>
            </w:pPr>
            <w:r>
              <w:rPr>
                <w:rFonts w:hint="eastAsia" w:ascii="宋体" w:hAnsi="宋体" w:eastAsia="宋体" w:cs="宋体"/>
                <w:b/>
                <w:w w:val="95"/>
                <w:sz w:val="21"/>
              </w:rPr>
              <w:t>项目</w:t>
            </w:r>
          </w:p>
          <w:p w14:paraId="191B1CB2">
            <w:pPr>
              <w:pStyle w:val="18"/>
              <w:spacing w:before="91" w:line="263" w:lineRule="exact"/>
              <w:ind w:left="172"/>
              <w:rPr>
                <w:rFonts w:hint="eastAsia" w:ascii="宋体" w:hAnsi="宋体" w:eastAsia="宋体" w:cs="宋体"/>
                <w:b/>
                <w:sz w:val="21"/>
              </w:rPr>
            </w:pPr>
            <w:r>
              <w:rPr>
                <w:rFonts w:hint="eastAsia" w:ascii="宋体" w:hAnsi="宋体" w:eastAsia="宋体" w:cs="宋体"/>
                <w:b/>
                <w:w w:val="95"/>
                <w:sz w:val="21"/>
              </w:rPr>
              <w:t>分值</w:t>
            </w:r>
          </w:p>
        </w:tc>
        <w:tc>
          <w:tcPr>
            <w:tcW w:w="1412" w:type="dxa"/>
            <w:tcBorders>
              <w:left w:val="single" w:color="000000" w:sz="4" w:space="0"/>
              <w:bottom w:val="single" w:color="000000" w:sz="4" w:space="0"/>
              <w:right w:val="single" w:color="000000" w:sz="4" w:space="0"/>
            </w:tcBorders>
          </w:tcPr>
          <w:p w14:paraId="6406FD0A">
            <w:pPr>
              <w:pStyle w:val="18"/>
              <w:spacing w:before="1"/>
              <w:rPr>
                <w:rFonts w:hint="eastAsia" w:ascii="宋体" w:hAnsi="宋体" w:eastAsia="宋体" w:cs="宋体"/>
                <w:b/>
                <w:sz w:val="20"/>
              </w:rPr>
            </w:pPr>
          </w:p>
          <w:p w14:paraId="1FD6378F">
            <w:pPr>
              <w:pStyle w:val="18"/>
              <w:ind w:left="292"/>
              <w:rPr>
                <w:rFonts w:hint="eastAsia" w:ascii="宋体" w:hAnsi="宋体" w:eastAsia="宋体" w:cs="宋体"/>
                <w:b/>
                <w:sz w:val="21"/>
              </w:rPr>
            </w:pPr>
            <w:r>
              <w:rPr>
                <w:rFonts w:hint="eastAsia" w:ascii="宋体" w:hAnsi="宋体" w:eastAsia="宋体" w:cs="宋体"/>
                <w:b/>
                <w:sz w:val="21"/>
              </w:rPr>
              <w:t>评分内容</w:t>
            </w:r>
          </w:p>
        </w:tc>
        <w:tc>
          <w:tcPr>
            <w:tcW w:w="7481" w:type="dxa"/>
            <w:tcBorders>
              <w:left w:val="single" w:color="000000" w:sz="4" w:space="0"/>
              <w:bottom w:val="single" w:color="000000" w:sz="4" w:space="0"/>
            </w:tcBorders>
          </w:tcPr>
          <w:p w14:paraId="4F703321">
            <w:pPr>
              <w:pStyle w:val="18"/>
              <w:spacing w:before="1"/>
              <w:rPr>
                <w:rFonts w:hint="eastAsia" w:ascii="宋体" w:hAnsi="宋体" w:eastAsia="宋体" w:cs="宋体"/>
                <w:b/>
                <w:sz w:val="20"/>
              </w:rPr>
            </w:pPr>
          </w:p>
          <w:p w14:paraId="0CC370FF">
            <w:pPr>
              <w:pStyle w:val="18"/>
              <w:ind w:left="3307" w:right="3270"/>
              <w:jc w:val="center"/>
              <w:rPr>
                <w:rFonts w:hint="eastAsia" w:ascii="宋体" w:hAnsi="宋体" w:eastAsia="宋体" w:cs="宋体"/>
                <w:b/>
                <w:sz w:val="21"/>
              </w:rPr>
            </w:pPr>
            <w:r>
              <w:rPr>
                <w:rFonts w:hint="eastAsia" w:ascii="宋体" w:hAnsi="宋体" w:eastAsia="宋体" w:cs="宋体"/>
                <w:b/>
                <w:sz w:val="21"/>
              </w:rPr>
              <w:t>评分方法</w:t>
            </w:r>
          </w:p>
        </w:tc>
      </w:tr>
      <w:tr w14:paraId="321E98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50" w:hRule="atLeast"/>
        </w:trPr>
        <w:tc>
          <w:tcPr>
            <w:tcW w:w="768" w:type="dxa"/>
            <w:tcBorders>
              <w:top w:val="single" w:color="000000" w:sz="4" w:space="0"/>
              <w:bottom w:val="single" w:color="000000" w:sz="4" w:space="0"/>
              <w:right w:val="single" w:color="000000" w:sz="4" w:space="0"/>
            </w:tcBorders>
          </w:tcPr>
          <w:p w14:paraId="7D2F9700">
            <w:pPr>
              <w:pStyle w:val="18"/>
              <w:spacing w:before="6"/>
              <w:rPr>
                <w:rFonts w:hint="eastAsia" w:ascii="宋体" w:hAnsi="宋体" w:eastAsia="宋体" w:cs="宋体"/>
                <w:b/>
                <w:sz w:val="24"/>
              </w:rPr>
            </w:pPr>
          </w:p>
          <w:p w14:paraId="4668D74D">
            <w:pPr>
              <w:pStyle w:val="18"/>
              <w:spacing w:line="321" w:lineRule="auto"/>
              <w:ind w:left="172" w:right="153"/>
              <w:jc w:val="both"/>
              <w:rPr>
                <w:rFonts w:hint="eastAsia" w:ascii="宋体" w:hAnsi="宋体" w:eastAsia="宋体" w:cs="宋体"/>
                <w:b/>
                <w:sz w:val="21"/>
                <w:lang w:val="en-US" w:eastAsia="zh-CN"/>
              </w:rPr>
            </w:pPr>
            <w:r>
              <w:rPr>
                <w:rFonts w:hint="eastAsia" w:ascii="宋体" w:hAnsi="宋体" w:eastAsia="宋体" w:cs="宋体"/>
                <w:b/>
                <w:sz w:val="21"/>
              </w:rPr>
              <w:t>价格部分</w:t>
            </w:r>
            <w:r>
              <w:rPr>
                <w:rFonts w:hint="eastAsia" w:ascii="宋体" w:hAnsi="宋体" w:eastAsia="宋体" w:cs="宋体"/>
                <w:b/>
                <w:sz w:val="21"/>
                <w:lang w:val="en-US" w:eastAsia="zh-CN"/>
              </w:rPr>
              <w:t>40</w:t>
            </w:r>
          </w:p>
        </w:tc>
        <w:tc>
          <w:tcPr>
            <w:tcW w:w="1412" w:type="dxa"/>
            <w:tcBorders>
              <w:top w:val="single" w:color="000000" w:sz="4" w:space="0"/>
              <w:left w:val="single" w:color="000000" w:sz="4" w:space="0"/>
              <w:bottom w:val="single" w:color="000000" w:sz="4" w:space="0"/>
              <w:right w:val="single" w:color="000000" w:sz="4" w:space="0"/>
            </w:tcBorders>
          </w:tcPr>
          <w:p w14:paraId="0D632AF5">
            <w:pPr>
              <w:pStyle w:val="18"/>
              <w:rPr>
                <w:rFonts w:hint="eastAsia" w:ascii="宋体" w:hAnsi="宋体" w:eastAsia="宋体" w:cs="宋体"/>
                <w:b/>
                <w:sz w:val="20"/>
              </w:rPr>
            </w:pPr>
          </w:p>
          <w:p w14:paraId="0C86E8AD">
            <w:pPr>
              <w:pStyle w:val="18"/>
              <w:spacing w:before="7"/>
              <w:rPr>
                <w:rFonts w:hint="eastAsia" w:ascii="宋体" w:hAnsi="宋体" w:eastAsia="宋体" w:cs="宋体"/>
                <w:b/>
                <w:sz w:val="18"/>
              </w:rPr>
            </w:pPr>
          </w:p>
          <w:p w14:paraId="1D52CBC3">
            <w:pPr>
              <w:pStyle w:val="18"/>
              <w:spacing w:line="321" w:lineRule="auto"/>
              <w:ind w:left="215" w:right="109" w:hanging="27"/>
              <w:rPr>
                <w:rFonts w:hint="eastAsia" w:ascii="宋体" w:hAnsi="宋体" w:eastAsia="宋体" w:cs="宋体"/>
                <w:sz w:val="21"/>
              </w:rPr>
            </w:pPr>
            <w:r>
              <w:rPr>
                <w:rFonts w:hint="eastAsia" w:ascii="宋体" w:hAnsi="宋体" w:eastAsia="宋体" w:cs="宋体"/>
                <w:sz w:val="21"/>
                <w:lang w:eastAsia="zh-CN"/>
              </w:rPr>
              <w:t>报价评审</w:t>
            </w:r>
            <w:r>
              <w:rPr>
                <w:rFonts w:hint="eastAsia" w:ascii="宋体" w:hAnsi="宋体" w:eastAsia="宋体" w:cs="宋体"/>
                <w:sz w:val="21"/>
              </w:rPr>
              <w:t>(0-</w:t>
            </w:r>
            <w:r>
              <w:rPr>
                <w:rFonts w:hint="eastAsia" w:ascii="宋体" w:hAnsi="宋体" w:eastAsia="宋体" w:cs="宋体"/>
                <w:sz w:val="21"/>
                <w:lang w:val="en-US" w:eastAsia="zh-CN"/>
              </w:rPr>
              <w:t>4</w:t>
            </w:r>
            <w:r>
              <w:rPr>
                <w:rFonts w:hint="eastAsia" w:ascii="宋体" w:hAnsi="宋体" w:eastAsia="宋体" w:cs="宋体"/>
                <w:sz w:val="21"/>
              </w:rPr>
              <w:t>0分）</w:t>
            </w:r>
          </w:p>
        </w:tc>
        <w:tc>
          <w:tcPr>
            <w:tcW w:w="7481" w:type="dxa"/>
            <w:tcBorders>
              <w:top w:val="single" w:color="000000" w:sz="4" w:space="0"/>
              <w:left w:val="single" w:color="000000" w:sz="4" w:space="0"/>
              <w:bottom w:val="single" w:color="000000" w:sz="4" w:space="0"/>
            </w:tcBorders>
          </w:tcPr>
          <w:p w14:paraId="083A9A01">
            <w:pPr>
              <w:pStyle w:val="18"/>
              <w:spacing w:before="134" w:line="321" w:lineRule="auto"/>
              <w:ind w:left="116" w:right="77"/>
              <w:jc w:val="both"/>
              <w:rPr>
                <w:rFonts w:hint="eastAsia" w:ascii="宋体" w:hAnsi="宋体" w:eastAsia="宋体" w:cs="宋体"/>
                <w:sz w:val="21"/>
              </w:rPr>
            </w:pPr>
            <w:r>
              <w:rPr>
                <w:rFonts w:hint="eastAsia" w:ascii="宋体" w:hAnsi="宋体" w:eastAsia="宋体" w:cs="宋体"/>
                <w:color w:val="auto"/>
                <w:sz w:val="21"/>
              </w:rPr>
              <w:t>价格分采用低价优先法计算，即满足招标文件要求且</w:t>
            </w:r>
            <w:r>
              <w:rPr>
                <w:rFonts w:hint="eastAsia" w:ascii="宋体" w:hAnsi="宋体" w:eastAsia="宋体" w:cs="宋体"/>
                <w:color w:val="auto"/>
                <w:sz w:val="21"/>
                <w:lang w:eastAsia="zh-CN"/>
              </w:rPr>
              <w:t>投标报价</w:t>
            </w:r>
            <w:r>
              <w:rPr>
                <w:rFonts w:hint="eastAsia" w:ascii="宋体" w:hAnsi="宋体" w:eastAsia="宋体" w:cs="宋体"/>
                <w:color w:val="auto"/>
                <w:sz w:val="21"/>
              </w:rPr>
              <w:t>最低的投标报价为评标基准价，其报价部分为满分。其他投标人的价格分统一按照下列公式计</w:t>
            </w:r>
            <w:r>
              <w:rPr>
                <w:rFonts w:hint="eastAsia" w:ascii="宋体" w:hAnsi="宋体" w:eastAsia="宋体" w:cs="宋体"/>
                <w:spacing w:val="-7"/>
                <w:sz w:val="21"/>
              </w:rPr>
              <w:t>算：</w:t>
            </w:r>
          </w:p>
          <w:p w14:paraId="38964DA2">
            <w:pPr>
              <w:pStyle w:val="18"/>
              <w:spacing w:line="267" w:lineRule="exact"/>
              <w:ind w:left="116"/>
              <w:rPr>
                <w:rFonts w:hint="eastAsia" w:ascii="宋体" w:hAnsi="宋体" w:eastAsia="宋体" w:cs="宋体"/>
                <w:b/>
                <w:sz w:val="21"/>
                <w:lang w:eastAsia="zh-CN"/>
              </w:rPr>
            </w:pPr>
            <w:r>
              <w:rPr>
                <w:rFonts w:hint="eastAsia" w:ascii="宋体" w:hAnsi="宋体" w:eastAsia="宋体" w:cs="宋体"/>
                <w:b/>
                <w:color w:val="auto"/>
                <w:sz w:val="21"/>
              </w:rPr>
              <w:t>投标报价得分=［评标基准价／</w:t>
            </w:r>
            <w:r>
              <w:rPr>
                <w:rFonts w:hint="eastAsia" w:ascii="宋体" w:hAnsi="宋体" w:eastAsia="宋体" w:cs="宋体"/>
                <w:b/>
                <w:color w:val="auto"/>
                <w:sz w:val="21"/>
                <w:lang w:eastAsia="zh-CN"/>
              </w:rPr>
              <w:t>投标报价</w:t>
            </w:r>
            <w:r>
              <w:rPr>
                <w:rFonts w:hint="eastAsia" w:ascii="宋体" w:hAnsi="宋体" w:eastAsia="宋体" w:cs="宋体"/>
                <w:b/>
                <w:color w:val="auto"/>
                <w:sz w:val="21"/>
              </w:rPr>
              <w:t>］×价格权值×10</w:t>
            </w:r>
            <w:r>
              <w:rPr>
                <w:rFonts w:hint="eastAsia" w:ascii="宋体" w:hAnsi="宋体" w:eastAsia="宋体" w:cs="宋体"/>
                <w:b/>
                <w:color w:val="auto"/>
                <w:sz w:val="21"/>
                <w:lang w:val="en-US" w:eastAsia="zh-CN"/>
              </w:rPr>
              <w:t>0</w:t>
            </w:r>
          </w:p>
        </w:tc>
      </w:tr>
      <w:tr w14:paraId="67EA5F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10" w:hRule="atLeast"/>
        </w:trPr>
        <w:tc>
          <w:tcPr>
            <w:tcW w:w="768" w:type="dxa"/>
            <w:vMerge w:val="restart"/>
            <w:tcBorders>
              <w:top w:val="single" w:color="000000" w:sz="4" w:space="0"/>
              <w:right w:val="single" w:color="000000" w:sz="4" w:space="0"/>
            </w:tcBorders>
          </w:tcPr>
          <w:p w14:paraId="1FDEC1BE">
            <w:pPr>
              <w:pStyle w:val="18"/>
              <w:rPr>
                <w:rFonts w:hint="eastAsia" w:ascii="宋体" w:hAnsi="宋体" w:eastAsia="宋体" w:cs="宋体"/>
                <w:b/>
                <w:sz w:val="20"/>
              </w:rPr>
            </w:pPr>
          </w:p>
          <w:p w14:paraId="52ACAF28">
            <w:pPr>
              <w:pStyle w:val="18"/>
              <w:rPr>
                <w:rFonts w:hint="eastAsia" w:ascii="宋体" w:hAnsi="宋体" w:eastAsia="宋体" w:cs="宋体"/>
                <w:b/>
                <w:sz w:val="20"/>
              </w:rPr>
            </w:pPr>
          </w:p>
          <w:p w14:paraId="6C146B79">
            <w:pPr>
              <w:pStyle w:val="18"/>
              <w:rPr>
                <w:rFonts w:hint="eastAsia" w:ascii="宋体" w:hAnsi="宋体" w:eastAsia="宋体" w:cs="宋体"/>
                <w:b/>
                <w:sz w:val="20"/>
              </w:rPr>
            </w:pPr>
          </w:p>
          <w:p w14:paraId="5ABC7488">
            <w:pPr>
              <w:pStyle w:val="18"/>
              <w:rPr>
                <w:rFonts w:hint="eastAsia" w:ascii="宋体" w:hAnsi="宋体" w:eastAsia="宋体" w:cs="宋体"/>
                <w:b/>
                <w:sz w:val="20"/>
              </w:rPr>
            </w:pPr>
          </w:p>
          <w:p w14:paraId="15511078">
            <w:pPr>
              <w:pStyle w:val="18"/>
              <w:rPr>
                <w:rFonts w:hint="eastAsia" w:ascii="宋体" w:hAnsi="宋体" w:eastAsia="宋体" w:cs="宋体"/>
                <w:b/>
                <w:sz w:val="20"/>
              </w:rPr>
            </w:pPr>
          </w:p>
          <w:p w14:paraId="1558FA57">
            <w:pPr>
              <w:pStyle w:val="18"/>
              <w:rPr>
                <w:rFonts w:hint="eastAsia" w:ascii="宋体" w:hAnsi="宋体" w:eastAsia="宋体" w:cs="宋体"/>
                <w:b/>
                <w:sz w:val="20"/>
              </w:rPr>
            </w:pPr>
          </w:p>
          <w:p w14:paraId="01CBB643">
            <w:pPr>
              <w:pStyle w:val="18"/>
              <w:rPr>
                <w:rFonts w:hint="eastAsia" w:ascii="宋体" w:hAnsi="宋体" w:eastAsia="宋体" w:cs="宋体"/>
                <w:b/>
                <w:sz w:val="20"/>
              </w:rPr>
            </w:pPr>
          </w:p>
          <w:p w14:paraId="391DF671">
            <w:pPr>
              <w:pStyle w:val="18"/>
              <w:rPr>
                <w:rFonts w:hint="eastAsia" w:ascii="宋体" w:hAnsi="宋体" w:eastAsia="宋体" w:cs="宋体"/>
                <w:b/>
                <w:sz w:val="20"/>
              </w:rPr>
            </w:pPr>
          </w:p>
          <w:p w14:paraId="3EF5BE89">
            <w:pPr>
              <w:pStyle w:val="18"/>
              <w:rPr>
                <w:rFonts w:hint="eastAsia" w:ascii="宋体" w:hAnsi="宋体" w:eastAsia="宋体" w:cs="宋体"/>
                <w:b/>
                <w:sz w:val="20"/>
              </w:rPr>
            </w:pPr>
          </w:p>
          <w:p w14:paraId="43E6F3A1">
            <w:pPr>
              <w:pStyle w:val="18"/>
              <w:rPr>
                <w:rFonts w:hint="eastAsia" w:ascii="宋体" w:hAnsi="宋体" w:eastAsia="宋体" w:cs="宋体"/>
                <w:b/>
                <w:sz w:val="20"/>
              </w:rPr>
            </w:pPr>
          </w:p>
          <w:p w14:paraId="6DD03A4F">
            <w:pPr>
              <w:pStyle w:val="18"/>
              <w:rPr>
                <w:rFonts w:hint="eastAsia" w:ascii="宋体" w:hAnsi="宋体" w:eastAsia="宋体" w:cs="宋体"/>
                <w:b/>
                <w:sz w:val="20"/>
              </w:rPr>
            </w:pPr>
          </w:p>
          <w:p w14:paraId="27A0DB17">
            <w:pPr>
              <w:pStyle w:val="18"/>
              <w:rPr>
                <w:rFonts w:hint="eastAsia" w:ascii="宋体" w:hAnsi="宋体" w:eastAsia="宋体" w:cs="宋体"/>
                <w:b/>
                <w:sz w:val="20"/>
              </w:rPr>
            </w:pPr>
          </w:p>
          <w:p w14:paraId="4868DFAE">
            <w:pPr>
              <w:pStyle w:val="18"/>
              <w:rPr>
                <w:rFonts w:hint="eastAsia" w:ascii="宋体" w:hAnsi="宋体" w:eastAsia="宋体" w:cs="宋体"/>
                <w:b/>
                <w:sz w:val="20"/>
              </w:rPr>
            </w:pPr>
          </w:p>
          <w:p w14:paraId="2957601E">
            <w:pPr>
              <w:pStyle w:val="18"/>
              <w:rPr>
                <w:rFonts w:hint="eastAsia" w:ascii="宋体" w:hAnsi="宋体" w:eastAsia="宋体" w:cs="宋体"/>
                <w:b/>
                <w:sz w:val="20"/>
              </w:rPr>
            </w:pPr>
          </w:p>
          <w:p w14:paraId="76C08F78">
            <w:pPr>
              <w:pStyle w:val="18"/>
              <w:rPr>
                <w:rFonts w:hint="eastAsia" w:ascii="宋体" w:hAnsi="宋体" w:eastAsia="宋体" w:cs="宋体"/>
                <w:b/>
                <w:sz w:val="20"/>
              </w:rPr>
            </w:pPr>
          </w:p>
          <w:p w14:paraId="7D27E1BB">
            <w:pPr>
              <w:pStyle w:val="18"/>
              <w:spacing w:before="169" w:line="321" w:lineRule="auto"/>
              <w:ind w:left="277" w:right="260"/>
              <w:jc w:val="center"/>
              <w:rPr>
                <w:rFonts w:hint="eastAsia" w:ascii="宋体" w:hAnsi="宋体" w:eastAsia="宋体" w:cs="宋体"/>
                <w:b/>
                <w:sz w:val="21"/>
              </w:rPr>
            </w:pPr>
            <w:r>
              <w:rPr>
                <w:rFonts w:hint="eastAsia" w:ascii="宋体" w:hAnsi="宋体" w:eastAsia="宋体" w:cs="宋体"/>
                <w:b/>
                <w:w w:val="95"/>
                <w:sz w:val="21"/>
              </w:rPr>
              <w:t>商务</w:t>
            </w:r>
          </w:p>
          <w:p w14:paraId="1C189A4B">
            <w:pPr>
              <w:pStyle w:val="18"/>
              <w:spacing w:line="321" w:lineRule="auto"/>
              <w:ind w:left="225" w:right="205" w:firstLine="52"/>
              <w:jc w:val="both"/>
              <w:rPr>
                <w:rFonts w:hint="eastAsia" w:ascii="宋体" w:hAnsi="宋体" w:eastAsia="宋体" w:cs="宋体"/>
                <w:b/>
                <w:sz w:val="21"/>
              </w:rPr>
            </w:pPr>
            <w:r>
              <w:rPr>
                <w:rFonts w:hint="eastAsia" w:ascii="宋体" w:hAnsi="宋体" w:eastAsia="宋体" w:cs="宋体"/>
                <w:b/>
                <w:sz w:val="21"/>
              </w:rPr>
              <w:t>、技术部分</w:t>
            </w:r>
            <w:r>
              <w:rPr>
                <w:rFonts w:hint="eastAsia" w:ascii="宋体" w:hAnsi="宋体" w:eastAsia="宋体" w:cs="宋体"/>
                <w:b/>
                <w:w w:val="95"/>
                <w:sz w:val="21"/>
                <w:lang w:val="en-US" w:eastAsia="zh-CN"/>
              </w:rPr>
              <w:t>6</w:t>
            </w:r>
            <w:r>
              <w:rPr>
                <w:rFonts w:hint="eastAsia" w:ascii="宋体" w:hAnsi="宋体" w:eastAsia="宋体" w:cs="宋体"/>
                <w:b/>
                <w:w w:val="95"/>
                <w:sz w:val="21"/>
              </w:rPr>
              <w:t>0</w:t>
            </w:r>
          </w:p>
        </w:tc>
        <w:tc>
          <w:tcPr>
            <w:tcW w:w="1412" w:type="dxa"/>
            <w:tcBorders>
              <w:top w:val="single" w:color="000000" w:sz="4" w:space="0"/>
              <w:left w:val="single" w:color="000000" w:sz="4" w:space="0"/>
              <w:bottom w:val="single" w:color="000000" w:sz="4" w:space="0"/>
              <w:right w:val="single" w:color="000000" w:sz="4" w:space="0"/>
            </w:tcBorders>
          </w:tcPr>
          <w:p w14:paraId="1568F8DE">
            <w:pPr>
              <w:pStyle w:val="18"/>
              <w:rPr>
                <w:rFonts w:hint="eastAsia" w:ascii="宋体" w:hAnsi="宋体" w:eastAsia="宋体" w:cs="宋体"/>
                <w:b/>
                <w:sz w:val="20"/>
              </w:rPr>
            </w:pPr>
          </w:p>
          <w:p w14:paraId="76FD4E46">
            <w:pPr>
              <w:pStyle w:val="18"/>
              <w:spacing w:before="3"/>
              <w:rPr>
                <w:rFonts w:hint="eastAsia" w:ascii="宋体" w:hAnsi="宋体" w:eastAsia="宋体" w:cs="宋体"/>
                <w:b/>
                <w:sz w:val="17"/>
              </w:rPr>
            </w:pPr>
          </w:p>
          <w:p w14:paraId="493AB918">
            <w:pPr>
              <w:pStyle w:val="18"/>
              <w:ind w:left="295"/>
              <w:rPr>
                <w:rFonts w:hint="eastAsia" w:ascii="宋体" w:hAnsi="宋体" w:eastAsia="宋体" w:cs="宋体"/>
                <w:sz w:val="21"/>
              </w:rPr>
            </w:pPr>
            <w:r>
              <w:rPr>
                <w:rFonts w:hint="eastAsia" w:ascii="宋体" w:hAnsi="宋体" w:eastAsia="宋体" w:cs="宋体"/>
                <w:sz w:val="21"/>
              </w:rPr>
              <w:t>类似业绩</w:t>
            </w:r>
          </w:p>
          <w:p w14:paraId="48B88C5A">
            <w:pPr>
              <w:pStyle w:val="18"/>
              <w:spacing w:before="91"/>
              <w:ind w:left="215"/>
              <w:rPr>
                <w:rFonts w:hint="eastAsia" w:ascii="宋体" w:hAnsi="宋体" w:eastAsia="宋体" w:cs="宋体"/>
                <w:sz w:val="21"/>
              </w:rPr>
            </w:pPr>
            <w:r>
              <w:rPr>
                <w:rFonts w:hint="eastAsia" w:ascii="宋体" w:hAnsi="宋体" w:eastAsia="宋体" w:cs="宋体"/>
                <w:sz w:val="21"/>
              </w:rPr>
              <w:t>（0-</w:t>
            </w:r>
            <w:r>
              <w:rPr>
                <w:rFonts w:hint="eastAsia" w:ascii="宋体" w:hAnsi="宋体" w:eastAsia="宋体" w:cs="宋体"/>
                <w:sz w:val="21"/>
                <w:lang w:val="en-US" w:eastAsia="zh-CN"/>
              </w:rPr>
              <w:t>10</w:t>
            </w:r>
            <w:r>
              <w:rPr>
                <w:rFonts w:hint="eastAsia" w:ascii="宋体" w:hAnsi="宋体" w:eastAsia="宋体" w:cs="宋体"/>
                <w:sz w:val="21"/>
              </w:rPr>
              <w:t>分）</w:t>
            </w:r>
          </w:p>
        </w:tc>
        <w:tc>
          <w:tcPr>
            <w:tcW w:w="7481" w:type="dxa"/>
            <w:tcBorders>
              <w:top w:val="single" w:color="000000" w:sz="4" w:space="0"/>
              <w:left w:val="single" w:color="000000" w:sz="4" w:space="0"/>
              <w:bottom w:val="single" w:color="000000" w:sz="4" w:space="0"/>
            </w:tcBorders>
          </w:tcPr>
          <w:p w14:paraId="72CDD60E">
            <w:pPr>
              <w:pStyle w:val="18"/>
              <w:spacing w:line="267" w:lineRule="exact"/>
              <w:ind w:left="116" w:firstLine="210" w:firstLineChars="100"/>
              <w:rPr>
                <w:rFonts w:hint="eastAsia" w:ascii="宋体" w:hAnsi="宋体" w:eastAsia="宋体" w:cs="宋体"/>
                <w:color w:val="auto"/>
                <w:sz w:val="21"/>
              </w:rPr>
            </w:pPr>
          </w:p>
          <w:p w14:paraId="77654BC1">
            <w:pPr>
              <w:pStyle w:val="18"/>
              <w:spacing w:line="267" w:lineRule="exact"/>
              <w:ind w:left="116" w:firstLine="210" w:firstLineChars="100"/>
              <w:rPr>
                <w:rFonts w:hint="eastAsia" w:ascii="宋体" w:hAnsi="宋体" w:eastAsia="宋体" w:cs="宋体"/>
                <w:color w:val="auto"/>
                <w:sz w:val="21"/>
              </w:rPr>
            </w:pPr>
            <w:r>
              <w:rPr>
                <w:rFonts w:hint="eastAsia" w:ascii="宋体" w:hAnsi="宋体" w:eastAsia="宋体" w:cs="宋体"/>
                <w:color w:val="auto"/>
                <w:sz w:val="21"/>
              </w:rPr>
              <w:t>投标人近三年（2023 年</w:t>
            </w:r>
            <w:r>
              <w:rPr>
                <w:rFonts w:hint="eastAsia" w:ascii="宋体" w:hAnsi="宋体" w:eastAsia="宋体" w:cs="宋体"/>
                <w:color w:val="auto"/>
                <w:sz w:val="21"/>
                <w:lang w:val="en-US" w:eastAsia="zh-CN"/>
              </w:rPr>
              <w:t>1</w:t>
            </w:r>
            <w:r>
              <w:rPr>
                <w:rFonts w:hint="eastAsia" w:ascii="宋体" w:hAnsi="宋体" w:eastAsia="宋体" w:cs="宋体"/>
                <w:color w:val="auto"/>
                <w:sz w:val="21"/>
              </w:rPr>
              <w:t>月至今）具有</w:t>
            </w:r>
            <w:r>
              <w:rPr>
                <w:rFonts w:hint="eastAsia" w:ascii="宋体" w:hAnsi="宋体" w:eastAsia="宋体" w:cs="宋体"/>
                <w:color w:val="auto"/>
                <w:sz w:val="21"/>
                <w:lang w:eastAsia="zh-CN"/>
              </w:rPr>
              <w:t>（</w:t>
            </w:r>
            <w:r>
              <w:rPr>
                <w:rFonts w:hint="eastAsia" w:cs="宋体"/>
                <w:color w:val="auto"/>
                <w:sz w:val="21"/>
                <w:lang w:eastAsia="zh-CN"/>
              </w:rPr>
              <w:t>工程</w:t>
            </w:r>
            <w:r>
              <w:rPr>
                <w:rFonts w:hint="eastAsia" w:ascii="宋体" w:hAnsi="宋体" w:eastAsia="宋体" w:cs="宋体"/>
                <w:color w:val="auto"/>
                <w:sz w:val="21"/>
                <w:lang w:eastAsia="zh-CN"/>
              </w:rPr>
              <w:t>维修类）</w:t>
            </w:r>
            <w:r>
              <w:rPr>
                <w:rFonts w:hint="eastAsia" w:ascii="宋体" w:hAnsi="宋体" w:eastAsia="宋体" w:cs="宋体"/>
                <w:color w:val="auto"/>
                <w:sz w:val="21"/>
              </w:rPr>
              <w:t>类似项目业绩，附中标（成交）通知书、合同（体现项目名称、项目时间、项目内容、签订双方单位名称及公章）、竣工验收报告等作为证明材料；证明材料应符合要求且清晰可辨，每满足一项得</w:t>
            </w:r>
            <w:r>
              <w:rPr>
                <w:rFonts w:hint="eastAsia" w:ascii="宋体" w:hAnsi="宋体" w:eastAsia="宋体" w:cs="宋体"/>
                <w:color w:val="auto"/>
                <w:sz w:val="21"/>
                <w:lang w:val="en-US" w:eastAsia="zh-CN"/>
              </w:rPr>
              <w:t xml:space="preserve"> 2 </w:t>
            </w:r>
            <w:r>
              <w:rPr>
                <w:rFonts w:hint="eastAsia" w:ascii="宋体" w:hAnsi="宋体" w:eastAsia="宋体" w:cs="宋体"/>
                <w:color w:val="auto"/>
                <w:sz w:val="21"/>
              </w:rPr>
              <w:t>分，最高得</w:t>
            </w:r>
            <w:r>
              <w:rPr>
                <w:rFonts w:hint="eastAsia" w:ascii="宋体" w:hAnsi="宋体" w:eastAsia="宋体" w:cs="宋体"/>
                <w:color w:val="auto"/>
                <w:sz w:val="21"/>
                <w:lang w:val="en-US" w:eastAsia="zh-CN"/>
              </w:rPr>
              <w:t xml:space="preserve"> 10 </w:t>
            </w:r>
            <w:r>
              <w:rPr>
                <w:rFonts w:hint="eastAsia" w:ascii="宋体" w:hAnsi="宋体" w:eastAsia="宋体" w:cs="宋体"/>
                <w:color w:val="auto"/>
                <w:sz w:val="21"/>
              </w:rPr>
              <w:t>分。未提供或不满足的不得分。</w:t>
            </w:r>
          </w:p>
        </w:tc>
      </w:tr>
      <w:tr w14:paraId="44F290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trPr>
        <w:tc>
          <w:tcPr>
            <w:tcW w:w="768" w:type="dxa"/>
            <w:vMerge w:val="continue"/>
            <w:tcBorders>
              <w:top w:val="nil"/>
              <w:right w:val="single" w:color="000000" w:sz="4" w:space="0"/>
            </w:tcBorders>
          </w:tcPr>
          <w:p w14:paraId="26F1537F">
            <w:pPr>
              <w:rPr>
                <w:rFonts w:hint="eastAsia" w:ascii="宋体" w:hAnsi="宋体" w:eastAsia="宋体" w:cs="宋体"/>
                <w:sz w:val="2"/>
                <w:szCs w:val="2"/>
              </w:rPr>
            </w:pPr>
          </w:p>
        </w:tc>
        <w:tc>
          <w:tcPr>
            <w:tcW w:w="1412" w:type="dxa"/>
            <w:tcBorders>
              <w:top w:val="single" w:color="000000" w:sz="4" w:space="0"/>
              <w:left w:val="single" w:color="000000" w:sz="4" w:space="0"/>
              <w:bottom w:val="single" w:color="000000" w:sz="4" w:space="0"/>
              <w:right w:val="single" w:color="000000" w:sz="4" w:space="0"/>
            </w:tcBorders>
          </w:tcPr>
          <w:p w14:paraId="4C3EED20">
            <w:pPr>
              <w:pStyle w:val="18"/>
              <w:rPr>
                <w:rFonts w:hint="eastAsia" w:ascii="宋体" w:hAnsi="宋体" w:eastAsia="宋体" w:cs="宋体"/>
                <w:b/>
                <w:color w:val="7030A0"/>
                <w:sz w:val="20"/>
              </w:rPr>
            </w:pPr>
          </w:p>
          <w:p w14:paraId="4A79A3A6">
            <w:pPr>
              <w:pStyle w:val="18"/>
              <w:rPr>
                <w:rFonts w:hint="eastAsia" w:ascii="宋体" w:hAnsi="宋体" w:eastAsia="宋体" w:cs="宋体"/>
                <w:b/>
                <w:color w:val="7030A0"/>
                <w:sz w:val="20"/>
              </w:rPr>
            </w:pPr>
          </w:p>
          <w:p w14:paraId="3403045E">
            <w:pPr>
              <w:pStyle w:val="18"/>
              <w:spacing w:line="268" w:lineRule="exact"/>
              <w:ind w:right="92"/>
              <w:jc w:val="center"/>
              <w:rPr>
                <w:rFonts w:hint="eastAsia" w:ascii="宋体" w:hAnsi="宋体" w:eastAsia="宋体" w:cs="宋体"/>
                <w:color w:val="7030A0"/>
                <w:sz w:val="21"/>
              </w:rPr>
            </w:pPr>
            <w:r>
              <w:rPr>
                <w:rFonts w:hint="eastAsia" w:ascii="宋体" w:hAnsi="宋体" w:eastAsia="宋体" w:cs="宋体"/>
                <w:color w:val="auto"/>
                <w:sz w:val="21"/>
                <w:lang w:val="zh-CN" w:eastAsia="zh-CN"/>
              </w:rPr>
              <w:t>特种作业人员配置（</w:t>
            </w:r>
            <w:r>
              <w:rPr>
                <w:rFonts w:hint="eastAsia" w:ascii="宋体" w:hAnsi="宋体" w:eastAsia="宋体" w:cs="宋体"/>
                <w:color w:val="auto"/>
                <w:sz w:val="21"/>
                <w:lang w:val="en-US" w:eastAsia="zh-CN"/>
              </w:rPr>
              <w:t>0-10分</w:t>
            </w:r>
            <w:r>
              <w:rPr>
                <w:rFonts w:hint="eastAsia" w:ascii="宋体" w:hAnsi="宋体" w:eastAsia="宋体" w:cs="宋体"/>
                <w:color w:val="auto"/>
                <w:sz w:val="21"/>
                <w:lang w:val="zh-CN" w:eastAsia="zh-CN"/>
              </w:rPr>
              <w:t>）</w:t>
            </w:r>
          </w:p>
        </w:tc>
        <w:tc>
          <w:tcPr>
            <w:tcW w:w="7481" w:type="dxa"/>
            <w:tcBorders>
              <w:top w:val="single" w:color="000000" w:sz="4" w:space="0"/>
              <w:left w:val="single" w:color="000000" w:sz="4" w:space="0"/>
              <w:bottom w:val="single" w:color="000000" w:sz="4" w:space="0"/>
            </w:tcBorders>
          </w:tcPr>
          <w:p w14:paraId="34F0316D">
            <w:pPr>
              <w:pStyle w:val="18"/>
              <w:spacing w:before="73" w:line="360" w:lineRule="atLeast"/>
              <w:ind w:left="116" w:right="-29" w:firstLine="210" w:firstLineChars="100"/>
              <w:rPr>
                <w:rFonts w:hint="eastAsia" w:ascii="宋体" w:hAnsi="宋体" w:eastAsia="宋体" w:cs="宋体"/>
                <w:color w:val="auto"/>
                <w:sz w:val="21"/>
                <w:lang w:eastAsia="zh-CN"/>
              </w:rPr>
            </w:pPr>
            <w:r>
              <w:rPr>
                <w:rFonts w:hint="eastAsia" w:ascii="宋体" w:hAnsi="宋体" w:eastAsia="宋体" w:cs="宋体"/>
                <w:color w:val="auto"/>
                <w:sz w:val="21"/>
              </w:rPr>
              <w:t>配备有效期内、工种匹配的特种作业人员（低压电工、</w:t>
            </w:r>
            <w:r>
              <w:rPr>
                <w:rFonts w:hint="eastAsia" w:ascii="宋体" w:hAnsi="宋体" w:eastAsia="宋体" w:cs="宋体"/>
                <w:color w:val="auto"/>
                <w:sz w:val="21"/>
                <w:lang w:val="en-US" w:eastAsia="zh-CN"/>
              </w:rPr>
              <w:t>喷漆/涂装作业、高处作业、焊接作业、</w:t>
            </w:r>
            <w:r>
              <w:rPr>
                <w:rFonts w:hint="eastAsia" w:ascii="宋体" w:hAnsi="宋体" w:eastAsia="宋体" w:cs="宋体"/>
                <w:color w:val="auto"/>
                <w:sz w:val="21"/>
              </w:rPr>
              <w:t>热切割作业为主），每配备1名合格人员得</w:t>
            </w:r>
            <w:r>
              <w:rPr>
                <w:rFonts w:hint="eastAsia" w:ascii="宋体" w:hAnsi="宋体" w:eastAsia="宋体" w:cs="宋体"/>
                <w:color w:val="auto"/>
                <w:sz w:val="21"/>
                <w:lang w:val="en-US" w:eastAsia="zh-CN"/>
              </w:rPr>
              <w:t>2</w:t>
            </w:r>
            <w:r>
              <w:rPr>
                <w:rFonts w:hint="eastAsia" w:ascii="宋体" w:hAnsi="宋体" w:eastAsia="宋体" w:cs="宋体"/>
                <w:color w:val="auto"/>
                <w:sz w:val="21"/>
              </w:rPr>
              <w:t>分，满分</w:t>
            </w:r>
            <w:r>
              <w:rPr>
                <w:rFonts w:hint="eastAsia" w:ascii="宋体" w:hAnsi="宋体" w:eastAsia="宋体" w:cs="宋体"/>
                <w:color w:val="auto"/>
                <w:sz w:val="21"/>
                <w:lang w:val="en-US" w:eastAsia="zh-CN"/>
              </w:rPr>
              <w:t>10</w:t>
            </w:r>
            <w:r>
              <w:rPr>
                <w:rFonts w:hint="eastAsia" w:ascii="宋体" w:hAnsi="宋体" w:eastAsia="宋体" w:cs="宋体"/>
                <w:color w:val="auto"/>
                <w:sz w:val="21"/>
              </w:rPr>
              <w:t>分，最多计</w:t>
            </w:r>
            <w:r>
              <w:rPr>
                <w:rFonts w:hint="eastAsia" w:ascii="宋体" w:hAnsi="宋体" w:eastAsia="宋体" w:cs="宋体"/>
                <w:color w:val="auto"/>
                <w:sz w:val="21"/>
                <w:lang w:val="en-US" w:eastAsia="zh-CN"/>
              </w:rPr>
              <w:t>5</w:t>
            </w:r>
            <w:r>
              <w:rPr>
                <w:rFonts w:hint="eastAsia" w:ascii="宋体" w:hAnsi="宋体" w:eastAsia="宋体" w:cs="宋体"/>
                <w:color w:val="auto"/>
                <w:sz w:val="21"/>
              </w:rPr>
              <w:t>名人员分值，无有效证书不得分</w:t>
            </w:r>
            <w:r>
              <w:rPr>
                <w:rFonts w:hint="eastAsia" w:ascii="宋体" w:hAnsi="宋体" w:eastAsia="宋体" w:cs="宋体"/>
                <w:color w:val="auto"/>
                <w:sz w:val="21"/>
                <w:lang w:eastAsia="zh-CN"/>
              </w:rPr>
              <w:t>。</w:t>
            </w:r>
          </w:p>
          <w:p w14:paraId="11C41E58">
            <w:pPr>
              <w:pStyle w:val="18"/>
              <w:spacing w:before="73" w:line="360" w:lineRule="atLeast"/>
              <w:ind w:left="116" w:right="-29"/>
              <w:rPr>
                <w:rFonts w:hint="eastAsia" w:ascii="宋体" w:hAnsi="宋体" w:eastAsia="宋体" w:cs="宋体"/>
                <w:color w:val="auto"/>
                <w:sz w:val="21"/>
              </w:rPr>
            </w:pPr>
            <w:r>
              <w:rPr>
                <w:rFonts w:hint="eastAsia" w:ascii="宋体" w:hAnsi="宋体" w:eastAsia="宋体" w:cs="宋体"/>
                <w:color w:val="auto"/>
                <w:sz w:val="21"/>
                <w:lang w:eastAsia="zh-CN"/>
              </w:rPr>
              <w:t>需提供：特种作业操作证完整扫描件，证书在有效期内、信息清晰真实，发证单位合规，仅需提交本项证书。</w:t>
            </w:r>
          </w:p>
        </w:tc>
      </w:tr>
      <w:tr w14:paraId="457D2D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55" w:hRule="atLeast"/>
        </w:trPr>
        <w:tc>
          <w:tcPr>
            <w:tcW w:w="768" w:type="dxa"/>
            <w:vMerge w:val="continue"/>
            <w:tcBorders>
              <w:top w:val="nil"/>
              <w:right w:val="single" w:color="000000" w:sz="4" w:space="0"/>
            </w:tcBorders>
          </w:tcPr>
          <w:p w14:paraId="687317D7">
            <w:pPr>
              <w:rPr>
                <w:rFonts w:hint="eastAsia" w:ascii="宋体" w:hAnsi="宋体" w:eastAsia="宋体" w:cs="宋体"/>
                <w:sz w:val="2"/>
                <w:szCs w:val="2"/>
              </w:rPr>
            </w:pPr>
          </w:p>
        </w:tc>
        <w:tc>
          <w:tcPr>
            <w:tcW w:w="1412" w:type="dxa"/>
            <w:tcBorders>
              <w:top w:val="single" w:color="000000" w:sz="4" w:space="0"/>
              <w:left w:val="single" w:color="000000" w:sz="4" w:space="0"/>
              <w:bottom w:val="single" w:color="000000" w:sz="4" w:space="0"/>
              <w:right w:val="single" w:color="000000" w:sz="4" w:space="0"/>
            </w:tcBorders>
          </w:tcPr>
          <w:p w14:paraId="19029ABD">
            <w:pPr>
              <w:pStyle w:val="18"/>
              <w:rPr>
                <w:rFonts w:hint="eastAsia" w:ascii="宋体" w:hAnsi="宋体" w:eastAsia="宋体" w:cs="宋体"/>
                <w:b/>
                <w:sz w:val="20"/>
              </w:rPr>
            </w:pPr>
          </w:p>
          <w:p w14:paraId="2FB4704B">
            <w:pPr>
              <w:pStyle w:val="18"/>
              <w:rPr>
                <w:rFonts w:hint="eastAsia" w:ascii="宋体" w:hAnsi="宋体" w:eastAsia="宋体" w:cs="宋体"/>
                <w:b/>
                <w:sz w:val="20"/>
              </w:rPr>
            </w:pPr>
          </w:p>
          <w:p w14:paraId="2BE5B73E">
            <w:pPr>
              <w:pStyle w:val="18"/>
              <w:rPr>
                <w:rFonts w:hint="eastAsia" w:ascii="宋体" w:hAnsi="宋体" w:eastAsia="宋体" w:cs="宋体"/>
                <w:b/>
                <w:sz w:val="20"/>
              </w:rPr>
            </w:pPr>
          </w:p>
          <w:p w14:paraId="3191B64F">
            <w:pPr>
              <w:pStyle w:val="18"/>
              <w:rPr>
                <w:rFonts w:hint="eastAsia" w:ascii="宋体" w:hAnsi="宋体" w:eastAsia="宋体" w:cs="宋体"/>
                <w:b/>
                <w:sz w:val="20"/>
              </w:rPr>
            </w:pPr>
          </w:p>
          <w:p w14:paraId="22AD979B">
            <w:pPr>
              <w:pStyle w:val="18"/>
              <w:spacing w:before="169"/>
              <w:ind w:left="115" w:right="89"/>
              <w:jc w:val="center"/>
              <w:rPr>
                <w:rFonts w:hint="eastAsia" w:ascii="宋体" w:hAnsi="宋体" w:eastAsia="宋体" w:cs="宋体"/>
                <w:sz w:val="21"/>
              </w:rPr>
            </w:pPr>
            <w:r>
              <w:rPr>
                <w:rFonts w:hint="eastAsia" w:ascii="宋体" w:hAnsi="宋体" w:eastAsia="宋体" w:cs="宋体"/>
                <w:sz w:val="21"/>
              </w:rPr>
              <w:t>管理制度</w:t>
            </w:r>
          </w:p>
          <w:p w14:paraId="66416FB8">
            <w:pPr>
              <w:pStyle w:val="18"/>
              <w:spacing w:before="91"/>
              <w:ind w:left="115" w:right="92"/>
              <w:jc w:val="center"/>
              <w:rPr>
                <w:rFonts w:hint="eastAsia" w:ascii="宋体" w:hAnsi="宋体" w:eastAsia="宋体" w:cs="宋体"/>
                <w:sz w:val="21"/>
              </w:rPr>
            </w:pPr>
            <w:r>
              <w:rPr>
                <w:rFonts w:hint="eastAsia" w:ascii="宋体" w:hAnsi="宋体" w:eastAsia="宋体" w:cs="宋体"/>
                <w:sz w:val="21"/>
              </w:rPr>
              <w:t>（0-10分）</w:t>
            </w:r>
          </w:p>
        </w:tc>
        <w:tc>
          <w:tcPr>
            <w:tcW w:w="7481" w:type="dxa"/>
            <w:tcBorders>
              <w:top w:val="single" w:color="000000" w:sz="4" w:space="0"/>
              <w:left w:val="single" w:color="000000" w:sz="4" w:space="0"/>
              <w:bottom w:val="single" w:color="000000" w:sz="4" w:space="0"/>
            </w:tcBorders>
          </w:tcPr>
          <w:p w14:paraId="6770BAAA">
            <w:pPr>
              <w:pStyle w:val="18"/>
              <w:spacing w:before="114" w:line="321" w:lineRule="auto"/>
              <w:ind w:left="116" w:right="77" w:firstLine="196" w:firstLineChars="100"/>
              <w:jc w:val="both"/>
              <w:rPr>
                <w:rFonts w:hint="eastAsia" w:ascii="宋体" w:hAnsi="宋体" w:eastAsia="宋体" w:cs="宋体"/>
                <w:sz w:val="21"/>
              </w:rPr>
            </w:pPr>
            <w:r>
              <w:rPr>
                <w:rFonts w:hint="eastAsia" w:ascii="宋体" w:hAnsi="宋体" w:eastAsia="宋体" w:cs="宋体"/>
                <w:spacing w:val="-7"/>
                <w:sz w:val="21"/>
              </w:rPr>
              <w:t>提供完善规范的、有利于项目实施的管理制度，包括①人员管理制度；②廉洁管理制度；③档案管理制度；④信息反馈及处理制度；⑤安全管理制度等。各项管理制度有针对性内容、无缺陷的，得 10 分。在此基础上，每缺失 1 项制度扣 2</w:t>
            </w:r>
            <w:r>
              <w:rPr>
                <w:rFonts w:hint="eastAsia" w:ascii="宋体" w:hAnsi="宋体" w:eastAsia="宋体" w:cs="宋体"/>
                <w:spacing w:val="-7"/>
                <w:sz w:val="21"/>
                <w:lang w:val="en-US" w:eastAsia="zh-CN"/>
              </w:rPr>
              <w:t xml:space="preserve"> </w:t>
            </w:r>
            <w:r>
              <w:rPr>
                <w:rFonts w:hint="eastAsia" w:ascii="宋体" w:hAnsi="宋体" w:eastAsia="宋体" w:cs="宋体"/>
                <w:spacing w:val="-7"/>
                <w:sz w:val="21"/>
              </w:rPr>
              <w:t>分，内容每存在 1 处缺陷扣 1 分，扣完为止。（本项所称“缺陷”是指不符合采购需求、非专门针对本项目或不适用本项目特性、套用其他项目内容；对  同一问题前后表述矛盾；存在逻辑漏洞、科学原理或常识错误；引用的规定、规  范错误；内容描述不符合国家相关法律法规、政策文件、规范标准要求；不利于本项目目标的实现、现有技术条件下不可能出现的情形等任意一种情形）</w:t>
            </w:r>
          </w:p>
        </w:tc>
      </w:tr>
      <w:tr w14:paraId="4B8BA1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8" w:type="dxa"/>
            <w:vMerge w:val="continue"/>
            <w:tcBorders>
              <w:top w:val="nil"/>
              <w:right w:val="single" w:color="000000" w:sz="4" w:space="0"/>
            </w:tcBorders>
          </w:tcPr>
          <w:p w14:paraId="5D739D3D">
            <w:pPr>
              <w:rPr>
                <w:rFonts w:hint="eastAsia" w:ascii="宋体" w:hAnsi="宋体" w:eastAsia="宋体" w:cs="宋体"/>
                <w:sz w:val="2"/>
                <w:szCs w:val="2"/>
              </w:rPr>
            </w:pPr>
          </w:p>
        </w:tc>
        <w:tc>
          <w:tcPr>
            <w:tcW w:w="1412" w:type="dxa"/>
            <w:tcBorders>
              <w:top w:val="single" w:color="000000" w:sz="4" w:space="0"/>
              <w:left w:val="single" w:color="000000" w:sz="4" w:space="0"/>
              <w:right w:val="single" w:color="000000" w:sz="4" w:space="0"/>
            </w:tcBorders>
          </w:tcPr>
          <w:p w14:paraId="5CC0AE9D">
            <w:pPr>
              <w:pStyle w:val="18"/>
              <w:spacing w:before="5"/>
              <w:rPr>
                <w:rFonts w:hint="eastAsia" w:ascii="宋体" w:hAnsi="宋体" w:eastAsia="宋体" w:cs="宋体"/>
                <w:b/>
                <w:sz w:val="22"/>
              </w:rPr>
            </w:pPr>
          </w:p>
          <w:p w14:paraId="1557ED4B">
            <w:pPr>
              <w:pStyle w:val="18"/>
              <w:spacing w:before="1" w:line="321" w:lineRule="auto"/>
              <w:ind w:right="267"/>
              <w:jc w:val="center"/>
              <w:rPr>
                <w:rFonts w:hint="eastAsia" w:ascii="宋体" w:hAnsi="宋体" w:eastAsia="宋体" w:cs="宋体"/>
                <w:sz w:val="21"/>
              </w:rPr>
            </w:pPr>
            <w:r>
              <w:rPr>
                <w:rFonts w:hint="eastAsia" w:cs="宋体"/>
                <w:sz w:val="21"/>
                <w:lang w:val="en-US" w:eastAsia="zh-CN"/>
              </w:rPr>
              <w:t xml:space="preserve">  </w:t>
            </w:r>
            <w:r>
              <w:rPr>
                <w:rFonts w:hint="eastAsia" w:ascii="宋体" w:hAnsi="宋体" w:eastAsia="宋体" w:cs="宋体"/>
                <w:sz w:val="21"/>
              </w:rPr>
              <w:t>项目实施方案</w:t>
            </w:r>
          </w:p>
          <w:p w14:paraId="0CB7CE1B">
            <w:pPr>
              <w:pStyle w:val="18"/>
              <w:spacing w:line="268" w:lineRule="exact"/>
              <w:ind w:left="115" w:right="92"/>
              <w:jc w:val="center"/>
              <w:rPr>
                <w:rFonts w:hint="eastAsia" w:ascii="宋体" w:hAnsi="宋体" w:eastAsia="宋体" w:cs="宋体"/>
                <w:sz w:val="21"/>
              </w:rPr>
            </w:pPr>
            <w:r>
              <w:rPr>
                <w:rFonts w:hint="eastAsia" w:ascii="宋体" w:hAnsi="宋体" w:eastAsia="宋体" w:cs="宋体"/>
                <w:sz w:val="21"/>
              </w:rPr>
              <w:t>（0-</w:t>
            </w:r>
            <w:r>
              <w:rPr>
                <w:rFonts w:hint="eastAsia" w:ascii="宋体" w:hAnsi="宋体" w:eastAsia="宋体" w:cs="宋体"/>
                <w:sz w:val="21"/>
                <w:lang w:val="en-US" w:eastAsia="zh-CN"/>
              </w:rPr>
              <w:t>10</w:t>
            </w:r>
            <w:r>
              <w:rPr>
                <w:rFonts w:hint="eastAsia" w:ascii="宋体" w:hAnsi="宋体" w:eastAsia="宋体" w:cs="宋体"/>
                <w:sz w:val="21"/>
              </w:rPr>
              <w:t>分）</w:t>
            </w:r>
          </w:p>
        </w:tc>
        <w:tc>
          <w:tcPr>
            <w:tcW w:w="7481" w:type="dxa"/>
            <w:tcBorders>
              <w:top w:val="single" w:color="000000" w:sz="4" w:space="0"/>
              <w:left w:val="single" w:color="000000" w:sz="4" w:space="0"/>
            </w:tcBorders>
          </w:tcPr>
          <w:p w14:paraId="3858BE32">
            <w:pPr>
              <w:pStyle w:val="18"/>
              <w:spacing w:before="114" w:line="321" w:lineRule="auto"/>
              <w:ind w:right="77" w:firstLine="196" w:firstLineChars="100"/>
              <w:jc w:val="both"/>
              <w:rPr>
                <w:rFonts w:hint="eastAsia" w:ascii="宋体" w:hAnsi="宋体" w:eastAsia="宋体" w:cs="宋体"/>
                <w:spacing w:val="-7"/>
                <w:sz w:val="21"/>
              </w:rPr>
            </w:pPr>
            <w:r>
              <w:rPr>
                <w:rFonts w:hint="eastAsia" w:ascii="宋体" w:hAnsi="宋体" w:eastAsia="宋体" w:cs="宋体"/>
                <w:spacing w:val="-7"/>
                <w:sz w:val="21"/>
              </w:rPr>
              <w:t>根据本项目特点及分析，制定项目实施方案，包括①机械设备和工具投入方案；②进度计划及保障措施；③质量保障措施；④维修方案；以上方案内容完整得</w:t>
            </w:r>
            <w:r>
              <w:rPr>
                <w:rFonts w:hint="eastAsia" w:cs="宋体"/>
                <w:spacing w:val="-7"/>
                <w:sz w:val="21"/>
                <w:lang w:val="en-US" w:eastAsia="zh-CN"/>
              </w:rPr>
              <w:t>10</w:t>
            </w:r>
            <w:r>
              <w:rPr>
                <w:rFonts w:hint="eastAsia" w:ascii="宋体" w:hAnsi="宋体" w:eastAsia="宋体" w:cs="宋体"/>
                <w:spacing w:val="-7"/>
                <w:sz w:val="21"/>
              </w:rPr>
              <w:t xml:space="preserve">分，每缺少一项内容扣 </w:t>
            </w:r>
            <w:r>
              <w:rPr>
                <w:rFonts w:hint="eastAsia" w:cs="宋体"/>
                <w:spacing w:val="-7"/>
                <w:sz w:val="21"/>
                <w:lang w:val="en-US" w:eastAsia="zh-CN"/>
              </w:rPr>
              <w:t>2.5</w:t>
            </w:r>
            <w:r>
              <w:rPr>
                <w:rFonts w:hint="eastAsia" w:ascii="宋体" w:hAnsi="宋体" w:eastAsia="宋体" w:cs="宋体"/>
                <w:spacing w:val="-7"/>
                <w:sz w:val="21"/>
              </w:rPr>
              <w:t>分，内容每存在</w:t>
            </w:r>
            <w:r>
              <w:rPr>
                <w:rFonts w:hint="eastAsia" w:cs="宋体"/>
                <w:spacing w:val="-7"/>
                <w:sz w:val="21"/>
                <w:lang w:val="en-US" w:eastAsia="zh-CN"/>
              </w:rPr>
              <w:t>一</w:t>
            </w:r>
            <w:r>
              <w:rPr>
                <w:rFonts w:hint="eastAsia" w:ascii="宋体" w:hAnsi="宋体" w:eastAsia="宋体" w:cs="宋体"/>
                <w:spacing w:val="-7"/>
                <w:sz w:val="21"/>
              </w:rPr>
              <w:t>处缺陷扣 1 分</w:t>
            </w:r>
            <w:r>
              <w:rPr>
                <w:rFonts w:hint="eastAsia" w:cs="宋体"/>
                <w:spacing w:val="-7"/>
                <w:sz w:val="21"/>
                <w:lang w:eastAsia="zh-CN"/>
              </w:rPr>
              <w:t>，</w:t>
            </w:r>
            <w:r>
              <w:rPr>
                <w:rFonts w:hint="eastAsia" w:cs="宋体"/>
                <w:spacing w:val="-7"/>
                <w:sz w:val="21"/>
                <w:lang w:val="en-US" w:eastAsia="zh-CN"/>
              </w:rPr>
              <w:t>扣完为止</w:t>
            </w:r>
            <w:r>
              <w:rPr>
                <w:rFonts w:hint="eastAsia" w:ascii="宋体" w:hAnsi="宋体" w:eastAsia="宋体" w:cs="宋体"/>
                <w:spacing w:val="-7"/>
                <w:sz w:val="21"/>
              </w:rPr>
              <w:t>。</w:t>
            </w:r>
          </w:p>
          <w:p w14:paraId="025175A9">
            <w:pPr>
              <w:pStyle w:val="18"/>
              <w:spacing w:before="114" w:line="321" w:lineRule="auto"/>
              <w:ind w:left="116" w:right="77"/>
              <w:jc w:val="both"/>
              <w:rPr>
                <w:rFonts w:hint="eastAsia" w:ascii="宋体" w:hAnsi="宋体" w:eastAsia="宋体" w:cs="宋体"/>
                <w:spacing w:val="-7"/>
                <w:sz w:val="21"/>
              </w:rPr>
            </w:pPr>
            <w:r>
              <w:rPr>
                <w:rFonts w:hint="eastAsia" w:ascii="宋体" w:hAnsi="宋体" w:eastAsia="宋体" w:cs="宋体"/>
                <w:spacing w:val="-7"/>
                <w:sz w:val="21"/>
              </w:rPr>
              <w:t>（本项所称“缺陷”是指方案非专门针对本项目或不适用本项目特性、套用其他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 情形。）</w:t>
            </w:r>
          </w:p>
          <w:p w14:paraId="4E16ED68">
            <w:pPr>
              <w:pStyle w:val="18"/>
              <w:numPr>
                <w:ilvl w:val="0"/>
                <w:numId w:val="0"/>
              </w:numPr>
              <w:spacing w:before="17" w:line="360" w:lineRule="atLeast"/>
              <w:ind w:right="77" w:rightChars="0"/>
              <w:jc w:val="both"/>
              <w:rPr>
                <w:rFonts w:hint="eastAsia" w:ascii="宋体" w:hAnsi="宋体" w:eastAsia="宋体" w:cs="宋体"/>
                <w:spacing w:val="-12"/>
                <w:sz w:val="21"/>
              </w:rPr>
            </w:pPr>
          </w:p>
        </w:tc>
      </w:tr>
    </w:tbl>
    <w:p w14:paraId="7C527632">
      <w:pPr>
        <w:spacing w:after="0" w:line="360" w:lineRule="atLeast"/>
        <w:jc w:val="both"/>
        <w:rPr>
          <w:sz w:val="21"/>
        </w:rPr>
        <w:sectPr>
          <w:footerReference r:id="rId8" w:type="default"/>
          <w:pgSz w:w="11910" w:h="16840"/>
          <w:pgMar w:top="1200" w:right="900" w:bottom="940" w:left="960" w:header="0" w:footer="748" w:gutter="0"/>
          <w:pgNumType w:fmt="decimal"/>
          <w:cols w:space="720" w:num="1"/>
        </w:sectPr>
      </w:pPr>
    </w:p>
    <w:tbl>
      <w:tblPr>
        <w:tblStyle w:val="13"/>
        <w:tblW w:w="0" w:type="auto"/>
        <w:tblInd w:w="17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68"/>
        <w:gridCol w:w="1412"/>
        <w:gridCol w:w="7481"/>
      </w:tblGrid>
      <w:tr w14:paraId="09D41E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0" w:hRule="atLeast"/>
        </w:trPr>
        <w:tc>
          <w:tcPr>
            <w:tcW w:w="768" w:type="dxa"/>
            <w:vMerge w:val="restart"/>
            <w:tcBorders>
              <w:right w:val="single" w:color="000000" w:sz="4" w:space="0"/>
            </w:tcBorders>
          </w:tcPr>
          <w:p w14:paraId="529937A7">
            <w:pPr>
              <w:rPr>
                <w:color w:val="auto"/>
                <w:sz w:val="2"/>
                <w:szCs w:val="2"/>
              </w:rPr>
            </w:pPr>
          </w:p>
        </w:tc>
        <w:tc>
          <w:tcPr>
            <w:tcW w:w="1412" w:type="dxa"/>
            <w:tcBorders>
              <w:top w:val="single" w:color="000000" w:sz="4" w:space="0"/>
              <w:left w:val="single" w:color="000000" w:sz="4" w:space="0"/>
              <w:bottom w:val="single" w:color="000000" w:sz="4" w:space="0"/>
              <w:right w:val="single" w:color="000000" w:sz="4" w:space="0"/>
            </w:tcBorders>
          </w:tcPr>
          <w:p w14:paraId="0BA4D90A">
            <w:pPr>
              <w:pStyle w:val="18"/>
              <w:rPr>
                <w:b/>
                <w:color w:val="auto"/>
                <w:sz w:val="20"/>
              </w:rPr>
            </w:pPr>
          </w:p>
          <w:p w14:paraId="2612465F">
            <w:pPr>
              <w:pStyle w:val="18"/>
              <w:rPr>
                <w:b/>
                <w:color w:val="auto"/>
                <w:sz w:val="20"/>
              </w:rPr>
            </w:pPr>
          </w:p>
          <w:p w14:paraId="502BEBEB">
            <w:pPr>
              <w:pStyle w:val="18"/>
              <w:spacing w:before="3"/>
              <w:rPr>
                <w:b/>
                <w:color w:val="auto"/>
                <w:sz w:val="25"/>
              </w:rPr>
            </w:pPr>
          </w:p>
          <w:p w14:paraId="33D3F7FD">
            <w:pPr>
              <w:pStyle w:val="18"/>
              <w:spacing w:line="321" w:lineRule="auto"/>
              <w:ind w:left="117" w:right="-15" w:firstLine="72"/>
              <w:rPr>
                <w:color w:val="auto"/>
                <w:sz w:val="21"/>
              </w:rPr>
            </w:pPr>
            <w:r>
              <w:rPr>
                <w:color w:val="auto"/>
                <w:sz w:val="21"/>
              </w:rPr>
              <w:t xml:space="preserve">安全文明施工及管理方 </w:t>
            </w:r>
            <w:r>
              <w:rPr>
                <w:color w:val="auto"/>
                <w:spacing w:val="-10"/>
                <w:sz w:val="21"/>
              </w:rPr>
              <w:t>案</w:t>
            </w:r>
            <w:r>
              <w:rPr>
                <w:color w:val="auto"/>
                <w:sz w:val="21"/>
              </w:rPr>
              <w:t>（0-</w:t>
            </w:r>
            <w:r>
              <w:rPr>
                <w:rFonts w:hint="eastAsia"/>
                <w:color w:val="auto"/>
                <w:sz w:val="21"/>
                <w:lang w:val="en-US" w:eastAsia="zh-CN"/>
              </w:rPr>
              <w:t>5</w:t>
            </w:r>
            <w:r>
              <w:rPr>
                <w:color w:val="auto"/>
                <w:spacing w:val="-29"/>
                <w:sz w:val="21"/>
              </w:rPr>
              <w:t>分</w:t>
            </w:r>
            <w:r>
              <w:rPr>
                <w:color w:val="auto"/>
                <w:spacing w:val="-16"/>
                <w:sz w:val="21"/>
              </w:rPr>
              <w:t>）</w:t>
            </w:r>
          </w:p>
        </w:tc>
        <w:tc>
          <w:tcPr>
            <w:tcW w:w="7481" w:type="dxa"/>
            <w:tcBorders>
              <w:top w:val="single" w:color="000000" w:sz="4" w:space="0"/>
              <w:left w:val="single" w:color="000000" w:sz="4" w:space="0"/>
              <w:bottom w:val="single" w:color="000000" w:sz="4" w:space="0"/>
            </w:tcBorders>
          </w:tcPr>
          <w:p w14:paraId="39455B81">
            <w:pPr>
              <w:pStyle w:val="18"/>
              <w:numPr>
                <w:ilvl w:val="0"/>
                <w:numId w:val="0"/>
              </w:numPr>
              <w:spacing w:before="41" w:line="360" w:lineRule="atLeast"/>
              <w:ind w:right="79" w:rightChars="0" w:firstLine="210" w:firstLineChars="100"/>
              <w:jc w:val="both"/>
              <w:rPr>
                <w:rFonts w:ascii="宋体" w:hAnsi="宋体" w:eastAsia="宋体" w:cs="宋体"/>
                <w:color w:val="auto"/>
                <w:sz w:val="21"/>
              </w:rPr>
            </w:pPr>
            <w:r>
              <w:rPr>
                <w:rFonts w:ascii="宋体" w:hAnsi="宋体" w:eastAsia="宋体" w:cs="宋体"/>
                <w:color w:val="auto"/>
                <w:sz w:val="21"/>
              </w:rPr>
              <w:t>安全文明施工及管理方案包括①岗前安全培训；②安全施工管理制度；③安全作业保障措施；④文明施工措施；⑤</w:t>
            </w:r>
            <w:r>
              <w:rPr>
                <w:rFonts w:hint="eastAsia" w:ascii="宋体" w:hAnsi="宋体" w:eastAsia="宋体" w:cs="宋体"/>
                <w:color w:val="auto"/>
                <w:sz w:val="21"/>
                <w:lang w:eastAsia="zh-CN"/>
              </w:rPr>
              <w:t>施工中的</w:t>
            </w:r>
            <w:r>
              <w:rPr>
                <w:rFonts w:ascii="宋体" w:hAnsi="宋体" w:eastAsia="宋体" w:cs="宋体"/>
                <w:color w:val="auto"/>
                <w:sz w:val="21"/>
              </w:rPr>
              <w:t>环境保护措施等。以上方案内容完整得</w:t>
            </w:r>
            <w:r>
              <w:rPr>
                <w:rFonts w:hint="eastAsia" w:cs="宋体"/>
                <w:color w:val="auto"/>
                <w:sz w:val="21"/>
                <w:lang w:val="en-US" w:eastAsia="zh-CN"/>
              </w:rPr>
              <w:t>5</w:t>
            </w:r>
            <w:r>
              <w:rPr>
                <w:rFonts w:ascii="宋体" w:hAnsi="宋体" w:eastAsia="宋体" w:cs="宋体"/>
                <w:color w:val="auto"/>
                <w:sz w:val="21"/>
              </w:rPr>
              <w:t>分，每缺少一项内容扣</w:t>
            </w:r>
            <w:r>
              <w:rPr>
                <w:rFonts w:hint="eastAsia" w:cs="宋体"/>
                <w:color w:val="auto"/>
                <w:sz w:val="21"/>
                <w:lang w:val="en-US" w:eastAsia="zh-CN"/>
              </w:rPr>
              <w:t>1</w:t>
            </w:r>
            <w:r>
              <w:rPr>
                <w:rFonts w:ascii="宋体" w:hAnsi="宋体" w:eastAsia="宋体" w:cs="宋体"/>
                <w:color w:val="auto"/>
                <w:sz w:val="21"/>
              </w:rPr>
              <w:t>分，</w:t>
            </w:r>
            <w:r>
              <w:rPr>
                <w:rFonts w:hint="eastAsia" w:ascii="宋体" w:hAnsi="宋体" w:eastAsia="宋体" w:cs="宋体"/>
                <w:color w:val="auto"/>
                <w:spacing w:val="-7"/>
                <w:sz w:val="21"/>
              </w:rPr>
              <w:t>每存在</w:t>
            </w:r>
            <w:r>
              <w:rPr>
                <w:rFonts w:hint="eastAsia" w:cs="宋体"/>
                <w:color w:val="auto"/>
                <w:spacing w:val="-7"/>
                <w:sz w:val="21"/>
                <w:lang w:val="en-US" w:eastAsia="zh-CN"/>
              </w:rPr>
              <w:t>一</w:t>
            </w:r>
            <w:r>
              <w:rPr>
                <w:rFonts w:hint="eastAsia" w:ascii="宋体" w:hAnsi="宋体" w:eastAsia="宋体" w:cs="宋体"/>
                <w:color w:val="auto"/>
                <w:spacing w:val="-7"/>
                <w:sz w:val="21"/>
              </w:rPr>
              <w:t xml:space="preserve">处缺陷扣 </w:t>
            </w:r>
            <w:r>
              <w:rPr>
                <w:rFonts w:hint="eastAsia" w:cs="宋体"/>
                <w:color w:val="auto"/>
                <w:spacing w:val="-7"/>
                <w:sz w:val="21"/>
                <w:lang w:val="en-US" w:eastAsia="zh-CN"/>
              </w:rPr>
              <w:t>0.5</w:t>
            </w:r>
            <w:r>
              <w:rPr>
                <w:rFonts w:hint="eastAsia" w:ascii="宋体" w:hAnsi="宋体" w:eastAsia="宋体" w:cs="宋体"/>
                <w:color w:val="auto"/>
                <w:spacing w:val="-7"/>
                <w:sz w:val="21"/>
              </w:rPr>
              <w:t>分</w:t>
            </w:r>
            <w:r>
              <w:rPr>
                <w:rFonts w:hint="eastAsia" w:cs="宋体"/>
                <w:color w:val="auto"/>
                <w:spacing w:val="-7"/>
                <w:sz w:val="21"/>
                <w:lang w:eastAsia="zh-CN"/>
              </w:rPr>
              <w:t>，</w:t>
            </w:r>
            <w:r>
              <w:rPr>
                <w:rFonts w:ascii="宋体" w:hAnsi="宋体" w:eastAsia="宋体" w:cs="宋体"/>
                <w:color w:val="auto"/>
                <w:sz w:val="21"/>
              </w:rPr>
              <w:t>扣完为止。</w:t>
            </w:r>
          </w:p>
          <w:p w14:paraId="7A658441">
            <w:pPr>
              <w:pStyle w:val="18"/>
              <w:numPr>
                <w:ilvl w:val="0"/>
                <w:numId w:val="0"/>
              </w:numPr>
              <w:spacing w:before="41" w:line="360" w:lineRule="atLeast"/>
              <w:ind w:right="79" w:rightChars="0"/>
              <w:jc w:val="both"/>
              <w:rPr>
                <w:rFonts w:ascii="宋体" w:hAnsi="宋体" w:eastAsia="宋体" w:cs="宋体"/>
                <w:color w:val="auto"/>
                <w:sz w:val="21"/>
              </w:rPr>
            </w:pPr>
            <w:r>
              <w:rPr>
                <w:rFonts w:ascii="宋体" w:hAnsi="宋体" w:eastAsia="宋体" w:cs="宋体"/>
                <w:color w:val="auto"/>
                <w:spacing w:val="-9"/>
                <w:sz w:val="21"/>
              </w:rPr>
              <w:t>（本项所称“缺陷”是指方案非专门针对本项目或不适用本项目特性、套用其他项目内容、对同一问题前后表述矛盾、存在逻辑漏洞、标准引用错误、科学原理或常识错误、不利于本项目目标的实现、现有技术条件下不可能出现的情形等任意一种情形）。</w:t>
            </w:r>
          </w:p>
        </w:tc>
      </w:tr>
      <w:tr w14:paraId="518268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66" w:hRule="atLeast"/>
        </w:trPr>
        <w:tc>
          <w:tcPr>
            <w:tcW w:w="768" w:type="dxa"/>
            <w:vMerge w:val="continue"/>
            <w:tcBorders>
              <w:right w:val="single" w:color="000000" w:sz="4" w:space="0"/>
            </w:tcBorders>
          </w:tcPr>
          <w:p w14:paraId="3CA402FA">
            <w:pPr>
              <w:rPr>
                <w:sz w:val="2"/>
                <w:szCs w:val="2"/>
              </w:rPr>
            </w:pPr>
          </w:p>
        </w:tc>
        <w:tc>
          <w:tcPr>
            <w:tcW w:w="1412" w:type="dxa"/>
            <w:tcBorders>
              <w:top w:val="single" w:color="000000" w:sz="4" w:space="0"/>
              <w:left w:val="single" w:color="000000" w:sz="4" w:space="0"/>
              <w:bottom w:val="single" w:color="000000" w:sz="4" w:space="0"/>
              <w:right w:val="single" w:color="000000" w:sz="4" w:space="0"/>
            </w:tcBorders>
            <w:vAlign w:val="center"/>
          </w:tcPr>
          <w:p w14:paraId="7AB53962">
            <w:pPr>
              <w:pStyle w:val="18"/>
              <w:spacing w:line="267" w:lineRule="exact"/>
              <w:jc w:val="center"/>
              <w:rPr>
                <w:rFonts w:hint="eastAsia" w:eastAsia="宋体"/>
                <w:sz w:val="21"/>
                <w:lang w:eastAsia="zh-CN"/>
              </w:rPr>
            </w:pPr>
            <w:r>
              <w:rPr>
                <w:spacing w:val="-2"/>
              </w:rPr>
              <w:t>机械设备投</w:t>
            </w:r>
            <w:r>
              <w:t>入</w:t>
            </w:r>
            <w:r>
              <w:rPr>
                <w:rFonts w:hint="eastAsia"/>
                <w:sz w:val="21"/>
                <w:lang w:eastAsia="zh-CN"/>
              </w:rPr>
              <w:t>（</w:t>
            </w:r>
            <w:r>
              <w:rPr>
                <w:rFonts w:hint="eastAsia"/>
                <w:sz w:val="21"/>
                <w:lang w:val="en-US" w:eastAsia="zh-CN"/>
              </w:rPr>
              <w:t>0-3分</w:t>
            </w:r>
            <w:r>
              <w:rPr>
                <w:rFonts w:hint="eastAsia"/>
                <w:sz w:val="21"/>
                <w:lang w:eastAsia="zh-CN"/>
              </w:rPr>
              <w:t>）</w:t>
            </w:r>
          </w:p>
        </w:tc>
        <w:tc>
          <w:tcPr>
            <w:tcW w:w="7481" w:type="dxa"/>
            <w:tcBorders>
              <w:top w:val="single" w:color="000000" w:sz="4" w:space="0"/>
              <w:left w:val="single" w:color="000000" w:sz="4" w:space="0"/>
              <w:bottom w:val="single" w:color="000000" w:sz="4" w:space="0"/>
            </w:tcBorders>
          </w:tcPr>
          <w:p w14:paraId="3E8269F5">
            <w:pPr>
              <w:pStyle w:val="18"/>
              <w:spacing w:before="72" w:line="360" w:lineRule="atLeast"/>
              <w:ind w:left="116" w:right="-15"/>
              <w:jc w:val="both"/>
              <w:rPr>
                <w:spacing w:val="-4"/>
                <w:sz w:val="21"/>
              </w:rPr>
            </w:pPr>
            <w:r>
              <w:rPr>
                <w:spacing w:val="-4"/>
                <w:sz w:val="21"/>
              </w:rPr>
              <w:t>1、机械设备投入情况说明；</w:t>
            </w:r>
          </w:p>
          <w:p w14:paraId="71329E7C">
            <w:pPr>
              <w:pStyle w:val="18"/>
              <w:spacing w:before="72" w:line="360" w:lineRule="atLeast"/>
              <w:ind w:left="116" w:right="-15"/>
              <w:jc w:val="both"/>
              <w:rPr>
                <w:spacing w:val="-4"/>
                <w:sz w:val="21"/>
              </w:rPr>
            </w:pPr>
            <w:r>
              <w:rPr>
                <w:spacing w:val="-4"/>
                <w:sz w:val="21"/>
              </w:rPr>
              <w:t>2、机械设备使用管理措施；</w:t>
            </w:r>
          </w:p>
          <w:p w14:paraId="412038FC">
            <w:pPr>
              <w:pStyle w:val="18"/>
              <w:spacing w:before="72" w:line="360" w:lineRule="atLeast"/>
              <w:ind w:left="116" w:right="-15"/>
              <w:jc w:val="both"/>
              <w:rPr>
                <w:spacing w:val="-4"/>
                <w:sz w:val="21"/>
              </w:rPr>
            </w:pPr>
            <w:r>
              <w:rPr>
                <w:spacing w:val="-4"/>
                <w:sz w:val="21"/>
              </w:rPr>
              <w:t>3、机械设备使用安全保障措施；</w:t>
            </w:r>
          </w:p>
          <w:p w14:paraId="293A287F">
            <w:pPr>
              <w:pStyle w:val="18"/>
              <w:spacing w:before="72" w:line="360" w:lineRule="atLeast"/>
              <w:ind w:left="116" w:right="-15"/>
              <w:jc w:val="both"/>
              <w:rPr>
                <w:spacing w:val="-4"/>
                <w:sz w:val="21"/>
              </w:rPr>
            </w:pPr>
            <w:r>
              <w:rPr>
                <w:spacing w:val="-4"/>
                <w:sz w:val="21"/>
              </w:rPr>
              <w:t>完全满足上述要求且符合本项目实际要求的得</w:t>
            </w:r>
            <w:r>
              <w:rPr>
                <w:rFonts w:hint="eastAsia"/>
                <w:spacing w:val="-4"/>
                <w:sz w:val="21"/>
                <w:lang w:val="en-US" w:eastAsia="zh-CN"/>
              </w:rPr>
              <w:t>3</w:t>
            </w:r>
            <w:r>
              <w:rPr>
                <w:spacing w:val="-4"/>
                <w:sz w:val="21"/>
              </w:rPr>
              <w:t>分。每缺少一项内容扣</w:t>
            </w:r>
            <w:r>
              <w:rPr>
                <w:rFonts w:hint="eastAsia"/>
                <w:spacing w:val="-4"/>
                <w:sz w:val="21"/>
                <w:lang w:val="en-US" w:eastAsia="zh-CN"/>
              </w:rPr>
              <w:t>1</w:t>
            </w:r>
            <w:r>
              <w:rPr>
                <w:spacing w:val="-4"/>
                <w:sz w:val="21"/>
              </w:rPr>
              <w:t>分；每有一项内容错误或不完整或不合理或不符合本项目实际情况的扣</w:t>
            </w:r>
            <w:r>
              <w:rPr>
                <w:rFonts w:hint="eastAsia"/>
                <w:spacing w:val="-4"/>
                <w:sz w:val="21"/>
                <w:lang w:val="en-US" w:eastAsia="zh-CN"/>
              </w:rPr>
              <w:t>0.5</w:t>
            </w:r>
            <w:r>
              <w:rPr>
                <w:spacing w:val="-4"/>
                <w:sz w:val="21"/>
              </w:rPr>
              <w:t>分，扣完为止。</w:t>
            </w:r>
          </w:p>
        </w:tc>
      </w:tr>
      <w:tr w14:paraId="190E8F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50" w:hRule="atLeast"/>
        </w:trPr>
        <w:tc>
          <w:tcPr>
            <w:tcW w:w="768" w:type="dxa"/>
            <w:vMerge w:val="continue"/>
            <w:tcBorders>
              <w:right w:val="single" w:color="000000" w:sz="4" w:space="0"/>
            </w:tcBorders>
          </w:tcPr>
          <w:p w14:paraId="71568D1A">
            <w:pPr>
              <w:rPr>
                <w:sz w:val="2"/>
                <w:szCs w:val="2"/>
              </w:rPr>
            </w:pPr>
          </w:p>
        </w:tc>
        <w:tc>
          <w:tcPr>
            <w:tcW w:w="1412" w:type="dxa"/>
            <w:tcBorders>
              <w:top w:val="single" w:color="000000" w:sz="4" w:space="0"/>
              <w:left w:val="single" w:color="000000" w:sz="4" w:space="0"/>
              <w:bottom w:val="single" w:color="000000" w:sz="4" w:space="0"/>
              <w:right w:val="single" w:color="000000" w:sz="4" w:space="0"/>
            </w:tcBorders>
          </w:tcPr>
          <w:p w14:paraId="3685710A">
            <w:pPr>
              <w:pStyle w:val="18"/>
              <w:rPr>
                <w:b/>
                <w:sz w:val="20"/>
              </w:rPr>
            </w:pPr>
          </w:p>
          <w:p w14:paraId="39D949CF">
            <w:pPr>
              <w:pStyle w:val="18"/>
              <w:rPr>
                <w:b/>
                <w:sz w:val="20"/>
              </w:rPr>
            </w:pPr>
          </w:p>
          <w:p w14:paraId="6838C00C">
            <w:pPr>
              <w:pStyle w:val="18"/>
              <w:spacing w:before="12"/>
              <w:rPr>
                <w:b/>
                <w:sz w:val="28"/>
              </w:rPr>
            </w:pPr>
          </w:p>
          <w:p w14:paraId="33807DD1">
            <w:pPr>
              <w:pStyle w:val="18"/>
              <w:spacing w:line="321" w:lineRule="auto"/>
              <w:ind w:left="189" w:right="161"/>
              <w:jc w:val="both"/>
              <w:rPr>
                <w:sz w:val="21"/>
              </w:rPr>
            </w:pPr>
            <w:r>
              <w:rPr>
                <w:spacing w:val="-3"/>
                <w:sz w:val="21"/>
              </w:rPr>
              <w:t>重点难点分析及应急处</w:t>
            </w:r>
            <w:r>
              <w:rPr>
                <w:spacing w:val="-3"/>
                <w:w w:val="95"/>
                <w:sz w:val="21"/>
              </w:rPr>
              <w:t>理措施方案</w:t>
            </w:r>
          </w:p>
          <w:p w14:paraId="35E03771">
            <w:pPr>
              <w:pStyle w:val="18"/>
              <w:spacing w:line="267" w:lineRule="exact"/>
              <w:ind w:left="215"/>
              <w:jc w:val="both"/>
              <w:rPr>
                <w:sz w:val="21"/>
              </w:rPr>
            </w:pPr>
            <w:r>
              <w:rPr>
                <w:sz w:val="21"/>
              </w:rPr>
              <w:t>（0-</w:t>
            </w:r>
            <w:r>
              <w:rPr>
                <w:rFonts w:hint="eastAsia"/>
                <w:sz w:val="21"/>
                <w:lang w:val="en-US" w:eastAsia="zh-CN"/>
              </w:rPr>
              <w:t>4</w:t>
            </w:r>
            <w:r>
              <w:rPr>
                <w:spacing w:val="-28"/>
                <w:sz w:val="21"/>
              </w:rPr>
              <w:t>分</w:t>
            </w:r>
            <w:r>
              <w:rPr>
                <w:sz w:val="21"/>
              </w:rPr>
              <w:t>）</w:t>
            </w:r>
          </w:p>
        </w:tc>
        <w:tc>
          <w:tcPr>
            <w:tcW w:w="7481" w:type="dxa"/>
            <w:tcBorders>
              <w:top w:val="single" w:color="000000" w:sz="4" w:space="0"/>
              <w:left w:val="single" w:color="000000" w:sz="4" w:space="0"/>
              <w:bottom w:val="single" w:color="000000" w:sz="4" w:space="0"/>
            </w:tcBorders>
          </w:tcPr>
          <w:p w14:paraId="491EF1A1">
            <w:pPr>
              <w:pStyle w:val="18"/>
              <w:spacing w:before="72" w:line="360" w:lineRule="atLeast"/>
              <w:ind w:left="116" w:right="-15" w:firstLine="202" w:firstLineChars="100"/>
              <w:rPr>
                <w:sz w:val="21"/>
              </w:rPr>
            </w:pPr>
            <w:r>
              <w:rPr>
                <w:spacing w:val="-4"/>
                <w:sz w:val="21"/>
              </w:rPr>
              <w:t>结合本项目特点进行重点难点分析并提供相应解决方案，同时对本项目实施过程中</w:t>
            </w:r>
            <w:r>
              <w:rPr>
                <w:rFonts w:hint="eastAsia"/>
                <w:spacing w:val="-4"/>
                <w:sz w:val="21"/>
                <w:lang w:val="en-US" w:eastAsia="zh-CN"/>
              </w:rPr>
              <w:t>出现</w:t>
            </w:r>
            <w:r>
              <w:rPr>
                <w:spacing w:val="-4"/>
                <w:sz w:val="21"/>
              </w:rPr>
              <w:t>突发恶劣天气、机械设备故障、公共卫生安全事件</w:t>
            </w:r>
            <w:r>
              <w:rPr>
                <w:rFonts w:hint="eastAsia"/>
                <w:spacing w:val="-4"/>
                <w:sz w:val="21"/>
                <w:lang w:val="en-US" w:eastAsia="zh-CN"/>
              </w:rPr>
              <w:t>三种</w:t>
            </w:r>
            <w:r>
              <w:rPr>
                <w:spacing w:val="-4"/>
                <w:sz w:val="21"/>
              </w:rPr>
              <w:t>情况提出应急处理措施。</w:t>
            </w:r>
            <w:r>
              <w:rPr>
                <w:spacing w:val="-12"/>
                <w:sz w:val="21"/>
              </w:rPr>
              <w:t xml:space="preserve">方案内容完善、针对性强，措施建议合理可行的，得 </w:t>
            </w:r>
            <w:r>
              <w:rPr>
                <w:rFonts w:hint="eastAsia"/>
                <w:sz w:val="21"/>
                <w:lang w:val="en-US" w:eastAsia="zh-CN"/>
              </w:rPr>
              <w:t>4</w:t>
            </w:r>
            <w:r>
              <w:rPr>
                <w:spacing w:val="-17"/>
                <w:sz w:val="21"/>
              </w:rPr>
              <w:t xml:space="preserve"> 分；每缺少一项内容扣</w:t>
            </w:r>
            <w:r>
              <w:rPr>
                <w:rFonts w:hint="eastAsia"/>
                <w:spacing w:val="-17"/>
                <w:sz w:val="21"/>
                <w:lang w:val="en-US" w:eastAsia="zh-CN"/>
              </w:rPr>
              <w:t>1</w:t>
            </w:r>
            <w:r>
              <w:rPr>
                <w:spacing w:val="-17"/>
                <w:sz w:val="21"/>
              </w:rPr>
              <w:t>分，</w:t>
            </w:r>
            <w:r>
              <w:rPr>
                <w:rFonts w:hint="eastAsia"/>
                <w:spacing w:val="-17"/>
                <w:sz w:val="21"/>
              </w:rPr>
              <w:t>每存在</w:t>
            </w:r>
            <w:r>
              <w:rPr>
                <w:rFonts w:hint="eastAsia"/>
                <w:spacing w:val="-17"/>
                <w:sz w:val="21"/>
                <w:lang w:val="en-US" w:eastAsia="zh-CN"/>
              </w:rPr>
              <w:t>一</w:t>
            </w:r>
            <w:r>
              <w:rPr>
                <w:rFonts w:hint="eastAsia"/>
                <w:spacing w:val="-17"/>
                <w:sz w:val="21"/>
              </w:rPr>
              <w:t xml:space="preserve">处缺陷扣 </w:t>
            </w:r>
            <w:r>
              <w:rPr>
                <w:rFonts w:hint="eastAsia"/>
                <w:spacing w:val="-17"/>
                <w:sz w:val="21"/>
                <w:lang w:val="en-US" w:eastAsia="zh-CN"/>
              </w:rPr>
              <w:t xml:space="preserve">0.5 </w:t>
            </w:r>
            <w:r>
              <w:rPr>
                <w:rFonts w:hint="eastAsia"/>
                <w:spacing w:val="-17"/>
                <w:sz w:val="21"/>
              </w:rPr>
              <w:t>分</w:t>
            </w:r>
            <w:r>
              <w:rPr>
                <w:spacing w:val="-20"/>
                <w:sz w:val="21"/>
              </w:rPr>
              <w:t>，</w:t>
            </w:r>
            <w:r>
              <w:rPr>
                <w:spacing w:val="-11"/>
                <w:sz w:val="21"/>
              </w:rPr>
              <w:t>扣完为止。</w:t>
            </w:r>
            <w:r>
              <w:rPr>
                <w:sz w:val="21"/>
              </w:rPr>
              <w:t>（</w:t>
            </w:r>
            <w:r>
              <w:rPr>
                <w:spacing w:val="-2"/>
                <w:sz w:val="21"/>
              </w:rPr>
              <w:t>本项所称“缺陷”是指非专门针对本项目或不适用本</w:t>
            </w:r>
            <w:r>
              <w:rPr>
                <w:spacing w:val="-9"/>
                <w:sz w:val="21"/>
              </w:rPr>
              <w:t>项目特性、套用其他项目内容；存在理解偏差、凭空编造、没有具体说明、内容</w:t>
            </w:r>
            <w:r>
              <w:rPr>
                <w:spacing w:val="-12"/>
                <w:sz w:val="21"/>
              </w:rPr>
              <w:t>与项目无关、内容前后不一致、前后逻辑错误、逻辑漏洞、涉及的规范及标准错</w:t>
            </w:r>
            <w:r>
              <w:rPr>
                <w:spacing w:val="-10"/>
                <w:sz w:val="21"/>
              </w:rPr>
              <w:t>误、地点区域错误、内容缺失、描述不符合国家相关法律法规、政策文件、规范标准要求；不利于本项目目标的实现的夸大情形等情况。）</w:t>
            </w:r>
          </w:p>
        </w:tc>
      </w:tr>
      <w:tr w14:paraId="464C5E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05" w:hRule="atLeast"/>
        </w:trPr>
        <w:tc>
          <w:tcPr>
            <w:tcW w:w="768" w:type="dxa"/>
            <w:vMerge w:val="continue"/>
            <w:tcBorders>
              <w:right w:val="single" w:color="000000" w:sz="4" w:space="0"/>
            </w:tcBorders>
          </w:tcPr>
          <w:p w14:paraId="32399831">
            <w:pPr>
              <w:rPr>
                <w:sz w:val="2"/>
                <w:szCs w:val="2"/>
              </w:rPr>
            </w:pPr>
          </w:p>
        </w:tc>
        <w:tc>
          <w:tcPr>
            <w:tcW w:w="1412" w:type="dxa"/>
            <w:tcBorders>
              <w:top w:val="single" w:color="000000" w:sz="4" w:space="0"/>
              <w:left w:val="single" w:color="000000" w:sz="4" w:space="0"/>
              <w:bottom w:val="single" w:color="000000" w:sz="4" w:space="0"/>
              <w:right w:val="single" w:color="000000" w:sz="4" w:space="0"/>
            </w:tcBorders>
          </w:tcPr>
          <w:p w14:paraId="628960DF">
            <w:pPr>
              <w:pStyle w:val="18"/>
              <w:rPr>
                <w:b/>
                <w:sz w:val="20"/>
              </w:rPr>
            </w:pPr>
          </w:p>
          <w:p w14:paraId="3E56BE22">
            <w:pPr>
              <w:pStyle w:val="18"/>
              <w:rPr>
                <w:b/>
                <w:sz w:val="20"/>
              </w:rPr>
            </w:pPr>
          </w:p>
          <w:p w14:paraId="02589750">
            <w:pPr>
              <w:pStyle w:val="18"/>
              <w:spacing w:before="6"/>
              <w:rPr>
                <w:b/>
                <w:sz w:val="29"/>
              </w:rPr>
            </w:pPr>
          </w:p>
          <w:p w14:paraId="0119A81B">
            <w:pPr>
              <w:pStyle w:val="18"/>
              <w:spacing w:line="321" w:lineRule="auto"/>
              <w:ind w:left="400" w:right="161" w:hanging="212"/>
              <w:rPr>
                <w:sz w:val="21"/>
              </w:rPr>
            </w:pPr>
            <w:r>
              <w:rPr>
                <w:sz w:val="21"/>
              </w:rPr>
              <w:t>响应时间承诺</w:t>
            </w:r>
          </w:p>
          <w:p w14:paraId="25F0C41B">
            <w:pPr>
              <w:pStyle w:val="18"/>
              <w:spacing w:line="268" w:lineRule="exact"/>
              <w:ind w:left="215"/>
              <w:rPr>
                <w:sz w:val="21"/>
              </w:rPr>
            </w:pPr>
            <w:r>
              <w:rPr>
                <w:sz w:val="21"/>
              </w:rPr>
              <w:t>（0-</w:t>
            </w:r>
            <w:r>
              <w:rPr>
                <w:rFonts w:hint="eastAsia"/>
                <w:sz w:val="21"/>
                <w:lang w:val="en-US" w:eastAsia="zh-CN"/>
              </w:rPr>
              <w:t>6</w:t>
            </w:r>
            <w:r>
              <w:rPr>
                <w:sz w:val="21"/>
              </w:rPr>
              <w:t>分）</w:t>
            </w:r>
          </w:p>
        </w:tc>
        <w:tc>
          <w:tcPr>
            <w:tcW w:w="7481" w:type="dxa"/>
            <w:tcBorders>
              <w:top w:val="single" w:color="000000" w:sz="4" w:space="0"/>
              <w:left w:val="single" w:color="000000" w:sz="4" w:space="0"/>
              <w:bottom w:val="single" w:color="000000" w:sz="4" w:space="0"/>
            </w:tcBorders>
          </w:tcPr>
          <w:p w14:paraId="4E2AD320">
            <w:pPr>
              <w:pStyle w:val="18"/>
              <w:spacing w:before="171"/>
              <w:ind w:left="116" w:firstLine="196" w:firstLineChars="100"/>
              <w:rPr>
                <w:sz w:val="21"/>
              </w:rPr>
            </w:pPr>
            <w:r>
              <w:rPr>
                <w:spacing w:val="-7"/>
                <w:sz w:val="21"/>
              </w:rPr>
              <w:t xml:space="preserve">投标人承诺中标后在接到采购人通知后立即响应，在 </w:t>
            </w:r>
            <w:r>
              <w:rPr>
                <w:sz w:val="21"/>
              </w:rPr>
              <w:t>2</w:t>
            </w:r>
            <w:r>
              <w:rPr>
                <w:spacing w:val="-8"/>
                <w:sz w:val="21"/>
              </w:rPr>
              <w:t xml:space="preserve"> 小时内赶到现场解决问题</w:t>
            </w:r>
          </w:p>
          <w:p w14:paraId="6048633B">
            <w:pPr>
              <w:pStyle w:val="18"/>
              <w:spacing w:before="90"/>
              <w:ind w:left="116"/>
              <w:rPr>
                <w:sz w:val="21"/>
              </w:rPr>
            </w:pPr>
            <w:r>
              <w:rPr>
                <w:sz w:val="21"/>
              </w:rPr>
              <w:t xml:space="preserve">的，得 </w:t>
            </w:r>
            <w:r>
              <w:rPr>
                <w:rFonts w:hint="eastAsia"/>
                <w:sz w:val="21"/>
                <w:lang w:val="en-US" w:eastAsia="zh-CN"/>
              </w:rPr>
              <w:t>6</w:t>
            </w:r>
            <w:r>
              <w:rPr>
                <w:sz w:val="21"/>
              </w:rPr>
              <w:t>分；</w:t>
            </w:r>
          </w:p>
          <w:p w14:paraId="6C80EBB9">
            <w:pPr>
              <w:pStyle w:val="18"/>
              <w:spacing w:before="91"/>
              <w:ind w:left="116"/>
              <w:rPr>
                <w:sz w:val="21"/>
              </w:rPr>
            </w:pPr>
            <w:r>
              <w:rPr>
                <w:sz w:val="21"/>
              </w:rPr>
              <w:t>4</w:t>
            </w:r>
            <w:r>
              <w:rPr>
                <w:spacing w:val="-11"/>
                <w:sz w:val="21"/>
              </w:rPr>
              <w:t xml:space="preserve"> 小时内赶到现场解决问题的，得</w:t>
            </w:r>
            <w:r>
              <w:rPr>
                <w:rFonts w:hint="eastAsia"/>
                <w:spacing w:val="-11"/>
                <w:sz w:val="21"/>
                <w:lang w:val="en-US" w:eastAsia="zh-CN"/>
              </w:rPr>
              <w:t xml:space="preserve"> 4</w:t>
            </w:r>
            <w:r>
              <w:rPr>
                <w:spacing w:val="-20"/>
                <w:sz w:val="21"/>
              </w:rPr>
              <w:t xml:space="preserve"> 分；</w:t>
            </w:r>
          </w:p>
          <w:p w14:paraId="45295962">
            <w:pPr>
              <w:pStyle w:val="18"/>
              <w:spacing w:before="91"/>
              <w:ind w:left="116"/>
              <w:rPr>
                <w:sz w:val="21"/>
              </w:rPr>
            </w:pPr>
            <w:r>
              <w:rPr>
                <w:sz w:val="21"/>
              </w:rPr>
              <w:t>8</w:t>
            </w:r>
            <w:r>
              <w:rPr>
                <w:spacing w:val="-11"/>
                <w:sz w:val="21"/>
              </w:rPr>
              <w:t xml:space="preserve"> 小时内赶到现场解决问题的，得 </w:t>
            </w:r>
            <w:r>
              <w:rPr>
                <w:rFonts w:hint="eastAsia"/>
                <w:sz w:val="21"/>
                <w:lang w:val="en-US" w:eastAsia="zh-CN"/>
              </w:rPr>
              <w:t xml:space="preserve">2 </w:t>
            </w:r>
            <w:r>
              <w:rPr>
                <w:spacing w:val="-20"/>
                <w:sz w:val="21"/>
              </w:rPr>
              <w:t>分；</w:t>
            </w:r>
          </w:p>
          <w:p w14:paraId="4E2C0550">
            <w:pPr>
              <w:pStyle w:val="18"/>
              <w:spacing w:before="91"/>
              <w:ind w:left="116"/>
              <w:rPr>
                <w:sz w:val="21"/>
              </w:rPr>
            </w:pPr>
            <w:r>
              <w:rPr>
                <w:sz w:val="21"/>
              </w:rPr>
              <w:t>超过 8 小时不得分。</w:t>
            </w:r>
          </w:p>
          <w:p w14:paraId="7EF84ACB">
            <w:pPr>
              <w:pStyle w:val="18"/>
              <w:spacing w:line="360" w:lineRule="atLeast"/>
              <w:ind w:left="116" w:right="-29"/>
              <w:rPr>
                <w:sz w:val="21"/>
              </w:rPr>
            </w:pPr>
            <w:r>
              <w:rPr>
                <w:spacing w:val="-10"/>
                <w:sz w:val="21"/>
              </w:rPr>
              <w:t>注：须提供承诺书，承诺书中须包含明确的响应时间、服务响应人员的身份证复</w:t>
            </w:r>
            <w:r>
              <w:rPr>
                <w:spacing w:val="-18"/>
                <w:w w:val="95"/>
                <w:sz w:val="21"/>
              </w:rPr>
              <w:t>印件</w:t>
            </w:r>
            <w:r>
              <w:rPr>
                <w:spacing w:val="-10"/>
                <w:sz w:val="21"/>
              </w:rPr>
              <w:t>及联系方式等信息、有明确的违反承诺处罚办法，缺少以上任一内容不得分。</w:t>
            </w:r>
          </w:p>
        </w:tc>
      </w:tr>
      <w:tr w14:paraId="56EFD3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0" w:hRule="atLeast"/>
        </w:trPr>
        <w:tc>
          <w:tcPr>
            <w:tcW w:w="768" w:type="dxa"/>
            <w:vMerge w:val="continue"/>
            <w:tcBorders>
              <w:bottom w:val="single" w:color="000000" w:sz="4" w:space="0"/>
              <w:right w:val="single" w:color="000000" w:sz="4" w:space="0"/>
            </w:tcBorders>
          </w:tcPr>
          <w:p w14:paraId="30D693A8">
            <w:pPr>
              <w:rPr>
                <w:sz w:val="2"/>
                <w:szCs w:val="2"/>
              </w:rPr>
            </w:pPr>
          </w:p>
        </w:tc>
        <w:tc>
          <w:tcPr>
            <w:tcW w:w="1412" w:type="dxa"/>
            <w:tcBorders>
              <w:top w:val="single" w:color="000000" w:sz="4" w:space="0"/>
              <w:left w:val="single" w:color="000000" w:sz="4" w:space="0"/>
              <w:bottom w:val="single" w:color="000000" w:sz="4" w:space="0"/>
              <w:right w:val="single" w:color="000000" w:sz="4" w:space="0"/>
            </w:tcBorders>
          </w:tcPr>
          <w:p w14:paraId="5F4D4553">
            <w:pPr>
              <w:pStyle w:val="18"/>
              <w:spacing w:before="91"/>
              <w:ind w:left="215"/>
              <w:rPr>
                <w:rFonts w:hint="eastAsia"/>
              </w:rPr>
            </w:pPr>
          </w:p>
          <w:p w14:paraId="3BE95FC9">
            <w:pPr>
              <w:pStyle w:val="18"/>
              <w:spacing w:before="91"/>
              <w:ind w:left="215"/>
              <w:rPr>
                <w:sz w:val="21"/>
              </w:rPr>
            </w:pPr>
            <w:r>
              <w:rPr>
                <w:rFonts w:hint="eastAsia"/>
              </w:rPr>
              <w:t>工期提前承诺（</w:t>
            </w:r>
            <w:r>
              <w:rPr>
                <w:rFonts w:hint="eastAsia"/>
                <w:lang w:val="en-US" w:eastAsia="zh-CN"/>
              </w:rPr>
              <w:t>0-2</w:t>
            </w:r>
            <w:r>
              <w:rPr>
                <w:rFonts w:hint="eastAsia"/>
              </w:rPr>
              <w:t>分）</w:t>
            </w:r>
          </w:p>
        </w:tc>
        <w:tc>
          <w:tcPr>
            <w:tcW w:w="7481" w:type="dxa"/>
            <w:tcBorders>
              <w:top w:val="single" w:color="000000" w:sz="4" w:space="0"/>
              <w:left w:val="single" w:color="000000" w:sz="4" w:space="0"/>
              <w:bottom w:val="single" w:color="000000" w:sz="4" w:space="0"/>
            </w:tcBorders>
          </w:tcPr>
          <w:p w14:paraId="6ABC94B6">
            <w:pPr>
              <w:pStyle w:val="18"/>
              <w:spacing w:before="9" w:line="360" w:lineRule="atLeast"/>
              <w:ind w:left="116" w:right="79" w:firstLine="188" w:firstLineChars="100"/>
              <w:jc w:val="both"/>
              <w:rPr>
                <w:rFonts w:hint="eastAsia" w:ascii="宋体" w:hAnsi="宋体" w:eastAsia="宋体" w:cs="宋体"/>
                <w:spacing w:val="-11"/>
                <w:sz w:val="21"/>
                <w:lang w:eastAsia="zh-CN"/>
              </w:rPr>
            </w:pPr>
            <w:r>
              <w:rPr>
                <w:rFonts w:hint="eastAsia" w:ascii="宋体" w:hAnsi="宋体" w:eastAsia="宋体" w:cs="宋体"/>
                <w:spacing w:val="-11"/>
                <w:sz w:val="21"/>
              </w:rPr>
              <w:t>投标人书面承诺在合同约定总工期基础上，自愿提前5日历天完工，且承诺不因工期提前要求甲方增加任何费用、不申请工期顺延、不以此为由提出索赔的</w:t>
            </w:r>
            <w:r>
              <w:rPr>
                <w:rFonts w:hint="eastAsia" w:ascii="宋体" w:hAnsi="宋体" w:eastAsia="宋体" w:cs="宋体"/>
                <w:spacing w:val="-11"/>
                <w:sz w:val="21"/>
                <w:lang w:eastAsia="zh-CN"/>
              </w:rPr>
              <w:t>；</w:t>
            </w:r>
          </w:p>
          <w:p w14:paraId="5060D453">
            <w:pPr>
              <w:pStyle w:val="18"/>
              <w:spacing w:before="9" w:line="360" w:lineRule="atLeast"/>
              <w:ind w:left="116" w:right="79"/>
              <w:jc w:val="both"/>
              <w:rPr>
                <w:rFonts w:hint="eastAsia" w:ascii="宋体" w:hAnsi="宋体" w:eastAsia="宋体" w:cs="宋体"/>
                <w:spacing w:val="-11"/>
                <w:sz w:val="21"/>
              </w:rPr>
            </w:pPr>
            <w:r>
              <w:rPr>
                <w:rFonts w:hint="eastAsia" w:ascii="宋体" w:hAnsi="宋体" w:eastAsia="宋体" w:cs="宋体"/>
                <w:spacing w:val="-11"/>
                <w:sz w:val="21"/>
              </w:rPr>
              <w:t>满足上述完整承诺的，得2分；</w:t>
            </w:r>
          </w:p>
          <w:p w14:paraId="3834B0F0">
            <w:pPr>
              <w:pStyle w:val="18"/>
              <w:spacing w:before="9" w:line="360" w:lineRule="atLeast"/>
              <w:ind w:left="116" w:right="79"/>
              <w:jc w:val="both"/>
              <w:rPr>
                <w:rFonts w:ascii="宋体" w:hAnsi="宋体" w:eastAsia="宋体" w:cs="宋体"/>
                <w:spacing w:val="-11"/>
                <w:sz w:val="21"/>
              </w:rPr>
            </w:pPr>
            <w:r>
              <w:rPr>
                <w:rFonts w:hint="eastAsia" w:ascii="宋体" w:hAnsi="宋体" w:eastAsia="宋体" w:cs="宋体"/>
                <w:spacing w:val="-11"/>
                <w:sz w:val="21"/>
              </w:rPr>
              <w:t>未作出承诺、承诺提前天数不足5天、附带附加条件的，本项得0分。</w:t>
            </w:r>
          </w:p>
          <w:p w14:paraId="71704F43">
            <w:pPr>
              <w:pStyle w:val="18"/>
              <w:spacing w:before="9" w:line="360" w:lineRule="atLeast"/>
              <w:ind w:left="116" w:right="79"/>
              <w:jc w:val="both"/>
              <w:rPr>
                <w:rFonts w:hint="eastAsia" w:eastAsia="宋体"/>
                <w:spacing w:val="-4"/>
                <w:w w:val="95"/>
                <w:sz w:val="21"/>
                <w:lang w:eastAsia="zh-CN"/>
              </w:rPr>
            </w:pPr>
            <w:r>
              <w:rPr>
                <w:rFonts w:hint="eastAsia" w:ascii="宋体" w:hAnsi="宋体" w:eastAsia="宋体" w:cs="宋体"/>
                <w:spacing w:val="-11"/>
                <w:sz w:val="21"/>
                <w:lang w:eastAsia="zh-CN"/>
              </w:rPr>
              <w:t>备注：《工期提前完工承诺书》格式自拟，加盖公章才有效。</w:t>
            </w:r>
          </w:p>
        </w:tc>
      </w:tr>
      <w:tr w14:paraId="3F6D66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4" w:hRule="atLeast"/>
        </w:trPr>
        <w:tc>
          <w:tcPr>
            <w:tcW w:w="9661" w:type="dxa"/>
            <w:gridSpan w:val="3"/>
            <w:tcBorders>
              <w:top w:val="single" w:color="000000" w:sz="4" w:space="0"/>
            </w:tcBorders>
          </w:tcPr>
          <w:p w14:paraId="21D3BFBB">
            <w:pPr>
              <w:pStyle w:val="18"/>
              <w:spacing w:before="115" w:line="321" w:lineRule="auto"/>
              <w:ind w:left="107" w:right="79"/>
              <w:rPr>
                <w:b/>
                <w:sz w:val="21"/>
              </w:rPr>
            </w:pPr>
            <w:r>
              <w:rPr>
                <w:b/>
                <w:w w:val="95"/>
                <w:sz w:val="21"/>
              </w:rPr>
              <w:t>注：1、投标人商务、技术部分最终得分为评审专家此部分打分的算术平均值；评分分值计算保留小数</w:t>
            </w:r>
            <w:r>
              <w:rPr>
                <w:b/>
                <w:sz w:val="21"/>
              </w:rPr>
              <w:t>点后两位，小数点后三位“四舍五入”。</w:t>
            </w:r>
          </w:p>
          <w:p w14:paraId="71619E7F">
            <w:pPr>
              <w:pStyle w:val="18"/>
              <w:spacing w:line="268" w:lineRule="exact"/>
              <w:ind w:left="527"/>
              <w:rPr>
                <w:b/>
                <w:sz w:val="21"/>
              </w:rPr>
            </w:pPr>
            <w:r>
              <w:rPr>
                <w:b/>
                <w:sz w:val="21"/>
              </w:rPr>
              <w:t>2、投标人最终得分=价格部分得分+商务、技术部分得分。</w:t>
            </w:r>
          </w:p>
        </w:tc>
      </w:tr>
    </w:tbl>
    <w:p w14:paraId="53A7EAC0">
      <w:pPr>
        <w:rPr>
          <w:sz w:val="2"/>
          <w:szCs w:val="2"/>
        </w:rPr>
      </w:pPr>
    </w:p>
    <w:p w14:paraId="15156B2B">
      <w:pPr>
        <w:spacing w:after="0"/>
        <w:rPr>
          <w:sz w:val="2"/>
          <w:szCs w:val="2"/>
        </w:rPr>
        <w:sectPr>
          <w:pgSz w:w="11910" w:h="16840"/>
          <w:pgMar w:top="1240" w:right="900" w:bottom="940" w:left="960" w:header="0" w:footer="748" w:gutter="0"/>
          <w:pgNumType w:fmt="decimal"/>
          <w:cols w:space="720" w:num="1"/>
        </w:sectPr>
      </w:pPr>
    </w:p>
    <w:p w14:paraId="08689C67">
      <w:pPr>
        <w:spacing w:before="29"/>
        <w:ind w:left="270" w:right="328" w:firstLine="0"/>
        <w:jc w:val="center"/>
        <w:rPr>
          <w:b/>
          <w:sz w:val="43"/>
        </w:rPr>
      </w:pPr>
      <w:bookmarkStart w:id="33" w:name="_bookmark4"/>
      <w:bookmarkEnd w:id="33"/>
      <w:r>
        <w:rPr>
          <w:b/>
          <w:sz w:val="40"/>
        </w:rPr>
        <w:t>第四章 合同条款及格式</w:t>
      </w:r>
    </w:p>
    <w:p w14:paraId="2FDB141C">
      <w:pPr>
        <w:spacing w:after="0"/>
        <w:jc w:val="center"/>
        <w:rPr>
          <w:b/>
          <w:sz w:val="24"/>
        </w:rPr>
      </w:pPr>
      <w:r>
        <w:rPr>
          <w:b/>
          <w:spacing w:val="-1"/>
          <w:sz w:val="24"/>
        </w:rPr>
        <w:t>（</w:t>
      </w:r>
      <w:r>
        <w:rPr>
          <w:b/>
          <w:spacing w:val="-1"/>
          <w:sz w:val="22"/>
        </w:rPr>
        <w:t>本合同条款及格式仅供</w:t>
      </w:r>
      <w:r>
        <w:rPr>
          <w:b/>
          <w:sz w:val="22"/>
        </w:rPr>
        <w:t>参考，具体以采购人与中标人签订的合同为准</w:t>
      </w:r>
      <w:r>
        <w:rPr>
          <w:b/>
          <w:sz w:val="24"/>
        </w:rPr>
        <w:t>）</w:t>
      </w:r>
    </w:p>
    <w:p w14:paraId="3D3AAD30">
      <w:pPr>
        <w:pStyle w:val="19"/>
        <w:keepNext w:val="0"/>
        <w:keepLines w:val="0"/>
        <w:snapToGrid w:val="0"/>
        <w:spacing w:before="120" w:after="120" w:line="360" w:lineRule="auto"/>
        <w:outlineLvl w:val="1"/>
        <w:rPr>
          <w:rFonts w:hint="eastAsia" w:hAnsi="宋体" w:eastAsia="宋体"/>
          <w:b/>
          <w:bCs w:val="0"/>
          <w:sz w:val="28"/>
          <w:szCs w:val="28"/>
        </w:rPr>
      </w:pPr>
      <w:bookmarkStart w:id="34" w:name="_Toc5335"/>
      <w:bookmarkStart w:id="35" w:name="_Toc152042546"/>
      <w:bookmarkStart w:id="36" w:name="_Toc179632785"/>
      <w:bookmarkStart w:id="37" w:name="_Toc144974826"/>
      <w:bookmarkStart w:id="38" w:name="_Toc152045767"/>
      <w:r>
        <w:rPr>
          <w:rFonts w:hint="eastAsia" w:hAnsi="宋体" w:eastAsia="宋体"/>
          <w:b/>
          <w:bCs w:val="0"/>
          <w:sz w:val="28"/>
          <w:szCs w:val="28"/>
          <w:lang w:eastAsia="zh-CN"/>
        </w:rPr>
        <w:t>阿克苏某单位隔离网及立柱维修</w:t>
      </w:r>
      <w:r>
        <w:rPr>
          <w:rFonts w:hint="eastAsia" w:hAnsi="宋体" w:eastAsia="宋体"/>
          <w:b/>
          <w:bCs w:val="0"/>
          <w:sz w:val="28"/>
          <w:szCs w:val="28"/>
        </w:rPr>
        <w:t>合同</w:t>
      </w:r>
      <w:bookmarkEnd w:id="34"/>
    </w:p>
    <w:bookmarkEnd w:id="35"/>
    <w:bookmarkEnd w:id="36"/>
    <w:bookmarkEnd w:id="37"/>
    <w:bookmarkEnd w:id="38"/>
    <w:p w14:paraId="2F8430F9">
      <w:pPr>
        <w:spacing w:line="400" w:lineRule="exact"/>
        <w:rPr>
          <w:rFonts w:hint="eastAsia" w:ascii="仿宋_GB2312" w:hAnsi="仿宋_GB2312" w:eastAsia="仿宋_GB2312"/>
          <w:sz w:val="24"/>
        </w:rPr>
      </w:pPr>
      <w:r>
        <w:rPr>
          <w:rFonts w:hint="eastAsia" w:ascii="仿宋_GB2312" w:hAnsi="仿宋_GB2312" w:eastAsia="仿宋_GB2312"/>
          <w:sz w:val="24"/>
        </w:rPr>
        <w:t>发包人（全称）：</w:t>
      </w:r>
      <w:r>
        <w:rPr>
          <w:rFonts w:hint="eastAsia" w:ascii="仿宋_GB2312" w:hAnsi="仿宋_GB2312" w:eastAsia="仿宋_GB2312"/>
          <w:sz w:val="24"/>
          <w:u w:val="single"/>
        </w:rPr>
        <w:t xml:space="preserve">                             </w:t>
      </w:r>
    </w:p>
    <w:p w14:paraId="73D73551">
      <w:pPr>
        <w:tabs>
          <w:tab w:val="left" w:pos="6045"/>
        </w:tabs>
        <w:spacing w:line="400" w:lineRule="exact"/>
        <w:rPr>
          <w:rFonts w:ascii="仿宋_GB2312" w:hAnsi="仿宋_GB2312" w:eastAsia="仿宋_GB2312"/>
          <w:sz w:val="24"/>
          <w:u w:val="single"/>
        </w:rPr>
      </w:pPr>
      <w:r>
        <w:rPr>
          <w:rFonts w:hint="eastAsia" w:ascii="仿宋_GB2312" w:hAnsi="仿宋_GB2312" w:eastAsia="仿宋_GB2312"/>
          <w:sz w:val="24"/>
        </w:rPr>
        <w:t>承包人（全称）：</w:t>
      </w:r>
      <w:r>
        <w:rPr>
          <w:rFonts w:hint="eastAsia" w:ascii="仿宋_GB2312" w:hAnsi="仿宋_GB2312" w:eastAsia="仿宋_GB2312"/>
          <w:sz w:val="24"/>
          <w:u w:val="single"/>
        </w:rPr>
        <w:t xml:space="preserve"> </w:t>
      </w:r>
      <w:r>
        <w:rPr>
          <w:rFonts w:hint="eastAsia" w:ascii="仿宋_GB2312" w:hAnsi="仿宋_GB2312" w:eastAsia="仿宋_GB2312"/>
          <w:sz w:val="24"/>
          <w:u w:val="single"/>
          <w:lang w:eastAsia="zh-CN"/>
        </w:rPr>
        <w:t xml:space="preserve">                            </w:t>
      </w:r>
    </w:p>
    <w:p w14:paraId="2B911297">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根据《中华人民共和国民法典》、《中华人民共和国建筑法》及有关法律规定，遵循平等、自愿、公平和诚实信用的原则，双方就</w:t>
      </w:r>
      <w:r>
        <w:rPr>
          <w:rFonts w:hint="eastAsia" w:ascii="仿宋_GB2312" w:hAnsi="仿宋_GB2312" w:eastAsia="仿宋_GB2312"/>
          <w:sz w:val="24"/>
          <w:u w:val="single"/>
        </w:rPr>
        <w:t xml:space="preserve"> </w:t>
      </w:r>
      <w:r>
        <w:rPr>
          <w:rFonts w:hint="eastAsia" w:ascii="仿宋_GB2312" w:hAnsi="仿宋_GB2312" w:eastAsia="仿宋_GB2312"/>
          <w:b/>
          <w:bCs/>
          <w:sz w:val="24"/>
          <w:u w:val="single"/>
          <w:lang w:eastAsia="zh-CN"/>
        </w:rPr>
        <w:t>阿克苏某单位隔离网及立柱维修</w:t>
      </w:r>
      <w:r>
        <w:rPr>
          <w:rFonts w:hint="eastAsia" w:ascii="仿宋_GB2312" w:hAnsi="仿宋_GB2312" w:eastAsia="仿宋_GB2312"/>
          <w:sz w:val="24"/>
        </w:rPr>
        <w:t>施工及有关事项协商一致，共同达成如下协议：</w:t>
      </w:r>
    </w:p>
    <w:p w14:paraId="765B0AB6">
      <w:pPr>
        <w:spacing w:line="500" w:lineRule="exact"/>
        <w:ind w:firstLine="482" w:firstLineChars="200"/>
        <w:outlineLvl w:val="1"/>
        <w:rPr>
          <w:rFonts w:hint="eastAsia" w:ascii="仿宋_GB2312" w:hAnsi="仿宋_GB2312" w:eastAsia="仿宋_GB2312"/>
          <w:b/>
          <w:sz w:val="24"/>
        </w:rPr>
      </w:pPr>
      <w:bookmarkStart w:id="39" w:name="_Toc11090"/>
      <w:r>
        <w:rPr>
          <w:rFonts w:hint="eastAsia" w:ascii="仿宋_GB2312" w:hAnsi="仿宋_GB2312" w:eastAsia="仿宋_GB2312"/>
          <w:b/>
          <w:sz w:val="24"/>
        </w:rPr>
        <w:t>一、工程概况：</w:t>
      </w:r>
      <w:bookmarkEnd w:id="39"/>
    </w:p>
    <w:p w14:paraId="0C077646">
      <w:pPr>
        <w:spacing w:line="400" w:lineRule="exact"/>
        <w:ind w:firstLine="480" w:firstLineChars="200"/>
        <w:rPr>
          <w:rFonts w:hint="eastAsia" w:ascii="仿宋_GB2312" w:hAnsi="仿宋_GB2312" w:eastAsia="仿宋_GB2312"/>
          <w:sz w:val="24"/>
          <w:u w:val="single"/>
        </w:rPr>
      </w:pPr>
      <w:r>
        <w:rPr>
          <w:rFonts w:hint="eastAsia" w:ascii="仿宋_GB2312" w:hAnsi="仿宋_GB2312" w:eastAsia="仿宋_GB2312"/>
          <w:sz w:val="24"/>
        </w:rPr>
        <w:t>1.工程名称：</w:t>
      </w:r>
      <w:r>
        <w:rPr>
          <w:rFonts w:hint="eastAsia" w:ascii="仿宋_GB2312" w:hAnsi="仿宋_GB2312" w:eastAsia="仿宋_GB2312"/>
          <w:sz w:val="24"/>
          <w:u w:val="single"/>
        </w:rPr>
        <w:t xml:space="preserve">  </w:t>
      </w:r>
      <w:r>
        <w:rPr>
          <w:rFonts w:hint="eastAsia" w:ascii="仿宋_GB2312" w:hAnsi="仿宋_GB2312" w:eastAsia="仿宋_GB2312"/>
          <w:b/>
          <w:bCs/>
          <w:sz w:val="24"/>
          <w:u w:val="single"/>
          <w:lang w:eastAsia="zh-CN"/>
        </w:rPr>
        <w:t>阿克苏某单位隔离网及立柱维修</w:t>
      </w:r>
      <w:r>
        <w:rPr>
          <w:rFonts w:hint="eastAsia" w:ascii="仿宋_GB2312" w:hAnsi="仿宋_GB2312" w:eastAsia="仿宋_GB2312"/>
          <w:b/>
          <w:bCs/>
          <w:sz w:val="24"/>
          <w:u w:val="single"/>
        </w:rPr>
        <w:t xml:space="preserve">     </w:t>
      </w:r>
      <w:r>
        <w:rPr>
          <w:rFonts w:hint="eastAsia" w:ascii="仿宋_GB2312" w:hAnsi="仿宋_GB2312" w:eastAsia="仿宋_GB2312"/>
          <w:b/>
          <w:sz w:val="24"/>
          <w:u w:val="single"/>
        </w:rPr>
        <w:t xml:space="preserve"> </w:t>
      </w:r>
    </w:p>
    <w:p w14:paraId="4C9A54E6">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2.工程地点：</w:t>
      </w:r>
      <w:r>
        <w:rPr>
          <w:rFonts w:hint="eastAsia" w:ascii="仿宋_GB2312" w:hAnsi="仿宋_GB2312" w:eastAsia="仿宋_GB2312"/>
          <w:b/>
          <w:sz w:val="24"/>
          <w:u w:val="single"/>
        </w:rPr>
        <w:t xml:space="preserve">  纺织工业城纺织大道65号 </w:t>
      </w:r>
      <w:r>
        <w:rPr>
          <w:rFonts w:hint="eastAsia" w:ascii="仿宋_GB2312" w:hAnsi="仿宋_GB2312" w:eastAsia="仿宋_GB2312"/>
          <w:sz w:val="24"/>
          <w:u w:val="single"/>
        </w:rPr>
        <w:t xml:space="preserve"> </w:t>
      </w:r>
    </w:p>
    <w:p w14:paraId="714901FC">
      <w:pPr>
        <w:spacing w:line="400" w:lineRule="exact"/>
        <w:ind w:firstLine="480" w:firstLineChars="200"/>
        <w:rPr>
          <w:rFonts w:ascii="仿宋_GB2312" w:hAnsi="仿宋_GB2312" w:eastAsia="仿宋_GB2312"/>
          <w:sz w:val="24"/>
        </w:rPr>
      </w:pPr>
      <w:r>
        <w:rPr>
          <w:rFonts w:hint="eastAsia" w:ascii="仿宋_GB2312" w:hAnsi="仿宋_GB2312" w:eastAsia="仿宋_GB2312"/>
          <w:sz w:val="24"/>
        </w:rPr>
        <w:t>3.工程内容：</w:t>
      </w:r>
      <w:r>
        <w:rPr>
          <w:rFonts w:hint="eastAsia" w:ascii="仿宋_GB2312" w:hAnsi="仿宋_GB2312" w:eastAsia="仿宋_GB2312"/>
          <w:sz w:val="24"/>
          <w:u w:val="single"/>
        </w:rPr>
        <w:t xml:space="preserve">  </w:t>
      </w:r>
      <w:r>
        <w:rPr>
          <w:rFonts w:hint="eastAsia" w:ascii="仿宋_GB2312" w:hAnsi="仿宋_GB2312" w:eastAsia="仿宋_GB2312"/>
          <w:b/>
          <w:bCs/>
          <w:sz w:val="24"/>
          <w:u w:val="single"/>
          <w:lang w:val="en-US" w:eastAsia="zh-CN"/>
        </w:rPr>
        <w:t>详见工程量清单</w:t>
      </w:r>
      <w:r>
        <w:rPr>
          <w:rFonts w:hint="eastAsia" w:ascii="仿宋_GB2312" w:hAnsi="仿宋_GB2312" w:eastAsia="仿宋_GB2312"/>
          <w:b/>
          <w:bCs/>
          <w:sz w:val="24"/>
          <w:u w:val="single"/>
        </w:rPr>
        <w:t xml:space="preserve">     </w:t>
      </w:r>
      <w:r>
        <w:rPr>
          <w:rFonts w:hint="eastAsia" w:ascii="仿宋_GB2312" w:hAnsi="仿宋_GB2312" w:eastAsia="仿宋_GB2312"/>
          <w:b/>
          <w:sz w:val="24"/>
          <w:u w:val="single"/>
        </w:rPr>
        <w:t xml:space="preserve"> </w:t>
      </w:r>
    </w:p>
    <w:p w14:paraId="49442CF4">
      <w:pPr>
        <w:spacing w:line="400" w:lineRule="exact"/>
        <w:ind w:firstLine="480" w:firstLineChars="200"/>
        <w:rPr>
          <w:rFonts w:ascii="仿宋_GB2312" w:hAnsi="仿宋_GB2312" w:eastAsia="仿宋_GB2312"/>
          <w:bCs/>
          <w:sz w:val="24"/>
        </w:rPr>
      </w:pPr>
      <w:r>
        <w:rPr>
          <w:rFonts w:hint="eastAsia" w:ascii="仿宋_GB2312" w:hAnsi="仿宋_GB2312" w:eastAsia="仿宋_GB2312"/>
          <w:bCs/>
          <w:sz w:val="24"/>
        </w:rPr>
        <w:t>5.质保期限：</w:t>
      </w:r>
      <w:r>
        <w:rPr>
          <w:rFonts w:hint="eastAsia" w:ascii="仿宋_GB2312" w:hAnsi="仿宋_GB2312" w:eastAsia="仿宋_GB2312"/>
          <w:b/>
          <w:sz w:val="24"/>
          <w:u w:val="single"/>
        </w:rPr>
        <w:t>工程完</w:t>
      </w:r>
      <w:r>
        <w:rPr>
          <w:rFonts w:hint="eastAsia" w:ascii="仿宋_GB2312" w:hAnsi="仿宋_GB2312" w:eastAsia="仿宋_GB2312"/>
          <w:b/>
          <w:color w:val="auto"/>
          <w:sz w:val="24"/>
          <w:u w:val="single"/>
        </w:rPr>
        <w:t>工验收合格后质保</w:t>
      </w:r>
      <w:r>
        <w:rPr>
          <w:rFonts w:hint="eastAsia" w:ascii="仿宋_GB2312" w:hAnsi="仿宋_GB2312" w:eastAsia="仿宋_GB2312"/>
          <w:b/>
          <w:color w:val="auto"/>
          <w:sz w:val="24"/>
          <w:u w:val="single"/>
          <w:lang w:val="en-US" w:eastAsia="zh-CN"/>
        </w:rPr>
        <w:t>一</w:t>
      </w:r>
      <w:r>
        <w:rPr>
          <w:rFonts w:hint="eastAsia" w:ascii="仿宋_GB2312" w:hAnsi="仿宋_GB2312" w:eastAsia="仿宋_GB2312"/>
          <w:b/>
          <w:color w:val="auto"/>
          <w:sz w:val="24"/>
          <w:u w:val="single"/>
        </w:rPr>
        <w:t xml:space="preserve">年 </w:t>
      </w:r>
    </w:p>
    <w:p w14:paraId="1423A886">
      <w:pPr>
        <w:spacing w:line="500" w:lineRule="exact"/>
        <w:ind w:firstLine="482" w:firstLineChars="200"/>
        <w:jc w:val="left"/>
        <w:outlineLvl w:val="1"/>
        <w:rPr>
          <w:rFonts w:hint="eastAsia" w:ascii="仿宋_GB2312" w:hAnsi="仿宋_GB2312" w:eastAsia="仿宋_GB2312"/>
          <w:b/>
          <w:sz w:val="24"/>
        </w:rPr>
      </w:pPr>
      <w:bookmarkStart w:id="40" w:name="_Toc28873"/>
      <w:r>
        <w:rPr>
          <w:rFonts w:hint="eastAsia" w:ascii="仿宋_GB2312" w:hAnsi="仿宋_GB2312" w:eastAsia="仿宋_GB2312"/>
          <w:b/>
          <w:sz w:val="24"/>
        </w:rPr>
        <w:t>二、工程承包范围及承包方式：</w:t>
      </w:r>
      <w:bookmarkEnd w:id="40"/>
    </w:p>
    <w:p w14:paraId="4B5F4FA8">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工程承包范围：</w:t>
      </w:r>
    </w:p>
    <w:p w14:paraId="607EEB54">
      <w:pPr>
        <w:spacing w:line="400" w:lineRule="exact"/>
        <w:ind w:firstLine="482" w:firstLineChars="200"/>
        <w:rPr>
          <w:rFonts w:hint="eastAsia" w:ascii="仿宋_GB2312" w:hAnsi="仿宋_GB2312" w:eastAsia="仿宋_GB2312"/>
          <w:b/>
          <w:sz w:val="24"/>
        </w:rPr>
      </w:pPr>
      <w:r>
        <w:rPr>
          <w:rFonts w:hint="eastAsia" w:ascii="仿宋_GB2312" w:hAnsi="仿宋_GB2312" w:eastAsia="仿宋_GB2312"/>
          <w:b/>
          <w:sz w:val="24"/>
        </w:rPr>
        <w:t>承包方式：</w:t>
      </w:r>
      <w:r>
        <w:rPr>
          <w:rFonts w:hint="eastAsia" w:ascii="仿宋_GB2312" w:hAnsi="仿宋_GB2312" w:eastAsia="仿宋_GB2312"/>
          <w:b/>
          <w:sz w:val="24"/>
          <w:u w:val="single"/>
        </w:rPr>
        <w:t xml:space="preserve"> 全包施工（包工包料）,包验收合格,包交付验收通过之前的一切费用</w:t>
      </w:r>
      <w:r>
        <w:rPr>
          <w:rFonts w:hint="eastAsia" w:ascii="仿宋_GB2312" w:hAnsi="仿宋_GB2312" w:eastAsia="仿宋_GB2312"/>
          <w:b/>
          <w:sz w:val="24"/>
        </w:rPr>
        <w:t xml:space="preserve">。   </w:t>
      </w:r>
    </w:p>
    <w:p w14:paraId="75C3614C">
      <w:pPr>
        <w:spacing w:line="500" w:lineRule="exact"/>
        <w:ind w:firstLine="482" w:firstLineChars="200"/>
        <w:outlineLvl w:val="1"/>
        <w:rPr>
          <w:rFonts w:hint="eastAsia" w:ascii="仿宋_GB2312" w:hAnsi="仿宋_GB2312" w:eastAsia="仿宋_GB2312"/>
          <w:b/>
          <w:sz w:val="24"/>
        </w:rPr>
      </w:pPr>
      <w:bookmarkStart w:id="41" w:name="_Toc10975"/>
      <w:r>
        <w:rPr>
          <w:rFonts w:hint="eastAsia" w:ascii="仿宋_GB2312" w:hAnsi="仿宋_GB2312" w:eastAsia="仿宋_GB2312"/>
          <w:b/>
          <w:sz w:val="24"/>
        </w:rPr>
        <w:t>三、合同价款</w:t>
      </w:r>
      <w:r>
        <w:rPr>
          <w:rFonts w:hint="eastAsia" w:ascii="仿宋_GB2312" w:hAnsi="仿宋_GB2312" w:eastAsia="仿宋_GB2312"/>
          <w:sz w:val="24"/>
        </w:rPr>
        <w:t>：</w:t>
      </w:r>
      <w:bookmarkEnd w:id="41"/>
    </w:p>
    <w:p w14:paraId="340F9DFE">
      <w:pPr>
        <w:spacing w:line="400" w:lineRule="exact"/>
        <w:ind w:firstLine="480" w:firstLineChars="200"/>
        <w:outlineLvl w:val="2"/>
        <w:rPr>
          <w:rFonts w:hint="eastAsia" w:ascii="仿宋_GB2312" w:hAnsi="仿宋_GB2312" w:eastAsia="仿宋_GB2312"/>
          <w:sz w:val="24"/>
        </w:rPr>
      </w:pPr>
      <w:bookmarkStart w:id="42" w:name="_Toc11679"/>
      <w:r>
        <w:rPr>
          <w:rFonts w:hint="eastAsia" w:ascii="仿宋_GB2312" w:hAnsi="仿宋_GB2312" w:eastAsia="仿宋_GB2312"/>
          <w:sz w:val="24"/>
        </w:rPr>
        <w:t>1.签约合同价为：含税价格人民币（</w:t>
      </w:r>
      <w:r>
        <w:rPr>
          <w:rFonts w:hint="eastAsia" w:ascii="仿宋_GB2312" w:hAnsi="仿宋_GB2312" w:eastAsia="仿宋_GB2312"/>
          <w:sz w:val="24"/>
          <w:u w:val="single"/>
        </w:rPr>
        <w:t>大写：</w:t>
      </w:r>
      <w:r>
        <w:rPr>
          <w:rFonts w:hint="eastAsia" w:ascii="仿宋_GB2312" w:hAnsi="仿宋_GB2312" w:eastAsia="仿宋_GB2312"/>
          <w:sz w:val="24"/>
          <w:u w:val="single"/>
          <w:lang w:val="en-US" w:eastAsia="zh-CN"/>
        </w:rPr>
        <w:t>XXX</w:t>
      </w:r>
      <w:r>
        <w:rPr>
          <w:rFonts w:hint="eastAsia" w:ascii="仿宋_GB2312" w:hAnsi="仿宋_GB2312" w:eastAsia="仿宋_GB2312"/>
          <w:sz w:val="24"/>
          <w:u w:val="single"/>
        </w:rPr>
        <w:t>整</w:t>
      </w:r>
      <w:r>
        <w:rPr>
          <w:rFonts w:hint="eastAsia" w:ascii="仿宋_GB2312" w:hAnsi="仿宋_GB2312" w:eastAsia="仿宋_GB2312"/>
          <w:sz w:val="24"/>
        </w:rPr>
        <w:t xml:space="preserve"> (¥</w:t>
      </w:r>
      <w:r>
        <w:rPr>
          <w:rFonts w:hint="eastAsia" w:ascii="仿宋_GB2312" w:hAnsi="仿宋_GB2312" w:eastAsia="仿宋_GB2312"/>
          <w:sz w:val="24"/>
          <w:u w:val="single"/>
        </w:rPr>
        <w:t xml:space="preserve"> </w:t>
      </w:r>
      <w:r>
        <w:rPr>
          <w:rFonts w:hint="eastAsia" w:ascii="仿宋_GB2312" w:hAnsi="仿宋_GB2312" w:eastAsia="仿宋_GB2312"/>
          <w:sz w:val="24"/>
          <w:u w:val="single"/>
          <w:lang w:val="en-US" w:eastAsia="zh-CN"/>
        </w:rPr>
        <w:t>XXX</w:t>
      </w:r>
      <w:r>
        <w:rPr>
          <w:rFonts w:hint="eastAsia" w:ascii="仿宋_GB2312" w:hAnsi="仿宋_GB2312" w:eastAsia="仿宋_GB2312"/>
          <w:sz w:val="24"/>
        </w:rPr>
        <w:t>元)；</w:t>
      </w:r>
      <w:bookmarkEnd w:id="42"/>
    </w:p>
    <w:p w14:paraId="100701F6">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2.合同价格形式：</w:t>
      </w:r>
      <w:r>
        <w:rPr>
          <w:rFonts w:hint="eastAsia" w:ascii="仿宋_GB2312" w:hAnsi="仿宋_GB2312" w:eastAsia="仿宋_GB2312"/>
          <w:b/>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b/>
          <w:sz w:val="24"/>
          <w:u w:val="single"/>
        </w:rPr>
        <w:t xml:space="preserve"> </w:t>
      </w:r>
      <w:r>
        <w:rPr>
          <w:rFonts w:hint="eastAsia" w:ascii="仿宋_GB2312" w:hAnsi="仿宋_GB2312" w:eastAsia="仿宋_GB2312"/>
          <w:sz w:val="24"/>
        </w:rPr>
        <w:t>。工程最终结算价款以施工现场实际工程量收方为准，若涉及设计变更、工程量增加施工范围变化等、致使超出中标价的，则超出部分由承包人承担。</w:t>
      </w:r>
    </w:p>
    <w:p w14:paraId="52657514">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3.本合同采用固定单价，价格包含工程承包范围内的全部费用。该固定单价不因市场物价变动等其他任何因素而调整。乙方需按本合同约定的工期、质量等级和合同条款要求完成本承包范围内的全部施工内容，该固定单价均固定不变并已包含但不限于根据图纸及相关规范要求完成本专业工程所需的原材料费用、辅材费用、耗材费用、损耗费用、水电费用、运输费、上下车费、二次搬运费、施工措施费用、材料试验检测费用、垂直及水平运输费用、赶工费用、设备保险费、人员意外伤害保险费、人员往返费用、食宿费、管理费用、应纳税金、规费、合理利润、完工后清洁工作相关费用、原材料及半成品、成品保护费、运输过程的风险费、不可预见费用等乙方一切直接和间接费用。</w:t>
      </w:r>
    </w:p>
    <w:p w14:paraId="1F1B8855">
      <w:pPr>
        <w:tabs>
          <w:tab w:val="left" w:pos="900"/>
        </w:tabs>
        <w:spacing w:line="400" w:lineRule="exact"/>
        <w:ind w:firstLine="480" w:firstLineChars="200"/>
        <w:jc w:val="left"/>
        <w:rPr>
          <w:rFonts w:hint="eastAsia" w:ascii="仿宋_GB2312" w:hAnsi="仿宋_GB2312" w:eastAsia="仿宋_GB2312"/>
          <w:sz w:val="24"/>
        </w:rPr>
      </w:pPr>
      <w:r>
        <w:rPr>
          <w:rFonts w:hint="eastAsia" w:ascii="仿宋_GB2312" w:hAnsi="仿宋_GB2312" w:eastAsia="仿宋_GB2312"/>
          <w:sz w:val="24"/>
        </w:rPr>
        <w:t>该固定单价不会因任何方面（包括但不限于材料、人工和机械等的市场涨价及政府的有关调价文件）的差异或变化而调整。该固定单价中有乙方实际未施工的项目或施工不到位的或材料规格降低，相应费用从结算价款中扣除。</w:t>
      </w:r>
    </w:p>
    <w:p w14:paraId="1EC8A30E">
      <w:pPr>
        <w:spacing w:line="400" w:lineRule="exact"/>
        <w:ind w:firstLine="482" w:firstLineChars="200"/>
        <w:outlineLvl w:val="1"/>
        <w:rPr>
          <w:rFonts w:hint="eastAsia" w:ascii="仿宋_GB2312" w:hAnsi="仿宋_GB2312" w:eastAsia="仿宋_GB2312"/>
          <w:b/>
          <w:sz w:val="24"/>
        </w:rPr>
      </w:pPr>
      <w:bookmarkStart w:id="43" w:name="_Toc24836"/>
      <w:r>
        <w:rPr>
          <w:rFonts w:hint="eastAsia" w:ascii="仿宋_GB2312" w:hAnsi="仿宋_GB2312" w:eastAsia="仿宋_GB2312"/>
          <w:b/>
          <w:sz w:val="24"/>
        </w:rPr>
        <w:t>四、工期要求：</w:t>
      </w:r>
      <w:bookmarkEnd w:id="43"/>
    </w:p>
    <w:p w14:paraId="4C292BB1">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计划开工日期：</w:t>
      </w:r>
      <w:r>
        <w:rPr>
          <w:rFonts w:hint="eastAsia" w:ascii="仿宋_GB2312" w:hAnsi="仿宋_GB2312" w:eastAsia="仿宋_GB2312"/>
          <w:sz w:val="24"/>
          <w:u w:val="single"/>
        </w:rPr>
        <w:t xml:space="preserve"> 2026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日；计划竣工日期：  </w:t>
      </w:r>
      <w:r>
        <w:rPr>
          <w:rFonts w:hint="eastAsia" w:ascii="仿宋_GB2312" w:hAnsi="仿宋_GB2312" w:eastAsia="仿宋_GB2312"/>
          <w:sz w:val="24"/>
          <w:u w:val="single"/>
        </w:rPr>
        <w:t xml:space="preserve"> 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日  </w:t>
      </w:r>
    </w:p>
    <w:p w14:paraId="454A09FB">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工期总日历天数：</w:t>
      </w:r>
      <w:r>
        <w:rPr>
          <w:rFonts w:hint="eastAsia" w:ascii="仿宋_GB2312" w:hAnsi="仿宋_GB2312" w:eastAsia="仿宋_GB2312"/>
          <w:sz w:val="24"/>
          <w:u w:val="single"/>
        </w:rPr>
        <w:t xml:space="preserve"> </w:t>
      </w:r>
      <w:r>
        <w:rPr>
          <w:rFonts w:hint="eastAsia" w:ascii="仿宋_GB2312" w:hAnsi="仿宋_GB2312" w:eastAsia="仿宋_GB2312"/>
          <w:sz w:val="24"/>
          <w:u w:val="single"/>
          <w:lang w:val="en-US" w:eastAsia="zh-CN"/>
        </w:rPr>
        <w:t>90天</w:t>
      </w:r>
      <w:r>
        <w:rPr>
          <w:rFonts w:hint="eastAsia" w:ascii="仿宋_GB2312" w:hAnsi="仿宋_GB2312" w:eastAsia="仿宋_GB2312"/>
          <w:sz w:val="24"/>
          <w:u w:val="single"/>
        </w:rPr>
        <w:t xml:space="preserve">  </w:t>
      </w:r>
      <w:r>
        <w:rPr>
          <w:rFonts w:hint="eastAsia" w:ascii="仿宋_GB2312" w:hAnsi="仿宋_GB2312" w:eastAsia="仿宋_GB2312"/>
          <w:sz w:val="24"/>
        </w:rPr>
        <w:t>。工期总日历天数与根据前述计划开竣工日期计算的工期天数不一致的，以工期总日历天数为准，如甲方原因造成的停工不计算在总工期内，</w:t>
      </w:r>
      <w:r>
        <w:rPr>
          <w:rFonts w:hint="eastAsia" w:ascii="仿宋_GB2312" w:hAnsi="仿宋_GB2312" w:eastAsia="仿宋_GB2312"/>
          <w:b/>
          <w:sz w:val="24"/>
        </w:rPr>
        <w:t>最终按实际开工日期计算总工期</w:t>
      </w:r>
      <w:r>
        <w:rPr>
          <w:rFonts w:hint="eastAsia" w:ascii="仿宋_GB2312" w:hAnsi="仿宋_GB2312" w:eastAsia="仿宋_GB2312"/>
          <w:sz w:val="24"/>
        </w:rPr>
        <w:t>。</w:t>
      </w:r>
    </w:p>
    <w:p w14:paraId="7EC935B4">
      <w:pPr>
        <w:spacing w:line="400" w:lineRule="exact"/>
        <w:ind w:firstLine="482" w:firstLineChars="200"/>
        <w:outlineLvl w:val="1"/>
        <w:rPr>
          <w:rFonts w:hint="eastAsia" w:ascii="仿宋_GB2312" w:hAnsi="仿宋_GB2312" w:eastAsia="仿宋_GB2312"/>
          <w:b/>
          <w:sz w:val="24"/>
        </w:rPr>
      </w:pPr>
      <w:bookmarkStart w:id="44" w:name="_Toc26584"/>
      <w:r>
        <w:rPr>
          <w:rFonts w:hint="eastAsia" w:ascii="仿宋_GB2312" w:hAnsi="仿宋_GB2312" w:eastAsia="仿宋_GB2312"/>
          <w:b/>
          <w:sz w:val="24"/>
        </w:rPr>
        <w:t>五、工程质量及施工工艺要求</w:t>
      </w:r>
      <w:bookmarkEnd w:id="44"/>
    </w:p>
    <w:p w14:paraId="52CBC0F1">
      <w:pPr>
        <w:spacing w:line="400" w:lineRule="exact"/>
        <w:rPr>
          <w:rFonts w:hint="eastAsia" w:ascii="仿宋_GB2312" w:hAnsi="仿宋_GB2312" w:eastAsia="仿宋_GB2312"/>
          <w:sz w:val="24"/>
        </w:rPr>
      </w:pPr>
      <w:r>
        <w:rPr>
          <w:rFonts w:hint="eastAsia" w:ascii="仿宋_GB2312" w:hAnsi="仿宋_GB2312" w:eastAsia="仿宋_GB2312"/>
          <w:sz w:val="24"/>
        </w:rPr>
        <w:t xml:space="preserve">  （一）质量标准及检验方法</w:t>
      </w:r>
    </w:p>
    <w:p w14:paraId="666BAD6B">
      <w:pPr>
        <w:spacing w:line="400" w:lineRule="exact"/>
        <w:rPr>
          <w:rFonts w:hint="eastAsia" w:ascii="仿宋_GB2312" w:hAnsi="仿宋_GB2312" w:eastAsia="仿宋_GB2312"/>
          <w:sz w:val="24"/>
        </w:rPr>
      </w:pPr>
      <w:r>
        <w:rPr>
          <w:rFonts w:hint="eastAsia" w:ascii="仿宋_GB2312" w:hAnsi="仿宋_GB2312" w:eastAsia="仿宋_GB2312"/>
          <w:sz w:val="24"/>
        </w:rPr>
        <w:t xml:space="preserve">   1、乙方所用材料的品牌、规格、材质符合国家规范，材料达到优级标准。</w:t>
      </w:r>
    </w:p>
    <w:p w14:paraId="166D1AD8">
      <w:pPr>
        <w:spacing w:line="400" w:lineRule="exact"/>
        <w:ind w:firstLine="360" w:firstLineChars="150"/>
        <w:rPr>
          <w:rFonts w:hint="eastAsia" w:ascii="仿宋_GB2312" w:hAnsi="仿宋_GB2312" w:eastAsia="仿宋_GB2312"/>
          <w:sz w:val="24"/>
        </w:rPr>
      </w:pPr>
      <w:r>
        <w:rPr>
          <w:rFonts w:hint="eastAsia" w:ascii="仿宋_GB2312" w:hAnsi="仿宋_GB2312" w:eastAsia="仿宋_GB2312"/>
          <w:sz w:val="24"/>
        </w:rPr>
        <w:t>2、乙方在工程开工前应将材料按批次送到工地，妥善保管并及时通知甲方查验材料，乙方应在材料到货的同时向甲方提供材料质量检验合格合格证、产品品牌、产地清单及其他协议提供和按惯例应提供的文件。相关检验报告应包含相关标准规定的所有检测项目或按行业惯例应检测的项目。如出现质量问题，双方共同委托第三方检测，乙方承担产品质量责任，如一方在对方通知期限内未配合检测，则对方有权单方委托检测。</w:t>
      </w:r>
    </w:p>
    <w:p w14:paraId="17C348E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二）工程质量标准：合格。乙方必须严格按现行国家标准、地方颁发的质量验收规范、标准和规定以及设计院、甲方认可的本工程的设计说明、设计变更、技术核定单等工程文件中规定和要求，组织施工。产品、配件以及工程施工应符合工程施工地主管部门要求及甲方认可。质量等级经质检部门、甲方验评后达不到合同规定标准，由乙方无偿返修，达到合同规定质量等级后方可交工。</w:t>
      </w:r>
    </w:p>
    <w:p w14:paraId="3B6491BA">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（三）所提供的建筑装饰装修材料，均需提供省或国家检测部门的合格证及产品证书。</w:t>
      </w:r>
    </w:p>
    <w:p w14:paraId="126B9290">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（四）如有损坏预埋线路情况需恢复线路通畅。</w:t>
      </w:r>
    </w:p>
    <w:p w14:paraId="5FD09E8D">
      <w:pPr>
        <w:spacing w:line="400" w:lineRule="exact"/>
        <w:ind w:firstLine="482" w:firstLineChars="200"/>
        <w:outlineLvl w:val="1"/>
        <w:rPr>
          <w:rFonts w:hint="eastAsia" w:ascii="仿宋_GB2312" w:hAnsi="仿宋_GB2312" w:eastAsia="仿宋_GB2312"/>
          <w:b/>
          <w:sz w:val="24"/>
        </w:rPr>
      </w:pPr>
      <w:bookmarkStart w:id="45" w:name="_Toc13441"/>
      <w:r>
        <w:rPr>
          <w:rFonts w:hint="eastAsia" w:ascii="仿宋_GB2312" w:hAnsi="仿宋_GB2312" w:eastAsia="仿宋_GB2312"/>
          <w:b/>
          <w:sz w:val="24"/>
        </w:rPr>
        <w:t>六、工程量确认</w:t>
      </w:r>
      <w:bookmarkEnd w:id="45"/>
    </w:p>
    <w:p w14:paraId="225D87C6">
      <w:pPr>
        <w:spacing w:line="400" w:lineRule="exact"/>
        <w:ind w:firstLine="482" w:firstLineChars="200"/>
        <w:rPr>
          <w:rFonts w:hint="eastAsia" w:ascii="仿宋_GB2312" w:hAnsi="仿宋_GB2312" w:eastAsia="仿宋_GB2312"/>
          <w:b/>
          <w:sz w:val="24"/>
          <w:u w:val="single"/>
        </w:rPr>
      </w:pPr>
      <w:r>
        <w:rPr>
          <w:rFonts w:hint="eastAsia" w:ascii="仿宋_GB2312" w:hAnsi="仿宋_GB2312" w:eastAsia="仿宋_GB2312"/>
          <w:b/>
          <w:sz w:val="24"/>
          <w:u w:val="single"/>
        </w:rPr>
        <w:t>工程完工后，由发包人和承包人</w:t>
      </w:r>
      <w:r>
        <w:rPr>
          <w:rFonts w:hint="eastAsia" w:ascii="仿宋_GB2312" w:hAnsi="仿宋_GB2312" w:eastAsia="仿宋_GB2312"/>
          <w:b/>
          <w:sz w:val="24"/>
          <w:u w:val="single"/>
          <w:lang w:val="en-US" w:eastAsia="zh-CN"/>
        </w:rPr>
        <w:t>及第三方结算公司</w:t>
      </w:r>
      <w:r>
        <w:rPr>
          <w:rFonts w:hint="eastAsia" w:ascii="仿宋_GB2312" w:hAnsi="仿宋_GB2312" w:eastAsia="仿宋_GB2312"/>
          <w:b/>
          <w:sz w:val="24"/>
          <w:u w:val="single"/>
        </w:rPr>
        <w:t>共同对完成的工程量进行现场测量，并在测量结果上签字，测量结果作为工程最终价款结算的依据。</w:t>
      </w:r>
      <w:r>
        <w:rPr>
          <w:rFonts w:hint="eastAsia" w:ascii="仿宋_GB2312" w:hAnsi="仿宋_GB2312" w:eastAsia="仿宋_GB2312"/>
          <w:b/>
          <w:i/>
          <w:sz w:val="24"/>
          <w:u w:val="single"/>
        </w:rPr>
        <w:t xml:space="preserve">  </w:t>
      </w:r>
    </w:p>
    <w:p w14:paraId="2CF64009">
      <w:pPr>
        <w:spacing w:line="400" w:lineRule="exact"/>
        <w:ind w:firstLine="482" w:firstLineChars="200"/>
        <w:outlineLvl w:val="1"/>
        <w:rPr>
          <w:rFonts w:hint="eastAsia" w:ascii="仿宋_GB2312" w:hAnsi="仿宋_GB2312" w:eastAsia="仿宋_GB2312"/>
          <w:b/>
          <w:sz w:val="24"/>
        </w:rPr>
      </w:pPr>
      <w:bookmarkStart w:id="46" w:name="_Toc7813"/>
      <w:r>
        <w:rPr>
          <w:rFonts w:hint="eastAsia" w:ascii="仿宋_GB2312" w:hAnsi="仿宋_GB2312" w:eastAsia="仿宋_GB2312"/>
          <w:b/>
          <w:sz w:val="24"/>
        </w:rPr>
        <w:t>七、付款方式</w:t>
      </w:r>
      <w:bookmarkEnd w:id="46"/>
    </w:p>
    <w:p w14:paraId="4CD24CFD">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本合同价款采用</w:t>
      </w:r>
      <w:r>
        <w:rPr>
          <w:rFonts w:hint="eastAsia" w:ascii="仿宋_GB2312" w:hAnsi="仿宋_GB2312" w:eastAsia="仿宋_GB2312"/>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sz w:val="24"/>
        </w:rPr>
        <w:t>方式确定。</w:t>
      </w:r>
      <w:r>
        <w:rPr>
          <w:rFonts w:hint="eastAsia" w:ascii="仿宋_GB2312" w:hAnsi="仿宋_GB2312" w:eastAsia="仿宋_GB2312"/>
          <w:b/>
          <w:sz w:val="24"/>
          <w:u w:val="single"/>
        </w:rPr>
        <w:t>完工后，按照实际完成工程量结算工程价款，测量结果作为工程最终价款结算的依据</w:t>
      </w:r>
      <w:r>
        <w:rPr>
          <w:rFonts w:hint="eastAsia" w:ascii="仿宋_GB2312" w:hAnsi="仿宋_GB2312" w:eastAsia="仿宋_GB2312"/>
          <w:b/>
          <w:sz w:val="24"/>
        </w:rPr>
        <w:t>。</w:t>
      </w:r>
      <w:r>
        <w:rPr>
          <w:rFonts w:hint="eastAsia" w:ascii="仿宋_GB2312" w:hAnsi="仿宋_GB2312" w:eastAsia="仿宋_GB2312"/>
          <w:b/>
          <w:i/>
          <w:sz w:val="24"/>
        </w:rPr>
        <w:t xml:space="preserve">  </w:t>
      </w:r>
    </w:p>
    <w:p w14:paraId="06915611">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工程款支付：</w:t>
      </w:r>
    </w:p>
    <w:p w14:paraId="67D69011">
      <w:pPr>
        <w:spacing w:line="400" w:lineRule="exact"/>
        <w:ind w:firstLine="480" w:firstLineChars="200"/>
        <w:rPr>
          <w:rFonts w:hint="default" w:ascii="仿宋_GB2312" w:hAnsi="仿宋_GB2312" w:eastAsia="仿宋_GB2312"/>
          <w:sz w:val="24"/>
          <w:lang w:val="en-US" w:eastAsia="zh-CN"/>
        </w:rPr>
      </w:pPr>
      <w:r>
        <w:rPr>
          <w:rFonts w:hint="eastAsia" w:ascii="仿宋_GB2312" w:hAnsi="仿宋_GB2312" w:eastAsia="仿宋_GB2312"/>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sz w:val="24"/>
          <w:u w:val="single"/>
          <w:lang w:val="en-US" w:eastAsia="zh-CN"/>
        </w:rPr>
        <w:t xml:space="preserve">       </w:t>
      </w:r>
    </w:p>
    <w:p w14:paraId="29951E8F">
      <w:pPr>
        <w:spacing w:line="40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付款备注：</w:t>
      </w:r>
    </w:p>
    <w:p w14:paraId="04F941B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乙方在每期收款前，应向甲方开具真实合法有效的发票。否则，甲方有权拒绝付款并顺延付款时间</w:t>
      </w:r>
      <w:r>
        <w:rPr>
          <w:rFonts w:hint="eastAsia" w:ascii="仿宋_GB2312" w:hAnsi="仿宋_GB2312" w:eastAsia="仿宋_GB2312"/>
          <w:color w:val="000000"/>
          <w:sz w:val="24"/>
          <w:highlight w:val="none"/>
        </w:rPr>
        <w:t>且不承担迟延付款的责任</w:t>
      </w:r>
      <w:r>
        <w:rPr>
          <w:rFonts w:hint="eastAsia" w:ascii="仿宋_GB2312" w:hAnsi="仿宋_GB2312" w:eastAsia="仿宋_GB2312"/>
          <w:color w:val="auto"/>
          <w:sz w:val="24"/>
          <w:highlight w:val="none"/>
        </w:rPr>
        <w:t>，</w:t>
      </w:r>
      <w:r>
        <w:rPr>
          <w:rFonts w:hint="eastAsia" w:ascii="仿宋_GB2312" w:hAnsi="仿宋_GB2312" w:eastAsia="仿宋_GB2312"/>
          <w:sz w:val="24"/>
        </w:rPr>
        <w:t>乙方不得以此为由拖延施工。</w:t>
      </w:r>
    </w:p>
    <w:p w14:paraId="4CFFFFEF">
      <w:pPr>
        <w:spacing w:line="400" w:lineRule="exact"/>
        <w:ind w:firstLine="482" w:firstLineChars="200"/>
        <w:outlineLvl w:val="1"/>
        <w:rPr>
          <w:rFonts w:hint="eastAsia" w:ascii="仿宋_GB2312" w:hAnsi="仿宋_GB2312" w:eastAsia="仿宋_GB2312"/>
          <w:b/>
          <w:sz w:val="24"/>
        </w:rPr>
      </w:pPr>
      <w:bookmarkStart w:id="47" w:name="_Toc22065"/>
      <w:r>
        <w:rPr>
          <w:rFonts w:hint="eastAsia" w:ascii="仿宋_GB2312" w:hAnsi="仿宋_GB2312" w:eastAsia="仿宋_GB2312"/>
          <w:b/>
          <w:sz w:val="24"/>
        </w:rPr>
        <w:t>八、双方权利和义务</w:t>
      </w:r>
      <w:bookmarkEnd w:id="47"/>
    </w:p>
    <w:p w14:paraId="146BB524">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1、甲方向乙方提供技术资料，在施工过程中如有变更应出具变更通知单。</w:t>
      </w:r>
    </w:p>
    <w:p w14:paraId="2A486569">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2、甲方对乙方施工进度、质量、安全及文明施工等方面进行监督检查；</w:t>
      </w:r>
    </w:p>
    <w:p w14:paraId="1CEAE4D3">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3、甲方负责协调乙方施工现场便利；</w:t>
      </w:r>
    </w:p>
    <w:p w14:paraId="3659DB8B">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 4、乙方根据甲方要求及经双方确认的封存样品严格进行施工；</w:t>
      </w:r>
    </w:p>
    <w:p w14:paraId="4A615EE3">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 5、乙方施工材料必须满足国家规定和地方要求；</w:t>
      </w:r>
    </w:p>
    <w:p w14:paraId="67F3E912">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 6、乙方须服从甲方的质量管理，须达到质量标准。乙方施工的工程质量达不到验收标准的部分，乙方应按甲方要求的时间内予以整改，直到符合验收标准为止，其费用与工期拖延的损失由乙方承担。</w:t>
      </w:r>
    </w:p>
    <w:p w14:paraId="74A190B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7、乙方须服从甲方管理，在工程施工期间造成的人损意外事件、安全事故由乙方自行负责。</w:t>
      </w:r>
    </w:p>
    <w:p w14:paraId="44BC1946">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8、施工质量达不到规范要求或出现重大质量事故，而乙方又无积极措施确保施工进度正常完成，或无力按质量标准返修，乙方应承担违约责任，甲方有权单方面解除合同，并按已完工验收合格量价款的70%予以结算，乙方退场。</w:t>
      </w:r>
    </w:p>
    <w:p w14:paraId="58E3511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9、因乙方未按施工计划或施工节点完成当期施工，或由于乙方原因工期延误，乙方须向甲方支付违约金，违约金为1000元/延误1天，迟延超过10日以上，甲方有权解除合同，并按已完工验收合格量价款的70%予以结算，乙方退场；由于乙方原因造成的甲方、第三人人身损害、财产损失的，乙方承担全部责任。</w:t>
      </w:r>
    </w:p>
    <w:p w14:paraId="172ECF28">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10、乙方必须按时足额发放人员工资，不得拖欠。若因乙方原因引起的所有不良后果均由乙方承担全部责任（包括但不限于应付的劳务费、任何财产损失、人身损害赔偿、赔偿金、补助金、医疗费、抚养费等）。</w:t>
      </w:r>
    </w:p>
    <w:p w14:paraId="0B553810">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11、乙方严禁以项目名义发生一切与工程相关的经济往来，乙方承诺在对该工程施工中发生的一切经济往来，如材料供应、机械租赁、用工等，与甲方无任何关系，在此期间发生的一切经济纠纷，乙方自行解决和承担，否则由此造成的一切后果均由乙方承担，甲方有权要求乙方按照已完工程量的 50% 予以结算退场，余额作为甲方损失补偿，造成价发其他损失的，甲方有权追偿。</w:t>
      </w:r>
    </w:p>
    <w:p w14:paraId="533DB180">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12、以上应付违约金、赔偿金，甲方有权从应付工程款中等额抵扣。</w:t>
      </w:r>
    </w:p>
    <w:p w14:paraId="7B27F3DC">
      <w:pPr>
        <w:spacing w:line="400" w:lineRule="exact"/>
        <w:ind w:firstLine="482" w:firstLineChars="200"/>
        <w:outlineLvl w:val="1"/>
        <w:rPr>
          <w:rFonts w:hint="eastAsia" w:ascii="仿宋_GB2312" w:hAnsi="仿宋_GB2312" w:eastAsia="仿宋_GB2312"/>
          <w:b/>
          <w:sz w:val="24"/>
        </w:rPr>
      </w:pPr>
      <w:bookmarkStart w:id="48" w:name="_Toc23800"/>
      <w:r>
        <w:rPr>
          <w:rFonts w:hint="eastAsia" w:ascii="仿宋_GB2312" w:hAnsi="仿宋_GB2312" w:eastAsia="仿宋_GB2312"/>
          <w:b/>
          <w:sz w:val="24"/>
        </w:rPr>
        <w:t>九、安全施工</w:t>
      </w:r>
      <w:bookmarkEnd w:id="48"/>
    </w:p>
    <w:p w14:paraId="428BDA39">
      <w:pPr>
        <w:spacing w:line="40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 xml:space="preserve">乙方应严格执行《建设工程安全生产管理条例》，遵循工程建设安全生产有关管理规定，严格按照安全标准组织施工，采取必要的安全防护措施，消除事故隐患。由于乙方安全措施不力造成的事故责任和因此发生的费用，由乙方承担。 </w:t>
      </w:r>
    </w:p>
    <w:p w14:paraId="26EE7520">
      <w:pPr>
        <w:spacing w:line="400" w:lineRule="exact"/>
        <w:ind w:firstLine="482" w:firstLineChars="200"/>
        <w:outlineLvl w:val="1"/>
        <w:rPr>
          <w:rFonts w:hint="eastAsia" w:ascii="仿宋_GB2312" w:hAnsi="仿宋_GB2312" w:eastAsia="仿宋_GB2312"/>
          <w:b/>
          <w:sz w:val="24"/>
        </w:rPr>
      </w:pPr>
      <w:bookmarkStart w:id="49" w:name="_Toc21106"/>
      <w:r>
        <w:rPr>
          <w:rFonts w:hint="eastAsia" w:ascii="仿宋_GB2312" w:hAnsi="仿宋_GB2312" w:eastAsia="仿宋_GB2312"/>
          <w:b/>
          <w:sz w:val="24"/>
        </w:rPr>
        <w:t>十、工程技术资料</w:t>
      </w:r>
      <w:bookmarkEnd w:id="49"/>
    </w:p>
    <w:p w14:paraId="295373F3">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1、工程具备验收条件的，乙方应向甲方提供完整的工程技术资料（材料报验单、合格证、检测报告、施工记录等）及验收报告原件五份。  </w:t>
      </w:r>
    </w:p>
    <w:p w14:paraId="66FE4F06">
      <w:pPr>
        <w:spacing w:line="400" w:lineRule="exact"/>
        <w:ind w:firstLine="480" w:firstLineChars="200"/>
        <w:rPr>
          <w:rFonts w:hint="eastAsia" w:ascii="仿宋_GB2312" w:hAnsi="仿宋_GB2312" w:eastAsia="仿宋_GB2312"/>
          <w:sz w:val="24"/>
        </w:rPr>
      </w:pPr>
      <w:bookmarkStart w:id="50" w:name="_Hlk25924525"/>
      <w:bookmarkEnd w:id="50"/>
      <w:r>
        <w:rPr>
          <w:rFonts w:hint="eastAsia" w:ascii="仿宋_GB2312" w:hAnsi="仿宋_GB2312" w:eastAsia="仿宋_GB2312"/>
          <w:sz w:val="24"/>
        </w:rPr>
        <w:t>2、乙方未按规定时间提供工程资料，甲方有权暂扣工程尾款。提供工程资料时间：不得迟于竣工验收前 15 个工作日。</w:t>
      </w:r>
    </w:p>
    <w:p w14:paraId="5067DE89">
      <w:pPr>
        <w:spacing w:line="400" w:lineRule="exact"/>
        <w:ind w:firstLine="361" w:firstLineChars="150"/>
        <w:outlineLvl w:val="1"/>
        <w:rPr>
          <w:rFonts w:hint="eastAsia" w:ascii="仿宋_GB2312" w:hAnsi="仿宋_GB2312" w:eastAsia="仿宋_GB2312"/>
          <w:b/>
          <w:sz w:val="24"/>
        </w:rPr>
      </w:pPr>
      <w:bookmarkStart w:id="51" w:name="_Toc23304"/>
      <w:r>
        <w:rPr>
          <w:rFonts w:hint="eastAsia" w:ascii="仿宋_GB2312" w:hAnsi="仿宋_GB2312" w:eastAsia="仿宋_GB2312"/>
          <w:b/>
          <w:sz w:val="24"/>
        </w:rPr>
        <w:t>十一、工程质保</w:t>
      </w:r>
      <w:bookmarkEnd w:id="51"/>
    </w:p>
    <w:p w14:paraId="201461D3">
      <w:pPr>
        <w:spacing w:line="400" w:lineRule="exact"/>
        <w:ind w:firstLine="480" w:firstLineChars="200"/>
        <w:outlineLvl w:val="2"/>
        <w:rPr>
          <w:rFonts w:hint="eastAsia" w:ascii="仿宋_GB2312" w:hAnsi="仿宋_GB2312" w:eastAsia="仿宋_GB2312"/>
          <w:sz w:val="24"/>
        </w:rPr>
      </w:pPr>
      <w:bookmarkStart w:id="52" w:name="_Toc13035"/>
      <w:r>
        <w:rPr>
          <w:rFonts w:hint="eastAsia" w:ascii="仿宋_GB2312" w:hAnsi="仿宋_GB2312" w:eastAsia="仿宋_GB2312"/>
          <w:sz w:val="24"/>
        </w:rPr>
        <w:t>1、</w:t>
      </w:r>
      <w:r>
        <w:rPr>
          <w:rFonts w:hint="eastAsia" w:ascii="仿宋_GB2312" w:hAnsi="仿宋_GB2312" w:eastAsia="仿宋_GB2312"/>
          <w:color w:val="auto"/>
          <w:sz w:val="24"/>
        </w:rPr>
        <w:t>工程保修期为</w:t>
      </w:r>
      <w:r>
        <w:rPr>
          <w:rFonts w:hint="eastAsia" w:ascii="仿宋_GB2312" w:hAnsi="仿宋_GB2312" w:eastAsia="仿宋_GB2312"/>
          <w:color w:val="auto"/>
          <w:sz w:val="24"/>
          <w:lang w:eastAsia="zh-CN"/>
        </w:rPr>
        <w:t>一年</w:t>
      </w:r>
      <w:r>
        <w:rPr>
          <w:rFonts w:hint="eastAsia" w:ascii="仿宋_GB2312" w:hAnsi="仿宋_GB2312" w:eastAsia="仿宋_GB2312"/>
          <w:color w:val="auto"/>
          <w:sz w:val="24"/>
        </w:rPr>
        <w:t>，</w:t>
      </w:r>
      <w:r>
        <w:rPr>
          <w:rFonts w:hint="eastAsia" w:ascii="仿宋_GB2312" w:hAnsi="仿宋_GB2312" w:eastAsia="仿宋_GB2312"/>
          <w:sz w:val="24"/>
        </w:rPr>
        <w:t>自验收合格之日起起算。</w:t>
      </w:r>
      <w:bookmarkEnd w:id="52"/>
    </w:p>
    <w:p w14:paraId="1D336B2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2、在保修期内由乙方负责其工程质量问题的修复和因质量问题造成的所有损失与赔偿，费用由乙方承担。</w:t>
      </w:r>
    </w:p>
    <w:p w14:paraId="42CE0E5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3、乙方在接到保修通知（含电话通知）后48小时内组织专业维修人员进场维修。在保修期范围内乙方拒不保修的，甲方有权要求第三方进行保修，保修费用从质量保证金中双倍扣除；超出质量保证金部分维修费用甲方有权向乙方追讨。</w:t>
      </w:r>
    </w:p>
    <w:p w14:paraId="7274E7CF">
      <w:pPr>
        <w:spacing w:line="400" w:lineRule="exact"/>
        <w:ind w:firstLine="361" w:firstLineChars="150"/>
        <w:outlineLvl w:val="1"/>
        <w:rPr>
          <w:rFonts w:hint="eastAsia" w:ascii="仿宋_GB2312" w:hAnsi="仿宋_GB2312" w:eastAsia="仿宋_GB2312"/>
          <w:b/>
          <w:sz w:val="24"/>
        </w:rPr>
      </w:pPr>
      <w:bookmarkStart w:id="53" w:name="_Toc4161"/>
      <w:r>
        <w:rPr>
          <w:rFonts w:hint="eastAsia" w:ascii="仿宋_GB2312" w:hAnsi="仿宋_GB2312" w:eastAsia="仿宋_GB2312"/>
          <w:b/>
          <w:sz w:val="24"/>
        </w:rPr>
        <w:t>十二、工程联系人</w:t>
      </w:r>
      <w:bookmarkEnd w:id="53"/>
    </w:p>
    <w:p w14:paraId="4B8F222D">
      <w:pPr>
        <w:spacing w:line="40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甲方联系人：</w:t>
      </w:r>
      <w:r>
        <w:rPr>
          <w:rFonts w:hint="eastAsia" w:ascii="仿宋_GB2312" w:hAnsi="仿宋_GB2312" w:eastAsia="仿宋_GB2312"/>
          <w:bCs/>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bCs/>
          <w:sz w:val="24"/>
          <w:u w:val="single"/>
        </w:rPr>
        <w:t xml:space="preserve"> </w:t>
      </w:r>
      <w:r>
        <w:rPr>
          <w:rFonts w:hint="eastAsia" w:ascii="仿宋_GB2312" w:hAnsi="仿宋_GB2312" w:eastAsia="仿宋_GB2312"/>
          <w:bCs/>
          <w:sz w:val="24"/>
        </w:rPr>
        <w:t>，联系电话：</w:t>
      </w:r>
      <w:r>
        <w:rPr>
          <w:rFonts w:hint="eastAsia" w:ascii="仿宋_GB2312" w:hAnsi="仿宋_GB2312" w:eastAsia="仿宋_GB2312"/>
          <w:b/>
          <w:sz w:val="24"/>
          <w:u w:val="single"/>
        </w:rPr>
        <w:t xml:space="preserve"> </w:t>
      </w:r>
      <w:r>
        <w:rPr>
          <w:rFonts w:hint="eastAsia" w:ascii="仿宋_GB2312" w:hAnsi="仿宋_GB2312" w:eastAsia="仿宋_GB2312"/>
          <w:b/>
          <w:sz w:val="24"/>
          <w:u w:val="single"/>
          <w:lang w:val="en-US" w:eastAsia="zh-CN"/>
        </w:rPr>
        <w:t xml:space="preserve">             </w:t>
      </w:r>
      <w:r>
        <w:rPr>
          <w:rFonts w:hint="eastAsia" w:ascii="仿宋_GB2312" w:hAnsi="仿宋_GB2312" w:eastAsia="仿宋_GB2312"/>
          <w:b/>
          <w:sz w:val="24"/>
          <w:u w:val="single"/>
        </w:rPr>
        <w:t xml:space="preserve">  </w:t>
      </w:r>
      <w:r>
        <w:rPr>
          <w:rFonts w:hint="eastAsia" w:ascii="仿宋_GB2312" w:hAnsi="仿宋_GB2312" w:eastAsia="仿宋_GB2312"/>
          <w:bCs/>
          <w:sz w:val="24"/>
        </w:rPr>
        <w:t xml:space="preserve">。 </w:t>
      </w:r>
      <w:r>
        <w:rPr>
          <w:rFonts w:hint="eastAsia" w:ascii="仿宋_GB2312" w:hAnsi="仿宋_GB2312" w:eastAsia="仿宋_GB2312"/>
          <w:b/>
          <w:sz w:val="24"/>
        </w:rPr>
        <w:t xml:space="preserve">  </w:t>
      </w:r>
    </w:p>
    <w:p w14:paraId="2FC3D431">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乙方项目经理：</w:t>
      </w:r>
      <w:r>
        <w:rPr>
          <w:rFonts w:hint="eastAsia" w:ascii="仿宋_GB2312" w:hAnsi="仿宋_GB2312" w:eastAsia="仿宋_GB2312"/>
          <w:b/>
          <w:bCs/>
          <w:sz w:val="24"/>
          <w:u w:val="single"/>
        </w:rPr>
        <w:t xml:space="preserve">      </w:t>
      </w:r>
      <w:r>
        <w:rPr>
          <w:rFonts w:hint="eastAsia" w:ascii="仿宋_GB2312" w:hAnsi="仿宋_GB2312" w:eastAsia="仿宋_GB2312"/>
          <w:b/>
          <w:sz w:val="24"/>
        </w:rPr>
        <w:t>，</w:t>
      </w:r>
      <w:r>
        <w:rPr>
          <w:rFonts w:hint="eastAsia" w:ascii="仿宋_GB2312" w:hAnsi="仿宋_GB2312" w:eastAsia="仿宋_GB2312"/>
          <w:sz w:val="24"/>
        </w:rPr>
        <w:t>联系电话：</w:t>
      </w:r>
      <w:r>
        <w:rPr>
          <w:rFonts w:hint="eastAsia" w:ascii="仿宋_GB2312" w:hAnsi="仿宋_GB2312" w:eastAsia="仿宋_GB2312"/>
          <w:b/>
          <w:sz w:val="24"/>
          <w:u w:val="single"/>
        </w:rPr>
        <w:t xml:space="preserve">             </w:t>
      </w:r>
      <w:r>
        <w:rPr>
          <w:rFonts w:hint="eastAsia" w:ascii="仿宋_GB2312" w:hAnsi="仿宋_GB2312" w:eastAsia="仿宋_GB2312"/>
          <w:b/>
          <w:sz w:val="24"/>
        </w:rPr>
        <w:t>。</w:t>
      </w:r>
    </w:p>
    <w:p w14:paraId="7EC11952">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甲、乙双方在本协议中的通讯地址和电话作为双方送达法律文件的依据，甲、乙双方向前述联系人或地址通过书信等发出通知，送达3日后，即视为对方已经了解通知内容，视为送达，电子送达为当日（电话、短信、微信、传真）视为履行了通知义务。如因法定地址或联系方式变更，应于变更后一周内书面通知对方，如因变更方原因造成地址或联系方式有误造成相关文件、信息无法送达，有变更方承担全部责任，若非变更方原因，则变更方不承担任何责任。</w:t>
      </w:r>
    </w:p>
    <w:p w14:paraId="3EC3BA28">
      <w:pPr>
        <w:spacing w:line="400" w:lineRule="exact"/>
        <w:ind w:firstLine="482" w:firstLineChars="200"/>
        <w:rPr>
          <w:rFonts w:hint="eastAsia" w:ascii="仿宋_GB2312" w:hAnsi="仿宋_GB2312" w:eastAsia="仿宋_GB2312"/>
          <w:b/>
          <w:sz w:val="24"/>
        </w:rPr>
      </w:pPr>
      <w:r>
        <w:rPr>
          <w:rFonts w:hint="eastAsia" w:ascii="仿宋_GB2312" w:hAnsi="仿宋_GB2312" w:eastAsia="仿宋_GB2312"/>
          <w:b/>
          <w:sz w:val="24"/>
        </w:rPr>
        <w:t>十三、特别保密条款</w:t>
      </w:r>
    </w:p>
    <w:p w14:paraId="1E3B5A6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1.代理人对于本合同项下工作有保密的义务和责任，不得留存技术资料和复制品，不得进行任何形式的泄露，严禁拍照、摄像，委托人有权制止，情节严重的移交司法部门追究其法律责任。</w:t>
      </w:r>
    </w:p>
    <w:p w14:paraId="28F55DEF">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2.代理人对本合同资料、信息（包括但不限于商业秘密、技术资料、数据以及与业务有关的信息及其他信息等）负保密责任，并不得向任何人披</w:t>
      </w:r>
    </w:p>
    <w:p w14:paraId="1A855A2F">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露上述资料和信息，但正常履行本合同项下义务的除外。</w:t>
      </w:r>
    </w:p>
    <w:p w14:paraId="419E3910">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3.代理人承担的保密期限为永久，因代理人泄密而导致委托人遭受损失的，代理人应按本合同总价款的30%支付违约金，造成委托人损失的，代理人另行赔偿损失。</w:t>
      </w:r>
    </w:p>
    <w:p w14:paraId="4A1C2B1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4.保密条款具有独立性，不受本合同的终止或解除的影响。</w:t>
      </w:r>
    </w:p>
    <w:p w14:paraId="308949F1">
      <w:pPr>
        <w:spacing w:line="400" w:lineRule="exact"/>
        <w:ind w:firstLine="482" w:firstLineChars="200"/>
        <w:rPr>
          <w:rFonts w:hint="eastAsia" w:ascii="仿宋_GB2312" w:hAnsi="仿宋_GB2312" w:eastAsia="仿宋_GB2312"/>
          <w:b/>
          <w:sz w:val="24"/>
        </w:rPr>
      </w:pPr>
      <w:r>
        <w:rPr>
          <w:rFonts w:hint="eastAsia" w:ascii="仿宋_GB2312" w:hAnsi="仿宋_GB2312" w:eastAsia="仿宋_GB2312"/>
          <w:b/>
          <w:sz w:val="24"/>
        </w:rPr>
        <w:t>十四、廉洁公约</w:t>
      </w:r>
    </w:p>
    <w:p w14:paraId="714A2F88">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1.委托人代理人双方均反对行贿及其他不正当交易行为。代理人承诺，不向委托人人员提供赠送礼品、现金、样品、餐饮等任何形式的利益，造成的损失由代理人承担。</w:t>
      </w:r>
    </w:p>
    <w:p w14:paraId="7735C1AB">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2.若代理人被发现任何形式的商业贿赂及其他不正当方式取悦委托人工作人员，以获取订单、更有利的价格、货架资源，或虚报送货量，或降低产品质量，或缩短付款期限时，委托人将立即停止与其的商业合作关系或订单，并向有关执法部门举报。</w:t>
      </w:r>
    </w:p>
    <w:p w14:paraId="6DBADAB1">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3.如有委托人工作人员要求代理人任何形式的商业贿赂，代理人有义务向委托人书面检举，并提供相关证据。对代理人的检举，委托人应给予保密，并按照国家有关定给予严肃处理，直至送交司法机关。</w:t>
      </w:r>
    </w:p>
    <w:p w14:paraId="742B5B66">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4.代理人承诺不得给予委托人有关人员回扣、佣金、有价证券、实物或其他形式的利益，否则不论数额大小，代理人应按本合同总额的20%向委托人支付违约金，如合同尚未履行终结，委托人有权解除合同。委托人庄严承诺相关人员不得以任何理由向代理人索要钱、财、物、有价证券、高档礼品等，或接受代理人送的钱、财、物、有价证券、高档礼品等。一经核实立即终止合同，违反规定的交由委托人纪检监察部门调查处理。本条款对委托人代理人双方具有永久约束力，不因合同其他条款无效或失效而丧失效力。</w:t>
      </w:r>
    </w:p>
    <w:p w14:paraId="619A0168">
      <w:pPr>
        <w:spacing w:line="400" w:lineRule="exact"/>
        <w:ind w:firstLine="482" w:firstLineChars="200"/>
        <w:outlineLvl w:val="1"/>
        <w:rPr>
          <w:rFonts w:hint="eastAsia" w:ascii="仿宋_GB2312" w:hAnsi="仿宋_GB2312" w:eastAsia="仿宋_GB2312"/>
          <w:b/>
          <w:sz w:val="24"/>
        </w:rPr>
      </w:pPr>
      <w:bookmarkStart w:id="54" w:name="_Toc23409"/>
      <w:r>
        <w:rPr>
          <w:rFonts w:hint="eastAsia" w:ascii="仿宋_GB2312" w:hAnsi="仿宋_GB2312" w:eastAsia="仿宋_GB2312"/>
          <w:b/>
          <w:sz w:val="24"/>
        </w:rPr>
        <w:t>十五、其他约定</w:t>
      </w:r>
      <w:bookmarkEnd w:id="54"/>
    </w:p>
    <w:p w14:paraId="43DAD769">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 1、乙方不得对本工程项目进行转包或将工程再肢解成若干部分再进行分包，如发生此情况属违约，甲方有权单方面终止合同，除乙方应承担的违约责任外，由此造成的所有经济损失及连带责任均由乙方承担。</w:t>
      </w:r>
    </w:p>
    <w:p w14:paraId="677466F0">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2、本合同如有未尽事宜，经双方友好协商，另签补充协议。补充协议与本合同具有同等法律效力。</w:t>
      </w:r>
    </w:p>
    <w:p w14:paraId="47758399">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3、本合同一式肆份，甲方执叁份，乙方执壹份，均具有同等法律效力。</w:t>
      </w:r>
    </w:p>
    <w:p w14:paraId="1C4B02AD">
      <w:pPr>
        <w:spacing w:line="400" w:lineRule="exact"/>
        <w:ind w:firstLine="480" w:firstLineChars="200"/>
        <w:outlineLvl w:val="2"/>
        <w:rPr>
          <w:rFonts w:hint="eastAsia" w:ascii="仿宋_GB2312" w:hAnsi="仿宋_GB2312" w:eastAsia="仿宋_GB2312"/>
          <w:sz w:val="24"/>
        </w:rPr>
      </w:pPr>
      <w:bookmarkStart w:id="55" w:name="_Toc22967"/>
      <w:r>
        <w:rPr>
          <w:rFonts w:hint="eastAsia" w:ascii="仿宋_GB2312" w:hAnsi="仿宋_GB2312" w:eastAsia="仿宋_GB2312"/>
          <w:sz w:val="24"/>
        </w:rPr>
        <w:t>4、本合同自双方签字、盖章之日起生效。</w:t>
      </w:r>
      <w:bookmarkEnd w:id="55"/>
    </w:p>
    <w:p w14:paraId="1F76CA17">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5、本合同一式四份附件一并作为合同内容</w:t>
      </w:r>
      <w:r>
        <w:rPr>
          <w:rFonts w:hint="eastAsia" w:ascii="仿宋_GB2312" w:hAnsi="仿宋_GB2312" w:eastAsia="仿宋_GB2312"/>
          <w:sz w:val="24"/>
          <w:lang w:eastAsia="zh-CN"/>
        </w:rPr>
        <w:t>《</w:t>
      </w:r>
      <w:r>
        <w:rPr>
          <w:rFonts w:hint="eastAsia" w:ascii="仿宋_GB2312" w:hAnsi="仿宋_GB2312" w:eastAsia="仿宋_GB2312"/>
          <w:sz w:val="24"/>
          <w:lang w:val="en-US" w:eastAsia="zh-CN"/>
        </w:rPr>
        <w:t>保密</w:t>
      </w:r>
      <w:r>
        <w:rPr>
          <w:rFonts w:hint="eastAsia" w:ascii="仿宋_GB2312" w:hAnsi="仿宋_GB2312" w:eastAsia="仿宋_GB2312"/>
          <w:sz w:val="24"/>
          <w:lang w:eastAsia="zh-CN"/>
        </w:rPr>
        <w:t>》、</w:t>
      </w:r>
      <w:r>
        <w:rPr>
          <w:rFonts w:hint="eastAsia" w:ascii="仿宋_GB2312" w:hAnsi="仿宋_GB2312" w:eastAsia="仿宋_GB2312"/>
          <w:sz w:val="24"/>
        </w:rPr>
        <w:t>《工程质量保修书》、《建设工程安全生产协议书》、《工程建设项目廉政责任书》。</w:t>
      </w:r>
    </w:p>
    <w:p w14:paraId="17EEB1AE">
      <w:pPr>
        <w:spacing w:line="400" w:lineRule="exact"/>
        <w:ind w:firstLine="360" w:firstLineChars="150"/>
        <w:rPr>
          <w:rFonts w:hint="eastAsia" w:ascii="仿宋_GB2312" w:hAnsi="仿宋_GB2312" w:eastAsia="仿宋_GB2312"/>
          <w:sz w:val="24"/>
        </w:rPr>
      </w:pPr>
      <w:r>
        <w:rPr>
          <w:rFonts w:hint="eastAsia" w:ascii="仿宋_GB2312" w:hAnsi="仿宋_GB2312" w:eastAsia="仿宋_GB2312"/>
          <w:sz w:val="24"/>
        </w:rPr>
        <w:t>（以下为签署页，无正文）</w:t>
      </w:r>
    </w:p>
    <w:p w14:paraId="7D1AE37B">
      <w:pPr>
        <w:spacing w:line="480" w:lineRule="auto"/>
        <w:rPr>
          <w:rFonts w:hint="eastAsia" w:ascii="仿宋_GB2312" w:hAnsi="仿宋_GB2312" w:eastAsia="仿宋_GB2312"/>
          <w:sz w:val="24"/>
        </w:rPr>
      </w:pPr>
    </w:p>
    <w:p w14:paraId="45C775A3">
      <w:pPr>
        <w:spacing w:line="480" w:lineRule="auto"/>
        <w:rPr>
          <w:rFonts w:hint="eastAsia" w:ascii="仿宋_GB2312" w:hAnsi="仿宋_GB2312" w:eastAsia="仿宋_GB2312"/>
          <w:sz w:val="24"/>
        </w:rPr>
      </w:pPr>
      <w:r>
        <w:rPr>
          <w:rFonts w:hint="eastAsia" w:ascii="仿宋_GB2312" w:hAnsi="仿宋_GB2312" w:eastAsia="仿宋_GB2312"/>
          <w:sz w:val="24"/>
        </w:rPr>
        <w:t>甲方：                              乙方：</w:t>
      </w:r>
    </w:p>
    <w:p w14:paraId="3E241DE8">
      <w:pPr>
        <w:spacing w:line="480" w:lineRule="auto"/>
        <w:rPr>
          <w:rFonts w:hint="eastAsia" w:ascii="仿宋_GB2312" w:hAnsi="仿宋_GB2312" w:eastAsia="仿宋_GB2312"/>
          <w:sz w:val="24"/>
        </w:rPr>
      </w:pPr>
      <w:r>
        <w:rPr>
          <w:rFonts w:hint="eastAsia" w:ascii="仿宋_GB2312" w:hAnsi="仿宋_GB2312" w:eastAsia="仿宋_GB2312"/>
          <w:sz w:val="24"/>
        </w:rPr>
        <w:t>法定代表人或授权代表 ：             法定代表人或授权代表：</w:t>
      </w:r>
    </w:p>
    <w:p w14:paraId="57608C05">
      <w:pPr>
        <w:spacing w:line="480" w:lineRule="auto"/>
        <w:rPr>
          <w:rFonts w:hint="eastAsia" w:ascii="仿宋_GB2312" w:hAnsi="仿宋_GB2312" w:eastAsia="仿宋_GB2312"/>
          <w:sz w:val="24"/>
        </w:rPr>
      </w:pPr>
      <w:r>
        <w:rPr>
          <w:rFonts w:hint="eastAsia" w:ascii="仿宋_GB2312" w:hAnsi="仿宋_GB2312" w:eastAsia="仿宋_GB2312"/>
          <w:sz w:val="24"/>
        </w:rPr>
        <w:t xml:space="preserve">                   日期：   年   月  日</w:t>
      </w:r>
    </w:p>
    <w:p w14:paraId="56F91AE6">
      <w:pPr>
        <w:spacing w:line="400" w:lineRule="exact"/>
        <w:rPr>
          <w:rFonts w:hint="eastAsia" w:ascii="仿宋_GB2312" w:hAnsi="仿宋_GB2312" w:eastAsia="仿宋_GB2312"/>
          <w:b/>
          <w:sz w:val="36"/>
          <w:szCs w:val="36"/>
        </w:rPr>
      </w:pPr>
    </w:p>
    <w:p w14:paraId="088284F3">
      <w:pPr>
        <w:spacing w:line="400" w:lineRule="exact"/>
        <w:jc w:val="center"/>
        <w:rPr>
          <w:rFonts w:hint="eastAsia" w:ascii="仿宋_GB2312" w:hAnsi="仿宋_GB2312" w:eastAsia="仿宋_GB2312"/>
          <w:b/>
          <w:sz w:val="36"/>
          <w:szCs w:val="36"/>
        </w:rPr>
      </w:pPr>
    </w:p>
    <w:p w14:paraId="4F0BF64F">
      <w:pPr>
        <w:pStyle w:val="9"/>
        <w:rPr>
          <w:rFonts w:hint="eastAsia" w:ascii="仿宋_GB2312" w:hAnsi="仿宋_GB2312" w:eastAsia="仿宋_GB2312"/>
          <w:b/>
          <w:sz w:val="36"/>
          <w:szCs w:val="36"/>
        </w:rPr>
      </w:pPr>
    </w:p>
    <w:p w14:paraId="74F06606">
      <w:pPr>
        <w:pStyle w:val="10"/>
        <w:widowControl w:val="0"/>
        <w:numPr>
          <w:ilvl w:val="0"/>
          <w:numId w:val="0"/>
        </w:numPr>
        <w:adjustRightInd w:val="0"/>
        <w:spacing w:line="360" w:lineRule="auto"/>
        <w:jc w:val="both"/>
        <w:textAlignment w:val="baseline"/>
        <w:rPr>
          <w:rFonts w:hint="eastAsia" w:ascii="仿宋_GB2312" w:hAnsi="仿宋_GB2312" w:eastAsia="仿宋_GB2312"/>
          <w:b/>
          <w:sz w:val="36"/>
          <w:szCs w:val="36"/>
        </w:rPr>
      </w:pPr>
    </w:p>
    <w:p w14:paraId="35D02830">
      <w:pPr>
        <w:pStyle w:val="10"/>
        <w:widowControl w:val="0"/>
        <w:numPr>
          <w:ilvl w:val="0"/>
          <w:numId w:val="0"/>
        </w:numPr>
        <w:adjustRightInd w:val="0"/>
        <w:spacing w:line="360" w:lineRule="auto"/>
        <w:jc w:val="both"/>
        <w:textAlignment w:val="baseline"/>
        <w:rPr>
          <w:rFonts w:hint="eastAsia" w:ascii="仿宋_GB2312" w:hAnsi="仿宋_GB2312" w:eastAsia="仿宋_GB2312"/>
          <w:b/>
          <w:sz w:val="36"/>
          <w:szCs w:val="36"/>
        </w:rPr>
      </w:pPr>
    </w:p>
    <w:p w14:paraId="15DC01CB">
      <w:pPr>
        <w:pStyle w:val="10"/>
        <w:widowControl w:val="0"/>
        <w:numPr>
          <w:ilvl w:val="0"/>
          <w:numId w:val="0"/>
        </w:numPr>
        <w:adjustRightInd w:val="0"/>
        <w:spacing w:line="360" w:lineRule="auto"/>
        <w:jc w:val="both"/>
        <w:textAlignment w:val="baseline"/>
        <w:rPr>
          <w:rFonts w:hint="eastAsia" w:ascii="仿宋_GB2312" w:hAnsi="仿宋_GB2312" w:eastAsia="仿宋_GB2312"/>
          <w:b/>
          <w:sz w:val="36"/>
          <w:szCs w:val="36"/>
        </w:rPr>
      </w:pPr>
    </w:p>
    <w:p w14:paraId="09BB4025">
      <w:pPr>
        <w:pStyle w:val="10"/>
        <w:widowControl w:val="0"/>
        <w:numPr>
          <w:ilvl w:val="0"/>
          <w:numId w:val="0"/>
        </w:numPr>
        <w:adjustRightInd w:val="0"/>
        <w:spacing w:line="360" w:lineRule="auto"/>
        <w:jc w:val="both"/>
        <w:textAlignment w:val="baseline"/>
        <w:rPr>
          <w:rFonts w:hint="eastAsia" w:ascii="仿宋_GB2312" w:hAnsi="仿宋_GB2312" w:eastAsia="仿宋_GB2312"/>
          <w:b/>
          <w:sz w:val="36"/>
          <w:szCs w:val="36"/>
        </w:rPr>
      </w:pPr>
    </w:p>
    <w:p w14:paraId="07074135">
      <w:pPr>
        <w:pStyle w:val="10"/>
        <w:widowControl w:val="0"/>
        <w:numPr>
          <w:ilvl w:val="0"/>
          <w:numId w:val="0"/>
        </w:numPr>
        <w:adjustRightInd w:val="0"/>
        <w:spacing w:line="360" w:lineRule="auto"/>
        <w:jc w:val="both"/>
        <w:textAlignment w:val="baseline"/>
        <w:rPr>
          <w:rFonts w:hint="eastAsia" w:ascii="仿宋_GB2312" w:hAnsi="仿宋_GB2312" w:eastAsia="仿宋_GB2312"/>
          <w:b/>
          <w:sz w:val="36"/>
          <w:szCs w:val="36"/>
        </w:rPr>
      </w:pPr>
    </w:p>
    <w:p w14:paraId="4001CA60">
      <w:pPr>
        <w:pStyle w:val="10"/>
        <w:widowControl w:val="0"/>
        <w:numPr>
          <w:ilvl w:val="0"/>
          <w:numId w:val="0"/>
        </w:numPr>
        <w:adjustRightInd w:val="0"/>
        <w:spacing w:line="360" w:lineRule="auto"/>
        <w:jc w:val="both"/>
        <w:textAlignment w:val="baseline"/>
        <w:rPr>
          <w:rFonts w:hint="eastAsia" w:ascii="仿宋_GB2312" w:hAnsi="仿宋_GB2312" w:eastAsia="仿宋_GB2312"/>
          <w:b/>
          <w:sz w:val="36"/>
          <w:szCs w:val="36"/>
        </w:rPr>
      </w:pPr>
    </w:p>
    <w:p w14:paraId="1A46EC4B">
      <w:pPr>
        <w:pStyle w:val="10"/>
        <w:widowControl w:val="0"/>
        <w:numPr>
          <w:ilvl w:val="0"/>
          <w:numId w:val="0"/>
        </w:numPr>
        <w:adjustRightInd w:val="0"/>
        <w:spacing w:line="360" w:lineRule="auto"/>
        <w:jc w:val="both"/>
        <w:textAlignment w:val="baseline"/>
        <w:rPr>
          <w:rFonts w:hint="eastAsia" w:ascii="仿宋_GB2312" w:hAnsi="仿宋_GB2312" w:eastAsia="仿宋_GB2312"/>
          <w:b/>
          <w:sz w:val="36"/>
          <w:szCs w:val="36"/>
        </w:rPr>
      </w:pPr>
    </w:p>
    <w:p w14:paraId="0D581F6A">
      <w:pPr>
        <w:pStyle w:val="10"/>
        <w:widowControl w:val="0"/>
        <w:numPr>
          <w:ilvl w:val="0"/>
          <w:numId w:val="0"/>
        </w:numPr>
        <w:adjustRightInd w:val="0"/>
        <w:spacing w:line="360" w:lineRule="auto"/>
        <w:jc w:val="both"/>
        <w:textAlignment w:val="baseline"/>
        <w:rPr>
          <w:rFonts w:hint="eastAsia" w:ascii="仿宋_GB2312" w:hAnsi="仿宋_GB2312" w:eastAsia="仿宋_GB2312"/>
          <w:b/>
          <w:sz w:val="36"/>
          <w:szCs w:val="36"/>
        </w:rPr>
      </w:pPr>
    </w:p>
    <w:p w14:paraId="47B2C764">
      <w:pPr>
        <w:pStyle w:val="10"/>
        <w:widowControl w:val="0"/>
        <w:numPr>
          <w:ilvl w:val="0"/>
          <w:numId w:val="0"/>
        </w:numPr>
        <w:adjustRightInd w:val="0"/>
        <w:spacing w:line="360" w:lineRule="auto"/>
        <w:jc w:val="both"/>
        <w:textAlignment w:val="baseline"/>
        <w:rPr>
          <w:rFonts w:hint="eastAsia" w:ascii="仿宋_GB2312" w:hAnsi="仿宋_GB2312" w:eastAsia="仿宋_GB2312"/>
          <w:b/>
          <w:sz w:val="36"/>
          <w:szCs w:val="36"/>
        </w:rPr>
      </w:pPr>
    </w:p>
    <w:p w14:paraId="2A464693">
      <w:pPr>
        <w:spacing w:line="400" w:lineRule="exact"/>
        <w:jc w:val="center"/>
        <w:rPr>
          <w:rFonts w:hint="eastAsia" w:ascii="仿宋_GB2312" w:hAnsi="仿宋_GB2312" w:eastAsia="仿宋_GB2312"/>
          <w:b/>
          <w:sz w:val="36"/>
          <w:szCs w:val="36"/>
        </w:rPr>
      </w:pPr>
    </w:p>
    <w:p w14:paraId="59356016">
      <w:pPr>
        <w:pStyle w:val="20"/>
        <w:shd w:val="clear" w:color="auto" w:fill="FFFFFF"/>
        <w:spacing w:before="0" w:beforeAutospacing="0" w:after="0" w:afterAutospacing="0" w:line="400" w:lineRule="exact"/>
        <w:jc w:val="both"/>
        <w:rPr>
          <w:rFonts w:hint="eastAsia" w:ascii="仿宋_GB2312" w:hAnsi="仿宋_GB2312" w:eastAsia="仿宋_GB2312" w:cs="Times New Roman"/>
          <w:b/>
          <w:color w:val="auto"/>
          <w:sz w:val="36"/>
          <w:szCs w:val="36"/>
        </w:rPr>
      </w:pPr>
      <w:r>
        <w:rPr>
          <w:rFonts w:hint="eastAsia" w:ascii="仿宋_GB2312" w:hAnsi="仿宋_GB2312" w:eastAsia="仿宋_GB2312" w:cs="Times New Roman"/>
          <w:b/>
          <w:color w:val="auto"/>
          <w:sz w:val="28"/>
          <w:szCs w:val="28"/>
        </w:rPr>
        <w:t>附件</w:t>
      </w:r>
      <w:r>
        <w:rPr>
          <w:rFonts w:hint="eastAsia" w:ascii="仿宋_GB2312" w:hAnsi="仿宋_GB2312" w:eastAsia="仿宋_GB2312" w:cs="Times New Roman"/>
          <w:b/>
          <w:color w:val="auto"/>
          <w:sz w:val="28"/>
          <w:szCs w:val="28"/>
          <w:lang w:val="en-US" w:eastAsia="zh-CN"/>
        </w:rPr>
        <w:t>1</w:t>
      </w:r>
      <w:r>
        <w:rPr>
          <w:rFonts w:hint="default" w:ascii="仿宋_GB2312" w:hAnsi="仿宋_GB2312" w:eastAsia="仿宋_GB2312" w:cs="Times New Roman"/>
          <w:b/>
          <w:color w:val="auto"/>
          <w:sz w:val="28"/>
          <w:szCs w:val="28"/>
          <w:lang w:val="en-US" w:eastAsia="zh-CN"/>
        </w:rPr>
        <w:t>:</w:t>
      </w:r>
      <w:r>
        <w:rPr>
          <w:rFonts w:hint="eastAsia" w:ascii="仿宋_GB2312" w:hAnsi="仿宋_GB2312" w:eastAsia="仿宋_GB2312" w:cs="Times New Roman"/>
          <w:b/>
          <w:color w:val="auto"/>
          <w:sz w:val="28"/>
          <w:szCs w:val="28"/>
        </w:rPr>
        <w:t>保密协议</w:t>
      </w:r>
      <w:r>
        <w:rPr>
          <w:rFonts w:hint="eastAsia" w:ascii="仿宋_GB2312" w:hAnsi="仿宋_GB2312" w:eastAsia="仿宋_GB2312" w:cs="Times New Roman"/>
          <w:b/>
          <w:color w:val="auto"/>
          <w:sz w:val="28"/>
          <w:szCs w:val="28"/>
          <w:lang w:val="en-US" w:eastAsia="zh-CN"/>
        </w:rPr>
        <w:t xml:space="preserve">           </w:t>
      </w:r>
      <w:r>
        <w:rPr>
          <w:rFonts w:hint="eastAsia" w:ascii="仿宋_GB2312" w:hAnsi="仿宋_GB2312" w:eastAsia="仿宋_GB2312" w:cs="Times New Roman"/>
          <w:b/>
          <w:color w:val="auto"/>
          <w:sz w:val="36"/>
          <w:szCs w:val="36"/>
        </w:rPr>
        <w:t>保 密 协 议</w:t>
      </w:r>
    </w:p>
    <w:p w14:paraId="78CAB807">
      <w:pPr>
        <w:spacing w:line="400" w:lineRule="exact"/>
      </w:pPr>
    </w:p>
    <w:p w14:paraId="0F73E39D">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甲方：</w:t>
      </w:r>
      <w:r>
        <w:rPr>
          <w:rFonts w:hint="eastAsia" w:ascii="仿宋" w:hAnsi="仿宋" w:cs="仿宋"/>
          <w:sz w:val="24"/>
          <w:szCs w:val="24"/>
          <w:u w:val="single"/>
          <w:lang w:eastAsia="zh-CN"/>
        </w:rPr>
        <w:t xml:space="preserve">                                       </w:t>
      </w:r>
    </w:p>
    <w:p w14:paraId="4982469E">
      <w:pPr>
        <w:spacing w:line="400" w:lineRule="exact"/>
        <w:rPr>
          <w:rFonts w:hint="eastAsia" w:ascii="仿宋" w:hAnsi="仿宋" w:eastAsia="仿宋" w:cs="仿宋"/>
          <w:sz w:val="24"/>
          <w:szCs w:val="24"/>
        </w:rPr>
      </w:pPr>
    </w:p>
    <w:p w14:paraId="56EE018A">
      <w:pPr>
        <w:spacing w:line="400" w:lineRule="exact"/>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p>
    <w:p w14:paraId="7A970873">
      <w:pPr>
        <w:spacing w:line="400" w:lineRule="exact"/>
        <w:ind w:firstLine="1320" w:firstLineChars="550"/>
        <w:rPr>
          <w:rFonts w:hint="eastAsia" w:ascii="仿宋" w:hAnsi="仿宋" w:eastAsia="仿宋" w:cs="仿宋"/>
          <w:sz w:val="24"/>
          <w:szCs w:val="24"/>
        </w:rPr>
      </w:pPr>
    </w:p>
    <w:p w14:paraId="4B07047D">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      </w:t>
      </w:r>
    </w:p>
    <w:p w14:paraId="3CE1DECB">
      <w:pPr>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根据《中华人民共和国保守国家秘密法》及相关规定，为了保护国家和委托人相关秘密，维护信息安全，甲乙双方在订立建设工程</w:t>
      </w:r>
      <w:r>
        <w:rPr>
          <w:rFonts w:hint="eastAsia" w:ascii="仿宋" w:hAnsi="仿宋" w:eastAsia="仿宋" w:cs="仿宋"/>
          <w:sz w:val="24"/>
          <w:szCs w:val="24"/>
          <w:lang w:eastAsia="zh-CN"/>
        </w:rPr>
        <w:t>施工</w:t>
      </w:r>
      <w:r>
        <w:rPr>
          <w:rFonts w:hint="eastAsia" w:ascii="仿宋" w:hAnsi="仿宋" w:eastAsia="仿宋" w:cs="仿宋"/>
          <w:sz w:val="24"/>
          <w:szCs w:val="24"/>
        </w:rPr>
        <w:t>合同的基础上，就涉及的保密信息达成以下一致：</w:t>
      </w:r>
    </w:p>
    <w:p w14:paraId="33C922D8">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1.本协议所称“保密信息”是指：</w:t>
      </w:r>
      <w:r>
        <w:rPr>
          <w:rFonts w:hint="eastAsia" w:ascii="仿宋" w:hAnsi="仿宋" w:eastAsia="仿宋" w:cs="仿宋"/>
          <w:sz w:val="24"/>
          <w:szCs w:val="24"/>
          <w:u w:val="single"/>
        </w:rPr>
        <w:t>甲方所提供的所有资料、数据等信息</w:t>
      </w:r>
      <w:r>
        <w:rPr>
          <w:rFonts w:hint="eastAsia" w:ascii="仿宋" w:hAnsi="仿宋" w:eastAsia="仿宋" w:cs="仿宋"/>
          <w:sz w:val="24"/>
          <w:szCs w:val="24"/>
        </w:rPr>
        <w:t>。包括但不限于：项目秘密和信息，任何甲方不欲公开的观点、发现、发明、公式、程序、计划、图表、模型、参数、数据、标准和专有技术秘密，和或其中的任何知识产权。</w:t>
      </w:r>
    </w:p>
    <w:p w14:paraId="3F735F63">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2.甲方向乙方提供保密信息的行为不构成向乙方授予任何与保密信息相关的专利权、专利申请权、商标权、著作权、商业秘密或其它的知识产权。</w:t>
      </w:r>
    </w:p>
    <w:p w14:paraId="61FE91AD">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3.乙方承诺仅为“</w:t>
      </w:r>
      <w:r>
        <w:rPr>
          <w:rFonts w:hint="eastAsia" w:ascii="仿宋" w:hAnsi="仿宋" w:eastAsia="仿宋" w:cs="仿宋"/>
          <w:sz w:val="24"/>
          <w:szCs w:val="24"/>
          <w:u w:val="single"/>
        </w:rPr>
        <w:t xml:space="preserve">        </w:t>
      </w:r>
      <w:r>
        <w:rPr>
          <w:rFonts w:hint="eastAsia" w:ascii="仿宋" w:hAnsi="仿宋" w:cs="仿宋"/>
          <w:sz w:val="24"/>
          <w:szCs w:val="24"/>
          <w:u w:val="single"/>
          <w:lang w:val="en-US" w:eastAsia="zh-CN"/>
        </w:rPr>
        <w:t>阿克苏某单位隔离网及立柱维修</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rPr>
        <w:t>”使用保密信息，不为任何其他目的使用保密信息。</w:t>
      </w:r>
    </w:p>
    <w:p w14:paraId="5C1CAC44">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4.乙方须自觉学习并严格遵守国家有关法律法规、甲方各项保密管理制度和要求。</w:t>
      </w:r>
    </w:p>
    <w:p w14:paraId="72B5041D">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5.乙方不得将涉密载体（指文字、数据、符号、图形、图像、声音等方式记载国家和委托人秘密信息的纸介质、磁介质、光盘等各类物品，其中磁介质载体包括计算机硬盘、软盘和录音带、录像带等）带出办公场所；因工作原因确需带出办公场所的，须经过甲方书面批准，并根据有关规定采取相应的安全防范措施，确保涉及载体的安全，防止丢失或泄密；不得使用普通手机存储、处理、传输国家和委托人秘密信息。</w:t>
      </w:r>
    </w:p>
    <w:p w14:paraId="743B0984">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6.乙方不得在私人通信和公开发表的文章、著作中，涉及国家秘密和甲方的工作内容、技术手段等工作秘密，不得擅自复制、留存或销毁涉密载体。</w:t>
      </w:r>
    </w:p>
    <w:p w14:paraId="3D25AD8E">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7.未经甲方的事先书面批准，乙方不得以任何形式或任何方式将保密信息或其中的任何部分，披露或透露给任何第三方。乙方有义务妥善保管保密信息，不得复制，不得泄漏或遗失。乙方也不得依据保密信息，就任何问题，向任何第三方做出任何建议。</w:t>
      </w:r>
    </w:p>
    <w:p w14:paraId="18E0D193">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8.乙方员工在聘用合同存续期内提前终止聘用合同或合同到期离职的，乙方应立即将该情况通知甲方，并要求离职人员清理和移交本人保管的资料、文件、数据等含有招标代理项目信息的载体，并签订离职保密承诺书。</w:t>
      </w:r>
    </w:p>
    <w:p w14:paraId="0FA2569D">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9.乙方在向其参与</w:t>
      </w:r>
      <w:r>
        <w:rPr>
          <w:rFonts w:hint="eastAsia" w:ascii="仿宋" w:hAnsi="仿宋" w:eastAsia="仿宋" w:cs="仿宋"/>
          <w:sz w:val="24"/>
          <w:szCs w:val="24"/>
          <w:lang w:eastAsia="zh-CN"/>
        </w:rPr>
        <w:t>项目</w:t>
      </w:r>
      <w:r>
        <w:rPr>
          <w:rFonts w:hint="eastAsia" w:ascii="仿宋" w:hAnsi="仿宋" w:eastAsia="仿宋" w:cs="仿宋"/>
          <w:sz w:val="24"/>
          <w:szCs w:val="24"/>
        </w:rPr>
        <w:t>的工作人员披露任何保密信息之前，必须采取一切合理的预防措施，该等预防措施包括但不限于告知其工作人员将要披露信息的保密性质，以适当方式要求其工作人员遵守本协议约定，并对其进行有效管理，以确保本协议的履行。乙方应与其参与本项目的人员分别签订一份保密协议，该协议的实质内容与本协议内容充分相似。乙方工作人员（包括离职人员）违反本协议规定的，由乙方承担全部责任。</w:t>
      </w:r>
    </w:p>
    <w:p w14:paraId="73EFDAE0">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10．如乙方的律师、顾问等为提供专业协助而需要了解保密信息时，乙方应首先征得甲方书面同意，在向上述人员提供保密信息前要求其签订保密协议或按照有关职业道德标准履行保密义务。上述人员泄露保密信息的，乙方承担全部责任。</w:t>
      </w:r>
    </w:p>
    <w:p w14:paraId="5A2F0427">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eastAsia="zh-CN"/>
        </w:rPr>
        <w:t>本</w:t>
      </w:r>
      <w:r>
        <w:rPr>
          <w:rFonts w:hint="eastAsia" w:ascii="仿宋" w:hAnsi="仿宋" w:eastAsia="仿宋" w:cs="仿宋"/>
          <w:sz w:val="24"/>
          <w:szCs w:val="24"/>
        </w:rPr>
        <w:t>项目完成后或在甲方要求的任何时间，乙方应立即停止使用甲方提供的保密信息，按甲方要求交回所有项目资料，并不得复制或以其他形式留存与项目有关的任何资料（包括电子文档、纸介质等一切形式的资料）。如确属不能归还的形式，经甲方书面同意后予以删除或销毁。</w:t>
      </w:r>
    </w:p>
    <w:p w14:paraId="715D88AC">
      <w:pPr>
        <w:widowControl/>
        <w:spacing w:before="120" w:after="120"/>
        <w:ind w:firstLine="480" w:firstLineChars="200"/>
        <w:rPr>
          <w:rFonts w:hint="eastAsia" w:ascii="仿宋" w:hAnsi="仿宋" w:eastAsia="仿宋" w:cs="仿宋"/>
          <w:sz w:val="24"/>
          <w:szCs w:val="24"/>
        </w:rPr>
      </w:pPr>
      <w:r>
        <w:rPr>
          <w:rFonts w:hint="eastAsia" w:ascii="仿宋" w:hAnsi="仿宋" w:eastAsia="仿宋" w:cs="仿宋"/>
          <w:sz w:val="24"/>
          <w:szCs w:val="24"/>
        </w:rPr>
        <w:t>12.乙方的职员违背保密承诺，未按照本协议的规定使用保密信息或向第三方披露保密信息，或依据保密信息向第三方做出任何建议，都被视为乙方违反本协议。</w:t>
      </w:r>
    </w:p>
    <w:p w14:paraId="769D7753">
      <w:pPr>
        <w:widowControl/>
        <w:spacing w:before="120" w:after="120"/>
        <w:ind w:firstLine="480" w:firstLineChars="20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13.甲方有权随时收回向乙方提供的保密资料，乙方接到甲方通知后3日内，无条件向</w:t>
      </w:r>
      <w:r>
        <w:rPr>
          <w:rFonts w:hint="eastAsia" w:ascii="仿宋" w:hAnsi="仿宋" w:eastAsia="仿宋" w:cs="仿宋"/>
          <w:snapToGrid w:val="0"/>
          <w:color w:val="000000"/>
          <w:kern w:val="0"/>
          <w:sz w:val="24"/>
          <w:szCs w:val="24"/>
          <w:lang w:val="en-US" w:eastAsia="en-US" w:bidi="ar-SA"/>
        </w:rPr>
        <w:t>甲方返还所有资料。</w:t>
      </w:r>
    </w:p>
    <w:p w14:paraId="40964656">
      <w:pPr>
        <w:widowControl/>
        <w:spacing w:before="120" w:after="120"/>
        <w:ind w:firstLine="480" w:firstLineChars="200"/>
        <w:rPr>
          <w:rFonts w:hint="default" w:ascii="仿宋" w:hAnsi="仿宋" w:eastAsia="仿宋" w:cs="仿宋"/>
          <w:snapToGrid w:val="0"/>
          <w:color w:val="000000"/>
          <w:kern w:val="0"/>
          <w:sz w:val="24"/>
          <w:szCs w:val="24"/>
          <w:lang w:val="en-US" w:eastAsia="en-US" w:bidi="ar-SA"/>
        </w:rPr>
      </w:pPr>
      <w:r>
        <w:rPr>
          <w:rFonts w:hint="default" w:ascii="仿宋" w:hAnsi="仿宋" w:eastAsia="仿宋" w:cs="仿宋"/>
          <w:snapToGrid w:val="0"/>
          <w:color w:val="000000"/>
          <w:kern w:val="0"/>
          <w:sz w:val="24"/>
          <w:szCs w:val="24"/>
          <w:lang w:val="en-US" w:eastAsia="en-US" w:bidi="ar-SA"/>
        </w:rPr>
        <w:t xml:space="preserve">14.乙方对于本合同项下工作有保密的义务和责任，不得留存技术资料和复制品，不得进行任何形式的泄露，严禁拍照、摄像，安装调试完成以后，不得采取任何手段入侵监控系统，如有违法违纪或任何泄密行为，甲方有权制止同时可要求乙方承担当期结算价款15%违约金，情节严重的移交司法部门追究起法律责任。  </w:t>
      </w:r>
    </w:p>
    <w:p w14:paraId="7E8E3BD6">
      <w:pPr>
        <w:widowControl/>
        <w:spacing w:before="120" w:after="120"/>
        <w:ind w:firstLine="480" w:firstLineChars="200"/>
        <w:rPr>
          <w:rFonts w:hint="default" w:ascii="仿宋" w:hAnsi="仿宋" w:eastAsia="仿宋" w:cs="仿宋"/>
          <w:snapToGrid w:val="0"/>
          <w:color w:val="000000"/>
          <w:kern w:val="0"/>
          <w:sz w:val="24"/>
          <w:szCs w:val="24"/>
          <w:lang w:val="en-US" w:eastAsia="en-US" w:bidi="ar-SA"/>
        </w:rPr>
      </w:pPr>
      <w:r>
        <w:rPr>
          <w:rFonts w:hint="default" w:ascii="仿宋" w:hAnsi="仿宋" w:eastAsia="仿宋" w:cs="仿宋"/>
          <w:snapToGrid w:val="0"/>
          <w:color w:val="000000"/>
          <w:kern w:val="0"/>
          <w:sz w:val="24"/>
          <w:szCs w:val="24"/>
          <w:lang w:val="en-US" w:eastAsia="en-US" w:bidi="ar-SA"/>
        </w:rPr>
        <w:t>15.乙方对本合同资料、信息（包括但不限于商业秘密、技术资料、数据以及与业务有关的信息及其他信息等）负保密责任，并不得向任何人披露上述资料和信息，但正常履行本合同项下义务的除外。</w:t>
      </w:r>
    </w:p>
    <w:p w14:paraId="21AF9639">
      <w:pPr>
        <w:widowControl/>
        <w:spacing w:before="120" w:after="120"/>
        <w:ind w:firstLine="480" w:firstLineChars="200"/>
        <w:rPr>
          <w:rFonts w:hint="default" w:ascii="仿宋" w:hAnsi="仿宋" w:eastAsia="仿宋" w:cs="仿宋"/>
          <w:snapToGrid w:val="0"/>
          <w:color w:val="000000"/>
          <w:kern w:val="0"/>
          <w:sz w:val="24"/>
          <w:szCs w:val="24"/>
          <w:lang w:val="en-US" w:eastAsia="en-US" w:bidi="ar-SA"/>
        </w:rPr>
      </w:pPr>
      <w:r>
        <w:rPr>
          <w:rFonts w:hint="default" w:ascii="仿宋" w:hAnsi="仿宋" w:eastAsia="仿宋" w:cs="仿宋"/>
          <w:snapToGrid w:val="0"/>
          <w:color w:val="000000"/>
          <w:kern w:val="0"/>
          <w:sz w:val="24"/>
          <w:szCs w:val="24"/>
          <w:lang w:val="en-US" w:eastAsia="en-US" w:bidi="ar-SA"/>
        </w:rPr>
        <w:t>16.乙方承担的保密期限为永久，因乙方泄密而导致甲方遭受损失的，乙方应按本合同总价款的15%支付违约金，造成甲方损失的，乙方另行赔偿损失。</w:t>
      </w:r>
    </w:p>
    <w:p w14:paraId="06C2744A">
      <w:pPr>
        <w:widowControl/>
        <w:spacing w:before="120" w:after="120"/>
        <w:ind w:firstLine="480" w:firstLineChars="200"/>
        <w:rPr>
          <w:rFonts w:hint="eastAsia" w:ascii="仿宋" w:hAnsi="仿宋" w:eastAsia="仿宋" w:cs="仿宋"/>
          <w:snapToGrid w:val="0"/>
          <w:color w:val="000000"/>
          <w:kern w:val="0"/>
          <w:sz w:val="24"/>
          <w:szCs w:val="24"/>
          <w:lang w:val="en-US" w:eastAsia="en-US" w:bidi="ar-SA"/>
        </w:rPr>
      </w:pPr>
      <w:r>
        <w:rPr>
          <w:rFonts w:hint="default" w:ascii="仿宋" w:hAnsi="仿宋" w:eastAsia="仿宋" w:cs="仿宋"/>
          <w:snapToGrid w:val="0"/>
          <w:color w:val="000000"/>
          <w:kern w:val="0"/>
          <w:sz w:val="24"/>
          <w:szCs w:val="24"/>
          <w:lang w:val="en-US" w:eastAsia="en-US" w:bidi="ar-SA"/>
        </w:rPr>
        <w:t>17.保密条款具有独立性，不受本合同的终止或解除的影响。</w:t>
      </w:r>
    </w:p>
    <w:p w14:paraId="5FC82ED8">
      <w:pPr>
        <w:widowControl/>
        <w:spacing w:before="120" w:after="120"/>
        <w:ind w:firstLine="480" w:firstLineChars="200"/>
        <w:rPr>
          <w:rFonts w:hint="eastAsia" w:ascii="仿宋" w:hAnsi="仿宋" w:eastAsia="仿宋" w:cs="仿宋"/>
          <w:snapToGrid w:val="0"/>
          <w:color w:val="000000"/>
          <w:kern w:val="0"/>
          <w:sz w:val="24"/>
          <w:szCs w:val="24"/>
          <w:lang w:val="en-US" w:eastAsia="en-US" w:bidi="ar-SA"/>
        </w:rPr>
      </w:pPr>
      <w:r>
        <w:rPr>
          <w:rFonts w:hint="default" w:ascii="仿宋" w:hAnsi="仿宋" w:eastAsia="仿宋" w:cs="仿宋"/>
          <w:snapToGrid w:val="0"/>
          <w:color w:val="000000"/>
          <w:kern w:val="0"/>
          <w:sz w:val="24"/>
          <w:szCs w:val="24"/>
          <w:lang w:val="en-US" w:eastAsia="en-US" w:bidi="ar-SA"/>
        </w:rPr>
        <w:t>18.</w:t>
      </w:r>
      <w:r>
        <w:rPr>
          <w:rFonts w:hint="eastAsia" w:ascii="仿宋" w:hAnsi="仿宋" w:eastAsia="仿宋" w:cs="仿宋"/>
          <w:snapToGrid w:val="0"/>
          <w:color w:val="000000"/>
          <w:kern w:val="0"/>
          <w:sz w:val="24"/>
          <w:szCs w:val="24"/>
          <w:lang w:val="en-US" w:eastAsia="en-US" w:bidi="ar-SA"/>
        </w:rPr>
        <w:t>协议自双方签字盖章后生效，协议壹式</w:t>
      </w:r>
      <w:r>
        <w:rPr>
          <w:rFonts w:hint="default" w:ascii="仿宋" w:hAnsi="仿宋" w:eastAsia="仿宋" w:cs="仿宋"/>
          <w:snapToGrid w:val="0"/>
          <w:color w:val="000000"/>
          <w:kern w:val="0"/>
          <w:sz w:val="24"/>
          <w:szCs w:val="24"/>
          <w:lang w:val="en-US" w:eastAsia="en-US" w:bidi="ar-SA"/>
        </w:rPr>
        <w:t>4</w:t>
      </w:r>
      <w:r>
        <w:rPr>
          <w:rFonts w:hint="eastAsia" w:ascii="仿宋" w:hAnsi="仿宋" w:eastAsia="仿宋" w:cs="仿宋"/>
          <w:snapToGrid w:val="0"/>
          <w:color w:val="000000"/>
          <w:kern w:val="0"/>
          <w:sz w:val="24"/>
          <w:szCs w:val="24"/>
          <w:lang w:val="en-US" w:eastAsia="en-US" w:bidi="ar-SA"/>
        </w:rPr>
        <w:t>份，甲方执</w:t>
      </w:r>
      <w:r>
        <w:rPr>
          <w:rFonts w:hint="default" w:ascii="仿宋" w:hAnsi="仿宋" w:eastAsia="仿宋" w:cs="仿宋"/>
          <w:snapToGrid w:val="0"/>
          <w:color w:val="000000"/>
          <w:kern w:val="0"/>
          <w:sz w:val="24"/>
          <w:szCs w:val="24"/>
          <w:lang w:val="en-US" w:eastAsia="en-US" w:bidi="ar-SA"/>
        </w:rPr>
        <w:t>3</w:t>
      </w:r>
      <w:r>
        <w:rPr>
          <w:rFonts w:hint="eastAsia" w:ascii="仿宋" w:hAnsi="仿宋" w:eastAsia="仿宋" w:cs="仿宋"/>
          <w:snapToGrid w:val="0"/>
          <w:color w:val="000000"/>
          <w:kern w:val="0"/>
          <w:sz w:val="24"/>
          <w:szCs w:val="24"/>
          <w:lang w:val="en-US" w:eastAsia="en-US" w:bidi="ar-SA"/>
        </w:rPr>
        <w:t>份，乙方执</w:t>
      </w:r>
      <w:r>
        <w:rPr>
          <w:rFonts w:hint="default" w:ascii="仿宋" w:hAnsi="仿宋" w:eastAsia="仿宋" w:cs="仿宋"/>
          <w:snapToGrid w:val="0"/>
          <w:color w:val="000000"/>
          <w:kern w:val="0"/>
          <w:sz w:val="24"/>
          <w:szCs w:val="24"/>
          <w:lang w:val="en-US" w:eastAsia="en-US" w:bidi="ar-SA"/>
        </w:rPr>
        <w:t>1</w:t>
      </w:r>
      <w:r>
        <w:rPr>
          <w:rFonts w:hint="eastAsia" w:ascii="仿宋" w:hAnsi="仿宋" w:eastAsia="仿宋" w:cs="仿宋"/>
          <w:snapToGrid w:val="0"/>
          <w:color w:val="000000"/>
          <w:kern w:val="0"/>
          <w:sz w:val="24"/>
          <w:szCs w:val="24"/>
          <w:lang w:val="en-US" w:eastAsia="en-US" w:bidi="ar-SA"/>
        </w:rPr>
        <w:t>份，具有同等法律效力。</w:t>
      </w:r>
    </w:p>
    <w:p w14:paraId="079E9950">
      <w:pPr>
        <w:spacing w:before="120" w:after="120"/>
        <w:ind w:left="425" w:firstLine="480" w:firstLineChars="200"/>
        <w:rPr>
          <w:rFonts w:hint="eastAsia" w:ascii="仿宋" w:hAnsi="仿宋" w:eastAsia="仿宋" w:cs="仿宋"/>
          <w:snapToGrid w:val="0"/>
          <w:color w:val="000000"/>
          <w:kern w:val="0"/>
          <w:sz w:val="24"/>
          <w:szCs w:val="24"/>
          <w:lang w:val="en-US" w:eastAsia="en-US" w:bidi="ar-SA"/>
        </w:rPr>
      </w:pPr>
    </w:p>
    <w:p w14:paraId="5A44B746">
      <w:pPr>
        <w:spacing w:line="360" w:lineRule="auto"/>
        <w:ind w:left="5060" w:hanging="5520" w:hangingChars="2300"/>
        <w:rPr>
          <w:rFonts w:hint="eastAsia" w:ascii="仿宋" w:hAnsi="仿宋" w:eastAsia="仿宋" w:cs="仿宋"/>
          <w:sz w:val="24"/>
          <w:szCs w:val="24"/>
          <w:u w:val="single"/>
          <w:lang w:val="en-US" w:eastAsia="zh-CN"/>
        </w:rPr>
      </w:pPr>
      <w:r>
        <w:rPr>
          <w:rFonts w:hint="eastAsia" w:ascii="仿宋" w:hAnsi="仿宋" w:eastAsia="仿宋" w:cs="仿宋"/>
          <w:sz w:val="24"/>
          <w:szCs w:val="24"/>
        </w:rPr>
        <w:t>甲方</w:t>
      </w:r>
      <w:r>
        <w:rPr>
          <w:rFonts w:hint="eastAsia" w:ascii="仿宋" w:hAnsi="仿宋" w:eastAsia="仿宋" w:cs="仿宋"/>
          <w:bCs/>
          <w:sz w:val="24"/>
          <w:szCs w:val="24"/>
        </w:rPr>
        <w:t>：</w:t>
      </w:r>
      <w:r>
        <w:rPr>
          <w:rFonts w:hint="eastAsia" w:ascii="仿宋" w:hAnsi="仿宋" w:cs="仿宋"/>
          <w:sz w:val="24"/>
          <w:szCs w:val="24"/>
          <w:u w:val="single"/>
          <w:lang w:eastAsia="zh-CN"/>
        </w:rPr>
        <w:t xml:space="preserve">                                       </w:t>
      </w:r>
      <w:r>
        <w:rPr>
          <w:rFonts w:hint="eastAsia" w:ascii="仿宋" w:hAnsi="仿宋" w:eastAsia="仿宋" w:cs="仿宋"/>
          <w:sz w:val="24"/>
          <w:szCs w:val="24"/>
        </w:rPr>
        <w:t xml:space="preserve">   乙方：</w:t>
      </w:r>
      <w:r>
        <w:rPr>
          <w:rFonts w:hint="eastAsia" w:ascii="仿宋" w:hAnsi="仿宋" w:eastAsia="仿宋" w:cs="仿宋"/>
          <w:sz w:val="24"/>
          <w:szCs w:val="24"/>
          <w:u w:val="single"/>
          <w:lang w:eastAsia="zh-CN"/>
        </w:rPr>
        <w:t xml:space="preserve">                                      </w:t>
      </w:r>
    </w:p>
    <w:p w14:paraId="5A1DE549">
      <w:pPr>
        <w:spacing w:line="360" w:lineRule="auto"/>
        <w:ind w:left="5060" w:hanging="6624" w:hangingChars="2300"/>
        <w:rPr>
          <w:rFonts w:hint="eastAsia" w:ascii="仿宋" w:hAnsi="仿宋" w:eastAsia="仿宋" w:cs="仿宋"/>
          <w:snapToGrid w:val="0"/>
          <w:spacing w:val="24"/>
          <w:sz w:val="24"/>
          <w:szCs w:val="24"/>
        </w:rPr>
      </w:pPr>
      <w:r>
        <w:rPr>
          <w:rFonts w:hint="eastAsia" w:ascii="仿宋" w:hAnsi="仿宋" w:eastAsia="仿宋" w:cs="仿宋"/>
          <w:snapToGrid w:val="0"/>
          <w:spacing w:val="24"/>
          <w:sz w:val="24"/>
          <w:szCs w:val="24"/>
        </w:rPr>
        <w:t xml:space="preserve">（盖章）                 </w:t>
      </w:r>
      <w:r>
        <w:rPr>
          <w:rFonts w:hint="eastAsia" w:ascii="仿宋" w:hAnsi="仿宋" w:eastAsia="仿宋" w:cs="仿宋"/>
          <w:snapToGrid w:val="0"/>
          <w:spacing w:val="24"/>
          <w:sz w:val="24"/>
          <w:szCs w:val="24"/>
          <w:lang w:val="en-US" w:eastAsia="zh-CN"/>
        </w:rPr>
        <w:t xml:space="preserve"> </w:t>
      </w:r>
      <w:r>
        <w:rPr>
          <w:rFonts w:hint="default" w:ascii="仿宋" w:hAnsi="仿宋" w:eastAsia="仿宋" w:cs="仿宋"/>
          <w:snapToGrid w:val="0"/>
          <w:spacing w:val="24"/>
          <w:sz w:val="24"/>
          <w:szCs w:val="24"/>
          <w:lang w:val="en-US" w:eastAsia="zh-CN"/>
        </w:rPr>
        <w:t xml:space="preserve">            </w:t>
      </w:r>
      <w:r>
        <w:rPr>
          <w:rFonts w:hint="eastAsia" w:ascii="仿宋" w:hAnsi="仿宋" w:eastAsia="仿宋" w:cs="仿宋"/>
          <w:snapToGrid w:val="0"/>
          <w:spacing w:val="24"/>
          <w:sz w:val="24"/>
          <w:szCs w:val="24"/>
        </w:rPr>
        <w:t xml:space="preserve">  </w:t>
      </w:r>
      <w:r>
        <w:rPr>
          <w:rFonts w:hint="eastAsia" w:ascii="仿宋" w:hAnsi="仿宋" w:eastAsia="仿宋" w:cs="仿宋"/>
          <w:snapToGrid w:val="0"/>
          <w:spacing w:val="24"/>
          <w:sz w:val="24"/>
          <w:szCs w:val="24"/>
          <w:lang w:val="en-US" w:eastAsia="zh-CN"/>
        </w:rPr>
        <w:t xml:space="preserve">   </w:t>
      </w:r>
      <w:r>
        <w:rPr>
          <w:rFonts w:hint="eastAsia" w:ascii="仿宋" w:hAnsi="仿宋" w:eastAsia="仿宋" w:cs="仿宋"/>
          <w:sz w:val="24"/>
          <w:szCs w:val="24"/>
        </w:rPr>
        <w:t>(盖章）</w:t>
      </w:r>
    </w:p>
    <w:p w14:paraId="4E8540EC">
      <w:pPr>
        <w:adjustRightInd w:val="0"/>
        <w:spacing w:line="360" w:lineRule="auto"/>
        <w:rPr>
          <w:rFonts w:hint="eastAsia" w:ascii="仿宋" w:hAnsi="仿宋" w:eastAsia="仿宋" w:cs="仿宋"/>
          <w:bCs/>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lang w:eastAsia="zh-CN"/>
        </w:rPr>
        <w:t>或</w:t>
      </w:r>
      <w:r>
        <w:rPr>
          <w:rFonts w:hint="eastAsia" w:ascii="仿宋" w:hAnsi="仿宋" w:eastAsia="仿宋" w:cs="仿宋"/>
          <w:sz w:val="24"/>
          <w:szCs w:val="24"/>
        </w:rPr>
        <w:t>　　　　</w:t>
      </w:r>
      <w:r>
        <w:rPr>
          <w:rFonts w:hint="eastAsia" w:ascii="仿宋" w:hAnsi="仿宋" w:eastAsia="仿宋" w:cs="仿宋"/>
          <w:sz w:val="24"/>
          <w:szCs w:val="24"/>
          <w:lang w:val="en-US"/>
        </w:rPr>
        <w:t xml:space="preserve">          </w:t>
      </w:r>
      <w:r>
        <w:rPr>
          <w:rFonts w:hint="eastAsia" w:ascii="仿宋" w:hAnsi="仿宋" w:eastAsia="仿宋" w:cs="仿宋"/>
          <w:sz w:val="24"/>
          <w:szCs w:val="24"/>
        </w:rPr>
        <w:t>　　  法定代表人签字</w:t>
      </w:r>
      <w:r>
        <w:rPr>
          <w:rFonts w:hint="eastAsia" w:ascii="仿宋" w:hAnsi="仿宋" w:eastAsia="仿宋" w:cs="仿宋"/>
          <w:sz w:val="24"/>
          <w:szCs w:val="24"/>
          <w:lang w:eastAsia="zh-CN"/>
        </w:rPr>
        <w:t>或</w:t>
      </w:r>
    </w:p>
    <w:p w14:paraId="34874E62">
      <w:pPr>
        <w:adjustRightInd w:val="0"/>
        <w:spacing w:line="360" w:lineRule="auto"/>
        <w:rPr>
          <w:rFonts w:hint="eastAsia" w:ascii="仿宋" w:hAnsi="仿宋" w:eastAsia="仿宋" w:cs="仿宋"/>
          <w:snapToGrid w:val="0"/>
          <w:spacing w:val="24"/>
          <w:sz w:val="24"/>
          <w:szCs w:val="24"/>
        </w:rPr>
      </w:pPr>
      <w:r>
        <w:rPr>
          <w:rFonts w:hint="eastAsia" w:ascii="仿宋" w:hAnsi="仿宋" w:eastAsia="仿宋" w:cs="仿宋"/>
          <w:snapToGrid w:val="0"/>
          <w:spacing w:val="24"/>
          <w:sz w:val="24"/>
          <w:szCs w:val="24"/>
        </w:rPr>
        <w:t xml:space="preserve">授权代表签字：       </w:t>
      </w:r>
      <w:r>
        <w:rPr>
          <w:rFonts w:hint="eastAsia" w:ascii="仿宋" w:hAnsi="仿宋" w:eastAsia="仿宋" w:cs="仿宋"/>
          <w:snapToGrid w:val="0"/>
          <w:spacing w:val="24"/>
          <w:sz w:val="24"/>
          <w:szCs w:val="24"/>
          <w:lang w:val="en-US"/>
        </w:rPr>
        <w:t xml:space="preserve">       </w:t>
      </w:r>
      <w:r>
        <w:rPr>
          <w:rFonts w:hint="eastAsia" w:ascii="仿宋" w:hAnsi="仿宋" w:eastAsia="仿宋" w:cs="仿宋"/>
          <w:snapToGrid w:val="0"/>
          <w:spacing w:val="24"/>
          <w:sz w:val="24"/>
          <w:szCs w:val="24"/>
        </w:rPr>
        <w:t xml:space="preserve">  </w:t>
      </w:r>
      <w:r>
        <w:rPr>
          <w:rFonts w:hint="eastAsia" w:ascii="仿宋" w:hAnsi="仿宋" w:eastAsia="仿宋" w:cs="仿宋"/>
          <w:snapToGrid w:val="0"/>
          <w:spacing w:val="24"/>
          <w:sz w:val="24"/>
          <w:szCs w:val="24"/>
          <w:lang w:val="en-US" w:eastAsia="zh-CN"/>
        </w:rPr>
        <w:t xml:space="preserve"> </w:t>
      </w:r>
      <w:r>
        <w:rPr>
          <w:rFonts w:hint="eastAsia" w:ascii="仿宋" w:hAnsi="仿宋" w:eastAsia="仿宋" w:cs="仿宋"/>
          <w:sz w:val="24"/>
          <w:szCs w:val="24"/>
        </w:rPr>
        <w:t>授权代表签字：</w:t>
      </w:r>
      <w:r>
        <w:rPr>
          <w:rFonts w:hint="eastAsia" w:ascii="仿宋" w:hAnsi="仿宋" w:eastAsia="仿宋" w:cs="仿宋"/>
          <w:snapToGrid w:val="0"/>
          <w:spacing w:val="24"/>
          <w:sz w:val="24"/>
          <w:szCs w:val="24"/>
        </w:rPr>
        <w:t xml:space="preserve"> </w:t>
      </w:r>
    </w:p>
    <w:p w14:paraId="03CDFD17">
      <w:pPr>
        <w:pStyle w:val="9"/>
        <w:rPr>
          <w:rFonts w:hint="eastAsia" w:ascii="仿宋" w:hAnsi="仿宋" w:eastAsia="仿宋" w:cs="仿宋"/>
          <w:snapToGrid w:val="0"/>
          <w:spacing w:val="24"/>
          <w:sz w:val="24"/>
          <w:szCs w:val="24"/>
        </w:rPr>
      </w:pPr>
    </w:p>
    <w:p w14:paraId="0E0B5EE9">
      <w:pPr>
        <w:pStyle w:val="10"/>
        <w:numPr>
          <w:ilvl w:val="0"/>
          <w:numId w:val="0"/>
        </w:numPr>
        <w:ind w:left="0" w:leftChars="0"/>
        <w:rPr>
          <w:rFonts w:hint="eastAsia" w:ascii="仿宋" w:hAnsi="仿宋" w:eastAsia="仿宋" w:cs="仿宋"/>
          <w:sz w:val="24"/>
          <w:szCs w:val="24"/>
        </w:rPr>
      </w:pPr>
    </w:p>
    <w:p w14:paraId="203ABD15">
      <w:pPr>
        <w:spacing w:line="480" w:lineRule="auto"/>
        <w:rPr>
          <w:rFonts w:hint="eastAsia" w:ascii="仿宋_GB2312" w:hAnsi="仿宋_GB2312" w:eastAsia="仿宋_GB2312"/>
          <w:sz w:val="24"/>
        </w:rPr>
      </w:pPr>
      <w:r>
        <w:rPr>
          <w:rFonts w:hint="eastAsia" w:ascii="仿宋_GB2312" w:hAnsi="仿宋_GB2312" w:eastAsia="仿宋_GB2312"/>
          <w:sz w:val="24"/>
        </w:rPr>
        <w:t xml:space="preserve">                   日期：   年   月  日</w:t>
      </w:r>
    </w:p>
    <w:p w14:paraId="5873B23C">
      <w:pPr>
        <w:rPr>
          <w:rFonts w:hint="eastAsia" w:ascii="仿宋" w:hAnsi="仿宋" w:eastAsia="仿宋" w:cs="仿宋"/>
          <w:sz w:val="24"/>
          <w:szCs w:val="24"/>
        </w:rPr>
      </w:pPr>
    </w:p>
    <w:p w14:paraId="247800B2">
      <w:pPr>
        <w:rPr>
          <w:rFonts w:hint="eastAsia" w:ascii="仿宋" w:hAnsi="仿宋" w:eastAsia="仿宋" w:cs="仿宋"/>
          <w:sz w:val="24"/>
          <w:szCs w:val="24"/>
        </w:rPr>
      </w:pPr>
    </w:p>
    <w:p w14:paraId="24A98507">
      <w:pPr>
        <w:pStyle w:val="10"/>
        <w:numPr>
          <w:ilvl w:val="0"/>
          <w:numId w:val="0"/>
        </w:numPr>
        <w:ind w:left="2040" w:hanging="360"/>
        <w:rPr>
          <w:rFonts w:hint="eastAsia" w:ascii="仿宋" w:hAnsi="仿宋" w:eastAsia="仿宋" w:cs="仿宋"/>
          <w:sz w:val="24"/>
          <w:szCs w:val="24"/>
        </w:rPr>
      </w:pPr>
    </w:p>
    <w:p w14:paraId="36917E09">
      <w:pPr>
        <w:pStyle w:val="10"/>
        <w:numPr>
          <w:ilvl w:val="0"/>
          <w:numId w:val="0"/>
        </w:numPr>
        <w:ind w:left="2040" w:hanging="360"/>
        <w:rPr>
          <w:rFonts w:hint="eastAsia" w:ascii="仿宋" w:hAnsi="仿宋" w:eastAsia="仿宋" w:cs="仿宋"/>
          <w:sz w:val="24"/>
          <w:szCs w:val="24"/>
        </w:rPr>
      </w:pPr>
    </w:p>
    <w:p w14:paraId="78D5E012">
      <w:pPr>
        <w:pStyle w:val="10"/>
        <w:numPr>
          <w:ilvl w:val="0"/>
          <w:numId w:val="0"/>
        </w:numPr>
        <w:ind w:left="2040" w:hanging="360"/>
        <w:rPr>
          <w:rFonts w:hint="eastAsia" w:ascii="仿宋" w:hAnsi="仿宋" w:eastAsia="仿宋" w:cs="仿宋"/>
          <w:sz w:val="24"/>
          <w:szCs w:val="24"/>
        </w:rPr>
      </w:pPr>
    </w:p>
    <w:p w14:paraId="46592851">
      <w:pPr>
        <w:pStyle w:val="10"/>
        <w:numPr>
          <w:ilvl w:val="0"/>
          <w:numId w:val="0"/>
        </w:numPr>
        <w:ind w:left="2040" w:hanging="360"/>
        <w:rPr>
          <w:rFonts w:hint="eastAsia" w:ascii="仿宋" w:hAnsi="仿宋" w:eastAsia="仿宋" w:cs="仿宋"/>
          <w:sz w:val="24"/>
          <w:szCs w:val="24"/>
        </w:rPr>
      </w:pPr>
    </w:p>
    <w:p w14:paraId="1392C7B2">
      <w:pPr>
        <w:pStyle w:val="10"/>
        <w:numPr>
          <w:ilvl w:val="0"/>
          <w:numId w:val="0"/>
        </w:numPr>
        <w:ind w:left="2040" w:hanging="360"/>
        <w:rPr>
          <w:rFonts w:hint="eastAsia" w:ascii="仿宋" w:hAnsi="仿宋" w:eastAsia="仿宋" w:cs="仿宋"/>
          <w:sz w:val="24"/>
          <w:szCs w:val="24"/>
        </w:rPr>
      </w:pPr>
    </w:p>
    <w:p w14:paraId="63F4591D">
      <w:pPr>
        <w:pStyle w:val="10"/>
        <w:numPr>
          <w:ilvl w:val="0"/>
          <w:numId w:val="0"/>
        </w:numPr>
        <w:ind w:left="2040" w:hanging="360"/>
        <w:rPr>
          <w:rFonts w:hint="eastAsia" w:ascii="仿宋" w:hAnsi="仿宋" w:eastAsia="仿宋" w:cs="仿宋"/>
          <w:sz w:val="24"/>
          <w:szCs w:val="24"/>
        </w:rPr>
      </w:pPr>
    </w:p>
    <w:p w14:paraId="0B2A8E26">
      <w:pPr>
        <w:pStyle w:val="10"/>
        <w:numPr>
          <w:ilvl w:val="0"/>
          <w:numId w:val="0"/>
        </w:numPr>
        <w:ind w:left="2040" w:hanging="360"/>
        <w:rPr>
          <w:rFonts w:hint="eastAsia" w:ascii="仿宋" w:hAnsi="仿宋" w:eastAsia="仿宋" w:cs="仿宋"/>
          <w:sz w:val="24"/>
          <w:szCs w:val="24"/>
        </w:rPr>
      </w:pPr>
    </w:p>
    <w:p w14:paraId="46295653">
      <w:pPr>
        <w:pStyle w:val="10"/>
        <w:numPr>
          <w:ilvl w:val="0"/>
          <w:numId w:val="0"/>
        </w:numPr>
        <w:ind w:left="0" w:firstLine="0"/>
        <w:rPr>
          <w:rFonts w:hint="eastAsia" w:ascii="仿宋" w:hAnsi="仿宋" w:eastAsia="仿宋" w:cs="仿宋"/>
          <w:sz w:val="24"/>
          <w:szCs w:val="24"/>
        </w:rPr>
      </w:pPr>
    </w:p>
    <w:p w14:paraId="4D8EEE23">
      <w:pPr>
        <w:pStyle w:val="8"/>
        <w:spacing w:line="410" w:lineRule="auto"/>
        <w:rPr>
          <w:rFonts w:hint="eastAsia" w:ascii="仿宋" w:hAnsi="仿宋" w:eastAsia="仿宋" w:cs="仿宋"/>
          <w:sz w:val="24"/>
          <w:szCs w:val="24"/>
        </w:rPr>
      </w:pPr>
    </w:p>
    <w:p w14:paraId="1B34CB10">
      <w:pPr>
        <w:spacing w:line="400" w:lineRule="exact"/>
        <w:jc w:val="center"/>
        <w:rPr>
          <w:rFonts w:hint="eastAsia" w:ascii="仿宋_GB2312" w:hAnsi="仿宋_GB2312" w:eastAsia="仿宋_GB2312"/>
          <w:b/>
          <w:sz w:val="36"/>
          <w:szCs w:val="36"/>
        </w:rPr>
      </w:pPr>
    </w:p>
    <w:p w14:paraId="331D5AB7">
      <w:pPr>
        <w:pStyle w:val="20"/>
        <w:shd w:val="clear" w:color="auto" w:fill="FFFFFF"/>
        <w:spacing w:before="0" w:beforeAutospacing="0" w:after="0" w:afterAutospacing="0" w:line="400" w:lineRule="exact"/>
        <w:jc w:val="both"/>
        <w:rPr>
          <w:rFonts w:hint="eastAsia" w:ascii="仿宋_GB2312" w:hAnsi="仿宋_GB2312" w:eastAsia="仿宋_GB2312"/>
          <w:b/>
          <w:color w:val="auto"/>
          <w:sz w:val="36"/>
          <w:szCs w:val="36"/>
        </w:rPr>
      </w:pPr>
      <w:r>
        <w:rPr>
          <w:rFonts w:hint="eastAsia" w:ascii="仿宋_GB2312" w:hAnsi="仿宋_GB2312" w:eastAsia="仿宋_GB2312"/>
          <w:b/>
          <w:color w:val="auto"/>
          <w:sz w:val="28"/>
          <w:szCs w:val="28"/>
        </w:rPr>
        <w:t xml:space="preserve">附件2           </w:t>
      </w:r>
      <w:r>
        <w:rPr>
          <w:rFonts w:hint="eastAsia" w:ascii="仿宋_GB2312" w:hAnsi="仿宋_GB2312" w:eastAsia="仿宋_GB2312"/>
          <w:b/>
          <w:color w:val="auto"/>
          <w:sz w:val="36"/>
          <w:szCs w:val="36"/>
        </w:rPr>
        <w:t>工程质量保修书</w:t>
      </w:r>
    </w:p>
    <w:p w14:paraId="40AC29CD">
      <w:pPr>
        <w:pStyle w:val="20"/>
        <w:shd w:val="clear" w:color="auto" w:fill="FFFFFF"/>
        <w:spacing w:before="0" w:beforeAutospacing="0" w:after="0" w:afterAutospacing="0" w:line="400" w:lineRule="exact"/>
        <w:jc w:val="both"/>
        <w:rPr>
          <w:rFonts w:hint="eastAsia" w:ascii="仿宋_GB2312" w:hAnsi="仿宋_GB2312" w:eastAsia="仿宋_GB2312"/>
          <w:b/>
          <w:color w:val="auto"/>
          <w:sz w:val="36"/>
          <w:szCs w:val="36"/>
        </w:rPr>
      </w:pPr>
    </w:p>
    <w:p w14:paraId="4F92D4CF">
      <w:pPr>
        <w:snapToGrid w:val="0"/>
        <w:spacing w:line="360" w:lineRule="exact"/>
        <w:rPr>
          <w:rFonts w:hint="eastAsia" w:ascii="仿宋_GB2312" w:hAnsi="仿宋_GB2312" w:eastAsia="仿宋_GB2312"/>
          <w:sz w:val="24"/>
        </w:rPr>
      </w:pPr>
      <w:r>
        <w:rPr>
          <w:rFonts w:hint="eastAsia" w:ascii="仿宋_GB2312" w:hAnsi="仿宋_GB2312" w:eastAsia="仿宋_GB2312"/>
          <w:sz w:val="24"/>
        </w:rPr>
        <w:t>发包人（全称）：</w:t>
      </w:r>
      <w:r>
        <w:rPr>
          <w:rFonts w:hint="eastAsia" w:ascii="仿宋_GB2312" w:hAnsi="仿宋_GB2312" w:eastAsia="仿宋_GB2312"/>
          <w:sz w:val="24"/>
          <w:u w:val="single"/>
        </w:rPr>
        <w:t xml:space="preserve"> </w:t>
      </w:r>
      <w:r>
        <w:rPr>
          <w:rFonts w:hint="eastAsia" w:ascii="仿宋_GB2312" w:hAnsi="仿宋_GB2312" w:eastAsia="仿宋_GB2312"/>
          <w:b/>
          <w:bCs/>
          <w:sz w:val="24"/>
          <w:u w:val="single"/>
        </w:rPr>
        <w:t xml:space="preserve">                     </w:t>
      </w:r>
      <w:r>
        <w:rPr>
          <w:rFonts w:hint="eastAsia" w:ascii="仿宋_GB2312" w:hAnsi="仿宋_GB2312" w:eastAsia="仿宋_GB2312"/>
          <w:b/>
          <w:i/>
          <w:sz w:val="24"/>
          <w:u w:val="single"/>
        </w:rPr>
        <w:t xml:space="preserve">    </w:t>
      </w:r>
    </w:p>
    <w:p w14:paraId="6B98A902">
      <w:pPr>
        <w:snapToGrid w:val="0"/>
        <w:spacing w:line="360" w:lineRule="exact"/>
        <w:rPr>
          <w:rFonts w:hint="eastAsia" w:ascii="仿宋_GB2312" w:hAnsi="仿宋_GB2312" w:eastAsia="仿宋_GB2312"/>
          <w:sz w:val="24"/>
        </w:rPr>
      </w:pPr>
      <w:r>
        <w:rPr>
          <w:rFonts w:hint="eastAsia" w:ascii="仿宋_GB2312" w:hAnsi="仿宋_GB2312" w:eastAsia="仿宋_GB2312"/>
          <w:sz w:val="24"/>
        </w:rPr>
        <w:t>承包人（全称）：</w:t>
      </w:r>
      <w:r>
        <w:rPr>
          <w:rFonts w:hint="eastAsia" w:ascii="仿宋_GB2312" w:hAnsi="仿宋_GB2312" w:eastAsia="仿宋_GB2312"/>
          <w:sz w:val="24"/>
          <w:u w:val="single"/>
        </w:rPr>
        <w:t xml:space="preserve"> </w:t>
      </w:r>
      <w:r>
        <w:rPr>
          <w:rFonts w:hint="eastAsia" w:ascii="仿宋_GB2312" w:hAnsi="仿宋_GB2312" w:eastAsia="仿宋_GB2312"/>
          <w:b/>
          <w:bCs/>
          <w:sz w:val="24"/>
          <w:u w:val="single"/>
          <w:lang w:eastAsia="zh-CN"/>
        </w:rPr>
        <w:t xml:space="preserve">                         </w:t>
      </w:r>
    </w:p>
    <w:p w14:paraId="5876C2FD">
      <w:pPr>
        <w:snapToGrid w:val="0"/>
        <w:spacing w:line="360" w:lineRule="exact"/>
        <w:ind w:firstLine="480" w:firstLineChars="200"/>
        <w:rPr>
          <w:rFonts w:hint="eastAsia" w:ascii="仿宋_GB2312" w:hAnsi="仿宋_GB2312" w:eastAsia="仿宋_GB2312"/>
          <w:sz w:val="24"/>
        </w:rPr>
      </w:pPr>
      <w:r>
        <w:rPr>
          <w:rFonts w:hint="eastAsia" w:ascii="仿宋_GB2312" w:hAnsi="仿宋_GB2312" w:eastAsia="仿宋_GB2312"/>
          <w:sz w:val="24"/>
        </w:rPr>
        <w:t>发包人、承包人根据《中华人民共和国建筑法》、《建设工程质量管理条例》，经协商一致，对</w:t>
      </w:r>
      <w:r>
        <w:rPr>
          <w:rFonts w:hint="eastAsia" w:ascii="仿宋_GB2312" w:hAnsi="仿宋_GB2312" w:eastAsia="仿宋_GB2312"/>
          <w:b/>
          <w:sz w:val="24"/>
          <w:u w:val="single"/>
        </w:rPr>
        <w:t xml:space="preserve"> </w:t>
      </w:r>
      <w:r>
        <w:rPr>
          <w:rFonts w:hint="eastAsia" w:ascii="仿宋_GB2312" w:hAnsi="仿宋_GB2312" w:eastAsia="仿宋_GB2312"/>
          <w:b/>
          <w:sz w:val="24"/>
          <w:u w:val="single"/>
          <w:lang w:eastAsia="zh-CN"/>
        </w:rPr>
        <w:t>阿克苏某单位隔离网及立柱维修</w:t>
      </w:r>
      <w:r>
        <w:rPr>
          <w:rFonts w:hint="eastAsia" w:ascii="仿宋_GB2312" w:hAnsi="仿宋_GB2312" w:eastAsia="仿宋_GB2312"/>
          <w:sz w:val="24"/>
        </w:rPr>
        <w:t>（工程全称）签定工程质量保修书。</w:t>
      </w:r>
    </w:p>
    <w:p w14:paraId="19C49FCE">
      <w:pPr>
        <w:snapToGrid w:val="0"/>
        <w:spacing w:line="360" w:lineRule="exact"/>
        <w:ind w:firstLine="482" w:firstLineChars="200"/>
        <w:outlineLvl w:val="1"/>
        <w:rPr>
          <w:rFonts w:hint="eastAsia" w:ascii="仿宋_GB2312" w:hAnsi="仿宋_GB2312" w:eastAsia="仿宋_GB2312"/>
          <w:b/>
          <w:sz w:val="24"/>
        </w:rPr>
      </w:pPr>
      <w:bookmarkStart w:id="56" w:name="_Toc25365"/>
      <w:r>
        <w:rPr>
          <w:rFonts w:hint="eastAsia" w:ascii="仿宋_GB2312" w:hAnsi="仿宋_GB2312" w:eastAsia="仿宋_GB2312"/>
          <w:b/>
          <w:sz w:val="24"/>
        </w:rPr>
        <w:t>一、工程质量保修范围和内容</w:t>
      </w:r>
      <w:bookmarkEnd w:id="56"/>
    </w:p>
    <w:p w14:paraId="2EF89BFA">
      <w:pPr>
        <w:snapToGrid w:val="0"/>
        <w:spacing w:line="360" w:lineRule="exact"/>
        <w:ind w:firstLine="480" w:firstLineChars="200"/>
        <w:rPr>
          <w:rFonts w:hint="eastAsia" w:ascii="仿宋_GB2312" w:hAnsi="仿宋_GB2312" w:eastAsia="仿宋_GB2312"/>
          <w:sz w:val="24"/>
        </w:rPr>
      </w:pPr>
      <w:r>
        <w:rPr>
          <w:rFonts w:hint="eastAsia" w:ascii="仿宋_GB2312" w:hAnsi="仿宋_GB2312" w:eastAsia="仿宋_GB2312"/>
          <w:sz w:val="24"/>
        </w:rPr>
        <w:t>承包人在质量保修期内，按照有关法律、法规、规章的管理规定和双方约定，承担本工程质量保修责任。</w:t>
      </w:r>
    </w:p>
    <w:p w14:paraId="4A589CF7">
      <w:pPr>
        <w:snapToGrid w:val="0"/>
        <w:spacing w:line="360" w:lineRule="exact"/>
        <w:ind w:firstLine="470" w:firstLineChars="196"/>
        <w:rPr>
          <w:rFonts w:hint="eastAsia" w:ascii="仿宋_GB2312" w:hAnsi="仿宋_GB2312" w:eastAsia="仿宋_GB2312"/>
          <w:sz w:val="24"/>
        </w:rPr>
      </w:pPr>
      <w:r>
        <w:rPr>
          <w:rFonts w:hint="eastAsia" w:ascii="仿宋_GB2312" w:hAnsi="仿宋_GB2312" w:eastAsia="仿宋_GB2312"/>
          <w:sz w:val="24"/>
        </w:rPr>
        <w:t>具体保修的内容，双方约定如下：</w:t>
      </w:r>
      <w:r>
        <w:rPr>
          <w:rFonts w:hint="eastAsia" w:ascii="仿宋_GB2312" w:hAnsi="仿宋_GB2312" w:eastAsia="仿宋_GB2312"/>
          <w:sz w:val="24"/>
          <w:u w:val="single"/>
        </w:rPr>
        <w:t xml:space="preserve">  工程全部内容  </w:t>
      </w:r>
      <w:r>
        <w:rPr>
          <w:rFonts w:hint="eastAsia" w:ascii="仿宋_GB2312" w:hAnsi="仿宋_GB2312" w:eastAsia="仿宋_GB2312"/>
          <w:sz w:val="24"/>
        </w:rPr>
        <w:t xml:space="preserve"> </w:t>
      </w:r>
      <w:r>
        <w:rPr>
          <w:rFonts w:hint="eastAsia" w:ascii="仿宋_GB2312" w:hAnsi="仿宋_GB2312" w:eastAsia="仿宋_GB2312"/>
          <w:b/>
          <w:i/>
          <w:sz w:val="24"/>
        </w:rPr>
        <w:t xml:space="preserve">  </w:t>
      </w:r>
    </w:p>
    <w:p w14:paraId="01F700E9">
      <w:pPr>
        <w:snapToGrid w:val="0"/>
        <w:spacing w:line="360" w:lineRule="exact"/>
        <w:ind w:firstLine="472" w:firstLineChars="196"/>
        <w:outlineLvl w:val="1"/>
        <w:rPr>
          <w:rFonts w:hint="eastAsia" w:ascii="仿宋_GB2312" w:hAnsi="仿宋_GB2312" w:eastAsia="仿宋_GB2312"/>
          <w:b/>
          <w:sz w:val="24"/>
        </w:rPr>
      </w:pPr>
      <w:bookmarkStart w:id="57" w:name="_Toc3928"/>
      <w:r>
        <w:rPr>
          <w:rFonts w:hint="eastAsia" w:ascii="仿宋_GB2312" w:hAnsi="仿宋_GB2312" w:eastAsia="仿宋_GB2312"/>
          <w:b/>
          <w:sz w:val="24"/>
        </w:rPr>
        <w:t>二、质量保修期</w:t>
      </w:r>
      <w:bookmarkEnd w:id="57"/>
    </w:p>
    <w:p w14:paraId="54CD9C9A">
      <w:pPr>
        <w:snapToGrid w:val="0"/>
        <w:spacing w:line="360" w:lineRule="exact"/>
        <w:ind w:firstLine="470" w:firstLineChars="196"/>
        <w:rPr>
          <w:rFonts w:hint="eastAsia" w:ascii="仿宋_GB2312" w:hAnsi="仿宋_GB2312" w:eastAsia="仿宋_GB2312"/>
          <w:sz w:val="24"/>
        </w:rPr>
      </w:pPr>
      <w:r>
        <w:rPr>
          <w:rFonts w:hint="eastAsia" w:ascii="仿宋_GB2312" w:hAnsi="仿宋_GB2312" w:eastAsia="仿宋_GB2312"/>
          <w:sz w:val="24"/>
        </w:rPr>
        <w:t>双方根据《建设工程质量管理条例》及有关规定，约定本工程的质量保修期如下：</w:t>
      </w:r>
      <w:r>
        <w:rPr>
          <w:rFonts w:hint="eastAsia" w:ascii="仿宋_GB2312" w:hAnsi="仿宋_GB2312" w:eastAsia="仿宋_GB2312"/>
          <w:sz w:val="24"/>
          <w:u w:val="single"/>
        </w:rPr>
        <w:t xml:space="preserve"> 质保期为</w:t>
      </w:r>
      <w:r>
        <w:rPr>
          <w:rFonts w:hint="eastAsia" w:ascii="仿宋_GB2312" w:hAnsi="仿宋_GB2312" w:eastAsia="仿宋_GB2312"/>
          <w:sz w:val="24"/>
          <w:u w:val="single"/>
          <w:lang w:val="en-US" w:eastAsia="zh-CN"/>
        </w:rPr>
        <w:t>一</w:t>
      </w:r>
      <w:r>
        <w:rPr>
          <w:rFonts w:hint="eastAsia" w:ascii="仿宋_GB2312" w:hAnsi="仿宋_GB2312" w:eastAsia="仿宋_GB2312"/>
          <w:sz w:val="24"/>
          <w:u w:val="single"/>
        </w:rPr>
        <w:t>年</w:t>
      </w:r>
      <w:r>
        <w:rPr>
          <w:rFonts w:hint="eastAsia" w:ascii="仿宋_GB2312" w:hAnsi="仿宋_GB2312" w:eastAsia="仿宋_GB2312"/>
          <w:b/>
          <w:sz w:val="24"/>
          <w:u w:val="single"/>
        </w:rPr>
        <w:t>。</w:t>
      </w:r>
      <w:r>
        <w:rPr>
          <w:rFonts w:hint="eastAsia" w:ascii="仿宋_GB2312" w:hAnsi="仿宋_GB2312" w:eastAsia="仿宋_GB2312"/>
          <w:b/>
          <w:i/>
          <w:sz w:val="24"/>
          <w:u w:val="single"/>
        </w:rPr>
        <w:t xml:space="preserve">  </w:t>
      </w:r>
    </w:p>
    <w:p w14:paraId="1902B282">
      <w:pPr>
        <w:pStyle w:val="21"/>
        <w:snapToGrid w:val="0"/>
        <w:spacing w:before="0" w:after="0" w:line="360" w:lineRule="exact"/>
        <w:ind w:left="0" w:right="720" w:firstLine="480"/>
        <w:rPr>
          <w:rFonts w:hint="eastAsia" w:ascii="仿宋_GB2312" w:hAnsi="仿宋_GB2312" w:eastAsia="仿宋_GB2312"/>
          <w:szCs w:val="24"/>
        </w:rPr>
      </w:pPr>
      <w:r>
        <w:rPr>
          <w:rFonts w:hint="eastAsia" w:ascii="仿宋_GB2312" w:hAnsi="仿宋_GB2312" w:eastAsia="仿宋_GB2312"/>
          <w:szCs w:val="24"/>
        </w:rPr>
        <w:t>质量保修期自工程竣工验收合格之日起计算。</w:t>
      </w:r>
    </w:p>
    <w:p w14:paraId="73A042F7">
      <w:pPr>
        <w:snapToGrid w:val="0"/>
        <w:spacing w:line="360" w:lineRule="exact"/>
        <w:ind w:firstLine="472" w:firstLineChars="196"/>
        <w:outlineLvl w:val="1"/>
        <w:rPr>
          <w:rFonts w:hint="eastAsia" w:ascii="仿宋_GB2312" w:hAnsi="仿宋_GB2312" w:eastAsia="仿宋_GB2312"/>
          <w:b/>
          <w:sz w:val="24"/>
        </w:rPr>
      </w:pPr>
      <w:bookmarkStart w:id="58" w:name="_Toc29348"/>
      <w:r>
        <w:rPr>
          <w:rFonts w:hint="eastAsia" w:ascii="仿宋_GB2312" w:hAnsi="仿宋_GB2312" w:eastAsia="仿宋_GB2312"/>
          <w:b/>
          <w:sz w:val="24"/>
        </w:rPr>
        <w:t>三、质量保修责任</w:t>
      </w:r>
      <w:bookmarkEnd w:id="58"/>
    </w:p>
    <w:p w14:paraId="65B15C1F">
      <w:pPr>
        <w:snapToGrid w:val="0"/>
        <w:spacing w:line="360" w:lineRule="exact"/>
        <w:ind w:firstLine="480" w:firstLineChars="200"/>
        <w:rPr>
          <w:rFonts w:hint="eastAsia" w:ascii="仿宋_GB2312" w:hAnsi="仿宋_GB2312" w:eastAsia="仿宋_GB2312"/>
          <w:sz w:val="24"/>
        </w:rPr>
      </w:pPr>
      <w:r>
        <w:rPr>
          <w:rFonts w:hint="eastAsia" w:ascii="仿宋_GB2312" w:hAnsi="仿宋_GB2312" w:eastAsia="仿宋_GB2312"/>
          <w:sz w:val="24"/>
        </w:rPr>
        <w:t>1、属于保修范围、内容的项目，承包人应当在接到保修通知之日起48小时内派人保修。承包人不在约定期限内派人保修的，发包人可以委托他人修理。</w:t>
      </w:r>
    </w:p>
    <w:p w14:paraId="0443AD21">
      <w:pPr>
        <w:snapToGrid w:val="0"/>
        <w:spacing w:line="360" w:lineRule="exact"/>
        <w:ind w:firstLine="480" w:firstLineChars="200"/>
        <w:rPr>
          <w:rFonts w:hint="eastAsia" w:ascii="仿宋_GB2312" w:hAnsi="仿宋_GB2312" w:eastAsia="仿宋_GB2312"/>
          <w:sz w:val="24"/>
        </w:rPr>
      </w:pPr>
      <w:r>
        <w:rPr>
          <w:rFonts w:hint="eastAsia" w:ascii="仿宋_GB2312" w:hAnsi="仿宋_GB2312" w:eastAsia="仿宋_GB2312"/>
          <w:sz w:val="24"/>
        </w:rPr>
        <w:t>2、发生紧急抢修事故的，承包人在接到事故通知后，应当立即到达事故现场抢修。</w:t>
      </w:r>
    </w:p>
    <w:p w14:paraId="5ACDCFA6">
      <w:pPr>
        <w:snapToGrid w:val="0"/>
        <w:spacing w:line="360" w:lineRule="exact"/>
        <w:ind w:firstLine="480" w:firstLineChars="200"/>
        <w:rPr>
          <w:rFonts w:hint="eastAsia" w:ascii="仿宋_GB2312" w:hAnsi="仿宋_GB2312" w:eastAsia="仿宋_GB2312"/>
          <w:sz w:val="24"/>
        </w:rPr>
      </w:pPr>
      <w:r>
        <w:rPr>
          <w:rFonts w:hint="eastAsia" w:ascii="仿宋_GB2312" w:hAnsi="仿宋_GB2312" w:eastAsia="仿宋_GB2312"/>
          <w:sz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8593926">
      <w:pPr>
        <w:pStyle w:val="21"/>
        <w:snapToGrid w:val="0"/>
        <w:spacing w:before="0" w:after="0" w:line="360" w:lineRule="exact"/>
        <w:ind w:left="0" w:right="720" w:firstLine="480" w:firstLineChars="200"/>
        <w:outlineLvl w:val="2"/>
        <w:rPr>
          <w:rFonts w:hint="eastAsia" w:ascii="仿宋_GB2312" w:hAnsi="仿宋_GB2312" w:eastAsia="仿宋_GB2312"/>
          <w:szCs w:val="24"/>
        </w:rPr>
      </w:pPr>
      <w:bookmarkStart w:id="59" w:name="_Toc3316"/>
      <w:r>
        <w:rPr>
          <w:rFonts w:hint="eastAsia" w:ascii="仿宋_GB2312" w:hAnsi="仿宋_GB2312" w:eastAsia="仿宋_GB2312"/>
          <w:szCs w:val="24"/>
        </w:rPr>
        <w:t>4、质量保修完成后，由发包人组织验收。</w:t>
      </w:r>
      <w:bookmarkEnd w:id="59"/>
    </w:p>
    <w:p w14:paraId="52E496E8">
      <w:pPr>
        <w:snapToGrid w:val="0"/>
        <w:spacing w:line="360" w:lineRule="exact"/>
        <w:ind w:firstLine="482" w:firstLineChars="200"/>
        <w:outlineLvl w:val="1"/>
        <w:rPr>
          <w:rFonts w:hint="eastAsia" w:ascii="仿宋_GB2312" w:hAnsi="仿宋_GB2312" w:eastAsia="仿宋_GB2312"/>
          <w:b/>
          <w:sz w:val="24"/>
        </w:rPr>
      </w:pPr>
      <w:bookmarkStart w:id="60" w:name="_Toc15388"/>
      <w:r>
        <w:rPr>
          <w:rFonts w:hint="eastAsia" w:ascii="仿宋_GB2312" w:hAnsi="仿宋_GB2312" w:eastAsia="仿宋_GB2312"/>
          <w:b/>
          <w:sz w:val="24"/>
        </w:rPr>
        <w:t>四、保修费用</w:t>
      </w:r>
      <w:bookmarkEnd w:id="60"/>
    </w:p>
    <w:p w14:paraId="04E6FD9B">
      <w:pPr>
        <w:pStyle w:val="21"/>
        <w:snapToGrid w:val="0"/>
        <w:spacing w:before="0" w:after="0" w:line="360" w:lineRule="exact"/>
        <w:ind w:left="0" w:right="720" w:firstLine="480" w:firstLineChars="200"/>
        <w:rPr>
          <w:rFonts w:hint="eastAsia" w:ascii="仿宋_GB2312" w:hAnsi="仿宋_GB2312" w:eastAsia="仿宋_GB2312"/>
          <w:szCs w:val="24"/>
        </w:rPr>
      </w:pPr>
      <w:r>
        <w:rPr>
          <w:rFonts w:hint="eastAsia" w:ascii="仿宋_GB2312" w:hAnsi="仿宋_GB2312" w:eastAsia="仿宋_GB2312"/>
          <w:szCs w:val="24"/>
        </w:rPr>
        <w:t>保修费用由造成质量缺陷的责任方承担。</w:t>
      </w:r>
    </w:p>
    <w:p w14:paraId="6FB19645">
      <w:pPr>
        <w:snapToGrid w:val="0"/>
        <w:spacing w:line="360" w:lineRule="exact"/>
        <w:ind w:firstLine="472" w:firstLineChars="196"/>
        <w:outlineLvl w:val="1"/>
        <w:rPr>
          <w:rFonts w:hint="eastAsia" w:ascii="仿宋_GB2312" w:hAnsi="仿宋_GB2312" w:eastAsia="仿宋_GB2312"/>
          <w:b/>
          <w:sz w:val="24"/>
        </w:rPr>
      </w:pPr>
      <w:bookmarkStart w:id="61" w:name="_Toc5198"/>
      <w:r>
        <w:rPr>
          <w:rFonts w:hint="eastAsia" w:ascii="仿宋_GB2312" w:hAnsi="仿宋_GB2312" w:eastAsia="仿宋_GB2312"/>
          <w:b/>
          <w:sz w:val="24"/>
        </w:rPr>
        <w:t>五、质量保修金的支付</w:t>
      </w:r>
      <w:bookmarkEnd w:id="61"/>
    </w:p>
    <w:p w14:paraId="34BEACE3">
      <w:pPr>
        <w:snapToGrid w:val="0"/>
        <w:spacing w:line="360" w:lineRule="exact"/>
        <w:ind w:firstLine="480" w:firstLineChars="200"/>
        <w:rPr>
          <w:rFonts w:hint="eastAsia" w:ascii="仿宋_GB2312" w:hAnsi="仿宋_GB2312" w:eastAsia="仿宋_GB2312"/>
          <w:sz w:val="24"/>
        </w:rPr>
      </w:pPr>
      <w:r>
        <w:rPr>
          <w:rFonts w:hint="eastAsia" w:ascii="仿宋_GB2312" w:hAnsi="仿宋_GB2312" w:eastAsia="仿宋_GB2312"/>
          <w:sz w:val="24"/>
        </w:rPr>
        <w:t>本工程约定的工程质量保修金为施工合同结算价款的</w:t>
      </w:r>
      <w:r>
        <w:rPr>
          <w:rFonts w:hint="eastAsia" w:ascii="仿宋_GB2312" w:hAnsi="仿宋_GB2312" w:eastAsia="仿宋_GB2312"/>
          <w:sz w:val="24"/>
          <w:u w:val="single"/>
        </w:rPr>
        <w:t xml:space="preserve">  </w:t>
      </w:r>
      <w:r>
        <w:rPr>
          <w:rFonts w:hint="eastAsia" w:ascii="仿宋_GB2312" w:hAnsi="仿宋_GB2312" w:eastAsia="仿宋_GB2312"/>
          <w:b/>
          <w:sz w:val="24"/>
          <w:u w:val="single"/>
        </w:rPr>
        <w:t xml:space="preserve">3 </w:t>
      </w:r>
      <w:r>
        <w:rPr>
          <w:rFonts w:hint="eastAsia" w:ascii="仿宋_GB2312" w:hAnsi="仿宋_GB2312" w:eastAsia="仿宋_GB2312"/>
          <w:sz w:val="24"/>
          <w:u w:val="single"/>
        </w:rPr>
        <w:t xml:space="preserve"> </w:t>
      </w:r>
      <w:r>
        <w:rPr>
          <w:rFonts w:hint="eastAsia" w:ascii="仿宋_GB2312" w:hAnsi="仿宋_GB2312" w:eastAsia="仿宋_GB2312"/>
          <w:sz w:val="24"/>
        </w:rPr>
        <w:t>%。</w:t>
      </w:r>
    </w:p>
    <w:p w14:paraId="121E2827">
      <w:pPr>
        <w:snapToGrid w:val="0"/>
        <w:spacing w:line="360" w:lineRule="exact"/>
        <w:ind w:firstLine="472" w:firstLineChars="196"/>
        <w:outlineLvl w:val="1"/>
        <w:rPr>
          <w:rFonts w:hint="eastAsia" w:ascii="仿宋_GB2312" w:hAnsi="仿宋_GB2312" w:eastAsia="仿宋_GB2312"/>
          <w:b/>
          <w:sz w:val="24"/>
        </w:rPr>
      </w:pPr>
      <w:bookmarkStart w:id="62" w:name="_Toc31464"/>
      <w:r>
        <w:rPr>
          <w:rFonts w:hint="eastAsia" w:ascii="仿宋_GB2312" w:hAnsi="仿宋_GB2312" w:eastAsia="仿宋_GB2312"/>
          <w:b/>
          <w:sz w:val="24"/>
        </w:rPr>
        <w:t>六、质量保修金的返还</w:t>
      </w:r>
      <w:bookmarkEnd w:id="62"/>
    </w:p>
    <w:p w14:paraId="54C26B5A">
      <w:pPr>
        <w:snapToGrid w:val="0"/>
        <w:spacing w:line="360" w:lineRule="exact"/>
        <w:ind w:firstLine="480" w:firstLineChars="200"/>
        <w:rPr>
          <w:rFonts w:hint="eastAsia" w:ascii="仿宋_GB2312" w:hAnsi="仿宋_GB2312" w:eastAsia="仿宋_GB2312"/>
          <w:sz w:val="24"/>
        </w:rPr>
      </w:pPr>
      <w:r>
        <w:rPr>
          <w:rFonts w:hint="eastAsia" w:ascii="仿宋_GB2312" w:hAnsi="仿宋_GB2312" w:eastAsia="仿宋_GB2312"/>
          <w:sz w:val="24"/>
        </w:rPr>
        <w:t>发包人在质量保修期满后按甲方财务手续，将保修金第一时间退还承包人。</w:t>
      </w:r>
    </w:p>
    <w:p w14:paraId="63699E99">
      <w:pPr>
        <w:snapToGrid w:val="0"/>
        <w:spacing w:line="360" w:lineRule="exact"/>
        <w:ind w:firstLine="472" w:firstLineChars="196"/>
        <w:outlineLvl w:val="1"/>
        <w:rPr>
          <w:rFonts w:hint="eastAsia" w:ascii="仿宋_GB2312" w:hAnsi="仿宋_GB2312" w:eastAsia="仿宋_GB2312"/>
          <w:b/>
          <w:sz w:val="24"/>
        </w:rPr>
      </w:pPr>
      <w:bookmarkStart w:id="63" w:name="_Toc22776"/>
      <w:r>
        <w:rPr>
          <w:rFonts w:hint="eastAsia" w:ascii="仿宋_GB2312" w:hAnsi="仿宋_GB2312" w:eastAsia="仿宋_GB2312"/>
          <w:b/>
          <w:sz w:val="24"/>
        </w:rPr>
        <w:t>七、其他</w:t>
      </w:r>
      <w:bookmarkEnd w:id="63"/>
    </w:p>
    <w:p w14:paraId="1288C480">
      <w:pPr>
        <w:snapToGrid w:val="0"/>
        <w:spacing w:line="360" w:lineRule="exact"/>
        <w:ind w:firstLine="470" w:firstLineChars="196"/>
        <w:rPr>
          <w:rFonts w:hint="eastAsia" w:ascii="仿宋_GB2312" w:hAnsi="仿宋_GB2312" w:eastAsia="仿宋_GB2312"/>
          <w:sz w:val="24"/>
        </w:rPr>
      </w:pPr>
      <w:r>
        <w:rPr>
          <w:rFonts w:hint="eastAsia" w:ascii="仿宋_GB2312" w:hAnsi="仿宋_GB2312" w:eastAsia="仿宋_GB2312"/>
          <w:sz w:val="24"/>
        </w:rPr>
        <w:t>双方约定的其他工程质量保修事项：</w:t>
      </w:r>
      <w:r>
        <w:rPr>
          <w:rFonts w:hint="eastAsia" w:ascii="仿宋_GB2312" w:hAnsi="仿宋_GB2312" w:eastAsia="仿宋_GB2312"/>
          <w:sz w:val="24"/>
          <w:u w:val="single"/>
        </w:rPr>
        <w:t xml:space="preserve">       </w:t>
      </w:r>
      <w:r>
        <w:rPr>
          <w:rFonts w:hint="eastAsia" w:ascii="仿宋_GB2312" w:hAnsi="仿宋_GB2312" w:eastAsia="仿宋_GB2312"/>
          <w:b/>
          <w:sz w:val="24"/>
          <w:u w:val="single"/>
        </w:rPr>
        <w:t>无</w:t>
      </w:r>
      <w:r>
        <w:rPr>
          <w:rFonts w:hint="eastAsia" w:ascii="仿宋_GB2312" w:hAnsi="仿宋_GB2312" w:eastAsia="仿宋_GB2312"/>
          <w:sz w:val="24"/>
          <w:u w:val="single"/>
        </w:rPr>
        <w:t xml:space="preserve">    ，</w:t>
      </w:r>
      <w:r>
        <w:rPr>
          <w:rFonts w:hint="eastAsia" w:ascii="仿宋_GB2312" w:hAnsi="仿宋_GB2312" w:eastAsia="仿宋_GB2312"/>
          <w:sz w:val="24"/>
        </w:rPr>
        <w:t>本工程质量保修书，由施工合同发包人、承包人双方在竣工验收前共同签署，作为施工合同附件，其有效期限至保修期满。</w:t>
      </w:r>
    </w:p>
    <w:p w14:paraId="6965CCEA">
      <w:pPr>
        <w:snapToGrid w:val="0"/>
        <w:spacing w:line="360" w:lineRule="exact"/>
        <w:rPr>
          <w:rFonts w:hint="eastAsia" w:ascii="仿宋_GB2312" w:hAnsi="仿宋_GB2312" w:eastAsia="仿宋_GB2312"/>
          <w:sz w:val="24"/>
        </w:rPr>
      </w:pPr>
    </w:p>
    <w:p w14:paraId="1B62BC24">
      <w:pPr>
        <w:snapToGrid w:val="0"/>
        <w:spacing w:line="360" w:lineRule="exact"/>
        <w:rPr>
          <w:rFonts w:hint="eastAsia" w:ascii="仿宋_GB2312" w:hAnsi="仿宋_GB2312" w:eastAsia="仿宋_GB2312"/>
          <w:sz w:val="24"/>
        </w:rPr>
      </w:pPr>
      <w:r>
        <w:rPr>
          <w:rFonts w:hint="eastAsia" w:ascii="仿宋_GB2312" w:hAnsi="仿宋_GB2312" w:eastAsia="仿宋_GB2312"/>
          <w:sz w:val="24"/>
        </w:rPr>
        <w:t>发包人名称：（公章）                     承包人名称：（公章）</w:t>
      </w:r>
    </w:p>
    <w:p w14:paraId="51F20B4B">
      <w:pPr>
        <w:snapToGrid w:val="0"/>
        <w:spacing w:line="360" w:lineRule="exact"/>
        <w:rPr>
          <w:rFonts w:hint="eastAsia" w:ascii="仿宋_GB2312" w:hAnsi="仿宋_GB2312" w:eastAsia="仿宋_GB2312"/>
          <w:sz w:val="24"/>
        </w:rPr>
      </w:pPr>
    </w:p>
    <w:p w14:paraId="14431E64">
      <w:pPr>
        <w:snapToGrid w:val="0"/>
        <w:spacing w:line="360" w:lineRule="exact"/>
        <w:rPr>
          <w:rFonts w:hint="eastAsia" w:ascii="仿宋_GB2312" w:hAnsi="仿宋_GB2312" w:eastAsia="仿宋_GB2312"/>
          <w:sz w:val="24"/>
        </w:rPr>
      </w:pPr>
      <w:r>
        <w:rPr>
          <w:rFonts w:hint="eastAsia" w:ascii="仿宋_GB2312" w:hAnsi="仿宋_GB2312" w:eastAsia="仿宋_GB2312"/>
          <w:sz w:val="24"/>
        </w:rPr>
        <w:t>法定代表人或授权代表：                  法定代表人或授权代表：</w:t>
      </w:r>
    </w:p>
    <w:p w14:paraId="6407D50F">
      <w:pPr>
        <w:snapToGrid w:val="0"/>
        <w:spacing w:line="360" w:lineRule="exact"/>
        <w:jc w:val="center"/>
        <w:rPr>
          <w:rFonts w:hint="eastAsia" w:ascii="仿宋_GB2312" w:hAnsi="仿宋_GB2312" w:eastAsia="仿宋_GB2312"/>
          <w:sz w:val="24"/>
          <w:u w:val="single"/>
        </w:rPr>
      </w:pPr>
      <w:r>
        <w:rPr>
          <w:rFonts w:hint="eastAsia" w:ascii="仿宋_GB2312" w:hAnsi="仿宋_GB2312" w:eastAsia="仿宋_GB2312"/>
          <w:sz w:val="24"/>
        </w:rPr>
        <w:t>日期：</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4998FA45">
      <w:pPr>
        <w:pStyle w:val="20"/>
        <w:shd w:val="clear" w:color="auto" w:fill="FFFFFF"/>
        <w:spacing w:before="0" w:beforeAutospacing="0" w:after="0" w:afterAutospacing="0" w:line="400" w:lineRule="exact"/>
        <w:jc w:val="both"/>
        <w:rPr>
          <w:rFonts w:hint="eastAsia" w:ascii="仿宋_GB2312" w:hAnsi="仿宋_GB2312" w:eastAsia="仿宋_GB2312"/>
          <w:color w:val="auto"/>
        </w:rPr>
      </w:pPr>
      <w:r>
        <w:rPr>
          <w:rFonts w:hint="eastAsia" w:ascii="仿宋_GB2312" w:hAnsi="仿宋_GB2312" w:eastAsia="仿宋_GB2312"/>
          <w:color w:val="auto"/>
        </w:rPr>
        <w:br w:type="page"/>
      </w:r>
      <w:r>
        <w:rPr>
          <w:rFonts w:hint="eastAsia" w:ascii="仿宋_GB2312" w:hAnsi="仿宋_GB2312" w:eastAsia="仿宋_GB2312"/>
          <w:b/>
          <w:color w:val="auto"/>
          <w:sz w:val="28"/>
          <w:szCs w:val="28"/>
        </w:rPr>
        <w:t>附件3</w:t>
      </w:r>
    </w:p>
    <w:p w14:paraId="6210B3F1">
      <w:pPr>
        <w:pStyle w:val="8"/>
        <w:spacing w:before="100" w:line="228" w:lineRule="auto"/>
        <w:jc w:val="center"/>
        <w:outlineLvl w:val="0"/>
        <w:rPr>
          <w:rFonts w:hint="eastAsia" w:ascii="仿宋_GB2312" w:hAnsi="仿宋_GB2312" w:eastAsia="仿宋_GB2312"/>
          <w:b/>
          <w:sz w:val="36"/>
          <w:szCs w:val="36"/>
        </w:rPr>
      </w:pPr>
      <w:bookmarkStart w:id="64" w:name="_Toc10978"/>
      <w:r>
        <w:rPr>
          <w:rFonts w:hint="eastAsia" w:ascii="仿宋_GB2312" w:hAnsi="仿宋_GB2312" w:eastAsia="仿宋_GB2312"/>
          <w:b/>
          <w:sz w:val="36"/>
          <w:szCs w:val="36"/>
        </w:rPr>
        <w:t>建设工程安全生产协议书</w:t>
      </w:r>
      <w:bookmarkEnd w:id="64"/>
    </w:p>
    <w:p w14:paraId="45F0687E">
      <w:pPr>
        <w:pStyle w:val="20"/>
        <w:shd w:val="clear" w:color="auto" w:fill="FFFFFF"/>
        <w:spacing w:before="0" w:beforeAutospacing="0" w:after="0" w:afterAutospacing="0" w:line="400" w:lineRule="exact"/>
        <w:rPr>
          <w:rFonts w:hint="eastAsia" w:ascii="仿宋_GB2312" w:hAnsi="仿宋_GB2312" w:eastAsia="仿宋_GB2312"/>
          <w:color w:val="auto"/>
        </w:rPr>
      </w:pPr>
    </w:p>
    <w:p w14:paraId="3C93A611">
      <w:pPr>
        <w:pStyle w:val="20"/>
        <w:shd w:val="clear" w:color="auto" w:fill="FFFFFF"/>
        <w:spacing w:before="0" w:beforeAutospacing="0" w:after="0" w:afterAutospacing="0" w:line="400" w:lineRule="exact"/>
        <w:rPr>
          <w:rFonts w:hint="eastAsia" w:ascii="仿宋_GB2312" w:hAnsi="仿宋_GB2312" w:eastAsia="仿宋_GB2312"/>
          <w:color w:val="auto"/>
        </w:rPr>
      </w:pPr>
      <w:r>
        <w:rPr>
          <w:rFonts w:hint="eastAsia" w:ascii="仿宋_GB2312" w:hAnsi="仿宋_GB2312" w:eastAsia="仿宋_GB2312"/>
          <w:color w:val="auto"/>
        </w:rPr>
        <w:t>发包人（全称）：</w:t>
      </w:r>
      <w:r>
        <w:rPr>
          <w:rFonts w:hint="eastAsia" w:ascii="仿宋_GB2312" w:hAnsi="仿宋_GB2312" w:eastAsia="仿宋_GB2312"/>
          <w:color w:val="auto"/>
          <w:u w:val="single"/>
        </w:rPr>
        <w:t xml:space="preserve">  </w:t>
      </w:r>
      <w:r>
        <w:rPr>
          <w:rFonts w:hint="eastAsia" w:ascii="仿宋_GB2312" w:hAnsi="仿宋_GB2312" w:eastAsia="仿宋_GB2312"/>
          <w:b/>
          <w:bCs/>
          <w:u w:val="single"/>
        </w:rPr>
        <w:t xml:space="preserve">                            </w:t>
      </w:r>
      <w:r>
        <w:rPr>
          <w:rFonts w:hint="eastAsia" w:ascii="仿宋_GB2312" w:hAnsi="仿宋_GB2312" w:eastAsia="仿宋_GB2312"/>
          <w:b/>
          <w:color w:val="auto"/>
          <w:kern w:val="2"/>
          <w:u w:val="single"/>
        </w:rPr>
        <w:t xml:space="preserve"> </w:t>
      </w:r>
    </w:p>
    <w:p w14:paraId="7B21D885">
      <w:pPr>
        <w:pStyle w:val="20"/>
        <w:shd w:val="clear" w:color="auto" w:fill="FFFFFF"/>
        <w:spacing w:before="0" w:beforeAutospacing="0" w:after="0" w:afterAutospacing="0" w:line="400" w:lineRule="exact"/>
        <w:rPr>
          <w:rFonts w:hint="eastAsia" w:ascii="仿宋_GB2312" w:hAnsi="仿宋_GB2312" w:eastAsia="仿宋_GB2312"/>
          <w:color w:val="auto"/>
        </w:rPr>
      </w:pPr>
      <w:r>
        <w:rPr>
          <w:rFonts w:hint="eastAsia" w:ascii="仿宋_GB2312" w:hAnsi="仿宋_GB2312" w:eastAsia="仿宋_GB2312"/>
          <w:color w:val="auto"/>
        </w:rPr>
        <w:t>承包人（全称）：</w:t>
      </w:r>
      <w:r>
        <w:rPr>
          <w:rFonts w:hint="eastAsia" w:ascii="仿宋_GB2312" w:hAnsi="仿宋_GB2312" w:eastAsia="仿宋_GB2312"/>
          <w:color w:val="auto"/>
          <w:u w:val="single"/>
        </w:rPr>
        <w:t xml:space="preserve">  </w:t>
      </w:r>
      <w:r>
        <w:rPr>
          <w:rFonts w:hint="eastAsia" w:ascii="仿宋_GB2312" w:hAnsi="仿宋_GB2312" w:eastAsia="仿宋_GB2312"/>
          <w:b/>
          <w:bCs/>
          <w:color w:val="auto"/>
          <w:u w:val="single"/>
          <w:lang w:eastAsia="zh-CN"/>
        </w:rPr>
        <w:t xml:space="preserve">                             </w:t>
      </w:r>
    </w:p>
    <w:p w14:paraId="1A0BC3FC">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为了加强承发包工程和临时工程的安全管理，深入贯彻“安全第一，预防为主、综合治理”安全生产方针，保证人身、设备安全，确保施工期间发包工程和临时工作顺利进行。根据国家有关法律规定，经双方平等协商，对</w:t>
      </w:r>
      <w:r>
        <w:rPr>
          <w:rFonts w:hint="eastAsia" w:ascii="仿宋_GB2312" w:hAnsi="仿宋_GB2312" w:eastAsia="仿宋_GB2312"/>
          <w:b/>
          <w:color w:val="auto"/>
          <w:u w:val="single"/>
        </w:rPr>
        <w:t xml:space="preserve"> </w:t>
      </w:r>
      <w:r>
        <w:rPr>
          <w:rFonts w:hint="eastAsia" w:ascii="仿宋_GB2312" w:hAnsi="仿宋_GB2312" w:eastAsia="仿宋_GB2312"/>
          <w:b/>
          <w:color w:val="auto"/>
          <w:u w:val="single"/>
          <w:lang w:eastAsia="zh-CN"/>
        </w:rPr>
        <w:t>阿克苏某单位隔离网及立柱维修</w:t>
      </w:r>
      <w:r>
        <w:rPr>
          <w:rFonts w:hint="eastAsia" w:ascii="仿宋_GB2312" w:hAnsi="仿宋_GB2312" w:eastAsia="仿宋_GB2312"/>
          <w:color w:val="auto"/>
        </w:rPr>
        <w:t>（工程全称）签订如下安全生产协议：</w:t>
      </w:r>
    </w:p>
    <w:p w14:paraId="657B45E1">
      <w:pPr>
        <w:pStyle w:val="20"/>
        <w:shd w:val="clear" w:color="auto" w:fill="FFFFFF"/>
        <w:spacing w:before="0" w:beforeAutospacing="0" w:after="0" w:afterAutospacing="0" w:line="400" w:lineRule="exact"/>
        <w:ind w:firstLine="482" w:firstLineChars="200"/>
        <w:rPr>
          <w:rFonts w:hint="eastAsia" w:ascii="仿宋_GB2312" w:hAnsi="仿宋_GB2312" w:eastAsia="仿宋_GB2312"/>
          <w:b/>
          <w:color w:val="auto"/>
        </w:rPr>
      </w:pPr>
      <w:r>
        <w:rPr>
          <w:rFonts w:hint="eastAsia" w:ascii="仿宋_GB2312" w:hAnsi="仿宋_GB2312" w:eastAsia="仿宋_GB2312"/>
          <w:b/>
          <w:color w:val="auto"/>
        </w:rPr>
        <w:t>第一条</w:t>
      </w:r>
      <w:r>
        <w:rPr>
          <w:rFonts w:hint="eastAsia" w:ascii="仿宋_GB2312" w:hAnsi="仿宋_GB2312" w:eastAsia="仿宋_GB2312"/>
          <w:color w:val="auto"/>
        </w:rPr>
        <w:t xml:space="preserve">  发包人、承包人双方必须认真贯彻执行国家制定的安全生产政策、法律、法规及各项制度。</w:t>
      </w:r>
    </w:p>
    <w:p w14:paraId="5B949E95">
      <w:pPr>
        <w:pStyle w:val="20"/>
        <w:shd w:val="clear" w:color="auto" w:fill="FFFFFF"/>
        <w:spacing w:before="0" w:beforeAutospacing="0" w:after="0" w:afterAutospacing="0" w:line="400" w:lineRule="exact"/>
        <w:ind w:firstLine="482" w:firstLineChars="200"/>
        <w:outlineLvl w:val="2"/>
        <w:rPr>
          <w:rFonts w:hint="eastAsia" w:ascii="仿宋_GB2312" w:hAnsi="仿宋_GB2312" w:eastAsia="仿宋_GB2312"/>
          <w:b/>
          <w:color w:val="auto"/>
        </w:rPr>
      </w:pPr>
      <w:bookmarkStart w:id="65" w:name="_Toc19397"/>
      <w:r>
        <w:rPr>
          <w:rFonts w:hint="eastAsia" w:ascii="仿宋_GB2312" w:hAnsi="仿宋_GB2312" w:eastAsia="仿宋_GB2312"/>
          <w:b/>
          <w:color w:val="auto"/>
        </w:rPr>
        <w:t>第二条</w:t>
      </w:r>
      <w:r>
        <w:rPr>
          <w:rFonts w:hint="eastAsia" w:ascii="仿宋_GB2312" w:hAnsi="仿宋_GB2312" w:eastAsia="仿宋_GB2312"/>
          <w:color w:val="auto"/>
        </w:rPr>
        <w:t xml:space="preserve">  发包人承担的安全责任、权利：</w:t>
      </w:r>
      <w:bookmarkEnd w:id="65"/>
    </w:p>
    <w:p w14:paraId="4CA47B85">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（一）发包人管理人员有权制止承包人人员违纪作业，并按规定给予处罚；</w:t>
      </w:r>
    </w:p>
    <w:p w14:paraId="25504BEE">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（二）发包人有权对安全意识差、不听安全生产指挥的承包人人员责令退场。</w:t>
      </w:r>
    </w:p>
    <w:p w14:paraId="494EC89E">
      <w:pPr>
        <w:pStyle w:val="20"/>
        <w:shd w:val="clear" w:color="auto" w:fill="FFFFFF"/>
        <w:spacing w:before="0" w:beforeAutospacing="0" w:after="0" w:afterAutospacing="0" w:line="400" w:lineRule="exact"/>
        <w:ind w:firstLine="482" w:firstLineChars="200"/>
        <w:outlineLvl w:val="2"/>
        <w:rPr>
          <w:rFonts w:hint="eastAsia" w:ascii="仿宋_GB2312" w:hAnsi="仿宋_GB2312" w:eastAsia="仿宋_GB2312"/>
          <w:b/>
          <w:color w:val="auto"/>
        </w:rPr>
      </w:pPr>
      <w:bookmarkStart w:id="66" w:name="_Toc21606"/>
      <w:r>
        <w:rPr>
          <w:rFonts w:hint="eastAsia" w:ascii="仿宋_GB2312" w:hAnsi="仿宋_GB2312" w:eastAsia="仿宋_GB2312"/>
          <w:b/>
          <w:color w:val="auto"/>
        </w:rPr>
        <w:t>第三条</w:t>
      </w:r>
      <w:r>
        <w:rPr>
          <w:rFonts w:hint="eastAsia" w:ascii="仿宋_GB2312" w:hAnsi="仿宋_GB2312" w:eastAsia="仿宋_GB2312"/>
          <w:color w:val="auto"/>
        </w:rPr>
        <w:t xml:space="preserve">  承包人的责任、权利：</w:t>
      </w:r>
      <w:bookmarkEnd w:id="66"/>
    </w:p>
    <w:p w14:paraId="72E75971">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（一） 承包人必须严格执行国家法律、法规及发包人的有关安全生产的规定、制度；</w:t>
      </w:r>
    </w:p>
    <w:p w14:paraId="7EB03B34">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（二） 承包人负责为所有承包人工作人员办理医疗及工伤社会保险，并根据需要为从事高度危险工作的人员购买适当的人身意外伤害保险，在施工过程中如发生人身伤亡事故，由承包人承担全部责任；</w:t>
      </w:r>
    </w:p>
    <w:p w14:paraId="5E17666B">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（三） 承包人应对施工工作现场的行为完全负责，承包人工作人员不得违章作业，冒险作业，不能疲劳作业，并按规定做好保护工作；</w:t>
      </w:r>
    </w:p>
    <w:p w14:paraId="63169F8A">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（四） 承包人在工程现场人员必须有配备齐全的安全防护用品，不能满足安全工程需要时，人员不得进入工程现场。</w:t>
      </w:r>
    </w:p>
    <w:p w14:paraId="0361902B">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（五）施工人员及车辆进入某单位的，必须遵守某单位的有关规定和安全生产规定。</w:t>
      </w:r>
    </w:p>
    <w:p w14:paraId="105CDA1C">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（六）施工人员及车辆进入某单位内需办理报批手续，由警察带领进入大门并接受检查。</w:t>
      </w:r>
    </w:p>
    <w:p w14:paraId="65DE832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（七）施工人员进入某单位必须着统一施工人员服装（区别服）。</w:t>
      </w:r>
    </w:p>
    <w:p w14:paraId="27429074">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（八）严禁施工人员携带除施工必须工具外的一切物品进入某单位。</w:t>
      </w:r>
    </w:p>
    <w:p w14:paraId="19590E94">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（九）施工人员进入某单位后，应在规定的时间和区域内活动，禁止在无民警监督下与罪犯接触。</w:t>
      </w:r>
    </w:p>
    <w:p w14:paraId="571779B1">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（十）施工人员及车辆应在规定时间进出某单位大门，并由民警带领出入。</w:t>
      </w:r>
    </w:p>
    <w:p w14:paraId="411F1F48">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（十一）施工人员禁止为罪犯传递违禁品，禁止将移动电话、现金、便服、毒品等违禁品带入某单位，违者一次罚款500元处罚并对违反规定的施工人员清场处理。</w:t>
      </w:r>
    </w:p>
    <w:p w14:paraId="06F3A4E7">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（十二）施工人员违反上述规定的，禁止再次进入某单位，情况严重的移送司法机关依法处理。</w:t>
      </w:r>
    </w:p>
    <w:p w14:paraId="0096442A">
      <w:pPr>
        <w:pStyle w:val="20"/>
        <w:shd w:val="clear" w:color="auto" w:fill="FFFFFF"/>
        <w:spacing w:before="0" w:beforeAutospacing="0" w:after="0" w:afterAutospacing="0" w:line="400" w:lineRule="exact"/>
        <w:ind w:firstLine="482" w:firstLineChars="200"/>
        <w:rPr>
          <w:rFonts w:hint="eastAsia" w:ascii="仿宋_GB2312" w:hAnsi="仿宋_GB2312" w:eastAsia="仿宋_GB2312"/>
          <w:b/>
          <w:color w:val="auto"/>
        </w:rPr>
      </w:pPr>
      <w:r>
        <w:rPr>
          <w:rFonts w:hint="eastAsia" w:ascii="仿宋_GB2312" w:hAnsi="仿宋_GB2312" w:eastAsia="仿宋_GB2312"/>
          <w:b/>
          <w:color w:val="auto"/>
        </w:rPr>
        <w:t>第四条</w:t>
      </w:r>
      <w:r>
        <w:rPr>
          <w:rFonts w:hint="eastAsia" w:ascii="仿宋_GB2312" w:hAnsi="仿宋_GB2312" w:eastAsia="仿宋_GB2312"/>
          <w:color w:val="auto"/>
        </w:rPr>
        <w:t xml:space="preserve">  承包人工作人员必须严格遵守和服从现场安全规定及安全管理，在施工现场必须做到：</w:t>
      </w:r>
    </w:p>
    <w:p w14:paraId="75B17CC3">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（一）所有施工人员必须佩带安全帽，高空悬空作业必须系好安全带；</w:t>
      </w:r>
    </w:p>
    <w:p w14:paraId="352B9DC2">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（二）施工期间不得喝酒，狱内禁止吸烟；</w:t>
      </w:r>
    </w:p>
    <w:p w14:paraId="1CBE5D7F">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（三）现场内不得赤脚，不得穿拖鞋、高跟鞋，高空作业不得穿皮鞋和带钉易滑鞋；</w:t>
      </w:r>
    </w:p>
    <w:p w14:paraId="60E351B9">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（四）未经发包人代表批准，不得随便拆除安全防护设施及安全装置和安全标牌；</w:t>
      </w:r>
    </w:p>
    <w:p w14:paraId="4AF798AA">
      <w:pPr>
        <w:pStyle w:val="20"/>
        <w:shd w:val="clear" w:color="auto" w:fill="FFFFFF"/>
        <w:spacing w:before="0" w:beforeAutospacing="0" w:after="0" w:afterAutospacing="0" w:line="400" w:lineRule="exact"/>
        <w:ind w:firstLine="482" w:firstLineChars="200"/>
        <w:outlineLvl w:val="2"/>
        <w:rPr>
          <w:rFonts w:hint="eastAsia" w:ascii="仿宋_GB2312" w:hAnsi="仿宋_GB2312" w:eastAsia="仿宋_GB2312"/>
          <w:b/>
          <w:color w:val="auto"/>
        </w:rPr>
      </w:pPr>
      <w:bookmarkStart w:id="67" w:name="_Toc11031"/>
      <w:r>
        <w:rPr>
          <w:rFonts w:hint="eastAsia" w:ascii="仿宋_GB2312" w:hAnsi="仿宋_GB2312" w:eastAsia="仿宋_GB2312"/>
          <w:b/>
          <w:color w:val="auto"/>
        </w:rPr>
        <w:t>第五条</w:t>
      </w:r>
      <w:r>
        <w:rPr>
          <w:rFonts w:hint="eastAsia" w:ascii="仿宋_GB2312" w:hAnsi="仿宋_GB2312" w:eastAsia="仿宋_GB2312"/>
          <w:color w:val="auto"/>
        </w:rPr>
        <w:t xml:space="preserve"> 安全责任</w:t>
      </w:r>
      <w:bookmarkEnd w:id="67"/>
    </w:p>
    <w:p w14:paraId="2CA8F528">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（一）本协议约定期间由于承包人造成安全事故的，承包人负全部责任，并由承包人承担造成的经济损失和刑事责任；</w:t>
      </w:r>
    </w:p>
    <w:p w14:paraId="590124A6">
      <w:pPr>
        <w:pStyle w:val="20"/>
        <w:shd w:val="clear" w:color="auto" w:fill="FFFFFF"/>
        <w:spacing w:before="0" w:beforeAutospacing="0" w:after="0" w:afterAutospacing="0" w:line="400" w:lineRule="exact"/>
        <w:ind w:firstLine="480" w:firstLineChars="200"/>
        <w:rPr>
          <w:rFonts w:hint="eastAsia" w:ascii="仿宋_GB2312" w:hAnsi="仿宋_GB2312" w:eastAsia="仿宋_GB2312"/>
          <w:color w:val="auto"/>
        </w:rPr>
      </w:pPr>
      <w:r>
        <w:rPr>
          <w:rFonts w:hint="eastAsia" w:ascii="仿宋_GB2312" w:hAnsi="仿宋_GB2312" w:eastAsia="仿宋_GB2312"/>
          <w:color w:val="auto"/>
        </w:rPr>
        <w:t>（二）本协议约定期间如因承包人或承包人工作人员过错给发包人造成损失，由承包人负责向发包人赔偿，发包人有权直接从承包人工程款中将相关损失赔偿款进行抵扣。</w:t>
      </w:r>
    </w:p>
    <w:p w14:paraId="070922C8">
      <w:pPr>
        <w:spacing w:line="400" w:lineRule="exact"/>
        <w:ind w:firstLine="482" w:firstLineChars="200"/>
        <w:rPr>
          <w:rFonts w:hint="eastAsia" w:ascii="仿宋_GB2312" w:hAnsi="仿宋_GB2312" w:eastAsia="仿宋_GB2312"/>
          <w:b/>
          <w:sz w:val="24"/>
        </w:rPr>
      </w:pPr>
      <w:r>
        <w:rPr>
          <w:rFonts w:hint="eastAsia" w:ascii="仿宋_GB2312" w:hAnsi="仿宋_GB2312" w:eastAsia="仿宋_GB2312"/>
          <w:b/>
          <w:sz w:val="24"/>
        </w:rPr>
        <w:t>第六条</w:t>
      </w:r>
      <w:r>
        <w:rPr>
          <w:rFonts w:hint="eastAsia" w:ascii="仿宋_GB2312" w:hAnsi="仿宋_GB2312" w:eastAsia="仿宋_GB2312"/>
          <w:sz w:val="24"/>
        </w:rPr>
        <w:t xml:space="preserve"> 本协议书作为工程施工合同的附件，与工程施工合同具有同等法律效力。经双方签署后立即生效。  </w:t>
      </w:r>
    </w:p>
    <w:p w14:paraId="3D3B61E0">
      <w:pPr>
        <w:pStyle w:val="20"/>
        <w:shd w:val="clear" w:color="auto" w:fill="FFFFFF"/>
        <w:spacing w:before="0" w:beforeAutospacing="0" w:after="0" w:afterAutospacing="0" w:line="400" w:lineRule="exact"/>
        <w:ind w:firstLine="482" w:firstLineChars="200"/>
        <w:rPr>
          <w:rFonts w:hint="eastAsia" w:ascii="仿宋_GB2312" w:hAnsi="仿宋_GB2312" w:eastAsia="仿宋_GB2312"/>
          <w:b/>
          <w:color w:val="auto"/>
        </w:rPr>
      </w:pPr>
      <w:r>
        <w:rPr>
          <w:rFonts w:hint="eastAsia" w:ascii="仿宋_GB2312" w:hAnsi="仿宋_GB2312" w:eastAsia="仿宋_GB2312"/>
          <w:b/>
          <w:color w:val="auto"/>
        </w:rPr>
        <w:t>第七条</w:t>
      </w:r>
      <w:r>
        <w:rPr>
          <w:rFonts w:hint="eastAsia" w:ascii="仿宋_GB2312" w:hAnsi="仿宋_GB2312" w:eastAsia="仿宋_GB2312"/>
          <w:color w:val="auto"/>
        </w:rPr>
        <w:t xml:space="preserve"> 本协议书的有效期为双方签署之日起至该工程项目竣工验收合格时止。</w:t>
      </w:r>
    </w:p>
    <w:p w14:paraId="36810CED">
      <w:pPr>
        <w:pStyle w:val="20"/>
        <w:shd w:val="clear" w:color="auto" w:fill="FFFFFF"/>
        <w:spacing w:before="0" w:beforeAutospacing="0" w:after="0" w:afterAutospacing="0" w:line="400" w:lineRule="exact"/>
        <w:ind w:firstLine="482" w:firstLineChars="200"/>
        <w:outlineLvl w:val="2"/>
        <w:rPr>
          <w:rFonts w:hint="eastAsia" w:ascii="仿宋_GB2312" w:hAnsi="仿宋_GB2312" w:eastAsia="仿宋_GB2312"/>
          <w:b/>
          <w:color w:val="auto"/>
        </w:rPr>
      </w:pPr>
      <w:bookmarkStart w:id="68" w:name="_Toc32251"/>
      <w:r>
        <w:rPr>
          <w:rFonts w:hint="eastAsia" w:ascii="仿宋_GB2312" w:hAnsi="仿宋_GB2312" w:eastAsia="仿宋_GB2312"/>
          <w:b/>
          <w:color w:val="auto"/>
        </w:rPr>
        <w:t>第八条</w:t>
      </w:r>
      <w:r>
        <w:rPr>
          <w:rFonts w:hint="eastAsia" w:ascii="仿宋_GB2312" w:hAnsi="仿宋_GB2312" w:eastAsia="仿宋_GB2312"/>
          <w:color w:val="auto"/>
        </w:rPr>
        <w:t xml:space="preserve"> 本协议书一式伍份，发包人执肆份、承包人执壹份。</w:t>
      </w:r>
      <w:bookmarkEnd w:id="68"/>
    </w:p>
    <w:p w14:paraId="167531A7">
      <w:pPr>
        <w:spacing w:line="400" w:lineRule="exact"/>
        <w:rPr>
          <w:rFonts w:hint="eastAsia" w:ascii="仿宋_GB2312" w:hAnsi="仿宋_GB2312" w:eastAsia="仿宋_GB2312"/>
          <w:sz w:val="24"/>
        </w:rPr>
      </w:pPr>
    </w:p>
    <w:p w14:paraId="5F1283DA">
      <w:pPr>
        <w:spacing w:line="400" w:lineRule="exact"/>
        <w:rPr>
          <w:rFonts w:hint="eastAsia" w:ascii="仿宋_GB2312" w:hAnsi="仿宋_GB2312" w:eastAsia="仿宋_GB2312"/>
          <w:sz w:val="24"/>
        </w:rPr>
      </w:pPr>
    </w:p>
    <w:p w14:paraId="36B23D27">
      <w:pPr>
        <w:spacing w:line="400" w:lineRule="exact"/>
        <w:rPr>
          <w:rFonts w:hint="eastAsia" w:ascii="仿宋_GB2312" w:hAnsi="仿宋_GB2312" w:eastAsia="仿宋_GB2312"/>
          <w:sz w:val="24"/>
        </w:rPr>
      </w:pPr>
      <w:r>
        <w:rPr>
          <w:rFonts w:hint="eastAsia" w:ascii="仿宋_GB2312" w:hAnsi="仿宋_GB2312" w:eastAsia="仿宋_GB2312"/>
          <w:sz w:val="24"/>
        </w:rPr>
        <w:t>发包人名称：（公章）                      承包人名称：（公章）</w:t>
      </w:r>
    </w:p>
    <w:p w14:paraId="2D4B90DC">
      <w:pPr>
        <w:spacing w:line="400" w:lineRule="exact"/>
        <w:rPr>
          <w:rFonts w:hint="eastAsia" w:ascii="仿宋_GB2312" w:hAnsi="仿宋_GB2312" w:eastAsia="仿宋_GB2312"/>
          <w:sz w:val="24"/>
        </w:rPr>
      </w:pPr>
    </w:p>
    <w:p w14:paraId="695D557C">
      <w:pPr>
        <w:spacing w:line="400" w:lineRule="exact"/>
        <w:rPr>
          <w:rFonts w:hint="eastAsia" w:ascii="仿宋_GB2312" w:hAnsi="仿宋_GB2312" w:eastAsia="仿宋_GB2312"/>
          <w:sz w:val="24"/>
        </w:rPr>
      </w:pPr>
    </w:p>
    <w:p w14:paraId="0FA39B4F">
      <w:pPr>
        <w:spacing w:line="400" w:lineRule="exact"/>
        <w:rPr>
          <w:rFonts w:hint="eastAsia" w:ascii="仿宋_GB2312" w:hAnsi="仿宋_GB2312" w:eastAsia="仿宋_GB2312"/>
          <w:sz w:val="24"/>
        </w:rPr>
      </w:pPr>
      <w:r>
        <w:rPr>
          <w:rFonts w:hint="eastAsia" w:ascii="仿宋_GB2312" w:hAnsi="仿宋_GB2312" w:eastAsia="仿宋_GB2312"/>
          <w:sz w:val="24"/>
        </w:rPr>
        <w:t>法定代表人或授权代表：                   法定代表人或授权代表：</w:t>
      </w:r>
    </w:p>
    <w:p w14:paraId="29480DBB">
      <w:pPr>
        <w:spacing w:line="400" w:lineRule="exact"/>
        <w:ind w:firstLine="720" w:firstLineChars="300"/>
        <w:rPr>
          <w:rFonts w:hint="eastAsia" w:ascii="仿宋_GB2312" w:hAnsi="仿宋_GB2312" w:eastAsia="仿宋_GB2312"/>
          <w:sz w:val="24"/>
          <w:u w:val="single"/>
        </w:rPr>
      </w:pPr>
    </w:p>
    <w:p w14:paraId="31DF780D">
      <w:pPr>
        <w:spacing w:line="400" w:lineRule="exact"/>
        <w:ind w:firstLine="720" w:firstLineChars="300"/>
        <w:rPr>
          <w:rFonts w:hint="eastAsia" w:ascii="仿宋_GB2312" w:hAnsi="仿宋_GB2312" w:eastAsia="仿宋_GB2312"/>
          <w:sz w:val="24"/>
          <w:u w:val="single"/>
        </w:rPr>
      </w:pPr>
    </w:p>
    <w:p w14:paraId="0594A3E3">
      <w:pPr>
        <w:spacing w:line="400" w:lineRule="exact"/>
        <w:ind w:firstLine="480" w:firstLineChars="200"/>
        <w:jc w:val="center"/>
        <w:rPr>
          <w:rFonts w:hint="eastAsia" w:ascii="仿宋_GB2312" w:hAnsi="仿宋_GB2312" w:eastAsia="仿宋_GB2312"/>
          <w:sz w:val="24"/>
        </w:rPr>
      </w:pPr>
      <w:r>
        <w:rPr>
          <w:rFonts w:hint="eastAsia" w:ascii="仿宋_GB2312" w:hAnsi="仿宋_GB2312" w:eastAsia="仿宋_GB2312"/>
          <w:sz w:val="24"/>
        </w:rPr>
        <w:t>日期</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39495060">
      <w:pPr>
        <w:pStyle w:val="20"/>
        <w:shd w:val="clear" w:color="auto" w:fill="FFFFFF"/>
        <w:spacing w:before="0" w:beforeAutospacing="0" w:after="0" w:afterAutospacing="0" w:line="400" w:lineRule="exact"/>
        <w:jc w:val="both"/>
        <w:rPr>
          <w:rFonts w:hint="eastAsia" w:ascii="仿宋_GB2312" w:hAnsi="仿宋_GB2312" w:eastAsia="仿宋_GB2312"/>
          <w:b/>
          <w:color w:val="auto"/>
          <w:sz w:val="28"/>
          <w:szCs w:val="28"/>
        </w:rPr>
      </w:pPr>
      <w:r>
        <w:rPr>
          <w:rFonts w:hint="eastAsia" w:ascii="仿宋_GB2312" w:hAnsi="仿宋_GB2312" w:eastAsia="仿宋_GB2312"/>
          <w:b/>
          <w:color w:val="auto"/>
          <w:sz w:val="28"/>
          <w:szCs w:val="28"/>
        </w:rPr>
        <w:br w:type="page"/>
      </w:r>
      <w:r>
        <w:rPr>
          <w:rFonts w:hint="eastAsia" w:ascii="仿宋_GB2312" w:hAnsi="仿宋_GB2312" w:eastAsia="仿宋_GB2312"/>
          <w:b/>
          <w:color w:val="auto"/>
          <w:sz w:val="28"/>
          <w:szCs w:val="28"/>
        </w:rPr>
        <w:t>附件4</w:t>
      </w:r>
    </w:p>
    <w:p w14:paraId="754F113F">
      <w:pPr>
        <w:pStyle w:val="8"/>
        <w:spacing w:before="100" w:line="228" w:lineRule="auto"/>
        <w:jc w:val="center"/>
        <w:outlineLvl w:val="0"/>
        <w:rPr>
          <w:rFonts w:hint="eastAsia" w:ascii="仿宋_GB2312" w:hAnsi="仿宋_GB2312" w:eastAsia="仿宋_GB2312"/>
          <w:b/>
          <w:sz w:val="36"/>
          <w:szCs w:val="36"/>
        </w:rPr>
      </w:pPr>
      <w:r>
        <w:rPr>
          <w:rFonts w:hint="eastAsia" w:ascii="仿宋_GB2312" w:hAnsi="仿宋_GB2312" w:eastAsia="仿宋_GB2312"/>
          <w:b/>
          <w:sz w:val="36"/>
          <w:szCs w:val="36"/>
        </w:rPr>
        <w:t>工程建设项目廉政责任书</w:t>
      </w:r>
    </w:p>
    <w:p w14:paraId="153CC442">
      <w:pPr>
        <w:spacing w:line="400" w:lineRule="exact"/>
        <w:ind w:firstLine="480" w:firstLineChars="200"/>
        <w:rPr>
          <w:rFonts w:hint="eastAsia" w:ascii="仿宋_GB2312" w:hAnsi="仿宋_GB2312" w:eastAsia="仿宋_GB2312"/>
          <w:sz w:val="24"/>
        </w:rPr>
      </w:pPr>
    </w:p>
    <w:p w14:paraId="35ED3EBF">
      <w:pPr>
        <w:spacing w:line="400" w:lineRule="exact"/>
        <w:rPr>
          <w:rFonts w:hint="eastAsia" w:ascii="仿宋_GB2312" w:hAnsi="仿宋_GB2312" w:eastAsia="仿宋_GB2312"/>
          <w:sz w:val="24"/>
        </w:rPr>
      </w:pPr>
      <w:r>
        <w:rPr>
          <w:rFonts w:hint="eastAsia" w:ascii="仿宋_GB2312" w:hAnsi="仿宋_GB2312" w:eastAsia="仿宋_GB2312"/>
          <w:sz w:val="24"/>
        </w:rPr>
        <w:t>发包人（建设单位）：</w:t>
      </w:r>
      <w:r>
        <w:rPr>
          <w:rFonts w:hint="eastAsia" w:ascii="仿宋_GB2312" w:hAnsi="仿宋_GB2312" w:eastAsia="仿宋_GB2312"/>
          <w:b/>
          <w:sz w:val="24"/>
          <w:u w:val="single"/>
        </w:rPr>
        <w:t xml:space="preserve">  </w:t>
      </w:r>
      <w:r>
        <w:rPr>
          <w:rFonts w:hint="eastAsia" w:ascii="仿宋_GB2312" w:hAnsi="仿宋_GB2312" w:eastAsia="仿宋_GB2312"/>
          <w:b/>
          <w:bCs/>
          <w:sz w:val="24"/>
          <w:u w:val="single"/>
        </w:rPr>
        <w:t xml:space="preserve">                         </w:t>
      </w:r>
      <w:r>
        <w:rPr>
          <w:rFonts w:hint="eastAsia" w:ascii="仿宋_GB2312" w:hAnsi="仿宋_GB2312" w:eastAsia="仿宋_GB2312"/>
          <w:b/>
          <w:sz w:val="24"/>
          <w:u w:val="single"/>
        </w:rPr>
        <w:t xml:space="preserve">   </w:t>
      </w:r>
      <w:r>
        <w:rPr>
          <w:rFonts w:hint="eastAsia" w:ascii="仿宋_GB2312" w:hAnsi="仿宋_GB2312" w:eastAsia="仿宋_GB2312"/>
          <w:sz w:val="24"/>
        </w:rPr>
        <w:t xml:space="preserve"> </w:t>
      </w:r>
    </w:p>
    <w:p w14:paraId="7748FE7D">
      <w:pPr>
        <w:spacing w:line="400" w:lineRule="exact"/>
        <w:rPr>
          <w:rFonts w:hint="eastAsia" w:ascii="仿宋_GB2312" w:hAnsi="仿宋_GB2312" w:eastAsia="仿宋_GB2312"/>
          <w:sz w:val="24"/>
        </w:rPr>
      </w:pPr>
      <w:r>
        <w:rPr>
          <w:rFonts w:hint="eastAsia" w:ascii="仿宋_GB2312" w:hAnsi="仿宋_GB2312" w:eastAsia="仿宋_GB2312"/>
          <w:sz w:val="24"/>
        </w:rPr>
        <w:t>承包人（施工单位）：</w:t>
      </w:r>
      <w:r>
        <w:rPr>
          <w:rFonts w:hint="eastAsia" w:ascii="仿宋_GB2312" w:hAnsi="仿宋_GB2312" w:eastAsia="仿宋_GB2312"/>
          <w:b/>
          <w:sz w:val="24"/>
          <w:u w:val="single"/>
        </w:rPr>
        <w:t xml:space="preserve">  </w:t>
      </w:r>
      <w:r>
        <w:rPr>
          <w:rFonts w:hint="eastAsia" w:ascii="仿宋_GB2312" w:hAnsi="仿宋_GB2312" w:eastAsia="仿宋_GB2312"/>
          <w:b/>
          <w:bCs/>
          <w:sz w:val="24"/>
          <w:u w:val="single"/>
          <w:lang w:eastAsia="zh-CN"/>
        </w:rPr>
        <w:t xml:space="preserve">                            </w:t>
      </w:r>
    </w:p>
    <w:p w14:paraId="07B1BBC3">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工程项目名称：</w:t>
      </w:r>
      <w:r>
        <w:rPr>
          <w:rFonts w:hint="eastAsia" w:ascii="仿宋_GB2312" w:hAnsi="仿宋_GB2312" w:eastAsia="仿宋_GB2312"/>
          <w:b/>
          <w:u w:val="single"/>
        </w:rPr>
        <w:t xml:space="preserve"> </w:t>
      </w:r>
      <w:r>
        <w:rPr>
          <w:rFonts w:hint="eastAsia" w:ascii="仿宋_GB2312" w:hAnsi="仿宋_GB2312" w:eastAsia="仿宋_GB2312"/>
          <w:b/>
          <w:sz w:val="24"/>
          <w:u w:val="single"/>
          <w:lang w:eastAsia="zh-CN"/>
        </w:rPr>
        <w:t>阿克苏某单位隔离网及立柱维修</w:t>
      </w:r>
      <w:r>
        <w:rPr>
          <w:rFonts w:hint="eastAsia" w:ascii="仿宋_GB2312" w:hAnsi="仿宋_GB2312" w:eastAsia="仿宋_GB2312"/>
          <w:sz w:val="24"/>
        </w:rPr>
        <w:t xml:space="preserve">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  </w:t>
      </w:r>
    </w:p>
    <w:p w14:paraId="38DC742A">
      <w:pPr>
        <w:spacing w:line="400" w:lineRule="exact"/>
        <w:ind w:firstLine="482" w:firstLineChars="200"/>
        <w:outlineLvl w:val="2"/>
        <w:rPr>
          <w:rFonts w:hint="eastAsia" w:ascii="仿宋_GB2312" w:hAnsi="仿宋_GB2312" w:eastAsia="仿宋_GB2312"/>
          <w:b/>
          <w:sz w:val="24"/>
        </w:rPr>
      </w:pPr>
      <w:bookmarkStart w:id="69" w:name="_Toc18005"/>
      <w:r>
        <w:rPr>
          <w:rFonts w:hint="eastAsia" w:ascii="仿宋_GB2312" w:hAnsi="仿宋_GB2312" w:eastAsia="仿宋_GB2312"/>
          <w:b/>
          <w:sz w:val="24"/>
        </w:rPr>
        <w:t>第一条 发包人承包人双方的责任</w:t>
      </w:r>
      <w:bookmarkEnd w:id="69"/>
      <w:r>
        <w:rPr>
          <w:rFonts w:hint="eastAsia" w:ascii="仿宋_GB2312" w:hAnsi="仿宋_GB2312" w:eastAsia="仿宋_GB2312"/>
          <w:sz w:val="24"/>
        </w:rPr>
        <w:t xml:space="preserve">  </w:t>
      </w:r>
    </w:p>
    <w:p w14:paraId="57B759D3">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（一）应严格遵守国家关于市场准入、项目招标投标、工程建设、施工安装和市场活动等有关法律、法规，相关政策，以及廉政建设的各项规定。  </w:t>
      </w:r>
    </w:p>
    <w:p w14:paraId="1077ED08">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（二）严格执行建设工程项目承发包合同文件，自觉按合同办事。</w:t>
      </w:r>
    </w:p>
    <w:p w14:paraId="300CF0B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（三）业务活动必须坚持公开、公平、公正、诚信、透明的原则（除法律法规另有规定者外），不得为获取不正当的利益，损害国家、集体和对方利益，不得违反工程建设管理、施工安装的规章制度。 </w:t>
      </w:r>
    </w:p>
    <w:p w14:paraId="1E883F19">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（四）发现对方在业务活动中有违规、违纪、违法行为的，应及时提醒对方，情节严重的，应向其上级主管部门或纪检监察、司法等有关机关举报。  </w:t>
      </w:r>
    </w:p>
    <w:p w14:paraId="3C874E79">
      <w:pPr>
        <w:spacing w:line="400" w:lineRule="exact"/>
        <w:ind w:firstLine="482" w:firstLineChars="200"/>
        <w:outlineLvl w:val="2"/>
        <w:rPr>
          <w:rFonts w:hint="eastAsia" w:ascii="仿宋_GB2312" w:hAnsi="仿宋_GB2312" w:eastAsia="仿宋_GB2312"/>
          <w:b/>
          <w:sz w:val="24"/>
        </w:rPr>
      </w:pPr>
      <w:bookmarkStart w:id="70" w:name="_Toc6247"/>
      <w:r>
        <w:rPr>
          <w:rFonts w:hint="eastAsia" w:ascii="仿宋_GB2312" w:hAnsi="仿宋_GB2312" w:eastAsia="仿宋_GB2312"/>
          <w:b/>
          <w:sz w:val="24"/>
        </w:rPr>
        <w:t>第二条 发包人的责任</w:t>
      </w:r>
      <w:bookmarkEnd w:id="70"/>
      <w:r>
        <w:rPr>
          <w:rFonts w:hint="eastAsia" w:ascii="仿宋_GB2312" w:hAnsi="仿宋_GB2312" w:eastAsia="仿宋_GB2312"/>
          <w:sz w:val="24"/>
        </w:rPr>
        <w:t xml:space="preserve">  </w:t>
      </w:r>
    </w:p>
    <w:p w14:paraId="63E7552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发包人的领导和从事该建设工程项目的工作人员，在工程建设的事前、事中、事后应遵守以下规定： </w:t>
      </w:r>
    </w:p>
    <w:p w14:paraId="54742CA1">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（一）不准向承包人和相关单位索要或接受回扣、礼金、有价证券、贵重物品和好处费、感谢费等。 </w:t>
      </w:r>
    </w:p>
    <w:p w14:paraId="25150BEF">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（二）不准在承包人和相关单位报销任何应由甲方或个人支付的费用。不得借用、租用承包人的交通、通讯工具等物品。  </w:t>
      </w:r>
    </w:p>
    <w:p w14:paraId="58428602">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（三）不准要求、暗示和接受承包人和相关单位为个人装修住房、婚丧嫁娶、配偶子女的工作安排以及出国（境）、旅游等提供方便。  </w:t>
      </w:r>
    </w:p>
    <w:p w14:paraId="4EBC1F9C">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（四）不准参加有可能影响公正执行公务的承包人和相关单位的宴请和健身、娱乐等活动。</w:t>
      </w:r>
    </w:p>
    <w:p w14:paraId="163604CE">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五）不准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 </w:t>
      </w:r>
    </w:p>
    <w:p w14:paraId="5D61ED71">
      <w:pPr>
        <w:spacing w:line="400" w:lineRule="exact"/>
        <w:ind w:firstLine="482" w:firstLineChars="200"/>
        <w:outlineLvl w:val="2"/>
        <w:rPr>
          <w:rFonts w:hint="eastAsia" w:ascii="仿宋_GB2312" w:hAnsi="仿宋_GB2312" w:eastAsia="仿宋_GB2312"/>
          <w:b/>
          <w:sz w:val="24"/>
        </w:rPr>
      </w:pPr>
      <w:bookmarkStart w:id="71" w:name="_Toc5701"/>
      <w:r>
        <w:rPr>
          <w:rFonts w:hint="eastAsia" w:ascii="仿宋_GB2312" w:hAnsi="仿宋_GB2312" w:eastAsia="仿宋_GB2312"/>
          <w:b/>
          <w:sz w:val="24"/>
        </w:rPr>
        <w:t>第三条承包人的责任</w:t>
      </w:r>
      <w:bookmarkEnd w:id="71"/>
      <w:r>
        <w:rPr>
          <w:rFonts w:hint="eastAsia" w:ascii="仿宋_GB2312" w:hAnsi="仿宋_GB2312" w:eastAsia="仿宋_GB2312"/>
          <w:sz w:val="24"/>
        </w:rPr>
        <w:t xml:space="preserve">  </w:t>
      </w:r>
    </w:p>
    <w:p w14:paraId="46B93AA2">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应与发包人保持正常的业务交往，按照有关法律法规和程序开展业务工作，严格执行工程建设的有关方针、政策，尤其是有关建筑施工安装的强制性标准和规范，并遵守以下规定：  </w:t>
      </w:r>
    </w:p>
    <w:p w14:paraId="239A6241">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（一）不准以任何理由向发包人、相关单位及其工作人员索要、接受或赠送礼金、有价证券、贵重物品和回扣、好处费、感谢费等。  </w:t>
      </w:r>
    </w:p>
    <w:p w14:paraId="48AE9688">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（二）不准以任何理由为发包人和相关单位报销应由对方或个人支付的费用。  </w:t>
      </w:r>
    </w:p>
    <w:p w14:paraId="7870F59F">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（三）不准接受或暗示为发包人、相关单位或个人装修住房、婚丧嫁娶、配偶子女的工作安排以及出国（境）、旅游等提供方便。</w:t>
      </w:r>
    </w:p>
    <w:p w14:paraId="24CB8443">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（四）不准以任何理由为发包人、相关单位或个人组织有可能影响公正执行公务的宴请、健身、娱乐等活动。  </w:t>
      </w:r>
    </w:p>
    <w:p w14:paraId="3556E263">
      <w:pPr>
        <w:spacing w:line="400" w:lineRule="exact"/>
        <w:ind w:firstLine="482" w:firstLineChars="200"/>
        <w:outlineLvl w:val="2"/>
        <w:rPr>
          <w:rFonts w:hint="eastAsia" w:ascii="仿宋_GB2312" w:hAnsi="仿宋_GB2312" w:eastAsia="仿宋_GB2312"/>
          <w:b/>
          <w:sz w:val="24"/>
        </w:rPr>
      </w:pPr>
      <w:bookmarkStart w:id="72" w:name="_Toc8220"/>
      <w:r>
        <w:rPr>
          <w:rFonts w:hint="eastAsia" w:ascii="仿宋_GB2312" w:hAnsi="仿宋_GB2312" w:eastAsia="仿宋_GB2312"/>
          <w:b/>
          <w:sz w:val="24"/>
        </w:rPr>
        <w:t>第四条 违约责任</w:t>
      </w:r>
      <w:bookmarkEnd w:id="72"/>
      <w:r>
        <w:rPr>
          <w:rFonts w:hint="eastAsia" w:ascii="仿宋_GB2312" w:hAnsi="仿宋_GB2312" w:eastAsia="仿宋_GB2312"/>
          <w:sz w:val="24"/>
        </w:rPr>
        <w:t xml:space="preserve">  </w:t>
      </w:r>
    </w:p>
    <w:p w14:paraId="2D6560FB">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一）发包人工作人员有违反本责任书第一、二条责任行为的，按照管理权限，依据有关法律法规和规定给予党纪、政纪处分或组织处理；涉嫌犯罪的，移交司法机关追究刑事责任；给承包人单位造成经济损失的，应予以赔偿。  </w:t>
      </w:r>
    </w:p>
    <w:p w14:paraId="5C26C375">
      <w:pPr>
        <w:spacing w:line="40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二）承包人工作人员有违反本责任书第一、三条责任行为的，按照管理权限，依据有关法律法规和规定给予党纪、政纪处分或组织处理；涉嫌犯罪的，移交司法机关追究刑事责任；给发包人单位造成经济损失的，应予以赔偿。  </w:t>
      </w:r>
    </w:p>
    <w:p w14:paraId="77C02D11">
      <w:pPr>
        <w:spacing w:line="400" w:lineRule="exact"/>
        <w:ind w:firstLine="482" w:firstLineChars="200"/>
        <w:rPr>
          <w:rFonts w:hint="eastAsia" w:ascii="仿宋_GB2312" w:hAnsi="仿宋_GB2312" w:eastAsia="仿宋_GB2312"/>
          <w:b/>
          <w:sz w:val="24"/>
        </w:rPr>
      </w:pPr>
      <w:r>
        <w:rPr>
          <w:rFonts w:hint="eastAsia" w:ascii="仿宋_GB2312" w:hAnsi="仿宋_GB2312" w:eastAsia="仿宋_GB2312"/>
          <w:b/>
          <w:sz w:val="24"/>
        </w:rPr>
        <w:t>第五条</w:t>
      </w:r>
      <w:r>
        <w:rPr>
          <w:rFonts w:hint="eastAsia" w:ascii="仿宋_GB2312" w:hAnsi="仿宋_GB2312" w:eastAsia="仿宋_GB2312"/>
          <w:sz w:val="24"/>
        </w:rPr>
        <w:t xml:space="preserve"> 本责任书作为工程施工合同的附件，与工程施工合同具有同等法律效力。经双方签署后立即生效。  </w:t>
      </w:r>
    </w:p>
    <w:p w14:paraId="27791133">
      <w:pPr>
        <w:spacing w:line="400" w:lineRule="exact"/>
        <w:ind w:firstLine="482" w:firstLineChars="200"/>
        <w:rPr>
          <w:rFonts w:hint="eastAsia" w:ascii="仿宋_GB2312" w:hAnsi="仿宋_GB2312" w:eastAsia="仿宋_GB2312"/>
          <w:b/>
          <w:sz w:val="24"/>
        </w:rPr>
      </w:pPr>
      <w:r>
        <w:rPr>
          <w:rFonts w:hint="eastAsia" w:ascii="仿宋_GB2312" w:hAnsi="仿宋_GB2312" w:eastAsia="仿宋_GB2312"/>
          <w:b/>
          <w:sz w:val="24"/>
        </w:rPr>
        <w:t>第六条</w:t>
      </w:r>
      <w:r>
        <w:rPr>
          <w:rFonts w:hint="eastAsia" w:ascii="仿宋_GB2312" w:hAnsi="仿宋_GB2312" w:eastAsia="仿宋_GB2312"/>
          <w:sz w:val="24"/>
        </w:rPr>
        <w:t xml:space="preserve"> 本责任书的有效期为双方签署之日起至该工程项目竣工验收合格时止。 </w:t>
      </w:r>
    </w:p>
    <w:p w14:paraId="0D410113">
      <w:pPr>
        <w:spacing w:line="400" w:lineRule="exact"/>
        <w:ind w:firstLine="482" w:firstLineChars="200"/>
        <w:rPr>
          <w:rFonts w:hint="eastAsia" w:ascii="仿宋_GB2312" w:hAnsi="仿宋_GB2312" w:eastAsia="仿宋_GB2312"/>
          <w:sz w:val="24"/>
        </w:rPr>
      </w:pPr>
      <w:r>
        <w:rPr>
          <w:rFonts w:hint="eastAsia" w:ascii="仿宋_GB2312" w:hAnsi="仿宋_GB2312" w:eastAsia="仿宋_GB2312"/>
          <w:b/>
          <w:sz w:val="24"/>
        </w:rPr>
        <w:t>第七条</w:t>
      </w:r>
      <w:r>
        <w:rPr>
          <w:rFonts w:hint="eastAsia" w:ascii="仿宋_GB2312" w:hAnsi="仿宋_GB2312" w:eastAsia="仿宋_GB2312"/>
          <w:sz w:val="24"/>
        </w:rPr>
        <w:t xml:space="preserve"> 本责任书一式伍份，发包人执肆份，承包人执壹份，送交发包人承包人双方的监督单位各一份。</w:t>
      </w:r>
    </w:p>
    <w:p w14:paraId="57D2B0F5">
      <w:pPr>
        <w:spacing w:line="400" w:lineRule="exact"/>
        <w:ind w:firstLine="480" w:firstLineChars="200"/>
        <w:rPr>
          <w:rFonts w:hint="eastAsia" w:ascii="仿宋_GB2312" w:hAnsi="仿宋_GB2312" w:eastAsia="仿宋_GB2312"/>
          <w:sz w:val="24"/>
        </w:rPr>
      </w:pPr>
    </w:p>
    <w:p w14:paraId="66183905">
      <w:pPr>
        <w:spacing w:line="400" w:lineRule="exact"/>
        <w:ind w:firstLine="480" w:firstLineChars="200"/>
        <w:rPr>
          <w:rFonts w:hint="eastAsia" w:ascii="仿宋_GB2312" w:hAnsi="仿宋_GB2312" w:eastAsia="仿宋_GB2312"/>
          <w:sz w:val="24"/>
        </w:rPr>
      </w:pPr>
    </w:p>
    <w:p w14:paraId="199ED723">
      <w:pPr>
        <w:spacing w:line="400" w:lineRule="exact"/>
        <w:ind w:firstLine="480" w:firstLineChars="200"/>
        <w:rPr>
          <w:rFonts w:hint="eastAsia" w:ascii="仿宋_GB2312" w:hAnsi="仿宋_GB2312" w:eastAsia="仿宋_GB2312"/>
          <w:sz w:val="24"/>
        </w:rPr>
      </w:pPr>
    </w:p>
    <w:p w14:paraId="47617421">
      <w:pPr>
        <w:spacing w:line="400" w:lineRule="exact"/>
        <w:rPr>
          <w:rFonts w:hint="eastAsia" w:ascii="仿宋_GB2312" w:hAnsi="仿宋_GB2312" w:eastAsia="仿宋_GB2312"/>
          <w:sz w:val="24"/>
        </w:rPr>
      </w:pPr>
      <w:r>
        <w:rPr>
          <w:rFonts w:hint="eastAsia" w:ascii="仿宋_GB2312" w:hAnsi="仿宋_GB2312" w:eastAsia="仿宋_GB2312"/>
          <w:sz w:val="24"/>
        </w:rPr>
        <w:t>发包人名称：（公章）                      承包人名称：（公章）</w:t>
      </w:r>
    </w:p>
    <w:p w14:paraId="31256958">
      <w:pPr>
        <w:spacing w:line="400" w:lineRule="exact"/>
        <w:rPr>
          <w:rFonts w:hint="eastAsia" w:ascii="仿宋_GB2312" w:hAnsi="仿宋_GB2312" w:eastAsia="仿宋_GB2312"/>
          <w:sz w:val="24"/>
        </w:rPr>
      </w:pPr>
    </w:p>
    <w:p w14:paraId="161698C6">
      <w:pPr>
        <w:spacing w:line="400" w:lineRule="exact"/>
        <w:rPr>
          <w:rFonts w:hint="eastAsia" w:ascii="仿宋_GB2312" w:hAnsi="仿宋_GB2312" w:eastAsia="仿宋_GB2312"/>
          <w:sz w:val="24"/>
        </w:rPr>
      </w:pPr>
      <w:r>
        <w:rPr>
          <w:rFonts w:hint="eastAsia" w:ascii="仿宋_GB2312" w:hAnsi="仿宋_GB2312" w:eastAsia="仿宋_GB2312"/>
          <w:sz w:val="24"/>
        </w:rPr>
        <w:t>法定代表人或授权代表：                   法定代表人或授权代表：</w:t>
      </w:r>
    </w:p>
    <w:p w14:paraId="31536030">
      <w:pPr>
        <w:spacing w:line="400" w:lineRule="exact"/>
        <w:ind w:firstLine="720" w:firstLineChars="300"/>
        <w:rPr>
          <w:rFonts w:hint="eastAsia" w:ascii="仿宋_GB2312" w:hAnsi="仿宋_GB2312" w:eastAsia="仿宋_GB2312"/>
          <w:sz w:val="24"/>
          <w:u w:val="single"/>
        </w:rPr>
      </w:pPr>
    </w:p>
    <w:p w14:paraId="4374D1C6">
      <w:pPr>
        <w:spacing w:line="400" w:lineRule="exact"/>
        <w:rPr>
          <w:rFonts w:hint="eastAsia" w:ascii="仿宋_GB2312" w:hAnsi="仿宋_GB2312" w:eastAsia="仿宋_GB2312"/>
          <w:sz w:val="24"/>
          <w:u w:val="single"/>
        </w:rPr>
      </w:pPr>
    </w:p>
    <w:p w14:paraId="1C1EAC6D">
      <w:pPr>
        <w:pStyle w:val="22"/>
        <w:ind w:firstLine="410" w:firstLineChars="171"/>
        <w:jc w:val="center"/>
        <w:rPr>
          <w:rFonts w:hint="eastAsia" w:hAnsi="宋体" w:eastAsia="宋体"/>
          <w:b/>
          <w:szCs w:val="28"/>
        </w:rPr>
      </w:pPr>
      <w:r>
        <w:rPr>
          <w:rFonts w:hint="eastAsia" w:ascii="仿宋_GB2312" w:hAnsi="仿宋_GB2312" w:eastAsia="仿宋_GB2312"/>
          <w:sz w:val="24"/>
        </w:rPr>
        <w:t>日期</w:t>
      </w: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日 </w:t>
      </w:r>
    </w:p>
    <w:p w14:paraId="6BBAF90B">
      <w:pPr>
        <w:spacing w:after="0"/>
        <w:jc w:val="left"/>
        <w:rPr>
          <w:sz w:val="23"/>
        </w:rPr>
        <w:sectPr>
          <w:footerReference r:id="rId9" w:type="default"/>
          <w:pgSz w:w="11910" w:h="16840"/>
          <w:pgMar w:top="1400" w:right="899" w:bottom="1160" w:left="960" w:header="0" w:footer="970" w:gutter="0"/>
          <w:pgNumType w:fmt="decimal"/>
          <w:cols w:space="720" w:num="1"/>
        </w:sectPr>
      </w:pPr>
      <w:r>
        <w:pict>
          <v:shape id="_x0000_s1062" o:spid="_x0000_s1062" o:spt="202" type="#_x0000_t202" style="position:absolute;left:0pt;margin-left:306.95pt;margin-top:86.2pt;height:475.4pt;width:472.85pt;mso-position-horizontal-relative:page;z-index:251678720;mso-width-relative:page;mso-height-relative:page;" filled="f" stroked="f" coordsize="21600,21600">
            <v:path/>
            <v:fill on="f" focussize="0,0"/>
            <v:stroke on="f" joinstyle="miter"/>
            <v:imagedata o:title=""/>
            <o:lock v:ext="edit"/>
            <v:textbox inset="0mm,0mm,0mm,0mm">
              <w:txbxContent>
                <w:p w14:paraId="38635A88">
                  <w:pPr>
                    <w:pStyle w:val="8"/>
                  </w:pPr>
                </w:p>
              </w:txbxContent>
            </v:textbox>
          </v:shape>
        </w:pict>
      </w:r>
    </w:p>
    <w:p w14:paraId="4672583A">
      <w:pPr>
        <w:pStyle w:val="3"/>
        <w:spacing w:before="15"/>
        <w:ind w:left="312" w:right="372"/>
      </w:pPr>
      <w:bookmarkStart w:id="73" w:name="_bookmark5"/>
      <w:bookmarkEnd w:id="73"/>
      <w:r>
        <w:t>第五章 采购需求</w:t>
      </w:r>
    </w:p>
    <w:p w14:paraId="34BEE596">
      <w:pPr>
        <w:pStyle w:val="8"/>
        <w:spacing w:before="9"/>
        <w:rPr>
          <w:b/>
          <w:sz w:val="15"/>
        </w:rPr>
      </w:pPr>
    </w:p>
    <w:p w14:paraId="375D39B3">
      <w:pPr>
        <w:pStyle w:val="3"/>
        <w:spacing w:before="15"/>
        <w:ind w:left="312" w:right="372"/>
        <w:rPr>
          <w:rFonts w:hint="default" w:eastAsia="宋体"/>
          <w:color w:val="auto"/>
          <w:lang w:val="en-US" w:eastAsia="zh-CN"/>
        </w:rPr>
      </w:pPr>
      <w:r>
        <w:rPr>
          <w:rFonts w:hint="eastAsia"/>
          <w:color w:val="auto"/>
          <w:lang w:val="en-US" w:eastAsia="zh-CN"/>
        </w:rPr>
        <w:t>(工程量清单另卷)</w:t>
      </w:r>
    </w:p>
    <w:p w14:paraId="2583D158">
      <w:pPr>
        <w:pStyle w:val="3"/>
        <w:spacing w:before="15"/>
        <w:ind w:left="312" w:right="372"/>
      </w:pPr>
    </w:p>
    <w:p w14:paraId="4D8C2DF4">
      <w:pPr>
        <w:pStyle w:val="3"/>
        <w:spacing w:before="15"/>
        <w:ind w:left="312" w:right="372"/>
      </w:pPr>
    </w:p>
    <w:p w14:paraId="33ED65CD">
      <w:pPr>
        <w:pStyle w:val="3"/>
        <w:spacing w:before="15"/>
        <w:ind w:left="312" w:right="372"/>
      </w:pPr>
    </w:p>
    <w:p w14:paraId="5EBFD987">
      <w:pPr>
        <w:pStyle w:val="3"/>
        <w:spacing w:before="15"/>
        <w:ind w:left="312" w:right="372"/>
      </w:pPr>
    </w:p>
    <w:p w14:paraId="5F33EF23">
      <w:pPr>
        <w:pStyle w:val="3"/>
        <w:spacing w:before="15"/>
        <w:ind w:left="312" w:right="372"/>
      </w:pPr>
    </w:p>
    <w:p w14:paraId="6FAB3DB4">
      <w:pPr>
        <w:pStyle w:val="3"/>
        <w:spacing w:before="15"/>
        <w:ind w:left="312" w:right="372"/>
      </w:pPr>
    </w:p>
    <w:p w14:paraId="4C034F84">
      <w:pPr>
        <w:pStyle w:val="3"/>
        <w:spacing w:before="15"/>
        <w:ind w:left="312" w:right="372"/>
      </w:pPr>
    </w:p>
    <w:p w14:paraId="0B9D36F5">
      <w:pPr>
        <w:pStyle w:val="3"/>
        <w:spacing w:before="15"/>
        <w:ind w:left="312" w:right="372"/>
      </w:pPr>
    </w:p>
    <w:p w14:paraId="20F48604">
      <w:pPr>
        <w:pStyle w:val="3"/>
        <w:spacing w:before="15"/>
        <w:ind w:left="312" w:right="372"/>
      </w:pPr>
    </w:p>
    <w:p w14:paraId="3CCC7464">
      <w:pPr>
        <w:pStyle w:val="3"/>
        <w:spacing w:before="15"/>
        <w:ind w:left="312" w:right="372"/>
      </w:pPr>
    </w:p>
    <w:p w14:paraId="6B5DEA50">
      <w:pPr>
        <w:pStyle w:val="3"/>
        <w:spacing w:before="15"/>
        <w:ind w:left="312" w:right="372"/>
      </w:pPr>
    </w:p>
    <w:p w14:paraId="26F7B8A5">
      <w:pPr>
        <w:pStyle w:val="3"/>
        <w:spacing w:before="15"/>
        <w:ind w:left="312" w:right="372"/>
      </w:pPr>
    </w:p>
    <w:p w14:paraId="0288FF59">
      <w:pPr>
        <w:pStyle w:val="3"/>
        <w:spacing w:before="15"/>
        <w:ind w:left="312" w:right="372"/>
      </w:pPr>
    </w:p>
    <w:p w14:paraId="679F8344">
      <w:pPr>
        <w:pStyle w:val="3"/>
        <w:spacing w:before="15"/>
        <w:ind w:left="312" w:right="372"/>
      </w:pPr>
    </w:p>
    <w:p w14:paraId="331F5CBA">
      <w:pPr>
        <w:pStyle w:val="3"/>
        <w:spacing w:before="15"/>
        <w:ind w:left="312" w:right="372"/>
      </w:pPr>
    </w:p>
    <w:p w14:paraId="417CE024">
      <w:pPr>
        <w:pStyle w:val="3"/>
        <w:spacing w:before="15"/>
        <w:ind w:left="312" w:right="372"/>
      </w:pPr>
    </w:p>
    <w:p w14:paraId="08527ECC">
      <w:pPr>
        <w:pStyle w:val="3"/>
        <w:spacing w:before="15"/>
        <w:ind w:left="312" w:right="372"/>
      </w:pPr>
    </w:p>
    <w:p w14:paraId="6D568D94">
      <w:pPr>
        <w:pStyle w:val="3"/>
        <w:spacing w:before="15"/>
        <w:ind w:left="312" w:right="372"/>
      </w:pPr>
    </w:p>
    <w:p w14:paraId="610743FB">
      <w:pPr>
        <w:pStyle w:val="3"/>
        <w:spacing w:before="15"/>
        <w:ind w:left="312" w:right="372"/>
      </w:pPr>
    </w:p>
    <w:p w14:paraId="2A3179DB">
      <w:pPr>
        <w:pStyle w:val="3"/>
        <w:spacing w:before="15"/>
        <w:ind w:left="312" w:right="372"/>
      </w:pPr>
    </w:p>
    <w:p w14:paraId="76953134">
      <w:pPr>
        <w:pStyle w:val="3"/>
        <w:spacing w:before="15"/>
        <w:ind w:left="312" w:right="372"/>
      </w:pPr>
    </w:p>
    <w:p w14:paraId="1D2E71B8">
      <w:pPr>
        <w:pStyle w:val="3"/>
        <w:spacing w:before="15"/>
        <w:ind w:left="312" w:right="372"/>
      </w:pPr>
    </w:p>
    <w:p w14:paraId="72AD7A51">
      <w:pPr>
        <w:pStyle w:val="3"/>
        <w:spacing w:before="15"/>
        <w:ind w:left="312" w:right="372"/>
      </w:pPr>
    </w:p>
    <w:p w14:paraId="3388C45A">
      <w:pPr>
        <w:pStyle w:val="3"/>
        <w:spacing w:before="15"/>
        <w:ind w:left="312" w:right="372"/>
      </w:pPr>
    </w:p>
    <w:p w14:paraId="286DE17F">
      <w:pPr>
        <w:pStyle w:val="3"/>
        <w:spacing w:before="15"/>
        <w:ind w:left="312" w:right="372"/>
      </w:pPr>
      <w:r>
        <w:t>第六章 投标文件格式</w:t>
      </w:r>
    </w:p>
    <w:p w14:paraId="0208E7E5">
      <w:pPr>
        <w:pStyle w:val="8"/>
        <w:rPr>
          <w:b/>
          <w:sz w:val="40"/>
        </w:rPr>
      </w:pPr>
    </w:p>
    <w:p w14:paraId="3AAC0276">
      <w:pPr>
        <w:pStyle w:val="8"/>
        <w:rPr>
          <w:b/>
          <w:sz w:val="35"/>
        </w:rPr>
      </w:pPr>
    </w:p>
    <w:p w14:paraId="6FB43AAC">
      <w:pPr>
        <w:pStyle w:val="4"/>
        <w:ind w:left="314"/>
      </w:pPr>
      <w:r>
        <w:t>第一部分 投标文件的上传</w:t>
      </w:r>
    </w:p>
    <w:p w14:paraId="6ED75575">
      <w:pPr>
        <w:pStyle w:val="8"/>
        <w:rPr>
          <w:b/>
          <w:sz w:val="20"/>
        </w:rPr>
      </w:pPr>
    </w:p>
    <w:p w14:paraId="0D9AE6AB">
      <w:pPr>
        <w:pStyle w:val="8"/>
        <w:spacing w:before="6"/>
        <w:rPr>
          <w:b/>
          <w:sz w:val="21"/>
        </w:rPr>
      </w:pPr>
    </w:p>
    <w:p w14:paraId="55228E10">
      <w:pPr>
        <w:pStyle w:val="6"/>
        <w:spacing w:before="62"/>
      </w:pPr>
      <w:r>
        <w:rPr>
          <w:spacing w:val="-1"/>
          <w:w w:val="95"/>
        </w:rPr>
        <w:t>一、资格审查</w:t>
      </w:r>
    </w:p>
    <w:p w14:paraId="63ABD5CE">
      <w:pPr>
        <w:pStyle w:val="8"/>
        <w:spacing w:before="7"/>
        <w:rPr>
          <w:b/>
          <w:sz w:val="25"/>
        </w:rPr>
      </w:pPr>
    </w:p>
    <w:p w14:paraId="5DF0B5E7">
      <w:pPr>
        <w:spacing w:before="0" w:line="460" w:lineRule="auto"/>
        <w:ind w:left="287" w:right="346" w:firstLine="559"/>
        <w:jc w:val="left"/>
        <w:rPr>
          <w:b/>
          <w:spacing w:val="-3"/>
          <w:sz w:val="28"/>
        </w:rPr>
      </w:pPr>
      <w:r>
        <w:drawing>
          <wp:anchor distT="0" distB="0" distL="0" distR="0" simplePos="0" relativeHeight="251667456" behindDoc="1" locked="0" layoutInCell="1" hidden="1" allowOverlap="1">
            <wp:simplePos x="0" y="0"/>
            <wp:positionH relativeFrom="page">
              <wp:posOffset>1422400</wp:posOffset>
            </wp:positionH>
            <wp:positionV relativeFrom="paragraph">
              <wp:posOffset>1140460</wp:posOffset>
            </wp:positionV>
            <wp:extent cx="4514850" cy="2591435"/>
            <wp:effectExtent l="0" t="0" r="0" b="0"/>
            <wp:wrapNone/>
            <wp:docPr id="91"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rPr>
          <w:b/>
          <w:spacing w:val="-3"/>
          <w:sz w:val="28"/>
        </w:rPr>
        <w:t>资格审查部分按照招标文件“第一章 投标人须知前附表”中投标人资格要求、“第三章 评标方法”中资格审查表内容进行上传并加盖电子签章。</w:t>
      </w:r>
    </w:p>
    <w:p w14:paraId="7D577654">
      <w:pPr>
        <w:spacing w:before="0" w:line="460" w:lineRule="auto"/>
        <w:ind w:right="346" w:firstLine="275" w:firstLineChars="100"/>
        <w:jc w:val="left"/>
        <w:rPr>
          <w:b/>
          <w:sz w:val="28"/>
        </w:rPr>
      </w:pPr>
      <w:r>
        <w:rPr>
          <w:b/>
          <w:spacing w:val="-3"/>
          <w:sz w:val="28"/>
        </w:rPr>
        <w:t>二、报价响应</w:t>
      </w:r>
    </w:p>
    <w:p w14:paraId="50194ABE">
      <w:pPr>
        <w:spacing w:before="0" w:line="460" w:lineRule="auto"/>
        <w:ind w:left="287" w:right="4150" w:firstLine="559"/>
        <w:jc w:val="left"/>
        <w:rPr>
          <w:b/>
          <w:sz w:val="28"/>
        </w:rPr>
      </w:pPr>
      <w:r>
        <w:rPr>
          <w:sz w:val="28"/>
        </w:rPr>
        <w:t>报价需上传</w:t>
      </w:r>
      <w:r>
        <w:rPr>
          <w:b/>
          <w:sz w:val="28"/>
        </w:rPr>
        <w:t>开标一览表</w:t>
      </w:r>
      <w:r>
        <w:rPr>
          <w:sz w:val="28"/>
        </w:rPr>
        <w:t>并加盖电子签章。</w:t>
      </w:r>
      <w:r>
        <w:rPr>
          <w:b/>
          <w:sz w:val="28"/>
        </w:rPr>
        <w:t>三、商务技术响应</w:t>
      </w:r>
    </w:p>
    <w:p w14:paraId="10450FBF">
      <w:pPr>
        <w:spacing w:before="0" w:line="458" w:lineRule="auto"/>
        <w:ind w:left="287" w:right="345" w:firstLine="559"/>
        <w:jc w:val="left"/>
        <w:rPr>
          <w:sz w:val="28"/>
        </w:rPr>
      </w:pPr>
      <w:r>
        <w:rPr>
          <w:spacing w:val="-7"/>
          <w:sz w:val="28"/>
        </w:rPr>
        <w:t>需上传整个投标文件并按照第二部分投标文件的组成和编制顺序上传，否</w:t>
      </w:r>
      <w:r>
        <w:rPr>
          <w:spacing w:val="-3"/>
          <w:sz w:val="28"/>
        </w:rPr>
        <w:t>则投标无效。</w:t>
      </w:r>
    </w:p>
    <w:p w14:paraId="325A32EF">
      <w:pPr>
        <w:spacing w:before="2" w:line="460" w:lineRule="auto"/>
        <w:ind w:left="287" w:right="207" w:firstLine="559"/>
        <w:jc w:val="left"/>
        <w:rPr>
          <w:b/>
          <w:sz w:val="28"/>
        </w:rPr>
      </w:pPr>
      <w:r>
        <w:rPr>
          <w:b/>
          <w:spacing w:val="3"/>
          <w:sz w:val="28"/>
        </w:rPr>
        <w:t>注：上述投标文件应按标项上传，政采云系统上投标文件需进行关联。</w:t>
      </w:r>
      <w:r>
        <w:rPr>
          <w:b/>
          <w:w w:val="95"/>
          <w:sz w:val="28"/>
        </w:rPr>
        <w:t xml:space="preserve">未按要求上传或未关联或关联不完整，造成评审专家无法准确查阅相关内容，  </w:t>
      </w:r>
      <w:r>
        <w:rPr>
          <w:b/>
          <w:sz w:val="28"/>
        </w:rPr>
        <w:t>由此造成的相关不利后果由供应商自行承担。</w:t>
      </w:r>
    </w:p>
    <w:p w14:paraId="6AEFB536">
      <w:pPr>
        <w:spacing w:after="0" w:line="460" w:lineRule="auto"/>
        <w:jc w:val="left"/>
        <w:rPr>
          <w:sz w:val="28"/>
        </w:rPr>
        <w:sectPr>
          <w:pgSz w:w="11910" w:h="16840"/>
          <w:pgMar w:top="1300" w:right="899" w:bottom="1160" w:left="960" w:header="0" w:footer="970" w:gutter="0"/>
          <w:pgNumType w:fmt="decimal"/>
          <w:cols w:space="720" w:num="1"/>
        </w:sectPr>
      </w:pPr>
    </w:p>
    <w:p w14:paraId="2EFA08D2">
      <w:pPr>
        <w:spacing w:before="21"/>
        <w:ind w:left="314" w:right="372" w:firstLine="0"/>
        <w:jc w:val="center"/>
        <w:rPr>
          <w:b/>
          <w:sz w:val="36"/>
        </w:rPr>
      </w:pPr>
      <w:r>
        <w:rPr>
          <w:b/>
          <w:sz w:val="36"/>
        </w:rPr>
        <w:t>第二部分 投标文件的编写</w:t>
      </w:r>
    </w:p>
    <w:p w14:paraId="6196676E">
      <w:pPr>
        <w:pStyle w:val="8"/>
        <w:rPr>
          <w:b/>
          <w:sz w:val="36"/>
        </w:rPr>
      </w:pPr>
    </w:p>
    <w:p w14:paraId="416B198B">
      <w:pPr>
        <w:spacing w:before="259"/>
        <w:ind w:left="287" w:right="0" w:firstLine="0"/>
        <w:jc w:val="left"/>
        <w:rPr>
          <w:sz w:val="28"/>
        </w:rPr>
      </w:pPr>
      <w:r>
        <w:rPr>
          <w:sz w:val="28"/>
        </w:rPr>
        <w:t>投标文件的组成和编制顺序：</w:t>
      </w:r>
    </w:p>
    <w:p w14:paraId="7E6231D2">
      <w:pPr>
        <w:pStyle w:val="8"/>
        <w:spacing w:before="7"/>
        <w:rPr>
          <w:sz w:val="25"/>
        </w:rPr>
      </w:pPr>
    </w:p>
    <w:p w14:paraId="51589B10">
      <w:pPr>
        <w:spacing w:before="1" w:line="460" w:lineRule="auto"/>
        <w:ind w:left="287" w:right="237" w:firstLine="559"/>
        <w:jc w:val="left"/>
        <w:rPr>
          <w:sz w:val="28"/>
        </w:rPr>
      </w:pPr>
      <w:r>
        <w:rPr>
          <w:spacing w:val="-3"/>
          <w:sz w:val="28"/>
        </w:rPr>
        <w:t xml:space="preserve">请各供应商严格按照以下顺序编制投标文件，保证目录清晰、内容完整， </w:t>
      </w:r>
      <w:r>
        <w:rPr>
          <w:spacing w:val="-8"/>
          <w:sz w:val="28"/>
        </w:rPr>
        <w:t>如未按要求编制投标文件的，将可能导致</w:t>
      </w:r>
      <w:r>
        <w:rPr>
          <w:b/>
          <w:spacing w:val="-8"/>
          <w:sz w:val="28"/>
        </w:rPr>
        <w:t>投标无效，由此造成的相关不利后果</w:t>
      </w:r>
      <w:r>
        <w:rPr>
          <w:b/>
          <w:spacing w:val="-14"/>
          <w:sz w:val="28"/>
        </w:rPr>
        <w:t>由供应商自行承担。</w:t>
      </w:r>
      <w:r>
        <w:rPr>
          <w:spacing w:val="-6"/>
          <w:sz w:val="28"/>
        </w:rPr>
        <w:t>供应商必须保证投标文件所提供的全部资料真实可靠，并</w:t>
      </w:r>
      <w:r>
        <w:rPr>
          <w:spacing w:val="-3"/>
          <w:sz w:val="28"/>
        </w:rPr>
        <w:t>接受采购单位对其中任何资料进一步核实的要求。</w:t>
      </w:r>
    </w:p>
    <w:p w14:paraId="30BE9996">
      <w:pPr>
        <w:pStyle w:val="8"/>
        <w:spacing w:before="2"/>
        <w:rPr>
          <w:sz w:val="25"/>
        </w:rPr>
      </w:pPr>
      <w:r>
        <w:drawing>
          <wp:anchor distT="0" distB="0" distL="0" distR="0" simplePos="0" relativeHeight="251663360" behindDoc="0" locked="0" layoutInCell="1" hidden="1" allowOverlap="1">
            <wp:simplePos x="0" y="0"/>
            <wp:positionH relativeFrom="page">
              <wp:posOffset>1422400</wp:posOffset>
            </wp:positionH>
            <wp:positionV relativeFrom="paragraph">
              <wp:posOffset>229235</wp:posOffset>
            </wp:positionV>
            <wp:extent cx="4403090" cy="2527300"/>
            <wp:effectExtent l="0" t="0" r="0" b="0"/>
            <wp:wrapTopAndBottom/>
            <wp:docPr id="93"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jpeg" hidden="1"/>
                    <pic:cNvPicPr>
                      <a:picLocks noChangeAspect="1"/>
                    </pic:cNvPicPr>
                  </pic:nvPicPr>
                  <pic:blipFill>
                    <a:blip r:embed="rId13" cstate="print"/>
                    <a:stretch>
                      <a:fillRect/>
                    </a:stretch>
                  </pic:blipFill>
                  <pic:spPr>
                    <a:xfrm>
                      <a:off x="0" y="0"/>
                      <a:ext cx="4402835" cy="2527173"/>
                    </a:xfrm>
                    <a:prstGeom prst="rect">
                      <a:avLst/>
                    </a:prstGeom>
                  </pic:spPr>
                </pic:pic>
              </a:graphicData>
            </a:graphic>
          </wp:anchor>
        </w:drawing>
      </w:r>
    </w:p>
    <w:p w14:paraId="70AEA8A6">
      <w:pPr>
        <w:spacing w:after="0"/>
        <w:rPr>
          <w:sz w:val="25"/>
        </w:rPr>
        <w:sectPr>
          <w:pgSz w:w="11910" w:h="16840"/>
          <w:pgMar w:top="1320" w:right="899" w:bottom="1160" w:left="960" w:header="0" w:footer="970" w:gutter="0"/>
          <w:pgNumType w:fmt="decimal"/>
          <w:cols w:space="720" w:num="1"/>
        </w:sectPr>
      </w:pPr>
    </w:p>
    <w:p w14:paraId="3499F054">
      <w:pPr>
        <w:pStyle w:val="8"/>
        <w:spacing w:before="4"/>
        <w:rPr>
          <w:sz w:val="21"/>
        </w:rPr>
      </w:pPr>
    </w:p>
    <w:p w14:paraId="73E514C8">
      <w:pPr>
        <w:spacing w:before="70"/>
        <w:ind w:left="287" w:right="0" w:firstLine="0"/>
        <w:jc w:val="left"/>
        <w:rPr>
          <w:sz w:val="22"/>
        </w:rPr>
      </w:pPr>
      <w:r>
        <w:rPr>
          <w:sz w:val="22"/>
        </w:rPr>
        <w:t>（注：本招标文件给定格式的部分按给定格式进行编制，未给定格式的由投标单位自拟格式编制。）</w:t>
      </w:r>
    </w:p>
    <w:p w14:paraId="27EDAF05">
      <w:pPr>
        <w:pStyle w:val="8"/>
        <w:rPr>
          <w:sz w:val="22"/>
        </w:rPr>
      </w:pPr>
    </w:p>
    <w:p w14:paraId="677FEE18">
      <w:pPr>
        <w:pStyle w:val="8"/>
        <w:rPr>
          <w:sz w:val="22"/>
        </w:rPr>
      </w:pPr>
    </w:p>
    <w:p w14:paraId="4F00E864">
      <w:pPr>
        <w:pStyle w:val="8"/>
        <w:rPr>
          <w:sz w:val="22"/>
        </w:rPr>
      </w:pPr>
    </w:p>
    <w:p w14:paraId="010F8151">
      <w:pPr>
        <w:pStyle w:val="8"/>
        <w:spacing w:before="10"/>
        <w:rPr>
          <w:sz w:val="17"/>
        </w:rPr>
      </w:pPr>
    </w:p>
    <w:p w14:paraId="72FF7E63">
      <w:pPr>
        <w:tabs>
          <w:tab w:val="left" w:pos="1819"/>
          <w:tab w:val="left" w:pos="5737"/>
        </w:tabs>
        <w:spacing w:before="0"/>
        <w:ind w:left="0" w:right="372" w:firstLine="0"/>
        <w:jc w:val="center"/>
        <w:rPr>
          <w:sz w:val="28"/>
        </w:rPr>
      </w:pPr>
      <w:r>
        <w:rPr>
          <w:rFonts w:ascii="Times New Roman" w:eastAsia="Times New Roman"/>
          <w:w w:val="100"/>
          <w:sz w:val="28"/>
          <w:u w:val="single"/>
        </w:rPr>
        <w:t xml:space="preserve"> </w:t>
      </w:r>
      <w:r>
        <w:rPr>
          <w:rFonts w:ascii="Times New Roman" w:eastAsia="Times New Roman"/>
          <w:sz w:val="28"/>
          <w:u w:val="single"/>
        </w:rPr>
        <w:tab/>
      </w:r>
      <w:r>
        <w:rPr>
          <w:spacing w:val="-1"/>
          <w:sz w:val="28"/>
          <w:u w:val="single"/>
        </w:rPr>
        <w:t>（</w:t>
      </w:r>
      <w:r>
        <w:rPr>
          <w:spacing w:val="-3"/>
          <w:sz w:val="28"/>
          <w:u w:val="single"/>
        </w:rPr>
        <w:t>项</w:t>
      </w:r>
      <w:r>
        <w:rPr>
          <w:spacing w:val="-1"/>
          <w:sz w:val="28"/>
          <w:u w:val="single"/>
        </w:rPr>
        <w:t>目名</w:t>
      </w:r>
      <w:r>
        <w:rPr>
          <w:spacing w:val="-3"/>
          <w:sz w:val="28"/>
          <w:u w:val="single"/>
        </w:rPr>
        <w:t>称</w:t>
      </w:r>
      <w:r>
        <w:rPr>
          <w:sz w:val="28"/>
          <w:u w:val="single"/>
        </w:rPr>
        <w:t>）</w:t>
      </w:r>
      <w:r>
        <w:rPr>
          <w:sz w:val="28"/>
          <w:u w:val="single"/>
        </w:rPr>
        <w:tab/>
      </w:r>
    </w:p>
    <w:p w14:paraId="5C0AF51F">
      <w:pPr>
        <w:pStyle w:val="8"/>
        <w:rPr>
          <w:sz w:val="20"/>
        </w:rPr>
      </w:pPr>
    </w:p>
    <w:p w14:paraId="2E02A077">
      <w:pPr>
        <w:pStyle w:val="8"/>
        <w:rPr>
          <w:sz w:val="20"/>
        </w:rPr>
      </w:pPr>
    </w:p>
    <w:p w14:paraId="68F16F4C">
      <w:pPr>
        <w:pStyle w:val="8"/>
        <w:rPr>
          <w:sz w:val="20"/>
        </w:rPr>
      </w:pPr>
    </w:p>
    <w:p w14:paraId="0B7AFAD3">
      <w:pPr>
        <w:pStyle w:val="8"/>
        <w:rPr>
          <w:sz w:val="20"/>
        </w:rPr>
      </w:pPr>
    </w:p>
    <w:p w14:paraId="1803715A">
      <w:pPr>
        <w:pStyle w:val="8"/>
        <w:rPr>
          <w:sz w:val="20"/>
        </w:rPr>
      </w:pPr>
    </w:p>
    <w:p w14:paraId="2D29B390">
      <w:pPr>
        <w:pStyle w:val="8"/>
        <w:rPr>
          <w:sz w:val="20"/>
        </w:rPr>
      </w:pPr>
    </w:p>
    <w:p w14:paraId="70212FC8">
      <w:pPr>
        <w:pStyle w:val="8"/>
        <w:rPr>
          <w:sz w:val="20"/>
        </w:rPr>
      </w:pPr>
    </w:p>
    <w:p w14:paraId="61750E61">
      <w:pPr>
        <w:pStyle w:val="8"/>
        <w:rPr>
          <w:sz w:val="20"/>
        </w:rPr>
      </w:pPr>
    </w:p>
    <w:p w14:paraId="7776185E">
      <w:pPr>
        <w:pStyle w:val="8"/>
        <w:rPr>
          <w:sz w:val="20"/>
        </w:rPr>
      </w:pPr>
    </w:p>
    <w:p w14:paraId="3A1B6E9D">
      <w:pPr>
        <w:pStyle w:val="8"/>
        <w:spacing w:before="10"/>
        <w:rPr>
          <w:sz w:val="22"/>
        </w:rPr>
      </w:pPr>
    </w:p>
    <w:p w14:paraId="258FD442">
      <w:pPr>
        <w:tabs>
          <w:tab w:val="left" w:pos="883"/>
          <w:tab w:val="left" w:pos="1766"/>
          <w:tab w:val="left" w:pos="2649"/>
        </w:tabs>
        <w:spacing w:before="37"/>
        <w:ind w:left="0" w:right="63" w:firstLine="0"/>
        <w:jc w:val="center"/>
        <w:rPr>
          <w:b/>
          <w:sz w:val="44"/>
        </w:rPr>
      </w:pPr>
      <w:r>
        <w:drawing>
          <wp:anchor distT="0" distB="0" distL="0" distR="0" simplePos="0" relativeHeight="251668480" behindDoc="1" locked="0" layoutInCell="1" hidden="1" allowOverlap="1">
            <wp:simplePos x="0" y="0"/>
            <wp:positionH relativeFrom="page">
              <wp:posOffset>1422400</wp:posOffset>
            </wp:positionH>
            <wp:positionV relativeFrom="paragraph">
              <wp:posOffset>57150</wp:posOffset>
            </wp:positionV>
            <wp:extent cx="4514850" cy="2591435"/>
            <wp:effectExtent l="0" t="0" r="0" b="0"/>
            <wp:wrapNone/>
            <wp:docPr id="95"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rPr>
          <w:b/>
          <w:sz w:val="44"/>
        </w:rPr>
        <w:t>投</w:t>
      </w:r>
      <w:r>
        <w:rPr>
          <w:b/>
          <w:sz w:val="44"/>
        </w:rPr>
        <w:tab/>
      </w:r>
      <w:r>
        <w:rPr>
          <w:b/>
          <w:sz w:val="44"/>
        </w:rPr>
        <w:t>标</w:t>
      </w:r>
      <w:r>
        <w:rPr>
          <w:b/>
          <w:sz w:val="44"/>
        </w:rPr>
        <w:tab/>
      </w:r>
      <w:r>
        <w:rPr>
          <w:b/>
          <w:sz w:val="44"/>
        </w:rPr>
        <w:t>文</w:t>
      </w:r>
      <w:r>
        <w:rPr>
          <w:b/>
          <w:sz w:val="44"/>
        </w:rPr>
        <w:tab/>
      </w:r>
      <w:r>
        <w:rPr>
          <w:b/>
          <w:sz w:val="44"/>
        </w:rPr>
        <w:t>件</w:t>
      </w:r>
    </w:p>
    <w:p w14:paraId="3C660849">
      <w:pPr>
        <w:pStyle w:val="8"/>
        <w:rPr>
          <w:b/>
          <w:sz w:val="44"/>
        </w:rPr>
      </w:pPr>
    </w:p>
    <w:p w14:paraId="7737816E">
      <w:pPr>
        <w:pStyle w:val="8"/>
        <w:rPr>
          <w:b/>
          <w:sz w:val="44"/>
        </w:rPr>
      </w:pPr>
    </w:p>
    <w:p w14:paraId="2525FC6A">
      <w:pPr>
        <w:pStyle w:val="8"/>
        <w:rPr>
          <w:b/>
          <w:sz w:val="44"/>
        </w:rPr>
      </w:pPr>
    </w:p>
    <w:p w14:paraId="18A8AE38">
      <w:pPr>
        <w:tabs>
          <w:tab w:val="left" w:pos="8615"/>
        </w:tabs>
        <w:spacing w:before="331"/>
        <w:ind w:left="566" w:right="0" w:firstLine="0"/>
        <w:jc w:val="left"/>
        <w:rPr>
          <w:rFonts w:ascii="Times New Roman" w:eastAsia="Times New Roman"/>
          <w:sz w:val="28"/>
        </w:rPr>
      </w:pPr>
      <w:r>
        <w:rPr>
          <w:spacing w:val="-1"/>
          <w:sz w:val="28"/>
        </w:rPr>
        <w:t>投</w:t>
      </w:r>
      <w:r>
        <w:rPr>
          <w:spacing w:val="-3"/>
          <w:sz w:val="28"/>
        </w:rPr>
        <w:t>标</w:t>
      </w:r>
      <w:r>
        <w:rPr>
          <w:spacing w:val="-1"/>
          <w:sz w:val="28"/>
        </w:rPr>
        <w:t>单位</w:t>
      </w:r>
      <w:r>
        <w:rPr>
          <w:spacing w:val="-3"/>
          <w:sz w:val="28"/>
        </w:rPr>
        <w:t>名</w:t>
      </w:r>
      <w:r>
        <w:rPr>
          <w:spacing w:val="-1"/>
          <w:sz w:val="28"/>
        </w:rPr>
        <w:t>称（</w:t>
      </w:r>
      <w:r>
        <w:rPr>
          <w:spacing w:val="-3"/>
          <w:sz w:val="28"/>
        </w:rPr>
        <w:t>盖</w:t>
      </w:r>
      <w:r>
        <w:rPr>
          <w:spacing w:val="-1"/>
          <w:sz w:val="28"/>
        </w:rPr>
        <w:t>章）：</w:t>
      </w:r>
      <w:r>
        <w:rPr>
          <w:rFonts w:ascii="Times New Roman" w:eastAsia="Times New Roman"/>
          <w:sz w:val="28"/>
          <w:u w:val="single"/>
        </w:rPr>
        <w:t xml:space="preserve"> </w:t>
      </w:r>
      <w:r>
        <w:rPr>
          <w:rFonts w:ascii="Times New Roman" w:eastAsia="Times New Roman"/>
          <w:sz w:val="28"/>
          <w:u w:val="single"/>
        </w:rPr>
        <w:tab/>
      </w:r>
    </w:p>
    <w:p w14:paraId="609D7D19">
      <w:pPr>
        <w:pStyle w:val="8"/>
        <w:rPr>
          <w:rFonts w:ascii="Times New Roman"/>
          <w:sz w:val="20"/>
        </w:rPr>
      </w:pPr>
    </w:p>
    <w:p w14:paraId="7F73CD80">
      <w:pPr>
        <w:tabs>
          <w:tab w:val="left" w:pos="8615"/>
        </w:tabs>
        <w:spacing w:before="213"/>
        <w:ind w:left="566" w:right="0" w:firstLine="0"/>
        <w:jc w:val="left"/>
        <w:rPr>
          <w:rFonts w:ascii="Times New Roman" w:eastAsia="Times New Roman"/>
          <w:sz w:val="28"/>
        </w:rPr>
      </w:pPr>
      <w:r>
        <w:rPr>
          <w:spacing w:val="-2"/>
          <w:sz w:val="28"/>
        </w:rPr>
        <w:t>法定</w:t>
      </w:r>
      <w:r>
        <w:rPr>
          <w:spacing w:val="-3"/>
          <w:sz w:val="28"/>
        </w:rPr>
        <w:t>代</w:t>
      </w:r>
      <w:r>
        <w:rPr>
          <w:spacing w:val="-1"/>
          <w:sz w:val="28"/>
        </w:rPr>
        <w:t>表人</w:t>
      </w:r>
      <w:r>
        <w:rPr>
          <w:spacing w:val="-3"/>
          <w:sz w:val="28"/>
        </w:rPr>
        <w:t>或</w:t>
      </w:r>
      <w:r>
        <w:rPr>
          <w:spacing w:val="-1"/>
          <w:sz w:val="28"/>
        </w:rPr>
        <w:t>其委</w:t>
      </w:r>
      <w:r>
        <w:rPr>
          <w:spacing w:val="-3"/>
          <w:sz w:val="28"/>
        </w:rPr>
        <w:t>托</w:t>
      </w:r>
      <w:r>
        <w:rPr>
          <w:spacing w:val="-1"/>
          <w:sz w:val="28"/>
        </w:rPr>
        <w:t>代理</w:t>
      </w:r>
      <w:r>
        <w:rPr>
          <w:spacing w:val="-3"/>
          <w:sz w:val="28"/>
        </w:rPr>
        <w:t>人</w:t>
      </w:r>
      <w:r>
        <w:rPr>
          <w:spacing w:val="-1"/>
          <w:sz w:val="28"/>
        </w:rPr>
        <w:t>（签字</w:t>
      </w:r>
      <w:r>
        <w:rPr>
          <w:spacing w:val="-3"/>
          <w:sz w:val="28"/>
        </w:rPr>
        <w:t>或</w:t>
      </w:r>
      <w:r>
        <w:rPr>
          <w:spacing w:val="-1"/>
          <w:sz w:val="28"/>
        </w:rPr>
        <w:t>盖章）：</w:t>
      </w:r>
      <w:r>
        <w:rPr>
          <w:rFonts w:ascii="Times New Roman" w:eastAsia="Times New Roman"/>
          <w:sz w:val="28"/>
          <w:u w:val="single"/>
        </w:rPr>
        <w:t xml:space="preserve"> </w:t>
      </w:r>
      <w:r>
        <w:rPr>
          <w:rFonts w:ascii="Times New Roman" w:eastAsia="Times New Roman"/>
          <w:sz w:val="28"/>
          <w:u w:val="single"/>
        </w:rPr>
        <w:tab/>
      </w:r>
    </w:p>
    <w:p w14:paraId="2EAB9CF5">
      <w:pPr>
        <w:pStyle w:val="8"/>
        <w:rPr>
          <w:rFonts w:ascii="Times New Roman"/>
          <w:sz w:val="20"/>
        </w:rPr>
      </w:pPr>
    </w:p>
    <w:p w14:paraId="3350C067">
      <w:pPr>
        <w:tabs>
          <w:tab w:val="left" w:pos="1967"/>
          <w:tab w:val="left" w:pos="8615"/>
        </w:tabs>
        <w:spacing w:before="211"/>
        <w:ind w:left="566" w:right="0" w:firstLine="0"/>
        <w:jc w:val="left"/>
        <w:rPr>
          <w:rFonts w:ascii="Times New Roman" w:eastAsia="Times New Roman"/>
          <w:sz w:val="28"/>
        </w:rPr>
      </w:pPr>
      <w:r>
        <w:rPr>
          <w:sz w:val="28"/>
        </w:rPr>
        <w:t>单</w:t>
      </w:r>
      <w:r>
        <w:rPr>
          <w:spacing w:val="-1"/>
          <w:sz w:val="28"/>
        </w:rPr>
        <w:t xml:space="preserve"> </w:t>
      </w:r>
      <w:r>
        <w:rPr>
          <w:sz w:val="28"/>
        </w:rPr>
        <w:t>位 地</w:t>
      </w:r>
      <w:r>
        <w:rPr>
          <w:sz w:val="28"/>
        </w:rPr>
        <w:tab/>
      </w:r>
      <w:r>
        <w:rPr>
          <w:spacing w:val="-1"/>
          <w:sz w:val="28"/>
        </w:rPr>
        <w:t>址</w:t>
      </w:r>
      <w:r>
        <w:rPr>
          <w:spacing w:val="-3"/>
          <w:sz w:val="28"/>
        </w:rPr>
        <w:t>：</w:t>
      </w:r>
      <w:r>
        <w:rPr>
          <w:rFonts w:ascii="Times New Roman" w:eastAsia="Times New Roman"/>
          <w:sz w:val="28"/>
          <w:u w:val="single"/>
        </w:rPr>
        <w:t xml:space="preserve"> </w:t>
      </w:r>
      <w:r>
        <w:rPr>
          <w:rFonts w:ascii="Times New Roman" w:eastAsia="Times New Roman"/>
          <w:sz w:val="28"/>
          <w:u w:val="single"/>
        </w:rPr>
        <w:tab/>
      </w:r>
    </w:p>
    <w:p w14:paraId="76030538">
      <w:pPr>
        <w:pStyle w:val="8"/>
        <w:rPr>
          <w:rFonts w:ascii="Times New Roman"/>
          <w:sz w:val="20"/>
        </w:rPr>
      </w:pPr>
    </w:p>
    <w:p w14:paraId="0B28959E">
      <w:pPr>
        <w:tabs>
          <w:tab w:val="left" w:pos="1267"/>
          <w:tab w:val="left" w:pos="1967"/>
          <w:tab w:val="left" w:pos="8615"/>
        </w:tabs>
        <w:spacing w:before="210"/>
        <w:ind w:left="566" w:right="0" w:firstLine="0"/>
        <w:jc w:val="left"/>
        <w:rPr>
          <w:rFonts w:ascii="Times New Roman" w:eastAsia="Times New Roman"/>
          <w:sz w:val="28"/>
        </w:rPr>
      </w:pPr>
      <w:r>
        <w:rPr>
          <w:sz w:val="28"/>
        </w:rPr>
        <w:t>联</w:t>
      </w:r>
      <w:r>
        <w:rPr>
          <w:sz w:val="28"/>
        </w:rPr>
        <w:tab/>
      </w:r>
      <w:r>
        <w:rPr>
          <w:sz w:val="28"/>
        </w:rPr>
        <w:t>系</w:t>
      </w:r>
      <w:r>
        <w:rPr>
          <w:sz w:val="28"/>
        </w:rPr>
        <w:tab/>
      </w:r>
      <w:r>
        <w:rPr>
          <w:spacing w:val="-1"/>
          <w:sz w:val="28"/>
        </w:rPr>
        <w:t>人</w:t>
      </w:r>
      <w:r>
        <w:rPr>
          <w:spacing w:val="-3"/>
          <w:sz w:val="28"/>
        </w:rPr>
        <w:t>：</w:t>
      </w:r>
      <w:r>
        <w:rPr>
          <w:rFonts w:ascii="Times New Roman" w:eastAsia="Times New Roman"/>
          <w:sz w:val="28"/>
          <w:u w:val="single"/>
        </w:rPr>
        <w:t xml:space="preserve"> </w:t>
      </w:r>
      <w:r>
        <w:rPr>
          <w:rFonts w:ascii="Times New Roman" w:eastAsia="Times New Roman"/>
          <w:sz w:val="28"/>
          <w:u w:val="single"/>
        </w:rPr>
        <w:tab/>
      </w:r>
    </w:p>
    <w:p w14:paraId="28CC7B16">
      <w:pPr>
        <w:pStyle w:val="8"/>
        <w:rPr>
          <w:rFonts w:ascii="Times New Roman"/>
          <w:sz w:val="20"/>
        </w:rPr>
      </w:pPr>
    </w:p>
    <w:p w14:paraId="544B9CDE">
      <w:pPr>
        <w:tabs>
          <w:tab w:val="left" w:pos="1967"/>
          <w:tab w:val="left" w:pos="8615"/>
        </w:tabs>
        <w:spacing w:before="213"/>
        <w:ind w:left="566" w:right="0" w:firstLine="0"/>
        <w:jc w:val="left"/>
        <w:rPr>
          <w:rFonts w:ascii="Times New Roman" w:eastAsia="Times New Roman"/>
          <w:sz w:val="28"/>
        </w:rPr>
      </w:pPr>
      <w:r>
        <w:rPr>
          <w:sz w:val="28"/>
        </w:rPr>
        <w:t>联</w:t>
      </w:r>
      <w:r>
        <w:rPr>
          <w:spacing w:val="-1"/>
          <w:sz w:val="28"/>
        </w:rPr>
        <w:t xml:space="preserve"> </w:t>
      </w:r>
      <w:r>
        <w:rPr>
          <w:sz w:val="28"/>
        </w:rPr>
        <w:t>系 电</w:t>
      </w:r>
      <w:r>
        <w:rPr>
          <w:sz w:val="28"/>
        </w:rPr>
        <w:tab/>
      </w:r>
      <w:r>
        <w:rPr>
          <w:spacing w:val="-1"/>
          <w:sz w:val="28"/>
        </w:rPr>
        <w:t>话</w:t>
      </w:r>
      <w:r>
        <w:rPr>
          <w:spacing w:val="-3"/>
          <w:sz w:val="28"/>
        </w:rPr>
        <w:t>：</w:t>
      </w:r>
      <w:r>
        <w:rPr>
          <w:rFonts w:ascii="Times New Roman" w:eastAsia="Times New Roman"/>
          <w:sz w:val="28"/>
          <w:u w:val="single"/>
        </w:rPr>
        <w:t xml:space="preserve"> </w:t>
      </w:r>
      <w:r>
        <w:rPr>
          <w:rFonts w:ascii="Times New Roman" w:eastAsia="Times New Roman"/>
          <w:sz w:val="28"/>
          <w:u w:val="single"/>
        </w:rPr>
        <w:tab/>
      </w:r>
    </w:p>
    <w:p w14:paraId="426B8EEF">
      <w:pPr>
        <w:pStyle w:val="8"/>
        <w:rPr>
          <w:rFonts w:ascii="Times New Roman"/>
          <w:sz w:val="20"/>
        </w:rPr>
      </w:pPr>
    </w:p>
    <w:p w14:paraId="386867A1">
      <w:pPr>
        <w:tabs>
          <w:tab w:val="left" w:pos="1127"/>
          <w:tab w:val="left" w:pos="8615"/>
        </w:tabs>
        <w:spacing w:before="211"/>
        <w:ind w:left="566" w:right="0" w:firstLine="0"/>
        <w:jc w:val="left"/>
        <w:rPr>
          <w:rFonts w:ascii="Times New Roman" w:eastAsia="Times New Roman"/>
          <w:sz w:val="28"/>
        </w:rPr>
      </w:pPr>
      <w:r>
        <w:rPr>
          <w:sz w:val="28"/>
        </w:rPr>
        <w:t>邮</w:t>
      </w:r>
      <w:r>
        <w:rPr>
          <w:sz w:val="28"/>
        </w:rPr>
        <w:tab/>
      </w:r>
      <w:r>
        <w:rPr>
          <w:sz w:val="28"/>
        </w:rPr>
        <w:t>政 编</w:t>
      </w:r>
      <w:r>
        <w:rPr>
          <w:spacing w:val="1"/>
          <w:sz w:val="28"/>
        </w:rPr>
        <w:t xml:space="preserve"> </w:t>
      </w:r>
      <w:r>
        <w:rPr>
          <w:sz w:val="28"/>
        </w:rPr>
        <w:t>码</w:t>
      </w:r>
      <w:r>
        <w:rPr>
          <w:spacing w:val="-3"/>
          <w:sz w:val="28"/>
        </w:rPr>
        <w:t>：</w:t>
      </w:r>
      <w:r>
        <w:rPr>
          <w:rFonts w:ascii="Times New Roman" w:eastAsia="Times New Roman"/>
          <w:sz w:val="28"/>
          <w:u w:val="single"/>
        </w:rPr>
        <w:t xml:space="preserve"> </w:t>
      </w:r>
      <w:r>
        <w:rPr>
          <w:rFonts w:ascii="Times New Roman" w:eastAsia="Times New Roman"/>
          <w:sz w:val="28"/>
          <w:u w:val="single"/>
        </w:rPr>
        <w:tab/>
      </w:r>
    </w:p>
    <w:p w14:paraId="54775DF3">
      <w:pPr>
        <w:pStyle w:val="8"/>
        <w:rPr>
          <w:rFonts w:ascii="Times New Roman"/>
          <w:sz w:val="20"/>
        </w:rPr>
      </w:pPr>
    </w:p>
    <w:p w14:paraId="0FC4B34A">
      <w:pPr>
        <w:pStyle w:val="8"/>
        <w:rPr>
          <w:rFonts w:ascii="Times New Roman"/>
          <w:sz w:val="20"/>
        </w:rPr>
      </w:pPr>
    </w:p>
    <w:p w14:paraId="59E0F239">
      <w:pPr>
        <w:pStyle w:val="8"/>
        <w:rPr>
          <w:rFonts w:ascii="Times New Roman"/>
          <w:sz w:val="20"/>
        </w:rPr>
      </w:pPr>
    </w:p>
    <w:p w14:paraId="4E97BDF1">
      <w:pPr>
        <w:pStyle w:val="8"/>
        <w:rPr>
          <w:rFonts w:ascii="Times New Roman"/>
          <w:sz w:val="20"/>
        </w:rPr>
      </w:pPr>
    </w:p>
    <w:p w14:paraId="5545899E">
      <w:pPr>
        <w:tabs>
          <w:tab w:val="left" w:pos="5308"/>
          <w:tab w:val="left" w:pos="6707"/>
        </w:tabs>
        <w:spacing w:before="204"/>
        <w:ind w:left="3907" w:right="0" w:firstLine="0"/>
        <w:jc w:val="left"/>
        <w:rPr>
          <w:sz w:val="28"/>
        </w:rPr>
      </w:pPr>
      <w:r>
        <w:rPr>
          <w:sz w:val="28"/>
        </w:rPr>
        <w:t>年</w:t>
      </w:r>
      <w:r>
        <w:rPr>
          <w:sz w:val="28"/>
        </w:rPr>
        <w:tab/>
      </w:r>
      <w:r>
        <w:rPr>
          <w:sz w:val="28"/>
        </w:rPr>
        <w:t>月</w:t>
      </w:r>
      <w:r>
        <w:rPr>
          <w:sz w:val="28"/>
        </w:rPr>
        <w:tab/>
      </w:r>
      <w:r>
        <w:rPr>
          <w:sz w:val="28"/>
        </w:rPr>
        <w:t>日</w:t>
      </w:r>
    </w:p>
    <w:p w14:paraId="40CEAED1">
      <w:pPr>
        <w:spacing w:after="0"/>
        <w:jc w:val="left"/>
        <w:rPr>
          <w:sz w:val="28"/>
        </w:rPr>
        <w:sectPr>
          <w:pgSz w:w="11910" w:h="16840"/>
          <w:pgMar w:top="1580" w:right="899" w:bottom="1160" w:left="960" w:header="0" w:footer="970" w:gutter="0"/>
          <w:pgNumType w:fmt="decimal"/>
          <w:cols w:space="720" w:num="1"/>
        </w:sectPr>
      </w:pPr>
    </w:p>
    <w:p w14:paraId="3898E7C8">
      <w:pPr>
        <w:spacing w:before="32"/>
        <w:ind w:left="314" w:right="372" w:firstLine="0"/>
        <w:jc w:val="center"/>
        <w:rPr>
          <w:b/>
          <w:sz w:val="36"/>
        </w:rPr>
      </w:pPr>
      <w:r>
        <w:rPr>
          <w:b/>
          <w:sz w:val="36"/>
        </w:rPr>
        <w:t>投标文件目录</w:t>
      </w:r>
    </w:p>
    <w:p w14:paraId="6D50D8E4">
      <w:pPr>
        <w:pStyle w:val="8"/>
        <w:rPr>
          <w:b/>
          <w:sz w:val="20"/>
        </w:rPr>
      </w:pPr>
    </w:p>
    <w:p w14:paraId="3B2430E3">
      <w:pPr>
        <w:pStyle w:val="8"/>
        <w:spacing w:before="10"/>
        <w:rPr>
          <w:b/>
          <w:sz w:val="18"/>
        </w:rPr>
      </w:pPr>
    </w:p>
    <w:p w14:paraId="3B3EDC15">
      <w:pPr>
        <w:pStyle w:val="7"/>
        <w:ind w:left="1488"/>
      </w:pPr>
      <w:r>
        <w:rPr>
          <w:w w:val="95"/>
        </w:rPr>
        <w:t>1、投标承诺书</w:t>
      </w:r>
    </w:p>
    <w:p w14:paraId="5D28ADCB">
      <w:pPr>
        <w:pStyle w:val="8"/>
        <w:rPr>
          <w:b/>
        </w:rPr>
      </w:pPr>
    </w:p>
    <w:p w14:paraId="7DC73E4D">
      <w:pPr>
        <w:spacing w:before="162"/>
        <w:ind w:left="1488" w:right="0" w:firstLine="0"/>
        <w:jc w:val="left"/>
        <w:rPr>
          <w:b/>
          <w:sz w:val="24"/>
        </w:rPr>
      </w:pPr>
      <w:r>
        <w:rPr>
          <w:b/>
          <w:w w:val="95"/>
          <w:sz w:val="24"/>
        </w:rPr>
        <w:t>2、开标一览表</w:t>
      </w:r>
    </w:p>
    <w:p w14:paraId="1B00CDCE">
      <w:pPr>
        <w:pStyle w:val="8"/>
        <w:rPr>
          <w:b/>
        </w:rPr>
      </w:pPr>
    </w:p>
    <w:p w14:paraId="29E6073B">
      <w:pPr>
        <w:spacing w:before="165"/>
        <w:ind w:left="1488" w:right="0" w:firstLine="0"/>
        <w:jc w:val="left"/>
        <w:rPr>
          <w:b/>
          <w:sz w:val="24"/>
        </w:rPr>
      </w:pPr>
      <w:r>
        <w:rPr>
          <w:b/>
          <w:sz w:val="24"/>
        </w:rPr>
        <w:t>3、投标供应商代表身份证明</w:t>
      </w:r>
    </w:p>
    <w:p w14:paraId="1564018D">
      <w:pPr>
        <w:pStyle w:val="8"/>
        <w:rPr>
          <w:b/>
        </w:rPr>
      </w:pPr>
    </w:p>
    <w:p w14:paraId="79793916">
      <w:pPr>
        <w:spacing w:before="163"/>
        <w:ind w:left="1488" w:right="0" w:firstLine="0"/>
        <w:jc w:val="left"/>
        <w:rPr>
          <w:b/>
          <w:sz w:val="24"/>
        </w:rPr>
      </w:pPr>
      <w:r>
        <w:rPr>
          <w:b/>
          <w:w w:val="95"/>
          <w:sz w:val="24"/>
        </w:rPr>
        <w:t>4、投标人资格证明文件</w:t>
      </w:r>
    </w:p>
    <w:p w14:paraId="17559589">
      <w:pPr>
        <w:pStyle w:val="8"/>
        <w:rPr>
          <w:b/>
        </w:rPr>
      </w:pPr>
    </w:p>
    <w:p w14:paraId="14F81AB6">
      <w:pPr>
        <w:spacing w:before="163"/>
        <w:ind w:left="1488" w:right="0" w:firstLine="0"/>
        <w:jc w:val="left"/>
        <w:rPr>
          <w:b/>
          <w:sz w:val="24"/>
        </w:rPr>
      </w:pPr>
      <w:r>
        <w:rPr>
          <w:b/>
          <w:w w:val="95"/>
          <w:sz w:val="24"/>
        </w:rPr>
        <w:t>5、投标保证金缴纳凭证</w:t>
      </w:r>
      <w:r>
        <w:rPr>
          <w:rFonts w:hint="eastAsia"/>
          <w:b/>
          <w:w w:val="95"/>
          <w:sz w:val="24"/>
          <w:lang w:eastAsia="zh-CN"/>
        </w:rPr>
        <w:t>（如有）</w:t>
      </w:r>
    </w:p>
    <w:p w14:paraId="73B67945">
      <w:pPr>
        <w:pStyle w:val="8"/>
        <w:rPr>
          <w:b/>
        </w:rPr>
      </w:pPr>
    </w:p>
    <w:p w14:paraId="6C5E1E72">
      <w:pPr>
        <w:spacing w:before="162"/>
        <w:ind w:left="1488" w:right="0" w:firstLine="0"/>
        <w:jc w:val="left"/>
        <w:rPr>
          <w:b/>
          <w:sz w:val="24"/>
        </w:rPr>
      </w:pPr>
      <w:r>
        <w:rPr>
          <w:b/>
          <w:sz w:val="24"/>
        </w:rPr>
        <w:t>6、商务条款偏离表</w:t>
      </w:r>
    </w:p>
    <w:p w14:paraId="6FDAA073">
      <w:pPr>
        <w:pStyle w:val="8"/>
        <w:rPr>
          <w:b/>
          <w:sz w:val="20"/>
        </w:rPr>
      </w:pPr>
    </w:p>
    <w:p w14:paraId="168BB326">
      <w:pPr>
        <w:pStyle w:val="8"/>
        <w:rPr>
          <w:b/>
          <w:sz w:val="20"/>
        </w:rPr>
      </w:pPr>
      <w:r>
        <w:rPr>
          <w:sz w:val="20"/>
        </w:rPr>
        <w:pict>
          <v:shape id="_x0000_s1039" o:spid="_x0000_s1039" o:spt="202" type="#_x0000_t202" style="position:absolute;left:0pt;margin-left:74.35pt;margin-top:12pt;height:12pt;width:67.25pt;z-index:-251635712;mso-width-relative:page;mso-height-relative:page;" filled="f" stroked="f" coordsize="21600,21600">
            <v:path/>
            <v:fill on="f" focussize="0,0"/>
            <v:stroke on="f"/>
            <v:imagedata o:title=""/>
            <o:lock v:ext="edit" aspectratio="f"/>
            <v:textbox inset="0mm,0mm,0mm,0mm">
              <w:txbxContent>
                <w:p w14:paraId="342D3C09">
                  <w:pPr>
                    <w:spacing w:before="0" w:line="240" w:lineRule="exact"/>
                    <w:ind w:left="0" w:right="0" w:firstLine="0"/>
                    <w:jc w:val="left"/>
                    <w:rPr>
                      <w:b/>
                      <w:sz w:val="24"/>
                    </w:rPr>
                  </w:pPr>
                  <w:r>
                    <w:rPr>
                      <w:b/>
                      <w:sz w:val="24"/>
                    </w:rPr>
                    <w:t>7、类似业绩</w:t>
                  </w:r>
                </w:p>
              </w:txbxContent>
            </v:textbox>
          </v:shape>
        </w:pict>
      </w:r>
    </w:p>
    <w:p w14:paraId="52B23828">
      <w:pPr>
        <w:pStyle w:val="8"/>
        <w:rPr>
          <w:b/>
          <w:sz w:val="20"/>
        </w:rPr>
      </w:pPr>
    </w:p>
    <w:p w14:paraId="18F2308D">
      <w:pPr>
        <w:pStyle w:val="8"/>
        <w:rPr>
          <w:b/>
          <w:sz w:val="20"/>
        </w:rPr>
      </w:pPr>
    </w:p>
    <w:p w14:paraId="0261D2D3">
      <w:pPr>
        <w:pStyle w:val="8"/>
        <w:rPr>
          <w:b/>
          <w:sz w:val="20"/>
        </w:rPr>
      </w:pPr>
      <w:r>
        <w:rPr>
          <w:sz w:val="20"/>
        </w:rPr>
        <w:pict>
          <v:shape id="_x0000_s1040" o:spid="_x0000_s1040" o:spt="202" type="#_x0000_t202" style="position:absolute;left:0pt;margin-left:74.35pt;margin-top:11.95pt;height:12pt;width:91.25pt;z-index:-251634688;mso-width-relative:page;mso-height-relative:page;" filled="f" stroked="f" coordsize="21600,21600">
            <v:path/>
            <v:fill on="f" focussize="0,0"/>
            <v:stroke on="f"/>
            <v:imagedata o:title=""/>
            <o:lock v:ext="edit" aspectratio="f"/>
            <v:textbox inset="0mm,0mm,0mm,0mm">
              <w:txbxContent>
                <w:p w14:paraId="0CBFFD62">
                  <w:pPr>
                    <w:spacing w:before="0" w:line="240" w:lineRule="exact"/>
                    <w:ind w:left="0" w:right="0" w:firstLine="0"/>
                    <w:jc w:val="left"/>
                    <w:rPr>
                      <w:b/>
                      <w:sz w:val="24"/>
                    </w:rPr>
                  </w:pPr>
                  <w:r>
                    <w:rPr>
                      <w:b/>
                      <w:sz w:val="24"/>
                    </w:rPr>
                    <w:t>8、项目人员配置</w:t>
                  </w:r>
                </w:p>
              </w:txbxContent>
            </v:textbox>
          </v:shape>
        </w:pict>
      </w:r>
    </w:p>
    <w:p w14:paraId="5D390E20">
      <w:pPr>
        <w:pStyle w:val="8"/>
        <w:rPr>
          <w:b/>
          <w:sz w:val="20"/>
        </w:rPr>
      </w:pPr>
    </w:p>
    <w:p w14:paraId="260AAA64">
      <w:pPr>
        <w:pStyle w:val="8"/>
        <w:rPr>
          <w:b/>
          <w:sz w:val="20"/>
        </w:rPr>
      </w:pPr>
    </w:p>
    <w:p w14:paraId="45C91E7E">
      <w:pPr>
        <w:pStyle w:val="8"/>
        <w:rPr>
          <w:b/>
          <w:sz w:val="20"/>
        </w:rPr>
      </w:pPr>
      <w:r>
        <w:rPr>
          <w:sz w:val="20"/>
        </w:rPr>
        <w:pict>
          <v:shape id="_x0000_s1041" o:spid="_x0000_s1041" o:spt="202" type="#_x0000_t202" style="position:absolute;left:0pt;margin-left:74.35pt;margin-top:12pt;height:12pt;width:67.15pt;z-index:-251633664;mso-width-relative:page;mso-height-relative:page;" filled="f" stroked="f" coordsize="21600,21600">
            <v:path/>
            <v:fill on="f" focussize="0,0"/>
            <v:stroke on="f"/>
            <v:imagedata o:title=""/>
            <o:lock v:ext="edit" aspectratio="f"/>
            <v:textbox inset="0mm,0mm,0mm,0mm">
              <w:txbxContent>
                <w:p w14:paraId="5EA00F79">
                  <w:pPr>
                    <w:spacing w:before="0" w:line="240" w:lineRule="exact"/>
                    <w:ind w:left="0" w:right="0" w:firstLine="0"/>
                    <w:jc w:val="left"/>
                    <w:rPr>
                      <w:b/>
                      <w:sz w:val="24"/>
                    </w:rPr>
                  </w:pPr>
                  <w:r>
                    <w:rPr>
                      <w:b/>
                      <w:sz w:val="24"/>
                    </w:rPr>
                    <w:t>9、管理制度</w:t>
                  </w:r>
                </w:p>
              </w:txbxContent>
            </v:textbox>
          </v:shape>
        </w:pict>
      </w:r>
    </w:p>
    <w:p w14:paraId="53063521">
      <w:pPr>
        <w:pStyle w:val="8"/>
        <w:rPr>
          <w:b/>
          <w:sz w:val="20"/>
        </w:rPr>
      </w:pPr>
    </w:p>
    <w:p w14:paraId="75CD659B">
      <w:pPr>
        <w:pStyle w:val="8"/>
        <w:rPr>
          <w:b/>
          <w:sz w:val="20"/>
        </w:rPr>
      </w:pPr>
    </w:p>
    <w:p w14:paraId="130C9FFB">
      <w:pPr>
        <w:pStyle w:val="8"/>
        <w:rPr>
          <w:b/>
          <w:sz w:val="20"/>
        </w:rPr>
      </w:pPr>
      <w:r>
        <w:rPr>
          <w:sz w:val="20"/>
        </w:rPr>
        <w:pict>
          <v:shape id="_x0000_s1042" o:spid="_x0000_s1042" o:spt="202" type="#_x0000_t202" style="position:absolute;left:0pt;margin-left:74.35pt;margin-top:12pt;height:12pt;width:97.25pt;z-index:-251632640;mso-width-relative:page;mso-height-relative:page;" filled="f" stroked="f" coordsize="21600,21600">
            <v:path/>
            <v:fill on="f" focussize="0,0"/>
            <v:stroke on="f"/>
            <v:imagedata o:title=""/>
            <o:lock v:ext="edit" aspectratio="f"/>
            <v:textbox inset="0mm,0mm,0mm,0mm">
              <w:txbxContent>
                <w:p w14:paraId="2FBC8B44">
                  <w:pPr>
                    <w:spacing w:before="0" w:line="240" w:lineRule="exact"/>
                    <w:ind w:left="0" w:right="0" w:firstLine="0"/>
                    <w:jc w:val="left"/>
                    <w:rPr>
                      <w:b/>
                      <w:sz w:val="24"/>
                    </w:rPr>
                  </w:pPr>
                  <w:r>
                    <w:rPr>
                      <w:b/>
                      <w:sz w:val="24"/>
                    </w:rPr>
                    <w:t>10、项目实施方案</w:t>
                  </w:r>
                </w:p>
              </w:txbxContent>
            </v:textbox>
          </v:shape>
        </w:pict>
      </w:r>
    </w:p>
    <w:p w14:paraId="2BA50B23">
      <w:pPr>
        <w:pStyle w:val="8"/>
        <w:rPr>
          <w:b/>
          <w:sz w:val="20"/>
        </w:rPr>
      </w:pPr>
    </w:p>
    <w:p w14:paraId="57FAA9F0">
      <w:pPr>
        <w:pStyle w:val="8"/>
        <w:rPr>
          <w:b/>
          <w:sz w:val="20"/>
        </w:rPr>
      </w:pPr>
    </w:p>
    <w:p w14:paraId="79F151CC">
      <w:pPr>
        <w:pStyle w:val="8"/>
        <w:rPr>
          <w:b/>
          <w:sz w:val="20"/>
        </w:rPr>
      </w:pPr>
      <w:r>
        <w:rPr>
          <w:sz w:val="20"/>
        </w:rPr>
        <w:pict>
          <v:shape id="_x0000_s1043" o:spid="_x0000_s1043" o:spt="202" type="#_x0000_t202" style="position:absolute;left:0pt;margin-left:74.35pt;margin-top:12pt;height:12pt;width:157.5pt;z-index:-251631616;mso-width-relative:page;mso-height-relative:page;" filled="f" stroked="f" coordsize="21600,21600">
            <v:path/>
            <v:fill on="f" focussize="0,0"/>
            <v:stroke on="f"/>
            <v:imagedata o:title=""/>
            <o:lock v:ext="edit" aspectratio="f"/>
            <v:textbox inset="0mm,0mm,0mm,0mm">
              <w:txbxContent>
                <w:p w14:paraId="5E2E1B52">
                  <w:pPr>
                    <w:spacing w:before="0" w:line="240" w:lineRule="exact"/>
                    <w:ind w:left="0" w:right="0" w:firstLine="0"/>
                    <w:jc w:val="left"/>
                    <w:rPr>
                      <w:b/>
                      <w:sz w:val="24"/>
                    </w:rPr>
                  </w:pPr>
                  <w:r>
                    <w:rPr>
                      <w:b/>
                      <w:sz w:val="24"/>
                    </w:rPr>
                    <w:t>11、安全文明施工及管理方案</w:t>
                  </w:r>
                </w:p>
              </w:txbxContent>
            </v:textbox>
          </v:shape>
        </w:pict>
      </w:r>
    </w:p>
    <w:p w14:paraId="3A75F3CF">
      <w:pPr>
        <w:pStyle w:val="8"/>
        <w:rPr>
          <w:b/>
          <w:sz w:val="20"/>
        </w:rPr>
      </w:pPr>
    </w:p>
    <w:p w14:paraId="66864C6D">
      <w:pPr>
        <w:pStyle w:val="8"/>
        <w:rPr>
          <w:b/>
          <w:sz w:val="20"/>
        </w:rPr>
      </w:pPr>
    </w:p>
    <w:p w14:paraId="0A94145C">
      <w:pPr>
        <w:pStyle w:val="8"/>
        <w:ind w:firstLine="1446" w:firstLineChars="600"/>
        <w:rPr>
          <w:rFonts w:hint="eastAsia" w:ascii="宋体" w:hAnsi="宋体" w:eastAsia="宋体" w:cs="宋体"/>
          <w:b/>
          <w:sz w:val="24"/>
          <w:szCs w:val="22"/>
          <w:lang w:val="en-US" w:eastAsia="zh-CN" w:bidi="zh-CN"/>
        </w:rPr>
      </w:pPr>
      <w:r>
        <w:rPr>
          <w:rFonts w:hint="eastAsia" w:ascii="宋体" w:hAnsi="宋体" w:eastAsia="宋体" w:cs="宋体"/>
          <w:b/>
          <w:sz w:val="24"/>
          <w:szCs w:val="22"/>
          <w:lang w:val="en-US" w:eastAsia="zh-CN" w:bidi="zh-CN"/>
        </w:rPr>
        <w:t>12、机械设备投入</w:t>
      </w:r>
    </w:p>
    <w:p w14:paraId="51B6F231">
      <w:pPr>
        <w:pStyle w:val="8"/>
        <w:rPr>
          <w:rFonts w:hint="default" w:eastAsia="宋体"/>
          <w:b/>
          <w:sz w:val="20"/>
          <w:lang w:val="en-US" w:eastAsia="zh-CN"/>
        </w:rPr>
      </w:pPr>
    </w:p>
    <w:p w14:paraId="0CC6476E">
      <w:pPr>
        <w:pStyle w:val="8"/>
        <w:spacing w:before="4"/>
        <w:rPr>
          <w:b/>
          <w:sz w:val="15"/>
        </w:rPr>
      </w:pPr>
    </w:p>
    <w:p w14:paraId="13898E75">
      <w:pPr>
        <w:spacing w:before="67"/>
        <w:ind w:left="1488" w:right="0" w:firstLine="0"/>
        <w:jc w:val="left"/>
        <w:rPr>
          <w:b/>
          <w:sz w:val="24"/>
        </w:rPr>
      </w:pPr>
      <w:r>
        <w:rPr>
          <w:b/>
          <w:sz w:val="24"/>
        </w:rPr>
        <w:t>1</w:t>
      </w:r>
      <w:r>
        <w:rPr>
          <w:rFonts w:hint="eastAsia"/>
          <w:b/>
          <w:sz w:val="24"/>
          <w:lang w:val="en-US" w:eastAsia="zh-CN"/>
        </w:rPr>
        <w:t>3</w:t>
      </w:r>
      <w:r>
        <w:rPr>
          <w:b/>
          <w:sz w:val="24"/>
        </w:rPr>
        <w:t>、重点难点分析及应急处理措施方案</w:t>
      </w:r>
    </w:p>
    <w:p w14:paraId="2E3C6BBE">
      <w:pPr>
        <w:pStyle w:val="8"/>
        <w:rPr>
          <w:b/>
        </w:rPr>
      </w:pPr>
    </w:p>
    <w:p w14:paraId="2156A35F">
      <w:pPr>
        <w:spacing w:before="162"/>
        <w:ind w:left="1488" w:right="0" w:firstLine="0"/>
        <w:jc w:val="left"/>
        <w:rPr>
          <w:b/>
          <w:sz w:val="24"/>
        </w:rPr>
      </w:pPr>
      <w:r>
        <w:rPr>
          <w:b/>
          <w:sz w:val="24"/>
        </w:rPr>
        <w:t>1</w:t>
      </w:r>
      <w:r>
        <w:rPr>
          <w:rFonts w:hint="eastAsia"/>
          <w:b/>
          <w:sz w:val="24"/>
          <w:lang w:val="en-US" w:eastAsia="zh-CN"/>
        </w:rPr>
        <w:t>4</w:t>
      </w:r>
      <w:r>
        <w:rPr>
          <w:b/>
          <w:sz w:val="24"/>
        </w:rPr>
        <w:t>、响应时间承诺</w:t>
      </w:r>
    </w:p>
    <w:p w14:paraId="1DAEE3FC">
      <w:pPr>
        <w:pStyle w:val="8"/>
        <w:rPr>
          <w:b/>
        </w:rPr>
      </w:pPr>
    </w:p>
    <w:p w14:paraId="14CD4F1F">
      <w:pPr>
        <w:numPr>
          <w:ilvl w:val="0"/>
          <w:numId w:val="0"/>
        </w:numPr>
        <w:spacing w:before="163"/>
        <w:ind w:left="1488" w:leftChars="0" w:right="0" w:rightChars="0"/>
        <w:jc w:val="left"/>
        <w:rPr>
          <w:b/>
          <w:sz w:val="24"/>
        </w:rPr>
      </w:pPr>
      <w:r>
        <w:rPr>
          <w:rFonts w:hint="eastAsia"/>
          <w:b/>
          <w:sz w:val="24"/>
          <w:lang w:val="en-US" w:eastAsia="zh-CN"/>
        </w:rPr>
        <w:t>15、</w:t>
      </w:r>
      <w:r>
        <w:rPr>
          <w:rFonts w:hint="eastAsia"/>
          <w:b/>
          <w:sz w:val="24"/>
        </w:rPr>
        <w:t>工期提前承诺</w:t>
      </w:r>
    </w:p>
    <w:p w14:paraId="6A63E62C">
      <w:pPr>
        <w:pStyle w:val="8"/>
        <w:rPr>
          <w:b/>
        </w:rPr>
      </w:pPr>
    </w:p>
    <w:p w14:paraId="64E44324">
      <w:pPr>
        <w:spacing w:before="163"/>
        <w:ind w:left="1488" w:right="0" w:firstLine="0"/>
        <w:jc w:val="left"/>
        <w:rPr>
          <w:b/>
          <w:sz w:val="24"/>
        </w:rPr>
      </w:pPr>
      <w:r>
        <w:rPr>
          <w:b/>
          <w:sz w:val="24"/>
        </w:rPr>
        <w:t>1</w:t>
      </w:r>
      <w:r>
        <w:rPr>
          <w:rFonts w:hint="eastAsia"/>
          <w:b/>
          <w:sz w:val="24"/>
          <w:lang w:val="en-US" w:eastAsia="zh-CN"/>
        </w:rPr>
        <w:t>6</w:t>
      </w:r>
      <w:r>
        <w:rPr>
          <w:b/>
          <w:sz w:val="24"/>
        </w:rPr>
        <w:t>、投标人认为需要提供的其他材料说明</w:t>
      </w:r>
    </w:p>
    <w:p w14:paraId="0C1BD016">
      <w:pPr>
        <w:pStyle w:val="8"/>
        <w:rPr>
          <w:b/>
        </w:rPr>
      </w:pPr>
    </w:p>
    <w:p w14:paraId="1D44B708">
      <w:pPr>
        <w:pStyle w:val="8"/>
        <w:spacing w:before="10"/>
        <w:rPr>
          <w:b/>
          <w:sz w:val="28"/>
        </w:rPr>
      </w:pPr>
    </w:p>
    <w:p w14:paraId="02A94B9E">
      <w:pPr>
        <w:spacing w:before="0"/>
        <w:ind w:left="287" w:right="0" w:firstLine="0"/>
        <w:jc w:val="left"/>
        <w:rPr>
          <w:b/>
          <w:sz w:val="24"/>
        </w:rPr>
      </w:pPr>
      <w:r>
        <w:rPr>
          <w:b/>
          <w:sz w:val="24"/>
        </w:rPr>
        <w:t>注：为方便电子评审，目录需关联至指定信息处，否则视同为未提供。</w:t>
      </w:r>
    </w:p>
    <w:p w14:paraId="78FBFE7B">
      <w:pPr>
        <w:spacing w:after="0"/>
        <w:jc w:val="left"/>
        <w:rPr>
          <w:sz w:val="24"/>
        </w:rPr>
        <w:sectPr>
          <w:pgSz w:w="11910" w:h="16840"/>
          <w:pgMar w:top="1220" w:right="899" w:bottom="1160" w:left="960" w:header="0" w:footer="970" w:gutter="0"/>
          <w:pgNumType w:fmt="decimal"/>
          <w:cols w:space="720" w:num="1"/>
        </w:sectPr>
      </w:pPr>
    </w:p>
    <w:p w14:paraId="2554CF33">
      <w:pPr>
        <w:spacing w:before="31"/>
        <w:ind w:left="380" w:right="372" w:firstLine="0"/>
        <w:jc w:val="center"/>
        <w:rPr>
          <w:b/>
          <w:sz w:val="36"/>
        </w:rPr>
      </w:pPr>
      <w:r>
        <w:rPr>
          <w:b/>
          <w:sz w:val="36"/>
        </w:rPr>
        <w:t>1、投标承诺书</w:t>
      </w:r>
    </w:p>
    <w:p w14:paraId="574D696B">
      <w:pPr>
        <w:pStyle w:val="8"/>
        <w:rPr>
          <w:b/>
          <w:sz w:val="26"/>
        </w:rPr>
      </w:pPr>
    </w:p>
    <w:p w14:paraId="70E423D4">
      <w:pPr>
        <w:pStyle w:val="8"/>
        <w:ind w:left="287"/>
      </w:pPr>
      <w:r>
        <w:t>致</w:t>
      </w:r>
      <w:r>
        <w:rPr>
          <w:u w:val="single"/>
        </w:rPr>
        <w:t>（采购人）</w:t>
      </w:r>
      <w:r>
        <w:t>：</w:t>
      </w:r>
    </w:p>
    <w:p w14:paraId="658C334F">
      <w:pPr>
        <w:pStyle w:val="8"/>
        <w:tabs>
          <w:tab w:val="left" w:pos="2927"/>
        </w:tabs>
        <w:spacing w:before="112" w:line="328" w:lineRule="auto"/>
        <w:ind w:left="287" w:right="398" w:firstLine="480"/>
        <w:jc w:val="both"/>
      </w:pPr>
      <w:r>
        <w:t>根据已收到的</w:t>
      </w:r>
      <w:r>
        <w:rPr>
          <w:u w:val="single"/>
        </w:rPr>
        <w:t xml:space="preserve"> </w:t>
      </w:r>
      <w:r>
        <w:rPr>
          <w:u w:val="single"/>
        </w:rPr>
        <w:tab/>
      </w:r>
      <w:r>
        <w:rPr>
          <w:u w:val="single"/>
        </w:rPr>
        <w:t xml:space="preserve">（项目名称）     </w:t>
      </w:r>
      <w:r>
        <w:t>招标文件，我单位符合资格要求，决定参</w:t>
      </w:r>
      <w:r>
        <w:rPr>
          <w:spacing w:val="-18"/>
        </w:rPr>
        <w:t>与</w:t>
      </w:r>
      <w:r>
        <w:t>该项目的投标，就本次投标活动，我单位作出如下承诺：</w:t>
      </w:r>
    </w:p>
    <w:p w14:paraId="1536B2A2">
      <w:pPr>
        <w:pStyle w:val="8"/>
        <w:spacing w:line="328" w:lineRule="auto"/>
        <w:ind w:left="287" w:right="344" w:firstLine="480"/>
        <w:jc w:val="both"/>
      </w:pPr>
      <w:r>
        <w:t>1</w:t>
      </w:r>
      <w:r>
        <w:rPr>
          <w:spacing w:val="-9"/>
        </w:rPr>
        <w:t>、我单位具备《中华人民共和国政府采购法》第二十二条规定的供应商参加政府采购</w:t>
      </w:r>
      <w:r>
        <w:t>活动应当具备的条件，未被信用中国、中国政府采购网列入失信被执行人、重大税收违法案件当事人名单、政府采购严重违法失信行为记录名单。且不存在下列情形：</w:t>
      </w:r>
    </w:p>
    <w:p w14:paraId="28C774B6">
      <w:pPr>
        <w:pStyle w:val="17"/>
        <w:numPr>
          <w:ilvl w:val="0"/>
          <w:numId w:val="43"/>
        </w:numPr>
        <w:tabs>
          <w:tab w:val="left" w:pos="1369"/>
        </w:tabs>
        <w:spacing w:before="11" w:after="0" w:line="343" w:lineRule="auto"/>
        <w:ind w:left="287" w:right="346" w:firstLine="480"/>
        <w:jc w:val="left"/>
        <w:rPr>
          <w:sz w:val="24"/>
        </w:rPr>
      </w:pPr>
      <w:r>
        <w:rPr>
          <w:spacing w:val="-2"/>
          <w:sz w:val="24"/>
        </w:rPr>
        <w:t>单位负责人为同一人或者存在直接控股、管理关系的不同供应商参加同一合同</w:t>
      </w:r>
      <w:r>
        <w:rPr>
          <w:spacing w:val="-4"/>
          <w:sz w:val="24"/>
        </w:rPr>
        <w:t>项下的政府采购活动；</w:t>
      </w:r>
    </w:p>
    <w:p w14:paraId="74FEB558">
      <w:pPr>
        <w:pStyle w:val="17"/>
        <w:numPr>
          <w:ilvl w:val="0"/>
          <w:numId w:val="43"/>
        </w:numPr>
        <w:tabs>
          <w:tab w:val="left" w:pos="1369"/>
        </w:tabs>
        <w:spacing w:before="1" w:after="0" w:line="343" w:lineRule="auto"/>
        <w:ind w:left="287" w:right="346" w:firstLine="480"/>
        <w:jc w:val="left"/>
        <w:rPr>
          <w:sz w:val="24"/>
        </w:rPr>
      </w:pPr>
      <w:r>
        <w:rPr>
          <w:spacing w:val="-5"/>
          <w:sz w:val="24"/>
        </w:rPr>
        <w:t>为采购项目提供整体设计、规范编制或者项目管理、监理、检测等服务后再参加</w:t>
      </w:r>
      <w:r>
        <w:rPr>
          <w:sz w:val="24"/>
        </w:rPr>
        <w:t>该采购项目的其他采购活动。</w:t>
      </w:r>
    </w:p>
    <w:p w14:paraId="737F3582">
      <w:pPr>
        <w:pStyle w:val="8"/>
        <w:spacing w:line="343" w:lineRule="auto"/>
        <w:ind w:left="287" w:right="278" w:firstLine="480"/>
        <w:jc w:val="both"/>
      </w:pPr>
      <w:r>
        <w:drawing>
          <wp:anchor distT="0" distB="0" distL="0" distR="0" simplePos="0" relativeHeight="251669504" behindDoc="1" locked="0" layoutInCell="1" hidden="1" allowOverlap="1">
            <wp:simplePos x="0" y="0"/>
            <wp:positionH relativeFrom="page">
              <wp:posOffset>1422400</wp:posOffset>
            </wp:positionH>
            <wp:positionV relativeFrom="paragraph">
              <wp:posOffset>2540</wp:posOffset>
            </wp:positionV>
            <wp:extent cx="4514850" cy="2591435"/>
            <wp:effectExtent l="0" t="0" r="0" b="0"/>
            <wp:wrapNone/>
            <wp:docPr id="97"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t>2、我方愿以开标一览表所报的投标价格及投标承诺书的承诺，承包本招标文件中所述 招标范围内的全部内容，并完全响应招标文件中规定的服务内容、服务地点、服务期限、服务质量、付款方式等条款。</w:t>
      </w:r>
    </w:p>
    <w:p w14:paraId="67358EB9">
      <w:pPr>
        <w:pStyle w:val="8"/>
        <w:spacing w:line="345" w:lineRule="auto"/>
        <w:ind w:left="287" w:right="346" w:firstLine="480"/>
      </w:pPr>
      <w:r>
        <w:t>3</w:t>
      </w:r>
      <w:r>
        <w:rPr>
          <w:spacing w:val="-10"/>
        </w:rPr>
        <w:t>、如果我方中标，我方将按招标文件规定的时间内签订合同。如果违约，我方愿接受</w:t>
      </w:r>
      <w:r>
        <w:t>采购人及政府采购监管部门的处罚，同时贵方有权终止我方中标并选择其他投标人。</w:t>
      </w:r>
    </w:p>
    <w:p w14:paraId="0144814E">
      <w:pPr>
        <w:pStyle w:val="8"/>
        <w:spacing w:line="343" w:lineRule="auto"/>
        <w:ind w:left="287" w:right="346" w:firstLine="480"/>
      </w:pPr>
      <w:r>
        <w:t>4</w:t>
      </w:r>
      <w:r>
        <w:rPr>
          <w:spacing w:val="-8"/>
        </w:rPr>
        <w:t>、我方同意按招标文件的规定，本投标书的有效期为投标文件递交截止时间后</w:t>
      </w:r>
      <w:r>
        <w:rPr>
          <w:spacing w:val="-8"/>
          <w:u w:val="single"/>
        </w:rPr>
        <w:t xml:space="preserve"> </w:t>
      </w:r>
      <w:r>
        <w:rPr>
          <w:u w:val="single"/>
        </w:rPr>
        <w:t xml:space="preserve">90 </w:t>
      </w:r>
      <w:r>
        <w:rPr>
          <w:spacing w:val="-14"/>
        </w:rPr>
        <w:t>日</w:t>
      </w:r>
      <w:r>
        <w:t>历日（自投标截止之日起计算）。</w:t>
      </w:r>
    </w:p>
    <w:p w14:paraId="323E262E">
      <w:pPr>
        <w:pStyle w:val="8"/>
        <w:spacing w:line="343" w:lineRule="auto"/>
        <w:ind w:left="287" w:right="346" w:firstLine="480"/>
      </w:pPr>
      <w:r>
        <w:t>5</w:t>
      </w:r>
      <w:r>
        <w:rPr>
          <w:spacing w:val="-10"/>
        </w:rPr>
        <w:t>、贵方的招标文件、答疑文件、招标文件补充、中标通知书和本投标文件将做为合同</w:t>
      </w:r>
      <w:r>
        <w:t>附件，具有同等法律效力。</w:t>
      </w:r>
    </w:p>
    <w:p w14:paraId="2991B7BB">
      <w:pPr>
        <w:pStyle w:val="8"/>
        <w:spacing w:line="345" w:lineRule="auto"/>
        <w:ind w:left="287" w:right="346" w:firstLine="480"/>
      </w:pPr>
      <w:r>
        <w:t>6</w:t>
      </w:r>
      <w:r>
        <w:rPr>
          <w:spacing w:val="-10"/>
        </w:rPr>
        <w:t>、如果我方未中标，贵方没有必要对我方做出任何解释和说明，我方将充分尊重和理</w:t>
      </w:r>
      <w:r>
        <w:t>解贵方的选择。</w:t>
      </w:r>
    </w:p>
    <w:p w14:paraId="4F2FB992">
      <w:pPr>
        <w:pStyle w:val="8"/>
        <w:spacing w:line="343" w:lineRule="auto"/>
        <w:ind w:left="287" w:right="278" w:firstLine="480"/>
      </w:pPr>
      <w:r>
        <w:t>7、我方承诺本投标文件中所有资料及证件均真实有效，若有虚假愿意承担一切责任， 已中标的主动放弃中标人资格并承担一切责任。</w:t>
      </w:r>
    </w:p>
    <w:p w14:paraId="20852601">
      <w:pPr>
        <w:pStyle w:val="8"/>
        <w:ind w:left="768"/>
      </w:pPr>
      <w:r>
        <w:t>8、如果我方中标，承诺按照招标文件要求向代理机构支付代理服务费。</w:t>
      </w:r>
    </w:p>
    <w:p w14:paraId="27CDA0F3">
      <w:pPr>
        <w:pStyle w:val="8"/>
      </w:pPr>
    </w:p>
    <w:p w14:paraId="0D6608B9">
      <w:pPr>
        <w:pStyle w:val="8"/>
        <w:spacing w:before="4"/>
        <w:rPr>
          <w:sz w:val="25"/>
        </w:rPr>
      </w:pPr>
    </w:p>
    <w:p w14:paraId="4F752B18">
      <w:pPr>
        <w:pStyle w:val="8"/>
        <w:tabs>
          <w:tab w:val="left" w:pos="4727"/>
          <w:tab w:val="left" w:pos="7847"/>
          <w:tab w:val="left" w:pos="8567"/>
        </w:tabs>
        <w:spacing w:before="1" w:line="403" w:lineRule="auto"/>
        <w:ind w:left="3168" w:right="518"/>
        <w:jc w:val="both"/>
      </w:pPr>
      <w:r>
        <w:t>投标人名称：</w:t>
      </w:r>
      <w:r>
        <w:rPr>
          <w:u w:val="single"/>
        </w:rPr>
        <w:t xml:space="preserve"> </w:t>
      </w:r>
      <w:r>
        <w:rPr>
          <w:u w:val="single"/>
        </w:rPr>
        <w:tab/>
      </w:r>
      <w:r>
        <w:rPr>
          <w:u w:val="single"/>
        </w:rPr>
        <w:tab/>
      </w:r>
      <w:r>
        <w:rPr>
          <w:u w:val="single"/>
        </w:rPr>
        <w:tab/>
      </w:r>
      <w:r>
        <w:t>（盖章</w:t>
      </w:r>
      <w:r>
        <w:rPr>
          <w:spacing w:val="-18"/>
        </w:rPr>
        <w:t xml:space="preserve">） </w:t>
      </w:r>
      <w:r>
        <w:t>法定代表人或其委托代理人：</w:t>
      </w:r>
      <w:r>
        <w:rPr>
          <w:u w:val="single"/>
        </w:rPr>
        <w:t xml:space="preserve"> </w:t>
      </w:r>
      <w:r>
        <w:rPr>
          <w:u w:val="single"/>
        </w:rPr>
        <w:tab/>
      </w:r>
      <w:r>
        <w:t>（签字或盖章</w:t>
      </w:r>
      <w:r>
        <w:rPr>
          <w:spacing w:val="-18"/>
        </w:rPr>
        <w:t xml:space="preserve">） </w:t>
      </w:r>
      <w:r>
        <w:t>日期：</w:t>
      </w:r>
      <w:r>
        <w:rPr>
          <w:u w:val="single"/>
        </w:rPr>
        <w:t xml:space="preserve"> </w:t>
      </w:r>
      <w:r>
        <w:rPr>
          <w:u w:val="single"/>
        </w:rPr>
        <w:tab/>
      </w:r>
      <w:r>
        <w:t>年</w:t>
      </w:r>
      <w:r>
        <w:rPr>
          <w:u w:val="single"/>
        </w:rPr>
        <w:t xml:space="preserve"> </w:t>
      </w:r>
      <w:r>
        <w:t>月</w:t>
      </w:r>
      <w:r>
        <w:rPr>
          <w:u w:val="single"/>
        </w:rPr>
        <w:t xml:space="preserve"> </w:t>
      </w:r>
      <w:r>
        <w:t>日</w:t>
      </w:r>
    </w:p>
    <w:p w14:paraId="69189EAE">
      <w:pPr>
        <w:spacing w:after="0" w:line="403" w:lineRule="auto"/>
        <w:jc w:val="both"/>
        <w:sectPr>
          <w:pgSz w:w="11910" w:h="16840"/>
          <w:pgMar w:top="1200" w:right="899" w:bottom="1160" w:left="960" w:header="0" w:footer="970" w:gutter="0"/>
          <w:pgNumType w:fmt="decimal"/>
          <w:cols w:space="720" w:num="1"/>
        </w:sectPr>
      </w:pPr>
    </w:p>
    <w:p w14:paraId="4D87900E">
      <w:pPr>
        <w:spacing w:before="29"/>
        <w:ind w:left="309" w:right="372" w:firstLine="0"/>
        <w:jc w:val="center"/>
        <w:rPr>
          <w:b/>
          <w:sz w:val="32"/>
        </w:rPr>
      </w:pPr>
      <w:r>
        <w:rPr>
          <w:b/>
          <w:sz w:val="32"/>
        </w:rPr>
        <w:t>2、开标一览表</w:t>
      </w:r>
    </w:p>
    <w:p w14:paraId="0852671B">
      <w:pPr>
        <w:pStyle w:val="8"/>
        <w:rPr>
          <w:b/>
          <w:sz w:val="20"/>
        </w:rPr>
      </w:pPr>
    </w:p>
    <w:p w14:paraId="00741C7C">
      <w:pPr>
        <w:pStyle w:val="8"/>
        <w:spacing w:before="1"/>
        <w:rPr>
          <w:b/>
          <w:sz w:val="14"/>
        </w:rPr>
      </w:pPr>
    </w:p>
    <w:p w14:paraId="31A60A1F">
      <w:pPr>
        <w:pStyle w:val="8"/>
      </w:pPr>
    </w:p>
    <w:tbl>
      <w:tblPr>
        <w:tblStyle w:val="1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073D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5A0F3972">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项目名称</w:t>
            </w:r>
          </w:p>
        </w:tc>
        <w:tc>
          <w:tcPr>
            <w:tcW w:w="7600" w:type="dxa"/>
            <w:noWrap w:val="0"/>
            <w:vAlign w:val="center"/>
          </w:tcPr>
          <w:p w14:paraId="0A2EF771">
            <w:pPr>
              <w:spacing w:line="440" w:lineRule="exact"/>
              <w:jc w:val="center"/>
              <w:rPr>
                <w:rFonts w:ascii="仿宋" w:hAnsi="仿宋" w:eastAsia="仿宋" w:cs="仿宋"/>
                <w:color w:val="000000"/>
                <w:sz w:val="24"/>
                <w:szCs w:val="24"/>
              </w:rPr>
            </w:pPr>
          </w:p>
        </w:tc>
      </w:tr>
      <w:tr w14:paraId="0EE9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3CD9DFF4">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项目编号</w:t>
            </w:r>
          </w:p>
        </w:tc>
        <w:tc>
          <w:tcPr>
            <w:tcW w:w="7600" w:type="dxa"/>
            <w:noWrap w:val="0"/>
            <w:vAlign w:val="top"/>
          </w:tcPr>
          <w:p w14:paraId="5BD78906">
            <w:pPr>
              <w:spacing w:line="440" w:lineRule="exact"/>
              <w:jc w:val="center"/>
              <w:rPr>
                <w:rFonts w:ascii="仿宋" w:hAnsi="仿宋" w:eastAsia="仿宋" w:cs="仿宋"/>
                <w:color w:val="000000"/>
                <w:sz w:val="24"/>
                <w:szCs w:val="24"/>
              </w:rPr>
            </w:pPr>
          </w:p>
        </w:tc>
      </w:tr>
      <w:tr w14:paraId="3B73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14:paraId="42E6D281">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rPr>
              <w:t>工</w:t>
            </w:r>
            <w:r>
              <w:rPr>
                <w:rFonts w:hint="eastAsia" w:ascii="仿宋" w:hAnsi="仿宋" w:eastAsia="仿宋" w:cs="仿宋"/>
                <w:color w:val="000000"/>
                <w:sz w:val="24"/>
                <w:szCs w:val="24"/>
              </w:rPr>
              <w:t>期</w:t>
            </w:r>
          </w:p>
        </w:tc>
        <w:tc>
          <w:tcPr>
            <w:tcW w:w="7600" w:type="dxa"/>
            <w:noWrap w:val="0"/>
            <w:vAlign w:val="center"/>
          </w:tcPr>
          <w:p w14:paraId="46008B28">
            <w:pPr>
              <w:spacing w:line="440" w:lineRule="exact"/>
              <w:rPr>
                <w:rFonts w:ascii="仿宋" w:hAnsi="仿宋" w:eastAsia="仿宋" w:cs="仿宋"/>
                <w:color w:val="000000"/>
                <w:sz w:val="24"/>
                <w:szCs w:val="24"/>
                <w:u w:val="single"/>
              </w:rPr>
            </w:pPr>
          </w:p>
        </w:tc>
      </w:tr>
      <w:tr w14:paraId="3CD4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26E8BE7A">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质量目标</w:t>
            </w:r>
          </w:p>
        </w:tc>
        <w:tc>
          <w:tcPr>
            <w:tcW w:w="7600" w:type="dxa"/>
            <w:noWrap w:val="0"/>
            <w:vAlign w:val="center"/>
          </w:tcPr>
          <w:p w14:paraId="75977BDE">
            <w:pPr>
              <w:spacing w:line="440" w:lineRule="exact"/>
              <w:rPr>
                <w:rFonts w:ascii="仿宋" w:hAnsi="仿宋" w:eastAsia="仿宋" w:cs="仿宋"/>
                <w:color w:val="000000"/>
                <w:sz w:val="24"/>
                <w:szCs w:val="24"/>
              </w:rPr>
            </w:pPr>
          </w:p>
        </w:tc>
      </w:tr>
      <w:tr w14:paraId="4893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6792FA8B">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报价</w:t>
            </w:r>
          </w:p>
        </w:tc>
        <w:tc>
          <w:tcPr>
            <w:tcW w:w="7600" w:type="dxa"/>
            <w:noWrap w:val="0"/>
            <w:vAlign w:val="center"/>
          </w:tcPr>
          <w:p w14:paraId="2D69C027">
            <w:pPr>
              <w:spacing w:line="440" w:lineRule="exact"/>
              <w:rPr>
                <w:rFonts w:ascii="仿宋" w:hAnsi="仿宋" w:eastAsia="仿宋" w:cs="仿宋"/>
                <w:color w:val="000000"/>
                <w:sz w:val="24"/>
                <w:szCs w:val="24"/>
                <w:u w:val="single"/>
              </w:rPr>
            </w:pPr>
            <w:r>
              <w:rPr>
                <w:rFonts w:hint="eastAsia" w:ascii="仿宋" w:hAnsi="仿宋" w:eastAsia="仿宋" w:cs="仿宋"/>
                <w:color w:val="000000"/>
                <w:sz w:val="24"/>
                <w:szCs w:val="24"/>
              </w:rPr>
              <w:t>小写：</w:t>
            </w:r>
            <w:r>
              <w:rPr>
                <w:rFonts w:hint="eastAsia" w:ascii="仿宋" w:hAnsi="仿宋" w:eastAsia="仿宋" w:cs="仿宋"/>
                <w:color w:val="000000"/>
                <w:sz w:val="24"/>
                <w:szCs w:val="24"/>
                <w:u w:val="single"/>
              </w:rPr>
              <w:t xml:space="preserve">                     </w:t>
            </w:r>
          </w:p>
          <w:p w14:paraId="571144E2">
            <w:pPr>
              <w:spacing w:line="440" w:lineRule="exact"/>
              <w:rPr>
                <w:rFonts w:ascii="仿宋" w:hAnsi="仿宋" w:eastAsia="仿宋" w:cs="仿宋"/>
                <w:color w:val="000000"/>
                <w:sz w:val="24"/>
                <w:szCs w:val="24"/>
                <w:u w:val="single"/>
              </w:rPr>
            </w:pPr>
            <w:r>
              <w:rPr>
                <w:rFonts w:hint="eastAsia" w:ascii="仿宋" w:hAnsi="仿宋" w:eastAsia="仿宋" w:cs="仿宋"/>
                <w:color w:val="000000"/>
                <w:sz w:val="24"/>
                <w:szCs w:val="24"/>
              </w:rPr>
              <w:t>大写：</w:t>
            </w:r>
            <w:r>
              <w:rPr>
                <w:rFonts w:hint="eastAsia" w:ascii="仿宋" w:hAnsi="仿宋" w:eastAsia="仿宋" w:cs="仿宋"/>
                <w:color w:val="000000"/>
                <w:sz w:val="24"/>
                <w:szCs w:val="24"/>
                <w:u w:val="single"/>
              </w:rPr>
              <w:t xml:space="preserve">                     </w:t>
            </w:r>
          </w:p>
        </w:tc>
      </w:tr>
      <w:tr w14:paraId="62A7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298F5475">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备注</w:t>
            </w:r>
          </w:p>
        </w:tc>
        <w:tc>
          <w:tcPr>
            <w:tcW w:w="7600" w:type="dxa"/>
            <w:noWrap w:val="0"/>
            <w:vAlign w:val="top"/>
          </w:tcPr>
          <w:p w14:paraId="3EB19792">
            <w:pPr>
              <w:spacing w:line="440" w:lineRule="exact"/>
              <w:jc w:val="center"/>
              <w:rPr>
                <w:rFonts w:ascii="仿宋" w:hAnsi="仿宋" w:eastAsia="仿宋" w:cs="仿宋"/>
                <w:color w:val="000000"/>
                <w:sz w:val="24"/>
                <w:szCs w:val="24"/>
              </w:rPr>
            </w:pPr>
          </w:p>
        </w:tc>
      </w:tr>
    </w:tbl>
    <w:p w14:paraId="2B66DFBF">
      <w:pPr>
        <w:pStyle w:val="8"/>
      </w:pPr>
    </w:p>
    <w:p w14:paraId="6D60F962">
      <w:pPr>
        <w:pStyle w:val="7"/>
        <w:spacing w:before="179"/>
      </w:pPr>
      <w:r>
        <w:drawing>
          <wp:anchor distT="0" distB="0" distL="0" distR="0" simplePos="0" relativeHeight="251670528" behindDoc="1" locked="0" layoutInCell="1" hidden="1" allowOverlap="1">
            <wp:simplePos x="0" y="0"/>
            <wp:positionH relativeFrom="page">
              <wp:posOffset>1422400</wp:posOffset>
            </wp:positionH>
            <wp:positionV relativeFrom="paragraph">
              <wp:posOffset>-1179830</wp:posOffset>
            </wp:positionV>
            <wp:extent cx="4514850" cy="2591435"/>
            <wp:effectExtent l="0" t="0" r="0" b="0"/>
            <wp:wrapNone/>
            <wp:docPr id="99"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t>注：投标单位应充分了解本项目采购需求后，按要求自主报</w:t>
      </w:r>
      <w:r>
        <w:rPr>
          <w:rFonts w:hint="eastAsia"/>
          <w:lang w:eastAsia="zh-CN"/>
        </w:rPr>
        <w:t>价</w:t>
      </w:r>
      <w:r>
        <w:t>。</w:t>
      </w:r>
    </w:p>
    <w:p w14:paraId="730E996B">
      <w:pPr>
        <w:pStyle w:val="8"/>
        <w:rPr>
          <w:b/>
        </w:rPr>
      </w:pPr>
    </w:p>
    <w:p w14:paraId="4C80D893">
      <w:pPr>
        <w:pStyle w:val="8"/>
        <w:rPr>
          <w:b/>
        </w:rPr>
      </w:pPr>
    </w:p>
    <w:p w14:paraId="44952D5B">
      <w:pPr>
        <w:pStyle w:val="8"/>
        <w:spacing w:before="3"/>
        <w:rPr>
          <w:b/>
          <w:sz w:val="33"/>
        </w:rPr>
      </w:pPr>
    </w:p>
    <w:p w14:paraId="6850771C">
      <w:pPr>
        <w:pStyle w:val="8"/>
        <w:tabs>
          <w:tab w:val="left" w:pos="4727"/>
          <w:tab w:val="left" w:pos="5567"/>
          <w:tab w:val="left" w:pos="6407"/>
          <w:tab w:val="left" w:pos="7967"/>
          <w:tab w:val="left" w:pos="8567"/>
        </w:tabs>
        <w:spacing w:line="403" w:lineRule="auto"/>
        <w:ind w:left="3168" w:right="398"/>
      </w:pPr>
      <w:r>
        <w:t>投标人名称：</w:t>
      </w:r>
      <w:r>
        <w:rPr>
          <w:u w:val="single"/>
        </w:rPr>
        <w:t xml:space="preserve"> </w:t>
      </w:r>
      <w:r>
        <w:rPr>
          <w:u w:val="single"/>
        </w:rPr>
        <w:tab/>
      </w:r>
      <w:r>
        <w:rPr>
          <w:u w:val="single"/>
        </w:rPr>
        <w:tab/>
      </w:r>
      <w:r>
        <w:rPr>
          <w:u w:val="single"/>
        </w:rPr>
        <w:tab/>
      </w:r>
      <w:r>
        <w:rPr>
          <w:u w:val="single"/>
        </w:rPr>
        <w:tab/>
      </w:r>
      <w:r>
        <w:rPr>
          <w:u w:val="single"/>
        </w:rPr>
        <w:tab/>
      </w:r>
      <w:r>
        <w:t>（盖章） 法定代表人或其委托代理人：</w:t>
      </w:r>
      <w:r>
        <w:rPr>
          <w:u w:val="single"/>
        </w:rPr>
        <w:t xml:space="preserve"> </w:t>
      </w:r>
      <w:r>
        <w:rPr>
          <w:u w:val="single"/>
        </w:rPr>
        <w:tab/>
      </w:r>
      <w:r>
        <w:rPr>
          <w:u w:val="single"/>
        </w:rPr>
        <w:tab/>
      </w:r>
      <w:r>
        <w:t>（签字或盖章</w:t>
      </w:r>
      <w:r>
        <w:rPr>
          <w:spacing w:val="-18"/>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09020957">
      <w:pPr>
        <w:spacing w:after="0" w:line="403" w:lineRule="auto"/>
        <w:sectPr>
          <w:footerReference r:id="rId10" w:type="default"/>
          <w:pgSz w:w="11910" w:h="16840"/>
          <w:pgMar w:top="1340" w:right="899" w:bottom="1160" w:left="960" w:header="0" w:footer="970" w:gutter="0"/>
          <w:pgNumType w:fmt="decimal"/>
          <w:cols w:space="720" w:num="1"/>
        </w:sectPr>
      </w:pPr>
    </w:p>
    <w:p w14:paraId="289C3E18">
      <w:pPr>
        <w:pStyle w:val="4"/>
        <w:spacing w:before="29"/>
      </w:pPr>
      <w:r>
        <w:t>3、投标供应商代表身份证明</w:t>
      </w:r>
    </w:p>
    <w:p w14:paraId="610F6783">
      <w:pPr>
        <w:pStyle w:val="8"/>
        <w:rPr>
          <w:b/>
          <w:sz w:val="36"/>
        </w:rPr>
      </w:pPr>
    </w:p>
    <w:p w14:paraId="40EAD2FF">
      <w:pPr>
        <w:pStyle w:val="8"/>
        <w:spacing w:before="7"/>
        <w:rPr>
          <w:b/>
          <w:sz w:val="28"/>
        </w:rPr>
      </w:pPr>
    </w:p>
    <w:p w14:paraId="5612A310">
      <w:pPr>
        <w:pStyle w:val="5"/>
        <w:ind w:left="311" w:right="372"/>
      </w:pPr>
      <w:r>
        <w:t>法定代表人身份证明</w:t>
      </w:r>
    </w:p>
    <w:p w14:paraId="06264B89">
      <w:pPr>
        <w:pStyle w:val="8"/>
        <w:rPr>
          <w:b/>
          <w:sz w:val="32"/>
        </w:rPr>
      </w:pPr>
    </w:p>
    <w:p w14:paraId="5C6429AA">
      <w:pPr>
        <w:pStyle w:val="8"/>
        <w:spacing w:before="6"/>
        <w:rPr>
          <w:b/>
          <w:sz w:val="27"/>
        </w:rPr>
      </w:pPr>
    </w:p>
    <w:p w14:paraId="7E38A646">
      <w:pPr>
        <w:pStyle w:val="8"/>
        <w:tabs>
          <w:tab w:val="left" w:pos="2687"/>
          <w:tab w:val="left" w:pos="3827"/>
          <w:tab w:val="left" w:pos="5087"/>
          <w:tab w:val="left" w:pos="7667"/>
        </w:tabs>
        <w:spacing w:line="374" w:lineRule="auto"/>
        <w:ind w:left="648" w:right="2358" w:firstLine="19"/>
        <w:jc w:val="both"/>
      </w:pPr>
      <w:r>
        <w:rPr>
          <w:spacing w:val="-1"/>
        </w:rPr>
        <w:t>单</w:t>
      </w:r>
      <w:r>
        <w:t>位名称：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w w:val="3"/>
          <w:u w:val="single"/>
        </w:rPr>
        <w:t xml:space="preserve"> </w:t>
      </w:r>
      <w:r>
        <w:t>单位性质：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7AC256B7">
      <w:pPr>
        <w:pStyle w:val="8"/>
        <w:tabs>
          <w:tab w:val="left" w:pos="2327"/>
          <w:tab w:val="left" w:pos="4127"/>
          <w:tab w:val="left" w:pos="5687"/>
          <w:tab w:val="left" w:pos="5927"/>
          <w:tab w:val="left" w:pos="7667"/>
          <w:tab w:val="left" w:pos="7787"/>
        </w:tabs>
        <w:spacing w:before="1" w:line="374" w:lineRule="auto"/>
        <w:ind w:left="648" w:right="2257"/>
      </w:pPr>
      <w:r>
        <w:t>经营期限：</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姓名：</w:t>
      </w:r>
      <w:r>
        <w:rPr>
          <w:u w:val="single"/>
        </w:rPr>
        <w:t xml:space="preserve"> </w:t>
      </w:r>
      <w:r>
        <w:rPr>
          <w:u w:val="single"/>
        </w:rPr>
        <w:tab/>
      </w:r>
      <w:r>
        <w:t>性别：</w:t>
      </w:r>
      <w:r>
        <w:rPr>
          <w:u w:val="single"/>
        </w:rPr>
        <w:t xml:space="preserve"> </w:t>
      </w:r>
      <w:r>
        <w:rPr>
          <w:u w:val="single"/>
        </w:rPr>
        <w:tab/>
      </w:r>
      <w:r>
        <w:t>年龄：</w:t>
      </w:r>
      <w:r>
        <w:rPr>
          <w:u w:val="single"/>
        </w:rPr>
        <w:t xml:space="preserve"> </w:t>
      </w:r>
      <w:r>
        <w:rPr>
          <w:u w:val="single"/>
        </w:rPr>
        <w:tab/>
      </w:r>
      <w:r>
        <w:rPr>
          <w:u w:val="single"/>
        </w:rPr>
        <w:tab/>
      </w:r>
      <w:r>
        <w:t>职务：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系</w:t>
      </w:r>
      <w:r>
        <w:rPr>
          <w:u w:val="single"/>
        </w:rPr>
        <w:t xml:space="preserve"> </w:t>
      </w:r>
      <w:r>
        <w:rPr>
          <w:u w:val="single"/>
        </w:rPr>
        <w:tab/>
      </w:r>
      <w:r>
        <w:rPr>
          <w:u w:val="single"/>
        </w:rPr>
        <w:tab/>
      </w:r>
      <w:r>
        <w:rPr>
          <w:u w:val="single"/>
        </w:rPr>
        <w:tab/>
      </w:r>
      <w:r>
        <w:t>的法定代表人。</w:t>
      </w:r>
    </w:p>
    <w:p w14:paraId="6306D6BF">
      <w:pPr>
        <w:pStyle w:val="8"/>
        <w:spacing w:before="1"/>
        <w:ind w:left="1248"/>
      </w:pPr>
      <w:r>
        <w:t>特此证明。</w:t>
      </w:r>
    </w:p>
    <w:p w14:paraId="273B32A8">
      <w:pPr>
        <w:pStyle w:val="8"/>
        <w:rPr>
          <w:sz w:val="20"/>
        </w:rPr>
      </w:pPr>
    </w:p>
    <w:p w14:paraId="74625DE4">
      <w:pPr>
        <w:pStyle w:val="8"/>
        <w:rPr>
          <w:sz w:val="20"/>
        </w:rPr>
      </w:pPr>
    </w:p>
    <w:p w14:paraId="5ACEA694">
      <w:pPr>
        <w:pStyle w:val="8"/>
        <w:rPr>
          <w:sz w:val="20"/>
        </w:rPr>
      </w:pPr>
    </w:p>
    <w:p w14:paraId="0DF8208C">
      <w:pPr>
        <w:pStyle w:val="8"/>
        <w:rPr>
          <w:sz w:val="20"/>
        </w:rPr>
      </w:pPr>
    </w:p>
    <w:p w14:paraId="45087DF6">
      <w:pPr>
        <w:pStyle w:val="8"/>
        <w:rPr>
          <w:sz w:val="20"/>
        </w:rPr>
      </w:pPr>
    </w:p>
    <w:p w14:paraId="73FE1E80">
      <w:pPr>
        <w:pStyle w:val="8"/>
        <w:spacing w:before="7"/>
        <w:rPr>
          <w:sz w:val="19"/>
        </w:rPr>
      </w:pPr>
    </w:p>
    <w:p w14:paraId="701976A1">
      <w:pPr>
        <w:spacing w:before="49"/>
        <w:ind w:left="1721" w:right="2516" w:firstLine="0"/>
        <w:jc w:val="center"/>
        <w:rPr>
          <w:rFonts w:hint="eastAsia" w:ascii="仿宋" w:eastAsia="仿宋"/>
          <w:sz w:val="36"/>
        </w:rPr>
      </w:pPr>
      <w:r>
        <w:rPr>
          <w:rFonts w:hint="eastAsia" w:ascii="仿宋" w:eastAsia="仿宋"/>
          <w:sz w:val="36"/>
        </w:rPr>
        <w:t>法定代表人身份证复印件</w:t>
      </w:r>
    </w:p>
    <w:p w14:paraId="5E928FB9">
      <w:pPr>
        <w:spacing w:before="228"/>
        <w:ind w:left="1721" w:right="2516" w:firstLine="0"/>
        <w:jc w:val="center"/>
        <w:rPr>
          <w:rFonts w:hint="eastAsia" w:ascii="仿宋" w:eastAsia="仿宋"/>
          <w:sz w:val="36"/>
        </w:rPr>
      </w:pPr>
      <w:r>
        <w:rPr>
          <w:rFonts w:hint="eastAsia" w:ascii="仿宋" w:eastAsia="仿宋"/>
          <w:sz w:val="36"/>
        </w:rPr>
        <w:t>（正、反面）</w:t>
      </w:r>
    </w:p>
    <w:p w14:paraId="6750A5E3">
      <w:pPr>
        <w:pStyle w:val="8"/>
        <w:rPr>
          <w:rFonts w:ascii="仿宋"/>
          <w:sz w:val="20"/>
        </w:rPr>
      </w:pPr>
    </w:p>
    <w:p w14:paraId="5FDDBD69">
      <w:pPr>
        <w:pStyle w:val="8"/>
        <w:rPr>
          <w:rFonts w:ascii="仿宋"/>
          <w:sz w:val="20"/>
        </w:rPr>
      </w:pPr>
    </w:p>
    <w:p w14:paraId="1F97682C">
      <w:pPr>
        <w:pStyle w:val="8"/>
        <w:rPr>
          <w:rFonts w:ascii="仿宋"/>
          <w:sz w:val="20"/>
        </w:rPr>
      </w:pPr>
    </w:p>
    <w:p w14:paraId="234B5262">
      <w:pPr>
        <w:pStyle w:val="8"/>
        <w:rPr>
          <w:rFonts w:ascii="仿宋"/>
          <w:sz w:val="20"/>
        </w:rPr>
      </w:pPr>
    </w:p>
    <w:p w14:paraId="54004CBF">
      <w:pPr>
        <w:pStyle w:val="8"/>
        <w:rPr>
          <w:rFonts w:ascii="仿宋"/>
          <w:sz w:val="20"/>
        </w:rPr>
      </w:pPr>
    </w:p>
    <w:p w14:paraId="526300B7">
      <w:pPr>
        <w:pStyle w:val="8"/>
        <w:rPr>
          <w:rFonts w:ascii="仿宋"/>
          <w:sz w:val="20"/>
        </w:rPr>
      </w:pPr>
    </w:p>
    <w:p w14:paraId="2AE7FAA6">
      <w:pPr>
        <w:pStyle w:val="8"/>
        <w:rPr>
          <w:rFonts w:ascii="仿宋"/>
          <w:sz w:val="18"/>
        </w:rPr>
      </w:pPr>
    </w:p>
    <w:p w14:paraId="44EE243A">
      <w:pPr>
        <w:pStyle w:val="8"/>
        <w:tabs>
          <w:tab w:val="left" w:pos="7807"/>
        </w:tabs>
        <w:spacing w:before="75"/>
        <w:ind w:left="3967"/>
      </w:pPr>
      <w:r>
        <w:t>投标人名称：</w:t>
      </w:r>
      <w:r>
        <w:rPr>
          <w:u w:val="single"/>
        </w:rPr>
        <w:t xml:space="preserve"> </w:t>
      </w:r>
      <w:r>
        <w:rPr>
          <w:u w:val="single"/>
        </w:rPr>
        <w:tab/>
      </w:r>
      <w:r>
        <w:t>（盖单位章）</w:t>
      </w:r>
    </w:p>
    <w:p w14:paraId="1A9C571F">
      <w:pPr>
        <w:pStyle w:val="8"/>
        <w:rPr>
          <w:sz w:val="20"/>
        </w:rPr>
      </w:pPr>
    </w:p>
    <w:p w14:paraId="1DC9F6C0">
      <w:pPr>
        <w:pStyle w:val="8"/>
        <w:spacing w:before="9"/>
        <w:rPr>
          <w:sz w:val="25"/>
        </w:rPr>
      </w:pPr>
    </w:p>
    <w:p w14:paraId="00C9DDF5">
      <w:pPr>
        <w:pStyle w:val="8"/>
        <w:tabs>
          <w:tab w:val="left" w:pos="6167"/>
          <w:tab w:val="left" w:pos="7007"/>
          <w:tab w:val="left" w:pos="7847"/>
        </w:tabs>
        <w:spacing w:before="66"/>
        <w:ind w:left="5208"/>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14:paraId="427D316B">
      <w:pPr>
        <w:spacing w:after="0"/>
        <w:sectPr>
          <w:pgSz w:w="11910" w:h="16840"/>
          <w:pgMar w:top="1240" w:right="899" w:bottom="1160" w:left="960" w:header="0" w:footer="970" w:gutter="0"/>
          <w:pgNumType w:fmt="decimal"/>
          <w:cols w:space="720" w:num="1"/>
        </w:sectPr>
      </w:pPr>
    </w:p>
    <w:p w14:paraId="7FDAF40A">
      <w:pPr>
        <w:pStyle w:val="5"/>
        <w:spacing w:before="29"/>
        <w:ind w:left="311" w:right="372"/>
      </w:pPr>
      <w:r>
        <w:t>法定代表人授权委托书</w:t>
      </w:r>
    </w:p>
    <w:p w14:paraId="166494E3">
      <w:pPr>
        <w:pStyle w:val="8"/>
        <w:rPr>
          <w:b/>
          <w:sz w:val="32"/>
        </w:rPr>
      </w:pPr>
    </w:p>
    <w:p w14:paraId="49A04276">
      <w:pPr>
        <w:pStyle w:val="8"/>
        <w:spacing w:before="4"/>
        <w:rPr>
          <w:b/>
          <w:sz w:val="47"/>
        </w:rPr>
      </w:pPr>
    </w:p>
    <w:p w14:paraId="0B49BCE0">
      <w:pPr>
        <w:pStyle w:val="8"/>
        <w:tabs>
          <w:tab w:val="left" w:pos="4778"/>
          <w:tab w:val="left" w:pos="5207"/>
          <w:tab w:val="left" w:pos="5356"/>
          <w:tab w:val="left" w:pos="7048"/>
          <w:tab w:val="left" w:pos="8498"/>
        </w:tabs>
        <w:spacing w:line="537" w:lineRule="auto"/>
        <w:ind w:left="287" w:right="346" w:firstLine="480"/>
        <w:jc w:val="both"/>
      </w:pPr>
      <w:r>
        <w:t>本授权委托书声明</w:t>
      </w:r>
      <w:r>
        <w:rPr>
          <w:spacing w:val="-70"/>
        </w:rPr>
        <w:t>：</w:t>
      </w:r>
      <w:r>
        <w:t>我</w:t>
      </w:r>
      <w:r>
        <w:rPr>
          <w:u w:val="single"/>
        </w:rPr>
        <w:t xml:space="preserve"> </w:t>
      </w:r>
      <w:r>
        <w:rPr>
          <w:u w:val="single"/>
        </w:rPr>
        <w:tab/>
      </w:r>
      <w:r>
        <w:t>系</w:t>
      </w:r>
      <w:r>
        <w:rPr>
          <w:u w:val="single"/>
        </w:rPr>
        <w:t xml:space="preserve"> </w:t>
      </w:r>
      <w:r>
        <w:rPr>
          <w:u w:val="single"/>
        </w:rPr>
        <w:tab/>
      </w:r>
      <w:r>
        <w:rPr>
          <w:u w:val="single"/>
        </w:rPr>
        <w:tab/>
      </w:r>
      <w:r>
        <w:rPr>
          <w:u w:val="single"/>
        </w:rPr>
        <w:tab/>
      </w:r>
      <w:r>
        <w:rPr>
          <w:u w:val="single"/>
        </w:rPr>
        <w:tab/>
      </w:r>
      <w:r>
        <w:t>的法定代</w:t>
      </w:r>
      <w:r>
        <w:rPr>
          <w:spacing w:val="-17"/>
        </w:rPr>
        <w:t>表</w:t>
      </w:r>
      <w:r>
        <w:t>人，现授权委托</w:t>
      </w:r>
      <w:r>
        <w:rPr>
          <w:u w:val="single"/>
        </w:rPr>
        <w:t xml:space="preserve"> </w:t>
      </w:r>
      <w:r>
        <w:rPr>
          <w:u w:val="single"/>
        </w:rPr>
        <w:tab/>
      </w:r>
      <w:r>
        <w:rPr>
          <w:u w:val="single"/>
        </w:rPr>
        <w:tab/>
      </w:r>
      <w:r>
        <w:rPr>
          <w:u w:val="single"/>
        </w:rPr>
        <w:tab/>
      </w:r>
      <w:r>
        <w:t>的</w:t>
      </w:r>
      <w:r>
        <w:rPr>
          <w:u w:val="single"/>
        </w:rPr>
        <w:t xml:space="preserve"> </w:t>
      </w:r>
      <w:r>
        <w:rPr>
          <w:u w:val="single"/>
        </w:rPr>
        <w:tab/>
      </w:r>
      <w:r>
        <w:t>为我的代理人，以本单</w:t>
      </w:r>
      <w:r>
        <w:rPr>
          <w:spacing w:val="-15"/>
        </w:rPr>
        <w:t>位</w:t>
      </w:r>
      <w:r>
        <w:t>的名义参加</w:t>
      </w:r>
      <w:r>
        <w:rPr>
          <w:u w:val="single"/>
        </w:rPr>
        <w:t xml:space="preserve"> </w:t>
      </w:r>
      <w:r>
        <w:rPr>
          <w:u w:val="single"/>
        </w:rPr>
        <w:tab/>
      </w:r>
      <w:r>
        <w:rPr>
          <w:u w:val="single"/>
        </w:rPr>
        <w:tab/>
      </w:r>
      <w:r>
        <w:t>的投标活动</w:t>
      </w:r>
      <w:r>
        <w:rPr>
          <w:spacing w:val="-70"/>
        </w:rPr>
        <w:t>。</w:t>
      </w:r>
      <w:r>
        <w:t>代理人在参加整个招标投标</w:t>
      </w:r>
      <w:r>
        <w:rPr>
          <w:spacing w:val="-16"/>
        </w:rPr>
        <w:t>活</w:t>
      </w:r>
      <w:r>
        <w:t>动、合同签订过程中所签署的一切文件和处理与之相关的一切事物，我均予承认。</w:t>
      </w:r>
    </w:p>
    <w:p w14:paraId="06BDD9FA">
      <w:pPr>
        <w:pStyle w:val="8"/>
        <w:tabs>
          <w:tab w:val="left" w:pos="3947"/>
          <w:tab w:val="left" w:pos="4247"/>
          <w:tab w:val="left" w:pos="6467"/>
          <w:tab w:val="left" w:pos="8987"/>
        </w:tabs>
        <w:spacing w:line="305" w:lineRule="exact"/>
        <w:ind w:left="768"/>
        <w:rPr>
          <w:rFonts w:ascii="Times New Roman" w:eastAsia="Times New Roman"/>
          <w:u w:val="single"/>
        </w:rPr>
      </w:pPr>
      <w:r>
        <w:t>代理人：</w:t>
      </w:r>
      <w:r>
        <w:rPr>
          <w:u w:val="single"/>
        </w:rPr>
        <w:t xml:space="preserve"> </w:t>
      </w:r>
      <w:r>
        <w:rPr>
          <w:u w:val="single"/>
        </w:rPr>
        <w:tab/>
      </w:r>
      <w:r>
        <w:tab/>
      </w:r>
      <w:r>
        <w:t>性别：</w:t>
      </w:r>
      <w:r>
        <w:rPr>
          <w:u w:val="single"/>
        </w:rPr>
        <w:t xml:space="preserve"> </w:t>
      </w:r>
      <w:r>
        <w:rPr>
          <w:u w:val="single"/>
        </w:rPr>
        <w:tab/>
      </w:r>
      <w:r>
        <w:t>年龄：</w:t>
      </w:r>
      <w:r>
        <w:rPr>
          <w:rFonts w:ascii="Times New Roman" w:eastAsia="Times New Roman"/>
          <w:u w:val="single"/>
        </w:rPr>
        <w:t xml:space="preserve"> </w:t>
      </w:r>
      <w:r>
        <w:rPr>
          <w:rFonts w:ascii="Times New Roman" w:eastAsia="Times New Roman"/>
          <w:u w:val="single"/>
        </w:rPr>
        <w:tab/>
      </w:r>
    </w:p>
    <w:p w14:paraId="1A3BEB0C">
      <w:pPr>
        <w:pStyle w:val="8"/>
        <w:tabs>
          <w:tab w:val="left" w:pos="3947"/>
          <w:tab w:val="left" w:pos="4247"/>
          <w:tab w:val="left" w:pos="6467"/>
          <w:tab w:val="left" w:pos="8987"/>
        </w:tabs>
        <w:spacing w:line="305" w:lineRule="exact"/>
        <w:ind w:left="768"/>
        <w:rPr>
          <w:rFonts w:ascii="Times New Roman" w:eastAsia="Times New Roman"/>
          <w:u w:val="single"/>
        </w:rPr>
      </w:pPr>
    </w:p>
    <w:p w14:paraId="4C83A75D">
      <w:pPr>
        <w:pStyle w:val="8"/>
        <w:ind w:firstLine="720" w:firstLineChars="300"/>
        <w:rPr>
          <w:rFonts w:hint="default" w:ascii="Times New Roman" w:eastAsia="宋体"/>
          <w:sz w:val="20"/>
          <w:u w:val="single"/>
          <w:lang w:val="en-US" w:eastAsia="zh-CN"/>
        </w:rPr>
      </w:pPr>
      <w:r>
        <w:rPr>
          <w:rFonts w:hint="eastAsia"/>
          <w:lang w:val="en-US" w:eastAsia="zh-CN"/>
        </w:rPr>
        <w:t xml:space="preserve">部门   </w:t>
      </w:r>
      <w:r>
        <w:rPr>
          <w:rFonts w:hint="eastAsia" w:ascii="Times New Roman"/>
          <w:sz w:val="20"/>
          <w:u w:val="single"/>
          <w:lang w:val="en-US" w:eastAsia="zh-CN"/>
        </w:rPr>
        <w:t xml:space="preserve">                                                                          </w:t>
      </w:r>
      <w:r>
        <w:rPr>
          <w:rFonts w:hint="eastAsia" w:ascii="Times New Roman"/>
          <w:sz w:val="20"/>
          <w:lang w:val="en-US" w:eastAsia="zh-CN"/>
        </w:rPr>
        <w:t xml:space="preserve">  </w:t>
      </w:r>
      <w:r>
        <w:rPr>
          <w:rFonts w:hint="eastAsia"/>
          <w:lang w:val="en-US" w:eastAsia="zh-CN"/>
        </w:rPr>
        <w:t xml:space="preserve">职务 </w:t>
      </w:r>
      <w:r>
        <w:rPr>
          <w:rFonts w:hint="eastAsia" w:ascii="Times New Roman"/>
          <w:sz w:val="20"/>
          <w:u w:val="single"/>
          <w:lang w:val="en-US" w:eastAsia="zh-CN"/>
        </w:rPr>
        <w:t xml:space="preserve">                                                         </w:t>
      </w:r>
    </w:p>
    <w:p w14:paraId="31FDBA3A">
      <w:pPr>
        <w:pStyle w:val="8"/>
        <w:spacing w:before="10"/>
        <w:rPr>
          <w:rFonts w:ascii="Times New Roman"/>
          <w:sz w:val="11"/>
          <w:u w:val="single"/>
        </w:rPr>
      </w:pPr>
    </w:p>
    <w:p w14:paraId="63643C63">
      <w:pPr>
        <w:pStyle w:val="8"/>
        <w:spacing w:before="10"/>
        <w:rPr>
          <w:rFonts w:ascii="Times New Roman"/>
          <w:sz w:val="11"/>
          <w:u w:val="single"/>
        </w:rPr>
      </w:pPr>
    </w:p>
    <w:p w14:paraId="63ADA964">
      <w:pPr>
        <w:pStyle w:val="8"/>
        <w:spacing w:before="10"/>
        <w:rPr>
          <w:rFonts w:ascii="Times New Roman"/>
          <w:sz w:val="11"/>
          <w:u w:val="single"/>
        </w:rPr>
      </w:pPr>
    </w:p>
    <w:p w14:paraId="4BAC590E">
      <w:pPr>
        <w:pStyle w:val="8"/>
        <w:spacing w:before="10"/>
        <w:rPr>
          <w:rFonts w:ascii="Times New Roman"/>
          <w:sz w:val="11"/>
          <w:u w:val="single"/>
        </w:rPr>
      </w:pPr>
    </w:p>
    <w:p w14:paraId="00E223C0">
      <w:pPr>
        <w:pStyle w:val="8"/>
        <w:spacing w:before="10"/>
        <w:rPr>
          <w:rFonts w:ascii="Times New Roman"/>
          <w:sz w:val="11"/>
          <w:u w:val="single"/>
        </w:rPr>
      </w:pPr>
    </w:p>
    <w:p w14:paraId="315D0A2D">
      <w:pPr>
        <w:pStyle w:val="8"/>
        <w:spacing w:before="10"/>
        <w:rPr>
          <w:rFonts w:ascii="Times New Roman"/>
          <w:sz w:val="11"/>
          <w:u w:val="single"/>
        </w:rPr>
      </w:pPr>
    </w:p>
    <w:p w14:paraId="464988B9">
      <w:pPr>
        <w:pStyle w:val="8"/>
        <w:spacing w:before="10"/>
        <w:rPr>
          <w:rFonts w:ascii="Times New Roman"/>
          <w:sz w:val="11"/>
          <w:u w:val="single"/>
        </w:rPr>
      </w:pPr>
    </w:p>
    <w:tbl>
      <w:tblPr>
        <w:tblStyle w:val="14"/>
        <w:tblW w:w="7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9"/>
        <w:gridCol w:w="3790"/>
      </w:tblGrid>
      <w:tr w14:paraId="1C54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3789" w:type="dxa"/>
            <w:vAlign w:val="center"/>
          </w:tcPr>
          <w:p w14:paraId="543BB1CC">
            <w:pPr>
              <w:pStyle w:val="8"/>
              <w:tabs>
                <w:tab w:val="left" w:pos="4778"/>
                <w:tab w:val="left" w:pos="5207"/>
                <w:tab w:val="left" w:pos="5356"/>
                <w:tab w:val="left" w:pos="7048"/>
                <w:tab w:val="left" w:pos="8498"/>
              </w:tabs>
              <w:spacing w:line="537" w:lineRule="auto"/>
              <w:ind w:right="346"/>
              <w:jc w:val="center"/>
              <w:rPr>
                <w:rFonts w:hint="default"/>
                <w:lang w:val="en-US" w:eastAsia="zh-CN"/>
              </w:rPr>
            </w:pPr>
            <w:r>
              <w:rPr>
                <w:rFonts w:hint="eastAsia"/>
                <w:lang w:val="en-US" w:eastAsia="zh-CN"/>
              </w:rPr>
              <w:t>身份证正面</w:t>
            </w:r>
          </w:p>
        </w:tc>
        <w:tc>
          <w:tcPr>
            <w:tcW w:w="3790" w:type="dxa"/>
            <w:vAlign w:val="center"/>
          </w:tcPr>
          <w:p w14:paraId="789EA3DF">
            <w:pPr>
              <w:pStyle w:val="8"/>
              <w:tabs>
                <w:tab w:val="left" w:pos="4778"/>
                <w:tab w:val="left" w:pos="5207"/>
                <w:tab w:val="left" w:pos="5356"/>
                <w:tab w:val="left" w:pos="7048"/>
                <w:tab w:val="left" w:pos="8498"/>
              </w:tabs>
              <w:spacing w:line="537" w:lineRule="auto"/>
              <w:ind w:right="346"/>
              <w:jc w:val="center"/>
              <w:rPr>
                <w:rFonts w:hint="default"/>
                <w:lang w:val="en-US"/>
              </w:rPr>
            </w:pPr>
            <w:r>
              <w:rPr>
                <w:rFonts w:hint="eastAsia"/>
                <w:lang w:val="en-US" w:eastAsia="zh-CN"/>
              </w:rPr>
              <w:t>身份证反面</w:t>
            </w:r>
          </w:p>
        </w:tc>
      </w:tr>
    </w:tbl>
    <w:p w14:paraId="4966DF81">
      <w:pPr>
        <w:pStyle w:val="8"/>
        <w:spacing w:before="10"/>
        <w:rPr>
          <w:rFonts w:ascii="Times New Roman"/>
          <w:sz w:val="11"/>
          <w:u w:val="single"/>
        </w:rPr>
      </w:pPr>
    </w:p>
    <w:p w14:paraId="77589589">
      <w:pPr>
        <w:pStyle w:val="8"/>
        <w:rPr>
          <w:rFonts w:ascii="Times New Roman"/>
          <w:sz w:val="20"/>
        </w:rPr>
      </w:pPr>
    </w:p>
    <w:p w14:paraId="750AB368">
      <w:pPr>
        <w:pStyle w:val="8"/>
        <w:rPr>
          <w:rFonts w:ascii="Times New Roman"/>
          <w:sz w:val="20"/>
        </w:rPr>
      </w:pPr>
    </w:p>
    <w:p w14:paraId="14A5420B">
      <w:pPr>
        <w:pStyle w:val="8"/>
        <w:rPr>
          <w:rFonts w:ascii="Times New Roman"/>
          <w:sz w:val="20"/>
        </w:rPr>
      </w:pPr>
    </w:p>
    <w:p w14:paraId="0C0AF0DD">
      <w:pPr>
        <w:pStyle w:val="8"/>
        <w:rPr>
          <w:rFonts w:ascii="Times New Roman"/>
          <w:sz w:val="20"/>
        </w:rPr>
      </w:pPr>
    </w:p>
    <w:p w14:paraId="4FAC6BC6">
      <w:pPr>
        <w:pStyle w:val="8"/>
        <w:rPr>
          <w:rFonts w:ascii="Times New Roman"/>
          <w:sz w:val="20"/>
        </w:rPr>
      </w:pPr>
    </w:p>
    <w:p w14:paraId="26324A98">
      <w:pPr>
        <w:pStyle w:val="8"/>
        <w:spacing w:before="9"/>
        <w:rPr>
          <w:rFonts w:ascii="Times New Roman"/>
          <w:sz w:val="22"/>
        </w:rPr>
      </w:pPr>
    </w:p>
    <w:p w14:paraId="023BE12A">
      <w:pPr>
        <w:pStyle w:val="8"/>
        <w:tabs>
          <w:tab w:val="left" w:pos="6887"/>
          <w:tab w:val="left" w:pos="8567"/>
        </w:tabs>
        <w:spacing w:before="74" w:line="360" w:lineRule="auto"/>
        <w:ind w:left="3168" w:right="518"/>
      </w:pPr>
      <w:r>
        <w:t>投标人名称：</w:t>
      </w:r>
      <w:r>
        <w:rPr>
          <w:u w:val="single"/>
        </w:rPr>
        <w:t xml:space="preserve"> </w:t>
      </w:r>
      <w:r>
        <w:rPr>
          <w:u w:val="single"/>
        </w:rPr>
        <w:tab/>
      </w:r>
      <w:r>
        <w:rPr>
          <w:u w:val="single"/>
        </w:rPr>
        <w:tab/>
      </w:r>
      <w:r>
        <w:t>（盖章</w:t>
      </w:r>
      <w:r>
        <w:rPr>
          <w:spacing w:val="-18"/>
        </w:rPr>
        <w:t xml:space="preserve">） </w:t>
      </w:r>
      <w:r>
        <w:t>法定代表人：</w:t>
      </w:r>
      <w:r>
        <w:rPr>
          <w:u w:val="single"/>
        </w:rPr>
        <w:t xml:space="preserve"> </w:t>
      </w:r>
      <w:r>
        <w:rPr>
          <w:u w:val="single"/>
        </w:rPr>
        <w:tab/>
      </w:r>
      <w:r>
        <w:t>（签字或盖章）</w:t>
      </w:r>
    </w:p>
    <w:p w14:paraId="7B553D6F">
      <w:pPr>
        <w:pStyle w:val="8"/>
        <w:tabs>
          <w:tab w:val="left" w:pos="4847"/>
          <w:tab w:val="left" w:pos="5927"/>
          <w:tab w:val="left" w:pos="6887"/>
        </w:tabs>
        <w:spacing w:line="280" w:lineRule="exact"/>
        <w:ind w:left="31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262DBBD4">
      <w:pPr>
        <w:pStyle w:val="8"/>
        <w:rPr>
          <w:sz w:val="26"/>
        </w:rPr>
      </w:pPr>
    </w:p>
    <w:p w14:paraId="308FC5A5">
      <w:pPr>
        <w:pStyle w:val="8"/>
        <w:rPr>
          <w:sz w:val="26"/>
        </w:rPr>
      </w:pPr>
    </w:p>
    <w:p w14:paraId="4DA90575">
      <w:pPr>
        <w:pStyle w:val="8"/>
        <w:rPr>
          <w:sz w:val="26"/>
        </w:rPr>
      </w:pPr>
    </w:p>
    <w:p w14:paraId="04837D58">
      <w:pPr>
        <w:pStyle w:val="8"/>
        <w:spacing w:before="4"/>
        <w:rPr>
          <w:sz w:val="34"/>
        </w:rPr>
      </w:pPr>
    </w:p>
    <w:p w14:paraId="0D4CB650">
      <w:pPr>
        <w:spacing w:before="0"/>
        <w:ind w:left="312" w:right="372" w:firstLine="0"/>
        <w:jc w:val="center"/>
        <w:rPr>
          <w:b/>
          <w:sz w:val="21"/>
        </w:rPr>
      </w:pPr>
      <w:r>
        <w:rPr>
          <w:b/>
          <w:sz w:val="21"/>
        </w:rPr>
        <w:t>注：法定代表人本人参与投标的，该授权委托书不提供。</w:t>
      </w:r>
    </w:p>
    <w:p w14:paraId="32067D9C">
      <w:pPr>
        <w:spacing w:after="0"/>
        <w:jc w:val="center"/>
        <w:rPr>
          <w:sz w:val="21"/>
        </w:rPr>
        <w:sectPr>
          <w:pgSz w:w="11910" w:h="16840"/>
          <w:pgMar w:top="1340" w:right="899" w:bottom="1160" w:left="960" w:header="0" w:footer="970" w:gutter="0"/>
          <w:pgNumType w:fmt="decimal"/>
          <w:cols w:space="720" w:num="1"/>
        </w:sectPr>
      </w:pPr>
    </w:p>
    <w:p w14:paraId="51AC1ED4">
      <w:pPr>
        <w:pStyle w:val="4"/>
        <w:spacing w:before="29"/>
      </w:pPr>
      <w:r>
        <w:t>4、投标人资格证明文件</w:t>
      </w:r>
    </w:p>
    <w:p w14:paraId="55872186">
      <w:pPr>
        <w:pStyle w:val="17"/>
        <w:numPr>
          <w:ilvl w:val="0"/>
          <w:numId w:val="0"/>
        </w:numPr>
        <w:tabs>
          <w:tab w:val="left" w:pos="813"/>
        </w:tabs>
        <w:spacing w:before="322" w:after="0" w:line="240" w:lineRule="auto"/>
        <w:ind w:left="286" w:leftChars="0" w:right="0" w:rightChars="0"/>
        <w:jc w:val="left"/>
        <w:rPr>
          <w:sz w:val="20"/>
        </w:rPr>
      </w:pPr>
      <w:r>
        <w:rPr>
          <w:rFonts w:hint="eastAsia"/>
          <w:sz w:val="21"/>
          <w:lang w:eastAsia="zh-CN"/>
        </w:rPr>
        <w:t>（</w:t>
      </w:r>
      <w:r>
        <w:rPr>
          <w:rFonts w:hint="eastAsia"/>
          <w:sz w:val="21"/>
          <w:lang w:val="en-US" w:eastAsia="zh-CN"/>
        </w:rPr>
        <w:t>1</w:t>
      </w:r>
      <w:r>
        <w:rPr>
          <w:rFonts w:hint="eastAsia"/>
          <w:sz w:val="21"/>
          <w:lang w:eastAsia="zh-CN"/>
        </w:rPr>
        <w:t>）</w:t>
      </w:r>
      <w:r>
        <w:rPr>
          <w:sz w:val="21"/>
        </w:rPr>
        <w:t>在中华人民共和国境内注册或登记，提供有效的营业执照；</w:t>
      </w:r>
    </w:p>
    <w:p w14:paraId="7C2DD12F">
      <w:pPr>
        <w:pStyle w:val="8"/>
        <w:spacing w:before="7"/>
        <w:rPr>
          <w:sz w:val="20"/>
        </w:rPr>
      </w:pPr>
    </w:p>
    <w:p w14:paraId="74D03C88">
      <w:pPr>
        <w:pStyle w:val="17"/>
        <w:numPr>
          <w:ilvl w:val="0"/>
          <w:numId w:val="0"/>
        </w:numPr>
        <w:tabs>
          <w:tab w:val="left" w:pos="816"/>
        </w:tabs>
        <w:spacing w:before="0" w:after="0" w:line="357" w:lineRule="auto"/>
        <w:ind w:left="287" w:leftChars="0" w:right="346" w:rightChars="0"/>
        <w:jc w:val="both"/>
        <w:rPr>
          <w:sz w:val="21"/>
        </w:rPr>
      </w:pPr>
      <w:r>
        <w:rPr>
          <w:rFonts w:hint="eastAsia"/>
          <w:sz w:val="21"/>
          <w:lang w:eastAsia="zh-CN"/>
        </w:rPr>
        <w:t>（</w:t>
      </w:r>
      <w:r>
        <w:rPr>
          <w:rFonts w:hint="eastAsia"/>
          <w:sz w:val="21"/>
          <w:lang w:val="en-US" w:eastAsia="zh-CN"/>
        </w:rPr>
        <w:t>2</w:t>
      </w:r>
      <w:r>
        <w:rPr>
          <w:rFonts w:hint="eastAsia"/>
          <w:sz w:val="21"/>
          <w:lang w:eastAsia="zh-CN"/>
        </w:rPr>
        <w:t>）</w:t>
      </w:r>
      <w:r>
        <w:rPr>
          <w:sz w:val="21"/>
        </w:rPr>
        <w:t>具有良好的商业信誉和健全的财务会计制度：投标人没有处于被责令停业、财产被接管、冻结、破产状态，提供下述任意一种形式的证明材料：①2024</w:t>
      </w:r>
      <w:r>
        <w:rPr>
          <w:spacing w:val="-23"/>
          <w:sz w:val="21"/>
        </w:rPr>
        <w:t xml:space="preserve"> 年度或 </w:t>
      </w:r>
      <w:r>
        <w:rPr>
          <w:sz w:val="21"/>
        </w:rPr>
        <w:t>2025</w:t>
      </w:r>
      <w:r>
        <w:rPr>
          <w:spacing w:val="-8"/>
          <w:sz w:val="21"/>
        </w:rPr>
        <w:t xml:space="preserve"> 年度经审计完整有效的财务报告；</w:t>
      </w:r>
    </w:p>
    <w:p w14:paraId="7631B62A">
      <w:pPr>
        <w:spacing w:before="0" w:line="357" w:lineRule="auto"/>
        <w:ind w:left="287" w:right="346" w:firstLine="0"/>
        <w:jc w:val="both"/>
        <w:rPr>
          <w:spacing w:val="-12"/>
          <w:sz w:val="21"/>
        </w:rPr>
      </w:pPr>
      <w:r>
        <w:rPr>
          <w:spacing w:val="-1"/>
          <w:sz w:val="21"/>
        </w:rPr>
        <w:t>②银行出具的资信证明</w:t>
      </w:r>
      <w:r>
        <w:rPr>
          <w:sz w:val="21"/>
        </w:rPr>
        <w:t>（</w:t>
      </w:r>
      <w:r>
        <w:rPr>
          <w:spacing w:val="-5"/>
          <w:sz w:val="21"/>
        </w:rPr>
        <w:t>须提供采购公告发布之日前</w:t>
      </w:r>
      <w:r>
        <w:rPr>
          <w:sz w:val="21"/>
        </w:rPr>
        <w:t>12</w:t>
      </w:r>
      <w:r>
        <w:rPr>
          <w:spacing w:val="-12"/>
          <w:sz w:val="21"/>
        </w:rPr>
        <w:t>个月的资信证明；公司开户不足</w:t>
      </w:r>
      <w:r>
        <w:rPr>
          <w:sz w:val="21"/>
        </w:rPr>
        <w:t>12</w:t>
      </w:r>
      <w:r>
        <w:rPr>
          <w:spacing w:val="-14"/>
          <w:sz w:val="21"/>
        </w:rPr>
        <w:t>个月的，</w:t>
      </w:r>
      <w:r>
        <w:rPr>
          <w:spacing w:val="-12"/>
          <w:sz w:val="21"/>
        </w:rPr>
        <w:t>提供自开户之日起至采购公告发布之日止的资信证明）。银行资信证明应能说明该投标人与银行在上述要求的时限内业务往来正常，无不良记录，企业信誉良好等，银行出具的存款证明不能作为本次采购项目的银行资信证明使用；</w:t>
      </w:r>
    </w:p>
    <w:p w14:paraId="6EA4DAD9">
      <w:pPr>
        <w:pStyle w:val="8"/>
        <w:spacing w:before="2"/>
        <w:rPr>
          <w:sz w:val="22"/>
        </w:rPr>
      </w:pPr>
    </w:p>
    <w:p w14:paraId="3C8F9387">
      <w:pPr>
        <w:pStyle w:val="17"/>
        <w:numPr>
          <w:ilvl w:val="0"/>
          <w:numId w:val="0"/>
        </w:numPr>
        <w:tabs>
          <w:tab w:val="left" w:pos="813"/>
        </w:tabs>
        <w:spacing w:before="0" w:after="0" w:line="240" w:lineRule="auto"/>
        <w:ind w:left="286" w:leftChars="0" w:right="0" w:rightChars="0"/>
        <w:jc w:val="left"/>
        <w:rPr>
          <w:sz w:val="21"/>
        </w:rPr>
      </w:pPr>
      <w:r>
        <w:drawing>
          <wp:anchor distT="0" distB="0" distL="0" distR="0" simplePos="0" relativeHeight="251671552" behindDoc="1" locked="0" layoutInCell="1" hidden="1" allowOverlap="1">
            <wp:simplePos x="0" y="0"/>
            <wp:positionH relativeFrom="page">
              <wp:posOffset>1422400</wp:posOffset>
            </wp:positionH>
            <wp:positionV relativeFrom="paragraph">
              <wp:posOffset>-145415</wp:posOffset>
            </wp:positionV>
            <wp:extent cx="4514850" cy="2591435"/>
            <wp:effectExtent l="0" t="0" r="0" b="0"/>
            <wp:wrapNone/>
            <wp:docPr id="101"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rPr>
          <w:rFonts w:hint="eastAsia"/>
          <w:sz w:val="21"/>
          <w:lang w:eastAsia="zh-CN"/>
        </w:rPr>
        <w:t>（</w:t>
      </w:r>
      <w:r>
        <w:rPr>
          <w:rFonts w:hint="eastAsia"/>
          <w:sz w:val="21"/>
          <w:lang w:val="en-US" w:eastAsia="zh-CN"/>
        </w:rPr>
        <w:t>1</w:t>
      </w:r>
      <w:r>
        <w:rPr>
          <w:rFonts w:hint="eastAsia"/>
          <w:sz w:val="21"/>
          <w:lang w:eastAsia="zh-CN"/>
        </w:rPr>
        <w:t>）</w:t>
      </w:r>
      <w:r>
        <w:rPr>
          <w:sz w:val="21"/>
        </w:rPr>
        <w:t>具有履行合同所必需的设备和专业技术能力：提供承诺函。</w:t>
      </w:r>
    </w:p>
    <w:p w14:paraId="7DDECB6F">
      <w:pPr>
        <w:pStyle w:val="5"/>
        <w:spacing w:before="161"/>
        <w:ind w:left="314" w:right="372"/>
      </w:pPr>
      <w:r>
        <w:t>承诺函</w:t>
      </w:r>
    </w:p>
    <w:p w14:paraId="231952F7">
      <w:pPr>
        <w:pStyle w:val="8"/>
        <w:rPr>
          <w:b/>
          <w:sz w:val="43"/>
        </w:rPr>
      </w:pPr>
    </w:p>
    <w:p w14:paraId="6522B385">
      <w:pPr>
        <w:tabs>
          <w:tab w:val="left" w:pos="2046"/>
        </w:tabs>
        <w:spacing w:before="1"/>
        <w:ind w:left="287" w:right="0" w:firstLine="0"/>
        <w:jc w:val="left"/>
        <w:rPr>
          <w:sz w:val="22"/>
        </w:rPr>
      </w:pPr>
      <w:r>
        <w:rPr>
          <w:rFonts w:hint="eastAsia"/>
          <w:spacing w:val="-3"/>
          <w:sz w:val="22"/>
          <w:lang w:eastAsia="zh-CN"/>
        </w:rPr>
        <w:t>致</w:t>
      </w:r>
      <w:r>
        <w:rPr>
          <w:spacing w:val="-3"/>
          <w:sz w:val="22"/>
          <w:u w:val="single"/>
        </w:rPr>
        <w:t xml:space="preserve"> </w:t>
      </w:r>
      <w:r>
        <w:rPr>
          <w:spacing w:val="5"/>
          <w:sz w:val="22"/>
          <w:u w:val="single"/>
        </w:rPr>
        <w:t xml:space="preserve"> </w:t>
      </w:r>
      <w:r>
        <w:rPr>
          <w:sz w:val="22"/>
          <w:u w:val="single"/>
        </w:rPr>
        <w:t>（</w:t>
      </w:r>
      <w:r>
        <w:rPr>
          <w:spacing w:val="-3"/>
          <w:sz w:val="22"/>
          <w:u w:val="single"/>
        </w:rPr>
        <w:t>采</w:t>
      </w:r>
      <w:r>
        <w:rPr>
          <w:sz w:val="22"/>
          <w:u w:val="single"/>
        </w:rPr>
        <w:t>购人）</w:t>
      </w:r>
      <w:r>
        <w:rPr>
          <w:sz w:val="22"/>
          <w:u w:val="single"/>
        </w:rPr>
        <w:tab/>
      </w:r>
      <w:r>
        <w:rPr>
          <w:sz w:val="22"/>
        </w:rPr>
        <w:t>：</w:t>
      </w:r>
    </w:p>
    <w:p w14:paraId="7898F013">
      <w:pPr>
        <w:tabs>
          <w:tab w:val="left" w:pos="3335"/>
          <w:tab w:val="left" w:pos="5946"/>
        </w:tabs>
        <w:spacing w:before="109" w:line="340" w:lineRule="auto"/>
        <w:ind w:left="287" w:right="717" w:firstLine="439"/>
        <w:jc w:val="left"/>
        <w:rPr>
          <w:sz w:val="22"/>
        </w:rPr>
      </w:pPr>
      <w:r>
        <w:rPr>
          <w:sz w:val="22"/>
        </w:rPr>
        <w:t>我</w:t>
      </w:r>
      <w:r>
        <w:rPr>
          <w:spacing w:val="-3"/>
          <w:sz w:val="22"/>
        </w:rPr>
        <w:t>单</w:t>
      </w:r>
      <w:r>
        <w:rPr>
          <w:sz w:val="22"/>
        </w:rPr>
        <w:t>位</w:t>
      </w:r>
      <w:r>
        <w:rPr>
          <w:spacing w:val="99"/>
          <w:sz w:val="22"/>
          <w:u w:val="single"/>
        </w:rPr>
        <w:t xml:space="preserve"> </w:t>
      </w:r>
      <w:r>
        <w:rPr>
          <w:spacing w:val="-3"/>
          <w:sz w:val="22"/>
          <w:u w:val="single"/>
        </w:rPr>
        <w:t>（</w:t>
      </w:r>
      <w:r>
        <w:rPr>
          <w:sz w:val="22"/>
          <w:u w:val="single"/>
        </w:rPr>
        <w:t>投</w:t>
      </w:r>
      <w:r>
        <w:rPr>
          <w:spacing w:val="-3"/>
          <w:sz w:val="22"/>
          <w:u w:val="single"/>
        </w:rPr>
        <w:t>标</w:t>
      </w:r>
      <w:r>
        <w:rPr>
          <w:sz w:val="22"/>
          <w:u w:val="single"/>
        </w:rPr>
        <w:t>人全</w:t>
      </w:r>
      <w:r>
        <w:rPr>
          <w:spacing w:val="-3"/>
          <w:sz w:val="22"/>
          <w:u w:val="single"/>
        </w:rPr>
        <w:t>称</w:t>
      </w:r>
      <w:r>
        <w:rPr>
          <w:sz w:val="22"/>
          <w:u w:val="single"/>
        </w:rPr>
        <w:t>）</w:t>
      </w:r>
      <w:r>
        <w:rPr>
          <w:sz w:val="22"/>
          <w:u w:val="single"/>
        </w:rPr>
        <w:tab/>
      </w:r>
      <w:r>
        <w:rPr>
          <w:sz w:val="22"/>
        </w:rPr>
        <w:t>自</w:t>
      </w:r>
      <w:r>
        <w:rPr>
          <w:spacing w:val="-3"/>
          <w:sz w:val="22"/>
        </w:rPr>
        <w:t>愿</w:t>
      </w:r>
      <w:r>
        <w:rPr>
          <w:sz w:val="22"/>
        </w:rPr>
        <w:t>参加</w:t>
      </w:r>
      <w:r>
        <w:rPr>
          <w:spacing w:val="98"/>
          <w:sz w:val="22"/>
          <w:u w:val="single"/>
        </w:rPr>
        <w:t xml:space="preserve"> </w:t>
      </w:r>
      <w:r>
        <w:rPr>
          <w:sz w:val="22"/>
          <w:u w:val="single"/>
        </w:rPr>
        <w:t>（项</w:t>
      </w:r>
      <w:r>
        <w:rPr>
          <w:spacing w:val="-3"/>
          <w:sz w:val="22"/>
          <w:u w:val="single"/>
        </w:rPr>
        <w:t>目</w:t>
      </w:r>
      <w:r>
        <w:rPr>
          <w:sz w:val="22"/>
          <w:u w:val="single"/>
        </w:rPr>
        <w:t>名</w:t>
      </w:r>
      <w:r>
        <w:rPr>
          <w:spacing w:val="-3"/>
          <w:sz w:val="22"/>
          <w:u w:val="single"/>
        </w:rPr>
        <w:t>称</w:t>
      </w:r>
      <w:r>
        <w:rPr>
          <w:sz w:val="22"/>
          <w:u w:val="single"/>
        </w:rPr>
        <w:t>）</w:t>
      </w:r>
      <w:r>
        <w:rPr>
          <w:sz w:val="22"/>
          <w:u w:val="single"/>
        </w:rPr>
        <w:tab/>
      </w:r>
      <w:r>
        <w:rPr>
          <w:sz w:val="22"/>
        </w:rPr>
        <w:t>的</w:t>
      </w:r>
      <w:r>
        <w:rPr>
          <w:spacing w:val="-3"/>
          <w:sz w:val="22"/>
        </w:rPr>
        <w:t>投</w:t>
      </w:r>
      <w:r>
        <w:rPr>
          <w:sz w:val="22"/>
        </w:rPr>
        <w:t>标活动</w:t>
      </w:r>
      <w:r>
        <w:rPr>
          <w:spacing w:val="-17"/>
          <w:sz w:val="22"/>
        </w:rPr>
        <w:t>，</w:t>
      </w:r>
      <w:r>
        <w:rPr>
          <w:sz w:val="22"/>
        </w:rPr>
        <w:t>现</w:t>
      </w:r>
      <w:r>
        <w:rPr>
          <w:spacing w:val="-3"/>
          <w:sz w:val="22"/>
        </w:rPr>
        <w:t>郑</w:t>
      </w:r>
      <w:r>
        <w:rPr>
          <w:sz w:val="22"/>
        </w:rPr>
        <w:t>重承</w:t>
      </w:r>
      <w:r>
        <w:rPr>
          <w:spacing w:val="-3"/>
          <w:sz w:val="22"/>
        </w:rPr>
        <w:t>诺</w:t>
      </w:r>
      <w:r>
        <w:rPr>
          <w:spacing w:val="-15"/>
          <w:sz w:val="22"/>
        </w:rPr>
        <w:t>，</w:t>
      </w:r>
      <w:r>
        <w:rPr>
          <w:sz w:val="22"/>
        </w:rPr>
        <w:t>我</w:t>
      </w:r>
      <w:r>
        <w:rPr>
          <w:spacing w:val="-3"/>
          <w:sz w:val="22"/>
        </w:rPr>
        <w:t>单</w:t>
      </w:r>
      <w:r>
        <w:rPr>
          <w:sz w:val="22"/>
        </w:rPr>
        <w:t>位</w:t>
      </w:r>
      <w:r>
        <w:rPr>
          <w:spacing w:val="-1"/>
          <w:sz w:val="22"/>
        </w:rPr>
        <w:t>具</w:t>
      </w:r>
      <w:r>
        <w:rPr>
          <w:spacing w:val="-3"/>
          <w:sz w:val="22"/>
        </w:rPr>
        <w:t>有</w:t>
      </w:r>
      <w:r>
        <w:rPr>
          <w:spacing w:val="-1"/>
          <w:sz w:val="22"/>
        </w:rPr>
        <w:t>履行</w:t>
      </w:r>
      <w:r>
        <w:rPr>
          <w:spacing w:val="-3"/>
          <w:sz w:val="22"/>
        </w:rPr>
        <w:t>合</w:t>
      </w:r>
      <w:r>
        <w:rPr>
          <w:sz w:val="22"/>
        </w:rPr>
        <w:t>同所</w:t>
      </w:r>
      <w:r>
        <w:rPr>
          <w:spacing w:val="-3"/>
          <w:sz w:val="22"/>
        </w:rPr>
        <w:t>必</w:t>
      </w:r>
      <w:r>
        <w:rPr>
          <w:sz w:val="22"/>
        </w:rPr>
        <w:t>需的</w:t>
      </w:r>
      <w:r>
        <w:rPr>
          <w:spacing w:val="-3"/>
          <w:sz w:val="22"/>
        </w:rPr>
        <w:t>设</w:t>
      </w:r>
      <w:r>
        <w:rPr>
          <w:sz w:val="22"/>
        </w:rPr>
        <w:t>备和</w:t>
      </w:r>
      <w:r>
        <w:rPr>
          <w:spacing w:val="-3"/>
          <w:sz w:val="22"/>
        </w:rPr>
        <w:t>专</w:t>
      </w:r>
      <w:r>
        <w:rPr>
          <w:sz w:val="22"/>
        </w:rPr>
        <w:t>业技</w:t>
      </w:r>
      <w:r>
        <w:rPr>
          <w:spacing w:val="-3"/>
          <w:sz w:val="22"/>
        </w:rPr>
        <w:t>术</w:t>
      </w:r>
      <w:r>
        <w:rPr>
          <w:sz w:val="22"/>
        </w:rPr>
        <w:t>能</w:t>
      </w:r>
      <w:r>
        <w:rPr>
          <w:spacing w:val="-3"/>
          <w:sz w:val="22"/>
        </w:rPr>
        <w:t>力</w:t>
      </w:r>
      <w:r>
        <w:rPr>
          <w:spacing w:val="-68"/>
          <w:sz w:val="22"/>
        </w:rPr>
        <w:t>，</w:t>
      </w:r>
      <w:r>
        <w:rPr>
          <w:sz w:val="22"/>
        </w:rPr>
        <w:t>在</w:t>
      </w:r>
      <w:r>
        <w:rPr>
          <w:spacing w:val="-3"/>
          <w:sz w:val="22"/>
        </w:rPr>
        <w:t>人</w:t>
      </w:r>
      <w:r>
        <w:rPr>
          <w:sz w:val="22"/>
        </w:rPr>
        <w:t>员</w:t>
      </w:r>
      <w:r>
        <w:rPr>
          <w:spacing w:val="-65"/>
          <w:sz w:val="22"/>
        </w:rPr>
        <w:t>、</w:t>
      </w:r>
      <w:r>
        <w:rPr>
          <w:sz w:val="22"/>
        </w:rPr>
        <w:t>资</w:t>
      </w:r>
      <w:r>
        <w:rPr>
          <w:spacing w:val="-3"/>
          <w:sz w:val="22"/>
        </w:rPr>
        <w:t>金</w:t>
      </w:r>
      <w:r>
        <w:rPr>
          <w:spacing w:val="-68"/>
          <w:sz w:val="22"/>
        </w:rPr>
        <w:t>、</w:t>
      </w:r>
      <w:r>
        <w:rPr>
          <w:sz w:val="22"/>
        </w:rPr>
        <w:t>设</w:t>
      </w:r>
      <w:r>
        <w:rPr>
          <w:spacing w:val="-3"/>
          <w:sz w:val="22"/>
        </w:rPr>
        <w:t>备</w:t>
      </w:r>
      <w:r>
        <w:rPr>
          <w:sz w:val="22"/>
        </w:rPr>
        <w:t>等方</w:t>
      </w:r>
      <w:r>
        <w:rPr>
          <w:spacing w:val="-3"/>
          <w:sz w:val="22"/>
        </w:rPr>
        <w:t>面</w:t>
      </w:r>
      <w:r>
        <w:rPr>
          <w:sz w:val="22"/>
        </w:rPr>
        <w:t>具</w:t>
      </w:r>
      <w:r>
        <w:rPr>
          <w:spacing w:val="-3"/>
          <w:sz w:val="22"/>
        </w:rPr>
        <w:t>备</w:t>
      </w:r>
      <w:r>
        <w:rPr>
          <w:sz w:val="22"/>
        </w:rPr>
        <w:t>相应</w:t>
      </w:r>
      <w:r>
        <w:rPr>
          <w:spacing w:val="-3"/>
          <w:sz w:val="22"/>
        </w:rPr>
        <w:t>的</w:t>
      </w:r>
      <w:r>
        <w:rPr>
          <w:sz w:val="22"/>
        </w:rPr>
        <w:t>履约</w:t>
      </w:r>
      <w:r>
        <w:rPr>
          <w:spacing w:val="-3"/>
          <w:sz w:val="22"/>
        </w:rPr>
        <w:t>能</w:t>
      </w:r>
      <w:r>
        <w:rPr>
          <w:sz w:val="22"/>
        </w:rPr>
        <w:t>力。承</w:t>
      </w:r>
      <w:r>
        <w:rPr>
          <w:spacing w:val="-3"/>
          <w:sz w:val="22"/>
        </w:rPr>
        <w:t>诺</w:t>
      </w:r>
      <w:r>
        <w:rPr>
          <w:sz w:val="22"/>
        </w:rPr>
        <w:t>如有</w:t>
      </w:r>
      <w:r>
        <w:rPr>
          <w:spacing w:val="-3"/>
          <w:sz w:val="22"/>
        </w:rPr>
        <w:t>虚</w:t>
      </w:r>
      <w:r>
        <w:rPr>
          <w:sz w:val="22"/>
        </w:rPr>
        <w:t>假</w:t>
      </w:r>
      <w:r>
        <w:rPr>
          <w:spacing w:val="-46"/>
          <w:sz w:val="22"/>
        </w:rPr>
        <w:t>，</w:t>
      </w:r>
      <w:r>
        <w:rPr>
          <w:sz w:val="22"/>
        </w:rPr>
        <w:t>本</w:t>
      </w:r>
      <w:r>
        <w:rPr>
          <w:spacing w:val="-3"/>
          <w:sz w:val="22"/>
        </w:rPr>
        <w:t>单</w:t>
      </w:r>
      <w:r>
        <w:rPr>
          <w:sz w:val="22"/>
        </w:rPr>
        <w:t>位愿</w:t>
      </w:r>
      <w:r>
        <w:rPr>
          <w:spacing w:val="-3"/>
          <w:sz w:val="22"/>
        </w:rPr>
        <w:t>接</w:t>
      </w:r>
      <w:r>
        <w:rPr>
          <w:sz w:val="22"/>
        </w:rPr>
        <w:t>受政</w:t>
      </w:r>
      <w:r>
        <w:rPr>
          <w:spacing w:val="-3"/>
          <w:sz w:val="22"/>
        </w:rPr>
        <w:t>府</w:t>
      </w:r>
      <w:r>
        <w:rPr>
          <w:sz w:val="22"/>
        </w:rPr>
        <w:t>采购</w:t>
      </w:r>
      <w:r>
        <w:rPr>
          <w:spacing w:val="-3"/>
          <w:sz w:val="22"/>
        </w:rPr>
        <w:t>监</w:t>
      </w:r>
      <w:r>
        <w:rPr>
          <w:sz w:val="22"/>
        </w:rPr>
        <w:t>管部</w:t>
      </w:r>
      <w:r>
        <w:rPr>
          <w:spacing w:val="-3"/>
          <w:sz w:val="22"/>
        </w:rPr>
        <w:t>门</w:t>
      </w:r>
      <w:r>
        <w:rPr>
          <w:sz w:val="22"/>
        </w:rPr>
        <w:t>及其</w:t>
      </w:r>
      <w:r>
        <w:rPr>
          <w:spacing w:val="-3"/>
          <w:sz w:val="22"/>
        </w:rPr>
        <w:t>他</w:t>
      </w:r>
      <w:r>
        <w:rPr>
          <w:sz w:val="22"/>
        </w:rPr>
        <w:t>有关</w:t>
      </w:r>
      <w:r>
        <w:rPr>
          <w:spacing w:val="-3"/>
          <w:sz w:val="22"/>
        </w:rPr>
        <w:t>部</w:t>
      </w:r>
      <w:r>
        <w:rPr>
          <w:sz w:val="22"/>
        </w:rPr>
        <w:t>门给</w:t>
      </w:r>
      <w:r>
        <w:rPr>
          <w:spacing w:val="-3"/>
          <w:sz w:val="22"/>
        </w:rPr>
        <w:t>予</w:t>
      </w:r>
      <w:r>
        <w:rPr>
          <w:sz w:val="22"/>
        </w:rPr>
        <w:t>的处</w:t>
      </w:r>
      <w:r>
        <w:rPr>
          <w:spacing w:val="-3"/>
          <w:sz w:val="22"/>
        </w:rPr>
        <w:t>罚</w:t>
      </w:r>
      <w:r>
        <w:rPr>
          <w:spacing w:val="-44"/>
          <w:sz w:val="22"/>
        </w:rPr>
        <w:t>，</w:t>
      </w:r>
      <w:r>
        <w:rPr>
          <w:sz w:val="22"/>
        </w:rPr>
        <w:t>并</w:t>
      </w:r>
      <w:r>
        <w:rPr>
          <w:spacing w:val="-3"/>
          <w:sz w:val="22"/>
        </w:rPr>
        <w:t>主</w:t>
      </w:r>
      <w:r>
        <w:rPr>
          <w:sz w:val="22"/>
        </w:rPr>
        <w:t>动放</w:t>
      </w:r>
      <w:r>
        <w:rPr>
          <w:spacing w:val="-3"/>
          <w:sz w:val="22"/>
        </w:rPr>
        <w:t>弃</w:t>
      </w:r>
      <w:r>
        <w:rPr>
          <w:sz w:val="22"/>
        </w:rPr>
        <w:t>投标资</w:t>
      </w:r>
      <w:r>
        <w:rPr>
          <w:spacing w:val="-3"/>
          <w:sz w:val="22"/>
        </w:rPr>
        <w:t>格</w:t>
      </w:r>
      <w:r>
        <w:rPr>
          <w:sz w:val="22"/>
        </w:rPr>
        <w:t>，已</w:t>
      </w:r>
      <w:r>
        <w:rPr>
          <w:spacing w:val="-3"/>
          <w:sz w:val="22"/>
        </w:rPr>
        <w:t>中</w:t>
      </w:r>
      <w:r>
        <w:rPr>
          <w:sz w:val="22"/>
        </w:rPr>
        <w:t>标的</w:t>
      </w:r>
      <w:r>
        <w:rPr>
          <w:spacing w:val="-3"/>
          <w:sz w:val="22"/>
        </w:rPr>
        <w:t>中</w:t>
      </w:r>
      <w:r>
        <w:rPr>
          <w:sz w:val="22"/>
        </w:rPr>
        <w:t>标无</w:t>
      </w:r>
      <w:r>
        <w:rPr>
          <w:spacing w:val="-3"/>
          <w:sz w:val="22"/>
        </w:rPr>
        <w:t>效</w:t>
      </w:r>
      <w:r>
        <w:rPr>
          <w:sz w:val="22"/>
        </w:rPr>
        <w:t>。</w:t>
      </w:r>
    </w:p>
    <w:p w14:paraId="7BF1FD53">
      <w:pPr>
        <w:pStyle w:val="8"/>
        <w:rPr>
          <w:sz w:val="22"/>
        </w:rPr>
      </w:pPr>
    </w:p>
    <w:p w14:paraId="527D2016">
      <w:pPr>
        <w:tabs>
          <w:tab w:val="left" w:pos="4247"/>
          <w:tab w:val="left" w:pos="5015"/>
          <w:tab w:val="left" w:pos="5786"/>
          <w:tab w:val="left" w:pos="7327"/>
          <w:tab w:val="left" w:pos="7876"/>
        </w:tabs>
        <w:spacing w:before="164" w:line="379" w:lineRule="auto"/>
        <w:ind w:left="2928" w:right="1176" w:firstLine="0"/>
        <w:jc w:val="left"/>
        <w:rPr>
          <w:sz w:val="22"/>
        </w:rPr>
      </w:pPr>
      <w:r>
        <w:rPr>
          <w:spacing w:val="-1"/>
          <w:sz w:val="22"/>
        </w:rPr>
        <w:t>投</w:t>
      </w:r>
      <w:r>
        <w:rPr>
          <w:spacing w:val="-3"/>
          <w:sz w:val="22"/>
        </w:rPr>
        <w:t>标</w:t>
      </w:r>
      <w:r>
        <w:rPr>
          <w:spacing w:val="-1"/>
          <w:sz w:val="22"/>
        </w:rPr>
        <w:t>人名</w:t>
      </w:r>
      <w:r>
        <w:rPr>
          <w:spacing w:val="-3"/>
          <w:sz w:val="22"/>
        </w:rPr>
        <w:t>称</w:t>
      </w:r>
      <w:r>
        <w:rPr>
          <w:spacing w:val="-1"/>
          <w:sz w:val="22"/>
        </w:rPr>
        <w:t>：</w:t>
      </w:r>
      <w:r>
        <w:rPr>
          <w:spacing w:val="-1"/>
          <w:sz w:val="22"/>
          <w:u w:val="single"/>
        </w:rPr>
        <w:t xml:space="preserve"> </w:t>
      </w:r>
      <w:r>
        <w:rPr>
          <w:spacing w:val="-1"/>
          <w:sz w:val="22"/>
          <w:u w:val="single"/>
        </w:rPr>
        <w:tab/>
      </w:r>
      <w:r>
        <w:rPr>
          <w:spacing w:val="-1"/>
          <w:sz w:val="22"/>
          <w:u w:val="single"/>
        </w:rPr>
        <w:tab/>
      </w:r>
      <w:r>
        <w:rPr>
          <w:spacing w:val="-1"/>
          <w:sz w:val="22"/>
          <w:u w:val="single"/>
        </w:rPr>
        <w:tab/>
      </w:r>
      <w:r>
        <w:rPr>
          <w:spacing w:val="-1"/>
          <w:sz w:val="22"/>
          <w:u w:val="single"/>
        </w:rPr>
        <w:tab/>
      </w:r>
      <w:r>
        <w:rPr>
          <w:sz w:val="22"/>
        </w:rPr>
        <w:t>（</w:t>
      </w:r>
      <w:r>
        <w:rPr>
          <w:spacing w:val="-3"/>
          <w:sz w:val="22"/>
        </w:rPr>
        <w:t>盖</w:t>
      </w:r>
      <w:r>
        <w:rPr>
          <w:sz w:val="22"/>
        </w:rPr>
        <w:t xml:space="preserve">章） </w:t>
      </w:r>
      <w:r>
        <w:rPr>
          <w:spacing w:val="-1"/>
          <w:sz w:val="22"/>
        </w:rPr>
        <w:t>法</w:t>
      </w:r>
      <w:r>
        <w:rPr>
          <w:spacing w:val="-3"/>
          <w:sz w:val="22"/>
        </w:rPr>
        <w:t>定</w:t>
      </w:r>
      <w:r>
        <w:rPr>
          <w:spacing w:val="-1"/>
          <w:sz w:val="22"/>
        </w:rPr>
        <w:t>代表</w:t>
      </w:r>
      <w:r>
        <w:rPr>
          <w:spacing w:val="-3"/>
          <w:sz w:val="22"/>
        </w:rPr>
        <w:t>人</w:t>
      </w:r>
      <w:r>
        <w:rPr>
          <w:spacing w:val="-1"/>
          <w:sz w:val="22"/>
        </w:rPr>
        <w:t>或其</w:t>
      </w:r>
      <w:r>
        <w:rPr>
          <w:spacing w:val="-3"/>
          <w:sz w:val="22"/>
        </w:rPr>
        <w:t>委</w:t>
      </w:r>
      <w:r>
        <w:rPr>
          <w:sz w:val="22"/>
        </w:rPr>
        <w:t>托代</w:t>
      </w:r>
      <w:r>
        <w:rPr>
          <w:spacing w:val="-3"/>
          <w:sz w:val="22"/>
        </w:rPr>
        <w:t>理</w:t>
      </w:r>
      <w:r>
        <w:rPr>
          <w:sz w:val="22"/>
        </w:rPr>
        <w:t>人</w:t>
      </w:r>
      <w:r>
        <w:rPr>
          <w:spacing w:val="-3"/>
          <w:sz w:val="22"/>
        </w:rPr>
        <w:t>：</w:t>
      </w:r>
      <w:r>
        <w:rPr>
          <w:spacing w:val="-3"/>
          <w:sz w:val="22"/>
          <w:u w:val="single"/>
        </w:rPr>
        <w:t xml:space="preserve"> </w:t>
      </w:r>
      <w:r>
        <w:rPr>
          <w:spacing w:val="-3"/>
          <w:sz w:val="22"/>
          <w:u w:val="single"/>
        </w:rPr>
        <w:tab/>
      </w:r>
      <w:r>
        <w:rPr>
          <w:sz w:val="22"/>
        </w:rPr>
        <w:t>（</w:t>
      </w:r>
      <w:r>
        <w:rPr>
          <w:spacing w:val="-3"/>
          <w:sz w:val="22"/>
        </w:rPr>
        <w:t>签</w:t>
      </w:r>
      <w:r>
        <w:rPr>
          <w:sz w:val="22"/>
        </w:rPr>
        <w:t>字或</w:t>
      </w:r>
      <w:r>
        <w:rPr>
          <w:spacing w:val="-3"/>
          <w:sz w:val="22"/>
        </w:rPr>
        <w:t>盖</w:t>
      </w:r>
      <w:r>
        <w:rPr>
          <w:sz w:val="22"/>
        </w:rPr>
        <w:t>章</w:t>
      </w:r>
      <w:r>
        <w:rPr>
          <w:spacing w:val="-13"/>
          <w:sz w:val="22"/>
        </w:rPr>
        <w:t xml:space="preserve">） </w:t>
      </w:r>
      <w:r>
        <w:rPr>
          <w:sz w:val="22"/>
        </w:rPr>
        <w:t>日</w:t>
      </w:r>
      <w:r>
        <w:rPr>
          <w:spacing w:val="-3"/>
          <w:sz w:val="22"/>
        </w:rPr>
        <w:t>期</w:t>
      </w:r>
      <w:r>
        <w:rPr>
          <w:sz w:val="22"/>
        </w:rPr>
        <w:t>：</w:t>
      </w:r>
      <w:r>
        <w:rPr>
          <w:sz w:val="22"/>
          <w:u w:val="single"/>
        </w:rPr>
        <w:t xml:space="preserve"> </w:t>
      </w:r>
      <w:r>
        <w:rPr>
          <w:sz w:val="22"/>
          <w:u w:val="single"/>
        </w:rPr>
        <w:tab/>
      </w:r>
      <w:r>
        <w:rPr>
          <w:spacing w:val="-3"/>
          <w:sz w:val="22"/>
        </w:rPr>
        <w:t>年</w:t>
      </w:r>
      <w:r>
        <w:rPr>
          <w:spacing w:val="-3"/>
          <w:sz w:val="22"/>
          <w:u w:val="single"/>
        </w:rPr>
        <w:t xml:space="preserve"> </w:t>
      </w:r>
      <w:r>
        <w:rPr>
          <w:spacing w:val="-3"/>
          <w:sz w:val="22"/>
          <w:u w:val="single"/>
        </w:rPr>
        <w:tab/>
      </w:r>
      <w:r>
        <w:rPr>
          <w:sz w:val="22"/>
        </w:rPr>
        <w:t>月</w:t>
      </w:r>
      <w:r>
        <w:rPr>
          <w:sz w:val="22"/>
          <w:u w:val="single"/>
        </w:rPr>
        <w:t xml:space="preserve"> </w:t>
      </w:r>
      <w:r>
        <w:rPr>
          <w:sz w:val="22"/>
          <w:u w:val="single"/>
        </w:rPr>
        <w:tab/>
      </w:r>
      <w:r>
        <w:rPr>
          <w:sz w:val="22"/>
        </w:rPr>
        <w:t>日</w:t>
      </w:r>
    </w:p>
    <w:p w14:paraId="7E19375D">
      <w:pPr>
        <w:pStyle w:val="8"/>
        <w:spacing w:before="3"/>
        <w:rPr>
          <w:sz w:val="18"/>
        </w:rPr>
      </w:pPr>
    </w:p>
    <w:p w14:paraId="5BEFA90B">
      <w:pPr>
        <w:pStyle w:val="17"/>
        <w:numPr>
          <w:ilvl w:val="0"/>
          <w:numId w:val="44"/>
        </w:numPr>
        <w:tabs>
          <w:tab w:val="left" w:pos="816"/>
        </w:tabs>
        <w:spacing w:before="0" w:after="0" w:line="357" w:lineRule="auto"/>
        <w:ind w:left="287" w:right="346" w:firstLine="0"/>
        <w:jc w:val="both"/>
        <w:rPr>
          <w:sz w:val="21"/>
        </w:rPr>
      </w:pPr>
      <w:r>
        <w:rPr>
          <w:spacing w:val="-8"/>
          <w:sz w:val="21"/>
        </w:rPr>
        <w:t>提供投标人</w:t>
      </w:r>
      <w:r>
        <w:rPr>
          <w:rFonts w:hint="eastAsia"/>
          <w:spacing w:val="-8"/>
          <w:sz w:val="21"/>
          <w:lang w:val="en-US" w:eastAsia="zh-CN"/>
        </w:rPr>
        <w:t>2026</w:t>
      </w:r>
      <w:r>
        <w:rPr>
          <w:spacing w:val="-6"/>
          <w:sz w:val="21"/>
        </w:rPr>
        <w:t>任意一个月</w:t>
      </w:r>
      <w:r>
        <w:rPr>
          <w:sz w:val="21"/>
        </w:rPr>
        <w:t>（以税款所属时期为准）依法纳税凭证原件或有电子专</w:t>
      </w:r>
      <w:r>
        <w:rPr>
          <w:spacing w:val="-5"/>
          <w:w w:val="95"/>
          <w:sz w:val="21"/>
        </w:rPr>
        <w:t xml:space="preserve">用章的完税证明；如未达到应缴税标准，须同时提供以下三项材料：①相应说明、②证明材料(如:增值   </w:t>
      </w:r>
      <w:r>
        <w:rPr>
          <w:spacing w:val="-5"/>
          <w:sz w:val="21"/>
        </w:rPr>
        <w:t>税纳税申报表或零纳税申报表)、③加盖税务局章（或电子章）的无欠税证明。</w:t>
      </w:r>
    </w:p>
    <w:p w14:paraId="66AA3423">
      <w:pPr>
        <w:spacing w:before="0" w:line="266" w:lineRule="exact"/>
        <w:ind w:left="287" w:right="0" w:firstLine="0"/>
        <w:jc w:val="left"/>
        <w:rPr>
          <w:sz w:val="21"/>
        </w:rPr>
      </w:pPr>
      <w:r>
        <w:rPr>
          <w:sz w:val="21"/>
        </w:rPr>
        <w:t>依法免税的投标人，应提供相应文件证明其依法免税。</w:t>
      </w:r>
    </w:p>
    <w:p w14:paraId="247B60E9">
      <w:pPr>
        <w:pStyle w:val="8"/>
        <w:spacing w:before="6"/>
        <w:rPr>
          <w:sz w:val="16"/>
        </w:rPr>
      </w:pPr>
    </w:p>
    <w:p w14:paraId="4EE8E73D">
      <w:pPr>
        <w:spacing w:before="0"/>
        <w:ind w:left="708" w:right="0" w:firstLine="0"/>
        <w:jc w:val="left"/>
        <w:rPr>
          <w:b/>
          <w:sz w:val="20"/>
        </w:rPr>
      </w:pPr>
      <w:r>
        <w:rPr>
          <w:b/>
          <w:sz w:val="21"/>
        </w:rPr>
        <w:t>注：依法免税的供应商，应提供相应文件证明其依法免税。</w:t>
      </w:r>
    </w:p>
    <w:p w14:paraId="1DC9FF7B">
      <w:pPr>
        <w:pStyle w:val="8"/>
        <w:spacing w:before="9"/>
        <w:rPr>
          <w:b/>
          <w:sz w:val="16"/>
        </w:rPr>
      </w:pPr>
    </w:p>
    <w:p w14:paraId="6B5515EF">
      <w:pPr>
        <w:pStyle w:val="17"/>
        <w:numPr>
          <w:ilvl w:val="0"/>
          <w:numId w:val="44"/>
        </w:numPr>
        <w:tabs>
          <w:tab w:val="left" w:pos="813"/>
        </w:tabs>
        <w:spacing w:before="0" w:after="0" w:line="240" w:lineRule="auto"/>
        <w:ind w:left="812" w:right="0" w:hanging="526"/>
        <w:jc w:val="left"/>
        <w:rPr>
          <w:sz w:val="21"/>
        </w:rPr>
      </w:pPr>
      <w:r>
        <w:rPr>
          <w:spacing w:val="-9"/>
          <w:sz w:val="21"/>
        </w:rPr>
        <w:t>提供投标人</w:t>
      </w:r>
      <w:r>
        <w:rPr>
          <w:rFonts w:hint="eastAsia"/>
          <w:spacing w:val="-9"/>
          <w:sz w:val="21"/>
          <w:lang w:val="en-US" w:eastAsia="zh-CN"/>
        </w:rPr>
        <w:t>2026</w:t>
      </w:r>
      <w:r>
        <w:rPr>
          <w:spacing w:val="-8"/>
          <w:sz w:val="21"/>
        </w:rPr>
        <w:t>任意一个月依法缴纳社会保险的凭据；</w:t>
      </w:r>
    </w:p>
    <w:p w14:paraId="4770E3E1">
      <w:pPr>
        <w:pStyle w:val="8"/>
        <w:spacing w:before="12"/>
        <w:rPr>
          <w:sz w:val="14"/>
        </w:rPr>
      </w:pPr>
    </w:p>
    <w:p w14:paraId="34B76269">
      <w:pPr>
        <w:spacing w:before="0"/>
        <w:ind w:left="708" w:right="0" w:firstLine="0"/>
        <w:jc w:val="left"/>
        <w:rPr>
          <w:b/>
          <w:sz w:val="21"/>
        </w:rPr>
      </w:pPr>
      <w:r>
        <w:rPr>
          <w:b/>
          <w:sz w:val="21"/>
        </w:rPr>
        <w:t>注：不需要缴纳社会保障资金的供应商，应提供相应文件证明其不需要缴纳社会保障资金。</w:t>
      </w:r>
    </w:p>
    <w:p w14:paraId="14036AE9">
      <w:pPr>
        <w:pStyle w:val="8"/>
      </w:pPr>
    </w:p>
    <w:p w14:paraId="25C8D46F">
      <w:pPr>
        <w:pStyle w:val="17"/>
        <w:numPr>
          <w:ilvl w:val="0"/>
          <w:numId w:val="44"/>
        </w:numPr>
        <w:tabs>
          <w:tab w:val="left" w:pos="813"/>
        </w:tabs>
        <w:spacing w:before="58" w:after="0" w:line="240" w:lineRule="auto"/>
        <w:ind w:left="812" w:right="0" w:hanging="526"/>
        <w:jc w:val="left"/>
        <w:rPr>
          <w:sz w:val="21"/>
        </w:rPr>
      </w:pPr>
      <w:r>
        <w:rPr>
          <w:sz w:val="21"/>
        </w:rPr>
        <w:t>投标单位自行出具的无重大违法记录声明函。</w:t>
      </w:r>
    </w:p>
    <w:p w14:paraId="1956B418">
      <w:pPr>
        <w:spacing w:after="0"/>
        <w:jc w:val="left"/>
        <w:rPr>
          <w:sz w:val="21"/>
        </w:rPr>
        <w:sectPr>
          <w:pgSz w:w="11910" w:h="16840"/>
          <w:pgMar w:top="1240" w:right="899" w:bottom="1160" w:left="960" w:header="0" w:footer="970" w:gutter="0"/>
          <w:pgNumType w:fmt="decimal"/>
          <w:cols w:space="720" w:num="1"/>
        </w:sectPr>
      </w:pPr>
    </w:p>
    <w:p w14:paraId="7B74C0A2">
      <w:pPr>
        <w:pStyle w:val="5"/>
        <w:spacing w:before="160"/>
        <w:ind w:left="314" w:right="372"/>
      </w:pPr>
      <w:r>
        <w:t>声明函</w:t>
      </w:r>
    </w:p>
    <w:p w14:paraId="6D6FAAAD">
      <w:pPr>
        <w:spacing w:before="250"/>
        <w:ind w:left="287" w:right="0" w:firstLine="0"/>
        <w:jc w:val="both"/>
        <w:rPr>
          <w:sz w:val="21"/>
        </w:rPr>
      </w:pPr>
      <w:r>
        <w:rPr>
          <w:rFonts w:hint="eastAsia"/>
          <w:sz w:val="21"/>
          <w:lang w:eastAsia="zh-CN"/>
        </w:rPr>
        <w:t>致</w:t>
      </w:r>
      <w:r>
        <w:rPr>
          <w:sz w:val="21"/>
          <w:u w:val="single"/>
        </w:rPr>
        <w:t xml:space="preserve"> （采购人） </w:t>
      </w:r>
      <w:r>
        <w:rPr>
          <w:sz w:val="21"/>
        </w:rPr>
        <w:t>：</w:t>
      </w:r>
    </w:p>
    <w:p w14:paraId="44C70662">
      <w:pPr>
        <w:spacing w:before="129" w:line="357" w:lineRule="auto"/>
        <w:ind w:left="287" w:right="346" w:firstLine="420"/>
        <w:jc w:val="both"/>
        <w:rPr>
          <w:sz w:val="21"/>
        </w:rPr>
      </w:pPr>
      <w:r>
        <w:rPr>
          <w:sz w:val="21"/>
        </w:rPr>
        <w:t>我单位</w:t>
      </w:r>
      <w:r>
        <w:rPr>
          <w:spacing w:val="96"/>
          <w:sz w:val="21"/>
          <w:u w:val="single"/>
        </w:rPr>
        <w:t xml:space="preserve"> </w:t>
      </w:r>
      <w:r>
        <w:rPr>
          <w:sz w:val="21"/>
          <w:u w:val="single"/>
        </w:rPr>
        <w:t>（投标人全称）</w:t>
      </w:r>
      <w:r>
        <w:rPr>
          <w:spacing w:val="96"/>
          <w:sz w:val="21"/>
          <w:u w:val="single"/>
        </w:rPr>
        <w:t xml:space="preserve"> </w:t>
      </w:r>
      <w:r>
        <w:rPr>
          <w:sz w:val="21"/>
        </w:rPr>
        <w:t>自愿参加</w:t>
      </w:r>
      <w:r>
        <w:rPr>
          <w:spacing w:val="96"/>
          <w:sz w:val="21"/>
          <w:u w:val="single"/>
        </w:rPr>
        <w:t xml:space="preserve"> </w:t>
      </w:r>
      <w:r>
        <w:rPr>
          <w:sz w:val="21"/>
          <w:u w:val="single"/>
        </w:rPr>
        <w:t>（项目名称）</w:t>
      </w:r>
      <w:r>
        <w:rPr>
          <w:spacing w:val="98"/>
          <w:sz w:val="21"/>
          <w:u w:val="single"/>
        </w:rPr>
        <w:t xml:space="preserve"> </w:t>
      </w:r>
      <w:r>
        <w:rPr>
          <w:spacing w:val="-4"/>
          <w:sz w:val="21"/>
        </w:rPr>
        <w:t>的投标活动，现郑重声明，参加政府采购活</w:t>
      </w:r>
      <w:r>
        <w:rPr>
          <w:spacing w:val="-8"/>
          <w:w w:val="95"/>
          <w:sz w:val="21"/>
        </w:rPr>
        <w:t xml:space="preserve">动前三年内，在经营活动中没有重大违法记录。声明如有虚假，本单位愿接受政府采购监管部门及其他   </w:t>
      </w:r>
      <w:r>
        <w:rPr>
          <w:spacing w:val="-8"/>
          <w:sz w:val="21"/>
        </w:rPr>
        <w:t>有关部门给予的处罚，并主动放弃投标资格，已中标的中标无效。</w:t>
      </w:r>
    </w:p>
    <w:p w14:paraId="7463EDE9">
      <w:pPr>
        <w:pStyle w:val="8"/>
        <w:rPr>
          <w:sz w:val="20"/>
        </w:rPr>
      </w:pPr>
    </w:p>
    <w:p w14:paraId="09278333">
      <w:pPr>
        <w:tabs>
          <w:tab w:val="left" w:pos="4247"/>
          <w:tab w:val="left" w:pos="5015"/>
          <w:tab w:val="left" w:pos="5786"/>
          <w:tab w:val="left" w:pos="7327"/>
          <w:tab w:val="left" w:pos="7876"/>
        </w:tabs>
        <w:spacing w:before="135" w:line="340" w:lineRule="auto"/>
        <w:ind w:left="2928" w:right="1176" w:firstLine="0"/>
        <w:jc w:val="left"/>
        <w:rPr>
          <w:sz w:val="22"/>
        </w:rPr>
      </w:pPr>
      <w:r>
        <w:rPr>
          <w:spacing w:val="-1"/>
          <w:sz w:val="22"/>
        </w:rPr>
        <w:t>投</w:t>
      </w:r>
      <w:r>
        <w:rPr>
          <w:spacing w:val="-3"/>
          <w:sz w:val="22"/>
        </w:rPr>
        <w:t>标</w:t>
      </w:r>
      <w:r>
        <w:rPr>
          <w:spacing w:val="-1"/>
          <w:sz w:val="22"/>
        </w:rPr>
        <w:t>人名</w:t>
      </w:r>
      <w:r>
        <w:rPr>
          <w:spacing w:val="-3"/>
          <w:sz w:val="22"/>
        </w:rPr>
        <w:t>称</w:t>
      </w:r>
      <w:r>
        <w:rPr>
          <w:spacing w:val="-1"/>
          <w:sz w:val="22"/>
        </w:rPr>
        <w:t>：</w:t>
      </w:r>
      <w:r>
        <w:rPr>
          <w:spacing w:val="-1"/>
          <w:sz w:val="22"/>
          <w:u w:val="single"/>
        </w:rPr>
        <w:t xml:space="preserve"> </w:t>
      </w:r>
      <w:r>
        <w:rPr>
          <w:spacing w:val="-1"/>
          <w:sz w:val="22"/>
          <w:u w:val="single"/>
        </w:rPr>
        <w:tab/>
      </w:r>
      <w:r>
        <w:rPr>
          <w:spacing w:val="-1"/>
          <w:sz w:val="22"/>
          <w:u w:val="single"/>
        </w:rPr>
        <w:tab/>
      </w:r>
      <w:r>
        <w:rPr>
          <w:spacing w:val="-1"/>
          <w:sz w:val="22"/>
          <w:u w:val="single"/>
        </w:rPr>
        <w:tab/>
      </w:r>
      <w:r>
        <w:rPr>
          <w:spacing w:val="-1"/>
          <w:sz w:val="22"/>
          <w:u w:val="single"/>
        </w:rPr>
        <w:tab/>
      </w:r>
      <w:r>
        <w:rPr>
          <w:sz w:val="22"/>
        </w:rPr>
        <w:t>（</w:t>
      </w:r>
      <w:r>
        <w:rPr>
          <w:spacing w:val="-3"/>
          <w:sz w:val="22"/>
        </w:rPr>
        <w:t>盖</w:t>
      </w:r>
      <w:r>
        <w:rPr>
          <w:sz w:val="22"/>
        </w:rPr>
        <w:t xml:space="preserve">章） </w:t>
      </w:r>
      <w:r>
        <w:rPr>
          <w:spacing w:val="-1"/>
          <w:sz w:val="22"/>
        </w:rPr>
        <w:t>法</w:t>
      </w:r>
      <w:r>
        <w:rPr>
          <w:spacing w:val="-3"/>
          <w:sz w:val="22"/>
        </w:rPr>
        <w:t>定</w:t>
      </w:r>
      <w:r>
        <w:rPr>
          <w:spacing w:val="-1"/>
          <w:sz w:val="22"/>
        </w:rPr>
        <w:t>代表</w:t>
      </w:r>
      <w:r>
        <w:rPr>
          <w:spacing w:val="-3"/>
          <w:sz w:val="22"/>
        </w:rPr>
        <w:t>人</w:t>
      </w:r>
      <w:r>
        <w:rPr>
          <w:spacing w:val="-1"/>
          <w:sz w:val="22"/>
        </w:rPr>
        <w:t>或其</w:t>
      </w:r>
      <w:r>
        <w:rPr>
          <w:spacing w:val="-3"/>
          <w:sz w:val="22"/>
        </w:rPr>
        <w:t>委</w:t>
      </w:r>
      <w:r>
        <w:rPr>
          <w:sz w:val="22"/>
        </w:rPr>
        <w:t>托代</w:t>
      </w:r>
      <w:r>
        <w:rPr>
          <w:spacing w:val="-3"/>
          <w:sz w:val="22"/>
        </w:rPr>
        <w:t>理</w:t>
      </w:r>
      <w:r>
        <w:rPr>
          <w:sz w:val="22"/>
        </w:rPr>
        <w:t>人</w:t>
      </w:r>
      <w:r>
        <w:rPr>
          <w:spacing w:val="-3"/>
          <w:sz w:val="22"/>
        </w:rPr>
        <w:t>：</w:t>
      </w:r>
      <w:r>
        <w:rPr>
          <w:spacing w:val="-3"/>
          <w:sz w:val="22"/>
          <w:u w:val="single"/>
        </w:rPr>
        <w:t xml:space="preserve"> </w:t>
      </w:r>
      <w:r>
        <w:rPr>
          <w:spacing w:val="-3"/>
          <w:sz w:val="22"/>
          <w:u w:val="single"/>
        </w:rPr>
        <w:tab/>
      </w:r>
      <w:r>
        <w:rPr>
          <w:sz w:val="22"/>
        </w:rPr>
        <w:t>（</w:t>
      </w:r>
      <w:r>
        <w:rPr>
          <w:spacing w:val="-3"/>
          <w:sz w:val="22"/>
        </w:rPr>
        <w:t>签</w:t>
      </w:r>
      <w:r>
        <w:rPr>
          <w:sz w:val="22"/>
        </w:rPr>
        <w:t>字或</w:t>
      </w:r>
      <w:r>
        <w:rPr>
          <w:spacing w:val="-3"/>
          <w:sz w:val="22"/>
        </w:rPr>
        <w:t>盖</w:t>
      </w:r>
      <w:r>
        <w:rPr>
          <w:sz w:val="22"/>
        </w:rPr>
        <w:t>章</w:t>
      </w:r>
      <w:r>
        <w:rPr>
          <w:spacing w:val="-13"/>
          <w:sz w:val="22"/>
        </w:rPr>
        <w:t xml:space="preserve">） </w:t>
      </w:r>
      <w:r>
        <w:rPr>
          <w:sz w:val="22"/>
        </w:rPr>
        <w:t>日</w:t>
      </w:r>
      <w:r>
        <w:rPr>
          <w:spacing w:val="-3"/>
          <w:sz w:val="22"/>
        </w:rPr>
        <w:t>期</w:t>
      </w:r>
      <w:r>
        <w:rPr>
          <w:sz w:val="22"/>
        </w:rPr>
        <w:t>：</w:t>
      </w:r>
      <w:r>
        <w:rPr>
          <w:sz w:val="22"/>
          <w:u w:val="single"/>
        </w:rPr>
        <w:t xml:space="preserve"> </w:t>
      </w:r>
      <w:r>
        <w:rPr>
          <w:sz w:val="22"/>
          <w:u w:val="single"/>
        </w:rPr>
        <w:tab/>
      </w:r>
      <w:r>
        <w:rPr>
          <w:spacing w:val="-3"/>
          <w:sz w:val="22"/>
        </w:rPr>
        <w:t>年</w:t>
      </w:r>
      <w:r>
        <w:rPr>
          <w:spacing w:val="-3"/>
          <w:sz w:val="22"/>
          <w:u w:val="single"/>
        </w:rPr>
        <w:t xml:space="preserve"> </w:t>
      </w:r>
      <w:r>
        <w:rPr>
          <w:spacing w:val="-3"/>
          <w:sz w:val="22"/>
          <w:u w:val="single"/>
        </w:rPr>
        <w:tab/>
      </w:r>
      <w:r>
        <w:rPr>
          <w:sz w:val="22"/>
        </w:rPr>
        <w:t>月</w:t>
      </w:r>
      <w:r>
        <w:rPr>
          <w:sz w:val="22"/>
          <w:u w:val="single"/>
        </w:rPr>
        <w:t xml:space="preserve"> </w:t>
      </w:r>
      <w:r>
        <w:rPr>
          <w:sz w:val="22"/>
          <w:u w:val="single"/>
        </w:rPr>
        <w:tab/>
      </w:r>
      <w:r>
        <w:rPr>
          <w:sz w:val="22"/>
        </w:rPr>
        <w:t>日</w:t>
      </w:r>
    </w:p>
    <w:p w14:paraId="7D3DB100">
      <w:pPr>
        <w:pStyle w:val="8"/>
      </w:pPr>
    </w:p>
    <w:p w14:paraId="5CA8A2CF">
      <w:pPr>
        <w:pStyle w:val="17"/>
        <w:numPr>
          <w:ilvl w:val="0"/>
          <w:numId w:val="44"/>
        </w:numPr>
        <w:tabs>
          <w:tab w:val="left" w:pos="813"/>
        </w:tabs>
        <w:spacing w:before="179" w:after="0" w:line="240" w:lineRule="auto"/>
        <w:ind w:left="812" w:right="0" w:hanging="526"/>
        <w:jc w:val="left"/>
        <w:rPr>
          <w:sz w:val="21"/>
        </w:rPr>
      </w:pPr>
      <w:r>
        <w:drawing>
          <wp:anchor distT="0" distB="0" distL="0" distR="0" simplePos="0" relativeHeight="251672576" behindDoc="1" locked="0" layoutInCell="1" hidden="1" allowOverlap="1">
            <wp:simplePos x="0" y="0"/>
            <wp:positionH relativeFrom="page">
              <wp:posOffset>1422400</wp:posOffset>
            </wp:positionH>
            <wp:positionV relativeFrom="paragraph">
              <wp:posOffset>252730</wp:posOffset>
            </wp:positionV>
            <wp:extent cx="4514850" cy="2591435"/>
            <wp:effectExtent l="0" t="0" r="0" b="0"/>
            <wp:wrapNone/>
            <wp:docPr id="103"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rPr>
          <w:sz w:val="21"/>
        </w:rPr>
        <w:t>落实政府采购政策需满足的资格要求：</w:t>
      </w:r>
    </w:p>
    <w:p w14:paraId="7AF0B483">
      <w:pPr>
        <w:spacing w:before="2" w:line="357" w:lineRule="auto"/>
        <w:ind w:left="287" w:right="449" w:firstLine="0"/>
        <w:jc w:val="left"/>
        <w:rPr>
          <w:w w:val="95"/>
          <w:sz w:val="21"/>
        </w:rPr>
      </w:pPr>
      <w:r>
        <w:rPr>
          <w:rFonts w:hint="eastAsia"/>
          <w:w w:val="95"/>
          <w:sz w:val="21"/>
          <w:lang w:val="en-US" w:eastAsia="zh-CN"/>
        </w:rPr>
        <w:t>本项目为专门面向中小企业</w:t>
      </w:r>
      <w:r>
        <w:rPr>
          <w:w w:val="95"/>
          <w:sz w:val="21"/>
        </w:rPr>
        <w:t>，供应商应为符合政策要求的</w:t>
      </w:r>
      <w:r>
        <w:rPr>
          <w:rFonts w:hint="eastAsia"/>
          <w:w w:val="95"/>
          <w:sz w:val="21"/>
          <w:lang w:eastAsia="zh-CN"/>
        </w:rPr>
        <w:t>中</w:t>
      </w:r>
      <w:r>
        <w:rPr>
          <w:w w:val="95"/>
          <w:sz w:val="21"/>
        </w:rPr>
        <w:t>小企业(含小型、微型企业)，投标供应商不再单独享受价格扣除，须出具《中小企业声明函》；</w:t>
      </w:r>
    </w:p>
    <w:p w14:paraId="70FC6ABC">
      <w:pPr>
        <w:pStyle w:val="8"/>
        <w:spacing w:before="9"/>
        <w:rPr>
          <w:sz w:val="25"/>
        </w:rPr>
      </w:pPr>
    </w:p>
    <w:p w14:paraId="609837A0">
      <w:pPr>
        <w:pStyle w:val="5"/>
        <w:ind w:left="309" w:right="372"/>
      </w:pPr>
      <w:r>
        <w:t>中小企业声明函（工程、服务）</w:t>
      </w:r>
    </w:p>
    <w:p w14:paraId="00B877CE">
      <w:pPr>
        <w:pStyle w:val="8"/>
        <w:spacing w:before="5"/>
        <w:rPr>
          <w:b/>
          <w:sz w:val="32"/>
        </w:rPr>
      </w:pPr>
      <w:bookmarkStart w:id="74" w:name="_GoBack"/>
      <w:bookmarkEnd w:id="74"/>
    </w:p>
    <w:p w14:paraId="35CFAD0A">
      <w:pPr>
        <w:spacing w:before="0" w:line="321" w:lineRule="auto"/>
        <w:ind w:left="287" w:right="309" w:firstLine="420"/>
        <w:jc w:val="both"/>
        <w:rPr>
          <w:sz w:val="21"/>
        </w:rPr>
      </w:pPr>
      <w:r>
        <w:rPr>
          <w:w w:val="95"/>
          <w:sz w:val="21"/>
        </w:rPr>
        <w:t xml:space="preserve">本公司（联合体）郑重声明，根据《政府采购促进中小企业发展管理办法》（财库﹝2020﹞46号）   </w:t>
      </w:r>
      <w:r>
        <w:rPr>
          <w:spacing w:val="-3"/>
          <w:sz w:val="21"/>
        </w:rPr>
        <w:t>的规定，本公司</w:t>
      </w:r>
      <w:r>
        <w:rPr>
          <w:sz w:val="21"/>
        </w:rPr>
        <w:t>（联合体</w:t>
      </w:r>
      <w:r>
        <w:rPr>
          <w:spacing w:val="-5"/>
          <w:sz w:val="21"/>
        </w:rPr>
        <w:t>）</w:t>
      </w:r>
      <w:r>
        <w:rPr>
          <w:sz w:val="21"/>
        </w:rPr>
        <w:t>参加</w:t>
      </w:r>
      <w:r>
        <w:rPr>
          <w:sz w:val="21"/>
          <w:u w:val="single"/>
        </w:rPr>
        <w:t>（单位名称</w:t>
      </w:r>
      <w:r>
        <w:rPr>
          <w:spacing w:val="-3"/>
          <w:sz w:val="21"/>
          <w:u w:val="single"/>
        </w:rPr>
        <w:t>）</w:t>
      </w:r>
      <w:r>
        <w:rPr>
          <w:spacing w:val="-5"/>
          <w:sz w:val="21"/>
        </w:rPr>
        <w:t>的</w:t>
      </w:r>
      <w:r>
        <w:rPr>
          <w:sz w:val="21"/>
          <w:u w:val="single"/>
        </w:rPr>
        <w:t>（项目名称</w:t>
      </w:r>
      <w:r>
        <w:rPr>
          <w:spacing w:val="-3"/>
          <w:sz w:val="21"/>
          <w:u w:val="single"/>
        </w:rPr>
        <w:t>）</w:t>
      </w:r>
      <w:r>
        <w:rPr>
          <w:spacing w:val="-1"/>
          <w:sz w:val="21"/>
        </w:rPr>
        <w:t>采购活动，工程的施工单位全部为符合政</w:t>
      </w:r>
      <w:r>
        <w:rPr>
          <w:spacing w:val="-2"/>
          <w:sz w:val="21"/>
        </w:rPr>
        <w:t>策要求的中小企业</w:t>
      </w:r>
      <w:r>
        <w:rPr>
          <w:sz w:val="21"/>
        </w:rPr>
        <w:t>（</w:t>
      </w:r>
      <w:r>
        <w:rPr>
          <w:spacing w:val="-3"/>
          <w:sz w:val="21"/>
        </w:rPr>
        <w:t>或者：服务全部由符合政策要求的中小企业承接</w:t>
      </w:r>
      <w:r>
        <w:rPr>
          <w:spacing w:val="-8"/>
          <w:sz w:val="21"/>
        </w:rPr>
        <w:t>）</w:t>
      </w:r>
      <w:r>
        <w:rPr>
          <w:spacing w:val="-3"/>
          <w:sz w:val="21"/>
        </w:rPr>
        <w:t>。相关企业</w:t>
      </w:r>
      <w:r>
        <w:rPr>
          <w:sz w:val="21"/>
        </w:rPr>
        <w:t>（含联合体中的中小企业、签订分包意向协议的中小企业）的具体情况如下：</w:t>
      </w:r>
    </w:p>
    <w:p w14:paraId="244F6DC8">
      <w:pPr>
        <w:tabs>
          <w:tab w:val="left" w:pos="1336"/>
          <w:tab w:val="left" w:pos="3208"/>
          <w:tab w:val="left" w:pos="5291"/>
        </w:tabs>
        <w:spacing w:before="0" w:line="321" w:lineRule="auto"/>
        <w:ind w:left="287" w:right="243" w:firstLine="420"/>
        <w:jc w:val="left"/>
        <w:rPr>
          <w:sz w:val="21"/>
        </w:rPr>
      </w:pPr>
      <w:r>
        <w:rPr>
          <w:sz w:val="21"/>
        </w:rPr>
        <w:t>1、</w:t>
      </w:r>
      <w:r>
        <w:rPr>
          <w:sz w:val="21"/>
          <w:u w:val="single"/>
        </w:rPr>
        <w:t>（标的名称）</w:t>
      </w:r>
      <w:r>
        <w:rPr>
          <w:sz w:val="21"/>
        </w:rPr>
        <w:t>，属于</w:t>
      </w:r>
      <w:r>
        <w:rPr>
          <w:sz w:val="21"/>
          <w:u w:val="single"/>
        </w:rPr>
        <w:t>（采购文件中明确的所属行业）</w:t>
      </w:r>
      <w:r>
        <w:rPr>
          <w:sz w:val="21"/>
        </w:rPr>
        <w:t>；承建（承接）企业为</w:t>
      </w:r>
      <w:r>
        <w:rPr>
          <w:sz w:val="21"/>
          <w:u w:val="single"/>
        </w:rPr>
        <w:t>（企业名称）</w:t>
      </w:r>
      <w:r>
        <w:rPr>
          <w:sz w:val="21"/>
        </w:rPr>
        <w:t>，从业人员</w:t>
      </w:r>
      <w:r>
        <w:rPr>
          <w:sz w:val="21"/>
          <w:u w:val="single"/>
        </w:rPr>
        <w:t xml:space="preserve"> </w:t>
      </w:r>
      <w:r>
        <w:rPr>
          <w:sz w:val="21"/>
          <w:u w:val="single"/>
        </w:rPr>
        <w:tab/>
      </w:r>
      <w:r>
        <w:rPr>
          <w:sz w:val="21"/>
        </w:rPr>
        <w:t>人</w:t>
      </w:r>
      <w:r>
        <w:rPr>
          <w:spacing w:val="-13"/>
          <w:sz w:val="21"/>
        </w:rPr>
        <w:t>，</w:t>
      </w:r>
      <w:r>
        <w:rPr>
          <w:sz w:val="21"/>
        </w:rPr>
        <w:t>营业收入为</w:t>
      </w:r>
      <w:r>
        <w:rPr>
          <w:sz w:val="21"/>
          <w:u w:val="single"/>
        </w:rPr>
        <w:t xml:space="preserve"> </w:t>
      </w:r>
      <w:r>
        <w:rPr>
          <w:sz w:val="21"/>
          <w:u w:val="single"/>
        </w:rPr>
        <w:tab/>
      </w:r>
      <w:r>
        <w:rPr>
          <w:sz w:val="21"/>
        </w:rPr>
        <w:t>万元</w:t>
      </w:r>
      <w:r>
        <w:rPr>
          <w:spacing w:val="-15"/>
          <w:sz w:val="21"/>
        </w:rPr>
        <w:t>，</w:t>
      </w:r>
      <w:r>
        <w:rPr>
          <w:sz w:val="21"/>
        </w:rPr>
        <w:t>资产总额为</w:t>
      </w:r>
      <w:r>
        <w:rPr>
          <w:sz w:val="21"/>
          <w:u w:val="single"/>
        </w:rPr>
        <w:t xml:space="preserve"> </w:t>
      </w:r>
      <w:r>
        <w:rPr>
          <w:sz w:val="21"/>
          <w:u w:val="single"/>
        </w:rPr>
        <w:tab/>
      </w:r>
      <w:r>
        <w:rPr>
          <w:w w:val="95"/>
          <w:sz w:val="21"/>
        </w:rPr>
        <w:t>万元</w:t>
      </w:r>
      <w:r>
        <w:rPr>
          <w:spacing w:val="-15"/>
          <w:w w:val="95"/>
          <w:sz w:val="21"/>
        </w:rPr>
        <w:t>，</w:t>
      </w:r>
      <w:r>
        <w:rPr>
          <w:w w:val="95"/>
          <w:sz w:val="21"/>
        </w:rPr>
        <w:t>属</w:t>
      </w:r>
      <w:r>
        <w:rPr>
          <w:spacing w:val="-13"/>
          <w:w w:val="95"/>
          <w:sz w:val="21"/>
        </w:rPr>
        <w:t>于</w:t>
      </w:r>
      <w:r>
        <w:rPr>
          <w:w w:val="95"/>
          <w:sz w:val="21"/>
          <w:u w:val="single"/>
        </w:rPr>
        <w:t>（中型企业</w:t>
      </w:r>
      <w:r>
        <w:rPr>
          <w:spacing w:val="-15"/>
          <w:w w:val="95"/>
          <w:sz w:val="21"/>
          <w:u w:val="single"/>
        </w:rPr>
        <w:t>、</w:t>
      </w:r>
      <w:r>
        <w:rPr>
          <w:w w:val="95"/>
          <w:sz w:val="21"/>
          <w:u w:val="single"/>
        </w:rPr>
        <w:t>小型企业</w:t>
      </w:r>
      <w:r>
        <w:rPr>
          <w:spacing w:val="-15"/>
          <w:w w:val="95"/>
          <w:sz w:val="21"/>
          <w:u w:val="single"/>
        </w:rPr>
        <w:t>、</w:t>
      </w:r>
      <w:r>
        <w:rPr>
          <w:w w:val="95"/>
          <w:sz w:val="21"/>
          <w:u w:val="single"/>
        </w:rPr>
        <w:t>微型企业</w:t>
      </w:r>
      <w:r>
        <w:rPr>
          <w:spacing w:val="-23"/>
          <w:w w:val="95"/>
          <w:sz w:val="21"/>
          <w:u w:val="single"/>
        </w:rPr>
        <w:t>）</w:t>
      </w:r>
      <w:r>
        <w:rPr>
          <w:spacing w:val="-23"/>
          <w:w w:val="95"/>
          <w:sz w:val="21"/>
        </w:rPr>
        <w:t>；</w:t>
      </w:r>
    </w:p>
    <w:p w14:paraId="247D3DC5">
      <w:pPr>
        <w:spacing w:before="0" w:line="321" w:lineRule="auto"/>
        <w:ind w:left="287" w:right="346" w:firstLine="420"/>
        <w:jc w:val="left"/>
        <w:rPr>
          <w:sz w:val="21"/>
        </w:rPr>
      </w:pPr>
      <w:r>
        <w:rPr>
          <w:spacing w:val="-5"/>
          <w:w w:val="95"/>
          <w:sz w:val="21"/>
        </w:rPr>
        <w:t xml:space="preserve">以上企业，不属于大企业的分支机构，不存在控股股东为大企业的情形，也不存在与大企业的负责   </w:t>
      </w:r>
      <w:r>
        <w:rPr>
          <w:spacing w:val="-5"/>
          <w:sz w:val="21"/>
        </w:rPr>
        <w:t>人为同一人的情形。</w:t>
      </w:r>
    </w:p>
    <w:p w14:paraId="493FE70C">
      <w:pPr>
        <w:spacing w:before="116"/>
        <w:ind w:left="708" w:right="0" w:firstLine="0"/>
        <w:jc w:val="left"/>
        <w:rPr>
          <w:sz w:val="21"/>
        </w:rPr>
      </w:pPr>
      <w:r>
        <w:rPr>
          <w:sz w:val="21"/>
        </w:rPr>
        <w:t>本企业对上述声明内容的真实性负责。如有虚假，将依法承担相应责任。</w:t>
      </w:r>
    </w:p>
    <w:p w14:paraId="4EBA0C3B">
      <w:pPr>
        <w:pStyle w:val="8"/>
        <w:rPr>
          <w:sz w:val="20"/>
        </w:rPr>
      </w:pPr>
    </w:p>
    <w:p w14:paraId="5B2AB75F">
      <w:pPr>
        <w:tabs>
          <w:tab w:val="left" w:pos="7479"/>
        </w:tabs>
        <w:spacing w:before="154"/>
        <w:ind w:left="3228" w:right="0" w:firstLine="0"/>
        <w:jc w:val="left"/>
        <w:rPr>
          <w:rFonts w:ascii="Times New Roman" w:eastAsia="Times New Roman"/>
          <w:sz w:val="21"/>
        </w:rPr>
      </w:pPr>
      <w:r>
        <w:rPr>
          <w:w w:val="95"/>
          <w:sz w:val="21"/>
        </w:rPr>
        <w:t>企业名称（盖章）：</w:t>
      </w:r>
      <w:r>
        <w:rPr>
          <w:rFonts w:ascii="Times New Roman" w:eastAsia="Times New Roman"/>
          <w:w w:val="95"/>
          <w:sz w:val="21"/>
          <w:u w:val="single"/>
        </w:rPr>
        <w:t xml:space="preserve"> </w:t>
      </w:r>
      <w:r>
        <w:rPr>
          <w:rFonts w:ascii="Times New Roman" w:eastAsia="Times New Roman"/>
          <w:sz w:val="21"/>
          <w:u w:val="single"/>
        </w:rPr>
        <w:tab/>
      </w:r>
    </w:p>
    <w:p w14:paraId="1B4E2CEC">
      <w:pPr>
        <w:pStyle w:val="8"/>
        <w:spacing w:before="8"/>
        <w:rPr>
          <w:rFonts w:ascii="Times New Roman"/>
          <w:sz w:val="11"/>
        </w:rPr>
      </w:pPr>
    </w:p>
    <w:p w14:paraId="6DE8461E">
      <w:pPr>
        <w:tabs>
          <w:tab w:val="left" w:pos="7479"/>
        </w:tabs>
        <w:spacing w:before="76"/>
        <w:ind w:left="3228" w:right="0" w:firstLine="0"/>
        <w:jc w:val="left"/>
        <w:rPr>
          <w:rFonts w:ascii="Times New Roman" w:eastAsia="Times New Roman"/>
          <w:sz w:val="21"/>
        </w:rPr>
      </w:pPr>
      <w:r>
        <w:rPr>
          <w:w w:val="95"/>
          <w:sz w:val="21"/>
        </w:rPr>
        <w:t>日期：</w:t>
      </w:r>
      <w:r>
        <w:rPr>
          <w:rFonts w:ascii="Times New Roman" w:eastAsia="Times New Roman"/>
          <w:w w:val="95"/>
          <w:sz w:val="21"/>
          <w:u w:val="single"/>
        </w:rPr>
        <w:t xml:space="preserve"> </w:t>
      </w:r>
      <w:r>
        <w:rPr>
          <w:rFonts w:ascii="Times New Roman" w:eastAsia="Times New Roman"/>
          <w:sz w:val="21"/>
          <w:u w:val="single"/>
        </w:rPr>
        <w:tab/>
      </w:r>
    </w:p>
    <w:p w14:paraId="3F27DEE7">
      <w:pPr>
        <w:pStyle w:val="8"/>
        <w:spacing w:before="3"/>
        <w:rPr>
          <w:rFonts w:ascii="Times New Roman"/>
          <w:sz w:val="15"/>
        </w:rPr>
      </w:pPr>
    </w:p>
    <w:p w14:paraId="5F43C0A7">
      <w:pPr>
        <w:spacing w:before="69"/>
        <w:ind w:left="287" w:right="0" w:firstLine="0"/>
        <w:jc w:val="left"/>
        <w:rPr>
          <w:sz w:val="21"/>
        </w:rPr>
      </w:pPr>
      <w:r>
        <w:rPr>
          <w:sz w:val="21"/>
        </w:rPr>
        <w:t>注：从业人员、营业收入、资产总额填报上一年度数据，无上一年度数据的新成立企业可不填报。</w:t>
      </w:r>
    </w:p>
    <w:p w14:paraId="510E6AD6">
      <w:pPr>
        <w:spacing w:after="0"/>
        <w:jc w:val="left"/>
        <w:rPr>
          <w:sz w:val="21"/>
        </w:rPr>
        <w:sectPr>
          <w:pgSz w:w="11910" w:h="16840"/>
          <w:pgMar w:top="1280" w:right="899" w:bottom="1160" w:left="960" w:header="0" w:footer="970" w:gutter="0"/>
          <w:pgNumType w:fmt="decimal"/>
          <w:cols w:space="720" w:num="1"/>
        </w:sectPr>
      </w:pPr>
    </w:p>
    <w:p w14:paraId="27ACB49E">
      <w:pPr>
        <w:pStyle w:val="5"/>
        <w:spacing w:before="39"/>
        <w:ind w:left="302" w:right="372"/>
      </w:pPr>
      <w:r>
        <w:t>残疾人福利性单位声明函</w:t>
      </w:r>
    </w:p>
    <w:p w14:paraId="21781E48">
      <w:pPr>
        <w:pStyle w:val="8"/>
        <w:spacing w:before="2"/>
        <w:rPr>
          <w:b/>
          <w:sz w:val="37"/>
        </w:rPr>
      </w:pPr>
    </w:p>
    <w:p w14:paraId="6B4E4584">
      <w:pPr>
        <w:pStyle w:val="8"/>
        <w:tabs>
          <w:tab w:val="left" w:pos="3539"/>
          <w:tab w:val="left" w:pos="6069"/>
        </w:tabs>
        <w:spacing w:line="403" w:lineRule="auto"/>
        <w:ind w:left="287" w:right="226" w:firstLine="453"/>
      </w:pPr>
      <w:r>
        <w:t>本单位郑重声明，根据《财政部民政部中国残疾人联合会关于促进残疾人就业政府采购政策的通知</w:t>
      </w:r>
      <w:r>
        <w:rPr>
          <w:spacing w:val="-5"/>
        </w:rPr>
        <w:t>》</w:t>
      </w:r>
      <w:r>
        <w:t>（财库〔2017</w:t>
      </w:r>
      <w:r>
        <w:rPr>
          <w:spacing w:val="-3"/>
        </w:rPr>
        <w:t>〕</w:t>
      </w:r>
      <w:r>
        <w:t>141</w:t>
      </w:r>
      <w:r>
        <w:rPr>
          <w:spacing w:val="-61"/>
        </w:rPr>
        <w:t xml:space="preserve"> </w:t>
      </w:r>
      <w:r>
        <w:t>号）的规定</w:t>
      </w:r>
      <w:r>
        <w:rPr>
          <w:spacing w:val="-3"/>
        </w:rPr>
        <w:t>，</w:t>
      </w:r>
      <w:r>
        <w:t>本单位为符合条件的残疾人福利性单位</w:t>
      </w:r>
      <w:r>
        <w:rPr>
          <w:spacing w:val="-14"/>
        </w:rPr>
        <w:t xml:space="preserve">， </w:t>
      </w:r>
      <w:r>
        <w:t>且本单位参加</w:t>
      </w:r>
      <w:r>
        <w:rPr>
          <w:u w:val="single"/>
        </w:rPr>
        <w:t xml:space="preserve"> </w:t>
      </w:r>
      <w:r>
        <w:rPr>
          <w:u w:val="single"/>
        </w:rPr>
        <w:tab/>
      </w:r>
      <w:r>
        <w:t>单位的</w:t>
      </w:r>
      <w:r>
        <w:rPr>
          <w:u w:val="single"/>
        </w:rPr>
        <w:t xml:space="preserve"> </w:t>
      </w:r>
      <w:r>
        <w:rPr>
          <w:u w:val="single"/>
        </w:rPr>
        <w:tab/>
      </w:r>
      <w:r>
        <w:t>项目采购活动提供本单位制造的货</w:t>
      </w:r>
      <w:r>
        <w:rPr>
          <w:spacing w:val="-20"/>
        </w:rPr>
        <w:t>物</w:t>
      </w:r>
      <w:r>
        <w:t>（由本单位承担工程/提供服务</w:t>
      </w:r>
      <w:r>
        <w:rPr>
          <w:spacing w:val="-17"/>
        </w:rPr>
        <w:t>），</w:t>
      </w:r>
      <w:r>
        <w:t>或者提供其他残疾人福利性单位制造的货</w:t>
      </w:r>
      <w:r>
        <w:rPr>
          <w:spacing w:val="-17"/>
        </w:rPr>
        <w:t>物</w:t>
      </w:r>
      <w:r>
        <w:t>（不包括使用非残疾人福利性单位注册商标的货物）。</w:t>
      </w:r>
    </w:p>
    <w:p w14:paraId="1DEEF8D7">
      <w:pPr>
        <w:pStyle w:val="8"/>
        <w:spacing w:line="304" w:lineRule="exact"/>
        <w:ind w:left="741"/>
      </w:pPr>
      <w:r>
        <w:t>本单位对上述声明的真实性负责。如有虚假，将依法承担相应责任。</w:t>
      </w:r>
    </w:p>
    <w:p w14:paraId="6DFBEC67">
      <w:pPr>
        <w:pStyle w:val="8"/>
      </w:pPr>
    </w:p>
    <w:p w14:paraId="705A7F72">
      <w:pPr>
        <w:pStyle w:val="8"/>
      </w:pPr>
    </w:p>
    <w:p w14:paraId="0778C181">
      <w:pPr>
        <w:pStyle w:val="8"/>
      </w:pPr>
    </w:p>
    <w:p w14:paraId="5EC398F5">
      <w:pPr>
        <w:pStyle w:val="8"/>
        <w:spacing w:before="2"/>
        <w:rPr>
          <w:sz w:val="17"/>
        </w:rPr>
      </w:pPr>
    </w:p>
    <w:p w14:paraId="1A409166">
      <w:pPr>
        <w:pStyle w:val="8"/>
        <w:spacing w:line="403" w:lineRule="auto"/>
        <w:ind w:left="4576" w:right="3278" w:firstLine="31"/>
      </w:pPr>
      <w:r>
        <w:drawing>
          <wp:anchor distT="0" distB="0" distL="0" distR="0" simplePos="0" relativeHeight="251673600" behindDoc="1" locked="0" layoutInCell="1" hidden="1" allowOverlap="1">
            <wp:simplePos x="0" y="0"/>
            <wp:positionH relativeFrom="page">
              <wp:posOffset>1422400</wp:posOffset>
            </wp:positionH>
            <wp:positionV relativeFrom="paragraph">
              <wp:posOffset>19685</wp:posOffset>
            </wp:positionV>
            <wp:extent cx="4514850" cy="2591435"/>
            <wp:effectExtent l="0" t="0" r="0" b="0"/>
            <wp:wrapNone/>
            <wp:docPr id="105"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t>单位名称（盖章）： 日期：</w:t>
      </w:r>
    </w:p>
    <w:p w14:paraId="6DFA8882">
      <w:pPr>
        <w:pStyle w:val="8"/>
      </w:pPr>
    </w:p>
    <w:p w14:paraId="26A9AA93">
      <w:pPr>
        <w:pStyle w:val="8"/>
      </w:pPr>
    </w:p>
    <w:p w14:paraId="3F3C86B0">
      <w:pPr>
        <w:pStyle w:val="8"/>
        <w:spacing w:before="4"/>
        <w:rPr>
          <w:sz w:val="23"/>
        </w:rPr>
      </w:pPr>
    </w:p>
    <w:p w14:paraId="45B7685C">
      <w:pPr>
        <w:spacing w:before="170"/>
        <w:ind w:left="287" w:right="0" w:firstLine="210" w:firstLineChars="100"/>
        <w:jc w:val="left"/>
        <w:rPr>
          <w:rFonts w:hint="eastAsia" w:eastAsia="宋体"/>
          <w:sz w:val="21"/>
          <w:lang w:eastAsia="zh-CN"/>
        </w:rPr>
      </w:pPr>
      <w:r>
        <w:rPr>
          <w:sz w:val="21"/>
        </w:rPr>
        <w:t>本项目的特定资格要求：</w:t>
      </w:r>
      <w:r>
        <w:rPr>
          <w:rFonts w:hint="eastAsia"/>
          <w:sz w:val="21"/>
          <w:lang w:eastAsia="zh-CN"/>
        </w:rPr>
        <w:t>无</w:t>
      </w:r>
    </w:p>
    <w:p w14:paraId="205A3882">
      <w:pPr>
        <w:pStyle w:val="8"/>
        <w:rPr>
          <w:sz w:val="20"/>
        </w:rPr>
      </w:pPr>
    </w:p>
    <w:p w14:paraId="7AD90817">
      <w:pPr>
        <w:pStyle w:val="8"/>
        <w:rPr>
          <w:sz w:val="20"/>
        </w:rPr>
      </w:pPr>
    </w:p>
    <w:p w14:paraId="28E065CF">
      <w:pPr>
        <w:pStyle w:val="8"/>
        <w:rPr>
          <w:sz w:val="20"/>
        </w:rPr>
      </w:pPr>
    </w:p>
    <w:p w14:paraId="10B679B8">
      <w:pPr>
        <w:pStyle w:val="8"/>
        <w:rPr>
          <w:sz w:val="22"/>
        </w:rPr>
      </w:pPr>
    </w:p>
    <w:p w14:paraId="2FDE1CE9">
      <w:pPr>
        <w:pStyle w:val="17"/>
        <w:numPr>
          <w:ilvl w:val="0"/>
          <w:numId w:val="44"/>
        </w:numPr>
        <w:tabs>
          <w:tab w:val="left" w:pos="813"/>
        </w:tabs>
        <w:spacing w:before="0" w:after="0" w:line="240" w:lineRule="auto"/>
        <w:ind w:left="812" w:right="0" w:hanging="526"/>
        <w:jc w:val="left"/>
        <w:rPr>
          <w:sz w:val="21"/>
        </w:rPr>
      </w:pPr>
      <w:r>
        <w:rPr>
          <w:sz w:val="21"/>
        </w:rPr>
        <w:t>投标人认为需要提供的其他资格证明材料。</w:t>
      </w:r>
    </w:p>
    <w:p w14:paraId="29490FD0">
      <w:pPr>
        <w:pStyle w:val="8"/>
        <w:rPr>
          <w:sz w:val="20"/>
        </w:rPr>
      </w:pPr>
    </w:p>
    <w:p w14:paraId="4C261017">
      <w:pPr>
        <w:pStyle w:val="8"/>
        <w:rPr>
          <w:sz w:val="20"/>
        </w:rPr>
      </w:pPr>
    </w:p>
    <w:p w14:paraId="4707D85D">
      <w:pPr>
        <w:pStyle w:val="8"/>
        <w:rPr>
          <w:sz w:val="20"/>
        </w:rPr>
      </w:pPr>
    </w:p>
    <w:p w14:paraId="10652D8F">
      <w:pPr>
        <w:pStyle w:val="8"/>
        <w:rPr>
          <w:sz w:val="20"/>
        </w:rPr>
      </w:pPr>
    </w:p>
    <w:p w14:paraId="73167973">
      <w:pPr>
        <w:pStyle w:val="8"/>
        <w:rPr>
          <w:sz w:val="20"/>
        </w:rPr>
      </w:pPr>
    </w:p>
    <w:p w14:paraId="01527051">
      <w:pPr>
        <w:pStyle w:val="8"/>
        <w:rPr>
          <w:sz w:val="20"/>
        </w:rPr>
      </w:pPr>
    </w:p>
    <w:p w14:paraId="53A99EDB">
      <w:pPr>
        <w:pStyle w:val="8"/>
        <w:rPr>
          <w:sz w:val="20"/>
        </w:rPr>
      </w:pPr>
    </w:p>
    <w:p w14:paraId="2B6BA67B">
      <w:pPr>
        <w:pStyle w:val="8"/>
        <w:rPr>
          <w:sz w:val="20"/>
        </w:rPr>
      </w:pPr>
    </w:p>
    <w:p w14:paraId="733F0A1D">
      <w:pPr>
        <w:pStyle w:val="8"/>
        <w:rPr>
          <w:sz w:val="20"/>
        </w:rPr>
      </w:pPr>
    </w:p>
    <w:p w14:paraId="0FE89BB0">
      <w:pPr>
        <w:pStyle w:val="8"/>
        <w:spacing w:before="7"/>
        <w:rPr>
          <w:sz w:val="16"/>
        </w:rPr>
      </w:pPr>
    </w:p>
    <w:p w14:paraId="7B018148">
      <w:pPr>
        <w:pStyle w:val="4"/>
      </w:pPr>
      <w:r>
        <w:t>5、投标保证金缴纳凭证</w:t>
      </w:r>
      <w:r>
        <w:rPr>
          <w:rFonts w:hint="eastAsia"/>
          <w:lang w:eastAsia="zh-CN"/>
        </w:rPr>
        <w:t>（如有）</w:t>
      </w:r>
    </w:p>
    <w:p w14:paraId="3740253E">
      <w:pPr>
        <w:spacing w:before="133"/>
        <w:ind w:left="316" w:right="372" w:firstLine="0"/>
        <w:jc w:val="center"/>
        <w:rPr>
          <w:sz w:val="22"/>
        </w:rPr>
      </w:pPr>
      <w:r>
        <w:rPr>
          <w:sz w:val="22"/>
        </w:rPr>
        <w:t>附投标保证金缴纳凭证或保函</w:t>
      </w:r>
    </w:p>
    <w:p w14:paraId="270903F9">
      <w:pPr>
        <w:spacing w:after="0"/>
        <w:jc w:val="center"/>
        <w:rPr>
          <w:sz w:val="22"/>
        </w:rPr>
        <w:sectPr>
          <w:pgSz w:w="11910" w:h="16840"/>
          <w:pgMar w:top="1340" w:right="899" w:bottom="1160" w:left="960" w:header="0" w:footer="970" w:gutter="0"/>
          <w:pgNumType w:fmt="decimal"/>
          <w:cols w:space="720" w:num="1"/>
        </w:sectPr>
      </w:pPr>
    </w:p>
    <w:p w14:paraId="0C3BFD15">
      <w:pPr>
        <w:pStyle w:val="4"/>
        <w:spacing w:before="29"/>
        <w:ind w:left="309"/>
      </w:pPr>
      <w:r>
        <w:t>6、商务条款偏离表</w:t>
      </w:r>
    </w:p>
    <w:p w14:paraId="255B3BA4">
      <w:pPr>
        <w:pStyle w:val="8"/>
        <w:spacing w:before="5"/>
        <w:rPr>
          <w:b/>
          <w:sz w:val="37"/>
        </w:rPr>
      </w:pPr>
    </w:p>
    <w:p w14:paraId="546D2206">
      <w:pPr>
        <w:pStyle w:val="8"/>
        <w:tabs>
          <w:tab w:val="left" w:pos="5447"/>
        </w:tabs>
        <w:spacing w:before="1"/>
        <w:ind w:left="287"/>
        <w:jc w:val="both"/>
      </w:pPr>
      <w:r>
        <w:drawing>
          <wp:anchor distT="0" distB="0" distL="0" distR="0" simplePos="0" relativeHeight="251674624" behindDoc="1" locked="0" layoutInCell="1" hidden="1" allowOverlap="1">
            <wp:simplePos x="0" y="0"/>
            <wp:positionH relativeFrom="page">
              <wp:posOffset>1422400</wp:posOffset>
            </wp:positionH>
            <wp:positionV relativeFrom="paragraph">
              <wp:posOffset>2613660</wp:posOffset>
            </wp:positionV>
            <wp:extent cx="4514850" cy="2591435"/>
            <wp:effectExtent l="0" t="0" r="0" b="0"/>
            <wp:wrapNone/>
            <wp:docPr id="107"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t>项目名称：</w:t>
      </w:r>
      <w:r>
        <w:tab/>
      </w:r>
      <w:r>
        <w:t>项目编号：</w:t>
      </w:r>
    </w:p>
    <w:p w14:paraId="2F923741">
      <w:pPr>
        <w:pStyle w:val="8"/>
        <w:spacing w:before="9"/>
        <w:rPr>
          <w:sz w:val="11"/>
        </w:rPr>
      </w:pPr>
    </w:p>
    <w:tbl>
      <w:tblPr>
        <w:tblStyle w:val="13"/>
        <w:tblW w:w="0" w:type="auto"/>
        <w:tblInd w:w="1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2613"/>
        <w:gridCol w:w="1980"/>
        <w:gridCol w:w="2197"/>
        <w:gridCol w:w="1125"/>
        <w:gridCol w:w="1005"/>
      </w:tblGrid>
      <w:tr w14:paraId="0DF46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597" w:type="dxa"/>
          </w:tcPr>
          <w:p w14:paraId="001AB8E3">
            <w:pPr>
              <w:pStyle w:val="18"/>
              <w:spacing w:before="108" w:line="242" w:lineRule="auto"/>
              <w:ind w:left="178" w:right="166"/>
              <w:rPr>
                <w:sz w:val="24"/>
              </w:rPr>
            </w:pPr>
            <w:r>
              <w:rPr>
                <w:sz w:val="24"/>
              </w:rPr>
              <w:t>序号</w:t>
            </w:r>
          </w:p>
        </w:tc>
        <w:tc>
          <w:tcPr>
            <w:tcW w:w="2613" w:type="dxa"/>
          </w:tcPr>
          <w:p w14:paraId="555530B7">
            <w:pPr>
              <w:pStyle w:val="18"/>
              <w:spacing w:before="8"/>
              <w:rPr>
                <w:sz w:val="20"/>
              </w:rPr>
            </w:pPr>
          </w:p>
          <w:p w14:paraId="674FBB3A">
            <w:pPr>
              <w:pStyle w:val="18"/>
              <w:ind w:left="564" w:right="558"/>
              <w:jc w:val="center"/>
              <w:rPr>
                <w:sz w:val="24"/>
              </w:rPr>
            </w:pPr>
            <w:r>
              <w:rPr>
                <w:sz w:val="24"/>
              </w:rPr>
              <w:t>商务条款内容</w:t>
            </w:r>
          </w:p>
        </w:tc>
        <w:tc>
          <w:tcPr>
            <w:tcW w:w="1980" w:type="dxa"/>
          </w:tcPr>
          <w:p w14:paraId="5F59FE57">
            <w:pPr>
              <w:pStyle w:val="18"/>
              <w:spacing w:before="108" w:line="242" w:lineRule="auto"/>
              <w:ind w:left="748" w:right="139" w:hanging="600"/>
              <w:rPr>
                <w:sz w:val="24"/>
              </w:rPr>
            </w:pPr>
            <w:r>
              <w:rPr>
                <w:sz w:val="24"/>
              </w:rPr>
              <w:t>招标文件的商务条款</w:t>
            </w:r>
          </w:p>
        </w:tc>
        <w:tc>
          <w:tcPr>
            <w:tcW w:w="2197" w:type="dxa"/>
          </w:tcPr>
          <w:p w14:paraId="2F052686">
            <w:pPr>
              <w:pStyle w:val="18"/>
              <w:spacing w:before="108" w:line="242" w:lineRule="auto"/>
              <w:ind w:left="736" w:right="128" w:hanging="600"/>
              <w:rPr>
                <w:sz w:val="24"/>
              </w:rPr>
            </w:pPr>
            <w:r>
              <w:rPr>
                <w:sz w:val="24"/>
              </w:rPr>
              <w:t>投标文件响应的商务条款</w:t>
            </w:r>
          </w:p>
        </w:tc>
        <w:tc>
          <w:tcPr>
            <w:tcW w:w="1125" w:type="dxa"/>
          </w:tcPr>
          <w:p w14:paraId="676F836D">
            <w:pPr>
              <w:pStyle w:val="18"/>
              <w:spacing w:before="8"/>
              <w:rPr>
                <w:sz w:val="20"/>
              </w:rPr>
            </w:pPr>
          </w:p>
          <w:p w14:paraId="615809E5">
            <w:pPr>
              <w:pStyle w:val="18"/>
              <w:ind w:left="322"/>
              <w:rPr>
                <w:sz w:val="24"/>
              </w:rPr>
            </w:pPr>
            <w:r>
              <w:rPr>
                <w:sz w:val="24"/>
              </w:rPr>
              <w:t>偏离</w:t>
            </w:r>
          </w:p>
        </w:tc>
        <w:tc>
          <w:tcPr>
            <w:tcW w:w="1005" w:type="dxa"/>
          </w:tcPr>
          <w:p w14:paraId="72B0B181">
            <w:pPr>
              <w:pStyle w:val="18"/>
              <w:spacing w:before="8"/>
              <w:rPr>
                <w:sz w:val="20"/>
              </w:rPr>
            </w:pPr>
          </w:p>
          <w:p w14:paraId="45A25609">
            <w:pPr>
              <w:pStyle w:val="18"/>
              <w:ind w:left="260"/>
              <w:rPr>
                <w:sz w:val="24"/>
              </w:rPr>
            </w:pPr>
            <w:r>
              <w:rPr>
                <w:sz w:val="24"/>
              </w:rPr>
              <w:t>备注</w:t>
            </w:r>
          </w:p>
        </w:tc>
      </w:tr>
      <w:tr w14:paraId="7E5D8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97" w:type="dxa"/>
          </w:tcPr>
          <w:p w14:paraId="7DF87DDC">
            <w:pPr>
              <w:pStyle w:val="18"/>
              <w:spacing w:before="157"/>
              <w:ind w:left="10"/>
              <w:jc w:val="center"/>
              <w:rPr>
                <w:sz w:val="24"/>
              </w:rPr>
            </w:pPr>
            <w:r>
              <w:rPr>
                <w:sz w:val="24"/>
              </w:rPr>
              <w:t>1</w:t>
            </w:r>
          </w:p>
        </w:tc>
        <w:tc>
          <w:tcPr>
            <w:tcW w:w="2613" w:type="dxa"/>
          </w:tcPr>
          <w:p w14:paraId="393F9018">
            <w:pPr>
              <w:pStyle w:val="18"/>
              <w:spacing w:before="157"/>
              <w:ind w:left="564" w:right="558"/>
              <w:jc w:val="center"/>
              <w:rPr>
                <w:sz w:val="24"/>
              </w:rPr>
            </w:pPr>
            <w:r>
              <w:rPr>
                <w:rFonts w:hint="eastAsia"/>
                <w:sz w:val="24"/>
                <w:lang w:eastAsia="zh-CN"/>
              </w:rPr>
              <w:t>采购</w:t>
            </w:r>
            <w:r>
              <w:rPr>
                <w:sz w:val="24"/>
              </w:rPr>
              <w:t>内容</w:t>
            </w:r>
          </w:p>
        </w:tc>
        <w:tc>
          <w:tcPr>
            <w:tcW w:w="1980" w:type="dxa"/>
          </w:tcPr>
          <w:p w14:paraId="789EB175">
            <w:pPr>
              <w:pStyle w:val="18"/>
              <w:rPr>
                <w:rFonts w:ascii="Times New Roman"/>
                <w:sz w:val="24"/>
              </w:rPr>
            </w:pPr>
          </w:p>
        </w:tc>
        <w:tc>
          <w:tcPr>
            <w:tcW w:w="2197" w:type="dxa"/>
          </w:tcPr>
          <w:p w14:paraId="03643597">
            <w:pPr>
              <w:pStyle w:val="18"/>
              <w:rPr>
                <w:rFonts w:ascii="Times New Roman"/>
                <w:sz w:val="24"/>
              </w:rPr>
            </w:pPr>
          </w:p>
        </w:tc>
        <w:tc>
          <w:tcPr>
            <w:tcW w:w="1125" w:type="dxa"/>
          </w:tcPr>
          <w:p w14:paraId="1294BF7A">
            <w:pPr>
              <w:pStyle w:val="18"/>
              <w:rPr>
                <w:rFonts w:ascii="Times New Roman"/>
                <w:sz w:val="24"/>
              </w:rPr>
            </w:pPr>
          </w:p>
        </w:tc>
        <w:tc>
          <w:tcPr>
            <w:tcW w:w="1005" w:type="dxa"/>
          </w:tcPr>
          <w:p w14:paraId="13BECB29">
            <w:pPr>
              <w:pStyle w:val="18"/>
              <w:rPr>
                <w:rFonts w:ascii="Times New Roman"/>
                <w:sz w:val="24"/>
              </w:rPr>
            </w:pPr>
          </w:p>
        </w:tc>
      </w:tr>
      <w:tr w14:paraId="2BF6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Pr>
          <w:p w14:paraId="2571D30D">
            <w:pPr>
              <w:pStyle w:val="18"/>
              <w:spacing w:before="127"/>
              <w:ind w:left="10"/>
              <w:jc w:val="center"/>
              <w:rPr>
                <w:sz w:val="24"/>
              </w:rPr>
            </w:pPr>
            <w:r>
              <w:rPr>
                <w:sz w:val="24"/>
              </w:rPr>
              <w:t>2</w:t>
            </w:r>
          </w:p>
        </w:tc>
        <w:tc>
          <w:tcPr>
            <w:tcW w:w="2613" w:type="dxa"/>
          </w:tcPr>
          <w:p w14:paraId="595DFE9D">
            <w:pPr>
              <w:pStyle w:val="18"/>
              <w:spacing w:before="127"/>
              <w:ind w:left="564" w:right="558"/>
              <w:jc w:val="center"/>
              <w:rPr>
                <w:sz w:val="24"/>
              </w:rPr>
            </w:pPr>
            <w:r>
              <w:rPr>
                <w:sz w:val="24"/>
              </w:rPr>
              <w:t>地点</w:t>
            </w:r>
          </w:p>
        </w:tc>
        <w:tc>
          <w:tcPr>
            <w:tcW w:w="1980" w:type="dxa"/>
          </w:tcPr>
          <w:p w14:paraId="3E3DB705">
            <w:pPr>
              <w:pStyle w:val="18"/>
              <w:rPr>
                <w:rFonts w:ascii="Times New Roman"/>
                <w:sz w:val="24"/>
              </w:rPr>
            </w:pPr>
          </w:p>
        </w:tc>
        <w:tc>
          <w:tcPr>
            <w:tcW w:w="2197" w:type="dxa"/>
          </w:tcPr>
          <w:p w14:paraId="7D29A080">
            <w:pPr>
              <w:pStyle w:val="18"/>
              <w:rPr>
                <w:rFonts w:ascii="Times New Roman"/>
                <w:sz w:val="24"/>
              </w:rPr>
            </w:pPr>
          </w:p>
        </w:tc>
        <w:tc>
          <w:tcPr>
            <w:tcW w:w="1125" w:type="dxa"/>
          </w:tcPr>
          <w:p w14:paraId="7583C7D5">
            <w:pPr>
              <w:pStyle w:val="18"/>
              <w:rPr>
                <w:rFonts w:ascii="Times New Roman"/>
                <w:sz w:val="24"/>
              </w:rPr>
            </w:pPr>
          </w:p>
        </w:tc>
        <w:tc>
          <w:tcPr>
            <w:tcW w:w="1005" w:type="dxa"/>
          </w:tcPr>
          <w:p w14:paraId="7C182C07">
            <w:pPr>
              <w:pStyle w:val="18"/>
              <w:rPr>
                <w:rFonts w:ascii="Times New Roman"/>
                <w:sz w:val="24"/>
              </w:rPr>
            </w:pPr>
          </w:p>
        </w:tc>
      </w:tr>
      <w:tr w14:paraId="71755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97" w:type="dxa"/>
          </w:tcPr>
          <w:p w14:paraId="701B8A9D">
            <w:pPr>
              <w:pStyle w:val="18"/>
              <w:spacing w:before="128"/>
              <w:ind w:left="10"/>
              <w:jc w:val="center"/>
              <w:rPr>
                <w:sz w:val="24"/>
              </w:rPr>
            </w:pPr>
            <w:r>
              <w:rPr>
                <w:sz w:val="24"/>
              </w:rPr>
              <w:t>3</w:t>
            </w:r>
          </w:p>
        </w:tc>
        <w:tc>
          <w:tcPr>
            <w:tcW w:w="2613" w:type="dxa"/>
          </w:tcPr>
          <w:p w14:paraId="54377BD7">
            <w:pPr>
              <w:pStyle w:val="18"/>
              <w:spacing w:before="128"/>
              <w:ind w:left="564" w:right="558"/>
              <w:jc w:val="center"/>
              <w:rPr>
                <w:rFonts w:hint="eastAsia" w:eastAsia="宋体"/>
                <w:sz w:val="24"/>
                <w:lang w:eastAsia="zh-CN"/>
              </w:rPr>
            </w:pPr>
            <w:r>
              <w:rPr>
                <w:rFonts w:hint="eastAsia"/>
                <w:sz w:val="24"/>
                <w:lang w:eastAsia="zh-CN"/>
              </w:rPr>
              <w:t>工期</w:t>
            </w:r>
          </w:p>
        </w:tc>
        <w:tc>
          <w:tcPr>
            <w:tcW w:w="1980" w:type="dxa"/>
          </w:tcPr>
          <w:p w14:paraId="3C48C03C">
            <w:pPr>
              <w:pStyle w:val="18"/>
              <w:rPr>
                <w:rFonts w:ascii="Times New Roman"/>
                <w:sz w:val="24"/>
              </w:rPr>
            </w:pPr>
          </w:p>
        </w:tc>
        <w:tc>
          <w:tcPr>
            <w:tcW w:w="2197" w:type="dxa"/>
          </w:tcPr>
          <w:p w14:paraId="6ABB4279">
            <w:pPr>
              <w:pStyle w:val="18"/>
              <w:rPr>
                <w:rFonts w:ascii="Times New Roman"/>
                <w:sz w:val="24"/>
              </w:rPr>
            </w:pPr>
          </w:p>
        </w:tc>
        <w:tc>
          <w:tcPr>
            <w:tcW w:w="1125" w:type="dxa"/>
          </w:tcPr>
          <w:p w14:paraId="453211A4">
            <w:pPr>
              <w:pStyle w:val="18"/>
              <w:rPr>
                <w:rFonts w:ascii="Times New Roman"/>
                <w:sz w:val="24"/>
              </w:rPr>
            </w:pPr>
          </w:p>
        </w:tc>
        <w:tc>
          <w:tcPr>
            <w:tcW w:w="1005" w:type="dxa"/>
          </w:tcPr>
          <w:p w14:paraId="7009171F">
            <w:pPr>
              <w:pStyle w:val="18"/>
              <w:rPr>
                <w:rFonts w:ascii="Times New Roman"/>
                <w:sz w:val="24"/>
              </w:rPr>
            </w:pPr>
          </w:p>
        </w:tc>
      </w:tr>
      <w:tr w14:paraId="63FE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Pr>
          <w:p w14:paraId="08FCE66F">
            <w:pPr>
              <w:pStyle w:val="18"/>
              <w:spacing w:before="127"/>
              <w:ind w:left="10"/>
              <w:jc w:val="center"/>
              <w:rPr>
                <w:sz w:val="24"/>
              </w:rPr>
            </w:pPr>
            <w:r>
              <w:rPr>
                <w:sz w:val="24"/>
              </w:rPr>
              <w:t>4</w:t>
            </w:r>
          </w:p>
        </w:tc>
        <w:tc>
          <w:tcPr>
            <w:tcW w:w="2613" w:type="dxa"/>
          </w:tcPr>
          <w:p w14:paraId="5E82E416">
            <w:pPr>
              <w:pStyle w:val="18"/>
              <w:spacing w:before="127"/>
              <w:ind w:left="564" w:right="558"/>
              <w:jc w:val="center"/>
              <w:rPr>
                <w:rFonts w:hint="eastAsia" w:eastAsia="宋体"/>
                <w:sz w:val="24"/>
                <w:lang w:eastAsia="zh-CN"/>
              </w:rPr>
            </w:pPr>
            <w:r>
              <w:rPr>
                <w:sz w:val="24"/>
              </w:rPr>
              <w:t>质量</w:t>
            </w:r>
            <w:r>
              <w:rPr>
                <w:rFonts w:hint="eastAsia"/>
                <w:sz w:val="24"/>
                <w:lang w:eastAsia="zh-CN"/>
              </w:rPr>
              <w:t>目标</w:t>
            </w:r>
          </w:p>
        </w:tc>
        <w:tc>
          <w:tcPr>
            <w:tcW w:w="1980" w:type="dxa"/>
          </w:tcPr>
          <w:p w14:paraId="3A089C07">
            <w:pPr>
              <w:pStyle w:val="18"/>
              <w:rPr>
                <w:rFonts w:ascii="Times New Roman"/>
                <w:sz w:val="24"/>
              </w:rPr>
            </w:pPr>
          </w:p>
        </w:tc>
        <w:tc>
          <w:tcPr>
            <w:tcW w:w="2197" w:type="dxa"/>
          </w:tcPr>
          <w:p w14:paraId="215F3FAA">
            <w:pPr>
              <w:pStyle w:val="18"/>
              <w:rPr>
                <w:rFonts w:ascii="Times New Roman"/>
                <w:sz w:val="24"/>
              </w:rPr>
            </w:pPr>
          </w:p>
        </w:tc>
        <w:tc>
          <w:tcPr>
            <w:tcW w:w="1125" w:type="dxa"/>
          </w:tcPr>
          <w:p w14:paraId="2A5827F3">
            <w:pPr>
              <w:pStyle w:val="18"/>
              <w:rPr>
                <w:rFonts w:ascii="Times New Roman"/>
                <w:sz w:val="24"/>
              </w:rPr>
            </w:pPr>
          </w:p>
        </w:tc>
        <w:tc>
          <w:tcPr>
            <w:tcW w:w="1005" w:type="dxa"/>
          </w:tcPr>
          <w:p w14:paraId="40B72C95">
            <w:pPr>
              <w:pStyle w:val="18"/>
              <w:rPr>
                <w:rFonts w:ascii="Times New Roman"/>
                <w:sz w:val="24"/>
              </w:rPr>
            </w:pPr>
          </w:p>
        </w:tc>
      </w:tr>
      <w:tr w14:paraId="30022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tcPr>
          <w:p w14:paraId="5C7C9407">
            <w:pPr>
              <w:pStyle w:val="18"/>
              <w:spacing w:before="128"/>
              <w:ind w:left="10"/>
              <w:jc w:val="center"/>
              <w:rPr>
                <w:rFonts w:hint="eastAsia" w:eastAsia="宋体"/>
                <w:sz w:val="24"/>
                <w:lang w:eastAsia="zh-CN"/>
              </w:rPr>
            </w:pPr>
            <w:r>
              <w:rPr>
                <w:rFonts w:hint="eastAsia"/>
                <w:sz w:val="24"/>
                <w:lang w:val="en-US" w:eastAsia="zh-CN"/>
              </w:rPr>
              <w:t>5</w:t>
            </w:r>
          </w:p>
        </w:tc>
        <w:tc>
          <w:tcPr>
            <w:tcW w:w="2613" w:type="dxa"/>
          </w:tcPr>
          <w:p w14:paraId="58F3D4A3">
            <w:pPr>
              <w:pStyle w:val="18"/>
              <w:spacing w:before="128"/>
              <w:ind w:left="564" w:right="558"/>
              <w:jc w:val="center"/>
              <w:rPr>
                <w:sz w:val="24"/>
              </w:rPr>
            </w:pPr>
            <w:r>
              <w:rPr>
                <w:sz w:val="24"/>
              </w:rPr>
              <w:t>付款方式</w:t>
            </w:r>
          </w:p>
        </w:tc>
        <w:tc>
          <w:tcPr>
            <w:tcW w:w="1980" w:type="dxa"/>
          </w:tcPr>
          <w:p w14:paraId="4295AA0F">
            <w:pPr>
              <w:pStyle w:val="18"/>
              <w:rPr>
                <w:rFonts w:ascii="Times New Roman"/>
                <w:sz w:val="24"/>
              </w:rPr>
            </w:pPr>
          </w:p>
        </w:tc>
        <w:tc>
          <w:tcPr>
            <w:tcW w:w="2197" w:type="dxa"/>
          </w:tcPr>
          <w:p w14:paraId="09AA97F1">
            <w:pPr>
              <w:pStyle w:val="18"/>
              <w:rPr>
                <w:rFonts w:ascii="Times New Roman"/>
                <w:sz w:val="24"/>
              </w:rPr>
            </w:pPr>
          </w:p>
        </w:tc>
        <w:tc>
          <w:tcPr>
            <w:tcW w:w="1125" w:type="dxa"/>
          </w:tcPr>
          <w:p w14:paraId="1FD4D4F2">
            <w:pPr>
              <w:pStyle w:val="18"/>
              <w:rPr>
                <w:rFonts w:ascii="Times New Roman"/>
                <w:sz w:val="24"/>
              </w:rPr>
            </w:pPr>
          </w:p>
        </w:tc>
        <w:tc>
          <w:tcPr>
            <w:tcW w:w="1005" w:type="dxa"/>
          </w:tcPr>
          <w:p w14:paraId="5ABCEDCE">
            <w:pPr>
              <w:pStyle w:val="18"/>
              <w:rPr>
                <w:rFonts w:ascii="Times New Roman"/>
                <w:sz w:val="24"/>
              </w:rPr>
            </w:pPr>
          </w:p>
        </w:tc>
      </w:tr>
      <w:tr w14:paraId="7F939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97" w:type="dxa"/>
          </w:tcPr>
          <w:p w14:paraId="0EBD2C66">
            <w:pPr>
              <w:pStyle w:val="18"/>
              <w:spacing w:before="129"/>
              <w:ind w:left="10"/>
              <w:jc w:val="center"/>
              <w:rPr>
                <w:rFonts w:hint="eastAsia" w:eastAsia="宋体"/>
                <w:sz w:val="24"/>
                <w:lang w:eastAsia="zh-CN"/>
              </w:rPr>
            </w:pPr>
            <w:r>
              <w:rPr>
                <w:rFonts w:hint="eastAsia"/>
                <w:sz w:val="24"/>
                <w:lang w:val="en-US" w:eastAsia="zh-CN"/>
              </w:rPr>
              <w:t>6</w:t>
            </w:r>
          </w:p>
        </w:tc>
        <w:tc>
          <w:tcPr>
            <w:tcW w:w="2613" w:type="dxa"/>
          </w:tcPr>
          <w:p w14:paraId="1EF0401B">
            <w:pPr>
              <w:pStyle w:val="18"/>
              <w:spacing w:before="129"/>
              <w:ind w:left="564" w:right="558"/>
              <w:jc w:val="center"/>
              <w:rPr>
                <w:sz w:val="24"/>
              </w:rPr>
            </w:pPr>
            <w:r>
              <w:rPr>
                <w:sz w:val="24"/>
              </w:rPr>
              <w:t>投标有效期</w:t>
            </w:r>
          </w:p>
        </w:tc>
        <w:tc>
          <w:tcPr>
            <w:tcW w:w="1980" w:type="dxa"/>
          </w:tcPr>
          <w:p w14:paraId="695AECDF">
            <w:pPr>
              <w:pStyle w:val="18"/>
              <w:rPr>
                <w:rFonts w:ascii="Times New Roman"/>
                <w:sz w:val="24"/>
              </w:rPr>
            </w:pPr>
          </w:p>
        </w:tc>
        <w:tc>
          <w:tcPr>
            <w:tcW w:w="2197" w:type="dxa"/>
          </w:tcPr>
          <w:p w14:paraId="38ADB9B6">
            <w:pPr>
              <w:pStyle w:val="18"/>
              <w:rPr>
                <w:rFonts w:ascii="Times New Roman"/>
                <w:sz w:val="24"/>
              </w:rPr>
            </w:pPr>
          </w:p>
        </w:tc>
        <w:tc>
          <w:tcPr>
            <w:tcW w:w="1125" w:type="dxa"/>
          </w:tcPr>
          <w:p w14:paraId="67BEFB4A">
            <w:pPr>
              <w:pStyle w:val="18"/>
              <w:rPr>
                <w:rFonts w:ascii="Times New Roman"/>
                <w:sz w:val="24"/>
              </w:rPr>
            </w:pPr>
          </w:p>
        </w:tc>
        <w:tc>
          <w:tcPr>
            <w:tcW w:w="1005" w:type="dxa"/>
          </w:tcPr>
          <w:p w14:paraId="0E170798">
            <w:pPr>
              <w:pStyle w:val="18"/>
              <w:rPr>
                <w:rFonts w:ascii="Times New Roman"/>
                <w:sz w:val="24"/>
              </w:rPr>
            </w:pPr>
          </w:p>
        </w:tc>
      </w:tr>
      <w:tr w14:paraId="0504C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97" w:type="dxa"/>
          </w:tcPr>
          <w:p w14:paraId="669A85A5">
            <w:pPr>
              <w:pStyle w:val="18"/>
              <w:spacing w:before="127"/>
              <w:ind w:left="98" w:right="88"/>
              <w:jc w:val="center"/>
              <w:rPr>
                <w:sz w:val="24"/>
              </w:rPr>
            </w:pPr>
            <w:r>
              <w:rPr>
                <w:sz w:val="24"/>
              </w:rPr>
              <w:t>...</w:t>
            </w:r>
          </w:p>
        </w:tc>
        <w:tc>
          <w:tcPr>
            <w:tcW w:w="2613" w:type="dxa"/>
          </w:tcPr>
          <w:p w14:paraId="01E68049">
            <w:pPr>
              <w:pStyle w:val="18"/>
              <w:spacing w:before="127"/>
              <w:ind w:left="564" w:right="558"/>
              <w:jc w:val="center"/>
              <w:rPr>
                <w:sz w:val="24"/>
              </w:rPr>
            </w:pPr>
            <w:r>
              <w:rPr>
                <w:sz w:val="24"/>
              </w:rPr>
              <w:t>...</w:t>
            </w:r>
          </w:p>
        </w:tc>
        <w:tc>
          <w:tcPr>
            <w:tcW w:w="1980" w:type="dxa"/>
          </w:tcPr>
          <w:p w14:paraId="102E164C">
            <w:pPr>
              <w:pStyle w:val="18"/>
              <w:rPr>
                <w:rFonts w:ascii="Times New Roman"/>
                <w:sz w:val="24"/>
              </w:rPr>
            </w:pPr>
          </w:p>
        </w:tc>
        <w:tc>
          <w:tcPr>
            <w:tcW w:w="2197" w:type="dxa"/>
          </w:tcPr>
          <w:p w14:paraId="0EAA9EDB">
            <w:pPr>
              <w:pStyle w:val="18"/>
              <w:rPr>
                <w:rFonts w:ascii="Times New Roman"/>
                <w:sz w:val="24"/>
              </w:rPr>
            </w:pPr>
          </w:p>
        </w:tc>
        <w:tc>
          <w:tcPr>
            <w:tcW w:w="1125" w:type="dxa"/>
          </w:tcPr>
          <w:p w14:paraId="7C9C0980">
            <w:pPr>
              <w:pStyle w:val="18"/>
              <w:rPr>
                <w:rFonts w:ascii="Times New Roman"/>
                <w:sz w:val="24"/>
              </w:rPr>
            </w:pPr>
          </w:p>
        </w:tc>
        <w:tc>
          <w:tcPr>
            <w:tcW w:w="1005" w:type="dxa"/>
          </w:tcPr>
          <w:p w14:paraId="71D4E076">
            <w:pPr>
              <w:pStyle w:val="18"/>
              <w:rPr>
                <w:rFonts w:ascii="Times New Roman"/>
                <w:sz w:val="24"/>
              </w:rPr>
            </w:pPr>
          </w:p>
        </w:tc>
      </w:tr>
    </w:tbl>
    <w:p w14:paraId="613FB19B">
      <w:pPr>
        <w:pStyle w:val="8"/>
      </w:pPr>
    </w:p>
    <w:p w14:paraId="7AB887EB">
      <w:pPr>
        <w:pStyle w:val="8"/>
        <w:spacing w:before="208" w:line="364" w:lineRule="auto"/>
        <w:ind w:left="287" w:right="344"/>
        <w:jc w:val="both"/>
      </w:pPr>
      <w:r>
        <w:t>注：若有偏离，请在“偏离”一栏中标注“正偏离”或“负偏离”，并在“备注”栏中详细说明偏离情况；若无偏离，请在“偏离”一栏中标注“无”字样。本项不接受负偏离， 被评标委员会判定为负偏离的其投标无效，不进入后续评审环节。</w:t>
      </w:r>
    </w:p>
    <w:p w14:paraId="7EF49B4E">
      <w:pPr>
        <w:pStyle w:val="8"/>
      </w:pPr>
    </w:p>
    <w:p w14:paraId="3E1FA98C">
      <w:pPr>
        <w:pStyle w:val="8"/>
      </w:pPr>
    </w:p>
    <w:p w14:paraId="4D3FA363">
      <w:pPr>
        <w:pStyle w:val="8"/>
      </w:pPr>
    </w:p>
    <w:p w14:paraId="24B3C5C8">
      <w:pPr>
        <w:pStyle w:val="8"/>
      </w:pPr>
    </w:p>
    <w:p w14:paraId="6C4B4A25">
      <w:pPr>
        <w:pStyle w:val="8"/>
        <w:spacing w:before="4"/>
        <w:rPr>
          <w:sz w:val="25"/>
        </w:rPr>
      </w:pPr>
    </w:p>
    <w:p w14:paraId="77681327">
      <w:pPr>
        <w:pStyle w:val="8"/>
        <w:tabs>
          <w:tab w:val="left" w:pos="4607"/>
          <w:tab w:val="left" w:pos="5447"/>
          <w:tab w:val="left" w:pos="6287"/>
          <w:tab w:val="left" w:pos="7967"/>
          <w:tab w:val="left" w:pos="8567"/>
        </w:tabs>
        <w:spacing w:line="364" w:lineRule="auto"/>
        <w:ind w:left="3168" w:right="398"/>
      </w:pPr>
      <w:r>
        <w:t>投标人名称：</w:t>
      </w:r>
      <w:r>
        <w:rPr>
          <w:u w:val="single"/>
        </w:rPr>
        <w:t xml:space="preserve"> </w:t>
      </w:r>
      <w:r>
        <w:rPr>
          <w:u w:val="single"/>
        </w:rPr>
        <w:tab/>
      </w:r>
      <w:r>
        <w:rPr>
          <w:u w:val="single"/>
        </w:rPr>
        <w:tab/>
      </w:r>
      <w:r>
        <w:rPr>
          <w:u w:val="single"/>
        </w:rPr>
        <w:tab/>
      </w:r>
      <w:r>
        <w:rPr>
          <w:u w:val="single"/>
        </w:rPr>
        <w:tab/>
      </w:r>
      <w:r>
        <w:t>（盖章） 法定代表人或其委托代理人：</w:t>
      </w:r>
      <w:r>
        <w:rPr>
          <w:u w:val="single"/>
        </w:rPr>
        <w:t xml:space="preserve"> </w:t>
      </w:r>
      <w:r>
        <w:rPr>
          <w:u w:val="single"/>
        </w:rPr>
        <w:tab/>
      </w:r>
      <w:r>
        <w:t>（签字或盖章</w:t>
      </w:r>
      <w:r>
        <w:rPr>
          <w:spacing w:val="-18"/>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0BFE9842">
      <w:pPr>
        <w:spacing w:after="0" w:line="364" w:lineRule="auto"/>
        <w:sectPr>
          <w:pgSz w:w="11910" w:h="16840"/>
          <w:pgMar w:top="1240" w:right="899" w:bottom="1160" w:left="960" w:header="0" w:footer="970" w:gutter="0"/>
          <w:pgNumType w:fmt="decimal"/>
          <w:cols w:space="720" w:num="1"/>
        </w:sectPr>
      </w:pPr>
    </w:p>
    <w:p w14:paraId="192E78C2">
      <w:pPr>
        <w:pStyle w:val="8"/>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sz w:val="28"/>
        </w:rPr>
      </w:pPr>
    </w:p>
    <w:p w14:paraId="4099B435">
      <w:pPr>
        <w:pStyle w:val="4"/>
        <w:keepNext w:val="0"/>
        <w:keepLines w:val="0"/>
        <w:pageBreakBefore w:val="0"/>
        <w:widowControl w:val="0"/>
        <w:kinsoku/>
        <w:wordWrap/>
        <w:overflowPunct/>
        <w:topLinePunct w:val="0"/>
        <w:autoSpaceDE w:val="0"/>
        <w:autoSpaceDN w:val="0"/>
        <w:bidi w:val="0"/>
        <w:adjustRightInd/>
        <w:snapToGrid/>
        <w:spacing w:before="49" w:line="240" w:lineRule="auto"/>
        <w:jc w:val="center"/>
        <w:textAlignment w:val="auto"/>
        <w:rPr>
          <w:b/>
          <w:sz w:val="36"/>
        </w:rPr>
      </w:pPr>
      <w:r>
        <w:t>7、类似业绩（2023</w:t>
      </w:r>
      <w:r>
        <w:rPr>
          <w:spacing w:val="-61"/>
        </w:rPr>
        <w:t xml:space="preserve"> 年 </w:t>
      </w:r>
      <w:r>
        <w:t>1</w:t>
      </w:r>
      <w:r>
        <w:rPr>
          <w:spacing w:val="-24"/>
        </w:rPr>
        <w:t xml:space="preserve"> 月至今</w:t>
      </w:r>
      <w:r>
        <w:t>）</w:t>
      </w:r>
    </w:p>
    <w:p w14:paraId="1B9192FE">
      <w:pPr>
        <w:pStyle w:val="8"/>
        <w:keepNext w:val="0"/>
        <w:keepLines w:val="0"/>
        <w:pageBreakBefore w:val="0"/>
        <w:widowControl w:val="0"/>
        <w:kinsoku/>
        <w:wordWrap/>
        <w:overflowPunct/>
        <w:topLinePunct w:val="0"/>
        <w:autoSpaceDE w:val="0"/>
        <w:autoSpaceDN w:val="0"/>
        <w:bidi w:val="0"/>
        <w:adjustRightInd/>
        <w:snapToGrid/>
        <w:spacing w:before="3" w:line="240" w:lineRule="auto"/>
        <w:jc w:val="center"/>
        <w:textAlignment w:val="auto"/>
        <w:rPr>
          <w:b/>
          <w:sz w:val="37"/>
        </w:rPr>
      </w:pPr>
    </w:p>
    <w:p w14:paraId="5C56DC6D">
      <w:pPr>
        <w:keepNext w:val="0"/>
        <w:keepLines w:val="0"/>
        <w:pageBreakBefore w:val="0"/>
        <w:widowControl w:val="0"/>
        <w:kinsoku/>
        <w:wordWrap/>
        <w:overflowPunct/>
        <w:topLinePunct w:val="0"/>
        <w:autoSpaceDE w:val="0"/>
        <w:autoSpaceDN w:val="0"/>
        <w:bidi w:val="0"/>
        <w:adjustRightInd/>
        <w:snapToGrid/>
        <w:spacing w:before="0" w:line="240" w:lineRule="auto"/>
        <w:ind w:left="311" w:right="372" w:firstLine="0"/>
        <w:jc w:val="center"/>
        <w:textAlignment w:val="auto"/>
        <w:rPr>
          <w:b/>
          <w:sz w:val="36"/>
        </w:rPr>
      </w:pPr>
      <w:r>
        <w:rPr>
          <w:b/>
          <w:sz w:val="36"/>
        </w:rPr>
        <w:t>8、项目人员配置</w:t>
      </w:r>
    </w:p>
    <w:p w14:paraId="378064F0">
      <w:pPr>
        <w:pStyle w:val="8"/>
        <w:keepNext w:val="0"/>
        <w:keepLines w:val="0"/>
        <w:pageBreakBefore w:val="0"/>
        <w:widowControl w:val="0"/>
        <w:kinsoku/>
        <w:wordWrap/>
        <w:overflowPunct/>
        <w:topLinePunct w:val="0"/>
        <w:autoSpaceDE w:val="0"/>
        <w:autoSpaceDN w:val="0"/>
        <w:bidi w:val="0"/>
        <w:adjustRightInd/>
        <w:snapToGrid/>
        <w:spacing w:before="2" w:line="240" w:lineRule="auto"/>
        <w:jc w:val="center"/>
        <w:textAlignment w:val="auto"/>
        <w:rPr>
          <w:b/>
          <w:sz w:val="37"/>
        </w:rPr>
      </w:pPr>
    </w:p>
    <w:p w14:paraId="147DDC47">
      <w:pPr>
        <w:keepNext w:val="0"/>
        <w:keepLines w:val="0"/>
        <w:pageBreakBefore w:val="0"/>
        <w:widowControl w:val="0"/>
        <w:numPr>
          <w:ilvl w:val="0"/>
          <w:numId w:val="0"/>
        </w:numPr>
        <w:kinsoku/>
        <w:wordWrap/>
        <w:overflowPunct/>
        <w:topLinePunct w:val="0"/>
        <w:autoSpaceDE w:val="0"/>
        <w:autoSpaceDN w:val="0"/>
        <w:bidi w:val="0"/>
        <w:adjustRightInd/>
        <w:snapToGrid/>
        <w:spacing w:before="1" w:line="240" w:lineRule="auto"/>
        <w:ind w:left="311" w:leftChars="0" w:right="372" w:rightChars="0"/>
        <w:jc w:val="center"/>
        <w:textAlignment w:val="auto"/>
        <w:rPr>
          <w:b/>
          <w:sz w:val="36"/>
        </w:rPr>
      </w:pPr>
      <w:r>
        <w:rPr>
          <w:rFonts w:hint="eastAsia"/>
          <w:b/>
          <w:sz w:val="36"/>
          <w:lang w:val="en-US" w:eastAsia="zh-CN"/>
        </w:rPr>
        <w:t>9、</w:t>
      </w:r>
      <w:r>
        <w:rPr>
          <w:b/>
          <w:sz w:val="36"/>
        </w:rPr>
        <w:t>管理制度</w:t>
      </w:r>
    </w:p>
    <w:p w14:paraId="4B0B0CC8">
      <w:pPr>
        <w:keepNext w:val="0"/>
        <w:keepLines w:val="0"/>
        <w:pageBreakBefore w:val="0"/>
        <w:widowControl w:val="0"/>
        <w:numPr>
          <w:ilvl w:val="0"/>
          <w:numId w:val="0"/>
        </w:numPr>
        <w:kinsoku/>
        <w:wordWrap/>
        <w:overflowPunct/>
        <w:topLinePunct w:val="0"/>
        <w:autoSpaceDE w:val="0"/>
        <w:autoSpaceDN w:val="0"/>
        <w:bidi w:val="0"/>
        <w:adjustRightInd/>
        <w:snapToGrid/>
        <w:spacing w:before="1" w:line="240" w:lineRule="auto"/>
        <w:ind w:right="372" w:rightChars="0"/>
        <w:jc w:val="center"/>
        <w:textAlignment w:val="auto"/>
        <w:rPr>
          <w:b/>
          <w:sz w:val="36"/>
        </w:rPr>
      </w:pPr>
    </w:p>
    <w:p w14:paraId="6416A2D0">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311" w:leftChars="0" w:right="0" w:rightChars="0"/>
        <w:jc w:val="center"/>
        <w:textAlignment w:val="auto"/>
        <w:rPr>
          <w:b/>
          <w:sz w:val="36"/>
        </w:rPr>
      </w:pPr>
      <w:r>
        <w:rPr>
          <w:rFonts w:hint="eastAsia"/>
          <w:b/>
          <w:sz w:val="36"/>
          <w:lang w:val="en-US" w:eastAsia="zh-CN"/>
        </w:rPr>
        <w:t>10、</w:t>
      </w:r>
      <w:r>
        <w:rPr>
          <w:b/>
          <w:sz w:val="36"/>
        </w:rPr>
        <w:t>项目实施方案</w:t>
      </w:r>
    </w:p>
    <w:p w14:paraId="0C6E096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0" w:rightChars="0"/>
        <w:jc w:val="center"/>
        <w:textAlignment w:val="auto"/>
        <w:rPr>
          <w:b/>
          <w:sz w:val="36"/>
        </w:rPr>
      </w:pPr>
    </w:p>
    <w:p w14:paraId="45BCB7F2">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311" w:leftChars="0" w:right="0" w:rightChars="0"/>
        <w:jc w:val="center"/>
        <w:textAlignment w:val="auto"/>
        <w:rPr>
          <w:b/>
          <w:sz w:val="36"/>
        </w:rPr>
      </w:pPr>
      <w:r>
        <w:rPr>
          <w:rFonts w:hint="eastAsia"/>
          <w:b/>
          <w:sz w:val="36"/>
          <w:lang w:val="en-US" w:eastAsia="zh-CN"/>
        </w:rPr>
        <w:t>11、</w:t>
      </w:r>
      <w:r>
        <w:rPr>
          <w:b/>
          <w:sz w:val="36"/>
        </w:rPr>
        <w:t>安全文明施工及管理方案</w:t>
      </w:r>
    </w:p>
    <w:p w14:paraId="564EABA4">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311" w:leftChars="0" w:right="0" w:rightChars="0" w:firstLine="2530" w:firstLineChars="700"/>
        <w:jc w:val="center"/>
        <w:textAlignment w:val="auto"/>
        <w:rPr>
          <w:rFonts w:hint="eastAsia"/>
          <w:b/>
          <w:sz w:val="36"/>
          <w:lang w:val="en-US" w:eastAsia="zh-CN"/>
        </w:rPr>
      </w:pPr>
    </w:p>
    <w:p w14:paraId="353F1538">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0" w:rightChars="0" w:firstLine="361" w:firstLineChars="100"/>
        <w:jc w:val="center"/>
        <w:textAlignment w:val="auto"/>
        <w:rPr>
          <w:rFonts w:hint="eastAsia"/>
          <w:b/>
          <w:sz w:val="36"/>
          <w:lang w:val="en-US" w:eastAsia="zh-CN"/>
        </w:rPr>
      </w:pPr>
      <w:r>
        <w:rPr>
          <w:rFonts w:hint="eastAsia"/>
          <w:b/>
          <w:sz w:val="36"/>
          <w:lang w:val="en-US" w:eastAsia="zh-CN"/>
        </w:rPr>
        <w:t>12、机械设备投入</w:t>
      </w:r>
    </w:p>
    <w:p w14:paraId="635D06F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0" w:rightChars="0"/>
        <w:jc w:val="center"/>
        <w:textAlignment w:val="auto"/>
        <w:rPr>
          <w:b/>
          <w:sz w:val="36"/>
        </w:rPr>
      </w:pPr>
    </w:p>
    <w:p w14:paraId="3C307554">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0" w:rightChars="0" w:firstLine="361" w:firstLineChars="100"/>
        <w:jc w:val="center"/>
        <w:textAlignment w:val="auto"/>
        <w:rPr>
          <w:b/>
          <w:sz w:val="36"/>
        </w:rPr>
      </w:pPr>
      <w:r>
        <w:rPr>
          <w:rFonts w:hint="eastAsia"/>
          <w:b/>
          <w:sz w:val="36"/>
          <w:lang w:val="en-US" w:eastAsia="zh-CN"/>
        </w:rPr>
        <w:t>13、</w:t>
      </w:r>
      <w:r>
        <w:rPr>
          <w:b/>
          <w:sz w:val="36"/>
        </w:rPr>
        <w:t>重点难点分析及应急处理措施方案</w:t>
      </w:r>
    </w:p>
    <w:p w14:paraId="2D7DF98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0" w:rightChars="0"/>
        <w:jc w:val="center"/>
        <w:textAlignment w:val="auto"/>
        <w:rPr>
          <w:b/>
          <w:sz w:val="36"/>
        </w:rPr>
      </w:pPr>
    </w:p>
    <w:p w14:paraId="70A09CFF">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311" w:leftChars="0" w:right="372" w:rightChars="0"/>
        <w:jc w:val="center"/>
        <w:textAlignment w:val="auto"/>
        <w:rPr>
          <w:b/>
          <w:sz w:val="36"/>
        </w:rPr>
      </w:pPr>
      <w:r>
        <w:rPr>
          <w:rFonts w:hint="eastAsia"/>
          <w:b/>
          <w:sz w:val="36"/>
          <w:lang w:val="en-US" w:eastAsia="zh-CN"/>
        </w:rPr>
        <w:t>14、</w:t>
      </w:r>
      <w:r>
        <w:rPr>
          <w:b/>
          <w:sz w:val="36"/>
        </w:rPr>
        <w:t>响应时间承诺</w:t>
      </w:r>
    </w:p>
    <w:p w14:paraId="1665CB5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372" w:rightChars="0"/>
        <w:jc w:val="center"/>
        <w:textAlignment w:val="auto"/>
        <w:rPr>
          <w:b/>
          <w:sz w:val="36"/>
        </w:rPr>
      </w:pPr>
    </w:p>
    <w:p w14:paraId="6DFE932D">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311" w:leftChars="0" w:right="372" w:rightChars="0"/>
        <w:jc w:val="center"/>
        <w:textAlignment w:val="auto"/>
        <w:rPr>
          <w:rFonts w:hint="eastAsia"/>
          <w:b/>
          <w:sz w:val="36"/>
          <w:lang w:val="en-US" w:eastAsia="zh-CN"/>
        </w:rPr>
      </w:pPr>
    </w:p>
    <w:p w14:paraId="19E190C4">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311" w:leftChars="0" w:right="372" w:rightChars="0"/>
        <w:jc w:val="center"/>
        <w:textAlignment w:val="auto"/>
        <w:rPr>
          <w:b/>
          <w:sz w:val="36"/>
        </w:rPr>
      </w:pPr>
      <w:r>
        <w:rPr>
          <w:rFonts w:hint="eastAsia"/>
          <w:b/>
          <w:sz w:val="36"/>
          <w:lang w:val="en-US" w:eastAsia="zh-CN"/>
        </w:rPr>
        <w:t>15、工期提前承诺</w:t>
      </w:r>
    </w:p>
    <w:p w14:paraId="51CD5E51">
      <w:pPr>
        <w:pStyle w:val="8"/>
        <w:keepNext w:val="0"/>
        <w:keepLines w:val="0"/>
        <w:pageBreakBefore w:val="0"/>
        <w:widowControl w:val="0"/>
        <w:kinsoku/>
        <w:wordWrap/>
        <w:overflowPunct/>
        <w:topLinePunct w:val="0"/>
        <w:autoSpaceDE w:val="0"/>
        <w:autoSpaceDN w:val="0"/>
        <w:bidi w:val="0"/>
        <w:adjustRightInd/>
        <w:snapToGrid/>
        <w:spacing w:before="3" w:line="240" w:lineRule="auto"/>
        <w:jc w:val="center"/>
        <w:textAlignment w:val="auto"/>
        <w:rPr>
          <w:b/>
          <w:sz w:val="37"/>
        </w:rPr>
      </w:pPr>
    </w:p>
    <w:p w14:paraId="69757FF7">
      <w:pPr>
        <w:keepNext w:val="0"/>
        <w:keepLines w:val="0"/>
        <w:pageBreakBefore w:val="0"/>
        <w:widowControl w:val="0"/>
        <w:kinsoku/>
        <w:wordWrap/>
        <w:overflowPunct/>
        <w:topLinePunct w:val="0"/>
        <w:autoSpaceDE w:val="0"/>
        <w:autoSpaceDN w:val="0"/>
        <w:bidi w:val="0"/>
        <w:adjustRightInd/>
        <w:snapToGrid/>
        <w:spacing w:before="0" w:line="240" w:lineRule="auto"/>
        <w:ind w:left="311" w:right="372" w:firstLine="0"/>
        <w:jc w:val="center"/>
        <w:textAlignment w:val="auto"/>
        <w:rPr>
          <w:b/>
          <w:sz w:val="36"/>
        </w:rPr>
      </w:pPr>
      <w:r>
        <w:rPr>
          <w:b/>
          <w:sz w:val="36"/>
        </w:rPr>
        <w:t>1</w:t>
      </w:r>
      <w:r>
        <w:rPr>
          <w:rFonts w:hint="eastAsia"/>
          <w:b/>
          <w:sz w:val="36"/>
          <w:lang w:val="en-US" w:eastAsia="zh-CN"/>
        </w:rPr>
        <w:t>6</w:t>
      </w:r>
      <w:r>
        <w:rPr>
          <w:b/>
          <w:sz w:val="36"/>
        </w:rPr>
        <w:t>、投标人认为需要提供的其他材料说明</w:t>
      </w:r>
    </w:p>
    <w:p w14:paraId="6CC32C65">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sz w:val="36"/>
        </w:rPr>
        <w:sectPr>
          <w:pgSz w:w="11910" w:h="16840"/>
          <w:pgMar w:top="1580" w:right="899" w:bottom="1160" w:left="960" w:header="0" w:footer="970" w:gutter="0"/>
          <w:pgNumType w:fmt="decimal"/>
          <w:cols w:space="720" w:num="1"/>
        </w:sectPr>
      </w:pPr>
    </w:p>
    <w:p w14:paraId="205EF7FC">
      <w:pPr>
        <w:pStyle w:val="5"/>
        <w:spacing w:before="32"/>
        <w:ind w:left="287" w:right="0"/>
        <w:jc w:val="left"/>
      </w:pPr>
      <w:r>
        <w:t>附件一：</w:t>
      </w:r>
    </w:p>
    <w:p w14:paraId="457F0674">
      <w:pPr>
        <w:pStyle w:val="8"/>
        <w:rPr>
          <w:b/>
          <w:sz w:val="20"/>
        </w:rPr>
      </w:pPr>
    </w:p>
    <w:p w14:paraId="09A80FFC">
      <w:pPr>
        <w:spacing w:before="213"/>
        <w:ind w:left="309" w:right="372" w:firstLine="0"/>
        <w:jc w:val="center"/>
        <w:rPr>
          <w:b/>
          <w:sz w:val="36"/>
        </w:rPr>
      </w:pPr>
      <w:r>
        <w:rPr>
          <w:b/>
          <w:sz w:val="36"/>
        </w:rPr>
        <w:t>关于印发中小企业划型标准规定的通知</w:t>
      </w:r>
    </w:p>
    <w:p w14:paraId="727DB56A">
      <w:pPr>
        <w:pStyle w:val="8"/>
        <w:spacing w:before="12"/>
        <w:rPr>
          <w:b/>
          <w:sz w:val="29"/>
        </w:rPr>
      </w:pPr>
    </w:p>
    <w:p w14:paraId="76C7FC38">
      <w:pPr>
        <w:pStyle w:val="8"/>
        <w:ind w:left="314" w:right="372"/>
        <w:jc w:val="center"/>
      </w:pPr>
      <w:r>
        <w:t>工信部联企业〔2011〕300 号</w:t>
      </w:r>
    </w:p>
    <w:p w14:paraId="67F7F3E5">
      <w:pPr>
        <w:pStyle w:val="8"/>
        <w:spacing w:before="173"/>
        <w:ind w:left="287"/>
      </w:pPr>
      <w:r>
        <w:t>各省、自治区、直辖市人民政府，国务院各部委、各直属机构及有关单位：</w:t>
      </w:r>
    </w:p>
    <w:p w14:paraId="0B65F16F">
      <w:pPr>
        <w:pStyle w:val="8"/>
        <w:spacing w:before="172" w:line="374" w:lineRule="auto"/>
        <w:ind w:left="287" w:right="338" w:firstLine="480"/>
        <w:jc w:val="both"/>
      </w:pPr>
      <w:r>
        <w:t>为贯彻落实《中华人民共和国中小企业促进法》和《国务院关于进一步促进中小企业发展的若干意见》（国发〔2009〕36</w:t>
      </w:r>
      <w:r>
        <w:rPr>
          <w:spacing w:val="-30"/>
        </w:rPr>
        <w:t xml:space="preserve"> 号</w:t>
      </w:r>
      <w:r>
        <w:t>），</w:t>
      </w:r>
      <w:r>
        <w:rPr>
          <w:spacing w:val="-1"/>
        </w:rPr>
        <w:t>工业和信息化部、国家统计局、发展改革委、</w:t>
      </w:r>
      <w:r>
        <w:t>财政部研究制定了《中小企业划型标准规定》。经国务院同意，现印发给你们，请遵照执行。</w:t>
      </w:r>
    </w:p>
    <w:p w14:paraId="44D15D3E">
      <w:pPr>
        <w:pStyle w:val="8"/>
        <w:spacing w:before="1" w:line="374" w:lineRule="auto"/>
        <w:ind w:left="5808" w:right="2558"/>
      </w:pPr>
      <w:r>
        <w:drawing>
          <wp:anchor distT="0" distB="0" distL="0" distR="0" simplePos="0" relativeHeight="251675648" behindDoc="1" locked="0" layoutInCell="1" hidden="1" allowOverlap="1">
            <wp:simplePos x="0" y="0"/>
            <wp:positionH relativeFrom="page">
              <wp:posOffset>1422400</wp:posOffset>
            </wp:positionH>
            <wp:positionV relativeFrom="paragraph">
              <wp:posOffset>311150</wp:posOffset>
            </wp:positionV>
            <wp:extent cx="4514850" cy="2591435"/>
            <wp:effectExtent l="0" t="0" r="0" b="0"/>
            <wp:wrapNone/>
            <wp:docPr id="109"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t>工业和信息化部国家统计局</w:t>
      </w:r>
    </w:p>
    <w:p w14:paraId="5F24B3BA">
      <w:pPr>
        <w:pStyle w:val="8"/>
        <w:spacing w:before="1" w:line="374" w:lineRule="auto"/>
        <w:ind w:left="5808" w:right="1838"/>
      </w:pPr>
      <w:r>
        <w:t>国家发展和改革委员会财政部</w:t>
      </w:r>
    </w:p>
    <w:p w14:paraId="53DA9068">
      <w:pPr>
        <w:pStyle w:val="8"/>
        <w:spacing w:before="1"/>
        <w:ind w:left="5808"/>
      </w:pPr>
      <w:r>
        <w:t>二○一一年六月十八日</w:t>
      </w:r>
    </w:p>
    <w:p w14:paraId="182C9B5D">
      <w:pPr>
        <w:pStyle w:val="8"/>
      </w:pPr>
    </w:p>
    <w:p w14:paraId="4FACADA7">
      <w:pPr>
        <w:pStyle w:val="8"/>
      </w:pPr>
    </w:p>
    <w:p w14:paraId="571A5B49">
      <w:pPr>
        <w:pStyle w:val="8"/>
        <w:spacing w:before="10"/>
        <w:rPr>
          <w:sz w:val="30"/>
        </w:rPr>
      </w:pPr>
    </w:p>
    <w:p w14:paraId="1CC5A770">
      <w:pPr>
        <w:pStyle w:val="4"/>
        <w:ind w:left="309"/>
      </w:pPr>
      <w:r>
        <w:t>中小企业划型标准规定</w:t>
      </w:r>
    </w:p>
    <w:p w14:paraId="4577C998">
      <w:pPr>
        <w:pStyle w:val="8"/>
        <w:spacing w:before="6"/>
        <w:rPr>
          <w:b/>
          <w:sz w:val="48"/>
        </w:rPr>
      </w:pPr>
    </w:p>
    <w:p w14:paraId="2045ED24">
      <w:pPr>
        <w:pStyle w:val="8"/>
        <w:spacing w:before="1" w:line="374" w:lineRule="auto"/>
        <w:ind w:left="287" w:right="344" w:firstLine="480"/>
      </w:pPr>
      <w:r>
        <w:t>一、根据《中华人民共和国中小企业促进法》和《国务院关于进一步促进中小企业发展的若干意见》（国发〔2009〕36 号），制定本规定。</w:t>
      </w:r>
    </w:p>
    <w:p w14:paraId="3A08274F">
      <w:pPr>
        <w:pStyle w:val="8"/>
        <w:spacing w:line="374" w:lineRule="auto"/>
        <w:ind w:left="287" w:right="344" w:firstLine="480"/>
      </w:pPr>
      <w:r>
        <w:t>二、中小企业划分为中型、小型、微型三种类型，具体标准根据企业从业人员、营业收入、资产总额等指标，结合行业特点制定。</w:t>
      </w:r>
    </w:p>
    <w:p w14:paraId="57B6F2B2">
      <w:pPr>
        <w:pStyle w:val="8"/>
        <w:spacing w:before="1" w:line="374" w:lineRule="auto"/>
        <w:ind w:left="287" w:right="226" w:firstLine="480"/>
      </w:pPr>
      <w:r>
        <w:rPr>
          <w:spacing w:val="-8"/>
        </w:rPr>
        <w:t>三、本规定适用的行业包括：农、林、牧、渔业，工业</w:t>
      </w:r>
      <w:r>
        <w:t>（</w:t>
      </w:r>
      <w:r>
        <w:rPr>
          <w:spacing w:val="-4"/>
        </w:rPr>
        <w:t>包括采矿业，制造业，电力、</w:t>
      </w:r>
      <w:r>
        <w:t>热力、燃气及水生产和供应业），建筑业，批发业，零售业，交通运输业（不含铁路运输业</w:t>
      </w:r>
      <w:r>
        <w:rPr>
          <w:spacing w:val="-9"/>
        </w:rPr>
        <w:t>）</w:t>
      </w:r>
      <w:r>
        <w:rPr>
          <w:spacing w:val="-8"/>
        </w:rPr>
        <w:t>，仓储业，邮政业，住宿业，餐饮业，信息传输业</w:t>
      </w:r>
      <w:r>
        <w:t>（</w:t>
      </w:r>
      <w:r>
        <w:rPr>
          <w:spacing w:val="-2"/>
        </w:rPr>
        <w:t>包括电信、互联网和相关服务</w:t>
      </w:r>
      <w:r>
        <w:rPr>
          <w:spacing w:val="-9"/>
        </w:rPr>
        <w:t xml:space="preserve">）， </w:t>
      </w:r>
      <w:r>
        <w:t>软件和信息技术服务业，房地产开发经营，物业管理，租赁和商务服务业，其他未列明行业（包括科学研究和技术服务业，水利、环境和公共设施管理业，居民服务、修理和其他服务业，社会工作，文化、体育和娱乐业等）。</w:t>
      </w:r>
    </w:p>
    <w:p w14:paraId="6ED8F91A">
      <w:pPr>
        <w:pStyle w:val="8"/>
        <w:spacing w:before="2"/>
        <w:ind w:left="768"/>
      </w:pPr>
      <w:r>
        <w:t>四、各行业划型标准为：</w:t>
      </w:r>
    </w:p>
    <w:p w14:paraId="4A8F9A4D">
      <w:pPr>
        <w:spacing w:after="0"/>
        <w:sectPr>
          <w:pgSz w:w="11910" w:h="16840"/>
          <w:pgMar w:top="1200" w:right="899" w:bottom="1160" w:left="960" w:header="0" w:footer="970" w:gutter="0"/>
          <w:pgNumType w:fmt="decimal"/>
          <w:cols w:space="720" w:num="1"/>
        </w:sectPr>
      </w:pPr>
    </w:p>
    <w:p w14:paraId="3A51FE0D">
      <w:pPr>
        <w:pStyle w:val="8"/>
        <w:spacing w:before="55"/>
        <w:ind w:left="768"/>
      </w:pPr>
      <w:r>
        <w:t>（一）农、林、牧、渔业。营业收入 20000 万元以下的为中小微型企业。其中，营业</w:t>
      </w:r>
    </w:p>
    <w:p w14:paraId="127B5B8A">
      <w:pPr>
        <w:pStyle w:val="8"/>
        <w:spacing w:before="172" w:line="374" w:lineRule="auto"/>
        <w:ind w:left="287" w:right="346"/>
      </w:pPr>
      <w:r>
        <w:rPr>
          <w:spacing w:val="-17"/>
        </w:rPr>
        <w:t xml:space="preserve">收入 </w:t>
      </w:r>
      <w:r>
        <w:t>500</w:t>
      </w:r>
      <w:r>
        <w:rPr>
          <w:spacing w:val="-9"/>
        </w:rPr>
        <w:t xml:space="preserve"> 万元及以上的为中型企业，营业收入 </w:t>
      </w:r>
      <w:r>
        <w:t>50</w:t>
      </w:r>
      <w:r>
        <w:rPr>
          <w:spacing w:val="-9"/>
        </w:rPr>
        <w:t xml:space="preserve"> 万元及以上的为小型企业，营业收入 </w:t>
      </w:r>
      <w:r>
        <w:t>50 万元以下的为微型企业。</w:t>
      </w:r>
    </w:p>
    <w:p w14:paraId="48076159">
      <w:pPr>
        <w:pStyle w:val="8"/>
        <w:spacing w:before="1"/>
        <w:ind w:left="768"/>
      </w:pPr>
      <w:r>
        <w:t>（二</w:t>
      </w:r>
      <w:r>
        <w:rPr>
          <w:spacing w:val="-24"/>
        </w:rPr>
        <w:t>）</w:t>
      </w:r>
      <w:r>
        <w:rPr>
          <w:spacing w:val="-12"/>
        </w:rPr>
        <w:t xml:space="preserve">工业。从业人员 </w:t>
      </w:r>
      <w:r>
        <w:t>1000</w:t>
      </w:r>
      <w:r>
        <w:rPr>
          <w:spacing w:val="-14"/>
        </w:rPr>
        <w:t xml:space="preserve"> 人以下或营业收入 </w:t>
      </w:r>
      <w:r>
        <w:t>40000</w:t>
      </w:r>
      <w:r>
        <w:rPr>
          <w:spacing w:val="-9"/>
        </w:rPr>
        <w:t xml:space="preserve"> 万元以下的为中小微型企业。其</w:t>
      </w:r>
    </w:p>
    <w:p w14:paraId="14A36126">
      <w:pPr>
        <w:pStyle w:val="8"/>
        <w:spacing w:before="172"/>
        <w:ind w:left="287"/>
      </w:pPr>
      <w:r>
        <w:rPr>
          <w:spacing w:val="-8"/>
        </w:rPr>
        <w:t xml:space="preserve">中，从业人员 </w:t>
      </w:r>
      <w:r>
        <w:t>300</w:t>
      </w:r>
      <w:r>
        <w:rPr>
          <w:spacing w:val="-12"/>
        </w:rPr>
        <w:t xml:space="preserve"> 人及以上，且营业收入 </w:t>
      </w:r>
      <w:r>
        <w:t>2000</w:t>
      </w:r>
      <w:r>
        <w:rPr>
          <w:spacing w:val="-11"/>
        </w:rPr>
        <w:t xml:space="preserve"> 万元及以上的为中型企业；从业人员 </w:t>
      </w:r>
      <w:r>
        <w:t>20</w:t>
      </w:r>
      <w:r>
        <w:rPr>
          <w:spacing w:val="-26"/>
        </w:rPr>
        <w:t xml:space="preserve"> 人</w:t>
      </w:r>
    </w:p>
    <w:p w14:paraId="39A42913">
      <w:pPr>
        <w:pStyle w:val="8"/>
        <w:spacing w:before="173" w:line="374" w:lineRule="auto"/>
        <w:ind w:left="287" w:right="346"/>
      </w:pPr>
      <w:r>
        <w:rPr>
          <w:spacing w:val="-12"/>
        </w:rPr>
        <w:t xml:space="preserve">及以上，且营业收入 </w:t>
      </w:r>
      <w:r>
        <w:t>300</w:t>
      </w:r>
      <w:r>
        <w:rPr>
          <w:spacing w:val="-13"/>
        </w:rPr>
        <w:t xml:space="preserve"> 万元及以上的为小型企业；从业人员 </w:t>
      </w:r>
      <w:r>
        <w:t>20</w:t>
      </w:r>
      <w:r>
        <w:rPr>
          <w:spacing w:val="-14"/>
        </w:rPr>
        <w:t xml:space="preserve"> 人以下或营业收入 </w:t>
      </w:r>
      <w:r>
        <w:t>300</w:t>
      </w:r>
      <w:r>
        <w:rPr>
          <w:spacing w:val="-38"/>
        </w:rPr>
        <w:t xml:space="preserve"> 万</w:t>
      </w:r>
      <w:r>
        <w:t>元以下的为微型企业。</w:t>
      </w:r>
    </w:p>
    <w:p w14:paraId="2A6C4463">
      <w:pPr>
        <w:pStyle w:val="8"/>
        <w:ind w:left="768"/>
      </w:pPr>
      <w:r>
        <w:t>（三）</w:t>
      </w:r>
      <w:r>
        <w:rPr>
          <w:spacing w:val="-6"/>
        </w:rPr>
        <w:t xml:space="preserve">建筑业。营业收入 </w:t>
      </w:r>
      <w:r>
        <w:t>80000</w:t>
      </w:r>
      <w:r>
        <w:rPr>
          <w:spacing w:val="-12"/>
        </w:rPr>
        <w:t xml:space="preserve"> 万元以下或资产总额 </w:t>
      </w:r>
      <w:r>
        <w:t>80000</w:t>
      </w:r>
      <w:r>
        <w:rPr>
          <w:spacing w:val="-8"/>
        </w:rPr>
        <w:t xml:space="preserve"> 万元以下的为中小微型企</w:t>
      </w:r>
    </w:p>
    <w:p w14:paraId="0F5D9D69">
      <w:pPr>
        <w:pStyle w:val="8"/>
        <w:spacing w:before="173"/>
        <w:ind w:left="287"/>
      </w:pPr>
      <w:r>
        <w:rPr>
          <w:spacing w:val="-6"/>
        </w:rPr>
        <w:t xml:space="preserve">业。其中，营业收入 </w:t>
      </w:r>
      <w:r>
        <w:t>6000</w:t>
      </w:r>
      <w:r>
        <w:rPr>
          <w:spacing w:val="-12"/>
        </w:rPr>
        <w:t xml:space="preserve"> 万元及以上，且资产总额 </w:t>
      </w:r>
      <w:r>
        <w:t>5000</w:t>
      </w:r>
      <w:r>
        <w:rPr>
          <w:spacing w:val="-7"/>
        </w:rPr>
        <w:t xml:space="preserve"> 万元及以上的为中型企业；营业</w:t>
      </w:r>
    </w:p>
    <w:p w14:paraId="3A0E79BC">
      <w:pPr>
        <w:pStyle w:val="8"/>
        <w:spacing w:before="172"/>
        <w:ind w:left="287"/>
      </w:pPr>
      <w:r>
        <w:rPr>
          <w:spacing w:val="-20"/>
        </w:rPr>
        <w:t xml:space="preserve">收入 </w:t>
      </w:r>
      <w:r>
        <w:t>300</w:t>
      </w:r>
      <w:r>
        <w:rPr>
          <w:spacing w:val="-12"/>
        </w:rPr>
        <w:t xml:space="preserve"> 万元及以上，且资产总额 </w:t>
      </w:r>
      <w:r>
        <w:t>300</w:t>
      </w:r>
      <w:r>
        <w:rPr>
          <w:spacing w:val="-11"/>
        </w:rPr>
        <w:t xml:space="preserve"> 万元及以上的为小型企业；营业收入 </w:t>
      </w:r>
      <w:r>
        <w:t>300</w:t>
      </w:r>
      <w:r>
        <w:rPr>
          <w:spacing w:val="-12"/>
        </w:rPr>
        <w:t xml:space="preserve"> 万元以下</w:t>
      </w:r>
    </w:p>
    <w:p w14:paraId="5EECF1C7">
      <w:pPr>
        <w:pStyle w:val="8"/>
        <w:spacing w:before="173"/>
        <w:ind w:left="287"/>
      </w:pPr>
      <w:r>
        <w:drawing>
          <wp:anchor distT="0" distB="0" distL="0" distR="0" simplePos="0" relativeHeight="251676672" behindDoc="1" locked="0" layoutInCell="1" hidden="1" allowOverlap="1">
            <wp:simplePos x="0" y="0"/>
            <wp:positionH relativeFrom="page">
              <wp:posOffset>1422400</wp:posOffset>
            </wp:positionH>
            <wp:positionV relativeFrom="paragraph">
              <wp:posOffset>205740</wp:posOffset>
            </wp:positionV>
            <wp:extent cx="4514850" cy="2591435"/>
            <wp:effectExtent l="0" t="0" r="0" b="0"/>
            <wp:wrapNone/>
            <wp:docPr id="111"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t>或资产总额 300 万元以下的为微型企业。</w:t>
      </w:r>
    </w:p>
    <w:p w14:paraId="2D54ABC9">
      <w:pPr>
        <w:pStyle w:val="8"/>
        <w:spacing w:before="172"/>
        <w:ind w:left="768"/>
      </w:pPr>
      <w:r>
        <w:t>（四）</w:t>
      </w:r>
      <w:r>
        <w:rPr>
          <w:spacing w:val="-6"/>
        </w:rPr>
        <w:t xml:space="preserve">批发业。从业人员 </w:t>
      </w:r>
      <w:r>
        <w:t>200</w:t>
      </w:r>
      <w:r>
        <w:rPr>
          <w:spacing w:val="-13"/>
        </w:rPr>
        <w:t xml:space="preserve"> 人以下或营业收入 </w:t>
      </w:r>
      <w:r>
        <w:t>40000</w:t>
      </w:r>
      <w:r>
        <w:rPr>
          <w:spacing w:val="-7"/>
        </w:rPr>
        <w:t xml:space="preserve"> 万元以下的为中小微型企业。</w:t>
      </w:r>
    </w:p>
    <w:p w14:paraId="20E845FF">
      <w:pPr>
        <w:pStyle w:val="8"/>
        <w:spacing w:before="173"/>
        <w:ind w:left="287"/>
      </w:pPr>
      <w:r>
        <w:rPr>
          <w:spacing w:val="-7"/>
        </w:rPr>
        <w:t xml:space="preserve">其中，从业人员 </w:t>
      </w:r>
      <w:r>
        <w:t>20</w:t>
      </w:r>
      <w:r>
        <w:rPr>
          <w:spacing w:val="-12"/>
        </w:rPr>
        <w:t xml:space="preserve"> 人及以上，且营业收入 </w:t>
      </w:r>
      <w:r>
        <w:t>5000</w:t>
      </w:r>
      <w:r>
        <w:rPr>
          <w:spacing w:val="-11"/>
        </w:rPr>
        <w:t xml:space="preserve"> 万元及以上的为中型企业；从业人员 </w:t>
      </w:r>
      <w:r>
        <w:t>5</w:t>
      </w:r>
      <w:r>
        <w:rPr>
          <w:spacing w:val="-26"/>
        </w:rPr>
        <w:t xml:space="preserve"> 人</w:t>
      </w:r>
    </w:p>
    <w:p w14:paraId="78672F79">
      <w:pPr>
        <w:pStyle w:val="8"/>
        <w:spacing w:before="172" w:line="374" w:lineRule="auto"/>
        <w:ind w:left="287" w:right="346"/>
      </w:pPr>
      <w:r>
        <w:rPr>
          <w:spacing w:val="-6"/>
        </w:rPr>
        <w:t xml:space="preserve">及以上，且营业收入 </w:t>
      </w:r>
      <w:r>
        <w:t>1000</w:t>
      </w:r>
      <w:r>
        <w:rPr>
          <w:spacing w:val="-9"/>
        </w:rPr>
        <w:t xml:space="preserve"> 万元及以上的为小型企业；从业人员 </w:t>
      </w:r>
      <w:r>
        <w:t>5</w:t>
      </w:r>
      <w:r>
        <w:rPr>
          <w:spacing w:val="-12"/>
        </w:rPr>
        <w:t xml:space="preserve"> 人以下或营业收入 </w:t>
      </w:r>
      <w:r>
        <w:t>1000 万元以下的为微型企业。</w:t>
      </w:r>
    </w:p>
    <w:p w14:paraId="0E27ADC9">
      <w:pPr>
        <w:pStyle w:val="8"/>
        <w:spacing w:before="1"/>
        <w:ind w:left="768"/>
      </w:pPr>
      <w:r>
        <w:t>（五）</w:t>
      </w:r>
      <w:r>
        <w:rPr>
          <w:spacing w:val="-6"/>
        </w:rPr>
        <w:t xml:space="preserve">零售业。从业人员 </w:t>
      </w:r>
      <w:r>
        <w:t>300</w:t>
      </w:r>
      <w:r>
        <w:rPr>
          <w:spacing w:val="-13"/>
        </w:rPr>
        <w:t xml:space="preserve"> 人以下或营业收入 </w:t>
      </w:r>
      <w:r>
        <w:t>20000</w:t>
      </w:r>
      <w:r>
        <w:rPr>
          <w:spacing w:val="-7"/>
        </w:rPr>
        <w:t xml:space="preserve"> 万元以下的为中小微型企业。</w:t>
      </w:r>
    </w:p>
    <w:p w14:paraId="00931C0D">
      <w:pPr>
        <w:pStyle w:val="8"/>
        <w:spacing w:before="172"/>
        <w:ind w:left="287"/>
      </w:pPr>
      <w:r>
        <w:rPr>
          <w:spacing w:val="-7"/>
        </w:rPr>
        <w:t xml:space="preserve">其中，从业人员 </w:t>
      </w:r>
      <w:r>
        <w:t>50</w:t>
      </w:r>
      <w:r>
        <w:rPr>
          <w:spacing w:val="-12"/>
        </w:rPr>
        <w:t xml:space="preserve"> 人及以上，且营业收入 </w:t>
      </w:r>
      <w:r>
        <w:t>500</w:t>
      </w:r>
      <w:r>
        <w:rPr>
          <w:spacing w:val="-11"/>
        </w:rPr>
        <w:t xml:space="preserve"> 万元及以上的为中型企业；从业人员 </w:t>
      </w:r>
      <w:r>
        <w:t>10</w:t>
      </w:r>
      <w:r>
        <w:rPr>
          <w:spacing w:val="-26"/>
        </w:rPr>
        <w:t xml:space="preserve"> 人</w:t>
      </w:r>
    </w:p>
    <w:p w14:paraId="0FE87D89">
      <w:pPr>
        <w:pStyle w:val="8"/>
        <w:spacing w:before="173" w:line="374" w:lineRule="auto"/>
        <w:ind w:left="287" w:right="346"/>
      </w:pPr>
      <w:r>
        <w:rPr>
          <w:spacing w:val="-12"/>
        </w:rPr>
        <w:t xml:space="preserve">及以上，且营业收入 </w:t>
      </w:r>
      <w:r>
        <w:t>100</w:t>
      </w:r>
      <w:r>
        <w:rPr>
          <w:spacing w:val="-13"/>
        </w:rPr>
        <w:t xml:space="preserve"> 万元及以上的为小型企业；从业人员 </w:t>
      </w:r>
      <w:r>
        <w:t>10</w:t>
      </w:r>
      <w:r>
        <w:rPr>
          <w:spacing w:val="-14"/>
        </w:rPr>
        <w:t xml:space="preserve"> 人以下或营业收入 </w:t>
      </w:r>
      <w:r>
        <w:t>100</w:t>
      </w:r>
      <w:r>
        <w:rPr>
          <w:spacing w:val="-38"/>
        </w:rPr>
        <w:t xml:space="preserve"> 万</w:t>
      </w:r>
      <w:r>
        <w:t>元以下的为微型企业。</w:t>
      </w:r>
    </w:p>
    <w:p w14:paraId="1F70F53C">
      <w:pPr>
        <w:pStyle w:val="8"/>
        <w:spacing w:before="1"/>
        <w:ind w:left="768"/>
      </w:pPr>
      <w:r>
        <w:t>（六</w:t>
      </w:r>
      <w:r>
        <w:rPr>
          <w:spacing w:val="-36"/>
        </w:rPr>
        <w:t>）</w:t>
      </w:r>
      <w:r>
        <w:rPr>
          <w:spacing w:val="-11"/>
        </w:rPr>
        <w:t xml:space="preserve">交通运输业。从业人员 </w:t>
      </w:r>
      <w:r>
        <w:t>1000</w:t>
      </w:r>
      <w:r>
        <w:rPr>
          <w:spacing w:val="-14"/>
        </w:rPr>
        <w:t xml:space="preserve"> 人以下或营业收入 </w:t>
      </w:r>
      <w:r>
        <w:t>30000</w:t>
      </w:r>
      <w:r>
        <w:rPr>
          <w:spacing w:val="-8"/>
        </w:rPr>
        <w:t xml:space="preserve"> 万元以下的为中小微型企</w:t>
      </w:r>
    </w:p>
    <w:p w14:paraId="38097A77">
      <w:pPr>
        <w:pStyle w:val="8"/>
        <w:spacing w:before="172"/>
        <w:ind w:left="287"/>
      </w:pPr>
      <w:r>
        <w:rPr>
          <w:spacing w:val="-13"/>
        </w:rPr>
        <w:t xml:space="preserve">业。其中，从业人员 </w:t>
      </w:r>
      <w:r>
        <w:t>300</w:t>
      </w:r>
      <w:r>
        <w:rPr>
          <w:spacing w:val="-14"/>
        </w:rPr>
        <w:t xml:space="preserve"> 人及以上，且营业收入 </w:t>
      </w:r>
      <w:r>
        <w:t>3000</w:t>
      </w:r>
      <w:r>
        <w:rPr>
          <w:spacing w:val="-9"/>
        </w:rPr>
        <w:t xml:space="preserve"> 万元及以上的为中型企业；从业人员</w:t>
      </w:r>
    </w:p>
    <w:p w14:paraId="5800244E">
      <w:pPr>
        <w:pStyle w:val="8"/>
        <w:spacing w:before="173"/>
        <w:ind w:left="287"/>
      </w:pPr>
      <w:r>
        <w:t>20</w:t>
      </w:r>
      <w:r>
        <w:rPr>
          <w:spacing w:val="-10"/>
        </w:rPr>
        <w:t xml:space="preserve"> 人及以上，且营业收入 </w:t>
      </w:r>
      <w:r>
        <w:t>200</w:t>
      </w:r>
      <w:r>
        <w:rPr>
          <w:spacing w:val="-9"/>
        </w:rPr>
        <w:t xml:space="preserve"> 万元及以上的为小型企业；从业人员 </w:t>
      </w:r>
      <w:r>
        <w:t>20</w:t>
      </w:r>
      <w:r>
        <w:rPr>
          <w:spacing w:val="-7"/>
        </w:rPr>
        <w:t xml:space="preserve"> 人以下或营业收入</w:t>
      </w:r>
    </w:p>
    <w:p w14:paraId="7A1F3A49">
      <w:pPr>
        <w:pStyle w:val="8"/>
        <w:spacing w:before="172"/>
        <w:ind w:left="287"/>
      </w:pPr>
      <w:r>
        <w:t>200 万元以下的为微型企业。</w:t>
      </w:r>
    </w:p>
    <w:p w14:paraId="34927C10">
      <w:pPr>
        <w:pStyle w:val="8"/>
        <w:spacing w:before="173"/>
        <w:ind w:left="768"/>
      </w:pPr>
      <w:r>
        <w:t>（七）</w:t>
      </w:r>
      <w:r>
        <w:rPr>
          <w:spacing w:val="-6"/>
        </w:rPr>
        <w:t xml:space="preserve">仓储业。从业人员 </w:t>
      </w:r>
      <w:r>
        <w:t>200</w:t>
      </w:r>
      <w:r>
        <w:rPr>
          <w:spacing w:val="-13"/>
        </w:rPr>
        <w:t xml:space="preserve"> 人以下或营业收入 </w:t>
      </w:r>
      <w:r>
        <w:t>30000</w:t>
      </w:r>
      <w:r>
        <w:rPr>
          <w:spacing w:val="-7"/>
        </w:rPr>
        <w:t xml:space="preserve"> 万元以下的为中小微型企业。</w:t>
      </w:r>
    </w:p>
    <w:p w14:paraId="4F561C59">
      <w:pPr>
        <w:pStyle w:val="8"/>
        <w:spacing w:before="172"/>
        <w:ind w:left="287"/>
      </w:pPr>
      <w:r>
        <w:rPr>
          <w:spacing w:val="-7"/>
        </w:rPr>
        <w:t xml:space="preserve">其中，从业人员 </w:t>
      </w:r>
      <w:r>
        <w:t>100</w:t>
      </w:r>
      <w:r>
        <w:rPr>
          <w:spacing w:val="-10"/>
        </w:rPr>
        <w:t xml:space="preserve"> 人及以上，且营业收入 </w:t>
      </w:r>
      <w:r>
        <w:t>1000</w:t>
      </w:r>
      <w:r>
        <w:rPr>
          <w:spacing w:val="-9"/>
        </w:rPr>
        <w:t xml:space="preserve"> 万元及以上的为中型企业；从业人员 </w:t>
      </w:r>
      <w:r>
        <w:t>20</w:t>
      </w:r>
    </w:p>
    <w:p w14:paraId="2766EAF2">
      <w:pPr>
        <w:pStyle w:val="8"/>
        <w:spacing w:before="173" w:line="374" w:lineRule="auto"/>
        <w:ind w:left="287" w:right="346"/>
      </w:pPr>
      <w:r>
        <w:rPr>
          <w:spacing w:val="-7"/>
        </w:rPr>
        <w:t xml:space="preserve">人及以上，且营业收入 </w:t>
      </w:r>
      <w:r>
        <w:t>100</w:t>
      </w:r>
      <w:r>
        <w:rPr>
          <w:spacing w:val="-11"/>
        </w:rPr>
        <w:t xml:space="preserve"> 万元及以上的为小型企业；从业人员 </w:t>
      </w:r>
      <w:r>
        <w:t>20</w:t>
      </w:r>
      <w:r>
        <w:rPr>
          <w:spacing w:val="-14"/>
        </w:rPr>
        <w:t xml:space="preserve"> 人以下或营业收入 </w:t>
      </w:r>
      <w:r>
        <w:rPr>
          <w:spacing w:val="-5"/>
        </w:rPr>
        <w:t xml:space="preserve">100 </w:t>
      </w:r>
      <w:r>
        <w:t>万元以下的为微型企业。</w:t>
      </w:r>
    </w:p>
    <w:p w14:paraId="7BF14745">
      <w:pPr>
        <w:pStyle w:val="8"/>
        <w:ind w:left="768"/>
      </w:pPr>
      <w:r>
        <w:t>（八）邮政业。从业人员 1000 人以下或营业收入 30000 万元以下的为中小微型企业。</w:t>
      </w:r>
    </w:p>
    <w:p w14:paraId="40911352">
      <w:pPr>
        <w:pStyle w:val="8"/>
        <w:spacing w:before="173"/>
        <w:ind w:left="287"/>
      </w:pPr>
      <w:r>
        <w:t>其中，从业人员 300 人及以上，且营业收入 2000 万元及以上的为中型企业；从业人员 20</w:t>
      </w:r>
    </w:p>
    <w:p w14:paraId="760664EB">
      <w:pPr>
        <w:spacing w:after="0"/>
        <w:sectPr>
          <w:pgSz w:w="11910" w:h="16840"/>
          <w:pgMar w:top="1320" w:right="899" w:bottom="1160" w:left="960" w:header="0" w:footer="970" w:gutter="0"/>
          <w:pgNumType w:fmt="decimal"/>
          <w:cols w:space="720" w:num="1"/>
        </w:sectPr>
      </w:pPr>
    </w:p>
    <w:p w14:paraId="431F34C8">
      <w:pPr>
        <w:pStyle w:val="8"/>
        <w:spacing w:before="55" w:line="374" w:lineRule="auto"/>
        <w:ind w:left="287" w:right="346"/>
      </w:pPr>
      <w:r>
        <w:rPr>
          <w:spacing w:val="-7"/>
        </w:rPr>
        <w:t xml:space="preserve">人及以上，且营业收入 </w:t>
      </w:r>
      <w:r>
        <w:t>100</w:t>
      </w:r>
      <w:r>
        <w:rPr>
          <w:spacing w:val="-11"/>
        </w:rPr>
        <w:t xml:space="preserve"> 万元及以上的为小型企业；从业人员 </w:t>
      </w:r>
      <w:r>
        <w:t>20</w:t>
      </w:r>
      <w:r>
        <w:rPr>
          <w:spacing w:val="-14"/>
        </w:rPr>
        <w:t xml:space="preserve"> 人以下或营业收入 </w:t>
      </w:r>
      <w:r>
        <w:rPr>
          <w:spacing w:val="-5"/>
        </w:rPr>
        <w:t xml:space="preserve">100 </w:t>
      </w:r>
      <w:r>
        <w:t>万元以下的为微型企业。</w:t>
      </w:r>
    </w:p>
    <w:p w14:paraId="18DAF0C4">
      <w:pPr>
        <w:pStyle w:val="8"/>
        <w:ind w:left="768"/>
      </w:pPr>
      <w:r>
        <w:t>（九）</w:t>
      </w:r>
      <w:r>
        <w:rPr>
          <w:spacing w:val="-6"/>
        </w:rPr>
        <w:t xml:space="preserve">住宿业。从业人员 </w:t>
      </w:r>
      <w:r>
        <w:t>300</w:t>
      </w:r>
      <w:r>
        <w:rPr>
          <w:spacing w:val="-13"/>
        </w:rPr>
        <w:t xml:space="preserve"> 人以下或营业收入 </w:t>
      </w:r>
      <w:r>
        <w:t>10000</w:t>
      </w:r>
      <w:r>
        <w:rPr>
          <w:spacing w:val="-7"/>
        </w:rPr>
        <w:t xml:space="preserve"> 万元以下的为中小微型企业。</w:t>
      </w:r>
    </w:p>
    <w:p w14:paraId="22BD93EB">
      <w:pPr>
        <w:pStyle w:val="8"/>
        <w:spacing w:before="173"/>
        <w:ind w:left="287"/>
      </w:pPr>
      <w:r>
        <w:rPr>
          <w:spacing w:val="-7"/>
        </w:rPr>
        <w:t xml:space="preserve">其中，从业人员 </w:t>
      </w:r>
      <w:r>
        <w:t>100</w:t>
      </w:r>
      <w:r>
        <w:rPr>
          <w:spacing w:val="-10"/>
        </w:rPr>
        <w:t xml:space="preserve"> 人及以上，且营业收入 </w:t>
      </w:r>
      <w:r>
        <w:t>2000</w:t>
      </w:r>
      <w:r>
        <w:rPr>
          <w:spacing w:val="-9"/>
        </w:rPr>
        <w:t xml:space="preserve"> 万元及以上的为中型企业；从业人员 </w:t>
      </w:r>
      <w:r>
        <w:t>10</w:t>
      </w:r>
    </w:p>
    <w:p w14:paraId="036DC175">
      <w:pPr>
        <w:pStyle w:val="8"/>
        <w:spacing w:before="172" w:line="374" w:lineRule="auto"/>
        <w:ind w:left="287" w:right="346"/>
      </w:pPr>
      <w:r>
        <w:rPr>
          <w:spacing w:val="-7"/>
        </w:rPr>
        <w:t xml:space="preserve">人及以上，且营业收入 </w:t>
      </w:r>
      <w:r>
        <w:t>100</w:t>
      </w:r>
      <w:r>
        <w:rPr>
          <w:spacing w:val="-11"/>
        </w:rPr>
        <w:t xml:space="preserve"> 万元及以上的为小型企业；从业人员 </w:t>
      </w:r>
      <w:r>
        <w:t>10</w:t>
      </w:r>
      <w:r>
        <w:rPr>
          <w:spacing w:val="-14"/>
        </w:rPr>
        <w:t xml:space="preserve"> 人以下或营业收入 </w:t>
      </w:r>
      <w:r>
        <w:rPr>
          <w:spacing w:val="-5"/>
        </w:rPr>
        <w:t xml:space="preserve">100 </w:t>
      </w:r>
      <w:r>
        <w:t>万元以下的为微型企业。</w:t>
      </w:r>
    </w:p>
    <w:p w14:paraId="727C190D">
      <w:pPr>
        <w:pStyle w:val="8"/>
        <w:spacing w:before="1"/>
        <w:ind w:left="768"/>
      </w:pPr>
      <w:r>
        <w:t>（十）</w:t>
      </w:r>
      <w:r>
        <w:rPr>
          <w:spacing w:val="-6"/>
        </w:rPr>
        <w:t xml:space="preserve">餐饮业。从业人员 </w:t>
      </w:r>
      <w:r>
        <w:t>300</w:t>
      </w:r>
      <w:r>
        <w:rPr>
          <w:spacing w:val="-13"/>
        </w:rPr>
        <w:t xml:space="preserve"> 人以下或营业收入 </w:t>
      </w:r>
      <w:r>
        <w:t>10000</w:t>
      </w:r>
      <w:r>
        <w:rPr>
          <w:spacing w:val="-7"/>
        </w:rPr>
        <w:t xml:space="preserve"> 万元以下的为中小微型企业。</w:t>
      </w:r>
    </w:p>
    <w:p w14:paraId="2E6E3DDE">
      <w:pPr>
        <w:pStyle w:val="8"/>
        <w:spacing w:before="172"/>
        <w:ind w:left="287"/>
      </w:pPr>
      <w:r>
        <w:rPr>
          <w:spacing w:val="-7"/>
        </w:rPr>
        <w:t xml:space="preserve">其中，从业人员 </w:t>
      </w:r>
      <w:r>
        <w:t>100</w:t>
      </w:r>
      <w:r>
        <w:rPr>
          <w:spacing w:val="-10"/>
        </w:rPr>
        <w:t xml:space="preserve"> 人及以上，且营业收入 </w:t>
      </w:r>
      <w:r>
        <w:t>2000</w:t>
      </w:r>
      <w:r>
        <w:rPr>
          <w:spacing w:val="-9"/>
        </w:rPr>
        <w:t xml:space="preserve"> 万元及以上的为中型企业；从业人员 </w:t>
      </w:r>
      <w:r>
        <w:t>10</w:t>
      </w:r>
    </w:p>
    <w:p w14:paraId="4E334775">
      <w:pPr>
        <w:pStyle w:val="8"/>
        <w:spacing w:before="173" w:line="374" w:lineRule="auto"/>
        <w:ind w:left="287" w:right="346"/>
      </w:pPr>
      <w:r>
        <w:rPr>
          <w:spacing w:val="-7"/>
        </w:rPr>
        <w:t xml:space="preserve">人及以上，且营业收入 </w:t>
      </w:r>
      <w:r>
        <w:t>100</w:t>
      </w:r>
      <w:r>
        <w:rPr>
          <w:spacing w:val="-11"/>
        </w:rPr>
        <w:t xml:space="preserve"> 万元及以上的为小型企业；从业人员 </w:t>
      </w:r>
      <w:r>
        <w:t>10</w:t>
      </w:r>
      <w:r>
        <w:rPr>
          <w:spacing w:val="-14"/>
        </w:rPr>
        <w:t xml:space="preserve"> 人以下或营业收入 </w:t>
      </w:r>
      <w:r>
        <w:rPr>
          <w:spacing w:val="-5"/>
        </w:rPr>
        <w:t xml:space="preserve">100 </w:t>
      </w:r>
      <w:r>
        <w:t>万元以下的为微型企业。</w:t>
      </w:r>
    </w:p>
    <w:p w14:paraId="4B7BF867">
      <w:pPr>
        <w:pStyle w:val="8"/>
        <w:ind w:left="768"/>
      </w:pPr>
      <w:r>
        <w:drawing>
          <wp:anchor distT="0" distB="0" distL="0" distR="0" simplePos="0" relativeHeight="251677696" behindDoc="1" locked="0" layoutInCell="1" hidden="1" allowOverlap="1">
            <wp:simplePos x="0" y="0"/>
            <wp:positionH relativeFrom="page">
              <wp:posOffset>1422400</wp:posOffset>
            </wp:positionH>
            <wp:positionV relativeFrom="paragraph">
              <wp:posOffset>95885</wp:posOffset>
            </wp:positionV>
            <wp:extent cx="4514850" cy="2591435"/>
            <wp:effectExtent l="0" t="0" r="0" b="0"/>
            <wp:wrapNone/>
            <wp:docPr id="113"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t>（十一）</w:t>
      </w:r>
      <w:r>
        <w:rPr>
          <w:spacing w:val="-5"/>
        </w:rPr>
        <w:t xml:space="preserve">信息传输业。从业人员 </w:t>
      </w:r>
      <w:r>
        <w:t>2000</w:t>
      </w:r>
      <w:r>
        <w:rPr>
          <w:spacing w:val="-12"/>
        </w:rPr>
        <w:t xml:space="preserve"> 人以下或营业收入 </w:t>
      </w:r>
      <w:r>
        <w:t>100000</w:t>
      </w:r>
      <w:r>
        <w:rPr>
          <w:spacing w:val="-7"/>
        </w:rPr>
        <w:t xml:space="preserve"> 万元以下的为中小微</w:t>
      </w:r>
    </w:p>
    <w:p w14:paraId="72830DD2">
      <w:pPr>
        <w:pStyle w:val="8"/>
        <w:spacing w:before="173"/>
        <w:ind w:left="287"/>
      </w:pPr>
      <w:r>
        <w:rPr>
          <w:spacing w:val="-11"/>
        </w:rPr>
        <w:t xml:space="preserve">型企业。其中，从业人员 </w:t>
      </w:r>
      <w:r>
        <w:t>100</w:t>
      </w:r>
      <w:r>
        <w:rPr>
          <w:spacing w:val="-14"/>
        </w:rPr>
        <w:t xml:space="preserve"> 人及以上，且营业收入 </w:t>
      </w:r>
      <w:r>
        <w:t>1000</w:t>
      </w:r>
      <w:r>
        <w:rPr>
          <w:spacing w:val="-9"/>
        </w:rPr>
        <w:t xml:space="preserve"> 万元及以上的为中型企业；从业</w:t>
      </w:r>
    </w:p>
    <w:p w14:paraId="32269594">
      <w:pPr>
        <w:pStyle w:val="8"/>
        <w:spacing w:before="172"/>
        <w:ind w:left="287"/>
      </w:pPr>
      <w:r>
        <w:rPr>
          <w:spacing w:val="-20"/>
        </w:rPr>
        <w:t xml:space="preserve">人员 </w:t>
      </w:r>
      <w:r>
        <w:t>10</w:t>
      </w:r>
      <w:r>
        <w:rPr>
          <w:spacing w:val="-12"/>
        </w:rPr>
        <w:t xml:space="preserve"> 人及以上，且营业收入 </w:t>
      </w:r>
      <w:r>
        <w:t>100</w:t>
      </w:r>
      <w:r>
        <w:rPr>
          <w:spacing w:val="-11"/>
        </w:rPr>
        <w:t xml:space="preserve"> 万元及以上的为小型企业；从业人员 </w:t>
      </w:r>
      <w:r>
        <w:t>10</w:t>
      </w:r>
      <w:r>
        <w:rPr>
          <w:spacing w:val="-9"/>
        </w:rPr>
        <w:t xml:space="preserve"> 人以下或营业</w:t>
      </w:r>
    </w:p>
    <w:p w14:paraId="354365AF">
      <w:pPr>
        <w:pStyle w:val="8"/>
        <w:spacing w:before="173"/>
        <w:ind w:left="287"/>
      </w:pPr>
      <w:r>
        <w:t>收入 100 万元以下的为微型企业。</w:t>
      </w:r>
    </w:p>
    <w:p w14:paraId="28727EC5">
      <w:pPr>
        <w:pStyle w:val="8"/>
        <w:spacing w:before="172"/>
        <w:ind w:left="768"/>
      </w:pPr>
      <w:r>
        <w:t>（十二）</w:t>
      </w:r>
      <w:r>
        <w:rPr>
          <w:spacing w:val="-4"/>
        </w:rPr>
        <w:t xml:space="preserve">软件和信息技术服务业。从业人员 </w:t>
      </w:r>
      <w:r>
        <w:t>300</w:t>
      </w:r>
      <w:r>
        <w:rPr>
          <w:spacing w:val="-12"/>
        </w:rPr>
        <w:t xml:space="preserve"> 人以下或营业收入 </w:t>
      </w:r>
      <w:r>
        <w:t>10000</w:t>
      </w:r>
      <w:r>
        <w:rPr>
          <w:spacing w:val="-10"/>
        </w:rPr>
        <w:t xml:space="preserve"> 万元以下的</w:t>
      </w:r>
    </w:p>
    <w:p w14:paraId="72F7E0C8">
      <w:pPr>
        <w:pStyle w:val="8"/>
        <w:spacing w:before="173"/>
        <w:ind w:left="287"/>
      </w:pPr>
      <w:r>
        <w:rPr>
          <w:spacing w:val="-9"/>
        </w:rPr>
        <w:t xml:space="preserve">为中小微型企业。其中，从业人员 </w:t>
      </w:r>
      <w:r>
        <w:t>100</w:t>
      </w:r>
      <w:r>
        <w:rPr>
          <w:spacing w:val="-14"/>
        </w:rPr>
        <w:t xml:space="preserve"> 人及以上，且营业收入 </w:t>
      </w:r>
      <w:r>
        <w:t>1000</w:t>
      </w:r>
      <w:r>
        <w:rPr>
          <w:spacing w:val="-8"/>
        </w:rPr>
        <w:t xml:space="preserve"> 万元及以上的为中型企</w:t>
      </w:r>
    </w:p>
    <w:p w14:paraId="6C5D2B3A">
      <w:pPr>
        <w:pStyle w:val="8"/>
        <w:spacing w:before="172"/>
        <w:ind w:left="287"/>
      </w:pPr>
      <w:r>
        <w:rPr>
          <w:spacing w:val="-13"/>
        </w:rPr>
        <w:t xml:space="preserve">业；从业人员 </w:t>
      </w:r>
      <w:r>
        <w:t>10</w:t>
      </w:r>
      <w:r>
        <w:rPr>
          <w:spacing w:val="-14"/>
        </w:rPr>
        <w:t xml:space="preserve"> 人及以上，且营业收入 </w:t>
      </w:r>
      <w:r>
        <w:t>50</w:t>
      </w:r>
      <w:r>
        <w:rPr>
          <w:spacing w:val="-13"/>
        </w:rPr>
        <w:t xml:space="preserve"> 万元及以上的为小型企业；从业人员 </w:t>
      </w:r>
      <w:r>
        <w:t>10</w:t>
      </w:r>
      <w:r>
        <w:rPr>
          <w:spacing w:val="-15"/>
        </w:rPr>
        <w:t xml:space="preserve"> 人以下</w:t>
      </w:r>
    </w:p>
    <w:p w14:paraId="0EBF7C35">
      <w:pPr>
        <w:pStyle w:val="8"/>
        <w:spacing w:before="173"/>
        <w:ind w:left="287"/>
      </w:pPr>
      <w:r>
        <w:t>或营业收入 50 万元以下的为微型企业。</w:t>
      </w:r>
    </w:p>
    <w:p w14:paraId="0DF45D0D">
      <w:pPr>
        <w:pStyle w:val="8"/>
        <w:spacing w:before="172"/>
        <w:ind w:left="768"/>
      </w:pPr>
      <w:r>
        <w:t>（十三</w:t>
      </w:r>
      <w:r>
        <w:rPr>
          <w:spacing w:val="-36"/>
        </w:rPr>
        <w:t>）</w:t>
      </w:r>
      <w:r>
        <w:rPr>
          <w:spacing w:val="-10"/>
        </w:rPr>
        <w:t xml:space="preserve">房地产开发经营。营业收入 </w:t>
      </w:r>
      <w:r>
        <w:t>200000</w:t>
      </w:r>
      <w:r>
        <w:rPr>
          <w:spacing w:val="-13"/>
        </w:rPr>
        <w:t xml:space="preserve"> 万元以下或资产总额 </w:t>
      </w:r>
      <w:r>
        <w:t>10000</w:t>
      </w:r>
      <w:r>
        <w:rPr>
          <w:spacing w:val="-9"/>
        </w:rPr>
        <w:t xml:space="preserve"> 万元以下的为</w:t>
      </w:r>
    </w:p>
    <w:p w14:paraId="6BD029D3">
      <w:pPr>
        <w:pStyle w:val="8"/>
        <w:spacing w:before="173"/>
        <w:ind w:left="287"/>
      </w:pPr>
      <w:r>
        <w:rPr>
          <w:spacing w:val="-4"/>
        </w:rPr>
        <w:t xml:space="preserve">中小微型企业。其中，营业收入 </w:t>
      </w:r>
      <w:r>
        <w:t>1000</w:t>
      </w:r>
      <w:r>
        <w:rPr>
          <w:spacing w:val="-11"/>
        </w:rPr>
        <w:t xml:space="preserve"> 万元及以上，且资产总额 </w:t>
      </w:r>
      <w:r>
        <w:t>5000</w:t>
      </w:r>
      <w:r>
        <w:rPr>
          <w:spacing w:val="-7"/>
        </w:rPr>
        <w:t xml:space="preserve"> 万元及以上的为中型</w:t>
      </w:r>
    </w:p>
    <w:p w14:paraId="49A77AE5">
      <w:pPr>
        <w:pStyle w:val="8"/>
        <w:spacing w:before="172"/>
        <w:ind w:left="287"/>
      </w:pPr>
      <w:r>
        <w:rPr>
          <w:spacing w:val="-5"/>
        </w:rPr>
        <w:t xml:space="preserve">企业；营业收入 </w:t>
      </w:r>
      <w:r>
        <w:t>100</w:t>
      </w:r>
      <w:r>
        <w:rPr>
          <w:spacing w:val="-8"/>
        </w:rPr>
        <w:t xml:space="preserve"> 万元及以上，且资产总额 </w:t>
      </w:r>
      <w:r>
        <w:t>2000</w:t>
      </w:r>
      <w:r>
        <w:rPr>
          <w:spacing w:val="-4"/>
        </w:rPr>
        <w:t xml:space="preserve"> 万元及以上的为小型企业；营业收入</w:t>
      </w:r>
    </w:p>
    <w:p w14:paraId="2F47FF16">
      <w:pPr>
        <w:pStyle w:val="8"/>
        <w:spacing w:before="173"/>
        <w:ind w:left="287"/>
      </w:pPr>
      <w:r>
        <w:t>100 万元以下或资产总额 2000 万元以下的为微型企业。</w:t>
      </w:r>
    </w:p>
    <w:p w14:paraId="7EC1DC47">
      <w:pPr>
        <w:pStyle w:val="8"/>
        <w:spacing w:before="172"/>
        <w:ind w:left="768"/>
      </w:pPr>
      <w:r>
        <w:t>（十四）</w:t>
      </w:r>
      <w:r>
        <w:rPr>
          <w:spacing w:val="-6"/>
        </w:rPr>
        <w:t xml:space="preserve">物业管理。从业人员 </w:t>
      </w:r>
      <w:r>
        <w:t>1000</w:t>
      </w:r>
      <w:r>
        <w:rPr>
          <w:spacing w:val="-12"/>
        </w:rPr>
        <w:t xml:space="preserve"> 人以下或营业收入 </w:t>
      </w:r>
      <w:r>
        <w:t>5000</w:t>
      </w:r>
      <w:r>
        <w:rPr>
          <w:spacing w:val="-7"/>
        </w:rPr>
        <w:t xml:space="preserve"> 万元以下的为中小微型企</w:t>
      </w:r>
    </w:p>
    <w:p w14:paraId="7599D014">
      <w:pPr>
        <w:pStyle w:val="8"/>
        <w:spacing w:before="173"/>
        <w:ind w:left="287"/>
      </w:pPr>
      <w:r>
        <w:rPr>
          <w:spacing w:val="-13"/>
        </w:rPr>
        <w:t xml:space="preserve">业。其中，从业人员 </w:t>
      </w:r>
      <w:r>
        <w:t>300</w:t>
      </w:r>
      <w:r>
        <w:rPr>
          <w:spacing w:val="-14"/>
        </w:rPr>
        <w:t xml:space="preserve"> 人及以上，且营业收入 </w:t>
      </w:r>
      <w:r>
        <w:t>1000</w:t>
      </w:r>
      <w:r>
        <w:rPr>
          <w:spacing w:val="-9"/>
        </w:rPr>
        <w:t xml:space="preserve"> 万元及以上的为中型企业；从业人员</w:t>
      </w:r>
    </w:p>
    <w:p w14:paraId="7CEEBBE4">
      <w:pPr>
        <w:pStyle w:val="8"/>
        <w:spacing w:before="172"/>
        <w:ind w:left="287"/>
      </w:pPr>
      <w:r>
        <w:t>100</w:t>
      </w:r>
      <w:r>
        <w:rPr>
          <w:spacing w:val="-10"/>
        </w:rPr>
        <w:t xml:space="preserve"> 人及以上，且营业收入 </w:t>
      </w:r>
      <w:r>
        <w:t>500</w:t>
      </w:r>
      <w:r>
        <w:rPr>
          <w:spacing w:val="-9"/>
        </w:rPr>
        <w:t xml:space="preserve"> 万元及以上的为小型企业；从业人员 </w:t>
      </w:r>
      <w:r>
        <w:t>100</w:t>
      </w:r>
      <w:r>
        <w:rPr>
          <w:spacing w:val="-7"/>
        </w:rPr>
        <w:t xml:space="preserve"> 人以下或营业收</w:t>
      </w:r>
    </w:p>
    <w:p w14:paraId="3FCDBEA0">
      <w:pPr>
        <w:pStyle w:val="8"/>
        <w:spacing w:before="173"/>
        <w:ind w:left="287"/>
      </w:pPr>
      <w:r>
        <w:t>入 500 万元以下的为微型企业。</w:t>
      </w:r>
    </w:p>
    <w:p w14:paraId="6BB50C6E">
      <w:pPr>
        <w:pStyle w:val="8"/>
        <w:spacing w:before="172"/>
        <w:ind w:left="768"/>
      </w:pPr>
      <w:r>
        <w:t>（十五）租赁和商务服务业。从业人员 300 人以下或资产总额 120000 万元以下的为中</w:t>
      </w:r>
    </w:p>
    <w:p w14:paraId="6FD1DD2B">
      <w:pPr>
        <w:pStyle w:val="8"/>
        <w:spacing w:before="173"/>
        <w:ind w:left="287"/>
      </w:pPr>
      <w:r>
        <w:t>小微型企业。其中，从业人员 100 人及以上，且资产总额 8000 万元及以上的为中型企业；</w:t>
      </w:r>
    </w:p>
    <w:p w14:paraId="0DD19145">
      <w:pPr>
        <w:pStyle w:val="8"/>
        <w:spacing w:before="172"/>
        <w:ind w:left="287"/>
      </w:pPr>
      <w:r>
        <w:t>从业人员 10 人及以上，且资产总额 100 万元及以上的为小型企业；从业人员 10 人以下或</w:t>
      </w:r>
    </w:p>
    <w:p w14:paraId="5413BBA2">
      <w:pPr>
        <w:spacing w:after="0"/>
        <w:sectPr>
          <w:footerReference r:id="rId11" w:type="default"/>
          <w:pgSz w:w="11910" w:h="16840"/>
          <w:pgMar w:top="1320" w:right="899" w:bottom="1160" w:left="960" w:header="0" w:footer="970" w:gutter="0"/>
          <w:pgNumType w:fmt="decimal"/>
          <w:cols w:space="720" w:num="1"/>
        </w:sectPr>
      </w:pPr>
    </w:p>
    <w:p w14:paraId="1751D31E">
      <w:pPr>
        <w:pStyle w:val="8"/>
        <w:spacing w:before="55"/>
        <w:ind w:left="287"/>
      </w:pPr>
      <w:r>
        <w:t>资产总额 100 万元以下的为微型企业。</w:t>
      </w:r>
    </w:p>
    <w:p w14:paraId="52F555DB">
      <w:pPr>
        <w:spacing w:before="172"/>
        <w:ind w:left="768" w:right="0" w:firstLine="0"/>
        <w:jc w:val="left"/>
        <w:rPr>
          <w:sz w:val="24"/>
        </w:rPr>
      </w:pPr>
      <w:r>
        <w:rPr>
          <w:b/>
          <w:sz w:val="24"/>
        </w:rPr>
        <w:t>（十六）其他未列明行业。</w:t>
      </w:r>
      <w:r>
        <w:rPr>
          <w:sz w:val="24"/>
        </w:rPr>
        <w:t>从业人员 300 人以下的为中小微型企业。其中，从业人员</w:t>
      </w:r>
    </w:p>
    <w:p w14:paraId="32ACD698">
      <w:pPr>
        <w:pStyle w:val="8"/>
        <w:spacing w:before="173" w:line="374" w:lineRule="auto"/>
        <w:ind w:left="287" w:right="346"/>
      </w:pPr>
      <w:r>
        <w:t>100</w:t>
      </w:r>
      <w:r>
        <w:rPr>
          <w:spacing w:val="-9"/>
        </w:rPr>
        <w:t xml:space="preserve"> 人及以上的为中型企业；从业人员 </w:t>
      </w:r>
      <w:r>
        <w:t>10</w:t>
      </w:r>
      <w:r>
        <w:rPr>
          <w:spacing w:val="-9"/>
        </w:rPr>
        <w:t xml:space="preserve"> 人及以上的为小型企业；从业人员 </w:t>
      </w:r>
      <w:r>
        <w:t>10</w:t>
      </w:r>
      <w:r>
        <w:rPr>
          <w:spacing w:val="-10"/>
        </w:rPr>
        <w:t xml:space="preserve"> 人以下的为微型企业。</w:t>
      </w:r>
    </w:p>
    <w:p w14:paraId="4803D968">
      <w:pPr>
        <w:pStyle w:val="8"/>
        <w:ind w:left="768"/>
      </w:pPr>
      <w:r>
        <w:t>五、企业类型的划分以统计部门的统计数据为依据。</w:t>
      </w:r>
    </w:p>
    <w:p w14:paraId="745B7DE9">
      <w:pPr>
        <w:pStyle w:val="8"/>
        <w:spacing w:before="173" w:line="374" w:lineRule="auto"/>
        <w:ind w:left="287" w:right="344" w:firstLine="480"/>
      </w:pPr>
      <w:r>
        <w:t>六、本规定适用于在中华人民共和国境内依法设立的各类所有制和各种组织形式的企业。个体工商户和本规定以外的行业，参照本规定进行划型。</w:t>
      </w:r>
    </w:p>
    <w:p w14:paraId="33363CDA">
      <w:pPr>
        <w:pStyle w:val="8"/>
        <w:spacing w:line="374" w:lineRule="auto"/>
        <w:ind w:left="287" w:right="344" w:firstLine="480"/>
        <w:jc w:val="both"/>
      </w:pPr>
      <w:r>
        <w:t>七、本规定的中型企业标准上限即为大型企业标准的下限，国家统计部门据此制定大中小微型企业的统计分类。国务院有关部门据此进行相关数据分析，不得制定与本规定不一致的企业划型标准。</w:t>
      </w:r>
    </w:p>
    <w:p w14:paraId="7E778C92">
      <w:pPr>
        <w:pStyle w:val="8"/>
        <w:spacing w:before="1" w:line="374" w:lineRule="auto"/>
        <w:ind w:left="287" w:right="344" w:firstLine="480"/>
      </w:pPr>
      <w:r>
        <w:drawing>
          <wp:anchor distT="0" distB="0" distL="0" distR="0" simplePos="0" relativeHeight="251679744" behindDoc="1" locked="0" layoutInCell="1" hidden="1" allowOverlap="1">
            <wp:simplePos x="0" y="0"/>
            <wp:positionH relativeFrom="page">
              <wp:posOffset>1422400</wp:posOffset>
            </wp:positionH>
            <wp:positionV relativeFrom="paragraph">
              <wp:posOffset>96520</wp:posOffset>
            </wp:positionV>
            <wp:extent cx="4514850" cy="2591435"/>
            <wp:effectExtent l="0" t="0" r="0" b="0"/>
            <wp:wrapNone/>
            <wp:docPr id="115"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jpeg" hidden="1"/>
                    <pic:cNvPicPr>
                      <a:picLocks noChangeAspect="1"/>
                    </pic:cNvPicPr>
                  </pic:nvPicPr>
                  <pic:blipFill>
                    <a:blip r:embed="rId13" cstate="print"/>
                    <a:stretch>
                      <a:fillRect/>
                    </a:stretch>
                  </pic:blipFill>
                  <pic:spPr>
                    <a:xfrm>
                      <a:off x="0" y="0"/>
                      <a:ext cx="4515026" cy="2591569"/>
                    </a:xfrm>
                    <a:prstGeom prst="rect">
                      <a:avLst/>
                    </a:prstGeom>
                  </pic:spPr>
                </pic:pic>
              </a:graphicData>
            </a:graphic>
          </wp:anchor>
        </w:drawing>
      </w:r>
      <w:r>
        <w:t>八、本规定由工业和信息化部、国家统计局会同有关部门根据《国民经济行业分类》修订情况和企业发展变化情况适时修订。</w:t>
      </w:r>
    </w:p>
    <w:p w14:paraId="7FC9E1E6">
      <w:pPr>
        <w:pStyle w:val="8"/>
        <w:spacing w:before="1"/>
        <w:ind w:left="768"/>
      </w:pPr>
      <w:r>
        <w:t>九、本规定由工业和信息化部、国家统计局会同有关部门负责解释。</w:t>
      </w:r>
    </w:p>
    <w:p w14:paraId="5BC1D37C">
      <w:pPr>
        <w:pStyle w:val="8"/>
        <w:spacing w:before="172" w:line="374" w:lineRule="auto"/>
        <w:ind w:left="287" w:right="346" w:firstLine="480"/>
      </w:pPr>
      <w:r>
        <w:rPr>
          <w:spacing w:val="-20"/>
        </w:rPr>
        <w:t xml:space="preserve">十、本规定自发布之日起执行，原国家经贸委、原国家计委、财政部和国家统计局 </w:t>
      </w:r>
      <w:r>
        <w:rPr>
          <w:spacing w:val="-4"/>
        </w:rPr>
        <w:t xml:space="preserve">2003 </w:t>
      </w:r>
      <w:r>
        <w:t>年颁布的《中小企业标准暂行规定》同时废止。</w:t>
      </w:r>
    </w:p>
    <w:sectPr>
      <w:pgSz w:w="11910" w:h="16840"/>
      <w:pgMar w:top="1320" w:right="899" w:bottom="1160" w:left="960" w:header="0" w:footer="97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华文中宋">
    <w:altName w:val="宋体"/>
    <w:panose1 w:val="02010600040101010101"/>
    <w:charset w:val="7A"/>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F74B">
    <w:pPr>
      <w:pStyle w:val="8"/>
      <w:spacing w:line="14" w:lineRule="auto"/>
      <w:rPr>
        <w:sz w:val="12"/>
      </w:rPr>
    </w:pPr>
    <w:r>
      <w:rPr>
        <w:sz w:val="12"/>
      </w:rP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4B1214">
                <w:pPr>
                  <w:pStyle w:val="11"/>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0CFC">
    <w:pPr>
      <w:pStyle w:val="8"/>
      <w:spacing w:line="14" w:lineRule="auto"/>
      <w:rPr>
        <w:sz w:val="20"/>
      </w:rPr>
    </w:pPr>
    <w:r>
      <w:rPr>
        <w:sz w:val="20"/>
      </w:rPr>
      <w:pict>
        <v:shape id="_x0000_s2058" o:spid="_x0000_s205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90ABFD">
                <w:pPr>
                  <w:pStyle w:val="11"/>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2C313">
    <w:pPr>
      <w:pStyle w:val="8"/>
      <w:spacing w:line="14" w:lineRule="auto"/>
      <w:rPr>
        <w:sz w:val="20"/>
      </w:rPr>
    </w:pPr>
    <w:r>
      <w:rPr>
        <w:sz w:val="20"/>
      </w:rPr>
      <w:pict>
        <v:shape id="_x0000_s2059" o:spid="_x0000_s205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26DA0FD">
                <w:pPr>
                  <w:pStyle w:val="11"/>
                </w:pPr>
                <w:r>
                  <w:fldChar w:fldCharType="begin"/>
                </w:r>
                <w:r>
                  <w:instrText xml:space="preserve"> PAGE  \* MERGEFORMAT </w:instrText>
                </w:r>
                <w:r>
                  <w:fldChar w:fldCharType="separate"/>
                </w:r>
                <w:r>
                  <w:t>20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D4424">
    <w:pPr>
      <w:pStyle w:val="8"/>
      <w:spacing w:line="14" w:lineRule="auto"/>
      <w:rPr>
        <w:sz w:val="12"/>
      </w:rPr>
    </w:pPr>
    <w:r>
      <w:rPr>
        <w:sz w:val="12"/>
      </w:rPr>
      <w:pict>
        <v:shape id="_x0000_s2060" o:spid="_x0000_s206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82E91D1">
                <w:pPr>
                  <w:pStyle w:val="11"/>
                </w:pPr>
                <w:r>
                  <w:fldChar w:fldCharType="begin"/>
                </w:r>
                <w:r>
                  <w:instrText xml:space="preserve"> PAGE  \* MERGEFORMAT </w:instrText>
                </w:r>
                <w:r>
                  <w:fldChar w:fldCharType="separate"/>
                </w:r>
                <w:r>
                  <w:t>30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3B98">
    <w:pPr>
      <w:pStyle w:val="8"/>
      <w:spacing w:line="14" w:lineRule="auto"/>
      <w:rPr>
        <w:sz w:val="20"/>
      </w:rPr>
    </w:pPr>
    <w:r>
      <w:rPr>
        <w:sz w:val="20"/>
      </w:rPr>
      <w:pict>
        <v:shape id="_x0000_s2062" o:spid="_x0000_s206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3B2AF2CF">
                <w:pPr>
                  <w:pStyle w:val="11"/>
                </w:pPr>
                <w:r>
                  <w:fldChar w:fldCharType="begin"/>
                </w:r>
                <w:r>
                  <w:instrText xml:space="preserve"> PAGE  \* MERGEFORMAT </w:instrText>
                </w:r>
                <w:r>
                  <w:fldChar w:fldCharType="separate"/>
                </w:r>
                <w:r>
                  <w:t>40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05E5">
    <w:pPr>
      <w:pStyle w:val="8"/>
      <w:spacing w:line="14" w:lineRule="auto"/>
      <w:rPr>
        <w:sz w:val="20"/>
      </w:rPr>
    </w:pPr>
    <w:r>
      <w:rPr>
        <w:sz w:val="20"/>
      </w:rPr>
      <w:pict>
        <v:shape id="_x0000_s2063" o:spid="_x0000_s206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A47B8CA">
                <w:pPr>
                  <w:pStyle w:val="11"/>
                </w:pPr>
                <w:r>
                  <w:fldChar w:fldCharType="begin"/>
                </w:r>
                <w:r>
                  <w:instrText xml:space="preserve"> PAGE  \* MERGEFORMAT </w:instrText>
                </w:r>
                <w:r>
                  <w:fldChar w:fldCharType="separate"/>
                </w:r>
                <w:r>
                  <w:t>50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2B33B">
    <w:pPr>
      <w:pStyle w:val="8"/>
      <w:spacing w:line="14" w:lineRule="auto"/>
      <w:rPr>
        <w:sz w:val="20"/>
      </w:rPr>
    </w:pPr>
    <w:r>
      <w:rPr>
        <w:sz w:val="20"/>
      </w:rPr>
      <w:pict>
        <v:shape id="_x0000_s2064" o:spid="_x0000_s206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229B3D9">
                <w:pPr>
                  <w:pStyle w:val="11"/>
                </w:pPr>
                <w:r>
                  <w:fldChar w:fldCharType="begin"/>
                </w:r>
                <w:r>
                  <w:instrText xml:space="preserve"> PAGE  \* MERGEFORMAT </w:instrText>
                </w:r>
                <w:r>
                  <w:fldChar w:fldCharType="separate"/>
                </w:r>
                <w:r>
                  <w:t>60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36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8" w:hanging="601"/>
      </w:pPr>
      <w:rPr>
        <w:rFonts w:hint="default"/>
        <w:lang w:val="zh-CN" w:eastAsia="zh-CN" w:bidi="zh-CN"/>
      </w:rPr>
    </w:lvl>
    <w:lvl w:ilvl="2" w:tentative="0">
      <w:start w:val="0"/>
      <w:numFmt w:val="bullet"/>
      <w:lvlText w:val="•"/>
      <w:lvlJc w:val="left"/>
      <w:pPr>
        <w:ind w:left="3097" w:hanging="601"/>
      </w:pPr>
      <w:rPr>
        <w:rFonts w:hint="default"/>
        <w:lang w:val="zh-CN" w:eastAsia="zh-CN" w:bidi="zh-CN"/>
      </w:rPr>
    </w:lvl>
    <w:lvl w:ilvl="3" w:tentative="0">
      <w:start w:val="0"/>
      <w:numFmt w:val="bullet"/>
      <w:lvlText w:val="•"/>
      <w:lvlJc w:val="left"/>
      <w:pPr>
        <w:ind w:left="3966"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03" w:hanging="601"/>
      </w:pPr>
      <w:rPr>
        <w:rFonts w:hint="default"/>
        <w:lang w:val="zh-CN" w:eastAsia="zh-CN" w:bidi="zh-CN"/>
      </w:rPr>
    </w:lvl>
    <w:lvl w:ilvl="6" w:tentative="0">
      <w:start w:val="0"/>
      <w:numFmt w:val="bullet"/>
      <w:lvlText w:val="•"/>
      <w:lvlJc w:val="left"/>
      <w:pPr>
        <w:ind w:left="6572" w:hanging="601"/>
      </w:pPr>
      <w:rPr>
        <w:rFonts w:hint="default"/>
        <w:lang w:val="zh-CN" w:eastAsia="zh-CN" w:bidi="zh-CN"/>
      </w:rPr>
    </w:lvl>
    <w:lvl w:ilvl="7" w:tentative="0">
      <w:start w:val="0"/>
      <w:numFmt w:val="bullet"/>
      <w:lvlText w:val="•"/>
      <w:lvlJc w:val="left"/>
      <w:pPr>
        <w:ind w:left="7440" w:hanging="601"/>
      </w:pPr>
      <w:rPr>
        <w:rFonts w:hint="default"/>
        <w:lang w:val="zh-CN" w:eastAsia="zh-CN" w:bidi="zh-CN"/>
      </w:rPr>
    </w:lvl>
    <w:lvl w:ilvl="8" w:tentative="0">
      <w:start w:val="0"/>
      <w:numFmt w:val="bullet"/>
      <w:lvlText w:val="•"/>
      <w:lvlJc w:val="left"/>
      <w:pPr>
        <w:ind w:left="8309" w:hanging="601"/>
      </w:pPr>
      <w:rPr>
        <w:rFonts w:hint="default"/>
        <w:lang w:val="zh-CN" w:eastAsia="zh-CN" w:bidi="zh-CN"/>
      </w:rPr>
    </w:lvl>
  </w:abstractNum>
  <w:abstractNum w:abstractNumId="1">
    <w:nsid w:val="845B5372"/>
    <w:multiLevelType w:val="multilevel"/>
    <w:tmpl w:val="845B5372"/>
    <w:lvl w:ilvl="0" w:tentative="0">
      <w:start w:val="27"/>
      <w:numFmt w:val="decimal"/>
      <w:lvlText w:val="%1"/>
      <w:lvlJc w:val="left"/>
      <w:pPr>
        <w:ind w:left="288" w:hanging="481"/>
        <w:jc w:val="left"/>
      </w:pPr>
      <w:rPr>
        <w:rFonts w:hint="default"/>
        <w:lang w:val="zh-CN" w:eastAsia="zh-CN" w:bidi="zh-CN"/>
      </w:rPr>
    </w:lvl>
    <w:lvl w:ilvl="1" w:tentative="0">
      <w:start w:val="1"/>
      <w:numFmt w:val="decimal"/>
      <w:lvlText w:val="%1.%2"/>
      <w:lvlJc w:val="left"/>
      <w:pPr>
        <w:ind w:left="288" w:hanging="48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233" w:hanging="481"/>
      </w:pPr>
      <w:rPr>
        <w:rFonts w:hint="default"/>
        <w:lang w:val="zh-CN" w:eastAsia="zh-CN" w:bidi="zh-CN"/>
      </w:rPr>
    </w:lvl>
    <w:lvl w:ilvl="3" w:tentative="0">
      <w:start w:val="0"/>
      <w:numFmt w:val="bullet"/>
      <w:lvlText w:val="•"/>
      <w:lvlJc w:val="left"/>
      <w:pPr>
        <w:ind w:left="3210" w:hanging="481"/>
      </w:pPr>
      <w:rPr>
        <w:rFonts w:hint="default"/>
        <w:lang w:val="zh-CN" w:eastAsia="zh-CN" w:bidi="zh-CN"/>
      </w:rPr>
    </w:lvl>
    <w:lvl w:ilvl="4" w:tentative="0">
      <w:start w:val="0"/>
      <w:numFmt w:val="bullet"/>
      <w:lvlText w:val="•"/>
      <w:lvlJc w:val="left"/>
      <w:pPr>
        <w:ind w:left="4186" w:hanging="481"/>
      </w:pPr>
      <w:rPr>
        <w:rFonts w:hint="default"/>
        <w:lang w:val="zh-CN" w:eastAsia="zh-CN" w:bidi="zh-CN"/>
      </w:rPr>
    </w:lvl>
    <w:lvl w:ilvl="5" w:tentative="0">
      <w:start w:val="0"/>
      <w:numFmt w:val="bullet"/>
      <w:lvlText w:val="•"/>
      <w:lvlJc w:val="left"/>
      <w:pPr>
        <w:ind w:left="5163" w:hanging="481"/>
      </w:pPr>
      <w:rPr>
        <w:rFonts w:hint="default"/>
        <w:lang w:val="zh-CN" w:eastAsia="zh-CN" w:bidi="zh-CN"/>
      </w:rPr>
    </w:lvl>
    <w:lvl w:ilvl="6" w:tentative="0">
      <w:start w:val="0"/>
      <w:numFmt w:val="bullet"/>
      <w:lvlText w:val="•"/>
      <w:lvlJc w:val="left"/>
      <w:pPr>
        <w:ind w:left="6140" w:hanging="481"/>
      </w:pPr>
      <w:rPr>
        <w:rFonts w:hint="default"/>
        <w:lang w:val="zh-CN" w:eastAsia="zh-CN" w:bidi="zh-CN"/>
      </w:rPr>
    </w:lvl>
    <w:lvl w:ilvl="7" w:tentative="0">
      <w:start w:val="0"/>
      <w:numFmt w:val="bullet"/>
      <w:lvlText w:val="•"/>
      <w:lvlJc w:val="left"/>
      <w:pPr>
        <w:ind w:left="7116" w:hanging="481"/>
      </w:pPr>
      <w:rPr>
        <w:rFonts w:hint="default"/>
        <w:lang w:val="zh-CN" w:eastAsia="zh-CN" w:bidi="zh-CN"/>
      </w:rPr>
    </w:lvl>
    <w:lvl w:ilvl="8" w:tentative="0">
      <w:start w:val="0"/>
      <w:numFmt w:val="bullet"/>
      <w:lvlText w:val="•"/>
      <w:lvlJc w:val="left"/>
      <w:pPr>
        <w:ind w:left="8093" w:hanging="481"/>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136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8" w:hanging="601"/>
      </w:pPr>
      <w:rPr>
        <w:rFonts w:hint="default"/>
        <w:lang w:val="zh-CN" w:eastAsia="zh-CN" w:bidi="zh-CN"/>
      </w:rPr>
    </w:lvl>
    <w:lvl w:ilvl="2" w:tentative="0">
      <w:start w:val="0"/>
      <w:numFmt w:val="bullet"/>
      <w:lvlText w:val="•"/>
      <w:lvlJc w:val="left"/>
      <w:pPr>
        <w:ind w:left="3097" w:hanging="601"/>
      </w:pPr>
      <w:rPr>
        <w:rFonts w:hint="default"/>
        <w:lang w:val="zh-CN" w:eastAsia="zh-CN" w:bidi="zh-CN"/>
      </w:rPr>
    </w:lvl>
    <w:lvl w:ilvl="3" w:tentative="0">
      <w:start w:val="0"/>
      <w:numFmt w:val="bullet"/>
      <w:lvlText w:val="•"/>
      <w:lvlJc w:val="left"/>
      <w:pPr>
        <w:ind w:left="3966"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03" w:hanging="601"/>
      </w:pPr>
      <w:rPr>
        <w:rFonts w:hint="default"/>
        <w:lang w:val="zh-CN" w:eastAsia="zh-CN" w:bidi="zh-CN"/>
      </w:rPr>
    </w:lvl>
    <w:lvl w:ilvl="6" w:tentative="0">
      <w:start w:val="0"/>
      <w:numFmt w:val="bullet"/>
      <w:lvlText w:val="•"/>
      <w:lvlJc w:val="left"/>
      <w:pPr>
        <w:ind w:left="6572" w:hanging="601"/>
      </w:pPr>
      <w:rPr>
        <w:rFonts w:hint="default"/>
        <w:lang w:val="zh-CN" w:eastAsia="zh-CN" w:bidi="zh-CN"/>
      </w:rPr>
    </w:lvl>
    <w:lvl w:ilvl="7" w:tentative="0">
      <w:start w:val="0"/>
      <w:numFmt w:val="bullet"/>
      <w:lvlText w:val="•"/>
      <w:lvlJc w:val="left"/>
      <w:pPr>
        <w:ind w:left="7440" w:hanging="601"/>
      </w:pPr>
      <w:rPr>
        <w:rFonts w:hint="default"/>
        <w:lang w:val="zh-CN" w:eastAsia="zh-CN" w:bidi="zh-CN"/>
      </w:rPr>
    </w:lvl>
    <w:lvl w:ilvl="8" w:tentative="0">
      <w:start w:val="0"/>
      <w:numFmt w:val="bullet"/>
      <w:lvlText w:val="•"/>
      <w:lvlJc w:val="left"/>
      <w:pPr>
        <w:ind w:left="8309" w:hanging="601"/>
      </w:pPr>
      <w:rPr>
        <w:rFonts w:hint="default"/>
        <w:lang w:val="zh-CN" w:eastAsia="zh-CN" w:bidi="zh-CN"/>
      </w:rPr>
    </w:lvl>
  </w:abstractNum>
  <w:abstractNum w:abstractNumId="3">
    <w:nsid w:val="8CAEB125"/>
    <w:multiLevelType w:val="multilevel"/>
    <w:tmpl w:val="8CAEB125"/>
    <w:lvl w:ilvl="0" w:tentative="0">
      <w:start w:val="2"/>
      <w:numFmt w:val="decimal"/>
      <w:lvlText w:val="%1"/>
      <w:lvlJc w:val="left"/>
      <w:pPr>
        <w:ind w:left="1248" w:hanging="480"/>
        <w:jc w:val="left"/>
      </w:pPr>
      <w:rPr>
        <w:rFonts w:hint="default"/>
        <w:lang w:val="zh-CN" w:eastAsia="zh-CN" w:bidi="zh-CN"/>
      </w:rPr>
    </w:lvl>
    <w:lvl w:ilvl="1" w:tentative="0">
      <w:start w:val="1"/>
      <w:numFmt w:val="decimal"/>
      <w:lvlText w:val="%1.%2"/>
      <w:lvlJc w:val="left"/>
      <w:pPr>
        <w:ind w:left="1248"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001" w:hanging="480"/>
      </w:pPr>
      <w:rPr>
        <w:rFonts w:hint="default"/>
        <w:lang w:val="zh-CN" w:eastAsia="zh-CN" w:bidi="zh-CN"/>
      </w:rPr>
    </w:lvl>
    <w:lvl w:ilvl="3" w:tentative="0">
      <w:start w:val="0"/>
      <w:numFmt w:val="bullet"/>
      <w:lvlText w:val="•"/>
      <w:lvlJc w:val="left"/>
      <w:pPr>
        <w:ind w:left="3882" w:hanging="480"/>
      </w:pPr>
      <w:rPr>
        <w:rFonts w:hint="default"/>
        <w:lang w:val="zh-CN" w:eastAsia="zh-CN" w:bidi="zh-CN"/>
      </w:rPr>
    </w:lvl>
    <w:lvl w:ilvl="4" w:tentative="0">
      <w:start w:val="0"/>
      <w:numFmt w:val="bullet"/>
      <w:lvlText w:val="•"/>
      <w:lvlJc w:val="left"/>
      <w:pPr>
        <w:ind w:left="4762" w:hanging="480"/>
      </w:pPr>
      <w:rPr>
        <w:rFonts w:hint="default"/>
        <w:lang w:val="zh-CN" w:eastAsia="zh-CN" w:bidi="zh-CN"/>
      </w:rPr>
    </w:lvl>
    <w:lvl w:ilvl="5" w:tentative="0">
      <w:start w:val="0"/>
      <w:numFmt w:val="bullet"/>
      <w:lvlText w:val="•"/>
      <w:lvlJc w:val="left"/>
      <w:pPr>
        <w:ind w:left="5643" w:hanging="480"/>
      </w:pPr>
      <w:rPr>
        <w:rFonts w:hint="default"/>
        <w:lang w:val="zh-CN" w:eastAsia="zh-CN" w:bidi="zh-CN"/>
      </w:rPr>
    </w:lvl>
    <w:lvl w:ilvl="6" w:tentative="0">
      <w:start w:val="0"/>
      <w:numFmt w:val="bullet"/>
      <w:lvlText w:val="•"/>
      <w:lvlJc w:val="left"/>
      <w:pPr>
        <w:ind w:left="6524" w:hanging="480"/>
      </w:pPr>
      <w:rPr>
        <w:rFonts w:hint="default"/>
        <w:lang w:val="zh-CN" w:eastAsia="zh-CN" w:bidi="zh-CN"/>
      </w:rPr>
    </w:lvl>
    <w:lvl w:ilvl="7" w:tentative="0">
      <w:start w:val="0"/>
      <w:numFmt w:val="bullet"/>
      <w:lvlText w:val="•"/>
      <w:lvlJc w:val="left"/>
      <w:pPr>
        <w:ind w:left="7404" w:hanging="480"/>
      </w:pPr>
      <w:rPr>
        <w:rFonts w:hint="default"/>
        <w:lang w:val="zh-CN" w:eastAsia="zh-CN" w:bidi="zh-CN"/>
      </w:rPr>
    </w:lvl>
    <w:lvl w:ilvl="8" w:tentative="0">
      <w:start w:val="0"/>
      <w:numFmt w:val="bullet"/>
      <w:lvlText w:val="•"/>
      <w:lvlJc w:val="left"/>
      <w:pPr>
        <w:ind w:left="8285" w:hanging="480"/>
      </w:pPr>
      <w:rPr>
        <w:rFonts w:hint="default"/>
        <w:lang w:val="zh-CN" w:eastAsia="zh-CN" w:bidi="zh-CN"/>
      </w:rPr>
    </w:lvl>
  </w:abstractNum>
  <w:abstractNum w:abstractNumId="4">
    <w:nsid w:val="91995D4F"/>
    <w:multiLevelType w:val="multilevel"/>
    <w:tmpl w:val="91995D4F"/>
    <w:lvl w:ilvl="0" w:tentative="0">
      <w:start w:val="26"/>
      <w:numFmt w:val="decimal"/>
      <w:lvlText w:val="%1"/>
      <w:lvlJc w:val="left"/>
      <w:pPr>
        <w:ind w:left="288" w:hanging="600"/>
        <w:jc w:val="left"/>
      </w:pPr>
      <w:rPr>
        <w:rFonts w:hint="default"/>
        <w:lang w:val="zh-CN" w:eastAsia="zh-CN" w:bidi="zh-CN"/>
      </w:rPr>
    </w:lvl>
    <w:lvl w:ilvl="1" w:tentative="0">
      <w:start w:val="1"/>
      <w:numFmt w:val="decimal"/>
      <w:lvlText w:val="%1.%2"/>
      <w:lvlJc w:val="left"/>
      <w:pPr>
        <w:ind w:left="288" w:hanging="600"/>
        <w:jc w:val="left"/>
      </w:pPr>
      <w:rPr>
        <w:rFonts w:hint="default" w:ascii="宋体" w:hAnsi="宋体" w:eastAsia="宋体" w:cs="宋体"/>
        <w:spacing w:val="-24"/>
        <w:w w:val="100"/>
        <w:sz w:val="24"/>
        <w:szCs w:val="24"/>
        <w:lang w:val="zh-CN" w:eastAsia="zh-CN" w:bidi="zh-CN"/>
      </w:rPr>
    </w:lvl>
    <w:lvl w:ilvl="2" w:tentative="0">
      <w:start w:val="0"/>
      <w:numFmt w:val="bullet"/>
      <w:lvlText w:val="•"/>
      <w:lvlJc w:val="left"/>
      <w:pPr>
        <w:ind w:left="2233" w:hanging="600"/>
      </w:pPr>
      <w:rPr>
        <w:rFonts w:hint="default"/>
        <w:lang w:val="zh-CN" w:eastAsia="zh-CN" w:bidi="zh-CN"/>
      </w:rPr>
    </w:lvl>
    <w:lvl w:ilvl="3" w:tentative="0">
      <w:start w:val="0"/>
      <w:numFmt w:val="bullet"/>
      <w:lvlText w:val="•"/>
      <w:lvlJc w:val="left"/>
      <w:pPr>
        <w:ind w:left="3210" w:hanging="600"/>
      </w:pPr>
      <w:rPr>
        <w:rFonts w:hint="default"/>
        <w:lang w:val="zh-CN" w:eastAsia="zh-CN" w:bidi="zh-CN"/>
      </w:rPr>
    </w:lvl>
    <w:lvl w:ilvl="4" w:tentative="0">
      <w:start w:val="0"/>
      <w:numFmt w:val="bullet"/>
      <w:lvlText w:val="•"/>
      <w:lvlJc w:val="left"/>
      <w:pPr>
        <w:ind w:left="4186" w:hanging="600"/>
      </w:pPr>
      <w:rPr>
        <w:rFonts w:hint="default"/>
        <w:lang w:val="zh-CN" w:eastAsia="zh-CN" w:bidi="zh-CN"/>
      </w:rPr>
    </w:lvl>
    <w:lvl w:ilvl="5" w:tentative="0">
      <w:start w:val="0"/>
      <w:numFmt w:val="bullet"/>
      <w:lvlText w:val="•"/>
      <w:lvlJc w:val="left"/>
      <w:pPr>
        <w:ind w:left="5163" w:hanging="600"/>
      </w:pPr>
      <w:rPr>
        <w:rFonts w:hint="default"/>
        <w:lang w:val="zh-CN" w:eastAsia="zh-CN" w:bidi="zh-CN"/>
      </w:rPr>
    </w:lvl>
    <w:lvl w:ilvl="6" w:tentative="0">
      <w:start w:val="0"/>
      <w:numFmt w:val="bullet"/>
      <w:lvlText w:val="•"/>
      <w:lvlJc w:val="left"/>
      <w:pPr>
        <w:ind w:left="6140" w:hanging="600"/>
      </w:pPr>
      <w:rPr>
        <w:rFonts w:hint="default"/>
        <w:lang w:val="zh-CN" w:eastAsia="zh-CN" w:bidi="zh-CN"/>
      </w:rPr>
    </w:lvl>
    <w:lvl w:ilvl="7" w:tentative="0">
      <w:start w:val="0"/>
      <w:numFmt w:val="bullet"/>
      <w:lvlText w:val="•"/>
      <w:lvlJc w:val="left"/>
      <w:pPr>
        <w:ind w:left="7116" w:hanging="600"/>
      </w:pPr>
      <w:rPr>
        <w:rFonts w:hint="default"/>
        <w:lang w:val="zh-CN" w:eastAsia="zh-CN" w:bidi="zh-CN"/>
      </w:rPr>
    </w:lvl>
    <w:lvl w:ilvl="8" w:tentative="0">
      <w:start w:val="0"/>
      <w:numFmt w:val="bullet"/>
      <w:lvlText w:val="•"/>
      <w:lvlJc w:val="left"/>
      <w:pPr>
        <w:ind w:left="8093" w:hanging="600"/>
      </w:pPr>
      <w:rPr>
        <w:rFonts w:hint="default"/>
        <w:lang w:val="zh-CN" w:eastAsia="zh-CN" w:bidi="zh-CN"/>
      </w:rPr>
    </w:lvl>
  </w:abstractNum>
  <w:abstractNum w:abstractNumId="5">
    <w:nsid w:val="9239341B"/>
    <w:multiLevelType w:val="multilevel"/>
    <w:tmpl w:val="9239341B"/>
    <w:lvl w:ilvl="0" w:tentative="0">
      <w:start w:val="3"/>
      <w:numFmt w:val="decimal"/>
      <w:lvlText w:val="%1"/>
      <w:lvlJc w:val="left"/>
      <w:pPr>
        <w:ind w:left="288" w:hanging="480"/>
        <w:jc w:val="left"/>
      </w:pPr>
      <w:rPr>
        <w:rFonts w:hint="default"/>
        <w:lang w:val="zh-CN" w:eastAsia="zh-CN" w:bidi="zh-CN"/>
      </w:rPr>
    </w:lvl>
    <w:lvl w:ilvl="1" w:tentative="0">
      <w:start w:val="1"/>
      <w:numFmt w:val="decimal"/>
      <w:lvlText w:val="%1.%2"/>
      <w:lvlJc w:val="left"/>
      <w:pPr>
        <w:ind w:left="288"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33" w:hanging="480"/>
      </w:pPr>
      <w:rPr>
        <w:rFonts w:hint="default"/>
        <w:lang w:val="zh-CN" w:eastAsia="zh-CN" w:bidi="zh-CN"/>
      </w:rPr>
    </w:lvl>
    <w:lvl w:ilvl="3" w:tentative="0">
      <w:start w:val="0"/>
      <w:numFmt w:val="bullet"/>
      <w:lvlText w:val="•"/>
      <w:lvlJc w:val="left"/>
      <w:pPr>
        <w:ind w:left="3210" w:hanging="480"/>
      </w:pPr>
      <w:rPr>
        <w:rFonts w:hint="default"/>
        <w:lang w:val="zh-CN" w:eastAsia="zh-CN" w:bidi="zh-CN"/>
      </w:rPr>
    </w:lvl>
    <w:lvl w:ilvl="4" w:tentative="0">
      <w:start w:val="0"/>
      <w:numFmt w:val="bullet"/>
      <w:lvlText w:val="•"/>
      <w:lvlJc w:val="left"/>
      <w:pPr>
        <w:ind w:left="4186" w:hanging="480"/>
      </w:pPr>
      <w:rPr>
        <w:rFonts w:hint="default"/>
        <w:lang w:val="zh-CN" w:eastAsia="zh-CN" w:bidi="zh-CN"/>
      </w:rPr>
    </w:lvl>
    <w:lvl w:ilvl="5" w:tentative="0">
      <w:start w:val="0"/>
      <w:numFmt w:val="bullet"/>
      <w:lvlText w:val="•"/>
      <w:lvlJc w:val="left"/>
      <w:pPr>
        <w:ind w:left="5163" w:hanging="480"/>
      </w:pPr>
      <w:rPr>
        <w:rFonts w:hint="default"/>
        <w:lang w:val="zh-CN" w:eastAsia="zh-CN" w:bidi="zh-CN"/>
      </w:rPr>
    </w:lvl>
    <w:lvl w:ilvl="6" w:tentative="0">
      <w:start w:val="0"/>
      <w:numFmt w:val="bullet"/>
      <w:lvlText w:val="•"/>
      <w:lvlJc w:val="left"/>
      <w:pPr>
        <w:ind w:left="6140" w:hanging="480"/>
      </w:pPr>
      <w:rPr>
        <w:rFonts w:hint="default"/>
        <w:lang w:val="zh-CN" w:eastAsia="zh-CN" w:bidi="zh-CN"/>
      </w:rPr>
    </w:lvl>
    <w:lvl w:ilvl="7" w:tentative="0">
      <w:start w:val="0"/>
      <w:numFmt w:val="bullet"/>
      <w:lvlText w:val="•"/>
      <w:lvlJc w:val="left"/>
      <w:pPr>
        <w:ind w:left="7116" w:hanging="480"/>
      </w:pPr>
      <w:rPr>
        <w:rFonts w:hint="default"/>
        <w:lang w:val="zh-CN" w:eastAsia="zh-CN" w:bidi="zh-CN"/>
      </w:rPr>
    </w:lvl>
    <w:lvl w:ilvl="8" w:tentative="0">
      <w:start w:val="0"/>
      <w:numFmt w:val="bullet"/>
      <w:lvlText w:val="•"/>
      <w:lvlJc w:val="left"/>
      <w:pPr>
        <w:ind w:left="8093" w:hanging="480"/>
      </w:pPr>
      <w:rPr>
        <w:rFonts w:hint="default"/>
        <w:lang w:val="zh-CN" w:eastAsia="zh-CN" w:bidi="zh-CN"/>
      </w:rPr>
    </w:lvl>
  </w:abstractNum>
  <w:abstractNum w:abstractNumId="6">
    <w:nsid w:val="9288B902"/>
    <w:multiLevelType w:val="multilevel"/>
    <w:tmpl w:val="9288B902"/>
    <w:lvl w:ilvl="0" w:tentative="0">
      <w:start w:val="1"/>
      <w:numFmt w:val="decimal"/>
      <w:lvlText w:val="（%1）"/>
      <w:lvlJc w:val="left"/>
      <w:pPr>
        <w:ind w:left="288" w:hanging="601"/>
        <w:jc w:val="left"/>
      </w:pPr>
      <w:rPr>
        <w:rFonts w:hint="default" w:ascii="宋体" w:hAnsi="宋体" w:eastAsia="宋体" w:cs="宋体"/>
        <w:spacing w:val="-24"/>
        <w:w w:val="100"/>
        <w:sz w:val="22"/>
        <w:szCs w:val="22"/>
        <w:lang w:val="zh-CN" w:eastAsia="zh-CN" w:bidi="zh-CN"/>
      </w:rPr>
    </w:lvl>
    <w:lvl w:ilvl="1" w:tentative="0">
      <w:start w:val="0"/>
      <w:numFmt w:val="bullet"/>
      <w:lvlText w:val="•"/>
      <w:lvlJc w:val="left"/>
      <w:pPr>
        <w:ind w:left="125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210" w:hanging="601"/>
      </w:pPr>
      <w:rPr>
        <w:rFonts w:hint="default"/>
        <w:lang w:val="zh-CN" w:eastAsia="zh-CN" w:bidi="zh-CN"/>
      </w:rPr>
    </w:lvl>
    <w:lvl w:ilvl="4" w:tentative="0">
      <w:start w:val="0"/>
      <w:numFmt w:val="bullet"/>
      <w:lvlText w:val="•"/>
      <w:lvlJc w:val="left"/>
      <w:pPr>
        <w:ind w:left="4186" w:hanging="601"/>
      </w:pPr>
      <w:rPr>
        <w:rFonts w:hint="default"/>
        <w:lang w:val="zh-CN" w:eastAsia="zh-CN" w:bidi="zh-CN"/>
      </w:rPr>
    </w:lvl>
    <w:lvl w:ilvl="5" w:tentative="0">
      <w:start w:val="0"/>
      <w:numFmt w:val="bullet"/>
      <w:lvlText w:val="•"/>
      <w:lvlJc w:val="left"/>
      <w:pPr>
        <w:ind w:left="5163" w:hanging="601"/>
      </w:pPr>
      <w:rPr>
        <w:rFonts w:hint="default"/>
        <w:lang w:val="zh-CN" w:eastAsia="zh-CN" w:bidi="zh-CN"/>
      </w:rPr>
    </w:lvl>
    <w:lvl w:ilvl="6" w:tentative="0">
      <w:start w:val="0"/>
      <w:numFmt w:val="bullet"/>
      <w:lvlText w:val="•"/>
      <w:lvlJc w:val="left"/>
      <w:pPr>
        <w:ind w:left="6140" w:hanging="601"/>
      </w:pPr>
      <w:rPr>
        <w:rFonts w:hint="default"/>
        <w:lang w:val="zh-CN" w:eastAsia="zh-CN" w:bidi="zh-CN"/>
      </w:rPr>
    </w:lvl>
    <w:lvl w:ilvl="7" w:tentative="0">
      <w:start w:val="0"/>
      <w:numFmt w:val="bullet"/>
      <w:lvlText w:val="•"/>
      <w:lvlJc w:val="left"/>
      <w:pPr>
        <w:ind w:left="7116" w:hanging="601"/>
      </w:pPr>
      <w:rPr>
        <w:rFonts w:hint="default"/>
        <w:lang w:val="zh-CN" w:eastAsia="zh-CN" w:bidi="zh-CN"/>
      </w:rPr>
    </w:lvl>
    <w:lvl w:ilvl="8" w:tentative="0">
      <w:start w:val="0"/>
      <w:numFmt w:val="bullet"/>
      <w:lvlText w:val="•"/>
      <w:lvlJc w:val="left"/>
      <w:pPr>
        <w:ind w:left="8093" w:hanging="601"/>
      </w:pPr>
      <w:rPr>
        <w:rFonts w:hint="default"/>
        <w:lang w:val="zh-CN" w:eastAsia="zh-CN" w:bidi="zh-CN"/>
      </w:rPr>
    </w:lvl>
  </w:abstractNum>
  <w:abstractNum w:abstractNumId="7">
    <w:nsid w:val="9C8AC8EF"/>
    <w:multiLevelType w:val="multilevel"/>
    <w:tmpl w:val="9C8AC8EF"/>
    <w:lvl w:ilvl="0" w:tentative="0">
      <w:start w:val="1"/>
      <w:numFmt w:val="decimal"/>
      <w:lvlText w:val="（%1）"/>
      <w:lvlJc w:val="left"/>
      <w:pPr>
        <w:ind w:left="288" w:hanging="601"/>
        <w:jc w:val="left"/>
      </w:pPr>
      <w:rPr>
        <w:rFonts w:hint="default" w:ascii="宋体" w:hAnsi="宋体" w:eastAsia="宋体" w:cs="宋体"/>
        <w:spacing w:val="-3"/>
        <w:w w:val="100"/>
        <w:sz w:val="22"/>
        <w:szCs w:val="22"/>
        <w:lang w:val="zh-CN" w:eastAsia="zh-CN" w:bidi="zh-CN"/>
      </w:rPr>
    </w:lvl>
    <w:lvl w:ilvl="1" w:tentative="0">
      <w:start w:val="0"/>
      <w:numFmt w:val="bullet"/>
      <w:lvlText w:val="•"/>
      <w:lvlJc w:val="left"/>
      <w:pPr>
        <w:ind w:left="125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210" w:hanging="601"/>
      </w:pPr>
      <w:rPr>
        <w:rFonts w:hint="default"/>
        <w:lang w:val="zh-CN" w:eastAsia="zh-CN" w:bidi="zh-CN"/>
      </w:rPr>
    </w:lvl>
    <w:lvl w:ilvl="4" w:tentative="0">
      <w:start w:val="0"/>
      <w:numFmt w:val="bullet"/>
      <w:lvlText w:val="•"/>
      <w:lvlJc w:val="left"/>
      <w:pPr>
        <w:ind w:left="4186" w:hanging="601"/>
      </w:pPr>
      <w:rPr>
        <w:rFonts w:hint="default"/>
        <w:lang w:val="zh-CN" w:eastAsia="zh-CN" w:bidi="zh-CN"/>
      </w:rPr>
    </w:lvl>
    <w:lvl w:ilvl="5" w:tentative="0">
      <w:start w:val="0"/>
      <w:numFmt w:val="bullet"/>
      <w:lvlText w:val="•"/>
      <w:lvlJc w:val="left"/>
      <w:pPr>
        <w:ind w:left="5163" w:hanging="601"/>
      </w:pPr>
      <w:rPr>
        <w:rFonts w:hint="default"/>
        <w:lang w:val="zh-CN" w:eastAsia="zh-CN" w:bidi="zh-CN"/>
      </w:rPr>
    </w:lvl>
    <w:lvl w:ilvl="6" w:tentative="0">
      <w:start w:val="0"/>
      <w:numFmt w:val="bullet"/>
      <w:lvlText w:val="•"/>
      <w:lvlJc w:val="left"/>
      <w:pPr>
        <w:ind w:left="6140" w:hanging="601"/>
      </w:pPr>
      <w:rPr>
        <w:rFonts w:hint="default"/>
        <w:lang w:val="zh-CN" w:eastAsia="zh-CN" w:bidi="zh-CN"/>
      </w:rPr>
    </w:lvl>
    <w:lvl w:ilvl="7" w:tentative="0">
      <w:start w:val="0"/>
      <w:numFmt w:val="bullet"/>
      <w:lvlText w:val="•"/>
      <w:lvlJc w:val="left"/>
      <w:pPr>
        <w:ind w:left="7116" w:hanging="601"/>
      </w:pPr>
      <w:rPr>
        <w:rFonts w:hint="default"/>
        <w:lang w:val="zh-CN" w:eastAsia="zh-CN" w:bidi="zh-CN"/>
      </w:rPr>
    </w:lvl>
    <w:lvl w:ilvl="8" w:tentative="0">
      <w:start w:val="0"/>
      <w:numFmt w:val="bullet"/>
      <w:lvlText w:val="•"/>
      <w:lvlJc w:val="left"/>
      <w:pPr>
        <w:ind w:left="8093" w:hanging="601"/>
      </w:pPr>
      <w:rPr>
        <w:rFonts w:hint="default"/>
        <w:lang w:val="zh-CN" w:eastAsia="zh-CN" w:bidi="zh-CN"/>
      </w:rPr>
    </w:lvl>
  </w:abstractNum>
  <w:abstractNum w:abstractNumId="8">
    <w:nsid w:val="B0F1ACD9"/>
    <w:multiLevelType w:val="multilevel"/>
    <w:tmpl w:val="B0F1ACD9"/>
    <w:lvl w:ilvl="0" w:tentative="0">
      <w:start w:val="14"/>
      <w:numFmt w:val="decimal"/>
      <w:lvlText w:val="%1"/>
      <w:lvlJc w:val="left"/>
      <w:pPr>
        <w:ind w:left="1368" w:hanging="600"/>
        <w:jc w:val="left"/>
      </w:pPr>
      <w:rPr>
        <w:rFonts w:hint="default"/>
        <w:lang w:val="zh-CN" w:eastAsia="zh-CN" w:bidi="zh-CN"/>
      </w:rPr>
    </w:lvl>
    <w:lvl w:ilvl="1" w:tentative="0">
      <w:start w:val="1"/>
      <w:numFmt w:val="decimal"/>
      <w:lvlText w:val="%1.%2"/>
      <w:lvlJc w:val="left"/>
      <w:pPr>
        <w:ind w:left="1368" w:hanging="60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88" w:hanging="845"/>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290" w:hanging="845"/>
      </w:pPr>
      <w:rPr>
        <w:rFonts w:hint="default"/>
        <w:lang w:val="zh-CN" w:eastAsia="zh-CN" w:bidi="zh-CN"/>
      </w:rPr>
    </w:lvl>
    <w:lvl w:ilvl="4" w:tentative="0">
      <w:start w:val="0"/>
      <w:numFmt w:val="bullet"/>
      <w:lvlText w:val="•"/>
      <w:lvlJc w:val="left"/>
      <w:pPr>
        <w:ind w:left="4255" w:hanging="845"/>
      </w:pPr>
      <w:rPr>
        <w:rFonts w:hint="default"/>
        <w:lang w:val="zh-CN" w:eastAsia="zh-CN" w:bidi="zh-CN"/>
      </w:rPr>
    </w:lvl>
    <w:lvl w:ilvl="5" w:tentative="0">
      <w:start w:val="0"/>
      <w:numFmt w:val="bullet"/>
      <w:lvlText w:val="•"/>
      <w:lvlJc w:val="left"/>
      <w:pPr>
        <w:ind w:left="5220" w:hanging="845"/>
      </w:pPr>
      <w:rPr>
        <w:rFonts w:hint="default"/>
        <w:lang w:val="zh-CN" w:eastAsia="zh-CN" w:bidi="zh-CN"/>
      </w:rPr>
    </w:lvl>
    <w:lvl w:ilvl="6" w:tentative="0">
      <w:start w:val="0"/>
      <w:numFmt w:val="bullet"/>
      <w:lvlText w:val="•"/>
      <w:lvlJc w:val="left"/>
      <w:pPr>
        <w:ind w:left="6186" w:hanging="845"/>
      </w:pPr>
      <w:rPr>
        <w:rFonts w:hint="default"/>
        <w:lang w:val="zh-CN" w:eastAsia="zh-CN" w:bidi="zh-CN"/>
      </w:rPr>
    </w:lvl>
    <w:lvl w:ilvl="7" w:tentative="0">
      <w:start w:val="0"/>
      <w:numFmt w:val="bullet"/>
      <w:lvlText w:val="•"/>
      <w:lvlJc w:val="left"/>
      <w:pPr>
        <w:ind w:left="7151" w:hanging="845"/>
      </w:pPr>
      <w:rPr>
        <w:rFonts w:hint="default"/>
        <w:lang w:val="zh-CN" w:eastAsia="zh-CN" w:bidi="zh-CN"/>
      </w:rPr>
    </w:lvl>
    <w:lvl w:ilvl="8" w:tentative="0">
      <w:start w:val="0"/>
      <w:numFmt w:val="bullet"/>
      <w:lvlText w:val="•"/>
      <w:lvlJc w:val="left"/>
      <w:pPr>
        <w:ind w:left="8116" w:hanging="845"/>
      </w:pPr>
      <w:rPr>
        <w:rFonts w:hint="default"/>
        <w:lang w:val="zh-CN" w:eastAsia="zh-CN" w:bidi="zh-CN"/>
      </w:rPr>
    </w:lvl>
  </w:abstractNum>
  <w:abstractNum w:abstractNumId="9">
    <w:nsid w:val="B8CEF35B"/>
    <w:multiLevelType w:val="multilevel"/>
    <w:tmpl w:val="B8CEF35B"/>
    <w:lvl w:ilvl="0" w:tentative="0">
      <w:start w:val="1"/>
      <w:numFmt w:val="decimal"/>
      <w:lvlText w:val="（%1）"/>
      <w:lvlJc w:val="left"/>
      <w:pPr>
        <w:ind w:left="136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8" w:hanging="601"/>
      </w:pPr>
      <w:rPr>
        <w:rFonts w:hint="default"/>
        <w:lang w:val="zh-CN" w:eastAsia="zh-CN" w:bidi="zh-CN"/>
      </w:rPr>
    </w:lvl>
    <w:lvl w:ilvl="2" w:tentative="0">
      <w:start w:val="0"/>
      <w:numFmt w:val="bullet"/>
      <w:lvlText w:val="•"/>
      <w:lvlJc w:val="left"/>
      <w:pPr>
        <w:ind w:left="3097" w:hanging="601"/>
      </w:pPr>
      <w:rPr>
        <w:rFonts w:hint="default"/>
        <w:lang w:val="zh-CN" w:eastAsia="zh-CN" w:bidi="zh-CN"/>
      </w:rPr>
    </w:lvl>
    <w:lvl w:ilvl="3" w:tentative="0">
      <w:start w:val="0"/>
      <w:numFmt w:val="bullet"/>
      <w:lvlText w:val="•"/>
      <w:lvlJc w:val="left"/>
      <w:pPr>
        <w:ind w:left="3966"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03" w:hanging="601"/>
      </w:pPr>
      <w:rPr>
        <w:rFonts w:hint="default"/>
        <w:lang w:val="zh-CN" w:eastAsia="zh-CN" w:bidi="zh-CN"/>
      </w:rPr>
    </w:lvl>
    <w:lvl w:ilvl="6" w:tentative="0">
      <w:start w:val="0"/>
      <w:numFmt w:val="bullet"/>
      <w:lvlText w:val="•"/>
      <w:lvlJc w:val="left"/>
      <w:pPr>
        <w:ind w:left="6572" w:hanging="601"/>
      </w:pPr>
      <w:rPr>
        <w:rFonts w:hint="default"/>
        <w:lang w:val="zh-CN" w:eastAsia="zh-CN" w:bidi="zh-CN"/>
      </w:rPr>
    </w:lvl>
    <w:lvl w:ilvl="7" w:tentative="0">
      <w:start w:val="0"/>
      <w:numFmt w:val="bullet"/>
      <w:lvlText w:val="•"/>
      <w:lvlJc w:val="left"/>
      <w:pPr>
        <w:ind w:left="7440" w:hanging="601"/>
      </w:pPr>
      <w:rPr>
        <w:rFonts w:hint="default"/>
        <w:lang w:val="zh-CN" w:eastAsia="zh-CN" w:bidi="zh-CN"/>
      </w:rPr>
    </w:lvl>
    <w:lvl w:ilvl="8" w:tentative="0">
      <w:start w:val="0"/>
      <w:numFmt w:val="bullet"/>
      <w:lvlText w:val="•"/>
      <w:lvlJc w:val="left"/>
      <w:pPr>
        <w:ind w:left="8309" w:hanging="601"/>
      </w:pPr>
      <w:rPr>
        <w:rFonts w:hint="default"/>
        <w:lang w:val="zh-CN" w:eastAsia="zh-CN" w:bidi="zh-CN"/>
      </w:rPr>
    </w:lvl>
  </w:abstractNum>
  <w:abstractNum w:abstractNumId="10">
    <w:nsid w:val="BE923771"/>
    <w:multiLevelType w:val="multilevel"/>
    <w:tmpl w:val="BE923771"/>
    <w:lvl w:ilvl="0" w:tentative="0">
      <w:start w:val="17"/>
      <w:numFmt w:val="decimal"/>
      <w:lvlText w:val="%1"/>
      <w:lvlJc w:val="left"/>
      <w:pPr>
        <w:ind w:left="288" w:hanging="600"/>
        <w:jc w:val="left"/>
      </w:pPr>
      <w:rPr>
        <w:rFonts w:hint="default"/>
        <w:lang w:val="zh-CN" w:eastAsia="zh-CN" w:bidi="zh-CN"/>
      </w:rPr>
    </w:lvl>
    <w:lvl w:ilvl="1" w:tentative="0">
      <w:start w:val="1"/>
      <w:numFmt w:val="decimal"/>
      <w:lvlText w:val="%1.%2"/>
      <w:lvlJc w:val="left"/>
      <w:pPr>
        <w:ind w:left="288" w:hanging="600"/>
        <w:jc w:val="left"/>
      </w:pPr>
      <w:rPr>
        <w:rFonts w:hint="default" w:ascii="宋体" w:hAnsi="宋体" w:eastAsia="宋体" w:cs="宋体"/>
        <w:spacing w:val="-36"/>
        <w:w w:val="100"/>
        <w:sz w:val="24"/>
        <w:szCs w:val="24"/>
        <w:lang w:val="zh-CN" w:eastAsia="zh-CN" w:bidi="zh-CN"/>
      </w:rPr>
    </w:lvl>
    <w:lvl w:ilvl="2" w:tentative="0">
      <w:start w:val="0"/>
      <w:numFmt w:val="bullet"/>
      <w:lvlText w:val="•"/>
      <w:lvlJc w:val="left"/>
      <w:pPr>
        <w:ind w:left="2233" w:hanging="600"/>
      </w:pPr>
      <w:rPr>
        <w:rFonts w:hint="default"/>
        <w:lang w:val="zh-CN" w:eastAsia="zh-CN" w:bidi="zh-CN"/>
      </w:rPr>
    </w:lvl>
    <w:lvl w:ilvl="3" w:tentative="0">
      <w:start w:val="0"/>
      <w:numFmt w:val="bullet"/>
      <w:lvlText w:val="•"/>
      <w:lvlJc w:val="left"/>
      <w:pPr>
        <w:ind w:left="3210" w:hanging="600"/>
      </w:pPr>
      <w:rPr>
        <w:rFonts w:hint="default"/>
        <w:lang w:val="zh-CN" w:eastAsia="zh-CN" w:bidi="zh-CN"/>
      </w:rPr>
    </w:lvl>
    <w:lvl w:ilvl="4" w:tentative="0">
      <w:start w:val="0"/>
      <w:numFmt w:val="bullet"/>
      <w:lvlText w:val="•"/>
      <w:lvlJc w:val="left"/>
      <w:pPr>
        <w:ind w:left="4186" w:hanging="600"/>
      </w:pPr>
      <w:rPr>
        <w:rFonts w:hint="default"/>
        <w:lang w:val="zh-CN" w:eastAsia="zh-CN" w:bidi="zh-CN"/>
      </w:rPr>
    </w:lvl>
    <w:lvl w:ilvl="5" w:tentative="0">
      <w:start w:val="0"/>
      <w:numFmt w:val="bullet"/>
      <w:lvlText w:val="•"/>
      <w:lvlJc w:val="left"/>
      <w:pPr>
        <w:ind w:left="5163" w:hanging="600"/>
      </w:pPr>
      <w:rPr>
        <w:rFonts w:hint="default"/>
        <w:lang w:val="zh-CN" w:eastAsia="zh-CN" w:bidi="zh-CN"/>
      </w:rPr>
    </w:lvl>
    <w:lvl w:ilvl="6" w:tentative="0">
      <w:start w:val="0"/>
      <w:numFmt w:val="bullet"/>
      <w:lvlText w:val="•"/>
      <w:lvlJc w:val="left"/>
      <w:pPr>
        <w:ind w:left="6140" w:hanging="600"/>
      </w:pPr>
      <w:rPr>
        <w:rFonts w:hint="default"/>
        <w:lang w:val="zh-CN" w:eastAsia="zh-CN" w:bidi="zh-CN"/>
      </w:rPr>
    </w:lvl>
    <w:lvl w:ilvl="7" w:tentative="0">
      <w:start w:val="0"/>
      <w:numFmt w:val="bullet"/>
      <w:lvlText w:val="•"/>
      <w:lvlJc w:val="left"/>
      <w:pPr>
        <w:ind w:left="7116" w:hanging="600"/>
      </w:pPr>
      <w:rPr>
        <w:rFonts w:hint="default"/>
        <w:lang w:val="zh-CN" w:eastAsia="zh-CN" w:bidi="zh-CN"/>
      </w:rPr>
    </w:lvl>
    <w:lvl w:ilvl="8" w:tentative="0">
      <w:start w:val="0"/>
      <w:numFmt w:val="bullet"/>
      <w:lvlText w:val="•"/>
      <w:lvlJc w:val="left"/>
      <w:pPr>
        <w:ind w:left="8093" w:hanging="600"/>
      </w:pPr>
      <w:rPr>
        <w:rFonts w:hint="default"/>
        <w:lang w:val="zh-CN" w:eastAsia="zh-CN" w:bidi="zh-CN"/>
      </w:rPr>
    </w:lvl>
  </w:abstractNum>
  <w:abstractNum w:abstractNumId="11">
    <w:nsid w:val="C8879AEF"/>
    <w:multiLevelType w:val="multilevel"/>
    <w:tmpl w:val="C8879AEF"/>
    <w:lvl w:ilvl="0" w:tentative="0">
      <w:start w:val="6"/>
      <w:numFmt w:val="decimal"/>
      <w:lvlText w:val="%1"/>
      <w:lvlJc w:val="left"/>
      <w:pPr>
        <w:ind w:left="288" w:hanging="480"/>
        <w:jc w:val="left"/>
      </w:pPr>
      <w:rPr>
        <w:rFonts w:hint="default"/>
        <w:lang w:val="zh-CN" w:eastAsia="zh-CN" w:bidi="zh-CN"/>
      </w:rPr>
    </w:lvl>
    <w:lvl w:ilvl="1" w:tentative="0">
      <w:start w:val="1"/>
      <w:numFmt w:val="decimal"/>
      <w:lvlText w:val="%1.%2"/>
      <w:lvlJc w:val="left"/>
      <w:pPr>
        <w:ind w:left="288"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33" w:hanging="480"/>
      </w:pPr>
      <w:rPr>
        <w:rFonts w:hint="default"/>
        <w:lang w:val="zh-CN" w:eastAsia="zh-CN" w:bidi="zh-CN"/>
      </w:rPr>
    </w:lvl>
    <w:lvl w:ilvl="3" w:tentative="0">
      <w:start w:val="0"/>
      <w:numFmt w:val="bullet"/>
      <w:lvlText w:val="•"/>
      <w:lvlJc w:val="left"/>
      <w:pPr>
        <w:ind w:left="3210" w:hanging="480"/>
      </w:pPr>
      <w:rPr>
        <w:rFonts w:hint="default"/>
        <w:lang w:val="zh-CN" w:eastAsia="zh-CN" w:bidi="zh-CN"/>
      </w:rPr>
    </w:lvl>
    <w:lvl w:ilvl="4" w:tentative="0">
      <w:start w:val="0"/>
      <w:numFmt w:val="bullet"/>
      <w:lvlText w:val="•"/>
      <w:lvlJc w:val="left"/>
      <w:pPr>
        <w:ind w:left="4186" w:hanging="480"/>
      </w:pPr>
      <w:rPr>
        <w:rFonts w:hint="default"/>
        <w:lang w:val="zh-CN" w:eastAsia="zh-CN" w:bidi="zh-CN"/>
      </w:rPr>
    </w:lvl>
    <w:lvl w:ilvl="5" w:tentative="0">
      <w:start w:val="0"/>
      <w:numFmt w:val="bullet"/>
      <w:lvlText w:val="•"/>
      <w:lvlJc w:val="left"/>
      <w:pPr>
        <w:ind w:left="5163" w:hanging="480"/>
      </w:pPr>
      <w:rPr>
        <w:rFonts w:hint="default"/>
        <w:lang w:val="zh-CN" w:eastAsia="zh-CN" w:bidi="zh-CN"/>
      </w:rPr>
    </w:lvl>
    <w:lvl w:ilvl="6" w:tentative="0">
      <w:start w:val="0"/>
      <w:numFmt w:val="bullet"/>
      <w:lvlText w:val="•"/>
      <w:lvlJc w:val="left"/>
      <w:pPr>
        <w:ind w:left="6140" w:hanging="480"/>
      </w:pPr>
      <w:rPr>
        <w:rFonts w:hint="default"/>
        <w:lang w:val="zh-CN" w:eastAsia="zh-CN" w:bidi="zh-CN"/>
      </w:rPr>
    </w:lvl>
    <w:lvl w:ilvl="7" w:tentative="0">
      <w:start w:val="0"/>
      <w:numFmt w:val="bullet"/>
      <w:lvlText w:val="•"/>
      <w:lvlJc w:val="left"/>
      <w:pPr>
        <w:ind w:left="7116" w:hanging="480"/>
      </w:pPr>
      <w:rPr>
        <w:rFonts w:hint="default"/>
        <w:lang w:val="zh-CN" w:eastAsia="zh-CN" w:bidi="zh-CN"/>
      </w:rPr>
    </w:lvl>
    <w:lvl w:ilvl="8" w:tentative="0">
      <w:start w:val="0"/>
      <w:numFmt w:val="bullet"/>
      <w:lvlText w:val="•"/>
      <w:lvlJc w:val="left"/>
      <w:pPr>
        <w:ind w:left="8093" w:hanging="480"/>
      </w:pPr>
      <w:rPr>
        <w:rFonts w:hint="default"/>
        <w:lang w:val="zh-CN" w:eastAsia="zh-CN" w:bidi="zh-CN"/>
      </w:rPr>
    </w:lvl>
  </w:abstractNum>
  <w:abstractNum w:abstractNumId="12">
    <w:nsid w:val="D7F9FE59"/>
    <w:multiLevelType w:val="multilevel"/>
    <w:tmpl w:val="D7F9FE59"/>
    <w:lvl w:ilvl="0" w:tentative="0">
      <w:start w:val="1"/>
      <w:numFmt w:val="decimal"/>
      <w:lvlText w:val="（%1）"/>
      <w:lvlJc w:val="left"/>
      <w:pPr>
        <w:ind w:left="288" w:hanging="601"/>
        <w:jc w:val="left"/>
      </w:pPr>
      <w:rPr>
        <w:rFonts w:hint="default" w:ascii="宋体" w:hAnsi="宋体" w:eastAsia="宋体" w:cs="宋体"/>
        <w:spacing w:val="-20"/>
        <w:w w:val="100"/>
        <w:sz w:val="22"/>
        <w:szCs w:val="22"/>
        <w:lang w:val="zh-CN" w:eastAsia="zh-CN" w:bidi="zh-CN"/>
      </w:rPr>
    </w:lvl>
    <w:lvl w:ilvl="1" w:tentative="0">
      <w:start w:val="0"/>
      <w:numFmt w:val="bullet"/>
      <w:lvlText w:val="•"/>
      <w:lvlJc w:val="left"/>
      <w:pPr>
        <w:ind w:left="125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210" w:hanging="601"/>
      </w:pPr>
      <w:rPr>
        <w:rFonts w:hint="default"/>
        <w:lang w:val="zh-CN" w:eastAsia="zh-CN" w:bidi="zh-CN"/>
      </w:rPr>
    </w:lvl>
    <w:lvl w:ilvl="4" w:tentative="0">
      <w:start w:val="0"/>
      <w:numFmt w:val="bullet"/>
      <w:lvlText w:val="•"/>
      <w:lvlJc w:val="left"/>
      <w:pPr>
        <w:ind w:left="4186" w:hanging="601"/>
      </w:pPr>
      <w:rPr>
        <w:rFonts w:hint="default"/>
        <w:lang w:val="zh-CN" w:eastAsia="zh-CN" w:bidi="zh-CN"/>
      </w:rPr>
    </w:lvl>
    <w:lvl w:ilvl="5" w:tentative="0">
      <w:start w:val="0"/>
      <w:numFmt w:val="bullet"/>
      <w:lvlText w:val="•"/>
      <w:lvlJc w:val="left"/>
      <w:pPr>
        <w:ind w:left="5163" w:hanging="601"/>
      </w:pPr>
      <w:rPr>
        <w:rFonts w:hint="default"/>
        <w:lang w:val="zh-CN" w:eastAsia="zh-CN" w:bidi="zh-CN"/>
      </w:rPr>
    </w:lvl>
    <w:lvl w:ilvl="6" w:tentative="0">
      <w:start w:val="0"/>
      <w:numFmt w:val="bullet"/>
      <w:lvlText w:val="•"/>
      <w:lvlJc w:val="left"/>
      <w:pPr>
        <w:ind w:left="6140" w:hanging="601"/>
      </w:pPr>
      <w:rPr>
        <w:rFonts w:hint="default"/>
        <w:lang w:val="zh-CN" w:eastAsia="zh-CN" w:bidi="zh-CN"/>
      </w:rPr>
    </w:lvl>
    <w:lvl w:ilvl="7" w:tentative="0">
      <w:start w:val="0"/>
      <w:numFmt w:val="bullet"/>
      <w:lvlText w:val="•"/>
      <w:lvlJc w:val="left"/>
      <w:pPr>
        <w:ind w:left="7116" w:hanging="601"/>
      </w:pPr>
      <w:rPr>
        <w:rFonts w:hint="default"/>
        <w:lang w:val="zh-CN" w:eastAsia="zh-CN" w:bidi="zh-CN"/>
      </w:rPr>
    </w:lvl>
    <w:lvl w:ilvl="8" w:tentative="0">
      <w:start w:val="0"/>
      <w:numFmt w:val="bullet"/>
      <w:lvlText w:val="•"/>
      <w:lvlJc w:val="left"/>
      <w:pPr>
        <w:ind w:left="8093" w:hanging="601"/>
      </w:pPr>
      <w:rPr>
        <w:rFonts w:hint="default"/>
        <w:lang w:val="zh-CN" w:eastAsia="zh-CN" w:bidi="zh-CN"/>
      </w:rPr>
    </w:lvl>
  </w:abstractNum>
  <w:abstractNum w:abstractNumId="13">
    <w:nsid w:val="DCBA6B53"/>
    <w:multiLevelType w:val="multilevel"/>
    <w:tmpl w:val="DCBA6B53"/>
    <w:lvl w:ilvl="0" w:tentative="0">
      <w:start w:val="10"/>
      <w:numFmt w:val="decimal"/>
      <w:lvlText w:val="%1"/>
      <w:lvlJc w:val="left"/>
      <w:pPr>
        <w:ind w:left="1308" w:hanging="540"/>
        <w:jc w:val="left"/>
      </w:pPr>
      <w:rPr>
        <w:rFonts w:hint="default"/>
        <w:lang w:val="zh-CN" w:eastAsia="zh-CN" w:bidi="zh-CN"/>
      </w:rPr>
    </w:lvl>
    <w:lvl w:ilvl="1" w:tentative="0">
      <w:start w:val="1"/>
      <w:numFmt w:val="decimal"/>
      <w:lvlText w:val="%1.%2"/>
      <w:lvlJc w:val="left"/>
      <w:pPr>
        <w:ind w:left="130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049" w:hanging="540"/>
      </w:pPr>
      <w:rPr>
        <w:rFonts w:hint="default"/>
        <w:lang w:val="zh-CN" w:eastAsia="zh-CN" w:bidi="zh-CN"/>
      </w:rPr>
    </w:lvl>
    <w:lvl w:ilvl="3" w:tentative="0">
      <w:start w:val="0"/>
      <w:numFmt w:val="bullet"/>
      <w:lvlText w:val="•"/>
      <w:lvlJc w:val="left"/>
      <w:pPr>
        <w:ind w:left="3924" w:hanging="540"/>
      </w:pPr>
      <w:rPr>
        <w:rFonts w:hint="default"/>
        <w:lang w:val="zh-CN" w:eastAsia="zh-CN" w:bidi="zh-CN"/>
      </w:rPr>
    </w:lvl>
    <w:lvl w:ilvl="4" w:tentative="0">
      <w:start w:val="0"/>
      <w:numFmt w:val="bullet"/>
      <w:lvlText w:val="•"/>
      <w:lvlJc w:val="left"/>
      <w:pPr>
        <w:ind w:left="4798" w:hanging="540"/>
      </w:pPr>
      <w:rPr>
        <w:rFonts w:hint="default"/>
        <w:lang w:val="zh-CN" w:eastAsia="zh-CN" w:bidi="zh-CN"/>
      </w:rPr>
    </w:lvl>
    <w:lvl w:ilvl="5" w:tentative="0">
      <w:start w:val="0"/>
      <w:numFmt w:val="bullet"/>
      <w:lvlText w:val="•"/>
      <w:lvlJc w:val="left"/>
      <w:pPr>
        <w:ind w:left="5673" w:hanging="540"/>
      </w:pPr>
      <w:rPr>
        <w:rFonts w:hint="default"/>
        <w:lang w:val="zh-CN" w:eastAsia="zh-CN" w:bidi="zh-CN"/>
      </w:rPr>
    </w:lvl>
    <w:lvl w:ilvl="6" w:tentative="0">
      <w:start w:val="0"/>
      <w:numFmt w:val="bullet"/>
      <w:lvlText w:val="•"/>
      <w:lvlJc w:val="left"/>
      <w:pPr>
        <w:ind w:left="6548" w:hanging="540"/>
      </w:pPr>
      <w:rPr>
        <w:rFonts w:hint="default"/>
        <w:lang w:val="zh-CN" w:eastAsia="zh-CN" w:bidi="zh-CN"/>
      </w:rPr>
    </w:lvl>
    <w:lvl w:ilvl="7" w:tentative="0">
      <w:start w:val="0"/>
      <w:numFmt w:val="bullet"/>
      <w:lvlText w:val="•"/>
      <w:lvlJc w:val="left"/>
      <w:pPr>
        <w:ind w:left="7422" w:hanging="540"/>
      </w:pPr>
      <w:rPr>
        <w:rFonts w:hint="default"/>
        <w:lang w:val="zh-CN" w:eastAsia="zh-CN" w:bidi="zh-CN"/>
      </w:rPr>
    </w:lvl>
    <w:lvl w:ilvl="8" w:tentative="0">
      <w:start w:val="0"/>
      <w:numFmt w:val="bullet"/>
      <w:lvlText w:val="•"/>
      <w:lvlJc w:val="left"/>
      <w:pPr>
        <w:ind w:left="8297" w:hanging="540"/>
      </w:pPr>
      <w:rPr>
        <w:rFonts w:hint="default"/>
        <w:lang w:val="zh-CN" w:eastAsia="zh-CN" w:bidi="zh-CN"/>
      </w:rPr>
    </w:lvl>
  </w:abstractNum>
  <w:abstractNum w:abstractNumId="14">
    <w:nsid w:val="E093A4B0"/>
    <w:multiLevelType w:val="multilevel"/>
    <w:tmpl w:val="E093A4B0"/>
    <w:lvl w:ilvl="0" w:tentative="0">
      <w:start w:val="23"/>
      <w:numFmt w:val="decimal"/>
      <w:lvlText w:val="%1"/>
      <w:lvlJc w:val="left"/>
      <w:pPr>
        <w:ind w:left="1368" w:hanging="600"/>
        <w:jc w:val="left"/>
      </w:pPr>
      <w:rPr>
        <w:rFonts w:hint="default"/>
        <w:lang w:val="zh-CN" w:eastAsia="zh-CN" w:bidi="zh-CN"/>
      </w:rPr>
    </w:lvl>
    <w:lvl w:ilvl="1" w:tentative="0">
      <w:start w:val="1"/>
      <w:numFmt w:val="decimal"/>
      <w:lvlText w:val="%1.%2"/>
      <w:lvlJc w:val="left"/>
      <w:pPr>
        <w:ind w:left="1368"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097" w:hanging="600"/>
      </w:pPr>
      <w:rPr>
        <w:rFonts w:hint="default"/>
        <w:lang w:val="zh-CN" w:eastAsia="zh-CN" w:bidi="zh-CN"/>
      </w:rPr>
    </w:lvl>
    <w:lvl w:ilvl="3" w:tentative="0">
      <w:start w:val="0"/>
      <w:numFmt w:val="bullet"/>
      <w:lvlText w:val="•"/>
      <w:lvlJc w:val="left"/>
      <w:pPr>
        <w:ind w:left="3966" w:hanging="600"/>
      </w:pPr>
      <w:rPr>
        <w:rFonts w:hint="default"/>
        <w:lang w:val="zh-CN" w:eastAsia="zh-CN" w:bidi="zh-CN"/>
      </w:rPr>
    </w:lvl>
    <w:lvl w:ilvl="4" w:tentative="0">
      <w:start w:val="0"/>
      <w:numFmt w:val="bullet"/>
      <w:lvlText w:val="•"/>
      <w:lvlJc w:val="left"/>
      <w:pPr>
        <w:ind w:left="4834" w:hanging="600"/>
      </w:pPr>
      <w:rPr>
        <w:rFonts w:hint="default"/>
        <w:lang w:val="zh-CN" w:eastAsia="zh-CN" w:bidi="zh-CN"/>
      </w:rPr>
    </w:lvl>
    <w:lvl w:ilvl="5" w:tentative="0">
      <w:start w:val="0"/>
      <w:numFmt w:val="bullet"/>
      <w:lvlText w:val="•"/>
      <w:lvlJc w:val="left"/>
      <w:pPr>
        <w:ind w:left="5703" w:hanging="600"/>
      </w:pPr>
      <w:rPr>
        <w:rFonts w:hint="default"/>
        <w:lang w:val="zh-CN" w:eastAsia="zh-CN" w:bidi="zh-CN"/>
      </w:rPr>
    </w:lvl>
    <w:lvl w:ilvl="6" w:tentative="0">
      <w:start w:val="0"/>
      <w:numFmt w:val="bullet"/>
      <w:lvlText w:val="•"/>
      <w:lvlJc w:val="left"/>
      <w:pPr>
        <w:ind w:left="6572" w:hanging="600"/>
      </w:pPr>
      <w:rPr>
        <w:rFonts w:hint="default"/>
        <w:lang w:val="zh-CN" w:eastAsia="zh-CN" w:bidi="zh-CN"/>
      </w:rPr>
    </w:lvl>
    <w:lvl w:ilvl="7" w:tentative="0">
      <w:start w:val="0"/>
      <w:numFmt w:val="bullet"/>
      <w:lvlText w:val="•"/>
      <w:lvlJc w:val="left"/>
      <w:pPr>
        <w:ind w:left="7440" w:hanging="600"/>
      </w:pPr>
      <w:rPr>
        <w:rFonts w:hint="default"/>
        <w:lang w:val="zh-CN" w:eastAsia="zh-CN" w:bidi="zh-CN"/>
      </w:rPr>
    </w:lvl>
    <w:lvl w:ilvl="8" w:tentative="0">
      <w:start w:val="0"/>
      <w:numFmt w:val="bullet"/>
      <w:lvlText w:val="•"/>
      <w:lvlJc w:val="left"/>
      <w:pPr>
        <w:ind w:left="8309" w:hanging="600"/>
      </w:pPr>
      <w:rPr>
        <w:rFonts w:hint="default"/>
        <w:lang w:val="zh-CN" w:eastAsia="zh-CN" w:bidi="zh-CN"/>
      </w:rPr>
    </w:lvl>
  </w:abstractNum>
  <w:abstractNum w:abstractNumId="15">
    <w:nsid w:val="E5FF1C2A"/>
    <w:multiLevelType w:val="singleLevel"/>
    <w:tmpl w:val="E5FF1C2A"/>
    <w:lvl w:ilvl="0" w:tentative="0">
      <w:start w:val="6"/>
      <w:numFmt w:val="chineseCounting"/>
      <w:suff w:val="nothing"/>
      <w:lvlText w:val="%1、"/>
      <w:lvlJc w:val="left"/>
      <w:rPr>
        <w:rFonts w:hint="eastAsia"/>
      </w:rPr>
    </w:lvl>
  </w:abstractNum>
  <w:abstractNum w:abstractNumId="16">
    <w:nsid w:val="0248C179"/>
    <w:multiLevelType w:val="multilevel"/>
    <w:tmpl w:val="0248C179"/>
    <w:lvl w:ilvl="0" w:tentative="0">
      <w:start w:val="2"/>
      <w:numFmt w:val="decimal"/>
      <w:lvlText w:val="%1"/>
      <w:lvlJc w:val="left"/>
      <w:pPr>
        <w:ind w:left="1250" w:hanging="483"/>
        <w:jc w:val="left"/>
      </w:pPr>
      <w:rPr>
        <w:rFonts w:hint="default"/>
        <w:lang w:val="zh-CN" w:eastAsia="zh-CN" w:bidi="zh-CN"/>
      </w:rPr>
    </w:lvl>
    <w:lvl w:ilvl="1" w:tentative="0">
      <w:start w:val="1"/>
      <w:numFmt w:val="decimal"/>
      <w:lvlText w:val="%1.%2"/>
      <w:lvlJc w:val="left"/>
      <w:pPr>
        <w:ind w:left="1250" w:hanging="483"/>
        <w:jc w:val="left"/>
      </w:pPr>
      <w:rPr>
        <w:rFonts w:hint="default" w:ascii="宋体" w:hAnsi="宋体" w:eastAsia="宋体" w:cs="宋体"/>
        <w:b/>
        <w:bCs/>
        <w:w w:val="99"/>
        <w:sz w:val="24"/>
        <w:szCs w:val="24"/>
        <w:lang w:val="zh-CN" w:eastAsia="zh-CN" w:bidi="zh-CN"/>
      </w:rPr>
    </w:lvl>
    <w:lvl w:ilvl="2" w:tentative="0">
      <w:start w:val="1"/>
      <w:numFmt w:val="decimal"/>
      <w:lvlText w:val="%1.%2.%3"/>
      <w:lvlJc w:val="left"/>
      <w:pPr>
        <w:ind w:left="1488" w:hanging="7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383" w:hanging="720"/>
      </w:pPr>
      <w:rPr>
        <w:rFonts w:hint="default"/>
        <w:lang w:val="zh-CN" w:eastAsia="zh-CN" w:bidi="zh-CN"/>
      </w:rPr>
    </w:lvl>
    <w:lvl w:ilvl="4" w:tentative="0">
      <w:start w:val="0"/>
      <w:numFmt w:val="bullet"/>
      <w:lvlText w:val="•"/>
      <w:lvlJc w:val="left"/>
      <w:pPr>
        <w:ind w:left="4335" w:hanging="720"/>
      </w:pPr>
      <w:rPr>
        <w:rFonts w:hint="default"/>
        <w:lang w:val="zh-CN" w:eastAsia="zh-CN" w:bidi="zh-CN"/>
      </w:rPr>
    </w:lvl>
    <w:lvl w:ilvl="5" w:tentative="0">
      <w:start w:val="0"/>
      <w:numFmt w:val="bullet"/>
      <w:lvlText w:val="•"/>
      <w:lvlJc w:val="left"/>
      <w:pPr>
        <w:ind w:left="5287" w:hanging="720"/>
      </w:pPr>
      <w:rPr>
        <w:rFonts w:hint="default"/>
        <w:lang w:val="zh-CN" w:eastAsia="zh-CN" w:bidi="zh-CN"/>
      </w:rPr>
    </w:lvl>
    <w:lvl w:ilvl="6" w:tentative="0">
      <w:start w:val="0"/>
      <w:numFmt w:val="bullet"/>
      <w:lvlText w:val="•"/>
      <w:lvlJc w:val="left"/>
      <w:pPr>
        <w:ind w:left="6239" w:hanging="720"/>
      </w:pPr>
      <w:rPr>
        <w:rFonts w:hint="default"/>
        <w:lang w:val="zh-CN" w:eastAsia="zh-CN" w:bidi="zh-CN"/>
      </w:rPr>
    </w:lvl>
    <w:lvl w:ilvl="7" w:tentative="0">
      <w:start w:val="0"/>
      <w:numFmt w:val="bullet"/>
      <w:lvlText w:val="•"/>
      <w:lvlJc w:val="left"/>
      <w:pPr>
        <w:ind w:left="7191" w:hanging="720"/>
      </w:pPr>
      <w:rPr>
        <w:rFonts w:hint="default"/>
        <w:lang w:val="zh-CN" w:eastAsia="zh-CN" w:bidi="zh-CN"/>
      </w:rPr>
    </w:lvl>
    <w:lvl w:ilvl="8" w:tentative="0">
      <w:start w:val="0"/>
      <w:numFmt w:val="bullet"/>
      <w:lvlText w:val="•"/>
      <w:lvlJc w:val="left"/>
      <w:pPr>
        <w:ind w:left="8143" w:hanging="720"/>
      </w:pPr>
      <w:rPr>
        <w:rFonts w:hint="default"/>
        <w:lang w:val="zh-CN" w:eastAsia="zh-CN" w:bidi="zh-CN"/>
      </w:rPr>
    </w:lvl>
  </w:abstractNum>
  <w:abstractNum w:abstractNumId="17">
    <w:nsid w:val="0E640482"/>
    <w:multiLevelType w:val="multilevel"/>
    <w:tmpl w:val="0E640482"/>
    <w:lvl w:ilvl="0" w:tentative="0">
      <w:start w:val="1"/>
      <w:numFmt w:val="decimal"/>
      <w:lvlText w:val="（%1）"/>
      <w:lvlJc w:val="left"/>
      <w:pPr>
        <w:ind w:left="136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8" w:hanging="601"/>
      </w:pPr>
      <w:rPr>
        <w:rFonts w:hint="default"/>
        <w:lang w:val="zh-CN" w:eastAsia="zh-CN" w:bidi="zh-CN"/>
      </w:rPr>
    </w:lvl>
    <w:lvl w:ilvl="2" w:tentative="0">
      <w:start w:val="0"/>
      <w:numFmt w:val="bullet"/>
      <w:lvlText w:val="•"/>
      <w:lvlJc w:val="left"/>
      <w:pPr>
        <w:ind w:left="3097" w:hanging="601"/>
      </w:pPr>
      <w:rPr>
        <w:rFonts w:hint="default"/>
        <w:lang w:val="zh-CN" w:eastAsia="zh-CN" w:bidi="zh-CN"/>
      </w:rPr>
    </w:lvl>
    <w:lvl w:ilvl="3" w:tentative="0">
      <w:start w:val="0"/>
      <w:numFmt w:val="bullet"/>
      <w:lvlText w:val="•"/>
      <w:lvlJc w:val="left"/>
      <w:pPr>
        <w:ind w:left="3966"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03" w:hanging="601"/>
      </w:pPr>
      <w:rPr>
        <w:rFonts w:hint="default"/>
        <w:lang w:val="zh-CN" w:eastAsia="zh-CN" w:bidi="zh-CN"/>
      </w:rPr>
    </w:lvl>
    <w:lvl w:ilvl="6" w:tentative="0">
      <w:start w:val="0"/>
      <w:numFmt w:val="bullet"/>
      <w:lvlText w:val="•"/>
      <w:lvlJc w:val="left"/>
      <w:pPr>
        <w:ind w:left="6572" w:hanging="601"/>
      </w:pPr>
      <w:rPr>
        <w:rFonts w:hint="default"/>
        <w:lang w:val="zh-CN" w:eastAsia="zh-CN" w:bidi="zh-CN"/>
      </w:rPr>
    </w:lvl>
    <w:lvl w:ilvl="7" w:tentative="0">
      <w:start w:val="0"/>
      <w:numFmt w:val="bullet"/>
      <w:lvlText w:val="•"/>
      <w:lvlJc w:val="left"/>
      <w:pPr>
        <w:ind w:left="7440" w:hanging="601"/>
      </w:pPr>
      <w:rPr>
        <w:rFonts w:hint="default"/>
        <w:lang w:val="zh-CN" w:eastAsia="zh-CN" w:bidi="zh-CN"/>
      </w:rPr>
    </w:lvl>
    <w:lvl w:ilvl="8" w:tentative="0">
      <w:start w:val="0"/>
      <w:numFmt w:val="bullet"/>
      <w:lvlText w:val="•"/>
      <w:lvlJc w:val="left"/>
      <w:pPr>
        <w:ind w:left="8309" w:hanging="601"/>
      </w:pPr>
      <w:rPr>
        <w:rFonts w:hint="default"/>
        <w:lang w:val="zh-CN" w:eastAsia="zh-CN" w:bidi="zh-CN"/>
      </w:rPr>
    </w:lvl>
  </w:abstractNum>
  <w:abstractNum w:abstractNumId="18">
    <w:nsid w:val="1ACDE60F"/>
    <w:multiLevelType w:val="multilevel"/>
    <w:tmpl w:val="1ACDE60F"/>
    <w:lvl w:ilvl="0" w:tentative="0">
      <w:start w:val="1"/>
      <w:numFmt w:val="decimal"/>
      <w:lvlText w:val="（%1）"/>
      <w:lvlJc w:val="left"/>
      <w:pPr>
        <w:ind w:left="136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8" w:hanging="601"/>
      </w:pPr>
      <w:rPr>
        <w:rFonts w:hint="default"/>
        <w:lang w:val="zh-CN" w:eastAsia="zh-CN" w:bidi="zh-CN"/>
      </w:rPr>
    </w:lvl>
    <w:lvl w:ilvl="2" w:tentative="0">
      <w:start w:val="0"/>
      <w:numFmt w:val="bullet"/>
      <w:lvlText w:val="•"/>
      <w:lvlJc w:val="left"/>
      <w:pPr>
        <w:ind w:left="3097" w:hanging="601"/>
      </w:pPr>
      <w:rPr>
        <w:rFonts w:hint="default"/>
        <w:lang w:val="zh-CN" w:eastAsia="zh-CN" w:bidi="zh-CN"/>
      </w:rPr>
    </w:lvl>
    <w:lvl w:ilvl="3" w:tentative="0">
      <w:start w:val="0"/>
      <w:numFmt w:val="bullet"/>
      <w:lvlText w:val="•"/>
      <w:lvlJc w:val="left"/>
      <w:pPr>
        <w:ind w:left="3966"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03" w:hanging="601"/>
      </w:pPr>
      <w:rPr>
        <w:rFonts w:hint="default"/>
        <w:lang w:val="zh-CN" w:eastAsia="zh-CN" w:bidi="zh-CN"/>
      </w:rPr>
    </w:lvl>
    <w:lvl w:ilvl="6" w:tentative="0">
      <w:start w:val="0"/>
      <w:numFmt w:val="bullet"/>
      <w:lvlText w:val="•"/>
      <w:lvlJc w:val="left"/>
      <w:pPr>
        <w:ind w:left="6572" w:hanging="601"/>
      </w:pPr>
      <w:rPr>
        <w:rFonts w:hint="default"/>
        <w:lang w:val="zh-CN" w:eastAsia="zh-CN" w:bidi="zh-CN"/>
      </w:rPr>
    </w:lvl>
    <w:lvl w:ilvl="7" w:tentative="0">
      <w:start w:val="0"/>
      <w:numFmt w:val="bullet"/>
      <w:lvlText w:val="•"/>
      <w:lvlJc w:val="left"/>
      <w:pPr>
        <w:ind w:left="7440" w:hanging="601"/>
      </w:pPr>
      <w:rPr>
        <w:rFonts w:hint="default"/>
        <w:lang w:val="zh-CN" w:eastAsia="zh-CN" w:bidi="zh-CN"/>
      </w:rPr>
    </w:lvl>
    <w:lvl w:ilvl="8" w:tentative="0">
      <w:start w:val="0"/>
      <w:numFmt w:val="bullet"/>
      <w:lvlText w:val="•"/>
      <w:lvlJc w:val="left"/>
      <w:pPr>
        <w:ind w:left="8309" w:hanging="601"/>
      </w:pPr>
      <w:rPr>
        <w:rFonts w:hint="default"/>
        <w:lang w:val="zh-CN" w:eastAsia="zh-CN" w:bidi="zh-CN"/>
      </w:rPr>
    </w:lvl>
  </w:abstractNum>
  <w:abstractNum w:abstractNumId="19">
    <w:nsid w:val="1C257C7B"/>
    <w:multiLevelType w:val="multilevel"/>
    <w:tmpl w:val="1C257C7B"/>
    <w:lvl w:ilvl="0" w:tentative="0">
      <w:start w:val="1"/>
      <w:numFmt w:val="decimal"/>
      <w:lvlText w:val="（%1）"/>
      <w:lvlJc w:val="left"/>
      <w:pPr>
        <w:ind w:left="812"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42" w:hanging="525"/>
      </w:pPr>
      <w:rPr>
        <w:rFonts w:hint="default"/>
        <w:lang w:val="zh-CN" w:eastAsia="zh-CN" w:bidi="zh-CN"/>
      </w:rPr>
    </w:lvl>
    <w:lvl w:ilvl="2" w:tentative="0">
      <w:start w:val="0"/>
      <w:numFmt w:val="bullet"/>
      <w:lvlText w:val="•"/>
      <w:lvlJc w:val="left"/>
      <w:pPr>
        <w:ind w:left="2665" w:hanging="525"/>
      </w:pPr>
      <w:rPr>
        <w:rFonts w:hint="default"/>
        <w:lang w:val="zh-CN" w:eastAsia="zh-CN" w:bidi="zh-CN"/>
      </w:rPr>
    </w:lvl>
    <w:lvl w:ilvl="3" w:tentative="0">
      <w:start w:val="0"/>
      <w:numFmt w:val="bullet"/>
      <w:lvlText w:val="•"/>
      <w:lvlJc w:val="left"/>
      <w:pPr>
        <w:ind w:left="3588" w:hanging="525"/>
      </w:pPr>
      <w:rPr>
        <w:rFonts w:hint="default"/>
        <w:lang w:val="zh-CN" w:eastAsia="zh-CN" w:bidi="zh-CN"/>
      </w:rPr>
    </w:lvl>
    <w:lvl w:ilvl="4" w:tentative="0">
      <w:start w:val="0"/>
      <w:numFmt w:val="bullet"/>
      <w:lvlText w:val="•"/>
      <w:lvlJc w:val="left"/>
      <w:pPr>
        <w:ind w:left="4510" w:hanging="525"/>
      </w:pPr>
      <w:rPr>
        <w:rFonts w:hint="default"/>
        <w:lang w:val="zh-CN" w:eastAsia="zh-CN" w:bidi="zh-CN"/>
      </w:rPr>
    </w:lvl>
    <w:lvl w:ilvl="5" w:tentative="0">
      <w:start w:val="0"/>
      <w:numFmt w:val="bullet"/>
      <w:lvlText w:val="•"/>
      <w:lvlJc w:val="left"/>
      <w:pPr>
        <w:ind w:left="5433" w:hanging="525"/>
      </w:pPr>
      <w:rPr>
        <w:rFonts w:hint="default"/>
        <w:lang w:val="zh-CN" w:eastAsia="zh-CN" w:bidi="zh-CN"/>
      </w:rPr>
    </w:lvl>
    <w:lvl w:ilvl="6" w:tentative="0">
      <w:start w:val="0"/>
      <w:numFmt w:val="bullet"/>
      <w:lvlText w:val="•"/>
      <w:lvlJc w:val="left"/>
      <w:pPr>
        <w:ind w:left="6356" w:hanging="525"/>
      </w:pPr>
      <w:rPr>
        <w:rFonts w:hint="default"/>
        <w:lang w:val="zh-CN" w:eastAsia="zh-CN" w:bidi="zh-CN"/>
      </w:rPr>
    </w:lvl>
    <w:lvl w:ilvl="7" w:tentative="0">
      <w:start w:val="0"/>
      <w:numFmt w:val="bullet"/>
      <w:lvlText w:val="•"/>
      <w:lvlJc w:val="left"/>
      <w:pPr>
        <w:ind w:left="7278" w:hanging="525"/>
      </w:pPr>
      <w:rPr>
        <w:rFonts w:hint="default"/>
        <w:lang w:val="zh-CN" w:eastAsia="zh-CN" w:bidi="zh-CN"/>
      </w:rPr>
    </w:lvl>
    <w:lvl w:ilvl="8" w:tentative="0">
      <w:start w:val="0"/>
      <w:numFmt w:val="bullet"/>
      <w:lvlText w:val="•"/>
      <w:lvlJc w:val="left"/>
      <w:pPr>
        <w:ind w:left="8201" w:hanging="525"/>
      </w:pPr>
      <w:rPr>
        <w:rFonts w:hint="default"/>
        <w:lang w:val="zh-CN" w:eastAsia="zh-CN" w:bidi="zh-CN"/>
      </w:rPr>
    </w:lvl>
  </w:abstractNum>
  <w:abstractNum w:abstractNumId="20">
    <w:nsid w:val="243FCF68"/>
    <w:multiLevelType w:val="multilevel"/>
    <w:tmpl w:val="243FCF68"/>
    <w:lvl w:ilvl="0" w:tentative="0">
      <w:start w:val="19"/>
      <w:numFmt w:val="decimal"/>
      <w:lvlText w:val="%1"/>
      <w:lvlJc w:val="left"/>
      <w:pPr>
        <w:ind w:left="1368" w:hanging="600"/>
        <w:jc w:val="left"/>
      </w:pPr>
      <w:rPr>
        <w:rFonts w:hint="default"/>
        <w:lang w:val="zh-CN" w:eastAsia="zh-CN" w:bidi="zh-CN"/>
      </w:rPr>
    </w:lvl>
    <w:lvl w:ilvl="1" w:tentative="0">
      <w:start w:val="1"/>
      <w:numFmt w:val="decimal"/>
      <w:lvlText w:val="%1.%2"/>
      <w:lvlJc w:val="left"/>
      <w:pPr>
        <w:ind w:left="1368" w:hanging="600"/>
        <w:jc w:val="left"/>
      </w:pPr>
      <w:rPr>
        <w:rFonts w:hint="default" w:ascii="宋体" w:hAnsi="宋体" w:eastAsia="宋体" w:cs="宋体"/>
        <w:spacing w:val="-65"/>
        <w:w w:val="100"/>
        <w:sz w:val="24"/>
        <w:szCs w:val="24"/>
        <w:lang w:val="zh-CN" w:eastAsia="zh-CN" w:bidi="zh-CN"/>
      </w:rPr>
    </w:lvl>
    <w:lvl w:ilvl="2" w:tentative="0">
      <w:start w:val="0"/>
      <w:numFmt w:val="bullet"/>
      <w:lvlText w:val="•"/>
      <w:lvlJc w:val="left"/>
      <w:pPr>
        <w:ind w:left="3097" w:hanging="600"/>
      </w:pPr>
      <w:rPr>
        <w:rFonts w:hint="default"/>
        <w:lang w:val="zh-CN" w:eastAsia="zh-CN" w:bidi="zh-CN"/>
      </w:rPr>
    </w:lvl>
    <w:lvl w:ilvl="3" w:tentative="0">
      <w:start w:val="0"/>
      <w:numFmt w:val="bullet"/>
      <w:lvlText w:val="•"/>
      <w:lvlJc w:val="left"/>
      <w:pPr>
        <w:ind w:left="3966" w:hanging="600"/>
      </w:pPr>
      <w:rPr>
        <w:rFonts w:hint="default"/>
        <w:lang w:val="zh-CN" w:eastAsia="zh-CN" w:bidi="zh-CN"/>
      </w:rPr>
    </w:lvl>
    <w:lvl w:ilvl="4" w:tentative="0">
      <w:start w:val="0"/>
      <w:numFmt w:val="bullet"/>
      <w:lvlText w:val="•"/>
      <w:lvlJc w:val="left"/>
      <w:pPr>
        <w:ind w:left="4834" w:hanging="600"/>
      </w:pPr>
      <w:rPr>
        <w:rFonts w:hint="default"/>
        <w:lang w:val="zh-CN" w:eastAsia="zh-CN" w:bidi="zh-CN"/>
      </w:rPr>
    </w:lvl>
    <w:lvl w:ilvl="5" w:tentative="0">
      <w:start w:val="0"/>
      <w:numFmt w:val="bullet"/>
      <w:lvlText w:val="•"/>
      <w:lvlJc w:val="left"/>
      <w:pPr>
        <w:ind w:left="5703" w:hanging="600"/>
      </w:pPr>
      <w:rPr>
        <w:rFonts w:hint="default"/>
        <w:lang w:val="zh-CN" w:eastAsia="zh-CN" w:bidi="zh-CN"/>
      </w:rPr>
    </w:lvl>
    <w:lvl w:ilvl="6" w:tentative="0">
      <w:start w:val="0"/>
      <w:numFmt w:val="bullet"/>
      <w:lvlText w:val="•"/>
      <w:lvlJc w:val="left"/>
      <w:pPr>
        <w:ind w:left="6572" w:hanging="600"/>
      </w:pPr>
      <w:rPr>
        <w:rFonts w:hint="default"/>
        <w:lang w:val="zh-CN" w:eastAsia="zh-CN" w:bidi="zh-CN"/>
      </w:rPr>
    </w:lvl>
    <w:lvl w:ilvl="7" w:tentative="0">
      <w:start w:val="0"/>
      <w:numFmt w:val="bullet"/>
      <w:lvlText w:val="•"/>
      <w:lvlJc w:val="left"/>
      <w:pPr>
        <w:ind w:left="7440" w:hanging="600"/>
      </w:pPr>
      <w:rPr>
        <w:rFonts w:hint="default"/>
        <w:lang w:val="zh-CN" w:eastAsia="zh-CN" w:bidi="zh-CN"/>
      </w:rPr>
    </w:lvl>
    <w:lvl w:ilvl="8" w:tentative="0">
      <w:start w:val="0"/>
      <w:numFmt w:val="bullet"/>
      <w:lvlText w:val="•"/>
      <w:lvlJc w:val="left"/>
      <w:pPr>
        <w:ind w:left="8309" w:hanging="600"/>
      </w:pPr>
      <w:rPr>
        <w:rFonts w:hint="default"/>
        <w:lang w:val="zh-CN" w:eastAsia="zh-CN" w:bidi="zh-CN"/>
      </w:rPr>
    </w:lvl>
  </w:abstractNum>
  <w:abstractNum w:abstractNumId="21">
    <w:nsid w:val="2470EC97"/>
    <w:multiLevelType w:val="multilevel"/>
    <w:tmpl w:val="2470EC97"/>
    <w:lvl w:ilvl="0" w:tentative="0">
      <w:start w:val="9"/>
      <w:numFmt w:val="decimal"/>
      <w:lvlText w:val="%1"/>
      <w:lvlJc w:val="left"/>
      <w:pPr>
        <w:ind w:left="1248" w:hanging="480"/>
        <w:jc w:val="left"/>
      </w:pPr>
      <w:rPr>
        <w:rFonts w:hint="default"/>
        <w:lang w:val="zh-CN" w:eastAsia="zh-CN" w:bidi="zh-CN"/>
      </w:rPr>
    </w:lvl>
    <w:lvl w:ilvl="1" w:tentative="0">
      <w:start w:val="1"/>
      <w:numFmt w:val="decimal"/>
      <w:lvlText w:val="%1.%2"/>
      <w:lvlJc w:val="left"/>
      <w:pPr>
        <w:ind w:left="1248"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001" w:hanging="480"/>
      </w:pPr>
      <w:rPr>
        <w:rFonts w:hint="default"/>
        <w:lang w:val="zh-CN" w:eastAsia="zh-CN" w:bidi="zh-CN"/>
      </w:rPr>
    </w:lvl>
    <w:lvl w:ilvl="3" w:tentative="0">
      <w:start w:val="0"/>
      <w:numFmt w:val="bullet"/>
      <w:lvlText w:val="•"/>
      <w:lvlJc w:val="left"/>
      <w:pPr>
        <w:ind w:left="3882" w:hanging="480"/>
      </w:pPr>
      <w:rPr>
        <w:rFonts w:hint="default"/>
        <w:lang w:val="zh-CN" w:eastAsia="zh-CN" w:bidi="zh-CN"/>
      </w:rPr>
    </w:lvl>
    <w:lvl w:ilvl="4" w:tentative="0">
      <w:start w:val="0"/>
      <w:numFmt w:val="bullet"/>
      <w:lvlText w:val="•"/>
      <w:lvlJc w:val="left"/>
      <w:pPr>
        <w:ind w:left="4762" w:hanging="480"/>
      </w:pPr>
      <w:rPr>
        <w:rFonts w:hint="default"/>
        <w:lang w:val="zh-CN" w:eastAsia="zh-CN" w:bidi="zh-CN"/>
      </w:rPr>
    </w:lvl>
    <w:lvl w:ilvl="5" w:tentative="0">
      <w:start w:val="0"/>
      <w:numFmt w:val="bullet"/>
      <w:lvlText w:val="•"/>
      <w:lvlJc w:val="left"/>
      <w:pPr>
        <w:ind w:left="5643" w:hanging="480"/>
      </w:pPr>
      <w:rPr>
        <w:rFonts w:hint="default"/>
        <w:lang w:val="zh-CN" w:eastAsia="zh-CN" w:bidi="zh-CN"/>
      </w:rPr>
    </w:lvl>
    <w:lvl w:ilvl="6" w:tentative="0">
      <w:start w:val="0"/>
      <w:numFmt w:val="bullet"/>
      <w:lvlText w:val="•"/>
      <w:lvlJc w:val="left"/>
      <w:pPr>
        <w:ind w:left="6524" w:hanging="480"/>
      </w:pPr>
      <w:rPr>
        <w:rFonts w:hint="default"/>
        <w:lang w:val="zh-CN" w:eastAsia="zh-CN" w:bidi="zh-CN"/>
      </w:rPr>
    </w:lvl>
    <w:lvl w:ilvl="7" w:tentative="0">
      <w:start w:val="0"/>
      <w:numFmt w:val="bullet"/>
      <w:lvlText w:val="•"/>
      <w:lvlJc w:val="left"/>
      <w:pPr>
        <w:ind w:left="7404" w:hanging="480"/>
      </w:pPr>
      <w:rPr>
        <w:rFonts w:hint="default"/>
        <w:lang w:val="zh-CN" w:eastAsia="zh-CN" w:bidi="zh-CN"/>
      </w:rPr>
    </w:lvl>
    <w:lvl w:ilvl="8" w:tentative="0">
      <w:start w:val="0"/>
      <w:numFmt w:val="bullet"/>
      <w:lvlText w:val="•"/>
      <w:lvlJc w:val="left"/>
      <w:pPr>
        <w:ind w:left="8285" w:hanging="480"/>
      </w:pPr>
      <w:rPr>
        <w:rFonts w:hint="default"/>
        <w:lang w:val="zh-CN" w:eastAsia="zh-CN" w:bidi="zh-CN"/>
      </w:rPr>
    </w:lvl>
  </w:abstractNum>
  <w:abstractNum w:abstractNumId="22">
    <w:nsid w:val="2A8F537B"/>
    <w:multiLevelType w:val="multilevel"/>
    <w:tmpl w:val="2A8F537B"/>
    <w:lvl w:ilvl="0" w:tentative="0">
      <w:start w:val="4"/>
      <w:numFmt w:val="decimal"/>
      <w:lvlText w:val="%1"/>
      <w:lvlJc w:val="left"/>
      <w:pPr>
        <w:ind w:left="768" w:hanging="480"/>
        <w:jc w:val="left"/>
      </w:pPr>
      <w:rPr>
        <w:rFonts w:hint="default"/>
        <w:lang w:val="zh-CN" w:eastAsia="zh-CN" w:bidi="zh-CN"/>
      </w:rPr>
    </w:lvl>
    <w:lvl w:ilvl="1" w:tentative="0">
      <w:start w:val="1"/>
      <w:numFmt w:val="decimal"/>
      <w:lvlText w:val="%1.%2"/>
      <w:lvlJc w:val="left"/>
      <w:pPr>
        <w:ind w:left="768" w:hanging="480"/>
        <w:jc w:val="left"/>
      </w:pPr>
      <w:rPr>
        <w:rFonts w:hint="default" w:ascii="宋体" w:hAnsi="宋体" w:eastAsia="宋体" w:cs="宋体"/>
        <w:spacing w:val="-19"/>
        <w:w w:val="100"/>
        <w:sz w:val="24"/>
        <w:szCs w:val="24"/>
        <w:lang w:val="zh-CN" w:eastAsia="zh-CN" w:bidi="zh-CN"/>
      </w:rPr>
    </w:lvl>
    <w:lvl w:ilvl="2" w:tentative="0">
      <w:start w:val="0"/>
      <w:numFmt w:val="bullet"/>
      <w:lvlText w:val="•"/>
      <w:lvlJc w:val="left"/>
      <w:pPr>
        <w:ind w:left="2617" w:hanging="480"/>
      </w:pPr>
      <w:rPr>
        <w:rFonts w:hint="default"/>
        <w:lang w:val="zh-CN" w:eastAsia="zh-CN" w:bidi="zh-CN"/>
      </w:rPr>
    </w:lvl>
    <w:lvl w:ilvl="3" w:tentative="0">
      <w:start w:val="0"/>
      <w:numFmt w:val="bullet"/>
      <w:lvlText w:val="•"/>
      <w:lvlJc w:val="left"/>
      <w:pPr>
        <w:ind w:left="3546" w:hanging="480"/>
      </w:pPr>
      <w:rPr>
        <w:rFonts w:hint="default"/>
        <w:lang w:val="zh-CN" w:eastAsia="zh-CN" w:bidi="zh-CN"/>
      </w:rPr>
    </w:lvl>
    <w:lvl w:ilvl="4" w:tentative="0">
      <w:start w:val="0"/>
      <w:numFmt w:val="bullet"/>
      <w:lvlText w:val="•"/>
      <w:lvlJc w:val="left"/>
      <w:pPr>
        <w:ind w:left="4474" w:hanging="480"/>
      </w:pPr>
      <w:rPr>
        <w:rFonts w:hint="default"/>
        <w:lang w:val="zh-CN" w:eastAsia="zh-CN" w:bidi="zh-CN"/>
      </w:rPr>
    </w:lvl>
    <w:lvl w:ilvl="5" w:tentative="0">
      <w:start w:val="0"/>
      <w:numFmt w:val="bullet"/>
      <w:lvlText w:val="•"/>
      <w:lvlJc w:val="left"/>
      <w:pPr>
        <w:ind w:left="5403" w:hanging="480"/>
      </w:pPr>
      <w:rPr>
        <w:rFonts w:hint="default"/>
        <w:lang w:val="zh-CN" w:eastAsia="zh-CN" w:bidi="zh-CN"/>
      </w:rPr>
    </w:lvl>
    <w:lvl w:ilvl="6" w:tentative="0">
      <w:start w:val="0"/>
      <w:numFmt w:val="bullet"/>
      <w:lvlText w:val="•"/>
      <w:lvlJc w:val="left"/>
      <w:pPr>
        <w:ind w:left="6332" w:hanging="480"/>
      </w:pPr>
      <w:rPr>
        <w:rFonts w:hint="default"/>
        <w:lang w:val="zh-CN" w:eastAsia="zh-CN" w:bidi="zh-CN"/>
      </w:rPr>
    </w:lvl>
    <w:lvl w:ilvl="7" w:tentative="0">
      <w:start w:val="0"/>
      <w:numFmt w:val="bullet"/>
      <w:lvlText w:val="•"/>
      <w:lvlJc w:val="left"/>
      <w:pPr>
        <w:ind w:left="7260" w:hanging="480"/>
      </w:pPr>
      <w:rPr>
        <w:rFonts w:hint="default"/>
        <w:lang w:val="zh-CN" w:eastAsia="zh-CN" w:bidi="zh-CN"/>
      </w:rPr>
    </w:lvl>
    <w:lvl w:ilvl="8" w:tentative="0">
      <w:start w:val="0"/>
      <w:numFmt w:val="bullet"/>
      <w:lvlText w:val="•"/>
      <w:lvlJc w:val="left"/>
      <w:pPr>
        <w:ind w:left="8189" w:hanging="480"/>
      </w:pPr>
      <w:rPr>
        <w:rFonts w:hint="default"/>
        <w:lang w:val="zh-CN" w:eastAsia="zh-CN" w:bidi="zh-CN"/>
      </w:rPr>
    </w:lvl>
  </w:abstractNum>
  <w:abstractNum w:abstractNumId="23">
    <w:nsid w:val="2B57DCB2"/>
    <w:multiLevelType w:val="singleLevel"/>
    <w:tmpl w:val="2B57DCB2"/>
    <w:lvl w:ilvl="0" w:tentative="0">
      <w:start w:val="1"/>
      <w:numFmt w:val="decimal"/>
      <w:pStyle w:val="10"/>
      <w:lvlText w:val="%1."/>
      <w:lvlJc w:val="left"/>
      <w:pPr>
        <w:tabs>
          <w:tab w:val="left" w:pos="2040"/>
        </w:tabs>
        <w:ind w:left="2040" w:hanging="360"/>
      </w:pPr>
    </w:lvl>
  </w:abstractNum>
  <w:abstractNum w:abstractNumId="24">
    <w:nsid w:val="30FC5B15"/>
    <w:multiLevelType w:val="multilevel"/>
    <w:tmpl w:val="30FC5B15"/>
    <w:lvl w:ilvl="0" w:tentative="0">
      <w:start w:val="24"/>
      <w:numFmt w:val="decimal"/>
      <w:lvlText w:val="%1"/>
      <w:lvlJc w:val="left"/>
      <w:pPr>
        <w:ind w:left="1368" w:hanging="600"/>
        <w:jc w:val="left"/>
      </w:pPr>
      <w:rPr>
        <w:rFonts w:hint="default"/>
        <w:lang w:val="zh-CN" w:eastAsia="zh-CN" w:bidi="zh-CN"/>
      </w:rPr>
    </w:lvl>
    <w:lvl w:ilvl="1" w:tentative="0">
      <w:start w:val="1"/>
      <w:numFmt w:val="decimal"/>
      <w:lvlText w:val="%1.%2"/>
      <w:lvlJc w:val="left"/>
      <w:pPr>
        <w:ind w:left="1368" w:hanging="600"/>
        <w:jc w:val="left"/>
      </w:pPr>
      <w:rPr>
        <w:rFonts w:hint="default" w:ascii="宋体" w:hAnsi="宋体" w:eastAsia="宋体" w:cs="宋体"/>
        <w:spacing w:val="-25"/>
        <w:w w:val="100"/>
        <w:sz w:val="24"/>
        <w:szCs w:val="24"/>
        <w:lang w:val="zh-CN" w:eastAsia="zh-CN" w:bidi="zh-CN"/>
      </w:rPr>
    </w:lvl>
    <w:lvl w:ilvl="2" w:tentative="0">
      <w:start w:val="0"/>
      <w:numFmt w:val="bullet"/>
      <w:lvlText w:val="•"/>
      <w:lvlJc w:val="left"/>
      <w:pPr>
        <w:ind w:left="3097" w:hanging="600"/>
      </w:pPr>
      <w:rPr>
        <w:rFonts w:hint="default"/>
        <w:lang w:val="zh-CN" w:eastAsia="zh-CN" w:bidi="zh-CN"/>
      </w:rPr>
    </w:lvl>
    <w:lvl w:ilvl="3" w:tentative="0">
      <w:start w:val="0"/>
      <w:numFmt w:val="bullet"/>
      <w:lvlText w:val="•"/>
      <w:lvlJc w:val="left"/>
      <w:pPr>
        <w:ind w:left="3966" w:hanging="600"/>
      </w:pPr>
      <w:rPr>
        <w:rFonts w:hint="default"/>
        <w:lang w:val="zh-CN" w:eastAsia="zh-CN" w:bidi="zh-CN"/>
      </w:rPr>
    </w:lvl>
    <w:lvl w:ilvl="4" w:tentative="0">
      <w:start w:val="0"/>
      <w:numFmt w:val="bullet"/>
      <w:lvlText w:val="•"/>
      <w:lvlJc w:val="left"/>
      <w:pPr>
        <w:ind w:left="4834" w:hanging="600"/>
      </w:pPr>
      <w:rPr>
        <w:rFonts w:hint="default"/>
        <w:lang w:val="zh-CN" w:eastAsia="zh-CN" w:bidi="zh-CN"/>
      </w:rPr>
    </w:lvl>
    <w:lvl w:ilvl="5" w:tentative="0">
      <w:start w:val="0"/>
      <w:numFmt w:val="bullet"/>
      <w:lvlText w:val="•"/>
      <w:lvlJc w:val="left"/>
      <w:pPr>
        <w:ind w:left="5703" w:hanging="600"/>
      </w:pPr>
      <w:rPr>
        <w:rFonts w:hint="default"/>
        <w:lang w:val="zh-CN" w:eastAsia="zh-CN" w:bidi="zh-CN"/>
      </w:rPr>
    </w:lvl>
    <w:lvl w:ilvl="6" w:tentative="0">
      <w:start w:val="0"/>
      <w:numFmt w:val="bullet"/>
      <w:lvlText w:val="•"/>
      <w:lvlJc w:val="left"/>
      <w:pPr>
        <w:ind w:left="6572" w:hanging="600"/>
      </w:pPr>
      <w:rPr>
        <w:rFonts w:hint="default"/>
        <w:lang w:val="zh-CN" w:eastAsia="zh-CN" w:bidi="zh-CN"/>
      </w:rPr>
    </w:lvl>
    <w:lvl w:ilvl="7" w:tentative="0">
      <w:start w:val="0"/>
      <w:numFmt w:val="bullet"/>
      <w:lvlText w:val="•"/>
      <w:lvlJc w:val="left"/>
      <w:pPr>
        <w:ind w:left="7440" w:hanging="600"/>
      </w:pPr>
      <w:rPr>
        <w:rFonts w:hint="default"/>
        <w:lang w:val="zh-CN" w:eastAsia="zh-CN" w:bidi="zh-CN"/>
      </w:rPr>
    </w:lvl>
    <w:lvl w:ilvl="8" w:tentative="0">
      <w:start w:val="0"/>
      <w:numFmt w:val="bullet"/>
      <w:lvlText w:val="•"/>
      <w:lvlJc w:val="left"/>
      <w:pPr>
        <w:ind w:left="8309" w:hanging="600"/>
      </w:pPr>
      <w:rPr>
        <w:rFonts w:hint="default"/>
        <w:lang w:val="zh-CN" w:eastAsia="zh-CN" w:bidi="zh-CN"/>
      </w:rPr>
    </w:lvl>
  </w:abstractNum>
  <w:abstractNum w:abstractNumId="25">
    <w:nsid w:val="322D85CA"/>
    <w:multiLevelType w:val="multilevel"/>
    <w:tmpl w:val="322D85CA"/>
    <w:lvl w:ilvl="0" w:tentative="0">
      <w:start w:val="1"/>
      <w:numFmt w:val="decimal"/>
      <w:lvlText w:val="（%1）"/>
      <w:lvlJc w:val="left"/>
      <w:pPr>
        <w:ind w:left="1369" w:hanging="601"/>
        <w:jc w:val="left"/>
      </w:pPr>
      <w:rPr>
        <w:rFonts w:hint="default" w:ascii="宋体" w:hAnsi="宋体" w:eastAsia="宋体" w:cs="宋体"/>
        <w:b/>
        <w:bCs/>
        <w:w w:val="99"/>
        <w:sz w:val="22"/>
        <w:szCs w:val="22"/>
        <w:lang w:val="zh-CN" w:eastAsia="zh-CN" w:bidi="zh-CN"/>
      </w:rPr>
    </w:lvl>
    <w:lvl w:ilvl="1" w:tentative="0">
      <w:start w:val="0"/>
      <w:numFmt w:val="bullet"/>
      <w:lvlText w:val="•"/>
      <w:lvlJc w:val="left"/>
      <w:pPr>
        <w:ind w:left="2228" w:hanging="601"/>
      </w:pPr>
      <w:rPr>
        <w:rFonts w:hint="default"/>
        <w:lang w:val="zh-CN" w:eastAsia="zh-CN" w:bidi="zh-CN"/>
      </w:rPr>
    </w:lvl>
    <w:lvl w:ilvl="2" w:tentative="0">
      <w:start w:val="0"/>
      <w:numFmt w:val="bullet"/>
      <w:lvlText w:val="•"/>
      <w:lvlJc w:val="left"/>
      <w:pPr>
        <w:ind w:left="3097" w:hanging="601"/>
      </w:pPr>
      <w:rPr>
        <w:rFonts w:hint="default"/>
        <w:lang w:val="zh-CN" w:eastAsia="zh-CN" w:bidi="zh-CN"/>
      </w:rPr>
    </w:lvl>
    <w:lvl w:ilvl="3" w:tentative="0">
      <w:start w:val="0"/>
      <w:numFmt w:val="bullet"/>
      <w:lvlText w:val="•"/>
      <w:lvlJc w:val="left"/>
      <w:pPr>
        <w:ind w:left="3966"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03" w:hanging="601"/>
      </w:pPr>
      <w:rPr>
        <w:rFonts w:hint="default"/>
        <w:lang w:val="zh-CN" w:eastAsia="zh-CN" w:bidi="zh-CN"/>
      </w:rPr>
    </w:lvl>
    <w:lvl w:ilvl="6" w:tentative="0">
      <w:start w:val="0"/>
      <w:numFmt w:val="bullet"/>
      <w:lvlText w:val="•"/>
      <w:lvlJc w:val="left"/>
      <w:pPr>
        <w:ind w:left="6572" w:hanging="601"/>
      </w:pPr>
      <w:rPr>
        <w:rFonts w:hint="default"/>
        <w:lang w:val="zh-CN" w:eastAsia="zh-CN" w:bidi="zh-CN"/>
      </w:rPr>
    </w:lvl>
    <w:lvl w:ilvl="7" w:tentative="0">
      <w:start w:val="0"/>
      <w:numFmt w:val="bullet"/>
      <w:lvlText w:val="•"/>
      <w:lvlJc w:val="left"/>
      <w:pPr>
        <w:ind w:left="7440" w:hanging="601"/>
      </w:pPr>
      <w:rPr>
        <w:rFonts w:hint="default"/>
        <w:lang w:val="zh-CN" w:eastAsia="zh-CN" w:bidi="zh-CN"/>
      </w:rPr>
    </w:lvl>
    <w:lvl w:ilvl="8" w:tentative="0">
      <w:start w:val="0"/>
      <w:numFmt w:val="bullet"/>
      <w:lvlText w:val="•"/>
      <w:lvlJc w:val="left"/>
      <w:pPr>
        <w:ind w:left="8309" w:hanging="601"/>
      </w:pPr>
      <w:rPr>
        <w:rFonts w:hint="default"/>
        <w:lang w:val="zh-CN" w:eastAsia="zh-CN" w:bidi="zh-CN"/>
      </w:rPr>
    </w:lvl>
  </w:abstractNum>
  <w:abstractNum w:abstractNumId="26">
    <w:nsid w:val="32A7AF2D"/>
    <w:multiLevelType w:val="multilevel"/>
    <w:tmpl w:val="32A7AF2D"/>
    <w:lvl w:ilvl="0" w:tentative="0">
      <w:start w:val="1"/>
      <w:numFmt w:val="decimal"/>
      <w:lvlText w:val="（%1）"/>
      <w:lvlJc w:val="left"/>
      <w:pPr>
        <w:ind w:left="288" w:hanging="601"/>
        <w:jc w:val="left"/>
      </w:pPr>
      <w:rPr>
        <w:rFonts w:hint="default" w:ascii="宋体" w:hAnsi="宋体" w:eastAsia="宋体" w:cs="宋体"/>
        <w:spacing w:val="-36"/>
        <w:w w:val="100"/>
        <w:sz w:val="22"/>
        <w:szCs w:val="22"/>
        <w:lang w:val="zh-CN" w:eastAsia="zh-CN" w:bidi="zh-CN"/>
      </w:rPr>
    </w:lvl>
    <w:lvl w:ilvl="1" w:tentative="0">
      <w:start w:val="0"/>
      <w:numFmt w:val="bullet"/>
      <w:lvlText w:val="•"/>
      <w:lvlJc w:val="left"/>
      <w:pPr>
        <w:ind w:left="125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210" w:hanging="601"/>
      </w:pPr>
      <w:rPr>
        <w:rFonts w:hint="default"/>
        <w:lang w:val="zh-CN" w:eastAsia="zh-CN" w:bidi="zh-CN"/>
      </w:rPr>
    </w:lvl>
    <w:lvl w:ilvl="4" w:tentative="0">
      <w:start w:val="0"/>
      <w:numFmt w:val="bullet"/>
      <w:lvlText w:val="•"/>
      <w:lvlJc w:val="left"/>
      <w:pPr>
        <w:ind w:left="4186" w:hanging="601"/>
      </w:pPr>
      <w:rPr>
        <w:rFonts w:hint="default"/>
        <w:lang w:val="zh-CN" w:eastAsia="zh-CN" w:bidi="zh-CN"/>
      </w:rPr>
    </w:lvl>
    <w:lvl w:ilvl="5" w:tentative="0">
      <w:start w:val="0"/>
      <w:numFmt w:val="bullet"/>
      <w:lvlText w:val="•"/>
      <w:lvlJc w:val="left"/>
      <w:pPr>
        <w:ind w:left="5163" w:hanging="601"/>
      </w:pPr>
      <w:rPr>
        <w:rFonts w:hint="default"/>
        <w:lang w:val="zh-CN" w:eastAsia="zh-CN" w:bidi="zh-CN"/>
      </w:rPr>
    </w:lvl>
    <w:lvl w:ilvl="6" w:tentative="0">
      <w:start w:val="0"/>
      <w:numFmt w:val="bullet"/>
      <w:lvlText w:val="•"/>
      <w:lvlJc w:val="left"/>
      <w:pPr>
        <w:ind w:left="6140" w:hanging="601"/>
      </w:pPr>
      <w:rPr>
        <w:rFonts w:hint="default"/>
        <w:lang w:val="zh-CN" w:eastAsia="zh-CN" w:bidi="zh-CN"/>
      </w:rPr>
    </w:lvl>
    <w:lvl w:ilvl="7" w:tentative="0">
      <w:start w:val="0"/>
      <w:numFmt w:val="bullet"/>
      <w:lvlText w:val="•"/>
      <w:lvlJc w:val="left"/>
      <w:pPr>
        <w:ind w:left="7116" w:hanging="601"/>
      </w:pPr>
      <w:rPr>
        <w:rFonts w:hint="default"/>
        <w:lang w:val="zh-CN" w:eastAsia="zh-CN" w:bidi="zh-CN"/>
      </w:rPr>
    </w:lvl>
    <w:lvl w:ilvl="8" w:tentative="0">
      <w:start w:val="0"/>
      <w:numFmt w:val="bullet"/>
      <w:lvlText w:val="•"/>
      <w:lvlJc w:val="left"/>
      <w:pPr>
        <w:ind w:left="8093" w:hanging="601"/>
      </w:pPr>
      <w:rPr>
        <w:rFonts w:hint="default"/>
        <w:lang w:val="zh-CN" w:eastAsia="zh-CN" w:bidi="zh-CN"/>
      </w:rPr>
    </w:lvl>
  </w:abstractNum>
  <w:abstractNum w:abstractNumId="27">
    <w:nsid w:val="39A0D9AC"/>
    <w:multiLevelType w:val="multilevel"/>
    <w:tmpl w:val="39A0D9AC"/>
    <w:lvl w:ilvl="0" w:tentative="0">
      <w:start w:val="18"/>
      <w:numFmt w:val="decimal"/>
      <w:lvlText w:val="%1"/>
      <w:lvlJc w:val="left"/>
      <w:pPr>
        <w:ind w:left="1368" w:hanging="600"/>
        <w:jc w:val="left"/>
      </w:pPr>
      <w:rPr>
        <w:rFonts w:hint="default"/>
        <w:lang w:val="zh-CN" w:eastAsia="zh-CN" w:bidi="zh-CN"/>
      </w:rPr>
    </w:lvl>
    <w:lvl w:ilvl="1" w:tentative="0">
      <w:start w:val="1"/>
      <w:numFmt w:val="decimal"/>
      <w:lvlText w:val="%1.%2"/>
      <w:lvlJc w:val="left"/>
      <w:pPr>
        <w:ind w:left="1368" w:hanging="60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608" w:hanging="840"/>
        <w:jc w:val="left"/>
      </w:pPr>
      <w:rPr>
        <w:rFonts w:hint="default" w:ascii="宋体" w:hAnsi="宋体" w:eastAsia="宋体" w:cs="宋体"/>
        <w:spacing w:val="-152"/>
        <w:w w:val="100"/>
        <w:sz w:val="24"/>
        <w:szCs w:val="24"/>
        <w:lang w:val="zh-CN" w:eastAsia="zh-CN" w:bidi="zh-CN"/>
      </w:rPr>
    </w:lvl>
    <w:lvl w:ilvl="3" w:tentative="0">
      <w:start w:val="0"/>
      <w:numFmt w:val="bullet"/>
      <w:lvlText w:val="•"/>
      <w:lvlJc w:val="left"/>
      <w:pPr>
        <w:ind w:left="2655" w:hanging="840"/>
      </w:pPr>
      <w:rPr>
        <w:rFonts w:hint="default"/>
        <w:lang w:val="zh-CN" w:eastAsia="zh-CN" w:bidi="zh-CN"/>
      </w:rPr>
    </w:lvl>
    <w:lvl w:ilvl="4" w:tentative="0">
      <w:start w:val="0"/>
      <w:numFmt w:val="bullet"/>
      <w:lvlText w:val="•"/>
      <w:lvlJc w:val="left"/>
      <w:pPr>
        <w:ind w:left="3711" w:hanging="840"/>
      </w:pPr>
      <w:rPr>
        <w:rFonts w:hint="default"/>
        <w:lang w:val="zh-CN" w:eastAsia="zh-CN" w:bidi="zh-CN"/>
      </w:rPr>
    </w:lvl>
    <w:lvl w:ilvl="5" w:tentative="0">
      <w:start w:val="0"/>
      <w:numFmt w:val="bullet"/>
      <w:lvlText w:val="•"/>
      <w:lvlJc w:val="left"/>
      <w:pPr>
        <w:ind w:left="4767" w:hanging="840"/>
      </w:pPr>
      <w:rPr>
        <w:rFonts w:hint="default"/>
        <w:lang w:val="zh-CN" w:eastAsia="zh-CN" w:bidi="zh-CN"/>
      </w:rPr>
    </w:lvl>
    <w:lvl w:ilvl="6" w:tentative="0">
      <w:start w:val="0"/>
      <w:numFmt w:val="bullet"/>
      <w:lvlText w:val="•"/>
      <w:lvlJc w:val="left"/>
      <w:pPr>
        <w:ind w:left="5823" w:hanging="840"/>
      </w:pPr>
      <w:rPr>
        <w:rFonts w:hint="default"/>
        <w:lang w:val="zh-CN" w:eastAsia="zh-CN" w:bidi="zh-CN"/>
      </w:rPr>
    </w:lvl>
    <w:lvl w:ilvl="7" w:tentative="0">
      <w:start w:val="0"/>
      <w:numFmt w:val="bullet"/>
      <w:lvlText w:val="•"/>
      <w:lvlJc w:val="left"/>
      <w:pPr>
        <w:ind w:left="6879" w:hanging="840"/>
      </w:pPr>
      <w:rPr>
        <w:rFonts w:hint="default"/>
        <w:lang w:val="zh-CN" w:eastAsia="zh-CN" w:bidi="zh-CN"/>
      </w:rPr>
    </w:lvl>
    <w:lvl w:ilvl="8" w:tentative="0">
      <w:start w:val="0"/>
      <w:numFmt w:val="bullet"/>
      <w:lvlText w:val="•"/>
      <w:lvlJc w:val="left"/>
      <w:pPr>
        <w:ind w:left="7935" w:hanging="840"/>
      </w:pPr>
      <w:rPr>
        <w:rFonts w:hint="default"/>
        <w:lang w:val="zh-CN" w:eastAsia="zh-CN" w:bidi="zh-CN"/>
      </w:rPr>
    </w:lvl>
  </w:abstractNum>
  <w:abstractNum w:abstractNumId="28">
    <w:nsid w:val="46A08BB8"/>
    <w:multiLevelType w:val="multilevel"/>
    <w:tmpl w:val="46A08BB8"/>
    <w:lvl w:ilvl="0" w:tentative="0">
      <w:start w:val="13"/>
      <w:numFmt w:val="decimal"/>
      <w:lvlText w:val="%1"/>
      <w:lvlJc w:val="left"/>
      <w:pPr>
        <w:ind w:left="288" w:hanging="605"/>
        <w:jc w:val="left"/>
      </w:pPr>
      <w:rPr>
        <w:rFonts w:hint="default"/>
        <w:lang w:val="zh-CN" w:eastAsia="zh-CN" w:bidi="zh-CN"/>
      </w:rPr>
    </w:lvl>
    <w:lvl w:ilvl="1" w:tentative="0">
      <w:start w:val="1"/>
      <w:numFmt w:val="decimal"/>
      <w:lvlText w:val="%1.%2"/>
      <w:lvlJc w:val="left"/>
      <w:pPr>
        <w:ind w:left="288" w:hanging="605"/>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33" w:hanging="605"/>
      </w:pPr>
      <w:rPr>
        <w:rFonts w:hint="default"/>
        <w:lang w:val="zh-CN" w:eastAsia="zh-CN" w:bidi="zh-CN"/>
      </w:rPr>
    </w:lvl>
    <w:lvl w:ilvl="3" w:tentative="0">
      <w:start w:val="0"/>
      <w:numFmt w:val="bullet"/>
      <w:lvlText w:val="•"/>
      <w:lvlJc w:val="left"/>
      <w:pPr>
        <w:ind w:left="3210" w:hanging="605"/>
      </w:pPr>
      <w:rPr>
        <w:rFonts w:hint="default"/>
        <w:lang w:val="zh-CN" w:eastAsia="zh-CN" w:bidi="zh-CN"/>
      </w:rPr>
    </w:lvl>
    <w:lvl w:ilvl="4" w:tentative="0">
      <w:start w:val="0"/>
      <w:numFmt w:val="bullet"/>
      <w:lvlText w:val="•"/>
      <w:lvlJc w:val="left"/>
      <w:pPr>
        <w:ind w:left="4186" w:hanging="605"/>
      </w:pPr>
      <w:rPr>
        <w:rFonts w:hint="default"/>
        <w:lang w:val="zh-CN" w:eastAsia="zh-CN" w:bidi="zh-CN"/>
      </w:rPr>
    </w:lvl>
    <w:lvl w:ilvl="5" w:tentative="0">
      <w:start w:val="0"/>
      <w:numFmt w:val="bullet"/>
      <w:lvlText w:val="•"/>
      <w:lvlJc w:val="left"/>
      <w:pPr>
        <w:ind w:left="5163" w:hanging="605"/>
      </w:pPr>
      <w:rPr>
        <w:rFonts w:hint="default"/>
        <w:lang w:val="zh-CN" w:eastAsia="zh-CN" w:bidi="zh-CN"/>
      </w:rPr>
    </w:lvl>
    <w:lvl w:ilvl="6" w:tentative="0">
      <w:start w:val="0"/>
      <w:numFmt w:val="bullet"/>
      <w:lvlText w:val="•"/>
      <w:lvlJc w:val="left"/>
      <w:pPr>
        <w:ind w:left="6140" w:hanging="605"/>
      </w:pPr>
      <w:rPr>
        <w:rFonts w:hint="default"/>
        <w:lang w:val="zh-CN" w:eastAsia="zh-CN" w:bidi="zh-CN"/>
      </w:rPr>
    </w:lvl>
    <w:lvl w:ilvl="7" w:tentative="0">
      <w:start w:val="0"/>
      <w:numFmt w:val="bullet"/>
      <w:lvlText w:val="•"/>
      <w:lvlJc w:val="left"/>
      <w:pPr>
        <w:ind w:left="7116" w:hanging="605"/>
      </w:pPr>
      <w:rPr>
        <w:rFonts w:hint="default"/>
        <w:lang w:val="zh-CN" w:eastAsia="zh-CN" w:bidi="zh-CN"/>
      </w:rPr>
    </w:lvl>
    <w:lvl w:ilvl="8" w:tentative="0">
      <w:start w:val="0"/>
      <w:numFmt w:val="bullet"/>
      <w:lvlText w:val="•"/>
      <w:lvlJc w:val="left"/>
      <w:pPr>
        <w:ind w:left="8093" w:hanging="605"/>
      </w:pPr>
      <w:rPr>
        <w:rFonts w:hint="default"/>
        <w:lang w:val="zh-CN" w:eastAsia="zh-CN" w:bidi="zh-CN"/>
      </w:rPr>
    </w:lvl>
  </w:abstractNum>
  <w:abstractNum w:abstractNumId="29">
    <w:nsid w:val="4C1BAE26"/>
    <w:multiLevelType w:val="multilevel"/>
    <w:tmpl w:val="4C1BAE26"/>
    <w:lvl w:ilvl="0" w:tentative="0">
      <w:start w:val="11"/>
      <w:numFmt w:val="decimal"/>
      <w:lvlText w:val="%1"/>
      <w:lvlJc w:val="left"/>
      <w:pPr>
        <w:ind w:left="288" w:hanging="600"/>
        <w:jc w:val="left"/>
      </w:pPr>
      <w:rPr>
        <w:rFonts w:hint="default"/>
        <w:lang w:val="zh-CN" w:eastAsia="zh-CN" w:bidi="zh-CN"/>
      </w:rPr>
    </w:lvl>
    <w:lvl w:ilvl="1" w:tentative="0">
      <w:start w:val="1"/>
      <w:numFmt w:val="decimal"/>
      <w:lvlText w:val="%1.%2"/>
      <w:lvlJc w:val="left"/>
      <w:pPr>
        <w:ind w:left="288" w:hanging="600"/>
        <w:jc w:val="left"/>
      </w:pPr>
      <w:rPr>
        <w:rFonts w:hint="default" w:ascii="宋体" w:hAnsi="宋体" w:eastAsia="宋体" w:cs="宋体"/>
        <w:spacing w:val="-36"/>
        <w:w w:val="100"/>
        <w:sz w:val="24"/>
        <w:szCs w:val="24"/>
        <w:lang w:val="zh-CN" w:eastAsia="zh-CN" w:bidi="zh-CN"/>
      </w:rPr>
    </w:lvl>
    <w:lvl w:ilvl="2" w:tentative="0">
      <w:start w:val="0"/>
      <w:numFmt w:val="bullet"/>
      <w:lvlText w:val="•"/>
      <w:lvlJc w:val="left"/>
      <w:pPr>
        <w:ind w:left="2233" w:hanging="600"/>
      </w:pPr>
      <w:rPr>
        <w:rFonts w:hint="default"/>
        <w:lang w:val="zh-CN" w:eastAsia="zh-CN" w:bidi="zh-CN"/>
      </w:rPr>
    </w:lvl>
    <w:lvl w:ilvl="3" w:tentative="0">
      <w:start w:val="0"/>
      <w:numFmt w:val="bullet"/>
      <w:lvlText w:val="•"/>
      <w:lvlJc w:val="left"/>
      <w:pPr>
        <w:ind w:left="3210" w:hanging="600"/>
      </w:pPr>
      <w:rPr>
        <w:rFonts w:hint="default"/>
        <w:lang w:val="zh-CN" w:eastAsia="zh-CN" w:bidi="zh-CN"/>
      </w:rPr>
    </w:lvl>
    <w:lvl w:ilvl="4" w:tentative="0">
      <w:start w:val="0"/>
      <w:numFmt w:val="bullet"/>
      <w:lvlText w:val="•"/>
      <w:lvlJc w:val="left"/>
      <w:pPr>
        <w:ind w:left="4186" w:hanging="600"/>
      </w:pPr>
      <w:rPr>
        <w:rFonts w:hint="default"/>
        <w:lang w:val="zh-CN" w:eastAsia="zh-CN" w:bidi="zh-CN"/>
      </w:rPr>
    </w:lvl>
    <w:lvl w:ilvl="5" w:tentative="0">
      <w:start w:val="0"/>
      <w:numFmt w:val="bullet"/>
      <w:lvlText w:val="•"/>
      <w:lvlJc w:val="left"/>
      <w:pPr>
        <w:ind w:left="5163" w:hanging="600"/>
      </w:pPr>
      <w:rPr>
        <w:rFonts w:hint="default"/>
        <w:lang w:val="zh-CN" w:eastAsia="zh-CN" w:bidi="zh-CN"/>
      </w:rPr>
    </w:lvl>
    <w:lvl w:ilvl="6" w:tentative="0">
      <w:start w:val="0"/>
      <w:numFmt w:val="bullet"/>
      <w:lvlText w:val="•"/>
      <w:lvlJc w:val="left"/>
      <w:pPr>
        <w:ind w:left="6140" w:hanging="600"/>
      </w:pPr>
      <w:rPr>
        <w:rFonts w:hint="default"/>
        <w:lang w:val="zh-CN" w:eastAsia="zh-CN" w:bidi="zh-CN"/>
      </w:rPr>
    </w:lvl>
    <w:lvl w:ilvl="7" w:tentative="0">
      <w:start w:val="0"/>
      <w:numFmt w:val="bullet"/>
      <w:lvlText w:val="•"/>
      <w:lvlJc w:val="left"/>
      <w:pPr>
        <w:ind w:left="7116" w:hanging="600"/>
      </w:pPr>
      <w:rPr>
        <w:rFonts w:hint="default"/>
        <w:lang w:val="zh-CN" w:eastAsia="zh-CN" w:bidi="zh-CN"/>
      </w:rPr>
    </w:lvl>
    <w:lvl w:ilvl="8" w:tentative="0">
      <w:start w:val="0"/>
      <w:numFmt w:val="bullet"/>
      <w:lvlText w:val="•"/>
      <w:lvlJc w:val="left"/>
      <w:pPr>
        <w:ind w:left="8093" w:hanging="600"/>
      </w:pPr>
      <w:rPr>
        <w:rFonts w:hint="default"/>
        <w:lang w:val="zh-CN" w:eastAsia="zh-CN" w:bidi="zh-CN"/>
      </w:rPr>
    </w:lvl>
  </w:abstractNum>
  <w:abstractNum w:abstractNumId="30">
    <w:nsid w:val="4C3D7A74"/>
    <w:multiLevelType w:val="multilevel"/>
    <w:tmpl w:val="4C3D7A74"/>
    <w:lvl w:ilvl="0" w:tentative="0">
      <w:start w:val="5"/>
      <w:numFmt w:val="decimal"/>
      <w:lvlText w:val="%1"/>
      <w:lvlJc w:val="left"/>
      <w:pPr>
        <w:ind w:left="1248" w:hanging="480"/>
        <w:jc w:val="left"/>
      </w:pPr>
      <w:rPr>
        <w:rFonts w:hint="default"/>
        <w:lang w:val="zh-CN" w:eastAsia="zh-CN" w:bidi="zh-CN"/>
      </w:rPr>
    </w:lvl>
    <w:lvl w:ilvl="1" w:tentative="0">
      <w:start w:val="1"/>
      <w:numFmt w:val="decimal"/>
      <w:lvlText w:val="%1.%2"/>
      <w:lvlJc w:val="left"/>
      <w:pPr>
        <w:ind w:left="1248" w:hanging="4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492" w:hanging="725"/>
        <w:jc w:val="left"/>
      </w:pPr>
      <w:rPr>
        <w:rFonts w:hint="default" w:ascii="宋体" w:hAnsi="宋体" w:eastAsia="宋体" w:cs="宋体"/>
        <w:b/>
        <w:bCs/>
        <w:w w:val="99"/>
        <w:sz w:val="24"/>
        <w:szCs w:val="24"/>
        <w:lang w:val="zh-CN" w:eastAsia="zh-CN" w:bidi="zh-CN"/>
      </w:rPr>
    </w:lvl>
    <w:lvl w:ilvl="3" w:tentative="0">
      <w:start w:val="0"/>
      <w:numFmt w:val="bullet"/>
      <w:lvlText w:val="•"/>
      <w:lvlJc w:val="left"/>
      <w:pPr>
        <w:ind w:left="3399" w:hanging="725"/>
      </w:pPr>
      <w:rPr>
        <w:rFonts w:hint="default"/>
        <w:lang w:val="zh-CN" w:eastAsia="zh-CN" w:bidi="zh-CN"/>
      </w:rPr>
    </w:lvl>
    <w:lvl w:ilvl="4" w:tentative="0">
      <w:start w:val="0"/>
      <w:numFmt w:val="bullet"/>
      <w:lvlText w:val="•"/>
      <w:lvlJc w:val="left"/>
      <w:pPr>
        <w:ind w:left="4349" w:hanging="725"/>
      </w:pPr>
      <w:rPr>
        <w:rFonts w:hint="default"/>
        <w:lang w:val="zh-CN" w:eastAsia="zh-CN" w:bidi="zh-CN"/>
      </w:rPr>
    </w:lvl>
    <w:lvl w:ilvl="5" w:tentative="0">
      <w:start w:val="0"/>
      <w:numFmt w:val="bullet"/>
      <w:lvlText w:val="•"/>
      <w:lvlJc w:val="left"/>
      <w:pPr>
        <w:ind w:left="5298" w:hanging="725"/>
      </w:pPr>
      <w:rPr>
        <w:rFonts w:hint="default"/>
        <w:lang w:val="zh-CN" w:eastAsia="zh-CN" w:bidi="zh-CN"/>
      </w:rPr>
    </w:lvl>
    <w:lvl w:ilvl="6" w:tentative="0">
      <w:start w:val="0"/>
      <w:numFmt w:val="bullet"/>
      <w:lvlText w:val="•"/>
      <w:lvlJc w:val="left"/>
      <w:pPr>
        <w:ind w:left="6248" w:hanging="725"/>
      </w:pPr>
      <w:rPr>
        <w:rFonts w:hint="default"/>
        <w:lang w:val="zh-CN" w:eastAsia="zh-CN" w:bidi="zh-CN"/>
      </w:rPr>
    </w:lvl>
    <w:lvl w:ilvl="7" w:tentative="0">
      <w:start w:val="0"/>
      <w:numFmt w:val="bullet"/>
      <w:lvlText w:val="•"/>
      <w:lvlJc w:val="left"/>
      <w:pPr>
        <w:ind w:left="7198" w:hanging="725"/>
      </w:pPr>
      <w:rPr>
        <w:rFonts w:hint="default"/>
        <w:lang w:val="zh-CN" w:eastAsia="zh-CN" w:bidi="zh-CN"/>
      </w:rPr>
    </w:lvl>
    <w:lvl w:ilvl="8" w:tentative="0">
      <w:start w:val="0"/>
      <w:numFmt w:val="bullet"/>
      <w:lvlText w:val="•"/>
      <w:lvlJc w:val="left"/>
      <w:pPr>
        <w:ind w:left="8147" w:hanging="725"/>
      </w:pPr>
      <w:rPr>
        <w:rFonts w:hint="default"/>
        <w:lang w:val="zh-CN" w:eastAsia="zh-CN" w:bidi="zh-CN"/>
      </w:rPr>
    </w:lvl>
  </w:abstractNum>
  <w:abstractNum w:abstractNumId="31">
    <w:nsid w:val="4D4DC07F"/>
    <w:multiLevelType w:val="multilevel"/>
    <w:tmpl w:val="4D4DC07F"/>
    <w:lvl w:ilvl="0" w:tentative="0">
      <w:start w:val="7"/>
      <w:numFmt w:val="decimal"/>
      <w:lvlText w:val="%1"/>
      <w:lvlJc w:val="left"/>
      <w:pPr>
        <w:ind w:left="288" w:hanging="480"/>
        <w:jc w:val="left"/>
      </w:pPr>
      <w:rPr>
        <w:rFonts w:hint="default"/>
        <w:lang w:val="zh-CN" w:eastAsia="zh-CN" w:bidi="zh-CN"/>
      </w:rPr>
    </w:lvl>
    <w:lvl w:ilvl="1" w:tentative="0">
      <w:start w:val="1"/>
      <w:numFmt w:val="decimal"/>
      <w:lvlText w:val="%1.%2"/>
      <w:lvlJc w:val="left"/>
      <w:pPr>
        <w:ind w:left="288"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33" w:hanging="480"/>
      </w:pPr>
      <w:rPr>
        <w:rFonts w:hint="default"/>
        <w:lang w:val="zh-CN" w:eastAsia="zh-CN" w:bidi="zh-CN"/>
      </w:rPr>
    </w:lvl>
    <w:lvl w:ilvl="3" w:tentative="0">
      <w:start w:val="0"/>
      <w:numFmt w:val="bullet"/>
      <w:lvlText w:val="•"/>
      <w:lvlJc w:val="left"/>
      <w:pPr>
        <w:ind w:left="3210" w:hanging="480"/>
      </w:pPr>
      <w:rPr>
        <w:rFonts w:hint="default"/>
        <w:lang w:val="zh-CN" w:eastAsia="zh-CN" w:bidi="zh-CN"/>
      </w:rPr>
    </w:lvl>
    <w:lvl w:ilvl="4" w:tentative="0">
      <w:start w:val="0"/>
      <w:numFmt w:val="bullet"/>
      <w:lvlText w:val="•"/>
      <w:lvlJc w:val="left"/>
      <w:pPr>
        <w:ind w:left="4186" w:hanging="480"/>
      </w:pPr>
      <w:rPr>
        <w:rFonts w:hint="default"/>
        <w:lang w:val="zh-CN" w:eastAsia="zh-CN" w:bidi="zh-CN"/>
      </w:rPr>
    </w:lvl>
    <w:lvl w:ilvl="5" w:tentative="0">
      <w:start w:val="0"/>
      <w:numFmt w:val="bullet"/>
      <w:lvlText w:val="•"/>
      <w:lvlJc w:val="left"/>
      <w:pPr>
        <w:ind w:left="5163" w:hanging="480"/>
      </w:pPr>
      <w:rPr>
        <w:rFonts w:hint="default"/>
        <w:lang w:val="zh-CN" w:eastAsia="zh-CN" w:bidi="zh-CN"/>
      </w:rPr>
    </w:lvl>
    <w:lvl w:ilvl="6" w:tentative="0">
      <w:start w:val="0"/>
      <w:numFmt w:val="bullet"/>
      <w:lvlText w:val="•"/>
      <w:lvlJc w:val="left"/>
      <w:pPr>
        <w:ind w:left="6140" w:hanging="480"/>
      </w:pPr>
      <w:rPr>
        <w:rFonts w:hint="default"/>
        <w:lang w:val="zh-CN" w:eastAsia="zh-CN" w:bidi="zh-CN"/>
      </w:rPr>
    </w:lvl>
    <w:lvl w:ilvl="7" w:tentative="0">
      <w:start w:val="0"/>
      <w:numFmt w:val="bullet"/>
      <w:lvlText w:val="•"/>
      <w:lvlJc w:val="left"/>
      <w:pPr>
        <w:ind w:left="7116" w:hanging="480"/>
      </w:pPr>
      <w:rPr>
        <w:rFonts w:hint="default"/>
        <w:lang w:val="zh-CN" w:eastAsia="zh-CN" w:bidi="zh-CN"/>
      </w:rPr>
    </w:lvl>
    <w:lvl w:ilvl="8" w:tentative="0">
      <w:start w:val="0"/>
      <w:numFmt w:val="bullet"/>
      <w:lvlText w:val="•"/>
      <w:lvlJc w:val="left"/>
      <w:pPr>
        <w:ind w:left="8093" w:hanging="480"/>
      </w:pPr>
      <w:rPr>
        <w:rFonts w:hint="default"/>
        <w:lang w:val="zh-CN" w:eastAsia="zh-CN" w:bidi="zh-CN"/>
      </w:rPr>
    </w:lvl>
  </w:abstractNum>
  <w:abstractNum w:abstractNumId="32">
    <w:nsid w:val="58765686"/>
    <w:multiLevelType w:val="multilevel"/>
    <w:tmpl w:val="58765686"/>
    <w:lvl w:ilvl="0" w:tentative="0">
      <w:start w:val="1"/>
      <w:numFmt w:val="decimal"/>
      <w:lvlText w:val="（%1）"/>
      <w:lvlJc w:val="left"/>
      <w:pPr>
        <w:ind w:left="288" w:hanging="601"/>
        <w:jc w:val="left"/>
      </w:pPr>
      <w:rPr>
        <w:rFonts w:hint="default" w:ascii="宋体" w:hAnsi="宋体" w:eastAsia="宋体" w:cs="宋体"/>
        <w:spacing w:val="-24"/>
        <w:w w:val="100"/>
        <w:sz w:val="22"/>
        <w:szCs w:val="22"/>
        <w:lang w:val="zh-CN" w:eastAsia="zh-CN" w:bidi="zh-CN"/>
      </w:rPr>
    </w:lvl>
    <w:lvl w:ilvl="1" w:tentative="0">
      <w:start w:val="0"/>
      <w:numFmt w:val="bullet"/>
      <w:lvlText w:val="•"/>
      <w:lvlJc w:val="left"/>
      <w:pPr>
        <w:ind w:left="125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210" w:hanging="601"/>
      </w:pPr>
      <w:rPr>
        <w:rFonts w:hint="default"/>
        <w:lang w:val="zh-CN" w:eastAsia="zh-CN" w:bidi="zh-CN"/>
      </w:rPr>
    </w:lvl>
    <w:lvl w:ilvl="4" w:tentative="0">
      <w:start w:val="0"/>
      <w:numFmt w:val="bullet"/>
      <w:lvlText w:val="•"/>
      <w:lvlJc w:val="left"/>
      <w:pPr>
        <w:ind w:left="4186" w:hanging="601"/>
      </w:pPr>
      <w:rPr>
        <w:rFonts w:hint="default"/>
        <w:lang w:val="zh-CN" w:eastAsia="zh-CN" w:bidi="zh-CN"/>
      </w:rPr>
    </w:lvl>
    <w:lvl w:ilvl="5" w:tentative="0">
      <w:start w:val="0"/>
      <w:numFmt w:val="bullet"/>
      <w:lvlText w:val="•"/>
      <w:lvlJc w:val="left"/>
      <w:pPr>
        <w:ind w:left="5163" w:hanging="601"/>
      </w:pPr>
      <w:rPr>
        <w:rFonts w:hint="default"/>
        <w:lang w:val="zh-CN" w:eastAsia="zh-CN" w:bidi="zh-CN"/>
      </w:rPr>
    </w:lvl>
    <w:lvl w:ilvl="6" w:tentative="0">
      <w:start w:val="0"/>
      <w:numFmt w:val="bullet"/>
      <w:lvlText w:val="•"/>
      <w:lvlJc w:val="left"/>
      <w:pPr>
        <w:ind w:left="6140" w:hanging="601"/>
      </w:pPr>
      <w:rPr>
        <w:rFonts w:hint="default"/>
        <w:lang w:val="zh-CN" w:eastAsia="zh-CN" w:bidi="zh-CN"/>
      </w:rPr>
    </w:lvl>
    <w:lvl w:ilvl="7" w:tentative="0">
      <w:start w:val="0"/>
      <w:numFmt w:val="bullet"/>
      <w:lvlText w:val="•"/>
      <w:lvlJc w:val="left"/>
      <w:pPr>
        <w:ind w:left="7116" w:hanging="601"/>
      </w:pPr>
      <w:rPr>
        <w:rFonts w:hint="default"/>
        <w:lang w:val="zh-CN" w:eastAsia="zh-CN" w:bidi="zh-CN"/>
      </w:rPr>
    </w:lvl>
    <w:lvl w:ilvl="8" w:tentative="0">
      <w:start w:val="0"/>
      <w:numFmt w:val="bullet"/>
      <w:lvlText w:val="•"/>
      <w:lvlJc w:val="left"/>
      <w:pPr>
        <w:ind w:left="8093" w:hanging="601"/>
      </w:pPr>
      <w:rPr>
        <w:rFonts w:hint="default"/>
        <w:lang w:val="zh-CN" w:eastAsia="zh-CN" w:bidi="zh-CN"/>
      </w:rPr>
    </w:lvl>
  </w:abstractNum>
  <w:abstractNum w:abstractNumId="33">
    <w:nsid w:val="5A241D34"/>
    <w:multiLevelType w:val="multilevel"/>
    <w:tmpl w:val="5A241D34"/>
    <w:lvl w:ilvl="0" w:tentative="0">
      <w:start w:val="5"/>
      <w:numFmt w:val="decimal"/>
      <w:lvlText w:val="%1"/>
      <w:lvlJc w:val="left"/>
      <w:pPr>
        <w:ind w:left="288" w:hanging="480"/>
        <w:jc w:val="left"/>
      </w:pPr>
      <w:rPr>
        <w:rFonts w:hint="default"/>
        <w:lang w:val="zh-CN" w:eastAsia="zh-CN" w:bidi="zh-CN"/>
      </w:rPr>
    </w:lvl>
    <w:lvl w:ilvl="1" w:tentative="0">
      <w:start w:val="1"/>
      <w:numFmt w:val="decimal"/>
      <w:lvlText w:val="%1.%2"/>
      <w:lvlJc w:val="left"/>
      <w:pPr>
        <w:ind w:left="288" w:hanging="480"/>
        <w:jc w:val="left"/>
      </w:pPr>
      <w:rPr>
        <w:rFonts w:hint="default" w:ascii="宋体" w:hAnsi="宋体" w:eastAsia="宋体" w:cs="宋体"/>
        <w:spacing w:val="-68"/>
        <w:w w:val="99"/>
        <w:sz w:val="24"/>
        <w:szCs w:val="24"/>
        <w:lang w:val="zh-CN" w:eastAsia="zh-CN" w:bidi="zh-CN"/>
      </w:rPr>
    </w:lvl>
    <w:lvl w:ilvl="2" w:tentative="0">
      <w:start w:val="0"/>
      <w:numFmt w:val="bullet"/>
      <w:lvlText w:val="•"/>
      <w:lvlJc w:val="left"/>
      <w:pPr>
        <w:ind w:left="2233" w:hanging="480"/>
      </w:pPr>
      <w:rPr>
        <w:rFonts w:hint="default"/>
        <w:lang w:val="zh-CN" w:eastAsia="zh-CN" w:bidi="zh-CN"/>
      </w:rPr>
    </w:lvl>
    <w:lvl w:ilvl="3" w:tentative="0">
      <w:start w:val="0"/>
      <w:numFmt w:val="bullet"/>
      <w:lvlText w:val="•"/>
      <w:lvlJc w:val="left"/>
      <w:pPr>
        <w:ind w:left="3210" w:hanging="480"/>
      </w:pPr>
      <w:rPr>
        <w:rFonts w:hint="default"/>
        <w:lang w:val="zh-CN" w:eastAsia="zh-CN" w:bidi="zh-CN"/>
      </w:rPr>
    </w:lvl>
    <w:lvl w:ilvl="4" w:tentative="0">
      <w:start w:val="0"/>
      <w:numFmt w:val="bullet"/>
      <w:lvlText w:val="•"/>
      <w:lvlJc w:val="left"/>
      <w:pPr>
        <w:ind w:left="4186" w:hanging="480"/>
      </w:pPr>
      <w:rPr>
        <w:rFonts w:hint="default"/>
        <w:lang w:val="zh-CN" w:eastAsia="zh-CN" w:bidi="zh-CN"/>
      </w:rPr>
    </w:lvl>
    <w:lvl w:ilvl="5" w:tentative="0">
      <w:start w:val="0"/>
      <w:numFmt w:val="bullet"/>
      <w:lvlText w:val="•"/>
      <w:lvlJc w:val="left"/>
      <w:pPr>
        <w:ind w:left="5163" w:hanging="480"/>
      </w:pPr>
      <w:rPr>
        <w:rFonts w:hint="default"/>
        <w:lang w:val="zh-CN" w:eastAsia="zh-CN" w:bidi="zh-CN"/>
      </w:rPr>
    </w:lvl>
    <w:lvl w:ilvl="6" w:tentative="0">
      <w:start w:val="0"/>
      <w:numFmt w:val="bullet"/>
      <w:lvlText w:val="•"/>
      <w:lvlJc w:val="left"/>
      <w:pPr>
        <w:ind w:left="6140" w:hanging="480"/>
      </w:pPr>
      <w:rPr>
        <w:rFonts w:hint="default"/>
        <w:lang w:val="zh-CN" w:eastAsia="zh-CN" w:bidi="zh-CN"/>
      </w:rPr>
    </w:lvl>
    <w:lvl w:ilvl="7" w:tentative="0">
      <w:start w:val="0"/>
      <w:numFmt w:val="bullet"/>
      <w:lvlText w:val="•"/>
      <w:lvlJc w:val="left"/>
      <w:pPr>
        <w:ind w:left="7116" w:hanging="480"/>
      </w:pPr>
      <w:rPr>
        <w:rFonts w:hint="default"/>
        <w:lang w:val="zh-CN" w:eastAsia="zh-CN" w:bidi="zh-CN"/>
      </w:rPr>
    </w:lvl>
    <w:lvl w:ilvl="8" w:tentative="0">
      <w:start w:val="0"/>
      <w:numFmt w:val="bullet"/>
      <w:lvlText w:val="•"/>
      <w:lvlJc w:val="left"/>
      <w:pPr>
        <w:ind w:left="8093" w:hanging="480"/>
      </w:pPr>
      <w:rPr>
        <w:rFonts w:hint="default"/>
        <w:lang w:val="zh-CN" w:eastAsia="zh-CN" w:bidi="zh-CN"/>
      </w:rPr>
    </w:lvl>
  </w:abstractNum>
  <w:abstractNum w:abstractNumId="34">
    <w:nsid w:val="5E29AB5A"/>
    <w:multiLevelType w:val="multilevel"/>
    <w:tmpl w:val="5E29AB5A"/>
    <w:lvl w:ilvl="0" w:tentative="0">
      <w:start w:val="1"/>
      <w:numFmt w:val="decimal"/>
      <w:lvlText w:val="（%1）"/>
      <w:lvlJc w:val="left"/>
      <w:pPr>
        <w:ind w:left="288" w:hanging="601"/>
        <w:jc w:val="left"/>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25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210" w:hanging="601"/>
      </w:pPr>
      <w:rPr>
        <w:rFonts w:hint="default"/>
        <w:lang w:val="zh-CN" w:eastAsia="zh-CN" w:bidi="zh-CN"/>
      </w:rPr>
    </w:lvl>
    <w:lvl w:ilvl="4" w:tentative="0">
      <w:start w:val="0"/>
      <w:numFmt w:val="bullet"/>
      <w:lvlText w:val="•"/>
      <w:lvlJc w:val="left"/>
      <w:pPr>
        <w:ind w:left="4186" w:hanging="601"/>
      </w:pPr>
      <w:rPr>
        <w:rFonts w:hint="default"/>
        <w:lang w:val="zh-CN" w:eastAsia="zh-CN" w:bidi="zh-CN"/>
      </w:rPr>
    </w:lvl>
    <w:lvl w:ilvl="5" w:tentative="0">
      <w:start w:val="0"/>
      <w:numFmt w:val="bullet"/>
      <w:lvlText w:val="•"/>
      <w:lvlJc w:val="left"/>
      <w:pPr>
        <w:ind w:left="5163" w:hanging="601"/>
      </w:pPr>
      <w:rPr>
        <w:rFonts w:hint="default"/>
        <w:lang w:val="zh-CN" w:eastAsia="zh-CN" w:bidi="zh-CN"/>
      </w:rPr>
    </w:lvl>
    <w:lvl w:ilvl="6" w:tentative="0">
      <w:start w:val="0"/>
      <w:numFmt w:val="bullet"/>
      <w:lvlText w:val="•"/>
      <w:lvlJc w:val="left"/>
      <w:pPr>
        <w:ind w:left="6140" w:hanging="601"/>
      </w:pPr>
      <w:rPr>
        <w:rFonts w:hint="default"/>
        <w:lang w:val="zh-CN" w:eastAsia="zh-CN" w:bidi="zh-CN"/>
      </w:rPr>
    </w:lvl>
    <w:lvl w:ilvl="7" w:tentative="0">
      <w:start w:val="0"/>
      <w:numFmt w:val="bullet"/>
      <w:lvlText w:val="•"/>
      <w:lvlJc w:val="left"/>
      <w:pPr>
        <w:ind w:left="7116" w:hanging="601"/>
      </w:pPr>
      <w:rPr>
        <w:rFonts w:hint="default"/>
        <w:lang w:val="zh-CN" w:eastAsia="zh-CN" w:bidi="zh-CN"/>
      </w:rPr>
    </w:lvl>
    <w:lvl w:ilvl="8" w:tentative="0">
      <w:start w:val="0"/>
      <w:numFmt w:val="bullet"/>
      <w:lvlText w:val="•"/>
      <w:lvlJc w:val="left"/>
      <w:pPr>
        <w:ind w:left="8093" w:hanging="601"/>
      </w:pPr>
      <w:rPr>
        <w:rFonts w:hint="default"/>
        <w:lang w:val="zh-CN" w:eastAsia="zh-CN" w:bidi="zh-CN"/>
      </w:rPr>
    </w:lvl>
  </w:abstractNum>
  <w:abstractNum w:abstractNumId="35">
    <w:nsid w:val="5FFFB1A7"/>
    <w:multiLevelType w:val="multilevel"/>
    <w:tmpl w:val="5FFFB1A7"/>
    <w:lvl w:ilvl="0" w:tentative="0">
      <w:start w:val="3"/>
      <w:numFmt w:val="decimal"/>
      <w:lvlText w:val="%1"/>
      <w:lvlJc w:val="left"/>
      <w:pPr>
        <w:ind w:left="1248" w:hanging="480"/>
        <w:jc w:val="left"/>
      </w:pPr>
      <w:rPr>
        <w:rFonts w:hint="default"/>
        <w:lang w:val="zh-CN" w:eastAsia="zh-CN" w:bidi="zh-CN"/>
      </w:rPr>
    </w:lvl>
    <w:lvl w:ilvl="1" w:tentative="0">
      <w:start w:val="1"/>
      <w:numFmt w:val="decimal"/>
      <w:lvlText w:val="%1.%2"/>
      <w:lvlJc w:val="left"/>
      <w:pPr>
        <w:ind w:left="1248"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001" w:hanging="480"/>
      </w:pPr>
      <w:rPr>
        <w:rFonts w:hint="default"/>
        <w:lang w:val="zh-CN" w:eastAsia="zh-CN" w:bidi="zh-CN"/>
      </w:rPr>
    </w:lvl>
    <w:lvl w:ilvl="3" w:tentative="0">
      <w:start w:val="0"/>
      <w:numFmt w:val="bullet"/>
      <w:lvlText w:val="•"/>
      <w:lvlJc w:val="left"/>
      <w:pPr>
        <w:ind w:left="3882" w:hanging="480"/>
      </w:pPr>
      <w:rPr>
        <w:rFonts w:hint="default"/>
        <w:lang w:val="zh-CN" w:eastAsia="zh-CN" w:bidi="zh-CN"/>
      </w:rPr>
    </w:lvl>
    <w:lvl w:ilvl="4" w:tentative="0">
      <w:start w:val="0"/>
      <w:numFmt w:val="bullet"/>
      <w:lvlText w:val="•"/>
      <w:lvlJc w:val="left"/>
      <w:pPr>
        <w:ind w:left="4762" w:hanging="480"/>
      </w:pPr>
      <w:rPr>
        <w:rFonts w:hint="default"/>
        <w:lang w:val="zh-CN" w:eastAsia="zh-CN" w:bidi="zh-CN"/>
      </w:rPr>
    </w:lvl>
    <w:lvl w:ilvl="5" w:tentative="0">
      <w:start w:val="0"/>
      <w:numFmt w:val="bullet"/>
      <w:lvlText w:val="•"/>
      <w:lvlJc w:val="left"/>
      <w:pPr>
        <w:ind w:left="5643" w:hanging="480"/>
      </w:pPr>
      <w:rPr>
        <w:rFonts w:hint="default"/>
        <w:lang w:val="zh-CN" w:eastAsia="zh-CN" w:bidi="zh-CN"/>
      </w:rPr>
    </w:lvl>
    <w:lvl w:ilvl="6" w:tentative="0">
      <w:start w:val="0"/>
      <w:numFmt w:val="bullet"/>
      <w:lvlText w:val="•"/>
      <w:lvlJc w:val="left"/>
      <w:pPr>
        <w:ind w:left="6524" w:hanging="480"/>
      </w:pPr>
      <w:rPr>
        <w:rFonts w:hint="default"/>
        <w:lang w:val="zh-CN" w:eastAsia="zh-CN" w:bidi="zh-CN"/>
      </w:rPr>
    </w:lvl>
    <w:lvl w:ilvl="7" w:tentative="0">
      <w:start w:val="0"/>
      <w:numFmt w:val="bullet"/>
      <w:lvlText w:val="•"/>
      <w:lvlJc w:val="left"/>
      <w:pPr>
        <w:ind w:left="7404" w:hanging="480"/>
      </w:pPr>
      <w:rPr>
        <w:rFonts w:hint="default"/>
        <w:lang w:val="zh-CN" w:eastAsia="zh-CN" w:bidi="zh-CN"/>
      </w:rPr>
    </w:lvl>
    <w:lvl w:ilvl="8" w:tentative="0">
      <w:start w:val="0"/>
      <w:numFmt w:val="bullet"/>
      <w:lvlText w:val="•"/>
      <w:lvlJc w:val="left"/>
      <w:pPr>
        <w:ind w:left="8285" w:hanging="480"/>
      </w:pPr>
      <w:rPr>
        <w:rFonts w:hint="default"/>
        <w:lang w:val="zh-CN" w:eastAsia="zh-CN" w:bidi="zh-CN"/>
      </w:rPr>
    </w:lvl>
  </w:abstractNum>
  <w:abstractNum w:abstractNumId="36">
    <w:nsid w:val="60382F6E"/>
    <w:multiLevelType w:val="multilevel"/>
    <w:tmpl w:val="60382F6E"/>
    <w:lvl w:ilvl="0" w:tentative="0">
      <w:start w:val="12"/>
      <w:numFmt w:val="decimal"/>
      <w:lvlText w:val="%1"/>
      <w:lvlJc w:val="left"/>
      <w:pPr>
        <w:ind w:left="288" w:hanging="600"/>
        <w:jc w:val="left"/>
      </w:pPr>
      <w:rPr>
        <w:rFonts w:hint="default"/>
        <w:lang w:val="zh-CN" w:eastAsia="zh-CN" w:bidi="zh-CN"/>
      </w:rPr>
    </w:lvl>
    <w:lvl w:ilvl="1" w:tentative="0">
      <w:start w:val="1"/>
      <w:numFmt w:val="decimal"/>
      <w:lvlText w:val="%1.%2"/>
      <w:lvlJc w:val="left"/>
      <w:pPr>
        <w:ind w:left="288" w:hanging="600"/>
        <w:jc w:val="left"/>
      </w:pPr>
      <w:rPr>
        <w:rFonts w:hint="default" w:ascii="宋体" w:hAnsi="宋体" w:eastAsia="宋体" w:cs="宋体"/>
        <w:spacing w:val="-68"/>
        <w:w w:val="100"/>
        <w:sz w:val="24"/>
        <w:szCs w:val="24"/>
        <w:lang w:val="zh-CN" w:eastAsia="zh-CN" w:bidi="zh-CN"/>
      </w:rPr>
    </w:lvl>
    <w:lvl w:ilvl="2" w:tentative="0">
      <w:start w:val="0"/>
      <w:numFmt w:val="bullet"/>
      <w:lvlText w:val="•"/>
      <w:lvlJc w:val="left"/>
      <w:pPr>
        <w:ind w:left="2233" w:hanging="600"/>
      </w:pPr>
      <w:rPr>
        <w:rFonts w:hint="default"/>
        <w:lang w:val="zh-CN" w:eastAsia="zh-CN" w:bidi="zh-CN"/>
      </w:rPr>
    </w:lvl>
    <w:lvl w:ilvl="3" w:tentative="0">
      <w:start w:val="0"/>
      <w:numFmt w:val="bullet"/>
      <w:lvlText w:val="•"/>
      <w:lvlJc w:val="left"/>
      <w:pPr>
        <w:ind w:left="3210" w:hanging="600"/>
      </w:pPr>
      <w:rPr>
        <w:rFonts w:hint="default"/>
        <w:lang w:val="zh-CN" w:eastAsia="zh-CN" w:bidi="zh-CN"/>
      </w:rPr>
    </w:lvl>
    <w:lvl w:ilvl="4" w:tentative="0">
      <w:start w:val="0"/>
      <w:numFmt w:val="bullet"/>
      <w:lvlText w:val="•"/>
      <w:lvlJc w:val="left"/>
      <w:pPr>
        <w:ind w:left="4186" w:hanging="600"/>
      </w:pPr>
      <w:rPr>
        <w:rFonts w:hint="default"/>
        <w:lang w:val="zh-CN" w:eastAsia="zh-CN" w:bidi="zh-CN"/>
      </w:rPr>
    </w:lvl>
    <w:lvl w:ilvl="5" w:tentative="0">
      <w:start w:val="0"/>
      <w:numFmt w:val="bullet"/>
      <w:lvlText w:val="•"/>
      <w:lvlJc w:val="left"/>
      <w:pPr>
        <w:ind w:left="5163" w:hanging="600"/>
      </w:pPr>
      <w:rPr>
        <w:rFonts w:hint="default"/>
        <w:lang w:val="zh-CN" w:eastAsia="zh-CN" w:bidi="zh-CN"/>
      </w:rPr>
    </w:lvl>
    <w:lvl w:ilvl="6" w:tentative="0">
      <w:start w:val="0"/>
      <w:numFmt w:val="bullet"/>
      <w:lvlText w:val="•"/>
      <w:lvlJc w:val="left"/>
      <w:pPr>
        <w:ind w:left="6140" w:hanging="600"/>
      </w:pPr>
      <w:rPr>
        <w:rFonts w:hint="default"/>
        <w:lang w:val="zh-CN" w:eastAsia="zh-CN" w:bidi="zh-CN"/>
      </w:rPr>
    </w:lvl>
    <w:lvl w:ilvl="7" w:tentative="0">
      <w:start w:val="0"/>
      <w:numFmt w:val="bullet"/>
      <w:lvlText w:val="•"/>
      <w:lvlJc w:val="left"/>
      <w:pPr>
        <w:ind w:left="7116" w:hanging="600"/>
      </w:pPr>
      <w:rPr>
        <w:rFonts w:hint="default"/>
        <w:lang w:val="zh-CN" w:eastAsia="zh-CN" w:bidi="zh-CN"/>
      </w:rPr>
    </w:lvl>
    <w:lvl w:ilvl="8" w:tentative="0">
      <w:start w:val="0"/>
      <w:numFmt w:val="bullet"/>
      <w:lvlText w:val="•"/>
      <w:lvlJc w:val="left"/>
      <w:pPr>
        <w:ind w:left="8093" w:hanging="600"/>
      </w:pPr>
      <w:rPr>
        <w:rFonts w:hint="default"/>
        <w:lang w:val="zh-CN" w:eastAsia="zh-CN" w:bidi="zh-CN"/>
      </w:rPr>
    </w:lvl>
  </w:abstractNum>
  <w:abstractNum w:abstractNumId="37">
    <w:nsid w:val="629F7852"/>
    <w:multiLevelType w:val="multilevel"/>
    <w:tmpl w:val="629F7852"/>
    <w:lvl w:ilvl="0" w:tentative="0">
      <w:start w:val="1"/>
      <w:numFmt w:val="decimal"/>
      <w:lvlText w:val="（%1）"/>
      <w:lvlJc w:val="left"/>
      <w:pPr>
        <w:ind w:left="288" w:hanging="601"/>
        <w:jc w:val="left"/>
      </w:pPr>
      <w:rPr>
        <w:rFonts w:hint="default" w:ascii="宋体" w:hAnsi="宋体" w:eastAsia="宋体" w:cs="宋体"/>
        <w:spacing w:val="-24"/>
        <w:w w:val="100"/>
        <w:sz w:val="22"/>
        <w:szCs w:val="22"/>
        <w:lang w:val="zh-CN" w:eastAsia="zh-CN" w:bidi="zh-CN"/>
      </w:rPr>
    </w:lvl>
    <w:lvl w:ilvl="1" w:tentative="0">
      <w:start w:val="0"/>
      <w:numFmt w:val="bullet"/>
      <w:lvlText w:val="•"/>
      <w:lvlJc w:val="left"/>
      <w:pPr>
        <w:ind w:left="125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210" w:hanging="601"/>
      </w:pPr>
      <w:rPr>
        <w:rFonts w:hint="default"/>
        <w:lang w:val="zh-CN" w:eastAsia="zh-CN" w:bidi="zh-CN"/>
      </w:rPr>
    </w:lvl>
    <w:lvl w:ilvl="4" w:tentative="0">
      <w:start w:val="0"/>
      <w:numFmt w:val="bullet"/>
      <w:lvlText w:val="•"/>
      <w:lvlJc w:val="left"/>
      <w:pPr>
        <w:ind w:left="4186" w:hanging="601"/>
      </w:pPr>
      <w:rPr>
        <w:rFonts w:hint="default"/>
        <w:lang w:val="zh-CN" w:eastAsia="zh-CN" w:bidi="zh-CN"/>
      </w:rPr>
    </w:lvl>
    <w:lvl w:ilvl="5" w:tentative="0">
      <w:start w:val="0"/>
      <w:numFmt w:val="bullet"/>
      <w:lvlText w:val="•"/>
      <w:lvlJc w:val="left"/>
      <w:pPr>
        <w:ind w:left="5163" w:hanging="601"/>
      </w:pPr>
      <w:rPr>
        <w:rFonts w:hint="default"/>
        <w:lang w:val="zh-CN" w:eastAsia="zh-CN" w:bidi="zh-CN"/>
      </w:rPr>
    </w:lvl>
    <w:lvl w:ilvl="6" w:tentative="0">
      <w:start w:val="0"/>
      <w:numFmt w:val="bullet"/>
      <w:lvlText w:val="•"/>
      <w:lvlJc w:val="left"/>
      <w:pPr>
        <w:ind w:left="6140" w:hanging="601"/>
      </w:pPr>
      <w:rPr>
        <w:rFonts w:hint="default"/>
        <w:lang w:val="zh-CN" w:eastAsia="zh-CN" w:bidi="zh-CN"/>
      </w:rPr>
    </w:lvl>
    <w:lvl w:ilvl="7" w:tentative="0">
      <w:start w:val="0"/>
      <w:numFmt w:val="bullet"/>
      <w:lvlText w:val="•"/>
      <w:lvlJc w:val="left"/>
      <w:pPr>
        <w:ind w:left="7116" w:hanging="601"/>
      </w:pPr>
      <w:rPr>
        <w:rFonts w:hint="default"/>
        <w:lang w:val="zh-CN" w:eastAsia="zh-CN" w:bidi="zh-CN"/>
      </w:rPr>
    </w:lvl>
    <w:lvl w:ilvl="8" w:tentative="0">
      <w:start w:val="0"/>
      <w:numFmt w:val="bullet"/>
      <w:lvlText w:val="•"/>
      <w:lvlJc w:val="left"/>
      <w:pPr>
        <w:ind w:left="8093" w:hanging="601"/>
      </w:pPr>
      <w:rPr>
        <w:rFonts w:hint="default"/>
        <w:lang w:val="zh-CN" w:eastAsia="zh-CN" w:bidi="zh-CN"/>
      </w:rPr>
    </w:lvl>
  </w:abstractNum>
  <w:abstractNum w:abstractNumId="38">
    <w:nsid w:val="72183CF9"/>
    <w:multiLevelType w:val="multilevel"/>
    <w:tmpl w:val="72183CF9"/>
    <w:lvl w:ilvl="0" w:tentative="0">
      <w:start w:val="1"/>
      <w:numFmt w:val="decimal"/>
      <w:lvlText w:val="%1"/>
      <w:lvlJc w:val="left"/>
      <w:pPr>
        <w:ind w:left="1248" w:hanging="480"/>
        <w:jc w:val="left"/>
      </w:pPr>
      <w:rPr>
        <w:rFonts w:hint="default"/>
        <w:lang w:val="zh-CN" w:eastAsia="zh-CN" w:bidi="zh-CN"/>
      </w:rPr>
    </w:lvl>
    <w:lvl w:ilvl="1" w:tentative="0">
      <w:start w:val="1"/>
      <w:numFmt w:val="decimal"/>
      <w:lvlText w:val="%1.%2"/>
      <w:lvlJc w:val="left"/>
      <w:pPr>
        <w:ind w:left="1248" w:hanging="4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488" w:hanging="720"/>
        <w:jc w:val="left"/>
      </w:pPr>
      <w:rPr>
        <w:rFonts w:hint="default" w:ascii="宋体" w:hAnsi="宋体" w:eastAsia="宋体" w:cs="宋体"/>
        <w:spacing w:val="-3"/>
        <w:w w:val="99"/>
        <w:sz w:val="24"/>
        <w:szCs w:val="24"/>
        <w:lang w:val="zh-CN" w:eastAsia="zh-CN" w:bidi="zh-CN"/>
      </w:rPr>
    </w:lvl>
    <w:lvl w:ilvl="3" w:tentative="0">
      <w:start w:val="0"/>
      <w:numFmt w:val="bullet"/>
      <w:lvlText w:val="•"/>
      <w:lvlJc w:val="left"/>
      <w:pPr>
        <w:ind w:left="3383" w:hanging="720"/>
      </w:pPr>
      <w:rPr>
        <w:rFonts w:hint="default"/>
        <w:lang w:val="zh-CN" w:eastAsia="zh-CN" w:bidi="zh-CN"/>
      </w:rPr>
    </w:lvl>
    <w:lvl w:ilvl="4" w:tentative="0">
      <w:start w:val="0"/>
      <w:numFmt w:val="bullet"/>
      <w:lvlText w:val="•"/>
      <w:lvlJc w:val="left"/>
      <w:pPr>
        <w:ind w:left="4335" w:hanging="720"/>
      </w:pPr>
      <w:rPr>
        <w:rFonts w:hint="default"/>
        <w:lang w:val="zh-CN" w:eastAsia="zh-CN" w:bidi="zh-CN"/>
      </w:rPr>
    </w:lvl>
    <w:lvl w:ilvl="5" w:tentative="0">
      <w:start w:val="0"/>
      <w:numFmt w:val="bullet"/>
      <w:lvlText w:val="•"/>
      <w:lvlJc w:val="left"/>
      <w:pPr>
        <w:ind w:left="5287" w:hanging="720"/>
      </w:pPr>
      <w:rPr>
        <w:rFonts w:hint="default"/>
        <w:lang w:val="zh-CN" w:eastAsia="zh-CN" w:bidi="zh-CN"/>
      </w:rPr>
    </w:lvl>
    <w:lvl w:ilvl="6" w:tentative="0">
      <w:start w:val="0"/>
      <w:numFmt w:val="bullet"/>
      <w:lvlText w:val="•"/>
      <w:lvlJc w:val="left"/>
      <w:pPr>
        <w:ind w:left="6239" w:hanging="720"/>
      </w:pPr>
      <w:rPr>
        <w:rFonts w:hint="default"/>
        <w:lang w:val="zh-CN" w:eastAsia="zh-CN" w:bidi="zh-CN"/>
      </w:rPr>
    </w:lvl>
    <w:lvl w:ilvl="7" w:tentative="0">
      <w:start w:val="0"/>
      <w:numFmt w:val="bullet"/>
      <w:lvlText w:val="•"/>
      <w:lvlJc w:val="left"/>
      <w:pPr>
        <w:ind w:left="7191" w:hanging="720"/>
      </w:pPr>
      <w:rPr>
        <w:rFonts w:hint="default"/>
        <w:lang w:val="zh-CN" w:eastAsia="zh-CN" w:bidi="zh-CN"/>
      </w:rPr>
    </w:lvl>
    <w:lvl w:ilvl="8" w:tentative="0">
      <w:start w:val="0"/>
      <w:numFmt w:val="bullet"/>
      <w:lvlText w:val="•"/>
      <w:lvlJc w:val="left"/>
      <w:pPr>
        <w:ind w:left="8143" w:hanging="720"/>
      </w:pPr>
      <w:rPr>
        <w:rFonts w:hint="default"/>
        <w:lang w:val="zh-CN" w:eastAsia="zh-CN" w:bidi="zh-CN"/>
      </w:rPr>
    </w:lvl>
  </w:abstractNum>
  <w:abstractNum w:abstractNumId="39">
    <w:nsid w:val="74C28B35"/>
    <w:multiLevelType w:val="multilevel"/>
    <w:tmpl w:val="74C28B35"/>
    <w:lvl w:ilvl="0" w:tentative="0">
      <w:start w:val="4"/>
      <w:numFmt w:val="decimal"/>
      <w:lvlText w:val="%1"/>
      <w:lvlJc w:val="left"/>
      <w:pPr>
        <w:ind w:left="1240" w:hanging="485"/>
        <w:jc w:val="left"/>
      </w:pPr>
      <w:rPr>
        <w:rFonts w:hint="default"/>
        <w:lang w:val="zh-CN" w:eastAsia="zh-CN" w:bidi="zh-CN"/>
      </w:rPr>
    </w:lvl>
    <w:lvl w:ilvl="1" w:tentative="0">
      <w:start w:val="1"/>
      <w:numFmt w:val="decimal"/>
      <w:lvlText w:val="%1.%2"/>
      <w:lvlJc w:val="left"/>
      <w:pPr>
        <w:ind w:left="1240" w:hanging="485"/>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88" w:hanging="720"/>
        <w:jc w:val="left"/>
      </w:pPr>
      <w:rPr>
        <w:rFonts w:hint="default"/>
        <w:w w:val="100"/>
        <w:lang w:val="zh-CN" w:eastAsia="zh-CN" w:bidi="zh-CN"/>
      </w:rPr>
    </w:lvl>
    <w:lvl w:ilvl="3" w:tentative="0">
      <w:start w:val="1"/>
      <w:numFmt w:val="decimal"/>
      <w:lvlText w:val="%1.%2.%3.%4"/>
      <w:lvlJc w:val="left"/>
      <w:pPr>
        <w:ind w:left="1728" w:hanging="720"/>
        <w:jc w:val="left"/>
      </w:pPr>
      <w:rPr>
        <w:rFonts w:hint="default"/>
        <w:color w:val="auto"/>
        <w:w w:val="100"/>
        <w:lang w:val="zh-CN" w:eastAsia="zh-CN" w:bidi="zh-CN"/>
      </w:rPr>
    </w:lvl>
    <w:lvl w:ilvl="4" w:tentative="0">
      <w:start w:val="0"/>
      <w:numFmt w:val="bullet"/>
      <w:lvlText w:val="•"/>
      <w:lvlJc w:val="left"/>
      <w:pPr>
        <w:ind w:left="2909" w:hanging="720"/>
      </w:pPr>
      <w:rPr>
        <w:rFonts w:hint="default"/>
        <w:lang w:val="zh-CN" w:eastAsia="zh-CN" w:bidi="zh-CN"/>
      </w:rPr>
    </w:lvl>
    <w:lvl w:ilvl="5" w:tentative="0">
      <w:start w:val="0"/>
      <w:numFmt w:val="bullet"/>
      <w:lvlText w:val="•"/>
      <w:lvlJc w:val="left"/>
      <w:pPr>
        <w:ind w:left="4099" w:hanging="720"/>
      </w:pPr>
      <w:rPr>
        <w:rFonts w:hint="default"/>
        <w:lang w:val="zh-CN" w:eastAsia="zh-CN" w:bidi="zh-CN"/>
      </w:rPr>
    </w:lvl>
    <w:lvl w:ilvl="6" w:tentative="0">
      <w:start w:val="0"/>
      <w:numFmt w:val="bullet"/>
      <w:lvlText w:val="•"/>
      <w:lvlJc w:val="left"/>
      <w:pPr>
        <w:ind w:left="5288" w:hanging="720"/>
      </w:pPr>
      <w:rPr>
        <w:rFonts w:hint="default"/>
        <w:lang w:val="zh-CN" w:eastAsia="zh-CN" w:bidi="zh-CN"/>
      </w:rPr>
    </w:lvl>
    <w:lvl w:ilvl="7" w:tentative="0">
      <w:start w:val="0"/>
      <w:numFmt w:val="bullet"/>
      <w:lvlText w:val="•"/>
      <w:lvlJc w:val="left"/>
      <w:pPr>
        <w:ind w:left="6478" w:hanging="720"/>
      </w:pPr>
      <w:rPr>
        <w:rFonts w:hint="default"/>
        <w:lang w:val="zh-CN" w:eastAsia="zh-CN" w:bidi="zh-CN"/>
      </w:rPr>
    </w:lvl>
    <w:lvl w:ilvl="8" w:tentative="0">
      <w:start w:val="0"/>
      <w:numFmt w:val="bullet"/>
      <w:lvlText w:val="•"/>
      <w:lvlJc w:val="left"/>
      <w:pPr>
        <w:ind w:left="7667" w:hanging="720"/>
      </w:pPr>
      <w:rPr>
        <w:rFonts w:hint="default"/>
        <w:lang w:val="zh-CN" w:eastAsia="zh-CN" w:bidi="zh-CN"/>
      </w:rPr>
    </w:lvl>
  </w:abstractNum>
  <w:abstractNum w:abstractNumId="40">
    <w:nsid w:val="77ECEA79"/>
    <w:multiLevelType w:val="multilevel"/>
    <w:tmpl w:val="77ECEA79"/>
    <w:lvl w:ilvl="0" w:tentative="0">
      <w:start w:val="16"/>
      <w:numFmt w:val="decimal"/>
      <w:lvlText w:val="%1"/>
      <w:lvlJc w:val="left"/>
      <w:pPr>
        <w:ind w:left="288" w:hanging="540"/>
        <w:jc w:val="left"/>
      </w:pPr>
      <w:rPr>
        <w:rFonts w:hint="default"/>
        <w:lang w:val="zh-CN" w:eastAsia="zh-CN" w:bidi="zh-CN"/>
      </w:rPr>
    </w:lvl>
    <w:lvl w:ilvl="1" w:tentative="0">
      <w:start w:val="1"/>
      <w:numFmt w:val="decimal"/>
      <w:lvlText w:val="%1.%2"/>
      <w:lvlJc w:val="left"/>
      <w:pPr>
        <w:ind w:left="28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33" w:hanging="540"/>
      </w:pPr>
      <w:rPr>
        <w:rFonts w:hint="default"/>
        <w:lang w:val="zh-CN" w:eastAsia="zh-CN" w:bidi="zh-CN"/>
      </w:rPr>
    </w:lvl>
    <w:lvl w:ilvl="3" w:tentative="0">
      <w:start w:val="0"/>
      <w:numFmt w:val="bullet"/>
      <w:lvlText w:val="•"/>
      <w:lvlJc w:val="left"/>
      <w:pPr>
        <w:ind w:left="3210" w:hanging="540"/>
      </w:pPr>
      <w:rPr>
        <w:rFonts w:hint="default"/>
        <w:lang w:val="zh-CN" w:eastAsia="zh-CN" w:bidi="zh-CN"/>
      </w:rPr>
    </w:lvl>
    <w:lvl w:ilvl="4" w:tentative="0">
      <w:start w:val="0"/>
      <w:numFmt w:val="bullet"/>
      <w:lvlText w:val="•"/>
      <w:lvlJc w:val="left"/>
      <w:pPr>
        <w:ind w:left="4186" w:hanging="540"/>
      </w:pPr>
      <w:rPr>
        <w:rFonts w:hint="default"/>
        <w:lang w:val="zh-CN" w:eastAsia="zh-CN" w:bidi="zh-CN"/>
      </w:rPr>
    </w:lvl>
    <w:lvl w:ilvl="5" w:tentative="0">
      <w:start w:val="0"/>
      <w:numFmt w:val="bullet"/>
      <w:lvlText w:val="•"/>
      <w:lvlJc w:val="left"/>
      <w:pPr>
        <w:ind w:left="5163" w:hanging="540"/>
      </w:pPr>
      <w:rPr>
        <w:rFonts w:hint="default"/>
        <w:lang w:val="zh-CN" w:eastAsia="zh-CN" w:bidi="zh-CN"/>
      </w:rPr>
    </w:lvl>
    <w:lvl w:ilvl="6" w:tentative="0">
      <w:start w:val="0"/>
      <w:numFmt w:val="bullet"/>
      <w:lvlText w:val="•"/>
      <w:lvlJc w:val="left"/>
      <w:pPr>
        <w:ind w:left="6140" w:hanging="540"/>
      </w:pPr>
      <w:rPr>
        <w:rFonts w:hint="default"/>
        <w:lang w:val="zh-CN" w:eastAsia="zh-CN" w:bidi="zh-CN"/>
      </w:rPr>
    </w:lvl>
    <w:lvl w:ilvl="7" w:tentative="0">
      <w:start w:val="0"/>
      <w:numFmt w:val="bullet"/>
      <w:lvlText w:val="•"/>
      <w:lvlJc w:val="left"/>
      <w:pPr>
        <w:ind w:left="7116" w:hanging="540"/>
      </w:pPr>
      <w:rPr>
        <w:rFonts w:hint="default"/>
        <w:lang w:val="zh-CN" w:eastAsia="zh-CN" w:bidi="zh-CN"/>
      </w:rPr>
    </w:lvl>
    <w:lvl w:ilvl="8" w:tentative="0">
      <w:start w:val="0"/>
      <w:numFmt w:val="bullet"/>
      <w:lvlText w:val="•"/>
      <w:lvlJc w:val="left"/>
      <w:pPr>
        <w:ind w:left="8093" w:hanging="540"/>
      </w:pPr>
      <w:rPr>
        <w:rFonts w:hint="default"/>
        <w:lang w:val="zh-CN" w:eastAsia="zh-CN" w:bidi="zh-CN"/>
      </w:rPr>
    </w:lvl>
  </w:abstractNum>
  <w:abstractNum w:abstractNumId="41">
    <w:nsid w:val="79AA4FA4"/>
    <w:multiLevelType w:val="multilevel"/>
    <w:tmpl w:val="79AA4FA4"/>
    <w:lvl w:ilvl="0" w:tentative="0">
      <w:start w:val="1"/>
      <w:numFmt w:val="decimal"/>
      <w:lvlText w:val="（%1）"/>
      <w:lvlJc w:val="left"/>
      <w:pPr>
        <w:ind w:left="136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8" w:hanging="601"/>
      </w:pPr>
      <w:rPr>
        <w:rFonts w:hint="default"/>
        <w:lang w:val="zh-CN" w:eastAsia="zh-CN" w:bidi="zh-CN"/>
      </w:rPr>
    </w:lvl>
    <w:lvl w:ilvl="2" w:tentative="0">
      <w:start w:val="0"/>
      <w:numFmt w:val="bullet"/>
      <w:lvlText w:val="•"/>
      <w:lvlJc w:val="left"/>
      <w:pPr>
        <w:ind w:left="3097" w:hanging="601"/>
      </w:pPr>
      <w:rPr>
        <w:rFonts w:hint="default"/>
        <w:lang w:val="zh-CN" w:eastAsia="zh-CN" w:bidi="zh-CN"/>
      </w:rPr>
    </w:lvl>
    <w:lvl w:ilvl="3" w:tentative="0">
      <w:start w:val="0"/>
      <w:numFmt w:val="bullet"/>
      <w:lvlText w:val="•"/>
      <w:lvlJc w:val="left"/>
      <w:pPr>
        <w:ind w:left="3966"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03" w:hanging="601"/>
      </w:pPr>
      <w:rPr>
        <w:rFonts w:hint="default"/>
        <w:lang w:val="zh-CN" w:eastAsia="zh-CN" w:bidi="zh-CN"/>
      </w:rPr>
    </w:lvl>
    <w:lvl w:ilvl="6" w:tentative="0">
      <w:start w:val="0"/>
      <w:numFmt w:val="bullet"/>
      <w:lvlText w:val="•"/>
      <w:lvlJc w:val="left"/>
      <w:pPr>
        <w:ind w:left="6572" w:hanging="601"/>
      </w:pPr>
      <w:rPr>
        <w:rFonts w:hint="default"/>
        <w:lang w:val="zh-CN" w:eastAsia="zh-CN" w:bidi="zh-CN"/>
      </w:rPr>
    </w:lvl>
    <w:lvl w:ilvl="7" w:tentative="0">
      <w:start w:val="0"/>
      <w:numFmt w:val="bullet"/>
      <w:lvlText w:val="•"/>
      <w:lvlJc w:val="left"/>
      <w:pPr>
        <w:ind w:left="7440" w:hanging="601"/>
      </w:pPr>
      <w:rPr>
        <w:rFonts w:hint="default"/>
        <w:lang w:val="zh-CN" w:eastAsia="zh-CN" w:bidi="zh-CN"/>
      </w:rPr>
    </w:lvl>
    <w:lvl w:ilvl="8" w:tentative="0">
      <w:start w:val="0"/>
      <w:numFmt w:val="bullet"/>
      <w:lvlText w:val="•"/>
      <w:lvlJc w:val="left"/>
      <w:pPr>
        <w:ind w:left="8309" w:hanging="601"/>
      </w:pPr>
      <w:rPr>
        <w:rFonts w:hint="default"/>
        <w:lang w:val="zh-CN" w:eastAsia="zh-CN" w:bidi="zh-CN"/>
      </w:rPr>
    </w:lvl>
  </w:abstractNum>
  <w:abstractNum w:abstractNumId="42">
    <w:nsid w:val="7C246926"/>
    <w:multiLevelType w:val="multilevel"/>
    <w:tmpl w:val="7C246926"/>
    <w:lvl w:ilvl="0" w:tentative="0">
      <w:start w:val="15"/>
      <w:numFmt w:val="decimal"/>
      <w:lvlText w:val="%1"/>
      <w:lvlJc w:val="left"/>
      <w:pPr>
        <w:ind w:left="288" w:hanging="600"/>
        <w:jc w:val="left"/>
      </w:pPr>
      <w:rPr>
        <w:rFonts w:hint="default"/>
        <w:lang w:val="zh-CN" w:eastAsia="zh-CN" w:bidi="zh-CN"/>
      </w:rPr>
    </w:lvl>
    <w:lvl w:ilvl="1" w:tentative="0">
      <w:start w:val="1"/>
      <w:numFmt w:val="decimal"/>
      <w:lvlText w:val="%1.%2"/>
      <w:lvlJc w:val="left"/>
      <w:pPr>
        <w:ind w:left="288" w:hanging="600"/>
        <w:jc w:val="left"/>
      </w:pPr>
      <w:rPr>
        <w:rFonts w:hint="default" w:ascii="宋体" w:hAnsi="宋体" w:eastAsia="宋体" w:cs="宋体"/>
        <w:spacing w:val="-68"/>
        <w:w w:val="100"/>
        <w:sz w:val="24"/>
        <w:szCs w:val="24"/>
        <w:lang w:val="zh-CN" w:eastAsia="zh-CN" w:bidi="zh-CN"/>
      </w:rPr>
    </w:lvl>
    <w:lvl w:ilvl="2" w:tentative="0">
      <w:start w:val="0"/>
      <w:numFmt w:val="bullet"/>
      <w:lvlText w:val="•"/>
      <w:lvlJc w:val="left"/>
      <w:pPr>
        <w:ind w:left="2233" w:hanging="600"/>
      </w:pPr>
      <w:rPr>
        <w:rFonts w:hint="default"/>
        <w:lang w:val="zh-CN" w:eastAsia="zh-CN" w:bidi="zh-CN"/>
      </w:rPr>
    </w:lvl>
    <w:lvl w:ilvl="3" w:tentative="0">
      <w:start w:val="0"/>
      <w:numFmt w:val="bullet"/>
      <w:lvlText w:val="•"/>
      <w:lvlJc w:val="left"/>
      <w:pPr>
        <w:ind w:left="3210" w:hanging="600"/>
      </w:pPr>
      <w:rPr>
        <w:rFonts w:hint="default"/>
        <w:lang w:val="zh-CN" w:eastAsia="zh-CN" w:bidi="zh-CN"/>
      </w:rPr>
    </w:lvl>
    <w:lvl w:ilvl="4" w:tentative="0">
      <w:start w:val="0"/>
      <w:numFmt w:val="bullet"/>
      <w:lvlText w:val="•"/>
      <w:lvlJc w:val="left"/>
      <w:pPr>
        <w:ind w:left="4186" w:hanging="600"/>
      </w:pPr>
      <w:rPr>
        <w:rFonts w:hint="default"/>
        <w:lang w:val="zh-CN" w:eastAsia="zh-CN" w:bidi="zh-CN"/>
      </w:rPr>
    </w:lvl>
    <w:lvl w:ilvl="5" w:tentative="0">
      <w:start w:val="0"/>
      <w:numFmt w:val="bullet"/>
      <w:lvlText w:val="•"/>
      <w:lvlJc w:val="left"/>
      <w:pPr>
        <w:ind w:left="5163" w:hanging="600"/>
      </w:pPr>
      <w:rPr>
        <w:rFonts w:hint="default"/>
        <w:lang w:val="zh-CN" w:eastAsia="zh-CN" w:bidi="zh-CN"/>
      </w:rPr>
    </w:lvl>
    <w:lvl w:ilvl="6" w:tentative="0">
      <w:start w:val="0"/>
      <w:numFmt w:val="bullet"/>
      <w:lvlText w:val="•"/>
      <w:lvlJc w:val="left"/>
      <w:pPr>
        <w:ind w:left="6140" w:hanging="600"/>
      </w:pPr>
      <w:rPr>
        <w:rFonts w:hint="default"/>
        <w:lang w:val="zh-CN" w:eastAsia="zh-CN" w:bidi="zh-CN"/>
      </w:rPr>
    </w:lvl>
    <w:lvl w:ilvl="7" w:tentative="0">
      <w:start w:val="0"/>
      <w:numFmt w:val="bullet"/>
      <w:lvlText w:val="•"/>
      <w:lvlJc w:val="left"/>
      <w:pPr>
        <w:ind w:left="7116" w:hanging="600"/>
      </w:pPr>
      <w:rPr>
        <w:rFonts w:hint="default"/>
        <w:lang w:val="zh-CN" w:eastAsia="zh-CN" w:bidi="zh-CN"/>
      </w:rPr>
    </w:lvl>
    <w:lvl w:ilvl="8" w:tentative="0">
      <w:start w:val="0"/>
      <w:numFmt w:val="bullet"/>
      <w:lvlText w:val="•"/>
      <w:lvlJc w:val="left"/>
      <w:pPr>
        <w:ind w:left="8093" w:hanging="600"/>
      </w:pPr>
      <w:rPr>
        <w:rFonts w:hint="default"/>
        <w:lang w:val="zh-CN" w:eastAsia="zh-CN" w:bidi="zh-CN"/>
      </w:rPr>
    </w:lvl>
  </w:abstractNum>
  <w:abstractNum w:abstractNumId="43">
    <w:nsid w:val="7DEC2089"/>
    <w:multiLevelType w:val="multilevel"/>
    <w:tmpl w:val="7DEC2089"/>
    <w:lvl w:ilvl="0" w:tentative="0">
      <w:start w:val="1"/>
      <w:numFmt w:val="decimal"/>
      <w:lvlText w:val="（%1）"/>
      <w:lvlJc w:val="left"/>
      <w:pPr>
        <w:ind w:left="136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28" w:hanging="601"/>
      </w:pPr>
      <w:rPr>
        <w:rFonts w:hint="default"/>
        <w:lang w:val="zh-CN" w:eastAsia="zh-CN" w:bidi="zh-CN"/>
      </w:rPr>
    </w:lvl>
    <w:lvl w:ilvl="2" w:tentative="0">
      <w:start w:val="0"/>
      <w:numFmt w:val="bullet"/>
      <w:lvlText w:val="•"/>
      <w:lvlJc w:val="left"/>
      <w:pPr>
        <w:ind w:left="3097" w:hanging="601"/>
      </w:pPr>
      <w:rPr>
        <w:rFonts w:hint="default"/>
        <w:lang w:val="zh-CN" w:eastAsia="zh-CN" w:bidi="zh-CN"/>
      </w:rPr>
    </w:lvl>
    <w:lvl w:ilvl="3" w:tentative="0">
      <w:start w:val="0"/>
      <w:numFmt w:val="bullet"/>
      <w:lvlText w:val="•"/>
      <w:lvlJc w:val="left"/>
      <w:pPr>
        <w:ind w:left="3966"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03" w:hanging="601"/>
      </w:pPr>
      <w:rPr>
        <w:rFonts w:hint="default"/>
        <w:lang w:val="zh-CN" w:eastAsia="zh-CN" w:bidi="zh-CN"/>
      </w:rPr>
    </w:lvl>
    <w:lvl w:ilvl="6" w:tentative="0">
      <w:start w:val="0"/>
      <w:numFmt w:val="bullet"/>
      <w:lvlText w:val="•"/>
      <w:lvlJc w:val="left"/>
      <w:pPr>
        <w:ind w:left="6572" w:hanging="601"/>
      </w:pPr>
      <w:rPr>
        <w:rFonts w:hint="default"/>
        <w:lang w:val="zh-CN" w:eastAsia="zh-CN" w:bidi="zh-CN"/>
      </w:rPr>
    </w:lvl>
    <w:lvl w:ilvl="7" w:tentative="0">
      <w:start w:val="0"/>
      <w:numFmt w:val="bullet"/>
      <w:lvlText w:val="•"/>
      <w:lvlJc w:val="left"/>
      <w:pPr>
        <w:ind w:left="7440" w:hanging="601"/>
      </w:pPr>
      <w:rPr>
        <w:rFonts w:hint="default"/>
        <w:lang w:val="zh-CN" w:eastAsia="zh-CN" w:bidi="zh-CN"/>
      </w:rPr>
    </w:lvl>
    <w:lvl w:ilvl="8" w:tentative="0">
      <w:start w:val="0"/>
      <w:numFmt w:val="bullet"/>
      <w:lvlText w:val="•"/>
      <w:lvlJc w:val="left"/>
      <w:pPr>
        <w:ind w:left="8309" w:hanging="601"/>
      </w:pPr>
      <w:rPr>
        <w:rFonts w:hint="default"/>
        <w:lang w:val="zh-CN" w:eastAsia="zh-CN" w:bidi="zh-CN"/>
      </w:rPr>
    </w:lvl>
  </w:abstractNum>
  <w:num w:numId="1">
    <w:abstractNumId w:val="23"/>
  </w:num>
  <w:num w:numId="2">
    <w:abstractNumId w:val="15"/>
  </w:num>
  <w:num w:numId="3">
    <w:abstractNumId w:val="38"/>
  </w:num>
  <w:num w:numId="4">
    <w:abstractNumId w:val="16"/>
  </w:num>
  <w:num w:numId="5">
    <w:abstractNumId w:val="5"/>
  </w:num>
  <w:num w:numId="6">
    <w:abstractNumId w:val="22"/>
  </w:num>
  <w:num w:numId="7">
    <w:abstractNumId w:val="33"/>
  </w:num>
  <w:num w:numId="8">
    <w:abstractNumId w:val="11"/>
  </w:num>
  <w:num w:numId="9">
    <w:abstractNumId w:val="31"/>
  </w:num>
  <w:num w:numId="10">
    <w:abstractNumId w:val="21"/>
  </w:num>
  <w:num w:numId="11">
    <w:abstractNumId w:val="13"/>
  </w:num>
  <w:num w:numId="12">
    <w:abstractNumId w:val="12"/>
  </w:num>
  <w:num w:numId="13">
    <w:abstractNumId w:val="7"/>
  </w:num>
  <w:num w:numId="14">
    <w:abstractNumId w:val="29"/>
  </w:num>
  <w:num w:numId="15">
    <w:abstractNumId w:val="36"/>
  </w:num>
  <w:num w:numId="16">
    <w:abstractNumId w:val="17"/>
  </w:num>
  <w:num w:numId="17">
    <w:abstractNumId w:val="28"/>
  </w:num>
  <w:num w:numId="18">
    <w:abstractNumId w:val="8"/>
  </w:num>
  <w:num w:numId="19">
    <w:abstractNumId w:val="42"/>
  </w:num>
  <w:num w:numId="20">
    <w:abstractNumId w:val="40"/>
  </w:num>
  <w:num w:numId="21">
    <w:abstractNumId w:val="10"/>
  </w:num>
  <w:num w:numId="22">
    <w:abstractNumId w:val="37"/>
  </w:num>
  <w:num w:numId="23">
    <w:abstractNumId w:val="6"/>
  </w:num>
  <w:num w:numId="24">
    <w:abstractNumId w:val="27"/>
  </w:num>
  <w:num w:numId="25">
    <w:abstractNumId w:val="2"/>
  </w:num>
  <w:num w:numId="26">
    <w:abstractNumId w:val="32"/>
  </w:num>
  <w:num w:numId="27">
    <w:abstractNumId w:val="43"/>
  </w:num>
  <w:num w:numId="28">
    <w:abstractNumId w:val="0"/>
  </w:num>
  <w:num w:numId="29">
    <w:abstractNumId w:val="20"/>
  </w:num>
  <w:num w:numId="30">
    <w:abstractNumId w:val="14"/>
  </w:num>
  <w:num w:numId="31">
    <w:abstractNumId w:val="24"/>
  </w:num>
  <w:num w:numId="32">
    <w:abstractNumId w:val="41"/>
  </w:num>
  <w:num w:numId="33">
    <w:abstractNumId w:val="4"/>
  </w:num>
  <w:num w:numId="34">
    <w:abstractNumId w:val="9"/>
  </w:num>
  <w:num w:numId="35">
    <w:abstractNumId w:val="34"/>
  </w:num>
  <w:num w:numId="36">
    <w:abstractNumId w:val="1"/>
  </w:num>
  <w:num w:numId="37">
    <w:abstractNumId w:val="18"/>
  </w:num>
  <w:num w:numId="38">
    <w:abstractNumId w:val="3"/>
  </w:num>
  <w:num w:numId="39">
    <w:abstractNumId w:val="35"/>
  </w:num>
  <w:num w:numId="40">
    <w:abstractNumId w:val="39"/>
  </w:num>
  <w:num w:numId="41">
    <w:abstractNumId w:val="30"/>
  </w:num>
  <w:num w:numId="42">
    <w:abstractNumId w:val="25"/>
  </w:num>
  <w:num w:numId="43">
    <w:abstractNumId w:val="2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0125861"/>
    <w:rsid w:val="001F7F7E"/>
    <w:rsid w:val="00337586"/>
    <w:rsid w:val="00360E24"/>
    <w:rsid w:val="0046550B"/>
    <w:rsid w:val="0055574E"/>
    <w:rsid w:val="005A2D64"/>
    <w:rsid w:val="00641E35"/>
    <w:rsid w:val="00704336"/>
    <w:rsid w:val="00906786"/>
    <w:rsid w:val="00973FB8"/>
    <w:rsid w:val="00AB7A64"/>
    <w:rsid w:val="00B20DF2"/>
    <w:rsid w:val="00C36B5B"/>
    <w:rsid w:val="00C85F20"/>
    <w:rsid w:val="00E30FAC"/>
    <w:rsid w:val="00FE1942"/>
    <w:rsid w:val="01057174"/>
    <w:rsid w:val="01172A03"/>
    <w:rsid w:val="0134430B"/>
    <w:rsid w:val="016C71F3"/>
    <w:rsid w:val="01852063"/>
    <w:rsid w:val="01891B53"/>
    <w:rsid w:val="018A58CB"/>
    <w:rsid w:val="019422A6"/>
    <w:rsid w:val="01B666C0"/>
    <w:rsid w:val="01EC20E2"/>
    <w:rsid w:val="01FB2325"/>
    <w:rsid w:val="01FF1E15"/>
    <w:rsid w:val="021358C1"/>
    <w:rsid w:val="02184C85"/>
    <w:rsid w:val="0221260B"/>
    <w:rsid w:val="0227311A"/>
    <w:rsid w:val="022B0E5C"/>
    <w:rsid w:val="025C7268"/>
    <w:rsid w:val="026223A4"/>
    <w:rsid w:val="027D71DE"/>
    <w:rsid w:val="02B640B5"/>
    <w:rsid w:val="02C60B85"/>
    <w:rsid w:val="02D50DC8"/>
    <w:rsid w:val="02D768EE"/>
    <w:rsid w:val="02F079B0"/>
    <w:rsid w:val="02FA082F"/>
    <w:rsid w:val="02FF7BF3"/>
    <w:rsid w:val="030376E3"/>
    <w:rsid w:val="030671D3"/>
    <w:rsid w:val="030D40BE"/>
    <w:rsid w:val="0317318F"/>
    <w:rsid w:val="03190CB5"/>
    <w:rsid w:val="031C2553"/>
    <w:rsid w:val="034865B0"/>
    <w:rsid w:val="03710AF1"/>
    <w:rsid w:val="037759DB"/>
    <w:rsid w:val="037B4D46"/>
    <w:rsid w:val="03887BE8"/>
    <w:rsid w:val="03906A9D"/>
    <w:rsid w:val="03914CEF"/>
    <w:rsid w:val="03B10EED"/>
    <w:rsid w:val="03B92498"/>
    <w:rsid w:val="03D42E2E"/>
    <w:rsid w:val="03DE3CAC"/>
    <w:rsid w:val="03EC461B"/>
    <w:rsid w:val="03F359AA"/>
    <w:rsid w:val="040C25C7"/>
    <w:rsid w:val="04115E30"/>
    <w:rsid w:val="041A2F36"/>
    <w:rsid w:val="041B0A5C"/>
    <w:rsid w:val="041C0406"/>
    <w:rsid w:val="04363AE8"/>
    <w:rsid w:val="043D4E77"/>
    <w:rsid w:val="043F0BEF"/>
    <w:rsid w:val="04610B65"/>
    <w:rsid w:val="0482288A"/>
    <w:rsid w:val="04891E6A"/>
    <w:rsid w:val="04A722F0"/>
    <w:rsid w:val="04C904B8"/>
    <w:rsid w:val="04D8694E"/>
    <w:rsid w:val="04F318EB"/>
    <w:rsid w:val="052B2F21"/>
    <w:rsid w:val="05322502"/>
    <w:rsid w:val="056106F1"/>
    <w:rsid w:val="056703FD"/>
    <w:rsid w:val="056C5A14"/>
    <w:rsid w:val="057448C8"/>
    <w:rsid w:val="057C377D"/>
    <w:rsid w:val="05832D5D"/>
    <w:rsid w:val="05852631"/>
    <w:rsid w:val="05917228"/>
    <w:rsid w:val="059A0488"/>
    <w:rsid w:val="05B9052D"/>
    <w:rsid w:val="05C50C80"/>
    <w:rsid w:val="05C55124"/>
    <w:rsid w:val="05DB66F5"/>
    <w:rsid w:val="05E337FC"/>
    <w:rsid w:val="05F45A09"/>
    <w:rsid w:val="063302DF"/>
    <w:rsid w:val="06420522"/>
    <w:rsid w:val="06581AF4"/>
    <w:rsid w:val="065A158C"/>
    <w:rsid w:val="067526A6"/>
    <w:rsid w:val="067601CC"/>
    <w:rsid w:val="06840641"/>
    <w:rsid w:val="068E7B23"/>
    <w:rsid w:val="06E11AE9"/>
    <w:rsid w:val="06E45A7E"/>
    <w:rsid w:val="06FA704F"/>
    <w:rsid w:val="070457D8"/>
    <w:rsid w:val="07267E44"/>
    <w:rsid w:val="0737795B"/>
    <w:rsid w:val="073C1416"/>
    <w:rsid w:val="074B1659"/>
    <w:rsid w:val="0753050D"/>
    <w:rsid w:val="076A5F83"/>
    <w:rsid w:val="07723089"/>
    <w:rsid w:val="07854B6B"/>
    <w:rsid w:val="07B70A9C"/>
    <w:rsid w:val="07B92A66"/>
    <w:rsid w:val="07BB67DE"/>
    <w:rsid w:val="07C75183"/>
    <w:rsid w:val="07CB4548"/>
    <w:rsid w:val="07DC0503"/>
    <w:rsid w:val="07E31891"/>
    <w:rsid w:val="08026E2C"/>
    <w:rsid w:val="08161C67"/>
    <w:rsid w:val="08251EAA"/>
    <w:rsid w:val="08400A92"/>
    <w:rsid w:val="085E53BC"/>
    <w:rsid w:val="08752E31"/>
    <w:rsid w:val="087B41C0"/>
    <w:rsid w:val="087D1CE6"/>
    <w:rsid w:val="088A346F"/>
    <w:rsid w:val="089112ED"/>
    <w:rsid w:val="08931509"/>
    <w:rsid w:val="08B82D1E"/>
    <w:rsid w:val="08BA6A96"/>
    <w:rsid w:val="090221EB"/>
    <w:rsid w:val="09067F2D"/>
    <w:rsid w:val="0923288D"/>
    <w:rsid w:val="092B7994"/>
    <w:rsid w:val="09306D58"/>
    <w:rsid w:val="0946657C"/>
    <w:rsid w:val="0955056D"/>
    <w:rsid w:val="095B73E3"/>
    <w:rsid w:val="09992B4F"/>
    <w:rsid w:val="099E0166"/>
    <w:rsid w:val="09A3752A"/>
    <w:rsid w:val="09D678FF"/>
    <w:rsid w:val="09D771D4"/>
    <w:rsid w:val="09DA6CC4"/>
    <w:rsid w:val="09ED2E9B"/>
    <w:rsid w:val="09F2225F"/>
    <w:rsid w:val="09FB5325"/>
    <w:rsid w:val="0A0501E5"/>
    <w:rsid w:val="0A0A1357"/>
    <w:rsid w:val="0A12645E"/>
    <w:rsid w:val="0A171CC6"/>
    <w:rsid w:val="0A1E4E03"/>
    <w:rsid w:val="0A1E7D15"/>
    <w:rsid w:val="0A3208AE"/>
    <w:rsid w:val="0A344626"/>
    <w:rsid w:val="0A3D172D"/>
    <w:rsid w:val="0A5371A2"/>
    <w:rsid w:val="0A5F5B47"/>
    <w:rsid w:val="0A6C0264"/>
    <w:rsid w:val="0A6E5D8A"/>
    <w:rsid w:val="0A6F38B0"/>
    <w:rsid w:val="0A8530D4"/>
    <w:rsid w:val="0AA25A34"/>
    <w:rsid w:val="0AA96DC2"/>
    <w:rsid w:val="0AAC240E"/>
    <w:rsid w:val="0ABA2D7D"/>
    <w:rsid w:val="0AC57974"/>
    <w:rsid w:val="0AFA13CC"/>
    <w:rsid w:val="0AFF2E86"/>
    <w:rsid w:val="0B036EA1"/>
    <w:rsid w:val="0B064214"/>
    <w:rsid w:val="0B077F8D"/>
    <w:rsid w:val="0B0E4E77"/>
    <w:rsid w:val="0B196D6E"/>
    <w:rsid w:val="0B470389"/>
    <w:rsid w:val="0B5A630E"/>
    <w:rsid w:val="0B5D195B"/>
    <w:rsid w:val="0B6251C3"/>
    <w:rsid w:val="0B664CB3"/>
    <w:rsid w:val="0B6D6042"/>
    <w:rsid w:val="0B7A075E"/>
    <w:rsid w:val="0B7E024F"/>
    <w:rsid w:val="0B860EB1"/>
    <w:rsid w:val="0B955598"/>
    <w:rsid w:val="0BB974D9"/>
    <w:rsid w:val="0BC1013B"/>
    <w:rsid w:val="0BC55E7E"/>
    <w:rsid w:val="0BDA2FAB"/>
    <w:rsid w:val="0BDE2A9B"/>
    <w:rsid w:val="0BFA364D"/>
    <w:rsid w:val="0BFB189F"/>
    <w:rsid w:val="0C0F534B"/>
    <w:rsid w:val="0C142961"/>
    <w:rsid w:val="0C272694"/>
    <w:rsid w:val="0C3504B5"/>
    <w:rsid w:val="0C4D7C21"/>
    <w:rsid w:val="0C5E3BDC"/>
    <w:rsid w:val="0C6F7B97"/>
    <w:rsid w:val="0C85560D"/>
    <w:rsid w:val="0C880C59"/>
    <w:rsid w:val="0C994C14"/>
    <w:rsid w:val="0C9D4705"/>
    <w:rsid w:val="0CA35A93"/>
    <w:rsid w:val="0CA535B9"/>
    <w:rsid w:val="0CC2416B"/>
    <w:rsid w:val="0CDB522D"/>
    <w:rsid w:val="0CE045F1"/>
    <w:rsid w:val="0CEF0CD8"/>
    <w:rsid w:val="0D1F511A"/>
    <w:rsid w:val="0D4508F8"/>
    <w:rsid w:val="0D6B65B1"/>
    <w:rsid w:val="0D7C6A10"/>
    <w:rsid w:val="0D95362E"/>
    <w:rsid w:val="0DB02216"/>
    <w:rsid w:val="0DC932D7"/>
    <w:rsid w:val="0DE6032D"/>
    <w:rsid w:val="0DE63E89"/>
    <w:rsid w:val="0DE85E53"/>
    <w:rsid w:val="0DF30354"/>
    <w:rsid w:val="0E012A71"/>
    <w:rsid w:val="0E124C7E"/>
    <w:rsid w:val="0E15476E"/>
    <w:rsid w:val="0E2F5830"/>
    <w:rsid w:val="0E325320"/>
    <w:rsid w:val="0E415563"/>
    <w:rsid w:val="0E440BB0"/>
    <w:rsid w:val="0E552DBD"/>
    <w:rsid w:val="0E5C414B"/>
    <w:rsid w:val="0E697251"/>
    <w:rsid w:val="0E772D33"/>
    <w:rsid w:val="0E792F4F"/>
    <w:rsid w:val="0E813BB2"/>
    <w:rsid w:val="0E87566C"/>
    <w:rsid w:val="0E8C2C83"/>
    <w:rsid w:val="0E8F2773"/>
    <w:rsid w:val="0EAD2BF9"/>
    <w:rsid w:val="0EB421D9"/>
    <w:rsid w:val="0EB83A78"/>
    <w:rsid w:val="0EB9159E"/>
    <w:rsid w:val="0ED4462A"/>
    <w:rsid w:val="0ED96E05"/>
    <w:rsid w:val="0EEC54CF"/>
    <w:rsid w:val="0EF83E74"/>
    <w:rsid w:val="0F0071D6"/>
    <w:rsid w:val="0F0F11BE"/>
    <w:rsid w:val="0F1669F0"/>
    <w:rsid w:val="0F182768"/>
    <w:rsid w:val="0F1862C4"/>
    <w:rsid w:val="0F1B4006"/>
    <w:rsid w:val="0F476BAA"/>
    <w:rsid w:val="0F6459AD"/>
    <w:rsid w:val="0F6E05DA"/>
    <w:rsid w:val="0F8E6586"/>
    <w:rsid w:val="0F9D4A1B"/>
    <w:rsid w:val="0FA67D74"/>
    <w:rsid w:val="0FB81855"/>
    <w:rsid w:val="0FBA737B"/>
    <w:rsid w:val="0FBD50BE"/>
    <w:rsid w:val="0FF705D0"/>
    <w:rsid w:val="100F5919"/>
    <w:rsid w:val="102D2243"/>
    <w:rsid w:val="10394744"/>
    <w:rsid w:val="106612B1"/>
    <w:rsid w:val="106E2803"/>
    <w:rsid w:val="106F63B8"/>
    <w:rsid w:val="108F3E01"/>
    <w:rsid w:val="1097590F"/>
    <w:rsid w:val="109B03CC"/>
    <w:rsid w:val="10AC760C"/>
    <w:rsid w:val="10CA1840"/>
    <w:rsid w:val="10CC55B8"/>
    <w:rsid w:val="10DE353E"/>
    <w:rsid w:val="110F36F7"/>
    <w:rsid w:val="11124F95"/>
    <w:rsid w:val="111D4066"/>
    <w:rsid w:val="112E6273"/>
    <w:rsid w:val="113118BF"/>
    <w:rsid w:val="113E5D8A"/>
    <w:rsid w:val="11457119"/>
    <w:rsid w:val="114F61E9"/>
    <w:rsid w:val="116A6B7F"/>
    <w:rsid w:val="116C0B49"/>
    <w:rsid w:val="117A3266"/>
    <w:rsid w:val="11895257"/>
    <w:rsid w:val="118C11EC"/>
    <w:rsid w:val="11A46535"/>
    <w:rsid w:val="11A77DD3"/>
    <w:rsid w:val="11E701D0"/>
    <w:rsid w:val="120B2110"/>
    <w:rsid w:val="12176D07"/>
    <w:rsid w:val="12297992"/>
    <w:rsid w:val="12483364"/>
    <w:rsid w:val="12490E8B"/>
    <w:rsid w:val="12505D75"/>
    <w:rsid w:val="129E2F84"/>
    <w:rsid w:val="12A32349"/>
    <w:rsid w:val="12B44556"/>
    <w:rsid w:val="12C14EC5"/>
    <w:rsid w:val="12CA5B28"/>
    <w:rsid w:val="12CD386A"/>
    <w:rsid w:val="12D40754"/>
    <w:rsid w:val="12DD1CFF"/>
    <w:rsid w:val="132536A6"/>
    <w:rsid w:val="13386F35"/>
    <w:rsid w:val="134D0507"/>
    <w:rsid w:val="134F24D1"/>
    <w:rsid w:val="13517FF7"/>
    <w:rsid w:val="1360648C"/>
    <w:rsid w:val="13702B73"/>
    <w:rsid w:val="137B1518"/>
    <w:rsid w:val="137E6912"/>
    <w:rsid w:val="138228A6"/>
    <w:rsid w:val="13877EBC"/>
    <w:rsid w:val="13936861"/>
    <w:rsid w:val="13946135"/>
    <w:rsid w:val="13CE1647"/>
    <w:rsid w:val="13DE1872"/>
    <w:rsid w:val="13DF5603"/>
    <w:rsid w:val="13E42C19"/>
    <w:rsid w:val="14025795"/>
    <w:rsid w:val="14123C2A"/>
    <w:rsid w:val="141F6347"/>
    <w:rsid w:val="145558C5"/>
    <w:rsid w:val="147A357D"/>
    <w:rsid w:val="14902DA1"/>
    <w:rsid w:val="14926B19"/>
    <w:rsid w:val="149503B7"/>
    <w:rsid w:val="14AA20B4"/>
    <w:rsid w:val="14AA3E63"/>
    <w:rsid w:val="14DB226E"/>
    <w:rsid w:val="14E37374"/>
    <w:rsid w:val="14EA0703"/>
    <w:rsid w:val="14F41582"/>
    <w:rsid w:val="14F72E20"/>
    <w:rsid w:val="14FE41AE"/>
    <w:rsid w:val="14FE5F5C"/>
    <w:rsid w:val="150247F4"/>
    <w:rsid w:val="150D619F"/>
    <w:rsid w:val="15115C90"/>
    <w:rsid w:val="152B4878"/>
    <w:rsid w:val="15316332"/>
    <w:rsid w:val="153876C0"/>
    <w:rsid w:val="155618F4"/>
    <w:rsid w:val="15593193"/>
    <w:rsid w:val="156F6E5A"/>
    <w:rsid w:val="1573694A"/>
    <w:rsid w:val="158C3568"/>
    <w:rsid w:val="159F14ED"/>
    <w:rsid w:val="15CA5E3E"/>
    <w:rsid w:val="15D849FF"/>
    <w:rsid w:val="15F64E85"/>
    <w:rsid w:val="160457F4"/>
    <w:rsid w:val="161F262E"/>
    <w:rsid w:val="161F618A"/>
    <w:rsid w:val="16273291"/>
    <w:rsid w:val="163A1216"/>
    <w:rsid w:val="165D6CB3"/>
    <w:rsid w:val="167504A0"/>
    <w:rsid w:val="167C538B"/>
    <w:rsid w:val="168801D3"/>
    <w:rsid w:val="16905228"/>
    <w:rsid w:val="16921052"/>
    <w:rsid w:val="16A11295"/>
    <w:rsid w:val="16B70AB9"/>
    <w:rsid w:val="16CF2DFA"/>
    <w:rsid w:val="17045380"/>
    <w:rsid w:val="170F4451"/>
    <w:rsid w:val="170F61FF"/>
    <w:rsid w:val="173D7210"/>
    <w:rsid w:val="175207E1"/>
    <w:rsid w:val="175C51BC"/>
    <w:rsid w:val="177B1AE6"/>
    <w:rsid w:val="17884203"/>
    <w:rsid w:val="17935082"/>
    <w:rsid w:val="17942BA8"/>
    <w:rsid w:val="179B7A92"/>
    <w:rsid w:val="17AA23CB"/>
    <w:rsid w:val="17CC40F0"/>
    <w:rsid w:val="17E92EF4"/>
    <w:rsid w:val="17EC02EE"/>
    <w:rsid w:val="181D0DEF"/>
    <w:rsid w:val="18253800"/>
    <w:rsid w:val="18491BE4"/>
    <w:rsid w:val="18702CCD"/>
    <w:rsid w:val="18707171"/>
    <w:rsid w:val="18890233"/>
    <w:rsid w:val="189310B2"/>
    <w:rsid w:val="18A1732B"/>
    <w:rsid w:val="18AD3F21"/>
    <w:rsid w:val="18AE1A47"/>
    <w:rsid w:val="18B2778A"/>
    <w:rsid w:val="18BD7EDC"/>
    <w:rsid w:val="18BF1EA7"/>
    <w:rsid w:val="18D05E62"/>
    <w:rsid w:val="18D314AE"/>
    <w:rsid w:val="18EF453A"/>
    <w:rsid w:val="18FE477D"/>
    <w:rsid w:val="19143FA0"/>
    <w:rsid w:val="19375EE1"/>
    <w:rsid w:val="19436634"/>
    <w:rsid w:val="19483C4A"/>
    <w:rsid w:val="19516FA3"/>
    <w:rsid w:val="195B397D"/>
    <w:rsid w:val="19687E48"/>
    <w:rsid w:val="19744A3F"/>
    <w:rsid w:val="19766A09"/>
    <w:rsid w:val="19825902"/>
    <w:rsid w:val="19A54BF8"/>
    <w:rsid w:val="19AC5F87"/>
    <w:rsid w:val="19B7492C"/>
    <w:rsid w:val="19D379B8"/>
    <w:rsid w:val="19D744CE"/>
    <w:rsid w:val="19D76D7C"/>
    <w:rsid w:val="19ED659F"/>
    <w:rsid w:val="19FD2C86"/>
    <w:rsid w:val="1A197394"/>
    <w:rsid w:val="1A366379"/>
    <w:rsid w:val="1A3D7527"/>
    <w:rsid w:val="1A424B3D"/>
    <w:rsid w:val="1A534654"/>
    <w:rsid w:val="1A55661F"/>
    <w:rsid w:val="1A5D3725"/>
    <w:rsid w:val="1A7016AA"/>
    <w:rsid w:val="1A710F7F"/>
    <w:rsid w:val="1A937147"/>
    <w:rsid w:val="1AB64BE3"/>
    <w:rsid w:val="1AB748A9"/>
    <w:rsid w:val="1AB772D9"/>
    <w:rsid w:val="1AE9320B"/>
    <w:rsid w:val="1AF44089"/>
    <w:rsid w:val="1AFE6CB6"/>
    <w:rsid w:val="1B041DF3"/>
    <w:rsid w:val="1B087B35"/>
    <w:rsid w:val="1B0E67CD"/>
    <w:rsid w:val="1B1D634E"/>
    <w:rsid w:val="1B46065D"/>
    <w:rsid w:val="1B8B6070"/>
    <w:rsid w:val="1B8D3B96"/>
    <w:rsid w:val="1B8F3DB2"/>
    <w:rsid w:val="1B9238A2"/>
    <w:rsid w:val="1B950C9D"/>
    <w:rsid w:val="1BA57132"/>
    <w:rsid w:val="1BB6133F"/>
    <w:rsid w:val="1BDB0DA5"/>
    <w:rsid w:val="1BE7774A"/>
    <w:rsid w:val="1BE834C2"/>
    <w:rsid w:val="1BF9747E"/>
    <w:rsid w:val="1C055E22"/>
    <w:rsid w:val="1C295FB5"/>
    <w:rsid w:val="1C5823F6"/>
    <w:rsid w:val="1C623275"/>
    <w:rsid w:val="1C6E39C8"/>
    <w:rsid w:val="1C7A236C"/>
    <w:rsid w:val="1C84143D"/>
    <w:rsid w:val="1CAC629E"/>
    <w:rsid w:val="1CAE2016"/>
    <w:rsid w:val="1CE65C54"/>
    <w:rsid w:val="1CEC2B3E"/>
    <w:rsid w:val="1CF77E61"/>
    <w:rsid w:val="1D0165EA"/>
    <w:rsid w:val="1D077978"/>
    <w:rsid w:val="1D081E29"/>
    <w:rsid w:val="1D4568CB"/>
    <w:rsid w:val="1D4F1A4B"/>
    <w:rsid w:val="1D725739"/>
    <w:rsid w:val="1D8316F5"/>
    <w:rsid w:val="1DB00010"/>
    <w:rsid w:val="1DB23D88"/>
    <w:rsid w:val="1DEB1048"/>
    <w:rsid w:val="1DEC54EC"/>
    <w:rsid w:val="1DFB128B"/>
    <w:rsid w:val="1E0565AE"/>
    <w:rsid w:val="1E0F2F88"/>
    <w:rsid w:val="1E0F4D36"/>
    <w:rsid w:val="1E34479D"/>
    <w:rsid w:val="1E37603B"/>
    <w:rsid w:val="1E4470D6"/>
    <w:rsid w:val="1E544E3F"/>
    <w:rsid w:val="1E6037E4"/>
    <w:rsid w:val="1E6A01BF"/>
    <w:rsid w:val="1E6D7CAF"/>
    <w:rsid w:val="1E71779F"/>
    <w:rsid w:val="1E7554E1"/>
    <w:rsid w:val="1E780B2E"/>
    <w:rsid w:val="1E7948A6"/>
    <w:rsid w:val="1E796654"/>
    <w:rsid w:val="1E933BB9"/>
    <w:rsid w:val="1E935967"/>
    <w:rsid w:val="1E9D0594"/>
    <w:rsid w:val="1EA307B4"/>
    <w:rsid w:val="1EBB6C6C"/>
    <w:rsid w:val="1EC024D4"/>
    <w:rsid w:val="1EDD3086"/>
    <w:rsid w:val="1EF74148"/>
    <w:rsid w:val="1F274302"/>
    <w:rsid w:val="1F3A2287"/>
    <w:rsid w:val="1F3F33F9"/>
    <w:rsid w:val="1F475CD4"/>
    <w:rsid w:val="1F7E2174"/>
    <w:rsid w:val="1F953961"/>
    <w:rsid w:val="1F973235"/>
    <w:rsid w:val="1F996FAD"/>
    <w:rsid w:val="1FA53BA4"/>
    <w:rsid w:val="1FFE5062"/>
    <w:rsid w:val="200F54C2"/>
    <w:rsid w:val="201725C8"/>
    <w:rsid w:val="201E3957"/>
    <w:rsid w:val="202A40A9"/>
    <w:rsid w:val="202F16C0"/>
    <w:rsid w:val="2052571F"/>
    <w:rsid w:val="205904EB"/>
    <w:rsid w:val="20745325"/>
    <w:rsid w:val="208539D6"/>
    <w:rsid w:val="20B47E17"/>
    <w:rsid w:val="20CE712B"/>
    <w:rsid w:val="20D109C9"/>
    <w:rsid w:val="210112AE"/>
    <w:rsid w:val="210E39CB"/>
    <w:rsid w:val="2117277B"/>
    <w:rsid w:val="211F34E2"/>
    <w:rsid w:val="212B632B"/>
    <w:rsid w:val="212C3E51"/>
    <w:rsid w:val="213A656E"/>
    <w:rsid w:val="21515666"/>
    <w:rsid w:val="215F7D83"/>
    <w:rsid w:val="21843C8D"/>
    <w:rsid w:val="21867A05"/>
    <w:rsid w:val="21893052"/>
    <w:rsid w:val="21902632"/>
    <w:rsid w:val="21B005DE"/>
    <w:rsid w:val="21BE719F"/>
    <w:rsid w:val="21CD1190"/>
    <w:rsid w:val="21D97B35"/>
    <w:rsid w:val="221B2F87"/>
    <w:rsid w:val="22244B28"/>
    <w:rsid w:val="22280ABD"/>
    <w:rsid w:val="222A213F"/>
    <w:rsid w:val="22350AE4"/>
    <w:rsid w:val="223631D9"/>
    <w:rsid w:val="223B259E"/>
    <w:rsid w:val="223C1E72"/>
    <w:rsid w:val="2241392C"/>
    <w:rsid w:val="227E06DD"/>
    <w:rsid w:val="227E692E"/>
    <w:rsid w:val="22995516"/>
    <w:rsid w:val="22A77C33"/>
    <w:rsid w:val="22CF0F38"/>
    <w:rsid w:val="22E75B32"/>
    <w:rsid w:val="22F15352"/>
    <w:rsid w:val="22F62969"/>
    <w:rsid w:val="23447230"/>
    <w:rsid w:val="234B4A63"/>
    <w:rsid w:val="23563407"/>
    <w:rsid w:val="23645B24"/>
    <w:rsid w:val="236847A0"/>
    <w:rsid w:val="237B69CA"/>
    <w:rsid w:val="238E2BA1"/>
    <w:rsid w:val="23955CDE"/>
    <w:rsid w:val="23A14683"/>
    <w:rsid w:val="23A235B1"/>
    <w:rsid w:val="23AD74CB"/>
    <w:rsid w:val="23AE4FF1"/>
    <w:rsid w:val="23BC14BC"/>
    <w:rsid w:val="23DF164F"/>
    <w:rsid w:val="23E32F6D"/>
    <w:rsid w:val="2403533D"/>
    <w:rsid w:val="244A6AC8"/>
    <w:rsid w:val="244B0A92"/>
    <w:rsid w:val="24637B8A"/>
    <w:rsid w:val="246D27B7"/>
    <w:rsid w:val="24A73F1B"/>
    <w:rsid w:val="24AB32DF"/>
    <w:rsid w:val="24B44889"/>
    <w:rsid w:val="24B6415E"/>
    <w:rsid w:val="24C34ACD"/>
    <w:rsid w:val="24C85C3F"/>
    <w:rsid w:val="24D64800"/>
    <w:rsid w:val="24F86524"/>
    <w:rsid w:val="24FA6740"/>
    <w:rsid w:val="250749D6"/>
    <w:rsid w:val="25205A7B"/>
    <w:rsid w:val="25276E09"/>
    <w:rsid w:val="252E63EA"/>
    <w:rsid w:val="254259F1"/>
    <w:rsid w:val="25981AB5"/>
    <w:rsid w:val="25F52A64"/>
    <w:rsid w:val="25FB45A8"/>
    <w:rsid w:val="26064C71"/>
    <w:rsid w:val="26143832"/>
    <w:rsid w:val="26211AAB"/>
    <w:rsid w:val="26690551"/>
    <w:rsid w:val="26802C75"/>
    <w:rsid w:val="26994A1F"/>
    <w:rsid w:val="26995AE5"/>
    <w:rsid w:val="26AC0ACC"/>
    <w:rsid w:val="26CF1507"/>
    <w:rsid w:val="26DB434F"/>
    <w:rsid w:val="26E86A6C"/>
    <w:rsid w:val="26ED7BDF"/>
    <w:rsid w:val="27076EF2"/>
    <w:rsid w:val="270A69E3"/>
    <w:rsid w:val="27207FB4"/>
    <w:rsid w:val="27271343"/>
    <w:rsid w:val="272730F1"/>
    <w:rsid w:val="27316915"/>
    <w:rsid w:val="273B4DEE"/>
    <w:rsid w:val="27483067"/>
    <w:rsid w:val="27700540"/>
    <w:rsid w:val="278E3170"/>
    <w:rsid w:val="279B3ADF"/>
    <w:rsid w:val="279D44C4"/>
    <w:rsid w:val="27A3381C"/>
    <w:rsid w:val="27C6290A"/>
    <w:rsid w:val="27DF1C1D"/>
    <w:rsid w:val="27E15995"/>
    <w:rsid w:val="27E965F8"/>
    <w:rsid w:val="27EE00B2"/>
    <w:rsid w:val="28072F22"/>
    <w:rsid w:val="280B2A12"/>
    <w:rsid w:val="28277120"/>
    <w:rsid w:val="28292E99"/>
    <w:rsid w:val="284952E9"/>
    <w:rsid w:val="2852419D"/>
    <w:rsid w:val="285C326E"/>
    <w:rsid w:val="285F68BA"/>
    <w:rsid w:val="28612632"/>
    <w:rsid w:val="28687E65"/>
    <w:rsid w:val="286B525F"/>
    <w:rsid w:val="28757E8C"/>
    <w:rsid w:val="28814A83"/>
    <w:rsid w:val="28844573"/>
    <w:rsid w:val="28887BBF"/>
    <w:rsid w:val="28AB1AFF"/>
    <w:rsid w:val="28B46C06"/>
    <w:rsid w:val="28BA1D43"/>
    <w:rsid w:val="28DC615D"/>
    <w:rsid w:val="28DE3C83"/>
    <w:rsid w:val="28E079FB"/>
    <w:rsid w:val="28F416F8"/>
    <w:rsid w:val="28FB4835"/>
    <w:rsid w:val="28FE60D3"/>
    <w:rsid w:val="29037B8D"/>
    <w:rsid w:val="291D0C4F"/>
    <w:rsid w:val="29345F99"/>
    <w:rsid w:val="29361D11"/>
    <w:rsid w:val="294361DC"/>
    <w:rsid w:val="29514455"/>
    <w:rsid w:val="29600B3C"/>
    <w:rsid w:val="2973086F"/>
    <w:rsid w:val="2976210D"/>
    <w:rsid w:val="29824F56"/>
    <w:rsid w:val="2987256D"/>
    <w:rsid w:val="29883BEF"/>
    <w:rsid w:val="299B1B74"/>
    <w:rsid w:val="29A273A6"/>
    <w:rsid w:val="29B64C00"/>
    <w:rsid w:val="29CE5AA6"/>
    <w:rsid w:val="29EF3C6E"/>
    <w:rsid w:val="29F6324E"/>
    <w:rsid w:val="2A0C2A72"/>
    <w:rsid w:val="2A0D050F"/>
    <w:rsid w:val="2A1D6A2D"/>
    <w:rsid w:val="2A2B114A"/>
    <w:rsid w:val="2A314286"/>
    <w:rsid w:val="2A506E02"/>
    <w:rsid w:val="2A510485"/>
    <w:rsid w:val="2A6B1546"/>
    <w:rsid w:val="2A6D3510"/>
    <w:rsid w:val="2A701253"/>
    <w:rsid w:val="2AB23619"/>
    <w:rsid w:val="2AB70C30"/>
    <w:rsid w:val="2AEC6B2B"/>
    <w:rsid w:val="2AF7102C"/>
    <w:rsid w:val="2AFA0B1C"/>
    <w:rsid w:val="2B0674C1"/>
    <w:rsid w:val="2B084FE7"/>
    <w:rsid w:val="2B116592"/>
    <w:rsid w:val="2B14398C"/>
    <w:rsid w:val="2B177920"/>
    <w:rsid w:val="2B195446"/>
    <w:rsid w:val="2B231E21"/>
    <w:rsid w:val="2B6E5792"/>
    <w:rsid w:val="2B6F5066"/>
    <w:rsid w:val="2B786611"/>
    <w:rsid w:val="2B7D7783"/>
    <w:rsid w:val="2B85488A"/>
    <w:rsid w:val="2BC453B2"/>
    <w:rsid w:val="2BDF21EC"/>
    <w:rsid w:val="2BF8505C"/>
    <w:rsid w:val="2BFD08C4"/>
    <w:rsid w:val="2BFD2672"/>
    <w:rsid w:val="2C016606"/>
    <w:rsid w:val="2C071743"/>
    <w:rsid w:val="2C1125C1"/>
    <w:rsid w:val="2C3F712F"/>
    <w:rsid w:val="2C464019"/>
    <w:rsid w:val="2C493B09"/>
    <w:rsid w:val="2C4D184B"/>
    <w:rsid w:val="2C680433"/>
    <w:rsid w:val="2CB90C8F"/>
    <w:rsid w:val="2CDA29B3"/>
    <w:rsid w:val="2CDE24A4"/>
    <w:rsid w:val="2CF9552F"/>
    <w:rsid w:val="2D0A14EA"/>
    <w:rsid w:val="2D1161A8"/>
    <w:rsid w:val="2D214A86"/>
    <w:rsid w:val="2D2D51D9"/>
    <w:rsid w:val="2D60110A"/>
    <w:rsid w:val="2D6A1F89"/>
    <w:rsid w:val="2D9B65E7"/>
    <w:rsid w:val="2DA90D03"/>
    <w:rsid w:val="2DB66F7C"/>
    <w:rsid w:val="2DBB4593"/>
    <w:rsid w:val="2DD218DC"/>
    <w:rsid w:val="2DD65871"/>
    <w:rsid w:val="2DD83397"/>
    <w:rsid w:val="2DEC299E"/>
    <w:rsid w:val="2E020414"/>
    <w:rsid w:val="2E0A72C8"/>
    <w:rsid w:val="2E1B3283"/>
    <w:rsid w:val="2E254102"/>
    <w:rsid w:val="2E4427DA"/>
    <w:rsid w:val="2E456552"/>
    <w:rsid w:val="2E532A1D"/>
    <w:rsid w:val="2E60513A"/>
    <w:rsid w:val="2E6609A2"/>
    <w:rsid w:val="2E67471B"/>
    <w:rsid w:val="2EA15E7F"/>
    <w:rsid w:val="2EA27501"/>
    <w:rsid w:val="2EA8720D"/>
    <w:rsid w:val="2EE63891"/>
    <w:rsid w:val="2EF57F78"/>
    <w:rsid w:val="2EFC4E63"/>
    <w:rsid w:val="2F0A3A24"/>
    <w:rsid w:val="2F1A178D"/>
    <w:rsid w:val="2F3E191F"/>
    <w:rsid w:val="2F5527C5"/>
    <w:rsid w:val="2F666780"/>
    <w:rsid w:val="2F6F7D2B"/>
    <w:rsid w:val="2F8F5CD7"/>
    <w:rsid w:val="2F9652B7"/>
    <w:rsid w:val="2F996B56"/>
    <w:rsid w:val="2FA5374C"/>
    <w:rsid w:val="2FCC2A87"/>
    <w:rsid w:val="2FDE27BA"/>
    <w:rsid w:val="2FE029D7"/>
    <w:rsid w:val="2FF7387C"/>
    <w:rsid w:val="2FFD70E5"/>
    <w:rsid w:val="300C557A"/>
    <w:rsid w:val="30185CCC"/>
    <w:rsid w:val="30201025"/>
    <w:rsid w:val="30302C02"/>
    <w:rsid w:val="30313232"/>
    <w:rsid w:val="305D7B83"/>
    <w:rsid w:val="306233EC"/>
    <w:rsid w:val="306727B0"/>
    <w:rsid w:val="30890978"/>
    <w:rsid w:val="30977539"/>
    <w:rsid w:val="30B009C8"/>
    <w:rsid w:val="30C65728"/>
    <w:rsid w:val="30C96FC7"/>
    <w:rsid w:val="30D51E0F"/>
    <w:rsid w:val="30D77936"/>
    <w:rsid w:val="30DD0CC4"/>
    <w:rsid w:val="30F46739"/>
    <w:rsid w:val="3102072B"/>
    <w:rsid w:val="31295CB7"/>
    <w:rsid w:val="31307046"/>
    <w:rsid w:val="31411253"/>
    <w:rsid w:val="31623B36"/>
    <w:rsid w:val="31A35A6A"/>
    <w:rsid w:val="31AD4B3A"/>
    <w:rsid w:val="31BB139D"/>
    <w:rsid w:val="31C3435E"/>
    <w:rsid w:val="31C679AA"/>
    <w:rsid w:val="31D245A1"/>
    <w:rsid w:val="31D2634F"/>
    <w:rsid w:val="32026C34"/>
    <w:rsid w:val="32056724"/>
    <w:rsid w:val="32144BB9"/>
    <w:rsid w:val="32236BAB"/>
    <w:rsid w:val="3234700A"/>
    <w:rsid w:val="3239017C"/>
    <w:rsid w:val="326A47D9"/>
    <w:rsid w:val="327D4380"/>
    <w:rsid w:val="327D450D"/>
    <w:rsid w:val="32803FFD"/>
    <w:rsid w:val="329B4993"/>
    <w:rsid w:val="32A221C5"/>
    <w:rsid w:val="32A22F3B"/>
    <w:rsid w:val="32AC6BA0"/>
    <w:rsid w:val="32C57C62"/>
    <w:rsid w:val="32DE1F01"/>
    <w:rsid w:val="32DF0D23"/>
    <w:rsid w:val="32F02F31"/>
    <w:rsid w:val="32FF13C6"/>
    <w:rsid w:val="33042538"/>
    <w:rsid w:val="332901F1"/>
    <w:rsid w:val="333D5A4A"/>
    <w:rsid w:val="334B63B9"/>
    <w:rsid w:val="335F1E64"/>
    <w:rsid w:val="33896EE1"/>
    <w:rsid w:val="33997124"/>
    <w:rsid w:val="33BA52ED"/>
    <w:rsid w:val="33BC2E13"/>
    <w:rsid w:val="33C57F19"/>
    <w:rsid w:val="33C85C5B"/>
    <w:rsid w:val="33DE0FDB"/>
    <w:rsid w:val="33E61958"/>
    <w:rsid w:val="34036C94"/>
    <w:rsid w:val="340437F6"/>
    <w:rsid w:val="34050C5E"/>
    <w:rsid w:val="342C61EA"/>
    <w:rsid w:val="34433534"/>
    <w:rsid w:val="34496D9C"/>
    <w:rsid w:val="345E211C"/>
    <w:rsid w:val="34621C0C"/>
    <w:rsid w:val="348576A9"/>
    <w:rsid w:val="34BB30CA"/>
    <w:rsid w:val="34C44675"/>
    <w:rsid w:val="34C71A6F"/>
    <w:rsid w:val="34E40873"/>
    <w:rsid w:val="34EF0FC6"/>
    <w:rsid w:val="34FA62E8"/>
    <w:rsid w:val="35132F06"/>
    <w:rsid w:val="351A24E7"/>
    <w:rsid w:val="353C245D"/>
    <w:rsid w:val="353F2EFD"/>
    <w:rsid w:val="35527ED3"/>
    <w:rsid w:val="355D66C9"/>
    <w:rsid w:val="356D6ABA"/>
    <w:rsid w:val="3570514C"/>
    <w:rsid w:val="35906305"/>
    <w:rsid w:val="35973B37"/>
    <w:rsid w:val="35A65B28"/>
    <w:rsid w:val="35C661CB"/>
    <w:rsid w:val="35CA1547"/>
    <w:rsid w:val="35CE6E2D"/>
    <w:rsid w:val="35D2691D"/>
    <w:rsid w:val="35D97CAC"/>
    <w:rsid w:val="35FC7E3E"/>
    <w:rsid w:val="36140CE4"/>
    <w:rsid w:val="3623361D"/>
    <w:rsid w:val="365657A0"/>
    <w:rsid w:val="366A2FFA"/>
    <w:rsid w:val="367479D5"/>
    <w:rsid w:val="368045CB"/>
    <w:rsid w:val="3687595A"/>
    <w:rsid w:val="36D668E1"/>
    <w:rsid w:val="36DB5CA6"/>
    <w:rsid w:val="3710594F"/>
    <w:rsid w:val="37321D6A"/>
    <w:rsid w:val="37344CA9"/>
    <w:rsid w:val="37557806"/>
    <w:rsid w:val="376E2676"/>
    <w:rsid w:val="377203B8"/>
    <w:rsid w:val="37A147F9"/>
    <w:rsid w:val="37BA58BB"/>
    <w:rsid w:val="37BE184F"/>
    <w:rsid w:val="37BF2ED1"/>
    <w:rsid w:val="37D83F93"/>
    <w:rsid w:val="37E33064"/>
    <w:rsid w:val="37FC2378"/>
    <w:rsid w:val="38084878"/>
    <w:rsid w:val="3828316D"/>
    <w:rsid w:val="382B0567"/>
    <w:rsid w:val="3862667F"/>
    <w:rsid w:val="38637D01"/>
    <w:rsid w:val="386F48F8"/>
    <w:rsid w:val="38741F0E"/>
    <w:rsid w:val="38795776"/>
    <w:rsid w:val="38C61316"/>
    <w:rsid w:val="38E057F5"/>
    <w:rsid w:val="38FF56AB"/>
    <w:rsid w:val="390E4110"/>
    <w:rsid w:val="39162FC5"/>
    <w:rsid w:val="39184F8F"/>
    <w:rsid w:val="39205782"/>
    <w:rsid w:val="392A6A70"/>
    <w:rsid w:val="395A7356"/>
    <w:rsid w:val="395B2F0D"/>
    <w:rsid w:val="39987E7E"/>
    <w:rsid w:val="39A44A75"/>
    <w:rsid w:val="39A86313"/>
    <w:rsid w:val="39AD1B7B"/>
    <w:rsid w:val="39B60304"/>
    <w:rsid w:val="39B83504"/>
    <w:rsid w:val="39C15B2A"/>
    <w:rsid w:val="39C46EC5"/>
    <w:rsid w:val="39D709A6"/>
    <w:rsid w:val="39D92970"/>
    <w:rsid w:val="39E82BB3"/>
    <w:rsid w:val="39FE23D7"/>
    <w:rsid w:val="3A06303A"/>
    <w:rsid w:val="3A137505"/>
    <w:rsid w:val="3A282FB0"/>
    <w:rsid w:val="3A2B2AA0"/>
    <w:rsid w:val="3A345DF9"/>
    <w:rsid w:val="3A3758E9"/>
    <w:rsid w:val="3A4B4EF0"/>
    <w:rsid w:val="3A555D6F"/>
    <w:rsid w:val="3A575643"/>
    <w:rsid w:val="3A5E69D2"/>
    <w:rsid w:val="3A63223A"/>
    <w:rsid w:val="3A695377"/>
    <w:rsid w:val="3A704957"/>
    <w:rsid w:val="3A7B57D6"/>
    <w:rsid w:val="3A7C32FC"/>
    <w:rsid w:val="3A865F28"/>
    <w:rsid w:val="3A8B75BA"/>
    <w:rsid w:val="3AAD1707"/>
    <w:rsid w:val="3AAF547F"/>
    <w:rsid w:val="3AB24F6F"/>
    <w:rsid w:val="3AB40CE8"/>
    <w:rsid w:val="3ABD5C6F"/>
    <w:rsid w:val="3AD2116E"/>
    <w:rsid w:val="3AEB5AA7"/>
    <w:rsid w:val="3AF235BE"/>
    <w:rsid w:val="3B117EE8"/>
    <w:rsid w:val="3B183024"/>
    <w:rsid w:val="3B1A3241"/>
    <w:rsid w:val="3B4200A1"/>
    <w:rsid w:val="3B514788"/>
    <w:rsid w:val="3B702E61"/>
    <w:rsid w:val="3B750477"/>
    <w:rsid w:val="3B950B19"/>
    <w:rsid w:val="3B9C1EA7"/>
    <w:rsid w:val="3BAC5E63"/>
    <w:rsid w:val="3BB03938"/>
    <w:rsid w:val="3BDB4052"/>
    <w:rsid w:val="3BDF1D94"/>
    <w:rsid w:val="3BEE647B"/>
    <w:rsid w:val="3BF03FA1"/>
    <w:rsid w:val="3BF13876"/>
    <w:rsid w:val="3C236125"/>
    <w:rsid w:val="3C2D2B00"/>
    <w:rsid w:val="3C2F4ACA"/>
    <w:rsid w:val="3C4936B2"/>
    <w:rsid w:val="3C4D4F50"/>
    <w:rsid w:val="3C5F6A31"/>
    <w:rsid w:val="3C746980"/>
    <w:rsid w:val="3C812E4B"/>
    <w:rsid w:val="3C940DD1"/>
    <w:rsid w:val="3CCA65A0"/>
    <w:rsid w:val="3D1617E6"/>
    <w:rsid w:val="3D1B607F"/>
    <w:rsid w:val="3D6407A3"/>
    <w:rsid w:val="3D6469F5"/>
    <w:rsid w:val="3D993E1E"/>
    <w:rsid w:val="3DB039E8"/>
    <w:rsid w:val="3DC47494"/>
    <w:rsid w:val="3DD13FDF"/>
    <w:rsid w:val="3DDF607B"/>
    <w:rsid w:val="3E043D34"/>
    <w:rsid w:val="3E09759C"/>
    <w:rsid w:val="3E0B0C1F"/>
    <w:rsid w:val="3E1675C3"/>
    <w:rsid w:val="3E261FF6"/>
    <w:rsid w:val="3E542365"/>
    <w:rsid w:val="3E772758"/>
    <w:rsid w:val="3EC534C3"/>
    <w:rsid w:val="3EDF3E59"/>
    <w:rsid w:val="3EE85404"/>
    <w:rsid w:val="3EEC6CA2"/>
    <w:rsid w:val="3F1B30E3"/>
    <w:rsid w:val="3F36616F"/>
    <w:rsid w:val="3F4F5483"/>
    <w:rsid w:val="3F6820A1"/>
    <w:rsid w:val="3F6A406B"/>
    <w:rsid w:val="3F823162"/>
    <w:rsid w:val="3F966C0E"/>
    <w:rsid w:val="3F977E85"/>
    <w:rsid w:val="3F9B4224"/>
    <w:rsid w:val="3FAA26B9"/>
    <w:rsid w:val="3FB157F6"/>
    <w:rsid w:val="3FBB0422"/>
    <w:rsid w:val="3FBB6674"/>
    <w:rsid w:val="3FF80758"/>
    <w:rsid w:val="3FFB2F15"/>
    <w:rsid w:val="400E0E9A"/>
    <w:rsid w:val="401D10DD"/>
    <w:rsid w:val="40297A82"/>
    <w:rsid w:val="40477F08"/>
    <w:rsid w:val="4061721C"/>
    <w:rsid w:val="40694322"/>
    <w:rsid w:val="406C796F"/>
    <w:rsid w:val="406E7B8B"/>
    <w:rsid w:val="407C22A8"/>
    <w:rsid w:val="40866C82"/>
    <w:rsid w:val="40FA31CC"/>
    <w:rsid w:val="4105404B"/>
    <w:rsid w:val="410D2F00"/>
    <w:rsid w:val="4110479E"/>
    <w:rsid w:val="41210759"/>
    <w:rsid w:val="412D5350"/>
    <w:rsid w:val="41391F47"/>
    <w:rsid w:val="41393CF5"/>
    <w:rsid w:val="41850CE8"/>
    <w:rsid w:val="41AA2E44"/>
    <w:rsid w:val="41B15F81"/>
    <w:rsid w:val="41BA3087"/>
    <w:rsid w:val="41C21F3C"/>
    <w:rsid w:val="41DE44D4"/>
    <w:rsid w:val="41DF489C"/>
    <w:rsid w:val="41EA3241"/>
    <w:rsid w:val="41EC520B"/>
    <w:rsid w:val="42537038"/>
    <w:rsid w:val="42725710"/>
    <w:rsid w:val="427D40B5"/>
    <w:rsid w:val="427E2307"/>
    <w:rsid w:val="42884F34"/>
    <w:rsid w:val="429C453B"/>
    <w:rsid w:val="42B21FB1"/>
    <w:rsid w:val="42F0076D"/>
    <w:rsid w:val="42FF2D1C"/>
    <w:rsid w:val="43086074"/>
    <w:rsid w:val="432602A9"/>
    <w:rsid w:val="432D1637"/>
    <w:rsid w:val="434D3A87"/>
    <w:rsid w:val="435C016E"/>
    <w:rsid w:val="436A288B"/>
    <w:rsid w:val="43784FA8"/>
    <w:rsid w:val="439B0C97"/>
    <w:rsid w:val="439E0787"/>
    <w:rsid w:val="43A15B81"/>
    <w:rsid w:val="43AF4742"/>
    <w:rsid w:val="43BE4985"/>
    <w:rsid w:val="43C875B2"/>
    <w:rsid w:val="43EA577A"/>
    <w:rsid w:val="4416031D"/>
    <w:rsid w:val="445A0F7D"/>
    <w:rsid w:val="4464552C"/>
    <w:rsid w:val="447F5EC2"/>
    <w:rsid w:val="44803D71"/>
    <w:rsid w:val="44893BAC"/>
    <w:rsid w:val="449556E6"/>
    <w:rsid w:val="44B30262"/>
    <w:rsid w:val="44BA339E"/>
    <w:rsid w:val="44BC7116"/>
    <w:rsid w:val="44CB735A"/>
    <w:rsid w:val="44DA57EF"/>
    <w:rsid w:val="44E1092B"/>
    <w:rsid w:val="44E421C9"/>
    <w:rsid w:val="44EB79FC"/>
    <w:rsid w:val="44EE4DF6"/>
    <w:rsid w:val="4513485D"/>
    <w:rsid w:val="4517434D"/>
    <w:rsid w:val="45390767"/>
    <w:rsid w:val="457479F1"/>
    <w:rsid w:val="4582210E"/>
    <w:rsid w:val="458319E2"/>
    <w:rsid w:val="458539AC"/>
    <w:rsid w:val="459040FF"/>
    <w:rsid w:val="45967968"/>
    <w:rsid w:val="45991206"/>
    <w:rsid w:val="45992FB4"/>
    <w:rsid w:val="45A222D1"/>
    <w:rsid w:val="45C02C36"/>
    <w:rsid w:val="45EA7CB3"/>
    <w:rsid w:val="45EE77A4"/>
    <w:rsid w:val="4605689B"/>
    <w:rsid w:val="460D74FE"/>
    <w:rsid w:val="46132D66"/>
    <w:rsid w:val="462813AD"/>
    <w:rsid w:val="4629258A"/>
    <w:rsid w:val="462A4554"/>
    <w:rsid w:val="462F1B6A"/>
    <w:rsid w:val="46445615"/>
    <w:rsid w:val="46623CEE"/>
    <w:rsid w:val="46853538"/>
    <w:rsid w:val="468974CC"/>
    <w:rsid w:val="469C7200"/>
    <w:rsid w:val="469F45FA"/>
    <w:rsid w:val="46E82445"/>
    <w:rsid w:val="46E97F6B"/>
    <w:rsid w:val="46F25071"/>
    <w:rsid w:val="46F801AE"/>
    <w:rsid w:val="470923BB"/>
    <w:rsid w:val="471A6376"/>
    <w:rsid w:val="47217705"/>
    <w:rsid w:val="472D42FC"/>
    <w:rsid w:val="473F7B8B"/>
    <w:rsid w:val="474433F3"/>
    <w:rsid w:val="477041E8"/>
    <w:rsid w:val="478A7058"/>
    <w:rsid w:val="479B1265"/>
    <w:rsid w:val="47B73BC5"/>
    <w:rsid w:val="47B916EB"/>
    <w:rsid w:val="47C85DD2"/>
    <w:rsid w:val="47EA334F"/>
    <w:rsid w:val="47EF7803"/>
    <w:rsid w:val="47FE35A2"/>
    <w:rsid w:val="481728B6"/>
    <w:rsid w:val="48384D06"/>
    <w:rsid w:val="483B2A48"/>
    <w:rsid w:val="485E2293"/>
    <w:rsid w:val="486D028E"/>
    <w:rsid w:val="48757D08"/>
    <w:rsid w:val="487D096B"/>
    <w:rsid w:val="4880045B"/>
    <w:rsid w:val="48A04659"/>
    <w:rsid w:val="48A979B2"/>
    <w:rsid w:val="48B14AB8"/>
    <w:rsid w:val="48C20A74"/>
    <w:rsid w:val="48F549A5"/>
    <w:rsid w:val="49066BB2"/>
    <w:rsid w:val="49276B29"/>
    <w:rsid w:val="494616A5"/>
    <w:rsid w:val="494871CB"/>
    <w:rsid w:val="495E079C"/>
    <w:rsid w:val="4977185E"/>
    <w:rsid w:val="499A554C"/>
    <w:rsid w:val="499F2B63"/>
    <w:rsid w:val="49B20AE8"/>
    <w:rsid w:val="49BA174B"/>
    <w:rsid w:val="49D56585"/>
    <w:rsid w:val="49E669E4"/>
    <w:rsid w:val="49EB5DA8"/>
    <w:rsid w:val="49EB7B56"/>
    <w:rsid w:val="4A084BAC"/>
    <w:rsid w:val="4A1277D9"/>
    <w:rsid w:val="4A1470AD"/>
    <w:rsid w:val="4A174DEF"/>
    <w:rsid w:val="4A280DAA"/>
    <w:rsid w:val="4A2C089A"/>
    <w:rsid w:val="4A4060F4"/>
    <w:rsid w:val="4A694868"/>
    <w:rsid w:val="4A7F4E6E"/>
    <w:rsid w:val="4A871F75"/>
    <w:rsid w:val="4AA2290B"/>
    <w:rsid w:val="4AB16FF2"/>
    <w:rsid w:val="4AB4263E"/>
    <w:rsid w:val="4AB8212E"/>
    <w:rsid w:val="4AC05487"/>
    <w:rsid w:val="4ACC3E2B"/>
    <w:rsid w:val="4AD056CA"/>
    <w:rsid w:val="4ADD3943"/>
    <w:rsid w:val="4ADD7DE7"/>
    <w:rsid w:val="4B3317B5"/>
    <w:rsid w:val="4B335C59"/>
    <w:rsid w:val="4B5A1437"/>
    <w:rsid w:val="4B63653E"/>
    <w:rsid w:val="4B6E6C91"/>
    <w:rsid w:val="4B766A70"/>
    <w:rsid w:val="4B8169C4"/>
    <w:rsid w:val="4B842010"/>
    <w:rsid w:val="4BB87D7E"/>
    <w:rsid w:val="4BC13264"/>
    <w:rsid w:val="4BD9235C"/>
    <w:rsid w:val="4BE34F89"/>
    <w:rsid w:val="4BEC797C"/>
    <w:rsid w:val="4C0C0983"/>
    <w:rsid w:val="4C0F2222"/>
    <w:rsid w:val="4C121D12"/>
    <w:rsid w:val="4C2757BD"/>
    <w:rsid w:val="4C3E2B07"/>
    <w:rsid w:val="4C4023DB"/>
    <w:rsid w:val="4C4243A5"/>
    <w:rsid w:val="4C6A7458"/>
    <w:rsid w:val="4C7622A1"/>
    <w:rsid w:val="4C793B3F"/>
    <w:rsid w:val="4C83051A"/>
    <w:rsid w:val="4CAD5597"/>
    <w:rsid w:val="4CC36B68"/>
    <w:rsid w:val="4CE23492"/>
    <w:rsid w:val="4CEC60BF"/>
    <w:rsid w:val="4CFF4044"/>
    <w:rsid w:val="4D0A29E9"/>
    <w:rsid w:val="4D330192"/>
    <w:rsid w:val="4D5819A6"/>
    <w:rsid w:val="4D64241B"/>
    <w:rsid w:val="4D6C7200"/>
    <w:rsid w:val="4D6E11CA"/>
    <w:rsid w:val="4D785BA5"/>
    <w:rsid w:val="4D7A7B6F"/>
    <w:rsid w:val="4DBF37D4"/>
    <w:rsid w:val="4DDC25D7"/>
    <w:rsid w:val="4DFC0584"/>
    <w:rsid w:val="4E1E04FA"/>
    <w:rsid w:val="4E2B0E69"/>
    <w:rsid w:val="4E2F0959"/>
    <w:rsid w:val="4E393586"/>
    <w:rsid w:val="4E434405"/>
    <w:rsid w:val="4E47556D"/>
    <w:rsid w:val="4E4D5283"/>
    <w:rsid w:val="4E854A1D"/>
    <w:rsid w:val="4E9702AC"/>
    <w:rsid w:val="4E9C58C3"/>
    <w:rsid w:val="4EB946C7"/>
    <w:rsid w:val="4EC07803"/>
    <w:rsid w:val="4EC866B8"/>
    <w:rsid w:val="4ECA68D4"/>
    <w:rsid w:val="4ED908C5"/>
    <w:rsid w:val="4EE334F2"/>
    <w:rsid w:val="4EF676C9"/>
    <w:rsid w:val="4F05790C"/>
    <w:rsid w:val="4F0A4F22"/>
    <w:rsid w:val="4F147B4F"/>
    <w:rsid w:val="4F2A1998"/>
    <w:rsid w:val="4F400944"/>
    <w:rsid w:val="4F4421E2"/>
    <w:rsid w:val="4F5166AD"/>
    <w:rsid w:val="4F730D1A"/>
    <w:rsid w:val="4F8D1DDB"/>
    <w:rsid w:val="4FBA4253"/>
    <w:rsid w:val="4FC275AB"/>
    <w:rsid w:val="4FD23C92"/>
    <w:rsid w:val="4FD74E04"/>
    <w:rsid w:val="50146059"/>
    <w:rsid w:val="502F4C40"/>
    <w:rsid w:val="50A54F03"/>
    <w:rsid w:val="50B60AA4"/>
    <w:rsid w:val="50CF1F80"/>
    <w:rsid w:val="50E0418D"/>
    <w:rsid w:val="50F17AAA"/>
    <w:rsid w:val="50FE0AB7"/>
    <w:rsid w:val="511931FB"/>
    <w:rsid w:val="512A1768"/>
    <w:rsid w:val="514A5AAA"/>
    <w:rsid w:val="51B11685"/>
    <w:rsid w:val="51B15B29"/>
    <w:rsid w:val="51B66C9C"/>
    <w:rsid w:val="51CD2963"/>
    <w:rsid w:val="51F54E50"/>
    <w:rsid w:val="52214A5D"/>
    <w:rsid w:val="52304CA0"/>
    <w:rsid w:val="52416EAD"/>
    <w:rsid w:val="527C7EE5"/>
    <w:rsid w:val="52833022"/>
    <w:rsid w:val="52A2637D"/>
    <w:rsid w:val="52A762F3"/>
    <w:rsid w:val="52B61649"/>
    <w:rsid w:val="52BC29D7"/>
    <w:rsid w:val="52D65847"/>
    <w:rsid w:val="52DD4E28"/>
    <w:rsid w:val="52E02222"/>
    <w:rsid w:val="52F43F1F"/>
    <w:rsid w:val="52FC2DD4"/>
    <w:rsid w:val="53081572"/>
    <w:rsid w:val="53316F22"/>
    <w:rsid w:val="53397B84"/>
    <w:rsid w:val="533D7674"/>
    <w:rsid w:val="534A1D91"/>
    <w:rsid w:val="534E7AD3"/>
    <w:rsid w:val="535D3873"/>
    <w:rsid w:val="53640E6B"/>
    <w:rsid w:val="53656BCB"/>
    <w:rsid w:val="53803A05"/>
    <w:rsid w:val="538928BA"/>
    <w:rsid w:val="539D6365"/>
    <w:rsid w:val="53A45945"/>
    <w:rsid w:val="53CB1124"/>
    <w:rsid w:val="53D8114B"/>
    <w:rsid w:val="53EE6BC1"/>
    <w:rsid w:val="541F321E"/>
    <w:rsid w:val="54212AF2"/>
    <w:rsid w:val="54272352"/>
    <w:rsid w:val="54774E08"/>
    <w:rsid w:val="54890697"/>
    <w:rsid w:val="54A92AE8"/>
    <w:rsid w:val="54BC0A6D"/>
    <w:rsid w:val="54BF6A11"/>
    <w:rsid w:val="55012924"/>
    <w:rsid w:val="5507618C"/>
    <w:rsid w:val="551C08B3"/>
    <w:rsid w:val="558C48E3"/>
    <w:rsid w:val="55A03EEB"/>
    <w:rsid w:val="55AA6B17"/>
    <w:rsid w:val="55B41744"/>
    <w:rsid w:val="55B6522E"/>
    <w:rsid w:val="55C20305"/>
    <w:rsid w:val="55DB13C7"/>
    <w:rsid w:val="55F32F4C"/>
    <w:rsid w:val="56095F34"/>
    <w:rsid w:val="560B1CAC"/>
    <w:rsid w:val="561D378D"/>
    <w:rsid w:val="5621327D"/>
    <w:rsid w:val="564725B8"/>
    <w:rsid w:val="565D3B8A"/>
    <w:rsid w:val="567535C9"/>
    <w:rsid w:val="56815ACA"/>
    <w:rsid w:val="56892BD1"/>
    <w:rsid w:val="56AB6FEB"/>
    <w:rsid w:val="56F3629C"/>
    <w:rsid w:val="56F40992"/>
    <w:rsid w:val="56FE536D"/>
    <w:rsid w:val="57212E09"/>
    <w:rsid w:val="572648C3"/>
    <w:rsid w:val="57284198"/>
    <w:rsid w:val="572D17AE"/>
    <w:rsid w:val="575B456D"/>
    <w:rsid w:val="577D2735"/>
    <w:rsid w:val="57875362"/>
    <w:rsid w:val="5789732C"/>
    <w:rsid w:val="57A9177C"/>
    <w:rsid w:val="57B40121"/>
    <w:rsid w:val="57E13CBE"/>
    <w:rsid w:val="57E63DAD"/>
    <w:rsid w:val="57EC3417"/>
    <w:rsid w:val="57FB18AC"/>
    <w:rsid w:val="57FE314A"/>
    <w:rsid w:val="58006EC2"/>
    <w:rsid w:val="580544D9"/>
    <w:rsid w:val="5814296E"/>
    <w:rsid w:val="58354DBE"/>
    <w:rsid w:val="58906498"/>
    <w:rsid w:val="58AA172A"/>
    <w:rsid w:val="58D72319"/>
    <w:rsid w:val="58DF11CE"/>
    <w:rsid w:val="58F5454D"/>
    <w:rsid w:val="591470C9"/>
    <w:rsid w:val="59205A6E"/>
    <w:rsid w:val="59411541"/>
    <w:rsid w:val="5947124D"/>
    <w:rsid w:val="59484FC5"/>
    <w:rsid w:val="596D4A2C"/>
    <w:rsid w:val="5975743C"/>
    <w:rsid w:val="5976568E"/>
    <w:rsid w:val="597731B4"/>
    <w:rsid w:val="59822285"/>
    <w:rsid w:val="598F6750"/>
    <w:rsid w:val="59C363FA"/>
    <w:rsid w:val="59DD74BB"/>
    <w:rsid w:val="59E940B2"/>
    <w:rsid w:val="59F82547"/>
    <w:rsid w:val="5A1153B7"/>
    <w:rsid w:val="5A6E0A5B"/>
    <w:rsid w:val="5A7F67C4"/>
    <w:rsid w:val="5A8913F1"/>
    <w:rsid w:val="5A8F01C0"/>
    <w:rsid w:val="5A9D6C4B"/>
    <w:rsid w:val="5ABB5323"/>
    <w:rsid w:val="5AE96334"/>
    <w:rsid w:val="5B04316E"/>
    <w:rsid w:val="5B092532"/>
    <w:rsid w:val="5B21787C"/>
    <w:rsid w:val="5B2D4472"/>
    <w:rsid w:val="5B345801"/>
    <w:rsid w:val="5B3475AF"/>
    <w:rsid w:val="5B557525"/>
    <w:rsid w:val="5B6C02A2"/>
    <w:rsid w:val="5B721E85"/>
    <w:rsid w:val="5B745BFD"/>
    <w:rsid w:val="5B977B3E"/>
    <w:rsid w:val="5BA2173C"/>
    <w:rsid w:val="5BDB3ECE"/>
    <w:rsid w:val="5BE25396"/>
    <w:rsid w:val="5C104619"/>
    <w:rsid w:val="5C127B1C"/>
    <w:rsid w:val="5C13269F"/>
    <w:rsid w:val="5C3929A3"/>
    <w:rsid w:val="5C3A6E47"/>
    <w:rsid w:val="5C563555"/>
    <w:rsid w:val="5C5A1297"/>
    <w:rsid w:val="5C675762"/>
    <w:rsid w:val="5C6914DA"/>
    <w:rsid w:val="5C757E7F"/>
    <w:rsid w:val="5C904CB9"/>
    <w:rsid w:val="5C966047"/>
    <w:rsid w:val="5CA22C3E"/>
    <w:rsid w:val="5CA249EC"/>
    <w:rsid w:val="5CA97B29"/>
    <w:rsid w:val="5CBA1D36"/>
    <w:rsid w:val="5CD5091E"/>
    <w:rsid w:val="5CDA4186"/>
    <w:rsid w:val="5CE2303B"/>
    <w:rsid w:val="5D0B2591"/>
    <w:rsid w:val="5D323FC2"/>
    <w:rsid w:val="5D353719"/>
    <w:rsid w:val="5D6B30BA"/>
    <w:rsid w:val="5D7A14C5"/>
    <w:rsid w:val="5D8365CC"/>
    <w:rsid w:val="5D964551"/>
    <w:rsid w:val="5DA12EF6"/>
    <w:rsid w:val="5DE057CC"/>
    <w:rsid w:val="5DE60909"/>
    <w:rsid w:val="5E0D2339"/>
    <w:rsid w:val="5E135BA1"/>
    <w:rsid w:val="5E1B4A56"/>
    <w:rsid w:val="5E2356B9"/>
    <w:rsid w:val="5E27164D"/>
    <w:rsid w:val="5E371164"/>
    <w:rsid w:val="5E745F14"/>
    <w:rsid w:val="5E800D5D"/>
    <w:rsid w:val="5E9D546B"/>
    <w:rsid w:val="5E9F5687"/>
    <w:rsid w:val="5EA44A4C"/>
    <w:rsid w:val="5EA93E10"/>
    <w:rsid w:val="5EB6652D"/>
    <w:rsid w:val="5ECB022A"/>
    <w:rsid w:val="5ED54C05"/>
    <w:rsid w:val="5EE412EC"/>
    <w:rsid w:val="5EE906B0"/>
    <w:rsid w:val="5F131BD1"/>
    <w:rsid w:val="5F1C6CD8"/>
    <w:rsid w:val="5F261904"/>
    <w:rsid w:val="5F27114E"/>
    <w:rsid w:val="5F3C4C84"/>
    <w:rsid w:val="5F427DC1"/>
    <w:rsid w:val="5F585836"/>
    <w:rsid w:val="5F593A88"/>
    <w:rsid w:val="5F610B8F"/>
    <w:rsid w:val="5F762FF7"/>
    <w:rsid w:val="5F8B1768"/>
    <w:rsid w:val="5F9E149B"/>
    <w:rsid w:val="5FD650D9"/>
    <w:rsid w:val="5FE33352"/>
    <w:rsid w:val="6005151A"/>
    <w:rsid w:val="6017749F"/>
    <w:rsid w:val="601856F1"/>
    <w:rsid w:val="60193217"/>
    <w:rsid w:val="601C6864"/>
    <w:rsid w:val="602A71D2"/>
    <w:rsid w:val="602C2F4B"/>
    <w:rsid w:val="60395667"/>
    <w:rsid w:val="606721D5"/>
    <w:rsid w:val="60681AA9"/>
    <w:rsid w:val="60A01243"/>
    <w:rsid w:val="60A52CFD"/>
    <w:rsid w:val="60C07B37"/>
    <w:rsid w:val="60D86C2E"/>
    <w:rsid w:val="611F660B"/>
    <w:rsid w:val="6122664B"/>
    <w:rsid w:val="61227EAA"/>
    <w:rsid w:val="612E2CF2"/>
    <w:rsid w:val="612E4AA0"/>
    <w:rsid w:val="61333E65"/>
    <w:rsid w:val="6138591F"/>
    <w:rsid w:val="6142054C"/>
    <w:rsid w:val="614F743B"/>
    <w:rsid w:val="61646714"/>
    <w:rsid w:val="61671D60"/>
    <w:rsid w:val="61706E67"/>
    <w:rsid w:val="61745166"/>
    <w:rsid w:val="61761FA3"/>
    <w:rsid w:val="617940FB"/>
    <w:rsid w:val="61880654"/>
    <w:rsid w:val="61C61034"/>
    <w:rsid w:val="61D218D0"/>
    <w:rsid w:val="61E33ADD"/>
    <w:rsid w:val="61F01D56"/>
    <w:rsid w:val="61FC694D"/>
    <w:rsid w:val="620D2908"/>
    <w:rsid w:val="62203570"/>
    <w:rsid w:val="622B7232"/>
    <w:rsid w:val="623936FD"/>
    <w:rsid w:val="623F6839"/>
    <w:rsid w:val="6247406C"/>
    <w:rsid w:val="628A03FC"/>
    <w:rsid w:val="628C5F22"/>
    <w:rsid w:val="62943029"/>
    <w:rsid w:val="629B7F14"/>
    <w:rsid w:val="62A768B8"/>
    <w:rsid w:val="62AE5E99"/>
    <w:rsid w:val="62B31701"/>
    <w:rsid w:val="62D358FF"/>
    <w:rsid w:val="62D82F16"/>
    <w:rsid w:val="62D90A3C"/>
    <w:rsid w:val="62F85366"/>
    <w:rsid w:val="6308647F"/>
    <w:rsid w:val="63184CF0"/>
    <w:rsid w:val="63260125"/>
    <w:rsid w:val="633B16F7"/>
    <w:rsid w:val="63464323"/>
    <w:rsid w:val="63556314"/>
    <w:rsid w:val="63584057"/>
    <w:rsid w:val="63660521"/>
    <w:rsid w:val="63685EC1"/>
    <w:rsid w:val="636C365E"/>
    <w:rsid w:val="637A5D7B"/>
    <w:rsid w:val="63A454EE"/>
    <w:rsid w:val="63BD3EBA"/>
    <w:rsid w:val="63C17E4E"/>
    <w:rsid w:val="63C416EC"/>
    <w:rsid w:val="63C60FC0"/>
    <w:rsid w:val="63CD67F3"/>
    <w:rsid w:val="63D3192F"/>
    <w:rsid w:val="63FA3360"/>
    <w:rsid w:val="640B731B"/>
    <w:rsid w:val="645111D2"/>
    <w:rsid w:val="648515F3"/>
    <w:rsid w:val="649015CE"/>
    <w:rsid w:val="649D4417"/>
    <w:rsid w:val="64AA08E2"/>
    <w:rsid w:val="64B14444"/>
    <w:rsid w:val="64E57B6C"/>
    <w:rsid w:val="64E97BA7"/>
    <w:rsid w:val="64EE06F3"/>
    <w:rsid w:val="64F8789F"/>
    <w:rsid w:val="6518584B"/>
    <w:rsid w:val="65240694"/>
    <w:rsid w:val="65312DB1"/>
    <w:rsid w:val="653E102A"/>
    <w:rsid w:val="654E5711"/>
    <w:rsid w:val="654F4FE5"/>
    <w:rsid w:val="657131AE"/>
    <w:rsid w:val="65B0017A"/>
    <w:rsid w:val="65D75707"/>
    <w:rsid w:val="660B53B0"/>
    <w:rsid w:val="6626043C"/>
    <w:rsid w:val="66287D10"/>
    <w:rsid w:val="66342B59"/>
    <w:rsid w:val="66401FA8"/>
    <w:rsid w:val="667473F9"/>
    <w:rsid w:val="66862C89"/>
    <w:rsid w:val="668A0DFC"/>
    <w:rsid w:val="66AD290B"/>
    <w:rsid w:val="66B912B0"/>
    <w:rsid w:val="66E63727"/>
    <w:rsid w:val="66F127F8"/>
    <w:rsid w:val="670D6F06"/>
    <w:rsid w:val="67310E46"/>
    <w:rsid w:val="67401089"/>
    <w:rsid w:val="674E7C4A"/>
    <w:rsid w:val="674F751F"/>
    <w:rsid w:val="67851192"/>
    <w:rsid w:val="67896ED4"/>
    <w:rsid w:val="67AE2497"/>
    <w:rsid w:val="67C9107F"/>
    <w:rsid w:val="67FC76A6"/>
    <w:rsid w:val="681E586F"/>
    <w:rsid w:val="682269E1"/>
    <w:rsid w:val="68264723"/>
    <w:rsid w:val="68394457"/>
    <w:rsid w:val="684B23DC"/>
    <w:rsid w:val="68637725"/>
    <w:rsid w:val="6864524C"/>
    <w:rsid w:val="687A4A6F"/>
    <w:rsid w:val="6881195A"/>
    <w:rsid w:val="6884144A"/>
    <w:rsid w:val="68891B98"/>
    <w:rsid w:val="68914293"/>
    <w:rsid w:val="68AB2E7A"/>
    <w:rsid w:val="68C06926"/>
    <w:rsid w:val="68D0643D"/>
    <w:rsid w:val="68DB3760"/>
    <w:rsid w:val="68E87C2B"/>
    <w:rsid w:val="68EF4B15"/>
    <w:rsid w:val="69083E29"/>
    <w:rsid w:val="691722BE"/>
    <w:rsid w:val="692364F5"/>
    <w:rsid w:val="69470DF5"/>
    <w:rsid w:val="6949691B"/>
    <w:rsid w:val="69564B94"/>
    <w:rsid w:val="69605A13"/>
    <w:rsid w:val="69747710"/>
    <w:rsid w:val="69765236"/>
    <w:rsid w:val="697D65C5"/>
    <w:rsid w:val="69886D18"/>
    <w:rsid w:val="699102C2"/>
    <w:rsid w:val="69A2427D"/>
    <w:rsid w:val="69A973BA"/>
    <w:rsid w:val="69AB1384"/>
    <w:rsid w:val="69BB70ED"/>
    <w:rsid w:val="69DB153D"/>
    <w:rsid w:val="69DC03F6"/>
    <w:rsid w:val="69E228CC"/>
    <w:rsid w:val="69EE301F"/>
    <w:rsid w:val="69FF347E"/>
    <w:rsid w:val="6A1F58CE"/>
    <w:rsid w:val="6A5A06B4"/>
    <w:rsid w:val="6A753740"/>
    <w:rsid w:val="6A7E0847"/>
    <w:rsid w:val="6A883473"/>
    <w:rsid w:val="6AB623DF"/>
    <w:rsid w:val="6AB9187F"/>
    <w:rsid w:val="6ABA55F7"/>
    <w:rsid w:val="6AC56475"/>
    <w:rsid w:val="6ACE4BFE"/>
    <w:rsid w:val="6AEC311A"/>
    <w:rsid w:val="6AF9611F"/>
    <w:rsid w:val="6AFF300A"/>
    <w:rsid w:val="6B013226"/>
    <w:rsid w:val="6B160A7F"/>
    <w:rsid w:val="6B737C7F"/>
    <w:rsid w:val="6B7E4876"/>
    <w:rsid w:val="6B824366"/>
    <w:rsid w:val="6B876DF9"/>
    <w:rsid w:val="6BE741CA"/>
    <w:rsid w:val="6C1256EA"/>
    <w:rsid w:val="6C1D5E3D"/>
    <w:rsid w:val="6C3F7B62"/>
    <w:rsid w:val="6C77379F"/>
    <w:rsid w:val="6C7D068A"/>
    <w:rsid w:val="6C871509"/>
    <w:rsid w:val="6C940230"/>
    <w:rsid w:val="6C9D2ADA"/>
    <w:rsid w:val="6CA34594"/>
    <w:rsid w:val="6CAE2F39"/>
    <w:rsid w:val="6CB73B9C"/>
    <w:rsid w:val="6CC938CF"/>
    <w:rsid w:val="6D042B59"/>
    <w:rsid w:val="6D0D7C60"/>
    <w:rsid w:val="6D372F2F"/>
    <w:rsid w:val="6D5E2269"/>
    <w:rsid w:val="6D6830E8"/>
    <w:rsid w:val="6D747CDF"/>
    <w:rsid w:val="6D7777CF"/>
    <w:rsid w:val="6D806684"/>
    <w:rsid w:val="6D8B6DD7"/>
    <w:rsid w:val="6DA2484C"/>
    <w:rsid w:val="6DAA1953"/>
    <w:rsid w:val="6DB66549"/>
    <w:rsid w:val="6DE05374"/>
    <w:rsid w:val="6DEF3809"/>
    <w:rsid w:val="6DF130DE"/>
    <w:rsid w:val="6E0077C5"/>
    <w:rsid w:val="6E4771A1"/>
    <w:rsid w:val="6E4E6782"/>
    <w:rsid w:val="6E5518BE"/>
    <w:rsid w:val="6E565636"/>
    <w:rsid w:val="6E7837FF"/>
    <w:rsid w:val="6E7F4B8D"/>
    <w:rsid w:val="6ECD58F9"/>
    <w:rsid w:val="6ED8604B"/>
    <w:rsid w:val="6EE3336E"/>
    <w:rsid w:val="6EE3511C"/>
    <w:rsid w:val="6EEF1D13"/>
    <w:rsid w:val="6EF03395"/>
    <w:rsid w:val="6EFC4430"/>
    <w:rsid w:val="6EFF182A"/>
    <w:rsid w:val="6F14284D"/>
    <w:rsid w:val="6F2F210F"/>
    <w:rsid w:val="6F573414"/>
    <w:rsid w:val="6F7B6AA3"/>
    <w:rsid w:val="6F7C10CD"/>
    <w:rsid w:val="6F7D5BC6"/>
    <w:rsid w:val="6F8D6E36"/>
    <w:rsid w:val="6F9E54E7"/>
    <w:rsid w:val="6FAC19B2"/>
    <w:rsid w:val="6FAC3760"/>
    <w:rsid w:val="6FB95E7D"/>
    <w:rsid w:val="6FC50CC6"/>
    <w:rsid w:val="6FCA1E38"/>
    <w:rsid w:val="6FF84BF7"/>
    <w:rsid w:val="70076BE8"/>
    <w:rsid w:val="70096E04"/>
    <w:rsid w:val="70223A22"/>
    <w:rsid w:val="702A0B29"/>
    <w:rsid w:val="7036571F"/>
    <w:rsid w:val="703A6FBE"/>
    <w:rsid w:val="705067E1"/>
    <w:rsid w:val="70553DF8"/>
    <w:rsid w:val="70652415"/>
    <w:rsid w:val="709A7A5C"/>
    <w:rsid w:val="70AE58B8"/>
    <w:rsid w:val="70B14DA6"/>
    <w:rsid w:val="70D25448"/>
    <w:rsid w:val="70F57389"/>
    <w:rsid w:val="710650F2"/>
    <w:rsid w:val="711A0B9D"/>
    <w:rsid w:val="711A6DEF"/>
    <w:rsid w:val="71306613"/>
    <w:rsid w:val="71333A0D"/>
    <w:rsid w:val="713752AB"/>
    <w:rsid w:val="7149701B"/>
    <w:rsid w:val="71502811"/>
    <w:rsid w:val="7166670A"/>
    <w:rsid w:val="71685DAD"/>
    <w:rsid w:val="716A38D3"/>
    <w:rsid w:val="71755DD4"/>
    <w:rsid w:val="71762034"/>
    <w:rsid w:val="717B5AE0"/>
    <w:rsid w:val="71AA1F21"/>
    <w:rsid w:val="71E371E1"/>
    <w:rsid w:val="71F96A05"/>
    <w:rsid w:val="720A6E64"/>
    <w:rsid w:val="72307267"/>
    <w:rsid w:val="723F4D5F"/>
    <w:rsid w:val="725B321B"/>
    <w:rsid w:val="72622BD7"/>
    <w:rsid w:val="726B684E"/>
    <w:rsid w:val="728704B4"/>
    <w:rsid w:val="729D1A86"/>
    <w:rsid w:val="72A20E4A"/>
    <w:rsid w:val="72BB1F0C"/>
    <w:rsid w:val="72C60FDD"/>
    <w:rsid w:val="72D80D10"/>
    <w:rsid w:val="72EB27F1"/>
    <w:rsid w:val="732E26DE"/>
    <w:rsid w:val="733B0083"/>
    <w:rsid w:val="735C36EF"/>
    <w:rsid w:val="736F3422"/>
    <w:rsid w:val="737A5923"/>
    <w:rsid w:val="737E5413"/>
    <w:rsid w:val="738A025C"/>
    <w:rsid w:val="73944C37"/>
    <w:rsid w:val="73C51294"/>
    <w:rsid w:val="73C90737"/>
    <w:rsid w:val="73CA0659"/>
    <w:rsid w:val="73CA6113"/>
    <w:rsid w:val="73E060CE"/>
    <w:rsid w:val="73F13E37"/>
    <w:rsid w:val="7400051E"/>
    <w:rsid w:val="74033B6B"/>
    <w:rsid w:val="740F250F"/>
    <w:rsid w:val="74213FF1"/>
    <w:rsid w:val="742C30C1"/>
    <w:rsid w:val="742F79B6"/>
    <w:rsid w:val="743D52CE"/>
    <w:rsid w:val="743E2DF5"/>
    <w:rsid w:val="74620891"/>
    <w:rsid w:val="746A5998"/>
    <w:rsid w:val="747D1B6F"/>
    <w:rsid w:val="74806F69"/>
    <w:rsid w:val="749173C8"/>
    <w:rsid w:val="74B65081"/>
    <w:rsid w:val="74B80DF9"/>
    <w:rsid w:val="74BD01BD"/>
    <w:rsid w:val="74BD640F"/>
    <w:rsid w:val="74E219D2"/>
    <w:rsid w:val="74FA6D1C"/>
    <w:rsid w:val="75134281"/>
    <w:rsid w:val="752244C4"/>
    <w:rsid w:val="75497CA3"/>
    <w:rsid w:val="754B5C7D"/>
    <w:rsid w:val="75501031"/>
    <w:rsid w:val="75526B58"/>
    <w:rsid w:val="755328D0"/>
    <w:rsid w:val="75614FED"/>
    <w:rsid w:val="7564688B"/>
    <w:rsid w:val="75703482"/>
    <w:rsid w:val="757A4300"/>
    <w:rsid w:val="7589009F"/>
    <w:rsid w:val="759A405B"/>
    <w:rsid w:val="75E11C8A"/>
    <w:rsid w:val="75E1612D"/>
    <w:rsid w:val="75E43528"/>
    <w:rsid w:val="7601057E"/>
    <w:rsid w:val="7610431D"/>
    <w:rsid w:val="762304F4"/>
    <w:rsid w:val="764D5571"/>
    <w:rsid w:val="764F3097"/>
    <w:rsid w:val="766528BB"/>
    <w:rsid w:val="766C1E9B"/>
    <w:rsid w:val="766F40BB"/>
    <w:rsid w:val="769D2054"/>
    <w:rsid w:val="76A038F3"/>
    <w:rsid w:val="76BF021D"/>
    <w:rsid w:val="76F105F2"/>
    <w:rsid w:val="76F51E90"/>
    <w:rsid w:val="76FA74A7"/>
    <w:rsid w:val="77065E4C"/>
    <w:rsid w:val="77112A42"/>
    <w:rsid w:val="771147F0"/>
    <w:rsid w:val="77170059"/>
    <w:rsid w:val="771B11CB"/>
    <w:rsid w:val="772462D2"/>
    <w:rsid w:val="77336515"/>
    <w:rsid w:val="773C186D"/>
    <w:rsid w:val="775D7A36"/>
    <w:rsid w:val="776B2153"/>
    <w:rsid w:val="777F175A"/>
    <w:rsid w:val="77A2369A"/>
    <w:rsid w:val="78197E01"/>
    <w:rsid w:val="781E71C5"/>
    <w:rsid w:val="783C2790"/>
    <w:rsid w:val="784F55D0"/>
    <w:rsid w:val="78520C1D"/>
    <w:rsid w:val="7860333A"/>
    <w:rsid w:val="78745037"/>
    <w:rsid w:val="78767001"/>
    <w:rsid w:val="787A4DC0"/>
    <w:rsid w:val="78801C2E"/>
    <w:rsid w:val="78807F3E"/>
    <w:rsid w:val="788259A6"/>
    <w:rsid w:val="78827754"/>
    <w:rsid w:val="78874D6A"/>
    <w:rsid w:val="78B43685"/>
    <w:rsid w:val="78EC7724"/>
    <w:rsid w:val="78FF6FF6"/>
    <w:rsid w:val="79004B1D"/>
    <w:rsid w:val="790E2D96"/>
    <w:rsid w:val="79102FB2"/>
    <w:rsid w:val="79246A5D"/>
    <w:rsid w:val="79294073"/>
    <w:rsid w:val="792F0F5E"/>
    <w:rsid w:val="7936053E"/>
    <w:rsid w:val="79690914"/>
    <w:rsid w:val="79974C49"/>
    <w:rsid w:val="7997722F"/>
    <w:rsid w:val="79A27982"/>
    <w:rsid w:val="79BA2F1D"/>
    <w:rsid w:val="79C50530"/>
    <w:rsid w:val="79CB512B"/>
    <w:rsid w:val="79CD4E76"/>
    <w:rsid w:val="79DF2984"/>
    <w:rsid w:val="7A083C89"/>
    <w:rsid w:val="7A1C5986"/>
    <w:rsid w:val="7A3E76AA"/>
    <w:rsid w:val="7A5073DE"/>
    <w:rsid w:val="7A6A4943"/>
    <w:rsid w:val="7A715CD2"/>
    <w:rsid w:val="7AC53928"/>
    <w:rsid w:val="7AC57DCC"/>
    <w:rsid w:val="7AC73B44"/>
    <w:rsid w:val="7ACC2F08"/>
    <w:rsid w:val="7ADB75EF"/>
    <w:rsid w:val="7AEF309B"/>
    <w:rsid w:val="7AF5317C"/>
    <w:rsid w:val="7AFB1A3F"/>
    <w:rsid w:val="7B046B46"/>
    <w:rsid w:val="7B0C77A9"/>
    <w:rsid w:val="7B256ABC"/>
    <w:rsid w:val="7B30793B"/>
    <w:rsid w:val="7B494559"/>
    <w:rsid w:val="7B4F58E7"/>
    <w:rsid w:val="7B8053BB"/>
    <w:rsid w:val="7B8B4B71"/>
    <w:rsid w:val="7B98103C"/>
    <w:rsid w:val="7BA14395"/>
    <w:rsid w:val="7BB0282A"/>
    <w:rsid w:val="7BF81ADB"/>
    <w:rsid w:val="7C084414"/>
    <w:rsid w:val="7C09018C"/>
    <w:rsid w:val="7C1A7CA3"/>
    <w:rsid w:val="7C246D74"/>
    <w:rsid w:val="7C26489A"/>
    <w:rsid w:val="7C460A98"/>
    <w:rsid w:val="7C4B2553"/>
    <w:rsid w:val="7C5533D1"/>
    <w:rsid w:val="7C5807CC"/>
    <w:rsid w:val="7C5C02BC"/>
    <w:rsid w:val="7C8D2B6B"/>
    <w:rsid w:val="7C8E41ED"/>
    <w:rsid w:val="7C943EFA"/>
    <w:rsid w:val="7CA57EB5"/>
    <w:rsid w:val="7CB2612E"/>
    <w:rsid w:val="7CB400F8"/>
    <w:rsid w:val="7CB73744"/>
    <w:rsid w:val="7CBC6FAC"/>
    <w:rsid w:val="7CC83BA3"/>
    <w:rsid w:val="7CFE5817"/>
    <w:rsid w:val="7D0A7D18"/>
    <w:rsid w:val="7D11554A"/>
    <w:rsid w:val="7D223639"/>
    <w:rsid w:val="7D272678"/>
    <w:rsid w:val="7D605B8A"/>
    <w:rsid w:val="7D697134"/>
    <w:rsid w:val="7D893333"/>
    <w:rsid w:val="7DAB14FB"/>
    <w:rsid w:val="7DAC0DCF"/>
    <w:rsid w:val="7DB36601"/>
    <w:rsid w:val="7DC205F3"/>
    <w:rsid w:val="7DEC38C1"/>
    <w:rsid w:val="7DF10ED8"/>
    <w:rsid w:val="7DF34C50"/>
    <w:rsid w:val="7DF52776"/>
    <w:rsid w:val="7DFA7D8C"/>
    <w:rsid w:val="7E096221"/>
    <w:rsid w:val="7E0A3FA9"/>
    <w:rsid w:val="7E10135E"/>
    <w:rsid w:val="7E2117BD"/>
    <w:rsid w:val="7E357016"/>
    <w:rsid w:val="7E3643BE"/>
    <w:rsid w:val="7E3D5ECB"/>
    <w:rsid w:val="7E4454AB"/>
    <w:rsid w:val="7E461224"/>
    <w:rsid w:val="7E4D25B2"/>
    <w:rsid w:val="7E7933A7"/>
    <w:rsid w:val="7E7C4C45"/>
    <w:rsid w:val="7E8104AE"/>
    <w:rsid w:val="7E865AC4"/>
    <w:rsid w:val="7E8666DE"/>
    <w:rsid w:val="7E9C7095"/>
    <w:rsid w:val="7ED76320"/>
    <w:rsid w:val="7EDB7BBE"/>
    <w:rsid w:val="7EDC1B88"/>
    <w:rsid w:val="7EF24F07"/>
    <w:rsid w:val="7EFC5D86"/>
    <w:rsid w:val="7F3472CE"/>
    <w:rsid w:val="7F6F0306"/>
    <w:rsid w:val="7F78540D"/>
    <w:rsid w:val="7F8E2E82"/>
    <w:rsid w:val="7FA16F1B"/>
    <w:rsid w:val="7FBB1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spacing w:before="26"/>
      <w:ind w:right="63" w:hanging="2007"/>
      <w:outlineLvl w:val="1"/>
    </w:pPr>
    <w:rPr>
      <w:rFonts w:ascii="宋体" w:hAnsi="宋体" w:eastAsia="宋体" w:cs="宋体"/>
      <w:b/>
      <w:bCs/>
      <w:sz w:val="44"/>
      <w:szCs w:val="44"/>
      <w:lang w:val="zh-CN" w:eastAsia="zh-CN" w:bidi="zh-CN"/>
    </w:rPr>
  </w:style>
  <w:style w:type="paragraph" w:styleId="3">
    <w:name w:val="heading 2"/>
    <w:basedOn w:val="1"/>
    <w:qFormat/>
    <w:uiPriority w:val="1"/>
    <w:pPr>
      <w:spacing w:before="29"/>
      <w:ind w:left="270" w:right="328"/>
      <w:jc w:val="center"/>
      <w:outlineLvl w:val="2"/>
    </w:pPr>
    <w:rPr>
      <w:rFonts w:ascii="宋体" w:hAnsi="宋体" w:eastAsia="宋体" w:cs="宋体"/>
      <w:b/>
      <w:bCs/>
      <w:sz w:val="40"/>
      <w:szCs w:val="40"/>
      <w:lang w:val="zh-CN" w:eastAsia="zh-CN" w:bidi="zh-CN"/>
    </w:rPr>
  </w:style>
  <w:style w:type="paragraph" w:styleId="4">
    <w:name w:val="heading 3"/>
    <w:basedOn w:val="1"/>
    <w:next w:val="1"/>
    <w:qFormat/>
    <w:uiPriority w:val="1"/>
    <w:pPr>
      <w:ind w:left="311" w:right="372"/>
      <w:jc w:val="center"/>
      <w:outlineLvl w:val="3"/>
    </w:pPr>
    <w:rPr>
      <w:rFonts w:ascii="宋体" w:hAnsi="宋体" w:eastAsia="宋体" w:cs="宋体"/>
      <w:b/>
      <w:bCs/>
      <w:sz w:val="36"/>
      <w:szCs w:val="36"/>
      <w:lang w:val="zh-CN" w:eastAsia="zh-CN" w:bidi="zh-CN"/>
    </w:rPr>
  </w:style>
  <w:style w:type="paragraph" w:styleId="5">
    <w:name w:val="heading 4"/>
    <w:basedOn w:val="1"/>
    <w:qFormat/>
    <w:uiPriority w:val="1"/>
    <w:pPr>
      <w:ind w:left="270" w:right="331"/>
      <w:jc w:val="center"/>
      <w:outlineLvl w:val="4"/>
    </w:pPr>
    <w:rPr>
      <w:rFonts w:ascii="宋体" w:hAnsi="宋体" w:eastAsia="宋体" w:cs="宋体"/>
      <w:b/>
      <w:bCs/>
      <w:sz w:val="32"/>
      <w:szCs w:val="32"/>
      <w:lang w:val="zh-CN" w:eastAsia="zh-CN" w:bidi="zh-CN"/>
    </w:rPr>
  </w:style>
  <w:style w:type="paragraph" w:styleId="6">
    <w:name w:val="heading 5"/>
    <w:basedOn w:val="1"/>
    <w:qFormat/>
    <w:uiPriority w:val="1"/>
    <w:pPr>
      <w:spacing w:before="49"/>
      <w:ind w:left="287"/>
      <w:outlineLvl w:val="5"/>
    </w:pPr>
    <w:rPr>
      <w:rFonts w:ascii="宋体" w:hAnsi="宋体" w:eastAsia="宋体" w:cs="宋体"/>
      <w:b/>
      <w:bCs/>
      <w:sz w:val="28"/>
      <w:szCs w:val="28"/>
      <w:lang w:val="zh-CN" w:eastAsia="zh-CN" w:bidi="zh-CN"/>
    </w:rPr>
  </w:style>
  <w:style w:type="paragraph" w:styleId="7">
    <w:name w:val="heading 6"/>
    <w:basedOn w:val="1"/>
    <w:qFormat/>
    <w:uiPriority w:val="1"/>
    <w:pPr>
      <w:ind w:left="287"/>
      <w:outlineLvl w:val="6"/>
    </w:pPr>
    <w:rPr>
      <w:rFonts w:ascii="宋体" w:hAnsi="宋体" w:eastAsia="宋体" w:cs="宋体"/>
      <w:b/>
      <w:bCs/>
      <w:sz w:val="24"/>
      <w:szCs w:val="24"/>
      <w:lang w:val="zh-CN" w:eastAsia="zh-CN" w:bidi="zh-CN"/>
    </w:rPr>
  </w:style>
  <w:style w:type="character" w:default="1" w:styleId="15">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next w:val="1"/>
    <w:qFormat/>
    <w:uiPriority w:val="1"/>
    <w:rPr>
      <w:rFonts w:ascii="宋体" w:hAnsi="宋体" w:eastAsia="宋体" w:cs="宋体"/>
      <w:sz w:val="24"/>
      <w:szCs w:val="24"/>
      <w:lang w:val="zh-CN" w:eastAsia="zh-CN" w:bidi="zh-CN"/>
    </w:rPr>
  </w:style>
  <w:style w:type="paragraph" w:styleId="9">
    <w:name w:val="Plain Text"/>
    <w:basedOn w:val="1"/>
    <w:next w:val="10"/>
    <w:qFormat/>
    <w:uiPriority w:val="0"/>
    <w:pPr>
      <w:widowControl w:val="0"/>
      <w:spacing w:after="0"/>
      <w:jc w:val="both"/>
    </w:pPr>
    <w:rPr>
      <w:rFonts w:ascii="宋体" w:hAnsi="Courier New" w:eastAsia="宋体" w:cs="宋体"/>
      <w:kern w:val="2"/>
      <w:sz w:val="21"/>
      <w:szCs w:val="20"/>
      <w:lang w:val="en-US" w:eastAsia="zh-CN" w:bidi="ar-SA"/>
    </w:rPr>
  </w:style>
  <w:style w:type="paragraph" w:styleId="10">
    <w:name w:val="List Number 5"/>
    <w:basedOn w:val="1"/>
    <w:qFormat/>
    <w:uiPriority w:val="0"/>
    <w:pPr>
      <w:numPr>
        <w:ilvl w:val="0"/>
        <w:numId w:val="1"/>
      </w:numPr>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287" w:firstLine="480"/>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标题 11"/>
    <w:basedOn w:val="1"/>
    <w:qFormat/>
    <w:uiPriority w:val="0"/>
    <w:pPr>
      <w:keepNext/>
      <w:keepLines/>
      <w:spacing w:before="340" w:after="330" w:line="480" w:lineRule="auto"/>
      <w:jc w:val="center"/>
      <w:outlineLvl w:val="0"/>
    </w:pPr>
    <w:rPr>
      <w:rFonts w:eastAsia="黑体"/>
      <w:bCs/>
      <w:kern w:val="44"/>
      <w:sz w:val="36"/>
      <w:szCs w:val="44"/>
    </w:rPr>
  </w:style>
  <w:style w:type="paragraph" w:customStyle="1" w:styleId="20">
    <w:name w:val="普通(网站)1"/>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1">
    <w:name w:val="Blockquote"/>
    <w:basedOn w:val="1"/>
    <w:qFormat/>
    <w:uiPriority w:val="0"/>
    <w:pPr>
      <w:autoSpaceDE w:val="0"/>
      <w:autoSpaceDN w:val="0"/>
      <w:spacing w:before="100" w:after="100"/>
      <w:ind w:left="360" w:right="360"/>
      <w:jc w:val="left"/>
    </w:pPr>
    <w:rPr>
      <w:kern w:val="0"/>
      <w:sz w:val="24"/>
      <w:szCs w:val="20"/>
    </w:rPr>
  </w:style>
  <w:style w:type="paragraph" w:customStyle="1" w:styleId="22">
    <w:name w:val="正文空2格  1."/>
    <w:basedOn w:val="1"/>
    <w:qFormat/>
    <w:uiPriority w:val="0"/>
    <w:pPr>
      <w:ind w:firstLine="480" w:firstLineChars="200"/>
    </w:pPr>
    <w:rPr>
      <w:rFonts w:cs="宋体"/>
      <w:szCs w:val="20"/>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7" textRotate="1"/>
    <customShpInfo spid="_x0000_s2058" textRotate="1"/>
    <customShpInfo spid="_x0000_s2059" textRotate="1"/>
    <customShpInfo spid="_x0000_s2060" textRotate="1"/>
    <customShpInfo spid="_x0000_s2062" textRotate="1"/>
    <customShpInfo spid="_x0000_s2063" textRotate="1"/>
    <customShpInfo spid="_x0000_s2064" textRotate="1"/>
    <customShpInfo spid="_x0000_s1062"/>
    <customShpInfo spid="_x0000_s1039"/>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776</Words>
  <Characters>867</Characters>
  <TotalTime>21</TotalTime>
  <ScaleCrop>false</ScaleCrop>
  <LinksUpToDate>false</LinksUpToDate>
  <CharactersWithSpaces>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2026-05-06T04:06:00Z</dcterms:created>
  <dc:creator>Administrator</dc:creator>
  <cp:lastModifiedBy>Administrator</cp:lastModifiedBy>
  <cp:lastPrinted>2026-05-06T08:30:00Z</cp:lastPrinted>
  <dcterms:modified xsi:type="dcterms:W3CDTF">2026-05-26T06:31:50Z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Aspose Ltd.</vt:lpwstr>
  </property>
  <property fmtid="{D5CDD505-2E9C-101B-9397-08002B2CF9AE}" pid="4" name="LastSaved">
    <vt:filetime>2026-05-06T00:00:00Z</vt:filetime>
  </property>
  <property fmtid="{D5CDD505-2E9C-101B-9397-08002B2CF9AE}" pid="5" name="KSOTemplateDocerSaveRecord">
    <vt:lpwstr>eyJoZGlkIjoiNTQyYTg3NDQ4MjA5ZDExNTk4NjFkZTI0MjI1NGZjY2YiLCJ1c2VySWQiOiIyODc5NjI3MTgifQ==</vt:lpwstr>
  </property>
  <property fmtid="{D5CDD505-2E9C-101B-9397-08002B2CF9AE}" pid="6" name="KSOProductBuildVer">
    <vt:lpwstr>2052-12.1.0.26375</vt:lpwstr>
  </property>
  <property fmtid="{D5CDD505-2E9C-101B-9397-08002B2CF9AE}" pid="7" name="ICV">
    <vt:lpwstr>6618FBEBAE6A44B1AB7852BF162D87F0_12</vt:lpwstr>
  </property>
</Properties>
</file>