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B6BFC">
      <w:pPr>
        <w:widowControl w:val="0"/>
        <w:adjustRightInd w:val="0"/>
        <w:spacing w:before="0" w:after="0" w:line="360" w:lineRule="auto"/>
        <w:ind w:firstLine="0"/>
        <w:jc w:val="left"/>
        <w:textAlignment w:val="baseline"/>
        <w:rPr>
          <w:rFonts w:hint="eastAsia" w:ascii="宋体" w:hAnsi="宋体" w:eastAsia="宋体" w:cs="宋体"/>
          <w:kern w:val="0"/>
          <w:sz w:val="24"/>
          <w:szCs w:val="24"/>
          <w:lang w:val="en-US" w:eastAsia="zh-CN" w:bidi="ar-SA"/>
        </w:rPr>
      </w:pPr>
    </w:p>
    <w:p w14:paraId="61474001">
      <w:pPr>
        <w:widowControl w:val="0"/>
        <w:adjustRightInd w:val="0"/>
        <w:spacing w:before="120" w:after="120" w:line="360" w:lineRule="auto"/>
        <w:ind w:firstLine="0"/>
        <w:jc w:val="center"/>
        <w:textAlignment w:val="baseline"/>
        <w:rPr>
          <w:rFonts w:hint="eastAsia" w:ascii="宋体" w:hAnsi="宋体" w:eastAsia="宋体" w:cs="宋体"/>
          <w:b/>
          <w:bCs/>
          <w:kern w:val="0"/>
          <w:sz w:val="84"/>
          <w:szCs w:val="24"/>
          <w:lang w:val="en-US" w:eastAsia="zh-CN" w:bidi="ar-SA"/>
        </w:rPr>
      </w:pPr>
      <w:r>
        <w:rPr>
          <w:rFonts w:hint="eastAsia" w:ascii="宋体" w:hAnsi="宋体" w:eastAsia="宋体" w:cs="宋体"/>
          <w:b/>
          <w:bCs/>
          <w:kern w:val="0"/>
          <w:sz w:val="84"/>
          <w:szCs w:val="24"/>
          <w:lang w:val="en-US" w:eastAsia="zh-CN" w:bidi="ar-SA"/>
        </w:rPr>
        <w:t>招　标　文　件</w:t>
      </w:r>
    </w:p>
    <w:p w14:paraId="1F192F84">
      <w:pPr>
        <w:widowControl w:val="0"/>
        <w:adjustRightInd w:val="0"/>
        <w:spacing w:before="120" w:after="120" w:line="360" w:lineRule="auto"/>
        <w:ind w:firstLine="0"/>
        <w:jc w:val="left"/>
        <w:textAlignment w:val="baseline"/>
        <w:rPr>
          <w:rFonts w:hint="eastAsia" w:ascii="宋体" w:hAnsi="宋体" w:eastAsia="宋体" w:cs="宋体"/>
          <w:b/>
          <w:bCs/>
          <w:kern w:val="0"/>
          <w:sz w:val="32"/>
          <w:szCs w:val="24"/>
          <w:lang w:val="en-US" w:eastAsia="zh-CN" w:bidi="ar-SA"/>
        </w:rPr>
      </w:pPr>
    </w:p>
    <w:p w14:paraId="7C05B586">
      <w:pPr>
        <w:widowControl w:val="0"/>
        <w:adjustRightInd w:val="0"/>
        <w:spacing w:before="120" w:after="120" w:line="360" w:lineRule="auto"/>
        <w:ind w:firstLine="0"/>
        <w:jc w:val="both"/>
        <w:textAlignment w:val="baseline"/>
        <w:rPr>
          <w:rFonts w:hint="eastAsia" w:ascii="宋体" w:hAnsi="宋体" w:eastAsia="宋体" w:cs="宋体"/>
          <w:b/>
          <w:bCs/>
          <w:kern w:val="0"/>
          <w:sz w:val="32"/>
          <w:szCs w:val="24"/>
          <w:lang w:val="en-US" w:eastAsia="zh-CN" w:bidi="ar-SA"/>
        </w:rPr>
      </w:pPr>
      <w:r>
        <w:rPr>
          <w:rFonts w:hint="eastAsia" w:ascii="宋体" w:hAnsi="宋体" w:eastAsia="宋体" w:cs="宋体"/>
          <w:b/>
          <w:bCs/>
          <w:kern w:val="0"/>
          <w:sz w:val="32"/>
          <w:szCs w:val="24"/>
          <w:lang w:val="en-US" w:eastAsia="zh-CN" w:bidi="ar-SA"/>
        </w:rPr>
        <w:t>项目名称：自治区一体化数据资源服务平台建设项目（二期）</w:t>
      </w:r>
    </w:p>
    <w:p w14:paraId="68B50B47">
      <w:pPr>
        <w:widowControl w:val="0"/>
        <w:adjustRightInd w:val="0"/>
        <w:spacing w:before="120" w:after="120" w:line="360" w:lineRule="auto"/>
        <w:ind w:firstLine="0"/>
        <w:jc w:val="both"/>
        <w:textAlignment w:val="baseline"/>
        <w:rPr>
          <w:rFonts w:ascii="宋体" w:hAnsi="宋体" w:eastAsia="宋体" w:cs="宋体"/>
          <w:b/>
          <w:bCs/>
          <w:kern w:val="0"/>
          <w:sz w:val="32"/>
          <w:szCs w:val="24"/>
          <w:lang w:val="en-US" w:eastAsia="zh-CN" w:bidi="ar-SA"/>
        </w:rPr>
      </w:pPr>
      <w:r>
        <w:rPr>
          <w:rFonts w:hint="eastAsia" w:ascii="宋体" w:hAnsi="宋体" w:eastAsia="宋体" w:cs="宋体"/>
          <w:b/>
          <w:bCs/>
          <w:kern w:val="0"/>
          <w:sz w:val="32"/>
          <w:szCs w:val="24"/>
          <w:lang w:val="en-US" w:eastAsia="zh-CN" w:bidi="ar-SA"/>
        </w:rPr>
        <w:t>项目编号：GK2026-100</w:t>
      </w:r>
    </w:p>
    <w:p w14:paraId="146C0319">
      <w:pPr>
        <w:widowControl w:val="0"/>
        <w:adjustRightInd w:val="0"/>
        <w:spacing w:before="0" w:after="0" w:line="360" w:lineRule="auto"/>
        <w:ind w:firstLine="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w:t>
      </w:r>
    </w:p>
    <w:tbl>
      <w:tblPr>
        <w:tblStyle w:val="18"/>
        <w:tblpPr w:leftFromText="180" w:rightFromText="180" w:vertAnchor="page" w:horzAnchor="margin" w:tblpY="7851"/>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8161"/>
      </w:tblGrid>
      <w:tr w14:paraId="34F7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noWrap w:val="0"/>
            <w:vAlign w:val="center"/>
          </w:tcPr>
          <w:p w14:paraId="78D09E79">
            <w:pPr>
              <w:jc w:val="center"/>
              <w:rPr>
                <w:rFonts w:hint="eastAsia" w:ascii="宋体" w:hAnsi="宋体" w:cs="宋体"/>
                <w:sz w:val="28"/>
                <w:szCs w:val="28"/>
              </w:rPr>
            </w:pPr>
            <w:r>
              <w:rPr>
                <w:rFonts w:hint="eastAsia" w:ascii="宋体" w:hAnsi="宋体" w:cs="宋体"/>
                <w:sz w:val="28"/>
                <w:szCs w:val="28"/>
              </w:rPr>
              <w:t>采购人</w:t>
            </w:r>
          </w:p>
          <w:p w14:paraId="763FFAFA">
            <w:pPr>
              <w:jc w:val="center"/>
              <w:rPr>
                <w:rFonts w:hint="eastAsia" w:ascii="宋体" w:hAnsi="宋体" w:cs="宋体"/>
                <w:sz w:val="28"/>
                <w:szCs w:val="28"/>
              </w:rPr>
            </w:pPr>
            <w:r>
              <w:rPr>
                <w:rFonts w:hint="eastAsia" w:ascii="宋体" w:hAnsi="宋体" w:cs="宋体"/>
                <w:sz w:val="28"/>
                <w:szCs w:val="28"/>
              </w:rPr>
              <w:t>审核意见</w:t>
            </w:r>
          </w:p>
        </w:tc>
        <w:tc>
          <w:tcPr>
            <w:tcW w:w="8161" w:type="dxa"/>
            <w:noWrap w:val="0"/>
            <w:vAlign w:val="top"/>
          </w:tcPr>
          <w:p w14:paraId="250C067B">
            <w:pPr>
              <w:rPr>
                <w:rFonts w:hint="eastAsia" w:ascii="宋体" w:hAnsi="宋体" w:cs="宋体"/>
                <w:sz w:val="28"/>
                <w:szCs w:val="28"/>
              </w:rPr>
            </w:pPr>
            <w:r>
              <w:rPr>
                <w:rFonts w:hint="eastAsia" w:ascii="宋体" w:hAnsi="宋体" w:cs="宋体"/>
                <w:sz w:val="28"/>
                <w:szCs w:val="28"/>
              </w:rPr>
              <w:t>　　　　　　　　　　　　　　　　　　　</w:t>
            </w:r>
          </w:p>
          <w:p w14:paraId="7005761E">
            <w:pPr>
              <w:rPr>
                <w:rFonts w:hint="eastAsia" w:ascii="宋体" w:hAnsi="宋体" w:cs="宋体"/>
                <w:sz w:val="28"/>
                <w:szCs w:val="28"/>
              </w:rPr>
            </w:pPr>
          </w:p>
          <w:p w14:paraId="725C5C56">
            <w:pPr>
              <w:ind w:firstLine="4620" w:firstLineChars="1650"/>
              <w:rPr>
                <w:rFonts w:hint="eastAsia" w:ascii="宋体" w:hAnsi="宋体" w:cs="宋体"/>
                <w:sz w:val="28"/>
                <w:szCs w:val="28"/>
              </w:rPr>
            </w:pPr>
            <w:r>
              <w:rPr>
                <w:rFonts w:hint="eastAsia" w:ascii="宋体" w:hAnsi="宋体" w:cs="宋体"/>
                <w:sz w:val="28"/>
                <w:szCs w:val="28"/>
              </w:rPr>
              <w:t>采购人签章：</w:t>
            </w:r>
          </w:p>
          <w:p w14:paraId="6032FE25">
            <w:pPr>
              <w:rPr>
                <w:rFonts w:hint="eastAsia" w:ascii="宋体" w:hAnsi="宋体" w:cs="宋体"/>
                <w:sz w:val="28"/>
                <w:szCs w:val="28"/>
              </w:rPr>
            </w:pPr>
            <w:r>
              <w:rPr>
                <w:rFonts w:hint="eastAsia" w:ascii="宋体" w:hAnsi="宋体" w:cs="宋体"/>
                <w:sz w:val="28"/>
                <w:szCs w:val="28"/>
              </w:rPr>
              <w:t>　　　　　　　　　　　　　　　　            年  月  日</w:t>
            </w:r>
          </w:p>
        </w:tc>
      </w:tr>
      <w:tr w14:paraId="5D3D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noWrap w:val="0"/>
            <w:vAlign w:val="center"/>
          </w:tcPr>
          <w:p w14:paraId="5ED83203">
            <w:pPr>
              <w:jc w:val="center"/>
              <w:rPr>
                <w:rFonts w:hint="eastAsia" w:ascii="宋体" w:hAnsi="宋体" w:cs="宋体"/>
                <w:sz w:val="28"/>
                <w:szCs w:val="28"/>
              </w:rPr>
            </w:pPr>
            <w:r>
              <w:rPr>
                <w:rFonts w:hint="eastAsia" w:ascii="宋体" w:hAnsi="宋体" w:cs="宋体"/>
                <w:sz w:val="28"/>
                <w:szCs w:val="28"/>
              </w:rPr>
              <w:t>内控监督部</w:t>
            </w:r>
          </w:p>
          <w:p w14:paraId="4D3A8E66">
            <w:pPr>
              <w:jc w:val="center"/>
              <w:rPr>
                <w:rFonts w:hint="eastAsia" w:ascii="宋体" w:hAnsi="宋体" w:cs="宋体"/>
                <w:sz w:val="28"/>
                <w:szCs w:val="28"/>
              </w:rPr>
            </w:pPr>
            <w:r>
              <w:rPr>
                <w:rFonts w:hint="eastAsia" w:ascii="宋体" w:hAnsi="宋体" w:cs="宋体"/>
                <w:sz w:val="28"/>
                <w:szCs w:val="28"/>
              </w:rPr>
              <w:t>审核意见</w:t>
            </w:r>
          </w:p>
        </w:tc>
        <w:tc>
          <w:tcPr>
            <w:tcW w:w="8161" w:type="dxa"/>
            <w:noWrap w:val="0"/>
            <w:vAlign w:val="top"/>
          </w:tcPr>
          <w:p w14:paraId="64454067">
            <w:pPr>
              <w:ind w:firstLine="4620" w:firstLineChars="1650"/>
              <w:rPr>
                <w:rFonts w:hint="eastAsia" w:ascii="宋体" w:hAnsi="宋体" w:cs="宋体"/>
                <w:sz w:val="28"/>
                <w:szCs w:val="28"/>
              </w:rPr>
            </w:pPr>
          </w:p>
          <w:p w14:paraId="7677C64C">
            <w:pPr>
              <w:ind w:firstLine="4620" w:firstLineChars="1650"/>
              <w:rPr>
                <w:rFonts w:hint="eastAsia" w:ascii="宋体" w:hAnsi="宋体" w:cs="宋体"/>
                <w:sz w:val="28"/>
                <w:szCs w:val="28"/>
              </w:rPr>
            </w:pPr>
            <w:r>
              <w:rPr>
                <w:rFonts w:hint="eastAsia" w:ascii="宋体" w:hAnsi="宋体" w:cs="宋体"/>
                <w:sz w:val="28"/>
                <w:szCs w:val="28"/>
              </w:rPr>
              <w:t>审核人签章：</w:t>
            </w:r>
          </w:p>
          <w:p w14:paraId="3BF2E532">
            <w:pPr>
              <w:rPr>
                <w:rFonts w:hint="eastAsia" w:ascii="宋体" w:hAnsi="宋体" w:cs="宋体"/>
                <w:sz w:val="28"/>
                <w:szCs w:val="28"/>
              </w:rPr>
            </w:pPr>
            <w:r>
              <w:rPr>
                <w:rFonts w:hint="eastAsia" w:ascii="宋体" w:hAnsi="宋体" w:cs="宋体"/>
                <w:sz w:val="28"/>
                <w:szCs w:val="28"/>
              </w:rPr>
              <w:t>　　　　　　　　　　　　　　　　            年  月  日</w:t>
            </w:r>
          </w:p>
        </w:tc>
      </w:tr>
    </w:tbl>
    <w:p w14:paraId="4CEB8373">
      <w:pPr>
        <w:widowControl w:val="0"/>
        <w:adjustRightInd w:val="0"/>
        <w:spacing w:before="120" w:after="120" w:line="360" w:lineRule="auto"/>
        <w:ind w:firstLine="0"/>
        <w:jc w:val="center"/>
        <w:textAlignment w:val="baseline"/>
        <w:rPr>
          <w:rFonts w:hint="eastAsia" w:ascii="宋体" w:hAnsi="宋体" w:eastAsia="宋体" w:cs="宋体"/>
          <w:b/>
          <w:bCs/>
          <w:kern w:val="0"/>
          <w:sz w:val="32"/>
          <w:szCs w:val="24"/>
          <w:lang w:val="en-US" w:eastAsia="zh-CN" w:bidi="ar-SA"/>
        </w:rPr>
      </w:pPr>
    </w:p>
    <w:p w14:paraId="37D600A7">
      <w:pPr>
        <w:widowControl w:val="0"/>
        <w:adjustRightInd w:val="0"/>
        <w:spacing w:before="120" w:after="120" w:line="360" w:lineRule="auto"/>
        <w:ind w:firstLine="0"/>
        <w:jc w:val="center"/>
        <w:textAlignment w:val="baseline"/>
        <w:rPr>
          <w:rFonts w:hint="eastAsia" w:ascii="宋体" w:hAnsi="宋体" w:eastAsia="宋体" w:cs="宋体"/>
          <w:b/>
          <w:bCs/>
          <w:kern w:val="0"/>
          <w:sz w:val="32"/>
          <w:szCs w:val="24"/>
          <w:lang w:val="en-US" w:eastAsia="zh-CN" w:bidi="ar-SA"/>
        </w:rPr>
      </w:pPr>
    </w:p>
    <w:p w14:paraId="41ABE15A">
      <w:pPr>
        <w:widowControl w:val="0"/>
        <w:adjustRightInd w:val="0"/>
        <w:spacing w:before="120" w:after="120" w:line="360" w:lineRule="auto"/>
        <w:ind w:firstLine="0"/>
        <w:jc w:val="center"/>
        <w:textAlignment w:val="baseline"/>
        <w:rPr>
          <w:rFonts w:hint="eastAsia" w:ascii="宋体" w:hAnsi="宋体" w:eastAsia="宋体" w:cs="宋体"/>
          <w:b/>
          <w:bCs/>
          <w:kern w:val="0"/>
          <w:sz w:val="32"/>
          <w:szCs w:val="24"/>
          <w:lang w:val="en-US" w:eastAsia="zh-CN" w:bidi="ar-SA"/>
        </w:rPr>
      </w:pPr>
    </w:p>
    <w:p w14:paraId="2AEA3222">
      <w:pPr>
        <w:widowControl w:val="0"/>
        <w:adjustRightInd w:val="0"/>
        <w:spacing w:before="120" w:after="120" w:line="360" w:lineRule="auto"/>
        <w:ind w:firstLine="0"/>
        <w:jc w:val="center"/>
        <w:textAlignment w:val="baseline"/>
        <w:rPr>
          <w:rFonts w:hint="eastAsia" w:ascii="宋体" w:hAnsi="宋体" w:eastAsia="宋体" w:cs="宋体"/>
          <w:b/>
          <w:bCs/>
          <w:kern w:val="0"/>
          <w:sz w:val="32"/>
          <w:szCs w:val="24"/>
          <w:lang w:val="en-US" w:eastAsia="zh-CN" w:bidi="ar-SA"/>
        </w:rPr>
      </w:pPr>
    </w:p>
    <w:p w14:paraId="05C97681">
      <w:pPr>
        <w:widowControl w:val="0"/>
        <w:adjustRightInd w:val="0"/>
        <w:spacing w:before="120" w:after="120" w:line="360" w:lineRule="auto"/>
        <w:ind w:firstLine="0"/>
        <w:jc w:val="center"/>
        <w:textAlignment w:val="baseline"/>
        <w:rPr>
          <w:rFonts w:ascii="宋体" w:hAnsi="宋体" w:eastAsia="宋体" w:cs="宋体"/>
          <w:b/>
          <w:bCs/>
          <w:kern w:val="0"/>
          <w:sz w:val="32"/>
          <w:szCs w:val="24"/>
          <w:lang w:val="en-US" w:eastAsia="zh-CN" w:bidi="ar-SA"/>
        </w:rPr>
      </w:pPr>
      <w:r>
        <w:rPr>
          <w:rFonts w:hint="eastAsia" w:ascii="宋体" w:hAnsi="宋体" w:eastAsia="宋体" w:cs="宋体"/>
          <w:b/>
          <w:bCs/>
          <w:kern w:val="0"/>
          <w:sz w:val="32"/>
          <w:szCs w:val="24"/>
          <w:lang w:val="en-US" w:eastAsia="zh-CN" w:bidi="ar-SA"/>
        </w:rPr>
        <w:t>新疆维吾尔</w:t>
      </w:r>
      <w:r>
        <w:rPr>
          <w:rFonts w:ascii="宋体" w:hAnsi="宋体" w:eastAsia="宋体" w:cs="宋体"/>
          <w:b/>
          <w:bCs/>
          <w:kern w:val="0"/>
          <w:sz w:val="32"/>
          <w:szCs w:val="24"/>
          <w:lang w:val="en-US" w:eastAsia="zh-CN" w:bidi="ar-SA"/>
        </w:rPr>
        <w:t>自治区公共资源交易中心</w:t>
      </w:r>
    </w:p>
    <w:p w14:paraId="1F748500">
      <w:pPr>
        <w:widowControl w:val="0"/>
        <w:adjustRightInd w:val="0"/>
        <w:spacing w:before="120" w:after="120" w:line="360" w:lineRule="auto"/>
        <w:ind w:firstLine="0"/>
        <w:jc w:val="center"/>
        <w:textAlignment w:val="baseline"/>
        <w:rPr>
          <w:rFonts w:hint="eastAsia" w:ascii="宋体" w:hAnsi="宋体" w:eastAsia="宋体" w:cs="宋体"/>
          <w:kern w:val="0"/>
          <w:sz w:val="24"/>
          <w:szCs w:val="24"/>
          <w:lang w:val="en-US" w:eastAsia="zh-CN" w:bidi="ar-SA"/>
        </w:rPr>
      </w:pPr>
      <w:r>
        <w:rPr>
          <w:rFonts w:hint="eastAsia" w:ascii="宋体" w:hAnsi="宋体" w:eastAsia="宋体" w:cs="宋体"/>
          <w:b/>
          <w:bCs/>
          <w:kern w:val="0"/>
          <w:sz w:val="32"/>
          <w:szCs w:val="24"/>
          <w:lang w:val="en-US" w:eastAsia="zh-CN" w:bidi="ar-SA"/>
        </w:rPr>
        <w:t>2026年5月</w:t>
      </w:r>
      <w:r>
        <w:rPr>
          <w:rFonts w:hint="eastAsia" w:ascii="宋体" w:hAnsi="宋体" w:cs="宋体"/>
          <w:b/>
          <w:bCs/>
          <w:kern w:val="0"/>
          <w:sz w:val="32"/>
          <w:szCs w:val="24"/>
          <w:lang w:val="en-US" w:eastAsia="zh-CN" w:bidi="ar-SA"/>
        </w:rPr>
        <w:t>26</w:t>
      </w:r>
      <w:r>
        <w:rPr>
          <w:rFonts w:hint="eastAsia" w:ascii="宋体" w:hAnsi="宋体" w:eastAsia="宋体" w:cs="宋体"/>
          <w:b/>
          <w:bCs/>
          <w:kern w:val="0"/>
          <w:sz w:val="32"/>
          <w:szCs w:val="24"/>
          <w:lang w:val="en-US" w:eastAsia="zh-CN" w:bidi="ar-SA"/>
        </w:rPr>
        <w:t>日</w:t>
      </w:r>
    </w:p>
    <w:p w14:paraId="0E2AAA08">
      <w:pPr>
        <w:rPr>
          <w:rFonts w:hint="eastAsia" w:ascii="宋体" w:hAnsi="宋体" w:cs="宋体"/>
        </w:rPr>
      </w:pPr>
      <w:r>
        <w:rPr>
          <w:rFonts w:hint="eastAsia" w:ascii="宋体" w:hAnsi="宋体" w:cs="宋体"/>
        </w:rPr>
        <w:br w:type="page"/>
      </w:r>
      <w:bookmarkStart w:id="0" w:name="_Toc120614210"/>
      <w:bookmarkStart w:id="1" w:name="_Toc494375077"/>
      <w:bookmarkStart w:id="2" w:name="_Toc479757206"/>
      <w:bookmarkStart w:id="3" w:name="_Toc523127445"/>
      <w:bookmarkStart w:id="4" w:name="_Toc16938516"/>
      <w:bookmarkStart w:id="5" w:name="_Toc513029200"/>
      <w:bookmarkStart w:id="6" w:name="_Toc20823272"/>
    </w:p>
    <w:p w14:paraId="53680E22">
      <w:pPr>
        <w:keepNext/>
        <w:keepLines/>
        <w:widowControl/>
        <w:spacing w:before="480" w:line="276" w:lineRule="auto"/>
        <w:jc w:val="center"/>
        <w:outlineLvl w:val="9"/>
        <w:rPr>
          <w:rFonts w:hint="eastAsia" w:ascii="宋体" w:hAnsi="宋体" w:eastAsia="宋体" w:cs="宋体"/>
          <w:b w:val="0"/>
          <w:bCs/>
          <w:color w:val="auto"/>
          <w:kern w:val="0"/>
          <w:sz w:val="44"/>
          <w:szCs w:val="28"/>
          <w:lang w:val="en-US" w:eastAsia="zh-CN" w:bidi="ar-SA"/>
        </w:rPr>
      </w:pPr>
      <w:r>
        <w:rPr>
          <w:rFonts w:hint="eastAsia" w:ascii="宋体" w:hAnsi="宋体" w:eastAsia="宋体" w:cs="宋体"/>
          <w:b w:val="0"/>
          <w:bCs/>
          <w:color w:val="auto"/>
          <w:kern w:val="0"/>
          <w:sz w:val="44"/>
          <w:szCs w:val="28"/>
          <w:lang w:val="en-US" w:eastAsia="zh-CN" w:bidi="ar-SA"/>
        </w:rPr>
        <w:t>总  目  录</w:t>
      </w:r>
    </w:p>
    <w:p w14:paraId="13362D5A">
      <w:pPr>
        <w:rPr>
          <w:rFonts w:hint="eastAsia" w:ascii="宋体" w:hAnsi="宋体" w:cs="宋体"/>
          <w:sz w:val="28"/>
          <w:szCs w:val="28"/>
        </w:rPr>
      </w:pPr>
    </w:p>
    <w:p w14:paraId="612037AF">
      <w:pPr>
        <w:pStyle w:val="16"/>
        <w:tabs>
          <w:tab w:val="right" w:leader="dot" w:pos="8953"/>
        </w:tabs>
      </w:pPr>
      <w:r>
        <w:rPr>
          <w:rFonts w:hint="eastAsia" w:ascii="宋体" w:hAnsi="宋体" w:eastAsia="宋体" w:cs="宋体"/>
          <w:smallCaps/>
          <w:kern w:val="2"/>
          <w:sz w:val="32"/>
          <w:szCs w:val="32"/>
          <w:lang w:val="en-US" w:eastAsia="zh-CN" w:bidi="ar-SA"/>
        </w:rPr>
        <w:fldChar w:fldCharType="begin"/>
      </w:r>
      <w:r>
        <w:rPr>
          <w:rFonts w:hint="eastAsia" w:ascii="宋体" w:hAnsi="宋体" w:eastAsia="宋体" w:cs="宋体"/>
          <w:smallCaps/>
          <w:kern w:val="2"/>
          <w:sz w:val="32"/>
          <w:szCs w:val="32"/>
          <w:lang w:val="en-US" w:eastAsia="zh-CN" w:bidi="ar-SA"/>
        </w:rPr>
        <w:instrText xml:space="preserve"> TOC \o "1-3" \h \z \u </w:instrText>
      </w:r>
      <w:r>
        <w:rPr>
          <w:rFonts w:hint="eastAsia" w:ascii="宋体" w:hAnsi="宋体" w:eastAsia="宋体" w:cs="宋体"/>
          <w:smallCaps/>
          <w:kern w:val="2"/>
          <w:sz w:val="32"/>
          <w:szCs w:val="32"/>
          <w:lang w:val="en-US" w:eastAsia="zh-CN" w:bidi="ar-SA"/>
        </w:rPr>
        <w:fldChar w:fldCharType="separate"/>
      </w:r>
      <w:r>
        <w:rPr>
          <w:rFonts w:hint="eastAsia" w:ascii="宋体" w:hAnsi="宋体" w:eastAsia="宋体" w:cs="宋体"/>
          <w:smallCaps/>
          <w:kern w:val="2"/>
          <w:szCs w:val="32"/>
          <w:lang w:val="en-US" w:eastAsia="zh-CN" w:bidi="ar-SA"/>
        </w:rPr>
        <w:fldChar w:fldCharType="begin"/>
      </w:r>
      <w:r>
        <w:rPr>
          <w:rFonts w:hint="eastAsia" w:ascii="宋体" w:hAnsi="宋体" w:eastAsia="宋体" w:cs="宋体"/>
          <w:smallCaps/>
          <w:kern w:val="2"/>
          <w:szCs w:val="32"/>
          <w:lang w:val="en-US" w:eastAsia="zh-CN" w:bidi="ar-SA"/>
        </w:rPr>
        <w:instrText xml:space="preserve"> HYPERLINK \l _Toc8399 </w:instrText>
      </w:r>
      <w:r>
        <w:rPr>
          <w:rFonts w:hint="eastAsia" w:ascii="宋体" w:hAnsi="宋体" w:eastAsia="宋体" w:cs="宋体"/>
          <w:smallCaps/>
          <w:kern w:val="2"/>
          <w:szCs w:val="32"/>
          <w:lang w:val="en-US" w:eastAsia="zh-CN" w:bidi="ar-SA"/>
        </w:rPr>
        <w:fldChar w:fldCharType="separate"/>
      </w:r>
      <w:r>
        <w:rPr>
          <w:rFonts w:hint="eastAsia" w:ascii="宋体" w:hAnsi="宋体" w:eastAsia="宋体" w:cs="宋体"/>
        </w:rPr>
        <w:t>第一章  投标邀请</w:t>
      </w:r>
      <w:r>
        <w:tab/>
      </w:r>
      <w:r>
        <w:fldChar w:fldCharType="begin"/>
      </w:r>
      <w:r>
        <w:instrText xml:space="preserve"> PAGEREF _Toc8399 </w:instrText>
      </w:r>
      <w:r>
        <w:fldChar w:fldCharType="separate"/>
      </w:r>
      <w:r>
        <w:t>4</w:t>
      </w:r>
      <w:r>
        <w:fldChar w:fldCharType="end"/>
      </w:r>
      <w:r>
        <w:rPr>
          <w:rFonts w:hint="eastAsia" w:ascii="宋体" w:hAnsi="宋体" w:eastAsia="宋体" w:cs="宋体"/>
          <w:smallCaps/>
          <w:kern w:val="2"/>
          <w:szCs w:val="32"/>
          <w:lang w:val="en-US" w:eastAsia="zh-CN" w:bidi="ar-SA"/>
        </w:rPr>
        <w:fldChar w:fldCharType="end"/>
      </w:r>
    </w:p>
    <w:p w14:paraId="07C12572">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_Toc14424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一、项目基本情况</w:t>
      </w:r>
      <w:r>
        <w:tab/>
      </w:r>
      <w:r>
        <w:fldChar w:fldCharType="begin"/>
      </w:r>
      <w:r>
        <w:instrText xml:space="preserve"> PAGEREF _Toc14424 </w:instrText>
      </w:r>
      <w:r>
        <w:fldChar w:fldCharType="separate"/>
      </w:r>
      <w:r>
        <w:t>4</w:t>
      </w:r>
      <w:r>
        <w:fldChar w:fldCharType="end"/>
      </w:r>
      <w:r>
        <w:rPr>
          <w:rFonts w:hint="eastAsia" w:ascii="宋体" w:hAnsi="宋体" w:cs="宋体"/>
          <w:bCs/>
          <w:szCs w:val="32"/>
          <w:lang w:val="zh-CN"/>
        </w:rPr>
        <w:fldChar w:fldCharType="end"/>
      </w:r>
    </w:p>
    <w:p w14:paraId="7215DFDF">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_Toc27725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二、申请人的资格要求：</w:t>
      </w:r>
      <w:r>
        <w:tab/>
      </w:r>
      <w:r>
        <w:fldChar w:fldCharType="begin"/>
      </w:r>
      <w:r>
        <w:instrText xml:space="preserve"> PAGEREF _Toc27725 </w:instrText>
      </w:r>
      <w:r>
        <w:fldChar w:fldCharType="separate"/>
      </w:r>
      <w:r>
        <w:t>5</w:t>
      </w:r>
      <w:r>
        <w:fldChar w:fldCharType="end"/>
      </w:r>
      <w:r>
        <w:rPr>
          <w:rFonts w:hint="eastAsia" w:ascii="宋体" w:hAnsi="宋体" w:cs="宋体"/>
          <w:bCs/>
          <w:szCs w:val="32"/>
          <w:lang w:val="zh-CN"/>
        </w:rPr>
        <w:fldChar w:fldCharType="end"/>
      </w:r>
    </w:p>
    <w:p w14:paraId="3799DA14">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_Toc12399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三、获取招标文件</w:t>
      </w:r>
      <w:r>
        <w:tab/>
      </w:r>
      <w:r>
        <w:fldChar w:fldCharType="begin"/>
      </w:r>
      <w:r>
        <w:instrText xml:space="preserve"> PAGEREF _Toc12399 </w:instrText>
      </w:r>
      <w:r>
        <w:fldChar w:fldCharType="separate"/>
      </w:r>
      <w:r>
        <w:t>6</w:t>
      </w:r>
      <w:r>
        <w:fldChar w:fldCharType="end"/>
      </w:r>
      <w:r>
        <w:rPr>
          <w:rFonts w:hint="eastAsia" w:ascii="宋体" w:hAnsi="宋体" w:cs="宋体"/>
          <w:bCs/>
          <w:szCs w:val="32"/>
          <w:lang w:val="zh-CN"/>
        </w:rPr>
        <w:fldChar w:fldCharType="end"/>
      </w:r>
    </w:p>
    <w:p w14:paraId="3E128E5C">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_Toc5371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四、提交投标文件截止时间、开标时间和地点</w:t>
      </w:r>
      <w:r>
        <w:tab/>
      </w:r>
      <w:r>
        <w:fldChar w:fldCharType="begin"/>
      </w:r>
      <w:r>
        <w:instrText xml:space="preserve"> PAGEREF _Toc5371 </w:instrText>
      </w:r>
      <w:r>
        <w:fldChar w:fldCharType="separate"/>
      </w:r>
      <w:r>
        <w:t>6</w:t>
      </w:r>
      <w:r>
        <w:fldChar w:fldCharType="end"/>
      </w:r>
      <w:r>
        <w:rPr>
          <w:rFonts w:hint="eastAsia" w:ascii="宋体" w:hAnsi="宋体" w:cs="宋体"/>
          <w:bCs/>
          <w:szCs w:val="32"/>
          <w:lang w:val="zh-CN"/>
        </w:rPr>
        <w:fldChar w:fldCharType="end"/>
      </w:r>
    </w:p>
    <w:p w14:paraId="6127193A">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_Toc8624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五、公告期限</w:t>
      </w:r>
      <w:r>
        <w:tab/>
      </w:r>
      <w:r>
        <w:fldChar w:fldCharType="begin"/>
      </w:r>
      <w:r>
        <w:instrText xml:space="preserve"> PAGEREF _Toc8624 </w:instrText>
      </w:r>
      <w:r>
        <w:fldChar w:fldCharType="separate"/>
      </w:r>
      <w:r>
        <w:t>6</w:t>
      </w:r>
      <w:r>
        <w:fldChar w:fldCharType="end"/>
      </w:r>
      <w:r>
        <w:rPr>
          <w:rFonts w:hint="eastAsia" w:ascii="宋体" w:hAnsi="宋体" w:cs="宋体"/>
          <w:bCs/>
          <w:szCs w:val="32"/>
          <w:lang w:val="zh-CN"/>
        </w:rPr>
        <w:fldChar w:fldCharType="end"/>
      </w:r>
    </w:p>
    <w:p w14:paraId="29521953">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_Toc9455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六、其他补充事宜</w:t>
      </w:r>
      <w:r>
        <w:tab/>
      </w:r>
      <w:r>
        <w:fldChar w:fldCharType="begin"/>
      </w:r>
      <w:r>
        <w:instrText xml:space="preserve"> PAGEREF _Toc9455 </w:instrText>
      </w:r>
      <w:r>
        <w:fldChar w:fldCharType="separate"/>
      </w:r>
      <w:r>
        <w:t>6</w:t>
      </w:r>
      <w:r>
        <w:fldChar w:fldCharType="end"/>
      </w:r>
      <w:r>
        <w:rPr>
          <w:rFonts w:hint="eastAsia" w:ascii="宋体" w:hAnsi="宋体" w:cs="宋体"/>
          <w:bCs/>
          <w:szCs w:val="32"/>
          <w:lang w:val="zh-CN"/>
        </w:rPr>
        <w:fldChar w:fldCharType="end"/>
      </w:r>
    </w:p>
    <w:p w14:paraId="0A2B8E5E">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_Toc21961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七、联系事项</w:t>
      </w:r>
      <w:r>
        <w:tab/>
      </w:r>
      <w:r>
        <w:fldChar w:fldCharType="begin"/>
      </w:r>
      <w:r>
        <w:instrText xml:space="preserve"> PAGEREF _Toc21961 </w:instrText>
      </w:r>
      <w:r>
        <w:fldChar w:fldCharType="separate"/>
      </w:r>
      <w:r>
        <w:t>6</w:t>
      </w:r>
      <w:r>
        <w:fldChar w:fldCharType="end"/>
      </w:r>
      <w:r>
        <w:rPr>
          <w:rFonts w:hint="eastAsia" w:ascii="宋体" w:hAnsi="宋体" w:cs="宋体"/>
          <w:bCs/>
          <w:szCs w:val="32"/>
          <w:lang w:val="zh-CN"/>
        </w:rPr>
        <w:fldChar w:fldCharType="end"/>
      </w:r>
    </w:p>
    <w:p w14:paraId="60766227">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_Toc12137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八、其他</w:t>
      </w:r>
      <w:r>
        <w:tab/>
      </w:r>
      <w:r>
        <w:fldChar w:fldCharType="begin"/>
      </w:r>
      <w:r>
        <w:instrText xml:space="preserve"> PAGEREF _Toc12137 </w:instrText>
      </w:r>
      <w:r>
        <w:fldChar w:fldCharType="separate"/>
      </w:r>
      <w:r>
        <w:t>7</w:t>
      </w:r>
      <w:r>
        <w:fldChar w:fldCharType="end"/>
      </w:r>
      <w:r>
        <w:rPr>
          <w:rFonts w:hint="eastAsia" w:ascii="宋体" w:hAnsi="宋体" w:cs="宋体"/>
          <w:bCs/>
          <w:szCs w:val="32"/>
          <w:lang w:val="zh-CN"/>
        </w:rPr>
        <w:fldChar w:fldCharType="end"/>
      </w:r>
    </w:p>
    <w:p w14:paraId="5C8D943C">
      <w:pPr>
        <w:pStyle w:val="16"/>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_Toc18993 </w:instrText>
      </w:r>
      <w:r>
        <w:rPr>
          <w:rFonts w:hint="eastAsia" w:ascii="宋体" w:hAnsi="宋体" w:cs="宋体"/>
          <w:bCs/>
          <w:szCs w:val="32"/>
          <w:lang w:val="zh-CN"/>
        </w:rPr>
        <w:fldChar w:fldCharType="separate"/>
      </w:r>
      <w:r>
        <w:rPr>
          <w:rFonts w:hint="eastAsia" w:ascii="宋体" w:hAnsi="宋体" w:eastAsia="宋体" w:cs="宋体"/>
        </w:rPr>
        <w:t>第二章  投标人须知</w:t>
      </w:r>
      <w:r>
        <w:tab/>
      </w:r>
      <w:r>
        <w:fldChar w:fldCharType="begin"/>
      </w:r>
      <w:r>
        <w:instrText xml:space="preserve"> PAGEREF _Toc18993 </w:instrText>
      </w:r>
      <w:r>
        <w:fldChar w:fldCharType="separate"/>
      </w:r>
      <w:r>
        <w:t>9</w:t>
      </w:r>
      <w:r>
        <w:fldChar w:fldCharType="end"/>
      </w:r>
      <w:r>
        <w:rPr>
          <w:rFonts w:hint="eastAsia" w:ascii="宋体" w:hAnsi="宋体" w:cs="宋体"/>
          <w:bCs/>
          <w:szCs w:val="32"/>
          <w:lang w:val="zh-CN"/>
        </w:rPr>
        <w:fldChar w:fldCharType="end"/>
      </w:r>
    </w:p>
    <w:p w14:paraId="29C0BA9B">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_Toc32338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一、总则</w:t>
      </w:r>
      <w:r>
        <w:tab/>
      </w:r>
      <w:r>
        <w:fldChar w:fldCharType="begin"/>
      </w:r>
      <w:r>
        <w:instrText xml:space="preserve"> PAGEREF _Toc32338 </w:instrText>
      </w:r>
      <w:r>
        <w:fldChar w:fldCharType="separate"/>
      </w:r>
      <w:r>
        <w:t>9</w:t>
      </w:r>
      <w:r>
        <w:fldChar w:fldCharType="end"/>
      </w:r>
      <w:r>
        <w:rPr>
          <w:rFonts w:hint="eastAsia" w:ascii="宋体" w:hAnsi="宋体" w:cs="宋体"/>
          <w:bCs/>
          <w:szCs w:val="32"/>
          <w:lang w:val="zh-CN"/>
        </w:rPr>
        <w:fldChar w:fldCharType="end"/>
      </w:r>
    </w:p>
    <w:p w14:paraId="7AA927F3">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_Toc8759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二、招标文件</w:t>
      </w:r>
      <w:r>
        <w:tab/>
      </w:r>
      <w:r>
        <w:fldChar w:fldCharType="begin"/>
      </w:r>
      <w:r>
        <w:instrText xml:space="preserve"> PAGEREF _Toc8759 </w:instrText>
      </w:r>
      <w:r>
        <w:fldChar w:fldCharType="separate"/>
      </w:r>
      <w:r>
        <w:t>9</w:t>
      </w:r>
      <w:r>
        <w:fldChar w:fldCharType="end"/>
      </w:r>
      <w:r>
        <w:rPr>
          <w:rFonts w:hint="eastAsia" w:ascii="宋体" w:hAnsi="宋体" w:cs="宋体"/>
          <w:bCs/>
          <w:szCs w:val="32"/>
          <w:lang w:val="zh-CN"/>
        </w:rPr>
        <w:fldChar w:fldCharType="end"/>
      </w:r>
    </w:p>
    <w:p w14:paraId="2364D7AF">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_Toc19612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三、投标文件的编制</w:t>
      </w:r>
      <w:r>
        <w:tab/>
      </w:r>
      <w:r>
        <w:fldChar w:fldCharType="begin"/>
      </w:r>
      <w:r>
        <w:instrText xml:space="preserve"> PAGEREF _Toc19612 </w:instrText>
      </w:r>
      <w:r>
        <w:fldChar w:fldCharType="separate"/>
      </w:r>
      <w:r>
        <w:t>10</w:t>
      </w:r>
      <w:r>
        <w:fldChar w:fldCharType="end"/>
      </w:r>
      <w:r>
        <w:rPr>
          <w:rFonts w:hint="eastAsia" w:ascii="宋体" w:hAnsi="宋体" w:cs="宋体"/>
          <w:bCs/>
          <w:szCs w:val="32"/>
          <w:lang w:val="zh-CN"/>
        </w:rPr>
        <w:fldChar w:fldCharType="end"/>
      </w:r>
    </w:p>
    <w:p w14:paraId="6B682049">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_Toc18015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四、投标文件的递交</w:t>
      </w:r>
      <w:r>
        <w:tab/>
      </w:r>
      <w:r>
        <w:fldChar w:fldCharType="begin"/>
      </w:r>
      <w:r>
        <w:instrText xml:space="preserve"> PAGEREF _Toc18015 </w:instrText>
      </w:r>
      <w:r>
        <w:fldChar w:fldCharType="separate"/>
      </w:r>
      <w:r>
        <w:t>13</w:t>
      </w:r>
      <w:r>
        <w:fldChar w:fldCharType="end"/>
      </w:r>
      <w:r>
        <w:rPr>
          <w:rFonts w:hint="eastAsia" w:ascii="宋体" w:hAnsi="宋体" w:cs="宋体"/>
          <w:bCs/>
          <w:szCs w:val="32"/>
          <w:lang w:val="zh-CN"/>
        </w:rPr>
        <w:fldChar w:fldCharType="end"/>
      </w:r>
    </w:p>
    <w:p w14:paraId="057BBB09">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_Toc31922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五、开标与评标</w:t>
      </w:r>
      <w:r>
        <w:tab/>
      </w:r>
      <w:r>
        <w:fldChar w:fldCharType="begin"/>
      </w:r>
      <w:r>
        <w:instrText xml:space="preserve"> PAGEREF _Toc31922 </w:instrText>
      </w:r>
      <w:r>
        <w:fldChar w:fldCharType="separate"/>
      </w:r>
      <w:r>
        <w:t>14</w:t>
      </w:r>
      <w:r>
        <w:fldChar w:fldCharType="end"/>
      </w:r>
      <w:r>
        <w:rPr>
          <w:rFonts w:hint="eastAsia" w:ascii="宋体" w:hAnsi="宋体" w:cs="宋体"/>
          <w:bCs/>
          <w:szCs w:val="32"/>
          <w:lang w:val="zh-CN"/>
        </w:rPr>
        <w:fldChar w:fldCharType="end"/>
      </w:r>
    </w:p>
    <w:p w14:paraId="0C12381A">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_Toc914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六、定标</w:t>
      </w:r>
      <w:r>
        <w:tab/>
      </w:r>
      <w:r>
        <w:fldChar w:fldCharType="begin"/>
      </w:r>
      <w:r>
        <w:instrText xml:space="preserve"> PAGEREF _Toc914 </w:instrText>
      </w:r>
      <w:r>
        <w:fldChar w:fldCharType="separate"/>
      </w:r>
      <w:r>
        <w:t>19</w:t>
      </w:r>
      <w:r>
        <w:fldChar w:fldCharType="end"/>
      </w:r>
      <w:r>
        <w:rPr>
          <w:rFonts w:hint="eastAsia" w:ascii="宋体" w:hAnsi="宋体" w:cs="宋体"/>
          <w:bCs/>
          <w:szCs w:val="32"/>
          <w:lang w:val="zh-CN"/>
        </w:rPr>
        <w:fldChar w:fldCharType="end"/>
      </w:r>
    </w:p>
    <w:p w14:paraId="50F7E94F">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_Toc29532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七、授予合同</w:t>
      </w:r>
      <w:r>
        <w:tab/>
      </w:r>
      <w:r>
        <w:fldChar w:fldCharType="begin"/>
      </w:r>
      <w:r>
        <w:instrText xml:space="preserve"> PAGEREF _Toc29532 </w:instrText>
      </w:r>
      <w:r>
        <w:fldChar w:fldCharType="separate"/>
      </w:r>
      <w:r>
        <w:t>21</w:t>
      </w:r>
      <w:r>
        <w:fldChar w:fldCharType="end"/>
      </w:r>
      <w:r>
        <w:rPr>
          <w:rFonts w:hint="eastAsia" w:ascii="宋体" w:hAnsi="宋体" w:cs="宋体"/>
          <w:bCs/>
          <w:szCs w:val="32"/>
          <w:lang w:val="zh-CN"/>
        </w:rPr>
        <w:fldChar w:fldCharType="end"/>
      </w:r>
    </w:p>
    <w:p w14:paraId="14F659B1">
      <w:pPr>
        <w:pStyle w:val="16"/>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_Toc20723 </w:instrText>
      </w:r>
      <w:r>
        <w:rPr>
          <w:rFonts w:hint="eastAsia" w:ascii="宋体" w:hAnsi="宋体" w:cs="宋体"/>
          <w:bCs/>
          <w:szCs w:val="32"/>
          <w:lang w:val="zh-CN"/>
        </w:rPr>
        <w:fldChar w:fldCharType="separate"/>
      </w:r>
      <w:r>
        <w:rPr>
          <w:rFonts w:hint="eastAsia" w:ascii="宋体" w:hAnsi="宋体" w:eastAsia="宋体" w:cs="宋体"/>
        </w:rPr>
        <w:t>第三章  合同文本</w:t>
      </w:r>
      <w:r>
        <w:tab/>
      </w:r>
      <w:r>
        <w:fldChar w:fldCharType="begin"/>
      </w:r>
      <w:r>
        <w:instrText xml:space="preserve"> PAGEREF _Toc20723 </w:instrText>
      </w:r>
      <w:r>
        <w:fldChar w:fldCharType="separate"/>
      </w:r>
      <w:r>
        <w:t>23</w:t>
      </w:r>
      <w:r>
        <w:fldChar w:fldCharType="end"/>
      </w:r>
      <w:r>
        <w:rPr>
          <w:rFonts w:hint="eastAsia" w:ascii="宋体" w:hAnsi="宋体" w:cs="宋体"/>
          <w:bCs/>
          <w:szCs w:val="32"/>
          <w:lang w:val="zh-CN"/>
        </w:rPr>
        <w:fldChar w:fldCharType="end"/>
      </w:r>
    </w:p>
    <w:p w14:paraId="16B2856D">
      <w:pPr>
        <w:pStyle w:val="16"/>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_Toc17085 </w:instrText>
      </w:r>
      <w:r>
        <w:rPr>
          <w:rFonts w:hint="eastAsia" w:ascii="宋体" w:hAnsi="宋体" w:cs="宋体"/>
          <w:bCs/>
          <w:szCs w:val="32"/>
          <w:lang w:val="zh-CN"/>
        </w:rPr>
        <w:fldChar w:fldCharType="separate"/>
      </w:r>
      <w:r>
        <w:rPr>
          <w:rFonts w:hint="eastAsia" w:ascii="宋体" w:hAnsi="宋体" w:eastAsia="宋体" w:cs="宋体"/>
        </w:rPr>
        <w:t>第四章  项目需求</w:t>
      </w:r>
      <w:r>
        <w:tab/>
      </w:r>
      <w:r>
        <w:fldChar w:fldCharType="begin"/>
      </w:r>
      <w:r>
        <w:instrText xml:space="preserve"> PAGEREF _Toc17085 </w:instrText>
      </w:r>
      <w:r>
        <w:fldChar w:fldCharType="separate"/>
      </w:r>
      <w:r>
        <w:t>27</w:t>
      </w:r>
      <w:r>
        <w:fldChar w:fldCharType="end"/>
      </w:r>
      <w:r>
        <w:rPr>
          <w:rFonts w:hint="eastAsia" w:ascii="宋体" w:hAnsi="宋体" w:cs="宋体"/>
          <w:bCs/>
          <w:szCs w:val="32"/>
          <w:lang w:val="zh-CN"/>
        </w:rPr>
        <w:fldChar w:fldCharType="end"/>
      </w:r>
    </w:p>
    <w:p w14:paraId="08E52075">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_Toc22882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一、技术需求</w:t>
      </w:r>
      <w:r>
        <w:tab/>
      </w:r>
      <w:r>
        <w:fldChar w:fldCharType="begin"/>
      </w:r>
      <w:r>
        <w:instrText xml:space="preserve"> PAGEREF _Toc22882 </w:instrText>
      </w:r>
      <w:r>
        <w:fldChar w:fldCharType="separate"/>
      </w:r>
      <w:r>
        <w:t>27</w:t>
      </w:r>
      <w:r>
        <w:fldChar w:fldCharType="end"/>
      </w:r>
      <w:r>
        <w:rPr>
          <w:rFonts w:hint="eastAsia" w:ascii="宋体" w:hAnsi="宋体" w:cs="宋体"/>
          <w:bCs/>
          <w:szCs w:val="32"/>
          <w:lang w:val="zh-CN"/>
        </w:rPr>
        <w:fldChar w:fldCharType="end"/>
      </w:r>
    </w:p>
    <w:p w14:paraId="1F6A0E8F">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_Toc28251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（一）项目概述及需求</w:t>
      </w:r>
      <w:r>
        <w:tab/>
      </w:r>
      <w:r>
        <w:fldChar w:fldCharType="begin"/>
      </w:r>
      <w:r>
        <w:instrText xml:space="preserve"> PAGEREF _Toc28251 </w:instrText>
      </w:r>
      <w:r>
        <w:fldChar w:fldCharType="separate"/>
      </w:r>
      <w:r>
        <w:t>27</w:t>
      </w:r>
      <w:r>
        <w:fldChar w:fldCharType="end"/>
      </w:r>
      <w:r>
        <w:rPr>
          <w:rFonts w:hint="eastAsia" w:ascii="宋体" w:hAnsi="宋体" w:cs="宋体"/>
          <w:bCs/>
          <w:szCs w:val="32"/>
          <w:lang w:val="zh-CN"/>
        </w:rPr>
        <w:fldChar w:fldCharType="end"/>
      </w:r>
    </w:p>
    <w:p w14:paraId="1FD08A5F">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_Toc3558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（二）项目技术规格及要求</w:t>
      </w:r>
      <w:r>
        <w:tab/>
      </w:r>
      <w:r>
        <w:fldChar w:fldCharType="begin"/>
      </w:r>
      <w:r>
        <w:instrText xml:space="preserve"> PAGEREF _Toc3558 </w:instrText>
      </w:r>
      <w:r>
        <w:fldChar w:fldCharType="separate"/>
      </w:r>
      <w:r>
        <w:t>33</w:t>
      </w:r>
      <w:r>
        <w:fldChar w:fldCharType="end"/>
      </w:r>
      <w:r>
        <w:rPr>
          <w:rFonts w:hint="eastAsia" w:ascii="宋体" w:hAnsi="宋体" w:cs="宋体"/>
          <w:bCs/>
          <w:szCs w:val="32"/>
          <w:lang w:val="zh-CN"/>
        </w:rPr>
        <w:fldChar w:fldCharType="end"/>
      </w:r>
    </w:p>
    <w:p w14:paraId="3A36BE58">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_Toc6225 </w:instrText>
      </w:r>
      <w:r>
        <w:rPr>
          <w:rFonts w:hint="eastAsia" w:ascii="宋体" w:hAnsi="宋体" w:cs="宋体"/>
          <w:bCs/>
          <w:szCs w:val="32"/>
          <w:lang w:val="zh-CN"/>
        </w:rPr>
        <w:fldChar w:fldCharType="separate"/>
      </w:r>
      <w:r>
        <w:rPr>
          <w:rFonts w:hint="eastAsia" w:ascii="Times New Roman" w:hAnsi="Times New Roman" w:eastAsia="宋体" w:cs="Times New Roman"/>
          <w:bCs/>
          <w:kern w:val="2"/>
          <w:szCs w:val="32"/>
          <w:lang w:val="en-US" w:eastAsia="zh-CN" w:bidi="ar-SA"/>
        </w:rPr>
        <w:t>（三）技术参数要求</w:t>
      </w:r>
      <w:r>
        <w:tab/>
      </w:r>
      <w:r>
        <w:fldChar w:fldCharType="begin"/>
      </w:r>
      <w:r>
        <w:instrText xml:space="preserve"> PAGEREF _Toc6225 </w:instrText>
      </w:r>
      <w:r>
        <w:fldChar w:fldCharType="separate"/>
      </w:r>
      <w:r>
        <w:t>37</w:t>
      </w:r>
      <w:r>
        <w:fldChar w:fldCharType="end"/>
      </w:r>
      <w:r>
        <w:rPr>
          <w:rFonts w:hint="eastAsia" w:ascii="宋体" w:hAnsi="宋体" w:cs="宋体"/>
          <w:bCs/>
          <w:szCs w:val="32"/>
          <w:lang w:val="zh-CN"/>
        </w:rPr>
        <w:fldChar w:fldCharType="end"/>
      </w:r>
    </w:p>
    <w:p w14:paraId="382782CA">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_Toc28824 </w:instrText>
      </w:r>
      <w:r>
        <w:rPr>
          <w:rFonts w:hint="eastAsia" w:ascii="宋体" w:hAnsi="宋体" w:cs="宋体"/>
          <w:bCs/>
          <w:szCs w:val="32"/>
          <w:lang w:val="zh-CN"/>
        </w:rPr>
        <w:fldChar w:fldCharType="separate"/>
      </w:r>
      <w:r>
        <w:rPr>
          <w:rFonts w:hint="eastAsia" w:ascii="Times New Roman" w:hAnsi="Times New Roman" w:eastAsia="宋体" w:cs="Times New Roman"/>
          <w:bCs/>
          <w:kern w:val="2"/>
          <w:szCs w:val="32"/>
          <w:lang w:val="en-US" w:eastAsia="zh-CN" w:bidi="ar-SA"/>
        </w:rPr>
        <w:t>（四）系统功能或服务要求</w:t>
      </w:r>
      <w:r>
        <w:tab/>
      </w:r>
      <w:r>
        <w:fldChar w:fldCharType="begin"/>
      </w:r>
      <w:r>
        <w:instrText xml:space="preserve"> PAGEREF _Toc28824 </w:instrText>
      </w:r>
      <w:r>
        <w:fldChar w:fldCharType="separate"/>
      </w:r>
      <w:r>
        <w:t>39</w:t>
      </w:r>
      <w:r>
        <w:fldChar w:fldCharType="end"/>
      </w:r>
      <w:r>
        <w:rPr>
          <w:rFonts w:hint="eastAsia" w:ascii="宋体" w:hAnsi="宋体" w:cs="宋体"/>
          <w:bCs/>
          <w:szCs w:val="32"/>
          <w:lang w:val="zh-CN"/>
        </w:rPr>
        <w:fldChar w:fldCharType="end"/>
      </w:r>
    </w:p>
    <w:p w14:paraId="07EB7ACE">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_Toc10520 </w:instrText>
      </w:r>
      <w:r>
        <w:rPr>
          <w:rFonts w:hint="eastAsia" w:ascii="宋体" w:hAnsi="宋体" w:cs="宋体"/>
          <w:bCs/>
          <w:szCs w:val="32"/>
          <w:lang w:val="zh-CN"/>
        </w:rPr>
        <w:fldChar w:fldCharType="separate"/>
      </w:r>
      <w:r>
        <w:rPr>
          <w:rFonts w:hint="eastAsia" w:ascii="Times New Roman" w:hAnsi="Times New Roman" w:eastAsia="宋体" w:cs="Times New Roman"/>
          <w:bCs/>
          <w:kern w:val="2"/>
          <w:szCs w:val="32"/>
          <w:lang w:val="en-US" w:eastAsia="zh-CN" w:bidi="ar-SA"/>
        </w:rPr>
        <w:t>（五） 服务方案要求</w:t>
      </w:r>
      <w:r>
        <w:tab/>
      </w:r>
      <w:r>
        <w:fldChar w:fldCharType="begin"/>
      </w:r>
      <w:r>
        <w:instrText xml:space="preserve"> PAGEREF _Toc10520 </w:instrText>
      </w:r>
      <w:r>
        <w:fldChar w:fldCharType="separate"/>
      </w:r>
      <w:r>
        <w:t>74</w:t>
      </w:r>
      <w:r>
        <w:fldChar w:fldCharType="end"/>
      </w:r>
      <w:r>
        <w:rPr>
          <w:rFonts w:hint="eastAsia" w:ascii="宋体" w:hAnsi="宋体" w:cs="宋体"/>
          <w:bCs/>
          <w:szCs w:val="32"/>
          <w:lang w:val="zh-CN"/>
        </w:rPr>
        <w:fldChar w:fldCharType="end"/>
      </w:r>
    </w:p>
    <w:p w14:paraId="27FD4289">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_Toc972 </w:instrText>
      </w:r>
      <w:r>
        <w:rPr>
          <w:rFonts w:hint="eastAsia" w:ascii="宋体" w:hAnsi="宋体" w:cs="宋体"/>
          <w:bCs/>
          <w:szCs w:val="32"/>
          <w:lang w:val="zh-CN"/>
        </w:rPr>
        <w:fldChar w:fldCharType="separate"/>
      </w:r>
      <w:r>
        <w:rPr>
          <w:rFonts w:hint="eastAsia" w:ascii="Times New Roman" w:hAnsi="Times New Roman" w:eastAsia="宋体" w:cs="Times New Roman"/>
          <w:bCs/>
          <w:kern w:val="2"/>
          <w:szCs w:val="32"/>
          <w:lang w:val="en-US" w:eastAsia="zh-CN" w:bidi="ar-SA"/>
        </w:rPr>
        <w:t xml:space="preserve">（六） </w:t>
      </w:r>
      <w:r>
        <w:rPr>
          <w:rFonts w:ascii="Times New Roman" w:hAnsi="Times New Roman" w:eastAsia="宋体" w:cs="Times New Roman"/>
          <w:bCs/>
          <w:kern w:val="2"/>
          <w:szCs w:val="32"/>
          <w:lang w:val="en-US" w:eastAsia="zh-CN" w:bidi="ar-SA"/>
        </w:rPr>
        <w:t>实施要求</w:t>
      </w:r>
      <w:r>
        <w:tab/>
      </w:r>
      <w:r>
        <w:fldChar w:fldCharType="begin"/>
      </w:r>
      <w:r>
        <w:instrText xml:space="preserve"> PAGEREF _Toc972 </w:instrText>
      </w:r>
      <w:r>
        <w:fldChar w:fldCharType="separate"/>
      </w:r>
      <w:r>
        <w:t>74</w:t>
      </w:r>
      <w:r>
        <w:fldChar w:fldCharType="end"/>
      </w:r>
      <w:r>
        <w:rPr>
          <w:rFonts w:hint="eastAsia" w:ascii="宋体" w:hAnsi="宋体" w:cs="宋体"/>
          <w:bCs/>
          <w:szCs w:val="32"/>
          <w:lang w:val="zh-CN"/>
        </w:rPr>
        <w:fldChar w:fldCharType="end"/>
      </w:r>
    </w:p>
    <w:p w14:paraId="765E0705">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_Toc20104 </w:instrText>
      </w:r>
      <w:r>
        <w:rPr>
          <w:rFonts w:hint="eastAsia" w:ascii="宋体" w:hAnsi="宋体" w:cs="宋体"/>
          <w:bCs/>
          <w:szCs w:val="32"/>
          <w:lang w:val="zh-CN"/>
        </w:rPr>
        <w:fldChar w:fldCharType="separate"/>
      </w:r>
      <w:r>
        <w:rPr>
          <w:rFonts w:hint="eastAsia" w:ascii="Times New Roman" w:hAnsi="Times New Roman" w:eastAsia="宋体" w:cs="Times New Roman"/>
          <w:bCs/>
          <w:kern w:val="2"/>
          <w:szCs w:val="32"/>
          <w:lang w:val="en-US" w:eastAsia="zh-CN" w:bidi="ar-SA"/>
        </w:rPr>
        <w:t xml:space="preserve">（七） </w:t>
      </w:r>
      <w:r>
        <w:rPr>
          <w:rFonts w:ascii="Times New Roman" w:hAnsi="Times New Roman" w:eastAsia="宋体" w:cs="Times New Roman"/>
          <w:bCs/>
          <w:kern w:val="2"/>
          <w:szCs w:val="32"/>
          <w:lang w:val="en-US" w:eastAsia="zh-CN" w:bidi="ar-SA"/>
        </w:rPr>
        <w:t>运维要求</w:t>
      </w:r>
      <w:r>
        <w:tab/>
      </w:r>
      <w:r>
        <w:fldChar w:fldCharType="begin"/>
      </w:r>
      <w:r>
        <w:instrText xml:space="preserve"> PAGEREF _Toc20104 </w:instrText>
      </w:r>
      <w:r>
        <w:fldChar w:fldCharType="separate"/>
      </w:r>
      <w:r>
        <w:t>75</w:t>
      </w:r>
      <w:r>
        <w:fldChar w:fldCharType="end"/>
      </w:r>
      <w:r>
        <w:rPr>
          <w:rFonts w:hint="eastAsia" w:ascii="宋体" w:hAnsi="宋体" w:cs="宋体"/>
          <w:bCs/>
          <w:szCs w:val="32"/>
          <w:lang w:val="zh-CN"/>
        </w:rPr>
        <w:fldChar w:fldCharType="end"/>
      </w:r>
    </w:p>
    <w:p w14:paraId="389D9E9A">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_Toc26496 </w:instrText>
      </w:r>
      <w:r>
        <w:rPr>
          <w:rFonts w:hint="eastAsia" w:ascii="宋体" w:hAnsi="宋体" w:cs="宋体"/>
          <w:bCs/>
          <w:szCs w:val="32"/>
          <w:lang w:val="zh-CN"/>
        </w:rPr>
        <w:fldChar w:fldCharType="separate"/>
      </w:r>
      <w:r>
        <w:rPr>
          <w:rFonts w:hint="eastAsia" w:ascii="Times New Roman" w:hAnsi="Times New Roman" w:eastAsia="宋体" w:cs="Times New Roman"/>
          <w:bCs/>
          <w:kern w:val="2"/>
          <w:szCs w:val="32"/>
          <w:lang w:val="en-US" w:eastAsia="zh-CN" w:bidi="ar-SA"/>
        </w:rPr>
        <w:t xml:space="preserve">（八） </w:t>
      </w:r>
      <w:r>
        <w:rPr>
          <w:rFonts w:ascii="Times New Roman" w:hAnsi="Times New Roman" w:eastAsia="宋体" w:cs="Times New Roman"/>
          <w:bCs/>
          <w:kern w:val="2"/>
          <w:szCs w:val="32"/>
          <w:lang w:val="en-US" w:eastAsia="zh-CN" w:bidi="ar-SA"/>
        </w:rPr>
        <w:t>售后服务</w:t>
      </w:r>
      <w:r>
        <w:tab/>
      </w:r>
      <w:r>
        <w:fldChar w:fldCharType="begin"/>
      </w:r>
      <w:r>
        <w:instrText xml:space="preserve"> PAGEREF _Toc26496 </w:instrText>
      </w:r>
      <w:r>
        <w:fldChar w:fldCharType="separate"/>
      </w:r>
      <w:r>
        <w:t>76</w:t>
      </w:r>
      <w:r>
        <w:fldChar w:fldCharType="end"/>
      </w:r>
      <w:r>
        <w:rPr>
          <w:rFonts w:hint="eastAsia" w:ascii="宋体" w:hAnsi="宋体" w:cs="宋体"/>
          <w:bCs/>
          <w:szCs w:val="32"/>
          <w:lang w:val="zh-CN"/>
        </w:rPr>
        <w:fldChar w:fldCharType="end"/>
      </w:r>
    </w:p>
    <w:p w14:paraId="5296AD7C">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_Toc21508 </w:instrText>
      </w:r>
      <w:r>
        <w:rPr>
          <w:rFonts w:hint="eastAsia" w:ascii="宋体" w:hAnsi="宋体" w:cs="宋体"/>
          <w:bCs/>
          <w:szCs w:val="32"/>
          <w:lang w:val="zh-CN"/>
        </w:rPr>
        <w:fldChar w:fldCharType="separate"/>
      </w:r>
      <w:r>
        <w:rPr>
          <w:rFonts w:hint="eastAsia" w:ascii="Times New Roman" w:hAnsi="Times New Roman" w:eastAsia="宋体" w:cs="Times New Roman"/>
          <w:bCs/>
          <w:kern w:val="2"/>
          <w:szCs w:val="32"/>
          <w:lang w:val="en-US" w:eastAsia="zh-CN" w:bidi="ar-SA"/>
        </w:rPr>
        <w:t xml:space="preserve">（九） </w:t>
      </w:r>
      <w:r>
        <w:rPr>
          <w:rFonts w:ascii="Times New Roman" w:hAnsi="Times New Roman" w:eastAsia="宋体" w:cs="Times New Roman"/>
          <w:bCs/>
          <w:kern w:val="2"/>
          <w:szCs w:val="32"/>
          <w:lang w:val="en-US" w:eastAsia="zh-CN" w:bidi="ar-SA"/>
        </w:rPr>
        <w:t>培训要求</w:t>
      </w:r>
      <w:r>
        <w:tab/>
      </w:r>
      <w:r>
        <w:fldChar w:fldCharType="begin"/>
      </w:r>
      <w:r>
        <w:instrText xml:space="preserve"> PAGEREF _Toc21508 </w:instrText>
      </w:r>
      <w:r>
        <w:fldChar w:fldCharType="separate"/>
      </w:r>
      <w:r>
        <w:t>76</w:t>
      </w:r>
      <w:r>
        <w:fldChar w:fldCharType="end"/>
      </w:r>
      <w:r>
        <w:rPr>
          <w:rFonts w:hint="eastAsia" w:ascii="宋体" w:hAnsi="宋体" w:cs="宋体"/>
          <w:bCs/>
          <w:szCs w:val="32"/>
          <w:lang w:val="zh-CN"/>
        </w:rPr>
        <w:fldChar w:fldCharType="end"/>
      </w:r>
    </w:p>
    <w:p w14:paraId="35499B65">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_Toc16227 </w:instrText>
      </w:r>
      <w:r>
        <w:rPr>
          <w:rFonts w:hint="eastAsia" w:ascii="宋体" w:hAnsi="宋体" w:cs="宋体"/>
          <w:bCs/>
          <w:szCs w:val="32"/>
          <w:lang w:val="zh-CN"/>
        </w:rPr>
        <w:fldChar w:fldCharType="separate"/>
      </w:r>
      <w:r>
        <w:rPr>
          <w:rFonts w:hint="eastAsia" w:ascii="Times New Roman" w:hAnsi="Times New Roman" w:eastAsia="宋体" w:cs="Times New Roman"/>
          <w:bCs/>
          <w:kern w:val="2"/>
          <w:szCs w:val="32"/>
          <w:lang w:val="en-US" w:eastAsia="zh-CN" w:bidi="ar-SA"/>
        </w:rPr>
        <w:t>二、商务条款</w:t>
      </w:r>
      <w:r>
        <w:tab/>
      </w:r>
      <w:r>
        <w:fldChar w:fldCharType="begin"/>
      </w:r>
      <w:r>
        <w:instrText xml:space="preserve"> PAGEREF _Toc16227 </w:instrText>
      </w:r>
      <w:r>
        <w:fldChar w:fldCharType="separate"/>
      </w:r>
      <w:r>
        <w:t>77</w:t>
      </w:r>
      <w:r>
        <w:fldChar w:fldCharType="end"/>
      </w:r>
      <w:r>
        <w:rPr>
          <w:rFonts w:hint="eastAsia" w:ascii="宋体" w:hAnsi="宋体" w:cs="宋体"/>
          <w:bCs/>
          <w:szCs w:val="32"/>
          <w:lang w:val="zh-CN"/>
        </w:rPr>
        <w:fldChar w:fldCharType="end"/>
      </w:r>
    </w:p>
    <w:p w14:paraId="62F66B5A">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_Toc9458 </w:instrText>
      </w:r>
      <w:r>
        <w:rPr>
          <w:rFonts w:hint="eastAsia" w:ascii="宋体" w:hAnsi="宋体" w:cs="宋体"/>
          <w:bCs/>
          <w:szCs w:val="32"/>
          <w:lang w:val="zh-CN"/>
        </w:rPr>
        <w:fldChar w:fldCharType="separate"/>
      </w:r>
      <w:r>
        <w:rPr>
          <w:rFonts w:hint="eastAsia" w:ascii="Times New Roman" w:hAnsi="Times New Roman" w:eastAsia="宋体" w:cs="Times New Roman"/>
          <w:bCs/>
          <w:kern w:val="2"/>
          <w:szCs w:val="32"/>
          <w:lang w:val="en-US" w:eastAsia="zh-CN" w:bidi="ar-SA"/>
        </w:rPr>
        <w:t>（一）服务期限</w:t>
      </w:r>
      <w:r>
        <w:tab/>
      </w:r>
      <w:r>
        <w:fldChar w:fldCharType="begin"/>
      </w:r>
      <w:r>
        <w:instrText xml:space="preserve"> PAGEREF _Toc9458 </w:instrText>
      </w:r>
      <w:r>
        <w:fldChar w:fldCharType="separate"/>
      </w:r>
      <w:r>
        <w:t>77</w:t>
      </w:r>
      <w:r>
        <w:fldChar w:fldCharType="end"/>
      </w:r>
      <w:r>
        <w:rPr>
          <w:rFonts w:hint="eastAsia" w:ascii="宋体" w:hAnsi="宋体" w:cs="宋体"/>
          <w:bCs/>
          <w:szCs w:val="32"/>
          <w:lang w:val="zh-CN"/>
        </w:rPr>
        <w:fldChar w:fldCharType="end"/>
      </w:r>
    </w:p>
    <w:p w14:paraId="6B02197D">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_Toc3569 </w:instrText>
      </w:r>
      <w:r>
        <w:rPr>
          <w:rFonts w:hint="eastAsia" w:ascii="宋体" w:hAnsi="宋体" w:cs="宋体"/>
          <w:bCs/>
          <w:szCs w:val="32"/>
          <w:lang w:val="zh-CN"/>
        </w:rPr>
        <w:fldChar w:fldCharType="separate"/>
      </w:r>
      <w:r>
        <w:rPr>
          <w:rFonts w:hint="eastAsia" w:ascii="Times New Roman" w:hAnsi="Times New Roman" w:eastAsia="宋体" w:cs="Times New Roman"/>
          <w:bCs/>
          <w:kern w:val="2"/>
          <w:szCs w:val="32"/>
          <w:lang w:val="en-US" w:eastAsia="zh-CN" w:bidi="ar-SA"/>
        </w:rPr>
        <w:t>（二）款项支付</w:t>
      </w:r>
      <w:r>
        <w:tab/>
      </w:r>
      <w:r>
        <w:fldChar w:fldCharType="begin"/>
      </w:r>
      <w:r>
        <w:instrText xml:space="preserve"> PAGEREF _Toc3569 </w:instrText>
      </w:r>
      <w:r>
        <w:fldChar w:fldCharType="separate"/>
      </w:r>
      <w:r>
        <w:t>77</w:t>
      </w:r>
      <w:r>
        <w:fldChar w:fldCharType="end"/>
      </w:r>
      <w:r>
        <w:rPr>
          <w:rFonts w:hint="eastAsia" w:ascii="宋体" w:hAnsi="宋体" w:cs="宋体"/>
          <w:bCs/>
          <w:szCs w:val="32"/>
          <w:lang w:val="zh-CN"/>
        </w:rPr>
        <w:fldChar w:fldCharType="end"/>
      </w:r>
    </w:p>
    <w:p w14:paraId="37EF6826">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_Toc5092 </w:instrText>
      </w:r>
      <w:r>
        <w:rPr>
          <w:rFonts w:hint="eastAsia" w:ascii="宋体" w:hAnsi="宋体" w:cs="宋体"/>
          <w:bCs/>
          <w:szCs w:val="32"/>
          <w:lang w:val="zh-CN"/>
        </w:rPr>
        <w:fldChar w:fldCharType="separate"/>
      </w:r>
      <w:r>
        <w:rPr>
          <w:rFonts w:hint="eastAsia" w:ascii="Times New Roman" w:hAnsi="Times New Roman" w:eastAsia="宋体" w:cs="Times New Roman"/>
          <w:bCs/>
          <w:kern w:val="2"/>
          <w:szCs w:val="32"/>
          <w:lang w:val="en-US" w:eastAsia="zh-CN" w:bidi="ar-SA"/>
        </w:rPr>
        <w:t>（三）验收依据及方式</w:t>
      </w:r>
      <w:r>
        <w:tab/>
      </w:r>
      <w:r>
        <w:fldChar w:fldCharType="begin"/>
      </w:r>
      <w:r>
        <w:instrText xml:space="preserve"> PAGEREF _Toc5092 </w:instrText>
      </w:r>
      <w:r>
        <w:fldChar w:fldCharType="separate"/>
      </w:r>
      <w:r>
        <w:t>77</w:t>
      </w:r>
      <w:r>
        <w:fldChar w:fldCharType="end"/>
      </w:r>
      <w:r>
        <w:rPr>
          <w:rFonts w:hint="eastAsia" w:ascii="宋体" w:hAnsi="宋体" w:cs="宋体"/>
          <w:bCs/>
          <w:szCs w:val="32"/>
          <w:lang w:val="zh-CN"/>
        </w:rPr>
        <w:fldChar w:fldCharType="end"/>
      </w:r>
    </w:p>
    <w:p w14:paraId="776868F4">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_Toc21868 </w:instrText>
      </w:r>
      <w:r>
        <w:rPr>
          <w:rFonts w:hint="eastAsia" w:ascii="宋体" w:hAnsi="宋体" w:cs="宋体"/>
          <w:bCs/>
          <w:szCs w:val="32"/>
          <w:lang w:val="zh-CN"/>
        </w:rPr>
        <w:fldChar w:fldCharType="separate"/>
      </w:r>
      <w:r>
        <w:rPr>
          <w:rFonts w:hint="eastAsia" w:ascii="Times New Roman" w:hAnsi="Times New Roman" w:eastAsia="宋体" w:cs="Times New Roman"/>
          <w:bCs/>
          <w:kern w:val="2"/>
          <w:szCs w:val="32"/>
          <w:lang w:val="en-US" w:eastAsia="zh-CN" w:bidi="ar-SA"/>
        </w:rPr>
        <w:t>（四）知识产权归属</w:t>
      </w:r>
      <w:r>
        <w:tab/>
      </w:r>
      <w:r>
        <w:fldChar w:fldCharType="begin"/>
      </w:r>
      <w:r>
        <w:instrText xml:space="preserve"> PAGEREF _Toc21868 </w:instrText>
      </w:r>
      <w:r>
        <w:fldChar w:fldCharType="separate"/>
      </w:r>
      <w:r>
        <w:t>78</w:t>
      </w:r>
      <w:r>
        <w:fldChar w:fldCharType="end"/>
      </w:r>
      <w:r>
        <w:rPr>
          <w:rFonts w:hint="eastAsia" w:ascii="宋体" w:hAnsi="宋体" w:cs="宋体"/>
          <w:bCs/>
          <w:szCs w:val="32"/>
          <w:lang w:val="zh-CN"/>
        </w:rPr>
        <w:fldChar w:fldCharType="end"/>
      </w:r>
    </w:p>
    <w:p w14:paraId="62DD0F1D">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_Toc5153 </w:instrText>
      </w:r>
      <w:r>
        <w:rPr>
          <w:rFonts w:hint="eastAsia" w:ascii="宋体" w:hAnsi="宋体" w:cs="宋体"/>
          <w:bCs/>
          <w:szCs w:val="32"/>
          <w:lang w:val="zh-CN"/>
        </w:rPr>
        <w:fldChar w:fldCharType="separate"/>
      </w:r>
      <w:r>
        <w:rPr>
          <w:rFonts w:hint="eastAsia" w:ascii="Times New Roman" w:hAnsi="Times New Roman" w:eastAsia="宋体" w:cs="Times New Roman"/>
          <w:bCs/>
          <w:kern w:val="2"/>
          <w:szCs w:val="32"/>
          <w:lang w:val="en-US" w:eastAsia="zh-CN" w:bidi="ar-SA"/>
        </w:rPr>
        <w:t>（五）保密性要求</w:t>
      </w:r>
      <w:r>
        <w:tab/>
      </w:r>
      <w:r>
        <w:fldChar w:fldCharType="begin"/>
      </w:r>
      <w:r>
        <w:instrText xml:space="preserve"> PAGEREF _Toc5153 </w:instrText>
      </w:r>
      <w:r>
        <w:fldChar w:fldCharType="separate"/>
      </w:r>
      <w:r>
        <w:t>78</w:t>
      </w:r>
      <w:r>
        <w:fldChar w:fldCharType="end"/>
      </w:r>
      <w:r>
        <w:rPr>
          <w:rFonts w:hint="eastAsia" w:ascii="宋体" w:hAnsi="宋体" w:cs="宋体"/>
          <w:bCs/>
          <w:szCs w:val="32"/>
          <w:lang w:val="zh-CN"/>
        </w:rPr>
        <w:fldChar w:fldCharType="end"/>
      </w:r>
    </w:p>
    <w:p w14:paraId="30B20794">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_Toc5575 </w:instrText>
      </w:r>
      <w:r>
        <w:rPr>
          <w:rFonts w:hint="eastAsia" w:ascii="宋体" w:hAnsi="宋体" w:cs="宋体"/>
          <w:bCs/>
          <w:szCs w:val="32"/>
          <w:lang w:val="zh-CN"/>
        </w:rPr>
        <w:fldChar w:fldCharType="separate"/>
      </w:r>
      <w:r>
        <w:rPr>
          <w:rFonts w:hint="eastAsia" w:ascii="Times New Roman" w:hAnsi="Times New Roman" w:eastAsia="宋体" w:cs="Times New Roman"/>
          <w:bCs/>
          <w:kern w:val="2"/>
          <w:szCs w:val="32"/>
          <w:lang w:val="en-US" w:eastAsia="zh-CN" w:bidi="ar-SA"/>
        </w:rPr>
        <w:t>（六）网络和数据安全性要求</w:t>
      </w:r>
      <w:r>
        <w:tab/>
      </w:r>
      <w:r>
        <w:fldChar w:fldCharType="begin"/>
      </w:r>
      <w:r>
        <w:instrText xml:space="preserve"> PAGEREF _Toc5575 </w:instrText>
      </w:r>
      <w:r>
        <w:fldChar w:fldCharType="separate"/>
      </w:r>
      <w:r>
        <w:t>79</w:t>
      </w:r>
      <w:r>
        <w:fldChar w:fldCharType="end"/>
      </w:r>
      <w:r>
        <w:rPr>
          <w:rFonts w:hint="eastAsia" w:ascii="宋体" w:hAnsi="宋体" w:cs="宋体"/>
          <w:bCs/>
          <w:szCs w:val="32"/>
          <w:lang w:val="zh-CN"/>
        </w:rPr>
        <w:fldChar w:fldCharType="end"/>
      </w:r>
    </w:p>
    <w:p w14:paraId="47BC8E37">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_Toc16502 </w:instrText>
      </w:r>
      <w:r>
        <w:rPr>
          <w:rFonts w:hint="eastAsia" w:ascii="宋体" w:hAnsi="宋体" w:cs="宋体"/>
          <w:bCs/>
          <w:szCs w:val="32"/>
          <w:lang w:val="zh-CN"/>
        </w:rPr>
        <w:fldChar w:fldCharType="separate"/>
      </w:r>
      <w:r>
        <w:rPr>
          <w:rFonts w:hint="eastAsia" w:ascii="Times New Roman" w:hAnsi="Times New Roman" w:eastAsia="宋体" w:cs="Times New Roman"/>
          <w:bCs/>
          <w:kern w:val="2"/>
          <w:szCs w:val="32"/>
          <w:lang w:val="en-US" w:eastAsia="zh-CN" w:bidi="ar-SA"/>
        </w:rPr>
        <w:t>（七）其他要求</w:t>
      </w:r>
      <w:r>
        <w:tab/>
      </w:r>
      <w:r>
        <w:fldChar w:fldCharType="begin"/>
      </w:r>
      <w:r>
        <w:instrText xml:space="preserve"> PAGEREF _Toc16502 </w:instrText>
      </w:r>
      <w:r>
        <w:fldChar w:fldCharType="separate"/>
      </w:r>
      <w:r>
        <w:t>79</w:t>
      </w:r>
      <w:r>
        <w:fldChar w:fldCharType="end"/>
      </w:r>
      <w:r>
        <w:rPr>
          <w:rFonts w:hint="eastAsia" w:ascii="宋体" w:hAnsi="宋体" w:cs="宋体"/>
          <w:bCs/>
          <w:szCs w:val="32"/>
          <w:lang w:val="zh-CN"/>
        </w:rPr>
        <w:fldChar w:fldCharType="end"/>
      </w:r>
    </w:p>
    <w:p w14:paraId="5DF740D3">
      <w:pPr>
        <w:pStyle w:val="16"/>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_Toc14009 </w:instrText>
      </w:r>
      <w:r>
        <w:rPr>
          <w:rFonts w:hint="eastAsia" w:ascii="宋体" w:hAnsi="宋体" w:cs="宋体"/>
          <w:bCs/>
          <w:szCs w:val="32"/>
          <w:lang w:val="zh-CN"/>
        </w:rPr>
        <w:fldChar w:fldCharType="separate"/>
      </w:r>
      <w:r>
        <w:rPr>
          <w:rFonts w:hint="eastAsia" w:ascii="宋体" w:hAnsi="宋体" w:eastAsia="宋体" w:cs="宋体"/>
        </w:rPr>
        <w:t>第五章  评标方法与评标标准</w:t>
      </w:r>
      <w:r>
        <w:tab/>
      </w:r>
      <w:r>
        <w:fldChar w:fldCharType="begin"/>
      </w:r>
      <w:r>
        <w:instrText xml:space="preserve"> PAGEREF _Toc14009 </w:instrText>
      </w:r>
      <w:r>
        <w:fldChar w:fldCharType="separate"/>
      </w:r>
      <w:r>
        <w:t>81</w:t>
      </w:r>
      <w:r>
        <w:fldChar w:fldCharType="end"/>
      </w:r>
      <w:r>
        <w:rPr>
          <w:rFonts w:hint="eastAsia" w:ascii="宋体" w:hAnsi="宋体" w:cs="宋体"/>
          <w:bCs/>
          <w:szCs w:val="32"/>
          <w:lang w:val="zh-CN"/>
        </w:rPr>
        <w:fldChar w:fldCharType="end"/>
      </w:r>
    </w:p>
    <w:p w14:paraId="3099573A">
      <w:pPr>
        <w:pStyle w:val="16"/>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_Toc8555 </w:instrText>
      </w:r>
      <w:r>
        <w:rPr>
          <w:rFonts w:hint="eastAsia" w:ascii="宋体" w:hAnsi="宋体" w:cs="宋体"/>
          <w:bCs/>
          <w:szCs w:val="32"/>
          <w:lang w:val="zh-CN"/>
        </w:rPr>
        <w:fldChar w:fldCharType="separate"/>
      </w:r>
      <w:r>
        <w:rPr>
          <w:rFonts w:hint="eastAsia" w:ascii="宋体" w:hAnsi="宋体" w:eastAsia="宋体" w:cs="宋体"/>
        </w:rPr>
        <w:t>第六章  投标文件格式</w:t>
      </w:r>
      <w:r>
        <w:tab/>
      </w:r>
      <w:r>
        <w:fldChar w:fldCharType="begin"/>
      </w:r>
      <w:r>
        <w:instrText xml:space="preserve"> PAGEREF _Toc8555 </w:instrText>
      </w:r>
      <w:r>
        <w:fldChar w:fldCharType="separate"/>
      </w:r>
      <w:r>
        <w:t>88</w:t>
      </w:r>
      <w:r>
        <w:fldChar w:fldCharType="end"/>
      </w:r>
      <w:r>
        <w:rPr>
          <w:rFonts w:hint="eastAsia" w:ascii="宋体" w:hAnsi="宋体" w:cs="宋体"/>
          <w:bCs/>
          <w:szCs w:val="32"/>
          <w:lang w:val="zh-CN"/>
        </w:rPr>
        <w:fldChar w:fldCharType="end"/>
      </w:r>
    </w:p>
    <w:p w14:paraId="523CE8E9">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_Toc10130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一、资格审查响应对照表</w:t>
      </w:r>
      <w:r>
        <w:tab/>
      </w:r>
      <w:r>
        <w:fldChar w:fldCharType="begin"/>
      </w:r>
      <w:r>
        <w:instrText xml:space="preserve"> PAGEREF _Toc10130 </w:instrText>
      </w:r>
      <w:r>
        <w:fldChar w:fldCharType="separate"/>
      </w:r>
      <w:r>
        <w:t>91</w:t>
      </w:r>
      <w:r>
        <w:fldChar w:fldCharType="end"/>
      </w:r>
      <w:r>
        <w:rPr>
          <w:rFonts w:hint="eastAsia" w:ascii="宋体" w:hAnsi="宋体" w:cs="宋体"/>
          <w:bCs/>
          <w:szCs w:val="32"/>
          <w:lang w:val="zh-CN"/>
        </w:rPr>
        <w:fldChar w:fldCharType="end"/>
      </w:r>
    </w:p>
    <w:p w14:paraId="4AB324ED">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_Toc30295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二、符合性审查响应对照表</w:t>
      </w:r>
      <w:r>
        <w:tab/>
      </w:r>
      <w:r>
        <w:fldChar w:fldCharType="begin"/>
      </w:r>
      <w:r>
        <w:instrText xml:space="preserve"> PAGEREF _Toc30295 </w:instrText>
      </w:r>
      <w:r>
        <w:fldChar w:fldCharType="separate"/>
      </w:r>
      <w:r>
        <w:t>92</w:t>
      </w:r>
      <w:r>
        <w:fldChar w:fldCharType="end"/>
      </w:r>
      <w:r>
        <w:rPr>
          <w:rFonts w:hint="eastAsia" w:ascii="宋体" w:hAnsi="宋体" w:cs="宋体"/>
          <w:bCs/>
          <w:szCs w:val="32"/>
          <w:lang w:val="zh-CN"/>
        </w:rPr>
        <w:fldChar w:fldCharType="end"/>
      </w:r>
    </w:p>
    <w:p w14:paraId="2731F3B8">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_Toc2696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三、非实质性响应对照表</w:t>
      </w:r>
      <w:r>
        <w:tab/>
      </w:r>
      <w:r>
        <w:fldChar w:fldCharType="begin"/>
      </w:r>
      <w:r>
        <w:instrText xml:space="preserve"> PAGEREF _Toc2696 </w:instrText>
      </w:r>
      <w:r>
        <w:fldChar w:fldCharType="separate"/>
      </w:r>
      <w:r>
        <w:t>92</w:t>
      </w:r>
      <w:r>
        <w:fldChar w:fldCharType="end"/>
      </w:r>
      <w:r>
        <w:rPr>
          <w:rFonts w:hint="eastAsia" w:ascii="宋体" w:hAnsi="宋体" w:cs="宋体"/>
          <w:bCs/>
          <w:szCs w:val="32"/>
          <w:lang w:val="zh-CN"/>
        </w:rPr>
        <w:fldChar w:fldCharType="end"/>
      </w:r>
    </w:p>
    <w:p w14:paraId="0256510A">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_Toc8171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四、投标产品配置及分项报价表</w:t>
      </w:r>
      <w:r>
        <w:tab/>
      </w:r>
      <w:r>
        <w:fldChar w:fldCharType="begin"/>
      </w:r>
      <w:r>
        <w:instrText xml:space="preserve"> PAGEREF _Toc8171 </w:instrText>
      </w:r>
      <w:r>
        <w:fldChar w:fldCharType="separate"/>
      </w:r>
      <w:r>
        <w:t>93</w:t>
      </w:r>
      <w:r>
        <w:fldChar w:fldCharType="end"/>
      </w:r>
      <w:r>
        <w:rPr>
          <w:rFonts w:hint="eastAsia" w:ascii="宋体" w:hAnsi="宋体" w:cs="宋体"/>
          <w:bCs/>
          <w:szCs w:val="32"/>
          <w:lang w:val="zh-CN"/>
        </w:rPr>
        <w:fldChar w:fldCharType="end"/>
      </w:r>
    </w:p>
    <w:p w14:paraId="64132650">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_Toc12176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五、技术参数响应及偏离表</w:t>
      </w:r>
      <w:r>
        <w:tab/>
      </w:r>
      <w:r>
        <w:fldChar w:fldCharType="begin"/>
      </w:r>
      <w:r>
        <w:instrText xml:space="preserve"> PAGEREF _Toc12176 </w:instrText>
      </w:r>
      <w:r>
        <w:fldChar w:fldCharType="separate"/>
      </w:r>
      <w:r>
        <w:t>94</w:t>
      </w:r>
      <w:r>
        <w:fldChar w:fldCharType="end"/>
      </w:r>
      <w:r>
        <w:rPr>
          <w:rFonts w:hint="eastAsia" w:ascii="宋体" w:hAnsi="宋体" w:cs="宋体"/>
          <w:bCs/>
          <w:szCs w:val="32"/>
          <w:lang w:val="zh-CN"/>
        </w:rPr>
        <w:fldChar w:fldCharType="end"/>
      </w:r>
    </w:p>
    <w:p w14:paraId="3B992049">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_Toc36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六、商务条款响应及偏离表</w:t>
      </w:r>
      <w:r>
        <w:tab/>
      </w:r>
      <w:r>
        <w:fldChar w:fldCharType="begin"/>
      </w:r>
      <w:r>
        <w:instrText xml:space="preserve"> PAGEREF _Toc36 </w:instrText>
      </w:r>
      <w:r>
        <w:fldChar w:fldCharType="separate"/>
      </w:r>
      <w:r>
        <w:t>95</w:t>
      </w:r>
      <w:r>
        <w:fldChar w:fldCharType="end"/>
      </w:r>
      <w:r>
        <w:rPr>
          <w:rFonts w:hint="eastAsia" w:ascii="宋体" w:hAnsi="宋体" w:cs="宋体"/>
          <w:bCs/>
          <w:szCs w:val="32"/>
          <w:lang w:val="zh-CN"/>
        </w:rPr>
        <w:fldChar w:fldCharType="end"/>
      </w:r>
    </w:p>
    <w:p w14:paraId="606B559C">
      <w:pPr>
        <w:pStyle w:val="13"/>
        <w:tabs>
          <w:tab w:val="right" w:leader="dot" w:pos="8953"/>
        </w:tabs>
      </w:pPr>
      <w:r>
        <w:rPr>
          <w:rFonts w:hint="eastAsia" w:ascii="宋体" w:hAnsi="宋体" w:cs="宋体"/>
          <w:bCs/>
          <w:szCs w:val="32"/>
          <w:lang w:val="zh-CN"/>
        </w:rPr>
        <w:fldChar w:fldCharType="begin"/>
      </w:r>
      <w:r>
        <w:rPr>
          <w:rFonts w:hint="eastAsia" w:ascii="宋体" w:hAnsi="宋体" w:cs="宋体"/>
          <w:bCs/>
          <w:szCs w:val="32"/>
          <w:lang w:val="zh-CN"/>
        </w:rPr>
        <w:instrText xml:space="preserve"> HYPERLINK \l _Toc783 </w:instrText>
      </w:r>
      <w:r>
        <w:rPr>
          <w:rFonts w:hint="eastAsia" w:ascii="宋体" w:hAnsi="宋体" w:cs="宋体"/>
          <w:bCs/>
          <w:szCs w:val="32"/>
          <w:lang w:val="zh-CN"/>
        </w:rPr>
        <w:fldChar w:fldCharType="separate"/>
      </w:r>
      <w:r>
        <w:rPr>
          <w:rFonts w:hint="eastAsia" w:ascii="宋体" w:hAnsi="宋体" w:eastAsia="宋体" w:cs="宋体"/>
          <w:bCs/>
          <w:kern w:val="2"/>
          <w:szCs w:val="32"/>
          <w:lang w:val="en-US" w:eastAsia="zh-CN" w:bidi="ar-SA"/>
        </w:rPr>
        <w:t>七、开标一览表</w:t>
      </w:r>
      <w:r>
        <w:tab/>
      </w:r>
      <w:r>
        <w:fldChar w:fldCharType="begin"/>
      </w:r>
      <w:r>
        <w:instrText xml:space="preserve"> PAGEREF _Toc783 </w:instrText>
      </w:r>
      <w:r>
        <w:fldChar w:fldCharType="separate"/>
      </w:r>
      <w:r>
        <w:t>96</w:t>
      </w:r>
      <w:r>
        <w:fldChar w:fldCharType="end"/>
      </w:r>
      <w:r>
        <w:rPr>
          <w:rFonts w:hint="eastAsia" w:ascii="宋体" w:hAnsi="宋体" w:cs="宋体"/>
          <w:bCs/>
          <w:szCs w:val="32"/>
          <w:lang w:val="zh-CN"/>
        </w:rPr>
        <w:fldChar w:fldCharType="end"/>
      </w:r>
    </w:p>
    <w:p w14:paraId="7EA19CD6">
      <w:pPr>
        <w:rPr>
          <w:rFonts w:hint="eastAsia" w:ascii="宋体" w:hAnsi="宋体" w:cs="宋体"/>
        </w:rPr>
      </w:pPr>
      <w:r>
        <w:rPr>
          <w:rFonts w:hint="eastAsia" w:ascii="宋体" w:hAnsi="宋体" w:cs="宋体"/>
          <w:bCs/>
          <w:szCs w:val="32"/>
          <w:lang w:val="zh-CN"/>
        </w:rPr>
        <w:fldChar w:fldCharType="end"/>
      </w:r>
    </w:p>
    <w:p w14:paraId="20A9B934">
      <w:pPr>
        <w:pStyle w:val="4"/>
        <w:rPr>
          <w:rFonts w:hint="eastAsia" w:ascii="宋体" w:hAnsi="宋体" w:eastAsia="宋体" w:cs="宋体"/>
        </w:rPr>
      </w:pPr>
      <w:r>
        <w:rPr>
          <w:rFonts w:hint="eastAsia" w:ascii="宋体" w:hAnsi="宋体" w:eastAsia="宋体" w:cs="宋体"/>
        </w:rPr>
        <w:br w:type="page"/>
      </w:r>
      <w:bookmarkStart w:id="7" w:name="_Toc534725596"/>
      <w:bookmarkStart w:id="8" w:name="_Toc8399"/>
      <w:r>
        <w:rPr>
          <w:rFonts w:hint="eastAsia" w:ascii="宋体" w:hAnsi="宋体" w:eastAsia="宋体" w:cs="宋体"/>
        </w:rPr>
        <w:t xml:space="preserve">第一章  </w:t>
      </w:r>
      <w:bookmarkEnd w:id="0"/>
      <w:r>
        <w:rPr>
          <w:rFonts w:hint="eastAsia" w:ascii="宋体" w:hAnsi="宋体" w:eastAsia="宋体" w:cs="宋体"/>
        </w:rPr>
        <w:t>投标邀请</w:t>
      </w:r>
      <w:bookmarkEnd w:id="1"/>
      <w:bookmarkEnd w:id="7"/>
      <w:bookmarkEnd w:id="8"/>
    </w:p>
    <w:p w14:paraId="6F72A844">
      <w:pPr>
        <w:widowControl w:val="0"/>
        <w:adjustRightInd w:val="0"/>
        <w:spacing w:before="120" w:after="120" w:line="360" w:lineRule="auto"/>
        <w:ind w:firstLine="48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新疆维吾尔</w:t>
      </w:r>
      <w:r>
        <w:rPr>
          <w:rFonts w:ascii="宋体" w:hAnsi="宋体" w:eastAsia="宋体" w:cs="宋体"/>
          <w:kern w:val="0"/>
          <w:sz w:val="24"/>
          <w:szCs w:val="24"/>
          <w:lang w:val="en-US" w:eastAsia="zh-CN" w:bidi="ar-SA"/>
        </w:rPr>
        <w:t>自治区公共资源交易中心</w:t>
      </w:r>
      <w:r>
        <w:rPr>
          <w:rFonts w:hint="eastAsia" w:ascii="宋体" w:hAnsi="宋体" w:eastAsia="宋体" w:cs="宋体"/>
          <w:kern w:val="0"/>
          <w:sz w:val="24"/>
          <w:szCs w:val="24"/>
          <w:lang w:val="en-US" w:eastAsia="zh-CN" w:bidi="ar-SA"/>
        </w:rPr>
        <w:t>现就（自治区一体化数据资源服务平台建设项目（二期））进行公开招标采购，欢迎符合条件的供应商投标。</w:t>
      </w:r>
    </w:p>
    <w:p w14:paraId="20CDBC2C">
      <w:pPr>
        <w:pBdr>
          <w:top w:val="single" w:color="auto" w:sz="4" w:space="1"/>
          <w:left w:val="single" w:color="auto" w:sz="4" w:space="4"/>
          <w:bottom w:val="single" w:color="auto" w:sz="4" w:space="1"/>
          <w:right w:val="single" w:color="auto" w:sz="4" w:space="4"/>
        </w:pBdr>
        <w:ind w:firstLine="480" w:firstLineChars="200"/>
        <w:rPr>
          <w:rFonts w:hint="eastAsia" w:ascii="宋体" w:hAnsi="宋体" w:cs="宋体"/>
          <w:sz w:val="24"/>
          <w:szCs w:val="24"/>
        </w:rPr>
      </w:pPr>
      <w:r>
        <w:rPr>
          <w:rFonts w:hint="eastAsia" w:ascii="宋体" w:hAnsi="宋体" w:cs="宋体"/>
          <w:sz w:val="24"/>
          <w:szCs w:val="24"/>
        </w:rPr>
        <w:t>项目概况</w:t>
      </w:r>
    </w:p>
    <w:p w14:paraId="526A09C2">
      <w:pPr>
        <w:pBdr>
          <w:top w:val="single" w:color="auto" w:sz="4" w:space="1"/>
          <w:left w:val="single" w:color="auto" w:sz="4" w:space="4"/>
          <w:bottom w:val="single" w:color="auto" w:sz="4" w:space="1"/>
          <w:right w:val="single" w:color="auto" w:sz="4" w:space="4"/>
        </w:pBdr>
        <w:ind w:firstLine="480" w:firstLineChars="200"/>
        <w:rPr>
          <w:rFonts w:hint="eastAsia" w:ascii="宋体" w:hAnsi="宋体" w:cs="宋体"/>
          <w:sz w:val="24"/>
          <w:szCs w:val="24"/>
        </w:rPr>
      </w:pPr>
      <w:r>
        <w:rPr>
          <w:rFonts w:hint="eastAsia" w:ascii="宋体" w:hAnsi="宋体" w:cs="宋体"/>
          <w:kern w:val="0"/>
          <w:sz w:val="24"/>
          <w:szCs w:val="24"/>
          <w:u w:val="single"/>
        </w:rPr>
        <w:t>（自治区一体化数据资源服务平台建设项目（二期））</w:t>
      </w:r>
      <w:r>
        <w:rPr>
          <w:rFonts w:hint="eastAsia" w:ascii="宋体" w:hAnsi="宋体" w:cs="宋体"/>
          <w:sz w:val="24"/>
          <w:szCs w:val="24"/>
        </w:rPr>
        <w:t xml:space="preserve"> 招标项目的潜在投标人可在</w:t>
      </w:r>
      <w:r>
        <w:rPr>
          <w:rFonts w:hint="eastAsia" w:ascii="宋体" w:hAnsi="宋体" w:cs="宋体"/>
          <w:sz w:val="24"/>
          <w:szCs w:val="24"/>
          <w:u w:val="single"/>
        </w:rPr>
        <w:t>“新疆公共资源交易网”或“新疆政府采购网”自行查看</w:t>
      </w:r>
      <w:r>
        <w:rPr>
          <w:rFonts w:hint="eastAsia" w:ascii="宋体" w:hAnsi="宋体" w:cs="宋体"/>
          <w:sz w:val="24"/>
          <w:szCs w:val="24"/>
        </w:rPr>
        <w:t>项目公告，并于</w:t>
      </w:r>
      <w:r>
        <w:rPr>
          <w:rFonts w:hint="eastAsia" w:ascii="宋体" w:hAnsi="宋体" w:cs="宋体"/>
          <w:sz w:val="24"/>
          <w:szCs w:val="24"/>
          <w:u w:val="single"/>
        </w:rPr>
        <w:t>2026</w:t>
      </w:r>
      <w:r>
        <w:rPr>
          <w:rFonts w:hint="eastAsia" w:ascii="宋体" w:hAnsi="宋体" w:cs="宋体"/>
          <w:bCs/>
          <w:sz w:val="24"/>
          <w:szCs w:val="24"/>
          <w:u w:val="single"/>
        </w:rPr>
        <w:t>年6月</w:t>
      </w:r>
      <w:r>
        <w:rPr>
          <w:rFonts w:hint="eastAsia" w:ascii="宋体" w:hAnsi="宋体" w:cs="宋体"/>
          <w:bCs/>
          <w:sz w:val="24"/>
          <w:szCs w:val="24"/>
          <w:u w:val="single"/>
          <w:lang w:val="en-US" w:eastAsia="zh-CN"/>
        </w:rPr>
        <w:t>23</w:t>
      </w:r>
      <w:r>
        <w:rPr>
          <w:rFonts w:hint="eastAsia" w:ascii="宋体" w:hAnsi="宋体" w:cs="宋体"/>
          <w:bCs/>
          <w:sz w:val="24"/>
          <w:szCs w:val="24"/>
          <w:u w:val="single"/>
        </w:rPr>
        <w:t>日11点00分（</w:t>
      </w:r>
      <w:r>
        <w:rPr>
          <w:rFonts w:hint="eastAsia" w:ascii="宋体" w:hAnsi="宋体" w:cs="宋体"/>
          <w:bCs/>
          <w:sz w:val="24"/>
          <w:szCs w:val="24"/>
        </w:rPr>
        <w:t>北京时间）前提交投标文件</w:t>
      </w:r>
      <w:r>
        <w:rPr>
          <w:rFonts w:hint="eastAsia" w:ascii="宋体" w:hAnsi="宋体" w:cs="宋体"/>
          <w:sz w:val="24"/>
          <w:szCs w:val="24"/>
        </w:rPr>
        <w:t>。</w:t>
      </w:r>
    </w:p>
    <w:p w14:paraId="51A41A88">
      <w:pPr>
        <w:widowControl w:val="0"/>
        <w:adjustRightInd w:val="0"/>
        <w:spacing w:before="120" w:after="120" w:line="360" w:lineRule="auto"/>
        <w:ind w:firstLine="480"/>
        <w:jc w:val="left"/>
        <w:textAlignment w:val="baseline"/>
        <w:rPr>
          <w:rFonts w:hint="eastAsia" w:ascii="宋体" w:hAnsi="宋体" w:eastAsia="宋体" w:cs="宋体"/>
          <w:kern w:val="0"/>
          <w:sz w:val="24"/>
          <w:szCs w:val="24"/>
          <w:lang w:val="en-US" w:eastAsia="zh-CN" w:bidi="ar-SA"/>
        </w:rPr>
      </w:pPr>
    </w:p>
    <w:p w14:paraId="0BFA2BC0">
      <w:pPr>
        <w:keepNext/>
        <w:keepLines/>
        <w:widowControl w:val="0"/>
        <w:spacing w:before="260" w:after="260" w:line="416" w:lineRule="auto"/>
        <w:ind w:firstLine="482" w:firstLineChars="150"/>
        <w:jc w:val="both"/>
        <w:outlineLvl w:val="2"/>
        <w:rPr>
          <w:rFonts w:hint="eastAsia" w:ascii="宋体" w:hAnsi="宋体" w:eastAsia="宋体" w:cs="宋体"/>
          <w:b/>
          <w:bCs/>
          <w:kern w:val="2"/>
          <w:sz w:val="32"/>
          <w:szCs w:val="32"/>
          <w:lang w:val="en-US" w:eastAsia="zh-CN" w:bidi="ar-SA"/>
        </w:rPr>
      </w:pPr>
      <w:bookmarkStart w:id="9" w:name="_Toc14424"/>
      <w:r>
        <w:rPr>
          <w:rFonts w:hint="eastAsia" w:ascii="宋体" w:hAnsi="宋体" w:eastAsia="宋体" w:cs="宋体"/>
          <w:b/>
          <w:bCs/>
          <w:kern w:val="2"/>
          <w:sz w:val="32"/>
          <w:szCs w:val="32"/>
          <w:lang w:val="en-US" w:eastAsia="zh-CN" w:bidi="ar-SA"/>
        </w:rPr>
        <w:t>一、项目基本情况</w:t>
      </w:r>
      <w:bookmarkEnd w:id="9"/>
    </w:p>
    <w:p w14:paraId="4FB19E6D">
      <w:pPr>
        <w:tabs>
          <w:tab w:val="left" w:pos="900"/>
        </w:tabs>
        <w:spacing w:line="560" w:lineRule="exact"/>
        <w:ind w:firstLine="480" w:firstLineChars="200"/>
        <w:rPr>
          <w:rFonts w:hint="eastAsia" w:ascii="宋体" w:hAnsi="宋体" w:cs="宋体"/>
          <w:sz w:val="24"/>
          <w:szCs w:val="24"/>
        </w:rPr>
      </w:pPr>
      <w:r>
        <w:rPr>
          <w:rFonts w:hint="eastAsia" w:ascii="宋体" w:hAnsi="宋体" w:cs="宋体"/>
          <w:sz w:val="24"/>
          <w:szCs w:val="24"/>
        </w:rPr>
        <w:t>1.项目名称：自治区一体化数据资源服务平台建设项目（二期）</w:t>
      </w:r>
    </w:p>
    <w:p w14:paraId="77ACB6C2">
      <w:pPr>
        <w:tabs>
          <w:tab w:val="left" w:pos="900"/>
        </w:tabs>
        <w:spacing w:line="560" w:lineRule="exact"/>
        <w:ind w:firstLine="480" w:firstLineChars="200"/>
        <w:rPr>
          <w:rFonts w:ascii="宋体" w:hAnsi="宋体" w:cs="宋体"/>
          <w:sz w:val="24"/>
        </w:rPr>
      </w:pPr>
      <w:r>
        <w:rPr>
          <w:rFonts w:hint="eastAsia" w:ascii="宋体" w:hAnsi="宋体" w:cs="宋体"/>
          <w:sz w:val="24"/>
          <w:szCs w:val="24"/>
        </w:rPr>
        <w:t>2.项目</w:t>
      </w:r>
      <w:r>
        <w:rPr>
          <w:rFonts w:hint="eastAsia" w:ascii="宋体" w:hAnsi="宋体" w:cs="宋体"/>
          <w:sz w:val="24"/>
        </w:rPr>
        <w:t>编号：GK2026-100</w:t>
      </w:r>
    </w:p>
    <w:p w14:paraId="066E94F9">
      <w:pPr>
        <w:ind w:firstLine="480" w:firstLineChars="200"/>
        <w:rPr>
          <w:rFonts w:hint="eastAsia" w:ascii="宋体" w:hAnsi="宋体" w:cs="宋体"/>
          <w:sz w:val="24"/>
          <w:szCs w:val="24"/>
        </w:rPr>
      </w:pPr>
      <w:r>
        <w:rPr>
          <w:rFonts w:hint="eastAsia" w:ascii="宋体" w:hAnsi="宋体" w:cs="宋体"/>
          <w:sz w:val="24"/>
          <w:szCs w:val="24"/>
        </w:rPr>
        <w:t>3.预算金额：52636300</w:t>
      </w:r>
      <w:r>
        <w:rPr>
          <w:rFonts w:ascii="宋体" w:hAnsi="宋体" w:cs="宋体"/>
          <w:sz w:val="24"/>
          <w:szCs w:val="24"/>
        </w:rPr>
        <w:t>.00</w:t>
      </w:r>
      <w:r>
        <w:rPr>
          <w:rFonts w:hint="eastAsia" w:ascii="宋体" w:hAnsi="宋体" w:cs="宋体"/>
          <w:sz w:val="24"/>
          <w:szCs w:val="24"/>
        </w:rPr>
        <w:t>元</w:t>
      </w:r>
    </w:p>
    <w:p w14:paraId="0246B5AA">
      <w:pPr>
        <w:tabs>
          <w:tab w:val="left" w:pos="900"/>
        </w:tabs>
        <w:spacing w:line="560" w:lineRule="exact"/>
        <w:ind w:firstLine="480" w:firstLineChars="200"/>
        <w:rPr>
          <w:rFonts w:hint="eastAsia" w:ascii="宋体" w:hAnsi="宋体" w:cs="宋体"/>
          <w:sz w:val="24"/>
          <w:szCs w:val="24"/>
        </w:rPr>
      </w:pPr>
      <w:r>
        <w:rPr>
          <w:rFonts w:hint="eastAsia" w:ascii="宋体" w:hAnsi="宋体" w:cs="宋体"/>
          <w:sz w:val="24"/>
          <w:szCs w:val="24"/>
        </w:rPr>
        <w:t>4.本项目</w:t>
      </w:r>
      <w:r>
        <w:rPr>
          <w:rFonts w:hint="eastAsia" w:ascii="宋体" w:hAnsi="宋体" w:cs="宋体"/>
          <w:sz w:val="24"/>
          <w:szCs w:val="24"/>
          <w:u w:val="single"/>
        </w:rPr>
        <w:t>设定</w:t>
      </w:r>
      <w:r>
        <w:rPr>
          <w:rFonts w:hint="eastAsia" w:ascii="宋体" w:hAnsi="宋体" w:cs="宋体"/>
          <w:sz w:val="24"/>
          <w:szCs w:val="24"/>
        </w:rPr>
        <w:t>最高限价，最高限价为</w:t>
      </w:r>
      <w:r>
        <w:rPr>
          <w:rFonts w:hint="eastAsia" w:ascii="宋体" w:hAnsi="宋体" w:cs="宋体"/>
          <w:sz w:val="24"/>
          <w:szCs w:val="24"/>
          <w:u w:val="single"/>
        </w:rPr>
        <w:t xml:space="preserve"> 52636300</w:t>
      </w:r>
      <w:r>
        <w:rPr>
          <w:rFonts w:ascii="宋体" w:hAnsi="宋体" w:cs="宋体"/>
          <w:sz w:val="24"/>
          <w:szCs w:val="24"/>
          <w:u w:val="single"/>
        </w:rPr>
        <w:t>.00</w:t>
      </w:r>
      <w:r>
        <w:rPr>
          <w:rFonts w:hint="eastAsia" w:ascii="宋体" w:hAnsi="宋体" w:cs="宋体"/>
          <w:sz w:val="24"/>
          <w:szCs w:val="24"/>
          <w:u w:val="single"/>
        </w:rPr>
        <w:t xml:space="preserve"> </w:t>
      </w:r>
      <w:r>
        <w:rPr>
          <w:rFonts w:hint="eastAsia" w:ascii="宋体" w:hAnsi="宋体" w:cs="宋体"/>
          <w:sz w:val="24"/>
          <w:szCs w:val="24"/>
        </w:rPr>
        <w:t>元。</w:t>
      </w:r>
    </w:p>
    <w:p w14:paraId="038BC3D1">
      <w:pPr>
        <w:tabs>
          <w:tab w:val="left" w:pos="900"/>
        </w:tabs>
        <w:spacing w:line="560" w:lineRule="exact"/>
        <w:ind w:firstLine="480" w:firstLineChars="200"/>
        <w:rPr>
          <w:rFonts w:hint="eastAsia" w:ascii="宋体" w:hAnsi="宋体" w:cs="宋体"/>
          <w:sz w:val="24"/>
          <w:szCs w:val="24"/>
        </w:rPr>
      </w:pPr>
      <w:r>
        <w:rPr>
          <w:rFonts w:hint="eastAsia" w:ascii="宋体" w:hAnsi="宋体" w:cs="宋体"/>
          <w:sz w:val="24"/>
          <w:szCs w:val="24"/>
        </w:rPr>
        <w:t>5. 采购需求：</w:t>
      </w:r>
    </w:p>
    <w:p w14:paraId="515CCC29">
      <w:pPr>
        <w:tabs>
          <w:tab w:val="left" w:pos="900"/>
        </w:tabs>
        <w:spacing w:line="560" w:lineRule="exact"/>
        <w:ind w:firstLine="480" w:firstLineChars="200"/>
        <w:rPr>
          <w:rFonts w:hint="eastAsia" w:ascii="宋体" w:hAnsi="宋体" w:cs="宋体"/>
          <w:sz w:val="24"/>
          <w:szCs w:val="24"/>
        </w:rPr>
      </w:pPr>
      <w:r>
        <w:rPr>
          <w:rFonts w:hint="eastAsia" w:ascii="宋体" w:hAnsi="宋体" w:cs="宋体"/>
          <w:sz w:val="24"/>
          <w:szCs w:val="24"/>
        </w:rPr>
        <w:t>本项目采购内容包括高质量数据集开发系统及数据运营服务。其中数据运营服务包括数据目录标准化服务、数据治理和质量管理服务、基础库（信用信息库、宏观经济库）、主题库（经济调节主题库、产业发展主题库、营商环境主题库、公共服务主题库、社会管理主题库）、重点行业专题库、地州数据回流专题库、数据共享交换专题库、公共数据开放运营服务、高质量数据运营服务等内容。</w:t>
      </w:r>
    </w:p>
    <w:p w14:paraId="77FD336C">
      <w:pPr>
        <w:ind w:firstLine="480" w:firstLineChars="200"/>
        <w:rPr>
          <w:rFonts w:hint="eastAsia" w:ascii="宋体" w:hAnsi="宋体" w:cs="宋体"/>
          <w:sz w:val="24"/>
          <w:szCs w:val="24"/>
        </w:rPr>
      </w:pPr>
      <w:r>
        <w:rPr>
          <w:rFonts w:hint="eastAsia" w:ascii="宋体" w:hAnsi="宋体" w:cs="宋体"/>
          <w:sz w:val="24"/>
          <w:szCs w:val="24"/>
        </w:rPr>
        <w:t>6.合同履行期限：自合同签订之日起至2027年5月6日止。</w:t>
      </w:r>
    </w:p>
    <w:p w14:paraId="5D15F707">
      <w:pPr>
        <w:ind w:firstLine="480" w:firstLineChars="200"/>
        <w:rPr>
          <w:rFonts w:hint="eastAsia" w:ascii="宋体" w:hAnsi="宋体" w:cs="宋体"/>
          <w:kern w:val="0"/>
          <w:sz w:val="24"/>
          <w:szCs w:val="24"/>
        </w:rPr>
      </w:pPr>
      <w:r>
        <w:rPr>
          <w:rFonts w:hint="eastAsia" w:ascii="宋体" w:hAnsi="宋体" w:cs="宋体"/>
          <w:sz w:val="24"/>
          <w:szCs w:val="24"/>
        </w:rPr>
        <w:t>7.本项目</w:t>
      </w:r>
      <w:r>
        <w:rPr>
          <w:rFonts w:hint="eastAsia" w:ascii="宋体" w:hAnsi="宋体" w:cs="宋体"/>
          <w:sz w:val="24"/>
          <w:szCs w:val="24"/>
          <w:u w:val="single"/>
        </w:rPr>
        <w:t>不接受</w:t>
      </w:r>
      <w:r>
        <w:rPr>
          <w:rFonts w:hint="eastAsia" w:ascii="宋体" w:hAnsi="宋体" w:cs="宋体"/>
          <w:sz w:val="24"/>
          <w:szCs w:val="24"/>
        </w:rPr>
        <w:t>联合体投标。</w:t>
      </w:r>
    </w:p>
    <w:p w14:paraId="09E402D5">
      <w:pPr>
        <w:spacing w:line="360" w:lineRule="auto"/>
        <w:ind w:firstLine="480" w:firstLineChars="200"/>
      </w:pPr>
      <w:r>
        <w:rPr>
          <w:rFonts w:hint="eastAsia" w:ascii="宋体" w:hAnsi="宋体" w:cs="宋体"/>
          <w:sz w:val="24"/>
          <w:szCs w:val="24"/>
        </w:rPr>
        <w:t>8.本项目</w:t>
      </w:r>
      <w:r>
        <w:rPr>
          <w:rFonts w:hint="eastAsia" w:ascii="宋体" w:hAnsi="宋体" w:cs="宋体"/>
          <w:sz w:val="24"/>
          <w:szCs w:val="24"/>
          <w:u w:val="single"/>
        </w:rPr>
        <w:t>不接受</w:t>
      </w:r>
      <w:r>
        <w:rPr>
          <w:rFonts w:hint="eastAsia" w:ascii="宋体" w:hAnsi="宋体" w:cs="宋体"/>
          <w:sz w:val="24"/>
          <w:szCs w:val="24"/>
        </w:rPr>
        <w:t>进口产品投标。</w:t>
      </w:r>
    </w:p>
    <w:p w14:paraId="0342440E">
      <w:pPr>
        <w:tabs>
          <w:tab w:val="left" w:pos="900"/>
        </w:tabs>
        <w:spacing w:line="560" w:lineRule="exact"/>
        <w:ind w:firstLine="480" w:firstLineChars="200"/>
        <w:rPr>
          <w:rFonts w:hint="eastAsia" w:ascii="宋体" w:hAnsi="宋体" w:cs="宋体"/>
          <w:sz w:val="24"/>
          <w:szCs w:val="24"/>
          <w:u w:val="single"/>
        </w:rPr>
      </w:pPr>
      <w:r>
        <w:rPr>
          <w:rFonts w:hint="eastAsia" w:ascii="宋体" w:hAnsi="宋体" w:cs="宋体"/>
          <w:sz w:val="24"/>
          <w:szCs w:val="24"/>
        </w:rPr>
        <w:t>9.本项目属于</w:t>
      </w:r>
      <w:r>
        <w:rPr>
          <w:rFonts w:hint="eastAsia" w:ascii="宋体" w:hAnsi="宋体" w:cs="宋体"/>
          <w:sz w:val="24"/>
          <w:szCs w:val="24"/>
          <w:u w:val="single"/>
        </w:rPr>
        <w:t xml:space="preserve"> 服务 </w:t>
      </w:r>
      <w:r>
        <w:rPr>
          <w:rFonts w:hint="eastAsia" w:ascii="宋体" w:hAnsi="宋体" w:cs="宋体"/>
          <w:sz w:val="24"/>
          <w:szCs w:val="24"/>
        </w:rPr>
        <w:t>类</w:t>
      </w:r>
      <w:r>
        <w:rPr>
          <w:rFonts w:hint="eastAsia" w:ascii="宋体" w:hAnsi="宋体" w:cs="宋体"/>
          <w:sz w:val="24"/>
          <w:szCs w:val="24"/>
          <w:u w:val="single"/>
        </w:rPr>
        <w:t xml:space="preserve">      </w:t>
      </w:r>
    </w:p>
    <w:p w14:paraId="7A7449B9">
      <w:pPr>
        <w:tabs>
          <w:tab w:val="left" w:pos="900"/>
        </w:tabs>
        <w:spacing w:line="560" w:lineRule="exact"/>
        <w:ind w:firstLine="480" w:firstLineChars="200"/>
        <w:rPr>
          <w:rFonts w:hint="eastAsia" w:ascii="宋体" w:hAnsi="宋体" w:cs="宋体"/>
          <w:sz w:val="24"/>
          <w:szCs w:val="24"/>
        </w:rPr>
      </w:pPr>
      <w:r>
        <w:rPr>
          <w:rFonts w:hint="eastAsia" w:ascii="宋体" w:hAnsi="宋体" w:cs="宋体"/>
          <w:sz w:val="24"/>
          <w:szCs w:val="24"/>
        </w:rPr>
        <w:t>10.本项目采购标的对应的中小企业划分标准所属行业为“</w:t>
      </w:r>
      <w:r>
        <w:rPr>
          <w:rFonts w:hint="eastAsia" w:ascii="宋体" w:hAnsi="宋体" w:cs="宋体"/>
          <w:sz w:val="24"/>
          <w:szCs w:val="24"/>
          <w:u w:val="single"/>
        </w:rPr>
        <w:t>软件和信息技术服务业</w:t>
      </w:r>
      <w:r>
        <w:rPr>
          <w:rFonts w:hint="eastAsia" w:ascii="宋体" w:hAnsi="宋体" w:cs="宋体"/>
          <w:sz w:val="24"/>
          <w:szCs w:val="24"/>
        </w:rPr>
        <w:t>”。行业划分标准按《国民经济行业分类》执行。中小企业划分标准按《中小企业划型标准规定》（工信部联企业〔2011〕300号）文件规定执行。</w:t>
      </w:r>
    </w:p>
    <w:p w14:paraId="34A54254">
      <w:pPr>
        <w:keepNext/>
        <w:keepLines/>
        <w:widowControl w:val="0"/>
        <w:spacing w:before="145" w:beforeLines="50" w:after="145" w:afterLines="50" w:line="360" w:lineRule="auto"/>
        <w:ind w:firstLine="498" w:firstLineChars="155"/>
        <w:jc w:val="both"/>
        <w:outlineLvl w:val="2"/>
        <w:rPr>
          <w:rFonts w:hint="eastAsia" w:ascii="宋体" w:hAnsi="宋体" w:eastAsia="宋体" w:cs="宋体"/>
          <w:b/>
          <w:bCs/>
          <w:kern w:val="2"/>
          <w:sz w:val="32"/>
          <w:szCs w:val="32"/>
          <w:lang w:val="en-US" w:eastAsia="zh-CN" w:bidi="ar-SA"/>
        </w:rPr>
      </w:pPr>
      <w:bookmarkStart w:id="10" w:name="_Toc27725"/>
      <w:r>
        <w:rPr>
          <w:rFonts w:hint="eastAsia" w:ascii="宋体" w:hAnsi="宋体" w:eastAsia="宋体" w:cs="宋体"/>
          <w:b/>
          <w:bCs/>
          <w:kern w:val="2"/>
          <w:sz w:val="32"/>
          <w:szCs w:val="32"/>
          <w:lang w:val="en-US" w:eastAsia="zh-CN" w:bidi="ar-SA"/>
        </w:rPr>
        <w:t>二、申请人的资格要求：</w:t>
      </w:r>
      <w:bookmarkEnd w:id="10"/>
    </w:p>
    <w:p w14:paraId="42B33238">
      <w:pPr>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1.满足《中华人民共和国政府采购法》第二十二条规定，并提供下列材料：</w:t>
      </w:r>
    </w:p>
    <w:p w14:paraId="2DC386BF">
      <w:pPr>
        <w:ind w:firstLine="480" w:firstLineChars="200"/>
        <w:rPr>
          <w:rFonts w:hint="eastAsia" w:ascii="宋体" w:hAnsi="宋体" w:cs="宋体"/>
          <w:sz w:val="24"/>
          <w:szCs w:val="24"/>
        </w:rPr>
      </w:pPr>
      <w:r>
        <w:rPr>
          <w:rFonts w:hint="eastAsia" w:ascii="宋体" w:hAnsi="宋体" w:cs="宋体"/>
          <w:sz w:val="24"/>
          <w:szCs w:val="24"/>
        </w:rPr>
        <w:t>1.1法人或者其他组织的营业执照等证明文件，自然人的身份证明；</w:t>
      </w:r>
    </w:p>
    <w:p w14:paraId="7E60D8C2">
      <w:pPr>
        <w:ind w:firstLine="480" w:firstLineChars="200"/>
        <w:rPr>
          <w:rFonts w:hint="eastAsia" w:ascii="宋体" w:hAnsi="宋体" w:cs="宋体"/>
          <w:sz w:val="24"/>
          <w:szCs w:val="24"/>
        </w:rPr>
      </w:pPr>
      <w:r>
        <w:rPr>
          <w:rFonts w:hint="eastAsia" w:ascii="宋体" w:hAnsi="宋体" w:cs="宋体"/>
          <w:sz w:val="24"/>
          <w:szCs w:val="24"/>
        </w:rPr>
        <w:t>1.2最近一个年度的财务状况报告（成立不满一年不需提供）；</w:t>
      </w:r>
    </w:p>
    <w:p w14:paraId="2934202A">
      <w:pPr>
        <w:ind w:firstLine="480" w:firstLineChars="200"/>
        <w:rPr>
          <w:rFonts w:hint="eastAsia" w:ascii="宋体" w:hAnsi="宋体" w:cs="宋体"/>
          <w:sz w:val="24"/>
          <w:szCs w:val="24"/>
        </w:rPr>
      </w:pPr>
      <w:r>
        <w:rPr>
          <w:rFonts w:hint="eastAsia" w:ascii="宋体" w:hAnsi="宋体" w:cs="宋体"/>
          <w:sz w:val="24"/>
          <w:szCs w:val="24"/>
        </w:rPr>
        <w:t>1.3依法缴纳税收和社会保障资金的相关材料（提供提交投标文件截止时间前一年内至少一个月依法缴纳税收及缴纳社会保障资金的证明材料；投标人依法享受缓缴、免缴税收、社会保障资金的，提供证明材料）；</w:t>
      </w:r>
    </w:p>
    <w:p w14:paraId="21DE0280">
      <w:pPr>
        <w:ind w:firstLine="480" w:firstLineChars="200"/>
        <w:rPr>
          <w:rFonts w:hint="eastAsia" w:ascii="宋体" w:hAnsi="宋体" w:cs="宋体"/>
          <w:sz w:val="24"/>
          <w:szCs w:val="24"/>
        </w:rPr>
      </w:pPr>
      <w:r>
        <w:rPr>
          <w:rFonts w:hint="eastAsia" w:ascii="宋体" w:hAnsi="宋体" w:cs="宋体"/>
          <w:sz w:val="24"/>
          <w:szCs w:val="24"/>
        </w:rPr>
        <w:t>1.4具备履行合同所必需的设备和专业技术能力的证明材料；</w:t>
      </w:r>
    </w:p>
    <w:p w14:paraId="79297437">
      <w:pPr>
        <w:ind w:firstLine="480" w:firstLineChars="200"/>
        <w:rPr>
          <w:rFonts w:hint="eastAsia" w:ascii="宋体" w:hAnsi="宋体" w:cs="宋体"/>
          <w:sz w:val="24"/>
          <w:szCs w:val="24"/>
        </w:rPr>
      </w:pPr>
      <w:r>
        <w:rPr>
          <w:rFonts w:hint="eastAsia" w:ascii="宋体" w:hAnsi="宋体" w:cs="宋体"/>
          <w:sz w:val="24"/>
          <w:szCs w:val="24"/>
        </w:rPr>
        <w:t>1.5参加政府采购活动前3年内在经营活动中没有重大违法记录的书面声明；</w:t>
      </w:r>
    </w:p>
    <w:p w14:paraId="43439B68">
      <w:pPr>
        <w:ind w:firstLine="480" w:firstLineChars="200"/>
        <w:rPr>
          <w:rFonts w:ascii="宋体" w:hAnsi="宋体" w:cs="宋体"/>
          <w:sz w:val="24"/>
          <w:szCs w:val="24"/>
        </w:rPr>
      </w:pPr>
      <w:r>
        <w:rPr>
          <w:rFonts w:hint="eastAsia" w:ascii="宋体" w:hAnsi="宋体" w:cs="宋体"/>
          <w:sz w:val="24"/>
          <w:szCs w:val="24"/>
        </w:rPr>
        <w:t>1.6未被“信用中国”网站（www.creditchina.gov.cn）、“中国政府采购网”（www.ccgp.gov.cn）列入失信被执行人、重大税收违法案件当事人名单、政府采购严重失信行为记录名单。（提供网页截图或承诺函）</w:t>
      </w:r>
    </w:p>
    <w:p w14:paraId="1062E18C">
      <w:pPr>
        <w:ind w:firstLine="480" w:firstLineChars="200"/>
        <w:rPr>
          <w:rFonts w:hint="eastAsia" w:ascii="宋体" w:hAnsi="宋体" w:cs="宋体"/>
          <w:sz w:val="24"/>
          <w:szCs w:val="24"/>
        </w:rPr>
      </w:pPr>
      <w:r>
        <w:rPr>
          <w:rFonts w:hint="eastAsia" w:ascii="宋体" w:hAnsi="宋体" w:cs="宋体"/>
          <w:sz w:val="24"/>
          <w:szCs w:val="24"/>
        </w:rPr>
        <w:t>1.7提供2023年4月1日至今2个数据资源服务相关业绩证明，并明确同类业务的具体范围（具体业务范围包含以下至少两项内容：数据归集、数据开发、数据共享、数据治理、数据目录编制、数据授权运营、数据运营）。提供中标通知书或合同扫描件加盖公章（合同必须包含首页、采购内容页、合同盖章页）。</w:t>
      </w:r>
    </w:p>
    <w:p w14:paraId="55F96434">
      <w:pPr>
        <w:widowControl w:val="0"/>
        <w:ind w:left="0"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2.落实政府采购政策需满足的资格要求：本项目不专门面向中小企业预留采购份额。</w:t>
      </w:r>
    </w:p>
    <w:p w14:paraId="25F35833">
      <w:pPr>
        <w:widowControl w:val="0"/>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3.本项目的特定资格要求：无。</w:t>
      </w:r>
    </w:p>
    <w:p w14:paraId="335266B6">
      <w:pPr>
        <w:keepNext/>
        <w:keepLines/>
        <w:widowControl w:val="0"/>
        <w:spacing w:before="145" w:beforeLines="50" w:after="145" w:afterLines="50" w:line="360" w:lineRule="auto"/>
        <w:ind w:firstLine="498" w:firstLineChars="155"/>
        <w:jc w:val="both"/>
        <w:outlineLvl w:val="2"/>
        <w:rPr>
          <w:rFonts w:hint="eastAsia" w:ascii="宋体" w:hAnsi="宋体" w:eastAsia="宋体" w:cs="宋体"/>
          <w:b/>
          <w:bCs/>
          <w:kern w:val="2"/>
          <w:sz w:val="32"/>
          <w:szCs w:val="32"/>
          <w:lang w:val="en-US" w:eastAsia="zh-CN" w:bidi="ar-SA"/>
        </w:rPr>
      </w:pPr>
      <w:bookmarkStart w:id="11" w:name="_Toc12399"/>
      <w:r>
        <w:rPr>
          <w:rFonts w:hint="eastAsia" w:ascii="宋体" w:hAnsi="宋体" w:eastAsia="宋体" w:cs="宋体"/>
          <w:b/>
          <w:bCs/>
          <w:kern w:val="2"/>
          <w:sz w:val="32"/>
          <w:szCs w:val="32"/>
          <w:lang w:val="en-US" w:eastAsia="zh-CN" w:bidi="ar-SA"/>
        </w:rPr>
        <w:t>三、获取招标文件</w:t>
      </w:r>
      <w:bookmarkEnd w:id="11"/>
    </w:p>
    <w:p w14:paraId="723E159E">
      <w:pPr>
        <w:spacing w:line="360" w:lineRule="auto"/>
        <w:ind w:firstLine="540"/>
        <w:rPr>
          <w:rFonts w:hint="eastAsia" w:ascii="宋体" w:hAnsi="宋体" w:cs="宋体"/>
          <w:sz w:val="24"/>
          <w:szCs w:val="24"/>
        </w:rPr>
      </w:pPr>
      <w:r>
        <w:rPr>
          <w:rFonts w:hint="eastAsia" w:ascii="宋体" w:hAnsi="宋体" w:cs="宋体"/>
          <w:sz w:val="24"/>
          <w:szCs w:val="24"/>
        </w:rPr>
        <w:t>1.时间：自招标文件公告发布之日起5个工作日。</w:t>
      </w:r>
    </w:p>
    <w:p w14:paraId="0AA54417">
      <w:pPr>
        <w:spacing w:line="360" w:lineRule="auto"/>
        <w:ind w:firstLine="540"/>
        <w:rPr>
          <w:rFonts w:hint="eastAsia" w:ascii="宋体" w:hAnsi="宋体" w:cs="宋体"/>
          <w:sz w:val="24"/>
          <w:szCs w:val="24"/>
          <w:u w:val="single"/>
        </w:rPr>
      </w:pPr>
      <w:r>
        <w:rPr>
          <w:rFonts w:hint="eastAsia" w:ascii="宋体" w:hAnsi="宋体" w:cs="宋体"/>
          <w:sz w:val="24"/>
          <w:szCs w:val="24"/>
        </w:rPr>
        <w:t>2.方式：登录“新疆政府采购云平台”－“项目采购”－“获取采购文件”中自行免费下载招标文件。</w:t>
      </w:r>
    </w:p>
    <w:p w14:paraId="010BD983">
      <w:pPr>
        <w:keepNext/>
        <w:keepLines/>
        <w:widowControl w:val="0"/>
        <w:spacing w:before="260" w:after="260" w:line="416" w:lineRule="auto"/>
        <w:ind w:firstLine="482" w:firstLineChars="150"/>
        <w:jc w:val="both"/>
        <w:outlineLvl w:val="2"/>
        <w:rPr>
          <w:rFonts w:hint="eastAsia" w:ascii="宋体" w:hAnsi="宋体" w:eastAsia="宋体" w:cs="宋体"/>
          <w:b/>
          <w:bCs/>
          <w:kern w:val="2"/>
          <w:sz w:val="32"/>
          <w:szCs w:val="32"/>
          <w:lang w:val="en-US" w:eastAsia="zh-CN" w:bidi="ar-SA"/>
        </w:rPr>
      </w:pPr>
      <w:bookmarkStart w:id="12" w:name="_Toc5371"/>
      <w:r>
        <w:rPr>
          <w:rFonts w:hint="eastAsia" w:ascii="宋体" w:hAnsi="宋体" w:eastAsia="宋体" w:cs="宋体"/>
          <w:b/>
          <w:bCs/>
          <w:kern w:val="2"/>
          <w:sz w:val="32"/>
          <w:szCs w:val="32"/>
          <w:lang w:val="en-US" w:eastAsia="zh-CN" w:bidi="ar-SA"/>
        </w:rPr>
        <w:t>四、提交投标文件截止时间、开标时间和地点</w:t>
      </w:r>
      <w:bookmarkEnd w:id="12"/>
    </w:p>
    <w:p w14:paraId="348DE1C7">
      <w:pPr>
        <w:ind w:firstLine="480" w:firstLineChars="200"/>
        <w:rPr>
          <w:rFonts w:hint="eastAsia" w:ascii="宋体" w:hAnsi="宋体" w:cs="宋体"/>
          <w:sz w:val="24"/>
          <w:szCs w:val="24"/>
        </w:rPr>
      </w:pPr>
      <w:r>
        <w:rPr>
          <w:rFonts w:hint="eastAsia" w:ascii="宋体" w:hAnsi="宋体" w:cs="宋体"/>
          <w:sz w:val="24"/>
          <w:szCs w:val="24"/>
        </w:rPr>
        <w:t>1.提交投标文件截止时间、开标时间：2026年6月</w:t>
      </w:r>
      <w:r>
        <w:rPr>
          <w:rFonts w:hint="eastAsia" w:ascii="宋体" w:hAnsi="宋体" w:cs="宋体"/>
          <w:sz w:val="24"/>
          <w:szCs w:val="24"/>
          <w:lang w:val="en-US" w:eastAsia="zh-CN"/>
        </w:rPr>
        <w:t>23</w:t>
      </w:r>
      <w:r>
        <w:rPr>
          <w:rFonts w:hint="eastAsia" w:ascii="宋体" w:hAnsi="宋体" w:cs="宋体"/>
          <w:sz w:val="24"/>
          <w:szCs w:val="24"/>
        </w:rPr>
        <w:t>日11点00分（北京时间）</w:t>
      </w:r>
    </w:p>
    <w:p w14:paraId="615285B0">
      <w:pPr>
        <w:ind w:firstLine="480" w:firstLineChars="200"/>
        <w:rPr>
          <w:rFonts w:hint="eastAsia" w:ascii="宋体" w:hAnsi="宋体" w:cs="宋体"/>
          <w:sz w:val="24"/>
          <w:szCs w:val="24"/>
        </w:rPr>
      </w:pPr>
      <w:r>
        <w:rPr>
          <w:rFonts w:hint="eastAsia" w:ascii="宋体" w:hAnsi="宋体" w:cs="宋体"/>
          <w:sz w:val="24"/>
          <w:szCs w:val="24"/>
        </w:rPr>
        <w:t>2.地点：新疆政府采购网。</w:t>
      </w:r>
    </w:p>
    <w:p w14:paraId="3AF8B25A">
      <w:pPr>
        <w:keepNext/>
        <w:keepLines/>
        <w:widowControl w:val="0"/>
        <w:spacing w:before="145" w:beforeLines="50" w:after="145" w:afterLines="50" w:line="360" w:lineRule="auto"/>
        <w:ind w:firstLine="498" w:firstLineChars="155"/>
        <w:jc w:val="both"/>
        <w:outlineLvl w:val="2"/>
        <w:rPr>
          <w:rFonts w:hint="eastAsia" w:ascii="宋体" w:hAnsi="宋体" w:eastAsia="宋体" w:cs="宋体"/>
          <w:b/>
          <w:bCs/>
          <w:kern w:val="2"/>
          <w:sz w:val="32"/>
          <w:szCs w:val="32"/>
          <w:lang w:val="en-US" w:eastAsia="zh-CN" w:bidi="ar-SA"/>
        </w:rPr>
      </w:pPr>
      <w:bookmarkStart w:id="13" w:name="_Toc35393794"/>
      <w:bookmarkStart w:id="14" w:name="_Toc28359007"/>
      <w:bookmarkStart w:id="15" w:name="_Toc35393625"/>
      <w:bookmarkStart w:id="16" w:name="_Toc28359084"/>
      <w:bookmarkStart w:id="17" w:name="_Toc38985267"/>
      <w:bookmarkStart w:id="18" w:name="_Toc8624"/>
      <w:r>
        <w:rPr>
          <w:rFonts w:hint="eastAsia" w:ascii="宋体" w:hAnsi="宋体" w:eastAsia="宋体" w:cs="宋体"/>
          <w:b/>
          <w:bCs/>
          <w:kern w:val="2"/>
          <w:sz w:val="32"/>
          <w:szCs w:val="32"/>
          <w:lang w:val="en-US" w:eastAsia="zh-CN" w:bidi="ar-SA"/>
        </w:rPr>
        <w:t>五、公告期限</w:t>
      </w:r>
      <w:bookmarkEnd w:id="13"/>
      <w:bookmarkEnd w:id="14"/>
      <w:bookmarkEnd w:id="15"/>
      <w:bookmarkEnd w:id="16"/>
      <w:bookmarkEnd w:id="17"/>
      <w:bookmarkEnd w:id="18"/>
    </w:p>
    <w:p w14:paraId="0FB1F282">
      <w:pPr>
        <w:tabs>
          <w:tab w:val="left" w:pos="900"/>
        </w:tabs>
        <w:spacing w:line="560" w:lineRule="exact"/>
        <w:ind w:firstLine="480" w:firstLineChars="200"/>
        <w:rPr>
          <w:rFonts w:hint="eastAsia" w:ascii="宋体" w:hAnsi="宋体" w:cs="宋体"/>
          <w:b/>
          <w:bCs/>
          <w:sz w:val="24"/>
          <w:szCs w:val="24"/>
        </w:rPr>
      </w:pPr>
      <w:r>
        <w:rPr>
          <w:rFonts w:hint="eastAsia" w:ascii="宋体" w:hAnsi="宋体" w:cs="宋体"/>
          <w:kern w:val="0"/>
          <w:sz w:val="24"/>
          <w:szCs w:val="24"/>
        </w:rPr>
        <w:t>招标公告及招标文件公告期限为自本公告发布之日起5个工作日。</w:t>
      </w:r>
    </w:p>
    <w:p w14:paraId="3EBDE0DC">
      <w:pPr>
        <w:keepNext/>
        <w:keepLines/>
        <w:widowControl w:val="0"/>
        <w:spacing w:before="145" w:beforeLines="50" w:after="145" w:afterLines="50" w:line="360" w:lineRule="auto"/>
        <w:ind w:firstLine="498" w:firstLineChars="155"/>
        <w:jc w:val="both"/>
        <w:outlineLvl w:val="2"/>
        <w:rPr>
          <w:rFonts w:hint="eastAsia" w:ascii="宋体" w:hAnsi="宋体" w:eastAsia="宋体" w:cs="宋体"/>
          <w:b/>
          <w:bCs/>
          <w:kern w:val="2"/>
          <w:sz w:val="32"/>
          <w:szCs w:val="32"/>
          <w:lang w:val="en-US" w:eastAsia="zh-CN" w:bidi="ar-SA"/>
        </w:rPr>
      </w:pPr>
      <w:bookmarkStart w:id="19" w:name="_Toc9455"/>
      <w:r>
        <w:rPr>
          <w:rFonts w:hint="eastAsia" w:ascii="宋体" w:hAnsi="宋体" w:eastAsia="宋体" w:cs="宋体"/>
          <w:b/>
          <w:bCs/>
          <w:kern w:val="2"/>
          <w:sz w:val="32"/>
          <w:szCs w:val="32"/>
          <w:lang w:val="en-US" w:eastAsia="zh-CN" w:bidi="ar-SA"/>
        </w:rPr>
        <w:t>六、其他补充事宜</w:t>
      </w:r>
      <w:bookmarkEnd w:id="19"/>
    </w:p>
    <w:p w14:paraId="52E62FA3">
      <w:pPr>
        <w:adjustRightInd w:val="0"/>
        <w:snapToGrid w:val="0"/>
        <w:spacing w:before="145" w:beforeLines="50" w:after="145" w:afterLines="50" w:line="293" w:lineRule="auto"/>
        <w:ind w:firstLine="480" w:firstLineChars="200"/>
        <w:rPr>
          <w:rFonts w:hint="eastAsia" w:ascii="宋体" w:hAnsi="宋体" w:cs="宋体"/>
          <w:kern w:val="0"/>
          <w:sz w:val="24"/>
          <w:szCs w:val="24"/>
        </w:rPr>
      </w:pPr>
      <w:r>
        <w:rPr>
          <w:rFonts w:hint="eastAsia" w:ascii="宋体" w:hAnsi="宋体" w:cs="宋体"/>
          <w:kern w:val="0"/>
          <w:sz w:val="24"/>
          <w:szCs w:val="24"/>
        </w:rPr>
        <w:t>评标委员会如要求投标人对投标文件内容进行澄清，将通过腾讯视频会议方式进行，请各投标人在开标前做好人员、网络、设备准备工作，视频会议房间信息将适时告知投标授权代表，投标代表务必于开标当日保持手机联系畅通。</w:t>
      </w:r>
    </w:p>
    <w:p w14:paraId="712B0D15">
      <w:pPr>
        <w:keepNext/>
        <w:keepLines/>
        <w:widowControl w:val="0"/>
        <w:spacing w:before="145" w:beforeLines="50" w:after="145" w:afterLines="50" w:line="360" w:lineRule="auto"/>
        <w:ind w:firstLine="498" w:firstLineChars="155"/>
        <w:jc w:val="both"/>
        <w:outlineLvl w:val="2"/>
        <w:rPr>
          <w:rFonts w:hint="eastAsia" w:ascii="宋体" w:hAnsi="宋体" w:eastAsia="宋体" w:cs="宋体"/>
          <w:b/>
          <w:bCs/>
          <w:kern w:val="2"/>
          <w:sz w:val="32"/>
          <w:szCs w:val="32"/>
          <w:lang w:val="en-US" w:eastAsia="zh-CN" w:bidi="ar-SA"/>
        </w:rPr>
      </w:pPr>
      <w:bookmarkStart w:id="20" w:name="_Toc35393796"/>
      <w:bookmarkStart w:id="21" w:name="_Toc38985269"/>
      <w:bookmarkStart w:id="22" w:name="_Toc35393627"/>
      <w:bookmarkStart w:id="23" w:name="_Toc28359008"/>
      <w:bookmarkStart w:id="24" w:name="_Toc28359085"/>
      <w:bookmarkStart w:id="25" w:name="_Toc21961"/>
      <w:r>
        <w:rPr>
          <w:rFonts w:hint="eastAsia" w:ascii="宋体" w:hAnsi="宋体" w:eastAsia="宋体" w:cs="宋体"/>
          <w:b/>
          <w:bCs/>
          <w:kern w:val="2"/>
          <w:sz w:val="32"/>
          <w:szCs w:val="32"/>
          <w:lang w:val="en-US" w:eastAsia="zh-CN" w:bidi="ar-SA"/>
        </w:rPr>
        <w:t>七、联系</w:t>
      </w:r>
      <w:bookmarkEnd w:id="20"/>
      <w:bookmarkEnd w:id="21"/>
      <w:bookmarkEnd w:id="22"/>
      <w:bookmarkEnd w:id="23"/>
      <w:bookmarkEnd w:id="24"/>
      <w:r>
        <w:rPr>
          <w:rFonts w:hint="eastAsia" w:ascii="宋体" w:hAnsi="宋体" w:eastAsia="宋体" w:cs="宋体"/>
          <w:b/>
          <w:bCs/>
          <w:kern w:val="2"/>
          <w:sz w:val="32"/>
          <w:szCs w:val="32"/>
          <w:lang w:val="en-US" w:eastAsia="zh-CN" w:bidi="ar-SA"/>
        </w:rPr>
        <w:t>事项</w:t>
      </w:r>
      <w:bookmarkEnd w:id="25"/>
    </w:p>
    <w:p w14:paraId="3531359D">
      <w:pPr>
        <w:adjustRightInd w:val="0"/>
        <w:snapToGrid w:val="0"/>
        <w:spacing w:before="145" w:beforeLines="50" w:after="145" w:afterLines="50" w:line="293" w:lineRule="auto"/>
        <w:ind w:firstLine="480" w:firstLineChars="200"/>
        <w:rPr>
          <w:rFonts w:hint="eastAsia" w:ascii="宋体" w:hAnsi="宋体" w:cs="宋体"/>
          <w:sz w:val="24"/>
          <w:szCs w:val="24"/>
        </w:rPr>
      </w:pPr>
      <w:r>
        <w:rPr>
          <w:rFonts w:hint="eastAsia" w:ascii="宋体" w:hAnsi="宋体" w:cs="宋体"/>
          <w:sz w:val="24"/>
          <w:szCs w:val="24"/>
        </w:rPr>
        <w:t>1.采购人信息</w:t>
      </w:r>
    </w:p>
    <w:p w14:paraId="0A354232">
      <w:pPr>
        <w:adjustRightInd w:val="0"/>
        <w:snapToGrid w:val="0"/>
        <w:spacing w:before="145" w:beforeLines="50" w:after="145" w:afterLines="50" w:line="293" w:lineRule="auto"/>
        <w:ind w:firstLine="480" w:firstLineChars="200"/>
        <w:rPr>
          <w:rFonts w:hint="eastAsia" w:ascii="宋体" w:hAnsi="宋体" w:cs="宋体"/>
          <w:sz w:val="24"/>
          <w:szCs w:val="24"/>
        </w:rPr>
      </w:pPr>
      <w:r>
        <w:rPr>
          <w:rFonts w:hint="eastAsia" w:ascii="宋体" w:hAnsi="宋体" w:cs="宋体"/>
          <w:sz w:val="24"/>
          <w:szCs w:val="24"/>
        </w:rPr>
        <w:t>名称：新疆维吾尔自治区数据资源与政务服务中心</w:t>
      </w:r>
    </w:p>
    <w:p w14:paraId="53B4FCB0">
      <w:pPr>
        <w:adjustRightInd w:val="0"/>
        <w:snapToGrid w:val="0"/>
        <w:spacing w:before="145" w:beforeLines="50" w:after="145" w:afterLines="50" w:line="293" w:lineRule="auto"/>
        <w:ind w:firstLine="480" w:firstLineChars="200"/>
        <w:rPr>
          <w:rFonts w:hint="eastAsia" w:ascii="宋体" w:hAnsi="宋体" w:cs="宋体"/>
          <w:sz w:val="24"/>
          <w:szCs w:val="24"/>
        </w:rPr>
      </w:pPr>
      <w:r>
        <w:rPr>
          <w:rFonts w:hint="eastAsia" w:ascii="宋体" w:hAnsi="宋体" w:cs="宋体"/>
          <w:sz w:val="24"/>
          <w:szCs w:val="24"/>
        </w:rPr>
        <w:t>地址：乌鲁木齐市天山区西后街集中办公区6号楼</w:t>
      </w:r>
    </w:p>
    <w:p w14:paraId="6CF7253D">
      <w:pPr>
        <w:adjustRightInd w:val="0"/>
        <w:snapToGrid w:val="0"/>
        <w:spacing w:before="145" w:beforeLines="50" w:after="145" w:afterLines="50" w:line="293" w:lineRule="auto"/>
        <w:ind w:firstLine="480" w:firstLineChars="200"/>
        <w:rPr>
          <w:rFonts w:hint="eastAsia" w:ascii="宋体" w:hAnsi="宋体" w:cs="宋体"/>
          <w:sz w:val="24"/>
          <w:szCs w:val="24"/>
        </w:rPr>
      </w:pPr>
      <w:r>
        <w:rPr>
          <w:rFonts w:hint="eastAsia" w:ascii="宋体" w:hAnsi="宋体" w:cs="宋体"/>
          <w:sz w:val="24"/>
          <w:szCs w:val="24"/>
        </w:rPr>
        <w:t>联系人：郑东升</w:t>
      </w:r>
    </w:p>
    <w:p w14:paraId="0AD46DD2">
      <w:pPr>
        <w:adjustRightInd w:val="0"/>
        <w:snapToGrid w:val="0"/>
        <w:spacing w:before="145" w:beforeLines="50" w:after="145" w:afterLines="50" w:line="293" w:lineRule="auto"/>
        <w:ind w:firstLine="480" w:firstLineChars="200"/>
        <w:rPr>
          <w:rFonts w:hint="eastAsia" w:ascii="宋体" w:hAnsi="宋体" w:cs="宋体"/>
          <w:sz w:val="24"/>
          <w:szCs w:val="24"/>
        </w:rPr>
      </w:pPr>
      <w:r>
        <w:rPr>
          <w:rFonts w:hint="eastAsia" w:ascii="宋体" w:hAnsi="宋体" w:cs="宋体"/>
          <w:sz w:val="24"/>
          <w:szCs w:val="24"/>
        </w:rPr>
        <w:t>联系电话：0991-8810078</w:t>
      </w:r>
    </w:p>
    <w:p w14:paraId="7D2EC50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rPr>
        <w:t xml:space="preserve"> 新疆维吾尔</w:t>
      </w:r>
      <w:r>
        <w:rPr>
          <w:rFonts w:ascii="宋体" w:hAnsi="宋体" w:cs="宋体"/>
          <w:sz w:val="24"/>
        </w:rPr>
        <w:t>自治区公共资源交易中心</w:t>
      </w:r>
      <w:r>
        <w:rPr>
          <w:rFonts w:hint="eastAsia" w:ascii="宋体" w:hAnsi="宋体" w:cs="宋体"/>
          <w:sz w:val="24"/>
          <w:szCs w:val="24"/>
        </w:rPr>
        <w:t>信息</w:t>
      </w:r>
    </w:p>
    <w:p w14:paraId="1E91E926">
      <w:pPr>
        <w:adjustRightInd w:val="0"/>
        <w:snapToGrid w:val="0"/>
        <w:spacing w:before="145" w:beforeLines="50" w:after="145" w:afterLines="50" w:line="293" w:lineRule="auto"/>
        <w:ind w:firstLine="480" w:firstLineChars="200"/>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rPr>
        <w:t>新疆乌鲁木齐市水磨沟区准噶尔街299号益民大厦4楼A408室</w:t>
      </w:r>
    </w:p>
    <w:p w14:paraId="420A88A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联系人：张老师</w:t>
      </w:r>
    </w:p>
    <w:p w14:paraId="61271F1A">
      <w:pPr>
        <w:spacing w:line="360" w:lineRule="auto"/>
        <w:ind w:firstLine="480" w:firstLineChars="200"/>
        <w:jc w:val="left"/>
        <w:rPr>
          <w:rFonts w:ascii="宋体" w:hAnsi="宋体" w:cs="宋体"/>
          <w:sz w:val="24"/>
          <w:szCs w:val="24"/>
        </w:rPr>
      </w:pPr>
      <w:r>
        <w:rPr>
          <w:rFonts w:hint="eastAsia" w:ascii="宋体" w:hAnsi="宋体" w:cs="宋体"/>
          <w:sz w:val="24"/>
          <w:szCs w:val="24"/>
        </w:rPr>
        <w:t>联系电话：0991-3550126</w:t>
      </w:r>
    </w:p>
    <w:p w14:paraId="33A04ECA">
      <w:pPr>
        <w:keepNext/>
        <w:keepLines/>
        <w:widowControl w:val="0"/>
        <w:spacing w:before="260" w:after="260" w:line="416" w:lineRule="auto"/>
        <w:ind w:firstLine="482" w:firstLineChars="150"/>
        <w:jc w:val="both"/>
        <w:outlineLvl w:val="2"/>
        <w:rPr>
          <w:rFonts w:hint="eastAsia" w:ascii="宋体" w:hAnsi="宋体" w:eastAsia="宋体" w:cs="宋体"/>
          <w:b/>
          <w:bCs/>
          <w:kern w:val="2"/>
          <w:sz w:val="32"/>
          <w:szCs w:val="32"/>
          <w:lang w:val="en-US" w:eastAsia="zh-CN" w:bidi="ar-SA"/>
        </w:rPr>
      </w:pPr>
      <w:bookmarkStart w:id="26" w:name="_Toc12137"/>
      <w:r>
        <w:rPr>
          <w:rFonts w:hint="eastAsia" w:ascii="宋体" w:hAnsi="宋体" w:eastAsia="宋体" w:cs="宋体"/>
          <w:b/>
          <w:bCs/>
          <w:kern w:val="2"/>
          <w:sz w:val="32"/>
          <w:szCs w:val="32"/>
          <w:lang w:val="en-US" w:eastAsia="zh-CN" w:bidi="ar-SA"/>
        </w:rPr>
        <w:t>八、其他</w:t>
      </w:r>
      <w:bookmarkEnd w:id="26"/>
    </w:p>
    <w:p w14:paraId="3E220F35">
      <w:pPr>
        <w:tabs>
          <w:tab w:val="left" w:pos="900"/>
        </w:tabs>
        <w:wordWrap w:val="0"/>
        <w:spacing w:line="560" w:lineRule="exact"/>
        <w:ind w:firstLine="480" w:firstLineChars="200"/>
        <w:jc w:val="left"/>
        <w:rPr>
          <w:rFonts w:hint="eastAsia" w:ascii="宋体" w:hAnsi="宋体" w:cs="宋体"/>
          <w:bCs/>
          <w:sz w:val="24"/>
          <w:szCs w:val="24"/>
        </w:rPr>
      </w:pPr>
      <w:r>
        <w:rPr>
          <w:rFonts w:hint="eastAsia" w:ascii="宋体" w:hAnsi="宋体" w:cs="宋体"/>
          <w:sz w:val="24"/>
          <w:szCs w:val="24"/>
        </w:rPr>
        <w:t>1.本项目实行电子招投标，供应商须登录新疆政府采购云平台申请获取招标文件，并通过新疆政府采购云平台电子投标客户端制作投标文件。</w:t>
      </w:r>
      <w:r>
        <w:rPr>
          <w:rFonts w:hint="eastAsia" w:ascii="宋体" w:hAnsi="宋体" w:cs="宋体"/>
          <w:bCs/>
          <w:sz w:val="24"/>
          <w:szCs w:val="24"/>
        </w:rPr>
        <w:t>有关本次招标的事项若存在变动或修改，敬请及时关注新疆维吾尔</w:t>
      </w:r>
      <w:r>
        <w:rPr>
          <w:rFonts w:ascii="宋体" w:hAnsi="宋体" w:cs="宋体"/>
          <w:bCs/>
          <w:sz w:val="24"/>
          <w:szCs w:val="24"/>
        </w:rPr>
        <w:t>自治区公共资源交易中心</w:t>
      </w:r>
      <w:r>
        <w:rPr>
          <w:rFonts w:hint="eastAsia" w:ascii="宋体" w:hAnsi="宋体" w:cs="宋体"/>
          <w:bCs/>
          <w:sz w:val="24"/>
          <w:szCs w:val="24"/>
        </w:rPr>
        <w:t>在“新疆公共资源交易网”和“新疆政府采购云平台”发布的澄清变更公告，网址分别为“</w:t>
      </w:r>
      <w:r>
        <w:rPr>
          <w:rFonts w:hint="eastAsia" w:ascii="宋体" w:hAnsi="宋体" w:cs="宋体"/>
          <w:bCs/>
          <w:sz w:val="24"/>
          <w:szCs w:val="24"/>
        </w:rPr>
        <w:fldChar w:fldCharType="begin"/>
      </w:r>
      <w:r>
        <w:rPr>
          <w:rFonts w:hint="eastAsia" w:ascii="宋体" w:hAnsi="宋体" w:cs="宋体"/>
          <w:bCs/>
          <w:sz w:val="24"/>
          <w:szCs w:val="24"/>
        </w:rPr>
        <w:instrText xml:space="preserve"> HYPERLINK "http://zwfw.xinjiang.gov.cn/xinjiangggzy" </w:instrText>
      </w:r>
      <w:r>
        <w:rPr>
          <w:rFonts w:hint="eastAsia" w:ascii="宋体" w:hAnsi="宋体" w:cs="宋体"/>
          <w:bCs/>
          <w:sz w:val="24"/>
          <w:szCs w:val="24"/>
        </w:rPr>
        <w:fldChar w:fldCharType="separate"/>
      </w:r>
      <w:r>
        <w:rPr>
          <w:rFonts w:hint="eastAsia" w:ascii="宋体" w:hAnsi="宋体" w:cs="宋体"/>
          <w:bCs/>
          <w:sz w:val="24"/>
          <w:szCs w:val="24"/>
        </w:rPr>
        <w:t>http://zwfw.xinjiang.gov.cn/xinjiangggzy</w:t>
      </w:r>
      <w:r>
        <w:rPr>
          <w:rFonts w:hint="eastAsia" w:ascii="宋体" w:hAnsi="宋体" w:cs="宋体"/>
          <w:bCs/>
          <w:sz w:val="24"/>
          <w:szCs w:val="24"/>
        </w:rPr>
        <w:fldChar w:fldCharType="end"/>
      </w:r>
      <w:r>
        <w:rPr>
          <w:rFonts w:hint="eastAsia" w:ascii="宋体" w:hAnsi="宋体" w:cs="宋体"/>
          <w:bCs/>
          <w:sz w:val="24"/>
          <w:szCs w:val="24"/>
        </w:rPr>
        <w:t>”和“http://www.ccgp-xinjiang.gov.cn”。</w:t>
      </w:r>
    </w:p>
    <w:p w14:paraId="50B8B867">
      <w:pPr>
        <w:tabs>
          <w:tab w:val="left" w:pos="900"/>
        </w:tabs>
        <w:wordWrap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2.各供应商应在开标前确保成为新疆政府采购网正式供应商，并完成CA数字证书（符合国密标准）申领。因未注册入库、未办理CA数字证书等原因造成无法投标或投标失败等后果由供应商自行承担。</w:t>
      </w:r>
    </w:p>
    <w:p w14:paraId="3AB76F09">
      <w:pPr>
        <w:tabs>
          <w:tab w:val="left" w:pos="900"/>
        </w:tabs>
        <w:wordWrap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3.供应商可前往新疆政府采购云平台（http://www.ccgp-xinjiang.gov.cn/）下载专区，下载电子投标客户端，安装完成后，可通过账号密码或CA登录客户端进行响应文件制作。在使用政采云电子投标客户端时，建议使用WIN7及以上操作系统。如有问题可拨打客户服务热线95763进行咨询。</w:t>
      </w:r>
    </w:p>
    <w:p w14:paraId="0CF8AE63">
      <w:pPr>
        <w:tabs>
          <w:tab w:val="left" w:pos="900"/>
        </w:tabs>
        <w:wordWrap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4.本项目采用不见面开标，供应商须在投标截止时间前通过CA上传加密的电子响应文件。</w:t>
      </w:r>
    </w:p>
    <w:p w14:paraId="57A47310">
      <w:pPr>
        <w:tabs>
          <w:tab w:val="left" w:pos="900"/>
        </w:tabs>
        <w:wordWrap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备注：供应商对不见面开评标系统的技术操作咨询，可通过https://edu.zcygov.cn/luban/xinjiang-e-biding自助查询，也可在政采云帮助中心常见问题解答和操作流程讲解视频中自助查询，网址为：https://helpcenter.zcygov.cn/document/#/document/dashboard?siteCode=beijing，“项目采购”—“操作流程-电子招投标”—“政府采购项目电子交易管理操作指南-供应商”版面获取操作指南，同时对自助查询无法解决的问题可通过钉钉群及在线客服获取服务支持。</w:t>
      </w:r>
    </w:p>
    <w:p w14:paraId="3F6EE58B">
      <w:pPr>
        <w:tabs>
          <w:tab w:val="left" w:pos="900"/>
        </w:tabs>
        <w:wordWrap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5.供应商应当在递交截止时间前，将生成的“电子加密响应文件”上传递交至“政府采购云平台”；递交截止时间以后上传递交的响应文件将被“政府采购云平台”拒收。</w:t>
      </w:r>
    </w:p>
    <w:p w14:paraId="5FAB884B">
      <w:pPr>
        <w:tabs>
          <w:tab w:val="left" w:pos="900"/>
        </w:tabs>
        <w:wordWrap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6.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14:paraId="010317BE">
      <w:pPr>
        <w:widowControl w:val="0"/>
        <w:spacing w:line="360" w:lineRule="auto"/>
        <w:ind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7.</w:t>
      </w:r>
      <w:r>
        <w:rPr>
          <w:rFonts w:hint="eastAsia" w:ascii="宋体" w:hAnsi="宋体" w:eastAsia="宋体" w:cs="宋体"/>
          <w:bCs/>
          <w:kern w:val="2"/>
          <w:sz w:val="24"/>
          <w:szCs w:val="24"/>
          <w:lang w:val="en-US" w:eastAsia="zh-CN" w:bidi="ar-SA"/>
        </w:rPr>
        <w:t>本项目收取投标保证金，保证金金额：</w:t>
      </w:r>
      <w:r>
        <w:rPr>
          <w:rFonts w:ascii="宋体" w:hAnsi="宋体" w:eastAsia="宋体" w:cs="宋体"/>
          <w:bCs/>
          <w:kern w:val="2"/>
          <w:sz w:val="24"/>
          <w:szCs w:val="24"/>
          <w:u w:val="single"/>
          <w:lang w:val="en-US" w:eastAsia="zh-CN" w:bidi="ar-SA"/>
        </w:rPr>
        <w:t>500000.00</w:t>
      </w:r>
      <w:r>
        <w:rPr>
          <w:rFonts w:hint="eastAsia" w:ascii="宋体" w:hAnsi="宋体" w:eastAsia="宋体" w:cs="宋体"/>
          <w:bCs/>
          <w:kern w:val="2"/>
          <w:sz w:val="24"/>
          <w:szCs w:val="24"/>
          <w:lang w:val="en-US" w:eastAsia="zh-CN" w:bidi="ar-SA"/>
        </w:rPr>
        <w:t>元，供应商自主选择以银行转账或者保函（纸质或电子）等非现金方式缴纳，以上两种方式投标人仅需选择其中一个即可。具体缴纳方式如下：</w:t>
      </w:r>
    </w:p>
    <w:p w14:paraId="369A800D">
      <w:pPr>
        <w:autoSpaceDE w:val="0"/>
        <w:autoSpaceDN w:val="0"/>
        <w:spacing w:line="440" w:lineRule="exact"/>
        <w:ind w:firstLine="480" w:firstLineChars="200"/>
        <w:rPr>
          <w:rFonts w:ascii="宋体" w:hAnsi="宋体" w:cs="宋体"/>
          <w:sz w:val="24"/>
          <w:szCs w:val="24"/>
        </w:rPr>
      </w:pPr>
      <w:r>
        <w:rPr>
          <w:rFonts w:hint="eastAsia" w:ascii="宋体" w:hAnsi="宋体" w:cs="宋体"/>
          <w:sz w:val="24"/>
          <w:szCs w:val="24"/>
        </w:rPr>
        <w:t>方式一：电子保证金</w:t>
      </w:r>
    </w:p>
    <w:p w14:paraId="379FE2E0">
      <w:pPr>
        <w:autoSpaceDE w:val="0"/>
        <w:autoSpaceDN w:val="0"/>
        <w:spacing w:line="440" w:lineRule="exact"/>
        <w:ind w:firstLine="480" w:firstLineChars="200"/>
        <w:rPr>
          <w:rFonts w:hint="eastAsia" w:ascii="宋体" w:hAnsi="宋体" w:cs="宋体"/>
          <w:sz w:val="24"/>
          <w:szCs w:val="24"/>
        </w:rPr>
      </w:pPr>
      <w:r>
        <w:rPr>
          <w:rFonts w:hint="eastAsia" w:ascii="宋体" w:hAnsi="宋体" w:cs="宋体"/>
          <w:sz w:val="24"/>
          <w:szCs w:val="24"/>
        </w:rPr>
        <w:t>账户信息：按系统自动生成的收款账号信息进行缴纳。具体操作在【保证金管理】页面，选择【电子保证金（在线获取账号）】，点击【新疆保证金平台】，自动从银行获取保证金的收款户名、收款账号、收款银行信息（开户行及行号）。供应商需将保证金转入获取到的收款账号，转账时请备注项目名称及项目编号。</w:t>
      </w:r>
    </w:p>
    <w:p w14:paraId="61D2BB59">
      <w:pPr>
        <w:autoSpaceDE w:val="0"/>
        <w:autoSpaceDN w:val="0"/>
        <w:spacing w:line="440" w:lineRule="exact"/>
        <w:ind w:firstLine="480" w:firstLineChars="200"/>
        <w:rPr>
          <w:rFonts w:hint="eastAsia"/>
        </w:rPr>
      </w:pPr>
      <w:r>
        <w:rPr>
          <w:rFonts w:hint="eastAsia" w:ascii="宋体" w:hAnsi="宋体" w:cs="宋体"/>
          <w:sz w:val="24"/>
          <w:szCs w:val="24"/>
        </w:rPr>
        <w:t>方式二：保函</w:t>
      </w:r>
    </w:p>
    <w:p w14:paraId="1940E321">
      <w:pPr>
        <w:widowControl w:val="0"/>
        <w:spacing w:line="360" w:lineRule="auto"/>
        <w:ind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纸质保函。（1）可以使用银行保函、担保保函、保险保函其中之一形式提交。（2）供应商制作投标（响应）文件时，须将保函办理凭证加盖公章，一并上传至资格审查文件中提交。（3）办理咨询电话：13364798888、0991-6660666、4000235588、95511、95585。</w:t>
      </w:r>
    </w:p>
    <w:p w14:paraId="2CB91A2A">
      <w:pPr>
        <w:widowControl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bCs/>
          <w:kern w:val="2"/>
          <w:sz w:val="24"/>
          <w:szCs w:val="24"/>
          <w:lang w:val="en-US" w:eastAsia="zh-CN" w:bidi="ar-SA"/>
        </w:rPr>
        <w:t>2.电子保函。（1）缴纳程序：投标人可登录新疆政府采购网“电子保函”窗口线上办理投保手续；（2）办理电子保函必须在投标截止时间（开标时间）前完成；（3）开标前，投保人须下载加密保单并加盖公章作为保证金缴纳凭证，一并上传至资格审查文件中。(4）技术支持电话详见新疆政府采购网电子保函服务系统；</w:t>
      </w:r>
    </w:p>
    <w:p w14:paraId="4D1513C0">
      <w:pPr>
        <w:widowControl w:val="0"/>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若供应商未按上述规定缴纳投标保证金，将导致投标（响应）无效。</w:t>
      </w:r>
    </w:p>
    <w:p w14:paraId="777D60EF">
      <w:pPr>
        <w:tabs>
          <w:tab w:val="left" w:pos="900"/>
        </w:tabs>
        <w:wordWrap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8.本项目的中标供应商可以登陆新疆政府采购网，进入“项目采购” 自行打印中标通知书。通过新疆政府采购网下载打印的中标通知书与现场开具的中标通知书具有同等法律效力。</w:t>
      </w:r>
    </w:p>
    <w:p w14:paraId="013DA0B4">
      <w:pPr>
        <w:adjustRightInd w:val="0"/>
        <w:snapToGrid w:val="0"/>
        <w:spacing w:before="145" w:beforeLines="50" w:after="145" w:afterLines="50" w:line="293" w:lineRule="auto"/>
        <w:ind w:firstLine="480" w:firstLineChars="200"/>
        <w:rPr>
          <w:rFonts w:hint="eastAsia" w:ascii="宋体" w:hAnsi="宋体" w:cs="宋体"/>
          <w:bCs/>
          <w:sz w:val="24"/>
          <w:szCs w:val="24"/>
        </w:rPr>
      </w:pPr>
      <w:r>
        <w:rPr>
          <w:rFonts w:hint="eastAsia" w:ascii="宋体" w:hAnsi="宋体" w:cs="宋体"/>
          <w:sz w:val="24"/>
          <w:szCs w:val="24"/>
        </w:rPr>
        <w:t>9.系统技术支持电话：95763。</w:t>
      </w:r>
    </w:p>
    <w:p w14:paraId="670809B8">
      <w:pPr>
        <w:spacing w:line="560" w:lineRule="exact"/>
        <w:ind w:firstLine="480" w:firstLineChars="200"/>
        <w:rPr>
          <w:rFonts w:hint="eastAsia" w:ascii="宋体" w:hAnsi="宋体" w:cs="宋体"/>
          <w:sz w:val="24"/>
        </w:rPr>
      </w:pPr>
    </w:p>
    <w:bookmarkEnd w:id="2"/>
    <w:bookmarkEnd w:id="3"/>
    <w:bookmarkEnd w:id="4"/>
    <w:bookmarkEnd w:id="5"/>
    <w:bookmarkEnd w:id="6"/>
    <w:p w14:paraId="4DB6DAD8">
      <w:pPr>
        <w:pStyle w:val="4"/>
        <w:ind w:firstLine="2429" w:firstLineChars="550"/>
        <w:jc w:val="both"/>
        <w:rPr>
          <w:rFonts w:hint="eastAsia" w:ascii="宋体" w:hAnsi="宋体" w:eastAsia="宋体" w:cs="宋体"/>
          <w:b w:val="0"/>
          <w:bCs w:val="0"/>
        </w:rPr>
      </w:pPr>
      <w:bookmarkStart w:id="27" w:name="_Toc120614211"/>
      <w:bookmarkStart w:id="28" w:name="_Toc18993"/>
      <w:bookmarkStart w:id="29" w:name="_Toc534725597"/>
      <w:bookmarkStart w:id="30" w:name="_Toc20823314"/>
      <w:bookmarkStart w:id="31" w:name="_Toc120614221"/>
      <w:bookmarkStart w:id="32" w:name="_Toc479757207"/>
      <w:bookmarkStart w:id="33" w:name="_Toc513029242"/>
      <w:bookmarkStart w:id="34" w:name="_Toc16938558"/>
      <w:bookmarkStart w:id="35" w:name="_Toc494375079"/>
      <w:r>
        <w:rPr>
          <w:rFonts w:hint="eastAsia" w:ascii="宋体" w:hAnsi="宋体" w:eastAsia="宋体" w:cs="宋体"/>
        </w:rPr>
        <w:t xml:space="preserve">第二章  </w:t>
      </w:r>
      <w:bookmarkEnd w:id="27"/>
      <w:bookmarkStart w:id="36" w:name="_Toc20823274"/>
      <w:bookmarkStart w:id="37" w:name="_Toc513029202"/>
      <w:bookmarkStart w:id="38" w:name="_Toc16938518"/>
      <w:bookmarkStart w:id="39" w:name="_Toc120614213"/>
      <w:r>
        <w:rPr>
          <w:rFonts w:hint="eastAsia" w:ascii="宋体" w:hAnsi="宋体" w:eastAsia="宋体" w:cs="宋体"/>
        </w:rPr>
        <w:t>投标人须知</w:t>
      </w:r>
      <w:bookmarkEnd w:id="28"/>
      <w:bookmarkEnd w:id="29"/>
      <w:bookmarkEnd w:id="36"/>
      <w:bookmarkEnd w:id="37"/>
      <w:bookmarkEnd w:id="38"/>
      <w:bookmarkEnd w:id="39"/>
    </w:p>
    <w:p w14:paraId="1736FB8C">
      <w:pPr>
        <w:keepNext/>
        <w:keepLines/>
        <w:widowControl w:val="0"/>
        <w:spacing w:before="145" w:beforeLines="50" w:after="145" w:afterLines="50" w:line="360" w:lineRule="auto"/>
        <w:ind w:firstLine="498" w:firstLineChars="155"/>
        <w:jc w:val="both"/>
        <w:outlineLvl w:val="2"/>
        <w:rPr>
          <w:rFonts w:hint="eastAsia" w:ascii="宋体" w:hAnsi="宋体" w:eastAsia="宋体" w:cs="宋体"/>
          <w:b/>
          <w:bCs/>
          <w:kern w:val="2"/>
          <w:sz w:val="32"/>
          <w:szCs w:val="32"/>
          <w:lang w:val="en-US" w:eastAsia="zh-CN" w:bidi="ar-SA"/>
        </w:rPr>
      </w:pPr>
      <w:bookmarkStart w:id="40" w:name="_Toc120614214"/>
      <w:bookmarkStart w:id="41" w:name="_Toc20823275"/>
      <w:bookmarkStart w:id="42" w:name="_Toc513029203"/>
      <w:bookmarkStart w:id="43" w:name="_Toc16938519"/>
      <w:bookmarkStart w:id="44" w:name="_Toc32338"/>
      <w:bookmarkStart w:id="45" w:name="_Toc534816627"/>
      <w:bookmarkStart w:id="46" w:name="_Toc534725598"/>
      <w:r>
        <w:rPr>
          <w:rFonts w:hint="eastAsia" w:ascii="宋体" w:hAnsi="宋体" w:eastAsia="宋体" w:cs="宋体"/>
          <w:b/>
          <w:bCs/>
          <w:kern w:val="2"/>
          <w:sz w:val="32"/>
          <w:szCs w:val="32"/>
          <w:lang w:val="en-US" w:eastAsia="zh-CN" w:bidi="ar-SA"/>
        </w:rPr>
        <w:t>一、总则</w:t>
      </w:r>
      <w:bookmarkEnd w:id="40"/>
      <w:bookmarkEnd w:id="41"/>
      <w:bookmarkEnd w:id="42"/>
      <w:bookmarkEnd w:id="43"/>
      <w:bookmarkEnd w:id="44"/>
      <w:bookmarkEnd w:id="45"/>
      <w:bookmarkEnd w:id="46"/>
    </w:p>
    <w:p w14:paraId="31BAEE03">
      <w:pPr>
        <w:keepNext/>
        <w:keepLines/>
        <w:widowControl w:val="0"/>
        <w:ind w:firstLine="420" w:firstLineChars="150"/>
        <w:jc w:val="both"/>
        <w:outlineLvl w:val="3"/>
        <w:rPr>
          <w:rFonts w:hint="eastAsia" w:ascii="宋体" w:hAnsi="宋体" w:eastAsia="宋体" w:cs="宋体"/>
          <w:b w:val="0"/>
          <w:kern w:val="2"/>
          <w:sz w:val="28"/>
          <w:szCs w:val="28"/>
          <w:lang w:val="en-US" w:eastAsia="zh-CN" w:bidi="ar-SA"/>
        </w:rPr>
      </w:pPr>
      <w:bookmarkStart w:id="47" w:name="_Hlt16619475"/>
      <w:bookmarkEnd w:id="47"/>
      <w:bookmarkStart w:id="48" w:name="_Toc458694821"/>
      <w:bookmarkStart w:id="49" w:name="_Toc16938520"/>
      <w:bookmarkStart w:id="50" w:name="_Toc513029204"/>
      <w:bookmarkStart w:id="51" w:name="_Toc20823276"/>
      <w:r>
        <w:rPr>
          <w:rFonts w:hint="eastAsia" w:ascii="宋体" w:hAnsi="宋体" w:eastAsia="宋体" w:cs="宋体"/>
          <w:b w:val="0"/>
          <w:bCs/>
          <w:kern w:val="2"/>
          <w:sz w:val="28"/>
          <w:szCs w:val="28"/>
          <w:lang w:val="en-US" w:eastAsia="zh-CN" w:bidi="ar-SA"/>
        </w:rPr>
        <w:t>1.</w:t>
      </w:r>
      <w:bookmarkEnd w:id="48"/>
      <w:r>
        <w:rPr>
          <w:rFonts w:hint="eastAsia" w:ascii="宋体" w:hAnsi="宋体" w:eastAsia="宋体" w:cs="宋体"/>
          <w:b w:val="0"/>
          <w:bCs/>
          <w:kern w:val="2"/>
          <w:sz w:val="28"/>
          <w:szCs w:val="28"/>
          <w:lang w:val="en-US" w:eastAsia="zh-CN" w:bidi="ar-SA"/>
        </w:rPr>
        <w:t>招标方式</w:t>
      </w:r>
      <w:bookmarkEnd w:id="49"/>
      <w:bookmarkEnd w:id="50"/>
      <w:bookmarkEnd w:id="51"/>
    </w:p>
    <w:p w14:paraId="304C34D6">
      <w:pPr>
        <w:spacing w:line="500" w:lineRule="exact"/>
        <w:ind w:firstLine="480" w:firstLineChars="200"/>
        <w:rPr>
          <w:rFonts w:hint="eastAsia" w:ascii="宋体" w:hAnsi="宋体" w:cs="宋体"/>
          <w:sz w:val="24"/>
        </w:rPr>
      </w:pPr>
      <w:r>
        <w:rPr>
          <w:rFonts w:hint="eastAsia" w:ascii="宋体" w:hAnsi="宋体" w:cs="宋体"/>
          <w:sz w:val="24"/>
        </w:rPr>
        <w:t>1.1 本次招标采取公开招标方式，本招标文件仅适用于招标公告中所述项目。</w:t>
      </w:r>
    </w:p>
    <w:p w14:paraId="1746C728">
      <w:pPr>
        <w:keepNext/>
        <w:keepLines/>
        <w:widowControl w:val="0"/>
        <w:ind w:firstLine="420" w:firstLineChars="150"/>
        <w:jc w:val="both"/>
        <w:outlineLvl w:val="3"/>
        <w:rPr>
          <w:rFonts w:hint="eastAsia" w:ascii="宋体" w:hAnsi="宋体" w:eastAsia="宋体" w:cs="宋体"/>
          <w:b w:val="0"/>
          <w:kern w:val="2"/>
          <w:sz w:val="28"/>
          <w:szCs w:val="28"/>
          <w:lang w:val="en-US" w:eastAsia="zh-CN" w:bidi="ar-SA"/>
        </w:rPr>
      </w:pPr>
      <w:bookmarkStart w:id="52" w:name="_Toc20823277"/>
      <w:bookmarkStart w:id="53" w:name="_Toc16938521"/>
      <w:bookmarkStart w:id="54" w:name="_Toc513029205"/>
      <w:r>
        <w:rPr>
          <w:rFonts w:hint="eastAsia" w:ascii="宋体" w:hAnsi="宋体" w:eastAsia="宋体" w:cs="宋体"/>
          <w:b w:val="0"/>
          <w:bCs/>
          <w:kern w:val="2"/>
          <w:sz w:val="28"/>
          <w:szCs w:val="28"/>
          <w:lang w:val="en-US" w:eastAsia="zh-CN" w:bidi="ar-SA"/>
        </w:rPr>
        <w:t>2.合格的投标人</w:t>
      </w:r>
      <w:bookmarkEnd w:id="52"/>
      <w:bookmarkEnd w:id="53"/>
      <w:bookmarkEnd w:id="54"/>
    </w:p>
    <w:p w14:paraId="08A4B410">
      <w:pPr>
        <w:spacing w:line="400" w:lineRule="exact"/>
        <w:ind w:firstLine="480" w:firstLineChars="200"/>
        <w:rPr>
          <w:rFonts w:hint="eastAsia" w:ascii="宋体" w:hAnsi="宋体" w:cs="宋体"/>
          <w:sz w:val="24"/>
          <w:szCs w:val="24"/>
        </w:rPr>
      </w:pPr>
      <w:r>
        <w:rPr>
          <w:rFonts w:hint="eastAsia" w:ascii="宋体" w:hAnsi="宋体" w:cs="宋体"/>
          <w:sz w:val="24"/>
          <w:szCs w:val="24"/>
        </w:rPr>
        <w:t>2.1满足招标公告中供应商的资格要求的规定。</w:t>
      </w:r>
    </w:p>
    <w:p w14:paraId="5092463C">
      <w:pPr>
        <w:spacing w:line="400" w:lineRule="exact"/>
        <w:ind w:firstLine="480" w:firstLineChars="200"/>
        <w:rPr>
          <w:rFonts w:hint="eastAsia" w:ascii="宋体" w:hAnsi="宋体" w:cs="宋体"/>
          <w:sz w:val="24"/>
          <w:szCs w:val="24"/>
        </w:rPr>
      </w:pPr>
      <w:r>
        <w:rPr>
          <w:rFonts w:hint="eastAsia" w:ascii="宋体" w:hAnsi="宋体" w:cs="宋体"/>
          <w:sz w:val="24"/>
          <w:szCs w:val="24"/>
        </w:rPr>
        <w:t>2.2 满足本文件实质性条款的规定。</w:t>
      </w:r>
    </w:p>
    <w:p w14:paraId="68BB8D83">
      <w:pPr>
        <w:keepNext/>
        <w:keepLines/>
        <w:widowControl w:val="0"/>
        <w:ind w:firstLine="420" w:firstLineChars="150"/>
        <w:jc w:val="both"/>
        <w:outlineLvl w:val="3"/>
        <w:rPr>
          <w:rFonts w:hint="eastAsia" w:ascii="宋体" w:hAnsi="宋体" w:eastAsia="宋体" w:cs="宋体"/>
          <w:b w:val="0"/>
          <w:kern w:val="2"/>
          <w:sz w:val="28"/>
          <w:szCs w:val="28"/>
          <w:lang w:val="en-US" w:eastAsia="zh-CN" w:bidi="ar-SA"/>
        </w:rPr>
      </w:pPr>
      <w:bookmarkStart w:id="55" w:name="_Toc20823278"/>
      <w:bookmarkStart w:id="56" w:name="_Toc513029206"/>
      <w:bookmarkStart w:id="57" w:name="_Toc16938522"/>
      <w:r>
        <w:rPr>
          <w:rFonts w:hint="eastAsia" w:ascii="宋体" w:hAnsi="宋体" w:eastAsia="宋体" w:cs="宋体"/>
          <w:b w:val="0"/>
          <w:bCs/>
          <w:kern w:val="2"/>
          <w:sz w:val="28"/>
          <w:szCs w:val="28"/>
          <w:lang w:val="en-US" w:eastAsia="zh-CN" w:bidi="ar-SA"/>
        </w:rPr>
        <w:t>3.适用法律</w:t>
      </w:r>
      <w:bookmarkEnd w:id="55"/>
      <w:bookmarkEnd w:id="56"/>
      <w:bookmarkEnd w:id="57"/>
    </w:p>
    <w:p w14:paraId="4452419B">
      <w:pPr>
        <w:spacing w:line="400" w:lineRule="exact"/>
        <w:ind w:firstLine="420" w:firstLineChars="175"/>
        <w:rPr>
          <w:rFonts w:hint="eastAsia" w:ascii="宋体" w:hAnsi="宋体" w:cs="宋体"/>
          <w:sz w:val="24"/>
        </w:rPr>
      </w:pPr>
      <w:r>
        <w:rPr>
          <w:rFonts w:hint="eastAsia" w:ascii="宋体" w:hAnsi="宋体" w:cs="宋体"/>
          <w:sz w:val="24"/>
        </w:rPr>
        <w:t>3.1 本次招标及由此产生的合同受中华人民共和国有关法律法规的制约和保护。</w:t>
      </w:r>
    </w:p>
    <w:p w14:paraId="2B656AEC">
      <w:pPr>
        <w:keepNext/>
        <w:keepLines/>
        <w:widowControl w:val="0"/>
        <w:ind w:firstLine="420" w:firstLineChars="150"/>
        <w:jc w:val="both"/>
        <w:outlineLvl w:val="3"/>
        <w:rPr>
          <w:rFonts w:hint="eastAsia" w:ascii="宋体" w:hAnsi="宋体" w:eastAsia="宋体" w:cs="宋体"/>
          <w:b w:val="0"/>
          <w:kern w:val="2"/>
          <w:sz w:val="28"/>
          <w:szCs w:val="28"/>
          <w:lang w:val="en-US" w:eastAsia="zh-CN" w:bidi="ar-SA"/>
        </w:rPr>
      </w:pPr>
      <w:bookmarkStart w:id="58" w:name="_Toc16938523"/>
      <w:bookmarkStart w:id="59" w:name="_Toc513029207"/>
      <w:bookmarkStart w:id="60" w:name="_Toc20823279"/>
      <w:bookmarkStart w:id="61" w:name="_Toc462564067"/>
      <w:r>
        <w:rPr>
          <w:rFonts w:hint="eastAsia" w:ascii="宋体" w:hAnsi="宋体" w:eastAsia="宋体" w:cs="宋体"/>
          <w:b w:val="0"/>
          <w:bCs/>
          <w:kern w:val="2"/>
          <w:sz w:val="28"/>
          <w:szCs w:val="28"/>
          <w:lang w:val="en-US" w:eastAsia="zh-CN" w:bidi="ar-SA"/>
        </w:rPr>
        <w:t>4.投标费用</w:t>
      </w:r>
      <w:bookmarkEnd w:id="58"/>
      <w:bookmarkEnd w:id="59"/>
      <w:bookmarkEnd w:id="60"/>
      <w:bookmarkEnd w:id="61"/>
    </w:p>
    <w:p w14:paraId="21F02502">
      <w:pPr>
        <w:spacing w:line="500" w:lineRule="exact"/>
        <w:ind w:firstLine="480" w:firstLineChars="200"/>
        <w:rPr>
          <w:rFonts w:hint="eastAsia" w:ascii="宋体" w:hAnsi="宋体" w:cs="宋体"/>
          <w:sz w:val="24"/>
        </w:rPr>
      </w:pPr>
      <w:r>
        <w:rPr>
          <w:rFonts w:hint="eastAsia" w:ascii="宋体" w:hAnsi="宋体" w:cs="宋体"/>
          <w:bCs/>
          <w:sz w:val="24"/>
        </w:rPr>
        <w:t>4.1</w:t>
      </w:r>
      <w:r>
        <w:rPr>
          <w:rFonts w:hint="eastAsia" w:ascii="宋体" w:hAnsi="宋体" w:cs="宋体"/>
          <w:sz w:val="24"/>
        </w:rPr>
        <w:t xml:space="preserve"> 投标人应自行承担所有与参加投标有关的费用。无论投标过程中的做法和结果如何，新疆维吾尔</w:t>
      </w:r>
      <w:r>
        <w:rPr>
          <w:rFonts w:ascii="宋体" w:hAnsi="宋体" w:cs="宋体"/>
          <w:sz w:val="24"/>
        </w:rPr>
        <w:t>自治区公共资源交易中心</w:t>
      </w:r>
      <w:r>
        <w:rPr>
          <w:rFonts w:hint="eastAsia" w:ascii="宋体" w:hAnsi="宋体" w:cs="宋体"/>
          <w:sz w:val="24"/>
        </w:rPr>
        <w:t>（以下简称“交易中心”）在任何情况下均无义务和责任承担这些费用。</w:t>
      </w:r>
    </w:p>
    <w:p w14:paraId="5F2D58D8">
      <w:pPr>
        <w:spacing w:line="500" w:lineRule="exact"/>
        <w:ind w:firstLine="480" w:firstLineChars="200"/>
        <w:rPr>
          <w:rFonts w:hint="eastAsia" w:ascii="宋体" w:hAnsi="宋体" w:cs="宋体"/>
          <w:sz w:val="24"/>
        </w:rPr>
      </w:pPr>
      <w:r>
        <w:rPr>
          <w:rFonts w:hint="eastAsia" w:ascii="宋体" w:hAnsi="宋体" w:cs="宋体"/>
          <w:sz w:val="24"/>
        </w:rPr>
        <w:t>4.2本次招标，交易中心和采购人不收取标书工本费与中标服务费。</w:t>
      </w:r>
    </w:p>
    <w:p w14:paraId="2B79856C">
      <w:pPr>
        <w:keepNext/>
        <w:keepLines/>
        <w:widowControl w:val="0"/>
        <w:spacing w:line="480" w:lineRule="exact"/>
        <w:ind w:firstLine="419" w:firstLineChars="139"/>
        <w:jc w:val="both"/>
        <w:outlineLvl w:val="3"/>
        <w:rPr>
          <w:rFonts w:hint="eastAsia" w:ascii="宋体" w:hAnsi="宋体" w:eastAsia="宋体" w:cs="宋体"/>
          <w:b w:val="0"/>
          <w:kern w:val="2"/>
          <w:sz w:val="28"/>
          <w:szCs w:val="28"/>
          <w:lang w:val="en-US" w:eastAsia="zh-CN" w:bidi="ar-SA"/>
        </w:rPr>
      </w:pPr>
      <w:r>
        <w:rPr>
          <w:rFonts w:hint="eastAsia" w:ascii="宋体" w:hAnsi="宋体" w:eastAsia="宋体" w:cs="宋体"/>
          <w:b/>
          <w:kern w:val="2"/>
          <w:sz w:val="30"/>
          <w:szCs w:val="28"/>
          <w:lang w:val="en-US" w:eastAsia="zh-CN" w:bidi="ar-SA"/>
        </w:rPr>
        <w:t>5.</w:t>
      </w:r>
      <w:r>
        <w:rPr>
          <w:rFonts w:hint="eastAsia" w:ascii="宋体" w:hAnsi="宋体" w:eastAsia="宋体" w:cs="宋体"/>
          <w:b w:val="0"/>
          <w:bCs/>
          <w:kern w:val="2"/>
          <w:sz w:val="28"/>
          <w:szCs w:val="28"/>
          <w:lang w:val="en-US" w:eastAsia="zh-CN" w:bidi="ar-SA"/>
        </w:rPr>
        <w:t>招标文件的约束力</w:t>
      </w:r>
    </w:p>
    <w:p w14:paraId="19D0869F">
      <w:pPr>
        <w:spacing w:line="480" w:lineRule="exact"/>
        <w:ind w:firstLine="480" w:firstLineChars="200"/>
        <w:rPr>
          <w:rFonts w:hint="eastAsia" w:ascii="宋体" w:hAnsi="宋体" w:cs="宋体"/>
          <w:sz w:val="24"/>
          <w:szCs w:val="24"/>
        </w:rPr>
      </w:pPr>
      <w:r>
        <w:rPr>
          <w:rFonts w:hint="eastAsia" w:ascii="宋体" w:hAnsi="宋体" w:cs="宋体"/>
          <w:bCs/>
          <w:sz w:val="24"/>
          <w:szCs w:val="24"/>
        </w:rPr>
        <w:t>5.1</w:t>
      </w:r>
      <w:r>
        <w:rPr>
          <w:rFonts w:hint="eastAsia" w:ascii="宋体" w:hAnsi="宋体" w:cs="宋体"/>
          <w:sz w:val="24"/>
          <w:szCs w:val="24"/>
        </w:rPr>
        <w:t xml:space="preserve"> 投标人一旦参加本项目采购活动，即被认为接受了本招标文件的规定和约束。</w:t>
      </w:r>
    </w:p>
    <w:p w14:paraId="39F08651">
      <w:pPr>
        <w:keepNext/>
        <w:keepLines/>
        <w:widowControl w:val="0"/>
        <w:spacing w:before="145" w:beforeLines="50" w:after="145" w:afterLines="50" w:line="360" w:lineRule="auto"/>
        <w:ind w:firstLine="321" w:firstLineChars="100"/>
        <w:jc w:val="both"/>
        <w:outlineLvl w:val="2"/>
        <w:rPr>
          <w:rFonts w:hint="eastAsia" w:ascii="宋体" w:hAnsi="宋体" w:eastAsia="宋体" w:cs="宋体"/>
          <w:b/>
          <w:bCs/>
          <w:kern w:val="2"/>
          <w:sz w:val="32"/>
          <w:szCs w:val="32"/>
          <w:lang w:val="en-US" w:eastAsia="zh-CN" w:bidi="ar-SA"/>
        </w:rPr>
      </w:pPr>
      <w:bookmarkStart w:id="62" w:name="_Toc534725599"/>
      <w:bookmarkStart w:id="63" w:name="_Toc534816628"/>
      <w:bookmarkStart w:id="64" w:name="_Toc20823281"/>
      <w:bookmarkStart w:id="65" w:name="_Toc8759"/>
      <w:bookmarkStart w:id="66" w:name="_Toc16938525"/>
      <w:bookmarkStart w:id="67" w:name="_Toc120614215"/>
      <w:bookmarkStart w:id="68" w:name="_Toc513029209"/>
      <w:r>
        <w:rPr>
          <w:rFonts w:hint="eastAsia" w:ascii="宋体" w:hAnsi="宋体" w:eastAsia="宋体" w:cs="宋体"/>
          <w:b/>
          <w:bCs/>
          <w:kern w:val="2"/>
          <w:sz w:val="32"/>
          <w:szCs w:val="32"/>
          <w:lang w:val="en-US" w:eastAsia="zh-CN" w:bidi="ar-SA"/>
        </w:rPr>
        <w:t>二、招标文件</w:t>
      </w:r>
      <w:bookmarkEnd w:id="62"/>
      <w:bookmarkEnd w:id="63"/>
      <w:bookmarkEnd w:id="64"/>
      <w:bookmarkEnd w:id="65"/>
      <w:bookmarkEnd w:id="66"/>
      <w:bookmarkEnd w:id="67"/>
      <w:bookmarkEnd w:id="68"/>
    </w:p>
    <w:p w14:paraId="74B1479E">
      <w:pPr>
        <w:keepNext/>
        <w:keepLines/>
        <w:widowControl w:val="0"/>
        <w:ind w:firstLine="420" w:firstLineChars="150"/>
        <w:jc w:val="both"/>
        <w:outlineLvl w:val="3"/>
        <w:rPr>
          <w:rFonts w:hint="eastAsia" w:ascii="宋体" w:hAnsi="宋体" w:eastAsia="宋体" w:cs="宋体"/>
          <w:b w:val="0"/>
          <w:kern w:val="2"/>
          <w:sz w:val="28"/>
          <w:szCs w:val="28"/>
          <w:lang w:val="en-US" w:eastAsia="zh-CN" w:bidi="ar-SA"/>
        </w:rPr>
      </w:pPr>
      <w:bookmarkStart w:id="69" w:name="_Toc16938526"/>
      <w:bookmarkStart w:id="70" w:name="_Toc513029210"/>
      <w:bookmarkStart w:id="71" w:name="_Toc20823282"/>
      <w:r>
        <w:rPr>
          <w:rFonts w:hint="eastAsia" w:ascii="宋体" w:hAnsi="宋体" w:eastAsia="宋体" w:cs="宋体"/>
          <w:b w:val="0"/>
          <w:bCs/>
          <w:kern w:val="2"/>
          <w:sz w:val="28"/>
          <w:szCs w:val="28"/>
          <w:lang w:val="en-US" w:eastAsia="zh-CN" w:bidi="ar-SA"/>
        </w:rPr>
        <w:t>6.招标文件构成</w:t>
      </w:r>
      <w:bookmarkEnd w:id="69"/>
      <w:bookmarkEnd w:id="70"/>
      <w:bookmarkEnd w:id="71"/>
    </w:p>
    <w:p w14:paraId="059C8236">
      <w:pPr>
        <w:spacing w:line="500" w:lineRule="exact"/>
        <w:ind w:firstLine="480" w:firstLineChars="200"/>
        <w:rPr>
          <w:rFonts w:hint="eastAsia" w:ascii="宋体" w:hAnsi="宋体" w:cs="宋体"/>
          <w:sz w:val="24"/>
        </w:rPr>
      </w:pPr>
      <w:r>
        <w:rPr>
          <w:rFonts w:hint="eastAsia" w:ascii="宋体" w:hAnsi="宋体" w:cs="宋体"/>
          <w:bCs/>
          <w:sz w:val="24"/>
        </w:rPr>
        <w:t>6.1</w:t>
      </w:r>
      <w:r>
        <w:rPr>
          <w:rFonts w:hint="eastAsia" w:ascii="宋体" w:hAnsi="宋体" w:cs="宋体"/>
          <w:sz w:val="24"/>
        </w:rPr>
        <w:t xml:space="preserve"> 招标文件由以下部分组成：</w:t>
      </w:r>
    </w:p>
    <w:p w14:paraId="1D9BB281">
      <w:pPr>
        <w:spacing w:line="400" w:lineRule="exact"/>
        <w:ind w:firstLine="360" w:firstLineChars="150"/>
        <w:rPr>
          <w:rFonts w:hint="eastAsia" w:ascii="宋体" w:hAnsi="宋体" w:cs="宋体"/>
          <w:sz w:val="24"/>
          <w:szCs w:val="24"/>
        </w:rPr>
      </w:pPr>
      <w:r>
        <w:rPr>
          <w:rFonts w:hint="eastAsia" w:ascii="宋体" w:hAnsi="宋体" w:cs="宋体"/>
          <w:sz w:val="24"/>
          <w:szCs w:val="24"/>
        </w:rPr>
        <w:t>（1）投标邀请</w:t>
      </w:r>
    </w:p>
    <w:p w14:paraId="7633D6E1">
      <w:pPr>
        <w:spacing w:line="400" w:lineRule="exact"/>
        <w:ind w:firstLine="360" w:firstLineChars="150"/>
        <w:rPr>
          <w:rFonts w:hint="eastAsia" w:ascii="宋体" w:hAnsi="宋体" w:cs="宋体"/>
          <w:sz w:val="24"/>
          <w:szCs w:val="24"/>
        </w:rPr>
      </w:pPr>
      <w:r>
        <w:rPr>
          <w:rFonts w:hint="eastAsia" w:ascii="宋体" w:hAnsi="宋体" w:cs="宋体"/>
          <w:sz w:val="24"/>
          <w:szCs w:val="24"/>
        </w:rPr>
        <w:t>（2）投标人须知</w:t>
      </w:r>
    </w:p>
    <w:p w14:paraId="752F75A9">
      <w:pPr>
        <w:spacing w:line="400" w:lineRule="exact"/>
        <w:ind w:firstLine="360" w:firstLineChars="150"/>
        <w:rPr>
          <w:rFonts w:hint="eastAsia" w:ascii="宋体" w:hAnsi="宋体" w:cs="宋体"/>
          <w:sz w:val="24"/>
          <w:szCs w:val="24"/>
        </w:rPr>
      </w:pPr>
      <w:r>
        <w:rPr>
          <w:rFonts w:hint="eastAsia" w:ascii="宋体" w:hAnsi="宋体" w:cs="宋体"/>
          <w:sz w:val="24"/>
          <w:szCs w:val="24"/>
        </w:rPr>
        <w:t>（3）合同条款及格式</w:t>
      </w:r>
    </w:p>
    <w:p w14:paraId="30D24D8B">
      <w:pPr>
        <w:spacing w:line="400" w:lineRule="exact"/>
        <w:ind w:firstLine="360" w:firstLineChars="150"/>
        <w:rPr>
          <w:rFonts w:hint="eastAsia" w:ascii="宋体" w:hAnsi="宋体" w:cs="宋体"/>
          <w:sz w:val="24"/>
          <w:szCs w:val="24"/>
        </w:rPr>
      </w:pPr>
      <w:r>
        <w:rPr>
          <w:rFonts w:hint="eastAsia" w:ascii="宋体" w:hAnsi="宋体" w:cs="宋体"/>
          <w:sz w:val="24"/>
          <w:szCs w:val="24"/>
        </w:rPr>
        <w:t>（4）项目需求</w:t>
      </w:r>
    </w:p>
    <w:p w14:paraId="06B27592">
      <w:pPr>
        <w:ind w:firstLine="360" w:firstLineChars="150"/>
        <w:rPr>
          <w:rFonts w:hint="eastAsia" w:ascii="宋体" w:hAnsi="宋体" w:cs="宋体"/>
          <w:sz w:val="24"/>
          <w:szCs w:val="24"/>
        </w:rPr>
      </w:pPr>
      <w:r>
        <w:rPr>
          <w:rFonts w:hint="eastAsia" w:ascii="宋体" w:hAnsi="宋体" w:cs="宋体"/>
          <w:sz w:val="24"/>
          <w:szCs w:val="24"/>
        </w:rPr>
        <w:t>（5）评标方法与评标标准</w:t>
      </w:r>
    </w:p>
    <w:p w14:paraId="29849AF7">
      <w:pPr>
        <w:spacing w:line="400" w:lineRule="exact"/>
        <w:ind w:firstLine="360" w:firstLineChars="150"/>
        <w:rPr>
          <w:rFonts w:hint="eastAsia" w:ascii="宋体" w:hAnsi="宋体" w:cs="宋体"/>
          <w:sz w:val="24"/>
          <w:szCs w:val="24"/>
        </w:rPr>
      </w:pPr>
      <w:r>
        <w:rPr>
          <w:rFonts w:hint="eastAsia" w:ascii="宋体" w:hAnsi="宋体" w:cs="宋体"/>
          <w:sz w:val="24"/>
          <w:szCs w:val="24"/>
        </w:rPr>
        <w:t>（6）投标文件格式</w:t>
      </w:r>
    </w:p>
    <w:p w14:paraId="380EC8E4">
      <w:pPr>
        <w:spacing w:line="500" w:lineRule="exact"/>
        <w:ind w:firstLine="480" w:firstLineChars="200"/>
        <w:rPr>
          <w:rFonts w:hint="eastAsia" w:ascii="宋体" w:hAnsi="宋体" w:cs="宋体"/>
          <w:sz w:val="24"/>
        </w:rPr>
      </w:pPr>
      <w:r>
        <w:rPr>
          <w:rFonts w:hint="eastAsia" w:ascii="宋体" w:hAnsi="宋体" w:cs="宋体"/>
          <w:sz w:val="24"/>
        </w:rPr>
        <w:t>请仔细检查招标文件是否齐全，如有缺漏请立即与交易中心联系解决。</w:t>
      </w:r>
    </w:p>
    <w:p w14:paraId="52D8F237">
      <w:pPr>
        <w:spacing w:line="500" w:lineRule="exact"/>
        <w:ind w:firstLine="480" w:firstLineChars="200"/>
        <w:rPr>
          <w:rFonts w:hint="eastAsia" w:ascii="宋体" w:hAnsi="宋体" w:cs="宋体"/>
          <w:sz w:val="24"/>
        </w:rPr>
      </w:pPr>
      <w:r>
        <w:rPr>
          <w:rFonts w:hint="eastAsia" w:ascii="宋体" w:hAnsi="宋体" w:cs="宋体"/>
          <w:bCs/>
          <w:sz w:val="24"/>
        </w:rPr>
        <w:t>6.2</w:t>
      </w:r>
      <w:r>
        <w:rPr>
          <w:rFonts w:hint="eastAsia" w:ascii="宋体" w:hAnsi="宋体" w:cs="宋体"/>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bookmarkStart w:id="72" w:name="_Toc462564070"/>
      <w:bookmarkStart w:id="73" w:name="_Toc16938527"/>
      <w:bookmarkStart w:id="74" w:name="_Toc513029211"/>
      <w:bookmarkStart w:id="75" w:name="_Toc20823283"/>
    </w:p>
    <w:p w14:paraId="6260D9F8">
      <w:pPr>
        <w:spacing w:line="500" w:lineRule="exact"/>
        <w:ind w:firstLine="420" w:firstLineChars="150"/>
        <w:rPr>
          <w:rFonts w:hint="eastAsia" w:ascii="宋体" w:hAnsi="宋体" w:cs="宋体"/>
          <w:sz w:val="28"/>
          <w:szCs w:val="28"/>
        </w:rPr>
      </w:pPr>
      <w:r>
        <w:rPr>
          <w:rFonts w:hint="eastAsia" w:ascii="宋体" w:hAnsi="宋体" w:cs="宋体"/>
          <w:sz w:val="28"/>
          <w:szCs w:val="28"/>
        </w:rPr>
        <w:t>7.招标文件的澄清</w:t>
      </w:r>
      <w:bookmarkEnd w:id="72"/>
      <w:bookmarkEnd w:id="73"/>
      <w:bookmarkEnd w:id="74"/>
      <w:bookmarkEnd w:id="75"/>
    </w:p>
    <w:p w14:paraId="0758F272">
      <w:pPr>
        <w:spacing w:line="480" w:lineRule="exact"/>
        <w:ind w:firstLine="360" w:firstLineChars="150"/>
        <w:rPr>
          <w:rFonts w:hint="eastAsia" w:ascii="宋体" w:hAnsi="宋体" w:cs="宋体"/>
          <w:sz w:val="24"/>
          <w:szCs w:val="24"/>
        </w:rPr>
      </w:pPr>
      <w:r>
        <w:rPr>
          <w:rFonts w:hint="eastAsia" w:ascii="宋体" w:hAnsi="宋体" w:cs="宋体"/>
          <w:bCs/>
          <w:sz w:val="24"/>
        </w:rPr>
        <w:t>7.1</w:t>
      </w:r>
      <w:r>
        <w:rPr>
          <w:rFonts w:hint="eastAsia" w:ascii="宋体" w:hAnsi="宋体" w:cs="宋体"/>
          <w:sz w:val="24"/>
        </w:rPr>
        <w:t xml:space="preserve"> 任何要求对招标文件进行澄清的投标人，应在投标截止期</w:t>
      </w:r>
      <w:r>
        <w:rPr>
          <w:rFonts w:hint="eastAsia" w:ascii="宋体" w:hAnsi="宋体" w:cs="宋体"/>
          <w:b/>
          <w:sz w:val="24"/>
          <w:szCs w:val="24"/>
          <w:lang w:eastAsia="zh-Hans"/>
        </w:rPr>
        <w:t>七</w:t>
      </w:r>
      <w:r>
        <w:rPr>
          <w:rFonts w:hint="eastAsia" w:ascii="宋体" w:hAnsi="宋体" w:cs="宋体"/>
          <w:b/>
          <w:sz w:val="24"/>
          <w:szCs w:val="24"/>
        </w:rPr>
        <w:t>日</w:t>
      </w:r>
      <w:r>
        <w:rPr>
          <w:rFonts w:hint="eastAsia" w:ascii="宋体" w:hAnsi="宋体" w:cs="宋体"/>
          <w:sz w:val="24"/>
          <w:szCs w:val="24"/>
        </w:rPr>
        <w:t>前</w:t>
      </w:r>
      <w:r>
        <w:rPr>
          <w:rFonts w:hint="eastAsia" w:ascii="宋体" w:hAnsi="宋体" w:cs="宋体"/>
          <w:sz w:val="24"/>
        </w:rPr>
        <w:t>按招标公告中的通讯地址，以书面形式通知交易中心。</w:t>
      </w:r>
    </w:p>
    <w:p w14:paraId="461FFC7D">
      <w:pPr>
        <w:keepNext/>
        <w:keepLines/>
        <w:widowControl w:val="0"/>
        <w:ind w:firstLine="420" w:firstLineChars="150"/>
        <w:jc w:val="both"/>
        <w:outlineLvl w:val="3"/>
        <w:rPr>
          <w:rFonts w:hint="eastAsia" w:ascii="宋体" w:hAnsi="宋体" w:eastAsia="宋体" w:cs="宋体"/>
          <w:b w:val="0"/>
          <w:kern w:val="2"/>
          <w:sz w:val="28"/>
          <w:szCs w:val="28"/>
          <w:lang w:val="en-US" w:eastAsia="zh-CN" w:bidi="ar-SA"/>
        </w:rPr>
      </w:pPr>
      <w:bookmarkStart w:id="76" w:name="_Toc462564071"/>
      <w:bookmarkStart w:id="77" w:name="_Toc16938528"/>
      <w:bookmarkStart w:id="78" w:name="_Toc20823284"/>
      <w:bookmarkStart w:id="79" w:name="_Toc513029212"/>
      <w:r>
        <w:rPr>
          <w:rFonts w:hint="eastAsia" w:ascii="宋体" w:hAnsi="宋体" w:eastAsia="宋体" w:cs="宋体"/>
          <w:b w:val="0"/>
          <w:bCs/>
          <w:kern w:val="2"/>
          <w:sz w:val="28"/>
          <w:szCs w:val="28"/>
          <w:lang w:val="en-US" w:eastAsia="zh-CN" w:bidi="ar-SA"/>
        </w:rPr>
        <w:t>8.招标文件的修改</w:t>
      </w:r>
      <w:bookmarkEnd w:id="76"/>
      <w:bookmarkEnd w:id="77"/>
      <w:bookmarkEnd w:id="78"/>
      <w:bookmarkEnd w:id="79"/>
    </w:p>
    <w:p w14:paraId="77FB2F28">
      <w:pPr>
        <w:spacing w:line="500" w:lineRule="exact"/>
        <w:ind w:firstLine="360" w:firstLineChars="150"/>
        <w:rPr>
          <w:rFonts w:hint="eastAsia" w:ascii="宋体" w:hAnsi="宋体" w:cs="宋体"/>
          <w:sz w:val="24"/>
        </w:rPr>
      </w:pPr>
      <w:r>
        <w:rPr>
          <w:rFonts w:hint="eastAsia" w:ascii="宋体" w:hAnsi="宋体" w:cs="宋体"/>
          <w:bCs/>
          <w:sz w:val="24"/>
        </w:rPr>
        <w:t>8.1</w:t>
      </w:r>
      <w:r>
        <w:rPr>
          <w:rFonts w:hint="eastAsia" w:ascii="宋体" w:hAnsi="宋体" w:cs="宋体"/>
          <w:sz w:val="24"/>
        </w:rPr>
        <w:t xml:space="preserve"> 在投标截止时间</w:t>
      </w:r>
      <w:r>
        <w:rPr>
          <w:rFonts w:hint="eastAsia" w:ascii="宋体" w:hAnsi="宋体" w:cs="宋体"/>
          <w:sz w:val="24"/>
          <w:lang w:eastAsia="zh-Hans"/>
        </w:rPr>
        <w:t>至少十五日</w:t>
      </w:r>
      <w:r>
        <w:rPr>
          <w:rFonts w:hint="eastAsia" w:ascii="宋体" w:hAnsi="宋体" w:cs="宋体"/>
          <w:sz w:val="24"/>
        </w:rPr>
        <w:t>前，交易中心可以对招标文件进行修改。</w:t>
      </w:r>
    </w:p>
    <w:p w14:paraId="261E183C">
      <w:pPr>
        <w:spacing w:line="500" w:lineRule="exact"/>
        <w:ind w:firstLine="360" w:firstLineChars="150"/>
        <w:rPr>
          <w:rFonts w:hint="eastAsia" w:ascii="宋体" w:hAnsi="宋体" w:cs="宋体"/>
          <w:sz w:val="28"/>
        </w:rPr>
      </w:pPr>
      <w:r>
        <w:rPr>
          <w:rFonts w:hint="eastAsia" w:ascii="宋体" w:hAnsi="宋体" w:cs="宋体"/>
          <w:bCs/>
          <w:sz w:val="24"/>
        </w:rPr>
        <w:t xml:space="preserve">8.2 </w:t>
      </w:r>
      <w:r>
        <w:rPr>
          <w:rFonts w:hint="eastAsia" w:ascii="宋体" w:hAnsi="宋体" w:cs="宋体"/>
          <w:sz w:val="24"/>
        </w:rPr>
        <w:t>交易中心</w:t>
      </w:r>
      <w:r>
        <w:rPr>
          <w:rFonts w:hint="eastAsia" w:ascii="宋体" w:hAnsi="宋体" w:cs="宋体"/>
          <w:sz w:val="24"/>
          <w:szCs w:val="24"/>
        </w:rPr>
        <w:t>有权按照法定的要求</w:t>
      </w:r>
      <w:r>
        <w:rPr>
          <w:rFonts w:hint="eastAsia" w:ascii="宋体" w:hAnsi="宋体" w:cs="宋体"/>
          <w:sz w:val="24"/>
        </w:rPr>
        <w:t>推迟投标截止日期和开标日期。</w:t>
      </w:r>
    </w:p>
    <w:p w14:paraId="747A5ECD">
      <w:pPr>
        <w:spacing w:line="500" w:lineRule="exact"/>
        <w:ind w:firstLine="360" w:firstLineChars="150"/>
        <w:rPr>
          <w:rFonts w:hint="eastAsia" w:ascii="宋体" w:hAnsi="宋体" w:cs="宋体"/>
          <w:sz w:val="24"/>
        </w:rPr>
      </w:pPr>
      <w:r>
        <w:rPr>
          <w:rFonts w:hint="eastAsia" w:ascii="宋体" w:hAnsi="宋体" w:cs="宋体"/>
          <w:bCs/>
          <w:sz w:val="24"/>
        </w:rPr>
        <w:t xml:space="preserve">8.3 </w:t>
      </w:r>
      <w:r>
        <w:rPr>
          <w:rFonts w:hint="eastAsia" w:ascii="宋体" w:hAnsi="宋体" w:cs="宋体"/>
          <w:sz w:val="24"/>
        </w:rPr>
        <w:t>招标文件的修改将在“新疆公共资源交易网”和“新疆政府采购网”公布，</w:t>
      </w:r>
      <w:r>
        <w:rPr>
          <w:rFonts w:hint="eastAsia" w:ascii="宋体" w:hAnsi="宋体" w:cs="宋体"/>
          <w:sz w:val="24"/>
          <w:szCs w:val="24"/>
        </w:rPr>
        <w:t>补充文件将作为招标文件的组成部分，</w:t>
      </w:r>
      <w:r>
        <w:rPr>
          <w:rFonts w:hint="eastAsia" w:ascii="宋体" w:hAnsi="宋体" w:cs="宋体"/>
          <w:sz w:val="24"/>
        </w:rPr>
        <w:t>并对投标人具有约束力。</w:t>
      </w:r>
    </w:p>
    <w:p w14:paraId="416FA39D">
      <w:pPr>
        <w:keepNext/>
        <w:keepLines/>
        <w:widowControl w:val="0"/>
        <w:spacing w:before="145" w:beforeLines="50" w:after="145" w:afterLines="50" w:line="360" w:lineRule="auto"/>
        <w:ind w:firstLine="482" w:firstLineChars="150"/>
        <w:jc w:val="both"/>
        <w:outlineLvl w:val="2"/>
        <w:rPr>
          <w:rFonts w:hint="eastAsia" w:ascii="宋体" w:hAnsi="宋体" w:eastAsia="宋体" w:cs="宋体"/>
          <w:b/>
          <w:bCs/>
          <w:kern w:val="2"/>
          <w:sz w:val="32"/>
          <w:szCs w:val="32"/>
          <w:lang w:val="en-US" w:eastAsia="zh-CN" w:bidi="ar-SA"/>
        </w:rPr>
      </w:pPr>
      <w:bookmarkStart w:id="80" w:name="_Toc462564072"/>
      <w:bookmarkStart w:id="81" w:name="_Toc20823285"/>
      <w:bookmarkStart w:id="82" w:name="_Toc120614216"/>
      <w:bookmarkStart w:id="83" w:name="_Toc16938529"/>
      <w:bookmarkStart w:id="84" w:name="_Toc534816629"/>
      <w:bookmarkStart w:id="85" w:name="_Toc534725600"/>
      <w:bookmarkStart w:id="86" w:name="_Toc19612"/>
      <w:bookmarkStart w:id="87" w:name="_Toc513029213"/>
      <w:r>
        <w:rPr>
          <w:rFonts w:hint="eastAsia" w:ascii="宋体" w:hAnsi="宋体" w:eastAsia="宋体" w:cs="宋体"/>
          <w:b/>
          <w:bCs/>
          <w:kern w:val="2"/>
          <w:sz w:val="32"/>
          <w:szCs w:val="32"/>
          <w:lang w:val="en-US" w:eastAsia="zh-CN" w:bidi="ar-SA"/>
        </w:rPr>
        <w:t>三、投标文件的编制</w:t>
      </w:r>
      <w:bookmarkEnd w:id="80"/>
      <w:bookmarkEnd w:id="81"/>
      <w:bookmarkEnd w:id="82"/>
      <w:bookmarkEnd w:id="83"/>
      <w:bookmarkEnd w:id="84"/>
      <w:bookmarkEnd w:id="85"/>
      <w:bookmarkEnd w:id="86"/>
      <w:bookmarkEnd w:id="87"/>
    </w:p>
    <w:p w14:paraId="03DE561B">
      <w:pPr>
        <w:keepNext/>
        <w:keepLines/>
        <w:widowControl w:val="0"/>
        <w:ind w:firstLine="420" w:firstLineChars="150"/>
        <w:jc w:val="both"/>
        <w:outlineLvl w:val="3"/>
        <w:rPr>
          <w:rFonts w:hint="eastAsia" w:ascii="宋体" w:hAnsi="宋体" w:eastAsia="宋体" w:cs="宋体"/>
          <w:b/>
          <w:kern w:val="2"/>
          <w:sz w:val="28"/>
          <w:szCs w:val="28"/>
          <w:lang w:val="en-US" w:eastAsia="zh-CN" w:bidi="ar-SA"/>
        </w:rPr>
      </w:pPr>
      <w:bookmarkStart w:id="88" w:name="_Toc20823286"/>
      <w:bookmarkStart w:id="89" w:name="_Toc462564073"/>
      <w:bookmarkStart w:id="90" w:name="_Toc513029214"/>
      <w:bookmarkStart w:id="91" w:name="_Toc16938530"/>
      <w:r>
        <w:rPr>
          <w:rFonts w:hint="eastAsia" w:ascii="宋体" w:hAnsi="宋体" w:eastAsia="宋体" w:cs="宋体"/>
          <w:b w:val="0"/>
          <w:bCs/>
          <w:kern w:val="2"/>
          <w:sz w:val="28"/>
          <w:szCs w:val="28"/>
          <w:lang w:val="en-US" w:eastAsia="zh-CN" w:bidi="ar-SA"/>
        </w:rPr>
        <w:t>9.投标文件的语言及度量衡单位</w:t>
      </w:r>
      <w:bookmarkEnd w:id="88"/>
      <w:bookmarkEnd w:id="89"/>
      <w:bookmarkEnd w:id="90"/>
      <w:bookmarkEnd w:id="91"/>
    </w:p>
    <w:p w14:paraId="1088FC00">
      <w:pPr>
        <w:spacing w:line="500" w:lineRule="exact"/>
        <w:ind w:firstLine="360" w:firstLineChars="150"/>
        <w:rPr>
          <w:rFonts w:hint="eastAsia" w:ascii="宋体" w:hAnsi="宋体" w:cs="宋体"/>
          <w:sz w:val="24"/>
        </w:rPr>
      </w:pPr>
      <w:r>
        <w:rPr>
          <w:rFonts w:hint="eastAsia" w:ascii="宋体" w:hAnsi="宋体" w:cs="宋体"/>
          <w:bCs/>
          <w:sz w:val="24"/>
        </w:rPr>
        <w:t>9.1</w:t>
      </w:r>
      <w:r>
        <w:rPr>
          <w:rFonts w:hint="eastAsia" w:ascii="宋体" w:hAnsi="宋体" w:cs="宋体"/>
          <w:sz w:val="24"/>
        </w:rPr>
        <w:t xml:space="preserve"> 投标人提交的投标文件以及投标人与交易中心就有关投标的所有来往通知、函件和文件均应使用</w:t>
      </w:r>
      <w:r>
        <w:rPr>
          <w:rFonts w:hint="eastAsia" w:ascii="宋体" w:hAnsi="宋体" w:cs="宋体"/>
          <w:b/>
          <w:bCs/>
          <w:sz w:val="24"/>
        </w:rPr>
        <w:t>简体中文</w:t>
      </w:r>
      <w:r>
        <w:rPr>
          <w:rFonts w:hint="eastAsia" w:ascii="宋体" w:hAnsi="宋体" w:cs="宋体"/>
          <w:sz w:val="24"/>
        </w:rPr>
        <w:t>。</w:t>
      </w:r>
    </w:p>
    <w:p w14:paraId="600181E8">
      <w:pPr>
        <w:spacing w:line="500" w:lineRule="exact"/>
        <w:ind w:firstLine="360" w:firstLineChars="150"/>
        <w:rPr>
          <w:rFonts w:hint="eastAsia" w:ascii="宋体" w:hAnsi="宋体" w:cs="宋体"/>
          <w:sz w:val="24"/>
        </w:rPr>
      </w:pPr>
      <w:r>
        <w:rPr>
          <w:rFonts w:hint="eastAsia" w:ascii="宋体" w:hAnsi="宋体" w:cs="宋体"/>
          <w:bCs/>
          <w:sz w:val="24"/>
        </w:rPr>
        <w:t>9.2</w:t>
      </w:r>
      <w:r>
        <w:rPr>
          <w:rFonts w:hint="eastAsia" w:ascii="宋体" w:hAnsi="宋体" w:cs="宋体"/>
          <w:sz w:val="24"/>
        </w:rPr>
        <w:t xml:space="preserve"> 除技术性能另有规定外，投标文件所使用的度量衡单位，均须采用国家法定计量单位。</w:t>
      </w:r>
    </w:p>
    <w:p w14:paraId="249EF36C">
      <w:pPr>
        <w:keepNext/>
        <w:keepLines/>
        <w:widowControl w:val="0"/>
        <w:ind w:firstLine="420" w:firstLineChars="150"/>
        <w:jc w:val="both"/>
        <w:outlineLvl w:val="3"/>
        <w:rPr>
          <w:rFonts w:hint="eastAsia" w:ascii="宋体" w:hAnsi="宋体" w:eastAsia="宋体" w:cs="宋体"/>
          <w:b w:val="0"/>
          <w:kern w:val="2"/>
          <w:sz w:val="28"/>
          <w:szCs w:val="28"/>
          <w:lang w:val="en-US" w:eastAsia="zh-CN" w:bidi="ar-SA"/>
        </w:rPr>
      </w:pPr>
      <w:bookmarkStart w:id="92" w:name="_Toc513029215"/>
      <w:bookmarkStart w:id="93" w:name="_Toc20823287"/>
      <w:bookmarkStart w:id="94" w:name="_Toc462564074"/>
      <w:bookmarkStart w:id="95" w:name="_Toc16938531"/>
      <w:r>
        <w:rPr>
          <w:rFonts w:hint="eastAsia" w:ascii="宋体" w:hAnsi="宋体" w:eastAsia="宋体" w:cs="宋体"/>
          <w:b w:val="0"/>
          <w:bCs/>
          <w:kern w:val="2"/>
          <w:sz w:val="28"/>
          <w:szCs w:val="28"/>
          <w:lang w:val="en-US" w:eastAsia="zh-CN" w:bidi="ar-SA"/>
        </w:rPr>
        <w:t>10.投标文件构成</w:t>
      </w:r>
      <w:bookmarkEnd w:id="92"/>
      <w:bookmarkEnd w:id="93"/>
      <w:bookmarkEnd w:id="94"/>
      <w:bookmarkEnd w:id="95"/>
    </w:p>
    <w:p w14:paraId="412608D5">
      <w:pPr>
        <w:spacing w:line="440" w:lineRule="exact"/>
        <w:ind w:firstLine="360" w:firstLineChars="150"/>
        <w:rPr>
          <w:rFonts w:hint="eastAsia" w:ascii="宋体" w:hAnsi="宋体" w:cs="宋体"/>
          <w:sz w:val="24"/>
        </w:rPr>
      </w:pPr>
      <w:r>
        <w:rPr>
          <w:rFonts w:hint="eastAsia" w:ascii="宋体" w:hAnsi="宋体" w:cs="宋体"/>
          <w:bCs/>
          <w:sz w:val="24"/>
        </w:rPr>
        <w:t>10.1</w:t>
      </w:r>
      <w:r>
        <w:rPr>
          <w:rFonts w:hint="eastAsia" w:ascii="宋体" w:hAnsi="宋体" w:cs="宋体"/>
          <w:sz w:val="24"/>
        </w:rPr>
        <w:t xml:space="preserve"> 投标人编写的投标文件应包括资信证明文件、投标配置与分项报价表、技术参数响应及偏离表、商务条款响应及偏离表、技术及售后服务承诺书、投标函、开标一览表等内容。</w:t>
      </w:r>
    </w:p>
    <w:p w14:paraId="0E03DF1C">
      <w:pPr>
        <w:keepNext/>
        <w:keepLines/>
        <w:widowControl w:val="0"/>
        <w:ind w:firstLine="420" w:firstLineChars="150"/>
        <w:jc w:val="both"/>
        <w:outlineLvl w:val="3"/>
        <w:rPr>
          <w:rFonts w:hint="eastAsia" w:ascii="宋体" w:hAnsi="宋体" w:eastAsia="宋体" w:cs="宋体"/>
          <w:b w:val="0"/>
          <w:kern w:val="2"/>
          <w:sz w:val="28"/>
          <w:szCs w:val="28"/>
          <w:lang w:val="en-US" w:eastAsia="zh-CN" w:bidi="ar-SA"/>
        </w:rPr>
      </w:pPr>
      <w:bookmarkStart w:id="96" w:name="_Hlt26954838"/>
      <w:bookmarkEnd w:id="96"/>
      <w:bookmarkStart w:id="97" w:name="_Hlt26670360"/>
      <w:bookmarkEnd w:id="97"/>
      <w:bookmarkStart w:id="98" w:name="_Hlt26668975"/>
      <w:bookmarkEnd w:id="98"/>
      <w:bookmarkStart w:id="99" w:name="_Toc49090509"/>
      <w:bookmarkStart w:id="100" w:name="_Toc513029219"/>
      <w:bookmarkStart w:id="101" w:name="_Toc14577357"/>
      <w:bookmarkStart w:id="102" w:name="_Toc14577354"/>
      <w:bookmarkStart w:id="103" w:name="_Toc513029216"/>
      <w:bookmarkStart w:id="104" w:name="_Toc49090507"/>
      <w:r>
        <w:rPr>
          <w:rFonts w:hint="eastAsia" w:ascii="宋体" w:hAnsi="宋体" w:eastAsia="宋体" w:cs="宋体"/>
          <w:b w:val="0"/>
          <w:bCs/>
          <w:kern w:val="2"/>
          <w:sz w:val="28"/>
          <w:szCs w:val="28"/>
          <w:lang w:val="en-US" w:eastAsia="zh-CN" w:bidi="ar-SA"/>
        </w:rPr>
        <w:t>11.证明投标人资格及符合招标文件规定的文件</w:t>
      </w:r>
      <w:bookmarkEnd w:id="99"/>
      <w:bookmarkEnd w:id="100"/>
      <w:bookmarkEnd w:id="101"/>
    </w:p>
    <w:p w14:paraId="4772D17F">
      <w:pPr>
        <w:spacing w:line="500" w:lineRule="exact"/>
        <w:ind w:firstLine="360" w:firstLineChars="150"/>
        <w:rPr>
          <w:rFonts w:hint="eastAsia" w:ascii="宋体" w:hAnsi="宋体" w:cs="宋体"/>
          <w:sz w:val="24"/>
        </w:rPr>
      </w:pPr>
      <w:r>
        <w:rPr>
          <w:rFonts w:hint="eastAsia" w:ascii="宋体" w:hAnsi="宋体" w:cs="宋体"/>
          <w:sz w:val="24"/>
        </w:rPr>
        <w:t>11.1</w:t>
      </w:r>
      <w:bookmarkStart w:id="105" w:name="_Hlt26668999"/>
      <w:bookmarkEnd w:id="105"/>
      <w:r>
        <w:rPr>
          <w:rFonts w:hint="eastAsia" w:ascii="宋体" w:hAnsi="宋体" w:cs="宋体"/>
          <w:sz w:val="24"/>
        </w:rPr>
        <w:t>投标人应按要求提交资格证明文件及符合招标文件规定的文件。</w:t>
      </w:r>
    </w:p>
    <w:p w14:paraId="7467D7C2">
      <w:pPr>
        <w:spacing w:line="500" w:lineRule="exact"/>
        <w:ind w:firstLine="360" w:firstLineChars="150"/>
        <w:rPr>
          <w:rFonts w:hint="eastAsia" w:ascii="宋体" w:hAnsi="宋体" w:cs="宋体"/>
          <w:sz w:val="24"/>
        </w:rPr>
      </w:pPr>
      <w:r>
        <w:rPr>
          <w:rFonts w:hint="eastAsia" w:ascii="宋体" w:hAnsi="宋体" w:cs="宋体"/>
          <w:sz w:val="24"/>
        </w:rPr>
        <w:t>11.2投标人应提交证明其有资格参加投标和中标后有能力独立履行合同的文件。</w:t>
      </w:r>
    </w:p>
    <w:p w14:paraId="1BEF0E12">
      <w:pPr>
        <w:spacing w:line="500" w:lineRule="exact"/>
        <w:ind w:firstLine="360" w:firstLineChars="150"/>
        <w:rPr>
          <w:rFonts w:hint="eastAsia" w:ascii="宋体" w:hAnsi="宋体" w:cs="宋体"/>
          <w:sz w:val="24"/>
        </w:rPr>
      </w:pPr>
      <w:r>
        <w:rPr>
          <w:rFonts w:hint="eastAsia" w:ascii="宋体" w:hAnsi="宋体" w:cs="宋体"/>
          <w:sz w:val="24"/>
        </w:rPr>
        <w:t>11.3投标人除必须具有履行合同所需提供的货物以及服务的能力外，还必须具备相应的财务、技术方面的能力。</w:t>
      </w:r>
    </w:p>
    <w:p w14:paraId="4F4D38B7">
      <w:pPr>
        <w:spacing w:line="480" w:lineRule="exact"/>
        <w:ind w:firstLine="360" w:firstLineChars="150"/>
        <w:rPr>
          <w:rFonts w:hint="eastAsia" w:ascii="宋体" w:hAnsi="宋体" w:cs="宋体"/>
          <w:sz w:val="24"/>
          <w:szCs w:val="24"/>
        </w:rPr>
      </w:pPr>
      <w:r>
        <w:rPr>
          <w:rFonts w:hint="eastAsia" w:ascii="宋体" w:hAnsi="宋体" w:cs="宋体"/>
          <w:sz w:val="24"/>
          <w:szCs w:val="24"/>
        </w:rPr>
        <w:t>11.4投标人应提交根据合同要求提供的证明产品质量合格以及符合招标文件规定的证明文件。</w:t>
      </w:r>
    </w:p>
    <w:p w14:paraId="6C706D8E">
      <w:pPr>
        <w:spacing w:line="480" w:lineRule="exact"/>
        <w:ind w:firstLine="420" w:firstLineChars="175"/>
        <w:rPr>
          <w:rFonts w:hint="eastAsia" w:ascii="宋体" w:hAnsi="宋体" w:cs="宋体"/>
          <w:sz w:val="24"/>
          <w:szCs w:val="24"/>
        </w:rPr>
      </w:pPr>
      <w:r>
        <w:rPr>
          <w:rFonts w:hint="eastAsia" w:ascii="宋体" w:hAnsi="宋体" w:cs="宋体"/>
          <w:sz w:val="24"/>
          <w:szCs w:val="24"/>
        </w:rPr>
        <w:t>11.5证明投标人所提供产品与招标文件的要求相一致的文件可以是手册、图纸、文字资料和数据</w:t>
      </w:r>
      <w:r>
        <w:rPr>
          <w:rFonts w:hint="eastAsia" w:ascii="宋体" w:hAnsi="宋体" w:cs="宋体"/>
          <w:bCs/>
          <w:sz w:val="24"/>
        </w:rPr>
        <w:t>。</w:t>
      </w:r>
    </w:p>
    <w:bookmarkEnd w:id="102"/>
    <w:bookmarkEnd w:id="103"/>
    <w:bookmarkEnd w:id="104"/>
    <w:p w14:paraId="7ED05B76">
      <w:pPr>
        <w:keepNext/>
        <w:keepLines/>
        <w:widowControl w:val="0"/>
        <w:ind w:firstLine="420" w:firstLineChars="150"/>
        <w:jc w:val="both"/>
        <w:outlineLvl w:val="3"/>
        <w:rPr>
          <w:rFonts w:hint="eastAsia" w:ascii="宋体" w:hAnsi="宋体" w:eastAsia="宋体" w:cs="宋体"/>
          <w:b w:val="0"/>
          <w:kern w:val="2"/>
          <w:sz w:val="28"/>
          <w:szCs w:val="28"/>
          <w:lang w:val="en-US" w:eastAsia="zh-CN" w:bidi="ar-SA"/>
        </w:rPr>
      </w:pPr>
      <w:bookmarkStart w:id="106" w:name="_Toc14577355"/>
      <w:bookmarkStart w:id="107" w:name="_Toc49090508"/>
      <w:r>
        <w:rPr>
          <w:rFonts w:hint="eastAsia" w:ascii="宋体" w:hAnsi="宋体" w:eastAsia="宋体" w:cs="宋体"/>
          <w:b w:val="0"/>
          <w:bCs/>
          <w:kern w:val="2"/>
          <w:sz w:val="28"/>
          <w:szCs w:val="28"/>
          <w:lang w:val="en-US" w:eastAsia="zh-CN" w:bidi="ar-SA"/>
        </w:rPr>
        <w:t>12.投标配置与分项报价</w:t>
      </w:r>
      <w:bookmarkEnd w:id="106"/>
      <w:bookmarkStart w:id="108" w:name="_Hlt26670373"/>
      <w:bookmarkEnd w:id="108"/>
      <w:r>
        <w:rPr>
          <w:rFonts w:hint="eastAsia" w:ascii="宋体" w:hAnsi="宋体" w:eastAsia="宋体" w:cs="宋体"/>
          <w:b w:val="0"/>
          <w:bCs/>
          <w:kern w:val="2"/>
          <w:sz w:val="28"/>
          <w:szCs w:val="28"/>
          <w:lang w:val="en-US" w:eastAsia="zh-CN" w:bidi="ar-SA"/>
        </w:rPr>
        <w:t>表</w:t>
      </w:r>
      <w:bookmarkEnd w:id="107"/>
    </w:p>
    <w:p w14:paraId="7E3583F5">
      <w:pPr>
        <w:spacing w:line="500" w:lineRule="exact"/>
        <w:ind w:firstLine="480" w:firstLineChars="200"/>
        <w:rPr>
          <w:rFonts w:hint="eastAsia" w:ascii="宋体" w:hAnsi="宋体" w:cs="宋体"/>
          <w:bCs/>
          <w:sz w:val="24"/>
        </w:rPr>
      </w:pPr>
      <w:r>
        <w:rPr>
          <w:rFonts w:hint="eastAsia" w:ascii="宋体" w:hAnsi="宋体" w:cs="宋体"/>
          <w:bCs/>
          <w:sz w:val="24"/>
        </w:rPr>
        <w:t>12.1</w:t>
      </w:r>
      <w:r>
        <w:rPr>
          <w:rFonts w:hint="eastAsia" w:ascii="宋体" w:hAnsi="宋体" w:cs="宋体"/>
          <w:sz w:val="24"/>
        </w:rPr>
        <w:t>投</w:t>
      </w:r>
      <w:bookmarkStart w:id="109" w:name="_Hlt26954840"/>
      <w:bookmarkEnd w:id="109"/>
      <w:r>
        <w:rPr>
          <w:rFonts w:hint="eastAsia" w:ascii="宋体" w:hAnsi="宋体" w:cs="宋体"/>
          <w:sz w:val="24"/>
        </w:rPr>
        <w:t>标人应按照招标文件规定格式填报投标配置与分项报价表</w:t>
      </w:r>
      <w:bookmarkStart w:id="110" w:name="_Hlt26670399"/>
      <w:bookmarkEnd w:id="110"/>
      <w:r>
        <w:rPr>
          <w:rFonts w:hint="eastAsia" w:ascii="宋体" w:hAnsi="宋体" w:cs="宋体"/>
          <w:sz w:val="24"/>
        </w:rPr>
        <w:t>，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14:paraId="1EF95223">
      <w:pPr>
        <w:spacing w:line="500" w:lineRule="exact"/>
        <w:ind w:firstLine="480" w:firstLineChars="200"/>
        <w:rPr>
          <w:rFonts w:hint="eastAsia" w:ascii="宋体" w:hAnsi="宋体" w:cs="宋体"/>
          <w:sz w:val="24"/>
        </w:rPr>
      </w:pPr>
      <w:r>
        <w:rPr>
          <w:rFonts w:hint="eastAsia" w:ascii="宋体" w:hAnsi="宋体" w:cs="宋体"/>
          <w:bCs/>
          <w:sz w:val="24"/>
        </w:rPr>
        <w:t>12.2</w:t>
      </w:r>
      <w:r>
        <w:rPr>
          <w:rFonts w:hint="eastAsia" w:ascii="宋体" w:hAnsi="宋体" w:cs="宋体"/>
          <w:sz w:val="24"/>
        </w:rPr>
        <w:t xml:space="preserve"> 标的物</w:t>
      </w:r>
    </w:p>
    <w:p w14:paraId="59B2CF5A">
      <w:pPr>
        <w:spacing w:line="500" w:lineRule="exact"/>
        <w:ind w:firstLine="480" w:firstLineChars="200"/>
        <w:rPr>
          <w:rFonts w:hint="eastAsia" w:ascii="宋体" w:hAnsi="宋体" w:cs="宋体"/>
          <w:sz w:val="24"/>
        </w:rPr>
      </w:pPr>
      <w:r>
        <w:rPr>
          <w:rFonts w:hint="eastAsia" w:ascii="宋体" w:hAnsi="宋体" w:cs="宋体"/>
          <w:bCs/>
          <w:sz w:val="24"/>
        </w:rPr>
        <w:t>采购人需求的货物供应、安装，调试及有关技术服务等</w:t>
      </w:r>
      <w:r>
        <w:rPr>
          <w:rFonts w:hint="eastAsia" w:ascii="宋体" w:hAnsi="宋体" w:cs="宋体"/>
          <w:sz w:val="24"/>
        </w:rPr>
        <w:t>。</w:t>
      </w:r>
    </w:p>
    <w:p w14:paraId="761476AF">
      <w:pPr>
        <w:spacing w:line="500" w:lineRule="exact"/>
        <w:ind w:firstLine="480" w:firstLineChars="200"/>
        <w:rPr>
          <w:rFonts w:hint="eastAsia" w:ascii="宋体" w:hAnsi="宋体" w:cs="宋体"/>
          <w:bCs/>
          <w:sz w:val="24"/>
        </w:rPr>
      </w:pPr>
      <w:r>
        <w:rPr>
          <w:rFonts w:hint="eastAsia" w:ascii="宋体" w:hAnsi="宋体" w:cs="宋体"/>
          <w:sz w:val="24"/>
        </w:rPr>
        <w:t>12.3</w:t>
      </w:r>
      <w:r>
        <w:rPr>
          <w:rFonts w:hint="eastAsia" w:ascii="宋体" w:hAnsi="宋体" w:cs="宋体"/>
          <w:bCs/>
          <w:sz w:val="24"/>
        </w:rPr>
        <w:t>有关费用处理</w:t>
      </w:r>
    </w:p>
    <w:p w14:paraId="7F998973">
      <w:pPr>
        <w:spacing w:line="500" w:lineRule="exact"/>
        <w:ind w:firstLine="480" w:firstLineChars="200"/>
        <w:rPr>
          <w:rFonts w:hint="eastAsia" w:ascii="宋体" w:hAnsi="宋体" w:cs="宋体"/>
          <w:bCs/>
          <w:sz w:val="24"/>
        </w:rPr>
      </w:pPr>
      <w:r>
        <w:rPr>
          <w:rFonts w:hint="eastAsia" w:ascii="宋体" w:hAnsi="宋体" w:cs="宋体"/>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14:paraId="2450A472">
      <w:pPr>
        <w:spacing w:line="500" w:lineRule="exact"/>
        <w:ind w:firstLine="480" w:firstLineChars="200"/>
        <w:rPr>
          <w:rFonts w:hint="eastAsia" w:ascii="宋体" w:hAnsi="宋体" w:cs="宋体"/>
          <w:bCs/>
          <w:sz w:val="24"/>
        </w:rPr>
      </w:pPr>
      <w:r>
        <w:rPr>
          <w:rFonts w:hint="eastAsia" w:ascii="宋体" w:hAnsi="宋体" w:cs="宋体"/>
          <w:sz w:val="24"/>
        </w:rPr>
        <w:t>12.4</w:t>
      </w:r>
      <w:r>
        <w:rPr>
          <w:rFonts w:hint="eastAsia" w:ascii="宋体" w:hAnsi="宋体" w:cs="宋体"/>
          <w:bCs/>
          <w:sz w:val="24"/>
        </w:rPr>
        <w:t>其它费用处理</w:t>
      </w:r>
    </w:p>
    <w:p w14:paraId="32095B68">
      <w:pPr>
        <w:spacing w:line="500" w:lineRule="exact"/>
        <w:ind w:firstLine="480" w:firstLineChars="200"/>
        <w:rPr>
          <w:rFonts w:hint="eastAsia" w:ascii="宋体" w:hAnsi="宋体" w:cs="宋体"/>
          <w:bCs/>
          <w:sz w:val="24"/>
        </w:rPr>
      </w:pPr>
      <w:r>
        <w:rPr>
          <w:rFonts w:hint="eastAsia" w:ascii="宋体" w:hAnsi="宋体" w:cs="宋体"/>
          <w:bCs/>
          <w:sz w:val="24"/>
        </w:rPr>
        <w:t>招标文件未列明，而投标人认为必需的费用也需列入报价。</w:t>
      </w:r>
    </w:p>
    <w:p w14:paraId="3ABA86B7">
      <w:pPr>
        <w:spacing w:line="500" w:lineRule="exact"/>
        <w:ind w:firstLine="480" w:firstLineChars="200"/>
        <w:rPr>
          <w:rFonts w:hint="eastAsia" w:ascii="宋体" w:hAnsi="宋体" w:cs="宋体"/>
          <w:bCs/>
          <w:sz w:val="24"/>
        </w:rPr>
      </w:pPr>
      <w:r>
        <w:rPr>
          <w:rFonts w:hint="eastAsia" w:ascii="宋体" w:hAnsi="宋体" w:cs="宋体"/>
          <w:sz w:val="24"/>
        </w:rPr>
        <w:t>12.5</w:t>
      </w:r>
      <w:r>
        <w:rPr>
          <w:rFonts w:hint="eastAsia" w:ascii="宋体" w:hAnsi="宋体" w:cs="宋体"/>
          <w:bCs/>
          <w:sz w:val="24"/>
        </w:rPr>
        <w:t>投标货币</w:t>
      </w:r>
    </w:p>
    <w:p w14:paraId="76F5475C">
      <w:pPr>
        <w:spacing w:line="500" w:lineRule="exact"/>
        <w:ind w:firstLine="480" w:firstLineChars="200"/>
        <w:rPr>
          <w:rFonts w:hint="eastAsia" w:ascii="宋体" w:hAnsi="宋体" w:cs="宋体"/>
          <w:bCs/>
          <w:sz w:val="24"/>
        </w:rPr>
      </w:pPr>
      <w:r>
        <w:rPr>
          <w:rFonts w:hint="eastAsia" w:ascii="宋体" w:hAnsi="宋体" w:cs="宋体"/>
          <w:bCs/>
          <w:sz w:val="24"/>
        </w:rPr>
        <w:t>投标文件中的货物单价和总价无特殊规定的采用人民币报价，以元为单位标注。</w:t>
      </w:r>
      <w:r>
        <w:rPr>
          <w:rFonts w:hint="eastAsia" w:ascii="宋体" w:hAnsi="宋体" w:cs="宋体"/>
          <w:sz w:val="24"/>
        </w:rPr>
        <w:t>招标文件中另有规定的按规定执行。</w:t>
      </w:r>
    </w:p>
    <w:p w14:paraId="16B5CF85">
      <w:pPr>
        <w:spacing w:line="500" w:lineRule="exact"/>
        <w:ind w:firstLine="480" w:firstLineChars="200"/>
        <w:rPr>
          <w:rFonts w:hint="eastAsia" w:ascii="宋体" w:hAnsi="宋体" w:cs="宋体"/>
          <w:sz w:val="24"/>
        </w:rPr>
      </w:pPr>
      <w:r>
        <w:rPr>
          <w:rFonts w:hint="eastAsia" w:ascii="宋体" w:hAnsi="宋体" w:cs="宋体"/>
          <w:sz w:val="24"/>
        </w:rPr>
        <w:t>12.6</w:t>
      </w:r>
      <w:r>
        <w:rPr>
          <w:rFonts w:hint="eastAsia" w:ascii="宋体" w:hAnsi="宋体" w:cs="宋体"/>
          <w:bCs/>
          <w:sz w:val="24"/>
        </w:rPr>
        <w:t xml:space="preserve"> 投标配置与分项报价表上的价格应按下列方式分开填写</w:t>
      </w:r>
      <w:r>
        <w:rPr>
          <w:rFonts w:hint="eastAsia" w:ascii="宋体" w:hAnsi="宋体" w:cs="宋体"/>
          <w:sz w:val="24"/>
        </w:rPr>
        <w:t>：</w:t>
      </w:r>
    </w:p>
    <w:p w14:paraId="2125B710">
      <w:pPr>
        <w:spacing w:line="480" w:lineRule="exact"/>
        <w:ind w:firstLine="480" w:firstLineChars="200"/>
        <w:rPr>
          <w:rFonts w:hint="eastAsia" w:ascii="宋体" w:hAnsi="宋体" w:cs="宋体"/>
          <w:bCs/>
          <w:sz w:val="24"/>
        </w:rPr>
      </w:pPr>
      <w:bookmarkStart w:id="111" w:name="_Hlt26670403"/>
      <w:bookmarkEnd w:id="111"/>
      <w:bookmarkStart w:id="112" w:name="_Hlt26670425"/>
      <w:bookmarkEnd w:id="112"/>
      <w:bookmarkStart w:id="113" w:name="_Hlt26954844"/>
      <w:bookmarkEnd w:id="113"/>
      <w:bookmarkStart w:id="114" w:name="_Hlt26954842"/>
      <w:bookmarkEnd w:id="114"/>
      <w:bookmarkStart w:id="115" w:name="_Hlt26668983"/>
      <w:bookmarkEnd w:id="115"/>
      <w:r>
        <w:rPr>
          <w:rFonts w:hint="eastAsia" w:ascii="宋体" w:hAnsi="宋体" w:cs="宋体"/>
          <w:bCs/>
          <w:sz w:val="24"/>
        </w:rPr>
        <w:t>1.</w:t>
      </w:r>
      <w:r>
        <w:rPr>
          <w:rFonts w:hint="eastAsia" w:ascii="宋体" w:hAnsi="宋体" w:cs="宋体"/>
          <w:sz w:val="24"/>
        </w:rPr>
        <w:t>项目总价：包括</w:t>
      </w:r>
      <w:r>
        <w:rPr>
          <w:rFonts w:hint="eastAsia" w:ascii="宋体" w:hAnsi="宋体" w:cs="宋体"/>
          <w:bCs/>
          <w:sz w:val="24"/>
        </w:rPr>
        <w:t>买方需求的产品价格</w:t>
      </w:r>
      <w:r>
        <w:rPr>
          <w:rFonts w:hint="eastAsia" w:ascii="宋体" w:hAnsi="宋体" w:cs="宋体"/>
          <w:sz w:val="24"/>
        </w:rPr>
        <w:t>、</w:t>
      </w:r>
      <w:r>
        <w:rPr>
          <w:rFonts w:hint="eastAsia" w:ascii="宋体" w:hAnsi="宋体" w:cs="宋体"/>
          <w:sz w:val="24"/>
          <w:lang w:eastAsia="zh-Hans"/>
        </w:rPr>
        <w:t>培</w:t>
      </w:r>
      <w:r>
        <w:rPr>
          <w:rFonts w:hint="eastAsia" w:ascii="宋体" w:hAnsi="宋体" w:cs="宋体"/>
          <w:bCs/>
          <w:sz w:val="24"/>
        </w:rPr>
        <w:t>训费用及售后服务费用，项目在指定地点、环境交付、安装、调试、验收所需费用和所有</w:t>
      </w:r>
      <w:r>
        <w:rPr>
          <w:rFonts w:hint="eastAsia" w:ascii="宋体" w:hAnsi="宋体" w:cs="宋体"/>
          <w:sz w:val="24"/>
        </w:rPr>
        <w:t>相关税金费用</w:t>
      </w:r>
      <w:r>
        <w:rPr>
          <w:rFonts w:hint="eastAsia" w:ascii="宋体" w:hAnsi="宋体" w:cs="宋体"/>
          <w:bCs/>
          <w:sz w:val="24"/>
        </w:rPr>
        <w:t>及为完成整个项目所产生的其它所有费用。</w:t>
      </w:r>
    </w:p>
    <w:p w14:paraId="17B7C1E8">
      <w:pPr>
        <w:spacing w:line="480" w:lineRule="exact"/>
        <w:ind w:firstLine="480" w:firstLineChars="200"/>
        <w:rPr>
          <w:rFonts w:hint="eastAsia" w:ascii="宋体" w:hAnsi="宋体" w:cs="宋体"/>
          <w:bCs/>
          <w:sz w:val="24"/>
        </w:rPr>
      </w:pPr>
      <w:r>
        <w:rPr>
          <w:rFonts w:hint="eastAsia" w:ascii="宋体" w:hAnsi="宋体" w:cs="宋体"/>
          <w:sz w:val="24"/>
        </w:rPr>
        <w:t>2.</w:t>
      </w:r>
      <w:r>
        <w:rPr>
          <w:rFonts w:hint="eastAsia" w:ascii="宋体" w:hAnsi="宋体" w:cs="宋体"/>
          <w:bCs/>
          <w:sz w:val="24"/>
        </w:rPr>
        <w:t>项目单价按投标配置及分项报价表中要求填报。</w:t>
      </w:r>
    </w:p>
    <w:p w14:paraId="36929592">
      <w:pPr>
        <w:keepNext/>
        <w:keepLines/>
        <w:widowControl w:val="0"/>
        <w:ind w:firstLine="420" w:firstLineChars="150"/>
        <w:jc w:val="both"/>
        <w:outlineLvl w:val="3"/>
        <w:rPr>
          <w:rFonts w:hint="eastAsia" w:ascii="宋体" w:hAnsi="宋体" w:eastAsia="宋体" w:cs="宋体"/>
          <w:b w:val="0"/>
          <w:bCs/>
          <w:kern w:val="2"/>
          <w:sz w:val="28"/>
          <w:szCs w:val="28"/>
          <w:lang w:val="en-US" w:eastAsia="zh-CN" w:bidi="ar-SA"/>
        </w:rPr>
      </w:pPr>
      <w:bookmarkStart w:id="116" w:name="_Hlt26954848"/>
      <w:bookmarkEnd w:id="116"/>
      <w:bookmarkStart w:id="117" w:name="_Hlt26670482"/>
      <w:bookmarkEnd w:id="117"/>
      <w:bookmarkStart w:id="118" w:name="_Hlt26954731"/>
      <w:bookmarkEnd w:id="118"/>
      <w:bookmarkStart w:id="119" w:name="_Hlt26670486"/>
      <w:bookmarkEnd w:id="119"/>
      <w:bookmarkStart w:id="120" w:name="_Hlt26954846"/>
      <w:bookmarkEnd w:id="120"/>
      <w:r>
        <w:rPr>
          <w:rFonts w:hint="eastAsia" w:ascii="宋体" w:hAnsi="宋体" w:eastAsia="宋体" w:cs="宋体"/>
          <w:b w:val="0"/>
          <w:bCs/>
          <w:kern w:val="2"/>
          <w:sz w:val="28"/>
          <w:szCs w:val="28"/>
          <w:lang w:val="en-US" w:eastAsia="zh-CN" w:bidi="ar-SA"/>
        </w:rPr>
        <w:t>13.技术参数响应及偏离表、商务条款响应及偏离表及投标货物说明</w:t>
      </w:r>
    </w:p>
    <w:p w14:paraId="165DD785">
      <w:pPr>
        <w:autoSpaceDE w:val="0"/>
        <w:autoSpaceDN w:val="0"/>
        <w:adjustRightInd w:val="0"/>
        <w:spacing w:line="500" w:lineRule="exact"/>
        <w:ind w:firstLine="480"/>
        <w:rPr>
          <w:rFonts w:hint="eastAsia" w:ascii="宋体" w:hAnsi="宋体" w:cs="宋体"/>
          <w:sz w:val="24"/>
          <w:lang w:val="zh-CN"/>
        </w:rPr>
      </w:pPr>
      <w:r>
        <w:rPr>
          <w:rFonts w:hint="eastAsia" w:ascii="宋体" w:hAnsi="宋体" w:cs="宋体"/>
          <w:bCs/>
          <w:sz w:val="24"/>
          <w:lang w:val="zh-CN"/>
        </w:rPr>
        <w:t>13.1</w:t>
      </w:r>
      <w:r>
        <w:rPr>
          <w:rFonts w:hint="eastAsia" w:ascii="宋体" w:hAnsi="宋体" w:cs="宋体"/>
          <w:sz w:val="24"/>
          <w:lang w:val="zh-CN"/>
        </w:rPr>
        <w:t xml:space="preserve"> 对招标文件中的技术与商务条款要求逐项作出响应或偏离，并说明原因；</w:t>
      </w:r>
    </w:p>
    <w:p w14:paraId="5070DE65">
      <w:pPr>
        <w:tabs>
          <w:tab w:val="left" w:pos="1035"/>
        </w:tabs>
        <w:autoSpaceDE w:val="0"/>
        <w:autoSpaceDN w:val="0"/>
        <w:adjustRightInd w:val="0"/>
        <w:spacing w:line="500" w:lineRule="exact"/>
        <w:ind w:firstLine="480" w:firstLineChars="200"/>
        <w:rPr>
          <w:rFonts w:hint="eastAsia" w:ascii="宋体" w:hAnsi="宋体" w:cs="宋体"/>
          <w:sz w:val="24"/>
          <w:lang w:val="zh-CN"/>
        </w:rPr>
      </w:pPr>
      <w:r>
        <w:rPr>
          <w:rFonts w:hint="eastAsia" w:ascii="宋体" w:hAnsi="宋体" w:cs="宋体"/>
          <w:sz w:val="24"/>
          <w:lang w:val="zh-CN"/>
        </w:rPr>
        <w:t>13.2 提供参加本项目类似案例简介；</w:t>
      </w:r>
    </w:p>
    <w:p w14:paraId="4039EDEC">
      <w:pPr>
        <w:tabs>
          <w:tab w:val="left" w:pos="1035"/>
        </w:tabs>
        <w:autoSpaceDE w:val="0"/>
        <w:autoSpaceDN w:val="0"/>
        <w:adjustRightInd w:val="0"/>
        <w:spacing w:line="500" w:lineRule="exact"/>
        <w:ind w:firstLine="480" w:firstLineChars="200"/>
        <w:rPr>
          <w:rFonts w:hint="eastAsia" w:ascii="宋体" w:hAnsi="宋体" w:cs="宋体"/>
          <w:sz w:val="24"/>
          <w:lang w:val="zh-CN"/>
        </w:rPr>
      </w:pPr>
      <w:r>
        <w:rPr>
          <w:rFonts w:hint="eastAsia" w:ascii="宋体" w:hAnsi="宋体" w:cs="宋体"/>
          <w:sz w:val="24"/>
          <w:lang w:val="zh-CN"/>
        </w:rPr>
        <w:t>13.3 培训计划；</w:t>
      </w:r>
    </w:p>
    <w:p w14:paraId="0D59ADE2">
      <w:pPr>
        <w:tabs>
          <w:tab w:val="left" w:pos="1035"/>
        </w:tabs>
        <w:autoSpaceDE w:val="0"/>
        <w:autoSpaceDN w:val="0"/>
        <w:adjustRightInd w:val="0"/>
        <w:spacing w:line="500" w:lineRule="exact"/>
        <w:ind w:firstLine="480" w:firstLineChars="200"/>
        <w:rPr>
          <w:rFonts w:hint="eastAsia" w:ascii="宋体" w:hAnsi="宋体" w:cs="宋体"/>
          <w:sz w:val="24"/>
          <w:lang w:val="zh-CN"/>
        </w:rPr>
      </w:pPr>
      <w:r>
        <w:rPr>
          <w:rFonts w:hint="eastAsia" w:ascii="宋体" w:hAnsi="宋体" w:cs="宋体"/>
          <w:sz w:val="24"/>
          <w:lang w:val="zh-CN"/>
        </w:rPr>
        <w:t>13.4 详细阐述所投货物的主要组成部分、功能设计、实现思路及关键技术；</w:t>
      </w:r>
    </w:p>
    <w:p w14:paraId="1E777E6D">
      <w:pPr>
        <w:tabs>
          <w:tab w:val="left" w:pos="1035"/>
        </w:tabs>
        <w:autoSpaceDE w:val="0"/>
        <w:autoSpaceDN w:val="0"/>
        <w:adjustRightInd w:val="0"/>
        <w:spacing w:line="500" w:lineRule="exact"/>
        <w:ind w:firstLine="480" w:firstLineChars="200"/>
        <w:rPr>
          <w:rFonts w:hint="eastAsia" w:ascii="宋体" w:hAnsi="宋体" w:cs="宋体"/>
          <w:sz w:val="24"/>
          <w:lang w:val="zh-CN"/>
        </w:rPr>
      </w:pPr>
      <w:r>
        <w:rPr>
          <w:rFonts w:hint="eastAsia" w:ascii="宋体" w:hAnsi="宋体" w:cs="宋体"/>
          <w:sz w:val="24"/>
          <w:lang w:val="zh-CN"/>
        </w:rPr>
        <w:t>13.5 投标人认为需要的其他技术文件或说明。</w:t>
      </w:r>
    </w:p>
    <w:p w14:paraId="07DF3227">
      <w:pPr>
        <w:keepNext/>
        <w:keepLines/>
        <w:widowControl w:val="0"/>
        <w:ind w:firstLine="420" w:firstLineChars="150"/>
        <w:jc w:val="both"/>
        <w:outlineLvl w:val="3"/>
        <w:rPr>
          <w:rFonts w:hint="eastAsia" w:ascii="宋体" w:hAnsi="宋体" w:eastAsia="宋体" w:cs="宋体"/>
          <w:b w:val="0"/>
          <w:kern w:val="2"/>
          <w:sz w:val="28"/>
          <w:szCs w:val="28"/>
          <w:lang w:val="en-US" w:eastAsia="zh-CN" w:bidi="ar-SA"/>
        </w:rPr>
      </w:pPr>
      <w:r>
        <w:rPr>
          <w:rFonts w:hint="eastAsia" w:ascii="宋体" w:hAnsi="宋体" w:eastAsia="宋体" w:cs="宋体"/>
          <w:b w:val="0"/>
          <w:bCs/>
          <w:kern w:val="2"/>
          <w:sz w:val="28"/>
          <w:szCs w:val="28"/>
          <w:lang w:val="en-US" w:eastAsia="zh-CN" w:bidi="ar-SA"/>
        </w:rPr>
        <w:t>14.服务承诺及售后服务机构、人员的情况介绍</w:t>
      </w:r>
    </w:p>
    <w:p w14:paraId="60841FD1">
      <w:pPr>
        <w:spacing w:line="48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Cs/>
          <w:sz w:val="24"/>
          <w:szCs w:val="24"/>
        </w:rPr>
        <w:t>14</w:t>
      </w:r>
      <w:r>
        <w:rPr>
          <w:rFonts w:hint="eastAsia" w:ascii="宋体" w:hAnsi="宋体" w:cs="宋体"/>
          <w:sz w:val="24"/>
          <w:lang w:val="zh-CN"/>
        </w:rPr>
        <w:t>.</w:t>
      </w:r>
      <w:r>
        <w:rPr>
          <w:rFonts w:hint="eastAsia" w:ascii="宋体" w:hAnsi="宋体" w:cs="宋体"/>
          <w:bCs/>
          <w:sz w:val="24"/>
          <w:szCs w:val="24"/>
        </w:rPr>
        <w:t>1</w:t>
      </w:r>
      <w:r>
        <w:rPr>
          <w:rFonts w:hint="eastAsia" w:ascii="宋体" w:hAnsi="宋体" w:cs="宋体"/>
          <w:sz w:val="24"/>
          <w:szCs w:val="24"/>
        </w:rPr>
        <w:t>投标人的服务承诺应按不低于招标文件中商务要求的标准。</w:t>
      </w:r>
    </w:p>
    <w:p w14:paraId="193C9397">
      <w:pPr>
        <w:spacing w:line="480" w:lineRule="exact"/>
        <w:ind w:firstLine="480"/>
        <w:rPr>
          <w:rFonts w:hint="eastAsia" w:ascii="宋体" w:hAnsi="宋体" w:cs="宋体"/>
          <w:sz w:val="24"/>
          <w:szCs w:val="24"/>
        </w:rPr>
      </w:pPr>
      <w:r>
        <w:rPr>
          <w:rFonts w:hint="eastAsia" w:ascii="宋体" w:hAnsi="宋体" w:cs="宋体"/>
          <w:bCs/>
          <w:sz w:val="24"/>
          <w:szCs w:val="24"/>
        </w:rPr>
        <w:t>14</w:t>
      </w:r>
      <w:r>
        <w:rPr>
          <w:rFonts w:hint="eastAsia" w:ascii="宋体" w:hAnsi="宋体" w:cs="宋体"/>
          <w:sz w:val="24"/>
          <w:lang w:val="zh-CN"/>
        </w:rPr>
        <w:t>.</w:t>
      </w:r>
      <w:r>
        <w:rPr>
          <w:rFonts w:hint="eastAsia" w:ascii="宋体" w:hAnsi="宋体" w:cs="宋体"/>
          <w:bCs/>
          <w:sz w:val="24"/>
          <w:szCs w:val="24"/>
        </w:rPr>
        <w:t>2</w:t>
      </w:r>
      <w:r>
        <w:rPr>
          <w:rFonts w:hint="eastAsia" w:ascii="宋体" w:hAnsi="宋体" w:cs="宋体"/>
          <w:sz w:val="24"/>
          <w:szCs w:val="24"/>
        </w:rPr>
        <w:t>提供投标人有关售后服务的管理制度、售后服务机构的分布情况、售后服务人员的数量、素质、技术水平及售后服务的反应能力。</w:t>
      </w:r>
    </w:p>
    <w:p w14:paraId="1C81C66F">
      <w:pPr>
        <w:keepNext/>
        <w:keepLines/>
        <w:widowControl w:val="0"/>
        <w:ind w:firstLine="420" w:firstLineChars="150"/>
        <w:jc w:val="both"/>
        <w:outlineLvl w:val="3"/>
        <w:rPr>
          <w:rFonts w:hint="eastAsia" w:ascii="宋体" w:hAnsi="宋体" w:eastAsia="宋体" w:cs="宋体"/>
          <w:b w:val="0"/>
          <w:kern w:val="2"/>
          <w:sz w:val="28"/>
          <w:szCs w:val="28"/>
          <w:lang w:val="en-US" w:eastAsia="zh-CN" w:bidi="ar-SA"/>
        </w:rPr>
      </w:pPr>
      <w:bookmarkStart w:id="121" w:name="_Toc14577359"/>
      <w:bookmarkStart w:id="122" w:name="_Toc49090510"/>
      <w:r>
        <w:rPr>
          <w:rFonts w:hint="eastAsia" w:ascii="宋体" w:hAnsi="宋体" w:eastAsia="宋体" w:cs="宋体"/>
          <w:b w:val="0"/>
          <w:bCs/>
          <w:kern w:val="2"/>
          <w:sz w:val="28"/>
          <w:szCs w:val="28"/>
          <w:lang w:val="en-US" w:eastAsia="zh-CN" w:bidi="ar-SA"/>
        </w:rPr>
        <w:t>15.投标函和开标一览表</w:t>
      </w:r>
    </w:p>
    <w:p w14:paraId="72892062">
      <w:pPr>
        <w:spacing w:line="500" w:lineRule="exact"/>
        <w:ind w:firstLine="480" w:firstLineChars="200"/>
        <w:rPr>
          <w:rFonts w:hint="eastAsia" w:ascii="宋体" w:hAnsi="宋体" w:cs="宋体"/>
          <w:sz w:val="24"/>
        </w:rPr>
      </w:pPr>
      <w:r>
        <w:rPr>
          <w:rFonts w:hint="eastAsia" w:ascii="宋体" w:hAnsi="宋体" w:cs="宋体"/>
          <w:bCs/>
          <w:sz w:val="24"/>
        </w:rPr>
        <w:t>15.1</w:t>
      </w:r>
      <w:r>
        <w:rPr>
          <w:rFonts w:hint="eastAsia" w:ascii="宋体" w:hAnsi="宋体" w:cs="宋体"/>
          <w:sz w:val="24"/>
        </w:rPr>
        <w:t xml:space="preserve"> 投标人应按照招标文件中提供的格式完整、正确填写投标函、开标一览表。</w:t>
      </w:r>
    </w:p>
    <w:p w14:paraId="44DC7585">
      <w:pPr>
        <w:spacing w:line="500" w:lineRule="exact"/>
        <w:ind w:firstLine="480" w:firstLineChars="200"/>
        <w:rPr>
          <w:rFonts w:hint="eastAsia" w:ascii="宋体" w:hAnsi="宋体" w:cs="宋体"/>
          <w:sz w:val="24"/>
        </w:rPr>
      </w:pPr>
      <w:r>
        <w:rPr>
          <w:rFonts w:hint="eastAsia" w:ascii="宋体" w:hAnsi="宋体" w:cs="宋体"/>
          <w:bCs/>
          <w:sz w:val="24"/>
        </w:rPr>
        <w:t>15.2</w:t>
      </w:r>
      <w:r>
        <w:rPr>
          <w:rFonts w:hint="eastAsia" w:ascii="宋体" w:hAnsi="宋体" w:cs="宋体"/>
          <w:sz w:val="24"/>
        </w:rPr>
        <w:t xml:space="preserve"> </w:t>
      </w:r>
      <w:r>
        <w:rPr>
          <w:rFonts w:hint="eastAsia" w:ascii="宋体" w:hAnsi="宋体" w:cs="宋体"/>
          <w:bCs/>
          <w:sz w:val="24"/>
        </w:rPr>
        <w:t>开标一览表中的价格应与投标文件中投标配置与分项报价表中的价格一致，如不一致，</w:t>
      </w:r>
      <w:r>
        <w:rPr>
          <w:rFonts w:hint="eastAsia" w:ascii="宋体" w:hAnsi="宋体" w:cs="宋体"/>
          <w:sz w:val="24"/>
          <w:szCs w:val="24"/>
        </w:rPr>
        <w:t>不作为无效投标处理</w:t>
      </w:r>
      <w:r>
        <w:rPr>
          <w:rFonts w:hint="eastAsia" w:ascii="宋体" w:hAnsi="宋体" w:cs="宋体"/>
          <w:bCs/>
          <w:sz w:val="24"/>
        </w:rPr>
        <w:t>，但评标时按开标一览表中价格为准</w:t>
      </w:r>
      <w:r>
        <w:rPr>
          <w:rFonts w:hint="eastAsia" w:ascii="宋体" w:hAnsi="宋体" w:cs="宋体"/>
          <w:b/>
          <w:bCs/>
          <w:sz w:val="24"/>
        </w:rPr>
        <w:t>。</w:t>
      </w:r>
    </w:p>
    <w:p w14:paraId="31110F01">
      <w:pPr>
        <w:keepNext/>
        <w:keepLines/>
        <w:widowControl w:val="0"/>
        <w:ind w:firstLine="420" w:firstLineChars="150"/>
        <w:jc w:val="both"/>
        <w:outlineLvl w:val="3"/>
        <w:rPr>
          <w:rFonts w:hint="eastAsia" w:ascii="宋体" w:hAnsi="宋体" w:eastAsia="宋体" w:cs="宋体"/>
          <w:b w:val="0"/>
          <w:kern w:val="2"/>
          <w:sz w:val="28"/>
          <w:szCs w:val="28"/>
          <w:lang w:val="en-US" w:eastAsia="zh-CN" w:bidi="ar-SA"/>
        </w:rPr>
      </w:pPr>
      <w:r>
        <w:rPr>
          <w:rFonts w:hint="eastAsia" w:ascii="宋体" w:hAnsi="宋体" w:eastAsia="宋体" w:cs="宋体"/>
          <w:b w:val="0"/>
          <w:bCs/>
          <w:kern w:val="2"/>
          <w:sz w:val="28"/>
          <w:szCs w:val="28"/>
          <w:lang w:val="en-US" w:eastAsia="zh-CN" w:bidi="ar-SA"/>
        </w:rPr>
        <w:t>16.投标保证金</w:t>
      </w:r>
      <w:bookmarkEnd w:id="121"/>
      <w:bookmarkEnd w:id="122"/>
      <w:r>
        <w:rPr>
          <w:rFonts w:hint="eastAsia" w:ascii="宋体" w:hAnsi="宋体" w:eastAsia="宋体" w:cs="宋体"/>
          <w:b w:val="0"/>
          <w:bCs/>
          <w:kern w:val="2"/>
          <w:sz w:val="28"/>
          <w:szCs w:val="28"/>
          <w:lang w:val="en-US" w:eastAsia="zh-CN" w:bidi="ar-SA"/>
        </w:rPr>
        <w:t>（如果收取）</w:t>
      </w:r>
    </w:p>
    <w:p w14:paraId="60A967EE">
      <w:pPr>
        <w:spacing w:line="500" w:lineRule="exact"/>
        <w:ind w:firstLine="480" w:firstLineChars="200"/>
        <w:rPr>
          <w:rFonts w:hint="eastAsia" w:ascii="宋体" w:hAnsi="宋体" w:cs="宋体"/>
          <w:bCs/>
          <w:sz w:val="24"/>
          <w:szCs w:val="24"/>
        </w:rPr>
      </w:pPr>
      <w:r>
        <w:rPr>
          <w:rFonts w:hint="eastAsia" w:ascii="宋体" w:hAnsi="宋体" w:cs="宋体"/>
          <w:sz w:val="24"/>
        </w:rPr>
        <w:t>16.1</w:t>
      </w:r>
      <w:r>
        <w:rPr>
          <w:rFonts w:hint="eastAsia" w:ascii="宋体" w:hAnsi="宋体" w:cs="宋体"/>
          <w:bCs/>
          <w:sz w:val="24"/>
        </w:rPr>
        <w:t>在开标时，未按要求提交投标保证金的投标无效。</w:t>
      </w:r>
    </w:p>
    <w:p w14:paraId="02241E2D">
      <w:pPr>
        <w:spacing w:line="500" w:lineRule="exact"/>
        <w:ind w:firstLine="480" w:firstLineChars="200"/>
        <w:rPr>
          <w:rFonts w:hint="eastAsia" w:ascii="宋体" w:hAnsi="宋体" w:cs="宋体"/>
          <w:bCs/>
          <w:sz w:val="24"/>
        </w:rPr>
      </w:pPr>
      <w:r>
        <w:rPr>
          <w:rFonts w:hint="eastAsia" w:ascii="宋体" w:hAnsi="宋体" w:cs="宋体"/>
          <w:sz w:val="24"/>
        </w:rPr>
        <w:t>16.2</w:t>
      </w:r>
      <w:r>
        <w:rPr>
          <w:rFonts w:hint="eastAsia" w:ascii="宋体" w:hAnsi="宋体" w:cs="宋体"/>
          <w:bCs/>
          <w:sz w:val="24"/>
        </w:rPr>
        <w:t>未中标的投标人的投标保证金，将在中标通知书发出之后5</w:t>
      </w:r>
      <w:r>
        <w:rPr>
          <w:rFonts w:hint="eastAsia" w:ascii="宋体" w:hAnsi="宋体" w:cs="宋体"/>
          <w:bCs/>
          <w:sz w:val="24"/>
          <w:lang w:eastAsia="zh-Hans"/>
        </w:rPr>
        <w:t>日内</w:t>
      </w:r>
      <w:r>
        <w:rPr>
          <w:rFonts w:hint="eastAsia" w:ascii="宋体" w:hAnsi="宋体" w:cs="宋体"/>
          <w:bCs/>
          <w:sz w:val="24"/>
        </w:rPr>
        <w:t>自动退还。</w:t>
      </w:r>
    </w:p>
    <w:p w14:paraId="208F8E24">
      <w:pPr>
        <w:spacing w:line="500" w:lineRule="exact"/>
        <w:ind w:firstLine="480" w:firstLineChars="200"/>
        <w:rPr>
          <w:rFonts w:hint="eastAsia" w:ascii="宋体" w:hAnsi="宋体" w:cs="宋体"/>
          <w:bCs/>
          <w:sz w:val="24"/>
        </w:rPr>
      </w:pPr>
      <w:r>
        <w:rPr>
          <w:rFonts w:hint="eastAsia" w:ascii="宋体" w:hAnsi="宋体" w:cs="宋体"/>
          <w:sz w:val="24"/>
        </w:rPr>
        <w:t>16.3中标人的投标保证金，</w:t>
      </w:r>
      <w:r>
        <w:rPr>
          <w:rFonts w:hint="eastAsia" w:ascii="宋体" w:hAnsi="宋体" w:cs="宋体"/>
          <w:bCs/>
          <w:sz w:val="24"/>
        </w:rPr>
        <w:t>将在采购合同签订之后5</w:t>
      </w:r>
      <w:r>
        <w:rPr>
          <w:rFonts w:hint="eastAsia" w:ascii="宋体" w:hAnsi="宋体" w:cs="宋体"/>
          <w:bCs/>
          <w:sz w:val="24"/>
          <w:lang w:eastAsia="zh-Hans"/>
        </w:rPr>
        <w:t>日内</w:t>
      </w:r>
      <w:r>
        <w:rPr>
          <w:rFonts w:hint="eastAsia" w:ascii="宋体" w:hAnsi="宋体" w:cs="宋体"/>
          <w:bCs/>
          <w:sz w:val="24"/>
        </w:rPr>
        <w:t>自动退还。</w:t>
      </w:r>
    </w:p>
    <w:p w14:paraId="3E115D74">
      <w:pPr>
        <w:spacing w:line="500" w:lineRule="exact"/>
        <w:ind w:firstLine="480" w:firstLineChars="200"/>
        <w:rPr>
          <w:rFonts w:hint="eastAsia" w:ascii="宋体" w:hAnsi="宋体" w:cs="宋体"/>
          <w:bCs/>
          <w:sz w:val="24"/>
        </w:rPr>
      </w:pPr>
      <w:r>
        <w:rPr>
          <w:rFonts w:hint="eastAsia" w:ascii="宋体" w:hAnsi="宋体" w:cs="宋体"/>
          <w:sz w:val="24"/>
        </w:rPr>
        <w:t>16.4</w:t>
      </w:r>
      <w:r>
        <w:rPr>
          <w:rFonts w:hint="eastAsia" w:ascii="宋体" w:hAnsi="宋体" w:cs="宋体"/>
          <w:bCs/>
          <w:sz w:val="24"/>
        </w:rPr>
        <w:t xml:space="preserve"> 下列任何情况发生时，投标保证金将不予退还：</w:t>
      </w:r>
    </w:p>
    <w:p w14:paraId="71CF2356">
      <w:pPr>
        <w:spacing w:line="500" w:lineRule="exact"/>
        <w:ind w:firstLine="480" w:firstLineChars="200"/>
        <w:rPr>
          <w:rFonts w:hint="eastAsia" w:ascii="宋体" w:hAnsi="宋体" w:cs="宋体"/>
          <w:sz w:val="24"/>
        </w:rPr>
      </w:pPr>
      <w:bookmarkStart w:id="123" w:name="_Hlt26954734"/>
      <w:bookmarkEnd w:id="123"/>
      <w:bookmarkStart w:id="124" w:name="_Hlt26954850"/>
      <w:bookmarkEnd w:id="124"/>
      <w:bookmarkStart w:id="125" w:name="_Hlt26670489"/>
      <w:bookmarkEnd w:id="125"/>
      <w:bookmarkStart w:id="126" w:name="_Toc49090511"/>
      <w:bookmarkStart w:id="127" w:name="_Toc14577360"/>
      <w:r>
        <w:rPr>
          <w:rFonts w:hint="eastAsia" w:ascii="宋体" w:hAnsi="宋体" w:cs="宋体"/>
          <w:sz w:val="24"/>
        </w:rPr>
        <w:t>（1）投标人在投标有效期内撤回其投标；</w:t>
      </w:r>
    </w:p>
    <w:p w14:paraId="25ECF83C">
      <w:pPr>
        <w:spacing w:line="500" w:lineRule="exact"/>
        <w:ind w:firstLine="480" w:firstLineChars="200"/>
        <w:rPr>
          <w:rFonts w:hint="eastAsia" w:ascii="宋体" w:hAnsi="宋体" w:cs="宋体"/>
          <w:sz w:val="24"/>
        </w:rPr>
      </w:pPr>
      <w:r>
        <w:rPr>
          <w:rFonts w:hint="eastAsia" w:ascii="宋体" w:hAnsi="宋体" w:cs="宋体"/>
          <w:sz w:val="24"/>
        </w:rPr>
        <w:t>（2）提供虚假材料谋取中标、成交的；</w:t>
      </w:r>
    </w:p>
    <w:p w14:paraId="20CB4B24">
      <w:pPr>
        <w:spacing w:line="500" w:lineRule="exact"/>
        <w:ind w:firstLine="480" w:firstLineChars="200"/>
        <w:rPr>
          <w:rFonts w:hint="eastAsia" w:ascii="宋体" w:hAnsi="宋体" w:cs="宋体"/>
          <w:sz w:val="24"/>
        </w:rPr>
      </w:pPr>
      <w:r>
        <w:rPr>
          <w:rFonts w:hint="eastAsia" w:ascii="宋体" w:hAnsi="宋体" w:cs="宋体"/>
          <w:sz w:val="24"/>
        </w:rPr>
        <w:t>（3）采取不正当手段诋毁、排挤其他供应商的；</w:t>
      </w:r>
    </w:p>
    <w:p w14:paraId="76CB939C">
      <w:pPr>
        <w:spacing w:line="500" w:lineRule="exact"/>
        <w:ind w:firstLine="480" w:firstLineChars="200"/>
        <w:rPr>
          <w:rFonts w:hint="eastAsia" w:ascii="宋体" w:hAnsi="宋体" w:cs="宋体"/>
          <w:sz w:val="24"/>
        </w:rPr>
      </w:pPr>
      <w:r>
        <w:rPr>
          <w:rFonts w:hint="eastAsia" w:ascii="宋体" w:hAnsi="宋体" w:cs="宋体"/>
          <w:sz w:val="24"/>
        </w:rPr>
        <w:t>（4）与采购人、其他供应商恶意串通的。</w:t>
      </w:r>
    </w:p>
    <w:p w14:paraId="52C6AD9C">
      <w:pPr>
        <w:widowControl w:val="0"/>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1"/>
          <w:lang w:val="en-US" w:eastAsia="zh-CN" w:bidi="ar-SA"/>
        </w:rPr>
        <w:t xml:space="preserve">16.5 </w:t>
      </w:r>
      <w:r>
        <w:rPr>
          <w:rFonts w:hint="eastAsia" w:ascii="宋体" w:hAnsi="宋体" w:eastAsia="宋体" w:cs="宋体"/>
          <w:kern w:val="2"/>
          <w:sz w:val="24"/>
          <w:szCs w:val="24"/>
          <w:lang w:val="en-US" w:eastAsia="zh-CN" w:bidi="ar-SA"/>
        </w:rPr>
        <w:t>供应商缴纳的投标保证金必须于投标文件（响应文件）接收截止时间前，以供应商的名称，按本采购文件规定的金额缴纳到指定账户（保证金缴纳方式及账户详见第一章投标邀请—其他）。</w:t>
      </w:r>
    </w:p>
    <w:p w14:paraId="4381C896">
      <w:pPr>
        <w:keepNext/>
        <w:keepLines/>
        <w:widowControl w:val="0"/>
        <w:ind w:firstLine="420" w:firstLineChars="150"/>
        <w:jc w:val="both"/>
        <w:outlineLvl w:val="3"/>
        <w:rPr>
          <w:rFonts w:hint="eastAsia" w:ascii="宋体" w:hAnsi="宋体" w:eastAsia="宋体" w:cs="宋体"/>
          <w:b w:val="0"/>
          <w:kern w:val="2"/>
          <w:sz w:val="28"/>
          <w:szCs w:val="28"/>
          <w:lang w:val="en-US" w:eastAsia="zh-CN" w:bidi="ar-SA"/>
        </w:rPr>
      </w:pPr>
      <w:r>
        <w:rPr>
          <w:rFonts w:hint="eastAsia" w:ascii="宋体" w:hAnsi="宋体" w:eastAsia="宋体" w:cs="宋体"/>
          <w:b w:val="0"/>
          <w:bCs/>
          <w:kern w:val="2"/>
          <w:sz w:val="28"/>
          <w:szCs w:val="28"/>
          <w:lang w:val="en-US" w:eastAsia="zh-CN" w:bidi="ar-SA"/>
        </w:rPr>
        <w:t>17.投标有效期</w:t>
      </w:r>
      <w:bookmarkEnd w:id="126"/>
      <w:bookmarkEnd w:id="127"/>
    </w:p>
    <w:p w14:paraId="0F2C3008">
      <w:pPr>
        <w:spacing w:line="500" w:lineRule="exact"/>
        <w:ind w:firstLine="480" w:firstLineChars="200"/>
        <w:rPr>
          <w:rFonts w:hint="eastAsia" w:ascii="宋体" w:hAnsi="宋体" w:cs="宋体"/>
          <w:bCs/>
          <w:sz w:val="24"/>
        </w:rPr>
      </w:pPr>
      <w:r>
        <w:rPr>
          <w:rFonts w:hint="eastAsia" w:ascii="宋体" w:hAnsi="宋体" w:cs="宋体"/>
          <w:sz w:val="24"/>
        </w:rPr>
        <w:t>17.1</w:t>
      </w:r>
      <w:r>
        <w:rPr>
          <w:rFonts w:hint="eastAsia" w:ascii="宋体" w:hAnsi="宋体" w:cs="宋体"/>
          <w:bCs/>
          <w:sz w:val="24"/>
        </w:rPr>
        <w:t xml:space="preserve"> 投标有效期为交易中心规定的开标之日后</w:t>
      </w:r>
      <w:r>
        <w:rPr>
          <w:rFonts w:hint="eastAsia" w:ascii="宋体" w:hAnsi="宋体" w:cs="宋体"/>
          <w:b/>
          <w:i/>
          <w:iCs/>
          <w:sz w:val="24"/>
          <w:u w:val="single"/>
        </w:rPr>
        <w:t>120天</w:t>
      </w:r>
      <w:r>
        <w:rPr>
          <w:rFonts w:hint="eastAsia" w:ascii="宋体" w:hAnsi="宋体" w:cs="宋体"/>
          <w:bCs/>
          <w:sz w:val="24"/>
        </w:rPr>
        <w:t>。投标有效期比规定短的将被视为非响应性投标而予以拒绝。</w:t>
      </w:r>
    </w:p>
    <w:p w14:paraId="69B61A9D">
      <w:pPr>
        <w:keepNext/>
        <w:keepLines/>
        <w:widowControl w:val="0"/>
        <w:ind w:firstLine="420" w:firstLineChars="150"/>
        <w:jc w:val="both"/>
        <w:outlineLvl w:val="3"/>
        <w:rPr>
          <w:rFonts w:hint="eastAsia" w:ascii="宋体" w:hAnsi="宋体" w:eastAsia="宋体" w:cs="宋体"/>
          <w:b w:val="0"/>
          <w:bCs/>
          <w:kern w:val="2"/>
          <w:sz w:val="28"/>
          <w:szCs w:val="28"/>
          <w:lang w:val="en-US" w:eastAsia="zh-CN" w:bidi="ar-SA"/>
        </w:rPr>
      </w:pPr>
      <w:bookmarkStart w:id="128" w:name="_Hlt26954852"/>
      <w:bookmarkEnd w:id="128"/>
      <w:bookmarkStart w:id="129" w:name="_Hlt26954739"/>
      <w:bookmarkEnd w:id="129"/>
      <w:bookmarkStart w:id="130" w:name="_Toc49090512"/>
      <w:bookmarkStart w:id="131" w:name="_Toc14577361"/>
      <w:r>
        <w:rPr>
          <w:rFonts w:hint="eastAsia" w:ascii="宋体" w:hAnsi="宋体" w:eastAsia="宋体" w:cs="宋体"/>
          <w:b w:val="0"/>
          <w:bCs/>
          <w:kern w:val="2"/>
          <w:sz w:val="28"/>
          <w:szCs w:val="28"/>
          <w:lang w:val="en-US" w:eastAsia="zh-CN" w:bidi="ar-SA"/>
        </w:rPr>
        <w:t>18.</w:t>
      </w:r>
      <w:bookmarkEnd w:id="130"/>
      <w:bookmarkEnd w:id="131"/>
      <w:r>
        <w:rPr>
          <w:rFonts w:hint="eastAsia" w:ascii="宋体" w:hAnsi="宋体" w:eastAsia="宋体" w:cs="宋体"/>
          <w:b w:val="0"/>
          <w:bCs/>
          <w:kern w:val="2"/>
          <w:sz w:val="28"/>
          <w:szCs w:val="28"/>
          <w:lang w:val="en-US" w:eastAsia="zh-CN" w:bidi="ar-SA"/>
        </w:rPr>
        <w:t>投标有效期的延长</w:t>
      </w:r>
    </w:p>
    <w:p w14:paraId="0722C644">
      <w:pPr>
        <w:spacing w:line="500" w:lineRule="exact"/>
        <w:ind w:firstLine="480" w:firstLineChars="200"/>
        <w:rPr>
          <w:rFonts w:hint="eastAsia" w:ascii="宋体" w:hAnsi="宋体" w:cs="宋体"/>
          <w:bCs/>
          <w:sz w:val="24"/>
        </w:rPr>
      </w:pPr>
      <w:r>
        <w:rPr>
          <w:rFonts w:hint="eastAsia" w:ascii="宋体" w:hAnsi="宋体" w:cs="宋体"/>
          <w:sz w:val="24"/>
        </w:rPr>
        <w:t>18.1</w:t>
      </w:r>
      <w:r>
        <w:rPr>
          <w:rFonts w:hint="eastAsia" w:ascii="宋体" w:hAnsi="宋体" w:cs="宋体"/>
          <w:bCs/>
          <w:sz w:val="24"/>
        </w:rPr>
        <w:t xml:space="preserve"> 在特殊情况下，交易中心于原投标有效期满之前，可向投标人提出延长投标有效期的要求。这种要求与答复均应采用书面形式。投标人可以拒绝交易中心的这一要求而放弃投标，</w:t>
      </w:r>
      <w:r>
        <w:rPr>
          <w:rFonts w:hint="eastAsia" w:ascii="宋体" w:hAnsi="宋体" w:cs="宋体"/>
          <w:sz w:val="24"/>
          <w:szCs w:val="24"/>
        </w:rPr>
        <w:t>交易中心在接到投标人书面答复后，将在原投标有效期满后</w:t>
      </w:r>
      <w:r>
        <w:rPr>
          <w:rFonts w:hint="eastAsia" w:ascii="宋体" w:hAnsi="宋体" w:cs="宋体"/>
          <w:bCs/>
          <w:sz w:val="24"/>
          <w:szCs w:val="24"/>
        </w:rPr>
        <w:t>退还其投标保证金</w:t>
      </w:r>
      <w:r>
        <w:rPr>
          <w:rFonts w:hint="eastAsia" w:ascii="宋体" w:hAnsi="宋体" w:cs="宋体"/>
          <w:sz w:val="24"/>
          <w:szCs w:val="24"/>
        </w:rPr>
        <w:t>。</w:t>
      </w:r>
      <w:r>
        <w:rPr>
          <w:rFonts w:hint="eastAsia" w:ascii="宋体" w:hAnsi="宋体" w:cs="宋体"/>
          <w:bCs/>
          <w:sz w:val="24"/>
        </w:rPr>
        <w:t>同意延长投标有效期的投标人既不能要求也不允许修改其投标文件。第16条有关投标保证金的规定在延长期内继续有效</w:t>
      </w:r>
      <w:r>
        <w:rPr>
          <w:rFonts w:hint="eastAsia" w:ascii="宋体" w:hAnsi="宋体" w:cs="宋体"/>
          <w:sz w:val="24"/>
          <w:szCs w:val="24"/>
        </w:rPr>
        <w:t>，同时受投标有效期约束的所有权利与义务均延长至新的有效期</w:t>
      </w:r>
      <w:r>
        <w:rPr>
          <w:rFonts w:hint="eastAsia" w:ascii="宋体" w:hAnsi="宋体" w:cs="宋体"/>
          <w:bCs/>
          <w:sz w:val="24"/>
        </w:rPr>
        <w:t>。</w:t>
      </w:r>
    </w:p>
    <w:p w14:paraId="0F70E487">
      <w:pPr>
        <w:keepNext/>
        <w:keepLines/>
        <w:widowControl w:val="0"/>
        <w:spacing w:before="145" w:beforeLines="50" w:after="145" w:afterLines="50" w:line="360" w:lineRule="auto"/>
        <w:ind w:firstLine="482" w:firstLineChars="150"/>
        <w:jc w:val="both"/>
        <w:outlineLvl w:val="2"/>
        <w:rPr>
          <w:rFonts w:hint="eastAsia" w:ascii="宋体" w:hAnsi="宋体" w:eastAsia="宋体" w:cs="宋体"/>
          <w:b/>
          <w:bCs/>
          <w:kern w:val="2"/>
          <w:sz w:val="32"/>
          <w:szCs w:val="32"/>
          <w:lang w:val="en-US" w:eastAsia="zh-CN" w:bidi="ar-SA"/>
        </w:rPr>
      </w:pPr>
      <w:bookmarkStart w:id="132" w:name="_Toc20823296"/>
      <w:bookmarkStart w:id="133" w:name="_Toc534725601"/>
      <w:bookmarkStart w:id="134" w:name="_Toc16938540"/>
      <w:bookmarkStart w:id="135" w:name="_Toc534816630"/>
      <w:bookmarkStart w:id="136" w:name="_Toc120614217"/>
      <w:bookmarkStart w:id="137" w:name="_Toc513029224"/>
      <w:bookmarkStart w:id="138" w:name="_Toc18015"/>
      <w:r>
        <w:rPr>
          <w:rFonts w:hint="eastAsia" w:ascii="宋体" w:hAnsi="宋体" w:eastAsia="宋体" w:cs="宋体"/>
          <w:b/>
          <w:bCs/>
          <w:kern w:val="2"/>
          <w:sz w:val="32"/>
          <w:szCs w:val="32"/>
          <w:lang w:val="en-US" w:eastAsia="zh-CN" w:bidi="ar-SA"/>
        </w:rPr>
        <w:t>四、投标文件的递交</w:t>
      </w:r>
      <w:bookmarkEnd w:id="132"/>
      <w:bookmarkEnd w:id="133"/>
      <w:bookmarkEnd w:id="134"/>
      <w:bookmarkEnd w:id="135"/>
      <w:bookmarkEnd w:id="136"/>
      <w:bookmarkEnd w:id="137"/>
      <w:bookmarkEnd w:id="138"/>
    </w:p>
    <w:p w14:paraId="1B1C099F">
      <w:pPr>
        <w:keepNext/>
        <w:keepLines/>
        <w:widowControl w:val="0"/>
        <w:ind w:firstLine="420" w:firstLineChars="150"/>
        <w:jc w:val="both"/>
        <w:outlineLvl w:val="3"/>
        <w:rPr>
          <w:rFonts w:hint="eastAsia" w:ascii="宋体" w:hAnsi="宋体" w:eastAsia="宋体" w:cs="宋体"/>
          <w:b w:val="0"/>
          <w:kern w:val="2"/>
          <w:sz w:val="28"/>
          <w:szCs w:val="28"/>
          <w:lang w:val="en-US" w:eastAsia="zh-CN" w:bidi="ar-SA"/>
        </w:rPr>
      </w:pPr>
      <w:bookmarkStart w:id="139" w:name="_Toc20823297"/>
      <w:bookmarkStart w:id="140" w:name="_Toc16938541"/>
      <w:bookmarkStart w:id="141" w:name="_Toc513029225"/>
      <w:bookmarkStart w:id="142" w:name="_Toc462564084"/>
      <w:r>
        <w:rPr>
          <w:rFonts w:hint="eastAsia" w:ascii="宋体" w:hAnsi="宋体" w:eastAsia="宋体" w:cs="宋体"/>
          <w:b w:val="0"/>
          <w:bCs/>
          <w:kern w:val="2"/>
          <w:sz w:val="28"/>
          <w:szCs w:val="28"/>
          <w:lang w:val="en-US" w:eastAsia="zh-CN" w:bidi="ar-SA"/>
        </w:rPr>
        <w:t>19.</w:t>
      </w:r>
      <w:bookmarkEnd w:id="139"/>
      <w:bookmarkEnd w:id="140"/>
      <w:bookmarkEnd w:id="141"/>
      <w:bookmarkEnd w:id="142"/>
      <w:r>
        <w:rPr>
          <w:rFonts w:hint="eastAsia" w:ascii="宋体" w:hAnsi="宋体" w:eastAsia="宋体" w:cs="宋体"/>
          <w:b w:val="0"/>
          <w:bCs/>
          <w:kern w:val="2"/>
          <w:sz w:val="28"/>
          <w:szCs w:val="28"/>
          <w:lang w:val="en-US" w:eastAsia="zh-CN" w:bidi="ar-SA"/>
        </w:rPr>
        <w:t>投标文件的递交</w:t>
      </w:r>
    </w:p>
    <w:p w14:paraId="2B2884E9">
      <w:pPr>
        <w:spacing w:line="500" w:lineRule="exact"/>
        <w:ind w:firstLine="480" w:firstLineChars="200"/>
        <w:rPr>
          <w:rFonts w:hint="eastAsia" w:ascii="宋体" w:hAnsi="宋体" w:cs="宋体"/>
          <w:bCs/>
          <w:sz w:val="24"/>
        </w:rPr>
      </w:pPr>
      <w:r>
        <w:rPr>
          <w:rFonts w:hint="eastAsia" w:ascii="宋体" w:hAnsi="宋体" w:cs="宋体"/>
          <w:sz w:val="24"/>
        </w:rPr>
        <w:t>19.1</w:t>
      </w:r>
      <w:r>
        <w:rPr>
          <w:rFonts w:hint="eastAsia" w:ascii="宋体" w:hAnsi="宋体" w:cs="宋体"/>
          <w:bCs/>
          <w:sz w:val="24"/>
        </w:rPr>
        <w:t>电子投标文件的递交</w:t>
      </w:r>
    </w:p>
    <w:p w14:paraId="28BE6E9E">
      <w:pPr>
        <w:spacing w:line="500" w:lineRule="exact"/>
        <w:ind w:firstLine="480" w:firstLineChars="200"/>
        <w:rPr>
          <w:rFonts w:hint="eastAsia" w:ascii="宋体" w:hAnsi="宋体" w:cs="宋体"/>
          <w:bCs/>
          <w:sz w:val="24"/>
        </w:rPr>
      </w:pPr>
      <w:r>
        <w:rPr>
          <w:rFonts w:hint="eastAsia" w:ascii="宋体" w:hAnsi="宋体" w:cs="宋体"/>
          <w:bCs/>
          <w:sz w:val="24"/>
        </w:rPr>
        <w:t>投标人应当按照采购文件规定，在投标截止时间前制作并上传电子投标文件。</w:t>
      </w:r>
    </w:p>
    <w:p w14:paraId="1007379C">
      <w:pPr>
        <w:keepNext/>
        <w:keepLines/>
        <w:widowControl w:val="0"/>
        <w:ind w:firstLine="420" w:firstLineChars="150"/>
        <w:jc w:val="both"/>
        <w:outlineLvl w:val="3"/>
        <w:rPr>
          <w:rFonts w:hint="eastAsia" w:ascii="宋体" w:hAnsi="宋体" w:eastAsia="宋体" w:cs="宋体"/>
          <w:b w:val="0"/>
          <w:bCs/>
          <w:kern w:val="2"/>
          <w:sz w:val="28"/>
          <w:szCs w:val="28"/>
          <w:lang w:val="en-US" w:eastAsia="zh-CN" w:bidi="ar-SA"/>
        </w:rPr>
      </w:pPr>
      <w:bookmarkStart w:id="143" w:name="_Toc16938542"/>
      <w:bookmarkStart w:id="144" w:name="_Toc20823298"/>
      <w:bookmarkStart w:id="145" w:name="_Toc513029226"/>
      <w:r>
        <w:rPr>
          <w:rFonts w:hint="eastAsia" w:ascii="宋体" w:hAnsi="宋体" w:eastAsia="宋体" w:cs="宋体"/>
          <w:b w:val="0"/>
          <w:bCs/>
          <w:kern w:val="2"/>
          <w:sz w:val="28"/>
          <w:szCs w:val="28"/>
          <w:lang w:val="en-US" w:eastAsia="zh-CN" w:bidi="ar-SA"/>
        </w:rPr>
        <w:t>20.投标截止</w:t>
      </w:r>
      <w:bookmarkEnd w:id="143"/>
      <w:bookmarkEnd w:id="144"/>
      <w:bookmarkEnd w:id="145"/>
      <w:r>
        <w:rPr>
          <w:rFonts w:hint="eastAsia" w:ascii="宋体" w:hAnsi="宋体" w:eastAsia="宋体" w:cs="宋体"/>
          <w:b w:val="0"/>
          <w:bCs/>
          <w:kern w:val="2"/>
          <w:sz w:val="28"/>
          <w:szCs w:val="28"/>
          <w:lang w:val="en-US" w:eastAsia="zh-CN" w:bidi="ar-SA"/>
        </w:rPr>
        <w:t>时间</w:t>
      </w:r>
    </w:p>
    <w:p w14:paraId="6897A848">
      <w:pPr>
        <w:spacing w:line="500" w:lineRule="exact"/>
        <w:ind w:firstLine="480" w:firstLineChars="200"/>
        <w:rPr>
          <w:rFonts w:hint="eastAsia" w:ascii="宋体" w:hAnsi="宋体" w:cs="宋体"/>
          <w:bCs/>
          <w:i/>
          <w:sz w:val="24"/>
          <w:u w:val="single"/>
        </w:rPr>
      </w:pPr>
      <w:r>
        <w:rPr>
          <w:rFonts w:hint="eastAsia" w:ascii="宋体" w:hAnsi="宋体" w:cs="宋体"/>
          <w:i/>
          <w:sz w:val="24"/>
          <w:u w:val="single"/>
        </w:rPr>
        <w:t>20.1</w:t>
      </w:r>
      <w:r>
        <w:rPr>
          <w:rFonts w:hint="eastAsia" w:ascii="宋体" w:hAnsi="宋体" w:cs="宋体"/>
          <w:bCs/>
          <w:i/>
          <w:sz w:val="24"/>
          <w:u w:val="single"/>
        </w:rPr>
        <w:t xml:space="preserve"> 投标人上传电子投标文件的时间不得迟于招标公告中规定的投标截止时间。</w:t>
      </w:r>
    </w:p>
    <w:p w14:paraId="76F80292">
      <w:pPr>
        <w:spacing w:line="500" w:lineRule="exact"/>
        <w:ind w:firstLine="480" w:firstLineChars="200"/>
        <w:rPr>
          <w:rFonts w:hint="eastAsia" w:ascii="宋体" w:hAnsi="宋体" w:cs="宋体"/>
          <w:sz w:val="24"/>
        </w:rPr>
      </w:pPr>
      <w:r>
        <w:rPr>
          <w:rFonts w:hint="eastAsia" w:ascii="宋体" w:hAnsi="宋体" w:cs="宋体"/>
          <w:bCs/>
          <w:sz w:val="24"/>
        </w:rPr>
        <w:t>投标人应充分考虑到网络环境、网络带宽等风险因素，如因投标人自身原因造成的电子投标文件上传不成功由投标人自行承担全部责任。</w:t>
      </w:r>
    </w:p>
    <w:p w14:paraId="63F48BF0">
      <w:pPr>
        <w:spacing w:line="500" w:lineRule="exact"/>
        <w:ind w:firstLine="480" w:firstLineChars="200"/>
        <w:rPr>
          <w:rFonts w:hint="eastAsia" w:ascii="宋体" w:hAnsi="宋体" w:cs="宋体"/>
          <w:bCs/>
          <w:sz w:val="24"/>
        </w:rPr>
      </w:pPr>
      <w:r>
        <w:rPr>
          <w:rFonts w:hint="eastAsia" w:ascii="宋体" w:hAnsi="宋体" w:cs="宋体"/>
          <w:sz w:val="24"/>
        </w:rPr>
        <w:t>20.2</w:t>
      </w:r>
      <w:r>
        <w:rPr>
          <w:rFonts w:hint="eastAsia" w:ascii="宋体" w:hAnsi="宋体" w:cs="宋体"/>
          <w:bCs/>
          <w:sz w:val="24"/>
        </w:rPr>
        <w:t xml:space="preserve"> 交易中心可以按照规定，通过修改招标文件酌情延长投标截止时间，在此情况下，投标人的所有权利和义务以及投标人受制的截止时间均应以延长后新的截止时间为准。</w:t>
      </w:r>
    </w:p>
    <w:p w14:paraId="060952D0">
      <w:pPr>
        <w:keepNext/>
        <w:keepLines/>
        <w:widowControl w:val="0"/>
        <w:ind w:firstLine="420" w:firstLineChars="150"/>
        <w:jc w:val="both"/>
        <w:outlineLvl w:val="3"/>
        <w:rPr>
          <w:rFonts w:hint="eastAsia" w:ascii="宋体" w:hAnsi="宋体" w:eastAsia="宋体" w:cs="宋体"/>
          <w:b w:val="0"/>
          <w:bCs/>
          <w:kern w:val="2"/>
          <w:sz w:val="28"/>
          <w:szCs w:val="28"/>
          <w:lang w:val="en-US" w:eastAsia="zh-CN" w:bidi="ar-SA"/>
        </w:rPr>
      </w:pPr>
      <w:bookmarkStart w:id="146" w:name="_Toc16938543"/>
      <w:bookmarkStart w:id="147" w:name="_Toc20823299"/>
      <w:bookmarkStart w:id="148" w:name="_Toc513029227"/>
      <w:r>
        <w:rPr>
          <w:rFonts w:hint="eastAsia" w:ascii="宋体" w:hAnsi="宋体" w:eastAsia="宋体" w:cs="宋体"/>
          <w:b w:val="0"/>
          <w:bCs/>
          <w:kern w:val="2"/>
          <w:sz w:val="28"/>
          <w:szCs w:val="28"/>
          <w:lang w:val="en-US" w:eastAsia="zh-CN" w:bidi="ar-SA"/>
        </w:rPr>
        <w:t>21.</w:t>
      </w:r>
      <w:bookmarkEnd w:id="146"/>
      <w:bookmarkEnd w:id="147"/>
      <w:bookmarkEnd w:id="148"/>
      <w:r>
        <w:rPr>
          <w:rFonts w:hint="eastAsia" w:ascii="宋体" w:hAnsi="宋体" w:eastAsia="宋体" w:cs="宋体"/>
          <w:b w:val="0"/>
          <w:bCs/>
          <w:kern w:val="2"/>
          <w:sz w:val="28"/>
          <w:szCs w:val="28"/>
          <w:lang w:val="en-US" w:eastAsia="zh-CN" w:bidi="ar-SA"/>
        </w:rPr>
        <w:t>投标文件的拒收</w:t>
      </w:r>
    </w:p>
    <w:p w14:paraId="745A21B3">
      <w:pPr>
        <w:spacing w:line="500" w:lineRule="exact"/>
        <w:ind w:firstLine="480" w:firstLineChars="200"/>
        <w:rPr>
          <w:rFonts w:hint="eastAsia" w:ascii="宋体" w:hAnsi="宋体" w:cs="宋体"/>
          <w:bCs/>
          <w:sz w:val="24"/>
        </w:rPr>
      </w:pPr>
      <w:r>
        <w:rPr>
          <w:rFonts w:hint="eastAsia" w:ascii="宋体" w:hAnsi="宋体" w:cs="宋体"/>
          <w:sz w:val="24"/>
        </w:rPr>
        <w:t>21.1</w:t>
      </w:r>
      <w:r>
        <w:rPr>
          <w:rFonts w:hint="eastAsia" w:ascii="宋体" w:hAnsi="宋体" w:cs="宋体"/>
          <w:bCs/>
          <w:sz w:val="24"/>
        </w:rPr>
        <w:t>交易中心拒绝接收在其规定的投标截止时间后上传的任何投标文件。</w:t>
      </w:r>
    </w:p>
    <w:p w14:paraId="66A9C369">
      <w:pPr>
        <w:keepNext/>
        <w:keepLines/>
        <w:widowControl w:val="0"/>
        <w:ind w:firstLine="420" w:firstLineChars="150"/>
        <w:jc w:val="both"/>
        <w:outlineLvl w:val="3"/>
        <w:rPr>
          <w:rFonts w:hint="eastAsia" w:ascii="宋体" w:hAnsi="宋体" w:eastAsia="宋体" w:cs="宋体"/>
          <w:b w:val="0"/>
          <w:bCs/>
          <w:kern w:val="2"/>
          <w:sz w:val="28"/>
          <w:szCs w:val="28"/>
          <w:lang w:val="en-US" w:eastAsia="zh-CN" w:bidi="ar-SA"/>
        </w:rPr>
      </w:pPr>
      <w:bookmarkStart w:id="149" w:name="_Toc513029228"/>
      <w:bookmarkStart w:id="150" w:name="_Toc20823300"/>
      <w:bookmarkStart w:id="151" w:name="_Toc16938544"/>
      <w:r>
        <w:rPr>
          <w:rFonts w:hint="eastAsia" w:ascii="宋体" w:hAnsi="宋体" w:eastAsia="宋体" w:cs="宋体"/>
          <w:b w:val="0"/>
          <w:bCs/>
          <w:kern w:val="2"/>
          <w:sz w:val="28"/>
          <w:szCs w:val="28"/>
          <w:lang w:val="en-US" w:eastAsia="zh-CN" w:bidi="ar-SA"/>
        </w:rPr>
        <w:t>22.投标文件的修改和撤回</w:t>
      </w:r>
      <w:bookmarkEnd w:id="149"/>
      <w:bookmarkEnd w:id="150"/>
      <w:bookmarkEnd w:id="151"/>
    </w:p>
    <w:p w14:paraId="00581CD3">
      <w:pPr>
        <w:spacing w:line="480" w:lineRule="exact"/>
        <w:ind w:firstLine="480" w:firstLineChars="200"/>
        <w:rPr>
          <w:rFonts w:hint="eastAsia" w:ascii="宋体" w:hAnsi="宋体" w:cs="宋体"/>
          <w:sz w:val="24"/>
        </w:rPr>
      </w:pPr>
      <w:r>
        <w:rPr>
          <w:rFonts w:hint="eastAsia" w:ascii="宋体" w:hAnsi="宋体" w:cs="宋体"/>
          <w:sz w:val="24"/>
        </w:rPr>
        <w:t>22.1投标文件的撤回</w:t>
      </w:r>
    </w:p>
    <w:p w14:paraId="75A185AB">
      <w:pPr>
        <w:spacing w:line="480" w:lineRule="exact"/>
        <w:ind w:firstLine="480" w:firstLineChars="200"/>
        <w:rPr>
          <w:rFonts w:hint="eastAsia" w:ascii="宋体" w:hAnsi="宋体" w:cs="宋体"/>
          <w:sz w:val="24"/>
        </w:rPr>
      </w:pPr>
      <w:r>
        <w:rPr>
          <w:rFonts w:hint="eastAsia" w:ascii="宋体" w:hAnsi="宋体" w:cs="宋体"/>
          <w:sz w:val="24"/>
        </w:rPr>
        <w:t>22.1.1 电子投标文件的撤回</w:t>
      </w:r>
    </w:p>
    <w:p w14:paraId="0825E855">
      <w:pPr>
        <w:spacing w:line="480" w:lineRule="exact"/>
        <w:ind w:firstLine="480" w:firstLineChars="200"/>
        <w:rPr>
          <w:rFonts w:hint="eastAsia" w:ascii="宋体" w:hAnsi="宋体" w:cs="宋体"/>
          <w:sz w:val="24"/>
        </w:rPr>
      </w:pPr>
      <w:r>
        <w:rPr>
          <w:rFonts w:hint="eastAsia" w:ascii="宋体" w:hAnsi="宋体" w:cs="宋体"/>
          <w:sz w:val="24"/>
        </w:rPr>
        <w:t>投标人可在投标截止时间前，撤回其电子投标文件。</w:t>
      </w:r>
    </w:p>
    <w:p w14:paraId="1A758581">
      <w:pPr>
        <w:spacing w:line="480" w:lineRule="exact"/>
        <w:ind w:firstLine="480" w:firstLineChars="200"/>
        <w:rPr>
          <w:rFonts w:hint="eastAsia" w:ascii="宋体" w:hAnsi="宋体" w:cs="宋体"/>
          <w:sz w:val="24"/>
          <w:szCs w:val="24"/>
        </w:rPr>
      </w:pPr>
      <w:r>
        <w:rPr>
          <w:rFonts w:hint="eastAsia" w:ascii="宋体" w:hAnsi="宋体" w:cs="宋体"/>
          <w:sz w:val="24"/>
          <w:szCs w:val="24"/>
        </w:rPr>
        <w:t>22.1.2 投标人撤回电子投标文件，则认为其不再参与本项目投标活动。</w:t>
      </w:r>
    </w:p>
    <w:p w14:paraId="18B92AF9">
      <w:pPr>
        <w:spacing w:line="480" w:lineRule="exact"/>
        <w:ind w:firstLine="480" w:firstLineChars="200"/>
        <w:rPr>
          <w:rFonts w:hint="eastAsia" w:ascii="宋体" w:hAnsi="宋体" w:cs="宋体"/>
          <w:bCs/>
          <w:sz w:val="24"/>
        </w:rPr>
      </w:pPr>
    </w:p>
    <w:p w14:paraId="673A26C9">
      <w:pPr>
        <w:spacing w:line="480" w:lineRule="exact"/>
        <w:ind w:firstLine="480" w:firstLineChars="200"/>
        <w:rPr>
          <w:rFonts w:hint="eastAsia" w:ascii="宋体" w:hAnsi="宋体" w:cs="宋体"/>
          <w:bCs/>
          <w:sz w:val="24"/>
        </w:rPr>
      </w:pPr>
      <w:r>
        <w:rPr>
          <w:rFonts w:hint="eastAsia" w:ascii="宋体" w:hAnsi="宋体" w:cs="宋体"/>
          <w:sz w:val="24"/>
        </w:rPr>
        <w:t>22.2</w:t>
      </w:r>
      <w:r>
        <w:rPr>
          <w:rFonts w:hint="eastAsia" w:ascii="宋体" w:hAnsi="宋体" w:cs="宋体"/>
          <w:sz w:val="24"/>
          <w:szCs w:val="24"/>
        </w:rPr>
        <w:t>投标文件的修改</w:t>
      </w:r>
    </w:p>
    <w:p w14:paraId="7A81C6B3">
      <w:pPr>
        <w:spacing w:line="480" w:lineRule="exact"/>
        <w:ind w:firstLine="480" w:firstLineChars="200"/>
        <w:rPr>
          <w:rFonts w:hint="eastAsia" w:ascii="宋体" w:hAnsi="宋体" w:cs="宋体"/>
          <w:sz w:val="24"/>
        </w:rPr>
      </w:pPr>
      <w:r>
        <w:rPr>
          <w:rFonts w:hint="eastAsia" w:ascii="宋体" w:hAnsi="宋体" w:cs="宋体"/>
          <w:sz w:val="24"/>
        </w:rPr>
        <w:t>投标人可在投标截止时间前，对其电子投标文件进行修改。</w:t>
      </w:r>
    </w:p>
    <w:p w14:paraId="3B38DA8C">
      <w:pPr>
        <w:spacing w:line="500" w:lineRule="exact"/>
        <w:ind w:firstLine="480" w:firstLineChars="200"/>
        <w:rPr>
          <w:rFonts w:hint="eastAsia" w:ascii="宋体" w:hAnsi="宋体" w:cs="宋体"/>
          <w:bCs/>
          <w:sz w:val="24"/>
        </w:rPr>
      </w:pPr>
      <w:r>
        <w:rPr>
          <w:rFonts w:hint="eastAsia" w:ascii="宋体" w:hAnsi="宋体" w:cs="宋体"/>
          <w:sz w:val="24"/>
        </w:rPr>
        <w:t>22.3</w:t>
      </w:r>
      <w:r>
        <w:rPr>
          <w:rFonts w:hint="eastAsia" w:ascii="宋体" w:hAnsi="宋体" w:cs="宋体"/>
          <w:bCs/>
          <w:sz w:val="24"/>
        </w:rPr>
        <w:t>在投标截止时间之后，投标人不得对其电子投标文件作任何修改。</w:t>
      </w:r>
    </w:p>
    <w:p w14:paraId="4F848412">
      <w:pPr>
        <w:spacing w:line="500" w:lineRule="exact"/>
        <w:ind w:firstLine="480" w:firstLineChars="200"/>
        <w:rPr>
          <w:rFonts w:hint="eastAsia" w:ascii="宋体" w:hAnsi="宋体" w:cs="宋体"/>
          <w:bCs/>
          <w:sz w:val="24"/>
        </w:rPr>
      </w:pPr>
      <w:r>
        <w:rPr>
          <w:rFonts w:hint="eastAsia" w:ascii="宋体" w:hAnsi="宋体" w:cs="宋体"/>
          <w:sz w:val="24"/>
        </w:rPr>
        <w:t>22.4</w:t>
      </w:r>
      <w:r>
        <w:rPr>
          <w:rFonts w:hint="eastAsia" w:ascii="宋体" w:hAnsi="宋体" w:cs="宋体"/>
          <w:bCs/>
          <w:sz w:val="24"/>
        </w:rPr>
        <w:t>在投标截止时间至招标文件中规定的投标有效期满之间的这段时间内，投标人不得撤回其投标，否则其投标保证金将不予退还。</w:t>
      </w:r>
    </w:p>
    <w:p w14:paraId="43549D9C">
      <w:pPr>
        <w:keepNext/>
        <w:keepLines/>
        <w:widowControl w:val="0"/>
        <w:spacing w:before="145" w:beforeLines="50" w:after="145" w:afterLines="50" w:line="360" w:lineRule="auto"/>
        <w:ind w:firstLine="482" w:firstLineChars="150"/>
        <w:jc w:val="both"/>
        <w:outlineLvl w:val="2"/>
        <w:rPr>
          <w:rFonts w:hint="eastAsia" w:ascii="宋体" w:hAnsi="宋体" w:eastAsia="宋体" w:cs="宋体"/>
          <w:b/>
          <w:bCs/>
          <w:kern w:val="2"/>
          <w:sz w:val="32"/>
          <w:szCs w:val="32"/>
          <w:lang w:val="en-US" w:eastAsia="zh-CN" w:bidi="ar-SA"/>
        </w:rPr>
      </w:pPr>
      <w:bookmarkStart w:id="152" w:name="_Toc513029229"/>
      <w:bookmarkStart w:id="153" w:name="_Toc534816631"/>
      <w:bookmarkStart w:id="154" w:name="_Toc120614218"/>
      <w:bookmarkStart w:id="155" w:name="_Toc16938545"/>
      <w:bookmarkStart w:id="156" w:name="_Toc534725602"/>
      <w:bookmarkStart w:id="157" w:name="_Toc31922"/>
      <w:bookmarkStart w:id="158" w:name="_Toc20823301"/>
      <w:r>
        <w:rPr>
          <w:rFonts w:hint="eastAsia" w:ascii="宋体" w:hAnsi="宋体" w:eastAsia="宋体" w:cs="宋体"/>
          <w:b/>
          <w:bCs/>
          <w:kern w:val="2"/>
          <w:sz w:val="32"/>
          <w:szCs w:val="32"/>
          <w:lang w:val="en-US" w:eastAsia="zh-CN" w:bidi="ar-SA"/>
        </w:rPr>
        <w:t>五、开标与评标</w:t>
      </w:r>
      <w:bookmarkEnd w:id="152"/>
      <w:bookmarkEnd w:id="153"/>
      <w:bookmarkEnd w:id="154"/>
      <w:bookmarkEnd w:id="155"/>
      <w:bookmarkEnd w:id="156"/>
      <w:bookmarkEnd w:id="157"/>
      <w:bookmarkEnd w:id="158"/>
    </w:p>
    <w:p w14:paraId="626A7405">
      <w:pPr>
        <w:keepNext/>
        <w:keepLines/>
        <w:widowControl w:val="0"/>
        <w:ind w:firstLine="420" w:firstLineChars="150"/>
        <w:jc w:val="both"/>
        <w:outlineLvl w:val="3"/>
        <w:rPr>
          <w:rFonts w:hint="eastAsia" w:ascii="宋体" w:hAnsi="宋体" w:eastAsia="宋体" w:cs="宋体"/>
          <w:b w:val="0"/>
          <w:kern w:val="2"/>
          <w:sz w:val="28"/>
          <w:szCs w:val="28"/>
          <w:lang w:val="en-US" w:eastAsia="zh-CN" w:bidi="ar-SA"/>
        </w:rPr>
      </w:pPr>
      <w:bookmarkStart w:id="159" w:name="_Toc513029230"/>
      <w:bookmarkStart w:id="160" w:name="_Toc20823302"/>
      <w:bookmarkStart w:id="161" w:name="_Toc16938546"/>
      <w:r>
        <w:rPr>
          <w:rFonts w:hint="eastAsia" w:ascii="宋体" w:hAnsi="宋体" w:eastAsia="宋体" w:cs="宋体"/>
          <w:b w:val="0"/>
          <w:bCs/>
          <w:kern w:val="2"/>
          <w:sz w:val="28"/>
          <w:szCs w:val="28"/>
          <w:lang w:val="en-US" w:eastAsia="zh-CN" w:bidi="ar-SA"/>
        </w:rPr>
        <w:t>23.开标</w:t>
      </w:r>
      <w:bookmarkEnd w:id="159"/>
      <w:bookmarkEnd w:id="160"/>
      <w:bookmarkEnd w:id="161"/>
    </w:p>
    <w:p w14:paraId="5F458334">
      <w:pPr>
        <w:spacing w:line="480" w:lineRule="exact"/>
        <w:ind w:firstLine="420" w:firstLineChars="175"/>
        <w:rPr>
          <w:rFonts w:hint="eastAsia" w:ascii="宋体" w:hAnsi="宋体" w:cs="宋体"/>
          <w:sz w:val="24"/>
          <w:szCs w:val="24"/>
        </w:rPr>
      </w:pPr>
      <w:r>
        <w:rPr>
          <w:rFonts w:hint="eastAsia" w:ascii="宋体" w:hAnsi="宋体" w:cs="宋体"/>
          <w:sz w:val="24"/>
        </w:rPr>
        <w:t>23.1</w:t>
      </w:r>
      <w:r>
        <w:rPr>
          <w:rFonts w:hint="eastAsia" w:ascii="宋体" w:hAnsi="宋体" w:cs="宋体"/>
          <w:bCs/>
          <w:sz w:val="24"/>
        </w:rPr>
        <w:t>交易中心将在招标公告中规定的时间和地点组织线上公开开标</w:t>
      </w:r>
      <w:r>
        <w:rPr>
          <w:rFonts w:hint="eastAsia" w:ascii="宋体" w:hAnsi="宋体" w:cs="宋体"/>
          <w:sz w:val="24"/>
          <w:szCs w:val="24"/>
        </w:rPr>
        <w:t>。投标人应当参加开标活动。</w:t>
      </w:r>
    </w:p>
    <w:p w14:paraId="7F53DF37">
      <w:pPr>
        <w:spacing w:line="48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Cs/>
          <w:sz w:val="24"/>
          <w:szCs w:val="24"/>
        </w:rPr>
        <w:t>23.2</w:t>
      </w:r>
      <w:r>
        <w:rPr>
          <w:rFonts w:hint="eastAsia" w:ascii="宋体" w:hAnsi="宋体" w:cs="宋体"/>
          <w:sz w:val="24"/>
          <w:szCs w:val="24"/>
        </w:rPr>
        <w:t>开标过程由交易中心组织。“政采云平台不见面开标大厅”系统将自动对项目进行开标，并公布各投标人的《开标一览表》。</w:t>
      </w:r>
    </w:p>
    <w:p w14:paraId="02D6299D">
      <w:pPr>
        <w:spacing w:line="500" w:lineRule="exact"/>
        <w:ind w:firstLine="480" w:firstLineChars="200"/>
        <w:rPr>
          <w:rFonts w:hint="eastAsia" w:ascii="宋体" w:hAnsi="宋体" w:cs="宋体"/>
          <w:b/>
          <w:i/>
          <w:sz w:val="24"/>
          <w:szCs w:val="24"/>
          <w:u w:val="single"/>
        </w:rPr>
      </w:pPr>
      <w:r>
        <w:rPr>
          <w:rFonts w:hint="eastAsia" w:ascii="宋体" w:hAnsi="宋体" w:cs="宋体"/>
          <w:sz w:val="24"/>
        </w:rPr>
        <w:t>23.3</w:t>
      </w:r>
      <w:r>
        <w:rPr>
          <w:rFonts w:hint="eastAsia" w:ascii="宋体" w:hAnsi="宋体" w:cs="宋体"/>
          <w:bCs/>
          <w:sz w:val="24"/>
        </w:rPr>
        <w:t>投标人在开标过程中涉及到的投标文件解密、开标结果确认等工作，应按照采购文件规定执行。</w:t>
      </w:r>
      <w:r>
        <w:rPr>
          <w:rFonts w:hint="eastAsia" w:ascii="宋体" w:hAnsi="宋体" w:cs="宋体"/>
          <w:sz w:val="24"/>
          <w:szCs w:val="24"/>
        </w:rPr>
        <w:t xml:space="preserve">    </w:t>
      </w:r>
    </w:p>
    <w:p w14:paraId="660C7723">
      <w:pPr>
        <w:keepNext/>
        <w:keepLines/>
        <w:widowControl w:val="0"/>
        <w:ind w:firstLine="420" w:firstLineChars="150"/>
        <w:jc w:val="both"/>
        <w:outlineLvl w:val="3"/>
        <w:rPr>
          <w:rFonts w:hint="eastAsia" w:ascii="宋体" w:hAnsi="宋体" w:eastAsia="宋体" w:cs="宋体"/>
          <w:b w:val="0"/>
          <w:kern w:val="2"/>
          <w:sz w:val="28"/>
          <w:szCs w:val="28"/>
          <w:lang w:val="en-US" w:eastAsia="zh-CN" w:bidi="ar-SA"/>
        </w:rPr>
      </w:pPr>
      <w:bookmarkStart w:id="162" w:name="_Toc16938547"/>
      <w:bookmarkStart w:id="163" w:name="_Toc513029231"/>
      <w:bookmarkStart w:id="164" w:name="_Toc20823303"/>
      <w:r>
        <w:rPr>
          <w:rFonts w:hint="eastAsia" w:ascii="宋体" w:hAnsi="宋体" w:eastAsia="宋体" w:cs="宋体"/>
          <w:b w:val="0"/>
          <w:bCs/>
          <w:kern w:val="2"/>
          <w:sz w:val="28"/>
          <w:szCs w:val="28"/>
          <w:lang w:val="en-US" w:eastAsia="zh-CN" w:bidi="ar-SA"/>
        </w:rPr>
        <w:t>24.评标委员会</w:t>
      </w:r>
    </w:p>
    <w:p w14:paraId="7160458C">
      <w:pPr>
        <w:spacing w:line="480" w:lineRule="exact"/>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rPr>
        <w:t xml:space="preserve"> 24.1</w:t>
      </w:r>
      <w:r>
        <w:rPr>
          <w:rFonts w:hint="eastAsia" w:ascii="宋体" w:hAnsi="宋体" w:cs="宋体"/>
          <w:b/>
          <w:sz w:val="24"/>
          <w:szCs w:val="24"/>
        </w:rPr>
        <w:t xml:space="preserve"> </w:t>
      </w:r>
      <w:r>
        <w:rPr>
          <w:rFonts w:hint="eastAsia" w:ascii="宋体" w:hAnsi="宋体" w:cs="宋体"/>
          <w:sz w:val="24"/>
          <w:szCs w:val="24"/>
        </w:rPr>
        <w:t>开标后，交易中心将立即组织评标委员会（以下简称评委会）进行评标。</w:t>
      </w:r>
    </w:p>
    <w:p w14:paraId="7BA066D2">
      <w:pPr>
        <w:spacing w:line="480" w:lineRule="exact"/>
        <w:rPr>
          <w:rFonts w:hint="eastAsia" w:ascii="宋体" w:hAnsi="宋体" w:cs="宋体"/>
          <w:sz w:val="24"/>
          <w:szCs w:val="24"/>
        </w:rPr>
      </w:pPr>
      <w:r>
        <w:rPr>
          <w:rFonts w:hint="eastAsia" w:ascii="宋体" w:hAnsi="宋体" w:cs="宋体"/>
          <w:b/>
          <w:sz w:val="24"/>
          <w:szCs w:val="24"/>
        </w:rPr>
        <w:t xml:space="preserve">  </w:t>
      </w:r>
      <w:r>
        <w:rPr>
          <w:rFonts w:hint="eastAsia" w:ascii="宋体" w:hAnsi="宋体" w:cs="宋体"/>
          <w:sz w:val="24"/>
          <w:szCs w:val="24"/>
        </w:rPr>
        <w:t xml:space="preserve"> 24.2 评委会由采购人代表和有关技术、经济等方面的专家组成，且人员构成符合政府采购有关规定。</w:t>
      </w:r>
    </w:p>
    <w:p w14:paraId="5F2D7F6F">
      <w:pPr>
        <w:spacing w:line="480" w:lineRule="exact"/>
        <w:rPr>
          <w:rFonts w:hint="eastAsia" w:ascii="宋体" w:hAnsi="宋体" w:cs="宋体"/>
          <w:sz w:val="24"/>
          <w:szCs w:val="24"/>
        </w:rPr>
      </w:pPr>
      <w:r>
        <w:rPr>
          <w:rFonts w:hint="eastAsia" w:ascii="宋体" w:hAnsi="宋体" w:cs="宋体"/>
          <w:b/>
          <w:sz w:val="24"/>
          <w:szCs w:val="24"/>
        </w:rPr>
        <w:t xml:space="preserve">  </w:t>
      </w:r>
      <w:r>
        <w:rPr>
          <w:rFonts w:hint="eastAsia" w:ascii="宋体" w:hAnsi="宋体" w:cs="宋体"/>
          <w:sz w:val="24"/>
          <w:szCs w:val="24"/>
        </w:rPr>
        <w:t xml:space="preserve"> 24.3评委会独立工作，负责评审所有投标文件并确定中标候选人。</w:t>
      </w:r>
    </w:p>
    <w:p w14:paraId="70311194">
      <w:pPr>
        <w:keepNext/>
        <w:keepLines/>
        <w:widowControl w:val="0"/>
        <w:ind w:firstLine="420" w:firstLineChars="150"/>
        <w:jc w:val="both"/>
        <w:outlineLvl w:val="3"/>
        <w:rPr>
          <w:rFonts w:hint="eastAsia" w:ascii="宋体" w:hAnsi="宋体" w:eastAsia="宋体" w:cs="宋体"/>
          <w:b w:val="0"/>
          <w:kern w:val="2"/>
          <w:sz w:val="28"/>
          <w:szCs w:val="28"/>
          <w:lang w:val="en-US" w:eastAsia="zh-CN" w:bidi="ar-SA"/>
        </w:rPr>
      </w:pPr>
      <w:r>
        <w:rPr>
          <w:rFonts w:hint="eastAsia" w:ascii="宋体" w:hAnsi="宋体" w:eastAsia="宋体" w:cs="宋体"/>
          <w:b w:val="0"/>
          <w:bCs/>
          <w:kern w:val="2"/>
          <w:sz w:val="28"/>
          <w:szCs w:val="28"/>
          <w:lang w:val="en-US" w:eastAsia="zh-CN" w:bidi="ar-SA"/>
        </w:rPr>
        <w:t>25.评标过程的保密与公正</w:t>
      </w:r>
    </w:p>
    <w:bookmarkEnd w:id="162"/>
    <w:bookmarkEnd w:id="163"/>
    <w:bookmarkEnd w:id="164"/>
    <w:p w14:paraId="46913F2B">
      <w:pPr>
        <w:spacing w:line="500" w:lineRule="exact"/>
        <w:ind w:firstLine="480" w:firstLineChars="200"/>
        <w:rPr>
          <w:rFonts w:hint="eastAsia" w:ascii="宋体" w:hAnsi="宋体" w:cs="宋体"/>
          <w:bCs/>
          <w:sz w:val="24"/>
        </w:rPr>
      </w:pPr>
      <w:r>
        <w:rPr>
          <w:rFonts w:hint="eastAsia" w:ascii="宋体" w:hAnsi="宋体" w:cs="宋体"/>
          <w:sz w:val="24"/>
        </w:rPr>
        <w:t>25.1</w:t>
      </w:r>
      <w:r>
        <w:rPr>
          <w:rFonts w:hint="eastAsia" w:ascii="宋体" w:hAnsi="宋体" w:cs="宋体"/>
          <w:bCs/>
          <w:sz w:val="24"/>
        </w:rPr>
        <w:t>公开开标后，直至向中标的投标人授予合同时止，凡是与审查、澄清、评价和比较投标的有关资料以及授标建议等，采购人、评委、交易中心均不得向投标人或与评标无关的其他人员透露。</w:t>
      </w:r>
    </w:p>
    <w:p w14:paraId="60DD7C15">
      <w:pPr>
        <w:spacing w:line="480" w:lineRule="exact"/>
        <w:ind w:firstLine="480" w:firstLineChars="200"/>
        <w:rPr>
          <w:rFonts w:hint="eastAsia" w:ascii="宋体" w:hAnsi="宋体" w:cs="宋体"/>
          <w:sz w:val="24"/>
          <w:szCs w:val="24"/>
        </w:rPr>
      </w:pPr>
      <w:r>
        <w:rPr>
          <w:rFonts w:hint="eastAsia" w:ascii="宋体" w:hAnsi="宋体" w:cs="宋体"/>
          <w:sz w:val="24"/>
        </w:rPr>
        <w:t>25.2</w:t>
      </w:r>
      <w:r>
        <w:rPr>
          <w:rFonts w:hint="eastAsia" w:ascii="宋体" w:hAnsi="宋体" w:cs="宋体"/>
          <w:sz w:val="24"/>
          <w:szCs w:val="24"/>
        </w:rPr>
        <w:t>在评标过程中，投标人不得以任何行为影响评标过程，否则其投标文件将被作为无效投标文件。</w:t>
      </w:r>
    </w:p>
    <w:p w14:paraId="28357892">
      <w:pPr>
        <w:spacing w:line="480" w:lineRule="exact"/>
        <w:ind w:firstLine="480" w:firstLineChars="200"/>
        <w:rPr>
          <w:rFonts w:hint="eastAsia" w:ascii="宋体" w:hAnsi="宋体" w:cs="宋体"/>
          <w:sz w:val="24"/>
          <w:szCs w:val="24"/>
        </w:rPr>
      </w:pPr>
      <w:r>
        <w:rPr>
          <w:rFonts w:hint="eastAsia" w:ascii="宋体" w:hAnsi="宋体" w:cs="宋体"/>
          <w:sz w:val="24"/>
        </w:rPr>
        <w:t>25.3</w:t>
      </w:r>
      <w:r>
        <w:rPr>
          <w:rFonts w:hint="eastAsia" w:ascii="宋体" w:hAnsi="宋体" w:cs="宋体"/>
          <w:sz w:val="24"/>
          <w:szCs w:val="24"/>
        </w:rPr>
        <w:t>在评标期间，交易中心将设专门人员与投标人联系。</w:t>
      </w:r>
    </w:p>
    <w:p w14:paraId="354F32F4">
      <w:pPr>
        <w:spacing w:line="480" w:lineRule="exact"/>
        <w:ind w:firstLine="480" w:firstLineChars="200"/>
        <w:rPr>
          <w:rFonts w:hint="eastAsia" w:ascii="宋体" w:hAnsi="宋体" w:cs="宋体"/>
          <w:sz w:val="24"/>
          <w:szCs w:val="24"/>
        </w:rPr>
      </w:pPr>
      <w:r>
        <w:rPr>
          <w:rFonts w:hint="eastAsia" w:ascii="宋体" w:hAnsi="宋体" w:cs="宋体"/>
          <w:sz w:val="24"/>
          <w:szCs w:val="24"/>
        </w:rPr>
        <w:t>25.4 交易中心和评标委员会不向未中标的投标人解释未中标原因，也不公布评标过程中的相关细节。</w:t>
      </w:r>
    </w:p>
    <w:p w14:paraId="40022BD3">
      <w:pPr>
        <w:spacing w:line="480" w:lineRule="exact"/>
        <w:ind w:firstLine="480" w:firstLineChars="200"/>
        <w:rPr>
          <w:rFonts w:hint="eastAsia" w:ascii="宋体" w:hAnsi="宋体" w:cs="宋体"/>
          <w:sz w:val="24"/>
          <w:szCs w:val="24"/>
        </w:rPr>
      </w:pPr>
      <w:r>
        <w:rPr>
          <w:rFonts w:hint="eastAsia" w:ascii="宋体" w:hAnsi="宋体" w:cs="宋体"/>
          <w:sz w:val="24"/>
          <w:szCs w:val="24"/>
        </w:rPr>
        <w:t>25.5 采用综合评分法的项目，未中标的投标人如需了解自己的评标得分及排序情况，可于中标结果公告期限届满之日起7个工作日内，由其法定代表人或授权代表携带本人有效身份证件到交易中心登记查询，逾期将不予受理。</w:t>
      </w:r>
    </w:p>
    <w:p w14:paraId="214F189B">
      <w:pPr>
        <w:keepNext/>
        <w:keepLines/>
        <w:widowControl w:val="0"/>
        <w:ind w:firstLine="420" w:firstLineChars="150"/>
        <w:jc w:val="both"/>
        <w:outlineLvl w:val="3"/>
        <w:rPr>
          <w:rFonts w:hint="eastAsia" w:ascii="宋体" w:hAnsi="宋体" w:eastAsia="宋体" w:cs="宋体"/>
          <w:b w:val="0"/>
          <w:kern w:val="2"/>
          <w:sz w:val="28"/>
          <w:szCs w:val="28"/>
          <w:lang w:val="en-US" w:eastAsia="zh-CN" w:bidi="ar-SA"/>
        </w:rPr>
      </w:pPr>
      <w:bookmarkStart w:id="165" w:name="_Toc16938548"/>
      <w:bookmarkStart w:id="166" w:name="_Toc513029232"/>
      <w:bookmarkStart w:id="167" w:name="_Toc20823304"/>
      <w:r>
        <w:rPr>
          <w:rFonts w:hint="eastAsia" w:ascii="宋体" w:hAnsi="宋体" w:eastAsia="宋体" w:cs="宋体"/>
          <w:b w:val="0"/>
          <w:bCs/>
          <w:kern w:val="2"/>
          <w:sz w:val="28"/>
          <w:szCs w:val="28"/>
          <w:lang w:val="en-US" w:eastAsia="zh-CN" w:bidi="ar-SA"/>
        </w:rPr>
        <w:t>26.投标的澄清</w:t>
      </w:r>
      <w:bookmarkEnd w:id="165"/>
      <w:bookmarkEnd w:id="166"/>
      <w:bookmarkEnd w:id="167"/>
    </w:p>
    <w:p w14:paraId="017AE995">
      <w:pPr>
        <w:spacing w:line="480" w:lineRule="exact"/>
        <w:ind w:firstLine="480" w:firstLineChars="200"/>
        <w:rPr>
          <w:rFonts w:hint="eastAsia" w:ascii="宋体" w:hAnsi="宋体" w:cs="宋体"/>
          <w:sz w:val="24"/>
          <w:szCs w:val="24"/>
        </w:rPr>
      </w:pPr>
      <w:r>
        <w:rPr>
          <w:rFonts w:hint="eastAsia" w:ascii="宋体" w:hAnsi="宋体" w:cs="宋体"/>
          <w:sz w:val="24"/>
          <w:szCs w:val="24"/>
        </w:rPr>
        <w:t>26.1评标期间，为有助于对投标文件的审查、评价和比较，评委会有权以发送电子函件、召开视频会议或其它适当的方式要求投标人对其投标文件进行澄清，但并非对每个投标人都作澄清要求。</w:t>
      </w:r>
    </w:p>
    <w:p w14:paraId="05D00990">
      <w:pPr>
        <w:spacing w:line="480" w:lineRule="exact"/>
        <w:rPr>
          <w:rFonts w:hint="eastAsia" w:ascii="宋体" w:hAnsi="宋体" w:cs="宋体"/>
          <w:sz w:val="24"/>
          <w:szCs w:val="24"/>
        </w:rPr>
      </w:pPr>
      <w:r>
        <w:rPr>
          <w:rFonts w:hint="eastAsia" w:ascii="宋体" w:hAnsi="宋体" w:cs="宋体"/>
          <w:sz w:val="24"/>
          <w:szCs w:val="24"/>
        </w:rPr>
        <w:t xml:space="preserve">    26.2接到评委会澄清要求的投标人应派人按评委会通知的时间和方式做出澄清，澄清的内容须由投标人法人或授权代表签署，并作为投标文件的补充部分，但投标的价格和实质性的内容不得做任何更改。</w:t>
      </w:r>
    </w:p>
    <w:p w14:paraId="72696183">
      <w:pPr>
        <w:spacing w:line="480" w:lineRule="exact"/>
        <w:rPr>
          <w:rFonts w:hint="eastAsia" w:ascii="宋体" w:hAnsi="宋体" w:cs="宋体"/>
          <w:sz w:val="24"/>
          <w:szCs w:val="24"/>
        </w:rPr>
      </w:pPr>
      <w:r>
        <w:rPr>
          <w:rFonts w:hint="eastAsia" w:ascii="宋体" w:hAnsi="宋体" w:cs="宋体"/>
          <w:sz w:val="24"/>
          <w:szCs w:val="24"/>
        </w:rPr>
        <w:t xml:space="preserve">    26.3 接到评委会澄清要求的投标人如未按规定作出澄清，其风险由投标人自行承担。</w:t>
      </w:r>
    </w:p>
    <w:p w14:paraId="5B895B93">
      <w:pPr>
        <w:keepNext/>
        <w:keepLines/>
        <w:widowControl w:val="0"/>
        <w:ind w:firstLine="420" w:firstLineChars="150"/>
        <w:jc w:val="both"/>
        <w:outlineLvl w:val="3"/>
        <w:rPr>
          <w:rFonts w:hint="eastAsia" w:ascii="宋体" w:hAnsi="宋体" w:eastAsia="宋体" w:cs="宋体"/>
          <w:b w:val="0"/>
          <w:kern w:val="2"/>
          <w:sz w:val="28"/>
          <w:szCs w:val="28"/>
          <w:lang w:val="en-US" w:eastAsia="zh-CN" w:bidi="ar-SA"/>
        </w:rPr>
      </w:pPr>
      <w:bookmarkStart w:id="168" w:name="_Toc16938549"/>
      <w:bookmarkStart w:id="169" w:name="_Toc20823305"/>
      <w:bookmarkStart w:id="170" w:name="_Toc513029233"/>
      <w:r>
        <w:rPr>
          <w:rFonts w:hint="eastAsia" w:ascii="宋体" w:hAnsi="宋体" w:eastAsia="宋体" w:cs="宋体"/>
          <w:b w:val="0"/>
          <w:bCs/>
          <w:kern w:val="2"/>
          <w:sz w:val="28"/>
          <w:szCs w:val="28"/>
          <w:lang w:val="en-US" w:eastAsia="zh-CN" w:bidi="ar-SA"/>
        </w:rPr>
        <w:t>27.对投标文件的初审</w:t>
      </w:r>
      <w:bookmarkEnd w:id="168"/>
      <w:bookmarkEnd w:id="169"/>
      <w:bookmarkEnd w:id="170"/>
    </w:p>
    <w:p w14:paraId="588B0734">
      <w:pPr>
        <w:spacing w:line="460" w:lineRule="exact"/>
        <w:ind w:firstLine="480" w:firstLineChars="200"/>
        <w:rPr>
          <w:rFonts w:hint="eastAsia" w:ascii="宋体" w:hAnsi="宋体" w:cs="宋体"/>
          <w:bCs/>
          <w:sz w:val="24"/>
        </w:rPr>
      </w:pPr>
      <w:r>
        <w:rPr>
          <w:rFonts w:hint="eastAsia" w:ascii="宋体" w:hAnsi="宋体" w:cs="宋体"/>
          <w:sz w:val="24"/>
        </w:rPr>
        <w:t>27.1</w:t>
      </w:r>
      <w:r>
        <w:rPr>
          <w:rFonts w:hint="eastAsia" w:ascii="宋体" w:hAnsi="宋体" w:cs="宋体"/>
          <w:bCs/>
          <w:sz w:val="24"/>
        </w:rPr>
        <w:t>投标文件初审分为资格审查和符合性审查。</w:t>
      </w:r>
    </w:p>
    <w:p w14:paraId="5D64AB00">
      <w:pPr>
        <w:spacing w:line="460" w:lineRule="exact"/>
        <w:ind w:firstLine="480" w:firstLineChars="200"/>
        <w:rPr>
          <w:rFonts w:hint="eastAsia" w:ascii="宋体" w:hAnsi="宋体" w:cs="宋体"/>
          <w:bCs/>
          <w:sz w:val="24"/>
        </w:rPr>
      </w:pPr>
      <w:r>
        <w:rPr>
          <w:rFonts w:hint="eastAsia" w:ascii="宋体" w:hAnsi="宋体" w:cs="宋体"/>
          <w:bCs/>
          <w:sz w:val="24"/>
        </w:rPr>
        <w:t>27.1.1 资格审查：依据法律法规和招标文件的规定，由采购人对投标文件中的资格证明文件进行审查。资格审查的结论，采购人以书面形式向评委会进行反馈。</w:t>
      </w:r>
    </w:p>
    <w:p w14:paraId="736E19B0">
      <w:pPr>
        <w:wordWrap w:val="0"/>
        <w:spacing w:line="460" w:lineRule="exact"/>
        <w:ind w:firstLine="480" w:firstLineChars="200"/>
        <w:rPr>
          <w:rFonts w:hint="eastAsia" w:ascii="宋体" w:hAnsi="宋体" w:cs="宋体"/>
          <w:bCs/>
          <w:sz w:val="24"/>
        </w:rPr>
      </w:pPr>
      <w:r>
        <w:rPr>
          <w:rFonts w:hint="eastAsia" w:ascii="宋体" w:hAnsi="宋体" w:cs="宋体"/>
          <w:bCs/>
          <w:sz w:val="24"/>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14:paraId="09DC39DF">
      <w:pPr>
        <w:spacing w:line="460" w:lineRule="exact"/>
        <w:ind w:firstLine="480" w:firstLineChars="200"/>
        <w:rPr>
          <w:rFonts w:hint="eastAsia" w:ascii="宋体" w:hAnsi="宋体" w:cs="宋体"/>
          <w:bCs/>
          <w:sz w:val="24"/>
        </w:rPr>
      </w:pPr>
      <w:r>
        <w:rPr>
          <w:rFonts w:hint="eastAsia" w:ascii="宋体" w:hAnsi="宋体" w:cs="宋体"/>
          <w:bCs/>
          <w:sz w:val="24"/>
        </w:rPr>
        <w:t>接受联合体的项目，两个以上的自然人、法人或者其他组织组成一个联合体，以一个供应商的身份共同参加政府采购活动的，联合体成员存在不良信用记录的，视同联合体存在不良应用记录。</w:t>
      </w:r>
    </w:p>
    <w:p w14:paraId="6AA43FE7">
      <w:pPr>
        <w:spacing w:line="460" w:lineRule="exact"/>
        <w:ind w:firstLine="480" w:firstLineChars="200"/>
        <w:rPr>
          <w:rFonts w:hint="eastAsia" w:ascii="宋体" w:hAnsi="宋体" w:cs="宋体"/>
          <w:bCs/>
          <w:sz w:val="24"/>
        </w:rPr>
      </w:pPr>
      <w:r>
        <w:rPr>
          <w:rFonts w:hint="eastAsia" w:ascii="宋体" w:hAnsi="宋体" w:cs="宋体"/>
          <w:bCs/>
          <w:sz w:val="24"/>
        </w:rPr>
        <w:t>27.1.2 符合性审查：依据招标文件的规定，由评委会从投标文件的有效性、完整性和对招标文件的响应程度进行审查，以确定是否对招标文件的实质性要求作出响应。</w:t>
      </w:r>
    </w:p>
    <w:p w14:paraId="1582710E">
      <w:pPr>
        <w:spacing w:line="460" w:lineRule="exact"/>
        <w:ind w:firstLine="480" w:firstLineChars="200"/>
        <w:rPr>
          <w:rFonts w:hint="eastAsia" w:ascii="宋体" w:hAnsi="宋体" w:cs="宋体"/>
          <w:bCs/>
          <w:sz w:val="24"/>
        </w:rPr>
      </w:pPr>
      <w:r>
        <w:rPr>
          <w:rFonts w:hint="eastAsia" w:ascii="宋体" w:hAnsi="宋体" w:cs="宋体"/>
          <w:bCs/>
          <w:sz w:val="24"/>
        </w:rPr>
        <w:t>27.1.3 未通过资格审查或符合性审查的投标人，交易中心</w:t>
      </w:r>
      <w:r>
        <w:rPr>
          <w:rFonts w:hint="eastAsia" w:ascii="宋体" w:hAnsi="宋体" w:cs="宋体"/>
          <w:bCs/>
          <w:sz w:val="24"/>
          <w:lang w:eastAsia="zh-Hans"/>
        </w:rPr>
        <w:t>将</w:t>
      </w:r>
      <w:r>
        <w:rPr>
          <w:rFonts w:hint="eastAsia" w:ascii="宋体" w:hAnsi="宋体" w:cs="宋体"/>
          <w:bCs/>
          <w:sz w:val="24"/>
        </w:rPr>
        <w:t>向其授权代表告知未通过资格审查或符合性审查的原因</w:t>
      </w:r>
      <w:r>
        <w:rPr>
          <w:rFonts w:hint="eastAsia" w:ascii="宋体" w:hAnsi="宋体" w:cs="宋体"/>
          <w:bCs/>
          <w:sz w:val="24"/>
          <w:lang w:eastAsia="zh-Hans"/>
        </w:rPr>
        <w:t>，</w:t>
      </w:r>
      <w:r>
        <w:rPr>
          <w:rFonts w:hint="eastAsia" w:ascii="宋体" w:hAnsi="宋体" w:cs="宋体"/>
          <w:bCs/>
          <w:sz w:val="24"/>
        </w:rPr>
        <w:t>采用综合评分法评标的，还应当告知未中标人本人的评标得分与排序。</w:t>
      </w:r>
    </w:p>
    <w:p w14:paraId="19E59255">
      <w:pPr>
        <w:spacing w:line="480" w:lineRule="exact"/>
        <w:ind w:firstLine="480" w:firstLineChars="200"/>
        <w:rPr>
          <w:rFonts w:hint="eastAsia" w:ascii="宋体" w:hAnsi="宋体" w:cs="宋体"/>
          <w:sz w:val="24"/>
          <w:szCs w:val="24"/>
        </w:rPr>
      </w:pPr>
      <w:r>
        <w:rPr>
          <w:rFonts w:hint="eastAsia" w:ascii="宋体" w:hAnsi="宋体" w:cs="宋体"/>
          <w:sz w:val="24"/>
        </w:rPr>
        <w:t>27.2</w:t>
      </w:r>
      <w:r>
        <w:rPr>
          <w:rFonts w:hint="eastAsia" w:ascii="宋体" w:hAnsi="宋体" w:cs="宋体"/>
          <w:sz w:val="24"/>
          <w:szCs w:val="24"/>
        </w:rPr>
        <w:t>在详细评标之前，评委会将首先审查每份投标文件是否实质性响应了招标文件的要求。实质性响应的投标应该是与招标文件要求的全部条款、条件和规格相符，没有重大偏离或保留的投标。</w:t>
      </w:r>
    </w:p>
    <w:p w14:paraId="611542C7">
      <w:pPr>
        <w:spacing w:line="460" w:lineRule="exact"/>
        <w:ind w:firstLine="480" w:firstLineChars="200"/>
        <w:rPr>
          <w:rFonts w:hint="eastAsia" w:ascii="宋体" w:hAnsi="宋体" w:cs="宋体"/>
          <w:bCs/>
          <w:sz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sz w:val="24"/>
        </w:rPr>
        <w:t>评委决定投标文件的响应性只根据投标文件本身的内容，而不寻求外部的证据。</w:t>
      </w:r>
    </w:p>
    <w:p w14:paraId="3AD78AF2">
      <w:pPr>
        <w:spacing w:line="460" w:lineRule="exact"/>
        <w:ind w:firstLine="480" w:firstLineChars="200"/>
        <w:rPr>
          <w:rFonts w:hint="eastAsia" w:ascii="宋体" w:hAnsi="宋体" w:cs="宋体"/>
          <w:bCs/>
          <w:sz w:val="24"/>
        </w:rPr>
      </w:pPr>
      <w:r>
        <w:rPr>
          <w:rFonts w:hint="eastAsia" w:ascii="宋体" w:hAnsi="宋体" w:cs="宋体"/>
          <w:sz w:val="24"/>
        </w:rPr>
        <w:t>27.3</w:t>
      </w:r>
      <w:r>
        <w:rPr>
          <w:rFonts w:hint="eastAsia" w:ascii="宋体" w:hAnsi="宋体" w:cs="宋体"/>
          <w:bCs/>
          <w:sz w:val="24"/>
        </w:rPr>
        <w:t>如果投标文件实质上没有响应招标文件的要求，评委会将予以拒绝，投标人不得通过修改或撤销不合要求的偏离或保留而使其投标成为实质性响应的投标。</w:t>
      </w:r>
    </w:p>
    <w:p w14:paraId="77381659">
      <w:pPr>
        <w:spacing w:line="460" w:lineRule="exact"/>
        <w:ind w:firstLine="480" w:firstLineChars="200"/>
        <w:rPr>
          <w:rFonts w:hint="eastAsia" w:ascii="宋体" w:hAnsi="宋体" w:cs="宋体"/>
          <w:bCs/>
          <w:sz w:val="24"/>
        </w:rPr>
      </w:pPr>
      <w:r>
        <w:rPr>
          <w:rFonts w:hint="eastAsia" w:ascii="宋体" w:hAnsi="宋体" w:cs="宋体"/>
          <w:sz w:val="24"/>
        </w:rPr>
        <w:t>27.4</w:t>
      </w:r>
      <w:r>
        <w:rPr>
          <w:rFonts w:hint="eastAsia" w:ascii="宋体" w:hAnsi="宋体" w:cs="宋体"/>
          <w:bCs/>
          <w:sz w:val="24"/>
        </w:rPr>
        <w:t>评委会将对确定为实质性响应的投标进行进一步审核，投标文件报价出现前后不一致的，除招标文件另有规定外，按照下列规定修正：</w:t>
      </w:r>
    </w:p>
    <w:p w14:paraId="6FE9E107">
      <w:pPr>
        <w:spacing w:line="460" w:lineRule="exact"/>
        <w:ind w:firstLine="480" w:firstLineChars="200"/>
        <w:rPr>
          <w:rFonts w:hint="eastAsia" w:ascii="宋体" w:hAnsi="宋体" w:cs="宋体"/>
          <w:bCs/>
          <w:sz w:val="24"/>
        </w:rPr>
      </w:pPr>
      <w:r>
        <w:rPr>
          <w:rFonts w:hint="eastAsia" w:ascii="宋体" w:hAnsi="宋体" w:cs="宋体"/>
          <w:bCs/>
          <w:sz w:val="24"/>
        </w:rPr>
        <w:t>（1）投标文件中开标一览表内容与投标文件中相应内容不一致的，以开标一览表为准。</w:t>
      </w:r>
    </w:p>
    <w:p w14:paraId="47E97A7F">
      <w:pPr>
        <w:spacing w:line="460" w:lineRule="exact"/>
        <w:ind w:firstLine="480" w:firstLineChars="200"/>
        <w:rPr>
          <w:rFonts w:hint="eastAsia" w:ascii="宋体" w:hAnsi="宋体" w:cs="宋体"/>
          <w:bCs/>
          <w:sz w:val="24"/>
        </w:rPr>
      </w:pPr>
      <w:r>
        <w:rPr>
          <w:rFonts w:hint="eastAsia" w:ascii="宋体" w:hAnsi="宋体" w:cs="宋体"/>
          <w:bCs/>
          <w:sz w:val="24"/>
        </w:rPr>
        <w:t>（2）大写金额和小写金额不一致的，以大写金额为准。</w:t>
      </w:r>
    </w:p>
    <w:p w14:paraId="52C5DE1B">
      <w:pPr>
        <w:spacing w:line="460" w:lineRule="exact"/>
        <w:ind w:firstLine="480" w:firstLineChars="200"/>
        <w:rPr>
          <w:rFonts w:hint="eastAsia" w:ascii="宋体" w:hAnsi="宋体" w:cs="宋体"/>
          <w:bCs/>
          <w:sz w:val="24"/>
        </w:rPr>
      </w:pPr>
      <w:r>
        <w:rPr>
          <w:rFonts w:hint="eastAsia" w:ascii="宋体" w:hAnsi="宋体" w:cs="宋体"/>
          <w:bCs/>
          <w:sz w:val="24"/>
        </w:rPr>
        <w:t>（3）单价金额小数点或者百分比有明显错位的，以开标一览表的总价为准，并修改单价。</w:t>
      </w:r>
    </w:p>
    <w:p w14:paraId="1D53CC63">
      <w:pPr>
        <w:spacing w:line="460" w:lineRule="exact"/>
        <w:ind w:firstLine="480" w:firstLineChars="200"/>
        <w:rPr>
          <w:rFonts w:hint="eastAsia" w:ascii="宋体" w:hAnsi="宋体" w:cs="宋体"/>
          <w:bCs/>
          <w:sz w:val="24"/>
        </w:rPr>
      </w:pPr>
      <w:r>
        <w:rPr>
          <w:rFonts w:hint="eastAsia" w:ascii="宋体" w:hAnsi="宋体" w:cs="宋体"/>
          <w:bCs/>
          <w:sz w:val="24"/>
        </w:rPr>
        <w:t>（4）总价金额与按单价汇总金额不一致的，以单价金额计算结果为准。</w:t>
      </w:r>
    </w:p>
    <w:p w14:paraId="5448FA75">
      <w:pPr>
        <w:spacing w:line="460" w:lineRule="exact"/>
        <w:ind w:firstLine="480" w:firstLineChars="200"/>
        <w:rPr>
          <w:rFonts w:hint="eastAsia" w:ascii="宋体" w:hAnsi="宋体" w:cs="宋体"/>
          <w:bCs/>
          <w:sz w:val="24"/>
        </w:rPr>
      </w:pPr>
      <w:r>
        <w:rPr>
          <w:rFonts w:hint="eastAsia" w:ascii="宋体" w:hAnsi="宋体" w:cs="宋体"/>
          <w:bCs/>
          <w:sz w:val="24"/>
        </w:rPr>
        <w:t>同时出现两种以上错误的，按照前款规定的顺序修正。</w:t>
      </w:r>
    </w:p>
    <w:p w14:paraId="689826E3">
      <w:pPr>
        <w:spacing w:line="460" w:lineRule="exact"/>
        <w:ind w:firstLine="480" w:firstLineChars="200"/>
        <w:rPr>
          <w:rFonts w:hint="eastAsia" w:ascii="宋体" w:hAnsi="宋体" w:cs="宋体"/>
          <w:bCs/>
          <w:sz w:val="24"/>
        </w:rPr>
      </w:pPr>
      <w:r>
        <w:rPr>
          <w:rFonts w:hint="eastAsia" w:ascii="宋体" w:hAnsi="宋体" w:cs="宋体"/>
          <w:sz w:val="24"/>
        </w:rPr>
        <w:t>27.5</w:t>
      </w:r>
      <w:r>
        <w:rPr>
          <w:rFonts w:hint="eastAsia" w:ascii="宋体" w:hAnsi="宋体" w:cs="宋体"/>
          <w:bCs/>
          <w:sz w:val="24"/>
        </w:rPr>
        <w:t>评委会将按上述修正错误的方法调整投标文件中的投标报价，并通过书面形式</w:t>
      </w:r>
      <w:r>
        <w:rPr>
          <w:rFonts w:hint="eastAsia" w:ascii="宋体" w:hAnsi="宋体" w:cs="宋体"/>
          <w:bCs/>
          <w:sz w:val="24"/>
          <w:lang w:eastAsia="zh-Hans"/>
        </w:rPr>
        <w:t>告知投标人</w:t>
      </w:r>
      <w:r>
        <w:rPr>
          <w:rFonts w:hint="eastAsia" w:ascii="宋体" w:hAnsi="宋体" w:cs="宋体"/>
          <w:bCs/>
          <w:sz w:val="24"/>
        </w:rPr>
        <w:t>，调整后的价格应对投标人具有约束力。如果投标人不接受修正后的价格，则其投标将被拒绝，其投标保证金不予退还。</w:t>
      </w:r>
    </w:p>
    <w:p w14:paraId="225CAF48">
      <w:pPr>
        <w:spacing w:line="460" w:lineRule="exact"/>
        <w:ind w:firstLine="480" w:firstLineChars="200"/>
        <w:rPr>
          <w:rFonts w:hint="eastAsia" w:ascii="宋体" w:hAnsi="宋体" w:cs="宋体"/>
          <w:bCs/>
          <w:sz w:val="24"/>
        </w:rPr>
      </w:pPr>
      <w:r>
        <w:rPr>
          <w:rFonts w:hint="eastAsia" w:ascii="宋体" w:hAnsi="宋体" w:cs="宋体"/>
          <w:sz w:val="24"/>
        </w:rPr>
        <w:t>27.6</w:t>
      </w:r>
      <w:r>
        <w:rPr>
          <w:rFonts w:hint="eastAsia" w:ascii="宋体" w:hAnsi="宋体" w:cs="宋体"/>
          <w:bCs/>
          <w:sz w:val="24"/>
        </w:rPr>
        <w:t>评委会将允许修正投标文件中不构成重大偏离的、微小的、非正规的、不一致的或不规则的地方，但这些修改不能影响任何投标人相应的名次排列。</w:t>
      </w:r>
    </w:p>
    <w:p w14:paraId="252B77B8">
      <w:pPr>
        <w:spacing w:line="460" w:lineRule="exact"/>
        <w:ind w:firstLine="480" w:firstLineChars="200"/>
        <w:rPr>
          <w:rFonts w:hint="eastAsia" w:ascii="宋体" w:hAnsi="宋体" w:cs="宋体"/>
          <w:sz w:val="24"/>
        </w:rPr>
      </w:pPr>
      <w:bookmarkStart w:id="171" w:name="_Toc513029234"/>
      <w:bookmarkStart w:id="172" w:name="_Toc16938550"/>
      <w:bookmarkStart w:id="173" w:name="_Toc20823306"/>
      <w:r>
        <w:rPr>
          <w:rFonts w:hint="eastAsia" w:ascii="宋体" w:hAnsi="宋体" w:cs="宋体"/>
          <w:sz w:val="24"/>
        </w:rPr>
        <w:t>27.7采用最低评标价法的采购项目，提供相同品牌产品的不同投标人参加同一合同项下投标的，以其中通过资格审查、符合性审查且报价最低的参加评审；报价相同的，由评标委员会按照招标文件规定的方式（招标文件未规定的通过随机抽取的方式）确定一个参加评标的投标人，其他投标无效。</w:t>
      </w:r>
    </w:p>
    <w:p w14:paraId="1110CD95">
      <w:pPr>
        <w:spacing w:line="460" w:lineRule="exact"/>
        <w:ind w:firstLine="480" w:firstLineChars="200"/>
        <w:rPr>
          <w:rFonts w:hint="eastAsia" w:ascii="宋体" w:hAnsi="宋体" w:cs="宋体"/>
          <w:sz w:val="24"/>
        </w:rPr>
      </w:pPr>
      <w:r>
        <w:rPr>
          <w:rFonts w:hint="eastAsia" w:ascii="宋体" w:hAnsi="宋体" w:cs="宋体"/>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44F17821">
      <w:pPr>
        <w:spacing w:line="460" w:lineRule="exact"/>
        <w:ind w:firstLine="482" w:firstLineChars="200"/>
        <w:rPr>
          <w:rFonts w:hint="eastAsia" w:ascii="宋体" w:hAnsi="宋体" w:cs="宋体"/>
          <w:sz w:val="24"/>
        </w:rPr>
      </w:pPr>
      <w:r>
        <w:rPr>
          <w:rFonts w:hint="eastAsia" w:ascii="宋体" w:hAnsi="宋体" w:cs="宋体"/>
          <w:b/>
          <w:sz w:val="24"/>
        </w:rPr>
        <w:t>非单一产品采购项目</w:t>
      </w:r>
      <w:r>
        <w:rPr>
          <w:rFonts w:hint="eastAsia" w:ascii="宋体" w:hAnsi="宋体" w:cs="宋体"/>
          <w:sz w:val="24"/>
        </w:rPr>
        <w:t>，招标文件中将载明其中的</w:t>
      </w:r>
      <w:r>
        <w:rPr>
          <w:rFonts w:hint="eastAsia" w:ascii="宋体" w:hAnsi="宋体" w:cs="宋体"/>
          <w:b/>
          <w:sz w:val="24"/>
        </w:rPr>
        <w:t>核心产品</w:t>
      </w:r>
      <w:r>
        <w:rPr>
          <w:rFonts w:hint="eastAsia" w:ascii="宋体" w:hAnsi="宋体" w:cs="宋体"/>
          <w:sz w:val="24"/>
        </w:rPr>
        <w:t>。多家投标人提供的核心产品品牌相同的，按前两款规定处理。</w:t>
      </w:r>
    </w:p>
    <w:p w14:paraId="4A63984D">
      <w:pPr>
        <w:keepNext/>
        <w:keepLines/>
        <w:widowControl w:val="0"/>
        <w:ind w:firstLine="420" w:firstLineChars="150"/>
        <w:jc w:val="both"/>
        <w:outlineLvl w:val="3"/>
        <w:rPr>
          <w:rFonts w:hint="eastAsia" w:ascii="宋体" w:hAnsi="宋体" w:eastAsia="宋体" w:cs="宋体"/>
          <w:b w:val="0"/>
          <w:kern w:val="2"/>
          <w:sz w:val="28"/>
          <w:szCs w:val="28"/>
          <w:lang w:val="en-US" w:eastAsia="zh-CN" w:bidi="ar-SA"/>
        </w:rPr>
      </w:pPr>
      <w:r>
        <w:rPr>
          <w:rFonts w:hint="eastAsia" w:ascii="宋体" w:hAnsi="宋体" w:eastAsia="宋体" w:cs="宋体"/>
          <w:b w:val="0"/>
          <w:bCs/>
          <w:kern w:val="2"/>
          <w:sz w:val="28"/>
          <w:szCs w:val="28"/>
          <w:lang w:val="en-US" w:eastAsia="zh-CN" w:bidi="ar-SA"/>
        </w:rPr>
        <w:t>28.</w:t>
      </w:r>
      <w:bookmarkEnd w:id="171"/>
      <w:bookmarkEnd w:id="172"/>
      <w:bookmarkEnd w:id="173"/>
      <w:r>
        <w:rPr>
          <w:rFonts w:hint="eastAsia" w:ascii="宋体" w:hAnsi="宋体" w:eastAsia="宋体" w:cs="宋体"/>
          <w:b w:val="0"/>
          <w:bCs/>
          <w:kern w:val="2"/>
          <w:sz w:val="28"/>
          <w:szCs w:val="28"/>
          <w:lang w:val="en-US" w:eastAsia="zh-CN" w:bidi="ar-SA"/>
        </w:rPr>
        <w:t>无效投标条款和废标条款</w:t>
      </w:r>
    </w:p>
    <w:p w14:paraId="6CFC0895">
      <w:pPr>
        <w:spacing w:line="440" w:lineRule="exact"/>
        <w:ind w:left="479" w:leftChars="228"/>
        <w:rPr>
          <w:rFonts w:hint="eastAsia" w:ascii="宋体" w:hAnsi="宋体" w:cs="宋体"/>
          <w:bCs/>
          <w:sz w:val="24"/>
        </w:rPr>
      </w:pPr>
      <w:bookmarkStart w:id="174" w:name="_Toc20823307"/>
      <w:bookmarkStart w:id="175" w:name="_Toc16938551"/>
      <w:bookmarkStart w:id="176" w:name="_Toc513029235"/>
      <w:r>
        <w:rPr>
          <w:rFonts w:hint="eastAsia" w:ascii="宋体" w:hAnsi="宋体" w:cs="宋体"/>
          <w:bCs/>
          <w:sz w:val="24"/>
        </w:rPr>
        <w:t>28.1无效投标条款</w:t>
      </w:r>
    </w:p>
    <w:p w14:paraId="6AE3D9E2">
      <w:pPr>
        <w:spacing w:line="440" w:lineRule="exact"/>
        <w:ind w:firstLine="480" w:firstLineChars="200"/>
        <w:rPr>
          <w:rFonts w:hint="eastAsia" w:ascii="宋体" w:hAnsi="宋体" w:cs="宋体"/>
          <w:bCs/>
          <w:sz w:val="24"/>
        </w:rPr>
      </w:pPr>
      <w:r>
        <w:rPr>
          <w:rFonts w:hint="eastAsia" w:ascii="宋体" w:hAnsi="宋体" w:cs="宋体"/>
          <w:bCs/>
          <w:sz w:val="24"/>
        </w:rPr>
        <w:t>28.1.1未按要求交纳投标保证金的。</w:t>
      </w:r>
    </w:p>
    <w:p w14:paraId="361A530F">
      <w:pPr>
        <w:spacing w:line="440" w:lineRule="exact"/>
        <w:ind w:firstLine="360" w:firstLineChars="150"/>
        <w:rPr>
          <w:rFonts w:hint="eastAsia" w:ascii="宋体" w:hAnsi="宋体" w:cs="宋体"/>
          <w:bCs/>
          <w:sz w:val="24"/>
        </w:rPr>
      </w:pPr>
      <w:r>
        <w:rPr>
          <w:rFonts w:hint="eastAsia" w:ascii="宋体" w:hAnsi="宋体" w:cs="宋体"/>
          <w:bCs/>
          <w:sz w:val="24"/>
        </w:rPr>
        <w:t xml:space="preserve"> 28.1.2投标人未成功解密电子投标文件的。</w:t>
      </w:r>
    </w:p>
    <w:p w14:paraId="4D1F16D5">
      <w:pPr>
        <w:spacing w:line="440" w:lineRule="exact"/>
        <w:ind w:left="479" w:leftChars="228"/>
        <w:rPr>
          <w:rFonts w:hint="eastAsia" w:ascii="宋体" w:hAnsi="宋体" w:cs="宋体"/>
          <w:bCs/>
          <w:sz w:val="24"/>
        </w:rPr>
      </w:pPr>
      <w:r>
        <w:rPr>
          <w:rFonts w:hint="eastAsia" w:ascii="宋体" w:hAnsi="宋体" w:cs="宋体"/>
          <w:bCs/>
          <w:sz w:val="24"/>
        </w:rPr>
        <w:t>28.1.3投标人未按照招标文件要求上传电子投标文件的。</w:t>
      </w:r>
    </w:p>
    <w:p w14:paraId="77E0D4EC">
      <w:pPr>
        <w:spacing w:line="440" w:lineRule="exact"/>
        <w:ind w:left="479" w:leftChars="228"/>
        <w:rPr>
          <w:rFonts w:hint="eastAsia" w:ascii="宋体" w:hAnsi="宋体" w:cs="宋体"/>
          <w:bCs/>
          <w:sz w:val="24"/>
        </w:rPr>
      </w:pPr>
      <w:r>
        <w:rPr>
          <w:rFonts w:hint="eastAsia" w:ascii="宋体" w:hAnsi="宋体" w:cs="宋体"/>
          <w:bCs/>
          <w:sz w:val="24"/>
        </w:rPr>
        <w:t>28.1.4投标人在报价时采用选择性报价的。</w:t>
      </w:r>
    </w:p>
    <w:p w14:paraId="2BA16B84">
      <w:pPr>
        <w:spacing w:line="440" w:lineRule="exact"/>
        <w:ind w:firstLine="480" w:firstLineChars="200"/>
        <w:rPr>
          <w:rFonts w:hint="eastAsia" w:ascii="宋体" w:hAnsi="宋体" w:cs="宋体"/>
          <w:bCs/>
          <w:sz w:val="24"/>
        </w:rPr>
      </w:pPr>
      <w:r>
        <w:rPr>
          <w:rFonts w:hint="eastAsia" w:ascii="宋体" w:hAnsi="宋体" w:cs="宋体"/>
          <w:bCs/>
          <w:sz w:val="24"/>
        </w:rPr>
        <w:t>28.1.5投标人不具备招标文件中规定资格要求的。</w:t>
      </w:r>
    </w:p>
    <w:p w14:paraId="6ACE1F2F">
      <w:pPr>
        <w:spacing w:line="440" w:lineRule="exact"/>
        <w:ind w:firstLine="480" w:firstLineChars="200"/>
        <w:rPr>
          <w:rFonts w:hint="eastAsia" w:ascii="宋体" w:hAnsi="宋体" w:cs="宋体"/>
          <w:bCs/>
          <w:i/>
          <w:sz w:val="24"/>
          <w:u w:val="single"/>
        </w:rPr>
      </w:pPr>
      <w:r>
        <w:rPr>
          <w:rFonts w:hint="eastAsia" w:ascii="宋体" w:hAnsi="宋体" w:cs="宋体"/>
          <w:bCs/>
          <w:sz w:val="24"/>
        </w:rPr>
        <w:t>28.1.6投标人的报价超过了采购预算或最高限价的。</w:t>
      </w:r>
    </w:p>
    <w:p w14:paraId="1DBADD3A">
      <w:pPr>
        <w:spacing w:line="440" w:lineRule="exact"/>
        <w:ind w:firstLine="360" w:firstLineChars="150"/>
        <w:rPr>
          <w:rFonts w:hint="eastAsia" w:ascii="宋体" w:hAnsi="宋体" w:cs="宋体"/>
          <w:bCs/>
          <w:i/>
          <w:sz w:val="24"/>
          <w:u w:val="single"/>
        </w:rPr>
      </w:pPr>
      <w:r>
        <w:rPr>
          <w:rFonts w:hint="eastAsia" w:ascii="宋体" w:hAnsi="宋体" w:cs="宋体"/>
          <w:bCs/>
          <w:sz w:val="24"/>
        </w:rPr>
        <w:t xml:space="preserve"> 28.1.7未通过符合性检查的。</w:t>
      </w:r>
    </w:p>
    <w:p w14:paraId="68CC793D">
      <w:pPr>
        <w:spacing w:line="440" w:lineRule="exact"/>
        <w:ind w:firstLine="480" w:firstLineChars="200"/>
        <w:rPr>
          <w:rFonts w:hint="eastAsia" w:ascii="宋体" w:hAnsi="宋体" w:cs="宋体"/>
          <w:bCs/>
          <w:i/>
          <w:sz w:val="24"/>
          <w:u w:val="single"/>
        </w:rPr>
      </w:pPr>
      <w:r>
        <w:rPr>
          <w:rFonts w:hint="eastAsia" w:ascii="宋体" w:hAnsi="宋体" w:cs="宋体"/>
          <w:bCs/>
          <w:sz w:val="24"/>
        </w:rPr>
        <w:t>28.1.8不符合招标文件中规定的其他实质性要求和条件的（</w:t>
      </w:r>
      <w:r>
        <w:rPr>
          <w:rFonts w:hint="eastAsia" w:ascii="宋体" w:hAnsi="宋体" w:cs="宋体"/>
          <w:bCs/>
          <w:i/>
          <w:sz w:val="24"/>
          <w:u w:val="single"/>
        </w:rPr>
        <w:t>本招标文件中斜体且有下划线部分为实质性要求和条件）。</w:t>
      </w:r>
    </w:p>
    <w:p w14:paraId="5AA29ABD">
      <w:pPr>
        <w:spacing w:line="440" w:lineRule="exact"/>
        <w:ind w:firstLine="480" w:firstLineChars="200"/>
        <w:rPr>
          <w:rFonts w:hint="eastAsia" w:ascii="宋体" w:hAnsi="宋体" w:cs="宋体"/>
          <w:bCs/>
          <w:sz w:val="24"/>
        </w:rPr>
      </w:pPr>
      <w:r>
        <w:rPr>
          <w:rFonts w:hint="eastAsia" w:ascii="宋体" w:hAnsi="宋体" w:cs="宋体"/>
          <w:bCs/>
          <w:sz w:val="24"/>
        </w:rPr>
        <w:t>28.1.9投标人被 “信用中国”网站（www.creditchina.gov.cn）、“中国政府采购网”（www.ccgp.gov.cn）列入失信被执行人或重大税收违法案件当事人名单或政府采购严重失信行为记录名单。</w:t>
      </w:r>
    </w:p>
    <w:p w14:paraId="3F49BD64">
      <w:pPr>
        <w:spacing w:line="440" w:lineRule="exact"/>
        <w:ind w:firstLine="480" w:firstLineChars="200"/>
        <w:rPr>
          <w:rFonts w:hint="eastAsia" w:ascii="宋体" w:hAnsi="宋体" w:cs="宋体"/>
          <w:bCs/>
          <w:sz w:val="24"/>
        </w:rPr>
      </w:pPr>
      <w:r>
        <w:rPr>
          <w:rFonts w:hint="eastAsia" w:ascii="宋体" w:hAnsi="宋体" w:cs="宋体"/>
          <w:bCs/>
          <w:sz w:val="24"/>
        </w:rPr>
        <w:t>28.1.10  投标文件含有采购人不能接受的附加条件的。</w:t>
      </w:r>
    </w:p>
    <w:p w14:paraId="379ABC26">
      <w:pPr>
        <w:spacing w:line="440" w:lineRule="exact"/>
        <w:ind w:firstLine="480" w:firstLineChars="200"/>
        <w:rPr>
          <w:rFonts w:ascii="宋体" w:hAnsi="宋体" w:cs="宋体"/>
          <w:bCs/>
          <w:sz w:val="24"/>
        </w:rPr>
      </w:pPr>
      <w:r>
        <w:rPr>
          <w:rFonts w:hint="eastAsia" w:ascii="宋体" w:hAnsi="宋体" w:cs="宋体"/>
          <w:bCs/>
          <w:sz w:val="24"/>
        </w:rPr>
        <w:t>28.1.11 政府采购评审中出现下列情形之一的，评审委员会应当启动异常低价投标（响应）审查程序：</w:t>
      </w:r>
    </w:p>
    <w:p w14:paraId="48DA8E9B">
      <w:pPr>
        <w:spacing w:line="440" w:lineRule="exact"/>
        <w:ind w:firstLine="480" w:firstLineChars="200"/>
        <w:rPr>
          <w:rFonts w:ascii="宋体" w:hAnsi="宋体" w:cs="宋体"/>
          <w:bCs/>
          <w:sz w:val="24"/>
        </w:rPr>
      </w:pPr>
      <w:r>
        <w:rPr>
          <w:rFonts w:hint="eastAsia" w:ascii="宋体" w:hAnsi="宋体" w:cs="宋体"/>
          <w:bCs/>
          <w:sz w:val="24"/>
        </w:rPr>
        <w:t>（1）投标（响应）报价低于全部通过符合性审查供应商投标（响应）报价平均值50%的，即投标（响应）报价&lt;全部通过符合性审查供应商投标（响应）报价平均值×50%；</w:t>
      </w:r>
    </w:p>
    <w:p w14:paraId="63E6139D">
      <w:pPr>
        <w:spacing w:line="440" w:lineRule="exact"/>
        <w:ind w:firstLine="480" w:firstLineChars="200"/>
        <w:rPr>
          <w:rFonts w:ascii="宋体" w:hAnsi="宋体" w:cs="宋体"/>
          <w:bCs/>
          <w:sz w:val="24"/>
        </w:rPr>
      </w:pPr>
      <w:r>
        <w:rPr>
          <w:rFonts w:hint="eastAsia" w:ascii="宋体" w:hAnsi="宋体" w:cs="宋体"/>
          <w:bCs/>
          <w:sz w:val="24"/>
        </w:rPr>
        <w:t>（2）投标（响应）报价低于通过符合性审查的次低报价供应商投标（响应）报价50%的，即投标（响应）报价&lt;通过符合性审查的次低报价供应商投标（响应）报价×50%；</w:t>
      </w:r>
    </w:p>
    <w:p w14:paraId="6984CB7E">
      <w:pPr>
        <w:spacing w:line="440" w:lineRule="exact"/>
        <w:ind w:firstLine="480" w:firstLineChars="200"/>
        <w:rPr>
          <w:rFonts w:ascii="宋体" w:hAnsi="宋体" w:cs="宋体"/>
          <w:bCs/>
          <w:sz w:val="24"/>
        </w:rPr>
      </w:pPr>
      <w:r>
        <w:rPr>
          <w:rFonts w:hint="eastAsia" w:ascii="宋体" w:hAnsi="宋体" w:cs="宋体"/>
          <w:bCs/>
          <w:sz w:val="24"/>
        </w:rPr>
        <w:t>（3）投标（响应）报价低于采购项目最高限价45%的，即投标（响应）报价&lt;采购项目最高限价×45%；</w:t>
      </w:r>
    </w:p>
    <w:p w14:paraId="2C153849">
      <w:pPr>
        <w:spacing w:line="440" w:lineRule="exact"/>
        <w:ind w:firstLine="480" w:firstLineChars="200"/>
        <w:rPr>
          <w:rFonts w:ascii="宋体" w:hAnsi="宋体" w:cs="宋体"/>
          <w:bCs/>
          <w:sz w:val="24"/>
        </w:rPr>
      </w:pPr>
      <w:r>
        <w:rPr>
          <w:rFonts w:hint="eastAsia" w:ascii="宋体" w:hAnsi="宋体" w:cs="宋体"/>
          <w:bCs/>
          <w:sz w:val="24"/>
        </w:rPr>
        <w:t>（4）评审委员会基于专业判断，认为供应商报价过低，有可能影响产品质量或者不能诚信履约的其他情形。</w:t>
      </w:r>
    </w:p>
    <w:p w14:paraId="6E1EBC53">
      <w:pPr>
        <w:spacing w:line="440" w:lineRule="exact"/>
        <w:ind w:firstLine="480" w:firstLineChars="200"/>
        <w:rPr>
          <w:rFonts w:ascii="宋体" w:hAnsi="宋体" w:cs="宋体"/>
          <w:bCs/>
          <w:sz w:val="24"/>
        </w:rPr>
      </w:pPr>
      <w:r>
        <w:rPr>
          <w:rFonts w:hint="eastAsia" w:ascii="宋体" w:hAnsi="宋体" w:cs="宋体"/>
          <w:bCs/>
          <w:sz w:val="24"/>
        </w:rPr>
        <w:t>采购人可以结合具体项目实际情况，提高上述第（1）项至第（3）项中启动异常低价投标（响应）审查的数值标准，但最高不得超过65%。</w:t>
      </w:r>
    </w:p>
    <w:p w14:paraId="775FD2BD">
      <w:pPr>
        <w:spacing w:line="440" w:lineRule="exact"/>
        <w:ind w:firstLine="480" w:firstLineChars="200"/>
        <w:rPr>
          <w:rFonts w:ascii="宋体" w:hAnsi="宋体" w:cs="宋体"/>
          <w:bCs/>
          <w:sz w:val="24"/>
        </w:rPr>
      </w:pPr>
      <w:r>
        <w:rPr>
          <w:rFonts w:hint="eastAsia" w:ascii="宋体" w:hAnsi="宋体" w:cs="宋体"/>
          <w:bCs/>
          <w:sz w:val="24"/>
        </w:rPr>
        <w:t>相关法律法规对供应商报价有规定的，从其规定。</w:t>
      </w:r>
    </w:p>
    <w:p w14:paraId="2B9012A9">
      <w:pPr>
        <w:spacing w:line="440" w:lineRule="exact"/>
        <w:ind w:firstLine="480" w:firstLineChars="200"/>
        <w:rPr>
          <w:rFonts w:ascii="宋体" w:hAnsi="宋体" w:cs="宋体"/>
          <w:bCs/>
          <w:sz w:val="24"/>
        </w:rPr>
      </w:pPr>
      <w:r>
        <w:rPr>
          <w:rFonts w:hint="eastAsia" w:ascii="宋体" w:hAnsi="宋体" w:cs="宋体"/>
          <w:bCs/>
          <w:sz w:val="24"/>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79EA41E">
      <w:pPr>
        <w:spacing w:line="440" w:lineRule="exact"/>
        <w:ind w:firstLine="480" w:firstLineChars="200"/>
        <w:rPr>
          <w:rFonts w:hint="eastAsia" w:ascii="宋体" w:hAnsi="宋体" w:cs="宋体"/>
          <w:bCs/>
          <w:sz w:val="24"/>
        </w:rPr>
      </w:pPr>
      <w:r>
        <w:rPr>
          <w:rFonts w:hint="eastAsia" w:ascii="宋体" w:hAnsi="宋体" w:cs="宋体"/>
          <w:bCs/>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FDD87A0">
      <w:pPr>
        <w:spacing w:line="440" w:lineRule="exact"/>
        <w:ind w:firstLine="480" w:firstLineChars="200"/>
        <w:rPr>
          <w:rFonts w:hint="eastAsia" w:ascii="宋体" w:hAnsi="宋体" w:cs="宋体"/>
          <w:bCs/>
          <w:sz w:val="24"/>
        </w:rPr>
      </w:pPr>
      <w:r>
        <w:rPr>
          <w:rFonts w:hint="eastAsia" w:ascii="宋体" w:hAnsi="宋体" w:cs="宋体"/>
          <w:bCs/>
          <w:sz w:val="24"/>
        </w:rPr>
        <w:t>28.1.12 本项目采购产品被财政部、国家发改委、生态环境部等列入“节能产品品目清单”“环境标志产品品目清单”强制采购范围，而投标人所投标产品不在强制采购范围内的。</w:t>
      </w:r>
    </w:p>
    <w:p w14:paraId="76A3D7FD">
      <w:pPr>
        <w:spacing w:line="440" w:lineRule="exact"/>
        <w:ind w:firstLine="480" w:firstLineChars="200"/>
        <w:rPr>
          <w:rFonts w:hint="eastAsia" w:ascii="宋体" w:hAnsi="宋体" w:cs="宋体"/>
          <w:bCs/>
          <w:sz w:val="24"/>
        </w:rPr>
      </w:pPr>
      <w:r>
        <w:rPr>
          <w:rFonts w:hint="eastAsia" w:ascii="宋体" w:hAnsi="宋体" w:cs="宋体"/>
          <w:bCs/>
          <w:sz w:val="24"/>
        </w:rPr>
        <w:t>28.1.13 投标文件未按照招标文件要求加盖电子签章。</w:t>
      </w:r>
    </w:p>
    <w:p w14:paraId="724F627C">
      <w:pPr>
        <w:spacing w:line="440" w:lineRule="exact"/>
        <w:ind w:firstLine="480" w:firstLineChars="200"/>
        <w:rPr>
          <w:rFonts w:hint="eastAsia" w:ascii="宋体" w:hAnsi="宋体" w:cs="宋体"/>
          <w:bCs/>
          <w:sz w:val="24"/>
        </w:rPr>
      </w:pPr>
      <w:r>
        <w:rPr>
          <w:rFonts w:hint="eastAsia" w:ascii="宋体" w:hAnsi="宋体" w:cs="宋体"/>
          <w:bCs/>
          <w:sz w:val="24"/>
        </w:rPr>
        <w:t>28.1.14其他法律法规及本招标文件规定的属于无效投标的情形。</w:t>
      </w:r>
    </w:p>
    <w:p w14:paraId="79BDA72A">
      <w:pPr>
        <w:spacing w:line="440" w:lineRule="exact"/>
        <w:ind w:firstLine="480" w:firstLineChars="200"/>
        <w:rPr>
          <w:rFonts w:hint="eastAsia" w:ascii="宋体" w:hAnsi="宋体" w:cs="宋体"/>
          <w:bCs/>
          <w:sz w:val="24"/>
        </w:rPr>
      </w:pPr>
    </w:p>
    <w:p w14:paraId="43F10AC7">
      <w:pPr>
        <w:spacing w:line="440" w:lineRule="exact"/>
        <w:ind w:left="479" w:leftChars="228"/>
        <w:rPr>
          <w:rFonts w:hint="eastAsia" w:ascii="宋体" w:hAnsi="宋体" w:cs="宋体"/>
          <w:bCs/>
          <w:sz w:val="24"/>
        </w:rPr>
      </w:pPr>
      <w:r>
        <w:rPr>
          <w:rFonts w:hint="eastAsia" w:ascii="宋体" w:hAnsi="宋体" w:cs="宋体"/>
          <w:bCs/>
          <w:sz w:val="24"/>
        </w:rPr>
        <w:t>28.2废标条款：</w:t>
      </w:r>
    </w:p>
    <w:p w14:paraId="395E950C">
      <w:pPr>
        <w:spacing w:line="440" w:lineRule="exact"/>
        <w:ind w:left="479" w:leftChars="228"/>
        <w:rPr>
          <w:rFonts w:hint="eastAsia" w:ascii="宋体" w:hAnsi="宋体" w:cs="宋体"/>
          <w:bCs/>
          <w:sz w:val="24"/>
        </w:rPr>
      </w:pPr>
      <w:r>
        <w:rPr>
          <w:rFonts w:hint="eastAsia" w:ascii="宋体" w:hAnsi="宋体" w:cs="宋体"/>
          <w:bCs/>
          <w:sz w:val="24"/>
        </w:rPr>
        <w:t>28.2.1符合专业条件的供应商或者对招标文件作实质响应的供应商不足三家的。28.2.2出现影响采购公正的违法、违规行为的。</w:t>
      </w:r>
    </w:p>
    <w:p w14:paraId="4F3A907B">
      <w:pPr>
        <w:spacing w:line="440" w:lineRule="exact"/>
        <w:ind w:left="479" w:leftChars="228"/>
        <w:rPr>
          <w:rFonts w:hint="eastAsia" w:ascii="宋体" w:hAnsi="宋体" w:cs="宋体"/>
          <w:bCs/>
          <w:sz w:val="24"/>
        </w:rPr>
      </w:pPr>
      <w:r>
        <w:rPr>
          <w:rFonts w:hint="eastAsia" w:ascii="宋体" w:hAnsi="宋体" w:cs="宋体"/>
          <w:bCs/>
          <w:sz w:val="24"/>
        </w:rPr>
        <w:t>28.2.3因重大变故，采购任务取消的。</w:t>
      </w:r>
    </w:p>
    <w:p w14:paraId="4FB843B6">
      <w:pPr>
        <w:spacing w:line="440" w:lineRule="exact"/>
        <w:ind w:left="479" w:leftChars="228"/>
        <w:rPr>
          <w:rFonts w:hint="eastAsia" w:ascii="宋体" w:hAnsi="宋体" w:cs="宋体"/>
          <w:bCs/>
          <w:sz w:val="24"/>
        </w:rPr>
      </w:pPr>
      <w:r>
        <w:rPr>
          <w:rFonts w:hint="eastAsia" w:ascii="宋体" w:hAnsi="宋体" w:cs="宋体"/>
          <w:bCs/>
          <w:sz w:val="24"/>
        </w:rPr>
        <w:t>28.2.4评标委员会认定招标文件存在歧义、重大缺陷导致评审工作无法进行。</w:t>
      </w:r>
    </w:p>
    <w:p w14:paraId="0721DB2E">
      <w:pPr>
        <w:spacing w:line="440" w:lineRule="exact"/>
        <w:ind w:left="479" w:leftChars="228"/>
        <w:rPr>
          <w:rFonts w:hint="eastAsia" w:ascii="宋体" w:hAnsi="宋体" w:cs="宋体"/>
          <w:bCs/>
          <w:sz w:val="24"/>
        </w:rPr>
      </w:pPr>
      <w:r>
        <w:rPr>
          <w:rFonts w:hint="eastAsia" w:ascii="宋体" w:hAnsi="宋体" w:cs="宋体"/>
          <w:bCs/>
          <w:sz w:val="24"/>
        </w:rPr>
        <w:t>28.2.5 因</w:t>
      </w:r>
      <w:r>
        <w:rPr>
          <w:rFonts w:hint="eastAsia" w:ascii="宋体" w:hAnsi="宋体" w:cs="宋体"/>
          <w:sz w:val="24"/>
          <w:szCs w:val="24"/>
        </w:rPr>
        <w:t>“新疆公共资源交易平台不见面开标大厅”系统</w:t>
      </w:r>
      <w:r>
        <w:rPr>
          <w:rFonts w:hint="eastAsia" w:ascii="宋体" w:hAnsi="宋体" w:cs="宋体"/>
          <w:bCs/>
          <w:sz w:val="24"/>
        </w:rPr>
        <w:t>故障原因造成开标不成功的。</w:t>
      </w:r>
    </w:p>
    <w:p w14:paraId="785B466B">
      <w:pPr>
        <w:spacing w:line="440" w:lineRule="exact"/>
        <w:ind w:left="479" w:leftChars="228"/>
        <w:rPr>
          <w:rFonts w:hint="eastAsia" w:ascii="宋体" w:hAnsi="宋体" w:cs="宋体"/>
          <w:bCs/>
          <w:sz w:val="24"/>
        </w:rPr>
      </w:pPr>
      <w:r>
        <w:rPr>
          <w:rFonts w:hint="eastAsia" w:ascii="宋体" w:hAnsi="宋体" w:cs="宋体"/>
          <w:bCs/>
          <w:sz w:val="24"/>
        </w:rPr>
        <w:t>28.3 投标截止时间后参加投标的供应商不足三家的处理：</w:t>
      </w:r>
    </w:p>
    <w:p w14:paraId="1768E94D">
      <w:pPr>
        <w:spacing w:line="440" w:lineRule="exact"/>
        <w:ind w:firstLine="480" w:firstLineChars="200"/>
        <w:rPr>
          <w:rFonts w:hint="eastAsia" w:ascii="宋体" w:hAnsi="宋体" w:cs="宋体"/>
          <w:bCs/>
          <w:sz w:val="24"/>
        </w:rPr>
      </w:pPr>
      <w:r>
        <w:rPr>
          <w:rFonts w:hint="eastAsia" w:ascii="宋体" w:hAnsi="宋体" w:cs="宋体"/>
          <w:bCs/>
          <w:sz w:val="24"/>
        </w:rPr>
        <w:t>28.3.1如出现投标截止时间结束后参加投标的供应商或者在评标期间对招标文件做出实质响应的供应商不足三家情况，按政府采购相关规定执行。</w:t>
      </w:r>
    </w:p>
    <w:p w14:paraId="32FF8663">
      <w:pPr>
        <w:keepNext/>
        <w:keepLines/>
        <w:widowControl w:val="0"/>
        <w:spacing w:before="145" w:beforeLines="50" w:after="145" w:afterLines="50" w:line="360" w:lineRule="auto"/>
        <w:ind w:firstLine="482" w:firstLineChars="150"/>
        <w:jc w:val="both"/>
        <w:outlineLvl w:val="2"/>
        <w:rPr>
          <w:rFonts w:hint="eastAsia" w:ascii="宋体" w:hAnsi="宋体" w:eastAsia="宋体" w:cs="宋体"/>
          <w:b/>
          <w:bCs/>
          <w:kern w:val="2"/>
          <w:sz w:val="32"/>
          <w:szCs w:val="32"/>
          <w:lang w:val="en-US" w:eastAsia="zh-CN" w:bidi="ar-SA"/>
        </w:rPr>
      </w:pPr>
      <w:bookmarkStart w:id="177" w:name="_Toc914"/>
      <w:bookmarkStart w:id="178" w:name="_Toc534816632"/>
      <w:bookmarkStart w:id="179" w:name="_Toc120614219"/>
      <w:bookmarkStart w:id="180" w:name="_Toc534725603"/>
      <w:r>
        <w:rPr>
          <w:rFonts w:hint="eastAsia" w:ascii="宋体" w:hAnsi="宋体" w:eastAsia="宋体" w:cs="宋体"/>
          <w:b/>
          <w:bCs/>
          <w:kern w:val="2"/>
          <w:sz w:val="32"/>
          <w:szCs w:val="32"/>
          <w:lang w:val="en-US" w:eastAsia="zh-CN" w:bidi="ar-SA"/>
        </w:rPr>
        <w:t>六、</w:t>
      </w:r>
      <w:bookmarkEnd w:id="174"/>
      <w:bookmarkEnd w:id="175"/>
      <w:bookmarkEnd w:id="176"/>
      <w:r>
        <w:rPr>
          <w:rFonts w:hint="eastAsia" w:ascii="宋体" w:hAnsi="宋体" w:eastAsia="宋体" w:cs="宋体"/>
          <w:b/>
          <w:bCs/>
          <w:kern w:val="2"/>
          <w:sz w:val="32"/>
          <w:szCs w:val="32"/>
          <w:lang w:val="en-US" w:eastAsia="zh-CN" w:bidi="ar-SA"/>
        </w:rPr>
        <w:t>定标</w:t>
      </w:r>
      <w:bookmarkEnd w:id="177"/>
      <w:bookmarkEnd w:id="178"/>
      <w:bookmarkEnd w:id="179"/>
      <w:bookmarkEnd w:id="180"/>
    </w:p>
    <w:p w14:paraId="7461826C">
      <w:pPr>
        <w:keepNext/>
        <w:keepLines/>
        <w:widowControl w:val="0"/>
        <w:ind w:firstLine="416" w:firstLineChars="139"/>
        <w:jc w:val="both"/>
        <w:outlineLvl w:val="3"/>
        <w:rPr>
          <w:rFonts w:hint="eastAsia" w:ascii="宋体" w:hAnsi="宋体" w:eastAsia="宋体" w:cs="宋体"/>
          <w:b w:val="0"/>
          <w:kern w:val="2"/>
          <w:sz w:val="30"/>
          <w:szCs w:val="30"/>
          <w:lang w:val="en-US" w:eastAsia="zh-CN" w:bidi="ar-SA"/>
        </w:rPr>
      </w:pPr>
      <w:bookmarkStart w:id="181" w:name="_Toc513029238"/>
      <w:bookmarkStart w:id="182" w:name="_Toc16938554"/>
      <w:bookmarkStart w:id="183" w:name="_Toc20823310"/>
      <w:r>
        <w:rPr>
          <w:rFonts w:hint="eastAsia" w:ascii="宋体" w:hAnsi="宋体" w:eastAsia="宋体" w:cs="宋体"/>
          <w:b w:val="0"/>
          <w:kern w:val="2"/>
          <w:sz w:val="30"/>
          <w:szCs w:val="30"/>
          <w:lang w:val="en-US" w:eastAsia="zh-CN" w:bidi="ar-SA"/>
        </w:rPr>
        <w:t>29.</w:t>
      </w:r>
      <w:bookmarkEnd w:id="181"/>
      <w:r>
        <w:rPr>
          <w:rFonts w:hint="eastAsia" w:ascii="宋体" w:hAnsi="宋体" w:eastAsia="宋体" w:cs="宋体"/>
          <w:b w:val="0"/>
          <w:kern w:val="2"/>
          <w:sz w:val="30"/>
          <w:szCs w:val="30"/>
          <w:lang w:val="en-US" w:eastAsia="zh-CN" w:bidi="ar-SA"/>
        </w:rPr>
        <w:t>确定</w:t>
      </w:r>
      <w:bookmarkEnd w:id="182"/>
      <w:bookmarkEnd w:id="183"/>
      <w:r>
        <w:rPr>
          <w:rFonts w:hint="eastAsia" w:ascii="宋体" w:hAnsi="宋体" w:eastAsia="宋体" w:cs="宋体"/>
          <w:b w:val="0"/>
          <w:kern w:val="2"/>
          <w:sz w:val="30"/>
          <w:szCs w:val="30"/>
          <w:lang w:val="en-US" w:eastAsia="zh-CN" w:bidi="ar-SA"/>
        </w:rPr>
        <w:t>中标单位</w:t>
      </w:r>
    </w:p>
    <w:p w14:paraId="2E9EC0D6">
      <w:pPr>
        <w:spacing w:line="440" w:lineRule="exact"/>
        <w:ind w:firstLine="480" w:firstLineChars="200"/>
        <w:rPr>
          <w:rFonts w:hint="eastAsia" w:ascii="宋体" w:hAnsi="宋体" w:cs="宋体"/>
          <w:bCs/>
          <w:sz w:val="24"/>
        </w:rPr>
      </w:pPr>
      <w:r>
        <w:rPr>
          <w:rFonts w:hint="eastAsia" w:ascii="宋体" w:hAnsi="宋体" w:cs="宋体"/>
          <w:bCs/>
          <w:sz w:val="24"/>
        </w:rPr>
        <w:t>29.1中标候选人的选取原则和数量见招标文件第五章规定。</w:t>
      </w:r>
    </w:p>
    <w:p w14:paraId="4ED9079B">
      <w:pPr>
        <w:spacing w:line="480" w:lineRule="exact"/>
        <w:ind w:firstLine="480" w:firstLineChars="200"/>
        <w:rPr>
          <w:rFonts w:hint="eastAsia" w:ascii="宋体" w:hAnsi="宋体" w:cs="宋体"/>
          <w:bCs/>
          <w:sz w:val="24"/>
        </w:rPr>
      </w:pPr>
      <w:r>
        <w:rPr>
          <w:rFonts w:hint="eastAsia" w:ascii="宋体" w:hAnsi="宋体" w:cs="宋体"/>
          <w:bCs/>
          <w:sz w:val="24"/>
        </w:rPr>
        <w:t>29.2 采购人应根据评委会推荐的中标候选人确定中标人。</w:t>
      </w:r>
    </w:p>
    <w:p w14:paraId="78857646">
      <w:pPr>
        <w:spacing w:line="480" w:lineRule="exact"/>
        <w:ind w:firstLine="480" w:firstLineChars="200"/>
        <w:rPr>
          <w:rFonts w:hint="eastAsia" w:ascii="宋体" w:hAnsi="宋体" w:cs="宋体"/>
          <w:sz w:val="24"/>
          <w:szCs w:val="24"/>
        </w:rPr>
      </w:pPr>
      <w:r>
        <w:rPr>
          <w:rFonts w:hint="eastAsia" w:ascii="宋体" w:hAnsi="宋体" w:cs="宋体"/>
          <w:bCs/>
          <w:sz w:val="24"/>
          <w:szCs w:val="24"/>
        </w:rPr>
        <w:t xml:space="preserve">29.3 </w:t>
      </w:r>
      <w:r>
        <w:rPr>
          <w:rFonts w:hint="eastAsia" w:ascii="宋体" w:hAnsi="宋体" w:cs="宋体"/>
          <w:sz w:val="24"/>
          <w:szCs w:val="24"/>
        </w:rPr>
        <w:t>交易中心将在“新疆公共资源交易网”和“新疆政府采购网”发布中标公告，公告期限为1个工作日。</w:t>
      </w:r>
    </w:p>
    <w:p w14:paraId="6694B4CB">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29.4  若有充分证据证明，中标人出现下列情况之一的，一经查实，将被取消中标资格：</w:t>
      </w:r>
    </w:p>
    <w:p w14:paraId="273EC873">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29.4.1提供虚假材料谋取中标的。</w:t>
      </w:r>
    </w:p>
    <w:p w14:paraId="47AF43D5">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29.4.2向采购人、交易中心行贿或者提供其他不正当利益的。</w:t>
      </w:r>
    </w:p>
    <w:p w14:paraId="10848D21">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29.4.3恶意竞争，投标总报价明显低于其自身合理成本且又无法提供证明的。</w:t>
      </w:r>
    </w:p>
    <w:p w14:paraId="24160FD7">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29.4.4属于本文件规定的无效条件，但在评标过程中又未被评委会发现的。</w:t>
      </w:r>
    </w:p>
    <w:p w14:paraId="4C26DDEA">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29.4.5与采购人或者其他供应商恶意串通的。</w:t>
      </w:r>
    </w:p>
    <w:p w14:paraId="33024B37">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29.4.6采取不正当手段诋毁、排挤其他供应商的。</w:t>
      </w:r>
    </w:p>
    <w:p w14:paraId="1FEA770A">
      <w:pPr>
        <w:snapToGrid w:val="0"/>
        <w:spacing w:line="480" w:lineRule="exact"/>
        <w:ind w:firstLine="480" w:firstLineChars="200"/>
        <w:rPr>
          <w:rFonts w:hint="eastAsia" w:ascii="宋体" w:hAnsi="宋体" w:cs="宋体"/>
          <w:sz w:val="24"/>
          <w:szCs w:val="24"/>
        </w:rPr>
      </w:pPr>
      <w:bookmarkStart w:id="184" w:name="_Toc200451960"/>
      <w:r>
        <w:rPr>
          <w:rFonts w:hint="eastAsia" w:ascii="宋体" w:hAnsi="宋体" w:cs="宋体"/>
          <w:sz w:val="24"/>
          <w:szCs w:val="24"/>
        </w:rPr>
        <w:t>29.5</w:t>
      </w:r>
      <w:r>
        <w:rPr>
          <w:rFonts w:hint="eastAsia" w:ascii="宋体" w:hAnsi="宋体" w:cs="宋体"/>
        </w:rPr>
        <w:t xml:space="preserve"> </w:t>
      </w:r>
      <w:r>
        <w:rPr>
          <w:rFonts w:hint="eastAsia" w:ascii="宋体" w:hAnsi="宋体" w:cs="宋体"/>
          <w:kern w:val="0"/>
          <w:sz w:val="24"/>
          <w:szCs w:val="24"/>
        </w:rPr>
        <w:t>有下列情形之一的，视为投标人串通投标，投标无效：</w:t>
      </w:r>
    </w:p>
    <w:p w14:paraId="1AA0AAE6">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29.5.1不同投标人的投标文件由同一单位或者个人编制；</w:t>
      </w:r>
    </w:p>
    <w:p w14:paraId="3B322139">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29.5.2不同投标人委托同一单位或者个人办理投标事宜；</w:t>
      </w:r>
    </w:p>
    <w:p w14:paraId="5C95EFB7">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29.5.3 不同投标人的投标文件载明的项目管理成员或者联系人员为同一人；</w:t>
      </w:r>
    </w:p>
    <w:p w14:paraId="5B65E045">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29.5.4不同投标人的投标文件异常一致或者投标报价呈规律性差异；</w:t>
      </w:r>
    </w:p>
    <w:p w14:paraId="650F6332">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29.5.5不同投标人的投标文件相互混装；</w:t>
      </w:r>
    </w:p>
    <w:p w14:paraId="14A8E76E">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29.5.6不同投标人的投标保证金从同一单位或者个人的账户转出。</w:t>
      </w:r>
    </w:p>
    <w:bookmarkEnd w:id="184"/>
    <w:p w14:paraId="6CFED24B">
      <w:pPr>
        <w:keepNext/>
        <w:keepLines/>
        <w:widowControl w:val="0"/>
        <w:ind w:firstLine="416" w:firstLineChars="139"/>
        <w:jc w:val="both"/>
        <w:outlineLvl w:val="3"/>
        <w:rPr>
          <w:rFonts w:hint="eastAsia" w:ascii="宋体" w:hAnsi="宋体" w:eastAsia="宋体" w:cs="宋体"/>
          <w:b w:val="0"/>
          <w:kern w:val="2"/>
          <w:sz w:val="30"/>
          <w:szCs w:val="30"/>
          <w:lang w:val="en-US" w:eastAsia="zh-CN" w:bidi="ar-SA"/>
        </w:rPr>
      </w:pPr>
      <w:bookmarkStart w:id="185" w:name="_Toc534725604"/>
      <w:bookmarkStart w:id="186" w:name="_Toc120614220"/>
      <w:bookmarkStart w:id="187" w:name="_Toc534816633"/>
      <w:bookmarkStart w:id="188" w:name="_Toc20823308"/>
      <w:bookmarkStart w:id="189" w:name="_Toc513029236"/>
      <w:bookmarkStart w:id="190" w:name="_Toc16938552"/>
      <w:r>
        <w:rPr>
          <w:rFonts w:hint="eastAsia" w:ascii="宋体" w:hAnsi="宋体" w:eastAsia="宋体" w:cs="宋体"/>
          <w:b w:val="0"/>
          <w:kern w:val="2"/>
          <w:sz w:val="30"/>
          <w:szCs w:val="30"/>
          <w:lang w:val="en-US" w:eastAsia="zh-CN" w:bidi="ar-SA"/>
        </w:rPr>
        <w:t xml:space="preserve">30.询问、质疑、投诉 </w:t>
      </w:r>
    </w:p>
    <w:p w14:paraId="7C24F1DD">
      <w:pPr>
        <w:spacing w:line="440" w:lineRule="exact"/>
        <w:ind w:firstLine="480" w:firstLineChars="200"/>
        <w:rPr>
          <w:rFonts w:hint="eastAsia"/>
          <w:sz w:val="24"/>
          <w:szCs w:val="24"/>
        </w:rPr>
      </w:pPr>
      <w:r>
        <w:rPr>
          <w:rFonts w:hint="eastAsia"/>
          <w:sz w:val="24"/>
          <w:szCs w:val="24"/>
        </w:rPr>
        <w:t xml:space="preserve">30.1 询问 </w:t>
      </w:r>
    </w:p>
    <w:p w14:paraId="0BCB8E38">
      <w:pPr>
        <w:spacing w:line="440" w:lineRule="exact"/>
        <w:ind w:firstLine="480" w:firstLineChars="200"/>
        <w:rPr>
          <w:rFonts w:hint="eastAsia"/>
          <w:sz w:val="24"/>
          <w:szCs w:val="24"/>
        </w:rPr>
      </w:pPr>
      <w:r>
        <w:rPr>
          <w:rFonts w:hint="eastAsia"/>
          <w:sz w:val="24"/>
          <w:szCs w:val="24"/>
        </w:rPr>
        <w:t>30.1.1 供应商对政府采购活动事项（招标文件、采购过程、成交或者成交结果）有疑问的，可以向采购人或者新疆维吾尔</w:t>
      </w:r>
      <w:r>
        <w:rPr>
          <w:sz w:val="24"/>
          <w:szCs w:val="24"/>
        </w:rPr>
        <w:t>自治区公共资源交易中心</w:t>
      </w:r>
      <w:r>
        <w:rPr>
          <w:rFonts w:hint="eastAsia"/>
          <w:sz w:val="24"/>
          <w:szCs w:val="24"/>
        </w:rPr>
        <w:t xml:space="preserve">提出询问，询问可以口头方式提出，也可以书面方式提出。 </w:t>
      </w:r>
    </w:p>
    <w:p w14:paraId="5C14F4EB">
      <w:pPr>
        <w:spacing w:line="440" w:lineRule="exact"/>
        <w:ind w:firstLine="480" w:firstLineChars="200"/>
        <w:rPr>
          <w:rFonts w:hint="eastAsia"/>
          <w:sz w:val="24"/>
          <w:szCs w:val="24"/>
        </w:rPr>
      </w:pPr>
      <w:r>
        <w:rPr>
          <w:rFonts w:hint="eastAsia"/>
          <w:sz w:val="24"/>
          <w:szCs w:val="24"/>
        </w:rPr>
        <w:t>30.1.2 采购人或者新疆维吾尔</w:t>
      </w:r>
      <w:r>
        <w:rPr>
          <w:sz w:val="24"/>
          <w:szCs w:val="24"/>
        </w:rPr>
        <w:t>自治区公共资源交易中心</w:t>
      </w:r>
      <w:r>
        <w:rPr>
          <w:rFonts w:hint="eastAsia"/>
          <w:sz w:val="24"/>
          <w:szCs w:val="24"/>
        </w:rPr>
        <w:t xml:space="preserve">在三个工作日内对供应商依法提出的询问作出答复。 </w:t>
      </w:r>
    </w:p>
    <w:p w14:paraId="29FD7843">
      <w:pPr>
        <w:keepNext/>
        <w:keepLines/>
        <w:widowControl w:val="0"/>
        <w:ind w:firstLine="480" w:firstLineChars="200"/>
        <w:jc w:val="left"/>
        <w:outlineLvl w:val="3"/>
        <w:rPr>
          <w:rFonts w:hint="eastAsia" w:ascii="宋体" w:hAnsi="宋体" w:eastAsia="宋体" w:cs="宋体"/>
          <w:b w:val="0"/>
          <w:kern w:val="2"/>
          <w:sz w:val="24"/>
          <w:szCs w:val="24"/>
          <w:lang w:val="en-US" w:eastAsia="zh-CN" w:bidi="zh-CN"/>
        </w:rPr>
      </w:pPr>
      <w:r>
        <w:rPr>
          <w:rFonts w:hint="eastAsia" w:ascii="宋体" w:hAnsi="宋体" w:eastAsia="宋体" w:cs="宋体"/>
          <w:b w:val="0"/>
          <w:kern w:val="2"/>
          <w:sz w:val="24"/>
          <w:szCs w:val="24"/>
          <w:lang w:val="en-US" w:eastAsia="zh-CN" w:bidi="zh-CN"/>
        </w:rPr>
        <w:t>30.2 质疑处理</w:t>
      </w:r>
    </w:p>
    <w:p w14:paraId="77A144ED">
      <w:pPr>
        <w:snapToGrid w:val="0"/>
        <w:spacing w:line="480" w:lineRule="exact"/>
        <w:ind w:firstLine="480" w:firstLineChars="200"/>
        <w:rPr>
          <w:rFonts w:hint="eastAsia" w:ascii="宋体" w:hAnsi="宋体"/>
          <w:sz w:val="24"/>
          <w:szCs w:val="24"/>
        </w:rPr>
      </w:pPr>
      <w:r>
        <w:rPr>
          <w:rFonts w:hint="eastAsia" w:ascii="宋体" w:hAnsi="宋体"/>
          <w:sz w:val="24"/>
          <w:szCs w:val="24"/>
        </w:rPr>
        <w:t>30.2.1 提出质疑的供应商应当是参与所质疑项目采购活动的供应商。潜在供应商依法获取其可质疑的采购文件的，可以对采购文件提出质疑。</w:t>
      </w:r>
    </w:p>
    <w:p w14:paraId="31F57DD7">
      <w:pPr>
        <w:snapToGrid w:val="0"/>
        <w:spacing w:line="480" w:lineRule="exact"/>
        <w:ind w:firstLine="480" w:firstLineChars="200"/>
        <w:rPr>
          <w:rFonts w:hint="eastAsia" w:ascii="宋体" w:hAnsi="宋体"/>
          <w:sz w:val="24"/>
          <w:szCs w:val="24"/>
        </w:rPr>
      </w:pPr>
      <w:r>
        <w:rPr>
          <w:rFonts w:hint="eastAsia" w:ascii="宋体" w:hAnsi="宋体"/>
          <w:sz w:val="24"/>
          <w:szCs w:val="24"/>
        </w:rPr>
        <w:t>30.2.2供应商认为采购文件、采购过程和采购结果使自己的权益受到损害的，可以在知道或应知其权益受到损害之日起七个工作日内，以书面形式向交易中心及采购人提出质疑。上述应知其权益受到损害之日，是指：</w:t>
      </w:r>
    </w:p>
    <w:p w14:paraId="371ABA3C">
      <w:pPr>
        <w:snapToGrid w:val="0"/>
        <w:spacing w:line="480" w:lineRule="exact"/>
        <w:ind w:firstLine="480" w:firstLineChars="200"/>
        <w:rPr>
          <w:rFonts w:hint="eastAsia" w:hAnsi="宋体" w:cs="宋体"/>
          <w:kern w:val="0"/>
          <w:sz w:val="24"/>
          <w:szCs w:val="24"/>
        </w:rPr>
      </w:pPr>
      <w:r>
        <w:rPr>
          <w:rFonts w:hint="eastAsia" w:ascii="宋体" w:hAnsi="宋体"/>
          <w:sz w:val="24"/>
          <w:szCs w:val="24"/>
        </w:rPr>
        <w:t>30.2.2.1</w:t>
      </w:r>
      <w:r>
        <w:rPr>
          <w:rFonts w:hint="eastAsia" w:hAnsi="宋体" w:cs="宋体"/>
          <w:kern w:val="0"/>
          <w:sz w:val="24"/>
          <w:szCs w:val="24"/>
        </w:rPr>
        <w:t>对采购文件提出质疑的，为收到采购文件之日或者采购文件公告期限届满之日；</w:t>
      </w:r>
    </w:p>
    <w:p w14:paraId="7F86FA96">
      <w:pPr>
        <w:snapToGrid w:val="0"/>
        <w:spacing w:line="480" w:lineRule="exact"/>
        <w:ind w:firstLine="480" w:firstLineChars="200"/>
        <w:rPr>
          <w:rFonts w:hint="eastAsia" w:hAnsi="宋体" w:cs="宋体"/>
          <w:kern w:val="0"/>
          <w:sz w:val="24"/>
          <w:szCs w:val="24"/>
        </w:rPr>
      </w:pPr>
      <w:r>
        <w:rPr>
          <w:rFonts w:hint="eastAsia" w:ascii="宋体" w:hAnsi="宋体"/>
          <w:sz w:val="24"/>
          <w:szCs w:val="24"/>
        </w:rPr>
        <w:t>30.2.2.2</w:t>
      </w:r>
      <w:r>
        <w:rPr>
          <w:rFonts w:hint="eastAsia" w:hAnsi="宋体" w:cs="宋体"/>
          <w:kern w:val="0"/>
          <w:sz w:val="24"/>
          <w:szCs w:val="24"/>
        </w:rPr>
        <w:t>对采购过程提出质疑的，为各采购程序环节结束之日；</w:t>
      </w:r>
    </w:p>
    <w:p w14:paraId="4C99161A">
      <w:pPr>
        <w:snapToGrid w:val="0"/>
        <w:spacing w:line="480" w:lineRule="exact"/>
        <w:ind w:firstLine="480" w:firstLineChars="200"/>
        <w:rPr>
          <w:rFonts w:hint="eastAsia" w:hAnsi="宋体" w:cs="宋体"/>
          <w:kern w:val="0"/>
          <w:sz w:val="24"/>
          <w:szCs w:val="24"/>
        </w:rPr>
      </w:pPr>
      <w:r>
        <w:rPr>
          <w:rFonts w:hint="eastAsia" w:ascii="宋体" w:hAnsi="宋体"/>
          <w:sz w:val="24"/>
          <w:szCs w:val="24"/>
        </w:rPr>
        <w:t>30.2.2.3</w:t>
      </w:r>
      <w:r>
        <w:rPr>
          <w:rFonts w:hint="eastAsia" w:hAnsi="宋体" w:cs="宋体"/>
          <w:kern w:val="0"/>
          <w:sz w:val="24"/>
          <w:szCs w:val="24"/>
        </w:rPr>
        <w:t>对中标或者成交结果提出质疑的，为中标或者成交结果公告期限届满之日。</w:t>
      </w:r>
    </w:p>
    <w:p w14:paraId="0ABFB9A7">
      <w:pPr>
        <w:snapToGrid w:val="0"/>
        <w:spacing w:line="480" w:lineRule="exact"/>
        <w:ind w:firstLine="480" w:firstLineChars="200"/>
        <w:rPr>
          <w:rFonts w:hAnsi="宋体" w:cs="宋体"/>
          <w:kern w:val="0"/>
          <w:sz w:val="24"/>
          <w:szCs w:val="24"/>
        </w:rPr>
      </w:pPr>
      <w:r>
        <w:rPr>
          <w:rFonts w:hint="eastAsia" w:hAnsi="宋体" w:cs="宋体"/>
          <w:kern w:val="0"/>
          <w:sz w:val="24"/>
          <w:szCs w:val="24"/>
        </w:rPr>
        <w:t>供应商应当在法定质疑期内一次性提出针对同一采购程序环节的质疑。供应商如在法定期限内对同一采购程序环节提出多次质疑的，</w:t>
      </w:r>
      <w:r>
        <w:rPr>
          <w:rFonts w:hint="eastAsia" w:hAnsi="宋体" w:cs="宋体"/>
          <w:b/>
          <w:kern w:val="0"/>
          <w:sz w:val="24"/>
          <w:szCs w:val="24"/>
        </w:rPr>
        <w:t>交易中心、采购人将只对供应商第一次质疑作出答复。</w:t>
      </w:r>
    </w:p>
    <w:p w14:paraId="783C2196">
      <w:pPr>
        <w:snapToGrid w:val="0"/>
        <w:spacing w:line="480" w:lineRule="exact"/>
        <w:ind w:firstLine="480" w:firstLineChars="200"/>
        <w:rPr>
          <w:rFonts w:ascii="宋体" w:hAnsi="宋体"/>
          <w:sz w:val="24"/>
          <w:szCs w:val="24"/>
        </w:rPr>
      </w:pPr>
      <w:r>
        <w:rPr>
          <w:rFonts w:hint="eastAsia" w:ascii="宋体" w:hAnsi="宋体"/>
          <w:sz w:val="24"/>
          <w:szCs w:val="24"/>
        </w:rPr>
        <w:t>30.2.3质疑函必须按照本招标文件中《质疑函范本》要求的格式、内容和要求进行填写。供应商如组成联合体参加投标，则《质疑函范本》中要求签字、盖章、加盖公章之处，联合体各方均须按要求签字、盖章、加盖公章。</w:t>
      </w:r>
    </w:p>
    <w:p w14:paraId="3AC04B7F">
      <w:pPr>
        <w:snapToGrid w:val="0"/>
        <w:spacing w:line="480" w:lineRule="exact"/>
        <w:ind w:firstLine="480" w:firstLineChars="200"/>
        <w:rPr>
          <w:rFonts w:hint="eastAsia" w:ascii="宋体" w:hAnsi="宋体"/>
          <w:sz w:val="24"/>
          <w:szCs w:val="24"/>
        </w:rPr>
      </w:pPr>
      <w:r>
        <w:rPr>
          <w:rFonts w:hint="eastAsia" w:ascii="宋体" w:hAnsi="宋体"/>
          <w:sz w:val="24"/>
          <w:szCs w:val="24"/>
        </w:rPr>
        <w:t>30.2.4 交易中心及采购人只接收以纸质原件形式送达的质疑。</w:t>
      </w:r>
    </w:p>
    <w:p w14:paraId="6D098C94">
      <w:pPr>
        <w:snapToGrid w:val="0"/>
        <w:spacing w:line="480" w:lineRule="exact"/>
        <w:ind w:firstLine="480" w:firstLineChars="200"/>
        <w:rPr>
          <w:rFonts w:hint="eastAsia" w:ascii="宋体" w:hAnsi="宋体"/>
          <w:sz w:val="24"/>
          <w:szCs w:val="24"/>
        </w:rPr>
      </w:pPr>
      <w:r>
        <w:rPr>
          <w:rFonts w:hint="eastAsia" w:ascii="宋体" w:hAnsi="宋体"/>
          <w:sz w:val="24"/>
          <w:szCs w:val="24"/>
        </w:rPr>
        <w:t>质疑接收人：</w:t>
      </w:r>
      <w:r>
        <w:rPr>
          <w:rFonts w:ascii="宋体" w:hAnsi="宋体"/>
          <w:sz w:val="24"/>
          <w:szCs w:val="24"/>
        </w:rPr>
        <w:t>自治区公共资源交易中心</w:t>
      </w:r>
      <w:r>
        <w:rPr>
          <w:rFonts w:hint="eastAsia" w:ascii="宋体" w:hAnsi="宋体"/>
          <w:sz w:val="24"/>
          <w:szCs w:val="24"/>
        </w:rPr>
        <w:t xml:space="preserve"> 内控监督部</w:t>
      </w:r>
    </w:p>
    <w:p w14:paraId="2E28CF18">
      <w:pPr>
        <w:snapToGrid w:val="0"/>
        <w:spacing w:line="480" w:lineRule="exact"/>
        <w:ind w:firstLine="480" w:firstLineChars="200"/>
        <w:rPr>
          <w:rFonts w:hint="eastAsia" w:ascii="宋体" w:hAnsi="宋体"/>
          <w:sz w:val="24"/>
          <w:szCs w:val="24"/>
        </w:rPr>
      </w:pPr>
      <w:r>
        <w:rPr>
          <w:rFonts w:hint="eastAsia" w:ascii="宋体" w:hAnsi="宋体"/>
          <w:sz w:val="24"/>
          <w:szCs w:val="24"/>
        </w:rPr>
        <w:t>联系地址：乌鲁木齐市水磨沟区准格尔街299号益民大厦A417</w:t>
      </w:r>
    </w:p>
    <w:p w14:paraId="0D411F88">
      <w:pPr>
        <w:snapToGrid w:val="0"/>
        <w:spacing w:line="480" w:lineRule="exact"/>
        <w:ind w:firstLine="480" w:firstLineChars="200"/>
        <w:rPr>
          <w:rFonts w:hint="eastAsia" w:ascii="宋体" w:hAnsi="宋体"/>
          <w:sz w:val="24"/>
          <w:szCs w:val="24"/>
        </w:rPr>
      </w:pPr>
      <w:r>
        <w:rPr>
          <w:rFonts w:hint="eastAsia" w:ascii="宋体" w:hAnsi="宋体"/>
          <w:sz w:val="24"/>
          <w:szCs w:val="24"/>
        </w:rPr>
        <w:t xml:space="preserve">联系电话：0991-3551778。 </w:t>
      </w:r>
    </w:p>
    <w:p w14:paraId="2A56D39E">
      <w:pPr>
        <w:snapToGrid w:val="0"/>
        <w:spacing w:line="480" w:lineRule="exact"/>
        <w:ind w:firstLine="480" w:firstLineChars="200"/>
        <w:rPr>
          <w:rFonts w:hint="eastAsia" w:ascii="宋体" w:hAnsi="宋体"/>
          <w:sz w:val="24"/>
          <w:szCs w:val="24"/>
        </w:rPr>
      </w:pPr>
      <w:r>
        <w:rPr>
          <w:rFonts w:hint="eastAsia" w:ascii="宋体" w:hAnsi="宋体"/>
          <w:sz w:val="24"/>
          <w:szCs w:val="24"/>
        </w:rPr>
        <w:t>30.2.5 以下情形的质疑不予受理</w:t>
      </w:r>
    </w:p>
    <w:p w14:paraId="3B290A56">
      <w:pPr>
        <w:snapToGrid w:val="0"/>
        <w:spacing w:line="480" w:lineRule="exact"/>
        <w:ind w:firstLine="480" w:firstLineChars="200"/>
        <w:rPr>
          <w:rFonts w:hint="eastAsia" w:ascii="宋体" w:hAnsi="宋体"/>
          <w:sz w:val="24"/>
          <w:szCs w:val="24"/>
        </w:rPr>
      </w:pPr>
      <w:r>
        <w:rPr>
          <w:rFonts w:hint="eastAsia" w:ascii="宋体" w:hAnsi="宋体"/>
          <w:sz w:val="24"/>
          <w:szCs w:val="24"/>
        </w:rPr>
        <w:t>30.2.5.1 内容不符合《政府采购质疑和投诉办法》第十二条规定的质疑。</w:t>
      </w:r>
    </w:p>
    <w:p w14:paraId="3DD7C561">
      <w:pPr>
        <w:snapToGrid w:val="0"/>
        <w:spacing w:line="480" w:lineRule="exact"/>
        <w:ind w:firstLine="480" w:firstLineChars="200"/>
        <w:rPr>
          <w:rFonts w:hint="eastAsia" w:ascii="宋体" w:hAnsi="宋体"/>
          <w:sz w:val="24"/>
          <w:szCs w:val="24"/>
        </w:rPr>
      </w:pPr>
      <w:r>
        <w:rPr>
          <w:rFonts w:hint="eastAsia" w:ascii="宋体" w:hAnsi="宋体"/>
          <w:sz w:val="24"/>
          <w:szCs w:val="24"/>
        </w:rPr>
        <w:t>30.2.5.2 超出政府采购法定期限的质疑。</w:t>
      </w:r>
    </w:p>
    <w:p w14:paraId="6A124358">
      <w:pPr>
        <w:snapToGrid w:val="0"/>
        <w:spacing w:line="480" w:lineRule="exact"/>
        <w:ind w:firstLine="480" w:firstLineChars="200"/>
        <w:rPr>
          <w:rFonts w:hint="eastAsia" w:ascii="宋体" w:hAnsi="宋体"/>
          <w:sz w:val="24"/>
          <w:szCs w:val="24"/>
        </w:rPr>
      </w:pPr>
      <w:r>
        <w:rPr>
          <w:rFonts w:hint="eastAsia" w:ascii="宋体" w:hAnsi="宋体"/>
          <w:sz w:val="24"/>
          <w:szCs w:val="24"/>
        </w:rPr>
        <w:t>30.2.5.3 以传真、电子邮件等方式递交的非原件形式的质疑。</w:t>
      </w:r>
    </w:p>
    <w:p w14:paraId="0601ABC7">
      <w:pPr>
        <w:snapToGrid w:val="0"/>
        <w:spacing w:line="480" w:lineRule="exact"/>
        <w:ind w:firstLine="480" w:firstLineChars="200"/>
        <w:rPr>
          <w:rFonts w:hint="eastAsia" w:ascii="宋体" w:hAnsi="宋体"/>
          <w:sz w:val="24"/>
          <w:szCs w:val="24"/>
        </w:rPr>
      </w:pPr>
      <w:r>
        <w:rPr>
          <w:rFonts w:hint="eastAsia" w:ascii="宋体" w:hAnsi="宋体"/>
          <w:sz w:val="24"/>
          <w:szCs w:val="24"/>
        </w:rPr>
        <w:t>30.2.5.4 未参加投标活动的供应商或在投标活动中自身权益未受到损害的供应商所提出的质疑。</w:t>
      </w:r>
    </w:p>
    <w:p w14:paraId="51CEE414">
      <w:pPr>
        <w:snapToGrid w:val="0"/>
        <w:spacing w:line="480" w:lineRule="exact"/>
        <w:ind w:firstLine="480" w:firstLineChars="200"/>
        <w:rPr>
          <w:rFonts w:hint="eastAsia" w:ascii="宋体" w:hAnsi="宋体"/>
          <w:sz w:val="24"/>
          <w:szCs w:val="24"/>
        </w:rPr>
      </w:pPr>
      <w:r>
        <w:rPr>
          <w:rFonts w:hint="eastAsia" w:ascii="宋体" w:hAnsi="宋体"/>
          <w:sz w:val="24"/>
          <w:szCs w:val="24"/>
        </w:rPr>
        <w:t>30.2.5.5供应商组成联合体参加投标，联合体中任何一方或多方未按要求签字、盖章、加盖公章的质疑。</w:t>
      </w:r>
    </w:p>
    <w:p w14:paraId="0E290921">
      <w:pPr>
        <w:snapToGrid w:val="0"/>
        <w:spacing w:line="480" w:lineRule="exact"/>
        <w:ind w:firstLine="480" w:firstLineChars="200"/>
        <w:rPr>
          <w:rFonts w:hint="eastAsia" w:ascii="宋体" w:hAnsi="宋体"/>
          <w:sz w:val="24"/>
          <w:szCs w:val="24"/>
        </w:rPr>
      </w:pPr>
      <w:r>
        <w:rPr>
          <w:rFonts w:hint="eastAsia" w:ascii="宋体" w:hAnsi="宋体"/>
          <w:sz w:val="24"/>
          <w:szCs w:val="24"/>
        </w:rPr>
        <w:t>30.2.5.6所质疑事项已进行处理，或正在行政复议、仲裁、诉讼、投诉等其他程序的。</w:t>
      </w:r>
    </w:p>
    <w:p w14:paraId="0254C25B">
      <w:pPr>
        <w:snapToGrid w:val="0"/>
        <w:spacing w:line="480" w:lineRule="exact"/>
        <w:ind w:firstLine="480" w:firstLineChars="200"/>
        <w:rPr>
          <w:rFonts w:ascii="宋体" w:hAnsi="宋体"/>
          <w:sz w:val="24"/>
          <w:szCs w:val="24"/>
        </w:rPr>
      </w:pPr>
      <w:r>
        <w:rPr>
          <w:rFonts w:hint="eastAsia" w:ascii="宋体" w:hAnsi="宋体"/>
          <w:sz w:val="24"/>
          <w:szCs w:val="24"/>
        </w:rPr>
        <w:t>30.2.5.7不属于本中心管辖范围的质疑。</w:t>
      </w:r>
    </w:p>
    <w:p w14:paraId="37AA7ED3">
      <w:pPr>
        <w:snapToGrid w:val="0"/>
        <w:spacing w:line="480" w:lineRule="exact"/>
        <w:ind w:firstLine="468" w:firstLineChars="195"/>
      </w:pPr>
      <w:r>
        <w:rPr>
          <w:rFonts w:hint="eastAsia" w:ascii="宋体" w:hAnsi="宋体"/>
          <w:sz w:val="24"/>
          <w:szCs w:val="24"/>
        </w:rPr>
        <w:t xml:space="preserve">30.2.6  </w:t>
      </w:r>
      <w:r>
        <w:rPr>
          <w:rFonts w:hint="eastAsia" w:ascii="宋体" w:hAnsi="宋体"/>
          <w:b/>
          <w:sz w:val="24"/>
          <w:szCs w:val="24"/>
        </w:rPr>
        <w:t>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p>
    <w:p w14:paraId="4CB8D50E">
      <w:pPr>
        <w:spacing w:line="440" w:lineRule="exact"/>
        <w:ind w:firstLine="480" w:firstLineChars="200"/>
        <w:rPr>
          <w:rFonts w:hint="eastAsia"/>
          <w:sz w:val="24"/>
          <w:szCs w:val="24"/>
        </w:rPr>
      </w:pPr>
      <w:r>
        <w:rPr>
          <w:rFonts w:hint="eastAsia"/>
          <w:sz w:val="24"/>
          <w:szCs w:val="24"/>
        </w:rPr>
        <w:t xml:space="preserve">30.3 投诉 </w:t>
      </w:r>
    </w:p>
    <w:p w14:paraId="073D70FC">
      <w:pPr>
        <w:spacing w:line="440" w:lineRule="exact"/>
        <w:ind w:firstLine="480" w:firstLineChars="200"/>
        <w:rPr>
          <w:rFonts w:hint="eastAsia"/>
          <w:sz w:val="24"/>
          <w:szCs w:val="24"/>
        </w:rPr>
      </w:pPr>
      <w:r>
        <w:rPr>
          <w:rFonts w:hint="eastAsia"/>
          <w:sz w:val="24"/>
          <w:szCs w:val="24"/>
        </w:rPr>
        <w:t>30.3.1 质疑供应商对新疆维吾尔</w:t>
      </w:r>
      <w:r>
        <w:rPr>
          <w:sz w:val="24"/>
          <w:szCs w:val="24"/>
        </w:rPr>
        <w:t>自治区公共资源交易中心</w:t>
      </w:r>
      <w:r>
        <w:rPr>
          <w:rFonts w:hint="eastAsia"/>
          <w:sz w:val="24"/>
          <w:szCs w:val="24"/>
        </w:rPr>
        <w:t>的答复不满意，或者新疆维吾尔</w:t>
      </w:r>
      <w:r>
        <w:rPr>
          <w:sz w:val="24"/>
          <w:szCs w:val="24"/>
        </w:rPr>
        <w:t>自治区公共资源交易中心</w:t>
      </w:r>
      <w:r>
        <w:rPr>
          <w:rFonts w:hint="eastAsia"/>
          <w:sz w:val="24"/>
          <w:szCs w:val="24"/>
        </w:rPr>
        <w:t xml:space="preserve">未在规定时间内作出答复的，可以在答复期满后十五个工作日内向同级财政部门提起投诉。 </w:t>
      </w:r>
    </w:p>
    <w:p w14:paraId="349A51F9">
      <w:pPr>
        <w:spacing w:line="440" w:lineRule="exact"/>
        <w:ind w:firstLine="480" w:firstLineChars="200"/>
        <w:rPr>
          <w:rFonts w:hint="eastAsia"/>
          <w:sz w:val="24"/>
          <w:szCs w:val="24"/>
        </w:rPr>
      </w:pPr>
      <w:r>
        <w:rPr>
          <w:rFonts w:hint="eastAsia"/>
          <w:sz w:val="24"/>
          <w:szCs w:val="24"/>
        </w:rPr>
        <w:t xml:space="preserve">30.3.2 投诉人在全国范围12个月内三次以上投诉查无实据的，由财政部门列入不良行为记录名单。 </w:t>
      </w:r>
    </w:p>
    <w:p w14:paraId="0EA7993F">
      <w:pPr>
        <w:spacing w:line="440" w:lineRule="exact"/>
        <w:ind w:firstLine="480" w:firstLineChars="200"/>
        <w:rPr>
          <w:rFonts w:hint="eastAsia"/>
          <w:sz w:val="24"/>
          <w:szCs w:val="24"/>
        </w:rPr>
      </w:pPr>
      <w:r>
        <w:rPr>
          <w:rFonts w:hint="eastAsia"/>
          <w:sz w:val="24"/>
          <w:szCs w:val="24"/>
        </w:rPr>
        <w:t xml:space="preserve">30.3.3 投诉人有下列行为之一的，属于虚假、恶意投诉，由财政部门列入不良行为记录名单，禁止其1至3年内参加政府采购活动： </w:t>
      </w:r>
    </w:p>
    <w:p w14:paraId="42813E7A">
      <w:pPr>
        <w:spacing w:line="440" w:lineRule="exact"/>
        <w:ind w:firstLine="480" w:firstLineChars="200"/>
        <w:rPr>
          <w:rFonts w:hint="eastAsia"/>
          <w:sz w:val="24"/>
          <w:szCs w:val="24"/>
        </w:rPr>
      </w:pPr>
      <w:r>
        <w:rPr>
          <w:rFonts w:hint="eastAsia"/>
          <w:sz w:val="24"/>
          <w:szCs w:val="24"/>
        </w:rPr>
        <w:t xml:space="preserve">30.3.3.1 捏造事实； </w:t>
      </w:r>
    </w:p>
    <w:p w14:paraId="2F5A50DD">
      <w:pPr>
        <w:spacing w:line="440" w:lineRule="exact"/>
        <w:ind w:firstLine="480" w:firstLineChars="200"/>
        <w:rPr>
          <w:rFonts w:hint="eastAsia"/>
          <w:sz w:val="24"/>
          <w:szCs w:val="24"/>
        </w:rPr>
      </w:pPr>
      <w:r>
        <w:rPr>
          <w:rFonts w:hint="eastAsia"/>
          <w:sz w:val="24"/>
          <w:szCs w:val="24"/>
        </w:rPr>
        <w:t xml:space="preserve">30.3.3.2 提供虚假材料； </w:t>
      </w:r>
    </w:p>
    <w:p w14:paraId="5E9DB764">
      <w:pPr>
        <w:keepNext/>
        <w:keepLines/>
        <w:widowControl w:val="0"/>
        <w:ind w:firstLine="335" w:firstLineChars="139"/>
        <w:jc w:val="both"/>
        <w:outlineLvl w:val="3"/>
        <w:rPr>
          <w:rFonts w:hint="eastAsia" w:ascii="宋体" w:hAnsi="宋体" w:eastAsia="宋体" w:cs="宋体"/>
          <w:b w:val="0"/>
          <w:kern w:val="2"/>
          <w:sz w:val="30"/>
          <w:szCs w:val="30"/>
          <w:lang w:val="en-US" w:eastAsia="zh-CN" w:bidi="ar-SA"/>
        </w:rPr>
      </w:pPr>
      <w:r>
        <w:rPr>
          <w:rFonts w:hint="eastAsia" w:ascii="Arial" w:hAnsi="Arial" w:eastAsia="宋体" w:cs="Arial"/>
          <w:b/>
          <w:kern w:val="2"/>
          <w:sz w:val="24"/>
          <w:szCs w:val="24"/>
          <w:lang w:val="en-US" w:eastAsia="zh-CN" w:bidi="ar-SA"/>
        </w:rPr>
        <w:t>30.3.3.3 以非法手段取得证明材料。证据来源的合法性存在明显疑问，投诉人无法证明其取得方式合法的，视为以非法手段取得证明材料。</w:t>
      </w:r>
    </w:p>
    <w:p w14:paraId="7E153DC0">
      <w:pPr>
        <w:keepNext/>
        <w:keepLines/>
        <w:widowControl w:val="0"/>
        <w:spacing w:before="145" w:beforeLines="50" w:after="145" w:afterLines="50" w:line="360" w:lineRule="auto"/>
        <w:ind w:firstLine="421" w:firstLineChars="131"/>
        <w:jc w:val="both"/>
        <w:outlineLvl w:val="2"/>
        <w:rPr>
          <w:rFonts w:hint="eastAsia" w:ascii="宋体" w:hAnsi="宋体" w:eastAsia="宋体" w:cs="宋体"/>
          <w:b/>
          <w:bCs/>
          <w:kern w:val="2"/>
          <w:sz w:val="32"/>
          <w:szCs w:val="32"/>
          <w:lang w:val="en-US" w:eastAsia="zh-CN" w:bidi="ar-SA"/>
        </w:rPr>
      </w:pPr>
      <w:bookmarkStart w:id="191" w:name="_Toc29532"/>
      <w:r>
        <w:rPr>
          <w:rFonts w:hint="eastAsia" w:ascii="宋体" w:hAnsi="宋体" w:eastAsia="宋体" w:cs="宋体"/>
          <w:b/>
          <w:bCs/>
          <w:kern w:val="2"/>
          <w:sz w:val="32"/>
          <w:szCs w:val="32"/>
          <w:lang w:val="en-US" w:eastAsia="zh-CN" w:bidi="ar-SA"/>
        </w:rPr>
        <w:t>七、授予合同</w:t>
      </w:r>
      <w:bookmarkEnd w:id="185"/>
      <w:bookmarkEnd w:id="186"/>
      <w:bookmarkEnd w:id="187"/>
      <w:bookmarkEnd w:id="191"/>
    </w:p>
    <w:bookmarkEnd w:id="188"/>
    <w:bookmarkEnd w:id="189"/>
    <w:bookmarkEnd w:id="190"/>
    <w:p w14:paraId="39BC1C70">
      <w:pPr>
        <w:keepNext/>
        <w:keepLines/>
        <w:widowControl w:val="0"/>
        <w:ind w:firstLine="416" w:firstLineChars="139"/>
        <w:jc w:val="both"/>
        <w:outlineLvl w:val="3"/>
        <w:rPr>
          <w:rFonts w:hint="eastAsia" w:ascii="宋体" w:hAnsi="宋体" w:eastAsia="宋体" w:cs="宋体"/>
          <w:b w:val="0"/>
          <w:kern w:val="2"/>
          <w:sz w:val="30"/>
          <w:szCs w:val="30"/>
          <w:lang w:val="en-US" w:eastAsia="zh-CN" w:bidi="ar-SA"/>
        </w:rPr>
      </w:pPr>
      <w:bookmarkStart w:id="192" w:name="_Toc513029237"/>
      <w:bookmarkStart w:id="193" w:name="_Toc20823309"/>
      <w:bookmarkStart w:id="194" w:name="_Toc16938553"/>
      <w:r>
        <w:rPr>
          <w:rFonts w:hint="eastAsia" w:ascii="宋体" w:hAnsi="宋体" w:eastAsia="宋体" w:cs="宋体"/>
          <w:b w:val="0"/>
          <w:kern w:val="2"/>
          <w:sz w:val="30"/>
          <w:szCs w:val="30"/>
          <w:lang w:val="en-US" w:eastAsia="zh-CN" w:bidi="ar-SA"/>
        </w:rPr>
        <w:t>31. 签订合同</w:t>
      </w:r>
    </w:p>
    <w:p w14:paraId="69797EA2">
      <w:pPr>
        <w:snapToGrid w:val="0"/>
        <w:spacing w:line="480" w:lineRule="exact"/>
        <w:ind w:firstLine="333" w:firstLineChars="139"/>
        <w:rPr>
          <w:rFonts w:hint="eastAsia" w:ascii="宋体" w:hAnsi="宋体" w:cs="宋体"/>
          <w:sz w:val="24"/>
          <w:szCs w:val="24"/>
        </w:rPr>
      </w:pPr>
      <w:r>
        <w:rPr>
          <w:rFonts w:hint="eastAsia" w:ascii="宋体" w:hAnsi="宋体" w:cs="宋体"/>
          <w:bCs/>
          <w:sz w:val="24"/>
          <w:szCs w:val="24"/>
        </w:rPr>
        <w:t>31</w:t>
      </w:r>
      <w:r>
        <w:rPr>
          <w:rFonts w:hint="eastAsia" w:ascii="宋体" w:hAnsi="宋体" w:cs="宋体"/>
          <w:sz w:val="24"/>
          <w:szCs w:val="24"/>
        </w:rPr>
        <w:t>.l中标人应当在中标通知书发出之日起三十日内，按照招标文件确定的事项与采购人签订政府采购合同。</w:t>
      </w:r>
    </w:p>
    <w:p w14:paraId="3CF8C06A">
      <w:pPr>
        <w:snapToGrid w:val="0"/>
        <w:spacing w:line="480" w:lineRule="exact"/>
        <w:ind w:firstLine="333" w:firstLineChars="139"/>
        <w:rPr>
          <w:rFonts w:hint="eastAsia" w:ascii="宋体" w:hAnsi="宋体" w:cs="宋体"/>
          <w:sz w:val="24"/>
          <w:szCs w:val="24"/>
        </w:rPr>
      </w:pPr>
      <w:r>
        <w:rPr>
          <w:rFonts w:hint="eastAsia" w:ascii="宋体" w:hAnsi="宋体" w:cs="宋体"/>
          <w:sz w:val="24"/>
          <w:szCs w:val="24"/>
        </w:rPr>
        <w:t>31.2</w:t>
      </w:r>
      <w:r>
        <w:rPr>
          <w:rFonts w:hint="eastAsia" w:ascii="宋体" w:hAnsi="宋体" w:cs="宋体"/>
          <w:b/>
          <w:sz w:val="24"/>
          <w:szCs w:val="24"/>
        </w:rPr>
        <w:t xml:space="preserve"> </w:t>
      </w:r>
      <w:r>
        <w:rPr>
          <w:rFonts w:hint="eastAsia" w:ascii="宋体" w:hAnsi="宋体" w:cs="宋体"/>
          <w:sz w:val="24"/>
          <w:szCs w:val="24"/>
        </w:rPr>
        <w:t>招标文件、中标人的投标文件及招标过程中有关澄清、承诺文件均应作为合同附件。</w:t>
      </w:r>
    </w:p>
    <w:p w14:paraId="38090A8C">
      <w:pPr>
        <w:snapToGrid w:val="0"/>
        <w:spacing w:line="480" w:lineRule="exact"/>
        <w:ind w:firstLine="333" w:firstLineChars="139"/>
        <w:rPr>
          <w:rFonts w:hint="eastAsia" w:ascii="宋体" w:hAnsi="宋体" w:cs="宋体"/>
          <w:sz w:val="24"/>
          <w:szCs w:val="24"/>
        </w:rPr>
      </w:pPr>
      <w:r>
        <w:rPr>
          <w:rFonts w:hint="eastAsia" w:ascii="宋体" w:hAnsi="宋体" w:cs="宋体"/>
          <w:sz w:val="24"/>
          <w:szCs w:val="24"/>
        </w:rPr>
        <w:t>31.3 签订合同后，</w:t>
      </w:r>
      <w:r>
        <w:rPr>
          <w:rFonts w:hint="eastAsia" w:ascii="宋体" w:hAnsi="宋体" w:cs="宋体"/>
          <w:i/>
          <w:sz w:val="24"/>
          <w:szCs w:val="24"/>
          <w:u w:val="single"/>
        </w:rPr>
        <w:t>中标人不得将货物及其他相关服务进行转包</w:t>
      </w:r>
      <w:r>
        <w:rPr>
          <w:rFonts w:hint="eastAsia" w:ascii="宋体" w:hAnsi="宋体" w:cs="宋体"/>
          <w:sz w:val="24"/>
          <w:szCs w:val="24"/>
        </w:rPr>
        <w:t>。未经采购人同意，中标人也不得采用分包的形式履行合同，否则采购人有权终止合同。转包或分包造成采购人损失的，中标人应承担相应赔偿责任。</w:t>
      </w:r>
    </w:p>
    <w:p w14:paraId="251027C2">
      <w:pPr>
        <w:keepNext/>
        <w:keepLines/>
        <w:widowControl w:val="0"/>
        <w:ind w:firstLine="416" w:firstLineChars="139"/>
        <w:jc w:val="both"/>
        <w:outlineLvl w:val="3"/>
        <w:rPr>
          <w:rFonts w:hint="eastAsia" w:ascii="宋体" w:hAnsi="宋体" w:eastAsia="宋体" w:cs="宋体"/>
          <w:b w:val="0"/>
          <w:kern w:val="2"/>
          <w:sz w:val="30"/>
          <w:szCs w:val="30"/>
          <w:lang w:val="en-US" w:eastAsia="zh-CN" w:bidi="ar-SA"/>
        </w:rPr>
      </w:pPr>
      <w:r>
        <w:rPr>
          <w:rFonts w:hint="eastAsia" w:ascii="宋体" w:hAnsi="宋体" w:eastAsia="宋体" w:cs="宋体"/>
          <w:b w:val="0"/>
          <w:kern w:val="2"/>
          <w:sz w:val="30"/>
          <w:szCs w:val="30"/>
          <w:lang w:val="en-US" w:eastAsia="zh-CN" w:bidi="ar-SA"/>
        </w:rPr>
        <w:t>32.货物和服务的追加、减少和添购。</w:t>
      </w:r>
    </w:p>
    <w:p w14:paraId="1139AE9D">
      <w:pPr>
        <w:spacing w:line="480" w:lineRule="exact"/>
        <w:ind w:firstLine="333" w:firstLineChars="139"/>
        <w:rPr>
          <w:rFonts w:hint="eastAsia" w:ascii="宋体" w:hAnsi="宋体" w:cs="宋体"/>
          <w:sz w:val="24"/>
          <w:szCs w:val="24"/>
        </w:rPr>
      </w:pPr>
      <w:r>
        <w:rPr>
          <w:rFonts w:hint="eastAsia" w:ascii="宋体" w:hAnsi="宋体" w:cs="宋体"/>
          <w:sz w:val="24"/>
          <w:szCs w:val="24"/>
        </w:rPr>
        <w:t>32.1政府采购合同履行中，采购人需追加与合同标的相同的货物和服务的，经政府采购管理部门同意后，在不改变合同其他条款的前提下，可以与中标人协商签订补充合同，但所有补充合同的采购金额不超过原合同金额10%。</w:t>
      </w:r>
    </w:p>
    <w:p w14:paraId="3EDCB5F9">
      <w:pPr>
        <w:spacing w:line="480" w:lineRule="exact"/>
        <w:ind w:firstLine="333" w:firstLineChars="139"/>
        <w:rPr>
          <w:rFonts w:hint="eastAsia" w:ascii="宋体" w:hAnsi="宋体" w:cs="宋体"/>
          <w:sz w:val="24"/>
          <w:szCs w:val="24"/>
        </w:rPr>
      </w:pPr>
      <w:r>
        <w:rPr>
          <w:rFonts w:hint="eastAsia" w:ascii="宋体" w:hAnsi="宋体" w:cs="宋体"/>
          <w:sz w:val="24"/>
          <w:szCs w:val="24"/>
        </w:rPr>
        <w:t>32.2采购结束后，采购人若由于各种客观原因，必须对采购项目所牵涉的货物和服务进行适当的减少时，在双方协商一致的前提下，可以按照招标采购时的价格水平做相应的调减，并据此签订补充合同。</w:t>
      </w:r>
    </w:p>
    <w:bookmarkEnd w:id="192"/>
    <w:bookmarkEnd w:id="193"/>
    <w:bookmarkEnd w:id="194"/>
    <w:p w14:paraId="39678208">
      <w:pPr>
        <w:rPr>
          <w:rFonts w:hint="eastAsia" w:ascii="宋体" w:hAnsi="宋体" w:cs="宋体"/>
        </w:rPr>
      </w:pPr>
    </w:p>
    <w:p w14:paraId="3D4A6582">
      <w:pPr>
        <w:pStyle w:val="4"/>
        <w:ind w:firstLine="2429" w:firstLineChars="550"/>
        <w:jc w:val="both"/>
        <w:rPr>
          <w:rFonts w:hint="eastAsia" w:ascii="宋体" w:hAnsi="宋体" w:eastAsia="宋体" w:cs="宋体"/>
        </w:rPr>
      </w:pPr>
      <w:r>
        <w:rPr>
          <w:rFonts w:hint="eastAsia" w:ascii="宋体" w:hAnsi="宋体" w:eastAsia="宋体" w:cs="宋体"/>
        </w:rPr>
        <w:br w:type="page"/>
      </w:r>
      <w:bookmarkStart w:id="195" w:name="_Toc20723"/>
      <w:bookmarkStart w:id="196" w:name="_Toc534725606"/>
      <w:r>
        <w:rPr>
          <w:rFonts w:hint="eastAsia" w:ascii="宋体" w:hAnsi="宋体" w:eastAsia="宋体" w:cs="宋体"/>
        </w:rPr>
        <w:t>第三章  合同</w:t>
      </w:r>
      <w:bookmarkEnd w:id="30"/>
      <w:bookmarkEnd w:id="31"/>
      <w:bookmarkEnd w:id="32"/>
      <w:bookmarkEnd w:id="33"/>
      <w:bookmarkEnd w:id="34"/>
      <w:r>
        <w:rPr>
          <w:rFonts w:hint="eastAsia" w:ascii="宋体" w:hAnsi="宋体" w:eastAsia="宋体" w:cs="宋体"/>
        </w:rPr>
        <w:t>文本</w:t>
      </w:r>
      <w:bookmarkEnd w:id="35"/>
      <w:bookmarkEnd w:id="195"/>
      <w:bookmarkEnd w:id="196"/>
    </w:p>
    <w:p w14:paraId="5BA6B7E1">
      <w:pPr>
        <w:spacing w:line="500" w:lineRule="exact"/>
        <w:ind w:firstLine="482" w:firstLineChars="200"/>
        <w:rPr>
          <w:rFonts w:ascii="宋体" w:hAnsi="宋体" w:cs="宋体"/>
          <w:b/>
          <w:bCs w:val="0"/>
          <w:sz w:val="24"/>
        </w:rPr>
      </w:pPr>
      <w:bookmarkStart w:id="197" w:name="_Toc16938559"/>
      <w:bookmarkStart w:id="198" w:name="_Toc20823315"/>
      <w:bookmarkStart w:id="199" w:name="_Toc513029243"/>
      <w:r>
        <w:rPr>
          <w:rFonts w:hint="eastAsia" w:ascii="宋体" w:hAnsi="宋体" w:cs="宋体"/>
          <w:b/>
          <w:bCs w:val="0"/>
          <w:sz w:val="24"/>
        </w:rPr>
        <w:t>以下合同仅为参考，签订时以实际合同文本为准。</w:t>
      </w:r>
    </w:p>
    <w:p w14:paraId="15118771">
      <w:pPr>
        <w:spacing w:line="500" w:lineRule="exact"/>
        <w:ind w:firstLine="480" w:firstLineChars="200"/>
        <w:rPr>
          <w:rFonts w:hint="eastAsia" w:ascii="宋体" w:hAnsi="宋体" w:cs="宋体"/>
          <w:bCs/>
          <w:sz w:val="24"/>
        </w:rPr>
      </w:pPr>
      <w:r>
        <w:rPr>
          <w:rFonts w:hint="eastAsia" w:ascii="宋体" w:hAnsi="宋体" w:cs="宋体"/>
          <w:bCs/>
          <w:sz w:val="24"/>
        </w:rPr>
        <w:t>以下为中标后签订本项目合同的通用条款，中标人不得提出实质性的修改，关于专用条款将由采购人与中标人结合本项目具体情况协商后签订。</w:t>
      </w:r>
    </w:p>
    <w:p w14:paraId="2C900D39">
      <w:pPr>
        <w:jc w:val="center"/>
        <w:rPr>
          <w:rFonts w:hint="eastAsia" w:ascii="宋体" w:hAnsi="宋体" w:cs="宋体"/>
          <w:b/>
          <w:bCs/>
          <w:sz w:val="30"/>
          <w:szCs w:val="30"/>
        </w:rPr>
      </w:pPr>
      <w:r>
        <w:rPr>
          <w:rFonts w:hint="eastAsia" w:ascii="宋体" w:hAnsi="宋体" w:cs="宋体"/>
          <w:b/>
          <w:sz w:val="30"/>
          <w:szCs w:val="30"/>
        </w:rPr>
        <w:t>新疆维吾尔自治区政府采购合同（合同编号）</w:t>
      </w:r>
    </w:p>
    <w:p w14:paraId="5540B880">
      <w:pPr>
        <w:widowControl w:val="0"/>
        <w:snapToGrid w:val="0"/>
        <w:spacing w:before="120"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项目名称：                                       项目编号：</w:t>
      </w:r>
    </w:p>
    <w:p w14:paraId="6DCE6C52">
      <w:pPr>
        <w:widowControl w:val="0"/>
        <w:snapToGrid w:val="0"/>
        <w:spacing w:before="120"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甲方：（买方）_________</w:t>
      </w:r>
    </w:p>
    <w:p w14:paraId="01BDBF7E">
      <w:pPr>
        <w:widowControl w:val="0"/>
        <w:snapToGrid w:val="0"/>
        <w:spacing w:before="120"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乙方：（卖方）_________</w:t>
      </w:r>
    </w:p>
    <w:p w14:paraId="119554D4">
      <w:pPr>
        <w:widowControl w:val="0"/>
        <w:snapToGrid w:val="0"/>
        <w:spacing w:before="120" w:after="12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 xml:space="preserve">   </w:t>
      </w:r>
      <w:r>
        <w:rPr>
          <w:rFonts w:hint="eastAsia" w:ascii="宋体" w:hAnsi="宋体" w:eastAsia="宋体" w:cs="宋体"/>
          <w:kern w:val="2"/>
          <w:sz w:val="24"/>
          <w:szCs w:val="24"/>
          <w:lang w:val="en-US" w:eastAsia="zh-CN" w:bidi="ar-SA"/>
        </w:rPr>
        <w:t>甲、乙双方根据新疆维吾尔</w:t>
      </w:r>
      <w:r>
        <w:rPr>
          <w:rFonts w:ascii="宋体" w:hAnsi="宋体" w:eastAsia="宋体" w:cs="宋体"/>
          <w:kern w:val="2"/>
          <w:sz w:val="24"/>
          <w:szCs w:val="24"/>
          <w:lang w:val="en-US" w:eastAsia="zh-CN" w:bidi="ar-SA"/>
        </w:rPr>
        <w:t>自治区公共资源交易中心</w:t>
      </w:r>
      <w:r>
        <w:rPr>
          <w:rFonts w:hint="eastAsia" w:ascii="宋体" w:hAnsi="宋体" w:eastAsia="宋体" w:cs="宋体"/>
          <w:kern w:val="2"/>
          <w:sz w:val="24"/>
          <w:szCs w:val="24"/>
          <w:u w:val="single"/>
          <w:lang w:val="en-US" w:eastAsia="zh-CN" w:bidi="ar-SA"/>
        </w:rPr>
        <w:t xml:space="preserve">                          组织的                                   </w:t>
      </w:r>
      <w:r>
        <w:rPr>
          <w:rFonts w:hint="eastAsia" w:ascii="宋体" w:hAnsi="宋体" w:eastAsia="宋体" w:cs="宋体"/>
          <w:kern w:val="2"/>
          <w:sz w:val="24"/>
          <w:szCs w:val="24"/>
          <w:lang w:val="en-US" w:eastAsia="zh-CN" w:bidi="ar-SA"/>
        </w:rPr>
        <w:t>项目公开招标的结果，签署本合同。</w:t>
      </w:r>
    </w:p>
    <w:p w14:paraId="09397289">
      <w:pPr>
        <w:widowControl w:val="0"/>
        <w:snapToGrid w:val="0"/>
        <w:spacing w:before="120" w:after="120"/>
        <w:ind w:firstLine="482" w:firstLineChars="20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一、服务内容</w:t>
      </w:r>
    </w:p>
    <w:p w14:paraId="268451C1">
      <w:pPr>
        <w:widowControl w:val="0"/>
        <w:snapToGrid w:val="0"/>
        <w:spacing w:before="120" w:after="120"/>
        <w:ind w:firstLine="482" w:firstLineChars="20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二、合同金额</w:t>
      </w:r>
    </w:p>
    <w:p w14:paraId="46D13D29">
      <w:pPr>
        <w:widowControl w:val="0"/>
        <w:snapToGrid w:val="0"/>
        <w:spacing w:before="120" w:after="120"/>
        <w:ind w:left="479" w:leftChars="228" w:firstLine="69" w:firstLineChars="29"/>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 本合同金额为（大写）：____________________________________圆（_______________元）人民币或其他币种。</w:t>
      </w:r>
    </w:p>
    <w:p w14:paraId="606451E8">
      <w:pPr>
        <w:widowControl w:val="0"/>
        <w:snapToGrid w:val="0"/>
        <w:spacing w:before="120" w:after="120"/>
        <w:ind w:firstLine="482" w:firstLineChars="20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三、技术资料</w:t>
      </w:r>
    </w:p>
    <w:p w14:paraId="55047302">
      <w:pPr>
        <w:widowControl w:val="0"/>
        <w:snapToGrid w:val="0"/>
        <w:spacing w:before="120" w:after="120"/>
        <w:ind w:left="479" w:leftChars="228" w:firstLine="69" w:firstLineChars="29"/>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3.1乙方应按招标文件规定的时间向甲方提供使用服务的有关技术资料。</w:t>
      </w:r>
    </w:p>
    <w:p w14:paraId="43BC3E3C">
      <w:pPr>
        <w:widowControl w:val="0"/>
        <w:snapToGrid w:val="0"/>
        <w:spacing w:before="120" w:after="120"/>
        <w:ind w:left="479" w:leftChars="228" w:firstLine="69" w:firstLineChars="29"/>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6C27A9D">
      <w:pPr>
        <w:widowControl w:val="0"/>
        <w:snapToGrid w:val="0"/>
        <w:spacing w:before="120" w:after="120"/>
        <w:ind w:left="479" w:leftChars="228" w:firstLine="70" w:firstLineChars="29"/>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四、知识产权</w:t>
      </w:r>
    </w:p>
    <w:p w14:paraId="0B7052E2">
      <w:pPr>
        <w:spacing w:line="500" w:lineRule="exact"/>
        <w:ind w:firstLine="480" w:firstLineChars="200"/>
        <w:rPr>
          <w:rFonts w:hint="eastAsia" w:ascii="宋体" w:hAnsi="宋体" w:cs="宋体"/>
          <w:sz w:val="24"/>
        </w:rPr>
      </w:pPr>
      <w:r>
        <w:rPr>
          <w:rFonts w:hint="eastAsia" w:ascii="宋体" w:hAnsi="宋体" w:cs="宋体"/>
          <w:sz w:val="24"/>
          <w:szCs w:val="24"/>
        </w:rPr>
        <w:t>4.1乙</w:t>
      </w:r>
      <w:r>
        <w:rPr>
          <w:rFonts w:hint="eastAsia" w:ascii="宋体" w:hAnsi="宋体" w:cs="宋体"/>
          <w:sz w:val="24"/>
        </w:rPr>
        <w:t>方应保证甲方在使用、接受本合同服务或其任何一部分时不受第三方提出侵犯其专利权、版权、商标权和工业设计权等知识产权的起诉。一旦出现侵权，由乙方负全部责任。</w:t>
      </w:r>
    </w:p>
    <w:p w14:paraId="634FB745">
      <w:pPr>
        <w:widowControl w:val="0"/>
        <w:snapToGrid w:val="0"/>
        <w:spacing w:before="120" w:after="120"/>
        <w:ind w:firstLine="482" w:firstLineChars="200"/>
        <w:jc w:val="both"/>
        <w:rPr>
          <w:rFonts w:hint="eastAsia" w:ascii="宋体" w:hAnsi="宋体" w:eastAsia="宋体" w:cs="宋体"/>
          <w:kern w:val="2"/>
          <w:sz w:val="24"/>
          <w:szCs w:val="24"/>
          <w:u w:val="single"/>
          <w:lang w:val="en-US" w:eastAsia="zh-CN" w:bidi="ar-SA"/>
        </w:rPr>
      </w:pPr>
      <w:r>
        <w:rPr>
          <w:rFonts w:hint="eastAsia" w:ascii="宋体" w:hAnsi="宋体" w:eastAsia="宋体" w:cs="宋体"/>
          <w:b/>
          <w:kern w:val="2"/>
          <w:sz w:val="24"/>
          <w:szCs w:val="24"/>
          <w:lang w:val="en-US" w:eastAsia="zh-CN" w:bidi="ar-SA"/>
        </w:rPr>
        <w:t>五、产权担保</w:t>
      </w:r>
    </w:p>
    <w:p w14:paraId="7FE6D14C">
      <w:pPr>
        <w:widowControl w:val="0"/>
        <w:snapToGrid w:val="0"/>
        <w:spacing w:before="120" w:after="120"/>
        <w:ind w:left="479" w:leftChars="228" w:firstLine="72" w:firstLineChars="30"/>
        <w:jc w:val="both"/>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5.1 乙方保证所交付的产品的所有权完全属于乙方且无任何抵押、查封等产权瑕疵。</w:t>
      </w:r>
    </w:p>
    <w:p w14:paraId="2B6D3991">
      <w:pPr>
        <w:snapToGrid w:val="0"/>
        <w:spacing w:before="145" w:beforeLines="50" w:after="145" w:afterLines="50"/>
        <w:ind w:firstLine="482" w:firstLineChars="200"/>
        <w:rPr>
          <w:rFonts w:hint="eastAsia" w:ascii="宋体" w:hAnsi="宋体" w:cs="宋体"/>
          <w:b/>
          <w:sz w:val="24"/>
          <w:szCs w:val="24"/>
        </w:rPr>
      </w:pPr>
      <w:r>
        <w:rPr>
          <w:rFonts w:hint="eastAsia" w:ascii="宋体" w:hAnsi="宋体" w:cs="宋体"/>
          <w:b/>
          <w:sz w:val="24"/>
          <w:szCs w:val="24"/>
        </w:rPr>
        <w:t>六、转包或分包</w:t>
      </w:r>
    </w:p>
    <w:p w14:paraId="1F49AB00">
      <w:pPr>
        <w:snapToGrid w:val="0"/>
        <w:spacing w:before="145" w:beforeLines="50" w:after="145" w:afterLines="50"/>
        <w:ind w:firstLine="480" w:firstLineChars="200"/>
        <w:rPr>
          <w:rFonts w:hint="eastAsia" w:ascii="宋体" w:hAnsi="宋体" w:cs="宋体"/>
          <w:sz w:val="24"/>
          <w:szCs w:val="24"/>
        </w:rPr>
      </w:pPr>
      <w:r>
        <w:rPr>
          <w:rFonts w:hint="eastAsia" w:ascii="宋体" w:hAnsi="宋体" w:cs="宋体"/>
          <w:sz w:val="24"/>
          <w:szCs w:val="24"/>
        </w:rPr>
        <w:t>6.1本合同范围内的产品，应由乙方直接供应，不得转让他人供应；</w:t>
      </w:r>
    </w:p>
    <w:p w14:paraId="424F0B85">
      <w:pPr>
        <w:snapToGrid w:val="0"/>
        <w:spacing w:before="145" w:beforeLines="50" w:after="145" w:afterLines="50"/>
        <w:ind w:firstLine="480" w:firstLineChars="200"/>
        <w:rPr>
          <w:rFonts w:hint="eastAsia" w:ascii="宋体" w:hAnsi="宋体" w:cs="宋体"/>
          <w:sz w:val="24"/>
          <w:szCs w:val="24"/>
        </w:rPr>
      </w:pPr>
      <w:r>
        <w:rPr>
          <w:rFonts w:hint="eastAsia" w:ascii="宋体" w:hAnsi="宋体" w:cs="宋体"/>
          <w:sz w:val="24"/>
          <w:szCs w:val="24"/>
        </w:rPr>
        <w:t>6.2 除非得到甲方的书面同意，乙方不得部分分包给他人供应。</w:t>
      </w:r>
    </w:p>
    <w:p w14:paraId="2C0A3C01">
      <w:pPr>
        <w:snapToGrid w:val="0"/>
        <w:spacing w:before="145" w:beforeLines="50" w:after="145" w:afterLines="50"/>
        <w:ind w:firstLine="480" w:firstLineChars="200"/>
        <w:rPr>
          <w:rFonts w:hint="eastAsia" w:ascii="宋体" w:hAnsi="宋体" w:cs="宋体"/>
          <w:sz w:val="24"/>
          <w:szCs w:val="24"/>
        </w:rPr>
      </w:pPr>
      <w:r>
        <w:rPr>
          <w:rFonts w:hint="eastAsia" w:ascii="宋体" w:hAnsi="宋体" w:cs="宋体"/>
          <w:sz w:val="24"/>
          <w:szCs w:val="24"/>
        </w:rPr>
        <w:t>6.3如有转让和未经甲方同意的分包行为，甲方有权给予终止合同。</w:t>
      </w:r>
    </w:p>
    <w:p w14:paraId="41449085">
      <w:pPr>
        <w:widowControl w:val="0"/>
        <w:snapToGrid w:val="0"/>
        <w:spacing w:before="120" w:after="120"/>
        <w:ind w:firstLine="482"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七、质保期</w:t>
      </w:r>
    </w:p>
    <w:p w14:paraId="4D172BD2">
      <w:pPr>
        <w:widowControl w:val="0"/>
        <w:snapToGrid w:val="0"/>
        <w:spacing w:before="120" w:after="120"/>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 质保期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年。（自交货验收合格之日起计）</w:t>
      </w:r>
    </w:p>
    <w:p w14:paraId="0B79E9E2">
      <w:pPr>
        <w:widowControl w:val="0"/>
        <w:snapToGrid w:val="0"/>
        <w:spacing w:before="120" w:after="120"/>
        <w:ind w:firstLine="482" w:firstLineChars="20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八、服务期限、服务方式及交货地点</w:t>
      </w:r>
    </w:p>
    <w:p w14:paraId="36C0BC2A">
      <w:pPr>
        <w:widowControl w:val="0"/>
        <w:snapToGrid w:val="0"/>
        <w:spacing w:before="120" w:after="120"/>
        <w:ind w:firstLine="420" w:firstLineChars="175"/>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8.1服务期限：</w:t>
      </w:r>
      <w:r>
        <w:rPr>
          <w:rFonts w:hint="eastAsia" w:ascii="宋体" w:hAnsi="宋体" w:eastAsia="宋体" w:cs="宋体"/>
          <w:kern w:val="2"/>
          <w:sz w:val="24"/>
          <w:szCs w:val="24"/>
          <w:lang w:val="en-US" w:eastAsia="zh-CN" w:bidi="ar-SA"/>
        </w:rPr>
        <w:t>__</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____</w:t>
      </w:r>
    </w:p>
    <w:p w14:paraId="604854E2">
      <w:pPr>
        <w:widowControl w:val="0"/>
        <w:snapToGrid w:val="0"/>
        <w:spacing w:before="120" w:after="120"/>
        <w:ind w:firstLine="420" w:firstLineChars="175"/>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8.2服务方式：</w:t>
      </w:r>
      <w:r>
        <w:rPr>
          <w:rFonts w:hint="eastAsia" w:ascii="宋体" w:hAnsi="宋体" w:eastAsia="宋体" w:cs="宋体"/>
          <w:kern w:val="2"/>
          <w:sz w:val="24"/>
          <w:szCs w:val="24"/>
          <w:lang w:val="en-US" w:eastAsia="zh-CN" w:bidi="ar-SA"/>
        </w:rPr>
        <w:t>___________</w:t>
      </w:r>
    </w:p>
    <w:p w14:paraId="72AFA5A6">
      <w:pPr>
        <w:widowControl w:val="0"/>
        <w:snapToGrid w:val="0"/>
        <w:spacing w:before="120" w:after="120"/>
        <w:ind w:firstLine="420" w:firstLineChars="175"/>
        <w:jc w:val="both"/>
        <w:rPr>
          <w:rFonts w:hint="eastAsia" w:ascii="宋体" w:hAnsi="宋体" w:eastAsia="宋体" w:cs="宋体"/>
          <w:b/>
          <w:kern w:val="2"/>
          <w:sz w:val="24"/>
          <w:szCs w:val="24"/>
          <w:lang w:val="en-US" w:eastAsia="zh-CN" w:bidi="ar-SA"/>
        </w:rPr>
      </w:pPr>
      <w:r>
        <w:rPr>
          <w:rFonts w:hint="eastAsia" w:ascii="宋体" w:hAnsi="宋体" w:eastAsia="宋体" w:cs="宋体"/>
          <w:bCs/>
          <w:kern w:val="2"/>
          <w:sz w:val="24"/>
          <w:szCs w:val="24"/>
          <w:lang w:val="en-US" w:eastAsia="zh-CN" w:bidi="ar-SA"/>
        </w:rPr>
        <w:t>8.3服务地点：</w:t>
      </w:r>
      <w:r>
        <w:rPr>
          <w:rFonts w:hint="eastAsia" w:ascii="宋体" w:hAnsi="宋体" w:eastAsia="宋体" w:cs="宋体"/>
          <w:kern w:val="2"/>
          <w:sz w:val="24"/>
          <w:szCs w:val="24"/>
          <w:lang w:val="en-US" w:eastAsia="zh-CN" w:bidi="ar-SA"/>
        </w:rPr>
        <w:t>__</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___</w:t>
      </w:r>
    </w:p>
    <w:p w14:paraId="4FD97036">
      <w:pPr>
        <w:widowControl w:val="0"/>
        <w:snapToGrid w:val="0"/>
        <w:spacing w:before="120" w:after="120"/>
        <w:ind w:firstLine="422" w:firstLineChars="175"/>
        <w:jc w:val="both"/>
        <w:rPr>
          <w:rFonts w:hint="eastAsia" w:ascii="宋体" w:hAnsi="宋体" w:eastAsia="宋体" w:cs="宋体"/>
          <w:bCs/>
          <w:kern w:val="2"/>
          <w:sz w:val="24"/>
          <w:szCs w:val="24"/>
          <w:lang w:val="en-US" w:eastAsia="zh-CN" w:bidi="ar-SA"/>
        </w:rPr>
      </w:pPr>
      <w:r>
        <w:rPr>
          <w:rFonts w:hint="eastAsia" w:ascii="宋体" w:hAnsi="宋体" w:eastAsia="宋体" w:cs="宋体"/>
          <w:b/>
          <w:kern w:val="2"/>
          <w:sz w:val="24"/>
          <w:szCs w:val="24"/>
          <w:lang w:val="en-US" w:eastAsia="zh-CN" w:bidi="ar-SA"/>
        </w:rPr>
        <w:t>九、货款支付</w:t>
      </w:r>
    </w:p>
    <w:p w14:paraId="386E3743">
      <w:pPr>
        <w:widowControl w:val="0"/>
        <w:snapToGrid w:val="0"/>
        <w:spacing w:before="120" w:after="120"/>
        <w:ind w:firstLine="420" w:firstLineChars="175"/>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9.1 采购资金的支付方式、时间及条件：</w:t>
      </w:r>
      <w:r>
        <w:rPr>
          <w:rFonts w:hint="eastAsia" w:ascii="宋体" w:hAnsi="宋体" w:eastAsia="宋体" w:cs="宋体"/>
          <w:kern w:val="2"/>
          <w:sz w:val="24"/>
          <w:szCs w:val="24"/>
          <w:lang w:val="en-US" w:eastAsia="zh-CN" w:bidi="ar-SA"/>
        </w:rPr>
        <w:t>_________</w:t>
      </w:r>
    </w:p>
    <w:p w14:paraId="52539DE5">
      <w:pPr>
        <w:widowControl w:val="0"/>
        <w:snapToGrid w:val="0"/>
        <w:spacing w:before="120" w:after="120"/>
        <w:ind w:firstLine="420" w:firstLineChars="175"/>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9.2</w:t>
      </w:r>
      <w:r>
        <w:rPr>
          <w:rFonts w:hint="eastAsia" w:ascii="宋体" w:hAnsi="宋体" w:eastAsia="宋体" w:cs="宋体"/>
          <w:kern w:val="2"/>
          <w:sz w:val="24"/>
          <w:szCs w:val="24"/>
          <w:lang w:val="en-US" w:eastAsia="zh-CN" w:bidi="ar-SA"/>
        </w:rPr>
        <w:t>当采购数量与实际使用数量不一致时，乙方应根据实际使用量供货，合同的最终结算金额按实际使用量乘以成交单价进行计算。</w:t>
      </w:r>
    </w:p>
    <w:p w14:paraId="792D6DCF">
      <w:pPr>
        <w:snapToGrid w:val="0"/>
        <w:spacing w:before="145" w:beforeLines="50" w:after="145" w:afterLines="50"/>
        <w:ind w:firstLine="422" w:firstLineChars="175"/>
        <w:rPr>
          <w:rFonts w:hint="eastAsia" w:ascii="宋体" w:hAnsi="宋体" w:cs="宋体"/>
          <w:b/>
          <w:sz w:val="24"/>
          <w:szCs w:val="24"/>
        </w:rPr>
      </w:pPr>
      <w:r>
        <w:rPr>
          <w:rFonts w:hint="eastAsia" w:ascii="宋体" w:hAnsi="宋体" w:cs="宋体"/>
          <w:b/>
          <w:sz w:val="24"/>
          <w:szCs w:val="24"/>
        </w:rPr>
        <w:t>十、税费</w:t>
      </w:r>
    </w:p>
    <w:p w14:paraId="2B6081E0">
      <w:pPr>
        <w:snapToGrid w:val="0"/>
        <w:spacing w:before="145" w:beforeLines="50" w:after="145" w:afterLines="50"/>
        <w:ind w:firstLine="420" w:firstLineChars="175"/>
        <w:rPr>
          <w:rFonts w:hint="eastAsia" w:ascii="宋体" w:hAnsi="宋体" w:cs="宋体"/>
          <w:sz w:val="24"/>
          <w:szCs w:val="24"/>
        </w:rPr>
      </w:pPr>
      <w:r>
        <w:rPr>
          <w:rFonts w:hint="eastAsia" w:ascii="宋体" w:hAnsi="宋体" w:cs="宋体"/>
          <w:sz w:val="24"/>
          <w:szCs w:val="24"/>
        </w:rPr>
        <w:t>10.1本合同执行中相关的一切税费均由乙方负担。</w:t>
      </w:r>
    </w:p>
    <w:p w14:paraId="04FC6565">
      <w:pPr>
        <w:widowControl w:val="0"/>
        <w:snapToGrid w:val="0"/>
        <w:spacing w:before="120" w:after="120"/>
        <w:ind w:firstLine="422"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十一、质量保证及售后服务</w:t>
      </w:r>
    </w:p>
    <w:p w14:paraId="0EE82059">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 乙方应按招标文件规定的产品功能、技术要求、质量标准向甲方提供未经使用的全新产品。</w:t>
      </w:r>
    </w:p>
    <w:p w14:paraId="4D1BAB85">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11.2 乙方提供的服务在质保期内因产品本身的质量问题发生故障，乙方应负责免费更换。对达不到技术要求者，根据实际情况，经双方协商，可按以下办法处理：</w:t>
      </w:r>
    </w:p>
    <w:p w14:paraId="5B2F8056">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⑴更换：由乙方承担所发生的全部费用。</w:t>
      </w:r>
    </w:p>
    <w:p w14:paraId="37374006">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⑵贬值处理：由甲乙双方合议定价。</w:t>
      </w:r>
    </w:p>
    <w:p w14:paraId="0550F526">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⑶退货处理：乙方应退还甲方支付的合同款，同时应承担该产品的直接费用（保险、检验、货款利息及银行手续费等）。</w:t>
      </w:r>
    </w:p>
    <w:p w14:paraId="792791F4">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11.3 如在使用过程中发生质量问题，乙方在接到甲方通知后在_____小时内到达甲方现场。</w:t>
      </w:r>
    </w:p>
    <w:p w14:paraId="4E1CA389">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11.4 在质保期内，乙方应对产品出现的质量及安全问题负责处理解决并承担一切费用。</w:t>
      </w:r>
    </w:p>
    <w:p w14:paraId="515FB44A">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11.5上述产品的免费保修期为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年，因人为因素出现的故障不在免费保修范围内。超过保修期后，终身维修，维修时只收部件成本费。</w:t>
      </w:r>
    </w:p>
    <w:p w14:paraId="6544FACD">
      <w:pPr>
        <w:widowControl w:val="0"/>
        <w:snapToGrid w:val="0"/>
        <w:spacing w:before="120" w:after="120"/>
        <w:ind w:firstLine="422" w:firstLineChars="175"/>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十二、调试和验收</w:t>
      </w:r>
    </w:p>
    <w:p w14:paraId="60FBD4BF">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 甲方对乙方提交的服务依据招标文件上的技术规格要求和国家有关质量标准进行现场初步验收，外观、说明书符合招标文件技术要求的，给予签收，初步验收不合格的不予签收。货到后，甲方需在五个工作日内验收。</w:t>
      </w:r>
    </w:p>
    <w:p w14:paraId="31EFBD98">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12.2 乙方交货前应对产品作出全面检查和对验收文件进行整理，并列出清单，作为甲方收货验收和使用的技术条件依据，检验的结果应随产品交甲方。</w:t>
      </w:r>
    </w:p>
    <w:p w14:paraId="6B1D82B6">
      <w:pPr>
        <w:widowControl w:val="0"/>
        <w:snapToGrid w:val="0"/>
        <w:spacing w:before="120" w:after="120"/>
        <w:ind w:firstLine="420" w:firstLineChars="175"/>
        <w:jc w:val="both"/>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12.3 甲方对乙方提供的产品在使用前进行调试时，乙方需负责安装并培训甲方的使用操作人员，并协助甲方一起调试，直到符合技术要求，甲方才做最终验收。</w:t>
      </w:r>
    </w:p>
    <w:p w14:paraId="5F5A2681">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12.4 对技术复杂的产品，甲方可请国家认可的专业检测机构参与初步验收及最终验收，并由其出具质量检测报告。</w:t>
      </w:r>
    </w:p>
    <w:p w14:paraId="35745C1E">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12.5 验收时乙方必须在现场，验收完毕后作出验收结果报告；验收费用由甲乙双方协商解决。</w:t>
      </w:r>
    </w:p>
    <w:p w14:paraId="5475A9F4">
      <w:pPr>
        <w:widowControl w:val="0"/>
        <w:snapToGrid w:val="0"/>
        <w:spacing w:before="120" w:after="120"/>
        <w:ind w:firstLine="422" w:firstLineChars="175"/>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十三、产品交付</w:t>
      </w:r>
    </w:p>
    <w:p w14:paraId="567B3251">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13.1 使用说明书、质量检验证明书、随配附件和工具以及清单一并附于产品内。</w:t>
      </w:r>
    </w:p>
    <w:p w14:paraId="4481A5C5">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13.2 产品在交付甲方前发生的风险均由乙方负责。</w:t>
      </w:r>
    </w:p>
    <w:p w14:paraId="75E94397">
      <w:pPr>
        <w:widowControl w:val="0"/>
        <w:snapToGrid w:val="0"/>
        <w:spacing w:before="120" w:after="120"/>
        <w:ind w:firstLine="422" w:firstLineChars="175"/>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十四、违约责任</w:t>
      </w:r>
    </w:p>
    <w:p w14:paraId="22121452">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 甲方无正当理由拒收产品的，甲方向乙方偿付拒收货款总值的百分之五违约金。</w:t>
      </w:r>
    </w:p>
    <w:p w14:paraId="1E50E11A">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14.2 甲方无故逾期验收和办理货款支付手续的，甲方应按逾期付款总额每日万分之五向乙方支付违约金。</w:t>
      </w:r>
    </w:p>
    <w:p w14:paraId="133CBF5D">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14.3 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23BCB22E">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14.4 乙方所交的产品品种、型号、规格、技术参数、质量不符合合同规定及招标文件规定标准的，甲方有权拒收该产品，乙方愿意更换产品但逾期交货的，按乙方逾期交货处理。乙方拒绝更换产品的，甲方可单方面解除合同。</w:t>
      </w:r>
    </w:p>
    <w:p w14:paraId="50FDD59F">
      <w:pPr>
        <w:widowControl w:val="0"/>
        <w:snapToGrid w:val="0"/>
        <w:spacing w:before="120" w:after="120"/>
        <w:ind w:firstLine="422" w:firstLineChars="175"/>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十五、不可抗力事件处理</w:t>
      </w:r>
    </w:p>
    <w:p w14:paraId="36B1723E">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15.1 在合同有效期内，任何一方因不可抗力事件导致不能履行合同，则合同履行期可延长，其延长期与不可抗力影响期相同。</w:t>
      </w:r>
    </w:p>
    <w:p w14:paraId="1CED88FB">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15.2 不可抗力事件发生后，应立即通知对方，并寄送有关权威机构出具的证明。</w:t>
      </w:r>
    </w:p>
    <w:p w14:paraId="51DC75FA">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15.3 不可抗力事件延续120天以上，双方应通过友好协商，确定是否继续履行合同。</w:t>
      </w:r>
    </w:p>
    <w:p w14:paraId="79873366">
      <w:pPr>
        <w:widowControl w:val="0"/>
        <w:snapToGrid w:val="0"/>
        <w:spacing w:before="120" w:after="120"/>
        <w:ind w:firstLine="422" w:firstLineChars="175"/>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十六、诉讼</w:t>
      </w:r>
    </w:p>
    <w:p w14:paraId="261C0B1E">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16.1 双方在执行合同中所发生的一切争议，应通过协商解决。如协商不成，可向合同签订地法院起诉，合同签订地在此约定为</w:t>
      </w:r>
      <w:r>
        <w:rPr>
          <w:rFonts w:hint="eastAsia" w:ascii="宋体" w:hAnsi="宋体" w:eastAsia="宋体" w:cs="宋体"/>
          <w:kern w:val="2"/>
          <w:sz w:val="24"/>
          <w:szCs w:val="24"/>
          <w:u w:val="single"/>
          <w:lang w:val="en-US" w:eastAsia="zh-CN" w:bidi="ar-SA"/>
        </w:rPr>
        <w:t>乌鲁木齐市</w:t>
      </w:r>
      <w:r>
        <w:rPr>
          <w:rFonts w:hint="eastAsia" w:ascii="宋体" w:hAnsi="宋体" w:eastAsia="宋体" w:cs="宋体"/>
          <w:kern w:val="2"/>
          <w:sz w:val="24"/>
          <w:szCs w:val="24"/>
          <w:lang w:val="en-US" w:eastAsia="zh-CN" w:bidi="ar-SA"/>
        </w:rPr>
        <w:t>。</w:t>
      </w:r>
    </w:p>
    <w:p w14:paraId="0EE89464">
      <w:pPr>
        <w:widowControl w:val="0"/>
        <w:snapToGrid w:val="0"/>
        <w:spacing w:before="120" w:after="120"/>
        <w:ind w:firstLine="422" w:firstLineChars="175"/>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十七、合同生效及其它</w:t>
      </w:r>
    </w:p>
    <w:p w14:paraId="74B0E0E2">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17.1合同经双方法定代表人或授权委托代表人签字并加盖单位公章后生效。</w:t>
      </w:r>
    </w:p>
    <w:p w14:paraId="7B11CDC2">
      <w:pPr>
        <w:widowControl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17.2本合同未尽事宜，遵照《中华人民共和国民法典》有关条文执行。</w:t>
      </w:r>
    </w:p>
    <w:p w14:paraId="5E5B2853">
      <w:pPr>
        <w:widowControl w:val="0"/>
        <w:snapToGrid w:val="0"/>
        <w:spacing w:before="120" w:after="120"/>
        <w:ind w:firstLine="420" w:firstLineChars="17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17.3本合同正本一式三份，具有同等法律效力，甲方、乙方及财政监管部门各执一份。</w:t>
      </w:r>
    </w:p>
    <w:p w14:paraId="7B915E24">
      <w:pPr>
        <w:widowControl w:val="0"/>
        <w:snapToGrid w:val="0"/>
        <w:spacing w:before="120" w:after="120"/>
        <w:ind w:left="480" w:hanging="480" w:hangingChars="200"/>
        <w:jc w:val="both"/>
        <w:rPr>
          <w:rFonts w:hint="eastAsia" w:ascii="宋体" w:hAnsi="宋体" w:eastAsia="宋体" w:cs="宋体"/>
          <w:kern w:val="2"/>
          <w:sz w:val="24"/>
          <w:szCs w:val="24"/>
          <w:lang w:val="en-US" w:eastAsia="zh-CN" w:bidi="ar-SA"/>
        </w:rPr>
      </w:pPr>
    </w:p>
    <w:p w14:paraId="62E93648">
      <w:pPr>
        <w:widowControl w:val="0"/>
        <w:snapToGrid w:val="0"/>
        <w:spacing w:before="120" w:after="120" w:line="0" w:lineRule="atLeast"/>
        <w:ind w:left="480" w:hanging="480" w:hanging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甲方：                        乙方： </w:t>
      </w:r>
    </w:p>
    <w:p w14:paraId="00101568">
      <w:pPr>
        <w:widowControl w:val="0"/>
        <w:snapToGrid w:val="0"/>
        <w:spacing w:before="120" w:after="120" w:line="0" w:lineRule="atLeas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地址：                        地址： </w:t>
      </w:r>
    </w:p>
    <w:p w14:paraId="631E58CA">
      <w:pPr>
        <w:widowControl w:val="0"/>
        <w:snapToGrid w:val="0"/>
        <w:spacing w:before="120" w:after="120" w:line="0" w:lineRule="atLeas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法定代表人或授权代表：        法定代表人或授权代表：</w:t>
      </w:r>
    </w:p>
    <w:p w14:paraId="0DFC89A5">
      <w:pPr>
        <w:widowControl w:val="0"/>
        <w:snapToGrid w:val="0"/>
        <w:spacing w:before="120" w:after="120" w:line="0" w:lineRule="atLeas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联系电话：                    联系电话：          </w:t>
      </w:r>
    </w:p>
    <w:p w14:paraId="7ECAAF87">
      <w:pPr>
        <w:widowControl w:val="0"/>
        <w:snapToGrid w:val="0"/>
        <w:spacing w:before="120" w:after="120" w:line="0" w:lineRule="atLeast"/>
        <w:jc w:val="center"/>
        <w:rPr>
          <w:rFonts w:hint="eastAsia" w:ascii="宋体" w:hAnsi="宋体" w:eastAsia="宋体" w:cs="宋体"/>
          <w:kern w:val="2"/>
          <w:sz w:val="24"/>
          <w:szCs w:val="24"/>
          <w:lang w:val="en-US" w:eastAsia="zh-CN" w:bidi="ar-SA"/>
        </w:rPr>
      </w:pPr>
    </w:p>
    <w:p w14:paraId="6E1D3967">
      <w:pPr>
        <w:widowControl w:val="0"/>
        <w:snapToGrid w:val="0"/>
        <w:spacing w:before="120" w:after="120"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签订日期：      年  月  日</w:t>
      </w:r>
      <w:bookmarkEnd w:id="197"/>
      <w:bookmarkEnd w:id="198"/>
      <w:bookmarkEnd w:id="199"/>
      <w:bookmarkStart w:id="200" w:name="_Hlt16619369"/>
      <w:bookmarkEnd w:id="200"/>
      <w:bookmarkStart w:id="201" w:name="_Hlt16619350"/>
      <w:bookmarkStart w:id="202" w:name="_Toc20823346"/>
      <w:bookmarkStart w:id="203" w:name="_Toc16938590"/>
      <w:bookmarkStart w:id="204" w:name="_Toc120614244"/>
      <w:bookmarkStart w:id="205" w:name="_Toc462564139"/>
      <w:bookmarkStart w:id="206" w:name="_Toc479757211"/>
    </w:p>
    <w:p w14:paraId="49D9674B">
      <w:pPr>
        <w:widowControl w:val="0"/>
        <w:snapToGrid w:val="0"/>
        <w:spacing w:before="120" w:after="120" w:line="0" w:lineRule="atLeast"/>
        <w:jc w:val="center"/>
        <w:rPr>
          <w:rFonts w:hint="eastAsia" w:ascii="宋体" w:hAnsi="宋体" w:eastAsia="宋体" w:cs="宋体"/>
          <w:kern w:val="2"/>
          <w:sz w:val="21"/>
          <w:szCs w:val="21"/>
          <w:lang w:val="en-US" w:eastAsia="zh-CN" w:bidi="ar-SA"/>
        </w:rPr>
      </w:pPr>
    </w:p>
    <w:p w14:paraId="7E5F9399">
      <w:pPr>
        <w:snapToGrid w:val="0"/>
        <w:spacing w:before="120" w:after="120" w:line="0" w:lineRule="atLeast"/>
        <w:jc w:val="center"/>
        <w:rPr>
          <w:rFonts w:hint="eastAsia" w:hAnsi="宋体" w:cs="宋体"/>
          <w:bCs/>
          <w:sz w:val="44"/>
        </w:rPr>
        <w:sectPr>
          <w:footerReference r:id="rId3" w:type="default"/>
          <w:pgSz w:w="11906" w:h="16838"/>
          <w:pgMar w:top="1418" w:right="1588" w:bottom="1418" w:left="1365" w:header="851" w:footer="907" w:gutter="0"/>
          <w:cols w:space="720" w:num="1"/>
          <w:titlePg/>
          <w:docGrid w:type="lines" w:linePitch="290" w:charSpace="0"/>
        </w:sectPr>
      </w:pPr>
    </w:p>
    <w:p w14:paraId="3775FAEB">
      <w:pPr>
        <w:pStyle w:val="4"/>
        <w:ind w:firstLine="2429" w:firstLineChars="550"/>
        <w:jc w:val="both"/>
        <w:rPr>
          <w:rFonts w:ascii="宋体" w:hAnsi="宋体" w:eastAsia="宋体" w:cs="宋体"/>
        </w:rPr>
      </w:pPr>
      <w:bookmarkStart w:id="207" w:name="_Toc17085"/>
      <w:bookmarkStart w:id="208" w:name="_Toc20833"/>
      <w:bookmarkStart w:id="209" w:name="_Toc534725607"/>
      <w:bookmarkStart w:id="210" w:name="_Toc494375080"/>
      <w:r>
        <w:rPr>
          <w:rFonts w:hint="eastAsia" w:ascii="宋体" w:hAnsi="宋体" w:eastAsia="宋体" w:cs="宋体"/>
        </w:rPr>
        <w:t>第四章  项目需求</w:t>
      </w:r>
      <w:bookmarkEnd w:id="207"/>
      <w:bookmarkEnd w:id="208"/>
    </w:p>
    <w:p w14:paraId="30FEAF4D">
      <w:pPr>
        <w:keepNext/>
        <w:keepLines/>
        <w:widowControl w:val="0"/>
        <w:spacing w:before="145" w:beforeLines="50" w:after="145" w:afterLines="50" w:line="360" w:lineRule="auto"/>
        <w:ind w:firstLine="498" w:firstLineChars="155"/>
        <w:jc w:val="both"/>
        <w:outlineLvl w:val="2"/>
        <w:rPr>
          <w:rFonts w:ascii="宋体" w:hAnsi="宋体" w:eastAsia="宋体" w:cs="宋体"/>
          <w:b/>
          <w:bCs/>
          <w:kern w:val="2"/>
          <w:sz w:val="32"/>
          <w:szCs w:val="32"/>
          <w:lang w:val="en-US" w:eastAsia="zh-CN" w:bidi="ar-SA"/>
        </w:rPr>
      </w:pPr>
      <w:bookmarkStart w:id="211" w:name="_Toc12132"/>
      <w:bookmarkStart w:id="212" w:name="_Toc22882"/>
      <w:r>
        <w:rPr>
          <w:rFonts w:hint="eastAsia" w:ascii="宋体" w:hAnsi="宋体" w:eastAsia="宋体" w:cs="宋体"/>
          <w:b/>
          <w:bCs/>
          <w:kern w:val="2"/>
          <w:sz w:val="32"/>
          <w:szCs w:val="32"/>
          <w:lang w:val="en-US" w:eastAsia="zh-CN" w:bidi="ar-SA"/>
        </w:rPr>
        <w:t>一、技术需求</w:t>
      </w:r>
      <w:bookmarkEnd w:id="211"/>
      <w:bookmarkEnd w:id="212"/>
    </w:p>
    <w:p w14:paraId="729A51A8">
      <w:pPr>
        <w:keepNext/>
        <w:keepLines/>
        <w:widowControl w:val="0"/>
        <w:spacing w:before="145" w:beforeLines="50" w:after="145" w:afterLines="50" w:line="360" w:lineRule="auto"/>
        <w:ind w:firstLine="498" w:firstLineChars="155"/>
        <w:jc w:val="both"/>
        <w:outlineLvl w:val="2"/>
        <w:rPr>
          <w:rFonts w:ascii="宋体" w:hAnsi="宋体" w:eastAsia="宋体" w:cs="宋体"/>
          <w:b/>
          <w:bCs/>
          <w:kern w:val="2"/>
          <w:sz w:val="32"/>
          <w:szCs w:val="32"/>
          <w:lang w:val="en-US" w:eastAsia="zh-CN" w:bidi="ar-SA"/>
        </w:rPr>
      </w:pPr>
      <w:bookmarkStart w:id="213" w:name="_Toc28251"/>
      <w:r>
        <w:rPr>
          <w:rFonts w:hint="eastAsia" w:ascii="宋体" w:hAnsi="宋体" w:eastAsia="宋体" w:cs="宋体"/>
          <w:b/>
          <w:bCs/>
          <w:kern w:val="2"/>
          <w:sz w:val="32"/>
          <w:szCs w:val="32"/>
          <w:lang w:val="en-US" w:eastAsia="zh-CN" w:bidi="ar-SA"/>
        </w:rPr>
        <w:t>（一）项目概述及需求</w:t>
      </w:r>
      <w:bookmarkEnd w:id="213"/>
    </w:p>
    <w:p w14:paraId="1ABEDB2E">
      <w:pPr>
        <w:keepNext/>
        <w:keepLines/>
        <w:widowControl w:val="0"/>
        <w:ind w:firstLine="422" w:firstLineChars="150"/>
        <w:jc w:val="both"/>
        <w:outlineLvl w:val="3"/>
        <w:rPr>
          <w:rFonts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1.项目背景</w:t>
      </w:r>
    </w:p>
    <w:p w14:paraId="56C86E2D">
      <w:pPr>
        <w:spacing w:line="360" w:lineRule="auto"/>
        <w:ind w:firstLine="420"/>
      </w:pPr>
      <w:r>
        <w:rPr>
          <w:rFonts w:hint="eastAsia"/>
        </w:rPr>
        <w:t>加强数字政府建设是党中央、国务院深刻把握时代发展趋势，立足新发展阶段，从全局和战略高度做出的重大部署，是习近平总书记关于网络强国的重要思想在政府数字化改革领域的具体实践。根据党中央和国务院相关要求，2022年6月国务院印发《关于加强数字政府建设的指导意见》。</w:t>
      </w:r>
    </w:p>
    <w:p w14:paraId="108CC663">
      <w:pPr>
        <w:spacing w:line="360" w:lineRule="auto"/>
        <w:ind w:firstLine="420"/>
      </w:pPr>
      <w:r>
        <w:rPr>
          <w:rFonts w:hint="eastAsia"/>
        </w:rPr>
        <w:t>2022年9月自治区党委办公厅、自治区人民政府办公厅关于印发《自治区数字政府改革建设方案》（新党办发〔2022〕34号），制定了相关行动方案和重点任务，其中提出了包括建设标准统一、布局合理、管理协同、安全可靠的一体化数据资源服务平台体系，加强数据治理和全生命周期质量管理，充分释放数据要素价值，为各级各部门提供数据共享、数据治理、数据管理、数据应用、数据安全等产品化、标准化的统一能力支撑。</w:t>
      </w:r>
    </w:p>
    <w:p w14:paraId="5064B4F0">
      <w:pPr>
        <w:keepNext/>
        <w:keepLines/>
        <w:widowControl w:val="0"/>
        <w:numPr>
          <w:ilvl w:val="0"/>
          <w:numId w:val="2"/>
        </w:numPr>
        <w:tabs>
          <w:tab w:val="left" w:pos="709"/>
        </w:tabs>
        <w:ind w:left="709" w:firstLine="422" w:firstLineChars="150"/>
        <w:jc w:val="both"/>
        <w:outlineLvl w:val="3"/>
        <w:rPr>
          <w:rFonts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项目主要需求</w:t>
      </w:r>
    </w:p>
    <w:p w14:paraId="66284A29">
      <w:pPr>
        <w:spacing w:line="360" w:lineRule="auto"/>
        <w:ind w:firstLine="420"/>
      </w:pPr>
      <w:r>
        <w:rPr>
          <w:rFonts w:hint="eastAsia"/>
        </w:rPr>
        <w:t>深入落实党中央、国务院关于数字中国建设的决策部署，按照国家、自治区对政务信息化项目建设管理的工作要求，在前期完成自治区一体化数据资源平台建设的基础上，开展数据运营工作，并建设高质量数据集相关系统与数据开发，以及宏观经济基础库，以及各类主题库、专题库，支撑数据跨部门、跨层级、跨地区汇聚融合和深度共享利用，推动构建全区一体化数据资源体系，促进数据资源依法依规安全有序高效共享应用。</w:t>
      </w:r>
    </w:p>
    <w:p w14:paraId="0806FE70">
      <w:pPr>
        <w:keepNext/>
        <w:keepLines/>
        <w:widowControl w:val="0"/>
        <w:numPr>
          <w:ilvl w:val="0"/>
          <w:numId w:val="2"/>
        </w:numPr>
        <w:tabs>
          <w:tab w:val="left" w:pos="709"/>
        </w:tabs>
        <w:ind w:left="709" w:firstLine="422" w:firstLineChars="150"/>
        <w:jc w:val="both"/>
        <w:outlineLvl w:val="3"/>
        <w:rPr>
          <w:rFonts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项目采购清单</w:t>
      </w:r>
    </w:p>
    <w:p w14:paraId="24A9EEA2">
      <w:pPr>
        <w:ind w:firstLine="420"/>
        <w:rPr>
          <w:sz w:val="24"/>
          <w:szCs w:val="24"/>
        </w:rPr>
      </w:pPr>
      <w:r>
        <w:rPr>
          <w:rFonts w:hint="eastAsia"/>
          <w:sz w:val="24"/>
          <w:szCs w:val="24"/>
        </w:rPr>
        <w:t>软件采购清单：</w:t>
      </w:r>
    </w:p>
    <w:tbl>
      <w:tblPr>
        <w:tblStyle w:val="18"/>
        <w:tblW w:w="9165" w:type="dxa"/>
        <w:tblInd w:w="113" w:type="dxa"/>
        <w:tblLayout w:type="fixed"/>
        <w:tblCellMar>
          <w:top w:w="0" w:type="dxa"/>
          <w:left w:w="108" w:type="dxa"/>
          <w:bottom w:w="0" w:type="dxa"/>
          <w:right w:w="108" w:type="dxa"/>
        </w:tblCellMar>
      </w:tblPr>
      <w:tblGrid>
        <w:gridCol w:w="788"/>
        <w:gridCol w:w="1425"/>
        <w:gridCol w:w="5770"/>
        <w:gridCol w:w="591"/>
        <w:gridCol w:w="591"/>
      </w:tblGrid>
      <w:tr w14:paraId="5A85D680">
        <w:tblPrEx>
          <w:tblCellMar>
            <w:top w:w="0" w:type="dxa"/>
            <w:left w:w="108" w:type="dxa"/>
            <w:bottom w:w="0" w:type="dxa"/>
            <w:right w:w="108" w:type="dxa"/>
          </w:tblCellMar>
        </w:tblPrEx>
        <w:trPr>
          <w:trHeight w:val="285" w:hRule="atLeast"/>
        </w:trPr>
        <w:tc>
          <w:tcPr>
            <w:tcW w:w="788" w:type="dxa"/>
            <w:tcBorders>
              <w:top w:val="single" w:color="000000" w:sz="4" w:space="0"/>
              <w:left w:val="single" w:color="000000" w:sz="4" w:space="0"/>
              <w:bottom w:val="single" w:color="000000" w:sz="4" w:space="0"/>
              <w:right w:val="single" w:color="000000" w:sz="4" w:space="0"/>
            </w:tcBorders>
            <w:noWrap w:val="0"/>
            <w:vAlign w:val="center"/>
          </w:tcPr>
          <w:p w14:paraId="2431022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43F997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系统名称</w:t>
            </w:r>
          </w:p>
        </w:tc>
        <w:tc>
          <w:tcPr>
            <w:tcW w:w="5770" w:type="dxa"/>
            <w:tcBorders>
              <w:top w:val="single" w:color="000000" w:sz="4" w:space="0"/>
              <w:left w:val="single" w:color="000000" w:sz="4" w:space="0"/>
              <w:bottom w:val="single" w:color="000000" w:sz="4" w:space="0"/>
              <w:right w:val="single" w:color="000000" w:sz="4" w:space="0"/>
            </w:tcBorders>
            <w:noWrap w:val="0"/>
            <w:vAlign w:val="center"/>
          </w:tcPr>
          <w:p w14:paraId="37515C7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模块/工具</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7FC51D7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25AB760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数量</w:t>
            </w:r>
          </w:p>
        </w:tc>
      </w:tr>
      <w:tr w14:paraId="55E44F8A">
        <w:tblPrEx>
          <w:tblCellMar>
            <w:top w:w="0" w:type="dxa"/>
            <w:left w:w="108" w:type="dxa"/>
            <w:bottom w:w="0" w:type="dxa"/>
            <w:right w:w="108" w:type="dxa"/>
          </w:tblCellMar>
        </w:tblPrEx>
        <w:trPr>
          <w:trHeight w:val="1890" w:hRule="atLeast"/>
        </w:trPr>
        <w:tc>
          <w:tcPr>
            <w:tcW w:w="788" w:type="dxa"/>
            <w:tcBorders>
              <w:top w:val="single" w:color="000000" w:sz="4" w:space="0"/>
              <w:left w:val="single" w:color="000000" w:sz="4" w:space="0"/>
              <w:bottom w:val="single" w:color="000000" w:sz="4" w:space="0"/>
              <w:right w:val="single" w:color="000000" w:sz="4" w:space="0"/>
            </w:tcBorders>
            <w:noWrap/>
            <w:vAlign w:val="center"/>
          </w:tcPr>
          <w:p w14:paraId="59F731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425" w:type="dxa"/>
            <w:tcBorders>
              <w:top w:val="nil"/>
              <w:left w:val="single" w:color="000000" w:sz="4" w:space="0"/>
              <w:bottom w:val="single" w:color="000000" w:sz="4" w:space="0"/>
              <w:right w:val="single" w:color="000000" w:sz="4" w:space="0"/>
            </w:tcBorders>
            <w:noWrap w:val="0"/>
            <w:vAlign w:val="center"/>
          </w:tcPr>
          <w:p w14:paraId="6E6EBD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高质量数据集开发系统</w:t>
            </w:r>
          </w:p>
        </w:tc>
        <w:tc>
          <w:tcPr>
            <w:tcW w:w="5770" w:type="dxa"/>
            <w:tcBorders>
              <w:top w:val="single" w:color="000000" w:sz="4" w:space="0"/>
              <w:left w:val="single" w:color="000000" w:sz="4" w:space="0"/>
              <w:bottom w:val="single" w:color="000000" w:sz="4" w:space="0"/>
              <w:right w:val="single" w:color="000000" w:sz="4" w:space="0"/>
            </w:tcBorders>
            <w:noWrap w:val="0"/>
            <w:vAlign w:val="center"/>
          </w:tcPr>
          <w:p w14:paraId="6583C80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据处理子系统面向非结构化数据提供基础数据探查和处理功能，为后续的标注和高质量数据集的管理提供支撑服务；数据标注子系统，是对已经进行了初步处理的数据库表、文本、音频、视频等数据按照业务场景需求，进行人工或自动化标注，从而将原始数据转化为应用于人工智能训练和实际业务需求场景的数据集合。</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4FF61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14:paraId="0F9B7C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bl>
    <w:p w14:paraId="5871844E">
      <w:pPr>
        <w:spacing w:line="360" w:lineRule="auto"/>
        <w:ind w:firstLine="420"/>
      </w:pPr>
      <w:r>
        <w:rPr>
          <w:rFonts w:hint="eastAsia"/>
        </w:rPr>
        <w:t>数据运营服务采购清单：针对自治区本级各部门可以归集到的数据进行数据治理及运营服务，包括以下80个单位（至少满足80家单位，以下清单为参考单位名称，具体单位以项目实际执行情况为准）。清单如下表。</w:t>
      </w:r>
    </w:p>
    <w:tbl>
      <w:tblPr>
        <w:tblStyle w:val="18"/>
        <w:tblW w:w="9167" w:type="dxa"/>
        <w:tblInd w:w="113" w:type="dxa"/>
        <w:tblLayout w:type="fixed"/>
        <w:tblCellMar>
          <w:top w:w="0" w:type="dxa"/>
          <w:left w:w="108" w:type="dxa"/>
          <w:bottom w:w="0" w:type="dxa"/>
          <w:right w:w="108" w:type="dxa"/>
        </w:tblCellMar>
      </w:tblPr>
      <w:tblGrid>
        <w:gridCol w:w="1480"/>
        <w:gridCol w:w="7687"/>
      </w:tblGrid>
      <w:tr w14:paraId="686BAFE9">
        <w:tblPrEx>
          <w:tblCellMar>
            <w:top w:w="0" w:type="dxa"/>
            <w:left w:w="108" w:type="dxa"/>
            <w:bottom w:w="0" w:type="dxa"/>
            <w:right w:w="108" w:type="dxa"/>
          </w:tblCellMar>
        </w:tblPrEx>
        <w:trPr>
          <w:trHeight w:val="54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BB6BA14">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853ADE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服务名称</w:t>
            </w:r>
          </w:p>
        </w:tc>
      </w:tr>
      <w:tr w14:paraId="3F5FC3D4">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0ACC1C2">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一</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B1E5662">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数据目录标准化</w:t>
            </w:r>
          </w:p>
        </w:tc>
      </w:tr>
      <w:tr w14:paraId="1AF23588">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8F2A46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2A3915D">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数据目录分类服务</w:t>
            </w:r>
          </w:p>
        </w:tc>
      </w:tr>
      <w:tr w14:paraId="71829800">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AA0B2B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6411B0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数据目录分级服务</w:t>
            </w:r>
          </w:p>
        </w:tc>
      </w:tr>
      <w:tr w14:paraId="5DC6265B">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D3E02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BF4A5A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数据治理和质量管理</w:t>
            </w:r>
          </w:p>
        </w:tc>
      </w:tr>
      <w:tr w14:paraId="73CE4DA8">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7CF841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B5D539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数据治理服务</w:t>
            </w:r>
          </w:p>
        </w:tc>
      </w:tr>
      <w:tr w14:paraId="774F02BC">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61C2A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BEEA2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自治区市场监督管理局</w:t>
            </w:r>
          </w:p>
        </w:tc>
      </w:tr>
      <w:tr w14:paraId="6F1E1529">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3C586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E2C64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自治区水利厅</w:t>
            </w:r>
          </w:p>
        </w:tc>
      </w:tr>
      <w:tr w14:paraId="5EB5C0A7">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3698F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FFF93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自治区交通运输厅</w:t>
            </w:r>
          </w:p>
        </w:tc>
      </w:tr>
      <w:tr w14:paraId="5A1F8EBF">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FF300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4F374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自治区农业农村厅</w:t>
            </w:r>
          </w:p>
        </w:tc>
      </w:tr>
      <w:tr w14:paraId="6B635146">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3781D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FBE2F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自治区应急管理厅</w:t>
            </w:r>
          </w:p>
        </w:tc>
      </w:tr>
      <w:tr w14:paraId="487390D9">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ED8B7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334BC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自治区生态环境厅</w:t>
            </w:r>
          </w:p>
        </w:tc>
      </w:tr>
      <w:tr w14:paraId="2BDF702C">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782AD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B4D95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自治区人力资源和社会保障厅</w:t>
            </w:r>
          </w:p>
        </w:tc>
      </w:tr>
      <w:tr w14:paraId="5A832088">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44D94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8D28B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自治区住房和城乡建设厅</w:t>
            </w:r>
          </w:p>
        </w:tc>
      </w:tr>
      <w:tr w14:paraId="354C2477">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DEBAC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5E859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自治区公共资源交易中心</w:t>
            </w:r>
          </w:p>
        </w:tc>
      </w:tr>
      <w:tr w14:paraId="15DCC8CC">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291D6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1.10</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E6285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自治区药品监督管理局</w:t>
            </w:r>
          </w:p>
        </w:tc>
      </w:tr>
      <w:tr w14:paraId="16207EFF">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F0418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5FCDC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自治区自然资源厅</w:t>
            </w:r>
          </w:p>
        </w:tc>
      </w:tr>
      <w:tr w14:paraId="15100A10">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42491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98522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自治区发展和改革委员会</w:t>
            </w:r>
          </w:p>
        </w:tc>
      </w:tr>
      <w:tr w14:paraId="2DE63020">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EEE7F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DF371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自治区卫生健康委员会</w:t>
            </w:r>
          </w:p>
        </w:tc>
      </w:tr>
      <w:tr w14:paraId="31C0A642">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A0DD7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1C4F3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自治区民政厅</w:t>
            </w:r>
          </w:p>
        </w:tc>
      </w:tr>
      <w:tr w14:paraId="4F362F0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37DAA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1.15</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16DA1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自治区广播电视局</w:t>
            </w:r>
          </w:p>
        </w:tc>
      </w:tr>
      <w:tr w14:paraId="7BD7316F">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E3C0A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1.16</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BEE2E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自治区医疗保障局</w:t>
            </w:r>
          </w:p>
        </w:tc>
      </w:tr>
      <w:tr w14:paraId="3570928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3D356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1.17</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29A0E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自治区公安厅</w:t>
            </w:r>
          </w:p>
        </w:tc>
      </w:tr>
      <w:tr w14:paraId="49054013">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BF99B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1.18</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AA179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自治区机关事务管理局</w:t>
            </w:r>
          </w:p>
        </w:tc>
      </w:tr>
      <w:tr w14:paraId="618C13EE">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EBDFA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1.19</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A8E43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自治区人民政府国有资产监督管理委员会</w:t>
            </w:r>
          </w:p>
        </w:tc>
      </w:tr>
      <w:tr w14:paraId="5C41010C">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5D83D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1.20</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8C70E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自治区司法厅</w:t>
            </w:r>
          </w:p>
        </w:tc>
      </w:tr>
      <w:tr w14:paraId="1847C10C">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AE72A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0D6D1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国家税务总局自治区税务局</w:t>
            </w:r>
          </w:p>
        </w:tc>
      </w:tr>
      <w:tr w14:paraId="5BF474A4">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94881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C5CAD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自治区文化和旅游厅</w:t>
            </w:r>
          </w:p>
        </w:tc>
      </w:tr>
      <w:tr w14:paraId="1FFC642D">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37ABC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023D1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自治区财政厅</w:t>
            </w:r>
          </w:p>
        </w:tc>
      </w:tr>
      <w:tr w14:paraId="5ABA212B">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54C1F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3C061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自治区商务厅</w:t>
            </w:r>
          </w:p>
        </w:tc>
      </w:tr>
      <w:tr w14:paraId="3F352561">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D7AED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1.25</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2A880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自治区退役军人事务厅</w:t>
            </w:r>
          </w:p>
        </w:tc>
      </w:tr>
      <w:tr w14:paraId="0DFE0EB2">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06AF8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1.26</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39A0C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自治区残疾人联合会</w:t>
            </w:r>
          </w:p>
        </w:tc>
      </w:tr>
      <w:tr w14:paraId="3A13BD0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BF8A6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1.27</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F2A98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自治区工业和信息化厅</w:t>
            </w:r>
          </w:p>
        </w:tc>
      </w:tr>
      <w:tr w14:paraId="5EAB27F0">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06219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1.28</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0C23C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自治区教育厅</w:t>
            </w:r>
          </w:p>
        </w:tc>
      </w:tr>
      <w:tr w14:paraId="36D74846">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E78FB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1.29</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CE662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自治区气象局</w:t>
            </w:r>
          </w:p>
        </w:tc>
      </w:tr>
      <w:tr w14:paraId="49CB358C">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6DA9E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1.30</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C019E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自治区体育局</w:t>
            </w:r>
          </w:p>
        </w:tc>
      </w:tr>
      <w:tr w14:paraId="45C989C1">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A9C42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AC568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自治区科学技术厅</w:t>
            </w:r>
          </w:p>
        </w:tc>
      </w:tr>
      <w:tr w14:paraId="611937DF">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13FC4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AE41C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自治区林业和草原局</w:t>
            </w:r>
          </w:p>
        </w:tc>
      </w:tr>
      <w:tr w14:paraId="1319459F">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98A94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AC59A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自治区地震局</w:t>
            </w:r>
          </w:p>
        </w:tc>
      </w:tr>
      <w:tr w14:paraId="1B92EAED">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1D5AE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DED9F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自治区人大常委会</w:t>
            </w:r>
          </w:p>
        </w:tc>
      </w:tr>
      <w:tr w14:paraId="6F87E4AA">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C9CBF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1.35</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7C9A9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国家矿山安全监察局新疆局</w:t>
            </w:r>
          </w:p>
        </w:tc>
      </w:tr>
      <w:tr w14:paraId="114630E0">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EDACC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1.36</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B79DC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自治区烟草专卖局</w:t>
            </w:r>
          </w:p>
        </w:tc>
      </w:tr>
      <w:tr w14:paraId="1981AC77">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F9F86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1.37</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71AE0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自治区消防救援总队</w:t>
            </w:r>
          </w:p>
        </w:tc>
      </w:tr>
      <w:tr w14:paraId="79182048">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95026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1.38</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3C9E2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乌鲁木齐海关</w:t>
            </w:r>
          </w:p>
        </w:tc>
      </w:tr>
      <w:tr w14:paraId="17036F3B">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D62C0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1.39</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FA900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自治区统计局</w:t>
            </w:r>
          </w:p>
        </w:tc>
      </w:tr>
      <w:tr w14:paraId="63028F6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A3138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1.40</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91499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自治区信访局</w:t>
            </w:r>
          </w:p>
        </w:tc>
      </w:tr>
      <w:tr w14:paraId="6B93F92B">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12B8F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CBC69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自治区国防动员办公室</w:t>
            </w:r>
          </w:p>
        </w:tc>
      </w:tr>
      <w:tr w14:paraId="12B3C763">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654B6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9FA84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自治区邮政管理局</w:t>
            </w:r>
          </w:p>
        </w:tc>
      </w:tr>
      <w:tr w14:paraId="600AE0F0">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C186C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1124B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国家金融监督管理总局新疆监管局</w:t>
            </w:r>
          </w:p>
        </w:tc>
      </w:tr>
      <w:tr w14:paraId="3B1DBAA2">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A597D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7E4ED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自治区粮食和物资储备局</w:t>
            </w:r>
          </w:p>
        </w:tc>
      </w:tr>
      <w:tr w14:paraId="32CE96A2">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9614C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1.45</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5BAF5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自治区森林消防总队</w:t>
            </w:r>
          </w:p>
        </w:tc>
      </w:tr>
      <w:tr w14:paraId="2CF2AAF7">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25FF1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1.46</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5B070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自治区党委网信办</w:t>
            </w:r>
          </w:p>
        </w:tc>
      </w:tr>
      <w:tr w14:paraId="001A748D">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31949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1.47</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393F2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自治区金融办（自治区地方金融管理局）</w:t>
            </w:r>
          </w:p>
        </w:tc>
      </w:tr>
      <w:tr w14:paraId="54895423">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8F974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1.48</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82353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自治区审计厅</w:t>
            </w:r>
          </w:p>
        </w:tc>
      </w:tr>
      <w:tr w14:paraId="6861E3E8">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C2672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1.49</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3F42E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自治区疾病预防控制中心</w:t>
            </w:r>
          </w:p>
        </w:tc>
      </w:tr>
      <w:tr w14:paraId="1FFC40FE">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6ED4D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1.50</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3C3C2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自治区国家安全厅</w:t>
            </w:r>
          </w:p>
        </w:tc>
      </w:tr>
      <w:tr w14:paraId="58EED514">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191DB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28E59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新疆通信管理局</w:t>
            </w:r>
          </w:p>
        </w:tc>
      </w:tr>
      <w:tr w14:paraId="7C85959F">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D963A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0C6D0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中国民用航空新疆管理局</w:t>
            </w:r>
          </w:p>
        </w:tc>
      </w:tr>
      <w:tr w14:paraId="00E6CAC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489B7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F24EB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中国铁路乌鲁木齐局集团有限公司</w:t>
            </w:r>
          </w:p>
        </w:tc>
      </w:tr>
      <w:tr w14:paraId="5A4D64AA">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3F76A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77870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中国人民银行新疆维吾尔自治区分行</w:t>
            </w:r>
          </w:p>
        </w:tc>
      </w:tr>
      <w:tr w14:paraId="4F3D011E">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9546D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1.55</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D328B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中国证券监督管理委员会新疆监管局</w:t>
            </w:r>
          </w:p>
        </w:tc>
      </w:tr>
      <w:tr w14:paraId="5FD5EDB9">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26833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1.56</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CC950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国网新疆电力有限公司</w:t>
            </w:r>
          </w:p>
        </w:tc>
      </w:tr>
      <w:tr w14:paraId="2D4032A0">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D22B1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1.57</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E68C3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自治区高级人民法院</w:t>
            </w:r>
          </w:p>
        </w:tc>
      </w:tr>
      <w:tr w14:paraId="573026F4">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381AD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1.58</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3C635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自治区人民检察院</w:t>
            </w:r>
          </w:p>
        </w:tc>
      </w:tr>
      <w:tr w14:paraId="3C496CD1">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B054E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1.59</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9D849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自治区委员会组织部</w:t>
            </w:r>
          </w:p>
        </w:tc>
      </w:tr>
      <w:tr w14:paraId="07F731E7">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64A66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1.60</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BD508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自治区委员会宣传部</w:t>
            </w:r>
          </w:p>
        </w:tc>
      </w:tr>
      <w:tr w14:paraId="5BA906FA">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0669C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A5F2D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自治区委员会政策研究室(改革办)</w:t>
            </w:r>
          </w:p>
        </w:tc>
      </w:tr>
      <w:tr w14:paraId="7CD2015B">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AF3A0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6EB3D4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自治区机构编制委员会办公室</w:t>
            </w:r>
          </w:p>
        </w:tc>
      </w:tr>
      <w:tr w14:paraId="546C0231">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903FE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D885E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自治区发展和改革委员会(能源局)</w:t>
            </w:r>
          </w:p>
        </w:tc>
      </w:tr>
      <w:tr w14:paraId="252FE32A">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2668D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8724B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自治区外事办公室</w:t>
            </w:r>
          </w:p>
        </w:tc>
      </w:tr>
      <w:tr w14:paraId="6DAD0ADE">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ED32D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1.65</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13DA4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自治区档案馆</w:t>
            </w:r>
          </w:p>
        </w:tc>
      </w:tr>
      <w:tr w14:paraId="33DA9028">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015E7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1.66</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092EE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自治区政协办公厅</w:t>
            </w:r>
          </w:p>
        </w:tc>
      </w:tr>
      <w:tr w14:paraId="1B4E56D9">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00B1C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1.67</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53E0A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自治区工商业联合会</w:t>
            </w:r>
          </w:p>
        </w:tc>
      </w:tr>
      <w:tr w14:paraId="0933C229">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DD6CF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1.68</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439D2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自治区总工会</w:t>
            </w:r>
          </w:p>
        </w:tc>
      </w:tr>
      <w:tr w14:paraId="03E1D0AE">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C80CC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1.69</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FB947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中国共产主义青年团新疆维吾尔自治区委员会</w:t>
            </w:r>
          </w:p>
        </w:tc>
      </w:tr>
      <w:tr w14:paraId="68F7416B">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74002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1.70</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EFD84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自治区妇女联合会</w:t>
            </w:r>
          </w:p>
        </w:tc>
      </w:tr>
      <w:tr w14:paraId="62E754FD">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502BF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8DBEC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自治区科学技术协会</w:t>
            </w:r>
          </w:p>
        </w:tc>
      </w:tr>
      <w:tr w14:paraId="2FA3F5E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6638D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8CEED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自治区文学艺术界联合会</w:t>
            </w:r>
          </w:p>
        </w:tc>
      </w:tr>
      <w:tr w14:paraId="7D01F347">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2DF3D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B6717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自治区归国华侨联合会</w:t>
            </w:r>
          </w:p>
        </w:tc>
      </w:tr>
      <w:tr w14:paraId="660301B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261CC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A179C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自治区社会科学界联合会</w:t>
            </w:r>
          </w:p>
        </w:tc>
      </w:tr>
      <w:tr w14:paraId="66AE39FE">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832AC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1.75</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1BC52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中国国际贸易促进委员会新疆维吾尔自治区分会</w:t>
            </w:r>
          </w:p>
        </w:tc>
      </w:tr>
      <w:tr w14:paraId="432D749F">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052C5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1.76</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3ED9D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自治区红十字会</w:t>
            </w:r>
          </w:p>
        </w:tc>
      </w:tr>
      <w:tr w14:paraId="5F83388A">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1155E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1.77</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EB63E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自治区畜牧兽医局</w:t>
            </w:r>
          </w:p>
        </w:tc>
      </w:tr>
      <w:tr w14:paraId="3D137B78">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7F794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1.78</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17E62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自治区供销合作社联合社</w:t>
            </w:r>
          </w:p>
        </w:tc>
      </w:tr>
      <w:tr w14:paraId="260F5FB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883F7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1.79</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39869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新疆交通投资（集团）有限责任公司</w:t>
            </w:r>
          </w:p>
        </w:tc>
      </w:tr>
      <w:tr w14:paraId="20DC1EC0">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A7264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1.80</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D064F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新疆中泰（集团）有限责任公司</w:t>
            </w:r>
          </w:p>
        </w:tc>
      </w:tr>
      <w:tr w14:paraId="6AC025A9">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E918204">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E0A538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标准化建模服务</w:t>
            </w:r>
          </w:p>
        </w:tc>
      </w:tr>
      <w:tr w14:paraId="0A05583B">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D46E4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634FC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自治区市场监督管理局</w:t>
            </w:r>
          </w:p>
        </w:tc>
      </w:tr>
      <w:tr w14:paraId="140C7CF6">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81B03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96ACD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自治区水利厅</w:t>
            </w:r>
          </w:p>
        </w:tc>
      </w:tr>
      <w:tr w14:paraId="7B66B61D">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C7AAD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1DDEF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自治区交通运输厅</w:t>
            </w:r>
          </w:p>
        </w:tc>
      </w:tr>
      <w:tr w14:paraId="1484386D">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7B2F0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B0E1C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自治区农业农村厅</w:t>
            </w:r>
          </w:p>
        </w:tc>
      </w:tr>
      <w:tr w14:paraId="1EB85A4F">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7A53B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914AB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自治区应急管理厅</w:t>
            </w:r>
          </w:p>
        </w:tc>
      </w:tr>
      <w:tr w14:paraId="15B81DCE">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30F324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948AB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自治区生态环境厅</w:t>
            </w:r>
          </w:p>
        </w:tc>
      </w:tr>
      <w:tr w14:paraId="17FE8A9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66E19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2EC1F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自治区人力资源和社会保障厅</w:t>
            </w:r>
          </w:p>
        </w:tc>
      </w:tr>
      <w:tr w14:paraId="2F3062A4">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15B15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424BC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自治区住房和城乡建设厅</w:t>
            </w:r>
          </w:p>
        </w:tc>
      </w:tr>
      <w:tr w14:paraId="4B2D97A7">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26AA6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BF6CB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自治区公共资源交易中心</w:t>
            </w:r>
          </w:p>
        </w:tc>
      </w:tr>
      <w:tr w14:paraId="5131DFD1">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7B8B2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2.10</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6AD66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自治区药品监督管理局</w:t>
            </w:r>
          </w:p>
        </w:tc>
      </w:tr>
      <w:tr w14:paraId="14675AC6">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98067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D1B66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自治区自然资源厅</w:t>
            </w:r>
          </w:p>
        </w:tc>
      </w:tr>
      <w:tr w14:paraId="37A5A168">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0B6E7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908B7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自治区发展和改革委员会</w:t>
            </w:r>
          </w:p>
        </w:tc>
      </w:tr>
      <w:tr w14:paraId="6C030D40">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D8175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452BD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自治区卫生健康委员会</w:t>
            </w:r>
          </w:p>
        </w:tc>
      </w:tr>
      <w:tr w14:paraId="0363691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14E0C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B326E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自治区民政厅</w:t>
            </w:r>
          </w:p>
        </w:tc>
      </w:tr>
      <w:tr w14:paraId="578A2E24">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53F84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2.15</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9D243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自治区广播电视局</w:t>
            </w:r>
          </w:p>
        </w:tc>
      </w:tr>
      <w:tr w14:paraId="1BDB5488">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5208D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2.16</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23456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自治区医疗保障局</w:t>
            </w:r>
          </w:p>
        </w:tc>
      </w:tr>
      <w:tr w14:paraId="1A43B3C2">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A8899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2.17</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AA708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自治区公安厅</w:t>
            </w:r>
          </w:p>
        </w:tc>
      </w:tr>
      <w:tr w14:paraId="241B3F18">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81905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2.18</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956A4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自治区机关事务管理局</w:t>
            </w:r>
          </w:p>
        </w:tc>
      </w:tr>
      <w:tr w14:paraId="7EF8C3E0">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CFCEA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2.19</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7FEFC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自治区人民政府国有资产监督管理委员会</w:t>
            </w:r>
          </w:p>
        </w:tc>
      </w:tr>
      <w:tr w14:paraId="4E275A58">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17778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2.20</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A9DB7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自治区司法厅</w:t>
            </w:r>
          </w:p>
        </w:tc>
      </w:tr>
      <w:tr w14:paraId="1A38FB8C">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97D16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CB411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国家税务总局自治区税务局</w:t>
            </w:r>
          </w:p>
        </w:tc>
      </w:tr>
      <w:tr w14:paraId="2881C298">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ADE86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85C81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自治区文化和旅游厅</w:t>
            </w:r>
          </w:p>
        </w:tc>
      </w:tr>
      <w:tr w14:paraId="1B8C69B4">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5017B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ABA55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自治区财政厅</w:t>
            </w:r>
          </w:p>
        </w:tc>
      </w:tr>
      <w:tr w14:paraId="39BEC147">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1B5C3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546A5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自治区商务厅</w:t>
            </w:r>
          </w:p>
        </w:tc>
      </w:tr>
      <w:tr w14:paraId="3B256FD4">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27016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2.25</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6065D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自治区退役军人事务厅</w:t>
            </w:r>
          </w:p>
        </w:tc>
      </w:tr>
      <w:tr w14:paraId="0C7A10BD">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C071B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2.26</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17D83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自治区残疾人联合会</w:t>
            </w:r>
          </w:p>
        </w:tc>
      </w:tr>
      <w:tr w14:paraId="06DDA65D">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1CFE7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2.27</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8D401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自治区工业和信息化厅</w:t>
            </w:r>
          </w:p>
        </w:tc>
      </w:tr>
      <w:tr w14:paraId="6080B3F2">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E5CCF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2.28</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C51AC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自治区教育厅</w:t>
            </w:r>
          </w:p>
        </w:tc>
      </w:tr>
      <w:tr w14:paraId="7071584A">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4E1F2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2.29</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B009A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自治区气象局</w:t>
            </w:r>
          </w:p>
        </w:tc>
      </w:tr>
      <w:tr w14:paraId="4E839BE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8C544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2.30</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ECB67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自治区体育局</w:t>
            </w:r>
          </w:p>
        </w:tc>
      </w:tr>
      <w:tr w14:paraId="2BD42B79">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D51CA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3F550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自治区科学技术厅</w:t>
            </w:r>
          </w:p>
        </w:tc>
      </w:tr>
      <w:tr w14:paraId="0FE9E42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FA908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5FD43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自治区林业和草原局</w:t>
            </w:r>
          </w:p>
        </w:tc>
      </w:tr>
      <w:tr w14:paraId="4A92D57D">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9EFD5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E34D2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自治区地震局</w:t>
            </w:r>
          </w:p>
        </w:tc>
      </w:tr>
      <w:tr w14:paraId="55F6BA9D">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4B2E2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7FF70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自治区人大常委会</w:t>
            </w:r>
          </w:p>
        </w:tc>
      </w:tr>
      <w:tr w14:paraId="5F7F0256">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4C153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2.35</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A5F27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国家矿山安全监察局新疆局</w:t>
            </w:r>
          </w:p>
        </w:tc>
      </w:tr>
      <w:tr w14:paraId="17BF7C72">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CD6B7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2.36</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F6FA1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自治区烟草专卖局</w:t>
            </w:r>
          </w:p>
        </w:tc>
      </w:tr>
      <w:tr w14:paraId="44C72CBD">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B02D3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2.37</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D0060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自治区消防救援总队</w:t>
            </w:r>
          </w:p>
        </w:tc>
      </w:tr>
      <w:tr w14:paraId="0065ABD6">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511F0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2.38</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C6983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乌鲁木齐海关</w:t>
            </w:r>
          </w:p>
        </w:tc>
      </w:tr>
      <w:tr w14:paraId="60DFFD30">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20FB2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2.39</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1FCF7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自治区统计局</w:t>
            </w:r>
          </w:p>
        </w:tc>
      </w:tr>
      <w:tr w14:paraId="1219C40F">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2C579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2.40</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3F3A8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自治区信访局</w:t>
            </w:r>
          </w:p>
        </w:tc>
      </w:tr>
      <w:tr w14:paraId="4E038C5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EB77B7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C699DD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数据质量管理服务</w:t>
            </w:r>
          </w:p>
        </w:tc>
      </w:tr>
      <w:tr w14:paraId="2589F437">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313EE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1E3B8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数据质量管理流程</w:t>
            </w:r>
          </w:p>
        </w:tc>
      </w:tr>
      <w:tr w14:paraId="4F0920E2">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61739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00FD0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数据质量稽核服务</w:t>
            </w:r>
          </w:p>
        </w:tc>
      </w:tr>
      <w:tr w14:paraId="4A8FC4F0">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6642C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4CC5A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数据质量评价服务</w:t>
            </w:r>
          </w:p>
        </w:tc>
      </w:tr>
      <w:tr w14:paraId="2B8AF6E4">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EC096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FAE0C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数据质量工单服务</w:t>
            </w:r>
          </w:p>
        </w:tc>
      </w:tr>
      <w:tr w14:paraId="4FD3E156">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9A01C4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三</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1B85C94">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基础库</w:t>
            </w:r>
          </w:p>
        </w:tc>
      </w:tr>
      <w:tr w14:paraId="796CEC1D">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8E0EF68">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4DFEC98">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信用信息库</w:t>
            </w:r>
          </w:p>
        </w:tc>
      </w:tr>
      <w:tr w14:paraId="778EB2BF">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9322FE2">
            <w:pPr>
              <w:widowControl/>
              <w:jc w:val="center"/>
              <w:textAlignment w:val="center"/>
              <w:rPr>
                <w:rFonts w:hint="eastAsia" w:ascii="宋体" w:hAnsi="宋体" w:cs="宋体"/>
                <w:b/>
                <w:bCs/>
                <w:color w:val="000000"/>
                <w:kern w:val="0"/>
                <w:sz w:val="22"/>
                <w:szCs w:val="22"/>
                <w:lang w:bidi="ar"/>
              </w:rPr>
            </w:pPr>
            <w:r>
              <w:rPr>
                <w:rFonts w:hint="eastAsia" w:ascii="宋体" w:hAnsi="宋体" w:cs="宋体"/>
                <w:color w:val="000000"/>
                <w:kern w:val="0"/>
                <w:sz w:val="22"/>
                <w:szCs w:val="22"/>
                <w:lang w:bidi="ar"/>
              </w:rPr>
              <w:t>1.1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92900CC">
            <w:pPr>
              <w:widowControl/>
              <w:jc w:val="center"/>
              <w:textAlignment w:val="center"/>
              <w:rPr>
                <w:rFonts w:hint="eastAsia" w:ascii="宋体" w:hAnsi="宋体" w:cs="宋体"/>
                <w:b/>
                <w:bCs/>
                <w:color w:val="000000"/>
                <w:kern w:val="0"/>
                <w:sz w:val="22"/>
                <w:szCs w:val="22"/>
                <w:lang w:bidi="ar"/>
              </w:rPr>
            </w:pPr>
            <w:r>
              <w:rPr>
                <w:rFonts w:hint="eastAsia" w:ascii="宋体" w:hAnsi="宋体" w:cs="宋体"/>
                <w:color w:val="000000"/>
                <w:kern w:val="0"/>
                <w:sz w:val="22"/>
                <w:szCs w:val="22"/>
                <w:lang w:bidi="ar"/>
              </w:rPr>
              <w:t>个人信用信息库</w:t>
            </w:r>
          </w:p>
        </w:tc>
      </w:tr>
      <w:tr w14:paraId="1132AFCE">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6318394">
            <w:pPr>
              <w:widowControl/>
              <w:jc w:val="center"/>
              <w:textAlignment w:val="center"/>
              <w:rPr>
                <w:rFonts w:hint="eastAsia" w:ascii="宋体" w:hAnsi="宋体" w:cs="宋体"/>
                <w:b/>
                <w:bCs/>
                <w:color w:val="000000"/>
                <w:kern w:val="0"/>
                <w:sz w:val="22"/>
                <w:szCs w:val="22"/>
                <w:lang w:bidi="ar"/>
              </w:rPr>
            </w:pPr>
            <w:r>
              <w:rPr>
                <w:rFonts w:hint="eastAsia" w:ascii="宋体" w:hAnsi="宋体" w:cs="宋体"/>
                <w:color w:val="000000"/>
                <w:kern w:val="0"/>
                <w:sz w:val="22"/>
                <w:szCs w:val="22"/>
                <w:lang w:bidi="ar"/>
              </w:rPr>
              <w:t>1.2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54B3B24">
            <w:pPr>
              <w:widowControl/>
              <w:jc w:val="center"/>
              <w:textAlignment w:val="center"/>
              <w:rPr>
                <w:rFonts w:hint="eastAsia" w:ascii="宋体" w:hAnsi="宋体" w:cs="宋体"/>
                <w:b/>
                <w:bCs/>
                <w:color w:val="000000"/>
                <w:kern w:val="0"/>
                <w:sz w:val="22"/>
                <w:szCs w:val="22"/>
                <w:lang w:bidi="ar"/>
              </w:rPr>
            </w:pPr>
            <w:r>
              <w:rPr>
                <w:rFonts w:hint="eastAsia" w:ascii="宋体" w:hAnsi="宋体" w:cs="宋体"/>
                <w:color w:val="000000"/>
                <w:kern w:val="0"/>
                <w:sz w:val="22"/>
                <w:szCs w:val="22"/>
                <w:lang w:bidi="ar"/>
              </w:rPr>
              <w:t>企业信用信息库</w:t>
            </w:r>
          </w:p>
        </w:tc>
      </w:tr>
      <w:tr w14:paraId="2524E8FB">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D95BB0E">
            <w:pPr>
              <w:widowControl/>
              <w:jc w:val="center"/>
              <w:textAlignment w:val="center"/>
              <w:rPr>
                <w:rFonts w:hint="eastAsia" w:ascii="宋体" w:hAnsi="宋体" w:cs="宋体"/>
                <w:b/>
                <w:bCs/>
                <w:color w:val="000000"/>
                <w:kern w:val="0"/>
                <w:sz w:val="22"/>
                <w:szCs w:val="22"/>
                <w:lang w:bidi="ar"/>
              </w:rPr>
            </w:pPr>
            <w:r>
              <w:rPr>
                <w:rFonts w:hint="eastAsia" w:ascii="宋体" w:hAnsi="宋体" w:cs="宋体"/>
                <w:color w:val="000000"/>
                <w:kern w:val="0"/>
                <w:sz w:val="22"/>
                <w:szCs w:val="22"/>
                <w:lang w:bidi="ar"/>
              </w:rPr>
              <w:t>1.3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6134DEC">
            <w:pPr>
              <w:widowControl/>
              <w:jc w:val="center"/>
              <w:textAlignment w:val="center"/>
              <w:rPr>
                <w:rFonts w:hint="eastAsia" w:ascii="宋体" w:hAnsi="宋体" w:cs="宋体"/>
                <w:b/>
                <w:bCs/>
                <w:color w:val="000000"/>
                <w:kern w:val="0"/>
                <w:sz w:val="22"/>
                <w:szCs w:val="22"/>
                <w:lang w:bidi="ar"/>
              </w:rPr>
            </w:pPr>
            <w:r>
              <w:rPr>
                <w:rFonts w:hint="eastAsia" w:ascii="宋体" w:hAnsi="宋体" w:cs="宋体"/>
                <w:color w:val="000000"/>
                <w:kern w:val="0"/>
                <w:sz w:val="22"/>
                <w:szCs w:val="22"/>
                <w:lang w:bidi="ar"/>
              </w:rPr>
              <w:t>非企业法人信用信息库</w:t>
            </w:r>
          </w:p>
        </w:tc>
      </w:tr>
      <w:tr w14:paraId="17CB2633">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41FF9E8">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4D1E94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宏观经济库</w:t>
            </w:r>
          </w:p>
        </w:tc>
      </w:tr>
      <w:tr w14:paraId="4A72551D">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9E702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F8B51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年度经济数据库</w:t>
            </w:r>
          </w:p>
        </w:tc>
      </w:tr>
      <w:tr w14:paraId="4E1EAA6A">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62522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975F2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季度经济数据库</w:t>
            </w:r>
          </w:p>
        </w:tc>
      </w:tr>
      <w:tr w14:paraId="724DAEF0">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3C3AC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EE3A1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月度经济数据库</w:t>
            </w:r>
          </w:p>
        </w:tc>
      </w:tr>
      <w:tr w14:paraId="42DF133E">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E153D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5BF1E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高频经济数据库</w:t>
            </w:r>
          </w:p>
        </w:tc>
      </w:tr>
      <w:tr w14:paraId="7667909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0770E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B0356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微观经济数据库</w:t>
            </w:r>
          </w:p>
        </w:tc>
      </w:tr>
      <w:tr w14:paraId="1CDF9B30">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F075D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48545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单位经济数据库</w:t>
            </w:r>
          </w:p>
        </w:tc>
      </w:tr>
      <w:tr w14:paraId="04B3B88A">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05FA6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5C456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行业经济数据库</w:t>
            </w:r>
          </w:p>
        </w:tc>
      </w:tr>
      <w:tr w14:paraId="19875A1E">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29605A9">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四</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AF42B1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主题库</w:t>
            </w:r>
          </w:p>
        </w:tc>
      </w:tr>
      <w:tr w14:paraId="55961D28">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EFD2B82">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D2268A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经济调节主题库</w:t>
            </w:r>
          </w:p>
        </w:tc>
      </w:tr>
      <w:tr w14:paraId="0A95BBF1">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7C513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318AE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金融服务主题库</w:t>
            </w:r>
          </w:p>
        </w:tc>
      </w:tr>
      <w:tr w14:paraId="4F158EEF">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5C639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D4389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国资国企监管主题库</w:t>
            </w:r>
          </w:p>
        </w:tc>
      </w:tr>
      <w:tr w14:paraId="067D3BE9">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77EAF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6B9691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经济发展引导主题库</w:t>
            </w:r>
          </w:p>
        </w:tc>
      </w:tr>
      <w:tr w14:paraId="6347033B">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EE558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5EF48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商贸流通主题库</w:t>
            </w:r>
          </w:p>
        </w:tc>
      </w:tr>
      <w:tr w14:paraId="1F17E179">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84136C3">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C91996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产业发展主题库</w:t>
            </w:r>
          </w:p>
        </w:tc>
      </w:tr>
      <w:tr w14:paraId="422D6C2D">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3F7EC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9AD38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工业制造主题库</w:t>
            </w:r>
          </w:p>
        </w:tc>
      </w:tr>
      <w:tr w14:paraId="650D7C5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0F910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50CEB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现代农业主题库</w:t>
            </w:r>
          </w:p>
        </w:tc>
      </w:tr>
      <w:tr w14:paraId="6F8D6B2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DE6A0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D46AA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新能源主题库</w:t>
            </w:r>
          </w:p>
        </w:tc>
      </w:tr>
      <w:tr w14:paraId="5CF6A4C1">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D509C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522E7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科技创新主题库</w:t>
            </w:r>
          </w:p>
        </w:tc>
      </w:tr>
      <w:tr w14:paraId="5CD01A0E">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F4ED4F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57EE4E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营商环境主题库</w:t>
            </w:r>
          </w:p>
        </w:tc>
      </w:tr>
      <w:tr w14:paraId="426DD267">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320D8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1E3B5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企业服务主题库</w:t>
            </w:r>
          </w:p>
        </w:tc>
      </w:tr>
      <w:tr w14:paraId="0E6D8876">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B629D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8632A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融资贷款主题库</w:t>
            </w:r>
          </w:p>
        </w:tc>
      </w:tr>
      <w:tr w14:paraId="0F4D839D">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CD71F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C39A3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市场监管主题库</w:t>
            </w:r>
          </w:p>
        </w:tc>
      </w:tr>
      <w:tr w14:paraId="61BE41A6">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43A25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0E410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企业经营监测主题库</w:t>
            </w:r>
          </w:p>
        </w:tc>
      </w:tr>
      <w:tr w14:paraId="4AB64484">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FA9F55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8A98ED2">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公共服务主题库</w:t>
            </w:r>
          </w:p>
        </w:tc>
      </w:tr>
      <w:tr w14:paraId="55E062E1">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A6CE3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B3B53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教育服务主题库</w:t>
            </w:r>
          </w:p>
        </w:tc>
      </w:tr>
      <w:tr w14:paraId="578D2C12">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87EBA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0A065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医疗健康主题库</w:t>
            </w:r>
          </w:p>
        </w:tc>
      </w:tr>
      <w:tr w14:paraId="0706FD8F">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B3031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86106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社会保障主题库</w:t>
            </w:r>
          </w:p>
        </w:tc>
      </w:tr>
      <w:tr w14:paraId="391D80CE">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38F3A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04720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文化旅游主题库</w:t>
            </w:r>
          </w:p>
        </w:tc>
      </w:tr>
      <w:tr w14:paraId="16021657">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F24F9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4.5</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9AAD7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水电气服务主题库</w:t>
            </w:r>
          </w:p>
        </w:tc>
      </w:tr>
      <w:tr w14:paraId="0A21F149">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FD5E2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4.6</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0A6B5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气象服务主题库</w:t>
            </w:r>
          </w:p>
        </w:tc>
      </w:tr>
      <w:tr w14:paraId="77DB7D26">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1D8B03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5</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07B512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社会管理主题库</w:t>
            </w:r>
          </w:p>
        </w:tc>
      </w:tr>
      <w:tr w14:paraId="214921DE">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AF55E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D3D67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应急管理主题库</w:t>
            </w:r>
          </w:p>
        </w:tc>
      </w:tr>
      <w:tr w14:paraId="1F792538">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C7355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582E0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数字乡村主题库</w:t>
            </w:r>
          </w:p>
        </w:tc>
      </w:tr>
      <w:tr w14:paraId="657E9DBA">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3F176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26C50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生态环境主题库</w:t>
            </w:r>
          </w:p>
        </w:tc>
      </w:tr>
      <w:tr w14:paraId="5833A02B">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2C5BC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2F6C1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交通运输主题库</w:t>
            </w:r>
          </w:p>
        </w:tc>
      </w:tr>
      <w:tr w14:paraId="20A1739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5B8D702">
            <w:pPr>
              <w:widowControl/>
              <w:jc w:val="center"/>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五</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71B790D">
            <w:pPr>
              <w:widowControl/>
              <w:jc w:val="center"/>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专题库</w:t>
            </w:r>
          </w:p>
        </w:tc>
      </w:tr>
      <w:tr w14:paraId="571C6638">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A45564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51CDBA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重点行业专题库</w:t>
            </w:r>
          </w:p>
        </w:tc>
      </w:tr>
      <w:tr w14:paraId="2773F3BD">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557D5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0DFAF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煤炭专题库</w:t>
            </w:r>
          </w:p>
        </w:tc>
      </w:tr>
      <w:tr w14:paraId="0521EC9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882AB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6B2C7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电力专题库</w:t>
            </w:r>
          </w:p>
        </w:tc>
      </w:tr>
      <w:tr w14:paraId="1F22FA83">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B8C06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46808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油气化专题库</w:t>
            </w:r>
          </w:p>
        </w:tc>
      </w:tr>
      <w:tr w14:paraId="32719593">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55A77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9A4A4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其他行业专题库</w:t>
            </w:r>
          </w:p>
        </w:tc>
      </w:tr>
      <w:tr w14:paraId="4BC14344">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8004DC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475AE7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地州数据回流专题库</w:t>
            </w:r>
          </w:p>
        </w:tc>
      </w:tr>
      <w:tr w14:paraId="48F5A97F">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B0D1F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93333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乌鲁木齐市数据回流专题库</w:t>
            </w:r>
          </w:p>
        </w:tc>
      </w:tr>
      <w:tr w14:paraId="576DDAB3">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87276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BA6C4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伊犁州数据回流专题库</w:t>
            </w:r>
          </w:p>
        </w:tc>
      </w:tr>
      <w:tr w14:paraId="6809F5D8">
        <w:tblPrEx>
          <w:tblCellMar>
            <w:top w:w="0" w:type="dxa"/>
            <w:left w:w="108" w:type="dxa"/>
            <w:bottom w:w="0" w:type="dxa"/>
            <w:right w:w="108" w:type="dxa"/>
          </w:tblCellMar>
        </w:tblPrEx>
        <w:trPr>
          <w:trHeight w:val="9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4F188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CDA95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喀什地区数据回流专题库</w:t>
            </w:r>
          </w:p>
        </w:tc>
      </w:tr>
      <w:tr w14:paraId="27F6C1D1">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49D39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9FE23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阿勒泰地区数据回流</w:t>
            </w:r>
          </w:p>
        </w:tc>
      </w:tr>
      <w:tr w14:paraId="32A2D227">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0CCE0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61A96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克拉玛依市数据回流</w:t>
            </w:r>
          </w:p>
        </w:tc>
      </w:tr>
      <w:tr w14:paraId="5CD6E5D8">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71E0C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9A1C7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博州数据回流</w:t>
            </w:r>
          </w:p>
        </w:tc>
      </w:tr>
      <w:tr w14:paraId="53B9863F">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1A1D5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296BD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巴州数据回流</w:t>
            </w:r>
          </w:p>
        </w:tc>
      </w:tr>
      <w:tr w14:paraId="7A98D7D1">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7C9B1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47FAE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吐鲁番市数据回流</w:t>
            </w:r>
          </w:p>
        </w:tc>
      </w:tr>
      <w:tr w14:paraId="4800EC5E">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32CA2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F084B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哈密市数据回流</w:t>
            </w:r>
          </w:p>
        </w:tc>
      </w:tr>
      <w:tr w14:paraId="6005190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3C8DF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2.10</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1B41B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阿克苏地区数据回流</w:t>
            </w:r>
          </w:p>
        </w:tc>
      </w:tr>
      <w:tr w14:paraId="7F9315EA">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FEEA7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F832F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和田地区数据回流</w:t>
            </w:r>
          </w:p>
        </w:tc>
      </w:tr>
      <w:tr w14:paraId="0A48E9C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EAFCA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95893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克州数据回流</w:t>
            </w:r>
          </w:p>
        </w:tc>
      </w:tr>
      <w:tr w14:paraId="36994734">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FCBEA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A12FA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昌吉州数据回流</w:t>
            </w:r>
          </w:p>
        </w:tc>
      </w:tr>
      <w:tr w14:paraId="03EDFBC7">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72287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D8EC7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塔城地区数据回流</w:t>
            </w:r>
          </w:p>
        </w:tc>
      </w:tr>
      <w:tr w14:paraId="1A52328D">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9585C9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E5579C2">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数据共享交换专题库</w:t>
            </w:r>
          </w:p>
        </w:tc>
      </w:tr>
      <w:tr w14:paraId="015348F7">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C2C72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DA9F8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“党员信息库”专题库</w:t>
            </w:r>
          </w:p>
        </w:tc>
      </w:tr>
      <w:tr w14:paraId="0BF86B19">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4139F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5AC9D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升规纳统专题库</w:t>
            </w:r>
          </w:p>
        </w:tc>
      </w:tr>
      <w:tr w14:paraId="4B27FB2F">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B6E26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9C847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经济监测预测专题库</w:t>
            </w:r>
          </w:p>
        </w:tc>
      </w:tr>
      <w:tr w14:paraId="0EA7D68F">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CD075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D7FC7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成品油监管专题库</w:t>
            </w:r>
          </w:p>
        </w:tc>
      </w:tr>
      <w:tr w14:paraId="694121EC">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6377F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EF951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数据共享咨询服务</w:t>
            </w:r>
          </w:p>
        </w:tc>
      </w:tr>
      <w:tr w14:paraId="3101CEEC">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14D33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980A8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数据共享流程协理</w:t>
            </w:r>
          </w:p>
        </w:tc>
      </w:tr>
      <w:tr w14:paraId="14A77081">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FB435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9A756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数据共享执行和实施服务</w:t>
            </w:r>
          </w:p>
        </w:tc>
      </w:tr>
      <w:tr w14:paraId="7ABEEC7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8668E7D">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六</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5ADF7A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公共数据开放运营</w:t>
            </w:r>
          </w:p>
        </w:tc>
      </w:tr>
      <w:tr w14:paraId="3B8E07F1">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2EB08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1C8F6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开放数据资源处理</w:t>
            </w:r>
          </w:p>
        </w:tc>
      </w:tr>
      <w:tr w14:paraId="21B56BFB">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7F658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E4B47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开放数据组织处理</w:t>
            </w:r>
          </w:p>
        </w:tc>
      </w:tr>
      <w:tr w14:paraId="158F639C">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8EF94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DCA05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数据开放技术流程</w:t>
            </w:r>
          </w:p>
        </w:tc>
      </w:tr>
      <w:tr w14:paraId="13F4D9D2">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75154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611491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开放数据资源编目</w:t>
            </w:r>
          </w:p>
        </w:tc>
      </w:tr>
      <w:tr w14:paraId="56D347E6">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9440A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99AAE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公共开放数据的采集</w:t>
            </w:r>
          </w:p>
        </w:tc>
      </w:tr>
      <w:tr w14:paraId="7419E51C">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73C70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E8D34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公共开放数据的加工</w:t>
            </w:r>
          </w:p>
        </w:tc>
      </w:tr>
      <w:tr w14:paraId="78F278C7">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D29CD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85140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公共开放数据的装载</w:t>
            </w:r>
          </w:p>
        </w:tc>
      </w:tr>
      <w:tr w14:paraId="42D87ED8">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5291C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70F99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公共开放数据的发布</w:t>
            </w:r>
          </w:p>
        </w:tc>
      </w:tr>
      <w:tr w14:paraId="69882820">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AA9D0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2EA05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公共开放数据的创新应用</w:t>
            </w:r>
          </w:p>
        </w:tc>
      </w:tr>
      <w:tr w14:paraId="6BEFBC4D">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6BED2D3">
            <w:pPr>
              <w:widowControl/>
              <w:jc w:val="center"/>
              <w:textAlignment w:val="center"/>
              <w:rPr>
                <w:rFonts w:ascii="宋体" w:hAnsi="宋体" w:cs="宋体"/>
                <w:b/>
                <w:bCs/>
                <w:color w:val="000000"/>
                <w:sz w:val="22"/>
                <w:szCs w:val="22"/>
              </w:rPr>
            </w:pPr>
            <w:r>
              <w:rPr>
                <w:rFonts w:hint="eastAsia" w:ascii="宋体" w:hAnsi="宋体" w:cs="宋体"/>
                <w:b/>
                <w:bCs/>
                <w:color w:val="000000"/>
                <w:sz w:val="22"/>
                <w:szCs w:val="22"/>
              </w:rPr>
              <w:t>七</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AF128DD">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高质量数据运营</w:t>
            </w:r>
          </w:p>
        </w:tc>
      </w:tr>
      <w:tr w14:paraId="1BC63DF6">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5832B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B8B2C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公共服务相关高质量数据集</w:t>
            </w:r>
          </w:p>
        </w:tc>
      </w:tr>
      <w:tr w14:paraId="20EB2A99">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ACA58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527DE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教育资源分布高质量数据集</w:t>
            </w:r>
          </w:p>
        </w:tc>
      </w:tr>
      <w:tr w14:paraId="658065DA">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BA7A5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CC621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社区人口健康高质量数据集</w:t>
            </w:r>
          </w:p>
        </w:tc>
      </w:tr>
      <w:tr w14:paraId="7EC6D02C">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BA29E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16168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求职信息查询高质量数据集</w:t>
            </w:r>
          </w:p>
        </w:tc>
      </w:tr>
      <w:tr w14:paraId="57983951">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DBE00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BB4F7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空气质量监测高质量数据集</w:t>
            </w:r>
          </w:p>
        </w:tc>
      </w:tr>
      <w:tr w14:paraId="7E0B400E">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A4CEC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E0686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交通网络规划高质量数据集</w:t>
            </w:r>
          </w:p>
        </w:tc>
      </w:tr>
      <w:tr w14:paraId="1BB8AD81">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CE41F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901EE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企业服务相关高质量数据集</w:t>
            </w:r>
          </w:p>
        </w:tc>
      </w:tr>
      <w:tr w14:paraId="1D7493B8">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4D8D3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7A6325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企业信贷综合评价高质量数据集</w:t>
            </w:r>
          </w:p>
        </w:tc>
      </w:tr>
      <w:tr w14:paraId="3E372BC9">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7EC48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8D1C8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企业活跃度高质量数据集</w:t>
            </w:r>
          </w:p>
        </w:tc>
      </w:tr>
      <w:tr w14:paraId="2B4460C7">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219BE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59D80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惠企政策对接高质量数据集</w:t>
            </w:r>
          </w:p>
        </w:tc>
      </w:tr>
      <w:tr w14:paraId="590A2967">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0368B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38A6F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农业服务相关高质量数据集</w:t>
            </w:r>
          </w:p>
        </w:tc>
      </w:tr>
      <w:tr w14:paraId="7FD65FD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DEB41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C367F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农产品和服务高质量数据集</w:t>
            </w:r>
          </w:p>
        </w:tc>
      </w:tr>
      <w:tr w14:paraId="57D7E87A">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B69EA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1BC03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农业气象灾害预警高质量数据集</w:t>
            </w:r>
          </w:p>
        </w:tc>
      </w:tr>
      <w:tr w14:paraId="7A3569FD">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F6BC2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4B7CA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农业科技创新成果应用高质量数据集</w:t>
            </w:r>
          </w:p>
        </w:tc>
      </w:tr>
      <w:tr w14:paraId="46B945A8">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19EC7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E6217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文旅服务相关高质量数据集</w:t>
            </w:r>
          </w:p>
        </w:tc>
      </w:tr>
      <w:tr w14:paraId="26A48A83">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0C081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1529A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特色文化遗产高质量数据集</w:t>
            </w:r>
          </w:p>
        </w:tc>
      </w:tr>
      <w:tr w14:paraId="0476C1C3">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9576C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8E078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文旅活动服务高质量数据集</w:t>
            </w:r>
          </w:p>
        </w:tc>
      </w:tr>
      <w:tr w14:paraId="44301041">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8E046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E6045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文旅产业监测预警高质量数据集</w:t>
            </w:r>
          </w:p>
        </w:tc>
      </w:tr>
      <w:tr w14:paraId="4DE843AE">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B67C7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55097C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地理信息服务相关高质量数据集</w:t>
            </w:r>
          </w:p>
        </w:tc>
      </w:tr>
      <w:tr w14:paraId="4B569694">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A97BB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5D57C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城市规划支撑高质量数据集</w:t>
            </w:r>
          </w:p>
        </w:tc>
      </w:tr>
      <w:tr w14:paraId="1B8EEE8A">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4B705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2F3E59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高精度地形高质量数据集</w:t>
            </w:r>
          </w:p>
        </w:tc>
      </w:tr>
      <w:tr w14:paraId="78EE654E">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B9925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5747D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能源管理服务相关高质量数据集</w:t>
            </w:r>
          </w:p>
        </w:tc>
      </w:tr>
      <w:tr w14:paraId="13DCEAE8">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2A71D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6.1</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4ED972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煤炭生产与销售高质量数据集</w:t>
            </w:r>
          </w:p>
        </w:tc>
      </w:tr>
      <w:tr w14:paraId="3D1DA3E9">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05701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6.2</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3E52D9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电力生产与消费高质量数据集</w:t>
            </w:r>
          </w:p>
        </w:tc>
      </w:tr>
      <w:tr w14:paraId="4825AF7B">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CD6E3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6.3</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018B5D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油气生产与销售高质量数据集</w:t>
            </w:r>
          </w:p>
        </w:tc>
      </w:tr>
      <w:tr w14:paraId="5D6720C5">
        <w:tblPrEx>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16FE7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6.4</w:t>
            </w:r>
          </w:p>
        </w:tc>
        <w:tc>
          <w:tcPr>
            <w:tcW w:w="7687" w:type="dxa"/>
            <w:tcBorders>
              <w:top w:val="single" w:color="000000" w:sz="4" w:space="0"/>
              <w:left w:val="single" w:color="000000" w:sz="4" w:space="0"/>
              <w:bottom w:val="single" w:color="000000" w:sz="4" w:space="0"/>
              <w:right w:val="single" w:color="000000" w:sz="4" w:space="0"/>
            </w:tcBorders>
            <w:noWrap w:val="0"/>
            <w:vAlign w:val="center"/>
          </w:tcPr>
          <w:p w14:paraId="1EA93F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矿产资源高质量数据集</w:t>
            </w:r>
          </w:p>
        </w:tc>
      </w:tr>
    </w:tbl>
    <w:p w14:paraId="7FFAF8F2">
      <w:pPr>
        <w:rPr>
          <w:sz w:val="24"/>
          <w:szCs w:val="24"/>
        </w:rPr>
      </w:pPr>
    </w:p>
    <w:p w14:paraId="50D6EA7B">
      <w:pPr>
        <w:keepNext/>
        <w:keepLines/>
        <w:widowControl w:val="0"/>
        <w:spacing w:before="145" w:beforeLines="50" w:after="145" w:afterLines="50" w:line="360" w:lineRule="auto"/>
        <w:ind w:firstLine="498" w:firstLineChars="155"/>
        <w:jc w:val="both"/>
        <w:outlineLvl w:val="2"/>
        <w:rPr>
          <w:rFonts w:ascii="宋体" w:hAnsi="宋体" w:eastAsia="宋体" w:cs="宋体"/>
          <w:b/>
          <w:bCs/>
          <w:kern w:val="2"/>
          <w:sz w:val="32"/>
          <w:szCs w:val="32"/>
          <w:lang w:val="en-US" w:eastAsia="zh-CN" w:bidi="ar-SA"/>
        </w:rPr>
      </w:pPr>
      <w:bookmarkStart w:id="214" w:name="_Toc534725609"/>
      <w:bookmarkStart w:id="215" w:name="_Toc534816638"/>
      <w:bookmarkStart w:id="216" w:name="_Toc3558"/>
      <w:r>
        <w:rPr>
          <w:rFonts w:hint="eastAsia" w:ascii="宋体" w:hAnsi="宋体" w:eastAsia="宋体" w:cs="宋体"/>
          <w:b/>
          <w:bCs/>
          <w:kern w:val="2"/>
          <w:sz w:val="32"/>
          <w:szCs w:val="32"/>
          <w:lang w:val="en-US" w:eastAsia="zh-CN" w:bidi="ar-SA"/>
        </w:rPr>
        <w:t>（二）</w:t>
      </w:r>
      <w:bookmarkEnd w:id="214"/>
      <w:bookmarkEnd w:id="215"/>
      <w:r>
        <w:rPr>
          <w:rFonts w:hint="eastAsia" w:ascii="宋体" w:hAnsi="宋体" w:eastAsia="宋体" w:cs="宋体"/>
          <w:b/>
          <w:bCs/>
          <w:kern w:val="2"/>
          <w:sz w:val="32"/>
          <w:szCs w:val="32"/>
          <w:lang w:val="en-US" w:eastAsia="zh-CN" w:bidi="ar-SA"/>
        </w:rPr>
        <w:t>项目技术规格及要求</w:t>
      </w:r>
      <w:bookmarkEnd w:id="216"/>
    </w:p>
    <w:p w14:paraId="21099C9F">
      <w:pPr>
        <w:keepNext/>
        <w:keepLines/>
        <w:widowControl w:val="0"/>
        <w:numPr>
          <w:ilvl w:val="0"/>
          <w:numId w:val="3"/>
        </w:numPr>
        <w:tabs>
          <w:tab w:val="left" w:pos="312"/>
        </w:tabs>
        <w:ind w:left="0" w:firstLine="420" w:firstLineChars="0"/>
        <w:jc w:val="both"/>
        <w:outlineLvl w:val="3"/>
        <w:rPr>
          <w:rFonts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高质量数据集开发系统建设</w:t>
      </w:r>
    </w:p>
    <w:p w14:paraId="21C19B4A">
      <w:pPr>
        <w:keepNext/>
        <w:widowControl w:val="0"/>
        <w:numPr>
          <w:ilvl w:val="1"/>
          <w:numId w:val="0"/>
        </w:numPr>
        <w:autoSpaceDE w:val="0"/>
        <w:autoSpaceDN w:val="0"/>
        <w:adjustRightInd w:val="0"/>
        <w:ind w:left="567" w:hanging="567"/>
        <w:jc w:val="both"/>
        <w:outlineLvl w:val="4"/>
        <w:rPr>
          <w:rFonts w:ascii="宋体" w:hAnsi="Times New Roman" w:eastAsia="宋体" w:cs="Times New Roman"/>
          <w:color w:val="000000"/>
          <w:kern w:val="0"/>
          <w:sz w:val="28"/>
          <w:szCs w:val="28"/>
          <w:lang w:val="en-US" w:eastAsia="zh-CN" w:bidi="ar-SA"/>
        </w:rPr>
      </w:pPr>
      <w:r>
        <w:rPr>
          <w:rFonts w:hint="eastAsia" w:ascii="宋体" w:hAnsi="Times New Roman" w:eastAsia="宋体" w:cs="Times New Roman"/>
          <w:color w:val="000000"/>
          <w:kern w:val="0"/>
          <w:sz w:val="28"/>
          <w:szCs w:val="28"/>
          <w:lang w:val="en-US" w:eastAsia="zh-CN" w:bidi="ar-SA"/>
        </w:rPr>
        <w:t>1.1数据处理子系统</w:t>
      </w:r>
    </w:p>
    <w:p w14:paraId="7D0BDAF3">
      <w:pPr>
        <w:spacing w:line="360" w:lineRule="auto"/>
        <w:ind w:firstLine="420"/>
      </w:pPr>
      <w:r>
        <w:rPr>
          <w:rFonts w:hint="eastAsia"/>
        </w:rPr>
        <w:t>数据处理系统在前期完成结构化数据处理的基础上，增加对非结构化数据处理功能。系统面向非结构化数据提供基础数据探查和处理功能，为后续的标注和高质量数据集的管理提供系统支撑。</w:t>
      </w:r>
    </w:p>
    <w:p w14:paraId="2078124A">
      <w:pPr>
        <w:keepNext/>
        <w:keepLines/>
        <w:widowControl w:val="0"/>
        <w:numPr>
          <w:ilvl w:val="5"/>
          <w:numId w:val="1"/>
        </w:numPr>
        <w:spacing w:before="240" w:after="64" w:line="320" w:lineRule="auto"/>
        <w:jc w:val="both"/>
        <w:outlineLvl w:val="5"/>
        <w:rPr>
          <w:rFonts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1.1.1非结构化数据采集</w:t>
      </w:r>
    </w:p>
    <w:p w14:paraId="3BCEC706">
      <w:pPr>
        <w:spacing w:line="360" w:lineRule="auto"/>
        <w:ind w:firstLine="420"/>
      </w:pPr>
      <w:r>
        <w:rPr>
          <w:rFonts w:hint="eastAsia"/>
        </w:rPr>
        <w:t>针对音频、文本、视频等数据，进行源数据采集。系统须支持内置采集器和自定义采集器统一管理，采集方式包括文件、接口，支持通过采集器名称、资源类型、采集方式查询筛选。</w:t>
      </w:r>
    </w:p>
    <w:p w14:paraId="78CA6F00">
      <w:pPr>
        <w:keepNext/>
        <w:keepLines/>
        <w:widowControl w:val="0"/>
        <w:numPr>
          <w:ilvl w:val="5"/>
          <w:numId w:val="1"/>
        </w:numPr>
        <w:spacing w:before="240" w:after="64" w:line="320" w:lineRule="auto"/>
        <w:jc w:val="both"/>
        <w:outlineLvl w:val="5"/>
        <w:rPr>
          <w:rFonts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1.1.2文本数据处理</w:t>
      </w:r>
    </w:p>
    <w:p w14:paraId="5FF2101B">
      <w:pPr>
        <w:spacing w:line="360" w:lineRule="auto"/>
        <w:ind w:firstLine="420"/>
      </w:pPr>
      <w:r>
        <w:rPr>
          <w:rFonts w:hint="eastAsia"/>
        </w:rPr>
        <w:t>将获取的OFD、PDF、图片文本化，提取元数据信息（文件格式、大小、版本等），检测文件完整性和重复性，并将文本内容结构化，将结构化数据标准化，即将文档或者图片中的文字信息转换为可编辑文本，为数据标注和应用提供可识别的数据。</w:t>
      </w:r>
    </w:p>
    <w:p w14:paraId="1F6C37BF">
      <w:pPr>
        <w:spacing w:line="360" w:lineRule="auto"/>
        <w:ind w:firstLine="420"/>
      </w:pPr>
      <w:r>
        <w:rPr>
          <w:rFonts w:hint="eastAsia"/>
        </w:rPr>
        <w:t>全文提取，系统需支持对同类型多资源、资源内多文件进行全文内容提取，通过任务列表统一管理和维护；需要支持将各类常见文档（OFD、PDF、WORD等）以及图片中的文字信息按照文档原有的格式进行文本识别和还原，即将文档或者图片中的文字信息转换为可编辑文本。</w:t>
      </w:r>
    </w:p>
    <w:p w14:paraId="2D79C4DF">
      <w:pPr>
        <w:keepNext/>
        <w:keepLines/>
        <w:widowControl w:val="0"/>
        <w:numPr>
          <w:ilvl w:val="5"/>
          <w:numId w:val="1"/>
        </w:numPr>
        <w:spacing w:before="240" w:after="64" w:line="320" w:lineRule="auto"/>
        <w:jc w:val="both"/>
        <w:outlineLvl w:val="5"/>
        <w:rPr>
          <w:rFonts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1.1.3视频数据处理</w:t>
      </w:r>
    </w:p>
    <w:p w14:paraId="3AFD16BE">
      <w:pPr>
        <w:spacing w:line="360" w:lineRule="auto"/>
        <w:ind w:firstLine="420"/>
      </w:pPr>
      <w:r>
        <w:rPr>
          <w:rFonts w:hint="eastAsia"/>
        </w:rPr>
        <w:t>视频数据处理功能，主要是通过提取视频数据信息，例如时间特性（视频时长分布）、空间特性（分辨率/宽高比统计）、编码特性（码率/关键帧间隔）和内容特性（平均亮度/色彩分布）等信息，对视频数据进行探查、缺陷检测和关键帧提取等操作，形成面向管理和标注的可理解可操作数据对象。</w:t>
      </w:r>
    </w:p>
    <w:p w14:paraId="1573AF4B">
      <w:pPr>
        <w:spacing w:line="360" w:lineRule="auto"/>
        <w:ind w:firstLine="420"/>
      </w:pPr>
      <w:r>
        <w:rPr>
          <w:rFonts w:hint="eastAsia"/>
        </w:rPr>
        <w:t>（1）视频数据的清洗和探查分析，针对采集的离线视频数据尤其是大量重复低价值的视频数据进行过滤或压缩，识别和压缩掉大量重复帧，保留高价值的视频数据。</w:t>
      </w:r>
    </w:p>
    <w:p w14:paraId="1DB2FDA4">
      <w:pPr>
        <w:spacing w:line="360" w:lineRule="auto"/>
        <w:ind w:firstLine="420"/>
      </w:pPr>
      <w:r>
        <w:rPr>
          <w:rFonts w:hint="eastAsia"/>
        </w:rPr>
        <w:t>（2）视频质量缺陷检测与修复，主要针对视频文件的完整性、跨平台兼容性检查，及时发现视频文件缺陷。</w:t>
      </w:r>
    </w:p>
    <w:p w14:paraId="12841C6C">
      <w:pPr>
        <w:spacing w:line="360" w:lineRule="auto"/>
        <w:ind w:firstLine="420"/>
      </w:pPr>
      <w:r>
        <w:rPr>
          <w:rFonts w:hint="eastAsia"/>
        </w:rPr>
        <w:t>（3）视频数据关键帧抽取和存储，视频数据的基础组成单元是视频帧，所有的视频分析工作基本上均是基于视频帧开展，对于离线的视频数据，从中抽取出一些高价值的关键帧作为视频分析的主要内容，相应的帧数据进行一定的归档保存。</w:t>
      </w:r>
    </w:p>
    <w:p w14:paraId="0EACB42E">
      <w:pPr>
        <w:spacing w:line="360" w:lineRule="auto"/>
        <w:ind w:firstLine="420"/>
      </w:pPr>
      <w:r>
        <w:rPr>
          <w:rFonts w:hint="eastAsia"/>
        </w:rPr>
        <w:t>（4）视频处理，系统需要支持格式转换、分辨率重设、视频切片、相似视频检测、大面积文字检测、视频图像、质量检测、运镜检测、静态视频检测和视频抽帧等操作。</w:t>
      </w:r>
    </w:p>
    <w:p w14:paraId="418C1DC6">
      <w:pPr>
        <w:spacing w:line="360" w:lineRule="auto"/>
        <w:ind w:firstLine="420"/>
      </w:pPr>
      <w:r>
        <w:rPr>
          <w:rFonts w:hint="eastAsia"/>
        </w:rPr>
        <w:t>（5）图片处理，系统需要支持批量自动处理和单线程处理的方式，对图片进行格式转换、旋转、大小重设、裁剪等操作，以及对饱和度、对比度、亮度等进行处理。</w:t>
      </w:r>
    </w:p>
    <w:p w14:paraId="19A3A22F">
      <w:pPr>
        <w:keepNext/>
        <w:keepLines/>
        <w:widowControl w:val="0"/>
        <w:numPr>
          <w:ilvl w:val="5"/>
          <w:numId w:val="1"/>
        </w:numPr>
        <w:spacing w:before="240" w:after="64" w:line="320" w:lineRule="auto"/>
        <w:jc w:val="both"/>
        <w:outlineLvl w:val="5"/>
        <w:rPr>
          <w:rFonts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1.1.4音频数据处理</w:t>
      </w:r>
    </w:p>
    <w:p w14:paraId="3862D3ED">
      <w:pPr>
        <w:spacing w:line="360" w:lineRule="auto"/>
        <w:ind w:firstLine="420"/>
      </w:pPr>
      <w:r>
        <w:rPr>
          <w:rFonts w:hint="eastAsia"/>
        </w:rPr>
        <w:t>音频数据结构化功能，需对所采集的音频数据进行清洗，并将音频转换成文本数据，以便在后续应用或标注中可以做为自然语言进行处理，实现对音频数据的价值提炼。需要支持以下功能：</w:t>
      </w:r>
    </w:p>
    <w:p w14:paraId="4735B913">
      <w:pPr>
        <w:spacing w:line="360" w:lineRule="auto"/>
        <w:ind w:firstLine="420"/>
      </w:pPr>
      <w:r>
        <w:rPr>
          <w:rFonts w:hint="eastAsia"/>
        </w:rPr>
        <w:t>（1）音频数据探查和清洗，对音频中的噪音及无意义音频进行过滤，对音频数据进行探查，完成音频数据清洗，从而保留高质量的音频段，为进一步分析提供基础数据。</w:t>
      </w:r>
    </w:p>
    <w:p w14:paraId="5A82BDFA">
      <w:pPr>
        <w:spacing w:line="360" w:lineRule="auto"/>
        <w:ind w:firstLine="420"/>
      </w:pPr>
      <w:r>
        <w:rPr>
          <w:rFonts w:hint="eastAsia"/>
        </w:rPr>
        <w:t>（2）提取音频文本，是从音频中提取文字信息，并按照语义智能添加标点符号，将文本数据格式进行统一，例如对电话号码、价格等进行格式统一，同时具备时间戳对齐功能，将相关文本与对应音频出现的时间进。</w:t>
      </w:r>
    </w:p>
    <w:p w14:paraId="1ED58C2C">
      <w:pPr>
        <w:spacing w:line="360" w:lineRule="auto"/>
        <w:ind w:firstLine="420"/>
      </w:pPr>
      <w:r>
        <w:rPr>
          <w:rFonts w:hint="eastAsia"/>
        </w:rPr>
        <w:t>（3）处理方式，系统须支持采用批量自动处理和单线程处理的方式，实现对音频的格式转换、音频抽帧等操作。</w:t>
      </w:r>
    </w:p>
    <w:p w14:paraId="4558AE05">
      <w:pPr>
        <w:keepNext/>
        <w:widowControl w:val="0"/>
        <w:numPr>
          <w:ilvl w:val="1"/>
          <w:numId w:val="0"/>
        </w:numPr>
        <w:autoSpaceDE w:val="0"/>
        <w:autoSpaceDN w:val="0"/>
        <w:adjustRightInd w:val="0"/>
        <w:ind w:left="567" w:hanging="567"/>
        <w:jc w:val="both"/>
        <w:outlineLvl w:val="4"/>
        <w:rPr>
          <w:rFonts w:ascii="宋体" w:hAnsi="Times New Roman" w:eastAsia="宋体" w:cs="Times New Roman"/>
          <w:color w:val="000000"/>
          <w:kern w:val="0"/>
          <w:sz w:val="28"/>
          <w:szCs w:val="28"/>
          <w:lang w:val="en-US" w:eastAsia="zh-CN" w:bidi="ar-SA"/>
        </w:rPr>
      </w:pPr>
      <w:r>
        <w:rPr>
          <w:rFonts w:hint="eastAsia" w:ascii="宋体" w:hAnsi="Times New Roman" w:eastAsia="宋体" w:cs="Times New Roman"/>
          <w:color w:val="000000"/>
          <w:kern w:val="0"/>
          <w:sz w:val="28"/>
          <w:szCs w:val="28"/>
          <w:lang w:val="en-US" w:eastAsia="zh-CN" w:bidi="ar-SA"/>
        </w:rPr>
        <w:t>1.2数据标注子系统</w:t>
      </w:r>
    </w:p>
    <w:p w14:paraId="47B67CFC">
      <w:pPr>
        <w:spacing w:line="360" w:lineRule="auto"/>
        <w:ind w:firstLine="420"/>
      </w:pPr>
      <w:r>
        <w:rPr>
          <w:rFonts w:hint="eastAsia"/>
        </w:rPr>
        <w:t>数据标注子系统，针对已经进行了初步处理的数据库表、文本、音频、视频等数据，按照业务场景需求进行人工或自动化标注，从而将原始数据转化为可以应用于人工智能训练和实际业务场景的数据集合。</w:t>
      </w:r>
    </w:p>
    <w:p w14:paraId="5AAC8B66">
      <w:pPr>
        <w:keepNext/>
        <w:keepLines/>
        <w:widowControl w:val="0"/>
        <w:numPr>
          <w:ilvl w:val="5"/>
          <w:numId w:val="1"/>
        </w:numPr>
        <w:spacing w:before="240" w:after="64" w:line="320" w:lineRule="auto"/>
        <w:jc w:val="both"/>
        <w:outlineLvl w:val="5"/>
        <w:rPr>
          <w:rFonts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1.2.1数据标注</w:t>
      </w:r>
    </w:p>
    <w:p w14:paraId="15A3CC9A">
      <w:pPr>
        <w:spacing w:line="360" w:lineRule="auto"/>
        <w:ind w:firstLine="420"/>
      </w:pPr>
      <w:r>
        <w:rPr>
          <w:rFonts w:hint="eastAsia"/>
        </w:rPr>
        <w:t>对已完成标准化处理的数据库表和已经通过人工或自动化提取形成的结构化文本、音频、视频数据进行打标签的操作，从而形成可被理解、可被阅读、可被操作的数据，为搜索、分析及AI训练提供数据基础。</w:t>
      </w:r>
    </w:p>
    <w:p w14:paraId="6575EAEE">
      <w:pPr>
        <w:spacing w:line="360" w:lineRule="auto"/>
        <w:ind w:firstLine="420"/>
      </w:pPr>
      <w:r>
        <w:rPr>
          <w:rFonts w:hint="eastAsia"/>
        </w:rPr>
        <w:t>（1）手工打标管理功能，可以手动在指定的数据对象上打标签，可查看数据列表、个体画像、标签和属性等。</w:t>
      </w:r>
    </w:p>
    <w:p w14:paraId="43EC1A62">
      <w:pPr>
        <w:spacing w:line="360" w:lineRule="auto"/>
        <w:ind w:firstLine="420"/>
      </w:pPr>
      <w:r>
        <w:rPr>
          <w:rFonts w:hint="eastAsia"/>
        </w:rPr>
        <w:t>（2）自动打标管理功能，利用数值计算、机器学习、语义分析等规则，实现对数据对象进行自动化打标签的操作。</w:t>
      </w:r>
    </w:p>
    <w:p w14:paraId="4B17F53B">
      <w:pPr>
        <w:spacing w:line="360" w:lineRule="auto"/>
        <w:ind w:firstLine="420"/>
      </w:pPr>
      <w:r>
        <w:rPr>
          <w:rFonts w:hint="eastAsia"/>
        </w:rPr>
        <w:t>（3）标签管理功能，标签管理由两部分组成，标签的定义信息和标签值，其中标签的定义信息是对标签的描述，例如：名称、描述、取值类型等，可以让标签开发者、管理者和使用者更好的理解标签；标签值是对标签取值类型、数据类型和取值范围的定义。标签管理包括标签创建、修改、删除、上线、下线、自动编码、算法标签等功能。</w:t>
      </w:r>
    </w:p>
    <w:p w14:paraId="0957F6F1">
      <w:pPr>
        <w:keepNext/>
        <w:keepLines/>
        <w:widowControl w:val="0"/>
        <w:numPr>
          <w:ilvl w:val="5"/>
          <w:numId w:val="1"/>
        </w:numPr>
        <w:spacing w:before="240" w:after="64" w:line="320" w:lineRule="auto"/>
        <w:jc w:val="both"/>
        <w:outlineLvl w:val="5"/>
        <w:rPr>
          <w:rFonts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1.2.2文本数据标注</w:t>
      </w:r>
    </w:p>
    <w:p w14:paraId="56876E01">
      <w:pPr>
        <w:spacing w:line="360" w:lineRule="auto"/>
        <w:ind w:firstLine="420"/>
      </w:pPr>
      <w:r>
        <w:rPr>
          <w:rFonts w:hint="eastAsia"/>
        </w:rPr>
        <w:t>通过命名实体，使用人工标注、模型训练识别（NER）等方式提取文本中的数据信息，从而形成结构化数据。系统需要支持以下功能：</w:t>
      </w:r>
    </w:p>
    <w:p w14:paraId="161EAA9C">
      <w:pPr>
        <w:spacing w:line="360" w:lineRule="auto"/>
        <w:ind w:firstLine="420"/>
      </w:pPr>
      <w:r>
        <w:rPr>
          <w:rFonts w:hint="eastAsia"/>
        </w:rPr>
        <w:t>（1）人工标注功能，通过人工识别并标记文本信息，与实体模型关联，系统须允许用户对长文本内容进行信息编辑、录入。</w:t>
      </w:r>
    </w:p>
    <w:p w14:paraId="5A4715B5">
      <w:pPr>
        <w:spacing w:line="360" w:lineRule="auto"/>
        <w:ind w:firstLine="420"/>
      </w:pPr>
      <w:r>
        <w:rPr>
          <w:rFonts w:hint="eastAsia"/>
        </w:rPr>
        <w:t>（2）模型训练功能，系统须允许用户通过一些简单操作建立模型，以便用于文本结构化内容提取。用户可以选择资源类型，包括图像型资源（PDF、OFD、图片）和文本型资源（txt和全文提取后的长文本），可以选择相应的标注方式（标注键值对、标注列表表格、标注实体关系等），可以设置相应的数据集管理、数据标注等参数。</w:t>
      </w:r>
    </w:p>
    <w:p w14:paraId="4E52EF2D">
      <w:pPr>
        <w:spacing w:line="360" w:lineRule="auto"/>
        <w:ind w:firstLine="420"/>
      </w:pPr>
      <w:r>
        <w:rPr>
          <w:rFonts w:hint="eastAsia"/>
        </w:rPr>
        <w:t>（3）实体对象管理功能，实体对象管理可以定义和建立特定实体对象，为后续的文本处理任务提供基础，同时系统要能够对实体信息和实体关系进行集中管理。在创建实体对象时，用户可以输入实体的基本信息，包括实体名称、属性等。系统须允许用户根据具体业务需求创建不同类型的实体，以满足结构化提取和关系管理的要求。</w:t>
      </w:r>
    </w:p>
    <w:p w14:paraId="341FCF1E">
      <w:pPr>
        <w:keepNext/>
        <w:keepLines/>
        <w:widowControl w:val="0"/>
        <w:numPr>
          <w:ilvl w:val="5"/>
          <w:numId w:val="1"/>
        </w:numPr>
        <w:spacing w:before="240" w:after="64" w:line="320" w:lineRule="auto"/>
        <w:jc w:val="both"/>
        <w:outlineLvl w:val="5"/>
        <w:rPr>
          <w:rFonts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1.2.3音频数据标注</w:t>
      </w:r>
    </w:p>
    <w:p w14:paraId="7AFB347A">
      <w:pPr>
        <w:spacing w:line="360" w:lineRule="auto"/>
        <w:ind w:firstLine="420"/>
      </w:pPr>
      <w:r>
        <w:rPr>
          <w:rFonts w:hint="eastAsia"/>
        </w:rPr>
        <w:t>系统须支持段落的自动语音识别、意图分类、自动语音识别、信号质量检测、声音检测事件、说话人分段、语音转录、对话分析。</w:t>
      </w:r>
    </w:p>
    <w:p w14:paraId="21E94A4A">
      <w:pPr>
        <w:spacing w:line="360" w:lineRule="auto"/>
        <w:ind w:firstLine="420"/>
      </w:pPr>
      <w:r>
        <w:rPr>
          <w:rFonts w:hint="eastAsia"/>
        </w:rPr>
        <w:t>在语音标注模块中，可以将音频转换成可搜索文本，并对文本的属性进行标注。标注员可以通过文本的属性，如语速、说话人、情绪等来标注音频，语音标注内容选择工具包括：选中、时间段选择、转换内容选择。</w:t>
      </w:r>
    </w:p>
    <w:p w14:paraId="7BFA32AA">
      <w:pPr>
        <w:keepNext/>
        <w:keepLines/>
        <w:widowControl w:val="0"/>
        <w:numPr>
          <w:ilvl w:val="5"/>
          <w:numId w:val="1"/>
        </w:numPr>
        <w:spacing w:before="240" w:after="64" w:line="320" w:lineRule="auto"/>
        <w:jc w:val="both"/>
        <w:outlineLvl w:val="5"/>
        <w:rPr>
          <w:rFonts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1.2.4视频数据标注</w:t>
      </w:r>
    </w:p>
    <w:p w14:paraId="11BE90FE">
      <w:pPr>
        <w:spacing w:line="360" w:lineRule="auto"/>
        <w:ind w:firstLine="420"/>
      </w:pPr>
      <w:r>
        <w:rPr>
          <w:rFonts w:hint="eastAsia"/>
        </w:rPr>
        <w:t>使用计算机视觉相关技术，实现对视频中价值信息的抽取，例如标记违法违规内容、标记侵权（肖像、商标）内容等，形成可结构化存储的数据。利用视频结构化技术对视频内容按照语义关系，采用视频分类、时空分割、特征提取、对象识别、深度学习等处理手段，在每一帧图像上进行目标检测、目标追踪、视频时间线分割以及场景识别等任务，从而得到视频帧中的重要信息，并以帧为索引进行结构化的数据存储。</w:t>
      </w:r>
    </w:p>
    <w:p w14:paraId="4C27C3E6">
      <w:pPr>
        <w:keepNext/>
        <w:keepLines/>
        <w:widowControl w:val="0"/>
        <w:numPr>
          <w:ilvl w:val="5"/>
          <w:numId w:val="1"/>
        </w:numPr>
        <w:spacing w:before="240" w:after="64" w:line="320" w:lineRule="auto"/>
        <w:jc w:val="both"/>
        <w:outlineLvl w:val="5"/>
        <w:rPr>
          <w:rFonts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1.2.5图像数据标注</w:t>
      </w:r>
    </w:p>
    <w:p w14:paraId="2AE54CD5">
      <w:pPr>
        <w:spacing w:line="360" w:lineRule="auto"/>
        <w:ind w:firstLine="420"/>
      </w:pPr>
      <w:r>
        <w:rPr>
          <w:rFonts w:hint="eastAsia"/>
        </w:rPr>
        <w:t>图像数据，系统须实现多边形的语义分割、带掩码的语义分割、带边界框的目标检测、关键点标注、图像描述、图像分类、光学字符识别、视觉问答等功能，实现选中、直线、多边形、2D矩形框、点、长方体等操作，满足不同场景需求的标注需求。</w:t>
      </w:r>
    </w:p>
    <w:p w14:paraId="15E487EE">
      <w:pPr>
        <w:keepNext/>
        <w:keepLines/>
        <w:widowControl w:val="0"/>
        <w:numPr>
          <w:ilvl w:val="5"/>
          <w:numId w:val="1"/>
        </w:numPr>
        <w:spacing w:before="240" w:after="64" w:line="320" w:lineRule="auto"/>
        <w:jc w:val="both"/>
        <w:outlineLvl w:val="5"/>
        <w:rPr>
          <w:rFonts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1.2.6人工精细化标注</w:t>
      </w:r>
    </w:p>
    <w:p w14:paraId="779A61AF">
      <w:pPr>
        <w:spacing w:line="360" w:lineRule="auto"/>
        <w:ind w:firstLine="420"/>
      </w:pPr>
      <w:r>
        <w:rPr>
          <w:rFonts w:hint="eastAsia"/>
        </w:rPr>
        <w:t>针对长文本，系统须支持分段标注、交叉核对的方式，确保标注的连贯性和准确性。对于图像数据，标注人员可以使用标注工具，勒出目标物体的轮廓，以及可以标注物体类别、属性等信息。遇到模糊不清或难以判断的数据，须支持多人协同标注，以实现精准标注。</w:t>
      </w:r>
    </w:p>
    <w:p w14:paraId="586A6B24">
      <w:pPr>
        <w:keepNext/>
        <w:keepLines/>
        <w:widowControl w:val="0"/>
        <w:numPr>
          <w:ilvl w:val="5"/>
          <w:numId w:val="1"/>
        </w:numPr>
        <w:spacing w:before="240" w:after="64" w:line="320" w:lineRule="auto"/>
        <w:jc w:val="both"/>
        <w:outlineLvl w:val="5"/>
        <w:rPr>
          <w:rFonts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1.2.7人工质量检查</w:t>
      </w:r>
    </w:p>
    <w:p w14:paraId="6CF06DE1">
      <w:pPr>
        <w:spacing w:line="360" w:lineRule="auto"/>
        <w:ind w:firstLine="420"/>
      </w:pPr>
      <w:r>
        <w:rPr>
          <w:rFonts w:hint="eastAsia"/>
        </w:rPr>
        <w:t>“人工质量检查”功能，须能够支持人工逐一对标注数据进行复查，检查标注内容是否完整、准确，格式是否规范，有无遗漏或错误标注的情况。可以实现对于不确定的标注内容，再次核实确认，确保提交的标注数据质量。</w:t>
      </w:r>
    </w:p>
    <w:p w14:paraId="5A5B5272">
      <w:pPr>
        <w:rPr>
          <w:rFonts w:ascii="宋体" w:hAnsi="宋体" w:cs="宋体"/>
        </w:rPr>
      </w:pPr>
    </w:p>
    <w:p w14:paraId="64B70F3D">
      <w:pPr>
        <w:rPr>
          <w:rFonts w:ascii="宋体" w:hAnsi="宋体" w:cs="宋体"/>
        </w:rPr>
      </w:pPr>
    </w:p>
    <w:p w14:paraId="1CA86E24">
      <w:pPr>
        <w:keepNext/>
        <w:keepLines/>
        <w:widowControl w:val="0"/>
        <w:numPr>
          <w:ilvl w:val="0"/>
          <w:numId w:val="3"/>
        </w:numPr>
        <w:tabs>
          <w:tab w:val="left" w:pos="312"/>
        </w:tabs>
        <w:ind w:left="0" w:firstLine="420" w:firstLineChars="0"/>
        <w:jc w:val="both"/>
        <w:outlineLvl w:val="3"/>
        <w:rPr>
          <w:rFonts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数据业务系统运营</w:t>
      </w:r>
    </w:p>
    <w:p w14:paraId="574DEDDB">
      <w:pPr>
        <w:keepNext/>
        <w:widowControl w:val="0"/>
        <w:numPr>
          <w:ilvl w:val="1"/>
          <w:numId w:val="0"/>
        </w:numPr>
        <w:autoSpaceDE w:val="0"/>
        <w:autoSpaceDN w:val="0"/>
        <w:adjustRightInd w:val="0"/>
        <w:ind w:left="567" w:hanging="567"/>
        <w:jc w:val="both"/>
        <w:outlineLvl w:val="4"/>
        <w:rPr>
          <w:rFonts w:ascii="宋体" w:hAnsi="Times New Roman" w:eastAsia="宋体" w:cs="Times New Roman"/>
          <w:color w:val="000000"/>
          <w:kern w:val="0"/>
          <w:sz w:val="28"/>
          <w:szCs w:val="28"/>
          <w:lang w:val="en-US" w:eastAsia="zh-CN" w:bidi="ar-SA"/>
        </w:rPr>
      </w:pPr>
      <w:r>
        <w:rPr>
          <w:rFonts w:hint="eastAsia" w:ascii="宋体" w:hAnsi="Times New Roman" w:eastAsia="宋体" w:cs="Times New Roman"/>
          <w:color w:val="000000"/>
          <w:kern w:val="0"/>
          <w:sz w:val="28"/>
          <w:szCs w:val="28"/>
          <w:lang w:val="en-US" w:eastAsia="zh-CN" w:bidi="ar-SA"/>
        </w:rPr>
        <w:t>2.1.</w:t>
      </w:r>
      <w:r>
        <w:rPr>
          <w:rFonts w:ascii="宋体" w:hAnsi="Times New Roman" w:eastAsia="宋体" w:cs="Times New Roman"/>
          <w:color w:val="000000"/>
          <w:kern w:val="0"/>
          <w:sz w:val="28"/>
          <w:szCs w:val="28"/>
          <w:lang w:val="en-US" w:eastAsia="zh-CN" w:bidi="ar-SA"/>
        </w:rPr>
        <w:t>数据目录标准化</w:t>
      </w:r>
      <w:r>
        <w:rPr>
          <w:rFonts w:hint="eastAsia" w:ascii="宋体" w:hAnsi="Times New Roman" w:eastAsia="宋体" w:cs="Times New Roman"/>
          <w:color w:val="000000"/>
          <w:kern w:val="0"/>
          <w:sz w:val="28"/>
          <w:szCs w:val="28"/>
          <w:lang w:val="en-US" w:eastAsia="zh-CN" w:bidi="ar-SA"/>
        </w:rPr>
        <w:t>服务</w:t>
      </w:r>
    </w:p>
    <w:p w14:paraId="70948E30">
      <w:pPr>
        <w:spacing w:line="360" w:lineRule="auto"/>
        <w:ind w:firstLine="420"/>
        <w:rPr>
          <w:rFonts w:ascii="Times New Roman Regular" w:hAnsi="Times New Roman Regular" w:cs="Times New Roman Regular"/>
        </w:rPr>
      </w:pPr>
      <w:r>
        <w:rPr>
          <w:rFonts w:hint="eastAsia" w:ascii="Times New Roman Regular" w:hAnsi="Times New Roman Regular" w:cs="Times New Roman Regular"/>
        </w:rPr>
        <w:t>根据《全国一体化政务大数据体系建设指南》要求，推动各地区各部门建立全量覆盖、互联互通的高质量全国一体化政务数据目录，实现全国政务数据"一本账"管理。</w:t>
      </w:r>
    </w:p>
    <w:p w14:paraId="18B6DEA6">
      <w:pPr>
        <w:spacing w:line="360" w:lineRule="auto"/>
        <w:ind w:firstLine="420"/>
        <w:rPr>
          <w:rFonts w:ascii="Times New Roman Regular" w:hAnsi="Times New Roman Regular" w:cs="Times New Roman Regular"/>
        </w:rPr>
      </w:pPr>
      <w:r>
        <w:rPr>
          <w:rFonts w:hint="eastAsia" w:ascii="Times New Roman Regular" w:hAnsi="Times New Roman Regular" w:cs="Times New Roman Regular"/>
        </w:rPr>
        <w:t>本阶段工作严格贯彻统筹管理一体化、数据目录一体化、数据资源一体化、共享交换一体化等"八个一体化"建设要求，重点对已编目的数据资源进行优化提升，完善自治区政务数据"一本账"体系，健全目录持续动态更新机制，确保数据目录始终保持准确、完整和时效性。</w:t>
      </w:r>
    </w:p>
    <w:p w14:paraId="186B2D67">
      <w:pPr>
        <w:keepNext/>
        <w:widowControl w:val="0"/>
        <w:numPr>
          <w:ilvl w:val="1"/>
          <w:numId w:val="0"/>
        </w:numPr>
        <w:autoSpaceDE w:val="0"/>
        <w:autoSpaceDN w:val="0"/>
        <w:adjustRightInd w:val="0"/>
        <w:ind w:left="567" w:hanging="567"/>
        <w:jc w:val="both"/>
        <w:outlineLvl w:val="4"/>
        <w:rPr>
          <w:rFonts w:ascii="宋体" w:hAnsi="Times New Roman" w:eastAsia="宋体" w:cs="Times New Roman"/>
          <w:color w:val="000000"/>
          <w:kern w:val="0"/>
          <w:sz w:val="28"/>
          <w:szCs w:val="28"/>
          <w:lang w:val="en-US" w:eastAsia="zh-CN" w:bidi="ar-SA"/>
        </w:rPr>
      </w:pPr>
      <w:r>
        <w:rPr>
          <w:rFonts w:hint="eastAsia" w:ascii="宋体" w:hAnsi="Times New Roman" w:eastAsia="宋体" w:cs="Times New Roman"/>
          <w:color w:val="000000"/>
          <w:kern w:val="0"/>
          <w:sz w:val="28"/>
          <w:szCs w:val="28"/>
          <w:lang w:val="en-US" w:eastAsia="zh-CN" w:bidi="ar-SA"/>
        </w:rPr>
        <w:t>2.2.基础库建设</w:t>
      </w:r>
    </w:p>
    <w:p w14:paraId="46C169E4">
      <w:pPr>
        <w:spacing w:line="360" w:lineRule="auto"/>
        <w:ind w:firstLine="420"/>
        <w:rPr>
          <w:rFonts w:ascii="Times New Roman Regular" w:hAnsi="Times New Roman Regular" w:cs="Times New Roman Regular"/>
        </w:rPr>
      </w:pPr>
      <w:r>
        <w:rPr>
          <w:rFonts w:hint="eastAsia" w:ascii="Times New Roman Regular" w:hAnsi="Times New Roman Regular" w:cs="Times New Roman Regular"/>
        </w:rPr>
        <w:t>基础库建设是一体化数据资源服务平台的核心内容之一，在运营阶段主要体现为对各部门已有数据资源进行系统化整合、规范化管理和持续性优化，而非从零开始构建。通过整合各部门数据资源中关于宏观经济基础信息，进行关联处理和多维融合，形成面向政务服务、领导决策和社会治理等方面的通用的高质量基础数据资源。</w:t>
      </w:r>
    </w:p>
    <w:p w14:paraId="5A1A0A03">
      <w:pPr>
        <w:spacing w:line="360" w:lineRule="auto"/>
        <w:ind w:firstLine="420"/>
        <w:rPr>
          <w:rFonts w:ascii="Times New Roman Regular" w:hAnsi="Times New Roman Regular" w:cs="Times New Roman Regular"/>
        </w:rPr>
      </w:pPr>
      <w:r>
        <w:rPr>
          <w:rFonts w:hint="eastAsia" w:ascii="Times New Roman Regular" w:hAnsi="Times New Roman Regular" w:cs="Times New Roman Regular"/>
        </w:rPr>
        <w:t>本期工作重点是对自治区宏观经济基础信息库进行整合优化与完善，为自治区一体化数据资源服务平台提供核心数据支持。基础库建设采用"需求驱动、标准引领、统分结合、迭代优化"的建设思路，通过需求调研、业务建模、数据建库、应用支撑四个环节，实现基础库的规范化建设和高效应用。</w:t>
      </w:r>
    </w:p>
    <w:p w14:paraId="09A6CCFE">
      <w:pPr>
        <w:keepNext/>
        <w:widowControl w:val="0"/>
        <w:numPr>
          <w:ilvl w:val="1"/>
          <w:numId w:val="0"/>
        </w:numPr>
        <w:autoSpaceDE w:val="0"/>
        <w:autoSpaceDN w:val="0"/>
        <w:adjustRightInd w:val="0"/>
        <w:ind w:left="567" w:hanging="567"/>
        <w:jc w:val="both"/>
        <w:outlineLvl w:val="4"/>
        <w:rPr>
          <w:rFonts w:ascii="宋体" w:hAnsi="Times New Roman" w:eastAsia="宋体" w:cs="Times New Roman"/>
          <w:color w:val="000000"/>
          <w:kern w:val="0"/>
          <w:sz w:val="28"/>
          <w:szCs w:val="28"/>
          <w:lang w:val="en-US" w:eastAsia="zh-CN" w:bidi="ar-SA"/>
        </w:rPr>
      </w:pPr>
      <w:r>
        <w:rPr>
          <w:rFonts w:hint="eastAsia" w:ascii="宋体" w:hAnsi="Times New Roman" w:eastAsia="宋体" w:cs="Times New Roman"/>
          <w:color w:val="000000"/>
          <w:kern w:val="0"/>
          <w:sz w:val="28"/>
          <w:szCs w:val="28"/>
          <w:lang w:val="en-US" w:eastAsia="zh-CN" w:bidi="ar-SA"/>
        </w:rPr>
        <w:t>2.3.主题库建设</w:t>
      </w:r>
    </w:p>
    <w:p w14:paraId="7EA0343F">
      <w:pPr>
        <w:spacing w:line="360" w:lineRule="auto"/>
        <w:ind w:firstLine="420"/>
        <w:rPr>
          <w:rFonts w:ascii="Times New Roman Regular" w:hAnsi="Times New Roman Regular" w:cs="Times New Roman Regular"/>
        </w:rPr>
      </w:pPr>
      <w:r>
        <w:rPr>
          <w:rFonts w:hint="eastAsia" w:ascii="Times New Roman Regular" w:hAnsi="Times New Roman Regular" w:cs="Times New Roman Regular"/>
        </w:rPr>
        <w:t>主题库建设是自治区一体化数据资源服务平台的核心组成部分，在运营阶段主要体现为对各部门业务数据的主题化整合、标准化梳理和深度优化。通过对已有数据资源按主题域进行系统性整合与完善，实现数据要素价值的有效释放。根据《自治区办公厅印发自治区数字政府改革建设方案》、《"新系列"5个重点应用场景建设方案》、《自治区一体化数据资源体系建设实施方案》等政策文件的工作任务部署，以及相关部门的具体需求。同时，基于《自治区数字政府建设三年行动计划（2023-2025年）》、《自治区"数据要素×"三年行动实施方案(2024-2026年)》等政策的战略指引，将统筹规划主题库建设。</w:t>
      </w:r>
    </w:p>
    <w:p w14:paraId="177C8080">
      <w:pPr>
        <w:keepNext/>
        <w:widowControl w:val="0"/>
        <w:numPr>
          <w:ilvl w:val="1"/>
          <w:numId w:val="0"/>
        </w:numPr>
        <w:autoSpaceDE w:val="0"/>
        <w:autoSpaceDN w:val="0"/>
        <w:adjustRightInd w:val="0"/>
        <w:ind w:left="567" w:hanging="567"/>
        <w:jc w:val="both"/>
        <w:outlineLvl w:val="4"/>
        <w:rPr>
          <w:rFonts w:ascii="宋体" w:hAnsi="Times New Roman" w:eastAsia="宋体" w:cs="Times New Roman"/>
          <w:color w:val="000000"/>
          <w:kern w:val="0"/>
          <w:sz w:val="28"/>
          <w:szCs w:val="28"/>
          <w:lang w:val="en-US" w:eastAsia="zh-CN" w:bidi="ar-SA"/>
        </w:rPr>
      </w:pPr>
      <w:r>
        <w:rPr>
          <w:rFonts w:hint="eastAsia" w:ascii="宋体" w:hAnsi="Times New Roman" w:eastAsia="宋体" w:cs="Times New Roman"/>
          <w:color w:val="000000"/>
          <w:kern w:val="0"/>
          <w:sz w:val="28"/>
          <w:szCs w:val="28"/>
          <w:lang w:val="en-US" w:eastAsia="zh-CN" w:bidi="ar-SA"/>
        </w:rPr>
        <w:t>2.4.专题库建设</w:t>
      </w:r>
    </w:p>
    <w:p w14:paraId="6292D2F5">
      <w:pPr>
        <w:spacing w:line="360" w:lineRule="auto"/>
        <w:ind w:firstLine="420"/>
        <w:rPr>
          <w:rFonts w:ascii="Times New Roman Regular" w:hAnsi="Times New Roman Regular" w:cs="Times New Roman Regular"/>
        </w:rPr>
      </w:pPr>
      <w:r>
        <w:rPr>
          <w:rFonts w:hint="eastAsia" w:ascii="Times New Roman Regular" w:hAnsi="Times New Roman Regular" w:cs="Times New Roman Regular"/>
        </w:rPr>
        <w:t>专题库建设是自治区一体化数据资源服务平台建设的重要组成部分，在运营阶段主要体现为对已有数据资源进行专题化整合、深度加工和针对性优化，而非全部从零构建。通过对各部门现有数据按特定行业、地区或专题领域进行系统性梳理与完善，为特定需求提供精准的数据支撑和服务。根据《自治区一体化数据资源体系建设实施方案》要求，通过专题库的建设，可实现行业数据的深度整合和跨部门数据的高效协同，促进数据要素价值的充分释放。</w:t>
      </w:r>
    </w:p>
    <w:p w14:paraId="06E061B5">
      <w:pPr>
        <w:keepNext/>
        <w:keepLines/>
        <w:widowControl w:val="0"/>
        <w:numPr>
          <w:ilvl w:val="3"/>
          <w:numId w:val="0"/>
        </w:numPr>
        <w:spacing w:before="260" w:after="260" w:line="416" w:lineRule="auto"/>
        <w:ind w:left="567" w:hanging="567"/>
        <w:jc w:val="both"/>
        <w:outlineLvl w:val="2"/>
        <w:rPr>
          <w:rFonts w:ascii="Times New Roman" w:hAnsi="Times New Roman" w:eastAsia="宋体" w:cs="Times New Roman"/>
          <w:b/>
          <w:bCs/>
          <w:kern w:val="2"/>
          <w:sz w:val="32"/>
          <w:szCs w:val="32"/>
          <w:lang w:val="en-US" w:eastAsia="zh-CN" w:bidi="ar-SA"/>
        </w:rPr>
      </w:pPr>
      <w:bookmarkStart w:id="217" w:name="_Toc6225"/>
      <w:r>
        <w:rPr>
          <w:rFonts w:hint="eastAsia" w:ascii="Times New Roman" w:hAnsi="Times New Roman" w:eastAsia="宋体" w:cs="Times New Roman"/>
          <w:b/>
          <w:bCs/>
          <w:kern w:val="2"/>
          <w:sz w:val="32"/>
          <w:szCs w:val="32"/>
          <w:lang w:val="en-US" w:eastAsia="zh-CN" w:bidi="ar-SA"/>
        </w:rPr>
        <w:t>（三）技术参数要求</w:t>
      </w:r>
      <w:bookmarkEnd w:id="217"/>
    </w:p>
    <w:p w14:paraId="3F1B3C62">
      <w:pPr>
        <w:spacing w:line="360" w:lineRule="auto"/>
        <w:ind w:firstLine="420"/>
        <w:rPr>
          <w:rFonts w:cs="宋体"/>
        </w:rPr>
      </w:pPr>
      <w:r>
        <w:rPr>
          <w:rFonts w:hint="eastAsia" w:cs="宋体"/>
        </w:rPr>
        <w:t>针对技术要求指标为以下六个方面：① 可扩展性，② 核心性能指标，③ 高可用性指标，④数据处理性能指标，⑤安全性能指标，⑥基础软件性能要求。</w:t>
      </w:r>
    </w:p>
    <w:p w14:paraId="4C1DDDEA">
      <w:pPr>
        <w:keepNext/>
        <w:widowControl w:val="0"/>
        <w:numPr>
          <w:ilvl w:val="3"/>
          <w:numId w:val="0"/>
        </w:numPr>
        <w:autoSpaceDE w:val="0"/>
        <w:autoSpaceDN w:val="0"/>
        <w:adjustRightInd w:val="0"/>
        <w:spacing w:line="360" w:lineRule="auto"/>
        <w:ind w:left="567" w:hanging="567"/>
        <w:jc w:val="both"/>
        <w:outlineLvl w:val="4"/>
        <w:rPr>
          <w:rFonts w:ascii="宋体" w:hAnsi="Times New Roman" w:eastAsia="宋体" w:cs="Times New Roman"/>
          <w:color w:val="000000"/>
          <w:kern w:val="0"/>
          <w:sz w:val="24"/>
          <w:szCs w:val="24"/>
          <w:lang w:val="en-US" w:eastAsia="zh-CN" w:bidi="ar-SA"/>
        </w:rPr>
      </w:pPr>
      <w:r>
        <w:rPr>
          <w:rFonts w:hint="eastAsia" w:ascii="宋体" w:hAnsi="Times New Roman" w:eastAsia="宋体" w:cs="Times New Roman"/>
          <w:color w:val="000000"/>
          <w:kern w:val="0"/>
          <w:sz w:val="24"/>
          <w:szCs w:val="24"/>
          <w:lang w:val="en-US" w:eastAsia="zh-CN" w:bidi="ar-SA"/>
        </w:rPr>
        <w:t>1.系统性能指标</w:t>
      </w:r>
    </w:p>
    <w:p w14:paraId="659827AC">
      <w:pPr>
        <w:keepNext/>
        <w:keepLines/>
        <w:widowControl w:val="0"/>
        <w:numPr>
          <w:ilvl w:val="4"/>
          <w:numId w:val="0"/>
        </w:numPr>
        <w:spacing w:before="240" w:after="64" w:line="360" w:lineRule="auto"/>
        <w:jc w:val="both"/>
        <w:outlineLvl w:val="5"/>
        <w:rPr>
          <w:rFonts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（1）可扩展性</w:t>
      </w:r>
    </w:p>
    <w:p w14:paraId="4FEBBA60">
      <w:pPr>
        <w:spacing w:line="360" w:lineRule="auto"/>
        <w:ind w:firstLine="420"/>
        <w:rPr>
          <w:rFonts w:cs="宋体"/>
        </w:rPr>
      </w:pPr>
      <w:r>
        <w:rPr>
          <w:rFonts w:hint="eastAsia" w:cs="宋体"/>
        </w:rPr>
        <w:t>项目建设过程中应充分考虑可扩充性，能根据技术发展和业务需求的增加不断升级扩展。平台设计需采用基于通用标准和用户导向的产品开发理念，基于信息资源规划的方法论指导，采用面向对象的技术、利用事件驱动和封装的思想为应用软件提供接口，并广泛采用目前业界流行的、标准的技术，使得系统的可扩展性有根本的保障。平台开发过程中将充分考虑数据层、应用层、展现层和功能需求等方面的扩容性，保证整体框架支持分布式部署，保证未来的系统可以完全依托于现有平台进行扩展和升级。</w:t>
      </w:r>
    </w:p>
    <w:p w14:paraId="12F29F22">
      <w:pPr>
        <w:spacing w:line="360" w:lineRule="auto"/>
        <w:ind w:firstLine="420"/>
        <w:rPr>
          <w:rFonts w:cs="宋体"/>
        </w:rPr>
      </w:pPr>
      <w:r>
        <w:rPr>
          <w:rFonts w:hint="eastAsia" w:cs="宋体"/>
        </w:rPr>
        <w:t>（1）平台应满足整体规划期业务增长的性能需求。参考行业标准，业务增长率可按年处理能力增长率为15%，逐年递增；</w:t>
      </w:r>
    </w:p>
    <w:p w14:paraId="227578C1">
      <w:pPr>
        <w:spacing w:line="360" w:lineRule="auto"/>
        <w:ind w:firstLine="420"/>
        <w:rPr>
          <w:rFonts w:cs="宋体"/>
        </w:rPr>
      </w:pPr>
      <w:r>
        <w:rPr>
          <w:rFonts w:hint="eastAsia" w:cs="宋体"/>
        </w:rPr>
        <w:t>（2）平台扩展应考虑对现有设施的适度利用；</w:t>
      </w:r>
    </w:p>
    <w:p w14:paraId="22AB77F7">
      <w:pPr>
        <w:spacing w:line="360" w:lineRule="auto"/>
        <w:ind w:firstLine="420"/>
        <w:rPr>
          <w:rFonts w:cs="宋体"/>
        </w:rPr>
      </w:pPr>
      <w:r>
        <w:rPr>
          <w:rFonts w:hint="eastAsia" w:cs="宋体"/>
        </w:rPr>
        <w:t>（3）平台扩展应满足业务延续性要求。</w:t>
      </w:r>
    </w:p>
    <w:p w14:paraId="29FE31B4">
      <w:pPr>
        <w:keepNext/>
        <w:keepLines/>
        <w:widowControl w:val="0"/>
        <w:numPr>
          <w:ilvl w:val="4"/>
          <w:numId w:val="0"/>
        </w:numPr>
        <w:spacing w:before="240" w:after="64" w:line="360" w:lineRule="auto"/>
        <w:jc w:val="both"/>
        <w:outlineLvl w:val="5"/>
        <w:rPr>
          <w:rFonts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（2）核心性能指标</w:t>
      </w:r>
    </w:p>
    <w:p w14:paraId="71C65E2F">
      <w:pPr>
        <w:spacing w:line="360" w:lineRule="auto"/>
        <w:ind w:firstLine="420"/>
        <w:rPr>
          <w:rFonts w:cs="宋体"/>
        </w:rPr>
      </w:pPr>
      <w:r>
        <w:rPr>
          <w:rFonts w:hint="eastAsia" w:cs="宋体"/>
        </w:rPr>
        <w:t>（1）高质量数据集平台主要性能指标</w:t>
      </w:r>
    </w:p>
    <w:p w14:paraId="3C5D7917">
      <w:pPr>
        <w:spacing w:line="360" w:lineRule="auto"/>
        <w:ind w:firstLine="420"/>
        <w:rPr>
          <w:rFonts w:cs="宋体"/>
        </w:rPr>
      </w:pPr>
      <w:r>
        <w:rPr>
          <w:rFonts w:hint="eastAsia" w:cs="宋体"/>
        </w:rPr>
        <w:t>用户访问应用的时效性要求，在500 并发数时平均延时小于1秒；</w:t>
      </w:r>
    </w:p>
    <w:p w14:paraId="68AA3085">
      <w:pPr>
        <w:spacing w:line="360" w:lineRule="auto"/>
        <w:ind w:firstLine="420"/>
        <w:rPr>
          <w:rFonts w:cs="宋体"/>
        </w:rPr>
      </w:pPr>
      <w:r>
        <w:rPr>
          <w:rFonts w:hint="eastAsia" w:cs="宋体"/>
        </w:rPr>
        <w:t>★采用的软件产品需能兼容国产操作系统，需提供与统信、麒麟、红旗等任意一个国产操作系统，并提供兼容性说明或承诺函（格式自拟）；</w:t>
      </w:r>
    </w:p>
    <w:p w14:paraId="71354C1A">
      <w:pPr>
        <w:spacing w:line="360" w:lineRule="auto"/>
        <w:ind w:firstLine="420"/>
        <w:rPr>
          <w:rFonts w:cs="宋体"/>
        </w:rPr>
      </w:pPr>
      <w:r>
        <w:rPr>
          <w:rFonts w:hint="eastAsia" w:cs="宋体"/>
        </w:rPr>
        <w:t>采用多点部署方式，具备弹性扩容能力，能避免单点故障导致整个系统不可用，保证系统的高可靠性。</w:t>
      </w:r>
    </w:p>
    <w:p w14:paraId="79E37BB7">
      <w:pPr>
        <w:spacing w:line="360" w:lineRule="auto"/>
        <w:ind w:firstLine="420"/>
        <w:rPr>
          <w:rFonts w:cs="宋体"/>
        </w:rPr>
      </w:pPr>
      <w:r>
        <w:rPr>
          <w:rFonts w:hint="eastAsia" w:cs="宋体"/>
        </w:rPr>
        <w:t>（2）响应时间</w:t>
      </w:r>
    </w:p>
    <w:p w14:paraId="5F473694">
      <w:pPr>
        <w:spacing w:line="360" w:lineRule="auto"/>
        <w:ind w:firstLine="420"/>
        <w:rPr>
          <w:rFonts w:cs="宋体"/>
        </w:rPr>
      </w:pPr>
      <w:r>
        <w:rPr>
          <w:rFonts w:hint="eastAsia" w:cs="宋体"/>
        </w:rPr>
        <w:t>a.用户登录≤3.0秒。</w:t>
      </w:r>
    </w:p>
    <w:p w14:paraId="6DB5B449">
      <w:pPr>
        <w:spacing w:line="360" w:lineRule="auto"/>
        <w:ind w:firstLine="420"/>
        <w:rPr>
          <w:rFonts w:cs="宋体"/>
        </w:rPr>
      </w:pPr>
      <w:r>
        <w:rPr>
          <w:rFonts w:hint="eastAsia" w:cs="宋体"/>
        </w:rPr>
        <w:t>b.文件导出（Excel）≤30秒（10万行数据）</w:t>
      </w:r>
    </w:p>
    <w:p w14:paraId="13412BF2">
      <w:pPr>
        <w:spacing w:line="360" w:lineRule="auto"/>
        <w:ind w:firstLine="420"/>
        <w:rPr>
          <w:rFonts w:cs="宋体"/>
        </w:rPr>
      </w:pPr>
      <w:r>
        <w:rPr>
          <w:rFonts w:hint="eastAsia" w:cs="宋体"/>
        </w:rPr>
        <w:t>（3）并发能力</w:t>
      </w:r>
    </w:p>
    <w:p w14:paraId="70785604">
      <w:pPr>
        <w:spacing w:line="360" w:lineRule="auto"/>
        <w:ind w:firstLine="420"/>
        <w:rPr>
          <w:rFonts w:cs="宋体"/>
        </w:rPr>
      </w:pPr>
      <w:r>
        <w:rPr>
          <w:rFonts w:hint="eastAsia" w:cs="宋体"/>
        </w:rPr>
        <w:t>a.峰值并发用户≥500用户同时在线。</w:t>
      </w:r>
    </w:p>
    <w:p w14:paraId="2BD43967">
      <w:pPr>
        <w:spacing w:line="360" w:lineRule="auto"/>
        <w:ind w:firstLine="420"/>
        <w:rPr>
          <w:rFonts w:cs="宋体"/>
        </w:rPr>
      </w:pPr>
      <w:r>
        <w:rPr>
          <w:rFonts w:hint="eastAsia" w:cs="宋体"/>
        </w:rPr>
        <w:t>b.关键事务TPS≥100TPS。</w:t>
      </w:r>
    </w:p>
    <w:p w14:paraId="592BDCB3">
      <w:pPr>
        <w:spacing w:line="360" w:lineRule="auto"/>
        <w:ind w:firstLine="420"/>
        <w:rPr>
          <w:rFonts w:cs="宋体"/>
        </w:rPr>
      </w:pPr>
      <w:r>
        <w:rPr>
          <w:rFonts w:hint="eastAsia" w:cs="宋体"/>
        </w:rPr>
        <w:t>c.长时间稳定性72小时连续运行，内存泄漏≤5%。</w:t>
      </w:r>
    </w:p>
    <w:p w14:paraId="44ADBEE9">
      <w:pPr>
        <w:keepNext/>
        <w:keepLines/>
        <w:widowControl w:val="0"/>
        <w:numPr>
          <w:ilvl w:val="4"/>
          <w:numId w:val="0"/>
        </w:numPr>
        <w:spacing w:before="240" w:after="64" w:line="360" w:lineRule="auto"/>
        <w:jc w:val="both"/>
        <w:outlineLvl w:val="5"/>
        <w:rPr>
          <w:rFonts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（3）高可用性指标</w:t>
      </w:r>
    </w:p>
    <w:p w14:paraId="39058FC5">
      <w:pPr>
        <w:spacing w:line="360" w:lineRule="auto"/>
        <w:ind w:firstLine="420"/>
        <w:rPr>
          <w:rFonts w:cs="宋体"/>
        </w:rPr>
      </w:pPr>
      <w:r>
        <w:rPr>
          <w:rFonts w:hint="eastAsia" w:cs="宋体"/>
        </w:rPr>
        <w:t>（1）故障恢复指标</w:t>
      </w:r>
    </w:p>
    <w:p w14:paraId="6742D507">
      <w:pPr>
        <w:spacing w:line="360" w:lineRule="auto"/>
        <w:ind w:firstLine="420"/>
        <w:rPr>
          <w:rFonts w:cs="宋体"/>
        </w:rPr>
      </w:pPr>
      <w:r>
        <w:rPr>
          <w:rFonts w:hint="eastAsia" w:cs="宋体"/>
        </w:rPr>
        <w:t>a.业务系统在灾难发生后，从中断到完全恢复服务时间目标（RTO）≤10分钟。</w:t>
      </w:r>
    </w:p>
    <w:p w14:paraId="72EAAADA">
      <w:pPr>
        <w:spacing w:line="360" w:lineRule="auto"/>
        <w:ind w:firstLine="420"/>
        <w:rPr>
          <w:rFonts w:cs="宋体"/>
        </w:rPr>
      </w:pPr>
      <w:r>
        <w:rPr>
          <w:rFonts w:hint="eastAsia" w:cs="宋体"/>
        </w:rPr>
        <w:t>b.业务系统在灾难发生后，业务能容忍的最大数据丢失量（RPO）≤1分钟。</w:t>
      </w:r>
    </w:p>
    <w:p w14:paraId="64BA7FB2">
      <w:pPr>
        <w:spacing w:line="360" w:lineRule="auto"/>
        <w:ind w:firstLine="420"/>
        <w:rPr>
          <w:rFonts w:cs="宋体"/>
        </w:rPr>
      </w:pPr>
      <w:r>
        <w:rPr>
          <w:rFonts w:hint="eastAsia" w:cs="宋体"/>
        </w:rPr>
        <w:t>c.切换损失事务中断≤3笔。</w:t>
      </w:r>
    </w:p>
    <w:p w14:paraId="65BD8ADF">
      <w:pPr>
        <w:spacing w:line="360" w:lineRule="auto"/>
        <w:ind w:firstLine="420"/>
        <w:rPr>
          <w:rFonts w:cs="宋体"/>
        </w:rPr>
      </w:pPr>
      <w:r>
        <w:rPr>
          <w:rFonts w:hint="eastAsia" w:cs="宋体"/>
        </w:rPr>
        <w:t>（2）集群能力指标</w:t>
      </w:r>
    </w:p>
    <w:p w14:paraId="28FAB5E3">
      <w:pPr>
        <w:spacing w:line="360" w:lineRule="auto"/>
        <w:ind w:firstLine="420"/>
        <w:rPr>
          <w:rFonts w:cs="宋体"/>
        </w:rPr>
      </w:pPr>
      <w:r>
        <w:rPr>
          <w:rFonts w:hint="eastAsia" w:cs="宋体"/>
        </w:rPr>
        <w:t>a.扩容过程业务中断≤30秒。</w:t>
      </w:r>
    </w:p>
    <w:p w14:paraId="091F6DB4">
      <w:pPr>
        <w:spacing w:line="360" w:lineRule="auto"/>
        <w:ind w:firstLine="420"/>
        <w:rPr>
          <w:rFonts w:cs="宋体"/>
        </w:rPr>
      </w:pPr>
      <w:r>
        <w:rPr>
          <w:rFonts w:hint="eastAsia" w:cs="宋体"/>
        </w:rPr>
        <w:t>b.杀死任意节点进程后，180秒内自动重启并恢复服务。</w:t>
      </w:r>
    </w:p>
    <w:p w14:paraId="73CF44E5">
      <w:pPr>
        <w:spacing w:line="360" w:lineRule="auto"/>
        <w:ind w:firstLine="420"/>
        <w:rPr>
          <w:rFonts w:cs="宋体"/>
        </w:rPr>
      </w:pPr>
      <w:r>
        <w:rPr>
          <w:rFonts w:hint="eastAsia" w:cs="宋体"/>
        </w:rPr>
        <w:t>c.网络分区（脑裂）时，自动隔离故障节点，保障数据一致性。</w:t>
      </w:r>
    </w:p>
    <w:p w14:paraId="0C6E0136">
      <w:pPr>
        <w:keepNext/>
        <w:keepLines/>
        <w:widowControl w:val="0"/>
        <w:numPr>
          <w:ilvl w:val="4"/>
          <w:numId w:val="0"/>
        </w:numPr>
        <w:spacing w:before="240" w:after="64" w:line="360" w:lineRule="auto"/>
        <w:jc w:val="both"/>
        <w:outlineLvl w:val="5"/>
        <w:rPr>
          <w:rFonts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（4）安全性能指标</w:t>
      </w:r>
    </w:p>
    <w:p w14:paraId="4A497863">
      <w:pPr>
        <w:spacing w:line="360" w:lineRule="auto"/>
        <w:ind w:firstLine="420"/>
        <w:rPr>
          <w:rFonts w:cs="宋体"/>
        </w:rPr>
      </w:pPr>
      <w:r>
        <w:rPr>
          <w:rFonts w:hint="eastAsia" w:cs="宋体"/>
        </w:rPr>
        <w:t>a.针对Web应用层的分布式拒绝服务攻击（CC攻击），承受≥50万QPS，业务降级≤10%。</w:t>
      </w:r>
    </w:p>
    <w:p w14:paraId="1396776E">
      <w:pPr>
        <w:spacing w:line="360" w:lineRule="auto"/>
        <w:ind w:firstLine="420"/>
        <w:rPr>
          <w:rFonts w:cs="宋体"/>
        </w:rPr>
      </w:pPr>
      <w:r>
        <w:rPr>
          <w:rFonts w:hint="eastAsia" w:cs="宋体"/>
        </w:rPr>
        <w:t>b.SQL注入，拦截率100%，误杀率≤0.01%。</w:t>
      </w:r>
    </w:p>
    <w:p w14:paraId="5EAE81A1">
      <w:pPr>
        <w:spacing w:line="360" w:lineRule="auto"/>
        <w:ind w:firstLine="420"/>
        <w:rPr>
          <w:rFonts w:cs="宋体"/>
        </w:rPr>
      </w:pPr>
      <w:r>
        <w:rPr>
          <w:rFonts w:hint="eastAsia" w:cs="宋体"/>
        </w:rPr>
        <w:t>c.暴力破解，账号锁定策略：5次失败锁定15分钟。</w:t>
      </w:r>
    </w:p>
    <w:p w14:paraId="2B722521">
      <w:pPr>
        <w:keepNext/>
        <w:widowControl w:val="0"/>
        <w:numPr>
          <w:ilvl w:val="3"/>
          <w:numId w:val="0"/>
        </w:numPr>
        <w:autoSpaceDE w:val="0"/>
        <w:autoSpaceDN w:val="0"/>
        <w:adjustRightInd w:val="0"/>
        <w:spacing w:line="360" w:lineRule="auto"/>
        <w:ind w:left="567" w:hanging="567"/>
        <w:jc w:val="both"/>
        <w:outlineLvl w:val="4"/>
        <w:rPr>
          <w:rFonts w:ascii="宋体" w:hAnsi="Times New Roman" w:eastAsia="宋体" w:cs="Times New Roman"/>
          <w:color w:val="000000"/>
          <w:kern w:val="0"/>
          <w:sz w:val="24"/>
          <w:szCs w:val="24"/>
          <w:lang w:val="en-US" w:eastAsia="zh-CN" w:bidi="ar-SA"/>
        </w:rPr>
      </w:pPr>
      <w:r>
        <w:rPr>
          <w:rFonts w:hint="eastAsia" w:ascii="宋体" w:hAnsi="Times New Roman" w:eastAsia="宋体" w:cs="Times New Roman"/>
          <w:color w:val="000000"/>
          <w:kern w:val="0"/>
          <w:sz w:val="24"/>
          <w:szCs w:val="24"/>
          <w:lang w:val="en-US" w:eastAsia="zh-CN" w:bidi="ar-SA"/>
        </w:rPr>
        <w:t>2.系统运维要求</w:t>
      </w:r>
    </w:p>
    <w:p w14:paraId="35FFAA75">
      <w:pPr>
        <w:spacing w:line="360" w:lineRule="auto"/>
        <w:ind w:firstLine="420"/>
        <w:rPr>
          <w:rFonts w:cs="宋体"/>
        </w:rPr>
      </w:pPr>
      <w:r>
        <w:rPr>
          <w:rFonts w:hint="eastAsia" w:cs="宋体"/>
        </w:rPr>
        <w:t>采购人负责本项目运维服务质量的检查监督。投标人须配备专业技能与岗位匹配的运维人员，</w:t>
      </w:r>
      <w:r>
        <w:rPr>
          <w:rFonts w:hint="eastAsia" w:ascii="宋体" w:hAnsi="宋体" w:cs="宋体"/>
          <w:color w:val="000000"/>
        </w:rPr>
        <w:t>运维人员应具备由国家或省级人力资源和社会保障部门、工业和信息化部门颁发的以下计算机技术与软件专业技术资格证书。</w:t>
      </w:r>
      <w:r>
        <w:rPr>
          <w:rFonts w:hint="eastAsia" w:cs="宋体"/>
        </w:rPr>
        <w:t>未经甲方书面同意，不得擅自更换人员；如需变更，须提前申请并完成新老交接</w:t>
      </w:r>
      <w:r>
        <w:rPr>
          <w:rFonts w:cs="宋体"/>
        </w:rPr>
        <w:t>。</w:t>
      </w:r>
    </w:p>
    <w:p w14:paraId="6A60F1AE">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218" w:name="_Toc28824"/>
      <w:r>
        <w:rPr>
          <w:rFonts w:hint="eastAsia" w:ascii="Times New Roman" w:hAnsi="Times New Roman" w:eastAsia="宋体" w:cs="Times New Roman"/>
          <w:b/>
          <w:bCs/>
          <w:kern w:val="2"/>
          <w:sz w:val="32"/>
          <w:szCs w:val="32"/>
          <w:lang w:val="en-US" w:eastAsia="zh-CN" w:bidi="ar-SA"/>
        </w:rPr>
        <w:t>（四）系统功能或服务要求</w:t>
      </w:r>
      <w:bookmarkEnd w:id="218"/>
    </w:p>
    <w:p w14:paraId="08A5E2D1">
      <w:pPr>
        <w:keepNext/>
        <w:keepLines/>
        <w:widowControl w:val="0"/>
        <w:numPr>
          <w:ilvl w:val="1"/>
          <w:numId w:val="0"/>
        </w:numPr>
        <w:spacing w:line="360" w:lineRule="auto"/>
        <w:ind w:left="567" w:firstLine="422" w:firstLineChars="150"/>
        <w:jc w:val="both"/>
        <w:outlineLvl w:val="3"/>
        <w:rPr>
          <w:rFonts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1.一体化数据资源服务平台建设</w:t>
      </w:r>
    </w:p>
    <w:p w14:paraId="3038F04F">
      <w:pPr>
        <w:keepNext/>
        <w:widowControl w:val="0"/>
        <w:numPr>
          <w:ilvl w:val="1"/>
          <w:numId w:val="0"/>
        </w:numPr>
        <w:autoSpaceDE w:val="0"/>
        <w:autoSpaceDN w:val="0"/>
        <w:adjustRightInd w:val="0"/>
        <w:spacing w:line="360" w:lineRule="auto"/>
        <w:ind w:left="567" w:hanging="567"/>
        <w:jc w:val="both"/>
        <w:outlineLvl w:val="4"/>
        <w:rPr>
          <w:rFonts w:ascii="宋体" w:hAnsi="Times New Roman" w:eastAsia="宋体" w:cs="Times New Roman"/>
          <w:color w:val="000000"/>
          <w:kern w:val="0"/>
          <w:sz w:val="28"/>
          <w:szCs w:val="28"/>
          <w:lang w:val="en-US" w:eastAsia="zh-CN" w:bidi="ar-SA"/>
        </w:rPr>
      </w:pPr>
      <w:r>
        <w:rPr>
          <w:rFonts w:hint="eastAsia" w:ascii="宋体" w:hAnsi="Times New Roman" w:eastAsia="宋体" w:cs="Times New Roman"/>
          <w:color w:val="000000"/>
          <w:kern w:val="0"/>
          <w:sz w:val="28"/>
          <w:szCs w:val="28"/>
          <w:lang w:val="en-US" w:eastAsia="zh-CN" w:bidi="ar-SA"/>
        </w:rPr>
        <w:t>1.1.高质量数据集开发系统</w:t>
      </w:r>
    </w:p>
    <w:tbl>
      <w:tblPr>
        <w:tblStyle w:val="18"/>
        <w:tblW w:w="9162" w:type="dxa"/>
        <w:tblInd w:w="113" w:type="dxa"/>
        <w:tblLayout w:type="fixed"/>
        <w:tblCellMar>
          <w:top w:w="0" w:type="dxa"/>
          <w:left w:w="108" w:type="dxa"/>
          <w:bottom w:w="0" w:type="dxa"/>
          <w:right w:w="108" w:type="dxa"/>
        </w:tblCellMar>
      </w:tblPr>
      <w:tblGrid>
        <w:gridCol w:w="1264"/>
        <w:gridCol w:w="7898"/>
      </w:tblGrid>
      <w:tr w14:paraId="3A5F62C7">
        <w:tblPrEx>
          <w:tblCellMar>
            <w:top w:w="0" w:type="dxa"/>
            <w:left w:w="108" w:type="dxa"/>
            <w:bottom w:w="0" w:type="dxa"/>
            <w:right w:w="108" w:type="dxa"/>
          </w:tblCellMar>
        </w:tblPrEx>
        <w:trPr>
          <w:trHeight w:val="705" w:hRule="atLeast"/>
        </w:trPr>
        <w:tc>
          <w:tcPr>
            <w:tcW w:w="1264" w:type="dxa"/>
            <w:tcBorders>
              <w:top w:val="single" w:color="auto" w:sz="4" w:space="0"/>
              <w:left w:val="single" w:color="auto" w:sz="4" w:space="0"/>
              <w:bottom w:val="single" w:color="auto" w:sz="4" w:space="0"/>
              <w:right w:val="single" w:color="auto" w:sz="4" w:space="0"/>
            </w:tcBorders>
            <w:noWrap w:val="0"/>
            <w:vAlign w:val="center"/>
          </w:tcPr>
          <w:p w14:paraId="7BAFC1F6">
            <w:r>
              <w:rPr>
                <w:rFonts w:hint="eastAsia"/>
              </w:rPr>
              <w:t>指标项</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0F5696F0">
            <w:r>
              <w:rPr>
                <w:rFonts w:hint="eastAsia"/>
              </w:rPr>
              <w:t>指标要求</w:t>
            </w:r>
          </w:p>
        </w:tc>
      </w:tr>
      <w:tr w14:paraId="34A2EF8D">
        <w:tblPrEx>
          <w:tblCellMar>
            <w:top w:w="0" w:type="dxa"/>
            <w:left w:w="108" w:type="dxa"/>
            <w:bottom w:w="0" w:type="dxa"/>
            <w:right w:w="108" w:type="dxa"/>
          </w:tblCellMar>
        </w:tblPrEx>
        <w:trPr>
          <w:trHeight w:val="360" w:hRule="atLeast"/>
        </w:trPr>
        <w:tc>
          <w:tcPr>
            <w:tcW w:w="1264" w:type="dxa"/>
            <w:vMerge w:val="restart"/>
            <w:tcBorders>
              <w:top w:val="single" w:color="auto" w:sz="4" w:space="0"/>
              <w:left w:val="single" w:color="auto" w:sz="4" w:space="0"/>
              <w:bottom w:val="single" w:color="auto" w:sz="4" w:space="0"/>
              <w:right w:val="single" w:color="auto" w:sz="4" w:space="0"/>
            </w:tcBorders>
            <w:noWrap w:val="0"/>
            <w:vAlign w:val="center"/>
          </w:tcPr>
          <w:p w14:paraId="6A567EF9">
            <w:r>
              <w:rPr>
                <w:rFonts w:hint="eastAsia"/>
              </w:rPr>
              <w:t>数据处理</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001E8412">
            <w:r>
              <w:rPr>
                <w:rFonts w:hint="eastAsia"/>
              </w:rPr>
              <w:t>提供一站式数据处理环境，支持结构化数据、非结构化数据、半结构化数据的数据处理、流程调度和生产运维。</w:t>
            </w:r>
          </w:p>
        </w:tc>
      </w:tr>
      <w:tr w14:paraId="706C28AC">
        <w:tblPrEx>
          <w:tblCellMar>
            <w:top w:w="0" w:type="dxa"/>
            <w:left w:w="108" w:type="dxa"/>
            <w:bottom w:w="0" w:type="dxa"/>
            <w:right w:w="108" w:type="dxa"/>
          </w:tblCellMar>
        </w:tblPrEx>
        <w:trPr>
          <w:trHeight w:val="36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20883FCE"/>
        </w:tc>
        <w:tc>
          <w:tcPr>
            <w:tcW w:w="7898" w:type="dxa"/>
            <w:tcBorders>
              <w:top w:val="single" w:color="auto" w:sz="4" w:space="0"/>
              <w:left w:val="single" w:color="auto" w:sz="4" w:space="0"/>
              <w:bottom w:val="single" w:color="auto" w:sz="4" w:space="0"/>
              <w:right w:val="single" w:color="auto" w:sz="4" w:space="0"/>
            </w:tcBorders>
            <w:noWrap w:val="0"/>
            <w:vAlign w:val="center"/>
          </w:tcPr>
          <w:p w14:paraId="77BCD638">
            <w:r>
              <w:rPr>
                <w:rFonts w:hint="eastAsia"/>
              </w:rPr>
              <w:t>支持通过图形化的拖拉拽方式将不同类型处理节点连线组织开发成工作流的功能，可实现零编码交互，工作流画布支持自动布局。</w:t>
            </w:r>
          </w:p>
        </w:tc>
      </w:tr>
      <w:tr w14:paraId="04B5D54E">
        <w:tblPrEx>
          <w:tblCellMar>
            <w:top w:w="0" w:type="dxa"/>
            <w:left w:w="108" w:type="dxa"/>
            <w:bottom w:w="0" w:type="dxa"/>
            <w:right w:w="108" w:type="dxa"/>
          </w:tblCellMar>
        </w:tblPrEx>
        <w:trPr>
          <w:trHeight w:val="36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5802D4F9"/>
        </w:tc>
        <w:tc>
          <w:tcPr>
            <w:tcW w:w="7898" w:type="dxa"/>
            <w:tcBorders>
              <w:top w:val="single" w:color="auto" w:sz="4" w:space="0"/>
              <w:left w:val="single" w:color="auto" w:sz="4" w:space="0"/>
              <w:bottom w:val="single" w:color="auto" w:sz="4" w:space="0"/>
              <w:right w:val="single" w:color="auto" w:sz="4" w:space="0"/>
            </w:tcBorders>
            <w:noWrap w:val="0"/>
            <w:vAlign w:val="center"/>
          </w:tcPr>
          <w:p w14:paraId="184B1497">
            <w:r>
              <w:rPr>
                <w:rFonts w:hint="eastAsia"/>
              </w:rPr>
              <w:t>支持版本管理功能，能提供工作流和工作节点的版本查看及版本回滚。</w:t>
            </w:r>
          </w:p>
        </w:tc>
      </w:tr>
      <w:tr w14:paraId="5BD22546">
        <w:tblPrEx>
          <w:tblCellMar>
            <w:top w:w="0" w:type="dxa"/>
            <w:left w:w="108" w:type="dxa"/>
            <w:bottom w:w="0" w:type="dxa"/>
            <w:right w:w="108" w:type="dxa"/>
          </w:tblCellMar>
        </w:tblPrEx>
        <w:trPr>
          <w:trHeight w:val="36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677E36A5"/>
        </w:tc>
        <w:tc>
          <w:tcPr>
            <w:tcW w:w="7898" w:type="dxa"/>
            <w:tcBorders>
              <w:top w:val="single" w:color="auto" w:sz="4" w:space="0"/>
              <w:left w:val="single" w:color="auto" w:sz="4" w:space="0"/>
              <w:bottom w:val="single" w:color="auto" w:sz="4" w:space="0"/>
              <w:right w:val="single" w:color="auto" w:sz="4" w:space="0"/>
            </w:tcBorders>
            <w:noWrap w:val="0"/>
            <w:vAlign w:val="center"/>
          </w:tcPr>
          <w:p w14:paraId="5C6CEA45">
            <w:r>
              <w:rPr>
                <w:rFonts w:hint="eastAsia"/>
              </w:rPr>
              <w:t>支持文本数据、图像数据、音频数据、视频数据等多种模态数据的处理能力，支持提取、清洗、去重、转换一系列数据规范化处理功能。具备自定义处理节点，扩展处理能力。</w:t>
            </w:r>
          </w:p>
        </w:tc>
      </w:tr>
      <w:tr w14:paraId="57E3D297">
        <w:tblPrEx>
          <w:tblCellMar>
            <w:top w:w="0" w:type="dxa"/>
            <w:left w:w="108" w:type="dxa"/>
            <w:bottom w:w="0" w:type="dxa"/>
            <w:right w:w="108" w:type="dxa"/>
          </w:tblCellMar>
        </w:tblPrEx>
        <w:trPr>
          <w:trHeight w:val="36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20F7A86E"/>
        </w:tc>
        <w:tc>
          <w:tcPr>
            <w:tcW w:w="7898" w:type="dxa"/>
            <w:tcBorders>
              <w:top w:val="single" w:color="auto" w:sz="4" w:space="0"/>
              <w:left w:val="single" w:color="auto" w:sz="4" w:space="0"/>
              <w:bottom w:val="single" w:color="auto" w:sz="4" w:space="0"/>
              <w:right w:val="single" w:color="auto" w:sz="4" w:space="0"/>
            </w:tcBorders>
            <w:noWrap w:val="0"/>
            <w:vAlign w:val="center"/>
          </w:tcPr>
          <w:p w14:paraId="2C521E9A">
            <w:r>
              <w:rPr>
                <w:rFonts w:hint="eastAsia"/>
              </w:rPr>
              <w:t>具备统一的元数据管理能力，支持各种主流类型的数据存储和处理平台，包括但不限于结构化数据库、大数据平台、对象存储等，可提供元数据信息展示和动态更新</w:t>
            </w:r>
          </w:p>
        </w:tc>
      </w:tr>
      <w:tr w14:paraId="73A9F0E3">
        <w:tblPrEx>
          <w:tblCellMar>
            <w:top w:w="0" w:type="dxa"/>
            <w:left w:w="108" w:type="dxa"/>
            <w:bottom w:w="0" w:type="dxa"/>
            <w:right w:w="108" w:type="dxa"/>
          </w:tblCellMar>
        </w:tblPrEx>
        <w:trPr>
          <w:trHeight w:val="705"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020AFC6A"/>
        </w:tc>
        <w:tc>
          <w:tcPr>
            <w:tcW w:w="7898" w:type="dxa"/>
            <w:tcBorders>
              <w:top w:val="single" w:color="auto" w:sz="4" w:space="0"/>
              <w:left w:val="single" w:color="auto" w:sz="4" w:space="0"/>
              <w:bottom w:val="single" w:color="auto" w:sz="4" w:space="0"/>
              <w:right w:val="single" w:color="auto" w:sz="4" w:space="0"/>
            </w:tcBorders>
            <w:noWrap w:val="0"/>
            <w:vAlign w:val="center"/>
          </w:tcPr>
          <w:p w14:paraId="241D579F">
            <w:r>
              <w:rPr>
                <w:rFonts w:hint="eastAsia"/>
              </w:rPr>
              <w:t>支持全链路数据血缘的查看及分析，支持全流程数据血缘（包含采集、加工、共享）；能够展示细粒度的数据血缘关系，结构化数据支持数据表级、字段级数据血缘关系展示，非结构化数据支持资源级血缘关系展示。</w:t>
            </w:r>
          </w:p>
        </w:tc>
      </w:tr>
      <w:tr w14:paraId="32E33BF2">
        <w:tblPrEx>
          <w:tblCellMar>
            <w:top w:w="0" w:type="dxa"/>
            <w:left w:w="108" w:type="dxa"/>
            <w:bottom w:w="0" w:type="dxa"/>
            <w:right w:w="108" w:type="dxa"/>
          </w:tblCellMar>
        </w:tblPrEx>
        <w:trPr>
          <w:trHeight w:val="360" w:hRule="atLeast"/>
        </w:trPr>
        <w:tc>
          <w:tcPr>
            <w:tcW w:w="1264" w:type="dxa"/>
            <w:vMerge w:val="restart"/>
            <w:tcBorders>
              <w:top w:val="single" w:color="auto" w:sz="4" w:space="0"/>
              <w:left w:val="single" w:color="auto" w:sz="4" w:space="0"/>
              <w:bottom w:val="single" w:color="auto" w:sz="4" w:space="0"/>
              <w:right w:val="single" w:color="auto" w:sz="4" w:space="0"/>
            </w:tcBorders>
            <w:noWrap w:val="0"/>
            <w:vAlign w:val="center"/>
          </w:tcPr>
          <w:p w14:paraId="37512449">
            <w:r>
              <w:rPr>
                <w:rFonts w:hint="eastAsia"/>
              </w:rPr>
              <w:t>数据标注</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5B055DDA">
            <w:r>
              <w:rPr>
                <w:rFonts w:hint="eastAsia"/>
              </w:rPr>
              <w:t>具备数据集全生命周期管理功能，包括创建、编辑、标注、质检、发布、删除能力；具备数据集详情查看、数据预览能力。</w:t>
            </w:r>
          </w:p>
        </w:tc>
      </w:tr>
      <w:tr w14:paraId="4B61419E">
        <w:tblPrEx>
          <w:tblCellMar>
            <w:top w:w="0" w:type="dxa"/>
            <w:left w:w="108" w:type="dxa"/>
            <w:bottom w:w="0" w:type="dxa"/>
            <w:right w:w="108" w:type="dxa"/>
          </w:tblCellMar>
        </w:tblPrEx>
        <w:trPr>
          <w:trHeight w:val="36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6E100143"/>
        </w:tc>
        <w:tc>
          <w:tcPr>
            <w:tcW w:w="7898" w:type="dxa"/>
            <w:tcBorders>
              <w:top w:val="single" w:color="auto" w:sz="4" w:space="0"/>
              <w:left w:val="single" w:color="auto" w:sz="4" w:space="0"/>
              <w:bottom w:val="single" w:color="auto" w:sz="4" w:space="0"/>
              <w:right w:val="single" w:color="auto" w:sz="4" w:space="0"/>
            </w:tcBorders>
            <w:noWrap w:val="0"/>
            <w:vAlign w:val="center"/>
          </w:tcPr>
          <w:p w14:paraId="1CAF7EDF">
            <w:r>
              <w:rPr>
                <w:rFonts w:hint="eastAsia"/>
              </w:rPr>
              <w:t>具备基于结构化数据生成数据集的能力，能将数据治理后的标准库表数据发布成数据集。</w:t>
            </w:r>
          </w:p>
        </w:tc>
      </w:tr>
      <w:tr w14:paraId="39B2AF7A">
        <w:tblPrEx>
          <w:tblCellMar>
            <w:top w:w="0" w:type="dxa"/>
            <w:left w:w="108" w:type="dxa"/>
            <w:bottom w:w="0" w:type="dxa"/>
            <w:right w:w="108" w:type="dxa"/>
          </w:tblCellMar>
        </w:tblPrEx>
        <w:trPr>
          <w:trHeight w:val="36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15A77FB3"/>
        </w:tc>
        <w:tc>
          <w:tcPr>
            <w:tcW w:w="7898" w:type="dxa"/>
            <w:tcBorders>
              <w:top w:val="single" w:color="auto" w:sz="4" w:space="0"/>
              <w:left w:val="single" w:color="auto" w:sz="4" w:space="0"/>
              <w:bottom w:val="single" w:color="auto" w:sz="4" w:space="0"/>
              <w:right w:val="single" w:color="auto" w:sz="4" w:space="0"/>
            </w:tcBorders>
            <w:noWrap w:val="0"/>
            <w:vAlign w:val="center"/>
          </w:tcPr>
          <w:p w14:paraId="1222A0CB">
            <w:r>
              <w:rPr>
                <w:rFonts w:hint="eastAsia"/>
              </w:rPr>
              <w:t>具备数据标注任务管理功能，包括标注任务增删改、标注流程控制、标注标签配置。具备标注进度可视化跟踪能力。</w:t>
            </w:r>
          </w:p>
        </w:tc>
      </w:tr>
      <w:tr w14:paraId="08A701F0">
        <w:tblPrEx>
          <w:tblCellMar>
            <w:top w:w="0" w:type="dxa"/>
            <w:left w:w="108" w:type="dxa"/>
            <w:bottom w:w="0" w:type="dxa"/>
            <w:right w:w="108" w:type="dxa"/>
          </w:tblCellMar>
        </w:tblPrEx>
        <w:trPr>
          <w:trHeight w:val="105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67390F9F"/>
        </w:tc>
        <w:tc>
          <w:tcPr>
            <w:tcW w:w="7898" w:type="dxa"/>
            <w:tcBorders>
              <w:top w:val="single" w:color="auto" w:sz="4" w:space="0"/>
              <w:left w:val="single" w:color="auto" w:sz="4" w:space="0"/>
              <w:bottom w:val="single" w:color="auto" w:sz="4" w:space="0"/>
              <w:right w:val="single" w:color="auto" w:sz="4" w:space="0"/>
            </w:tcBorders>
            <w:noWrap w:val="0"/>
            <w:vAlign w:val="center"/>
          </w:tcPr>
          <w:p w14:paraId="1F61F0B4">
            <w:r>
              <w:rPr>
                <w:rFonts w:hint="eastAsia"/>
              </w:rPr>
              <w:t>具备各种模态的数据标注能力，包括文本数据、图像数据、音频数据、视频数据、多模态数据、时序数据等。文本数据标注场景包括但不限于问答对标注、文本分类、命名实体识别（NER）、文本关系抽取、文本摘要；图像数据标注场景包括但不限于目标检测、图像字符识别（OCR）、图像分割、图片分类、图像问答、图像描述生成；音频数据标注场景包括但不限于语音转写、音频片段分割、语音情感标注、语音分类。视频数据标注场景包括但不限于视频分类、视频场景分割、视频对象追踪。</w:t>
            </w:r>
          </w:p>
        </w:tc>
      </w:tr>
      <w:tr w14:paraId="6E699C22">
        <w:tblPrEx>
          <w:tblCellMar>
            <w:top w:w="0" w:type="dxa"/>
            <w:left w:w="108" w:type="dxa"/>
            <w:bottom w:w="0" w:type="dxa"/>
            <w:right w:w="108" w:type="dxa"/>
          </w:tblCellMar>
        </w:tblPrEx>
        <w:trPr>
          <w:trHeight w:val="36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57505389"/>
        </w:tc>
        <w:tc>
          <w:tcPr>
            <w:tcW w:w="7898" w:type="dxa"/>
            <w:tcBorders>
              <w:top w:val="single" w:color="auto" w:sz="4" w:space="0"/>
              <w:left w:val="single" w:color="auto" w:sz="4" w:space="0"/>
              <w:bottom w:val="single" w:color="auto" w:sz="4" w:space="0"/>
              <w:right w:val="single" w:color="auto" w:sz="4" w:space="0"/>
            </w:tcBorders>
            <w:noWrap w:val="0"/>
            <w:vAlign w:val="center"/>
          </w:tcPr>
          <w:p w14:paraId="50E5026E">
            <w:r>
              <w:rPr>
                <w:rFonts w:hint="eastAsia"/>
              </w:rPr>
              <w:t>具备标注操作页面可视化配置能力，能灵活适应不同的标注场景和标注习惯。支持标注操作快捷键控制，提升标注效率。</w:t>
            </w:r>
          </w:p>
        </w:tc>
      </w:tr>
      <w:tr w14:paraId="12FD1694">
        <w:tblPrEx>
          <w:tblCellMar>
            <w:top w:w="0" w:type="dxa"/>
            <w:left w:w="108" w:type="dxa"/>
            <w:bottom w:w="0" w:type="dxa"/>
            <w:right w:w="108" w:type="dxa"/>
          </w:tblCellMar>
        </w:tblPrEx>
        <w:trPr>
          <w:trHeight w:val="705"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7C307D84"/>
        </w:tc>
        <w:tc>
          <w:tcPr>
            <w:tcW w:w="7898" w:type="dxa"/>
            <w:tcBorders>
              <w:top w:val="single" w:color="auto" w:sz="4" w:space="0"/>
              <w:left w:val="single" w:color="auto" w:sz="4" w:space="0"/>
              <w:bottom w:val="single" w:color="auto" w:sz="4" w:space="0"/>
              <w:right w:val="single" w:color="auto" w:sz="4" w:space="0"/>
            </w:tcBorders>
            <w:noWrap w:val="0"/>
            <w:vAlign w:val="center"/>
          </w:tcPr>
          <w:p w14:paraId="38CE27E4">
            <w:r>
              <w:rPr>
                <w:rFonts w:hint="eastAsia"/>
              </w:rPr>
              <w:t>具备智能标注功能，支持批量智能标注和交互式标注两种方式。文本数据支持文本分类、命名实体识别等多种智能标注，图像数据支持目标检测、图片分类、OCR识别等多种智能标注。</w:t>
            </w:r>
          </w:p>
        </w:tc>
      </w:tr>
      <w:tr w14:paraId="70E771F0">
        <w:tblPrEx>
          <w:tblCellMar>
            <w:top w:w="0" w:type="dxa"/>
            <w:left w:w="108" w:type="dxa"/>
            <w:bottom w:w="0" w:type="dxa"/>
            <w:right w:w="108" w:type="dxa"/>
          </w:tblCellMar>
        </w:tblPrEx>
        <w:trPr>
          <w:trHeight w:val="705" w:hRule="atLeast"/>
        </w:trPr>
        <w:tc>
          <w:tcPr>
            <w:tcW w:w="1264" w:type="dxa"/>
            <w:vMerge w:val="restart"/>
            <w:tcBorders>
              <w:top w:val="single" w:color="auto" w:sz="4" w:space="0"/>
              <w:left w:val="single" w:color="auto" w:sz="4" w:space="0"/>
              <w:bottom w:val="single" w:color="auto" w:sz="4" w:space="0"/>
              <w:right w:val="single" w:color="auto" w:sz="4" w:space="0"/>
            </w:tcBorders>
            <w:noWrap w:val="0"/>
            <w:vAlign w:val="center"/>
          </w:tcPr>
          <w:p w14:paraId="500A5A73">
            <w:r>
              <w:rPr>
                <w:rFonts w:hint="eastAsia"/>
              </w:rPr>
              <w:t>数据集质检</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7818AE93">
            <w:r>
              <w:rPr>
                <w:rFonts w:hint="eastAsia"/>
              </w:rPr>
              <w:t>支持数据集质检规则管理功能，支持文档完整性、质量合规性、场景适用性三大维度的质检规则。具备结构化数据、文本数据、图像数据、音频数据、视频数据、多模态数据、时序数据的质检规则定义和参数配置功能。</w:t>
            </w:r>
          </w:p>
        </w:tc>
      </w:tr>
      <w:tr w14:paraId="2BE27BF0">
        <w:tblPrEx>
          <w:tblCellMar>
            <w:top w:w="0" w:type="dxa"/>
            <w:left w:w="108" w:type="dxa"/>
            <w:bottom w:w="0" w:type="dxa"/>
            <w:right w:w="108" w:type="dxa"/>
          </w:tblCellMar>
        </w:tblPrEx>
        <w:trPr>
          <w:trHeight w:val="36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65EADA70"/>
        </w:tc>
        <w:tc>
          <w:tcPr>
            <w:tcW w:w="7898" w:type="dxa"/>
            <w:tcBorders>
              <w:top w:val="single" w:color="auto" w:sz="4" w:space="0"/>
              <w:left w:val="single" w:color="auto" w:sz="4" w:space="0"/>
              <w:bottom w:val="single" w:color="auto" w:sz="4" w:space="0"/>
              <w:right w:val="single" w:color="auto" w:sz="4" w:space="0"/>
            </w:tcBorders>
            <w:noWrap w:val="0"/>
            <w:vAlign w:val="center"/>
          </w:tcPr>
          <w:p w14:paraId="2298D617">
            <w:r>
              <w:rPr>
                <w:rFonts w:hint="eastAsia"/>
              </w:rPr>
              <w:t>支持自定义规则能力，可以通过SQL、JS、python等形式，自定义质量检测规则。</w:t>
            </w:r>
          </w:p>
        </w:tc>
      </w:tr>
      <w:tr w14:paraId="3F6FBB65">
        <w:tblPrEx>
          <w:tblCellMar>
            <w:top w:w="0" w:type="dxa"/>
            <w:left w:w="108" w:type="dxa"/>
            <w:bottom w:w="0" w:type="dxa"/>
            <w:right w:w="108" w:type="dxa"/>
          </w:tblCellMar>
        </w:tblPrEx>
        <w:trPr>
          <w:trHeight w:val="36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4F0231C2"/>
        </w:tc>
        <w:tc>
          <w:tcPr>
            <w:tcW w:w="7898" w:type="dxa"/>
            <w:tcBorders>
              <w:top w:val="single" w:color="auto" w:sz="4" w:space="0"/>
              <w:left w:val="single" w:color="auto" w:sz="4" w:space="0"/>
              <w:bottom w:val="single" w:color="auto" w:sz="4" w:space="0"/>
              <w:right w:val="single" w:color="auto" w:sz="4" w:space="0"/>
            </w:tcBorders>
            <w:noWrap w:val="0"/>
            <w:vAlign w:val="center"/>
          </w:tcPr>
          <w:p w14:paraId="7476E2B8">
            <w:r>
              <w:rPr>
                <w:rFonts w:hint="eastAsia"/>
              </w:rPr>
              <w:t>支持数据集质量评估任务管理功能，能够配置数据集的评估规则，评估规则应包含但不限于文档完整性、质量合规性、场景适用性维度检测等，并具备任务管理和运维能力。</w:t>
            </w:r>
          </w:p>
        </w:tc>
      </w:tr>
      <w:tr w14:paraId="2E5AD5D7">
        <w:tblPrEx>
          <w:tblCellMar>
            <w:top w:w="0" w:type="dxa"/>
            <w:left w:w="108" w:type="dxa"/>
            <w:bottom w:w="0" w:type="dxa"/>
            <w:right w:w="108" w:type="dxa"/>
          </w:tblCellMar>
        </w:tblPrEx>
        <w:trPr>
          <w:trHeight w:val="36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2B21ED8A"/>
        </w:tc>
        <w:tc>
          <w:tcPr>
            <w:tcW w:w="7898" w:type="dxa"/>
            <w:tcBorders>
              <w:top w:val="single" w:color="auto" w:sz="4" w:space="0"/>
              <w:left w:val="single" w:color="auto" w:sz="4" w:space="0"/>
              <w:bottom w:val="single" w:color="auto" w:sz="4" w:space="0"/>
              <w:right w:val="single" w:color="auto" w:sz="4" w:space="0"/>
            </w:tcBorders>
            <w:noWrap w:val="0"/>
            <w:vAlign w:val="center"/>
          </w:tcPr>
          <w:p w14:paraId="576EC1E3">
            <w:r>
              <w:rPr>
                <w:rFonts w:hint="eastAsia"/>
              </w:rPr>
              <w:t>支持数据集质检结果查看功能，支持生成质量评估报告。</w:t>
            </w:r>
          </w:p>
        </w:tc>
      </w:tr>
      <w:tr w14:paraId="1BF62EBF">
        <w:tblPrEx>
          <w:tblCellMar>
            <w:top w:w="0" w:type="dxa"/>
            <w:left w:w="108" w:type="dxa"/>
            <w:bottom w:w="0" w:type="dxa"/>
            <w:right w:w="108" w:type="dxa"/>
          </w:tblCellMar>
        </w:tblPrEx>
        <w:trPr>
          <w:trHeight w:val="360" w:hRule="atLeast"/>
        </w:trPr>
        <w:tc>
          <w:tcPr>
            <w:tcW w:w="1264" w:type="dxa"/>
            <w:vMerge w:val="restart"/>
            <w:tcBorders>
              <w:top w:val="single" w:color="auto" w:sz="4" w:space="0"/>
              <w:left w:val="single" w:color="auto" w:sz="4" w:space="0"/>
              <w:bottom w:val="single" w:color="auto" w:sz="4" w:space="0"/>
              <w:right w:val="single" w:color="auto" w:sz="4" w:space="0"/>
            </w:tcBorders>
            <w:noWrap w:val="0"/>
            <w:vAlign w:val="center"/>
          </w:tcPr>
          <w:p w14:paraId="25E80159">
            <w:r>
              <w:rPr>
                <w:rFonts w:hint="eastAsia"/>
              </w:rPr>
              <w:t>数据集安全</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3557B0D7">
            <w:r>
              <w:rPr>
                <w:rFonts w:hint="eastAsia"/>
              </w:rPr>
              <w:t>支持分类分级规则配置和手动修正功能，支持分类、分级统一管理。</w:t>
            </w:r>
          </w:p>
        </w:tc>
      </w:tr>
      <w:tr w14:paraId="55790372">
        <w:tblPrEx>
          <w:tblCellMar>
            <w:top w:w="0" w:type="dxa"/>
            <w:left w:w="108" w:type="dxa"/>
            <w:bottom w:w="0" w:type="dxa"/>
            <w:right w:w="108" w:type="dxa"/>
          </w:tblCellMar>
        </w:tblPrEx>
        <w:trPr>
          <w:trHeight w:val="36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77E5777C"/>
        </w:tc>
        <w:tc>
          <w:tcPr>
            <w:tcW w:w="7898" w:type="dxa"/>
            <w:tcBorders>
              <w:top w:val="single" w:color="auto" w:sz="4" w:space="0"/>
              <w:left w:val="single" w:color="auto" w:sz="4" w:space="0"/>
              <w:bottom w:val="single" w:color="auto" w:sz="4" w:space="0"/>
              <w:right w:val="single" w:color="auto" w:sz="4" w:space="0"/>
            </w:tcBorders>
            <w:noWrap w:val="0"/>
            <w:vAlign w:val="center"/>
          </w:tcPr>
          <w:p w14:paraId="7F300EEB">
            <w:r>
              <w:rPr>
                <w:rFonts w:hint="eastAsia"/>
              </w:rPr>
              <w:t>具备敏感数据资产的分类、分级配置能力。</w:t>
            </w:r>
          </w:p>
        </w:tc>
      </w:tr>
      <w:tr w14:paraId="2ED22CF4">
        <w:tblPrEx>
          <w:tblCellMar>
            <w:top w:w="0" w:type="dxa"/>
            <w:left w:w="108" w:type="dxa"/>
            <w:bottom w:w="0" w:type="dxa"/>
            <w:right w:w="108" w:type="dxa"/>
          </w:tblCellMar>
        </w:tblPrEx>
        <w:trPr>
          <w:trHeight w:val="36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00477D00"/>
        </w:tc>
        <w:tc>
          <w:tcPr>
            <w:tcW w:w="7898" w:type="dxa"/>
            <w:tcBorders>
              <w:top w:val="single" w:color="auto" w:sz="4" w:space="0"/>
              <w:left w:val="single" w:color="auto" w:sz="4" w:space="0"/>
              <w:bottom w:val="single" w:color="auto" w:sz="4" w:space="0"/>
              <w:right w:val="single" w:color="auto" w:sz="4" w:space="0"/>
            </w:tcBorders>
            <w:noWrap w:val="0"/>
            <w:vAlign w:val="center"/>
          </w:tcPr>
          <w:p w14:paraId="7C6E2A05">
            <w:r>
              <w:rPr>
                <w:rFonts w:hint="eastAsia"/>
              </w:rPr>
              <w:t>支持敏感数据发现功能，支持敏感数据规则匹配，以及手动调整修改。</w:t>
            </w:r>
          </w:p>
        </w:tc>
      </w:tr>
      <w:tr w14:paraId="4E14DB5B">
        <w:tblPrEx>
          <w:tblCellMar>
            <w:top w:w="0" w:type="dxa"/>
            <w:left w:w="108" w:type="dxa"/>
            <w:bottom w:w="0" w:type="dxa"/>
            <w:right w:w="108" w:type="dxa"/>
          </w:tblCellMar>
        </w:tblPrEx>
        <w:trPr>
          <w:trHeight w:val="36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684E186A"/>
        </w:tc>
        <w:tc>
          <w:tcPr>
            <w:tcW w:w="7898" w:type="dxa"/>
            <w:tcBorders>
              <w:top w:val="single" w:color="auto" w:sz="4" w:space="0"/>
              <w:left w:val="single" w:color="auto" w:sz="4" w:space="0"/>
              <w:bottom w:val="single" w:color="auto" w:sz="4" w:space="0"/>
              <w:right w:val="single" w:color="auto" w:sz="4" w:space="0"/>
            </w:tcBorders>
            <w:noWrap w:val="0"/>
            <w:vAlign w:val="center"/>
          </w:tcPr>
          <w:p w14:paraId="437437FA">
            <w:r>
              <w:rPr>
                <w:rFonts w:hint="eastAsia"/>
              </w:rPr>
              <w:t>支持脱敏策略和脱敏规则的管理功能。脱敏规则应支持多种脱敏算法，包括但不限于：遮盖脱敏、哈希脱敏、变化脱敏、替换脱敏、随机映射、保留格式脱敏等。</w:t>
            </w:r>
          </w:p>
        </w:tc>
      </w:tr>
      <w:tr w14:paraId="6F08C6B2">
        <w:tblPrEx>
          <w:tblCellMar>
            <w:top w:w="0" w:type="dxa"/>
            <w:left w:w="108" w:type="dxa"/>
            <w:bottom w:w="0" w:type="dxa"/>
            <w:right w:w="108" w:type="dxa"/>
          </w:tblCellMar>
        </w:tblPrEx>
        <w:trPr>
          <w:trHeight w:val="36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4C3965B0"/>
        </w:tc>
        <w:tc>
          <w:tcPr>
            <w:tcW w:w="7898" w:type="dxa"/>
            <w:tcBorders>
              <w:top w:val="single" w:color="auto" w:sz="4" w:space="0"/>
              <w:left w:val="single" w:color="auto" w:sz="4" w:space="0"/>
              <w:bottom w:val="single" w:color="auto" w:sz="4" w:space="0"/>
              <w:right w:val="single" w:color="auto" w:sz="4" w:space="0"/>
            </w:tcBorders>
            <w:noWrap w:val="0"/>
            <w:vAlign w:val="center"/>
          </w:tcPr>
          <w:p w14:paraId="73E6730E">
            <w:r>
              <w:rPr>
                <w:rFonts w:hint="eastAsia"/>
              </w:rPr>
              <w:t>支持静态脱敏能力，可执行静态脱敏任务并成功脱敏。并能够通过全量及增量方式、手动及定时方式执行静态脱敏任务。</w:t>
            </w:r>
          </w:p>
        </w:tc>
      </w:tr>
      <w:tr w14:paraId="347D6B13">
        <w:tblPrEx>
          <w:tblCellMar>
            <w:top w:w="0" w:type="dxa"/>
            <w:left w:w="108" w:type="dxa"/>
            <w:bottom w:w="0" w:type="dxa"/>
            <w:right w:w="108" w:type="dxa"/>
          </w:tblCellMar>
        </w:tblPrEx>
        <w:trPr>
          <w:trHeight w:val="36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6953535C"/>
        </w:tc>
        <w:tc>
          <w:tcPr>
            <w:tcW w:w="7898" w:type="dxa"/>
            <w:tcBorders>
              <w:top w:val="single" w:color="auto" w:sz="4" w:space="0"/>
              <w:left w:val="single" w:color="auto" w:sz="4" w:space="0"/>
              <w:bottom w:val="single" w:color="auto" w:sz="4" w:space="0"/>
              <w:right w:val="single" w:color="auto" w:sz="4" w:space="0"/>
            </w:tcBorders>
            <w:noWrap w:val="0"/>
            <w:vAlign w:val="center"/>
          </w:tcPr>
          <w:p w14:paraId="264FCAA6">
            <w:r>
              <w:rPr>
                <w:rFonts w:hint="eastAsia"/>
              </w:rPr>
              <w:t>支持动态脱敏功能，且动态脱敏支持的在线并发连接数不少于100 个。</w:t>
            </w:r>
          </w:p>
        </w:tc>
      </w:tr>
      <w:tr w14:paraId="78116722">
        <w:tblPrEx>
          <w:tblCellMar>
            <w:top w:w="0" w:type="dxa"/>
            <w:left w:w="108" w:type="dxa"/>
            <w:bottom w:w="0" w:type="dxa"/>
            <w:right w:w="108" w:type="dxa"/>
          </w:tblCellMar>
        </w:tblPrEx>
        <w:trPr>
          <w:trHeight w:val="36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08E0A112"/>
        </w:tc>
        <w:tc>
          <w:tcPr>
            <w:tcW w:w="7898" w:type="dxa"/>
            <w:tcBorders>
              <w:top w:val="single" w:color="auto" w:sz="4" w:space="0"/>
              <w:left w:val="single" w:color="auto" w:sz="4" w:space="0"/>
              <w:bottom w:val="single" w:color="auto" w:sz="4" w:space="0"/>
              <w:right w:val="single" w:color="auto" w:sz="4" w:space="0"/>
            </w:tcBorders>
            <w:noWrap w:val="0"/>
            <w:vAlign w:val="center"/>
          </w:tcPr>
          <w:p w14:paraId="3B32DFDD">
            <w:r>
              <w:rPr>
                <w:rFonts w:hint="eastAsia"/>
              </w:rPr>
              <w:t>支持不同粒度的数据权限控制，包括数据连接级、数据库级、数据表级、数据资源级。</w:t>
            </w:r>
          </w:p>
        </w:tc>
      </w:tr>
      <w:tr w14:paraId="573F207B">
        <w:tblPrEx>
          <w:tblCellMar>
            <w:top w:w="0" w:type="dxa"/>
            <w:left w:w="108" w:type="dxa"/>
            <w:bottom w:w="0" w:type="dxa"/>
            <w:right w:w="108" w:type="dxa"/>
          </w:tblCellMar>
        </w:tblPrEx>
        <w:trPr>
          <w:trHeight w:val="360" w:hRule="atLeast"/>
        </w:trPr>
        <w:tc>
          <w:tcPr>
            <w:tcW w:w="1264" w:type="dxa"/>
            <w:vMerge w:val="restart"/>
            <w:tcBorders>
              <w:top w:val="single" w:color="auto" w:sz="4" w:space="0"/>
              <w:left w:val="single" w:color="auto" w:sz="4" w:space="0"/>
              <w:bottom w:val="single" w:color="auto" w:sz="4" w:space="0"/>
              <w:right w:val="single" w:color="auto" w:sz="4" w:space="0"/>
            </w:tcBorders>
            <w:noWrap w:val="0"/>
            <w:vAlign w:val="center"/>
          </w:tcPr>
          <w:p w14:paraId="45EAAC1A">
            <w:r>
              <w:rPr>
                <w:rFonts w:hint="eastAsia"/>
              </w:rPr>
              <w:t>模型验证</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6222DF47">
            <w:r>
              <w:rPr>
                <w:rFonts w:hint="eastAsia"/>
              </w:rPr>
              <w:t>具备机器学习算法、LLM算法的模型训练，具备数据集的模型验证能力。</w:t>
            </w:r>
          </w:p>
        </w:tc>
      </w:tr>
      <w:tr w14:paraId="7B28355E">
        <w:tblPrEx>
          <w:tblCellMar>
            <w:top w:w="0" w:type="dxa"/>
            <w:left w:w="108" w:type="dxa"/>
            <w:bottom w:w="0" w:type="dxa"/>
            <w:right w:w="108" w:type="dxa"/>
          </w:tblCellMar>
        </w:tblPrEx>
        <w:trPr>
          <w:trHeight w:val="36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10D2667F"/>
        </w:tc>
        <w:tc>
          <w:tcPr>
            <w:tcW w:w="7898" w:type="dxa"/>
            <w:tcBorders>
              <w:top w:val="single" w:color="auto" w:sz="4" w:space="0"/>
              <w:left w:val="single" w:color="auto" w:sz="4" w:space="0"/>
              <w:bottom w:val="single" w:color="auto" w:sz="4" w:space="0"/>
              <w:right w:val="single" w:color="auto" w:sz="4" w:space="0"/>
            </w:tcBorders>
            <w:noWrap w:val="0"/>
            <w:vAlign w:val="center"/>
          </w:tcPr>
          <w:p w14:paraId="039C5980">
            <w:r>
              <w:rPr>
                <w:rFonts w:hint="eastAsia"/>
              </w:rPr>
              <w:t>具备可视化建模功能，支持通过可视化页面完成模型训练；具备训练任务管理、训练日志和结果查看能力。</w:t>
            </w:r>
          </w:p>
        </w:tc>
      </w:tr>
      <w:tr w14:paraId="43289981">
        <w:tblPrEx>
          <w:tblCellMar>
            <w:top w:w="0" w:type="dxa"/>
            <w:left w:w="108" w:type="dxa"/>
            <w:bottom w:w="0" w:type="dxa"/>
            <w:right w:w="108" w:type="dxa"/>
          </w:tblCellMar>
        </w:tblPrEx>
        <w:trPr>
          <w:trHeight w:val="36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26D86F51"/>
        </w:tc>
        <w:tc>
          <w:tcPr>
            <w:tcW w:w="7898" w:type="dxa"/>
            <w:tcBorders>
              <w:top w:val="single" w:color="auto" w:sz="4" w:space="0"/>
              <w:left w:val="single" w:color="auto" w:sz="4" w:space="0"/>
              <w:bottom w:val="single" w:color="auto" w:sz="4" w:space="0"/>
              <w:right w:val="single" w:color="auto" w:sz="4" w:space="0"/>
            </w:tcBorders>
            <w:noWrap w:val="0"/>
            <w:vAlign w:val="center"/>
          </w:tcPr>
          <w:p w14:paraId="56519B18">
            <w:r>
              <w:rPr>
                <w:rFonts w:hint="eastAsia"/>
              </w:rPr>
              <w:t>具备模型多版本管理能力。模型训练数据变更或参数变更时，具备重复训练生成新的模型版本，一个训练任务可生成多个版本的模型。</w:t>
            </w:r>
          </w:p>
        </w:tc>
      </w:tr>
      <w:tr w14:paraId="6E846E09">
        <w:tblPrEx>
          <w:tblCellMar>
            <w:top w:w="0" w:type="dxa"/>
            <w:left w:w="108" w:type="dxa"/>
            <w:bottom w:w="0" w:type="dxa"/>
            <w:right w:w="108" w:type="dxa"/>
          </w:tblCellMar>
        </w:tblPrEx>
        <w:trPr>
          <w:trHeight w:val="36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56356860"/>
        </w:tc>
        <w:tc>
          <w:tcPr>
            <w:tcW w:w="7898" w:type="dxa"/>
            <w:tcBorders>
              <w:top w:val="single" w:color="auto" w:sz="4" w:space="0"/>
              <w:left w:val="single" w:color="auto" w:sz="4" w:space="0"/>
              <w:bottom w:val="single" w:color="auto" w:sz="4" w:space="0"/>
              <w:right w:val="single" w:color="auto" w:sz="4" w:space="0"/>
            </w:tcBorders>
            <w:noWrap w:val="0"/>
            <w:vAlign w:val="center"/>
          </w:tcPr>
          <w:p w14:paraId="3CDD8278">
            <w:r>
              <w:rPr>
                <w:rFonts w:hint="eastAsia"/>
              </w:rPr>
              <w:t>具备模型验证结果输出能力，提供数据集模型验证的结果数据。</w:t>
            </w:r>
          </w:p>
        </w:tc>
      </w:tr>
      <w:tr w14:paraId="26FB94C9">
        <w:tblPrEx>
          <w:tblCellMar>
            <w:top w:w="0" w:type="dxa"/>
            <w:left w:w="108" w:type="dxa"/>
            <w:bottom w:w="0" w:type="dxa"/>
            <w:right w:w="108" w:type="dxa"/>
          </w:tblCellMar>
        </w:tblPrEx>
        <w:trPr>
          <w:trHeight w:val="360" w:hRule="atLeast"/>
        </w:trPr>
        <w:tc>
          <w:tcPr>
            <w:tcW w:w="1264" w:type="dxa"/>
            <w:tcBorders>
              <w:top w:val="single" w:color="auto" w:sz="4" w:space="0"/>
              <w:left w:val="single" w:color="auto" w:sz="4" w:space="0"/>
              <w:bottom w:val="single" w:color="auto" w:sz="4" w:space="0"/>
              <w:right w:val="single" w:color="auto" w:sz="4" w:space="0"/>
            </w:tcBorders>
            <w:noWrap w:val="0"/>
            <w:vAlign w:val="center"/>
          </w:tcPr>
          <w:p w14:paraId="47722AAA">
            <w:r>
              <w:rPr>
                <w:rFonts w:hint="eastAsia"/>
              </w:rPr>
              <w:t>运维监控</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396DEAB0">
            <w:r>
              <w:rPr>
                <w:rFonts w:hint="eastAsia"/>
              </w:rPr>
              <w:t>具备告警查看功能，具备集群状态、CPU、内存告警信息，具备告警配置功能。</w:t>
            </w:r>
          </w:p>
        </w:tc>
      </w:tr>
      <w:tr w14:paraId="28E2C0B3">
        <w:tblPrEx>
          <w:tblCellMar>
            <w:top w:w="0" w:type="dxa"/>
            <w:left w:w="108" w:type="dxa"/>
            <w:bottom w:w="0" w:type="dxa"/>
            <w:right w:w="108" w:type="dxa"/>
          </w:tblCellMar>
        </w:tblPrEx>
        <w:trPr>
          <w:trHeight w:val="360" w:hRule="atLeast"/>
        </w:trPr>
        <w:tc>
          <w:tcPr>
            <w:tcW w:w="1264" w:type="dxa"/>
            <w:tcBorders>
              <w:top w:val="single" w:color="auto" w:sz="4" w:space="0"/>
              <w:left w:val="single" w:color="auto" w:sz="4" w:space="0"/>
              <w:bottom w:val="single" w:color="auto" w:sz="4" w:space="0"/>
              <w:right w:val="single" w:color="auto" w:sz="4" w:space="0"/>
            </w:tcBorders>
            <w:noWrap w:val="0"/>
            <w:vAlign w:val="center"/>
          </w:tcPr>
          <w:p w14:paraId="3B82941C">
            <w:r>
              <w:rPr>
                <w:rFonts w:hint="eastAsia"/>
              </w:rPr>
              <w:t>服务响应性能</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3428FB18">
            <w:r>
              <w:rPr>
                <w:rFonts w:hint="eastAsia"/>
              </w:rPr>
              <w:t>用户访问应用的时效性要求，在500 并发数时平均延时小于1秒</w:t>
            </w:r>
          </w:p>
        </w:tc>
      </w:tr>
      <w:tr w14:paraId="4537F03D">
        <w:tblPrEx>
          <w:tblCellMar>
            <w:top w:w="0" w:type="dxa"/>
            <w:left w:w="108" w:type="dxa"/>
            <w:bottom w:w="0" w:type="dxa"/>
            <w:right w:w="108" w:type="dxa"/>
          </w:tblCellMar>
        </w:tblPrEx>
        <w:trPr>
          <w:trHeight w:val="360" w:hRule="atLeast"/>
        </w:trPr>
        <w:tc>
          <w:tcPr>
            <w:tcW w:w="1264" w:type="dxa"/>
            <w:tcBorders>
              <w:top w:val="single" w:color="auto" w:sz="4" w:space="0"/>
              <w:left w:val="single" w:color="auto" w:sz="4" w:space="0"/>
              <w:bottom w:val="single" w:color="auto" w:sz="4" w:space="0"/>
              <w:right w:val="single" w:color="auto" w:sz="4" w:space="0"/>
            </w:tcBorders>
            <w:noWrap w:val="0"/>
            <w:vAlign w:val="center"/>
          </w:tcPr>
          <w:p w14:paraId="74F131EF">
            <w:r>
              <w:rPr>
                <w:rFonts w:hint="eastAsia"/>
              </w:rPr>
              <w:t>兼容国产操作系统</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5385DDB0">
            <w:r>
              <w:rPr>
                <w:rFonts w:hint="eastAsia"/>
              </w:rPr>
              <w:t>采用的软件产品需能兼容国产操作系统，需提供与统信、麒麟、红旗等任意一个国产操作系统适配证明材料</w:t>
            </w:r>
          </w:p>
        </w:tc>
      </w:tr>
      <w:tr w14:paraId="457E12DF">
        <w:tblPrEx>
          <w:tblCellMar>
            <w:top w:w="0" w:type="dxa"/>
            <w:left w:w="108" w:type="dxa"/>
            <w:bottom w:w="0" w:type="dxa"/>
            <w:right w:w="108" w:type="dxa"/>
          </w:tblCellMar>
        </w:tblPrEx>
        <w:trPr>
          <w:trHeight w:val="360" w:hRule="atLeast"/>
        </w:trPr>
        <w:tc>
          <w:tcPr>
            <w:tcW w:w="1264" w:type="dxa"/>
            <w:vMerge w:val="restart"/>
            <w:tcBorders>
              <w:top w:val="single" w:color="auto" w:sz="4" w:space="0"/>
              <w:left w:val="single" w:color="auto" w:sz="4" w:space="0"/>
              <w:bottom w:val="single" w:color="auto" w:sz="4" w:space="0"/>
              <w:right w:val="single" w:color="auto" w:sz="4" w:space="0"/>
            </w:tcBorders>
            <w:noWrap w:val="0"/>
            <w:vAlign w:val="center"/>
          </w:tcPr>
          <w:p w14:paraId="64647E27">
            <w:r>
              <w:rPr>
                <w:rFonts w:hint="eastAsia"/>
              </w:rPr>
              <w:t>安全性</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4EED4AC6">
            <w:r>
              <w:rPr>
                <w:rFonts w:hint="eastAsia"/>
              </w:rPr>
              <w:t>具备用户角色权限控制功能，应包括系统管理员、租户管理员、开发人员和运维人员，不同的角色拥有不同的运维权限，用户只能查看到自己拥有权限的空间相关的运维信息。</w:t>
            </w:r>
          </w:p>
        </w:tc>
      </w:tr>
      <w:tr w14:paraId="3ED812C7">
        <w:tblPrEx>
          <w:tblCellMar>
            <w:top w:w="0" w:type="dxa"/>
            <w:left w:w="108" w:type="dxa"/>
            <w:bottom w:w="0" w:type="dxa"/>
            <w:right w:w="108" w:type="dxa"/>
          </w:tblCellMar>
        </w:tblPrEx>
        <w:trPr>
          <w:trHeight w:val="360" w:hRule="atLeast"/>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7BB2503D"/>
        </w:tc>
        <w:tc>
          <w:tcPr>
            <w:tcW w:w="7898" w:type="dxa"/>
            <w:tcBorders>
              <w:top w:val="single" w:color="auto" w:sz="4" w:space="0"/>
              <w:left w:val="single" w:color="auto" w:sz="4" w:space="0"/>
              <w:bottom w:val="single" w:color="auto" w:sz="4" w:space="0"/>
              <w:right w:val="single" w:color="auto" w:sz="4" w:space="0"/>
            </w:tcBorders>
            <w:noWrap w:val="0"/>
            <w:vAlign w:val="center"/>
          </w:tcPr>
          <w:p w14:paraId="42636925">
            <w:r>
              <w:rPr>
                <w:rFonts w:hint="eastAsia"/>
              </w:rPr>
              <w:t>具备用户操作审计功能。</w:t>
            </w:r>
          </w:p>
        </w:tc>
      </w:tr>
      <w:tr w14:paraId="5DCB1A36">
        <w:tblPrEx>
          <w:tblCellMar>
            <w:top w:w="0" w:type="dxa"/>
            <w:left w:w="108" w:type="dxa"/>
            <w:bottom w:w="0" w:type="dxa"/>
            <w:right w:w="108" w:type="dxa"/>
          </w:tblCellMar>
        </w:tblPrEx>
        <w:trPr>
          <w:trHeight w:val="360" w:hRule="atLeast"/>
        </w:trPr>
        <w:tc>
          <w:tcPr>
            <w:tcW w:w="1264" w:type="dxa"/>
            <w:tcBorders>
              <w:top w:val="single" w:color="auto" w:sz="4" w:space="0"/>
              <w:left w:val="single" w:color="auto" w:sz="4" w:space="0"/>
              <w:bottom w:val="single" w:color="auto" w:sz="4" w:space="0"/>
              <w:right w:val="single" w:color="auto" w:sz="4" w:space="0"/>
            </w:tcBorders>
            <w:noWrap w:val="0"/>
            <w:vAlign w:val="center"/>
          </w:tcPr>
          <w:p w14:paraId="37F27E7D">
            <w:r>
              <w:rPr>
                <w:rFonts w:hint="eastAsia"/>
              </w:rPr>
              <w:t>高可靠</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59C7DA37">
            <w:r>
              <w:rPr>
                <w:rFonts w:hint="eastAsia"/>
              </w:rPr>
              <w:t>采用多点部署方式，具备弹性扩容能力，能避免单点故障导致整个系统不可用，保证系统的高可靠性。</w:t>
            </w:r>
          </w:p>
        </w:tc>
      </w:tr>
    </w:tbl>
    <w:p w14:paraId="39024D0F">
      <w:pPr>
        <w:spacing w:line="360" w:lineRule="auto"/>
        <w:ind w:left="-1"/>
        <w:rPr>
          <w:lang w:val="zh-CN"/>
        </w:rPr>
      </w:pPr>
    </w:p>
    <w:p w14:paraId="11C8FE12">
      <w:pPr>
        <w:keepNext/>
        <w:keepLines/>
        <w:widowControl w:val="0"/>
        <w:numPr>
          <w:ilvl w:val="1"/>
          <w:numId w:val="0"/>
        </w:numPr>
        <w:spacing w:line="360" w:lineRule="auto"/>
        <w:ind w:left="567" w:firstLine="422" w:firstLineChars="150"/>
        <w:jc w:val="both"/>
        <w:outlineLvl w:val="3"/>
        <w:rPr>
          <w:rFonts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2</w:t>
      </w:r>
      <w:r>
        <w:rPr>
          <w:rFonts w:ascii="宋体" w:hAnsi="宋体" w:eastAsia="宋体" w:cs="宋体"/>
          <w:b/>
          <w:kern w:val="2"/>
          <w:sz w:val="28"/>
          <w:szCs w:val="28"/>
          <w:lang w:val="en-US" w:eastAsia="zh-CN" w:bidi="ar-SA"/>
        </w:rPr>
        <w:t>.数据业务系统运营</w:t>
      </w:r>
    </w:p>
    <w:p w14:paraId="3EE36BB9">
      <w:pPr>
        <w:keepNext/>
        <w:keepLines/>
        <w:spacing w:before="240" w:after="64" w:line="319" w:lineRule="auto"/>
        <w:ind w:left="567" w:hanging="567"/>
        <w:outlineLvl w:val="4"/>
        <w:rPr>
          <w:rFonts w:ascii="宋体" w:hAnsi="宋体"/>
          <w:b/>
          <w:bCs/>
          <w:color w:val="000000"/>
          <w:sz w:val="28"/>
          <w:szCs w:val="28"/>
        </w:rPr>
      </w:pPr>
      <w:r>
        <w:rPr>
          <w:rFonts w:hint="eastAsia" w:ascii="宋体" w:hAnsi="宋体"/>
          <w:b/>
          <w:bCs/>
          <w:color w:val="000000"/>
          <w:kern w:val="0"/>
          <w:sz w:val="28"/>
          <w:szCs w:val="28"/>
          <w:lang w:bidi="ar"/>
        </w:rPr>
        <w:t>2.1.</w:t>
      </w:r>
      <w:r>
        <w:rPr>
          <w:rFonts w:hint="eastAsia" w:ascii="宋体" w:hAnsi="宋体" w:cs="宋体"/>
          <w:b/>
          <w:bCs/>
          <w:color w:val="000000"/>
          <w:sz w:val="28"/>
          <w:szCs w:val="28"/>
          <w:lang w:bidi="ar"/>
        </w:rPr>
        <w:t>数据目录标准化</w:t>
      </w:r>
    </w:p>
    <w:p w14:paraId="3B538F2A">
      <w:pPr>
        <w:adjustRightInd w:val="0"/>
        <w:snapToGrid w:val="0"/>
        <w:spacing w:line="360" w:lineRule="auto"/>
        <w:ind w:firstLine="420" w:firstLineChars="200"/>
        <w:rPr>
          <w:rFonts w:ascii="宋体" w:hAnsi="宋体" w:cs="Times New Roman Regular"/>
        </w:rPr>
      </w:pPr>
      <w:r>
        <w:rPr>
          <w:rFonts w:hint="eastAsia" w:ascii="宋体" w:hAnsi="宋体" w:cs="宋体"/>
          <w:lang w:bidi="ar"/>
        </w:rPr>
        <w:t>数据目录标准化是一体化数据资源服务平台运营阶段的基础工作，主要针对现有数据目录进行规范化管理和持续优化。根据《全国一体化政务大数据体系建设指南》要求，推动各地区各部门建立全量覆盖、互联互通的高质量全国一体化政务数据目录，实现全国政务数据"一本账"管理。通过对已建立的各级政务数据目录体系进行系统性完善，实现对自治区—地（州、市）—县等各个层级数据资源的精细化管理和高效利用。</w:t>
      </w:r>
    </w:p>
    <w:p w14:paraId="60660A1B">
      <w:pPr>
        <w:keepNext/>
        <w:keepLines/>
        <w:spacing w:before="240" w:after="64" w:line="319" w:lineRule="auto"/>
        <w:outlineLvl w:val="5"/>
        <w:rPr>
          <w:rFonts w:ascii="宋体" w:hAnsi="宋体" w:cs="宋体"/>
          <w:b/>
          <w:bCs/>
          <w:sz w:val="24"/>
          <w:szCs w:val="24"/>
        </w:rPr>
      </w:pPr>
      <w:r>
        <w:rPr>
          <w:rFonts w:hint="eastAsia" w:ascii="宋体" w:hAnsi="宋体" w:cs="宋体"/>
          <w:b/>
          <w:bCs/>
          <w:sz w:val="24"/>
          <w:szCs w:val="24"/>
          <w:lang w:bidi="ar"/>
        </w:rPr>
        <w:t>2.1.1数据目录分类服务</w:t>
      </w:r>
    </w:p>
    <w:p w14:paraId="4076F5C1">
      <w:pPr>
        <w:adjustRightInd w:val="0"/>
        <w:snapToGrid w:val="0"/>
        <w:spacing w:line="360" w:lineRule="auto"/>
        <w:ind w:firstLine="420" w:firstLineChars="200"/>
        <w:rPr>
          <w:rFonts w:ascii="宋体" w:hAnsi="宋体" w:cs="Times New Roman Regular"/>
        </w:rPr>
      </w:pPr>
      <w:r>
        <w:rPr>
          <w:rFonts w:hint="eastAsia" w:ascii="宋体" w:hAnsi="宋体" w:cs="宋体"/>
          <w:lang w:bidi="ar"/>
        </w:rPr>
        <w:t>自治区一体化数据资源服务平台采用多维度的分类方法，围绕主题、行业和重点领域三个核心维度对公共数据进行系统化分类。分类需要全面、准确地反映数据资源的内在联系和应用价值，便于数据的精准定位和高效检索。业务部门可以在此基础上，对数据分类进行进一步细分，增强数据分类的灵活性和适用性。</w:t>
      </w:r>
    </w:p>
    <w:p w14:paraId="49AEC89A">
      <w:pPr>
        <w:adjustRightInd w:val="0"/>
        <w:snapToGrid w:val="0"/>
        <w:spacing w:line="360" w:lineRule="auto"/>
        <w:ind w:firstLine="420" w:firstLineChars="200"/>
        <w:rPr>
          <w:rFonts w:ascii="宋体" w:hAnsi="宋体" w:cs="Times New Roman Regular"/>
          <w:lang w:bidi="ar"/>
        </w:rPr>
      </w:pPr>
      <w:r>
        <w:rPr>
          <w:rFonts w:hint="eastAsia" w:ascii="宋体" w:hAnsi="宋体" w:cs="宋体"/>
          <w:lang w:bidi="ar"/>
        </w:rPr>
        <w:t>分类方法需要提升数据的组织效率和检索精度，为数据资源的共享与开放提供更加科学的分类依据。通过建立统一的分类标准和分类规范，避免数据</w:t>
      </w:r>
      <w:r>
        <w:rPr>
          <w:rFonts w:hint="eastAsia" w:ascii="宋体" w:hAnsi="宋体" w:cs="Times New Roman Regular"/>
          <w:lang w:bidi="ar"/>
        </w:rPr>
        <w:t>"孤岛"和"碎片化"问题，实现数据资源的系统化管理和高效利用。系统需要根据用户权限和需求，动态展现相应分类下的数据资源，提升用户体验和使用效率。</w:t>
      </w:r>
    </w:p>
    <w:p w14:paraId="6CAADF8E">
      <w:pPr>
        <w:adjustRightInd w:val="0"/>
        <w:snapToGrid w:val="0"/>
        <w:spacing w:line="360" w:lineRule="auto"/>
        <w:ind w:firstLine="420" w:firstLineChars="200"/>
        <w:rPr>
          <w:rFonts w:ascii="宋体" w:hAnsi="宋体" w:cs="Times New Roman Regular"/>
          <w:lang w:bidi="ar"/>
        </w:rPr>
      </w:pPr>
      <w:r>
        <w:rPr>
          <w:rFonts w:hint="eastAsia" w:ascii="宋体" w:hAnsi="宋体" w:cs="Times New Roman Regular"/>
          <w:lang w:bidi="ar"/>
        </w:rPr>
        <w:t>1.需要依托自治区一体化数据资源服务平台开展数据目录分类工作，需要参考全国一体化政务大数据体系建设指南及自治区相关文件中关于推动数据目录分类的工作要求，并在积极征求各相关方意见的基础上，制定数据目录分类指南。该指南需要包含公共数据范围定义、分类标准、分类规范、公共数据目录分类依据、数据目录分类工作流程等内容。</w:t>
      </w:r>
    </w:p>
    <w:p w14:paraId="6A0E3E12">
      <w:pPr>
        <w:adjustRightInd w:val="0"/>
        <w:snapToGrid w:val="0"/>
        <w:spacing w:line="360" w:lineRule="auto"/>
        <w:ind w:firstLine="420" w:firstLineChars="200"/>
        <w:rPr>
          <w:rFonts w:ascii="宋体" w:hAnsi="宋体" w:cs="Times New Roman Regular"/>
          <w:lang w:bidi="ar"/>
        </w:rPr>
      </w:pPr>
      <w:r>
        <w:rPr>
          <w:rFonts w:hint="eastAsia" w:ascii="宋体" w:hAnsi="宋体" w:cs="Times New Roman Regular"/>
          <w:lang w:bidi="ar"/>
        </w:rPr>
        <w:t>2.具体开展数据目录分类工作时，需要对具体参与人员进行数据目录分类指南培训，结合线上线下多种培训形式，保证数据目录分类工作正确开展；</w:t>
      </w:r>
    </w:p>
    <w:p w14:paraId="1DE3AA47">
      <w:pPr>
        <w:adjustRightInd w:val="0"/>
        <w:snapToGrid w:val="0"/>
        <w:spacing w:line="360" w:lineRule="auto"/>
        <w:ind w:firstLine="420" w:firstLineChars="200"/>
        <w:rPr>
          <w:rFonts w:ascii="宋体" w:hAnsi="宋体" w:cs="Times New Roman Regular"/>
          <w:lang w:bidi="ar"/>
        </w:rPr>
      </w:pPr>
      <w:r>
        <w:rPr>
          <w:rFonts w:hint="eastAsia" w:ascii="宋体" w:hAnsi="宋体" w:cs="Times New Roman Regular"/>
          <w:lang w:bidi="ar"/>
        </w:rPr>
        <w:t>3.需要按照数据目录优先级分批次进行分类工作，完成一批、审校一批，并提交应用；</w:t>
      </w:r>
    </w:p>
    <w:p w14:paraId="08947EE1">
      <w:pPr>
        <w:adjustRightInd w:val="0"/>
        <w:snapToGrid w:val="0"/>
        <w:spacing w:line="360" w:lineRule="auto"/>
        <w:ind w:firstLine="420" w:firstLineChars="200"/>
        <w:rPr>
          <w:rFonts w:ascii="宋体" w:hAnsi="宋体" w:cs="Times New Roman Regular"/>
          <w:lang w:bidi="ar"/>
        </w:rPr>
      </w:pPr>
      <w:r>
        <w:rPr>
          <w:rFonts w:hint="eastAsia" w:ascii="宋体" w:hAnsi="宋体" w:cs="Times New Roman Regular"/>
          <w:lang w:bidi="ar"/>
        </w:rPr>
        <w:t>4.对于已应用的数据分类目录，应安排专人定期进行数据目录分类合理性检查，保证数据分类目录动态优化。</w:t>
      </w:r>
    </w:p>
    <w:p w14:paraId="59CE457D">
      <w:pPr>
        <w:keepNext/>
        <w:keepLines/>
        <w:spacing w:before="240" w:after="64" w:line="319" w:lineRule="auto"/>
        <w:outlineLvl w:val="5"/>
        <w:rPr>
          <w:rFonts w:ascii="宋体" w:hAnsi="宋体" w:cs="宋体"/>
          <w:b/>
          <w:bCs/>
          <w:sz w:val="24"/>
          <w:szCs w:val="24"/>
        </w:rPr>
      </w:pPr>
      <w:r>
        <w:rPr>
          <w:rFonts w:hint="eastAsia" w:ascii="宋体" w:hAnsi="宋体" w:cs="宋体"/>
          <w:b/>
          <w:bCs/>
          <w:sz w:val="24"/>
          <w:szCs w:val="24"/>
          <w:lang w:bidi="ar"/>
        </w:rPr>
        <w:t>2.1.2.数据目录分级服务</w:t>
      </w:r>
    </w:p>
    <w:p w14:paraId="684821CE">
      <w:pPr>
        <w:adjustRightInd w:val="0"/>
        <w:snapToGrid w:val="0"/>
        <w:spacing w:line="360" w:lineRule="auto"/>
        <w:ind w:firstLine="420" w:firstLineChars="200"/>
        <w:rPr>
          <w:rFonts w:ascii="宋体" w:hAnsi="宋体" w:cs="宋体"/>
          <w:lang w:bidi="ar"/>
        </w:rPr>
      </w:pPr>
      <w:r>
        <w:rPr>
          <w:rFonts w:hint="eastAsia" w:ascii="宋体" w:hAnsi="宋体" w:cs="宋体"/>
          <w:lang w:bidi="ar"/>
        </w:rPr>
        <w:t>数据目录分级服务需要在数据分类基础上，结合现有和可预期的数据应用场景，综合考虑数据遭到篡改、破坏、泄露或者非法获取、非法利用后的影响对象、影响程度等因素，明确制定数据分级规则，通过管理平台进行数据目录分级。该服务需要基于数据安全分级智能识别模块，实现数据目录的科学分级和精细化管理，确保数据安全与应用价值的平衡。</w:t>
      </w:r>
    </w:p>
    <w:p w14:paraId="42D74729">
      <w:pPr>
        <w:adjustRightInd w:val="0"/>
        <w:snapToGrid w:val="0"/>
        <w:spacing w:line="360" w:lineRule="auto"/>
        <w:ind w:firstLine="420" w:firstLineChars="200"/>
        <w:rPr>
          <w:rFonts w:ascii="宋体" w:hAnsi="宋体" w:cs="宋体"/>
          <w:lang w:bidi="ar"/>
        </w:rPr>
      </w:pPr>
      <w:r>
        <w:rPr>
          <w:rFonts w:hint="eastAsia" w:ascii="宋体" w:hAnsi="宋体" w:cs="宋体"/>
          <w:lang w:bidi="ar"/>
        </w:rPr>
        <w:t>1.</w:t>
      </w:r>
      <w:r>
        <w:rPr>
          <w:rFonts w:hint="eastAsia" w:ascii="宋体" w:hAnsi="宋体" w:cs="Times New Roman Regular"/>
          <w:lang w:bidi="ar"/>
        </w:rPr>
        <w:t>需要依托自治区一体化数据资源服务平台开展数据目录分级工作，需要参考全国一体化政务大数据体系建设指南及自治区相关文件中关于推动数据目录分级的工作要求，并在积极征求各相关方意见的基础上，</w:t>
      </w:r>
      <w:r>
        <w:rPr>
          <w:rFonts w:hint="eastAsia" w:ascii="宋体" w:hAnsi="宋体" w:cs="宋体"/>
          <w:lang w:bidi="ar"/>
        </w:rPr>
        <w:t>推动数据目录分级工作，并制定数据目录分类分级指南。该指南应包含公共数据范围定义、分级标准、分级规范、公共数据目录分级依据、数据目录分级工作流程等内容。</w:t>
      </w:r>
    </w:p>
    <w:p w14:paraId="5B20B5B5">
      <w:pPr>
        <w:adjustRightInd w:val="0"/>
        <w:snapToGrid w:val="0"/>
        <w:spacing w:line="360" w:lineRule="auto"/>
        <w:ind w:firstLine="420" w:firstLineChars="200"/>
        <w:rPr>
          <w:rFonts w:ascii="宋体" w:hAnsi="宋体" w:cs="宋体"/>
          <w:lang w:bidi="ar"/>
        </w:rPr>
      </w:pPr>
      <w:r>
        <w:rPr>
          <w:rFonts w:hint="eastAsia" w:ascii="宋体" w:hAnsi="宋体" w:cs="宋体"/>
          <w:lang w:bidi="ar"/>
        </w:rPr>
        <w:t>2.具体开展数据目录分级工作时，应对具体参与人员进行数据目录分级指南培训，结合线上线下多种培训形式，保证数据目录分级工作正确开展；</w:t>
      </w:r>
    </w:p>
    <w:p w14:paraId="0F26A82B">
      <w:pPr>
        <w:adjustRightInd w:val="0"/>
        <w:snapToGrid w:val="0"/>
        <w:spacing w:line="360" w:lineRule="auto"/>
        <w:ind w:firstLine="420" w:firstLineChars="200"/>
        <w:rPr>
          <w:rFonts w:ascii="宋体" w:hAnsi="宋体" w:cs="宋体"/>
          <w:lang w:bidi="ar"/>
        </w:rPr>
      </w:pPr>
      <w:r>
        <w:rPr>
          <w:rFonts w:hint="eastAsia" w:ascii="宋体" w:hAnsi="宋体" w:cs="宋体"/>
          <w:lang w:bidi="ar"/>
        </w:rPr>
        <w:t>3.按照数据目录优先级分批次进行分级工作，完成一批、审校一批，并提交应用；</w:t>
      </w:r>
    </w:p>
    <w:p w14:paraId="7E9B83DF">
      <w:pPr>
        <w:adjustRightInd w:val="0"/>
        <w:snapToGrid w:val="0"/>
        <w:spacing w:line="360" w:lineRule="auto"/>
        <w:ind w:firstLine="420" w:firstLineChars="200"/>
        <w:rPr>
          <w:rFonts w:ascii="宋体" w:hAnsi="宋体" w:cs="宋体"/>
          <w:lang w:bidi="ar"/>
        </w:rPr>
      </w:pPr>
      <w:r>
        <w:rPr>
          <w:rFonts w:hint="eastAsia" w:ascii="宋体" w:hAnsi="宋体" w:cs="宋体"/>
          <w:lang w:bidi="ar"/>
        </w:rPr>
        <w:t>4.对于已应用的数据分级目录，安排专人定期进行数据目录分级合理性检查，保证数据分级目录动态优化。</w:t>
      </w:r>
    </w:p>
    <w:p w14:paraId="09C269D6">
      <w:pPr>
        <w:keepNext/>
        <w:keepLines/>
        <w:spacing w:before="240" w:after="64" w:line="319" w:lineRule="auto"/>
        <w:ind w:left="567" w:hanging="567"/>
        <w:outlineLvl w:val="4"/>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2.2.数据治理和质量管理</w:t>
      </w:r>
    </w:p>
    <w:p w14:paraId="5A27CF1C">
      <w:pPr>
        <w:adjustRightInd w:val="0"/>
        <w:snapToGrid w:val="0"/>
        <w:spacing w:line="360" w:lineRule="auto"/>
        <w:ind w:firstLine="420" w:firstLineChars="200"/>
        <w:rPr>
          <w:rFonts w:ascii="宋体" w:hAnsi="宋体" w:cs="宋体"/>
          <w:lang w:bidi="ar"/>
        </w:rPr>
      </w:pPr>
      <w:r>
        <w:rPr>
          <w:rFonts w:hint="eastAsia" w:ascii="宋体" w:hAnsi="宋体" w:cs="宋体"/>
          <w:lang w:bidi="ar"/>
        </w:rPr>
        <w:t>数据治理范围覆盖各厅局核心表，治理程度、深度、结果交付物清晰；标准化建模、知识图谱、文本处理、标签体系、算法模型训练方案可行；数据质量管理规则、评估、工单处理机制完整。</w:t>
      </w:r>
    </w:p>
    <w:p w14:paraId="2C230DE1">
      <w:pPr>
        <w:keepNext/>
        <w:keepLines/>
        <w:spacing w:before="240" w:after="64" w:line="319" w:lineRule="auto"/>
        <w:outlineLvl w:val="5"/>
        <w:rPr>
          <w:rFonts w:ascii="宋体" w:hAnsi="宋体" w:cs="宋体"/>
          <w:b/>
          <w:bCs/>
          <w:sz w:val="24"/>
          <w:szCs w:val="24"/>
        </w:rPr>
      </w:pPr>
      <w:r>
        <w:rPr>
          <w:rFonts w:hint="eastAsia" w:ascii="宋体" w:hAnsi="宋体" w:cs="宋体"/>
          <w:b/>
          <w:bCs/>
          <w:sz w:val="24"/>
          <w:szCs w:val="24"/>
          <w:lang w:bidi="ar"/>
        </w:rPr>
        <w:t>2.2.1.数据治理服务</w:t>
      </w:r>
    </w:p>
    <w:p w14:paraId="28A160DE">
      <w:pPr>
        <w:adjustRightInd w:val="0"/>
        <w:snapToGrid w:val="0"/>
        <w:spacing w:line="360" w:lineRule="auto"/>
        <w:ind w:firstLine="420" w:firstLineChars="200"/>
        <w:rPr>
          <w:rFonts w:ascii="宋体" w:hAnsi="宋体" w:cs="Times New Roman Regular"/>
          <w:color w:val="000000"/>
          <w:lang w:bidi="ar"/>
        </w:rPr>
      </w:pPr>
      <w:r>
        <w:rPr>
          <w:rFonts w:hint="eastAsia" w:ascii="宋体" w:hAnsi="宋体" w:cs="宋体"/>
          <w:lang w:bidi="ar"/>
        </w:rPr>
        <w:t>数据治理服务是依据自治区一体化数据资源服务平台</w:t>
      </w:r>
      <w:r>
        <w:rPr>
          <w:rFonts w:hint="eastAsia" w:ascii="宋体" w:hAnsi="宋体" w:cs="Times New Roman Regular"/>
          <w:lang w:bidi="ar"/>
        </w:rPr>
        <w:t>"数据标准规范体系"对所有接入平台的数据进行清洗、补全、转换和标准化处理的过程；同时对于平台内加工、计算产生的数据也需确保符合数据标准规范。数据治理作为数据质量管理的基础环节，通过系统化、规范化的治理流程，提升数据的准确性、完整性、一致性和可用性，为数据的高质量应用奠定坚实基础。</w:t>
      </w:r>
      <w:r>
        <w:rPr>
          <w:rFonts w:hint="eastAsia" w:ascii="宋体" w:hAnsi="宋体" w:cs="Times New Roman Regular"/>
          <w:lang w:bidi="ar"/>
        </w:rPr>
        <w:br w:type="textWrapping"/>
      </w:r>
      <w:r>
        <w:rPr>
          <w:rFonts w:hint="eastAsia" w:ascii="宋体" w:hAnsi="宋体" w:cs="Times New Roman Regular"/>
          <w:lang w:bidi="ar"/>
        </w:rPr>
        <w:tab/>
      </w:r>
      <w:r>
        <w:rPr>
          <w:rFonts w:hint="eastAsia" w:ascii="宋体" w:hAnsi="宋体" w:cs="Times New Roman Regular"/>
          <w:lang w:bidi="ar"/>
        </w:rPr>
        <w:t>对接80个自治区本级相关部门，通过接口或者库表交换的方式，获取各部门的数据，针对已经获取的数据，开展数据清洗，转换，加载，相关工作。形成可用的数据，以便为下一步进行数据</w:t>
      </w:r>
      <w:r>
        <w:rPr>
          <w:rFonts w:hint="eastAsia" w:ascii="宋体" w:hAnsi="宋体" w:cs="Times New Roman Regular"/>
          <w:color w:val="000000"/>
          <w:lang w:bidi="ar"/>
        </w:rPr>
        <w:t>建模或共享交换做好准备。 并在实施过程中，需要形成相关过程文档。</w:t>
      </w:r>
    </w:p>
    <w:p w14:paraId="59496799">
      <w:pPr>
        <w:adjustRightInd w:val="0"/>
        <w:snapToGrid w:val="0"/>
        <w:spacing w:line="360" w:lineRule="auto"/>
        <w:ind w:firstLine="420" w:firstLineChars="200"/>
        <w:rPr>
          <w:rFonts w:ascii="宋体" w:hAnsi="宋体" w:cs="Times New Roman Regular"/>
          <w:color w:val="000000"/>
          <w:lang w:bidi="ar"/>
        </w:rPr>
      </w:pPr>
      <w:r>
        <w:rPr>
          <w:rFonts w:hint="eastAsia" w:ascii="宋体" w:hAnsi="宋体" w:cs="Times New Roman Regular"/>
          <w:color w:val="000000"/>
          <w:lang w:bidi="ar"/>
        </w:rPr>
        <w:t xml:space="preserve">80个本级部门（至少满足80个本级部门，以下清单为参考单位名称，具体单位以项目实际执行情况为准），列表如下： </w:t>
      </w:r>
    </w:p>
    <w:tbl>
      <w:tblPr>
        <w:tblStyle w:val="18"/>
        <w:tblW w:w="8943" w:type="dxa"/>
        <w:tblInd w:w="96" w:type="dxa"/>
        <w:tblLayout w:type="fixed"/>
        <w:tblCellMar>
          <w:top w:w="0" w:type="dxa"/>
          <w:left w:w="108" w:type="dxa"/>
          <w:bottom w:w="0" w:type="dxa"/>
          <w:right w:w="108" w:type="dxa"/>
        </w:tblCellMar>
      </w:tblPr>
      <w:tblGrid>
        <w:gridCol w:w="855"/>
        <w:gridCol w:w="8088"/>
      </w:tblGrid>
      <w:tr w14:paraId="0C7185E4">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35E7BE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730167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自治区市场监督管理局</w:t>
            </w:r>
          </w:p>
        </w:tc>
      </w:tr>
      <w:tr w14:paraId="2B18F6DB">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6A339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01A1C1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自治区水利厅</w:t>
            </w:r>
          </w:p>
        </w:tc>
      </w:tr>
      <w:tr w14:paraId="4AB63AC7">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5BA0EF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7B4525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自治区交通运输厅</w:t>
            </w:r>
          </w:p>
        </w:tc>
      </w:tr>
      <w:tr w14:paraId="1141E96F">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25F605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03E80B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自治区农业农村厅</w:t>
            </w:r>
          </w:p>
        </w:tc>
      </w:tr>
      <w:tr w14:paraId="09747980">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1DC6E0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03DD11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自治区应急管理厅</w:t>
            </w:r>
          </w:p>
        </w:tc>
      </w:tr>
      <w:tr w14:paraId="2442DB9C">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D50E8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788602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自治区生态环境厅</w:t>
            </w:r>
          </w:p>
        </w:tc>
      </w:tr>
      <w:tr w14:paraId="3B238B9D">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E4376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616C3B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自治区人力资源和社会保障厅</w:t>
            </w:r>
          </w:p>
        </w:tc>
      </w:tr>
      <w:tr w14:paraId="0AA9CD6A">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3FC21E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12992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自治区住房和城乡建设厅</w:t>
            </w:r>
          </w:p>
        </w:tc>
      </w:tr>
      <w:tr w14:paraId="4476C366">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3F624D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E0289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自治区公共资源交易中心</w:t>
            </w:r>
          </w:p>
        </w:tc>
      </w:tr>
      <w:tr w14:paraId="51B5A4BF">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77146E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1.10</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439C9E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自治区药品监督管理局</w:t>
            </w:r>
          </w:p>
        </w:tc>
      </w:tr>
      <w:tr w14:paraId="793486F6">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3A6838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1.11</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66062C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自治区自然资源厅</w:t>
            </w:r>
          </w:p>
        </w:tc>
      </w:tr>
      <w:tr w14:paraId="73A54E3B">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78FAA4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1.12</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6BFADF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自治区发展和改革委员会</w:t>
            </w:r>
          </w:p>
        </w:tc>
      </w:tr>
      <w:tr w14:paraId="5105072B">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2DE8B3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1.13</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9F970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自治区卫生健康委员会</w:t>
            </w:r>
          </w:p>
        </w:tc>
      </w:tr>
      <w:tr w14:paraId="475EFCE0">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145E1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1.14</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7AAEEB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自治区民政厅</w:t>
            </w:r>
          </w:p>
        </w:tc>
      </w:tr>
      <w:tr w14:paraId="2A5A0903">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C6D92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1.15</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098598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自治区广播电视局</w:t>
            </w:r>
          </w:p>
        </w:tc>
      </w:tr>
      <w:tr w14:paraId="1C0EF677">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B387C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1.16</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3D104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自治区医疗保障局</w:t>
            </w:r>
          </w:p>
        </w:tc>
      </w:tr>
      <w:tr w14:paraId="35B09D47">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DE730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1.17</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7CE782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自治区公安厅</w:t>
            </w:r>
          </w:p>
        </w:tc>
      </w:tr>
      <w:tr w14:paraId="47AA20E9">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9360C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1.18</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6B116B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自治区机关事务管理局</w:t>
            </w:r>
          </w:p>
        </w:tc>
      </w:tr>
      <w:tr w14:paraId="6D6112ED">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650EE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1.19</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636447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自治区人民政府国有资产监督管理委员会</w:t>
            </w:r>
          </w:p>
        </w:tc>
      </w:tr>
      <w:tr w14:paraId="338022E2">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728CF7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1.20</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7DA6F2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自治区司法厅</w:t>
            </w:r>
          </w:p>
        </w:tc>
      </w:tr>
      <w:tr w14:paraId="3FADFABE">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B440C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1.21</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6C507F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国家税务总局自治区税务局</w:t>
            </w:r>
          </w:p>
        </w:tc>
      </w:tr>
      <w:tr w14:paraId="0436885C">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25B145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1.22</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49DEF6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自治区文化和旅游厅</w:t>
            </w:r>
          </w:p>
        </w:tc>
      </w:tr>
      <w:tr w14:paraId="7B354ACE">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7A19A4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1.23</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0518CF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自治区财政厅</w:t>
            </w:r>
          </w:p>
        </w:tc>
      </w:tr>
      <w:tr w14:paraId="41F82CD8">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3FDDA0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1.24</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1633E2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自治区商务厅</w:t>
            </w:r>
          </w:p>
        </w:tc>
      </w:tr>
      <w:tr w14:paraId="7A7ADED7">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702C2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1.25</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0F7DEB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自治区退役军人事务厅</w:t>
            </w:r>
          </w:p>
        </w:tc>
      </w:tr>
      <w:tr w14:paraId="0AAA6925">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218560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1.26</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2CB0E8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自治区残疾人联合会</w:t>
            </w:r>
          </w:p>
        </w:tc>
      </w:tr>
      <w:tr w14:paraId="443BEC8C">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76A03F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1.27</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15FA75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自治区工业和信息化厅</w:t>
            </w:r>
          </w:p>
        </w:tc>
      </w:tr>
      <w:tr w14:paraId="0F541A93">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5B3E4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1.28</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29C3D5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自治区教育厅</w:t>
            </w:r>
          </w:p>
        </w:tc>
      </w:tr>
      <w:tr w14:paraId="15FF436A">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1DA541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1.29</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45488A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自治区气象局</w:t>
            </w:r>
          </w:p>
        </w:tc>
      </w:tr>
      <w:tr w14:paraId="560AFF83">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5A4B52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1.30</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F29ED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自治区体育局</w:t>
            </w:r>
          </w:p>
        </w:tc>
      </w:tr>
      <w:tr w14:paraId="5BB18626">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114D4E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1.31</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62746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自治区科学技术厅</w:t>
            </w:r>
          </w:p>
        </w:tc>
      </w:tr>
      <w:tr w14:paraId="46DDF1C8">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6AB56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1.32</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2AE634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自治区林业和草原局</w:t>
            </w:r>
          </w:p>
        </w:tc>
      </w:tr>
      <w:tr w14:paraId="6C5EA0B0">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778034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1.33</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6777F8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自治区地震局</w:t>
            </w:r>
          </w:p>
        </w:tc>
      </w:tr>
      <w:tr w14:paraId="39D42975">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14F45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1.34</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7E3A16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自治区人大常委会</w:t>
            </w:r>
          </w:p>
        </w:tc>
      </w:tr>
      <w:tr w14:paraId="3CAA66C8">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76E5AC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1.35</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12F590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国家矿山安全监察局新疆局</w:t>
            </w:r>
          </w:p>
        </w:tc>
      </w:tr>
      <w:tr w14:paraId="49EC854D">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F1486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1.36</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22A9E2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自治区烟草专卖局</w:t>
            </w:r>
          </w:p>
        </w:tc>
      </w:tr>
      <w:tr w14:paraId="43E6B943">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543B3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1.37</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565D7E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自治区消防救援总队</w:t>
            </w:r>
          </w:p>
        </w:tc>
      </w:tr>
      <w:tr w14:paraId="09D0AEDB">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5D6308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1.38</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47FEA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乌鲁木齐海关</w:t>
            </w:r>
          </w:p>
        </w:tc>
      </w:tr>
      <w:tr w14:paraId="1C9FC314">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7C5902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1.39</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80242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自治区统计局</w:t>
            </w:r>
          </w:p>
        </w:tc>
      </w:tr>
      <w:tr w14:paraId="2E3AA6DC">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F5353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1.40</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626F12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自治区信访局</w:t>
            </w:r>
          </w:p>
        </w:tc>
      </w:tr>
      <w:tr w14:paraId="70FC14B2">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657AA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1.41</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F2605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自治区国防动员办公室</w:t>
            </w:r>
          </w:p>
        </w:tc>
      </w:tr>
      <w:tr w14:paraId="4493F794">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A0029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1.42</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791F4E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自治区邮政管理局</w:t>
            </w:r>
          </w:p>
        </w:tc>
      </w:tr>
      <w:tr w14:paraId="19A24460">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78CBBC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1.43</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010CB7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国家金融监督管理总局新疆监管局</w:t>
            </w:r>
          </w:p>
        </w:tc>
      </w:tr>
      <w:tr w14:paraId="60C2CEFB">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FE76F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1.44</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58A7A7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自治区粮食和物资储备局</w:t>
            </w:r>
          </w:p>
        </w:tc>
      </w:tr>
      <w:tr w14:paraId="523A8760">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F8CFC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1.45</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4A24B2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自治区森林消防总队</w:t>
            </w:r>
          </w:p>
        </w:tc>
      </w:tr>
      <w:tr w14:paraId="1EFEBA94">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ADD76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1.46</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1523F5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自治区党委网信办</w:t>
            </w:r>
          </w:p>
        </w:tc>
      </w:tr>
      <w:tr w14:paraId="3A437BB7">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E7A42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1.47</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422E29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自治区金融办（自治区地方金融管理局）</w:t>
            </w:r>
          </w:p>
        </w:tc>
      </w:tr>
      <w:tr w14:paraId="38F7B80E">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34C2FE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1.48</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1BB27F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自治区审计厅</w:t>
            </w:r>
          </w:p>
        </w:tc>
      </w:tr>
      <w:tr w14:paraId="65851130">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354641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1.49</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523A7E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自治区疾病预防控制中心</w:t>
            </w:r>
          </w:p>
        </w:tc>
      </w:tr>
      <w:tr w14:paraId="506D0917">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6C9B0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1.50</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4D72D6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自治区国家安全厅</w:t>
            </w:r>
          </w:p>
        </w:tc>
      </w:tr>
      <w:tr w14:paraId="50C31650">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19E5C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1.51</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7A3DDC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自治区通信管理局</w:t>
            </w:r>
          </w:p>
        </w:tc>
      </w:tr>
      <w:tr w14:paraId="76976791">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DC7B4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1.52</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72EC10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中国民用航空新疆管理局</w:t>
            </w:r>
          </w:p>
        </w:tc>
      </w:tr>
      <w:tr w14:paraId="6CF7A84C">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728F83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1.53</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02E44B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中国铁路乌鲁木齐局集团有限公司</w:t>
            </w:r>
          </w:p>
        </w:tc>
      </w:tr>
      <w:tr w14:paraId="2657FFA5">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A448E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1.54</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5C668D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中国人民银行新疆维吾尔自治区分行</w:t>
            </w:r>
          </w:p>
        </w:tc>
      </w:tr>
      <w:tr w14:paraId="22FE7532">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8C7F2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1.55</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29AD9E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中国证券监督管理委员会新疆监管局</w:t>
            </w:r>
          </w:p>
        </w:tc>
      </w:tr>
      <w:tr w14:paraId="4DD8747A">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03845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1.56</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47F502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国网新疆电力有限公司</w:t>
            </w:r>
          </w:p>
        </w:tc>
      </w:tr>
      <w:tr w14:paraId="5F1748C7">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5624B6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1.57</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DBE7D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自治区高级人民法院</w:t>
            </w:r>
          </w:p>
        </w:tc>
      </w:tr>
      <w:tr w14:paraId="24A82CE9">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7406A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1.58</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D5EBE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自治区高级人民检察院</w:t>
            </w:r>
          </w:p>
        </w:tc>
      </w:tr>
      <w:tr w14:paraId="4050E38F">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74D67D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1.59</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991BD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自治区委员会组织部</w:t>
            </w:r>
          </w:p>
        </w:tc>
      </w:tr>
      <w:tr w14:paraId="7860E9F3">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B5643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1.60</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5AD899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自治区委员会宣传部</w:t>
            </w:r>
          </w:p>
        </w:tc>
      </w:tr>
      <w:tr w14:paraId="77FE68FF">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3BAEBA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1.61</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627CFB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自治区委员会政策研究室(改革办)</w:t>
            </w:r>
          </w:p>
        </w:tc>
      </w:tr>
      <w:tr w14:paraId="7C4898D1">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347D7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1.62</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1CFD0C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自治区机构编制委员会办公室</w:t>
            </w:r>
          </w:p>
        </w:tc>
      </w:tr>
      <w:tr w14:paraId="0C166FC6">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7A227D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1.63</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80458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自治区发展和改革委员会(能源局)</w:t>
            </w:r>
          </w:p>
        </w:tc>
      </w:tr>
      <w:tr w14:paraId="734DA5C9">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7DB8F1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1.64</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1EEBE6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自治区外事办公室</w:t>
            </w:r>
          </w:p>
        </w:tc>
      </w:tr>
      <w:tr w14:paraId="19FFA821">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A0F60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1.65</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7238ED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自治区档案馆</w:t>
            </w:r>
          </w:p>
        </w:tc>
      </w:tr>
      <w:tr w14:paraId="7A0F869E">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9AFE0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1.66</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2AE874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自治区政协办公厅</w:t>
            </w:r>
          </w:p>
        </w:tc>
      </w:tr>
      <w:tr w14:paraId="1686F097">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38A70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1.67</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118C56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自治区工商业联合会</w:t>
            </w:r>
          </w:p>
        </w:tc>
      </w:tr>
      <w:tr w14:paraId="15DC8AD2">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35FBA9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1.68</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2110CD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自治区总工会</w:t>
            </w:r>
          </w:p>
        </w:tc>
      </w:tr>
      <w:tr w14:paraId="6C79E5ED">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58369B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1.69</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B92CA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中国共产主义青年团新疆维吾尔自治区委员会</w:t>
            </w:r>
          </w:p>
        </w:tc>
      </w:tr>
      <w:tr w14:paraId="4EE436B4">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02CE6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1.70</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C8DC1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自治区妇女联合会</w:t>
            </w:r>
          </w:p>
        </w:tc>
      </w:tr>
      <w:tr w14:paraId="25AF0A0A">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CE890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1.71</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4A00AE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自治区科学技术协会</w:t>
            </w:r>
          </w:p>
        </w:tc>
      </w:tr>
      <w:tr w14:paraId="1DE40C77">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29AD77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1.72</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4E30BA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自治区文学艺术界联合会</w:t>
            </w:r>
          </w:p>
        </w:tc>
      </w:tr>
      <w:tr w14:paraId="36CA88FC">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63FEF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1.73</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6CC156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自治区归国华侨联合会</w:t>
            </w:r>
          </w:p>
        </w:tc>
      </w:tr>
      <w:tr w14:paraId="348D895C">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63A61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1.74</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22301A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自治区社会科学界联合会</w:t>
            </w:r>
          </w:p>
        </w:tc>
      </w:tr>
      <w:tr w14:paraId="54E1928D">
        <w:tblPrEx>
          <w:tblCellMar>
            <w:top w:w="0" w:type="dxa"/>
            <w:left w:w="108" w:type="dxa"/>
            <w:bottom w:w="0" w:type="dxa"/>
            <w:right w:w="108" w:type="dxa"/>
          </w:tblCellMar>
        </w:tblPrEx>
        <w:trPr>
          <w:trHeight w:val="576"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AC72F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1.75</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216BC3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中国国际贸易促进委员会新疆维吾尔自治区分会</w:t>
            </w:r>
          </w:p>
        </w:tc>
      </w:tr>
      <w:tr w14:paraId="42387E2B">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752C5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1.76</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4A9F96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自治区红十字会</w:t>
            </w:r>
          </w:p>
        </w:tc>
      </w:tr>
      <w:tr w14:paraId="7BA2F4DE">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3D1331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1.77</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15C318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自治区畜牧兽医局</w:t>
            </w:r>
          </w:p>
        </w:tc>
      </w:tr>
      <w:tr w14:paraId="1E6C5A1F">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0AEEF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1.78</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73D162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自治区供销合作社联合社</w:t>
            </w:r>
          </w:p>
        </w:tc>
      </w:tr>
      <w:tr w14:paraId="776CB782">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2CD84F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1.79</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050EA9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新疆交通投资（集团）有限责任公司</w:t>
            </w:r>
          </w:p>
        </w:tc>
      </w:tr>
      <w:tr w14:paraId="37CE09A1">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2EA2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1.80</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19A03D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新疆中泰（集团）有限责任公司</w:t>
            </w:r>
          </w:p>
        </w:tc>
      </w:tr>
    </w:tbl>
    <w:p w14:paraId="6C62DB2C">
      <w:pPr>
        <w:keepNext/>
        <w:keepLines/>
        <w:spacing w:before="240" w:after="64" w:line="319" w:lineRule="auto"/>
        <w:outlineLvl w:val="5"/>
        <w:rPr>
          <w:rFonts w:ascii="宋体" w:hAnsi="宋体" w:cs="宋体"/>
          <w:b/>
          <w:bCs/>
          <w:sz w:val="24"/>
          <w:szCs w:val="24"/>
        </w:rPr>
      </w:pPr>
      <w:r>
        <w:rPr>
          <w:rFonts w:hint="eastAsia" w:ascii="宋体" w:hAnsi="宋体" w:cs="宋体"/>
          <w:b/>
          <w:bCs/>
          <w:sz w:val="24"/>
          <w:szCs w:val="24"/>
          <w:lang w:bidi="ar"/>
        </w:rPr>
        <w:t>2.2.2.标准化建模服务</w:t>
      </w:r>
    </w:p>
    <w:p w14:paraId="1A79472E">
      <w:pPr>
        <w:adjustRightInd w:val="0"/>
        <w:snapToGrid w:val="0"/>
        <w:spacing w:line="360" w:lineRule="auto"/>
        <w:ind w:firstLine="420" w:firstLineChars="200"/>
        <w:rPr>
          <w:rFonts w:ascii="宋体" w:hAnsi="宋体" w:cs="宋体"/>
          <w:lang w:bidi="ar"/>
        </w:rPr>
      </w:pPr>
      <w:r>
        <w:rPr>
          <w:rFonts w:hint="eastAsia" w:ascii="宋体" w:hAnsi="宋体" w:cs="宋体"/>
          <w:lang w:bidi="ar"/>
        </w:rPr>
        <w:t>经过治理的原始数据，通过数据ETL过程加工存储到数仓标准库中，标准库按照规范化数据建模原则设计和开发，实现数据的标准化、规范化，提高数据的质量和可用性，同时降低数据的冗余性和不确定性。标准化建模服务是连接原始数据和应用数据的桥梁，通过科学合理的模型设计，将散乱的原始数据转化为结构化、规范化的标准数据，为后续的数据分析和应用提供基础支撑。</w:t>
      </w:r>
    </w:p>
    <w:p w14:paraId="07DA59A2">
      <w:pPr>
        <w:adjustRightInd w:val="0"/>
        <w:snapToGrid w:val="0"/>
        <w:spacing w:line="360" w:lineRule="auto"/>
        <w:ind w:firstLine="420" w:firstLineChars="200"/>
        <w:rPr>
          <w:rFonts w:ascii="宋体" w:hAnsi="宋体" w:cs="宋体"/>
          <w:lang w:bidi="ar"/>
        </w:rPr>
      </w:pPr>
      <w:r>
        <w:rPr>
          <w:rFonts w:hint="eastAsia" w:ascii="宋体" w:hAnsi="宋体" w:cs="宋体"/>
          <w:lang w:bidi="ar"/>
        </w:rPr>
        <w:t>标准化建模服务，需要除规范和整合原始接入的政务业务数据外，需要对自治区时空矢量、栅格等数据资源进行治理与融合。根据数据特点，进行知识图谱建设、文本数据开发与处理、数据标注、标签体系开发等工作。实现数据的深度挖掘分析与计算，丰富数字政府和数字经济的数据应用场景，提升数据价值。</w:t>
      </w:r>
      <w:r>
        <w:rPr>
          <w:rFonts w:hint="eastAsia" w:ascii="宋体" w:hAnsi="宋体" w:cs="宋体"/>
          <w:lang w:bidi="ar"/>
        </w:rPr>
        <w:br w:type="textWrapping"/>
      </w:r>
      <w:r>
        <w:rPr>
          <w:rFonts w:hint="eastAsia" w:ascii="宋体" w:hAnsi="宋体" w:cs="宋体"/>
          <w:lang w:bidi="ar"/>
        </w:rPr>
        <w:t xml:space="preserve">   在数据治理的基础上，结合部门的实际业务需求，进行表接口的设计和库表模型开发。</w:t>
      </w:r>
      <w:r>
        <w:rPr>
          <w:rFonts w:hint="eastAsia" w:ascii="宋体" w:hAnsi="宋体" w:cs="宋体"/>
          <w:lang w:bidi="ar"/>
        </w:rPr>
        <w:br w:type="textWrapping"/>
      </w:r>
      <w:r>
        <w:rPr>
          <w:rFonts w:hint="eastAsia" w:ascii="宋体" w:hAnsi="宋体" w:cs="宋体"/>
          <w:lang w:bidi="ar"/>
        </w:rPr>
        <w:t>需要进行重点建模的40个本级</w:t>
      </w:r>
      <w:r>
        <w:rPr>
          <w:rFonts w:hint="eastAsia" w:ascii="宋体" w:hAnsi="宋体" w:cs="宋体"/>
          <w:color w:val="000000"/>
          <w:lang w:bidi="ar"/>
        </w:rPr>
        <w:t>部门（至少满足40个本级部门，以下清单为参考单位名称，具体单位以项目实际执行情况为准）列表如下：</w:t>
      </w:r>
      <w:r>
        <w:rPr>
          <w:rFonts w:hint="eastAsia" w:ascii="宋体" w:hAnsi="宋体" w:cs="宋体"/>
          <w:lang w:bidi="ar"/>
        </w:rPr>
        <w:br w:type="textWrapping"/>
      </w:r>
    </w:p>
    <w:tbl>
      <w:tblPr>
        <w:tblStyle w:val="18"/>
        <w:tblW w:w="8943" w:type="dxa"/>
        <w:tblInd w:w="96" w:type="dxa"/>
        <w:tblLayout w:type="fixed"/>
        <w:tblCellMar>
          <w:top w:w="0" w:type="dxa"/>
          <w:left w:w="108" w:type="dxa"/>
          <w:bottom w:w="0" w:type="dxa"/>
          <w:right w:w="108" w:type="dxa"/>
        </w:tblCellMar>
      </w:tblPr>
      <w:tblGrid>
        <w:gridCol w:w="855"/>
        <w:gridCol w:w="8088"/>
      </w:tblGrid>
      <w:tr w14:paraId="335A6D45">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2590F9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794A22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自治区市场监督管理局</w:t>
            </w:r>
          </w:p>
        </w:tc>
      </w:tr>
      <w:tr w14:paraId="654F6E0A">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D83E5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062BA0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自治区水利厅</w:t>
            </w:r>
          </w:p>
        </w:tc>
      </w:tr>
      <w:tr w14:paraId="0C87AD5D">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A0A2E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7608A0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自治区交通运输厅</w:t>
            </w:r>
          </w:p>
        </w:tc>
      </w:tr>
      <w:tr w14:paraId="6ADC2033">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AFE30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7D567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自治区农业农村厅</w:t>
            </w:r>
          </w:p>
        </w:tc>
      </w:tr>
      <w:tr w14:paraId="28D5A24A">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EA526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071042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自治区应急管理厅</w:t>
            </w:r>
          </w:p>
        </w:tc>
      </w:tr>
      <w:tr w14:paraId="01E95536">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DF88E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4C68BE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自治区生态环境厅</w:t>
            </w:r>
          </w:p>
        </w:tc>
      </w:tr>
      <w:tr w14:paraId="17E14B08">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CA480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C44CB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自治区人力资源和社会保障厅</w:t>
            </w:r>
          </w:p>
        </w:tc>
      </w:tr>
      <w:tr w14:paraId="46175C86">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67E05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4DA30C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自治区住房和城乡建设厅</w:t>
            </w:r>
          </w:p>
        </w:tc>
      </w:tr>
      <w:tr w14:paraId="2C9DEAC9">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9634E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470D99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自治区公共资源交易中心</w:t>
            </w:r>
          </w:p>
        </w:tc>
      </w:tr>
      <w:tr w14:paraId="20F39103">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770C24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2.10</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253033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自治区药品监督管理局</w:t>
            </w:r>
          </w:p>
        </w:tc>
      </w:tr>
      <w:tr w14:paraId="5C5843BA">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26E707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2.11</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157A34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自治区自然资源厅</w:t>
            </w:r>
          </w:p>
        </w:tc>
      </w:tr>
      <w:tr w14:paraId="178B46FA">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290CB0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2.12</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00ABDE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自治区发展和改革委员会</w:t>
            </w:r>
          </w:p>
        </w:tc>
      </w:tr>
      <w:tr w14:paraId="741EF9E5">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5CFB15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2.13</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517B42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自治区卫生健康委员会</w:t>
            </w:r>
          </w:p>
        </w:tc>
      </w:tr>
      <w:tr w14:paraId="3965A067">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56D3E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2.14</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758FD5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自治区民政厅</w:t>
            </w:r>
          </w:p>
        </w:tc>
      </w:tr>
      <w:tr w14:paraId="511E6E03">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646D0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2.15</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6AB85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自治区广播电视局</w:t>
            </w:r>
          </w:p>
        </w:tc>
      </w:tr>
      <w:tr w14:paraId="10640743">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5F331B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2.16</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15FC3B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自治区医疗保障局</w:t>
            </w:r>
          </w:p>
        </w:tc>
      </w:tr>
      <w:tr w14:paraId="53CF4DEC">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B9BD4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2.17</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6B0F67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自治区公安厅</w:t>
            </w:r>
          </w:p>
        </w:tc>
      </w:tr>
      <w:tr w14:paraId="64AB3070">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1320B9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2.18</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52746B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自治区机关事务管理局</w:t>
            </w:r>
          </w:p>
        </w:tc>
      </w:tr>
      <w:tr w14:paraId="3EB0559D">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9BCF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2.19</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2E964D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自治区人民政府国有资产监督管理委员会</w:t>
            </w:r>
          </w:p>
        </w:tc>
      </w:tr>
      <w:tr w14:paraId="661E8AC0">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3D89CA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2.20</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7FB133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自治区司法厅</w:t>
            </w:r>
          </w:p>
        </w:tc>
      </w:tr>
      <w:tr w14:paraId="43F91437">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7F42D0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2.21</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2F642C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国家税务总局自治区税务局</w:t>
            </w:r>
          </w:p>
        </w:tc>
      </w:tr>
      <w:tr w14:paraId="20919102">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CF598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2.22</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077E39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自治区文化和旅游厅</w:t>
            </w:r>
          </w:p>
        </w:tc>
      </w:tr>
      <w:tr w14:paraId="4130C238">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B73C5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2.23</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3FC57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自治区财政厅</w:t>
            </w:r>
          </w:p>
        </w:tc>
      </w:tr>
      <w:tr w14:paraId="1476D2D4">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D5715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2.24</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02474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自治区商务厅</w:t>
            </w:r>
          </w:p>
        </w:tc>
      </w:tr>
      <w:tr w14:paraId="0C7F9036">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B608E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2.25</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8504F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自治区退役军人事务厅</w:t>
            </w:r>
          </w:p>
        </w:tc>
      </w:tr>
      <w:tr w14:paraId="05EB4121">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30EF8F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2.26</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1398FA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自治区残疾人联合会</w:t>
            </w:r>
          </w:p>
        </w:tc>
      </w:tr>
      <w:tr w14:paraId="6D8134D8">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78F7E7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2.27</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96D3A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自治区工业和信息化厅</w:t>
            </w:r>
          </w:p>
        </w:tc>
      </w:tr>
      <w:tr w14:paraId="6510CA17">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7B17E9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2.28</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7D325A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自治区教育厅</w:t>
            </w:r>
          </w:p>
        </w:tc>
      </w:tr>
      <w:tr w14:paraId="1D897E59">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0B1044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2.29</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6AE125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自治区气象局</w:t>
            </w:r>
          </w:p>
        </w:tc>
      </w:tr>
      <w:tr w14:paraId="4E782532">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C442E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2.30</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01A382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自治区体育局</w:t>
            </w:r>
          </w:p>
        </w:tc>
      </w:tr>
      <w:tr w14:paraId="19787E6A">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391075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2.31</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4E2620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自治区科学技术厅</w:t>
            </w:r>
          </w:p>
        </w:tc>
      </w:tr>
      <w:tr w14:paraId="3C94C7FB">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35AAB1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2.32</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64F2A7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自治区林业和草原局</w:t>
            </w:r>
          </w:p>
        </w:tc>
      </w:tr>
      <w:tr w14:paraId="1863DF2E">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11D11C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2.33</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1DAFFF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自治区地震局</w:t>
            </w:r>
          </w:p>
        </w:tc>
      </w:tr>
      <w:tr w14:paraId="6E669D08">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20EB54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2.34</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5C0DF1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自治区人大常委会</w:t>
            </w:r>
          </w:p>
        </w:tc>
      </w:tr>
      <w:tr w14:paraId="158CDA97">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23D9F8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2.35</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48E9BA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国家矿山安全监察局新疆局</w:t>
            </w:r>
          </w:p>
        </w:tc>
      </w:tr>
      <w:tr w14:paraId="546F65F6">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6F6698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2.36</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787411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自治区烟草专卖局</w:t>
            </w:r>
          </w:p>
        </w:tc>
      </w:tr>
      <w:tr w14:paraId="5D364D0D">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227B0F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2.37</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3CFF0D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自治区消防救援总队</w:t>
            </w:r>
          </w:p>
        </w:tc>
      </w:tr>
      <w:tr w14:paraId="2D861A3C">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57027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2.38</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02CEEA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乌鲁木齐海关</w:t>
            </w:r>
          </w:p>
        </w:tc>
      </w:tr>
      <w:tr w14:paraId="5F50AF99">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48D1CD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2.39</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7C89AB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自治区统计局</w:t>
            </w:r>
          </w:p>
        </w:tc>
      </w:tr>
      <w:tr w14:paraId="7A2B7D9F">
        <w:tblPrEx>
          <w:tblCellMar>
            <w:top w:w="0" w:type="dxa"/>
            <w:left w:w="108" w:type="dxa"/>
            <w:bottom w:w="0" w:type="dxa"/>
            <w:right w:w="108" w:type="dxa"/>
          </w:tblCellMar>
        </w:tblPrEx>
        <w:trPr>
          <w:trHeight w:val="288"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14:paraId="158248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2.40</w:t>
            </w:r>
          </w:p>
        </w:tc>
        <w:tc>
          <w:tcPr>
            <w:tcW w:w="8088" w:type="dxa"/>
            <w:tcBorders>
              <w:top w:val="single" w:color="000000" w:sz="4" w:space="0"/>
              <w:left w:val="single" w:color="000000" w:sz="4" w:space="0"/>
              <w:bottom w:val="single" w:color="000000" w:sz="4" w:space="0"/>
              <w:right w:val="single" w:color="000000" w:sz="4" w:space="0"/>
            </w:tcBorders>
            <w:noWrap w:val="0"/>
            <w:vAlign w:val="center"/>
          </w:tcPr>
          <w:p w14:paraId="6E7CD7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自治区信访局</w:t>
            </w:r>
          </w:p>
        </w:tc>
      </w:tr>
    </w:tbl>
    <w:p w14:paraId="5AB6EFEC">
      <w:pPr>
        <w:adjustRightInd w:val="0"/>
        <w:snapToGrid w:val="0"/>
        <w:spacing w:line="360" w:lineRule="auto"/>
        <w:ind w:firstLine="420" w:firstLineChars="200"/>
        <w:rPr>
          <w:rFonts w:ascii="宋体" w:hAnsi="宋体" w:cs="Times New Roman Regular"/>
          <w:lang w:bidi="ar"/>
        </w:rPr>
      </w:pPr>
    </w:p>
    <w:p w14:paraId="69213EE5">
      <w:pPr>
        <w:keepNext/>
        <w:keepLines/>
        <w:spacing w:before="240" w:after="64" w:line="319" w:lineRule="auto"/>
        <w:outlineLvl w:val="5"/>
        <w:rPr>
          <w:rFonts w:ascii="宋体" w:hAnsi="宋体" w:cs="宋体"/>
          <w:b/>
          <w:bCs/>
          <w:sz w:val="24"/>
          <w:szCs w:val="24"/>
        </w:rPr>
      </w:pPr>
      <w:r>
        <w:rPr>
          <w:rFonts w:hint="eastAsia" w:ascii="宋体" w:hAnsi="宋体" w:cs="宋体"/>
          <w:b/>
          <w:bCs/>
          <w:sz w:val="24"/>
          <w:szCs w:val="24"/>
          <w:lang w:bidi="ar"/>
        </w:rPr>
        <w:t>2.2.3.数据质量管理服务</w:t>
      </w:r>
    </w:p>
    <w:p w14:paraId="6146889B">
      <w:pPr>
        <w:adjustRightInd w:val="0"/>
        <w:snapToGrid w:val="0"/>
        <w:spacing w:line="360" w:lineRule="auto"/>
        <w:ind w:firstLine="420" w:firstLineChars="200"/>
        <w:rPr>
          <w:rFonts w:ascii="宋体" w:hAnsi="宋体" w:cs="Times New Roman Regular"/>
        </w:rPr>
      </w:pPr>
      <w:r>
        <w:rPr>
          <w:rFonts w:hint="eastAsia" w:ascii="宋体" w:hAnsi="宋体" w:cs="宋体"/>
          <w:lang w:bidi="ar"/>
        </w:rPr>
        <w:t>数据质量管理服务提供贯穿数据接入、存储到加工、使用、销毁的全生命周期的质量管理服务，在每一个环节和过程中保障数据的质量，确保数据的准确性、完整性、一致性和可用性。服务内容包含数据质量稽核、数据质量评价、数据质量管理考核、数据质量工单处理等多个方面，覆盖数据质量管理的全过程。</w:t>
      </w:r>
    </w:p>
    <w:p w14:paraId="3219415C">
      <w:pPr>
        <w:adjustRightInd w:val="0"/>
        <w:snapToGrid w:val="0"/>
        <w:spacing w:line="360" w:lineRule="auto"/>
        <w:ind w:firstLine="420" w:firstLineChars="200"/>
        <w:rPr>
          <w:rFonts w:ascii="宋体" w:hAnsi="宋体" w:cs="Times New Roman Regular"/>
        </w:rPr>
      </w:pPr>
      <w:r>
        <w:rPr>
          <w:rFonts w:hint="eastAsia" w:ascii="宋体" w:hAnsi="宋体" w:cs="宋体"/>
          <w:lang w:bidi="ar"/>
        </w:rPr>
        <w:t>服务全程遵循数据质量管理流程，参照数据标准规范，按照质量定义、评估、分析和优化等步骤开展数据质量管理服务，主要服务项包括：规则梳理、规则配置、质量评估、质量优化、质量监管等；通过数据质量管理服务，实现对数据质量概况探查，发现和监控其中的质量问题，并针对性的进行数据质量改进，提升数据的整体质量水平和应用价值。</w:t>
      </w:r>
    </w:p>
    <w:p w14:paraId="2B9A8824">
      <w:pPr>
        <w:adjustRightInd w:val="0"/>
        <w:snapToGrid w:val="0"/>
        <w:spacing w:line="360" w:lineRule="auto"/>
        <w:ind w:firstLine="420" w:firstLineChars="200"/>
        <w:rPr>
          <w:rFonts w:ascii="宋体" w:hAnsi="宋体" w:cs="宋体"/>
          <w:lang w:bidi="ar"/>
        </w:rPr>
      </w:pPr>
      <w:r>
        <w:rPr>
          <w:rFonts w:hint="eastAsia" w:ascii="宋体" w:hAnsi="宋体" w:cs="宋体"/>
          <w:lang w:bidi="ar"/>
        </w:rPr>
        <w:t>数据质量管理服务的核心价值在于提供系统化、规范化的数据质量评估和改进机制，通过定期的质量检查、问题分析和质量改进，持续优化数据质量，为数据的高价值应用提供质量保障。同时，通过建立数据质量责任制和数据质量考核制度，明确各方责任，形成数据质量管理的长效机制，确保数据质量管理的有效性和可持续性。</w:t>
      </w:r>
    </w:p>
    <w:p w14:paraId="48BD6AD2">
      <w:pPr>
        <w:keepNext/>
        <w:keepLines/>
        <w:spacing w:before="240" w:after="64" w:line="319" w:lineRule="auto"/>
        <w:outlineLvl w:val="6"/>
        <w:rPr>
          <w:rFonts w:ascii="宋体" w:hAnsi="宋体" w:cs="宋体"/>
          <w:b/>
          <w:bCs/>
          <w:sz w:val="24"/>
          <w:szCs w:val="24"/>
          <w:lang w:bidi="ar"/>
        </w:rPr>
      </w:pPr>
      <w:r>
        <w:rPr>
          <w:rFonts w:hint="eastAsia" w:ascii="宋体" w:hAnsi="宋体" w:cs="宋体"/>
          <w:b/>
          <w:bCs/>
          <w:sz w:val="24"/>
          <w:szCs w:val="24"/>
          <w:lang w:bidi="ar"/>
        </w:rPr>
        <w:t>2.2.3.1.</w:t>
      </w:r>
      <w:r>
        <w:rPr>
          <w:rFonts w:ascii="宋体" w:hAnsi="宋体" w:cs="宋体"/>
          <w:b/>
          <w:bCs/>
          <w:sz w:val="24"/>
          <w:szCs w:val="24"/>
          <w:lang w:bidi="ar"/>
        </w:rPr>
        <w:t>数据质量管理流程</w:t>
      </w:r>
    </w:p>
    <w:p w14:paraId="761CB839">
      <w:pPr>
        <w:adjustRightInd w:val="0"/>
        <w:snapToGrid w:val="0"/>
        <w:spacing w:line="360" w:lineRule="auto"/>
        <w:ind w:firstLine="420" w:firstLineChars="200"/>
        <w:rPr>
          <w:rFonts w:ascii="宋体" w:hAnsi="宋体" w:cs="宋体"/>
          <w:lang w:bidi="ar"/>
        </w:rPr>
      </w:pPr>
      <w:r>
        <w:rPr>
          <w:rFonts w:hint="eastAsia" w:ascii="宋体" w:hAnsi="宋体" w:cs="宋体"/>
          <w:lang w:bidi="ar"/>
        </w:rPr>
        <w:t>数据质量定义是数据质量管理的起点，是建立数据质量标准和评估体系的基础。根据大数据处理的流程、数据来源、数据本身的特点、用户使用数据的特点，以及产品和数据模型等对数据质量评估的影响等多方面综合考虑，从发现问题、定位问题、解决问题、验证问题的角度，根据国家及部委标准要求，制定符合业务使用情况的、可落地的数据质量标准规范，用以指导数据质量建设。</w:t>
      </w:r>
    </w:p>
    <w:p w14:paraId="33FCCA89">
      <w:pPr>
        <w:adjustRightInd w:val="0"/>
        <w:snapToGrid w:val="0"/>
        <w:spacing w:line="360" w:lineRule="auto"/>
        <w:ind w:firstLine="420" w:firstLineChars="200"/>
        <w:rPr>
          <w:rFonts w:ascii="宋体" w:hAnsi="宋体" w:cs="宋体"/>
          <w:lang w:bidi="ar"/>
        </w:rPr>
      </w:pPr>
      <w:r>
        <w:rPr>
          <w:rFonts w:hint="eastAsia" w:ascii="宋体" w:hAnsi="宋体" w:cs="宋体"/>
          <w:lang w:bidi="ar"/>
        </w:rPr>
        <w:t>质量定义过程首先需要明确数据质量的维度和指标，如准确性、完整性、一致性、及时性、有效性等，并根据不同维度设定相应的质量标准和评估方法。同时，还需要考虑不同类型数据、不同应用场景的质量要求差异，建立分层分类的质量标准体系，确保质量标准的针对性和适用性。此外，质量定义还需与数据管理的其他环节协同配合，如与数据标准、数据安全相互支撑，形成完整的数据治理体系。</w:t>
      </w:r>
    </w:p>
    <w:p w14:paraId="3E1C845F">
      <w:pPr>
        <w:adjustRightInd w:val="0"/>
        <w:snapToGrid w:val="0"/>
        <w:spacing w:line="360" w:lineRule="auto"/>
        <w:ind w:firstLine="420" w:firstLineChars="200"/>
        <w:rPr>
          <w:rFonts w:ascii="宋体" w:hAnsi="宋体" w:cs="宋体"/>
          <w:color w:val="000000"/>
          <w:lang w:bidi="ar"/>
        </w:rPr>
      </w:pPr>
      <w:r>
        <w:rPr>
          <w:rFonts w:hint="eastAsia" w:ascii="宋体" w:hAnsi="宋体" w:cs="宋体"/>
          <w:color w:val="000000"/>
          <w:lang w:bidi="ar"/>
        </w:rPr>
        <w:t>建立数据质量管理的流程和规范，形成相关的制度文档（须包括：数据质量管理办法、数据标准化管理办法、数据质量核查校验规范、数据质量问题整改管理制度、数据采集与汇聚质量规范、数据质量考核评价办法等）。</w:t>
      </w:r>
    </w:p>
    <w:p w14:paraId="4F8B2135">
      <w:pPr>
        <w:keepNext/>
        <w:keepLines/>
        <w:spacing w:before="240" w:after="64" w:line="319" w:lineRule="auto"/>
        <w:outlineLvl w:val="6"/>
        <w:rPr>
          <w:rFonts w:ascii="宋体" w:hAnsi="宋体" w:cs="宋体"/>
          <w:b/>
          <w:bCs/>
          <w:sz w:val="24"/>
          <w:szCs w:val="24"/>
          <w:lang w:bidi="ar"/>
        </w:rPr>
      </w:pPr>
      <w:r>
        <w:rPr>
          <w:rFonts w:hint="eastAsia" w:ascii="宋体" w:hAnsi="宋体" w:cs="宋体"/>
          <w:b/>
          <w:bCs/>
          <w:sz w:val="24"/>
          <w:szCs w:val="24"/>
          <w:lang w:bidi="ar"/>
        </w:rPr>
        <w:t>2.2.3.2.</w:t>
      </w:r>
      <w:r>
        <w:rPr>
          <w:rFonts w:ascii="宋体" w:hAnsi="宋体" w:cs="宋体"/>
          <w:b/>
          <w:bCs/>
          <w:sz w:val="24"/>
          <w:szCs w:val="24"/>
          <w:lang w:bidi="ar"/>
        </w:rPr>
        <w:t>数据质量稽核服务</w:t>
      </w:r>
    </w:p>
    <w:p w14:paraId="1C3AF39C">
      <w:pPr>
        <w:adjustRightInd w:val="0"/>
        <w:snapToGrid w:val="0"/>
        <w:spacing w:line="360" w:lineRule="auto"/>
        <w:ind w:firstLine="420" w:firstLineChars="200"/>
        <w:rPr>
          <w:rFonts w:ascii="宋体" w:hAnsi="宋体" w:cs="宋体"/>
          <w:lang w:bidi="ar"/>
        </w:rPr>
      </w:pPr>
      <w:r>
        <w:rPr>
          <w:rFonts w:hint="eastAsia" w:ascii="宋体" w:hAnsi="宋体" w:cs="宋体"/>
          <w:lang w:bidi="ar"/>
        </w:rPr>
        <w:t>数据质量稽核工作包括稽核规则定义、稽核作业执行、稽核结果分析三个主要环节。</w:t>
      </w:r>
    </w:p>
    <w:p w14:paraId="695DD454">
      <w:pPr>
        <w:adjustRightInd w:val="0"/>
        <w:snapToGrid w:val="0"/>
        <w:spacing w:line="360" w:lineRule="auto"/>
        <w:ind w:firstLine="420" w:firstLineChars="200"/>
        <w:rPr>
          <w:rFonts w:ascii="宋体" w:hAnsi="宋体" w:cs="宋体"/>
          <w:lang w:bidi="ar"/>
        </w:rPr>
      </w:pPr>
      <w:r>
        <w:rPr>
          <w:rFonts w:hint="eastAsia" w:ascii="宋体" w:hAnsi="宋体" w:cs="宋体"/>
          <w:lang w:bidi="ar"/>
        </w:rPr>
        <w:t xml:space="preserve">需要制定全面、准确、可操作的稽核规则，需要涵盖数据的各个质量维度和特征。形成相关的文档。 </w:t>
      </w:r>
    </w:p>
    <w:p w14:paraId="57C462A0">
      <w:pPr>
        <w:adjustRightInd w:val="0"/>
        <w:snapToGrid w:val="0"/>
        <w:spacing w:line="360" w:lineRule="auto"/>
        <w:ind w:firstLine="420" w:firstLineChars="200"/>
        <w:rPr>
          <w:rFonts w:ascii="宋体" w:hAnsi="宋体" w:cs="宋体"/>
          <w:lang w:bidi="ar"/>
        </w:rPr>
      </w:pPr>
      <w:r>
        <w:rPr>
          <w:rFonts w:hint="eastAsia" w:ascii="宋体" w:hAnsi="宋体" w:cs="宋体"/>
          <w:lang w:bidi="ar"/>
        </w:rPr>
        <w:t>稽核作业执行需要进行数据检测，收集质量数据，形成稽核记录。</w:t>
      </w:r>
    </w:p>
    <w:p w14:paraId="7EA393D2">
      <w:pPr>
        <w:adjustRightInd w:val="0"/>
        <w:snapToGrid w:val="0"/>
        <w:spacing w:line="360" w:lineRule="auto"/>
        <w:ind w:firstLine="420" w:firstLineChars="200"/>
        <w:rPr>
          <w:rFonts w:ascii="宋体" w:hAnsi="宋体" w:cs="宋体"/>
          <w:lang w:bidi="ar"/>
        </w:rPr>
      </w:pPr>
      <w:r>
        <w:rPr>
          <w:rFonts w:hint="eastAsia" w:ascii="宋体" w:hAnsi="宋体" w:cs="宋体"/>
          <w:lang w:bidi="ar"/>
        </w:rPr>
        <w:t>稽核结果分析需要对稽核数据进行统计分析，形成稽核报告，明确质量现状和问题，为质量改进提供依据。</w:t>
      </w:r>
    </w:p>
    <w:p w14:paraId="4DBE1FF8">
      <w:pPr>
        <w:keepNext/>
        <w:keepLines/>
        <w:spacing w:before="240" w:after="64" w:line="319" w:lineRule="auto"/>
        <w:outlineLvl w:val="6"/>
        <w:rPr>
          <w:rFonts w:ascii="宋体" w:hAnsi="宋体" w:cs="宋体"/>
          <w:b/>
          <w:bCs/>
          <w:sz w:val="24"/>
          <w:szCs w:val="24"/>
          <w:lang w:bidi="ar"/>
        </w:rPr>
      </w:pPr>
      <w:r>
        <w:rPr>
          <w:rFonts w:hint="eastAsia" w:ascii="宋体" w:hAnsi="宋体" w:cs="宋体"/>
          <w:b/>
          <w:bCs/>
          <w:sz w:val="24"/>
          <w:szCs w:val="24"/>
          <w:lang w:bidi="ar"/>
        </w:rPr>
        <w:t>2.2.3.3.</w:t>
      </w:r>
      <w:r>
        <w:rPr>
          <w:rFonts w:ascii="宋体" w:hAnsi="宋体" w:cs="宋体"/>
          <w:b/>
          <w:bCs/>
          <w:sz w:val="24"/>
          <w:szCs w:val="24"/>
          <w:lang w:bidi="ar"/>
        </w:rPr>
        <w:t>数据质量评价服务</w:t>
      </w:r>
    </w:p>
    <w:p w14:paraId="1C42E690">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 xml:space="preserve">数据质量评价需要从定性与定量两个方面进行评价。 </w:t>
      </w:r>
    </w:p>
    <w:p w14:paraId="07150BB1">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定性评价主要关注数据的业务含义、应用价值、使用体验等方面，通过用户反馈等方式进行；</w:t>
      </w:r>
    </w:p>
    <w:p w14:paraId="6C96F9BA">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定量评价主要关注数据的准确率、完整率、一致率等可量化指标，通过</w:t>
      </w:r>
      <w:r>
        <w:rPr>
          <w:rFonts w:ascii="宋体" w:hAnsi="宋体" w:eastAsia="宋体" w:cs="宋体"/>
          <w:kern w:val="2"/>
          <w:sz w:val="21"/>
          <w:szCs w:val="21"/>
          <w:lang w:val="en-US" w:eastAsia="zh-CN" w:bidi="ar"/>
        </w:rPr>
        <w:t>自动</w:t>
      </w:r>
      <w:r>
        <w:rPr>
          <w:rFonts w:hint="eastAsia" w:ascii="宋体" w:hAnsi="宋体" w:eastAsia="宋体" w:cs="宋体"/>
          <w:kern w:val="2"/>
          <w:sz w:val="21"/>
          <w:szCs w:val="21"/>
          <w:lang w:val="en-US" w:eastAsia="zh-CN" w:bidi="ar"/>
        </w:rPr>
        <w:t>化工具</w:t>
      </w:r>
      <w:r>
        <w:rPr>
          <w:rFonts w:ascii="宋体" w:hAnsi="宋体" w:eastAsia="宋体" w:cs="宋体"/>
          <w:kern w:val="2"/>
          <w:sz w:val="21"/>
          <w:szCs w:val="21"/>
          <w:lang w:val="en-US" w:eastAsia="zh-CN" w:bidi="ar"/>
        </w:rPr>
        <w:t>与人工相结合的方式</w:t>
      </w:r>
      <w:r>
        <w:rPr>
          <w:rFonts w:hint="eastAsia" w:ascii="宋体" w:hAnsi="宋体" w:eastAsia="宋体" w:cs="宋体"/>
          <w:kern w:val="2"/>
          <w:sz w:val="21"/>
          <w:szCs w:val="21"/>
          <w:lang w:val="en-US" w:eastAsia="zh-CN" w:bidi="ar"/>
        </w:rPr>
        <w:t>进行测量和计算。</w:t>
      </w:r>
    </w:p>
    <w:p w14:paraId="1BFEF12E">
      <w:pPr>
        <w:widowControl w:val="0"/>
        <w:spacing w:line="360" w:lineRule="auto"/>
        <w:ind w:firstLine="420" w:firstLineChars="200"/>
        <w:jc w:val="both"/>
        <w:rPr>
          <w:rFonts w:ascii="宋体" w:hAnsi="宋体" w:eastAsia="宋体" w:cs="宋体"/>
          <w:b/>
          <w:bCs/>
          <w:kern w:val="2"/>
          <w:sz w:val="24"/>
          <w:szCs w:val="24"/>
          <w:lang w:val="en-US" w:eastAsia="zh-CN" w:bidi="ar"/>
        </w:rPr>
      </w:pPr>
      <w:r>
        <w:rPr>
          <w:rFonts w:hint="eastAsia" w:ascii="宋体" w:hAnsi="宋体" w:eastAsia="宋体" w:cs="宋体"/>
          <w:kern w:val="2"/>
          <w:sz w:val="21"/>
          <w:szCs w:val="21"/>
          <w:lang w:val="en-US" w:eastAsia="zh-CN" w:bidi="ar"/>
        </w:rPr>
        <w:t xml:space="preserve">两种方式相互补充，共同构成全面的质量评价体系，并输出相应的评价报告。 </w:t>
      </w:r>
    </w:p>
    <w:p w14:paraId="1CE167C2">
      <w:pPr>
        <w:keepNext/>
        <w:keepLines/>
        <w:spacing w:before="240" w:after="64" w:line="319" w:lineRule="auto"/>
        <w:outlineLvl w:val="6"/>
        <w:rPr>
          <w:rFonts w:ascii="宋体" w:hAnsi="宋体" w:cs="宋体"/>
          <w:b/>
          <w:bCs/>
          <w:sz w:val="24"/>
          <w:szCs w:val="24"/>
          <w:lang w:bidi="ar"/>
        </w:rPr>
      </w:pPr>
      <w:r>
        <w:rPr>
          <w:rFonts w:hint="eastAsia" w:ascii="宋体" w:hAnsi="宋体" w:cs="宋体"/>
          <w:b/>
          <w:bCs/>
          <w:sz w:val="24"/>
          <w:szCs w:val="24"/>
          <w:lang w:bidi="ar"/>
        </w:rPr>
        <w:t>2.2.3.4.</w:t>
      </w:r>
      <w:r>
        <w:rPr>
          <w:rFonts w:ascii="宋体" w:hAnsi="宋体" w:cs="宋体"/>
          <w:b/>
          <w:bCs/>
          <w:sz w:val="24"/>
          <w:szCs w:val="24"/>
          <w:lang w:bidi="ar"/>
        </w:rPr>
        <w:t>数据质量工单服务</w:t>
      </w:r>
    </w:p>
    <w:p w14:paraId="571D9E5D">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对于数据治理、数据质量稽核、数据质量评价以及数据使用过程中发现的数据质量问题，以数据质量工单的形式，分发到相关数据质量责任单位，并跟踪处置进展，以督促相关责任人解决数据质量问题。</w:t>
      </w:r>
    </w:p>
    <w:p w14:paraId="3F581BA4">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数据质量工单服务是数据质量问题处理的规范化流程，通过工单形式明确质量问题、处理责任和处理进度，实现质量问题的闭环管理，确保质量问题得到及时有效的解决，并定期形成相应的文档报告。</w:t>
      </w:r>
    </w:p>
    <w:p w14:paraId="141AB1EC">
      <w:pPr>
        <w:spacing w:line="360" w:lineRule="auto"/>
        <w:ind w:left="-1"/>
        <w:rPr>
          <w:rFonts w:ascii="Times New Roman Regular" w:hAnsi="Times New Roman Regular" w:cs="Times New Roman Regular"/>
          <w:lang w:eastAsia="zh-Hans"/>
        </w:rPr>
      </w:pPr>
    </w:p>
    <w:p w14:paraId="17DF75C5">
      <w:pPr>
        <w:keepNext/>
        <w:widowControl w:val="0"/>
        <w:numPr>
          <w:ilvl w:val="1"/>
          <w:numId w:val="0"/>
        </w:numPr>
        <w:autoSpaceDE w:val="0"/>
        <w:autoSpaceDN w:val="0"/>
        <w:adjustRightInd w:val="0"/>
        <w:spacing w:line="360" w:lineRule="auto"/>
        <w:ind w:left="567" w:hanging="567"/>
        <w:jc w:val="both"/>
        <w:outlineLvl w:val="4"/>
        <w:rPr>
          <w:rFonts w:ascii="宋体" w:hAnsi="Times New Roman" w:eastAsia="宋体" w:cs="Times New Roman"/>
          <w:color w:val="000000"/>
          <w:kern w:val="0"/>
          <w:sz w:val="28"/>
          <w:szCs w:val="28"/>
          <w:lang w:val="en-US" w:eastAsia="zh-CN" w:bidi="ar-SA"/>
        </w:rPr>
      </w:pPr>
      <w:r>
        <w:rPr>
          <w:rFonts w:hint="eastAsia" w:ascii="宋体" w:hAnsi="Times New Roman" w:eastAsia="宋体" w:cs="Times New Roman"/>
          <w:color w:val="000000"/>
          <w:kern w:val="0"/>
          <w:sz w:val="28"/>
          <w:szCs w:val="28"/>
          <w:lang w:val="en-US" w:eastAsia="zh-CN" w:bidi="ar-SA"/>
        </w:rPr>
        <w:t>2.3.基础库建设</w:t>
      </w:r>
    </w:p>
    <w:p w14:paraId="20A2A667">
      <w:pPr>
        <w:adjustRightInd w:val="0"/>
        <w:snapToGrid w:val="0"/>
        <w:spacing w:line="360" w:lineRule="auto"/>
        <w:ind w:firstLine="420" w:firstLineChars="200"/>
        <w:rPr>
          <w:rFonts w:ascii="宋体" w:hAnsi="宋体" w:cs="宋体"/>
          <w:lang w:bidi="ar"/>
        </w:rPr>
      </w:pPr>
      <w:r>
        <w:rPr>
          <w:rFonts w:hint="eastAsia" w:ascii="宋体" w:hAnsi="宋体" w:cs="宋体"/>
          <w:lang w:bidi="ar"/>
        </w:rPr>
        <w:t>基础库建设是一体化数据资源服务平台的核心内容之一，在运营阶段主要体现为对各部门已有数据资源进行系统化整合、规范化管理和持续性优化，而非从零开始构建。本项目需建设宏观经济基础库，形成面向政务服务、领导决策和社会治理等方面的通用的高质量基础数据资源。为各类应用提供数据支撑，实现"一数多用、一源多用"，避免重复建设和数据不一致问题。</w:t>
      </w:r>
    </w:p>
    <w:p w14:paraId="0D4544D4">
      <w:pPr>
        <w:adjustRightInd w:val="0"/>
        <w:snapToGrid w:val="0"/>
        <w:spacing w:line="360" w:lineRule="auto"/>
        <w:ind w:firstLine="420" w:firstLineChars="200"/>
        <w:rPr>
          <w:rFonts w:hint="eastAsia" w:ascii="宋体" w:hAnsi="宋体" w:cs="宋体"/>
          <w:lang w:bidi="ar"/>
        </w:rPr>
      </w:pPr>
      <w:r>
        <w:rPr>
          <w:rFonts w:hint="eastAsia" w:ascii="宋体" w:hAnsi="宋体" w:cs="宋体"/>
          <w:lang w:bidi="ar"/>
        </w:rPr>
        <w:t>基础库建设需符合以下要求：信用信息库数据采集、加工、库表建模、API 接口服务方案完整；宏观经济库汇总、比较、关联功能设计合理，交付物明确。</w:t>
      </w:r>
    </w:p>
    <w:p w14:paraId="499F97A9">
      <w:pPr>
        <w:keepNext/>
        <w:keepLines/>
        <w:spacing w:before="240" w:after="64" w:line="319" w:lineRule="auto"/>
        <w:outlineLvl w:val="5"/>
        <w:rPr>
          <w:rFonts w:hint="eastAsia" w:ascii="宋体" w:hAnsi="宋体" w:cs="宋体"/>
          <w:b/>
          <w:bCs/>
          <w:sz w:val="24"/>
          <w:szCs w:val="24"/>
        </w:rPr>
      </w:pPr>
      <w:r>
        <w:rPr>
          <w:rFonts w:hint="eastAsia" w:ascii="宋体" w:hAnsi="宋体" w:cs="宋体"/>
          <w:b/>
          <w:bCs/>
          <w:sz w:val="24"/>
          <w:szCs w:val="24"/>
          <w:lang w:bidi="ar"/>
        </w:rPr>
        <w:t>2.3.1.信用信息库</w:t>
      </w:r>
    </w:p>
    <w:p w14:paraId="10A72412">
      <w:pPr>
        <w:adjustRightInd w:val="0"/>
        <w:snapToGrid w:val="0"/>
        <w:spacing w:line="360" w:lineRule="auto"/>
        <w:ind w:firstLine="420" w:firstLineChars="200"/>
        <w:rPr>
          <w:rFonts w:hint="eastAsia" w:ascii="宋体" w:hAnsi="宋体" w:cs="Times New Roman Regular"/>
        </w:rPr>
      </w:pPr>
      <w:r>
        <w:rPr>
          <w:rFonts w:hint="eastAsia" w:ascii="宋体" w:hAnsi="宋体" w:cs="宋体"/>
          <w:lang w:bidi="ar"/>
        </w:rPr>
        <w:t>信用信息库是基于统一信用信息代码的基础数据库，为信用建设提供数据支持和服务保障。信用信息库归集社会法人的信用相关信息，为相关领域开展守信联合激励、失信联合惩戒，以及社会征信市场发展，提供统一基础信息支撑服务。</w:t>
      </w:r>
    </w:p>
    <w:p w14:paraId="1282ED05">
      <w:pPr>
        <w:adjustRightInd w:val="0"/>
        <w:snapToGrid w:val="0"/>
        <w:spacing w:line="360" w:lineRule="auto"/>
        <w:ind w:firstLine="422" w:firstLineChars="200"/>
        <w:rPr>
          <w:rFonts w:hint="eastAsia" w:ascii="宋体" w:hAnsi="宋体" w:cs="宋体"/>
          <w:b/>
          <w:bCs/>
          <w:lang w:bidi="ar"/>
        </w:rPr>
      </w:pPr>
      <w:r>
        <w:rPr>
          <w:rFonts w:hint="eastAsia" w:ascii="宋体" w:hAnsi="宋体" w:cs="宋体"/>
          <w:b/>
          <w:bCs/>
          <w:lang w:bidi="ar"/>
        </w:rPr>
        <w:t>建设要求：</w:t>
      </w:r>
    </w:p>
    <w:p w14:paraId="6C5D7D78">
      <w:pPr>
        <w:adjustRightInd w:val="0"/>
        <w:snapToGrid w:val="0"/>
        <w:spacing w:line="360" w:lineRule="auto"/>
        <w:ind w:firstLine="420" w:firstLineChars="200"/>
        <w:rPr>
          <w:rFonts w:ascii="宋体" w:hAnsi="宋体" w:cs="宋体"/>
          <w:lang w:bidi="ar"/>
        </w:rPr>
      </w:pPr>
      <w:r>
        <w:rPr>
          <w:rFonts w:hint="eastAsia" w:ascii="宋体" w:hAnsi="宋体" w:cs="宋体"/>
          <w:lang w:bidi="ar"/>
        </w:rPr>
        <w:t>设计要求：采集法人为主体的相关信用数据，进行数据治理和库表设计，建立以法人为主体的信用信息库。</w:t>
      </w:r>
    </w:p>
    <w:p w14:paraId="2557FBF9">
      <w:pPr>
        <w:adjustRightInd w:val="0"/>
        <w:snapToGrid w:val="0"/>
        <w:spacing w:line="360" w:lineRule="auto"/>
        <w:ind w:firstLine="420" w:firstLineChars="200"/>
        <w:rPr>
          <w:rFonts w:hint="eastAsia" w:ascii="宋体" w:hAnsi="宋体" w:cs="宋体"/>
          <w:lang w:bidi="ar"/>
        </w:rPr>
      </w:pPr>
      <w:r>
        <w:rPr>
          <w:rFonts w:hint="eastAsia" w:ascii="宋体" w:hAnsi="宋体" w:cs="宋体"/>
          <w:lang w:bidi="ar"/>
        </w:rPr>
        <w:t>数据处理能力：支持批量与实时采集、清洗、去重等数据处理能力。</w:t>
      </w:r>
    </w:p>
    <w:p w14:paraId="71229A71">
      <w:pPr>
        <w:adjustRightInd w:val="0"/>
        <w:snapToGrid w:val="0"/>
        <w:spacing w:line="360" w:lineRule="auto"/>
        <w:ind w:firstLine="420" w:firstLineChars="200"/>
        <w:rPr>
          <w:rFonts w:hint="eastAsia" w:ascii="宋体" w:hAnsi="宋体" w:cs="宋体"/>
          <w:lang w:bidi="ar"/>
        </w:rPr>
      </w:pPr>
      <w:r>
        <w:rPr>
          <w:rFonts w:hint="eastAsia" w:ascii="宋体" w:hAnsi="宋体" w:cs="宋体"/>
          <w:lang w:bidi="ar"/>
        </w:rPr>
        <w:t>接口服务能力：提供标准化 API 接口、库表交换等方式，满足跨部门共享与对外服务。</w:t>
      </w:r>
    </w:p>
    <w:p w14:paraId="6A0DF070">
      <w:pPr>
        <w:adjustRightInd w:val="0"/>
        <w:snapToGrid w:val="0"/>
        <w:spacing w:line="360" w:lineRule="auto"/>
        <w:ind w:firstLine="422" w:firstLineChars="200"/>
        <w:rPr>
          <w:rFonts w:ascii="宋体" w:hAnsi="宋体" w:cs="宋体"/>
          <w:b/>
          <w:bCs/>
          <w:lang w:bidi="ar"/>
        </w:rPr>
      </w:pPr>
      <w:r>
        <w:rPr>
          <w:rFonts w:ascii="宋体" w:hAnsi="宋体" w:cs="宋体"/>
          <w:b/>
          <w:bCs/>
          <w:lang w:bidi="ar"/>
        </w:rPr>
        <w:t>交付物要求</w:t>
      </w:r>
      <w:r>
        <w:rPr>
          <w:rFonts w:hint="eastAsia" w:ascii="宋体" w:hAnsi="宋体" w:cs="宋体"/>
          <w:b/>
          <w:bCs/>
          <w:lang w:bidi="ar"/>
        </w:rPr>
        <w:t>：</w:t>
      </w:r>
    </w:p>
    <w:p w14:paraId="690AD445">
      <w:pPr>
        <w:adjustRightInd w:val="0"/>
        <w:snapToGrid w:val="0"/>
        <w:spacing w:line="360" w:lineRule="auto"/>
        <w:ind w:firstLine="420" w:firstLineChars="200"/>
        <w:rPr>
          <w:rFonts w:hint="eastAsia" w:ascii="宋体" w:hAnsi="宋体" w:cs="宋体"/>
          <w:lang w:bidi="ar"/>
        </w:rPr>
      </w:pPr>
      <w:r>
        <w:rPr>
          <w:rFonts w:hint="eastAsia" w:ascii="宋体" w:hAnsi="宋体" w:cs="宋体"/>
          <w:lang w:bidi="ar"/>
        </w:rPr>
        <w:t>提供数据库设计说明书、主题库标准规范、测试报告等材料。</w:t>
      </w:r>
    </w:p>
    <w:p w14:paraId="067F9F34">
      <w:pPr>
        <w:widowControl w:val="0"/>
        <w:spacing w:line="360" w:lineRule="auto"/>
        <w:ind w:firstLine="600" w:firstLineChars="200"/>
        <w:jc w:val="both"/>
        <w:rPr>
          <w:rFonts w:ascii="仿宋_GB2312" w:hAnsi="Arial" w:eastAsia="仿宋_GB2312" w:cs="Times New Roman"/>
          <w:kern w:val="2"/>
          <w:sz w:val="30"/>
          <w:szCs w:val="30"/>
          <w:lang w:val="en-US" w:eastAsia="zh-CN" w:bidi="ar-SA"/>
        </w:rPr>
      </w:pPr>
    </w:p>
    <w:p w14:paraId="304796F5">
      <w:pPr>
        <w:keepNext/>
        <w:keepLines/>
        <w:spacing w:before="240" w:after="64" w:line="319" w:lineRule="auto"/>
        <w:outlineLvl w:val="5"/>
        <w:rPr>
          <w:rFonts w:ascii="宋体" w:hAnsi="宋体" w:cs="宋体"/>
          <w:b/>
          <w:bCs/>
          <w:sz w:val="24"/>
          <w:szCs w:val="24"/>
        </w:rPr>
      </w:pPr>
      <w:r>
        <w:rPr>
          <w:rFonts w:hint="eastAsia" w:ascii="宋体" w:hAnsi="宋体" w:cs="宋体"/>
          <w:b/>
          <w:bCs/>
          <w:sz w:val="24"/>
          <w:szCs w:val="24"/>
          <w:lang w:bidi="ar"/>
        </w:rPr>
        <w:t>2.3.1.宏观经济库</w:t>
      </w:r>
    </w:p>
    <w:p w14:paraId="0A3E856A">
      <w:pPr>
        <w:adjustRightInd w:val="0"/>
        <w:snapToGrid w:val="0"/>
        <w:spacing w:line="360" w:lineRule="auto"/>
        <w:ind w:firstLine="420" w:firstLineChars="200"/>
        <w:rPr>
          <w:rFonts w:ascii="宋体" w:hAnsi="宋体" w:cs="Times New Roman Regular"/>
        </w:rPr>
      </w:pPr>
      <w:r>
        <w:rPr>
          <w:rFonts w:hint="eastAsia" w:ascii="宋体" w:hAnsi="宋体" w:cs="宋体"/>
          <w:lang w:bidi="ar"/>
        </w:rPr>
        <w:t>宏观经济数据库的建设，依据统计局和发改委的宏观经济数据以及其它相关数据来源，形成宏观经济发展的相关数据库，包括年度经济数据库、季度经济数据库、月度经济数据库、高频经济数据库、微观经济数据库、单位经济数据库、行业经济数据库。</w:t>
      </w:r>
    </w:p>
    <w:p w14:paraId="331FF3BC">
      <w:pPr>
        <w:adjustRightInd w:val="0"/>
        <w:snapToGrid w:val="0"/>
        <w:spacing w:line="360" w:lineRule="auto"/>
        <w:ind w:firstLine="420" w:firstLineChars="200"/>
        <w:rPr>
          <w:rFonts w:ascii="宋体" w:hAnsi="宋体" w:cs="宋体"/>
          <w:lang w:bidi="ar"/>
        </w:rPr>
      </w:pPr>
      <w:r>
        <w:rPr>
          <w:rFonts w:hint="eastAsia" w:ascii="宋体" w:hAnsi="宋体" w:cs="宋体"/>
          <w:lang w:bidi="ar"/>
        </w:rPr>
        <w:t>通过宏观经济数据库对经济数据进行分析，为经济数据汇总分析、发现经济发展中的问题和机遇提供数据支持。</w:t>
      </w:r>
    </w:p>
    <w:p w14:paraId="3EADF421">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7D5C3C0D">
      <w:pPr>
        <w:adjustRightInd w:val="0"/>
        <w:snapToGrid w:val="0"/>
        <w:spacing w:line="360" w:lineRule="auto"/>
        <w:ind w:firstLine="420" w:firstLineChars="200"/>
        <w:rPr>
          <w:rFonts w:ascii="宋体" w:hAnsi="宋体" w:cs="宋体"/>
          <w:lang w:bidi="ar"/>
        </w:rPr>
      </w:pPr>
      <w:r>
        <w:rPr>
          <w:rFonts w:hint="eastAsia" w:ascii="宋体" w:hAnsi="宋体" w:cs="宋体"/>
          <w:lang w:bidi="ar"/>
        </w:rPr>
        <w:t>设计要求：针对自治区经济发展状况，采集自治区相关部门经济数据，进行加工处理和库表设计，形成年度经济数据库、季度经济数据库、月度经济数据库、高频经济数据库、微观经济数据库、单位经济数据库、行业经济数据库。</w:t>
      </w:r>
    </w:p>
    <w:p w14:paraId="7E4BCE8B">
      <w:pPr>
        <w:adjustRightInd w:val="0"/>
        <w:snapToGrid w:val="0"/>
        <w:spacing w:line="360" w:lineRule="auto"/>
        <w:ind w:firstLine="420" w:firstLineChars="200"/>
        <w:rPr>
          <w:rFonts w:ascii="宋体" w:hAnsi="宋体" w:cs="宋体"/>
          <w:lang w:bidi="ar"/>
        </w:rPr>
      </w:pPr>
      <w:r>
        <w:rPr>
          <w:rFonts w:hint="eastAsia" w:ascii="宋体" w:hAnsi="宋体" w:cs="宋体"/>
          <w:lang w:bidi="ar"/>
        </w:rPr>
        <w:t>数据处理能力：支持批量与实时采集、清洗、去重等数据处理能力。</w:t>
      </w:r>
    </w:p>
    <w:p w14:paraId="36B18A5D">
      <w:pPr>
        <w:adjustRightInd w:val="0"/>
        <w:snapToGrid w:val="0"/>
        <w:spacing w:line="360" w:lineRule="auto"/>
        <w:ind w:firstLine="420" w:firstLineChars="200"/>
        <w:rPr>
          <w:rFonts w:ascii="宋体" w:hAnsi="宋体" w:cs="宋体"/>
          <w:lang w:bidi="ar"/>
        </w:rPr>
      </w:pPr>
      <w:r>
        <w:rPr>
          <w:rFonts w:hint="eastAsia" w:ascii="宋体" w:hAnsi="宋体" w:cs="宋体"/>
          <w:lang w:bidi="ar"/>
        </w:rPr>
        <w:t>接口服务能力：提供标准化 API 接口、库表交换等方式，满足跨部门共享与对外服务。</w:t>
      </w:r>
    </w:p>
    <w:p w14:paraId="6F7C0D7B">
      <w:pPr>
        <w:adjustRightInd w:val="0"/>
        <w:snapToGrid w:val="0"/>
        <w:spacing w:line="360" w:lineRule="auto"/>
        <w:ind w:firstLine="422" w:firstLineChars="200"/>
        <w:rPr>
          <w:rFonts w:ascii="宋体" w:hAnsi="宋体" w:cs="宋体"/>
          <w:b/>
          <w:bCs/>
          <w:lang w:bidi="ar"/>
        </w:rPr>
      </w:pPr>
      <w:r>
        <w:rPr>
          <w:rFonts w:ascii="宋体" w:hAnsi="宋体" w:cs="宋体"/>
          <w:b/>
          <w:bCs/>
          <w:lang w:bidi="ar"/>
        </w:rPr>
        <w:t>交付物要求</w:t>
      </w:r>
      <w:r>
        <w:rPr>
          <w:rFonts w:hint="eastAsia" w:ascii="宋体" w:hAnsi="宋体" w:cs="宋体"/>
          <w:b/>
          <w:bCs/>
          <w:lang w:bidi="ar"/>
        </w:rPr>
        <w:t>：</w:t>
      </w:r>
    </w:p>
    <w:p w14:paraId="39F6B2AB">
      <w:pPr>
        <w:adjustRightInd w:val="0"/>
        <w:snapToGrid w:val="0"/>
        <w:spacing w:line="360" w:lineRule="auto"/>
        <w:ind w:firstLine="420" w:firstLineChars="200"/>
        <w:rPr>
          <w:rFonts w:ascii="宋体" w:hAnsi="宋体" w:cs="宋体"/>
          <w:lang w:bidi="ar"/>
        </w:rPr>
      </w:pPr>
      <w:r>
        <w:rPr>
          <w:rFonts w:hint="eastAsia" w:ascii="宋体" w:hAnsi="宋体" w:cs="宋体"/>
          <w:lang w:bidi="ar"/>
        </w:rPr>
        <w:t>提供数据库设计说明书、主题库标准规范、测试报告等材料。</w:t>
      </w:r>
    </w:p>
    <w:p w14:paraId="2C1B9DE2">
      <w:pPr>
        <w:spacing w:line="360" w:lineRule="auto"/>
        <w:ind w:left="-1"/>
        <w:rPr>
          <w:rFonts w:ascii="Times New Roman Regular" w:hAnsi="Times New Roman Regular" w:cs="Times New Roman Regular"/>
          <w:lang w:eastAsia="zh-Hans"/>
        </w:rPr>
      </w:pPr>
    </w:p>
    <w:p w14:paraId="6E42B5E1">
      <w:pPr>
        <w:keepNext/>
        <w:widowControl w:val="0"/>
        <w:numPr>
          <w:ilvl w:val="1"/>
          <w:numId w:val="0"/>
        </w:numPr>
        <w:autoSpaceDE w:val="0"/>
        <w:autoSpaceDN w:val="0"/>
        <w:adjustRightInd w:val="0"/>
        <w:spacing w:line="360" w:lineRule="auto"/>
        <w:ind w:left="567" w:hanging="567"/>
        <w:jc w:val="both"/>
        <w:outlineLvl w:val="4"/>
        <w:rPr>
          <w:rFonts w:ascii="宋体" w:hAnsi="Times New Roman" w:eastAsia="宋体" w:cs="Times New Roman"/>
          <w:color w:val="000000"/>
          <w:kern w:val="0"/>
          <w:sz w:val="28"/>
          <w:szCs w:val="28"/>
          <w:lang w:val="en-US" w:eastAsia="zh-CN" w:bidi="ar-SA"/>
        </w:rPr>
      </w:pPr>
      <w:r>
        <w:rPr>
          <w:rFonts w:hint="eastAsia" w:ascii="宋体" w:hAnsi="Times New Roman" w:eastAsia="宋体" w:cs="Times New Roman"/>
          <w:color w:val="000000"/>
          <w:kern w:val="0"/>
          <w:sz w:val="28"/>
          <w:szCs w:val="28"/>
          <w:lang w:val="en-US" w:eastAsia="zh-CN" w:bidi="ar-SA"/>
        </w:rPr>
        <w:t>2.4.主题库建设</w:t>
      </w:r>
    </w:p>
    <w:p w14:paraId="69FCBA64">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建设是自治区一体化数据资源服务平台的核心组成部分，在运营阶段主要体现为对各部门业务数据的主题化整合、标准化梳理和深度优化。通过对已有数据资源按主题域进行系统性整合与完善，实现数据要素价值的有效释放。根据《自治区办公厅印发自治区数字政府改革建设方案》《自治区一体化数据资源体系建设实施方案》等政策文件的工作任务部署，以及《自治区</w:t>
      </w:r>
      <w:r>
        <w:rPr>
          <w:rFonts w:hint="eastAsia" w:ascii="宋体" w:hAnsi="宋体" w:cs="Times New Roman Regular"/>
          <w:lang w:bidi="ar"/>
        </w:rPr>
        <w:t>"数据要素×"三年行动实施方案(2024-2026年)》等政策的战略指引，本</w:t>
      </w:r>
      <w:r>
        <w:rPr>
          <w:rFonts w:hint="eastAsia" w:ascii="宋体" w:hAnsi="宋体" w:cs="宋体"/>
          <w:lang w:bidi="ar"/>
        </w:rPr>
        <w:t>期将重点开展经济调节主题库建设，同时将统筹规划产业发展主题库、营商环境主题库、公共服务主题库和社会管理主题库建设，并根据数据运营服务过程中的实际情况进行动态调整和优化。</w:t>
      </w:r>
    </w:p>
    <w:p w14:paraId="6F463AAB">
      <w:pPr>
        <w:adjustRightInd w:val="0"/>
        <w:snapToGrid w:val="0"/>
        <w:spacing w:line="360" w:lineRule="auto"/>
        <w:ind w:firstLine="420" w:firstLineChars="200"/>
        <w:rPr>
          <w:rFonts w:ascii="宋体" w:hAnsi="宋体" w:cs="Times New Roman Regular"/>
        </w:rPr>
      </w:pPr>
      <w:r>
        <w:rPr>
          <w:rFonts w:hint="eastAsia" w:ascii="宋体" w:hAnsi="宋体" w:cs="宋体"/>
          <w:lang w:bidi="ar"/>
        </w:rPr>
        <w:t>对经济调节、产业发展、营商环境、公共服务、社会管理等五大类主题库（含金融服务、国资国企、经济发展引导、商贸流通、工业制造、现代农业、新能源、科技创新、企业服务、融资贷款、市场监管、企业经营监测、教育、医疗、社会保障、文化旅游、水电气、气象、应急管理、数字乡村、生态环境、交通运输等）建设内容理解充分，数据表设计覆盖字段要求，加工逻辑清晰，交付物合理。</w:t>
      </w:r>
    </w:p>
    <w:p w14:paraId="26F1DA87">
      <w:pPr>
        <w:keepNext/>
        <w:keepLines/>
        <w:spacing w:before="240" w:after="64" w:line="319" w:lineRule="auto"/>
        <w:outlineLvl w:val="5"/>
        <w:rPr>
          <w:rFonts w:ascii="宋体" w:hAnsi="宋体" w:cs="宋体"/>
          <w:b/>
          <w:bCs/>
          <w:sz w:val="24"/>
          <w:szCs w:val="24"/>
        </w:rPr>
      </w:pPr>
      <w:r>
        <w:rPr>
          <w:rFonts w:hint="eastAsia" w:ascii="宋体" w:hAnsi="宋体" w:cs="宋体"/>
          <w:b/>
          <w:bCs/>
          <w:sz w:val="24"/>
          <w:szCs w:val="24"/>
          <w:lang w:bidi="ar"/>
        </w:rPr>
        <w:t>2.4.1.经济调节主题库</w:t>
      </w:r>
    </w:p>
    <w:p w14:paraId="1C8242AB">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2.4.1.1.金融服务主题库</w:t>
      </w:r>
    </w:p>
    <w:p w14:paraId="5EC5CA3C">
      <w:pPr>
        <w:adjustRightInd w:val="0"/>
        <w:snapToGrid w:val="0"/>
        <w:spacing w:line="360" w:lineRule="auto"/>
        <w:ind w:firstLine="420" w:firstLineChars="200"/>
        <w:rPr>
          <w:rFonts w:ascii="宋体" w:hAnsi="宋体" w:cs="宋体"/>
          <w:lang w:bidi="ar"/>
        </w:rPr>
      </w:pPr>
      <w:r>
        <w:rPr>
          <w:rFonts w:hint="eastAsia" w:ascii="宋体" w:hAnsi="宋体" w:cs="宋体"/>
          <w:lang w:bidi="ar"/>
        </w:rPr>
        <w:t>金融服务主题库是支撑自治区金融服务创新发展的重要数据基础设施。该主题库将持续开展金融服务领域的数据需求梳理和融合治理工作，为金融产品创新、金融服务优化以及金融监管等核心业务提供数据支持，推动跨境投融资便利化、缓解中小企业融资难题，助力自治区实体经济高质量发展。</w:t>
      </w:r>
    </w:p>
    <w:p w14:paraId="16EE8A50">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主题库重点汇聚企业金融相关信息，构建企业全景金融画像，为金融监管等场景提供统一、标准、安全的数据服务。</w:t>
      </w:r>
    </w:p>
    <w:p w14:paraId="18FC58B1">
      <w:pPr>
        <w:adjustRightInd w:val="0"/>
        <w:snapToGrid w:val="0"/>
        <w:spacing w:line="360" w:lineRule="auto"/>
        <w:ind w:firstLine="422" w:firstLineChars="200"/>
        <w:rPr>
          <w:rFonts w:ascii="宋体" w:hAnsi="宋体" w:cs="宋体"/>
          <w:b/>
          <w:bCs/>
          <w:lang w:bidi="ar"/>
        </w:rPr>
      </w:pPr>
      <w:r>
        <w:rPr>
          <w:rFonts w:ascii="宋体" w:hAnsi="宋体" w:cs="宋体"/>
          <w:b/>
          <w:bCs/>
          <w:lang w:bidi="ar"/>
        </w:rPr>
        <w:t>建设要求</w:t>
      </w:r>
    </w:p>
    <w:p w14:paraId="09380D33">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w:t>
      </w:r>
      <w:r>
        <w:rPr>
          <w:rFonts w:ascii="宋体" w:hAnsi="宋体" w:cs="宋体"/>
          <w:lang w:bidi="ar"/>
        </w:rPr>
        <w:t>：遵循国家、行业及地方金融</w:t>
      </w:r>
      <w:r>
        <w:rPr>
          <w:rFonts w:hint="eastAsia" w:ascii="宋体" w:hAnsi="宋体" w:cs="宋体"/>
          <w:lang w:bidi="ar"/>
        </w:rPr>
        <w:t>相关标准，采集相关数据，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，形成金融服务主题库。</w:t>
      </w:r>
    </w:p>
    <w:p w14:paraId="1093E7F9">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33B51A70">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18F0DF8B">
      <w:pPr>
        <w:adjustRightInd w:val="0"/>
        <w:snapToGrid w:val="0"/>
        <w:spacing w:line="360" w:lineRule="auto"/>
        <w:ind w:firstLine="422" w:firstLineChars="200"/>
        <w:rPr>
          <w:rFonts w:ascii="宋体" w:hAnsi="宋体" w:cs="宋体"/>
          <w:b/>
          <w:bCs/>
          <w:lang w:bidi="ar"/>
        </w:rPr>
      </w:pPr>
      <w:r>
        <w:rPr>
          <w:rFonts w:ascii="宋体" w:hAnsi="宋体" w:cs="宋体"/>
          <w:b/>
          <w:bCs/>
          <w:lang w:bidi="ar"/>
        </w:rPr>
        <w:t>交付物要求</w:t>
      </w:r>
    </w:p>
    <w:p w14:paraId="5DE9FF9C">
      <w:pPr>
        <w:adjustRightInd w:val="0"/>
        <w:snapToGrid w:val="0"/>
        <w:spacing w:line="360" w:lineRule="auto"/>
        <w:ind w:firstLine="420" w:firstLineChars="200"/>
        <w:rPr>
          <w:rFonts w:ascii="宋体" w:hAnsi="宋体" w:cs="宋体"/>
          <w:lang w:bidi="ar"/>
        </w:rPr>
      </w:pPr>
      <w:r>
        <w:rPr>
          <w:rFonts w:hint="eastAsia" w:ascii="宋体" w:hAnsi="宋体" w:cs="宋体"/>
          <w:lang w:bidi="ar"/>
        </w:rPr>
        <w:t>提供数据库设计说明书、主题库标准规范、测试报告等材料。</w:t>
      </w:r>
    </w:p>
    <w:p w14:paraId="792DCEE1">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2.4.1.2.国资国企监管主题库</w:t>
      </w:r>
    </w:p>
    <w:p w14:paraId="5A4180D4">
      <w:pPr>
        <w:adjustRightInd w:val="0"/>
        <w:snapToGrid w:val="0"/>
        <w:spacing w:line="360" w:lineRule="auto"/>
        <w:ind w:firstLine="420" w:firstLineChars="200"/>
        <w:rPr>
          <w:rFonts w:ascii="宋体" w:hAnsi="宋体" w:cs="宋体"/>
          <w:lang w:bidi="ar"/>
        </w:rPr>
      </w:pPr>
      <w:r>
        <w:rPr>
          <w:rFonts w:hint="eastAsia" w:ascii="宋体" w:hAnsi="宋体" w:cs="宋体"/>
          <w:lang w:bidi="ar"/>
        </w:rPr>
        <w:t>国资国企监管主题库是提升自治区国有资产监管科学化、精细化水平的关键数据支撑。该主题库将持续深入开展国资国企监管领域的数据需求梳理和融合治理工作，为国有资产运营监督、国有企业财务监管、国有企业绩效考核、国有企业重大事项监管等核心业务提供全面数据服务，推动国有企业运营效率提升、国有资产保值增值，充分发挥国有资产在自治区国民经济建设中的支柱作用。</w:t>
      </w:r>
    </w:p>
    <w:p w14:paraId="08F836A4">
      <w:pPr>
        <w:adjustRightInd w:val="0"/>
        <w:snapToGrid w:val="0"/>
        <w:spacing w:line="360" w:lineRule="auto"/>
        <w:ind w:firstLine="422" w:firstLineChars="200"/>
        <w:rPr>
          <w:rFonts w:ascii="宋体" w:hAnsi="宋体" w:cs="宋体"/>
          <w:b/>
          <w:bCs/>
          <w:lang w:bidi="ar"/>
        </w:rPr>
      </w:pPr>
      <w:r>
        <w:rPr>
          <w:rFonts w:ascii="宋体" w:hAnsi="宋体" w:cs="宋体"/>
          <w:b/>
          <w:bCs/>
          <w:lang w:bidi="ar"/>
        </w:rPr>
        <w:t>建设要求</w:t>
      </w:r>
    </w:p>
    <w:p w14:paraId="5A88B832">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w:t>
      </w:r>
      <w:r>
        <w:rPr>
          <w:rFonts w:ascii="宋体" w:hAnsi="宋体" w:cs="宋体"/>
          <w:lang w:bidi="ar"/>
        </w:rPr>
        <w:t>：遵循国家、行业及地方</w:t>
      </w:r>
      <w:r>
        <w:rPr>
          <w:rFonts w:hint="eastAsia" w:ascii="宋体" w:hAnsi="宋体" w:cs="宋体"/>
          <w:lang w:bidi="ar"/>
        </w:rPr>
        <w:t>国资国企等数据标准，采集相关数据，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，形成国资国企监管主题库。</w:t>
      </w:r>
    </w:p>
    <w:p w14:paraId="1689F79B">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75B0D61B">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121D2302">
      <w:pPr>
        <w:adjustRightInd w:val="0"/>
        <w:snapToGrid w:val="0"/>
        <w:spacing w:line="360" w:lineRule="auto"/>
        <w:ind w:firstLine="422" w:firstLineChars="200"/>
        <w:rPr>
          <w:rFonts w:ascii="宋体" w:hAnsi="宋体" w:cs="宋体"/>
          <w:b/>
          <w:bCs/>
          <w:lang w:bidi="ar"/>
        </w:rPr>
      </w:pPr>
      <w:r>
        <w:rPr>
          <w:rFonts w:ascii="宋体" w:hAnsi="宋体" w:cs="宋体"/>
          <w:b/>
          <w:bCs/>
          <w:lang w:bidi="ar"/>
        </w:rPr>
        <w:t>交付物要求</w:t>
      </w:r>
    </w:p>
    <w:p w14:paraId="2DFA9C46">
      <w:pPr>
        <w:adjustRightInd w:val="0"/>
        <w:snapToGrid w:val="0"/>
        <w:spacing w:line="360" w:lineRule="auto"/>
        <w:ind w:firstLine="420" w:firstLineChars="200"/>
        <w:rPr>
          <w:rFonts w:ascii="宋体" w:hAnsi="宋体" w:cs="宋体"/>
          <w:lang w:bidi="ar"/>
        </w:rPr>
      </w:pPr>
      <w:r>
        <w:rPr>
          <w:rFonts w:hint="eastAsia" w:ascii="宋体" w:hAnsi="宋体" w:cs="宋体"/>
          <w:lang w:bidi="ar"/>
        </w:rPr>
        <w:t>提供数据库设计说明书、主题库标准规范、测试报告等材料。</w:t>
      </w:r>
    </w:p>
    <w:p w14:paraId="2936E742">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2.4.1.3.经济发展引导主题库</w:t>
      </w:r>
    </w:p>
    <w:p w14:paraId="6807DD0B">
      <w:pPr>
        <w:adjustRightInd w:val="0"/>
        <w:snapToGrid w:val="0"/>
        <w:spacing w:line="360" w:lineRule="auto"/>
        <w:ind w:firstLine="420" w:firstLineChars="200"/>
        <w:rPr>
          <w:rFonts w:ascii="宋体" w:hAnsi="宋体" w:cs="Times New Roman Regular"/>
        </w:rPr>
      </w:pPr>
      <w:r>
        <w:rPr>
          <w:rFonts w:hint="eastAsia" w:ascii="宋体" w:hAnsi="宋体" w:cs="宋体"/>
          <w:lang w:bidi="ar"/>
        </w:rPr>
        <w:t>经济发展引导主题库是支撑自治区宏观经济调控和引导的重要数据基础。该主题库将持续开展经济发展引导领域的数据需求梳理和融合治理工作，为引导投资与消费、推动区域协调发展、对外开放合作等重点工作提供数据支持，为政府经济决策和发展规划提供科学依据，促进自治区经济高质量发展。</w:t>
      </w:r>
    </w:p>
    <w:p w14:paraId="573FE525">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06CB0483">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主题库设计要求：遵循国家、行业及地方宏观经济、统计等相关数据标准，采集相关数据，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，形成经济发展引导主题库。</w:t>
      </w:r>
    </w:p>
    <w:p w14:paraId="28A4716A">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6183EBBD">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7B1EA225">
      <w:pPr>
        <w:adjustRightInd w:val="0"/>
        <w:snapToGrid w:val="0"/>
        <w:spacing w:line="360" w:lineRule="auto"/>
        <w:ind w:firstLine="422" w:firstLineChars="200"/>
        <w:rPr>
          <w:rFonts w:ascii="宋体" w:hAnsi="宋体" w:cs="宋体"/>
          <w:b/>
          <w:bCs/>
          <w:lang w:bidi="ar"/>
        </w:rPr>
      </w:pPr>
      <w:r>
        <w:rPr>
          <w:rFonts w:ascii="宋体" w:hAnsi="宋体" w:cs="宋体"/>
          <w:b/>
          <w:bCs/>
          <w:lang w:bidi="ar"/>
        </w:rPr>
        <w:t>交付物要求</w:t>
      </w:r>
    </w:p>
    <w:p w14:paraId="029916C6">
      <w:pPr>
        <w:adjustRightInd w:val="0"/>
        <w:snapToGrid w:val="0"/>
        <w:spacing w:line="360" w:lineRule="auto"/>
        <w:ind w:firstLine="420" w:firstLineChars="200"/>
        <w:rPr>
          <w:rFonts w:ascii="宋体" w:hAnsi="宋体" w:cs="宋体"/>
          <w:lang w:bidi="ar"/>
        </w:rPr>
      </w:pPr>
      <w:r>
        <w:rPr>
          <w:rFonts w:hint="eastAsia" w:ascii="宋体" w:hAnsi="宋体" w:cs="宋体"/>
          <w:lang w:bidi="ar"/>
        </w:rPr>
        <w:t>提供数据库设计说明书、主题库标准规范、测试报告等材料。</w:t>
      </w:r>
    </w:p>
    <w:p w14:paraId="26818C2E">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2.4.1.4.商贸流通主题库</w:t>
      </w:r>
    </w:p>
    <w:p w14:paraId="4E2CF766">
      <w:pPr>
        <w:adjustRightInd w:val="0"/>
        <w:snapToGrid w:val="0"/>
        <w:spacing w:line="360" w:lineRule="auto"/>
        <w:ind w:firstLine="420" w:firstLineChars="200"/>
        <w:rPr>
          <w:rFonts w:ascii="宋体" w:hAnsi="宋体" w:cs="Times New Roman Regular"/>
        </w:rPr>
      </w:pPr>
      <w:r>
        <w:rPr>
          <w:rFonts w:hint="eastAsia" w:ascii="宋体" w:hAnsi="宋体" w:cs="宋体"/>
          <w:lang w:bidi="ar"/>
        </w:rPr>
        <w:t>商贸流通主题库是促进自治区商贸流通领域数字化升级的关键数据支撑。该主题库将持续开展商贸流通领域的数据需求梳理和融合治理工作，为拓展新型消费、打造新型流通、促进产销协同、培育新型贸易等核心业务提供数据服务，推动产销数据协同和流通体系革新，培育新型贸易模式，打造</w:t>
      </w:r>
      <w:r>
        <w:rPr>
          <w:rFonts w:hint="eastAsia" w:ascii="宋体" w:hAnsi="宋体" w:cs="Times New Roman Regular"/>
          <w:lang w:bidi="ar"/>
        </w:rPr>
        <w:t>"自治区制造"特色品牌，提升商贸流通领域的现代化水平。</w:t>
      </w:r>
    </w:p>
    <w:p w14:paraId="40AC0DD0">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0A789558">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w:t>
      </w:r>
      <w:r>
        <w:rPr>
          <w:rFonts w:ascii="宋体" w:hAnsi="宋体" w:cs="宋体"/>
          <w:lang w:bidi="ar"/>
        </w:rPr>
        <w:t>遵循国家、行业及地方商贸、流通</w:t>
      </w:r>
      <w:r>
        <w:rPr>
          <w:rFonts w:hint="eastAsia" w:ascii="宋体" w:hAnsi="宋体" w:cs="宋体"/>
          <w:lang w:bidi="ar"/>
        </w:rPr>
        <w:t>等相关数据标准，采集相关数据，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，形成商贸流通主题库。</w:t>
      </w:r>
    </w:p>
    <w:p w14:paraId="0A92E60C">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6FC17534">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197DAE27">
      <w:pPr>
        <w:adjustRightInd w:val="0"/>
        <w:snapToGrid w:val="0"/>
        <w:spacing w:line="360" w:lineRule="auto"/>
        <w:ind w:firstLine="422" w:firstLineChars="200"/>
        <w:rPr>
          <w:rFonts w:ascii="宋体" w:hAnsi="宋体" w:cs="宋体"/>
          <w:b/>
          <w:bCs/>
          <w:lang w:bidi="ar"/>
        </w:rPr>
      </w:pPr>
      <w:r>
        <w:rPr>
          <w:rFonts w:ascii="宋体" w:hAnsi="宋体" w:cs="宋体"/>
          <w:b/>
          <w:bCs/>
          <w:lang w:bidi="ar"/>
        </w:rPr>
        <w:t>交付物要求</w:t>
      </w:r>
    </w:p>
    <w:p w14:paraId="69E5BB31">
      <w:pPr>
        <w:adjustRightInd w:val="0"/>
        <w:snapToGrid w:val="0"/>
        <w:spacing w:line="360" w:lineRule="auto"/>
        <w:ind w:firstLine="420" w:firstLineChars="200"/>
        <w:rPr>
          <w:rFonts w:ascii="宋体" w:hAnsi="宋体" w:cs="宋体"/>
          <w:lang w:bidi="ar"/>
        </w:rPr>
      </w:pPr>
      <w:r>
        <w:rPr>
          <w:rFonts w:hint="eastAsia" w:ascii="宋体" w:hAnsi="宋体" w:cs="宋体"/>
          <w:lang w:bidi="ar"/>
        </w:rPr>
        <w:t>提供数据库设计说明书、主题库标准规范、测试报告等材料。</w:t>
      </w:r>
    </w:p>
    <w:p w14:paraId="10C1C543">
      <w:pPr>
        <w:keepNext/>
        <w:keepLines/>
        <w:spacing w:before="240" w:after="64" w:line="319" w:lineRule="auto"/>
        <w:outlineLvl w:val="5"/>
        <w:rPr>
          <w:rFonts w:ascii="宋体" w:hAnsi="宋体" w:cs="宋体"/>
          <w:b/>
          <w:bCs/>
          <w:sz w:val="24"/>
          <w:szCs w:val="24"/>
        </w:rPr>
      </w:pPr>
      <w:r>
        <w:rPr>
          <w:rFonts w:hint="eastAsia" w:ascii="宋体" w:hAnsi="宋体" w:cs="宋体"/>
          <w:b/>
          <w:bCs/>
          <w:sz w:val="24"/>
          <w:szCs w:val="24"/>
          <w:lang w:bidi="ar"/>
        </w:rPr>
        <w:t>2.4.2.产业发展主题库</w:t>
      </w:r>
    </w:p>
    <w:p w14:paraId="37C4F1F1">
      <w:pPr>
        <w:keepNext/>
        <w:keepLines/>
        <w:spacing w:before="240" w:after="64" w:line="319" w:lineRule="auto"/>
        <w:ind w:left="210" w:leftChars="100"/>
        <w:outlineLvl w:val="6"/>
        <w:rPr>
          <w:rFonts w:ascii="宋体" w:hAnsi="宋体" w:cs="宋体"/>
          <w:lang w:bidi="ar"/>
        </w:rPr>
      </w:pPr>
      <w:r>
        <w:rPr>
          <w:rFonts w:hint="eastAsia" w:ascii="宋体" w:hAnsi="宋体" w:cs="宋体"/>
          <w:b/>
          <w:bCs/>
          <w:sz w:val="24"/>
          <w:szCs w:val="24"/>
          <w:lang w:bidi="ar"/>
        </w:rPr>
        <w:t>2.4.2.1.工业制造主题库</w:t>
      </w:r>
    </w:p>
    <w:p w14:paraId="711BEF55">
      <w:pPr>
        <w:adjustRightInd w:val="0"/>
        <w:snapToGrid w:val="0"/>
        <w:spacing w:line="360" w:lineRule="auto"/>
        <w:ind w:firstLine="420" w:firstLineChars="200"/>
        <w:rPr>
          <w:rFonts w:ascii="宋体" w:hAnsi="宋体" w:cs="宋体"/>
          <w:lang w:bidi="ar"/>
        </w:rPr>
      </w:pPr>
      <w:r>
        <w:rPr>
          <w:rFonts w:hint="eastAsia" w:ascii="宋体" w:hAnsi="宋体" w:cs="宋体"/>
          <w:lang w:bidi="ar"/>
        </w:rPr>
        <w:t>工业制造主题库是支撑自治区工业经济转型升级和高质量发展的核心数据基础。该主题库将持续开展工业制造领域的数据清单梳理工作，通过系统化归集汇聚自治区统计局、工信厅等多个数源部门的相关数据资源，为工业经济数字化转型提供数据支撑。</w:t>
      </w:r>
    </w:p>
    <w:p w14:paraId="3A691EC0">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4C59F901">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w:t>
      </w:r>
      <w:r>
        <w:rPr>
          <w:rFonts w:ascii="宋体" w:hAnsi="宋体" w:cs="宋体"/>
          <w:lang w:bidi="ar"/>
        </w:rPr>
        <w:t>遵循国家、行业及地方</w:t>
      </w:r>
      <w:r>
        <w:rPr>
          <w:rFonts w:hint="eastAsia" w:ascii="宋体" w:hAnsi="宋体" w:cs="宋体"/>
          <w:lang w:bidi="ar"/>
        </w:rPr>
        <w:t>工业制造等相关数据标准，采集相关数据，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，形成工业制造主题库。</w:t>
      </w:r>
    </w:p>
    <w:p w14:paraId="12A20EDD">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1EC3028B">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1143BD12">
      <w:pPr>
        <w:adjustRightInd w:val="0"/>
        <w:snapToGrid w:val="0"/>
        <w:spacing w:line="360" w:lineRule="auto"/>
        <w:ind w:firstLine="422" w:firstLineChars="200"/>
        <w:rPr>
          <w:rFonts w:ascii="宋体" w:hAnsi="宋体" w:cs="宋体"/>
          <w:b/>
          <w:bCs/>
          <w:lang w:bidi="ar"/>
        </w:rPr>
      </w:pPr>
      <w:r>
        <w:rPr>
          <w:rFonts w:ascii="宋体" w:hAnsi="宋体" w:cs="宋体"/>
          <w:b/>
          <w:bCs/>
          <w:lang w:bidi="ar"/>
        </w:rPr>
        <w:t>交付物要求</w:t>
      </w:r>
    </w:p>
    <w:p w14:paraId="5E82BD6D">
      <w:pPr>
        <w:adjustRightInd w:val="0"/>
        <w:snapToGrid w:val="0"/>
        <w:spacing w:line="360" w:lineRule="auto"/>
        <w:ind w:firstLine="420" w:firstLineChars="200"/>
        <w:rPr>
          <w:rFonts w:ascii="宋体" w:hAnsi="宋体" w:cs="宋体"/>
          <w:lang w:bidi="ar"/>
        </w:rPr>
      </w:pPr>
      <w:r>
        <w:rPr>
          <w:rFonts w:hint="eastAsia" w:ascii="宋体" w:hAnsi="宋体" w:cs="宋体"/>
          <w:lang w:bidi="ar"/>
        </w:rPr>
        <w:t>提供数据库设计说明书、主题库标准规范、测试报告等材料。</w:t>
      </w:r>
    </w:p>
    <w:p w14:paraId="63D9D7FE">
      <w:pPr>
        <w:adjustRightInd w:val="0"/>
        <w:snapToGrid w:val="0"/>
        <w:spacing w:line="360" w:lineRule="auto"/>
        <w:ind w:firstLine="420" w:firstLineChars="200"/>
        <w:rPr>
          <w:rFonts w:ascii="宋体" w:hAnsi="宋体" w:cs="宋体"/>
          <w:lang w:bidi="ar"/>
        </w:rPr>
      </w:pPr>
    </w:p>
    <w:p w14:paraId="54234186">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2.4.2.2.现代农业主题库</w:t>
      </w:r>
    </w:p>
    <w:p w14:paraId="6FB3321F">
      <w:pPr>
        <w:adjustRightInd w:val="0"/>
        <w:snapToGrid w:val="0"/>
        <w:spacing w:line="360" w:lineRule="auto"/>
        <w:ind w:firstLine="420" w:firstLineChars="200"/>
        <w:rPr>
          <w:rFonts w:ascii="宋体" w:hAnsi="宋体" w:cs="宋体"/>
          <w:lang w:bidi="ar"/>
        </w:rPr>
      </w:pPr>
      <w:r>
        <w:rPr>
          <w:rFonts w:hint="eastAsia" w:ascii="宋体" w:hAnsi="宋体" w:cs="宋体"/>
          <w:lang w:bidi="ar"/>
        </w:rPr>
        <w:t>现代农业主题库是推动自治区农业农村现代化的重要数据基础设施。该主题库将持续开展现代农业数据清单梳理工作，通过有效归集汇聚自治区统计局、农业农村厅等多个数源部门的相关数据资源，为农业发展提供数据支撑。</w:t>
      </w:r>
    </w:p>
    <w:p w14:paraId="24E8C2E9">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28E7F837">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w:t>
      </w:r>
      <w:r>
        <w:rPr>
          <w:rFonts w:ascii="宋体" w:hAnsi="宋体" w:cs="宋体"/>
          <w:lang w:bidi="ar"/>
        </w:rPr>
        <w:t>遵循国家、行业及地方</w:t>
      </w:r>
      <w:r>
        <w:rPr>
          <w:rFonts w:hint="eastAsia" w:ascii="宋体" w:hAnsi="宋体" w:cs="宋体"/>
          <w:lang w:bidi="ar"/>
        </w:rPr>
        <w:t>农业相关数据标准，采集相关数据，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，形成现代农业主题库。</w:t>
      </w:r>
    </w:p>
    <w:p w14:paraId="282994BF">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3394E020">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14C25B30">
      <w:pPr>
        <w:adjustRightInd w:val="0"/>
        <w:snapToGrid w:val="0"/>
        <w:spacing w:line="360" w:lineRule="auto"/>
        <w:ind w:firstLine="422" w:firstLineChars="200"/>
        <w:rPr>
          <w:rFonts w:ascii="宋体" w:hAnsi="宋体" w:cs="宋体"/>
          <w:b/>
          <w:bCs/>
          <w:lang w:bidi="ar"/>
        </w:rPr>
      </w:pPr>
      <w:r>
        <w:rPr>
          <w:rFonts w:ascii="宋体" w:hAnsi="宋体" w:cs="宋体"/>
          <w:b/>
          <w:bCs/>
          <w:lang w:bidi="ar"/>
        </w:rPr>
        <w:t>交付物要求</w:t>
      </w:r>
    </w:p>
    <w:p w14:paraId="1349FAA7">
      <w:pPr>
        <w:adjustRightInd w:val="0"/>
        <w:snapToGrid w:val="0"/>
        <w:spacing w:line="360" w:lineRule="auto"/>
        <w:ind w:firstLine="420" w:firstLineChars="200"/>
        <w:rPr>
          <w:rFonts w:ascii="宋体" w:hAnsi="宋体" w:cs="宋体"/>
          <w:lang w:bidi="ar"/>
        </w:rPr>
      </w:pPr>
      <w:r>
        <w:rPr>
          <w:rFonts w:hint="eastAsia" w:ascii="宋体" w:hAnsi="宋体" w:cs="宋体"/>
          <w:lang w:bidi="ar"/>
        </w:rPr>
        <w:t>提供数据库设计说明书、主题库标准规范、测试报告等材料。</w:t>
      </w:r>
    </w:p>
    <w:p w14:paraId="590EDAF8">
      <w:pPr>
        <w:adjustRightInd w:val="0"/>
        <w:snapToGrid w:val="0"/>
        <w:spacing w:line="360" w:lineRule="auto"/>
        <w:ind w:firstLine="420" w:firstLineChars="200"/>
        <w:rPr>
          <w:rFonts w:ascii="宋体" w:hAnsi="宋体" w:cs="宋体"/>
          <w:lang w:bidi="ar"/>
        </w:rPr>
      </w:pPr>
    </w:p>
    <w:p w14:paraId="08280C32">
      <w:pPr>
        <w:keepNext/>
        <w:keepLines/>
        <w:spacing w:before="240" w:after="64" w:line="319" w:lineRule="auto"/>
        <w:ind w:left="210" w:leftChars="100"/>
        <w:outlineLvl w:val="6"/>
        <w:rPr>
          <w:rFonts w:ascii="宋体" w:hAnsi="宋体" w:cs="宋体"/>
          <w:lang w:bidi="ar"/>
        </w:rPr>
      </w:pPr>
      <w:r>
        <w:rPr>
          <w:rFonts w:hint="eastAsia" w:ascii="宋体" w:hAnsi="宋体" w:cs="宋体"/>
          <w:b/>
          <w:bCs/>
          <w:sz w:val="24"/>
          <w:szCs w:val="24"/>
          <w:lang w:bidi="ar"/>
        </w:rPr>
        <w:t>2.4.2.4.新能源主题库</w:t>
      </w:r>
    </w:p>
    <w:p w14:paraId="493E5DE8">
      <w:pPr>
        <w:adjustRightInd w:val="0"/>
        <w:snapToGrid w:val="0"/>
        <w:spacing w:line="360" w:lineRule="auto"/>
        <w:ind w:firstLine="420" w:firstLineChars="200"/>
        <w:rPr>
          <w:rFonts w:ascii="宋体" w:hAnsi="宋体" w:cs="宋体"/>
          <w:lang w:bidi="ar"/>
        </w:rPr>
      </w:pPr>
      <w:r>
        <w:rPr>
          <w:rFonts w:hint="eastAsia" w:ascii="宋体" w:hAnsi="宋体" w:cs="宋体"/>
          <w:lang w:bidi="ar"/>
        </w:rPr>
        <w:t>新能源主题库是支撑自治区新能源产业发展和能源结构转型的关键数据基础。该主题库将持续开展新能源领域的数据清单梳理工作，通过系统化归集汇聚自治区统计局、发改委等多个数源部门的相关数据资源，为新能源产业发展提供数据支持。</w:t>
      </w:r>
    </w:p>
    <w:p w14:paraId="76DC0AC5">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74C4E1EC">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w:t>
      </w:r>
      <w:r>
        <w:rPr>
          <w:rFonts w:ascii="宋体" w:hAnsi="宋体" w:cs="宋体"/>
          <w:lang w:bidi="ar"/>
        </w:rPr>
        <w:t>遵循国家</w:t>
      </w:r>
      <w:r>
        <w:rPr>
          <w:rFonts w:hint="eastAsia" w:ascii="宋体" w:hAnsi="宋体" w:cs="宋体"/>
          <w:lang w:bidi="ar"/>
        </w:rPr>
        <w:t>、</w:t>
      </w:r>
      <w:r>
        <w:rPr>
          <w:rFonts w:ascii="宋体" w:hAnsi="宋体" w:cs="宋体"/>
          <w:lang w:bidi="ar"/>
        </w:rPr>
        <w:t>行业</w:t>
      </w:r>
      <w:r>
        <w:rPr>
          <w:rFonts w:hint="eastAsia" w:ascii="宋体" w:hAnsi="宋体" w:cs="宋体"/>
          <w:lang w:bidi="ar"/>
        </w:rPr>
        <w:t>及地方新能源相关数据标准，采集相关数据，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，形成新能源主题库。</w:t>
      </w:r>
    </w:p>
    <w:p w14:paraId="1B7F5630">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2EEA42D8">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5E1FEC5E">
      <w:pPr>
        <w:adjustRightInd w:val="0"/>
        <w:snapToGrid w:val="0"/>
        <w:spacing w:line="360" w:lineRule="auto"/>
        <w:ind w:firstLine="422" w:firstLineChars="200"/>
        <w:rPr>
          <w:rFonts w:ascii="宋体" w:hAnsi="宋体" w:cs="宋体"/>
          <w:b/>
          <w:bCs/>
          <w:lang w:bidi="ar"/>
        </w:rPr>
      </w:pPr>
      <w:r>
        <w:rPr>
          <w:rFonts w:ascii="宋体" w:hAnsi="宋体" w:cs="宋体"/>
          <w:b/>
          <w:bCs/>
          <w:lang w:bidi="ar"/>
        </w:rPr>
        <w:t>交付物要求</w:t>
      </w:r>
    </w:p>
    <w:p w14:paraId="387C2CC0">
      <w:pPr>
        <w:adjustRightInd w:val="0"/>
        <w:snapToGrid w:val="0"/>
        <w:spacing w:line="360" w:lineRule="auto"/>
        <w:ind w:firstLine="420" w:firstLineChars="200"/>
        <w:rPr>
          <w:rFonts w:ascii="宋体" w:hAnsi="宋体" w:cs="宋体"/>
          <w:lang w:bidi="ar"/>
        </w:rPr>
      </w:pPr>
      <w:r>
        <w:rPr>
          <w:rFonts w:hint="eastAsia" w:ascii="宋体" w:hAnsi="宋体" w:cs="宋体"/>
          <w:lang w:bidi="ar"/>
        </w:rPr>
        <w:t>提供数据库设计说明书、主题库标准规范、测试报告等材料。</w:t>
      </w:r>
    </w:p>
    <w:p w14:paraId="72660F9C">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2.4.2.4.科技创新主题库</w:t>
      </w:r>
    </w:p>
    <w:p w14:paraId="6A4B4BDC">
      <w:pPr>
        <w:adjustRightInd w:val="0"/>
        <w:snapToGrid w:val="0"/>
        <w:spacing w:line="360" w:lineRule="auto"/>
        <w:ind w:firstLine="420" w:firstLineChars="200"/>
        <w:rPr>
          <w:rFonts w:ascii="宋体" w:hAnsi="宋体" w:cs="宋体"/>
          <w:lang w:bidi="ar"/>
        </w:rPr>
      </w:pPr>
      <w:r>
        <w:rPr>
          <w:rFonts w:hint="eastAsia" w:ascii="宋体" w:hAnsi="宋体" w:cs="宋体"/>
          <w:lang w:bidi="ar"/>
        </w:rPr>
        <w:t>科技创新主题库是支撑自治区创新驱动发展战略实施的重要数据基础设施。该主题库将持续开展科技创新领域的数据清单梳理工作，通过系统化归集汇聚自治区工信厅、科学技术厅等数源部门的相关数据，为自治区科技产业发展提供数据支撑。</w:t>
      </w:r>
    </w:p>
    <w:p w14:paraId="7E3CFA4D">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131DAA38">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主题库设计要求：依据国家及地方科技创新相关政策及行业规范，采集相关数据，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，形成科技创新主题库。</w:t>
      </w:r>
    </w:p>
    <w:p w14:paraId="0F31FBC6">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508DC4FF">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396E7530">
      <w:pPr>
        <w:adjustRightInd w:val="0"/>
        <w:snapToGrid w:val="0"/>
        <w:spacing w:line="360" w:lineRule="auto"/>
        <w:ind w:firstLine="422" w:firstLineChars="200"/>
        <w:rPr>
          <w:rFonts w:ascii="宋体" w:hAnsi="宋体" w:cs="宋体"/>
          <w:b/>
          <w:bCs/>
          <w:lang w:bidi="ar"/>
        </w:rPr>
      </w:pPr>
      <w:r>
        <w:rPr>
          <w:rFonts w:ascii="宋体" w:hAnsi="宋体" w:cs="宋体"/>
          <w:b/>
          <w:bCs/>
          <w:lang w:bidi="ar"/>
        </w:rPr>
        <w:t>交付物要求</w:t>
      </w:r>
    </w:p>
    <w:p w14:paraId="6E0A261D">
      <w:pPr>
        <w:adjustRightInd w:val="0"/>
        <w:snapToGrid w:val="0"/>
        <w:spacing w:line="360" w:lineRule="auto"/>
        <w:ind w:firstLine="420" w:firstLineChars="200"/>
        <w:rPr>
          <w:rFonts w:ascii="宋体" w:hAnsi="宋体" w:cs="宋体"/>
          <w:lang w:bidi="ar"/>
        </w:rPr>
      </w:pPr>
      <w:r>
        <w:rPr>
          <w:rFonts w:hint="eastAsia" w:ascii="宋体" w:hAnsi="宋体" w:cs="宋体"/>
          <w:lang w:bidi="ar"/>
        </w:rPr>
        <w:t>提供数据库设计说明书、主题库标准规范、测试报告等材料。</w:t>
      </w:r>
    </w:p>
    <w:p w14:paraId="62870E09">
      <w:pPr>
        <w:keepNext/>
        <w:keepLines/>
        <w:spacing w:before="240" w:after="64" w:line="319" w:lineRule="auto"/>
        <w:outlineLvl w:val="5"/>
        <w:rPr>
          <w:rFonts w:ascii="宋体" w:hAnsi="宋体" w:cs="宋体"/>
          <w:b/>
          <w:bCs/>
          <w:sz w:val="24"/>
          <w:szCs w:val="24"/>
        </w:rPr>
      </w:pPr>
      <w:r>
        <w:rPr>
          <w:rFonts w:hint="eastAsia" w:ascii="宋体" w:hAnsi="宋体" w:cs="宋体"/>
          <w:b/>
          <w:bCs/>
          <w:sz w:val="24"/>
          <w:szCs w:val="24"/>
          <w:lang w:bidi="ar"/>
        </w:rPr>
        <w:t>2.4.3.营商环境主题库</w:t>
      </w:r>
    </w:p>
    <w:p w14:paraId="245355BA">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2.4.3.1.企业服务主题库</w:t>
      </w:r>
    </w:p>
    <w:p w14:paraId="7360329B">
      <w:pPr>
        <w:adjustRightInd w:val="0"/>
        <w:snapToGrid w:val="0"/>
        <w:spacing w:line="360" w:lineRule="auto"/>
        <w:ind w:firstLine="420" w:firstLineChars="200"/>
        <w:rPr>
          <w:rFonts w:ascii="宋体" w:hAnsi="宋体" w:cs="Times New Roman Regular"/>
        </w:rPr>
      </w:pPr>
      <w:r>
        <w:rPr>
          <w:rFonts w:hint="eastAsia" w:ascii="宋体" w:hAnsi="宋体" w:cs="宋体"/>
          <w:lang w:bidi="ar"/>
        </w:rPr>
        <w:t>企业服务主题库是优化自治区营商环境、提升政务服务效能的重要数据基础。该主题库将持续开展企业服务相关数据需求梳理和融合治理工作，为企业开办、市场准入等企业相关服务提供数据支持。</w:t>
      </w:r>
    </w:p>
    <w:p w14:paraId="0A409740">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55E944A6">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主题库设计要求：依据国家及地方的市场管理与服务相关政策及规范，采集相关数据，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，形成企业服务主题库。</w:t>
      </w:r>
    </w:p>
    <w:p w14:paraId="63C802F8">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73B6BE32">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5212015A">
      <w:pPr>
        <w:adjustRightInd w:val="0"/>
        <w:snapToGrid w:val="0"/>
        <w:spacing w:line="360" w:lineRule="auto"/>
        <w:ind w:firstLine="422" w:firstLineChars="200"/>
        <w:rPr>
          <w:rFonts w:ascii="宋体" w:hAnsi="宋体" w:cs="宋体"/>
          <w:b/>
          <w:bCs/>
          <w:lang w:bidi="ar"/>
        </w:rPr>
      </w:pPr>
      <w:r>
        <w:rPr>
          <w:rFonts w:ascii="宋体" w:hAnsi="宋体" w:cs="宋体"/>
          <w:b/>
          <w:bCs/>
          <w:lang w:bidi="ar"/>
        </w:rPr>
        <w:t>交付物要求</w:t>
      </w:r>
    </w:p>
    <w:p w14:paraId="190B6DBC">
      <w:pPr>
        <w:adjustRightInd w:val="0"/>
        <w:snapToGrid w:val="0"/>
        <w:spacing w:line="360" w:lineRule="auto"/>
        <w:ind w:firstLine="420" w:firstLineChars="200"/>
        <w:rPr>
          <w:rFonts w:ascii="宋体" w:hAnsi="宋体" w:cs="宋体"/>
          <w:lang w:bidi="ar"/>
        </w:rPr>
      </w:pPr>
      <w:r>
        <w:rPr>
          <w:rFonts w:hint="eastAsia" w:ascii="宋体" w:hAnsi="宋体" w:cs="宋体"/>
          <w:lang w:bidi="ar"/>
        </w:rPr>
        <w:t>提供数据库设计说明书、主题库标准规范、测试报告等材料。</w:t>
      </w:r>
    </w:p>
    <w:p w14:paraId="4777ADC4">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2.4.3.2.融资贷款主题库</w:t>
      </w:r>
    </w:p>
    <w:p w14:paraId="39DC64E5">
      <w:pPr>
        <w:adjustRightInd w:val="0"/>
        <w:snapToGrid w:val="0"/>
        <w:spacing w:line="360" w:lineRule="auto"/>
        <w:ind w:firstLine="420" w:firstLineChars="200"/>
        <w:rPr>
          <w:rFonts w:ascii="宋体" w:hAnsi="宋体" w:cs="宋体"/>
          <w:lang w:bidi="ar"/>
        </w:rPr>
      </w:pPr>
      <w:r>
        <w:rPr>
          <w:rFonts w:hint="eastAsia" w:ascii="宋体" w:hAnsi="宋体" w:cs="宋体"/>
          <w:lang w:bidi="ar"/>
        </w:rPr>
        <w:t>融资贷款主题库是破解企业融资难题、优化金融服务环境的关键数据支撑。该主题库将持续开展融资贷款相关数据需求梳理和融合治理工作，为融资匹配、自主测额、产业支撑、信用融资等创新场景提供数据支持。</w:t>
      </w:r>
    </w:p>
    <w:p w14:paraId="2F6DA82B">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26848E81">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主题库设计要求：依据国家及地方融资贷款相关政策及规范，采集相关数据，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，形成融资贷款主题库。</w:t>
      </w:r>
    </w:p>
    <w:p w14:paraId="5274106C">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728575D0">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0DF7D229">
      <w:pPr>
        <w:adjustRightInd w:val="0"/>
        <w:snapToGrid w:val="0"/>
        <w:spacing w:line="360" w:lineRule="auto"/>
        <w:ind w:left="420" w:leftChars="200"/>
        <w:rPr>
          <w:rFonts w:ascii="宋体" w:hAnsi="宋体" w:cs="宋体"/>
          <w:b/>
          <w:bCs/>
          <w:lang w:bidi="ar"/>
        </w:rPr>
      </w:pPr>
      <w:r>
        <w:rPr>
          <w:rFonts w:ascii="宋体" w:hAnsi="宋体" w:cs="宋体"/>
          <w:b/>
          <w:bCs/>
          <w:lang w:bidi="ar"/>
        </w:rPr>
        <w:t>交付物要求</w:t>
      </w:r>
    </w:p>
    <w:p w14:paraId="193BE731">
      <w:pPr>
        <w:adjustRightInd w:val="0"/>
        <w:snapToGrid w:val="0"/>
        <w:spacing w:line="360" w:lineRule="auto"/>
        <w:ind w:left="420" w:leftChars="200"/>
        <w:rPr>
          <w:rFonts w:ascii="宋体" w:hAnsi="宋体" w:cs="宋体"/>
          <w:lang w:bidi="ar"/>
        </w:rPr>
      </w:pPr>
      <w:r>
        <w:rPr>
          <w:rFonts w:hint="eastAsia" w:ascii="宋体" w:hAnsi="宋体" w:cs="宋体"/>
          <w:lang w:bidi="ar"/>
        </w:rPr>
        <w:t>提供数据库设计说明书、主题库标准规范、测试报告等材料。</w:t>
      </w:r>
    </w:p>
    <w:p w14:paraId="15061CDF">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2.4.3.3.市场监管主题库</w:t>
      </w:r>
    </w:p>
    <w:p w14:paraId="0AF31378">
      <w:pPr>
        <w:adjustRightInd w:val="0"/>
        <w:snapToGrid w:val="0"/>
        <w:spacing w:line="360" w:lineRule="auto"/>
        <w:ind w:firstLine="420" w:firstLineChars="200"/>
        <w:rPr>
          <w:rFonts w:ascii="宋体" w:hAnsi="宋体" w:cs="Times New Roman Regular"/>
        </w:rPr>
      </w:pPr>
      <w:r>
        <w:rPr>
          <w:rFonts w:hint="eastAsia" w:ascii="宋体" w:hAnsi="宋体" w:cs="宋体"/>
          <w:lang w:bidi="ar"/>
        </w:rPr>
        <w:t>市场监管主题库是促进市场秩序规范和消费者权益保护的重要数据基础。该主题库将持续开展市场监管相关数据需求梳理和融合治理工作，为生产经营监管相关业务提供数据支持，维护公平竞争的市场环境和消费者合法权益。</w:t>
      </w:r>
    </w:p>
    <w:p w14:paraId="387C692E">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72EB76A1">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主题库设计要求：依据国家及地方市场监管相关政策及规范，采集相关数据，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，形成市场监管主题库。</w:t>
      </w:r>
    </w:p>
    <w:p w14:paraId="6F5C40A0">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4F9CD7BC">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27212F31">
      <w:pPr>
        <w:adjustRightInd w:val="0"/>
        <w:snapToGrid w:val="0"/>
        <w:spacing w:line="360" w:lineRule="auto"/>
        <w:ind w:left="420" w:leftChars="200"/>
        <w:rPr>
          <w:rFonts w:ascii="宋体" w:hAnsi="宋体" w:cs="宋体"/>
          <w:b/>
          <w:bCs/>
          <w:lang w:bidi="ar"/>
        </w:rPr>
      </w:pPr>
      <w:r>
        <w:rPr>
          <w:rFonts w:ascii="宋体" w:hAnsi="宋体" w:cs="宋体"/>
          <w:b/>
          <w:bCs/>
          <w:lang w:bidi="ar"/>
        </w:rPr>
        <w:t>交付物要求</w:t>
      </w:r>
    </w:p>
    <w:p w14:paraId="347405EC">
      <w:pPr>
        <w:adjustRightInd w:val="0"/>
        <w:snapToGrid w:val="0"/>
        <w:spacing w:line="360" w:lineRule="auto"/>
        <w:ind w:left="420" w:leftChars="200"/>
        <w:rPr>
          <w:rFonts w:ascii="宋体" w:hAnsi="宋体" w:cs="宋体"/>
          <w:lang w:bidi="ar"/>
        </w:rPr>
      </w:pPr>
      <w:r>
        <w:rPr>
          <w:rFonts w:hint="eastAsia" w:ascii="宋体" w:hAnsi="宋体" w:cs="宋体"/>
          <w:lang w:bidi="ar"/>
        </w:rPr>
        <w:t>提供数据库设计说明书、主题库标准规范、测试报告等材料。</w:t>
      </w:r>
    </w:p>
    <w:p w14:paraId="6DF1F581">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2.4.3.4.企业经营监测主题库</w:t>
      </w:r>
    </w:p>
    <w:p w14:paraId="7201A595">
      <w:pPr>
        <w:adjustRightInd w:val="0"/>
        <w:snapToGrid w:val="0"/>
        <w:spacing w:line="360" w:lineRule="auto"/>
        <w:ind w:firstLine="420" w:firstLineChars="200"/>
        <w:rPr>
          <w:rFonts w:ascii="宋体" w:hAnsi="宋体" w:cs="Times New Roman Regular"/>
        </w:rPr>
      </w:pPr>
      <w:r>
        <w:rPr>
          <w:rFonts w:hint="eastAsia" w:ascii="宋体" w:hAnsi="宋体" w:cs="宋体"/>
          <w:lang w:bidi="ar"/>
        </w:rPr>
        <w:t>企业经营监测主题库是支撑企业健康发展和风险防控的关键数据基础。该主题库将持续开展企业经营监测相关数据需求梳理和融合治理工作，为生产经营分析相关业务提供数据支持，促进企业可持续发展和市场稳定运行。</w:t>
      </w:r>
    </w:p>
    <w:p w14:paraId="11A5A696">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532FD042">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主题库设计要求：依据国家及地方企业经营及监管相关政策及规范，采集相关数据，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，形成企业经营监测主题库。</w:t>
      </w:r>
    </w:p>
    <w:p w14:paraId="75BB95A9">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3789198E">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7557B861">
      <w:pPr>
        <w:adjustRightInd w:val="0"/>
        <w:snapToGrid w:val="0"/>
        <w:spacing w:line="360" w:lineRule="auto"/>
        <w:ind w:left="420" w:leftChars="200"/>
        <w:rPr>
          <w:rFonts w:ascii="宋体" w:hAnsi="宋体" w:cs="宋体"/>
          <w:b/>
          <w:bCs/>
          <w:lang w:bidi="ar"/>
        </w:rPr>
      </w:pPr>
      <w:r>
        <w:rPr>
          <w:rFonts w:ascii="宋体" w:hAnsi="宋体" w:cs="宋体"/>
          <w:b/>
          <w:bCs/>
          <w:lang w:bidi="ar"/>
        </w:rPr>
        <w:t>交付物要求</w:t>
      </w:r>
    </w:p>
    <w:p w14:paraId="7ED5862F">
      <w:pPr>
        <w:adjustRightInd w:val="0"/>
        <w:snapToGrid w:val="0"/>
        <w:spacing w:line="360" w:lineRule="auto"/>
        <w:ind w:left="420" w:leftChars="200"/>
        <w:rPr>
          <w:rFonts w:ascii="宋体" w:hAnsi="宋体" w:cs="宋体"/>
          <w:lang w:bidi="ar"/>
        </w:rPr>
      </w:pPr>
      <w:r>
        <w:rPr>
          <w:rFonts w:hint="eastAsia" w:ascii="宋体" w:hAnsi="宋体" w:cs="宋体"/>
          <w:lang w:bidi="ar"/>
        </w:rPr>
        <w:t>提供数据库设计说明书、主题库标准规范、测试报告等材料。</w:t>
      </w:r>
    </w:p>
    <w:p w14:paraId="3B5F42D2">
      <w:pPr>
        <w:adjustRightInd w:val="0"/>
        <w:snapToGrid w:val="0"/>
        <w:spacing w:line="360" w:lineRule="auto"/>
        <w:ind w:firstLine="420" w:firstLineChars="200"/>
        <w:rPr>
          <w:rFonts w:ascii="宋体" w:hAnsi="宋体" w:cs="宋体"/>
          <w:lang w:bidi="ar"/>
        </w:rPr>
      </w:pPr>
    </w:p>
    <w:p w14:paraId="74D7E7AA">
      <w:pPr>
        <w:keepNext/>
        <w:keepLines/>
        <w:spacing w:before="240" w:after="64" w:line="319" w:lineRule="auto"/>
        <w:outlineLvl w:val="5"/>
        <w:rPr>
          <w:rFonts w:ascii="宋体" w:hAnsi="宋体" w:cs="宋体"/>
          <w:b/>
          <w:bCs/>
          <w:sz w:val="24"/>
          <w:szCs w:val="24"/>
        </w:rPr>
      </w:pPr>
      <w:r>
        <w:rPr>
          <w:rFonts w:hint="eastAsia" w:ascii="宋体" w:hAnsi="宋体" w:cs="宋体"/>
          <w:b/>
          <w:bCs/>
          <w:sz w:val="24"/>
          <w:szCs w:val="24"/>
          <w:lang w:bidi="ar"/>
        </w:rPr>
        <w:t>2.4.4.公共服务主题库</w:t>
      </w:r>
    </w:p>
    <w:p w14:paraId="03E630B3">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2.4.4.1.教育服务主题库</w:t>
      </w:r>
    </w:p>
    <w:p w14:paraId="5A881851">
      <w:pPr>
        <w:adjustRightInd w:val="0"/>
        <w:snapToGrid w:val="0"/>
        <w:spacing w:line="360" w:lineRule="auto"/>
        <w:ind w:firstLine="420" w:firstLineChars="200"/>
        <w:rPr>
          <w:rFonts w:ascii="宋体" w:hAnsi="宋体" w:cs="Times New Roman Regular"/>
        </w:rPr>
      </w:pPr>
      <w:r>
        <w:rPr>
          <w:rFonts w:hint="eastAsia" w:ascii="宋体" w:hAnsi="宋体" w:cs="宋体"/>
          <w:lang w:bidi="ar"/>
        </w:rPr>
        <w:t>教育服务主题库是支撑自治区教育现代化和公共服务均等化的重要数据基础设施。该主题库将持续开展教育服务数据清单梳理工作，通过系统化归集汇聚自治区统计局、教育厅等多个数源部门的相关数据，服务自治区公共教育服务体系建设和教育现代化发展。</w:t>
      </w:r>
    </w:p>
    <w:p w14:paraId="372B9A7B">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7CB93313">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主题库设计要求：依据国家及地方教育服务相关政策及规范，采集相关数据，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，形成教育服务主题库。</w:t>
      </w:r>
    </w:p>
    <w:p w14:paraId="5D5D4112">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675BDEF6">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218766F6">
      <w:pPr>
        <w:adjustRightInd w:val="0"/>
        <w:snapToGrid w:val="0"/>
        <w:spacing w:line="360" w:lineRule="auto"/>
        <w:ind w:left="420" w:leftChars="200"/>
        <w:rPr>
          <w:rFonts w:ascii="宋体" w:hAnsi="宋体" w:cs="宋体"/>
          <w:b/>
          <w:bCs/>
          <w:lang w:bidi="ar"/>
        </w:rPr>
      </w:pPr>
      <w:r>
        <w:rPr>
          <w:rFonts w:ascii="宋体" w:hAnsi="宋体" w:cs="宋体"/>
          <w:b/>
          <w:bCs/>
          <w:lang w:bidi="ar"/>
        </w:rPr>
        <w:t>交付物要求</w:t>
      </w:r>
    </w:p>
    <w:p w14:paraId="28B897FB">
      <w:pPr>
        <w:adjustRightInd w:val="0"/>
        <w:snapToGrid w:val="0"/>
        <w:spacing w:line="360" w:lineRule="auto"/>
        <w:ind w:left="420" w:leftChars="200"/>
        <w:rPr>
          <w:rFonts w:ascii="宋体" w:hAnsi="宋体" w:cs="宋体"/>
          <w:lang w:bidi="ar"/>
        </w:rPr>
      </w:pPr>
      <w:r>
        <w:rPr>
          <w:rFonts w:hint="eastAsia" w:ascii="宋体" w:hAnsi="宋体" w:cs="宋体"/>
          <w:lang w:bidi="ar"/>
        </w:rPr>
        <w:t>提供数据库设计说明书、主题库标准规范、测试报告等材料。</w:t>
      </w:r>
    </w:p>
    <w:p w14:paraId="5F27040F">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2.4.4.2.医疗健康主题库</w:t>
      </w:r>
    </w:p>
    <w:p w14:paraId="47216529">
      <w:pPr>
        <w:adjustRightInd w:val="0"/>
        <w:snapToGrid w:val="0"/>
        <w:spacing w:line="360" w:lineRule="auto"/>
        <w:ind w:firstLine="420" w:firstLineChars="200"/>
        <w:rPr>
          <w:rFonts w:ascii="宋体" w:hAnsi="宋体" w:cs="Times New Roman Regular"/>
        </w:rPr>
      </w:pPr>
      <w:r>
        <w:rPr>
          <w:rFonts w:hint="eastAsia" w:ascii="宋体" w:hAnsi="宋体" w:cs="宋体"/>
          <w:lang w:bidi="ar"/>
        </w:rPr>
        <w:t>医疗健康主题库是提升自治区公共医疗卫生服务水平的关键数据基础。该主题库将持续开展医疗健康数据清单梳理工作，通过系统化归集自治区医疗相关部门的数据，服务自治区公共医疗卫生事业高质量发展。</w:t>
      </w:r>
    </w:p>
    <w:p w14:paraId="0E8DFFDC">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4BCDDEA4">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主题库设计要求：依据国家及地方医疗健康相关政策及规范，采集相关数据，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，形成医疗健康主题库。</w:t>
      </w:r>
    </w:p>
    <w:p w14:paraId="417F4200">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2767487C">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0279AFFA">
      <w:pPr>
        <w:adjustRightInd w:val="0"/>
        <w:snapToGrid w:val="0"/>
        <w:spacing w:line="360" w:lineRule="auto"/>
        <w:ind w:left="420" w:leftChars="200"/>
        <w:rPr>
          <w:rFonts w:ascii="宋体" w:hAnsi="宋体" w:cs="宋体"/>
          <w:b/>
          <w:bCs/>
          <w:lang w:bidi="ar"/>
        </w:rPr>
      </w:pPr>
      <w:r>
        <w:rPr>
          <w:rFonts w:ascii="宋体" w:hAnsi="宋体" w:cs="宋体"/>
          <w:b/>
          <w:bCs/>
          <w:lang w:bidi="ar"/>
        </w:rPr>
        <w:t>交付物要求</w:t>
      </w:r>
    </w:p>
    <w:p w14:paraId="4826A788">
      <w:pPr>
        <w:adjustRightInd w:val="0"/>
        <w:snapToGrid w:val="0"/>
        <w:spacing w:line="360" w:lineRule="auto"/>
        <w:ind w:left="420" w:leftChars="200"/>
        <w:rPr>
          <w:rFonts w:ascii="宋体" w:hAnsi="宋体" w:cs="宋体"/>
          <w:lang w:bidi="ar"/>
        </w:rPr>
      </w:pPr>
      <w:r>
        <w:rPr>
          <w:rFonts w:hint="eastAsia" w:ascii="宋体" w:hAnsi="宋体" w:cs="宋体"/>
          <w:lang w:bidi="ar"/>
        </w:rPr>
        <w:t>提供数据库设计说明书、主题库标准规范、测试报告等材料。</w:t>
      </w:r>
    </w:p>
    <w:p w14:paraId="00FE50B0">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2.4.4.3.社会保障主题库</w:t>
      </w:r>
    </w:p>
    <w:p w14:paraId="1A244567">
      <w:pPr>
        <w:adjustRightInd w:val="0"/>
        <w:snapToGrid w:val="0"/>
        <w:spacing w:line="360" w:lineRule="auto"/>
        <w:ind w:firstLine="420" w:firstLineChars="200"/>
        <w:rPr>
          <w:rFonts w:ascii="宋体" w:hAnsi="宋体" w:cs="Times New Roman Regular"/>
        </w:rPr>
      </w:pPr>
      <w:r>
        <w:rPr>
          <w:rFonts w:hint="eastAsia" w:ascii="宋体" w:hAnsi="宋体" w:cs="宋体"/>
          <w:lang w:bidi="ar"/>
        </w:rPr>
        <w:t>社会保障主题库是保障居民基本生活和提升民生福祉的重要数据基础。该主题库将持续开展社会保障数据清单梳理工作，通过系统化归集自治区人社厅、财政厅等数源单位相关数据，为社会保障政策制定和管理决策提供数据支撑，服务自治区社会保障事业高质量发展。</w:t>
      </w:r>
    </w:p>
    <w:p w14:paraId="02986CE0">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56B49D18">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主题库设计要求：依据国家及地方社会保障的相关政策及规范，采集相关数据，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，形成社会保障主题库。</w:t>
      </w:r>
    </w:p>
    <w:p w14:paraId="02CF690B">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42538E6F">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2A50A9DD">
      <w:pPr>
        <w:adjustRightInd w:val="0"/>
        <w:snapToGrid w:val="0"/>
        <w:spacing w:line="360" w:lineRule="auto"/>
        <w:ind w:left="420" w:leftChars="200"/>
        <w:rPr>
          <w:rFonts w:ascii="宋体" w:hAnsi="宋体" w:cs="宋体"/>
          <w:b/>
          <w:bCs/>
          <w:lang w:bidi="ar"/>
        </w:rPr>
      </w:pPr>
      <w:r>
        <w:rPr>
          <w:rFonts w:ascii="宋体" w:hAnsi="宋体" w:cs="宋体"/>
          <w:b/>
          <w:bCs/>
          <w:lang w:bidi="ar"/>
        </w:rPr>
        <w:t>交付物要求</w:t>
      </w:r>
    </w:p>
    <w:p w14:paraId="2D1317D7">
      <w:pPr>
        <w:adjustRightInd w:val="0"/>
        <w:snapToGrid w:val="0"/>
        <w:spacing w:line="360" w:lineRule="auto"/>
        <w:ind w:left="420" w:leftChars="200"/>
        <w:rPr>
          <w:rFonts w:ascii="宋体" w:hAnsi="宋体" w:cs="宋体"/>
          <w:lang w:bidi="ar"/>
        </w:rPr>
      </w:pPr>
      <w:r>
        <w:rPr>
          <w:rFonts w:hint="eastAsia" w:ascii="宋体" w:hAnsi="宋体" w:cs="宋体"/>
          <w:lang w:bidi="ar"/>
        </w:rPr>
        <w:t>提供数据库设计说明书、主题库标准规范、测试报告等材料。</w:t>
      </w:r>
    </w:p>
    <w:p w14:paraId="5B191BA6">
      <w:pPr>
        <w:adjustRightInd w:val="0"/>
        <w:snapToGrid w:val="0"/>
        <w:spacing w:line="360" w:lineRule="auto"/>
        <w:ind w:firstLine="420" w:firstLineChars="200"/>
        <w:rPr>
          <w:rFonts w:ascii="宋体" w:hAnsi="宋体" w:cs="宋体"/>
          <w:lang w:bidi="ar"/>
        </w:rPr>
      </w:pPr>
    </w:p>
    <w:p w14:paraId="3FF24E69">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2.4.4.4.文化旅游主题库</w:t>
      </w:r>
    </w:p>
    <w:p w14:paraId="4E7E28F4">
      <w:pPr>
        <w:adjustRightInd w:val="0"/>
        <w:snapToGrid w:val="0"/>
        <w:spacing w:line="360" w:lineRule="auto"/>
        <w:ind w:firstLine="420" w:firstLineChars="200"/>
        <w:rPr>
          <w:rFonts w:ascii="宋体" w:hAnsi="宋体" w:cs="Times New Roman Regular"/>
        </w:rPr>
      </w:pPr>
      <w:r>
        <w:rPr>
          <w:rFonts w:hint="eastAsia" w:ascii="宋体" w:hAnsi="宋体" w:cs="宋体"/>
          <w:lang w:bidi="ar"/>
        </w:rPr>
        <w:t>文化旅游主题库是促进自治区文化旅游产业发展和文化软实力提升的重要数据基础。 通过系统化归集自治区文化和旅游厅、交通运输厅等多个数源部门的相关数据，为推动文化旅游产业高质量发展提供数据支持。</w:t>
      </w:r>
    </w:p>
    <w:p w14:paraId="06227B63">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6B4B00A1">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主题库设计要求：依据国家及地方文化旅游产业的相关政策及规范，采集相关数据，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，形成文化旅游主题库。</w:t>
      </w:r>
    </w:p>
    <w:p w14:paraId="02B3538F">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3E66650C">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6CEB1E21">
      <w:pPr>
        <w:adjustRightInd w:val="0"/>
        <w:snapToGrid w:val="0"/>
        <w:spacing w:line="360" w:lineRule="auto"/>
        <w:ind w:left="420" w:leftChars="200"/>
        <w:rPr>
          <w:rFonts w:ascii="宋体" w:hAnsi="宋体" w:cs="宋体"/>
          <w:b/>
          <w:bCs/>
          <w:lang w:bidi="ar"/>
        </w:rPr>
      </w:pPr>
      <w:r>
        <w:rPr>
          <w:rFonts w:ascii="宋体" w:hAnsi="宋体" w:cs="宋体"/>
          <w:b/>
          <w:bCs/>
          <w:lang w:bidi="ar"/>
        </w:rPr>
        <w:t>交付物要求</w:t>
      </w:r>
    </w:p>
    <w:p w14:paraId="130E5917">
      <w:pPr>
        <w:adjustRightInd w:val="0"/>
        <w:snapToGrid w:val="0"/>
        <w:spacing w:line="360" w:lineRule="auto"/>
        <w:ind w:left="420" w:leftChars="200"/>
        <w:rPr>
          <w:rFonts w:ascii="宋体" w:hAnsi="宋体" w:cs="宋体"/>
          <w:lang w:bidi="ar"/>
        </w:rPr>
      </w:pPr>
      <w:r>
        <w:rPr>
          <w:rFonts w:hint="eastAsia" w:ascii="宋体" w:hAnsi="宋体" w:cs="宋体"/>
          <w:lang w:bidi="ar"/>
        </w:rPr>
        <w:t>提供数据库设计说明书、主题库标准规范、测试报告等材料。</w:t>
      </w:r>
    </w:p>
    <w:p w14:paraId="7A43540C">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2.4.4.5.水电气服务主题库</w:t>
      </w:r>
    </w:p>
    <w:p w14:paraId="3BBDF4D2">
      <w:pPr>
        <w:adjustRightInd w:val="0"/>
        <w:snapToGrid w:val="0"/>
        <w:spacing w:line="360" w:lineRule="auto"/>
        <w:ind w:firstLine="420"/>
        <w:rPr>
          <w:rFonts w:ascii="宋体" w:hAnsi="宋体" w:cs="Times New Roman Regular"/>
        </w:rPr>
      </w:pPr>
      <w:r>
        <w:rPr>
          <w:rFonts w:hint="eastAsia" w:ascii="宋体" w:hAnsi="宋体" w:cs="宋体"/>
          <w:lang w:bidi="ar"/>
        </w:rPr>
        <w:t>水电气服务主题库是保障居民基本生活和优化城市公共服务的重要数据基础。通过系统化归集水电气相关数源部门的相关数据，为资源合理配置和节约集约利用提供数据支撑，促进城市公共服务高质量发展。</w:t>
      </w:r>
    </w:p>
    <w:p w14:paraId="63B30EFF">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67DB614D">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主题库设计要求：根据国家及地方水电气公共服务相关政策及规范，采集相关数据，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，形成水电气服务主题库。</w:t>
      </w:r>
    </w:p>
    <w:p w14:paraId="1343D499">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24B07E46">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7E9C345A">
      <w:pPr>
        <w:adjustRightInd w:val="0"/>
        <w:snapToGrid w:val="0"/>
        <w:spacing w:line="360" w:lineRule="auto"/>
        <w:ind w:firstLine="420"/>
        <w:rPr>
          <w:rFonts w:ascii="宋体" w:hAnsi="宋体" w:cs="宋体"/>
          <w:b/>
          <w:bCs/>
          <w:lang w:bidi="ar"/>
        </w:rPr>
      </w:pPr>
      <w:r>
        <w:rPr>
          <w:rFonts w:ascii="宋体" w:hAnsi="宋体" w:cs="宋体"/>
          <w:b/>
          <w:bCs/>
          <w:lang w:bidi="ar"/>
        </w:rPr>
        <w:t>交付物要求</w:t>
      </w:r>
    </w:p>
    <w:p w14:paraId="21F817C3">
      <w:pPr>
        <w:adjustRightInd w:val="0"/>
        <w:snapToGrid w:val="0"/>
        <w:spacing w:line="360" w:lineRule="auto"/>
        <w:ind w:left="420" w:leftChars="200"/>
        <w:rPr>
          <w:rFonts w:ascii="宋体" w:hAnsi="宋体" w:cs="宋体"/>
          <w:lang w:bidi="ar"/>
        </w:rPr>
      </w:pPr>
      <w:r>
        <w:rPr>
          <w:rFonts w:hint="eastAsia" w:ascii="宋体" w:hAnsi="宋体" w:cs="宋体"/>
          <w:lang w:bidi="ar"/>
        </w:rPr>
        <w:t>提供数据库设计说明书、主题库标准规范、测试报告等材料。</w:t>
      </w:r>
    </w:p>
    <w:p w14:paraId="0B94BF70">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2.4.4.6.气象服务主题库</w:t>
      </w:r>
    </w:p>
    <w:p w14:paraId="108750C0">
      <w:pPr>
        <w:adjustRightInd w:val="0"/>
        <w:snapToGrid w:val="0"/>
        <w:spacing w:line="360" w:lineRule="auto"/>
        <w:ind w:firstLine="420" w:firstLineChars="200"/>
        <w:rPr>
          <w:rFonts w:ascii="宋体" w:hAnsi="宋体" w:cs="Times New Roman Regular"/>
        </w:rPr>
      </w:pPr>
      <w:r>
        <w:rPr>
          <w:rFonts w:hint="eastAsia" w:ascii="宋体" w:hAnsi="宋体" w:cs="宋体"/>
          <w:lang w:bidi="ar"/>
        </w:rPr>
        <w:t>气象服务主题库是支撑自治区气象预报预警和气候变化应对的重要数据基础。通过系统归集自治区气象局、生态环境厅等多个数源部门的相关数据资源，为气象灾害防范、气候资源利用和生态文明建设提供数据支撑，促进经济社会可持续发展。</w:t>
      </w:r>
    </w:p>
    <w:p w14:paraId="3576C5A3">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59C89793">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主题库设计要求：根据气象公共服务相关政策及规范，采集相关数据，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，形成气象服务主题库。</w:t>
      </w:r>
    </w:p>
    <w:p w14:paraId="51532E68">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5E354E10">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22CD0F24">
      <w:pPr>
        <w:adjustRightInd w:val="0"/>
        <w:snapToGrid w:val="0"/>
        <w:spacing w:line="360" w:lineRule="auto"/>
        <w:ind w:firstLine="420"/>
        <w:rPr>
          <w:rFonts w:ascii="宋体" w:hAnsi="宋体" w:cs="宋体"/>
          <w:b/>
          <w:bCs/>
          <w:lang w:bidi="ar"/>
        </w:rPr>
      </w:pPr>
      <w:r>
        <w:rPr>
          <w:rFonts w:ascii="宋体" w:hAnsi="宋体" w:cs="宋体"/>
          <w:b/>
          <w:bCs/>
          <w:lang w:bidi="ar"/>
        </w:rPr>
        <w:t>交付物要求</w:t>
      </w:r>
    </w:p>
    <w:p w14:paraId="6E39E4DE">
      <w:pPr>
        <w:adjustRightInd w:val="0"/>
        <w:snapToGrid w:val="0"/>
        <w:spacing w:line="360" w:lineRule="auto"/>
        <w:ind w:left="420" w:leftChars="200"/>
        <w:rPr>
          <w:rFonts w:ascii="宋体" w:hAnsi="宋体" w:cs="宋体"/>
          <w:lang w:bidi="ar"/>
        </w:rPr>
      </w:pPr>
      <w:r>
        <w:rPr>
          <w:rFonts w:hint="eastAsia" w:ascii="宋体" w:hAnsi="宋体" w:cs="宋体"/>
          <w:lang w:bidi="ar"/>
        </w:rPr>
        <w:t>提供数据库设计说明书、主题库标准规范、测试报告等材料。</w:t>
      </w:r>
    </w:p>
    <w:p w14:paraId="7184ABFE">
      <w:pPr>
        <w:keepNext/>
        <w:keepLines/>
        <w:spacing w:before="240" w:after="64" w:line="319" w:lineRule="auto"/>
        <w:outlineLvl w:val="5"/>
        <w:rPr>
          <w:rFonts w:ascii="宋体" w:hAnsi="宋体" w:cs="宋体"/>
          <w:b/>
          <w:bCs/>
          <w:sz w:val="24"/>
          <w:szCs w:val="24"/>
        </w:rPr>
      </w:pPr>
      <w:r>
        <w:rPr>
          <w:rFonts w:hint="eastAsia" w:ascii="宋体" w:hAnsi="宋体" w:cs="宋体"/>
          <w:b/>
          <w:bCs/>
          <w:sz w:val="24"/>
          <w:szCs w:val="24"/>
          <w:lang w:bidi="ar"/>
        </w:rPr>
        <w:t>2.4.5.社会管理主题库</w:t>
      </w:r>
    </w:p>
    <w:p w14:paraId="7CC2761D">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2.4.5.1.应急管理主题库</w:t>
      </w:r>
    </w:p>
    <w:p w14:paraId="3439E2C7">
      <w:pPr>
        <w:adjustRightInd w:val="0"/>
        <w:snapToGrid w:val="0"/>
        <w:spacing w:line="360" w:lineRule="auto"/>
        <w:ind w:firstLine="420" w:firstLineChars="200"/>
        <w:rPr>
          <w:rFonts w:ascii="宋体" w:hAnsi="宋体" w:cs="Times New Roman Regular"/>
        </w:rPr>
      </w:pPr>
      <w:r>
        <w:rPr>
          <w:rFonts w:hint="eastAsia" w:ascii="宋体" w:hAnsi="宋体" w:cs="宋体"/>
          <w:lang w:bidi="ar"/>
        </w:rPr>
        <w:t>应急管理主题库是提升自治区应急管理能力和保障公共安全的重要数据基础。通过系统归集自治区应急管理、消防救援等多个数源部门的相关数据，助力各部门之间的信息共享和协同联动，为应急预案制定、风险预警、应急处置和灾后恢复提供数据支撑，提高自治区防灾减灾救灾和应急处置能力，保障人民生命财产安全。</w:t>
      </w:r>
    </w:p>
    <w:p w14:paraId="66871A89">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52B70A58">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主题库设计要求：根据国家和自治区应急管理相关政策及规范，采集相关数据，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，形成应急管理主题库。</w:t>
      </w:r>
    </w:p>
    <w:p w14:paraId="177FD09A">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1FDEE486">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57D13756">
      <w:pPr>
        <w:adjustRightInd w:val="0"/>
        <w:snapToGrid w:val="0"/>
        <w:spacing w:line="360" w:lineRule="auto"/>
        <w:ind w:firstLine="420"/>
        <w:rPr>
          <w:rFonts w:ascii="宋体" w:hAnsi="宋体" w:cs="宋体"/>
          <w:b/>
          <w:bCs/>
          <w:lang w:bidi="ar"/>
        </w:rPr>
      </w:pPr>
      <w:r>
        <w:rPr>
          <w:rFonts w:ascii="宋体" w:hAnsi="宋体" w:cs="宋体"/>
          <w:b/>
          <w:bCs/>
          <w:lang w:bidi="ar"/>
        </w:rPr>
        <w:t>交付物要求</w:t>
      </w:r>
    </w:p>
    <w:p w14:paraId="1AE32CA6">
      <w:pPr>
        <w:adjustRightInd w:val="0"/>
        <w:snapToGrid w:val="0"/>
        <w:spacing w:line="360" w:lineRule="auto"/>
        <w:ind w:left="420" w:leftChars="200"/>
        <w:rPr>
          <w:rFonts w:ascii="宋体" w:hAnsi="宋体" w:cs="宋体"/>
          <w:lang w:bidi="ar"/>
        </w:rPr>
      </w:pPr>
      <w:r>
        <w:rPr>
          <w:rFonts w:hint="eastAsia" w:ascii="宋体" w:hAnsi="宋体" w:cs="宋体"/>
          <w:lang w:bidi="ar"/>
        </w:rPr>
        <w:t>提供数据库设计说明书、主题库标准规范、测试报告等材料。</w:t>
      </w:r>
    </w:p>
    <w:p w14:paraId="53E667A3">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2.4.5.2.数字乡村主题库</w:t>
      </w:r>
    </w:p>
    <w:p w14:paraId="095FA0F3">
      <w:pPr>
        <w:adjustRightInd w:val="0"/>
        <w:snapToGrid w:val="0"/>
        <w:spacing w:line="360" w:lineRule="auto"/>
        <w:ind w:firstLine="420" w:firstLineChars="200"/>
        <w:rPr>
          <w:rFonts w:ascii="宋体" w:hAnsi="宋体" w:cs="Times New Roman Regular"/>
        </w:rPr>
      </w:pPr>
      <w:r>
        <w:rPr>
          <w:rFonts w:hint="eastAsia" w:ascii="宋体" w:hAnsi="宋体" w:cs="宋体"/>
          <w:lang w:bidi="ar"/>
        </w:rPr>
        <w:t>数字乡村主题库是促进自治区乡村振兴和城乡融合发展的重要数据基础。通过系统归集自治区农业农村厅、自然资源厅等多个数源部门的相关数据，为数字乡村建设提供全面数据支撑，促进农业农村现代化发展，推动乡村产业振兴。</w:t>
      </w:r>
    </w:p>
    <w:p w14:paraId="6D54F9DD">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779A5D77">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主题库设计要求：根据国家和自治区数字乡村建设相关指导及政策要求，采集相关数据，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，形成数字乡村主题库。</w:t>
      </w:r>
    </w:p>
    <w:p w14:paraId="5E6A6E49">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594707A0">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6E1052EE">
      <w:pPr>
        <w:adjustRightInd w:val="0"/>
        <w:snapToGrid w:val="0"/>
        <w:spacing w:line="360" w:lineRule="auto"/>
        <w:ind w:firstLine="420"/>
        <w:rPr>
          <w:rFonts w:ascii="宋体" w:hAnsi="宋体" w:cs="宋体"/>
          <w:b/>
          <w:bCs/>
          <w:lang w:bidi="ar"/>
        </w:rPr>
      </w:pPr>
      <w:r>
        <w:rPr>
          <w:rFonts w:ascii="宋体" w:hAnsi="宋体" w:cs="宋体"/>
          <w:b/>
          <w:bCs/>
          <w:lang w:bidi="ar"/>
        </w:rPr>
        <w:t>交付物要求</w:t>
      </w:r>
    </w:p>
    <w:p w14:paraId="38E7A5FC">
      <w:pPr>
        <w:adjustRightInd w:val="0"/>
        <w:snapToGrid w:val="0"/>
        <w:spacing w:line="360" w:lineRule="auto"/>
        <w:ind w:left="420" w:leftChars="200"/>
        <w:rPr>
          <w:rFonts w:ascii="宋体" w:hAnsi="宋体" w:cs="宋体"/>
          <w:lang w:bidi="ar"/>
        </w:rPr>
      </w:pPr>
      <w:r>
        <w:rPr>
          <w:rFonts w:hint="eastAsia" w:ascii="宋体" w:hAnsi="宋体" w:cs="宋体"/>
          <w:lang w:bidi="ar"/>
        </w:rPr>
        <w:t>提供数据库设计说明书、主题库标准规范、测试报告等材料。</w:t>
      </w:r>
    </w:p>
    <w:p w14:paraId="618A9956">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2.4.5.3.生态环境主题库</w:t>
      </w:r>
    </w:p>
    <w:p w14:paraId="341E34C8">
      <w:pPr>
        <w:adjustRightInd w:val="0"/>
        <w:snapToGrid w:val="0"/>
        <w:spacing w:line="360" w:lineRule="auto"/>
        <w:ind w:firstLine="420" w:firstLineChars="200"/>
        <w:rPr>
          <w:rFonts w:ascii="宋体" w:hAnsi="宋体" w:cs="Times New Roman Regular"/>
        </w:rPr>
      </w:pPr>
      <w:r>
        <w:rPr>
          <w:rFonts w:hint="eastAsia" w:ascii="宋体" w:hAnsi="宋体" w:cs="宋体"/>
          <w:lang w:bidi="ar"/>
        </w:rPr>
        <w:t>生态环境主题库是支撑自治区生态文明建设和环境质量改善的重要数据基础。通过系统归集自治区生态环境厅、自然资源厅等相关部门的数据，全面掌握生态资源现状，为环境质量评价、污染源控制、资源保护利用提供数据支撑，助力美丽自治区建设。</w:t>
      </w:r>
    </w:p>
    <w:p w14:paraId="00944B23">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2F12FB73">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主题库设计要求：根据国家和自治区生态环境保护相关指导及政策要求，采集相关数据，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，形成生态环境主题库。</w:t>
      </w:r>
    </w:p>
    <w:p w14:paraId="3E7A4CD4">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420B62F4">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3AED2C31">
      <w:pPr>
        <w:adjustRightInd w:val="0"/>
        <w:snapToGrid w:val="0"/>
        <w:spacing w:line="360" w:lineRule="auto"/>
        <w:ind w:firstLine="420"/>
        <w:rPr>
          <w:rFonts w:ascii="宋体" w:hAnsi="宋体" w:cs="宋体"/>
          <w:b/>
          <w:bCs/>
          <w:lang w:bidi="ar"/>
        </w:rPr>
      </w:pPr>
      <w:r>
        <w:rPr>
          <w:rFonts w:ascii="宋体" w:hAnsi="宋体" w:cs="宋体"/>
          <w:b/>
          <w:bCs/>
          <w:lang w:bidi="ar"/>
        </w:rPr>
        <w:t>交付物要求</w:t>
      </w:r>
    </w:p>
    <w:p w14:paraId="07F4D984">
      <w:pPr>
        <w:adjustRightInd w:val="0"/>
        <w:snapToGrid w:val="0"/>
        <w:spacing w:line="360" w:lineRule="auto"/>
        <w:ind w:left="420" w:leftChars="200"/>
        <w:rPr>
          <w:rFonts w:ascii="宋体" w:hAnsi="宋体" w:cs="宋体"/>
          <w:lang w:bidi="ar"/>
        </w:rPr>
      </w:pPr>
      <w:r>
        <w:rPr>
          <w:rFonts w:hint="eastAsia" w:ascii="宋体" w:hAnsi="宋体" w:cs="宋体"/>
          <w:lang w:bidi="ar"/>
        </w:rPr>
        <w:t>提供数据库设计说明书、主题库标准规范、测试报告等材料。</w:t>
      </w:r>
    </w:p>
    <w:p w14:paraId="6B74D641">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2.4.5.4.交通运输主题库</w:t>
      </w:r>
    </w:p>
    <w:p w14:paraId="12C59071">
      <w:pPr>
        <w:adjustRightInd w:val="0"/>
        <w:snapToGrid w:val="0"/>
        <w:spacing w:line="360" w:lineRule="auto"/>
        <w:ind w:firstLine="420" w:firstLineChars="200"/>
        <w:rPr>
          <w:rFonts w:ascii="宋体" w:hAnsi="宋体" w:cs="Times New Roman Regular"/>
        </w:rPr>
      </w:pPr>
      <w:r>
        <w:rPr>
          <w:rFonts w:hint="eastAsia" w:ascii="宋体" w:hAnsi="宋体" w:cs="宋体"/>
          <w:lang w:bidi="ar"/>
        </w:rPr>
        <w:t>交通运输主题库是保障自治区经济社会发展和提升居民出行便利性的重要数据基础。通过系统归集自治区交通运输厅、交通管理局等相关部门的数据，为交通规划、建设、管理和服务提供数据支撑，方便交通管理部门进行监管，改善民众出行体验，优化交通网络布局，促进交通运输业高质量发展。</w:t>
      </w:r>
    </w:p>
    <w:p w14:paraId="26450C33">
      <w:pPr>
        <w:adjustRightInd w:val="0"/>
        <w:snapToGrid w:val="0"/>
        <w:spacing w:line="360" w:lineRule="auto"/>
        <w:ind w:firstLine="422" w:firstLineChars="200"/>
        <w:rPr>
          <w:rFonts w:ascii="宋体" w:hAnsi="宋体" w:cs="宋体"/>
          <w:b/>
          <w:bCs/>
          <w:lang w:bidi="ar"/>
        </w:rPr>
      </w:pPr>
      <w:r>
        <w:rPr>
          <w:rFonts w:hint="eastAsia" w:ascii="宋体" w:hAnsi="宋体" w:cs="宋体"/>
          <w:b/>
          <w:bCs/>
          <w:lang w:bidi="ar"/>
        </w:rPr>
        <w:t>建设要求</w:t>
      </w:r>
    </w:p>
    <w:p w14:paraId="5E214E5E">
      <w:pPr>
        <w:adjustRightInd w:val="0"/>
        <w:snapToGrid w:val="0"/>
        <w:spacing w:line="360" w:lineRule="auto"/>
        <w:ind w:firstLine="420" w:firstLineChars="200"/>
        <w:rPr>
          <w:rFonts w:ascii="宋体" w:hAnsi="宋体" w:cs="宋体"/>
          <w:lang w:bidi="ar"/>
        </w:rPr>
      </w:pPr>
      <w:r>
        <w:rPr>
          <w:rFonts w:hint="eastAsia" w:ascii="宋体" w:hAnsi="宋体" w:cs="宋体"/>
          <w:lang w:bidi="ar"/>
        </w:rPr>
        <w:t>主题库设计要求：根据国家和自治区交通运输相关政策及规范要求，采集相关数据，</w:t>
      </w:r>
      <w:r>
        <w:rPr>
          <w:rFonts w:ascii="宋体" w:hAnsi="宋体" w:cs="宋体"/>
          <w:lang w:bidi="ar"/>
        </w:rPr>
        <w:t>统一</w:t>
      </w:r>
      <w:r>
        <w:rPr>
          <w:rFonts w:hint="eastAsia" w:ascii="宋体" w:hAnsi="宋体" w:cs="宋体"/>
          <w:lang w:bidi="ar"/>
        </w:rPr>
        <w:t>数据</w:t>
      </w:r>
      <w:r>
        <w:rPr>
          <w:rFonts w:ascii="宋体" w:hAnsi="宋体" w:cs="宋体"/>
          <w:lang w:bidi="ar"/>
        </w:rPr>
        <w:t>编码</w:t>
      </w:r>
      <w:r>
        <w:rPr>
          <w:rFonts w:hint="eastAsia" w:ascii="宋体" w:hAnsi="宋体" w:cs="宋体"/>
          <w:lang w:bidi="ar"/>
        </w:rPr>
        <w:t>，形成交通运输主题库。</w:t>
      </w:r>
    </w:p>
    <w:p w14:paraId="61A9DA47">
      <w:pPr>
        <w:adjustRightInd w:val="0"/>
        <w:snapToGrid w:val="0"/>
        <w:spacing w:line="360" w:lineRule="auto"/>
        <w:ind w:firstLine="420" w:firstLineChars="200"/>
        <w:rPr>
          <w:rFonts w:ascii="宋体" w:hAnsi="宋体" w:cs="宋体"/>
          <w:lang w:bidi="ar"/>
        </w:rPr>
      </w:pPr>
      <w:r>
        <w:rPr>
          <w:rFonts w:ascii="宋体" w:hAnsi="宋体" w:cs="宋体"/>
          <w:lang w:bidi="ar"/>
        </w:rPr>
        <w:t>数据处理能力：支持批量与实时采集、清洗、去重</w:t>
      </w:r>
      <w:r>
        <w:rPr>
          <w:rFonts w:hint="eastAsia" w:ascii="宋体" w:hAnsi="宋体" w:cs="宋体"/>
          <w:lang w:bidi="ar"/>
        </w:rPr>
        <w:t>等相关操作，</w:t>
      </w:r>
      <w:r>
        <w:rPr>
          <w:rFonts w:ascii="宋体" w:hAnsi="宋体" w:cs="宋体"/>
          <w:lang w:bidi="ar"/>
        </w:rPr>
        <w:t>具备数据质量管理能力。</w:t>
      </w:r>
    </w:p>
    <w:p w14:paraId="3B73F7F1">
      <w:pPr>
        <w:adjustRightInd w:val="0"/>
        <w:snapToGrid w:val="0"/>
        <w:spacing w:line="360" w:lineRule="auto"/>
        <w:ind w:firstLine="420" w:firstLineChars="200"/>
        <w:rPr>
          <w:rFonts w:ascii="宋体" w:hAnsi="宋体" w:cs="宋体"/>
          <w:lang w:bidi="ar"/>
        </w:rPr>
      </w:pPr>
      <w:r>
        <w:rPr>
          <w:rFonts w:ascii="宋体" w:hAnsi="宋体" w:cs="宋体"/>
          <w:lang w:bidi="ar"/>
        </w:rPr>
        <w:t>接口服务能力：</w:t>
      </w:r>
      <w:r>
        <w:rPr>
          <w:rFonts w:hint="eastAsia" w:ascii="宋体" w:hAnsi="宋体" w:cs="宋体"/>
          <w:lang w:bidi="ar"/>
        </w:rPr>
        <w:t>可以支持</w:t>
      </w:r>
      <w:r>
        <w:rPr>
          <w:rFonts w:ascii="宋体" w:hAnsi="宋体" w:cs="宋体"/>
          <w:lang w:bidi="ar"/>
        </w:rPr>
        <w:t xml:space="preserve"> API 接口、库表</w:t>
      </w:r>
      <w:r>
        <w:rPr>
          <w:rFonts w:hint="eastAsia" w:ascii="宋体" w:hAnsi="宋体" w:cs="宋体"/>
          <w:lang w:bidi="ar"/>
        </w:rPr>
        <w:t>等多种数据服务方式</w:t>
      </w:r>
      <w:r>
        <w:rPr>
          <w:rFonts w:ascii="宋体" w:hAnsi="宋体" w:cs="宋体"/>
          <w:lang w:bidi="ar"/>
        </w:rPr>
        <w:t>。</w:t>
      </w:r>
    </w:p>
    <w:p w14:paraId="6060FFDB">
      <w:pPr>
        <w:adjustRightInd w:val="0"/>
        <w:snapToGrid w:val="0"/>
        <w:spacing w:line="360" w:lineRule="auto"/>
        <w:ind w:firstLine="420"/>
        <w:rPr>
          <w:rFonts w:ascii="宋体" w:hAnsi="宋体" w:cs="宋体"/>
          <w:b/>
          <w:bCs/>
          <w:lang w:bidi="ar"/>
        </w:rPr>
      </w:pPr>
      <w:r>
        <w:rPr>
          <w:rFonts w:ascii="宋体" w:hAnsi="宋体" w:cs="宋体"/>
          <w:b/>
          <w:bCs/>
          <w:lang w:bidi="ar"/>
        </w:rPr>
        <w:t>交付物要求</w:t>
      </w:r>
    </w:p>
    <w:p w14:paraId="52086C93">
      <w:pPr>
        <w:adjustRightInd w:val="0"/>
        <w:snapToGrid w:val="0"/>
        <w:spacing w:line="360" w:lineRule="auto"/>
        <w:ind w:left="420" w:leftChars="200"/>
        <w:rPr>
          <w:rFonts w:ascii="宋体" w:hAnsi="宋体" w:cs="宋体"/>
          <w:lang w:bidi="ar"/>
        </w:rPr>
      </w:pPr>
      <w:r>
        <w:rPr>
          <w:rFonts w:hint="eastAsia" w:ascii="宋体" w:hAnsi="宋体" w:cs="宋体"/>
          <w:lang w:bidi="ar"/>
        </w:rPr>
        <w:t>提供数据库设计说明书、主题库标准规范、测试报告等材料。</w:t>
      </w:r>
    </w:p>
    <w:p w14:paraId="5E47EF3D">
      <w:pPr>
        <w:widowControl/>
        <w:jc w:val="left"/>
        <w:rPr>
          <w:rFonts w:ascii="宋体" w:hAnsi="宋体" w:cs="宋体"/>
          <w:lang w:bidi="ar"/>
        </w:rPr>
      </w:pPr>
    </w:p>
    <w:p w14:paraId="52EF1360">
      <w:pPr>
        <w:keepNext/>
        <w:widowControl w:val="0"/>
        <w:numPr>
          <w:ilvl w:val="1"/>
          <w:numId w:val="0"/>
        </w:numPr>
        <w:autoSpaceDE w:val="0"/>
        <w:autoSpaceDN w:val="0"/>
        <w:adjustRightInd w:val="0"/>
        <w:spacing w:line="360" w:lineRule="auto"/>
        <w:ind w:left="567" w:hanging="567"/>
        <w:jc w:val="both"/>
        <w:outlineLvl w:val="4"/>
        <w:rPr>
          <w:rFonts w:ascii="宋体" w:hAnsi="Times New Roman" w:eastAsia="宋体" w:cs="Times New Roman"/>
          <w:color w:val="000000"/>
          <w:kern w:val="0"/>
          <w:sz w:val="28"/>
          <w:szCs w:val="28"/>
          <w:lang w:val="en-US" w:eastAsia="zh-CN" w:bidi="ar-SA"/>
        </w:rPr>
      </w:pPr>
      <w:r>
        <w:rPr>
          <w:rFonts w:hint="eastAsia" w:ascii="宋体" w:hAnsi="Times New Roman" w:eastAsia="宋体" w:cs="Times New Roman"/>
          <w:color w:val="000000"/>
          <w:kern w:val="0"/>
          <w:sz w:val="28"/>
          <w:szCs w:val="28"/>
          <w:lang w:val="en-US" w:eastAsia="zh-CN" w:bidi="ar-SA"/>
        </w:rPr>
        <w:t>2.5.专题库建设</w:t>
      </w:r>
    </w:p>
    <w:p w14:paraId="5F3AB5CD">
      <w:pPr>
        <w:adjustRightInd w:val="0"/>
        <w:snapToGrid w:val="0"/>
        <w:spacing w:line="360" w:lineRule="auto"/>
        <w:ind w:firstLine="420" w:firstLineChars="200"/>
        <w:rPr>
          <w:rFonts w:ascii="宋体" w:hAnsi="宋体" w:cs="Times New Roman Regular"/>
        </w:rPr>
      </w:pPr>
      <w:r>
        <w:rPr>
          <w:rFonts w:hint="eastAsia" w:ascii="宋体" w:hAnsi="宋体" w:cs="Times New Roman Regular"/>
        </w:rPr>
        <w:t>对党员信息库、升规纳统、经济监测预测、成品油监管 4 类专题库的数据需求调研、归集、治理、分析能力方案完整；要求响应充分。</w:t>
      </w:r>
    </w:p>
    <w:p w14:paraId="71DDEBCD">
      <w:pPr>
        <w:keepNext/>
        <w:keepLines/>
        <w:spacing w:before="240" w:after="64" w:line="319" w:lineRule="auto"/>
        <w:outlineLvl w:val="5"/>
        <w:rPr>
          <w:rFonts w:ascii="宋体" w:hAnsi="宋体" w:cs="宋体"/>
          <w:b/>
          <w:bCs/>
          <w:sz w:val="24"/>
          <w:szCs w:val="24"/>
          <w:lang w:bidi="ar"/>
        </w:rPr>
      </w:pPr>
      <w:r>
        <w:rPr>
          <w:rFonts w:hint="eastAsia" w:ascii="宋体" w:hAnsi="宋体" w:cs="宋体"/>
          <w:b/>
          <w:bCs/>
          <w:sz w:val="24"/>
          <w:szCs w:val="24"/>
          <w:lang w:bidi="ar"/>
        </w:rPr>
        <w:t>2.5.</w:t>
      </w:r>
      <w:r>
        <w:rPr>
          <w:rFonts w:ascii="宋体" w:hAnsi="宋体" w:cs="宋体"/>
          <w:b/>
          <w:bCs/>
          <w:sz w:val="24"/>
          <w:szCs w:val="24"/>
          <w:lang w:bidi="ar"/>
        </w:rPr>
        <w:t>1</w:t>
      </w:r>
      <w:r>
        <w:rPr>
          <w:rFonts w:hint="eastAsia" w:ascii="宋体" w:hAnsi="宋体" w:cs="宋体"/>
          <w:b/>
          <w:bCs/>
          <w:sz w:val="24"/>
          <w:szCs w:val="24"/>
          <w:lang w:bidi="ar"/>
        </w:rPr>
        <w:t>重点</w:t>
      </w:r>
      <w:r>
        <w:rPr>
          <w:rFonts w:ascii="宋体" w:hAnsi="宋体" w:cs="宋体"/>
          <w:b/>
          <w:bCs/>
          <w:sz w:val="24"/>
          <w:szCs w:val="24"/>
          <w:lang w:bidi="ar"/>
        </w:rPr>
        <w:t>行业专题库</w:t>
      </w:r>
    </w:p>
    <w:p w14:paraId="749AB1E5">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2.5.1.</w:t>
      </w:r>
      <w:r>
        <w:rPr>
          <w:rFonts w:ascii="宋体" w:hAnsi="宋体" w:cs="宋体"/>
          <w:b/>
          <w:bCs/>
          <w:sz w:val="24"/>
          <w:szCs w:val="24"/>
          <w:lang w:bidi="ar"/>
        </w:rPr>
        <w:t>1</w:t>
      </w:r>
      <w:r>
        <w:rPr>
          <w:rFonts w:hint="eastAsia" w:ascii="宋体" w:hAnsi="宋体" w:cs="宋体"/>
          <w:b/>
          <w:bCs/>
          <w:sz w:val="24"/>
          <w:szCs w:val="24"/>
          <w:lang w:bidi="ar"/>
        </w:rPr>
        <w:t>煤炭专题库</w:t>
      </w:r>
    </w:p>
    <w:p w14:paraId="0EB89AD0">
      <w:pPr>
        <w:adjustRightInd w:val="0"/>
        <w:snapToGrid w:val="0"/>
        <w:spacing w:line="360" w:lineRule="auto"/>
        <w:ind w:firstLine="420" w:firstLineChars="200"/>
        <w:rPr>
          <w:rFonts w:ascii="宋体" w:hAnsi="宋体" w:cs="Times New Roman Regular"/>
        </w:rPr>
      </w:pPr>
      <w:r>
        <w:rPr>
          <w:rFonts w:hint="eastAsia" w:ascii="宋体" w:hAnsi="宋体" w:cs="Times New Roman Regular"/>
        </w:rPr>
        <w:t>煤炭专题库作为自治区煤炭产业高质量发展的重要数据支撑平台，需要整合涵盖煤矿生产（产能、产量、安全状况）、煤炭资源分布（储量、赋存条件、开发状况）、煤质煤种（热值、灰分、硫分、挥发分）、煤炭市场（铁路发运、价格指数、动力/双焦市场指标）、产销存体系（新增产能、动力/焦炭产销存、钢厂库存）及煤炭消费（电力/建材/化工耗煤）等多维度核心数据，同时纳入行业标准、法规、期货价差、水运指数等配套信息，构建全面煤炭产业数据体系，通过系统化汇聚与深度挖掘，为政府监测调控及企业决策提供精准数据支撑，推动煤炭产业转型升级与高质量发展。</w:t>
      </w:r>
    </w:p>
    <w:p w14:paraId="2C13157B">
      <w:pPr>
        <w:adjustRightInd w:val="0"/>
        <w:snapToGrid w:val="0"/>
        <w:spacing w:line="360" w:lineRule="auto"/>
        <w:ind w:firstLine="420" w:firstLineChars="200"/>
        <w:rPr>
          <w:rFonts w:ascii="宋体" w:hAnsi="宋体" w:cs="Times New Roman Regular"/>
        </w:rPr>
      </w:pPr>
    </w:p>
    <w:p w14:paraId="39A93687">
      <w:pPr>
        <w:adjustRightInd w:val="0"/>
        <w:snapToGrid w:val="0"/>
        <w:spacing w:line="360" w:lineRule="auto"/>
        <w:ind w:firstLine="420" w:firstLineChars="200"/>
        <w:rPr>
          <w:rFonts w:ascii="宋体" w:hAnsi="宋体" w:cs="Times New Roman Regular"/>
        </w:rPr>
      </w:pPr>
      <w:r>
        <w:rPr>
          <w:rFonts w:hint="eastAsia" w:ascii="宋体" w:hAnsi="宋体" w:cs="Times New Roman Regular"/>
        </w:rPr>
        <w:t>建设要求：须完成采集煤炭行业相关数据，形成煤炭专题库。</w:t>
      </w:r>
    </w:p>
    <w:p w14:paraId="18121843">
      <w:pPr>
        <w:adjustRightInd w:val="0"/>
        <w:snapToGrid w:val="0"/>
        <w:spacing w:line="360" w:lineRule="auto"/>
        <w:ind w:firstLine="420" w:firstLineChars="200"/>
        <w:rPr>
          <w:rFonts w:ascii="宋体" w:hAnsi="宋体" w:cs="Times New Roman Regular"/>
        </w:rPr>
      </w:pPr>
      <w:r>
        <w:rPr>
          <w:rFonts w:hint="eastAsia" w:ascii="宋体" w:hAnsi="宋体" w:cs="Times New Roman Regular"/>
        </w:rPr>
        <w:t>交付成果包括：专题库建设标准规范、专题库库表设计文档、专题库试运行报告等相关文档。</w:t>
      </w:r>
    </w:p>
    <w:p w14:paraId="2DC50312">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2.5.1.2.电力专题库</w:t>
      </w:r>
    </w:p>
    <w:p w14:paraId="06F2E770">
      <w:pPr>
        <w:adjustRightInd w:val="0"/>
        <w:snapToGrid w:val="0"/>
        <w:spacing w:line="360" w:lineRule="auto"/>
        <w:ind w:firstLine="420" w:firstLineChars="200"/>
        <w:rPr>
          <w:rFonts w:ascii="宋体" w:hAnsi="宋体" w:cs="Times New Roman Regular"/>
        </w:rPr>
      </w:pPr>
      <w:r>
        <w:rPr>
          <w:rFonts w:hint="eastAsia" w:ascii="宋体" w:hAnsi="宋体" w:cs="Times New Roman Regular"/>
        </w:rPr>
        <w:t>电力专题库作为自治区能源电力体系建设的关键数据基础设施，须围绕电力生产、消费、基础设施及项目投资四大核心环节，系统整合全产业链数据资源。具体而言，在电力生产领域，重点监测电力生产量、发电量、装机容量、进出口量等供给侧指标，并构建发电效率、能耗水平等生产效率监测体系；电力消费方面，全面采集社会用电量、分地区/行业用电量及人均用电量等需求侧数据，支撑电力需求与宏观经济关联性研究及消费趋势预测；电力价格维度，整合输配电价、上网电价等市场化改革关键信息；基础设施及投资建设领域，聚焦电源/电网建设投资、新增装机容量、电网规模及换流容量等项目数据，为电力系统规划与投资决策提供科学依据。该专题库通过全面汇聚与深度挖掘电力产业数据，赋能政府电力规划、市场监管及体制改革，同时助力企业优化运营、提升管理效率，推动电力产业高质量发展与能源体系现代化进程。</w:t>
      </w:r>
    </w:p>
    <w:p w14:paraId="73AD8A62">
      <w:pPr>
        <w:adjustRightInd w:val="0"/>
        <w:snapToGrid w:val="0"/>
        <w:spacing w:line="360" w:lineRule="auto"/>
        <w:ind w:firstLine="420" w:firstLineChars="200"/>
        <w:rPr>
          <w:rFonts w:ascii="宋体" w:hAnsi="宋体" w:cs="Times New Roman Regular"/>
        </w:rPr>
      </w:pPr>
    </w:p>
    <w:p w14:paraId="4DBB595D">
      <w:pPr>
        <w:adjustRightInd w:val="0"/>
        <w:snapToGrid w:val="0"/>
        <w:spacing w:line="360" w:lineRule="auto"/>
        <w:ind w:firstLine="420" w:firstLineChars="200"/>
        <w:rPr>
          <w:rFonts w:ascii="宋体" w:hAnsi="宋体" w:cs="Times New Roman Regular"/>
        </w:rPr>
      </w:pPr>
      <w:r>
        <w:rPr>
          <w:rFonts w:hint="eastAsia" w:ascii="宋体" w:hAnsi="宋体" w:cs="Times New Roman Regular"/>
        </w:rPr>
        <w:t>建设要求：须完成采集电力行业相关数据，形成电力专题库。</w:t>
      </w:r>
    </w:p>
    <w:p w14:paraId="0A1A66F9">
      <w:pPr>
        <w:adjustRightInd w:val="0"/>
        <w:snapToGrid w:val="0"/>
        <w:spacing w:line="360" w:lineRule="auto"/>
        <w:ind w:firstLine="420" w:firstLineChars="200"/>
        <w:rPr>
          <w:rFonts w:ascii="宋体" w:hAnsi="宋体" w:cs="Times New Roman Regular"/>
        </w:rPr>
      </w:pPr>
      <w:r>
        <w:rPr>
          <w:rFonts w:hint="eastAsia" w:ascii="宋体" w:hAnsi="宋体" w:cs="Times New Roman Regular"/>
        </w:rPr>
        <w:t>交付成果包括：专题库建设标准规范、专题库库表设计文档、专题库试运行报告等相关文档。</w:t>
      </w:r>
    </w:p>
    <w:p w14:paraId="539B2153">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2.5.1.3.油气化专题库</w:t>
      </w:r>
    </w:p>
    <w:p w14:paraId="6C12353B">
      <w:pPr>
        <w:adjustRightInd w:val="0"/>
        <w:snapToGrid w:val="0"/>
        <w:spacing w:line="360" w:lineRule="auto"/>
        <w:ind w:firstLine="420" w:firstLineChars="200"/>
        <w:rPr>
          <w:rFonts w:ascii="宋体" w:hAnsi="宋体" w:cs="Times New Roman Regular"/>
        </w:rPr>
      </w:pPr>
      <w:r>
        <w:rPr>
          <w:rFonts w:hint="eastAsia" w:ascii="宋体" w:hAnsi="宋体" w:cs="Times New Roman Regular"/>
        </w:rPr>
        <w:t>油气化专题库作为自治区石油、天然气和化工产业的综合性数据资源体系，须系统化整合全产业链数据资源，构建覆盖油气生产、加工、储运、销售及化工产业的全貌数据体系。其中，油气生产数据聚焦石油产量、能源效率、安全维护等核心指标及资源分布/储量体系；石油加工和贸易数据涵盖产品产量、进出口及销售情况，支撑产业发展规划与市场监管；油气库存数据整合战略储备与商业库存信息，保障能源安全与市场调控；基础设施和运输数据评估管网布局与物流效率，支持基础设施规划；化工产业数据则关注煤化工价格、产能等，助力产业转型升级。该专题库的建设实现了全链条数据的深度整合与应用，为政府决策、企业运营及产业绿色发展提供关键数据支持。</w:t>
      </w:r>
    </w:p>
    <w:p w14:paraId="0A4421AF">
      <w:pPr>
        <w:adjustRightInd w:val="0"/>
        <w:snapToGrid w:val="0"/>
        <w:spacing w:line="360" w:lineRule="auto"/>
        <w:ind w:firstLine="420" w:firstLineChars="200"/>
        <w:rPr>
          <w:rFonts w:ascii="宋体" w:hAnsi="宋体" w:cs="Times New Roman Regular"/>
        </w:rPr>
      </w:pPr>
    </w:p>
    <w:p w14:paraId="13B5B21F">
      <w:pPr>
        <w:adjustRightInd w:val="0"/>
        <w:snapToGrid w:val="0"/>
        <w:spacing w:line="360" w:lineRule="auto"/>
        <w:ind w:firstLine="420" w:firstLineChars="200"/>
        <w:rPr>
          <w:rFonts w:ascii="宋体" w:hAnsi="宋体" w:cs="Times New Roman Regular"/>
        </w:rPr>
      </w:pPr>
      <w:r>
        <w:rPr>
          <w:rFonts w:hint="eastAsia" w:ascii="宋体" w:hAnsi="宋体" w:cs="Times New Roman Regular"/>
        </w:rPr>
        <w:t>建设要求：须完成采集油气行业相关数据，形成油气专题库。</w:t>
      </w:r>
    </w:p>
    <w:p w14:paraId="0F746841">
      <w:pPr>
        <w:adjustRightInd w:val="0"/>
        <w:snapToGrid w:val="0"/>
        <w:spacing w:line="360" w:lineRule="auto"/>
        <w:ind w:firstLine="420" w:firstLineChars="200"/>
        <w:rPr>
          <w:rFonts w:ascii="宋体" w:hAnsi="宋体" w:cs="Times New Roman Regular"/>
        </w:rPr>
      </w:pPr>
      <w:r>
        <w:rPr>
          <w:rFonts w:hint="eastAsia" w:ascii="宋体" w:hAnsi="宋体" w:cs="Times New Roman Regular"/>
        </w:rPr>
        <w:t>交付成果包括：专题库建设标准规范、专题库库表设计文档、专题库试运行报告等相关文档。</w:t>
      </w:r>
    </w:p>
    <w:p w14:paraId="6B9AED2A">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2.5.1.4.其他行业专题库</w:t>
      </w:r>
    </w:p>
    <w:p w14:paraId="01E694F2">
      <w:pPr>
        <w:adjustRightInd w:val="0"/>
        <w:snapToGrid w:val="0"/>
        <w:spacing w:line="360" w:lineRule="auto"/>
        <w:ind w:firstLine="420" w:firstLineChars="200"/>
        <w:rPr>
          <w:rFonts w:ascii="宋体" w:hAnsi="宋体" w:cs="Times New Roman Regular"/>
        </w:rPr>
      </w:pPr>
      <w:r>
        <w:rPr>
          <w:rFonts w:hint="eastAsia" w:ascii="宋体" w:hAnsi="宋体" w:cs="Times New Roman Regular"/>
        </w:rPr>
        <w:t>钢铁和有色金属产业专题库围绕生产、消费、价格、库存等核心需求，构建覆盖产业链的数据体系，涵盖钢铁产量、钢材产量、有色金属产量、产能利用率、价格指数、库存水平、消费量及进出口量等关键指标；有色金属冶炼及深加工产业专题库聚焦铜、铝、镍等金属的冶炼工艺参数、能耗水平、环保指标、产品质量及深加工产品产销量等数据，助力产业链延伸；电子信息产业专题库则聚焦集成电路、电子元器件等领域，构建反映产业发展状况的立体数据体系，包括企业数量、产值规模、产品产量、创新能力（专利申请量、研发投入）、进出口规模及市场份额等指标，为产业集群发展和技术创新提供支持。</w:t>
      </w:r>
    </w:p>
    <w:p w14:paraId="0F63C877">
      <w:pPr>
        <w:keepNext/>
        <w:keepLines/>
        <w:spacing w:before="240" w:after="64" w:line="319" w:lineRule="auto"/>
        <w:ind w:left="567" w:hanging="567"/>
        <w:outlineLvl w:val="5"/>
        <w:rPr>
          <w:rFonts w:ascii="宋体" w:hAnsi="宋体"/>
          <w:b/>
          <w:bCs/>
          <w:color w:val="000000"/>
          <w:kern w:val="0"/>
          <w:sz w:val="28"/>
          <w:szCs w:val="28"/>
        </w:rPr>
      </w:pPr>
      <w:r>
        <w:rPr>
          <w:rFonts w:hint="eastAsia" w:ascii="宋体" w:hAnsi="宋体" w:cs="宋体"/>
          <w:b/>
          <w:bCs/>
          <w:sz w:val="24"/>
          <w:szCs w:val="24"/>
          <w:lang w:bidi="ar"/>
        </w:rPr>
        <w:t>2.5.2</w:t>
      </w:r>
      <w:r>
        <w:rPr>
          <w:rFonts w:hint="eastAsia" w:ascii="宋体" w:hAnsi="宋体" w:cs="宋体"/>
          <w:b/>
          <w:bCs/>
          <w:color w:val="000000"/>
          <w:kern w:val="0"/>
          <w:sz w:val="28"/>
          <w:szCs w:val="28"/>
          <w:lang w:bidi="ar"/>
        </w:rPr>
        <w:t>地州数据回流专题库</w:t>
      </w:r>
    </w:p>
    <w:p w14:paraId="357B891D">
      <w:pPr>
        <w:adjustRightInd w:val="0"/>
        <w:snapToGrid w:val="0"/>
        <w:spacing w:line="360" w:lineRule="auto"/>
        <w:ind w:firstLine="420" w:firstLineChars="200"/>
        <w:rPr>
          <w:rFonts w:ascii="宋体" w:hAnsi="宋体" w:cs="Times New Roman Regular"/>
        </w:rPr>
      </w:pPr>
      <w:r>
        <w:rPr>
          <w:rFonts w:hint="eastAsia" w:ascii="宋体" w:hAnsi="宋体" w:cs="宋体"/>
          <w:lang w:bidi="ar"/>
        </w:rPr>
        <w:t>因新疆各地区、行业业务系统多为自治区垂管系统，大量业务数据掌握在自治区级厅局单位，各地州系统建设中需从自治区单位申请数据用于政务服务业务办理等场景。为支持新疆14个地（州、市）的信息化、数字化建设，本项目需支持向各地州提供数据回流，各地州业务单位有需要自治区级单位的数据共享需求时，统一向自治区数发局提交数据申请，自治区数发局通过一体化数据资源服务平台为各申请单位提供数据资源共享，以及在此过程中的一系列支持服务，为不同部门、单位提供一体化的标准服务，更好的实现数据的共享利用和互通互联。</w:t>
      </w:r>
    </w:p>
    <w:p w14:paraId="49224351">
      <w:pPr>
        <w:adjustRightInd w:val="0"/>
        <w:snapToGrid w:val="0"/>
        <w:spacing w:line="360" w:lineRule="auto"/>
        <w:ind w:firstLine="420" w:firstLineChars="200"/>
        <w:rPr>
          <w:rFonts w:ascii="宋体" w:hAnsi="宋体" w:cs="宋体"/>
          <w:lang w:bidi="ar"/>
        </w:rPr>
      </w:pPr>
      <w:r>
        <w:rPr>
          <w:rFonts w:hint="eastAsia" w:ascii="宋体" w:hAnsi="宋体" w:cs="宋体"/>
          <w:lang w:bidi="ar"/>
        </w:rPr>
        <w:t>地州数据回流服务需由具有政务业务基础和数据分析专业能力的人员，负责对各地州市数据回流工作对接人员进行培训指导，制定相关工作流程和指引，输出配套的使用说明文档和材料模版等。</w:t>
      </w:r>
    </w:p>
    <w:p w14:paraId="5CBC5E68">
      <w:pPr>
        <w:adjustRightInd w:val="0"/>
        <w:snapToGrid w:val="0"/>
        <w:spacing w:line="360" w:lineRule="auto"/>
        <w:ind w:firstLine="420" w:firstLineChars="200"/>
        <w:rPr>
          <w:rFonts w:ascii="宋体" w:hAnsi="宋体" w:cs="宋体"/>
          <w:lang w:bidi="ar"/>
        </w:rPr>
      </w:pPr>
      <w:r>
        <w:rPr>
          <w:rFonts w:hint="eastAsia" w:ascii="宋体" w:hAnsi="宋体" w:cs="宋体"/>
          <w:lang w:bidi="ar"/>
        </w:rPr>
        <w:t>针对 14 个地州的数据回流需求，分别给出全过程服务方案，体现差异化支持和批量处理能力。</w:t>
      </w:r>
    </w:p>
    <w:p w14:paraId="5E614957">
      <w:pPr>
        <w:keepNext/>
        <w:keepLines/>
        <w:spacing w:before="240" w:after="64" w:line="319" w:lineRule="auto"/>
        <w:outlineLvl w:val="6"/>
        <w:rPr>
          <w:rFonts w:ascii="宋体" w:hAnsi="宋体" w:cs="宋体"/>
          <w:b/>
          <w:bCs/>
          <w:sz w:val="24"/>
          <w:szCs w:val="24"/>
        </w:rPr>
      </w:pPr>
      <w:r>
        <w:rPr>
          <w:rFonts w:hint="eastAsia" w:ascii="宋体" w:hAnsi="宋体" w:cs="宋体"/>
          <w:b/>
          <w:bCs/>
          <w:sz w:val="24"/>
          <w:szCs w:val="24"/>
          <w:lang w:bidi="ar"/>
        </w:rPr>
        <w:t>2.5.2.1.乌鲁木齐市数据回流专题库</w:t>
      </w:r>
    </w:p>
    <w:p w14:paraId="1BF86798">
      <w:pPr>
        <w:adjustRightInd w:val="0"/>
        <w:snapToGrid w:val="0"/>
        <w:spacing w:line="360" w:lineRule="auto"/>
        <w:ind w:firstLine="420" w:firstLineChars="200"/>
        <w:rPr>
          <w:rFonts w:ascii="宋体" w:hAnsi="宋体" w:cs="宋体"/>
          <w:lang w:bidi="ar"/>
        </w:rPr>
      </w:pPr>
      <w:r>
        <w:rPr>
          <w:rFonts w:hint="eastAsia" w:ascii="宋体" w:hAnsi="宋体" w:cs="宋体"/>
          <w:lang w:bidi="ar"/>
        </w:rPr>
        <w:t xml:space="preserve">乌鲁木齐市数据回流工作以支持乌鲁木齐市一体化政务平台和基层一张表建设需求为主，同时能覆盖乌鲁木齐其他各行业单位的数据共享需求，以及满足乌鲁木齐市其它的数据回流需求，并建立乌鲁木齐市所需回流数据的专题库。 </w:t>
      </w:r>
    </w:p>
    <w:p w14:paraId="28C27A2F">
      <w:pPr>
        <w:keepNext/>
        <w:keepLines/>
        <w:spacing w:before="240" w:after="64" w:line="319" w:lineRule="auto"/>
        <w:outlineLvl w:val="6"/>
        <w:rPr>
          <w:rFonts w:ascii="宋体" w:hAnsi="宋体" w:cs="宋体"/>
          <w:b/>
          <w:bCs/>
          <w:sz w:val="24"/>
          <w:szCs w:val="24"/>
        </w:rPr>
      </w:pPr>
      <w:r>
        <w:rPr>
          <w:rFonts w:hint="eastAsia" w:ascii="宋体" w:hAnsi="宋体" w:cs="宋体"/>
          <w:b/>
          <w:bCs/>
          <w:sz w:val="24"/>
          <w:szCs w:val="24"/>
          <w:lang w:bidi="ar"/>
        </w:rPr>
        <w:t>2.5.2.2.伊犁州数据回流</w:t>
      </w:r>
      <w:r>
        <w:rPr>
          <w:rFonts w:hint="eastAsia" w:ascii="宋体" w:hAnsi="宋体" w:cs="宋体"/>
          <w:b/>
          <w:bCs/>
          <w:color w:val="000000"/>
          <w:kern w:val="0"/>
          <w:sz w:val="24"/>
          <w:szCs w:val="24"/>
          <w:lang w:bidi="ar"/>
        </w:rPr>
        <w:t>专题库</w:t>
      </w:r>
    </w:p>
    <w:p w14:paraId="0FAE9C6B">
      <w:pPr>
        <w:adjustRightInd w:val="0"/>
        <w:snapToGrid w:val="0"/>
        <w:spacing w:line="360" w:lineRule="auto"/>
        <w:ind w:firstLine="420" w:firstLineChars="200"/>
        <w:rPr>
          <w:rFonts w:ascii="宋体" w:hAnsi="宋体" w:cs="宋体"/>
          <w:lang w:bidi="ar"/>
        </w:rPr>
      </w:pPr>
      <w:r>
        <w:rPr>
          <w:rFonts w:hint="eastAsia" w:ascii="宋体" w:hAnsi="宋体" w:cs="宋体"/>
          <w:lang w:bidi="ar"/>
        </w:rPr>
        <w:t>伊犁州数据回流工作以支持伊犁州建设特色片区和</w:t>
      </w:r>
      <w:r>
        <w:rPr>
          <w:rFonts w:hint="eastAsia" w:ascii="宋体" w:hAnsi="宋体" w:cs="Times New Roman Regular"/>
          <w:lang w:bidi="ar"/>
        </w:rPr>
        <w:t>"我的</w:t>
      </w:r>
      <w:r>
        <w:rPr>
          <w:rFonts w:hint="eastAsia" w:ascii="宋体" w:hAnsi="宋体" w:cs="宋体"/>
          <w:lang w:bidi="ar"/>
        </w:rPr>
        <w:t>伊犁</w:t>
      </w:r>
      <w:r>
        <w:rPr>
          <w:rFonts w:hint="eastAsia" w:ascii="宋体" w:hAnsi="宋体" w:cs="Times New Roman Regular"/>
          <w:lang w:bidi="ar"/>
        </w:rPr>
        <w:t>"政务便民App的数据需求</w:t>
      </w:r>
      <w:r>
        <w:rPr>
          <w:rFonts w:hint="eastAsia" w:ascii="宋体" w:hAnsi="宋体" w:cs="宋体"/>
          <w:lang w:bidi="ar"/>
        </w:rPr>
        <w:t xml:space="preserve">为主，同时覆盖伊犁州其他各行业单位的数据共享需求，以及满足伊犁州其它的数据回流需求，并建立伊犁州所需回流数据的专题库。 </w:t>
      </w:r>
    </w:p>
    <w:p w14:paraId="1B05D0E2">
      <w:pPr>
        <w:keepNext/>
        <w:keepLines/>
        <w:spacing w:before="240" w:after="64" w:line="319" w:lineRule="auto"/>
        <w:outlineLvl w:val="6"/>
        <w:rPr>
          <w:rFonts w:ascii="宋体" w:hAnsi="宋体" w:cs="宋体"/>
          <w:b/>
          <w:bCs/>
          <w:sz w:val="24"/>
          <w:szCs w:val="24"/>
        </w:rPr>
      </w:pPr>
      <w:r>
        <w:rPr>
          <w:rFonts w:hint="eastAsia" w:ascii="宋体" w:hAnsi="宋体" w:cs="宋体"/>
          <w:b/>
          <w:bCs/>
          <w:sz w:val="24"/>
          <w:szCs w:val="24"/>
          <w:lang w:bidi="ar"/>
        </w:rPr>
        <w:t>2.5.2.4.喀什地区数据回流</w:t>
      </w:r>
      <w:r>
        <w:rPr>
          <w:rFonts w:hint="eastAsia" w:ascii="宋体" w:hAnsi="宋体" w:cs="宋体"/>
          <w:b/>
          <w:bCs/>
          <w:color w:val="000000"/>
          <w:kern w:val="0"/>
          <w:sz w:val="24"/>
          <w:szCs w:val="24"/>
          <w:lang w:bidi="ar"/>
        </w:rPr>
        <w:t>专题库</w:t>
      </w:r>
    </w:p>
    <w:p w14:paraId="1FCC6CEE">
      <w:pPr>
        <w:adjustRightInd w:val="0"/>
        <w:snapToGrid w:val="0"/>
        <w:spacing w:line="360" w:lineRule="auto"/>
        <w:ind w:firstLine="420" w:firstLineChars="200"/>
        <w:rPr>
          <w:rFonts w:ascii="宋体" w:hAnsi="宋体" w:cs="Times New Roman Regular"/>
        </w:rPr>
      </w:pPr>
      <w:r>
        <w:rPr>
          <w:rFonts w:hint="eastAsia" w:ascii="宋体" w:hAnsi="宋体" w:cs="宋体"/>
          <w:lang w:bidi="ar"/>
        </w:rPr>
        <w:t xml:space="preserve">喀什地区数据回流工作以支持该地区建设特色片区和智慧城市的重要数据需求为主，同时覆盖喀什地区其他行业单位的数据共享需求，以及满足喀什地区其它的数据回流需求，并建立喀什地区所需回流数据的专题库。 </w:t>
      </w:r>
    </w:p>
    <w:p w14:paraId="1BD5C9C0">
      <w:pPr>
        <w:keepNext/>
        <w:keepLines/>
        <w:spacing w:before="240" w:after="64" w:line="319" w:lineRule="auto"/>
        <w:outlineLvl w:val="6"/>
        <w:rPr>
          <w:rFonts w:ascii="宋体" w:hAnsi="宋体" w:cs="宋体"/>
          <w:b/>
          <w:bCs/>
          <w:sz w:val="24"/>
          <w:szCs w:val="24"/>
        </w:rPr>
      </w:pPr>
      <w:r>
        <w:rPr>
          <w:rFonts w:hint="eastAsia" w:ascii="宋体" w:hAnsi="宋体" w:cs="宋体"/>
          <w:b/>
          <w:bCs/>
          <w:sz w:val="24"/>
          <w:szCs w:val="24"/>
          <w:lang w:bidi="ar"/>
        </w:rPr>
        <w:t>2.5.2.5.阿勒泰地区数据回流</w:t>
      </w:r>
    </w:p>
    <w:p w14:paraId="534B435A">
      <w:pPr>
        <w:adjustRightInd w:val="0"/>
        <w:snapToGrid w:val="0"/>
        <w:spacing w:line="360" w:lineRule="auto"/>
        <w:ind w:firstLine="420" w:firstLineChars="200"/>
        <w:rPr>
          <w:rFonts w:ascii="宋体" w:hAnsi="宋体" w:cs="Times New Roman Regular"/>
        </w:rPr>
      </w:pPr>
      <w:r>
        <w:rPr>
          <w:rFonts w:hint="eastAsia" w:ascii="宋体" w:hAnsi="宋体" w:cs="宋体"/>
          <w:lang w:bidi="ar"/>
        </w:rPr>
        <w:t>依据国务院和自治区关于“优化政务服务提升行政效能”的相关意见和方案，阿勒泰地区围绕政务服务数字化改革目标提出数据回流需求，包括政务服务的办件、电子证照、好差评相关数据，民政的社会救助、特困、低保类数据，市监局和发改委的企业信用相关数据等，运营服务团队需对这些数据需求开展数据回流工作。</w:t>
      </w:r>
    </w:p>
    <w:p w14:paraId="14C4B82F">
      <w:pPr>
        <w:keepNext/>
        <w:keepLines/>
        <w:spacing w:before="240" w:after="64" w:line="319" w:lineRule="auto"/>
        <w:outlineLvl w:val="6"/>
        <w:rPr>
          <w:rFonts w:ascii="宋体" w:hAnsi="宋体" w:cs="宋体"/>
          <w:b/>
          <w:bCs/>
          <w:sz w:val="24"/>
          <w:szCs w:val="24"/>
        </w:rPr>
      </w:pPr>
      <w:r>
        <w:rPr>
          <w:rFonts w:hint="eastAsia" w:ascii="宋体" w:hAnsi="宋体" w:cs="宋体"/>
          <w:b/>
          <w:bCs/>
          <w:sz w:val="24"/>
          <w:szCs w:val="24"/>
          <w:lang w:bidi="ar"/>
        </w:rPr>
        <w:t>2.5.2.5.克拉玛依市数据回流</w:t>
      </w:r>
    </w:p>
    <w:p w14:paraId="0AC44593">
      <w:pPr>
        <w:adjustRightInd w:val="0"/>
        <w:snapToGrid w:val="0"/>
        <w:spacing w:line="360" w:lineRule="auto"/>
        <w:ind w:firstLine="420" w:firstLineChars="200"/>
        <w:rPr>
          <w:rFonts w:ascii="宋体" w:hAnsi="宋体" w:cs="Times New Roman Regular"/>
        </w:rPr>
      </w:pPr>
      <w:r>
        <w:rPr>
          <w:rFonts w:hint="eastAsia" w:ascii="宋体" w:hAnsi="宋体" w:cs="宋体"/>
          <w:lang w:bidi="ar"/>
        </w:rPr>
        <w:t>克拉玛依市数据回流需求围绕大数据治理平台和“立克办”小程序，包含民政、人社、市监、卫健委、医保局、政务服务等多个自治区单位的数据，运营服务团队需对这些数据需求开展数据回流工作。</w:t>
      </w:r>
    </w:p>
    <w:p w14:paraId="7230E162">
      <w:pPr>
        <w:keepNext/>
        <w:keepLines/>
        <w:spacing w:before="240" w:after="64" w:line="319" w:lineRule="auto"/>
        <w:outlineLvl w:val="6"/>
        <w:rPr>
          <w:rFonts w:ascii="宋体" w:hAnsi="宋体" w:cs="宋体"/>
          <w:b/>
          <w:bCs/>
          <w:sz w:val="24"/>
          <w:szCs w:val="24"/>
        </w:rPr>
      </w:pPr>
      <w:r>
        <w:rPr>
          <w:rFonts w:hint="eastAsia" w:ascii="宋体" w:hAnsi="宋体" w:cs="宋体"/>
          <w:b/>
          <w:bCs/>
          <w:sz w:val="24"/>
          <w:szCs w:val="24"/>
          <w:lang w:bidi="ar"/>
        </w:rPr>
        <w:t>2.5.2.6.博州数据回流</w:t>
      </w:r>
    </w:p>
    <w:p w14:paraId="22BAA68F">
      <w:pPr>
        <w:adjustRightInd w:val="0"/>
        <w:snapToGrid w:val="0"/>
        <w:spacing w:line="360" w:lineRule="auto"/>
        <w:ind w:firstLine="420" w:firstLineChars="200"/>
        <w:rPr>
          <w:rFonts w:ascii="宋体" w:hAnsi="宋体" w:cs="Times New Roman Regular"/>
        </w:rPr>
      </w:pPr>
      <w:r>
        <w:rPr>
          <w:rFonts w:hint="eastAsia" w:ascii="宋体" w:hAnsi="宋体" w:cs="宋体"/>
          <w:lang w:bidi="ar"/>
        </w:rPr>
        <w:t>博州数据回流需求主要围绕“博州领导驾驶舱”、“赛里木湖导游导览小程序”和“博州三资数字化系统”等几类应用系统。博州领导驾驶舱为面向州领导层的各类数据综合展示窗口，所需数据包含气象、环境质量等生态相关数据，市监局的食品生产、经营相关数据，药监局的药品、医疗器械相关生产和经营数据等；赛里木湖导游导览小程序主要申请气象局的实时气象监测数据，为游客提供准确的旅游指引服务;博州三资数字化系统重点管理农村资产数据，需要对接农业农村厅的资产相关数据资源，实现资产变化动态管理，实时统计和报告分析，运营服务团队需对这些数据需求开展数据回流工作。</w:t>
      </w:r>
    </w:p>
    <w:p w14:paraId="57560BB8">
      <w:pPr>
        <w:keepNext/>
        <w:keepLines/>
        <w:spacing w:before="240" w:after="64" w:line="319" w:lineRule="auto"/>
        <w:outlineLvl w:val="6"/>
        <w:rPr>
          <w:rFonts w:ascii="宋体" w:hAnsi="宋体" w:cs="宋体"/>
          <w:b/>
          <w:bCs/>
          <w:sz w:val="24"/>
          <w:szCs w:val="24"/>
        </w:rPr>
      </w:pPr>
      <w:r>
        <w:rPr>
          <w:rFonts w:hint="eastAsia" w:ascii="宋体" w:hAnsi="宋体" w:cs="宋体"/>
          <w:b/>
          <w:bCs/>
          <w:sz w:val="24"/>
          <w:szCs w:val="24"/>
          <w:lang w:bidi="ar"/>
        </w:rPr>
        <w:t>2.5.2.7.巴州数据回流</w:t>
      </w:r>
    </w:p>
    <w:p w14:paraId="5F072820">
      <w:pPr>
        <w:adjustRightInd w:val="0"/>
        <w:snapToGrid w:val="0"/>
        <w:spacing w:line="360" w:lineRule="auto"/>
        <w:ind w:firstLine="420" w:firstLineChars="200"/>
        <w:rPr>
          <w:rFonts w:ascii="宋体" w:hAnsi="宋体" w:cs="Times New Roman Regular"/>
        </w:rPr>
      </w:pPr>
      <w:r>
        <w:rPr>
          <w:rFonts w:hint="eastAsia" w:ascii="宋体" w:hAnsi="宋体" w:cs="宋体"/>
          <w:lang w:bidi="ar"/>
        </w:rPr>
        <w:t>巴州正在推进“教育入学一件事”的相关系统建设，当前以库尔勒市中小学网上报名平台作为首个落地应用，数据回流需求包含公安厅的身份证、户籍资源查询接口，自然资源厅的不动产登记信息查询接口，运营服务团队需对这些数据需求开展数据回流工作。</w:t>
      </w:r>
    </w:p>
    <w:p w14:paraId="31B5978D">
      <w:pPr>
        <w:keepNext/>
        <w:keepLines/>
        <w:spacing w:before="240" w:after="64" w:line="319" w:lineRule="auto"/>
        <w:outlineLvl w:val="6"/>
        <w:rPr>
          <w:rFonts w:ascii="宋体" w:hAnsi="宋体" w:cs="宋体"/>
          <w:b/>
          <w:bCs/>
          <w:sz w:val="24"/>
          <w:szCs w:val="24"/>
        </w:rPr>
      </w:pPr>
      <w:r>
        <w:rPr>
          <w:rFonts w:hint="eastAsia" w:ascii="宋体" w:hAnsi="宋体" w:cs="宋体"/>
          <w:b/>
          <w:bCs/>
          <w:sz w:val="24"/>
          <w:szCs w:val="24"/>
          <w:lang w:bidi="ar"/>
        </w:rPr>
        <w:t>2.5.2.8.吐鲁番市数据回流</w:t>
      </w:r>
    </w:p>
    <w:p w14:paraId="7B1D19FC">
      <w:pPr>
        <w:adjustRightInd w:val="0"/>
        <w:snapToGrid w:val="0"/>
        <w:spacing w:line="360" w:lineRule="auto"/>
        <w:ind w:firstLine="420" w:firstLineChars="200"/>
        <w:rPr>
          <w:rFonts w:ascii="宋体" w:hAnsi="宋体" w:cs="Times New Roman Regular"/>
        </w:rPr>
      </w:pPr>
      <w:r>
        <w:rPr>
          <w:rFonts w:hint="eastAsia" w:ascii="宋体" w:hAnsi="宋体" w:cs="宋体"/>
          <w:lang w:bidi="ar"/>
        </w:rPr>
        <w:t>吐鲁番市在建“吐鲁番效能监管平台”，实现市级及各区县政务服务中心对行政管理部门业务办理完成情况进行督促及政务服务能力成效分析。为此吐鲁番市需要对接自治区一体化政务服务平台相关数据，实现事项数据、政务服务办件数据、好差评数据、统一受理、办事指南等多类数据的回流，确保各类数据能够及时反馈在吐鲁番本地系统中，达到动态跟踪、实时统计、重点督促的目标要求，提高政府单位办事效能，提供群众满意度，运营服务团队需对这些数据需求开展数据回流工作。</w:t>
      </w:r>
    </w:p>
    <w:p w14:paraId="1DC82F01">
      <w:pPr>
        <w:keepNext/>
        <w:keepLines/>
        <w:spacing w:before="240" w:after="64" w:line="319" w:lineRule="auto"/>
        <w:outlineLvl w:val="6"/>
        <w:rPr>
          <w:rFonts w:ascii="宋体" w:hAnsi="宋体" w:cs="宋体"/>
          <w:b/>
          <w:bCs/>
          <w:sz w:val="24"/>
          <w:szCs w:val="24"/>
        </w:rPr>
      </w:pPr>
      <w:r>
        <w:rPr>
          <w:rFonts w:hint="eastAsia" w:ascii="宋体" w:hAnsi="宋体" w:cs="宋体"/>
          <w:b/>
          <w:bCs/>
          <w:sz w:val="24"/>
          <w:szCs w:val="24"/>
          <w:lang w:bidi="ar"/>
        </w:rPr>
        <w:t>2.5.2.9.哈密市数据回流</w:t>
      </w:r>
    </w:p>
    <w:p w14:paraId="4C73A7CA">
      <w:pPr>
        <w:adjustRightInd w:val="0"/>
        <w:snapToGrid w:val="0"/>
        <w:spacing w:line="360" w:lineRule="auto"/>
        <w:ind w:firstLine="420" w:firstLineChars="200"/>
        <w:rPr>
          <w:rFonts w:ascii="宋体" w:hAnsi="宋体" w:cs="Times New Roman Regular"/>
        </w:rPr>
      </w:pPr>
      <w:r>
        <w:rPr>
          <w:rFonts w:hint="eastAsia" w:ascii="宋体" w:hAnsi="宋体" w:cs="宋体"/>
          <w:lang w:bidi="ar"/>
        </w:rPr>
        <w:t>哈密市数据回流需求包含多个应用场景：首先，哈密市在建设市级人口库，需求以公安数据为基础，涵盖人口身份户籍信息、教育、社保、人事、医疗、资质认证等各类数据，以支撑本地区的其他数据应用场景使用，需从自治区相关单位回流哈密辖区的各类数据。其次，哈密市综合交通运输管理服务平台为实现对道路交通动态监控、道路运输业务办理和资质管理、客运企业监管、高速路流量监控等应用场景，需要从自治区交通运输厅回流相关数据，建立交通运输信息库，实现综合监管场景。第三，哈密市推进教育入学一件事应用建设，需要公安人口身份信息数据、自然资源厅不动产信息、及卫健委的出生医学证明等数据，运营服务团队需对这些数据需求开展数据回流工作。</w:t>
      </w:r>
    </w:p>
    <w:p w14:paraId="2FA16BE8">
      <w:pPr>
        <w:keepNext/>
        <w:keepLines/>
        <w:spacing w:before="240" w:after="64" w:line="319" w:lineRule="auto"/>
        <w:outlineLvl w:val="6"/>
        <w:rPr>
          <w:rFonts w:ascii="宋体" w:hAnsi="宋体" w:cs="宋体"/>
          <w:b/>
          <w:bCs/>
          <w:sz w:val="24"/>
          <w:szCs w:val="24"/>
        </w:rPr>
      </w:pPr>
      <w:r>
        <w:rPr>
          <w:rFonts w:hint="eastAsia" w:ascii="宋体" w:hAnsi="宋体" w:cs="宋体"/>
          <w:b/>
          <w:bCs/>
          <w:sz w:val="24"/>
          <w:szCs w:val="24"/>
          <w:lang w:bidi="ar"/>
        </w:rPr>
        <w:t>2.5.2.10.阿克苏地区数据回流</w:t>
      </w:r>
    </w:p>
    <w:p w14:paraId="178E53AB">
      <w:pPr>
        <w:adjustRightInd w:val="0"/>
        <w:snapToGrid w:val="0"/>
        <w:spacing w:line="360" w:lineRule="auto"/>
        <w:ind w:firstLine="420" w:firstLineChars="200"/>
        <w:rPr>
          <w:rFonts w:ascii="宋体" w:hAnsi="宋体" w:cs="Times New Roman Regular"/>
        </w:rPr>
      </w:pPr>
      <w:r>
        <w:rPr>
          <w:rFonts w:hint="eastAsia" w:ascii="宋体" w:hAnsi="宋体" w:cs="宋体"/>
          <w:lang w:bidi="ar"/>
        </w:rPr>
        <w:t>阿克苏地区在建投资项目管理平台，动态记录和展示地区投资项目整个生命周期中的全量信息，实现项目的全流程监管与实施推进，辅助项目进程监督和促进区域经济发展，为此阿克苏地区提出发改委的投资项目相关数据回流需求，运营服务团队需对这些数据需求开展数据回流工作。</w:t>
      </w:r>
    </w:p>
    <w:p w14:paraId="25CE82D4">
      <w:pPr>
        <w:keepNext/>
        <w:keepLines/>
        <w:spacing w:before="240" w:after="64" w:line="319" w:lineRule="auto"/>
        <w:outlineLvl w:val="6"/>
        <w:rPr>
          <w:rFonts w:ascii="宋体" w:hAnsi="宋体" w:cs="宋体"/>
          <w:b/>
          <w:bCs/>
          <w:sz w:val="24"/>
          <w:szCs w:val="24"/>
        </w:rPr>
      </w:pPr>
      <w:r>
        <w:rPr>
          <w:rFonts w:hint="eastAsia" w:ascii="宋体" w:hAnsi="宋体" w:cs="宋体"/>
          <w:b/>
          <w:bCs/>
          <w:sz w:val="24"/>
          <w:szCs w:val="24"/>
          <w:lang w:bidi="ar"/>
        </w:rPr>
        <w:t>2.5.2.11.和田地区数据回流</w:t>
      </w:r>
    </w:p>
    <w:p w14:paraId="2D206C45">
      <w:pPr>
        <w:adjustRightInd w:val="0"/>
        <w:snapToGrid w:val="0"/>
        <w:spacing w:line="360" w:lineRule="auto"/>
        <w:ind w:firstLine="420" w:firstLineChars="200"/>
        <w:rPr>
          <w:rFonts w:ascii="宋体" w:hAnsi="宋体" w:cs="Times New Roman Regular"/>
        </w:rPr>
      </w:pPr>
      <w:r>
        <w:rPr>
          <w:rFonts w:hint="eastAsia" w:ascii="宋体" w:hAnsi="宋体" w:cs="宋体"/>
          <w:lang w:bidi="ar"/>
        </w:rPr>
        <w:t>和田地区提出的数据回流需求主要集中于“基层减负‘一张表’”项目，数据回流需求包含人社厅的就业、失业、社保相关数据，公安厅的户籍信息、机动车驾驶证和行驶证信息，教育厅的学生学籍信息、教师资格信息，民政厅的婚姻、低保数据，以及残联的残疾人信息等多类数据资源，运营服务团队需对这些数据需求开展数据回流工作。</w:t>
      </w:r>
    </w:p>
    <w:p w14:paraId="75F2F7F5">
      <w:pPr>
        <w:keepNext/>
        <w:keepLines/>
        <w:spacing w:before="240" w:after="64" w:line="319" w:lineRule="auto"/>
        <w:outlineLvl w:val="6"/>
        <w:rPr>
          <w:rFonts w:ascii="宋体" w:hAnsi="宋体" w:cs="宋体"/>
          <w:b/>
          <w:bCs/>
          <w:sz w:val="24"/>
          <w:szCs w:val="24"/>
        </w:rPr>
      </w:pPr>
      <w:r>
        <w:rPr>
          <w:rFonts w:hint="eastAsia" w:ascii="宋体" w:hAnsi="宋体" w:cs="宋体"/>
          <w:b/>
          <w:bCs/>
          <w:sz w:val="24"/>
          <w:szCs w:val="24"/>
          <w:lang w:bidi="ar"/>
        </w:rPr>
        <w:t>2.5.2.12.克州数据回流</w:t>
      </w:r>
    </w:p>
    <w:p w14:paraId="7C0EA707">
      <w:pPr>
        <w:adjustRightInd w:val="0"/>
        <w:snapToGrid w:val="0"/>
        <w:spacing w:line="360" w:lineRule="auto"/>
        <w:ind w:firstLine="420" w:firstLineChars="200"/>
        <w:rPr>
          <w:rFonts w:ascii="宋体" w:hAnsi="宋体" w:cs="Times New Roman Regular"/>
        </w:rPr>
      </w:pPr>
      <w:r>
        <w:rPr>
          <w:rFonts w:hint="eastAsia" w:ascii="宋体" w:hAnsi="宋体" w:cs="宋体"/>
          <w:lang w:bidi="ar"/>
        </w:rPr>
        <w:t>克州的数据回流需求围绕政务服务业务，包括事项类、办件类、好差评相关数据，运营服务团队需对这些数据需求开展数据回流工作。</w:t>
      </w:r>
    </w:p>
    <w:p w14:paraId="2FFAC5E2">
      <w:pPr>
        <w:keepNext/>
        <w:keepLines/>
        <w:spacing w:before="240" w:after="64" w:line="319" w:lineRule="auto"/>
        <w:outlineLvl w:val="6"/>
        <w:rPr>
          <w:rFonts w:ascii="宋体" w:hAnsi="宋体" w:cs="宋体"/>
          <w:b/>
          <w:bCs/>
          <w:sz w:val="24"/>
          <w:szCs w:val="24"/>
        </w:rPr>
      </w:pPr>
      <w:r>
        <w:rPr>
          <w:rFonts w:hint="eastAsia" w:ascii="宋体" w:hAnsi="宋体" w:cs="宋体"/>
          <w:b/>
          <w:bCs/>
          <w:sz w:val="24"/>
          <w:szCs w:val="24"/>
          <w:lang w:bidi="ar"/>
        </w:rPr>
        <w:t>2.5.2.13.昌吉州数据回流</w:t>
      </w:r>
    </w:p>
    <w:p w14:paraId="3D682548">
      <w:pPr>
        <w:adjustRightInd w:val="0"/>
        <w:snapToGrid w:val="0"/>
        <w:spacing w:line="360" w:lineRule="auto"/>
        <w:ind w:firstLine="420" w:firstLineChars="200"/>
        <w:rPr>
          <w:rFonts w:ascii="宋体" w:hAnsi="宋体" w:cs="Times New Roman Regular"/>
        </w:rPr>
      </w:pPr>
      <w:r>
        <w:rPr>
          <w:rFonts w:hint="eastAsia" w:ascii="宋体" w:hAnsi="宋体" w:cs="宋体"/>
          <w:lang w:bidi="ar"/>
        </w:rPr>
        <w:t>昌吉州的数据回流需求以政务服务相关数据为主，提出了政务办件相关数据需求，涵盖办件过程、材料、结果等数据类别，运营服务团队需对这些数据需求开展数据回流工作。</w:t>
      </w:r>
    </w:p>
    <w:p w14:paraId="752B1A8B">
      <w:pPr>
        <w:keepNext/>
        <w:keepLines/>
        <w:spacing w:before="240" w:after="64" w:line="319" w:lineRule="auto"/>
        <w:outlineLvl w:val="6"/>
        <w:rPr>
          <w:rFonts w:ascii="宋体" w:hAnsi="宋体" w:cs="宋体"/>
          <w:b/>
          <w:bCs/>
          <w:sz w:val="24"/>
          <w:szCs w:val="24"/>
        </w:rPr>
      </w:pPr>
      <w:r>
        <w:rPr>
          <w:rFonts w:hint="eastAsia" w:ascii="宋体" w:hAnsi="宋体" w:cs="宋体"/>
          <w:b/>
          <w:bCs/>
          <w:sz w:val="24"/>
          <w:szCs w:val="24"/>
          <w:lang w:bidi="ar"/>
        </w:rPr>
        <w:t>2.5.2.14.塔城地区数据回流</w:t>
      </w:r>
    </w:p>
    <w:p w14:paraId="1CE2DFAF">
      <w:pPr>
        <w:adjustRightInd w:val="0"/>
        <w:snapToGrid w:val="0"/>
        <w:spacing w:line="360" w:lineRule="auto"/>
        <w:ind w:firstLine="420" w:firstLineChars="200"/>
        <w:rPr>
          <w:rFonts w:ascii="宋体" w:hAnsi="宋体" w:cs="宋体"/>
          <w:lang w:bidi="ar"/>
        </w:rPr>
      </w:pPr>
      <w:r>
        <w:rPr>
          <w:rFonts w:hint="eastAsia" w:ascii="宋体" w:hAnsi="宋体" w:cs="宋体"/>
          <w:lang w:bidi="ar"/>
        </w:rPr>
        <w:t>塔城地区数据回流需求主要围绕人口库资源和“扫码入企”专项业务，人口库资源需求涵盖了人口基本信息、社保缴纳信息、婚姻登记和死亡信息等，运营服务团队需对这些数据需求开展数据回流工作。</w:t>
      </w:r>
    </w:p>
    <w:p w14:paraId="3A0FB526">
      <w:pPr>
        <w:keepNext/>
        <w:keepLines/>
        <w:spacing w:before="240" w:after="64" w:line="319" w:lineRule="auto"/>
        <w:ind w:left="567" w:hanging="567"/>
        <w:outlineLvl w:val="5"/>
        <w:rPr>
          <w:rFonts w:ascii="宋体" w:hAnsi="宋体"/>
          <w:b/>
          <w:bCs/>
          <w:color w:val="000000"/>
          <w:kern w:val="0"/>
          <w:sz w:val="28"/>
          <w:szCs w:val="28"/>
        </w:rPr>
      </w:pPr>
      <w:r>
        <w:rPr>
          <w:rFonts w:hint="eastAsia" w:ascii="宋体" w:hAnsi="宋体" w:cs="宋体"/>
          <w:b/>
          <w:bCs/>
          <w:sz w:val="24"/>
          <w:szCs w:val="24"/>
          <w:lang w:bidi="ar"/>
        </w:rPr>
        <w:t>2.5.3</w:t>
      </w:r>
      <w:r>
        <w:rPr>
          <w:rFonts w:hint="eastAsia" w:ascii="宋体" w:hAnsi="宋体" w:cs="宋体"/>
          <w:b/>
          <w:bCs/>
          <w:color w:val="000000"/>
          <w:kern w:val="0"/>
          <w:sz w:val="28"/>
          <w:szCs w:val="28"/>
          <w:lang w:bidi="ar"/>
        </w:rPr>
        <w:t>数据共享交换专题库</w:t>
      </w:r>
    </w:p>
    <w:p w14:paraId="2138603F">
      <w:pPr>
        <w:adjustRightInd w:val="0"/>
        <w:snapToGrid w:val="0"/>
        <w:spacing w:line="360" w:lineRule="auto"/>
        <w:ind w:firstLine="420" w:firstLineChars="200"/>
        <w:rPr>
          <w:rFonts w:ascii="宋体" w:hAnsi="宋体" w:cs="Times New Roman Regular"/>
        </w:rPr>
      </w:pPr>
      <w:r>
        <w:rPr>
          <w:rFonts w:hint="eastAsia" w:ascii="宋体" w:hAnsi="宋体" w:cs="宋体"/>
          <w:lang w:bidi="ar"/>
        </w:rPr>
        <w:t>专题库建设是自治区一体化数据资源服务平台建设的重要组成部分，在运营阶段主要体现为对已有数据资源进行专题化整合、深度加工和针对性优化，而非全部从零构建。通过对各部门现有数据按特定行业、地区或专题领域进行系统性梳理与完善，为特定需求提供精准的数据支撑和服务。根据自治区一体化数据资源体系建设实施方案要求，结合自治区产业集群发展规划，本项目将系统性地预测和分析各产业数字化发展过程中的数据需求，统筹规划开展重点行业专题库和数据共享交换专题库建设。通过专题库的建设，可实现行业数据的深度整合和跨部门数据的高效协同，为行业发展和地方治理提供精准数据服务，促进数据要素价值的充分释放。</w:t>
      </w:r>
    </w:p>
    <w:p w14:paraId="57EE86C5">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2.5.3.</w:t>
      </w:r>
      <w:r>
        <w:rPr>
          <w:rFonts w:hint="eastAsia" w:ascii="宋体" w:hAnsi="宋体" w:cs="宋体"/>
          <w:b/>
          <w:bCs/>
          <w:sz w:val="24"/>
          <w:szCs w:val="24"/>
          <w:lang w:eastAsia="zh" w:bidi="ar"/>
        </w:rPr>
        <w:t>1</w:t>
      </w:r>
      <w:r>
        <w:rPr>
          <w:rFonts w:hint="eastAsia" w:ascii="宋体" w:hAnsi="宋体" w:cs="宋体"/>
          <w:b/>
          <w:bCs/>
          <w:sz w:val="24"/>
          <w:szCs w:val="24"/>
          <w:lang w:bidi="ar"/>
        </w:rPr>
        <w:t>."党员信息库"专题库</w:t>
      </w:r>
    </w:p>
    <w:p w14:paraId="53D9294C">
      <w:pPr>
        <w:adjustRightInd w:val="0"/>
        <w:snapToGrid w:val="0"/>
        <w:spacing w:line="360" w:lineRule="auto"/>
        <w:ind w:firstLine="420" w:firstLineChars="200"/>
        <w:rPr>
          <w:rFonts w:ascii="宋体" w:hAnsi="宋体" w:cs="宋体"/>
          <w:lang w:bidi="ar"/>
        </w:rPr>
      </w:pPr>
      <w:r>
        <w:rPr>
          <w:rFonts w:hint="eastAsia" w:ascii="宋体" w:hAnsi="宋体" w:cs="宋体"/>
          <w:lang w:bidi="ar"/>
        </w:rPr>
        <w:t>"党员信息库"专题库是支持自治区地（州、市）组织部对党员信息管理的专项数据工程。该专题库建设以党建工作需求为导向，以实现党员信息的广泛汇聚和关联整合为目标，形成多维度的党员信息库。</w:t>
      </w:r>
    </w:p>
    <w:p w14:paraId="06AAC98A">
      <w:pPr>
        <w:adjustRightInd w:val="0"/>
        <w:snapToGrid w:val="0"/>
        <w:spacing w:line="360" w:lineRule="auto"/>
        <w:ind w:firstLine="420" w:firstLineChars="200"/>
        <w:rPr>
          <w:rFonts w:ascii="宋体" w:hAnsi="宋体" w:cs="宋体"/>
          <w:lang w:bidi="ar"/>
        </w:rPr>
      </w:pPr>
      <w:r>
        <w:rPr>
          <w:rFonts w:hint="eastAsia" w:ascii="宋体" w:hAnsi="宋体" w:cs="宋体"/>
          <w:lang w:bidi="ar"/>
        </w:rPr>
        <w:t>建设要求：须完成“党员信息库”专题库建设，覆盖党员基本信息并提供“一人一档”关联分析功能。</w:t>
      </w:r>
    </w:p>
    <w:p w14:paraId="01D45A74">
      <w:pPr>
        <w:adjustRightInd w:val="0"/>
        <w:snapToGrid w:val="0"/>
        <w:spacing w:line="360" w:lineRule="auto"/>
        <w:ind w:firstLine="420" w:firstLineChars="200"/>
        <w:rPr>
          <w:rFonts w:ascii="宋体" w:hAnsi="宋体" w:cs="宋体"/>
          <w:lang w:bidi="ar"/>
        </w:rPr>
      </w:pPr>
      <w:r>
        <w:rPr>
          <w:rFonts w:hint="eastAsia" w:ascii="宋体" w:hAnsi="宋体" w:cs="宋体"/>
          <w:lang w:bidi="ar"/>
        </w:rPr>
        <w:t>交付成果包括：专题库建设标准规范、专题库库表设计文档、专题库试运行报告等相关文档。</w:t>
      </w:r>
    </w:p>
    <w:p w14:paraId="7676E83B">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2.5.3.2.升规纳统专题库</w:t>
      </w:r>
    </w:p>
    <w:p w14:paraId="24467161">
      <w:pPr>
        <w:adjustRightInd w:val="0"/>
        <w:snapToGrid w:val="0"/>
        <w:spacing w:line="360" w:lineRule="auto"/>
        <w:ind w:firstLine="420" w:firstLineChars="200"/>
        <w:rPr>
          <w:rFonts w:ascii="宋体" w:hAnsi="宋体" w:cs="宋体"/>
          <w:lang w:bidi="ar"/>
        </w:rPr>
      </w:pPr>
      <w:r>
        <w:rPr>
          <w:rFonts w:hint="eastAsia" w:ascii="宋体" w:hAnsi="宋体" w:cs="宋体"/>
          <w:lang w:bidi="ar"/>
        </w:rPr>
        <w:t>升规纳统专题库是支持自治区统计局及工信厅对规模以上企业经营监测的专项数据工程。该专题库以实现对规模以上企业经营状况和纳税参保情况进行全面监测和统计分析为目标，构建多维度的企业监测数据体系。</w:t>
      </w:r>
    </w:p>
    <w:p w14:paraId="3D17EA87">
      <w:pPr>
        <w:adjustRightInd w:val="0"/>
        <w:snapToGrid w:val="0"/>
        <w:spacing w:line="360" w:lineRule="auto"/>
        <w:ind w:firstLine="420" w:firstLineChars="200"/>
        <w:rPr>
          <w:rFonts w:ascii="宋体" w:hAnsi="宋体" w:cs="宋体"/>
          <w:lang w:bidi="ar"/>
        </w:rPr>
      </w:pPr>
      <w:r>
        <w:rPr>
          <w:rFonts w:hint="eastAsia" w:ascii="宋体" w:hAnsi="宋体" w:cs="宋体"/>
          <w:lang w:bidi="ar"/>
        </w:rPr>
        <w:t>建设要求：</w:t>
      </w:r>
      <w:r>
        <w:rPr>
          <w:rFonts w:ascii="宋体" w:hAnsi="宋体" w:cs="宋体"/>
          <w:lang w:bidi="ar"/>
        </w:rPr>
        <w:t>须完成“升规纳统”专题库建设，建立以“统一社会信用代码”为主键的企业主数据管理机制，实现按行业、地区、时间的指标汇总及同比环比分析。</w:t>
      </w:r>
    </w:p>
    <w:p w14:paraId="611C92E2">
      <w:pPr>
        <w:adjustRightInd w:val="0"/>
        <w:snapToGrid w:val="0"/>
        <w:spacing w:line="360" w:lineRule="auto"/>
        <w:ind w:firstLine="420" w:firstLineChars="200"/>
        <w:rPr>
          <w:rFonts w:ascii="宋体" w:hAnsi="宋体" w:cs="宋体"/>
          <w:lang w:bidi="ar"/>
        </w:rPr>
      </w:pPr>
      <w:r>
        <w:rPr>
          <w:rFonts w:hint="eastAsia" w:ascii="宋体" w:hAnsi="宋体" w:cs="宋体"/>
          <w:lang w:bidi="ar"/>
        </w:rPr>
        <w:t>交付成果包括：专题库建设标准规范、专题库库表设计文档、专题库试运行报告等相关文档。</w:t>
      </w:r>
    </w:p>
    <w:p w14:paraId="40C2D0AF">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2.5.3.3.经济监测预测专题库</w:t>
      </w:r>
    </w:p>
    <w:p w14:paraId="76B2C648">
      <w:pPr>
        <w:adjustRightInd w:val="0"/>
        <w:snapToGrid w:val="0"/>
        <w:spacing w:line="360" w:lineRule="auto"/>
        <w:ind w:firstLine="420" w:firstLineChars="200"/>
        <w:rPr>
          <w:rFonts w:ascii="宋体" w:hAnsi="宋体" w:cs="宋体"/>
          <w:lang w:bidi="ar"/>
        </w:rPr>
      </w:pPr>
      <w:r>
        <w:rPr>
          <w:rFonts w:hint="eastAsia" w:ascii="宋体" w:hAnsi="宋体" w:cs="宋体"/>
          <w:lang w:bidi="ar"/>
        </w:rPr>
        <w:t>经济监测预测专题库是支持自治区发改委"经济监测预测"专题项目的重要数据基础设施。该专题库以提升经济运行监测、分析、预测和预警能力为目标，全面整合各类经济数据，包括宏观经济指标、行业发展数据、企业运营状况等多维度信息，构建系统完整的经济监测预测数据体系。通过对自治区统计局、住建厅、财政厅、交通厅、文旅厅等10余家数源部门开展逐一调研，形成全面反映自治区经济运行状况的多维数据资源。</w:t>
      </w:r>
    </w:p>
    <w:p w14:paraId="36B46184">
      <w:pPr>
        <w:adjustRightInd w:val="0"/>
        <w:snapToGrid w:val="0"/>
        <w:spacing w:line="360" w:lineRule="auto"/>
        <w:ind w:firstLine="420" w:firstLineChars="200"/>
        <w:rPr>
          <w:rFonts w:ascii="宋体" w:hAnsi="宋体" w:cs="宋体"/>
          <w:lang w:bidi="ar"/>
        </w:rPr>
      </w:pPr>
      <w:r>
        <w:rPr>
          <w:rFonts w:hint="eastAsia" w:ascii="宋体" w:hAnsi="宋体" w:cs="宋体"/>
          <w:lang w:bidi="ar"/>
        </w:rPr>
        <w:t>建设要求：须完成“经济监测预测”专题库建设，归集统计局、住建厅、财政厅等部门多项经济指标，为经济监测提供数据支持。</w:t>
      </w:r>
    </w:p>
    <w:p w14:paraId="5C321E3A">
      <w:pPr>
        <w:adjustRightInd w:val="0"/>
        <w:snapToGrid w:val="0"/>
        <w:spacing w:line="360" w:lineRule="auto"/>
        <w:ind w:firstLine="420" w:firstLineChars="200"/>
        <w:rPr>
          <w:rFonts w:ascii="宋体" w:hAnsi="宋体" w:cs="宋体"/>
          <w:lang w:bidi="ar"/>
        </w:rPr>
      </w:pPr>
      <w:r>
        <w:rPr>
          <w:rFonts w:hint="eastAsia" w:ascii="宋体" w:hAnsi="宋体" w:cs="宋体"/>
          <w:lang w:bidi="ar"/>
        </w:rPr>
        <w:t>交付成果包括：专题库建设标准规范、专题库库表设计文档、专题库试运行报告等相关文档。</w:t>
      </w:r>
    </w:p>
    <w:p w14:paraId="4CEA5B02">
      <w:pPr>
        <w:keepNext/>
        <w:keepLines/>
        <w:spacing w:before="240" w:after="64" w:line="319" w:lineRule="auto"/>
        <w:ind w:left="210" w:leftChars="100"/>
        <w:outlineLvl w:val="6"/>
        <w:rPr>
          <w:rFonts w:ascii="宋体" w:hAnsi="宋体" w:cs="宋体"/>
          <w:b/>
          <w:bCs/>
          <w:sz w:val="24"/>
          <w:szCs w:val="24"/>
        </w:rPr>
      </w:pPr>
      <w:r>
        <w:rPr>
          <w:rFonts w:hint="eastAsia" w:ascii="宋体" w:hAnsi="宋体" w:cs="宋体"/>
          <w:b/>
          <w:bCs/>
          <w:sz w:val="24"/>
          <w:szCs w:val="24"/>
          <w:lang w:bidi="ar"/>
        </w:rPr>
        <w:t>2.5.3.4.成品油监管专题库</w:t>
      </w:r>
    </w:p>
    <w:p w14:paraId="026E299B">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成品油监管专题库是支持自治区成品油市场监管和税收征管的专项数据工程。该专题库以提升成品油生产、销售、运输等环节的全链条监管能力为目标，系统整合成品油相关数据资源，构建覆盖成品油生产、销售、运输、使用的全过程数据监管体系。通过对交通运输厅、商务厅、市监局等数源部门的数据整合，为税务机关对成品油行业的监管提供全面数据支撑。</w:t>
      </w:r>
    </w:p>
    <w:p w14:paraId="3C9B6F18">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建设要求：须完成“成品油监管”专题库建设，整合零售企业基本信息、危化品运单信息、加油机强检器具信息，为成品油监管提供数据支持。</w:t>
      </w:r>
    </w:p>
    <w:p w14:paraId="132866C8">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交付成果包括：专题库建设标准规范、专题库库表设计文档、专题库试运行报告等相关文档。</w:t>
      </w:r>
    </w:p>
    <w:p w14:paraId="705D4960">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2.5.3.5.数据共享咨询服务</w:t>
      </w:r>
    </w:p>
    <w:p w14:paraId="16F15271">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数据共享申请咨询服务是专题库建设的前置环节，平台将为各单位提供专业的数据需求分析和咨询服务。针对收到的线下或线上数据申请，专业团队将协助申请单位明确数据需求，评估业务场景的数据要素，整理形成规范的数据需求清单，向数据治理单位发起规范的数据共享申请。在需求分析过程中，将重点关注数据需求的合法合规性、业务关联性和技术可行性，确保数据共享申请既符合法律法规要求，又能切实满足业务需要。</w:t>
      </w:r>
    </w:p>
    <w:p w14:paraId="172F6D40">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2.5.3.6.数据共享流程协理</w:t>
      </w:r>
    </w:p>
    <w:p w14:paraId="4CEBB0D5">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数据共享协助审批服务是数据权限管控的关键环节，平台将根据"数据共享申请备案信息"，对申请的数据资源清单进行初步审查，重点评估数据使用目的的合法性、申请数据范围的合理性和安全保障措施的有效性。对审核不通过的清单，将通过电子或书面文字方式及时反馈申请方，说明原因并提供调整建议，由申请方确认调整后再次提交。对符合共享原则的资源清单，将按资源实体提供独立的数据质量分析报告，详细说明数据的完整性、准确性、时效性等质量状况，帮助申请方全面了解数据质量情况。根据共享数据质量分析结果和应用场景特点，平台将会同数据提供方和使用方共同确定最适合的共享方式，如接口服务共享、表权限共享或表批量数据共享等。</w:t>
      </w:r>
    </w:p>
    <w:p w14:paraId="524C56FE">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2.5.3.7.数据共享执行和实施服务</w:t>
      </w:r>
    </w:p>
    <w:p w14:paraId="5C293171">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 xml:space="preserve"> 数据共享执行服务是实现数据流通的技术环节，平台将根据数据源单位对数据资源清单的审批意见，高效执行数据共享配置工作。对于批准共享的数据资源，根据确定的共享方式，平台将完成接口服务共享配置、表权限共享设置或表批量数据共享传输等技术实施工作，确保数据安全高效流通。共享配置完成后，将通过电子或书面文字方式及时通知申请方，提供详细的接入指南和技术支持，帮助申请方快速有效地使用共享数据。</w:t>
      </w:r>
    </w:p>
    <w:p w14:paraId="03C7EE7F">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数据共享实施服务是确保数据有效应用的支撑环节，平台将根据不同的共享方式提供相应的实施服务。对于库表推送类共享，通过数据同步组件，配置源端与目标端的数据库信息，建立字段映射关系，实现表数据从源端到目标端的安全同步。对于API接口类共享，通过通用API框架创建数据API接口，定义API的URL地址、请求参数、返回参数等关键要素，部署完成后向申请方提供接口调用说明文档，确保API接口的可用性和易用性。</w:t>
      </w:r>
    </w:p>
    <w:p w14:paraId="17C63C63">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通过其他数据共享交换专题库建设，将有效解决自治区各部门在数字化建设过程中的数据共享需求，促进政府部门间数据的高效流通和协同应用，打破"数据孤岛"，实现"数据通、业务通、服务通"，为自治区数字政府建设和政务服务创新提供坚实的数据基础，推动政府治理体系和治理能力现代化。</w:t>
      </w:r>
    </w:p>
    <w:p w14:paraId="18B0F61F">
      <w:pPr>
        <w:adjustRightInd w:val="0"/>
        <w:snapToGrid w:val="0"/>
        <w:spacing w:line="360" w:lineRule="auto"/>
        <w:ind w:firstLine="420" w:firstLineChars="200"/>
        <w:rPr>
          <w:rFonts w:ascii="宋体" w:hAnsi="宋体" w:cs="宋体"/>
          <w:lang w:bidi="ar"/>
        </w:rPr>
      </w:pPr>
    </w:p>
    <w:p w14:paraId="7054C829">
      <w:pPr>
        <w:keepNext/>
        <w:keepLines/>
        <w:spacing w:before="240" w:after="64" w:line="319" w:lineRule="auto"/>
        <w:ind w:left="567" w:hanging="567"/>
        <w:outlineLvl w:val="4"/>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2.6.公共数据开放运营</w:t>
      </w:r>
    </w:p>
    <w:p w14:paraId="5A038E7A">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自治区一体化数据资源服务平台在运营阶段将依托数据开放系统，有序推进公共数据开放工作，深化对与民生紧密相关、社会迫切需要、产业发展急需的重点领域公共数据资源的开放力度。平台将坚持需求导向原则，加快挖掘培育公共数据应用场景，推进公共数据资源分级开发利用。</w:t>
      </w:r>
    </w:p>
    <w:p w14:paraId="5C22966D">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公共数据开放运营服务要求：开放数据资源处理（标准化、校验、清洗、脱敏、质量检测）、数据组织处理流程、开放数据编目、采集、加工、装载、发布及创新应用方案完整可行。</w:t>
      </w:r>
    </w:p>
    <w:p w14:paraId="0C2004D2">
      <w:pPr>
        <w:keepNext/>
        <w:keepLines/>
        <w:spacing w:before="240" w:after="64" w:line="319" w:lineRule="auto"/>
        <w:outlineLvl w:val="5"/>
        <w:rPr>
          <w:rFonts w:ascii="宋体" w:hAnsi="宋体" w:cs="宋体"/>
          <w:b/>
          <w:bCs/>
          <w:sz w:val="24"/>
          <w:szCs w:val="24"/>
          <w:lang w:bidi="ar"/>
        </w:rPr>
      </w:pPr>
      <w:r>
        <w:rPr>
          <w:rFonts w:hint="eastAsia" w:ascii="宋体" w:hAnsi="宋体" w:cs="宋体"/>
          <w:b/>
          <w:bCs/>
          <w:sz w:val="24"/>
          <w:szCs w:val="24"/>
          <w:lang w:bidi="ar"/>
        </w:rPr>
        <w:t>2.6.1.开放数据资源处理</w:t>
      </w:r>
    </w:p>
    <w:p w14:paraId="57E9DEC3">
      <w:pPr>
        <w:adjustRightInd w:val="0"/>
        <w:snapToGrid w:val="0"/>
        <w:spacing w:line="360" w:lineRule="auto"/>
        <w:ind w:firstLine="420" w:firstLineChars="200"/>
        <w:rPr>
          <w:rFonts w:ascii="宋体" w:hAnsi="宋体" w:cs="宋体"/>
          <w:lang w:bidi="ar"/>
        </w:rPr>
      </w:pPr>
      <w:r>
        <w:rPr>
          <w:rFonts w:hint="eastAsia" w:ascii="宋体" w:hAnsi="宋体" w:cs="宋体"/>
          <w:lang w:bidi="ar"/>
        </w:rPr>
        <w:t>开放数据资源处理是确保数据高质量开放的关键环节，主要完成数据在开放前的各种必要处理工作。</w:t>
      </w:r>
    </w:p>
    <w:p w14:paraId="1240F81A">
      <w:pPr>
        <w:keepNext/>
        <w:keepLines/>
        <w:spacing w:before="240" w:after="64" w:line="319" w:lineRule="auto"/>
        <w:outlineLvl w:val="5"/>
        <w:rPr>
          <w:rFonts w:ascii="宋体" w:hAnsi="宋体" w:cs="宋体"/>
          <w:b/>
          <w:bCs/>
          <w:sz w:val="24"/>
          <w:szCs w:val="24"/>
          <w:lang w:bidi="ar"/>
        </w:rPr>
      </w:pPr>
      <w:r>
        <w:rPr>
          <w:rFonts w:hint="eastAsia" w:ascii="宋体" w:hAnsi="宋体" w:cs="宋体"/>
          <w:b/>
          <w:bCs/>
          <w:sz w:val="24"/>
          <w:szCs w:val="24"/>
          <w:lang w:bidi="ar"/>
        </w:rPr>
        <w:t>2.6.2开放数据组织处理</w:t>
      </w:r>
    </w:p>
    <w:p w14:paraId="628A01AE">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开放数据组织处理是在数据质量和数据安全双重视角下，为公共开放数据的交换、共享和开放提供的完整解决方案。</w:t>
      </w:r>
    </w:p>
    <w:p w14:paraId="79CDA529">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2.6.2.1数据标准化</w:t>
      </w:r>
    </w:p>
    <w:p w14:paraId="1F67B513">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数据标准化是公共开放数据管理的基础工作，通过对公共开放数据的系统梳理，平台建立了数据元对应的数据字段格式标准体系。数据标准化工作的实施对提升数据质量和促进数据共享开放具有重要意义。</w:t>
      </w:r>
    </w:p>
    <w:p w14:paraId="6FEA5A44">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2.6.2.2数据校验</w:t>
      </w:r>
    </w:p>
    <w:p w14:paraId="322F3E1E">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数据校验是确保数据质量的关键环节，通过系统化的匹配过程，将每一个唯一实体对应到特定的唯一编号上，为后续的数据去重合并等处理奠定基础。</w:t>
      </w:r>
    </w:p>
    <w:p w14:paraId="5B4636A2">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2.6.2.3数据加工清洗</w:t>
      </w:r>
    </w:p>
    <w:p w14:paraId="790BE8B9">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数据加工清洗是提升数据质量的核心环节，主要针对不符合标准的数据进行系统化处理，包括缺失数据处理、异常数据处理和逻辑错误处理等多个方面。</w:t>
      </w:r>
    </w:p>
    <w:p w14:paraId="7535809D">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2.6.2.4数据转换</w:t>
      </w:r>
    </w:p>
    <w:p w14:paraId="1F0235A7">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数据转换是根据实际需求将已有字段内容变换成其它形式的过程，有多种数据转换方法，包括依规则变换、数据概化、单位转换、数据下钻和数据规范化等。</w:t>
      </w:r>
    </w:p>
    <w:p w14:paraId="003F81B6">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通过合理选择和应用转换方法，根据不同的数据应用需求，灵活调整数据表现形式，提升数据的适用性和服务能力，更好地满足各类数据开放应用的需求。</w:t>
      </w:r>
    </w:p>
    <w:p w14:paraId="27DF8692">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2.6.2.5分拆合并</w:t>
      </w:r>
    </w:p>
    <w:p w14:paraId="6D7C4935">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分拆合并是对已知字段进行分拆、合并等操作，转换成新的字段的过程。有多种分拆合并方法，包括直接分拆、分拆变换、字符添加、直接合并和变换合并等。</w:t>
      </w:r>
    </w:p>
    <w:p w14:paraId="613B0368">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这些分拆合并方法的应用，能够满足不同的数据处理需求，提升数据的适用性和可用性，为数据开放提供更为灵活和多样的数据处理手段。</w:t>
      </w:r>
    </w:p>
    <w:p w14:paraId="2139E5AC">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2.6.2.6数据清洗</w:t>
      </w:r>
    </w:p>
    <w:p w14:paraId="163EFB62">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数据清洗是提升数据质量的关键环节，针对现实数据中普遍存在的噪声、格式错误、数值超限、不完整、不一致等问题，需要建立系统化的数据清洗机制。</w:t>
      </w:r>
    </w:p>
    <w:p w14:paraId="2F2F8A98">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2.6.2.7数据开放技术流程</w:t>
      </w:r>
    </w:p>
    <w:p w14:paraId="426380C0">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公共数据开放，需要建立系统化的数据开放技术流程，建立从数据采集到最终开放应用的完整处理链条，确保数据在开放过程中的质量、安全和有效利用。</w:t>
      </w:r>
    </w:p>
    <w:p w14:paraId="7BD76B32">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2.6.2.8开放数据目录梳理流程</w:t>
      </w:r>
    </w:p>
    <w:p w14:paraId="70BCA026">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开放数据目录梳理是数据开放工作的重要环节，需要建立系统化的目录梳理流程，包括数据源调研、现状分析、目录编制和发布管理等多个环节，从而提升开放数据的发现和利用效率，为数据开放工作提供有力支撑。</w:t>
      </w:r>
    </w:p>
    <w:p w14:paraId="19DF7120">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2.6.2.9政府部门数据开放职能分工</w:t>
      </w:r>
    </w:p>
    <w:p w14:paraId="7A2DE789">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政府部门数据开放工作需要明确职责分工，需要建立协同高效的工作机制。</w:t>
      </w:r>
    </w:p>
    <w:p w14:paraId="29DD2965">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2.6.2.10开放数据资源目录</w:t>
      </w:r>
    </w:p>
    <w:p w14:paraId="46C74875">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开放数据资源目录是数据开放工作的基础性成果，需要组织编制开放数据集目录清单，制定开放数据梳理的保障机制，形成系统完整的目录管理体系。</w:t>
      </w:r>
    </w:p>
    <w:p w14:paraId="4BE698CC">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2.6.2.11梳理原则</w:t>
      </w:r>
    </w:p>
    <w:p w14:paraId="4C960CB2">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数据开放目录梳理工作需遵循一系列科学合理的原则，确保梳理工作的全面性、系统性和有效性。首先，需要坚持覆盖政府所有部门的原则，其次，需要坚持尽可能覆盖政府所有的数据集的原则，第三，需要坚持遵循现有建设成果的原则，充分考虑电子政务的发展现状和目标要求。</w:t>
      </w:r>
    </w:p>
    <w:p w14:paraId="4FD71EF0">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2.6.2.12梳理步骤</w:t>
      </w:r>
    </w:p>
    <w:p w14:paraId="48B02E95">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开放数据目录梳理工作需要设计科学合理步骤，确保梳理工作的系统性和有效性。</w:t>
      </w:r>
    </w:p>
    <w:p w14:paraId="12AA5B08">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2.6.2.13梳理业务分析</w:t>
      </w:r>
    </w:p>
    <w:p w14:paraId="730CA00A">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开放数据目录梳理工作需要对政府部门业务进行系统分析，以确保梳理工作的科学性和有效性。</w:t>
      </w:r>
    </w:p>
    <w:p w14:paraId="194178F9">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2.6.2.14梳理数据开放目录的规则</w:t>
      </w:r>
    </w:p>
    <w:p w14:paraId="71C33948">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数据开放目录梳理工作需要制定一系列规则，确保梳理工作的规范性和有效性。例如，需要明确数据开放目录必备的字段，以及明确数据编目的规则。</w:t>
      </w:r>
    </w:p>
    <w:p w14:paraId="44B0DE2B">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2.6.2.15梳理方法</w:t>
      </w:r>
    </w:p>
    <w:p w14:paraId="3036CB11">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数据开放目录梳理工作需要制定科学合理的方法，确保梳理工作的全面性和有效性。</w:t>
      </w:r>
    </w:p>
    <w:p w14:paraId="183ED7D9">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2.6.2.16公共开放数据的采集</w:t>
      </w:r>
    </w:p>
    <w:p w14:paraId="0AB596C3">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公共开放数据的采集是数据开放工作的重要环节，需要遵循一系列采集原则，确保采集工作的规范性和有效性。例如，确保开放的公共数据是完整的，以及优先开放选择民生指数高的数据集。</w:t>
      </w:r>
    </w:p>
    <w:p w14:paraId="7839F08C">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2.6.2.17采集步骤</w:t>
      </w:r>
    </w:p>
    <w:p w14:paraId="2A1CA1E5">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公共开放数据的采集工作需要制定科学合理的步骤，确保采集工作的全面性和有效性。</w:t>
      </w:r>
    </w:p>
    <w:p w14:paraId="6F12C0D6">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2.6.2.18公共开放数据的加工</w:t>
      </w:r>
    </w:p>
    <w:p w14:paraId="76E45871">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公共开放数据的加工是提升数据质量和使用价值的重要环节，包括对结构化数据和非结构化数据的处理工作。</w:t>
      </w:r>
    </w:p>
    <w:p w14:paraId="43F5CDB5">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2.6.2.19数据脱敏</w:t>
      </w:r>
    </w:p>
    <w:p w14:paraId="14CCF389">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数据脱敏是确保数据开放安全性的重要环节，需要建立和完善相关政府与公用事业数据的隐私保护，按保护规则对数据进行脱敏处理。</w:t>
      </w:r>
    </w:p>
    <w:p w14:paraId="6E1F9FC3">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2.6.2.20数据质量</w:t>
      </w:r>
    </w:p>
    <w:p w14:paraId="1271B59C">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数据质量是数据开放的基础保障，需要建立完善的数据监控和数据校验机制，确保开放数据的质量和可靠性。</w:t>
      </w:r>
    </w:p>
    <w:p w14:paraId="24BA91E0">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2.6.2.21标签及分类</w:t>
      </w:r>
    </w:p>
    <w:p w14:paraId="51E19945">
      <w:pPr>
        <w:widowControl w:val="0"/>
        <w:spacing w:line="360" w:lineRule="auto"/>
        <w:ind w:firstLine="420" w:firstLineChars="20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标签及分类是提升数据发现和利用效率的重要手段，需要建立完善的标签生成和数据分类机制，提升数据开放的服务能力。</w:t>
      </w:r>
    </w:p>
    <w:p w14:paraId="43EC4C4B">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2.6.2.22公共开放数据的装载</w:t>
      </w:r>
    </w:p>
    <w:p w14:paraId="6BE59DCC">
      <w:pPr>
        <w:widowControl w:val="0"/>
        <w:spacing w:line="360" w:lineRule="auto"/>
        <w:ind w:firstLine="42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公共开放数据的装载是指将转换好的数据保存到数据仓库中的过程，需要将加工转换后的公共开放数据存储到公共开放数据资源库中。</w:t>
      </w:r>
    </w:p>
    <w:p w14:paraId="48430814">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2.6.2.23公共开放数据的发布</w:t>
      </w:r>
    </w:p>
    <w:p w14:paraId="3CFE5BD4">
      <w:pPr>
        <w:widowControl w:val="0"/>
        <w:spacing w:line="360" w:lineRule="auto"/>
        <w:ind w:firstLine="420"/>
        <w:jc w:val="both"/>
        <w:rPr>
          <w:rFonts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公共开放数据的发布是数据开放工作的最终环节，需要建立规范化的数据发布机制，确保数据发布的规范性和有效性。</w:t>
      </w:r>
    </w:p>
    <w:p w14:paraId="310E4E0A">
      <w:pPr>
        <w:keepNext/>
        <w:keepLines/>
        <w:spacing w:before="240" w:after="64" w:line="319" w:lineRule="auto"/>
        <w:ind w:left="210" w:leftChars="100"/>
        <w:outlineLvl w:val="6"/>
        <w:rPr>
          <w:rFonts w:ascii="宋体" w:hAnsi="宋体" w:cs="宋体"/>
          <w:b/>
          <w:bCs/>
          <w:sz w:val="24"/>
          <w:szCs w:val="24"/>
          <w:lang w:bidi="ar"/>
        </w:rPr>
      </w:pPr>
      <w:r>
        <w:rPr>
          <w:rFonts w:hint="eastAsia" w:ascii="宋体" w:hAnsi="宋体" w:cs="宋体"/>
          <w:b/>
          <w:bCs/>
          <w:sz w:val="24"/>
          <w:szCs w:val="24"/>
          <w:lang w:bidi="ar"/>
        </w:rPr>
        <w:t>2.6.2.24公共开放数据的创新应用</w:t>
      </w:r>
    </w:p>
    <w:p w14:paraId="12312A9F">
      <w:pPr>
        <w:spacing w:line="360" w:lineRule="auto"/>
        <w:ind w:left="-1" w:firstLine="420"/>
        <w:rPr>
          <w:rFonts w:ascii="Times New Roman Regular" w:hAnsi="Times New Roman Regular" w:cs="Times New Roman Regular"/>
          <w:lang w:eastAsia="zh-Hans"/>
        </w:rPr>
      </w:pPr>
      <w:r>
        <w:rPr>
          <w:rFonts w:hint="eastAsia" w:ascii="宋体" w:hAnsi="宋体" w:cs="宋体"/>
          <w:lang w:bidi="ar"/>
        </w:rPr>
        <w:t>公共开放数据的创新应用是数据开放工作的价值体现，需要进行开放数据的创新应用开发，释放数据价值，服务经济社会发展。需要提供2个及以上创新应用。</w:t>
      </w:r>
    </w:p>
    <w:p w14:paraId="564F9C00">
      <w:pPr>
        <w:spacing w:line="360" w:lineRule="auto"/>
        <w:ind w:left="-1"/>
        <w:rPr>
          <w:rFonts w:ascii="Times New Roman Regular" w:hAnsi="Times New Roman Regular" w:cs="Times New Roman Regular"/>
          <w:lang w:eastAsia="zh-Hans"/>
        </w:rPr>
      </w:pPr>
    </w:p>
    <w:p w14:paraId="303A8946">
      <w:pPr>
        <w:keepNext/>
        <w:keepLines/>
        <w:spacing w:before="240" w:after="64" w:line="319" w:lineRule="auto"/>
        <w:ind w:left="567" w:hanging="567"/>
        <w:outlineLvl w:val="4"/>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2.7.高质量数据集运营</w:t>
      </w:r>
    </w:p>
    <w:p w14:paraId="602746D2">
      <w:pPr>
        <w:keepNext/>
        <w:keepLines/>
        <w:ind w:left="425" w:hanging="425"/>
        <w:outlineLvl w:val="5"/>
        <w:rPr>
          <w:rFonts w:ascii="宋体" w:hAnsi="宋体" w:cs="宋体"/>
          <w:b/>
          <w:sz w:val="28"/>
          <w:szCs w:val="28"/>
        </w:rPr>
      </w:pPr>
      <w:r>
        <w:rPr>
          <w:rFonts w:ascii="宋体" w:hAnsi="宋体" w:cs="宋体"/>
          <w:b/>
          <w:sz w:val="28"/>
          <w:szCs w:val="28"/>
        </w:rPr>
        <w:t>2.7.</w:t>
      </w:r>
      <w:r>
        <w:rPr>
          <w:rFonts w:hint="eastAsia" w:ascii="宋体" w:hAnsi="宋体" w:cs="宋体"/>
          <w:b/>
          <w:sz w:val="28"/>
          <w:szCs w:val="28"/>
        </w:rPr>
        <w:t>1公共服务相关高质量数据集</w:t>
      </w:r>
    </w:p>
    <w:p w14:paraId="127A2AB3">
      <w:pPr>
        <w:ind w:left="567" w:hanging="567"/>
        <w:outlineLvl w:val="6"/>
        <w:rPr>
          <w:rFonts w:ascii="宋体" w:hAnsi="宋体" w:cs="宋体"/>
          <w:color w:val="000000"/>
          <w:kern w:val="0"/>
          <w:sz w:val="28"/>
          <w:szCs w:val="28"/>
        </w:rPr>
      </w:pPr>
      <w:r>
        <w:rPr>
          <w:rFonts w:ascii="宋体" w:hAnsi="宋体" w:cs="宋体"/>
          <w:color w:val="000000"/>
          <w:kern w:val="0"/>
          <w:sz w:val="28"/>
          <w:szCs w:val="28"/>
        </w:rPr>
        <w:t>2.7.1</w:t>
      </w:r>
      <w:r>
        <w:rPr>
          <w:rFonts w:hint="eastAsia" w:ascii="宋体" w:hAnsi="宋体" w:cs="宋体"/>
          <w:color w:val="000000"/>
          <w:kern w:val="0"/>
          <w:sz w:val="28"/>
          <w:szCs w:val="28"/>
        </w:rPr>
        <w:t>.1 教育资源分布高质量数据集</w:t>
      </w:r>
    </w:p>
    <w:p w14:paraId="47EBD269">
      <w:pPr>
        <w:spacing w:line="360" w:lineRule="auto"/>
        <w:ind w:firstLine="424" w:firstLineChars="202"/>
        <w:rPr>
          <w:rFonts w:ascii="宋体" w:hAnsi="宋体"/>
          <w:szCs w:val="22"/>
        </w:rPr>
      </w:pPr>
      <w:r>
        <w:rPr>
          <w:rFonts w:hint="eastAsia" w:ascii="宋体" w:hAnsi="宋体"/>
          <w:szCs w:val="22"/>
        </w:rPr>
        <w:t>教育资源分布高质量数据集是支持教育主管部门开展教育资源统筹、均衡发展监测的专项数据工程。该数据集以实现对辖区内教育资源分布、配置效率、办学条件进行全面监测和统计分析为目标，构建多维度的教育资源监测数据体系。</w:t>
      </w:r>
    </w:p>
    <w:p w14:paraId="57A16A65">
      <w:pPr>
        <w:spacing w:line="360" w:lineRule="auto"/>
        <w:ind w:firstLine="424" w:firstLineChars="202"/>
        <w:rPr>
          <w:rFonts w:ascii="宋体" w:hAnsi="宋体"/>
          <w:szCs w:val="22"/>
        </w:rPr>
      </w:pPr>
      <w:r>
        <w:rPr>
          <w:rFonts w:hint="eastAsia" w:ascii="宋体" w:hAnsi="宋体"/>
          <w:szCs w:val="22"/>
        </w:rPr>
        <w:t>建设要求：须完成教育资源分布高质量数据集建设，建立以“教育机构代码”为主键的教育资源主数据管理机制，实现按学段、区域、办学类型的指标汇总及同比环比分析，保障数据来源合法、更新及时、格式规范。</w:t>
      </w:r>
    </w:p>
    <w:p w14:paraId="32DD5978">
      <w:pPr>
        <w:spacing w:line="360" w:lineRule="auto"/>
        <w:ind w:firstLine="424" w:firstLineChars="202"/>
        <w:rPr>
          <w:rFonts w:ascii="宋体" w:hAnsi="宋体"/>
          <w:szCs w:val="22"/>
        </w:rPr>
      </w:pPr>
      <w:r>
        <w:rPr>
          <w:rFonts w:hint="eastAsia" w:ascii="宋体" w:hAnsi="宋体"/>
          <w:szCs w:val="22"/>
        </w:rPr>
        <w:t>交付成果包括：数据集建设标准规范、数据集库表设计文档、数据集试运行报告、数据质量核查报告、数据字典等相关文档。</w:t>
      </w:r>
    </w:p>
    <w:p w14:paraId="1F68B50D">
      <w:pPr>
        <w:ind w:left="567" w:hanging="567"/>
        <w:outlineLvl w:val="6"/>
        <w:rPr>
          <w:rFonts w:ascii="宋体" w:hAnsi="宋体" w:cs="宋体"/>
          <w:color w:val="000000"/>
          <w:kern w:val="0"/>
          <w:sz w:val="28"/>
          <w:szCs w:val="28"/>
        </w:rPr>
      </w:pPr>
      <w:r>
        <w:rPr>
          <w:rFonts w:ascii="宋体" w:hAnsi="宋体" w:cs="宋体"/>
          <w:color w:val="000000"/>
          <w:kern w:val="0"/>
          <w:sz w:val="28"/>
          <w:szCs w:val="28"/>
        </w:rPr>
        <w:t>2.7.1</w:t>
      </w:r>
      <w:r>
        <w:rPr>
          <w:rFonts w:hint="eastAsia" w:ascii="宋体" w:hAnsi="宋体" w:cs="宋体"/>
          <w:color w:val="000000"/>
          <w:kern w:val="0"/>
          <w:sz w:val="28"/>
          <w:szCs w:val="28"/>
        </w:rPr>
        <w:t>.2 社区人口健康高质量数据集</w:t>
      </w:r>
    </w:p>
    <w:p w14:paraId="07CCA185">
      <w:pPr>
        <w:spacing w:line="360" w:lineRule="auto"/>
        <w:ind w:firstLine="424" w:firstLineChars="202"/>
        <w:rPr>
          <w:rFonts w:ascii="宋体" w:hAnsi="宋体"/>
          <w:szCs w:val="22"/>
        </w:rPr>
      </w:pPr>
      <w:r>
        <w:rPr>
          <w:rFonts w:hint="eastAsia" w:ascii="宋体" w:hAnsi="宋体"/>
          <w:szCs w:val="22"/>
        </w:rPr>
        <w:t>社区人口健康高质量数据集是支持卫健部门、基层社区开展公共卫生服务、人口健康管理的专项数据工程。该数据集以实现对社区人口结构、健康状况、公共卫生服务落实情况进行全面监测和统计分析为目标，构建多维度的人口健康监测数据体系。</w:t>
      </w:r>
    </w:p>
    <w:p w14:paraId="1C1D17BF">
      <w:pPr>
        <w:spacing w:line="360" w:lineRule="auto"/>
        <w:ind w:firstLine="424" w:firstLineChars="202"/>
        <w:rPr>
          <w:rFonts w:ascii="宋体" w:hAnsi="宋体"/>
          <w:szCs w:val="22"/>
        </w:rPr>
      </w:pPr>
      <w:r>
        <w:rPr>
          <w:rFonts w:hint="eastAsia" w:ascii="宋体" w:hAnsi="宋体"/>
          <w:szCs w:val="22"/>
        </w:rPr>
        <w:t>建设要求：须完成社区人口健康高质量数据集建设，建立以“居民身份证号（脱敏）”为主键的人口健康主数据管理机制，实现按社区、年龄段、健康类别（慢病/妇幼等）的指标汇总及同比环比分析，确保数据脱敏合规、隐私安全。</w:t>
      </w:r>
    </w:p>
    <w:p w14:paraId="31E7B3FD">
      <w:pPr>
        <w:spacing w:line="360" w:lineRule="auto"/>
        <w:ind w:firstLine="424" w:firstLineChars="202"/>
        <w:rPr>
          <w:rFonts w:ascii="宋体" w:hAnsi="宋体"/>
          <w:szCs w:val="22"/>
        </w:rPr>
      </w:pPr>
      <w:r>
        <w:rPr>
          <w:rFonts w:hint="eastAsia" w:ascii="宋体" w:hAnsi="宋体"/>
          <w:szCs w:val="22"/>
        </w:rPr>
        <w:t>交付成果包括：数据集建设标准规范、数据集库表设计文档、数据集试运行报告、数据脱敏合规报告、数据字典等相关文档。</w:t>
      </w:r>
    </w:p>
    <w:p w14:paraId="1214940C">
      <w:pPr>
        <w:ind w:left="567" w:hanging="567"/>
        <w:outlineLvl w:val="6"/>
        <w:rPr>
          <w:rFonts w:ascii="宋体" w:hAnsi="宋体" w:cs="宋体"/>
          <w:color w:val="000000"/>
          <w:kern w:val="0"/>
          <w:sz w:val="28"/>
          <w:szCs w:val="28"/>
        </w:rPr>
      </w:pPr>
      <w:r>
        <w:rPr>
          <w:rFonts w:ascii="宋体" w:hAnsi="宋体" w:cs="宋体"/>
          <w:color w:val="000000"/>
          <w:kern w:val="0"/>
          <w:sz w:val="28"/>
          <w:szCs w:val="28"/>
        </w:rPr>
        <w:t>2.7.1</w:t>
      </w:r>
      <w:r>
        <w:rPr>
          <w:rFonts w:hint="eastAsia" w:ascii="宋体" w:hAnsi="宋体" w:cs="宋体"/>
          <w:color w:val="000000"/>
          <w:kern w:val="0"/>
          <w:sz w:val="28"/>
          <w:szCs w:val="28"/>
        </w:rPr>
        <w:t>.3 求职信息查询高质量数据集</w:t>
      </w:r>
    </w:p>
    <w:p w14:paraId="3D214899">
      <w:pPr>
        <w:spacing w:line="360" w:lineRule="auto"/>
        <w:ind w:firstLine="424" w:firstLineChars="202"/>
        <w:rPr>
          <w:rFonts w:ascii="宋体" w:hAnsi="宋体"/>
          <w:szCs w:val="22"/>
        </w:rPr>
      </w:pPr>
      <w:r>
        <w:rPr>
          <w:rFonts w:hint="eastAsia" w:ascii="宋体" w:hAnsi="宋体"/>
          <w:szCs w:val="22"/>
        </w:rPr>
        <w:t>求职信息查询高质量数据集是支持人社部门开展公共就业服务、供需匹配的专项数据工程。该数据集以实现对招聘岗位、求职人群、就业政策落实情况进行全面监测和统计分析为目标，构建多维度的就业服务数据体系。</w:t>
      </w:r>
    </w:p>
    <w:p w14:paraId="140D48A7">
      <w:pPr>
        <w:spacing w:line="360" w:lineRule="auto"/>
        <w:ind w:firstLine="424" w:firstLineChars="202"/>
        <w:rPr>
          <w:rFonts w:ascii="宋体" w:hAnsi="宋体"/>
          <w:szCs w:val="22"/>
        </w:rPr>
      </w:pPr>
      <w:r>
        <w:rPr>
          <w:rFonts w:hint="eastAsia" w:ascii="宋体" w:hAnsi="宋体"/>
          <w:szCs w:val="22"/>
        </w:rPr>
        <w:t>建设要求：须完成求职信息查询高质量数据集建设，建立以“岗位编号+求职人员编号”为联合主键的就业数据管理机制，实现按行业、岗位类型、薪资等级的指标汇总及同比环比分析，保障岗位信息真实有效、更新及时。</w:t>
      </w:r>
    </w:p>
    <w:p w14:paraId="6EA1D9EB">
      <w:pPr>
        <w:spacing w:line="360" w:lineRule="auto"/>
        <w:ind w:firstLine="424" w:firstLineChars="202"/>
        <w:rPr>
          <w:rFonts w:ascii="宋体" w:hAnsi="宋体"/>
          <w:szCs w:val="22"/>
        </w:rPr>
      </w:pPr>
      <w:r>
        <w:rPr>
          <w:rFonts w:hint="eastAsia" w:ascii="宋体" w:hAnsi="宋体"/>
          <w:szCs w:val="22"/>
        </w:rPr>
        <w:t>交付成果包括：数据集建设标准规范、数据集库表设计文档、数据集试运行报告、岗位信息核验报告、数据字典等相关文档。</w:t>
      </w:r>
    </w:p>
    <w:p w14:paraId="4B71AB76">
      <w:pPr>
        <w:ind w:left="567" w:hanging="567"/>
        <w:outlineLvl w:val="6"/>
        <w:rPr>
          <w:rFonts w:ascii="宋体" w:hAnsi="宋体" w:cs="宋体"/>
          <w:color w:val="000000"/>
          <w:kern w:val="0"/>
          <w:sz w:val="28"/>
          <w:szCs w:val="28"/>
        </w:rPr>
      </w:pPr>
      <w:r>
        <w:rPr>
          <w:rFonts w:ascii="宋体" w:hAnsi="宋体" w:cs="宋体"/>
          <w:color w:val="000000"/>
          <w:kern w:val="0"/>
          <w:sz w:val="28"/>
          <w:szCs w:val="28"/>
        </w:rPr>
        <w:t>2.7.1</w:t>
      </w:r>
      <w:r>
        <w:rPr>
          <w:rFonts w:hint="eastAsia" w:ascii="宋体" w:hAnsi="宋体" w:cs="宋体"/>
          <w:color w:val="000000"/>
          <w:kern w:val="0"/>
          <w:sz w:val="28"/>
          <w:szCs w:val="28"/>
        </w:rPr>
        <w:t>.4 空气质量监测高质量数据集</w:t>
      </w:r>
    </w:p>
    <w:p w14:paraId="01BE8479">
      <w:pPr>
        <w:spacing w:line="360" w:lineRule="auto"/>
        <w:ind w:firstLine="424" w:firstLineChars="202"/>
        <w:rPr>
          <w:rFonts w:ascii="宋体" w:hAnsi="宋体"/>
          <w:szCs w:val="22"/>
        </w:rPr>
      </w:pPr>
      <w:r>
        <w:rPr>
          <w:rFonts w:hint="eastAsia" w:ascii="宋体" w:hAnsi="宋体"/>
          <w:szCs w:val="22"/>
        </w:rPr>
        <w:t>空气质量监测高质量数据集是支持生态环境部门开展大气环境监测、污染治理的专项数据工程。该数据集以实现对辖区空气质量、污染物浓度、监测点位运行情况进行全面监测和统计分析为目标，构建多维度的环境监测数据体系。</w:t>
      </w:r>
    </w:p>
    <w:p w14:paraId="09D1654D">
      <w:pPr>
        <w:spacing w:line="360" w:lineRule="auto"/>
        <w:ind w:firstLine="424" w:firstLineChars="202"/>
        <w:rPr>
          <w:rFonts w:ascii="宋体" w:hAnsi="宋体"/>
          <w:szCs w:val="22"/>
        </w:rPr>
      </w:pPr>
      <w:r>
        <w:rPr>
          <w:rFonts w:hint="eastAsia" w:ascii="宋体" w:hAnsi="宋体"/>
          <w:szCs w:val="22"/>
        </w:rPr>
        <w:t>建设要求：须完成空气质量监测高质量数据集建设，建立以“监测点位代码+监测时段”为联合主键的监测数据管理机制，实现按监测点位、污染物类型、时间周期的指标汇总及同比环比分析，确保数据时序连续、质控合格。</w:t>
      </w:r>
    </w:p>
    <w:p w14:paraId="6429C208">
      <w:pPr>
        <w:spacing w:line="360" w:lineRule="auto"/>
        <w:ind w:firstLine="424" w:firstLineChars="202"/>
        <w:rPr>
          <w:rFonts w:ascii="宋体" w:hAnsi="宋体"/>
          <w:szCs w:val="22"/>
        </w:rPr>
      </w:pPr>
      <w:r>
        <w:rPr>
          <w:rFonts w:hint="eastAsia" w:ascii="宋体" w:hAnsi="宋体"/>
          <w:szCs w:val="22"/>
        </w:rPr>
        <w:t>交付成果包括：数据集建设标准规范、数据集库表设计文档、数据集试运行报告、数据质控报告、监测点位说明文档等相关文档。</w:t>
      </w:r>
    </w:p>
    <w:p w14:paraId="061E6998">
      <w:pPr>
        <w:ind w:left="567" w:hanging="567"/>
        <w:outlineLvl w:val="6"/>
        <w:rPr>
          <w:rFonts w:ascii="宋体" w:hAnsi="宋体" w:cs="宋体"/>
          <w:color w:val="000000"/>
          <w:kern w:val="0"/>
          <w:sz w:val="28"/>
          <w:szCs w:val="28"/>
        </w:rPr>
      </w:pPr>
      <w:r>
        <w:rPr>
          <w:rFonts w:ascii="宋体" w:hAnsi="宋体" w:cs="宋体"/>
          <w:color w:val="000000"/>
          <w:kern w:val="0"/>
          <w:sz w:val="28"/>
          <w:szCs w:val="28"/>
        </w:rPr>
        <w:t>2.7.1</w:t>
      </w:r>
      <w:r>
        <w:rPr>
          <w:rFonts w:hint="eastAsia" w:ascii="宋体" w:hAnsi="宋体" w:cs="宋体"/>
          <w:color w:val="000000"/>
          <w:kern w:val="0"/>
          <w:sz w:val="28"/>
          <w:szCs w:val="28"/>
        </w:rPr>
        <w:t>.5 交通网络规划高质量数据集</w:t>
      </w:r>
    </w:p>
    <w:p w14:paraId="286E8339">
      <w:pPr>
        <w:spacing w:line="360" w:lineRule="auto"/>
        <w:ind w:firstLine="424" w:firstLineChars="202"/>
        <w:rPr>
          <w:rFonts w:ascii="宋体" w:hAnsi="宋体"/>
          <w:szCs w:val="22"/>
        </w:rPr>
      </w:pPr>
      <w:r>
        <w:rPr>
          <w:rFonts w:hint="eastAsia" w:ascii="宋体" w:hAnsi="宋体"/>
          <w:szCs w:val="22"/>
        </w:rPr>
        <w:t>交通网络规划高质量数据集是支持交通主管部门开展路网优化、交通规划的专项数据工程。该数据集以实现对交通网络布局、通行状态、设施配置进行全面监测和统计分析为目标，构建多维度的交通规划数据体系。</w:t>
      </w:r>
    </w:p>
    <w:p w14:paraId="043C8B91">
      <w:pPr>
        <w:spacing w:line="360" w:lineRule="auto"/>
        <w:ind w:firstLine="424" w:firstLineChars="202"/>
        <w:rPr>
          <w:rFonts w:ascii="宋体" w:hAnsi="宋体"/>
          <w:szCs w:val="22"/>
        </w:rPr>
      </w:pPr>
      <w:r>
        <w:rPr>
          <w:rFonts w:hint="eastAsia" w:ascii="宋体" w:hAnsi="宋体"/>
          <w:szCs w:val="22"/>
        </w:rPr>
        <w:t>建设要求：须完成交通网络规划高质量数据集建设，建立以“交通设施代码”为主键的交通资源主数据管理机制，实现按路网类型、区域、时段的指标汇总及同比环比分析，保障空间坐标准确、拓扑关系合理。</w:t>
      </w:r>
    </w:p>
    <w:p w14:paraId="7A48069B">
      <w:pPr>
        <w:spacing w:line="360" w:lineRule="auto"/>
        <w:ind w:firstLine="424" w:firstLineChars="202"/>
        <w:rPr>
          <w:rFonts w:ascii="宋体" w:hAnsi="宋体"/>
          <w:szCs w:val="22"/>
        </w:rPr>
      </w:pPr>
      <w:r>
        <w:rPr>
          <w:rFonts w:hint="eastAsia" w:ascii="宋体" w:hAnsi="宋体"/>
          <w:szCs w:val="22"/>
        </w:rPr>
        <w:t>交付成果包括：数据集建设标准规范、数据集库表设计文档、数据集试运行报告、空间数据校准报告、数据字典等相关文档。</w:t>
      </w:r>
    </w:p>
    <w:p w14:paraId="69AA43FC">
      <w:pPr>
        <w:keepNext/>
        <w:keepLines/>
        <w:ind w:left="425" w:hanging="425"/>
        <w:outlineLvl w:val="5"/>
        <w:rPr>
          <w:rFonts w:ascii="宋体" w:hAnsi="宋体" w:cs="宋体"/>
          <w:b/>
          <w:sz w:val="28"/>
          <w:szCs w:val="28"/>
        </w:rPr>
      </w:pPr>
      <w:r>
        <w:rPr>
          <w:rFonts w:hint="eastAsia" w:ascii="宋体" w:hAnsi="宋体" w:cs="宋体"/>
          <w:b/>
          <w:sz w:val="28"/>
          <w:szCs w:val="28"/>
        </w:rPr>
        <w:t>2.7.2企业服务相关高质量数据集</w:t>
      </w:r>
    </w:p>
    <w:p w14:paraId="77E69937">
      <w:pPr>
        <w:ind w:left="567" w:hanging="567"/>
        <w:outlineLvl w:val="6"/>
        <w:rPr>
          <w:rFonts w:ascii="宋体" w:hAnsi="宋体" w:cs="宋体"/>
          <w:color w:val="000000"/>
          <w:kern w:val="0"/>
          <w:sz w:val="28"/>
          <w:szCs w:val="28"/>
        </w:rPr>
      </w:pPr>
      <w:r>
        <w:rPr>
          <w:rFonts w:ascii="宋体" w:hAnsi="宋体" w:cs="宋体"/>
          <w:color w:val="000000"/>
          <w:kern w:val="0"/>
          <w:sz w:val="28"/>
          <w:szCs w:val="28"/>
        </w:rPr>
        <w:t>2.7.2</w:t>
      </w:r>
      <w:r>
        <w:rPr>
          <w:rFonts w:hint="eastAsia" w:ascii="宋体" w:hAnsi="宋体" w:cs="宋体"/>
          <w:color w:val="000000"/>
          <w:kern w:val="0"/>
          <w:sz w:val="28"/>
          <w:szCs w:val="28"/>
        </w:rPr>
        <w:t>.1 企业信贷综合评价高质量数据集</w:t>
      </w:r>
    </w:p>
    <w:p w14:paraId="39EC9257">
      <w:pPr>
        <w:spacing w:line="360" w:lineRule="auto"/>
        <w:ind w:firstLine="424" w:firstLineChars="202"/>
        <w:rPr>
          <w:rFonts w:ascii="宋体" w:hAnsi="宋体"/>
          <w:szCs w:val="22"/>
        </w:rPr>
      </w:pPr>
      <w:r>
        <w:rPr>
          <w:rFonts w:hint="eastAsia" w:ascii="宋体" w:hAnsi="宋体"/>
          <w:szCs w:val="22"/>
        </w:rPr>
        <w:t>企业信贷综合评价高质量数据集是支持金融机构、行业主管部门开展企业信用评估、信贷风控的专项数据工程。该数据集以实现对企业经营状况、信用水平、风险等级进行全面监测和统计分析为目标，构建多维度的企业信用评价数据体系。</w:t>
      </w:r>
    </w:p>
    <w:p w14:paraId="5273653F">
      <w:pPr>
        <w:spacing w:line="360" w:lineRule="auto"/>
        <w:ind w:firstLine="424" w:firstLineChars="202"/>
        <w:rPr>
          <w:rFonts w:ascii="宋体" w:hAnsi="宋体"/>
          <w:szCs w:val="22"/>
        </w:rPr>
      </w:pPr>
      <w:r>
        <w:rPr>
          <w:rFonts w:hint="eastAsia" w:ascii="宋体" w:hAnsi="宋体"/>
          <w:szCs w:val="22"/>
        </w:rPr>
        <w:t>建设要求：须完成企业信贷综合评价高质量数据集建设，建立以“统一社会信用代码”为主键的企业信用主数据管理机制，实现按行业、企业规模、信用等级的指标汇总及同比环比分析，确保数据合规授权、真实可追溯。</w:t>
      </w:r>
    </w:p>
    <w:p w14:paraId="05145173">
      <w:pPr>
        <w:spacing w:line="360" w:lineRule="auto"/>
        <w:ind w:firstLine="424" w:firstLineChars="202"/>
        <w:rPr>
          <w:rFonts w:ascii="宋体" w:hAnsi="宋体"/>
          <w:szCs w:val="22"/>
        </w:rPr>
      </w:pPr>
      <w:r>
        <w:rPr>
          <w:rFonts w:hint="eastAsia" w:ascii="宋体" w:hAnsi="宋体"/>
          <w:szCs w:val="22"/>
        </w:rPr>
        <w:t>交付成果包括：数据集建设标准规范、数据集库表设计文档、数据集试运行报告、信用指标体系说明、数据合规报告等相关文档。</w:t>
      </w:r>
    </w:p>
    <w:p w14:paraId="65EC7C9D">
      <w:pPr>
        <w:ind w:left="567" w:hanging="567"/>
        <w:outlineLvl w:val="6"/>
        <w:rPr>
          <w:rFonts w:ascii="宋体" w:hAnsi="宋体" w:cs="宋体"/>
          <w:color w:val="000000"/>
          <w:kern w:val="0"/>
          <w:sz w:val="28"/>
          <w:szCs w:val="28"/>
        </w:rPr>
      </w:pPr>
      <w:r>
        <w:rPr>
          <w:rFonts w:ascii="宋体" w:hAnsi="宋体" w:cs="宋体"/>
          <w:color w:val="000000"/>
          <w:kern w:val="0"/>
          <w:sz w:val="28"/>
          <w:szCs w:val="28"/>
        </w:rPr>
        <w:t>2.7.2</w:t>
      </w:r>
      <w:r>
        <w:rPr>
          <w:rFonts w:hint="eastAsia" w:ascii="宋体" w:hAnsi="宋体" w:cs="宋体"/>
          <w:color w:val="000000"/>
          <w:kern w:val="0"/>
          <w:sz w:val="28"/>
          <w:szCs w:val="28"/>
        </w:rPr>
        <w:t>.2 企业活跃度高质量数据集</w:t>
      </w:r>
    </w:p>
    <w:p w14:paraId="39FDA162">
      <w:pPr>
        <w:spacing w:line="360" w:lineRule="auto"/>
        <w:ind w:firstLine="424" w:firstLineChars="202"/>
        <w:rPr>
          <w:rFonts w:ascii="宋体" w:hAnsi="宋体"/>
          <w:szCs w:val="22"/>
        </w:rPr>
      </w:pPr>
      <w:r>
        <w:rPr>
          <w:rFonts w:hint="eastAsia" w:ascii="宋体" w:hAnsi="宋体"/>
          <w:szCs w:val="22"/>
        </w:rPr>
        <w:t>企业活跃度高质量数据集是支持行业主管部门开展企业运行监测、纾困帮扶的专项数据工程。该数据集以实现对企业经营状态、市场参与度、发展潜力进行全面监测和统计分析为目标，构建多维度的企业活跃度监测数据体系。</w:t>
      </w:r>
    </w:p>
    <w:p w14:paraId="093E41B6">
      <w:pPr>
        <w:spacing w:line="360" w:lineRule="auto"/>
        <w:ind w:firstLine="424" w:firstLineChars="202"/>
        <w:rPr>
          <w:rFonts w:ascii="宋体" w:hAnsi="宋体"/>
          <w:szCs w:val="22"/>
        </w:rPr>
      </w:pPr>
      <w:r>
        <w:rPr>
          <w:rFonts w:hint="eastAsia" w:ascii="宋体" w:hAnsi="宋体"/>
          <w:szCs w:val="22"/>
        </w:rPr>
        <w:t>建设要求：须完成企业活跃度高质量数据集建设，建立以“统一社会信用代码”为主键的企业动态主数据管理机制，实现按行业、区域、经营状态的指标汇总及同比环比分析，保障数据时序可追溯、统计口径统一。</w:t>
      </w:r>
    </w:p>
    <w:p w14:paraId="185DE22B">
      <w:pPr>
        <w:spacing w:line="360" w:lineRule="auto"/>
        <w:ind w:firstLine="424" w:firstLineChars="202"/>
        <w:rPr>
          <w:rFonts w:ascii="宋体" w:hAnsi="宋体"/>
          <w:szCs w:val="22"/>
        </w:rPr>
      </w:pPr>
      <w:r>
        <w:rPr>
          <w:rFonts w:hint="eastAsia" w:ascii="宋体" w:hAnsi="宋体"/>
          <w:szCs w:val="22"/>
        </w:rPr>
        <w:t>交付成果包括：数据集建设标准规范、数据集库表设计文档、数据集试运行报告、活跃度评价标准、数据字典等相关文档。</w:t>
      </w:r>
    </w:p>
    <w:p w14:paraId="29607CEC">
      <w:pPr>
        <w:ind w:left="567" w:hanging="567"/>
        <w:outlineLvl w:val="6"/>
        <w:rPr>
          <w:rFonts w:ascii="宋体" w:hAnsi="宋体" w:cs="宋体"/>
          <w:color w:val="000000"/>
          <w:kern w:val="0"/>
          <w:sz w:val="28"/>
          <w:szCs w:val="28"/>
        </w:rPr>
      </w:pPr>
      <w:r>
        <w:rPr>
          <w:rFonts w:ascii="宋体" w:hAnsi="宋体" w:cs="宋体"/>
          <w:color w:val="000000"/>
          <w:kern w:val="0"/>
          <w:sz w:val="28"/>
          <w:szCs w:val="28"/>
        </w:rPr>
        <w:t>2.7.2</w:t>
      </w:r>
      <w:r>
        <w:rPr>
          <w:rFonts w:hint="eastAsia" w:ascii="宋体" w:hAnsi="宋体" w:cs="宋体"/>
          <w:color w:val="000000"/>
          <w:kern w:val="0"/>
          <w:sz w:val="28"/>
          <w:szCs w:val="28"/>
        </w:rPr>
        <w:t>.3 惠企政策对接高质量数据集</w:t>
      </w:r>
    </w:p>
    <w:p w14:paraId="21672469">
      <w:pPr>
        <w:spacing w:line="360" w:lineRule="auto"/>
        <w:ind w:firstLine="424" w:firstLineChars="202"/>
        <w:rPr>
          <w:rFonts w:ascii="宋体" w:hAnsi="宋体"/>
          <w:szCs w:val="22"/>
        </w:rPr>
      </w:pPr>
      <w:r>
        <w:rPr>
          <w:rFonts w:hint="eastAsia" w:ascii="宋体" w:hAnsi="宋体"/>
          <w:szCs w:val="22"/>
        </w:rPr>
        <w:t>惠企政策对接高质量数据集是支持政务部门开展政策推送、兑现落实的专项数据工程。该数据集以实现对惠企政策、企业匹配、政策兑现情况进行全面监测和统计分析为目标，构建多维度的惠企政策服务数据体系。</w:t>
      </w:r>
    </w:p>
    <w:p w14:paraId="186E09DF">
      <w:pPr>
        <w:spacing w:line="360" w:lineRule="auto"/>
        <w:ind w:firstLine="424" w:firstLineChars="202"/>
        <w:rPr>
          <w:rFonts w:ascii="宋体" w:hAnsi="宋体"/>
          <w:szCs w:val="22"/>
        </w:rPr>
      </w:pPr>
      <w:r>
        <w:rPr>
          <w:rFonts w:hint="eastAsia" w:ascii="宋体" w:hAnsi="宋体"/>
          <w:szCs w:val="22"/>
        </w:rPr>
        <w:t>建设要求：须完成惠企政策对接高质量数据集建设，建立以“政策编号+企业统一社会信用代码”为联合主键的政策对接数据管理机制，实现按政策类型、企业规模、兑现进度的指标汇总及同比环比分析，确保政策信息完整、匹配逻辑清晰。</w:t>
      </w:r>
    </w:p>
    <w:p w14:paraId="6A4C303F">
      <w:pPr>
        <w:spacing w:line="360" w:lineRule="auto"/>
        <w:ind w:firstLine="424" w:firstLineChars="202"/>
        <w:rPr>
          <w:rFonts w:ascii="宋体" w:hAnsi="宋体"/>
          <w:szCs w:val="22"/>
        </w:rPr>
      </w:pPr>
      <w:r>
        <w:rPr>
          <w:rFonts w:hint="eastAsia" w:ascii="宋体" w:hAnsi="宋体"/>
          <w:szCs w:val="22"/>
        </w:rPr>
        <w:t>交付成果包括：数据集建设标准规范、数据集库表设计文档、数据集试运行报告、政策匹配规则说明、数据字典等相关文档。</w:t>
      </w:r>
    </w:p>
    <w:p w14:paraId="0A4916BE">
      <w:pPr>
        <w:keepNext/>
        <w:keepLines/>
        <w:ind w:left="425" w:hanging="425"/>
        <w:outlineLvl w:val="5"/>
        <w:rPr>
          <w:rFonts w:ascii="宋体" w:hAnsi="宋体" w:cs="宋体"/>
          <w:b/>
          <w:sz w:val="28"/>
          <w:szCs w:val="28"/>
        </w:rPr>
      </w:pPr>
      <w:r>
        <w:rPr>
          <w:rFonts w:hint="eastAsia" w:ascii="宋体" w:hAnsi="宋体" w:cs="宋体"/>
          <w:b/>
          <w:sz w:val="28"/>
          <w:szCs w:val="28"/>
        </w:rPr>
        <w:t>2.7.3农业服务相关高质量数据集</w:t>
      </w:r>
    </w:p>
    <w:p w14:paraId="62C8D24E">
      <w:pPr>
        <w:ind w:left="567" w:hanging="567"/>
        <w:outlineLvl w:val="6"/>
        <w:rPr>
          <w:rFonts w:ascii="宋体" w:hAnsi="宋体" w:cs="宋体"/>
          <w:color w:val="000000"/>
          <w:kern w:val="0"/>
          <w:sz w:val="28"/>
          <w:szCs w:val="28"/>
        </w:rPr>
      </w:pPr>
      <w:r>
        <w:rPr>
          <w:rFonts w:ascii="宋体" w:hAnsi="宋体" w:cs="宋体"/>
          <w:color w:val="000000"/>
          <w:kern w:val="0"/>
          <w:sz w:val="28"/>
          <w:szCs w:val="28"/>
        </w:rPr>
        <w:t>2.7.3</w:t>
      </w:r>
      <w:r>
        <w:rPr>
          <w:rFonts w:hint="eastAsia" w:ascii="宋体" w:hAnsi="宋体" w:cs="宋体"/>
          <w:color w:val="000000"/>
          <w:kern w:val="0"/>
          <w:sz w:val="28"/>
          <w:szCs w:val="28"/>
        </w:rPr>
        <w:t>.1 农产品和服务高质量数据集</w:t>
      </w:r>
    </w:p>
    <w:p w14:paraId="79F4F4D6">
      <w:pPr>
        <w:spacing w:line="360" w:lineRule="auto"/>
        <w:ind w:firstLine="424" w:firstLineChars="202"/>
        <w:rPr>
          <w:rFonts w:ascii="宋体" w:hAnsi="宋体"/>
          <w:szCs w:val="22"/>
        </w:rPr>
      </w:pPr>
      <w:r>
        <w:rPr>
          <w:rFonts w:hint="eastAsia" w:ascii="宋体" w:hAnsi="宋体"/>
          <w:szCs w:val="22"/>
        </w:rPr>
        <w:t>农产品和服务高质量数据集是支持农业农村主管部门开展农产品监管、产销对接的专项数据工程。该数据集以实现对农产品生产、流通、质量安全进行全面监测和统计分析为目标，构建多维度的农产品服务数据体系。</w:t>
      </w:r>
    </w:p>
    <w:p w14:paraId="4B792933">
      <w:pPr>
        <w:spacing w:line="360" w:lineRule="auto"/>
        <w:ind w:firstLine="424" w:firstLineChars="202"/>
        <w:rPr>
          <w:rFonts w:ascii="宋体" w:hAnsi="宋体"/>
          <w:szCs w:val="22"/>
        </w:rPr>
      </w:pPr>
      <w:r>
        <w:rPr>
          <w:rFonts w:hint="eastAsia" w:ascii="宋体" w:hAnsi="宋体"/>
          <w:szCs w:val="22"/>
        </w:rPr>
        <w:t>建设要求：须完成农产品和服务高质量数据集建设，建立以“农产品编码”为主键的农产品主数据管理机制，实现按品类、产地、流通渠道的指标汇总及同比环比分析，保障数据溯源可查、质量合规。</w:t>
      </w:r>
    </w:p>
    <w:p w14:paraId="60F23B37">
      <w:pPr>
        <w:spacing w:line="360" w:lineRule="auto"/>
        <w:ind w:firstLine="424" w:firstLineChars="202"/>
        <w:rPr>
          <w:rFonts w:ascii="宋体" w:hAnsi="宋体"/>
          <w:szCs w:val="22"/>
        </w:rPr>
      </w:pPr>
      <w:r>
        <w:rPr>
          <w:rFonts w:hint="eastAsia" w:ascii="宋体" w:hAnsi="宋体"/>
          <w:szCs w:val="22"/>
        </w:rPr>
        <w:t>交付成果包括：数据集建设标准规范、数据集库表设计文档、数据集试运行报告、农产品溯源说明、数据质量核查报告等相关文档。</w:t>
      </w:r>
    </w:p>
    <w:p w14:paraId="53E81F42">
      <w:pPr>
        <w:ind w:left="567" w:hanging="567"/>
        <w:outlineLvl w:val="6"/>
        <w:rPr>
          <w:rFonts w:ascii="宋体" w:hAnsi="宋体" w:cs="宋体"/>
          <w:color w:val="000000"/>
          <w:kern w:val="0"/>
          <w:sz w:val="28"/>
          <w:szCs w:val="28"/>
        </w:rPr>
      </w:pPr>
      <w:r>
        <w:rPr>
          <w:rFonts w:ascii="宋体" w:hAnsi="宋体" w:cs="宋体"/>
          <w:color w:val="000000"/>
          <w:kern w:val="0"/>
          <w:sz w:val="28"/>
          <w:szCs w:val="28"/>
        </w:rPr>
        <w:t>2.7.3</w:t>
      </w:r>
      <w:r>
        <w:rPr>
          <w:rFonts w:hint="eastAsia" w:ascii="宋体" w:hAnsi="宋体" w:cs="宋体"/>
          <w:color w:val="000000"/>
          <w:kern w:val="0"/>
          <w:sz w:val="28"/>
          <w:szCs w:val="28"/>
        </w:rPr>
        <w:t>.2 农业气象灾害预警高质量数据集</w:t>
      </w:r>
    </w:p>
    <w:p w14:paraId="083AE7C5">
      <w:pPr>
        <w:spacing w:line="360" w:lineRule="auto"/>
        <w:ind w:firstLine="424" w:firstLineChars="202"/>
        <w:rPr>
          <w:rFonts w:ascii="宋体" w:hAnsi="宋体"/>
          <w:szCs w:val="22"/>
        </w:rPr>
      </w:pPr>
      <w:r>
        <w:rPr>
          <w:rFonts w:hint="eastAsia" w:ascii="宋体" w:hAnsi="宋体"/>
          <w:szCs w:val="22"/>
        </w:rPr>
        <w:t>农业气象灾害预警高质量数据集是支持农业农村部门、气象部门开展防灾减损、农事指导的专项数据工程。该数据集以实现对农业气象条件、灾害发生情况、防御效果进行全面监测和统计分析为目标，构建多维度的农业气象预警数据体系。</w:t>
      </w:r>
    </w:p>
    <w:p w14:paraId="028EB5AF">
      <w:pPr>
        <w:spacing w:line="360" w:lineRule="auto"/>
        <w:ind w:firstLine="424" w:firstLineChars="202"/>
        <w:rPr>
          <w:rFonts w:ascii="宋体" w:hAnsi="宋体"/>
          <w:szCs w:val="22"/>
        </w:rPr>
      </w:pPr>
      <w:r>
        <w:rPr>
          <w:rFonts w:hint="eastAsia" w:ascii="宋体" w:hAnsi="宋体"/>
          <w:szCs w:val="22"/>
        </w:rPr>
        <w:t>建设要求：须完成农业气象灾害预警高质量数据集建设，建立以“预警编号+区域代码”为联合主键的预警数据管理机制，实现按灾害类型、区域、作物类型的指标汇总及同比环比分析，确保预警信息及时、准确。</w:t>
      </w:r>
    </w:p>
    <w:p w14:paraId="3C80F702">
      <w:pPr>
        <w:spacing w:line="360" w:lineRule="auto"/>
        <w:ind w:firstLine="424" w:firstLineChars="202"/>
        <w:rPr>
          <w:rFonts w:ascii="宋体" w:hAnsi="宋体"/>
          <w:szCs w:val="22"/>
        </w:rPr>
      </w:pPr>
      <w:r>
        <w:rPr>
          <w:rFonts w:hint="eastAsia" w:ascii="宋体" w:hAnsi="宋体"/>
          <w:szCs w:val="22"/>
        </w:rPr>
        <w:t>交付成果包括：数据集建设标准规范、数据集库表设计文档、数据集试运行报告、预警指标说明、数据同步时效报告等相关文档。</w:t>
      </w:r>
    </w:p>
    <w:p w14:paraId="7CE2606B">
      <w:pPr>
        <w:ind w:left="567" w:hanging="567"/>
        <w:outlineLvl w:val="6"/>
        <w:rPr>
          <w:rFonts w:ascii="宋体" w:hAnsi="宋体" w:cs="宋体"/>
          <w:color w:val="000000"/>
          <w:kern w:val="0"/>
          <w:sz w:val="28"/>
          <w:szCs w:val="28"/>
        </w:rPr>
      </w:pPr>
      <w:r>
        <w:rPr>
          <w:rFonts w:ascii="宋体" w:hAnsi="宋体" w:cs="宋体"/>
          <w:color w:val="000000"/>
          <w:kern w:val="0"/>
          <w:sz w:val="28"/>
          <w:szCs w:val="28"/>
        </w:rPr>
        <w:t>2.7.3</w:t>
      </w:r>
      <w:r>
        <w:rPr>
          <w:rFonts w:hint="eastAsia" w:ascii="宋体" w:hAnsi="宋体" w:cs="宋体"/>
          <w:color w:val="000000"/>
          <w:kern w:val="0"/>
          <w:sz w:val="28"/>
          <w:szCs w:val="28"/>
        </w:rPr>
        <w:t>.3 农业科技创新成果应用高质量数据集</w:t>
      </w:r>
    </w:p>
    <w:p w14:paraId="23C4EEC5">
      <w:pPr>
        <w:spacing w:line="360" w:lineRule="auto"/>
        <w:ind w:firstLine="424" w:firstLineChars="202"/>
        <w:rPr>
          <w:rFonts w:ascii="宋体" w:hAnsi="宋体"/>
          <w:szCs w:val="22"/>
        </w:rPr>
      </w:pPr>
      <w:r>
        <w:rPr>
          <w:rFonts w:hint="eastAsia" w:ascii="宋体" w:hAnsi="宋体"/>
          <w:szCs w:val="22"/>
        </w:rPr>
        <w:t>农业科技创新成果应用高质量数据集是支持农业农村部门、科研机构开展农技推广、成果转化的专项数据工程。该数据集以实现对农业科技创新成果、推广应用、落地效益进行全面监测和统计分析为目标，构建多维度的农业科技数据体系。</w:t>
      </w:r>
    </w:p>
    <w:p w14:paraId="5A3F50DC">
      <w:pPr>
        <w:spacing w:line="360" w:lineRule="auto"/>
        <w:ind w:firstLine="424" w:firstLineChars="202"/>
        <w:rPr>
          <w:rFonts w:ascii="宋体" w:hAnsi="宋体"/>
          <w:szCs w:val="22"/>
        </w:rPr>
      </w:pPr>
      <w:r>
        <w:rPr>
          <w:rFonts w:hint="eastAsia" w:ascii="宋体" w:hAnsi="宋体"/>
          <w:szCs w:val="22"/>
        </w:rPr>
        <w:t>建设要求：须完成农业科技创新成果应用高质量数据集建设，建立以“成果编号”为主键的科技成果主数据管理机制，实现按成果类型、推广区域、应用效益的指标汇总及同比环比分析，确保成果信息完整、应用数据真实。</w:t>
      </w:r>
    </w:p>
    <w:p w14:paraId="6E243F22">
      <w:pPr>
        <w:spacing w:line="360" w:lineRule="auto"/>
        <w:ind w:firstLine="424" w:firstLineChars="202"/>
        <w:rPr>
          <w:rFonts w:ascii="宋体" w:hAnsi="宋体"/>
          <w:szCs w:val="22"/>
        </w:rPr>
      </w:pPr>
      <w:r>
        <w:rPr>
          <w:rFonts w:hint="eastAsia" w:ascii="宋体" w:hAnsi="宋体"/>
          <w:szCs w:val="22"/>
        </w:rPr>
        <w:t>交付成果包括：数据集建设标准规范、数据集库表设计文档、数据集试运行报告、成果应用评估报告、数据字典等相关文档。</w:t>
      </w:r>
    </w:p>
    <w:p w14:paraId="495C1A44">
      <w:pPr>
        <w:keepNext/>
        <w:keepLines/>
        <w:ind w:left="425" w:hanging="425"/>
        <w:outlineLvl w:val="5"/>
        <w:rPr>
          <w:rFonts w:ascii="宋体" w:hAnsi="宋体" w:cs="宋体"/>
          <w:b/>
          <w:sz w:val="28"/>
          <w:szCs w:val="28"/>
        </w:rPr>
      </w:pPr>
      <w:r>
        <w:rPr>
          <w:rFonts w:hint="eastAsia" w:ascii="宋体" w:hAnsi="宋体" w:cs="宋体"/>
          <w:b/>
          <w:sz w:val="28"/>
          <w:szCs w:val="28"/>
        </w:rPr>
        <w:t>2.7.4文旅服务相关高质量数据集</w:t>
      </w:r>
    </w:p>
    <w:p w14:paraId="4FF9972C">
      <w:pPr>
        <w:ind w:left="567" w:hanging="567"/>
        <w:outlineLvl w:val="6"/>
        <w:rPr>
          <w:rFonts w:ascii="宋体" w:hAnsi="宋体" w:cs="宋体"/>
          <w:color w:val="000000"/>
          <w:kern w:val="0"/>
          <w:sz w:val="28"/>
          <w:szCs w:val="28"/>
        </w:rPr>
      </w:pPr>
      <w:r>
        <w:rPr>
          <w:rFonts w:ascii="宋体" w:hAnsi="宋体" w:cs="宋体"/>
          <w:color w:val="000000"/>
          <w:kern w:val="0"/>
          <w:sz w:val="28"/>
          <w:szCs w:val="28"/>
        </w:rPr>
        <w:t>2.7.4</w:t>
      </w:r>
      <w:r>
        <w:rPr>
          <w:rFonts w:hint="eastAsia" w:ascii="宋体" w:hAnsi="宋体" w:cs="宋体"/>
          <w:color w:val="000000"/>
          <w:kern w:val="0"/>
          <w:sz w:val="28"/>
          <w:szCs w:val="28"/>
        </w:rPr>
        <w:t>.1 特色文化遗产高质量数据集</w:t>
      </w:r>
    </w:p>
    <w:p w14:paraId="6A8375AB">
      <w:pPr>
        <w:spacing w:line="360" w:lineRule="auto"/>
        <w:ind w:firstLine="424" w:firstLineChars="202"/>
        <w:rPr>
          <w:rFonts w:ascii="宋体" w:hAnsi="宋体"/>
          <w:szCs w:val="22"/>
        </w:rPr>
      </w:pPr>
      <w:r>
        <w:rPr>
          <w:rFonts w:hint="eastAsia" w:ascii="宋体" w:hAnsi="宋体"/>
          <w:szCs w:val="22"/>
        </w:rPr>
        <w:t>特色文化遗产高质量数据集是支持文旅主管部门开展文化遗产保护、活化利用的专项数据工程。该数据集以实现对特色文化遗产、非遗项目、传承情况进行全面监测和统计分析为目标，构建多维度的文化遗产数据体系。</w:t>
      </w:r>
    </w:p>
    <w:p w14:paraId="0FF8FD69">
      <w:pPr>
        <w:spacing w:line="360" w:lineRule="auto"/>
        <w:ind w:firstLine="424" w:firstLineChars="202"/>
        <w:rPr>
          <w:rFonts w:ascii="宋体" w:hAnsi="宋体"/>
          <w:szCs w:val="22"/>
        </w:rPr>
      </w:pPr>
      <w:r>
        <w:rPr>
          <w:rFonts w:hint="eastAsia" w:ascii="宋体" w:hAnsi="宋体"/>
          <w:szCs w:val="22"/>
        </w:rPr>
        <w:t>建设要求：须完成特色文化遗产高质量数据集建设，建立以“遗产编号”为主键的文化遗产主数据管理机制，实现按遗产类型、区域、保护等级的指标汇总及同比环比分析，确保遗产信息完整、数字化达标。</w:t>
      </w:r>
    </w:p>
    <w:p w14:paraId="39CAFD9A">
      <w:pPr>
        <w:spacing w:line="360" w:lineRule="auto"/>
        <w:ind w:firstLine="424" w:firstLineChars="202"/>
        <w:rPr>
          <w:rFonts w:ascii="宋体" w:hAnsi="宋体"/>
          <w:szCs w:val="22"/>
        </w:rPr>
      </w:pPr>
      <w:r>
        <w:rPr>
          <w:rFonts w:hint="eastAsia" w:ascii="宋体" w:hAnsi="宋体"/>
          <w:szCs w:val="22"/>
        </w:rPr>
        <w:t>交付成果包括：数据集建设标准规范、数据集库表设计文档、数据集试运行报告、遗产数字化说明、数据字典等相关文档。</w:t>
      </w:r>
    </w:p>
    <w:p w14:paraId="0C166F13">
      <w:pPr>
        <w:ind w:left="567" w:hanging="567"/>
        <w:outlineLvl w:val="6"/>
        <w:rPr>
          <w:rFonts w:ascii="宋体" w:hAnsi="宋体" w:cs="宋体"/>
          <w:color w:val="000000"/>
          <w:kern w:val="0"/>
          <w:sz w:val="28"/>
          <w:szCs w:val="28"/>
        </w:rPr>
      </w:pPr>
      <w:r>
        <w:rPr>
          <w:rFonts w:ascii="宋体" w:hAnsi="宋体" w:cs="宋体"/>
          <w:color w:val="000000"/>
          <w:kern w:val="0"/>
          <w:sz w:val="28"/>
          <w:szCs w:val="28"/>
        </w:rPr>
        <w:t>2.7.4</w:t>
      </w:r>
      <w:r>
        <w:rPr>
          <w:rFonts w:hint="eastAsia" w:ascii="宋体" w:hAnsi="宋体" w:cs="宋体"/>
          <w:color w:val="000000"/>
          <w:kern w:val="0"/>
          <w:sz w:val="28"/>
          <w:szCs w:val="28"/>
        </w:rPr>
        <w:t>.2 文旅活动服务高质量数据集</w:t>
      </w:r>
    </w:p>
    <w:p w14:paraId="256B3F44">
      <w:pPr>
        <w:spacing w:line="360" w:lineRule="auto"/>
        <w:ind w:firstLine="424" w:firstLineChars="202"/>
        <w:rPr>
          <w:rFonts w:ascii="宋体" w:hAnsi="宋体"/>
          <w:szCs w:val="22"/>
        </w:rPr>
      </w:pPr>
      <w:r>
        <w:rPr>
          <w:rFonts w:hint="eastAsia" w:ascii="宋体" w:hAnsi="宋体"/>
          <w:szCs w:val="22"/>
        </w:rPr>
        <w:t>文旅活动服务高质量数据集是支持文旅主管部门开展文旅运营、游客服务的专项数据工程。该数据集以实现对文旅活动、服务设施、游客流量进行全面监测和统计分析为目标，构建多维度的文旅服务数据体系。</w:t>
      </w:r>
    </w:p>
    <w:p w14:paraId="463F5F2F">
      <w:pPr>
        <w:spacing w:line="360" w:lineRule="auto"/>
        <w:ind w:firstLine="424" w:firstLineChars="202"/>
        <w:rPr>
          <w:rFonts w:ascii="宋体" w:hAnsi="宋体"/>
          <w:szCs w:val="22"/>
        </w:rPr>
      </w:pPr>
      <w:r>
        <w:rPr>
          <w:rFonts w:hint="eastAsia" w:ascii="宋体" w:hAnsi="宋体"/>
          <w:szCs w:val="22"/>
        </w:rPr>
        <w:t>建设要求：须完成文旅活动服务高质量数据集建设，建立以“活动编号+景区代码”为联合主键的文旅服务数据管理机制，实现按活动类型、区域、时段的指标汇总及同比环比分析，保障活动信息及时、服务数据规范。</w:t>
      </w:r>
    </w:p>
    <w:p w14:paraId="1FF7BC72">
      <w:pPr>
        <w:spacing w:line="360" w:lineRule="auto"/>
        <w:ind w:firstLine="424" w:firstLineChars="202"/>
        <w:rPr>
          <w:rFonts w:ascii="宋体" w:hAnsi="宋体"/>
          <w:szCs w:val="22"/>
        </w:rPr>
      </w:pPr>
      <w:r>
        <w:rPr>
          <w:rFonts w:hint="eastAsia" w:ascii="宋体" w:hAnsi="宋体"/>
          <w:szCs w:val="22"/>
        </w:rPr>
        <w:t>交付成果包括：数据集建设标准规范、数据集库表设计文档、数据集试运行报告、游客流量统计报告、数据字典等相关文档。</w:t>
      </w:r>
    </w:p>
    <w:p w14:paraId="55D695B6">
      <w:pPr>
        <w:ind w:left="567" w:hanging="567"/>
        <w:outlineLvl w:val="6"/>
        <w:rPr>
          <w:rFonts w:ascii="宋体" w:hAnsi="宋体" w:cs="宋体"/>
          <w:color w:val="000000"/>
          <w:kern w:val="0"/>
          <w:sz w:val="28"/>
          <w:szCs w:val="28"/>
        </w:rPr>
      </w:pPr>
      <w:r>
        <w:rPr>
          <w:rFonts w:ascii="宋体" w:hAnsi="宋体" w:cs="宋体"/>
          <w:color w:val="000000"/>
          <w:kern w:val="0"/>
          <w:sz w:val="28"/>
          <w:szCs w:val="28"/>
        </w:rPr>
        <w:t>2.7.4</w:t>
      </w:r>
      <w:r>
        <w:rPr>
          <w:rFonts w:hint="eastAsia" w:ascii="宋体" w:hAnsi="宋体" w:cs="宋体"/>
          <w:color w:val="000000"/>
          <w:kern w:val="0"/>
          <w:sz w:val="28"/>
          <w:szCs w:val="28"/>
        </w:rPr>
        <w:t>.3 文旅产业监测预警高质量数据集</w:t>
      </w:r>
    </w:p>
    <w:p w14:paraId="1BA78C50">
      <w:pPr>
        <w:spacing w:line="360" w:lineRule="auto"/>
        <w:ind w:firstLine="424" w:firstLineChars="202"/>
        <w:rPr>
          <w:rFonts w:ascii="宋体" w:hAnsi="宋体"/>
          <w:szCs w:val="22"/>
        </w:rPr>
      </w:pPr>
      <w:r>
        <w:rPr>
          <w:rFonts w:hint="eastAsia" w:ascii="宋体" w:hAnsi="宋体"/>
          <w:szCs w:val="22"/>
        </w:rPr>
        <w:t>文旅产业监测预警高质量数据集是支持文旅主管部门开展产业监管、风险防控的专项数据工程。该数据集以实现对文旅产业运行、消费趋势、市场风险进行全面监测和统计分析为目标，构建多维度的文旅产业监测数据体系。</w:t>
      </w:r>
    </w:p>
    <w:p w14:paraId="7AEDA2B0">
      <w:pPr>
        <w:spacing w:line="360" w:lineRule="auto"/>
        <w:ind w:firstLine="424" w:firstLineChars="202"/>
        <w:rPr>
          <w:rFonts w:ascii="宋体" w:hAnsi="宋体"/>
          <w:szCs w:val="22"/>
        </w:rPr>
      </w:pPr>
      <w:r>
        <w:rPr>
          <w:rFonts w:hint="eastAsia" w:ascii="宋体" w:hAnsi="宋体"/>
          <w:szCs w:val="22"/>
        </w:rPr>
        <w:t>建设要求：须完成文旅产业监测预警高质量数据集建设，建立以“监测指标代码+统计周期”为联合主键的产业监测数据管理机制，实现按产业领域、区域、消费类型的指标汇总及同比环比分析，确保监测全面、预警及时。</w:t>
      </w:r>
    </w:p>
    <w:p w14:paraId="11E4AA62">
      <w:pPr>
        <w:spacing w:line="360" w:lineRule="auto"/>
        <w:ind w:firstLine="424" w:firstLineChars="202"/>
        <w:rPr>
          <w:rFonts w:ascii="宋体" w:hAnsi="宋体"/>
          <w:szCs w:val="22"/>
        </w:rPr>
      </w:pPr>
      <w:r>
        <w:rPr>
          <w:rFonts w:hint="eastAsia" w:ascii="宋体" w:hAnsi="宋体"/>
          <w:szCs w:val="22"/>
        </w:rPr>
        <w:t>交付成果包括：数据集建设标准规范、数据集库表设计文档、数据集试运行报告、预警规则说明、产业分析报告等相关文档。</w:t>
      </w:r>
    </w:p>
    <w:p w14:paraId="7302540B">
      <w:pPr>
        <w:keepNext/>
        <w:keepLines/>
        <w:ind w:left="425" w:hanging="425"/>
        <w:outlineLvl w:val="5"/>
        <w:rPr>
          <w:rFonts w:ascii="宋体" w:hAnsi="宋体" w:cs="宋体"/>
          <w:b/>
          <w:sz w:val="28"/>
          <w:szCs w:val="28"/>
        </w:rPr>
      </w:pPr>
      <w:r>
        <w:rPr>
          <w:rFonts w:hint="eastAsia" w:ascii="宋体" w:hAnsi="宋体" w:cs="宋体"/>
          <w:b/>
          <w:sz w:val="28"/>
          <w:szCs w:val="28"/>
        </w:rPr>
        <w:t>2.7.5地理信息服务相关高质量数据集</w:t>
      </w:r>
    </w:p>
    <w:p w14:paraId="0C1F4EAA">
      <w:pPr>
        <w:ind w:left="567" w:hanging="567"/>
        <w:outlineLvl w:val="6"/>
        <w:rPr>
          <w:rFonts w:ascii="宋体" w:hAnsi="宋体" w:cs="宋体"/>
          <w:color w:val="000000"/>
          <w:kern w:val="0"/>
          <w:sz w:val="28"/>
          <w:szCs w:val="28"/>
        </w:rPr>
      </w:pPr>
      <w:r>
        <w:rPr>
          <w:rFonts w:ascii="宋体" w:hAnsi="宋体" w:cs="宋体"/>
          <w:color w:val="000000"/>
          <w:kern w:val="0"/>
          <w:sz w:val="28"/>
          <w:szCs w:val="28"/>
        </w:rPr>
        <w:t>2.7.5</w:t>
      </w:r>
      <w:r>
        <w:rPr>
          <w:rFonts w:hint="eastAsia" w:ascii="宋体" w:hAnsi="宋体" w:cs="宋体"/>
          <w:color w:val="000000"/>
          <w:kern w:val="0"/>
          <w:sz w:val="28"/>
          <w:szCs w:val="28"/>
        </w:rPr>
        <w:t>.1 城市规划支撑高质量数据集</w:t>
      </w:r>
    </w:p>
    <w:p w14:paraId="0A8EDC6B">
      <w:pPr>
        <w:spacing w:line="360" w:lineRule="auto"/>
        <w:ind w:firstLine="424" w:firstLineChars="202"/>
        <w:rPr>
          <w:rFonts w:ascii="宋体" w:hAnsi="宋体"/>
          <w:szCs w:val="22"/>
        </w:rPr>
      </w:pPr>
      <w:r>
        <w:rPr>
          <w:rFonts w:hint="eastAsia" w:ascii="宋体" w:hAnsi="宋体"/>
          <w:szCs w:val="22"/>
        </w:rPr>
        <w:t>城市规划支撑高质量数据集是支持自然资源、规划部门开展城市规划、空间治理的专项数据工程。该数据集以实现对城市用地、建设现状、公共设施布局进行全面监测和统计分析为目标，构建多维度的城市规划数据体系。</w:t>
      </w:r>
    </w:p>
    <w:p w14:paraId="3DBB76CE">
      <w:pPr>
        <w:spacing w:line="360" w:lineRule="auto"/>
        <w:ind w:firstLine="424" w:firstLineChars="202"/>
        <w:rPr>
          <w:rFonts w:ascii="宋体" w:hAnsi="宋体"/>
          <w:szCs w:val="22"/>
        </w:rPr>
      </w:pPr>
      <w:r>
        <w:rPr>
          <w:rFonts w:hint="eastAsia" w:ascii="宋体" w:hAnsi="宋体"/>
          <w:szCs w:val="22"/>
        </w:rPr>
        <w:t>建设要求：须完成城市规划支撑高质量数据集建设，建立以“空间要素代码”为主键的规划数据主数据管理机制，实现按用地类型、区域、规划阶段的指标汇总及同比环比分析，确保空间坐标统一、图层规范。</w:t>
      </w:r>
    </w:p>
    <w:p w14:paraId="78B37C98">
      <w:pPr>
        <w:spacing w:line="360" w:lineRule="auto"/>
        <w:ind w:firstLine="424" w:firstLineChars="202"/>
        <w:rPr>
          <w:rFonts w:ascii="宋体" w:hAnsi="宋体"/>
          <w:szCs w:val="22"/>
        </w:rPr>
      </w:pPr>
      <w:r>
        <w:rPr>
          <w:rFonts w:hint="eastAsia" w:ascii="宋体" w:hAnsi="宋体"/>
          <w:szCs w:val="22"/>
        </w:rPr>
        <w:t>交付成果包括：数据集建设标准规范、数据集库表设计文档、数据集试运行报告、空间图层校准报告、数据字典等相关文档。</w:t>
      </w:r>
    </w:p>
    <w:p w14:paraId="78279520">
      <w:pPr>
        <w:ind w:left="567" w:hanging="567"/>
        <w:outlineLvl w:val="6"/>
        <w:rPr>
          <w:rFonts w:ascii="宋体" w:hAnsi="宋体" w:cs="宋体"/>
          <w:color w:val="000000"/>
          <w:kern w:val="0"/>
          <w:sz w:val="28"/>
          <w:szCs w:val="28"/>
        </w:rPr>
      </w:pPr>
      <w:r>
        <w:rPr>
          <w:rFonts w:ascii="宋体" w:hAnsi="宋体" w:cs="宋体"/>
          <w:color w:val="000000"/>
          <w:kern w:val="0"/>
          <w:sz w:val="28"/>
          <w:szCs w:val="28"/>
        </w:rPr>
        <w:t>2.7.5</w:t>
      </w:r>
      <w:r>
        <w:rPr>
          <w:rFonts w:hint="eastAsia" w:ascii="宋体" w:hAnsi="宋体" w:cs="宋体"/>
          <w:color w:val="000000"/>
          <w:kern w:val="0"/>
          <w:sz w:val="28"/>
          <w:szCs w:val="28"/>
        </w:rPr>
        <w:t>.2 高精度地形高质量数据集</w:t>
      </w:r>
    </w:p>
    <w:p w14:paraId="681881FF">
      <w:pPr>
        <w:spacing w:line="360" w:lineRule="auto"/>
        <w:ind w:firstLine="424" w:firstLineChars="202"/>
        <w:rPr>
          <w:rFonts w:ascii="宋体" w:hAnsi="宋体"/>
          <w:szCs w:val="22"/>
        </w:rPr>
      </w:pPr>
      <w:r>
        <w:rPr>
          <w:rFonts w:hint="eastAsia" w:ascii="宋体" w:hAnsi="宋体"/>
          <w:szCs w:val="22"/>
        </w:rPr>
        <w:t>高精度地形高质量数据集是支持自然资源、工程建设部门开展地形分析、规划设计的专项数据工程。该数据集以实现对区域地形地貌、高程坡度、地表覆盖进行全面监测和统计分析为目标，构建多维度的地形数据体系。</w:t>
      </w:r>
    </w:p>
    <w:p w14:paraId="1EA0DD94">
      <w:pPr>
        <w:spacing w:line="360" w:lineRule="auto"/>
        <w:ind w:firstLine="424" w:firstLineChars="202"/>
        <w:rPr>
          <w:rFonts w:ascii="宋体" w:hAnsi="宋体"/>
          <w:szCs w:val="22"/>
        </w:rPr>
      </w:pPr>
      <w:r>
        <w:rPr>
          <w:rFonts w:hint="eastAsia" w:ascii="宋体" w:hAnsi="宋体"/>
          <w:szCs w:val="22"/>
        </w:rPr>
        <w:t>建设要求：须完成高精度地形高质量数据集建设，建立以“地形栅格编号”为主键的地形数据管理机制，实现按区域、地形类型、高程范围的指标汇总及同比环比分析，确保数据精度达标、拼接完整。</w:t>
      </w:r>
    </w:p>
    <w:p w14:paraId="1B21949F">
      <w:pPr>
        <w:spacing w:line="360" w:lineRule="auto"/>
        <w:ind w:firstLine="424" w:firstLineChars="202"/>
        <w:rPr>
          <w:rFonts w:ascii="宋体" w:hAnsi="宋体"/>
          <w:szCs w:val="22"/>
        </w:rPr>
      </w:pPr>
      <w:r>
        <w:rPr>
          <w:rFonts w:hint="eastAsia" w:ascii="宋体" w:hAnsi="宋体"/>
          <w:szCs w:val="22"/>
        </w:rPr>
        <w:t>交付成果包括：数据集建设标准规范、数据集库表设计文档、数据集试运行报告、精度核验报告、地形分析说明等相关文档。</w:t>
      </w:r>
    </w:p>
    <w:p w14:paraId="5399F108">
      <w:pPr>
        <w:keepNext/>
        <w:keepLines/>
        <w:ind w:left="425" w:hanging="425"/>
        <w:outlineLvl w:val="5"/>
        <w:rPr>
          <w:rFonts w:ascii="宋体" w:hAnsi="宋体" w:cs="宋体"/>
          <w:b/>
          <w:sz w:val="28"/>
          <w:szCs w:val="28"/>
        </w:rPr>
      </w:pPr>
      <w:r>
        <w:rPr>
          <w:rFonts w:hint="eastAsia" w:ascii="宋体" w:hAnsi="宋体" w:cs="宋体"/>
          <w:b/>
          <w:sz w:val="28"/>
          <w:szCs w:val="28"/>
        </w:rPr>
        <w:t>2.7.6能源管理服务相关高质量数据集</w:t>
      </w:r>
    </w:p>
    <w:p w14:paraId="62D17A95">
      <w:pPr>
        <w:ind w:left="567" w:hanging="567"/>
        <w:outlineLvl w:val="6"/>
        <w:rPr>
          <w:rFonts w:ascii="宋体" w:hAnsi="宋体" w:cs="宋体"/>
          <w:color w:val="000000"/>
          <w:kern w:val="0"/>
          <w:sz w:val="28"/>
          <w:szCs w:val="28"/>
        </w:rPr>
      </w:pPr>
      <w:r>
        <w:rPr>
          <w:rFonts w:ascii="宋体" w:hAnsi="宋体" w:cs="宋体"/>
          <w:color w:val="000000"/>
          <w:kern w:val="0"/>
          <w:sz w:val="28"/>
          <w:szCs w:val="28"/>
        </w:rPr>
        <w:t>2.7.6</w:t>
      </w:r>
      <w:r>
        <w:rPr>
          <w:rFonts w:hint="eastAsia" w:ascii="宋体" w:hAnsi="宋体" w:cs="宋体"/>
          <w:color w:val="000000"/>
          <w:kern w:val="0"/>
          <w:sz w:val="28"/>
          <w:szCs w:val="28"/>
        </w:rPr>
        <w:t>.1 煤炭生产与销售高质量数据集</w:t>
      </w:r>
    </w:p>
    <w:p w14:paraId="6A784507">
      <w:pPr>
        <w:spacing w:line="360" w:lineRule="auto"/>
        <w:ind w:firstLine="424" w:firstLineChars="202"/>
        <w:rPr>
          <w:rFonts w:ascii="宋体" w:hAnsi="宋体"/>
          <w:szCs w:val="22"/>
        </w:rPr>
      </w:pPr>
      <w:r>
        <w:rPr>
          <w:rFonts w:hint="eastAsia" w:ascii="宋体" w:hAnsi="宋体"/>
          <w:szCs w:val="22"/>
        </w:rPr>
        <w:t>煤炭生产与销售高质量数据集是支持能源主管部门开展煤炭产业监管、供需调控的专项数据工程。该数据集以实现对煤炭产能、产量、流通、消费进行全面监测和统计分析为目标，构建多维度的煤炭产业数据体系。</w:t>
      </w:r>
    </w:p>
    <w:p w14:paraId="4CDF4F56">
      <w:pPr>
        <w:spacing w:line="360" w:lineRule="auto"/>
        <w:ind w:firstLine="424" w:firstLineChars="202"/>
        <w:rPr>
          <w:rFonts w:ascii="宋体" w:hAnsi="宋体"/>
          <w:szCs w:val="22"/>
        </w:rPr>
      </w:pPr>
      <w:r>
        <w:rPr>
          <w:rFonts w:hint="eastAsia" w:ascii="宋体" w:hAnsi="宋体"/>
          <w:szCs w:val="22"/>
        </w:rPr>
        <w:t>建设要求：须完成煤炭生产与销售高质量数据集建设，建立以“企业编号+统计周期”为联合主键的煤炭数据管理机制，实现按产区、销区、消费领域的指标汇总及同比环比分析，确保数据统计规范、真实可核。</w:t>
      </w:r>
    </w:p>
    <w:p w14:paraId="2226D429">
      <w:pPr>
        <w:spacing w:line="360" w:lineRule="auto"/>
        <w:ind w:firstLine="424" w:firstLineChars="202"/>
        <w:rPr>
          <w:rFonts w:ascii="宋体" w:hAnsi="宋体"/>
          <w:szCs w:val="22"/>
        </w:rPr>
      </w:pPr>
      <w:r>
        <w:rPr>
          <w:rFonts w:hint="eastAsia" w:ascii="宋体" w:hAnsi="宋体"/>
          <w:szCs w:val="22"/>
        </w:rPr>
        <w:t>交付成果包括：数据集建设标准规范、数据集库表设计文档、数据集试运行报告、产销数据核查报告、数据字典等相关文档。</w:t>
      </w:r>
    </w:p>
    <w:p w14:paraId="5096EA5E">
      <w:pPr>
        <w:ind w:left="567" w:hanging="567"/>
        <w:outlineLvl w:val="6"/>
        <w:rPr>
          <w:rFonts w:ascii="宋体" w:hAnsi="宋体" w:cs="宋体"/>
          <w:color w:val="000000"/>
          <w:kern w:val="0"/>
          <w:sz w:val="28"/>
          <w:szCs w:val="28"/>
        </w:rPr>
      </w:pPr>
      <w:r>
        <w:rPr>
          <w:rFonts w:ascii="宋体" w:hAnsi="宋体" w:cs="宋体"/>
          <w:color w:val="000000"/>
          <w:kern w:val="0"/>
          <w:sz w:val="28"/>
          <w:szCs w:val="28"/>
        </w:rPr>
        <w:t>2.7.6</w:t>
      </w:r>
      <w:r>
        <w:rPr>
          <w:rFonts w:hint="eastAsia" w:ascii="宋体" w:hAnsi="宋体" w:cs="宋体"/>
          <w:color w:val="000000"/>
          <w:kern w:val="0"/>
          <w:sz w:val="28"/>
          <w:szCs w:val="28"/>
        </w:rPr>
        <w:t>.2 电力生产与消费高质量数据集</w:t>
      </w:r>
    </w:p>
    <w:p w14:paraId="1255F92D">
      <w:pPr>
        <w:spacing w:line="360" w:lineRule="auto"/>
        <w:ind w:firstLine="424" w:firstLineChars="202"/>
        <w:rPr>
          <w:rFonts w:ascii="宋体" w:hAnsi="宋体"/>
          <w:szCs w:val="22"/>
        </w:rPr>
      </w:pPr>
      <w:r>
        <w:rPr>
          <w:rFonts w:hint="eastAsia" w:ascii="宋体" w:hAnsi="宋体"/>
          <w:szCs w:val="22"/>
        </w:rPr>
        <w:t>电力生产与消费高质量数据集是支持能源、电力部门开展电力调度、能耗管理的专项数据工程。该数据集以实现对电力生产、输配、消费、供需平衡进行全面监测和统计分析为目标，构建多维度的电力数据体系。</w:t>
      </w:r>
    </w:p>
    <w:p w14:paraId="2991643B">
      <w:pPr>
        <w:spacing w:line="360" w:lineRule="auto"/>
        <w:ind w:firstLine="424" w:firstLineChars="202"/>
        <w:rPr>
          <w:rFonts w:ascii="宋体" w:hAnsi="宋体"/>
          <w:szCs w:val="22"/>
        </w:rPr>
      </w:pPr>
      <w:r>
        <w:rPr>
          <w:rFonts w:hint="eastAsia" w:ascii="宋体" w:hAnsi="宋体"/>
          <w:szCs w:val="22"/>
        </w:rPr>
        <w:t>建设要求：须完成电力生产与消费高质量数据集建设，建立以“电厂编号+用电区域代码+时段”为联合主键的电力数据管理机制，实现按电源类型、用电行业、区域的指标汇总及同比环比分析，确保时序数据完整、实时同步。</w:t>
      </w:r>
    </w:p>
    <w:p w14:paraId="40A7951E">
      <w:pPr>
        <w:spacing w:line="360" w:lineRule="auto"/>
        <w:ind w:firstLine="424" w:firstLineChars="202"/>
        <w:rPr>
          <w:rFonts w:ascii="宋体" w:hAnsi="宋体"/>
          <w:szCs w:val="22"/>
        </w:rPr>
      </w:pPr>
      <w:r>
        <w:rPr>
          <w:rFonts w:hint="eastAsia" w:ascii="宋体" w:hAnsi="宋体"/>
          <w:szCs w:val="22"/>
        </w:rPr>
        <w:t>交付成果包括：数据集建设标准规范、数据集库表设计文档、数据集试运行报告、电力时序数据说明、数据质控报告等相关文档。</w:t>
      </w:r>
    </w:p>
    <w:p w14:paraId="463C94E6">
      <w:pPr>
        <w:ind w:left="567" w:hanging="567"/>
        <w:outlineLvl w:val="6"/>
        <w:rPr>
          <w:rFonts w:ascii="宋体" w:hAnsi="宋体" w:cs="宋体"/>
          <w:color w:val="000000"/>
          <w:kern w:val="0"/>
          <w:sz w:val="28"/>
          <w:szCs w:val="28"/>
        </w:rPr>
      </w:pPr>
      <w:r>
        <w:rPr>
          <w:rFonts w:ascii="宋体" w:hAnsi="宋体" w:cs="宋体"/>
          <w:color w:val="000000"/>
          <w:kern w:val="0"/>
          <w:sz w:val="28"/>
          <w:szCs w:val="28"/>
        </w:rPr>
        <w:t>2.7.6</w:t>
      </w:r>
      <w:r>
        <w:rPr>
          <w:rFonts w:hint="eastAsia" w:ascii="宋体" w:hAnsi="宋体" w:cs="宋体"/>
          <w:color w:val="000000"/>
          <w:kern w:val="0"/>
          <w:sz w:val="28"/>
          <w:szCs w:val="28"/>
        </w:rPr>
        <w:t>.3 油气生产与销售高质量数据集</w:t>
      </w:r>
    </w:p>
    <w:p w14:paraId="11A8D7E7">
      <w:pPr>
        <w:spacing w:line="360" w:lineRule="auto"/>
        <w:ind w:firstLine="424" w:firstLineChars="202"/>
        <w:rPr>
          <w:rFonts w:ascii="宋体" w:hAnsi="宋体"/>
          <w:szCs w:val="22"/>
        </w:rPr>
      </w:pPr>
      <w:r>
        <w:rPr>
          <w:rFonts w:hint="eastAsia" w:ascii="宋体" w:hAnsi="宋体"/>
          <w:szCs w:val="22"/>
        </w:rPr>
        <w:t>油气生产与销售高质量数据集是支持能源主管部门开展油气产业监管、安全保障的专项数据工程。该数据集以实现对油气勘探、生产、储运、销售进行全面监测和统计分析为目标，构建多维度的油气产业数据体系。</w:t>
      </w:r>
    </w:p>
    <w:p w14:paraId="28FD793B">
      <w:pPr>
        <w:spacing w:line="360" w:lineRule="auto"/>
        <w:ind w:firstLine="424" w:firstLineChars="202"/>
        <w:rPr>
          <w:rFonts w:ascii="宋体" w:hAnsi="宋体"/>
          <w:szCs w:val="22"/>
        </w:rPr>
      </w:pPr>
      <w:r>
        <w:rPr>
          <w:rFonts w:hint="eastAsia" w:ascii="宋体" w:hAnsi="宋体"/>
          <w:szCs w:val="22"/>
        </w:rPr>
        <w:t>建设要求：须完成油气生产与销售高质量数据集建设，建立以“油气田编号+储运节点代码”为联合主键的油气数据管理机制，实现按产区、销区、产业链环节的指标汇总及同比环比分析，确保数据体系完整、可追溯。</w:t>
      </w:r>
    </w:p>
    <w:p w14:paraId="5A9E874C">
      <w:pPr>
        <w:spacing w:line="360" w:lineRule="auto"/>
        <w:ind w:firstLine="424" w:firstLineChars="202"/>
        <w:rPr>
          <w:rFonts w:ascii="宋体" w:hAnsi="宋体"/>
          <w:szCs w:val="22"/>
        </w:rPr>
      </w:pPr>
      <w:r>
        <w:rPr>
          <w:rFonts w:hint="eastAsia" w:ascii="宋体" w:hAnsi="宋体"/>
          <w:szCs w:val="22"/>
        </w:rPr>
        <w:t>交付成果包括：数据集建设标准规范、数据集库表设计文档、数据集试运行报告、产业链数据说明、数据合规报告等相关文档。</w:t>
      </w:r>
    </w:p>
    <w:p w14:paraId="60B96D35">
      <w:pPr>
        <w:ind w:left="567" w:hanging="567"/>
        <w:outlineLvl w:val="6"/>
        <w:rPr>
          <w:rFonts w:ascii="宋体" w:hAnsi="宋体" w:cs="宋体"/>
          <w:color w:val="000000"/>
          <w:kern w:val="0"/>
          <w:sz w:val="28"/>
          <w:szCs w:val="28"/>
        </w:rPr>
      </w:pPr>
      <w:r>
        <w:rPr>
          <w:rFonts w:ascii="宋体" w:hAnsi="宋体" w:cs="宋体"/>
          <w:color w:val="000000"/>
          <w:kern w:val="0"/>
          <w:sz w:val="28"/>
          <w:szCs w:val="28"/>
        </w:rPr>
        <w:t>2.7.6</w:t>
      </w:r>
      <w:r>
        <w:rPr>
          <w:rFonts w:hint="eastAsia" w:ascii="宋体" w:hAnsi="宋体" w:cs="宋体"/>
          <w:color w:val="000000"/>
          <w:kern w:val="0"/>
          <w:sz w:val="28"/>
          <w:szCs w:val="28"/>
        </w:rPr>
        <w:t>.4 矿产资源高质量数据集</w:t>
      </w:r>
    </w:p>
    <w:p w14:paraId="6A658186">
      <w:pPr>
        <w:spacing w:line="360" w:lineRule="auto"/>
        <w:ind w:firstLine="424" w:firstLineChars="202"/>
        <w:rPr>
          <w:rFonts w:ascii="宋体" w:hAnsi="宋体"/>
          <w:szCs w:val="22"/>
        </w:rPr>
      </w:pPr>
      <w:r>
        <w:rPr>
          <w:rFonts w:hint="eastAsia" w:ascii="宋体" w:hAnsi="宋体"/>
          <w:szCs w:val="22"/>
        </w:rPr>
        <w:t>矿产资源高质量数据集是支持自然资源、矿管部门开展矿产资源管理、开发监管的专项数据工程。该数据集以实现对矿产资源储量、开发利用、生态保护进行全面监测和统计分析为目标，构建多维度的矿产资源数据体系。</w:t>
      </w:r>
    </w:p>
    <w:p w14:paraId="26F075AB">
      <w:pPr>
        <w:spacing w:line="360" w:lineRule="auto"/>
        <w:ind w:firstLine="424" w:firstLineChars="202"/>
        <w:rPr>
          <w:rFonts w:ascii="宋体" w:hAnsi="宋体"/>
          <w:szCs w:val="22"/>
        </w:rPr>
      </w:pPr>
      <w:r>
        <w:rPr>
          <w:rFonts w:hint="eastAsia" w:ascii="宋体" w:hAnsi="宋体"/>
          <w:szCs w:val="22"/>
        </w:rPr>
        <w:t>建设要求：须完成矿产资源高质量数据集建设，建立以“矿业权编号”为主键的矿产资源主数据管理机制，实现按矿种、区域、开发阶段的指标汇总及同比环比分析，确保资源信息完整、监管数据准确。</w:t>
      </w:r>
    </w:p>
    <w:p w14:paraId="2B0474FC">
      <w:pPr>
        <w:spacing w:line="360" w:lineRule="auto"/>
        <w:ind w:firstLine="424" w:firstLineChars="202"/>
        <w:rPr>
          <w:rFonts w:ascii="宋体" w:hAnsi="宋体"/>
          <w:szCs w:val="22"/>
        </w:rPr>
      </w:pPr>
      <w:r>
        <w:rPr>
          <w:rFonts w:hint="eastAsia" w:ascii="宋体" w:hAnsi="宋体"/>
          <w:szCs w:val="22"/>
        </w:rPr>
        <w:t>交付成果包括：数据集建设标准规范、数据集库表设计文档、数据集试运行报告、资源储量核查报告、数据字典等相关文档。</w:t>
      </w:r>
    </w:p>
    <w:p w14:paraId="3F932CA2">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219" w:name="_Toc10520"/>
      <w:r>
        <w:rPr>
          <w:rFonts w:hint="eastAsia" w:ascii="Times New Roman" w:hAnsi="Times New Roman" w:eastAsia="宋体" w:cs="Times New Roman"/>
          <w:b/>
          <w:bCs/>
          <w:kern w:val="2"/>
          <w:sz w:val="32"/>
          <w:szCs w:val="32"/>
          <w:lang w:val="en-US" w:eastAsia="zh-CN" w:bidi="ar-SA"/>
        </w:rPr>
        <w:t>（五） 服务方案要求</w:t>
      </w:r>
      <w:bookmarkEnd w:id="219"/>
    </w:p>
    <w:p w14:paraId="2A7AB6F1">
      <w:pPr>
        <w:spacing w:line="360" w:lineRule="auto"/>
        <w:ind w:firstLine="424" w:firstLineChars="202"/>
        <w:rPr>
          <w:rFonts w:ascii="宋体" w:hAnsi="宋体"/>
          <w:szCs w:val="22"/>
        </w:rPr>
      </w:pPr>
      <w:r>
        <w:rPr>
          <w:rFonts w:ascii="宋体" w:hAnsi="宋体"/>
          <w:szCs w:val="22"/>
        </w:rPr>
        <w:t>投标人应基于对项目整体建设目标和业务需求的充分理解，提供完整的项目技术解决方案。方案应至少包含以下内容：</w:t>
      </w:r>
    </w:p>
    <w:p w14:paraId="58E93353">
      <w:pPr>
        <w:spacing w:line="360" w:lineRule="auto"/>
        <w:ind w:firstLine="424" w:firstLineChars="202"/>
        <w:rPr>
          <w:rFonts w:ascii="宋体" w:hAnsi="宋体"/>
          <w:szCs w:val="22"/>
        </w:rPr>
      </w:pPr>
      <w:r>
        <w:rPr>
          <w:rFonts w:ascii="宋体" w:hAnsi="宋体"/>
          <w:szCs w:val="22"/>
        </w:rPr>
        <w:t>一、总体架构设计</w:t>
      </w:r>
    </w:p>
    <w:p w14:paraId="2948FA08">
      <w:pPr>
        <w:spacing w:line="360" w:lineRule="auto"/>
        <w:ind w:firstLine="424" w:firstLineChars="202"/>
        <w:rPr>
          <w:rFonts w:ascii="宋体" w:hAnsi="宋体"/>
          <w:szCs w:val="22"/>
        </w:rPr>
      </w:pPr>
      <w:r>
        <w:rPr>
          <w:rFonts w:ascii="宋体" w:hAnsi="宋体"/>
          <w:szCs w:val="22"/>
        </w:rPr>
        <w:t>明确项目的总体技术架构、逻辑架构、数据架构和安全架构，说明各子系统间的衔接关系以及与自治区现有平台（自治区一体化数据资源服务平台）的对接方案。</w:t>
      </w:r>
    </w:p>
    <w:p w14:paraId="7E53B101">
      <w:pPr>
        <w:spacing w:line="360" w:lineRule="auto"/>
        <w:ind w:firstLine="424" w:firstLineChars="202"/>
        <w:rPr>
          <w:rFonts w:ascii="宋体" w:hAnsi="宋体"/>
          <w:szCs w:val="22"/>
        </w:rPr>
      </w:pPr>
      <w:r>
        <w:rPr>
          <w:rFonts w:ascii="宋体" w:hAnsi="宋体"/>
          <w:szCs w:val="22"/>
        </w:rPr>
        <w:t>二、详细技术方案</w:t>
      </w:r>
    </w:p>
    <w:p w14:paraId="235D0314">
      <w:pPr>
        <w:spacing w:line="360" w:lineRule="auto"/>
        <w:ind w:firstLine="424" w:firstLineChars="202"/>
        <w:rPr>
          <w:rFonts w:ascii="宋体" w:hAnsi="宋体"/>
          <w:szCs w:val="22"/>
        </w:rPr>
      </w:pPr>
      <w:r>
        <w:rPr>
          <w:rFonts w:ascii="宋体" w:hAnsi="宋体"/>
          <w:szCs w:val="22"/>
        </w:rPr>
        <w:t>针对采购清单所列各项建设内容（含</w:t>
      </w:r>
      <w:r>
        <w:rPr>
          <w:rFonts w:hint="eastAsia" w:ascii="宋体" w:hAnsi="宋体"/>
          <w:szCs w:val="22"/>
        </w:rPr>
        <w:t>软件</w:t>
      </w:r>
      <w:r>
        <w:rPr>
          <w:rFonts w:ascii="宋体" w:hAnsi="宋体"/>
          <w:szCs w:val="22"/>
        </w:rPr>
        <w:t>定制开发、数据业务运营等），逐一提供详细的技术实现方案，确保方案可行、可落地。</w:t>
      </w:r>
    </w:p>
    <w:p w14:paraId="3B289668">
      <w:pPr>
        <w:spacing w:line="360" w:lineRule="auto"/>
        <w:ind w:firstLine="424" w:firstLineChars="202"/>
        <w:rPr>
          <w:rFonts w:ascii="宋体" w:hAnsi="宋体"/>
          <w:szCs w:val="22"/>
        </w:rPr>
      </w:pPr>
      <w:r>
        <w:rPr>
          <w:rFonts w:hint="eastAsia" w:ascii="宋体" w:hAnsi="宋体"/>
          <w:szCs w:val="22"/>
        </w:rPr>
        <w:t>三</w:t>
      </w:r>
      <w:r>
        <w:rPr>
          <w:rFonts w:ascii="宋体" w:hAnsi="宋体"/>
          <w:szCs w:val="22"/>
        </w:rPr>
        <w:t>、项目管理与实施方案</w:t>
      </w:r>
    </w:p>
    <w:p w14:paraId="358F8373">
      <w:pPr>
        <w:spacing w:line="360" w:lineRule="auto"/>
        <w:ind w:firstLine="424" w:firstLineChars="202"/>
        <w:rPr>
          <w:rFonts w:ascii="宋体" w:hAnsi="宋体"/>
          <w:szCs w:val="22"/>
        </w:rPr>
      </w:pPr>
      <w:r>
        <w:rPr>
          <w:rFonts w:ascii="宋体" w:hAnsi="宋体"/>
          <w:szCs w:val="22"/>
        </w:rPr>
        <w:t>提供项目管理方法、实施过程管理、进度计划、人员配备、质量保障、沟通协调机制</w:t>
      </w:r>
      <w:r>
        <w:rPr>
          <w:rFonts w:hint="eastAsia" w:ascii="宋体" w:hAnsi="宋体"/>
          <w:szCs w:val="22"/>
        </w:rPr>
        <w:t>、安全保护</w:t>
      </w:r>
      <w:r>
        <w:rPr>
          <w:rFonts w:ascii="宋体" w:hAnsi="宋体"/>
          <w:szCs w:val="22"/>
        </w:rPr>
        <w:t>等，确保项目按时、高质量交付</w:t>
      </w:r>
      <w:r>
        <w:rPr>
          <w:rFonts w:hint="eastAsia" w:ascii="宋体" w:hAnsi="宋体"/>
          <w:szCs w:val="22"/>
        </w:rPr>
        <w:t>。</w:t>
      </w:r>
    </w:p>
    <w:p w14:paraId="089817E4">
      <w:pPr>
        <w:spacing w:line="360" w:lineRule="auto"/>
        <w:ind w:firstLine="424" w:firstLineChars="202"/>
        <w:rPr>
          <w:rFonts w:ascii="宋体" w:hAnsi="宋体"/>
          <w:szCs w:val="22"/>
        </w:rPr>
      </w:pPr>
      <w:r>
        <w:rPr>
          <w:rFonts w:hint="eastAsia" w:ascii="宋体" w:hAnsi="宋体"/>
          <w:szCs w:val="22"/>
        </w:rPr>
        <w:t>四</w:t>
      </w:r>
      <w:r>
        <w:rPr>
          <w:rFonts w:ascii="宋体" w:hAnsi="宋体"/>
          <w:szCs w:val="22"/>
        </w:rPr>
        <w:t>、测试与验收方案</w:t>
      </w:r>
    </w:p>
    <w:p w14:paraId="03DCA396">
      <w:pPr>
        <w:spacing w:line="360" w:lineRule="auto"/>
        <w:ind w:firstLine="424" w:firstLineChars="202"/>
        <w:rPr>
          <w:rFonts w:ascii="宋体" w:hAnsi="宋体"/>
          <w:szCs w:val="22"/>
        </w:rPr>
      </w:pPr>
      <w:r>
        <w:rPr>
          <w:rFonts w:ascii="宋体" w:hAnsi="宋体"/>
          <w:szCs w:val="22"/>
        </w:rPr>
        <w:t>明确测试策略（单元测试、集成测试、性能测试、安全测试）、验收标准和流程（初验、试运行、终验）。</w:t>
      </w:r>
    </w:p>
    <w:p w14:paraId="7DDB034B">
      <w:pPr>
        <w:spacing w:line="360" w:lineRule="auto"/>
        <w:ind w:firstLine="424" w:firstLineChars="202"/>
        <w:rPr>
          <w:rFonts w:ascii="宋体" w:hAnsi="宋体"/>
          <w:szCs w:val="22"/>
        </w:rPr>
      </w:pPr>
      <w:r>
        <w:rPr>
          <w:rFonts w:hint="eastAsia" w:ascii="宋体" w:hAnsi="宋体"/>
          <w:szCs w:val="22"/>
        </w:rPr>
        <w:t>五</w:t>
      </w:r>
      <w:r>
        <w:rPr>
          <w:rFonts w:ascii="宋体" w:hAnsi="宋体"/>
          <w:szCs w:val="22"/>
        </w:rPr>
        <w:t>、风险管控方案</w:t>
      </w:r>
    </w:p>
    <w:p w14:paraId="4FF5BBB0">
      <w:pPr>
        <w:spacing w:line="360" w:lineRule="auto"/>
        <w:ind w:firstLine="424" w:firstLineChars="202"/>
        <w:rPr>
          <w:rFonts w:ascii="宋体" w:hAnsi="宋体"/>
          <w:szCs w:val="22"/>
        </w:rPr>
      </w:pPr>
      <w:r>
        <w:rPr>
          <w:rFonts w:ascii="宋体" w:hAnsi="宋体"/>
          <w:szCs w:val="22"/>
        </w:rPr>
        <w:t>识别项目实施过程中可能存在的技术风险、进度风险、人员风险、数据安全风险等，并提出针对性的应对措施。</w:t>
      </w:r>
    </w:p>
    <w:p w14:paraId="436D6825">
      <w:pPr>
        <w:spacing w:line="360" w:lineRule="auto"/>
        <w:ind w:firstLine="424" w:firstLineChars="202"/>
        <w:rPr>
          <w:rFonts w:ascii="宋体" w:hAnsi="宋体"/>
          <w:szCs w:val="22"/>
        </w:rPr>
      </w:pPr>
    </w:p>
    <w:p w14:paraId="361AD04E">
      <w:pPr>
        <w:spacing w:line="360" w:lineRule="auto"/>
        <w:ind w:firstLine="424" w:firstLineChars="202"/>
        <w:rPr>
          <w:rFonts w:ascii="宋体" w:hAnsi="宋体"/>
          <w:szCs w:val="22"/>
        </w:rPr>
      </w:pPr>
      <w:r>
        <w:rPr>
          <w:rFonts w:ascii="宋体" w:hAnsi="宋体"/>
          <w:szCs w:val="22"/>
        </w:rPr>
        <w:t>投标人须在方案中承诺：</w:t>
      </w:r>
      <w:r>
        <w:rPr>
          <w:rFonts w:hint="eastAsia" w:ascii="宋体" w:hAnsi="宋体"/>
          <w:szCs w:val="22"/>
        </w:rPr>
        <w:t>终验前须达到</w:t>
      </w:r>
      <w:r>
        <w:rPr>
          <w:rFonts w:ascii="宋体" w:hAnsi="宋体"/>
          <w:szCs w:val="22"/>
        </w:rPr>
        <w:t>所有建设内容均满足国家网络安全等级保护三级要求和商用密码应用安全性</w:t>
      </w:r>
      <w:r>
        <w:rPr>
          <w:rFonts w:hint="eastAsia" w:ascii="宋体" w:hAnsi="宋体"/>
          <w:szCs w:val="22"/>
        </w:rPr>
        <w:t>保护，并通过网络安全等级保护测评和商用密码应用安全性</w:t>
      </w:r>
      <w:r>
        <w:rPr>
          <w:rFonts w:ascii="宋体" w:hAnsi="宋体"/>
          <w:szCs w:val="22"/>
        </w:rPr>
        <w:t>评估要求。</w:t>
      </w:r>
    </w:p>
    <w:p w14:paraId="4E298043"/>
    <w:p w14:paraId="2F626220">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220" w:name="_Toc972"/>
      <w:r>
        <w:rPr>
          <w:rFonts w:hint="eastAsia" w:ascii="Times New Roman" w:hAnsi="Times New Roman" w:eastAsia="宋体" w:cs="Times New Roman"/>
          <w:b/>
          <w:bCs/>
          <w:kern w:val="2"/>
          <w:sz w:val="32"/>
          <w:szCs w:val="32"/>
          <w:lang w:val="en-US" w:eastAsia="zh-CN" w:bidi="ar-SA"/>
        </w:rPr>
        <w:t xml:space="preserve">（六） </w:t>
      </w:r>
      <w:r>
        <w:rPr>
          <w:rFonts w:ascii="Times New Roman" w:hAnsi="Times New Roman" w:eastAsia="宋体" w:cs="Times New Roman"/>
          <w:b/>
          <w:bCs/>
          <w:kern w:val="2"/>
          <w:sz w:val="32"/>
          <w:szCs w:val="32"/>
          <w:lang w:val="en-US" w:eastAsia="zh-CN" w:bidi="ar-SA"/>
        </w:rPr>
        <w:t>实施要求</w:t>
      </w:r>
      <w:bookmarkEnd w:id="220"/>
    </w:p>
    <w:p w14:paraId="4E12E56E">
      <w:pPr>
        <w:spacing w:line="360" w:lineRule="auto"/>
        <w:ind w:firstLine="424" w:firstLineChars="202"/>
        <w:rPr>
          <w:rFonts w:ascii="宋体" w:hAnsi="宋体"/>
          <w:szCs w:val="22"/>
        </w:rPr>
      </w:pPr>
      <w:r>
        <w:rPr>
          <w:rFonts w:ascii="宋体" w:hAnsi="宋体"/>
          <w:szCs w:val="22"/>
        </w:rPr>
        <w:t>一、实施周期</w:t>
      </w:r>
    </w:p>
    <w:p w14:paraId="3111FE34">
      <w:pPr>
        <w:spacing w:line="360" w:lineRule="auto"/>
        <w:ind w:firstLine="424" w:firstLineChars="202"/>
        <w:rPr>
          <w:rFonts w:ascii="宋体" w:hAnsi="宋体"/>
          <w:szCs w:val="22"/>
        </w:rPr>
      </w:pPr>
      <w:r>
        <w:rPr>
          <w:rFonts w:ascii="宋体" w:hAnsi="宋体"/>
          <w:szCs w:val="22"/>
        </w:rPr>
        <w:t>自合同签订之日起，按合同约定的日历天内完成项目全部建设内容，并通过</w:t>
      </w:r>
      <w:r>
        <w:rPr>
          <w:rFonts w:hint="eastAsia" w:ascii="宋体" w:hAnsi="宋体"/>
          <w:szCs w:val="22"/>
        </w:rPr>
        <w:t>项目终验</w:t>
      </w:r>
      <w:r>
        <w:rPr>
          <w:rFonts w:ascii="宋体" w:hAnsi="宋体"/>
          <w:szCs w:val="22"/>
        </w:rPr>
        <w:t>。投标人应提供详细的实施进度计划，明确各阶段工作任务、时间节点及产出物。</w:t>
      </w:r>
    </w:p>
    <w:p w14:paraId="578E15A9">
      <w:pPr>
        <w:spacing w:line="360" w:lineRule="auto"/>
        <w:ind w:firstLine="424" w:firstLineChars="202"/>
        <w:rPr>
          <w:rFonts w:ascii="宋体" w:hAnsi="宋体"/>
          <w:szCs w:val="22"/>
        </w:rPr>
      </w:pPr>
      <w:r>
        <w:rPr>
          <w:rFonts w:ascii="宋体" w:hAnsi="宋体"/>
          <w:szCs w:val="22"/>
        </w:rPr>
        <w:t>二、实施团队</w:t>
      </w:r>
    </w:p>
    <w:p w14:paraId="5CD07662">
      <w:pPr>
        <w:spacing w:line="360" w:lineRule="auto"/>
        <w:ind w:firstLine="424" w:firstLineChars="202"/>
        <w:rPr>
          <w:rFonts w:ascii="宋体" w:hAnsi="宋体"/>
          <w:szCs w:val="22"/>
        </w:rPr>
      </w:pPr>
      <w:r>
        <w:rPr>
          <w:rFonts w:ascii="宋体" w:hAnsi="宋体"/>
          <w:szCs w:val="22"/>
        </w:rPr>
        <w:t>投标人应组建</w:t>
      </w:r>
      <w:r>
        <w:rPr>
          <w:rFonts w:hint="eastAsia" w:ascii="宋体" w:hAnsi="宋体"/>
          <w:szCs w:val="22"/>
          <w:highlight w:val="yellow"/>
        </w:rPr>
        <w:t>不少于18人</w:t>
      </w:r>
      <w:r>
        <w:rPr>
          <w:rFonts w:hint="eastAsia" w:ascii="宋体" w:hAnsi="宋体"/>
          <w:szCs w:val="22"/>
        </w:rPr>
        <w:t>的</w:t>
      </w:r>
      <w:r>
        <w:rPr>
          <w:rFonts w:ascii="宋体" w:hAnsi="宋体"/>
          <w:szCs w:val="22"/>
        </w:rPr>
        <w:t>专职项目实施团队，配备项目经理、技术负责人、实施工程师、质量保证人员等。项目经理须具有高级项目管理资质及同类项目管理经验，项目实施期间须常驻现场。</w:t>
      </w:r>
    </w:p>
    <w:p w14:paraId="2A7C7903">
      <w:pPr>
        <w:spacing w:line="360" w:lineRule="auto"/>
        <w:ind w:firstLine="424" w:firstLineChars="202"/>
        <w:rPr>
          <w:rFonts w:ascii="宋体" w:hAnsi="宋体"/>
          <w:szCs w:val="22"/>
        </w:rPr>
      </w:pPr>
      <w:r>
        <w:rPr>
          <w:rFonts w:ascii="宋体" w:hAnsi="宋体"/>
          <w:szCs w:val="22"/>
        </w:rPr>
        <w:t>三、实施过程控制</w:t>
      </w:r>
    </w:p>
    <w:p w14:paraId="5502DC7A">
      <w:pPr>
        <w:spacing w:line="360" w:lineRule="auto"/>
        <w:ind w:firstLine="424" w:firstLineChars="202"/>
        <w:rPr>
          <w:rFonts w:ascii="宋体" w:hAnsi="宋体"/>
          <w:szCs w:val="22"/>
        </w:rPr>
      </w:pPr>
      <w:r>
        <w:rPr>
          <w:rFonts w:ascii="宋体" w:hAnsi="宋体"/>
          <w:szCs w:val="22"/>
        </w:rPr>
        <w:t>建立项目例会制度，定期向采购人汇报项目进展。</w:t>
      </w:r>
    </w:p>
    <w:p w14:paraId="2144395F">
      <w:pPr>
        <w:spacing w:line="360" w:lineRule="auto"/>
        <w:ind w:firstLine="424" w:firstLineChars="202"/>
        <w:rPr>
          <w:rFonts w:ascii="宋体" w:hAnsi="宋体"/>
          <w:szCs w:val="22"/>
        </w:rPr>
      </w:pPr>
      <w:r>
        <w:rPr>
          <w:rFonts w:ascii="宋体" w:hAnsi="宋体"/>
          <w:szCs w:val="22"/>
        </w:rPr>
        <w:t>关键产出物（需求分析、详细设计、验收报告等）。</w:t>
      </w:r>
    </w:p>
    <w:p w14:paraId="264EC321">
      <w:pPr>
        <w:spacing w:line="360" w:lineRule="auto"/>
        <w:ind w:firstLine="424" w:firstLineChars="202"/>
        <w:rPr>
          <w:rFonts w:ascii="宋体" w:hAnsi="宋体"/>
          <w:szCs w:val="22"/>
        </w:rPr>
      </w:pPr>
      <w:r>
        <w:rPr>
          <w:rFonts w:ascii="宋体" w:hAnsi="宋体"/>
          <w:szCs w:val="22"/>
        </w:rPr>
        <w:t>项目变更须履行审批程序，所有变更记录归档留存。</w:t>
      </w:r>
    </w:p>
    <w:p w14:paraId="7FA5E37C">
      <w:pPr>
        <w:spacing w:line="360" w:lineRule="auto"/>
        <w:ind w:firstLine="424" w:firstLineChars="202"/>
        <w:rPr>
          <w:rFonts w:ascii="宋体" w:hAnsi="宋体"/>
          <w:szCs w:val="22"/>
        </w:rPr>
      </w:pPr>
      <w:r>
        <w:rPr>
          <w:rFonts w:ascii="宋体" w:hAnsi="宋体"/>
          <w:szCs w:val="22"/>
        </w:rPr>
        <w:t>四、环境适配要求</w:t>
      </w:r>
    </w:p>
    <w:p w14:paraId="5F0170D2">
      <w:pPr>
        <w:spacing w:line="360" w:lineRule="auto"/>
        <w:ind w:firstLine="424" w:firstLineChars="202"/>
        <w:rPr>
          <w:rFonts w:ascii="宋体" w:hAnsi="宋体"/>
          <w:szCs w:val="22"/>
        </w:rPr>
      </w:pPr>
      <w:r>
        <w:rPr>
          <w:rFonts w:ascii="宋体" w:hAnsi="宋体"/>
          <w:szCs w:val="22"/>
        </w:rPr>
        <w:t>项目涉及的软件产品须完成与主流国产服务器、操作系统、数据库、中间件</w:t>
      </w:r>
      <w:r>
        <w:rPr>
          <w:rFonts w:hint="eastAsia" w:ascii="宋体" w:hAnsi="宋体"/>
          <w:szCs w:val="22"/>
        </w:rPr>
        <w:t>等</w:t>
      </w:r>
      <w:r>
        <w:rPr>
          <w:rFonts w:ascii="宋体" w:hAnsi="宋体"/>
          <w:szCs w:val="22"/>
        </w:rPr>
        <w:t>的适配，</w:t>
      </w:r>
      <w:r>
        <w:rPr>
          <w:rFonts w:hint="eastAsia"/>
          <w:color w:val="000000"/>
        </w:rPr>
        <w:t>除政务云提供的国产服务器</w:t>
      </w:r>
      <w:r>
        <w:rPr>
          <w:rFonts w:hint="eastAsia" w:ascii="宋体" w:hAnsi="宋体"/>
          <w:color w:val="000000"/>
          <w:szCs w:val="22"/>
        </w:rPr>
        <w:t>、操作系统、数据库、中间件之外，投标人在项目实施过程中确实有需要的，需由投标人自行提供，满足项目信创环境运行要求。</w:t>
      </w:r>
    </w:p>
    <w:p w14:paraId="75B45E6C">
      <w:pPr>
        <w:spacing w:line="360" w:lineRule="auto"/>
        <w:ind w:firstLine="424" w:firstLineChars="202"/>
        <w:rPr>
          <w:rFonts w:ascii="宋体" w:hAnsi="宋体"/>
          <w:szCs w:val="22"/>
        </w:rPr>
      </w:pPr>
      <w:r>
        <w:rPr>
          <w:rFonts w:ascii="宋体" w:hAnsi="宋体"/>
          <w:szCs w:val="22"/>
        </w:rPr>
        <w:t>五、交付要求</w:t>
      </w:r>
    </w:p>
    <w:p w14:paraId="4C7A3A6F">
      <w:pPr>
        <w:spacing w:line="360" w:lineRule="auto"/>
        <w:ind w:firstLine="424" w:firstLineChars="202"/>
        <w:rPr>
          <w:rFonts w:ascii="宋体" w:hAnsi="宋体"/>
          <w:szCs w:val="22"/>
        </w:rPr>
      </w:pPr>
      <w:r>
        <w:rPr>
          <w:rFonts w:ascii="宋体" w:hAnsi="宋体"/>
          <w:szCs w:val="22"/>
        </w:rPr>
        <w:t>项目实施过程中及终验前，要求交付全部技术文档、接口说明及相关成果物。</w:t>
      </w:r>
    </w:p>
    <w:p w14:paraId="62BCB4FA">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221" w:name="_Toc20104"/>
      <w:r>
        <w:rPr>
          <w:rFonts w:hint="eastAsia" w:ascii="Times New Roman" w:hAnsi="Times New Roman" w:eastAsia="宋体" w:cs="Times New Roman"/>
          <w:b/>
          <w:bCs/>
          <w:kern w:val="2"/>
          <w:sz w:val="32"/>
          <w:szCs w:val="32"/>
          <w:lang w:val="en-US" w:eastAsia="zh-CN" w:bidi="ar-SA"/>
        </w:rPr>
        <w:t xml:space="preserve">（七） </w:t>
      </w:r>
      <w:r>
        <w:rPr>
          <w:rFonts w:ascii="Times New Roman" w:hAnsi="Times New Roman" w:eastAsia="宋体" w:cs="Times New Roman"/>
          <w:b/>
          <w:bCs/>
          <w:kern w:val="2"/>
          <w:sz w:val="32"/>
          <w:szCs w:val="32"/>
          <w:lang w:val="en-US" w:eastAsia="zh-CN" w:bidi="ar-SA"/>
        </w:rPr>
        <w:t>运维要求</w:t>
      </w:r>
      <w:bookmarkEnd w:id="221"/>
    </w:p>
    <w:p w14:paraId="2C2A1333">
      <w:pPr>
        <w:spacing w:line="360" w:lineRule="auto"/>
        <w:ind w:firstLine="424" w:firstLineChars="202"/>
        <w:rPr>
          <w:rFonts w:ascii="宋体" w:hAnsi="宋体"/>
          <w:szCs w:val="22"/>
        </w:rPr>
      </w:pPr>
      <w:r>
        <w:rPr>
          <w:rFonts w:ascii="宋体" w:hAnsi="宋体"/>
          <w:szCs w:val="22"/>
        </w:rPr>
        <w:t>一、运维内容与范围</w:t>
      </w:r>
    </w:p>
    <w:p w14:paraId="645F22A4">
      <w:pPr>
        <w:spacing w:line="360" w:lineRule="auto"/>
        <w:ind w:firstLine="424" w:firstLineChars="202"/>
        <w:rPr>
          <w:rFonts w:ascii="宋体" w:hAnsi="宋体"/>
          <w:szCs w:val="22"/>
        </w:rPr>
      </w:pPr>
      <w:r>
        <w:rPr>
          <w:rFonts w:ascii="宋体" w:hAnsi="宋体"/>
          <w:szCs w:val="22"/>
        </w:rPr>
        <w:t>运维范围包括本项目所建设的所有软件系统、数据资源、接口服务及配套基础设施。运维服务内容涵盖</w:t>
      </w:r>
      <w:r>
        <w:rPr>
          <w:rFonts w:hint="eastAsia" w:ascii="宋体" w:hAnsi="宋体"/>
          <w:szCs w:val="22"/>
        </w:rPr>
        <w:t>制定运维方案（包括应急预案和驻场人员要求）、</w:t>
      </w:r>
      <w:r>
        <w:rPr>
          <w:rFonts w:ascii="宋体" w:hAnsi="宋体"/>
          <w:szCs w:val="22"/>
        </w:rPr>
        <w:t>系统日常监控、故障处理、性能优化、数据备份与恢复、安全保障、用户支持等。</w:t>
      </w:r>
    </w:p>
    <w:p w14:paraId="7FFD6606">
      <w:pPr>
        <w:spacing w:line="360" w:lineRule="auto"/>
        <w:ind w:firstLine="424" w:firstLineChars="202"/>
        <w:rPr>
          <w:rFonts w:ascii="宋体" w:hAnsi="宋体"/>
          <w:szCs w:val="22"/>
        </w:rPr>
      </w:pPr>
      <w:r>
        <w:rPr>
          <w:rFonts w:ascii="宋体" w:hAnsi="宋体"/>
          <w:szCs w:val="22"/>
        </w:rPr>
        <w:t>二、运维服务标准</w:t>
      </w:r>
    </w:p>
    <w:p w14:paraId="1FDC0733">
      <w:pPr>
        <w:spacing w:line="360" w:lineRule="auto"/>
        <w:ind w:firstLine="424" w:firstLineChars="202"/>
        <w:rPr>
          <w:rFonts w:ascii="宋体" w:hAnsi="宋体"/>
          <w:szCs w:val="22"/>
        </w:rPr>
      </w:pPr>
      <w:r>
        <w:rPr>
          <w:rFonts w:ascii="宋体" w:hAnsi="宋体"/>
          <w:szCs w:val="22"/>
        </w:rPr>
        <w:t>提供7×24小时运维响应服务。</w:t>
      </w:r>
    </w:p>
    <w:p w14:paraId="74BD7304">
      <w:pPr>
        <w:spacing w:line="360" w:lineRule="auto"/>
        <w:ind w:firstLine="424" w:firstLineChars="202"/>
        <w:rPr>
          <w:rFonts w:ascii="宋体" w:hAnsi="宋体"/>
          <w:szCs w:val="22"/>
        </w:rPr>
      </w:pPr>
      <w:r>
        <w:rPr>
          <w:rFonts w:ascii="宋体" w:hAnsi="宋体"/>
          <w:szCs w:val="22"/>
        </w:rPr>
        <w:t>系统整体可用性不低于99.9%。</w:t>
      </w:r>
    </w:p>
    <w:p w14:paraId="096B7855">
      <w:pPr>
        <w:spacing w:line="360" w:lineRule="auto"/>
        <w:ind w:firstLine="424" w:firstLineChars="202"/>
        <w:rPr>
          <w:rFonts w:ascii="宋体" w:hAnsi="宋体"/>
          <w:szCs w:val="22"/>
        </w:rPr>
      </w:pPr>
      <w:r>
        <w:rPr>
          <w:rFonts w:ascii="宋体" w:hAnsi="宋体"/>
          <w:szCs w:val="22"/>
        </w:rPr>
        <w:t>数据备份每日执行。</w:t>
      </w:r>
    </w:p>
    <w:p w14:paraId="42FFD94D">
      <w:pPr>
        <w:spacing w:line="360" w:lineRule="auto"/>
        <w:ind w:firstLine="424" w:firstLineChars="202"/>
        <w:rPr>
          <w:rFonts w:ascii="宋体" w:hAnsi="宋体"/>
          <w:szCs w:val="22"/>
        </w:rPr>
      </w:pPr>
      <w:r>
        <w:rPr>
          <w:rFonts w:ascii="宋体" w:hAnsi="宋体"/>
          <w:szCs w:val="22"/>
        </w:rPr>
        <w:t>三、故障响应与恢复</w:t>
      </w:r>
    </w:p>
    <w:p w14:paraId="3072A894">
      <w:pPr>
        <w:spacing w:line="360" w:lineRule="auto"/>
        <w:ind w:firstLine="424" w:firstLineChars="202"/>
        <w:rPr>
          <w:rFonts w:ascii="宋体" w:hAnsi="宋体"/>
          <w:szCs w:val="22"/>
        </w:rPr>
      </w:pPr>
      <w:r>
        <w:rPr>
          <w:rFonts w:ascii="宋体" w:hAnsi="宋体"/>
          <w:szCs w:val="22"/>
        </w:rPr>
        <w:t>一级故障（系统宕机或核心功能不可用）：响应时间≤</w:t>
      </w:r>
      <w:r>
        <w:rPr>
          <w:rFonts w:hint="eastAsia" w:ascii="宋体" w:hAnsi="宋体"/>
          <w:szCs w:val="22"/>
        </w:rPr>
        <w:t>3</w:t>
      </w:r>
      <w:r>
        <w:rPr>
          <w:rFonts w:ascii="宋体" w:hAnsi="宋体"/>
          <w:szCs w:val="22"/>
        </w:rPr>
        <w:t>0分钟，恢复时间≤</w:t>
      </w:r>
      <w:r>
        <w:rPr>
          <w:rFonts w:hint="eastAsia" w:ascii="宋体" w:hAnsi="宋体"/>
          <w:szCs w:val="22"/>
        </w:rPr>
        <w:t>4</w:t>
      </w:r>
      <w:r>
        <w:rPr>
          <w:rFonts w:ascii="宋体" w:hAnsi="宋体"/>
          <w:szCs w:val="22"/>
        </w:rPr>
        <w:t>小时。</w:t>
      </w:r>
    </w:p>
    <w:p w14:paraId="1F2A5C3C">
      <w:pPr>
        <w:spacing w:line="360" w:lineRule="auto"/>
        <w:ind w:firstLine="424" w:firstLineChars="202"/>
        <w:rPr>
          <w:rFonts w:ascii="宋体" w:hAnsi="宋体"/>
          <w:szCs w:val="22"/>
        </w:rPr>
      </w:pPr>
      <w:r>
        <w:rPr>
          <w:rFonts w:ascii="宋体" w:hAnsi="宋体"/>
          <w:szCs w:val="22"/>
        </w:rPr>
        <w:t>二级故障（非核心功能异常）：响应时间≤</w:t>
      </w:r>
      <w:r>
        <w:rPr>
          <w:rFonts w:hint="eastAsia" w:ascii="宋体" w:hAnsi="宋体"/>
          <w:szCs w:val="22"/>
        </w:rPr>
        <w:t>6</w:t>
      </w:r>
      <w:r>
        <w:rPr>
          <w:rFonts w:ascii="宋体" w:hAnsi="宋体"/>
          <w:szCs w:val="22"/>
        </w:rPr>
        <w:t>0分钟，恢复时间≤8小时。</w:t>
      </w:r>
    </w:p>
    <w:p w14:paraId="524D4854">
      <w:pPr>
        <w:spacing w:line="360" w:lineRule="auto"/>
        <w:ind w:firstLine="424" w:firstLineChars="202"/>
        <w:rPr>
          <w:rFonts w:ascii="宋体" w:hAnsi="宋体"/>
          <w:szCs w:val="22"/>
        </w:rPr>
      </w:pPr>
      <w:r>
        <w:rPr>
          <w:rFonts w:ascii="宋体" w:hAnsi="宋体"/>
          <w:szCs w:val="22"/>
        </w:rPr>
        <w:t>三级故障（一般问题）：响应时间≤</w:t>
      </w:r>
      <w:r>
        <w:rPr>
          <w:rFonts w:hint="eastAsia" w:ascii="宋体" w:hAnsi="宋体"/>
          <w:szCs w:val="22"/>
        </w:rPr>
        <w:t>4</w:t>
      </w:r>
      <w:r>
        <w:rPr>
          <w:rFonts w:ascii="宋体" w:hAnsi="宋体"/>
          <w:szCs w:val="22"/>
        </w:rPr>
        <w:t>小时，恢复时间≤24小时。</w:t>
      </w:r>
    </w:p>
    <w:p w14:paraId="76DCF788">
      <w:pPr>
        <w:spacing w:line="360" w:lineRule="auto"/>
        <w:ind w:firstLine="424" w:firstLineChars="202"/>
        <w:rPr>
          <w:rFonts w:ascii="宋体" w:hAnsi="宋体"/>
          <w:szCs w:val="22"/>
        </w:rPr>
      </w:pPr>
      <w:r>
        <w:rPr>
          <w:rFonts w:ascii="宋体" w:hAnsi="宋体"/>
          <w:szCs w:val="22"/>
        </w:rPr>
        <w:t>四、运维团队</w:t>
      </w:r>
    </w:p>
    <w:p w14:paraId="74CDA1AE">
      <w:pPr>
        <w:spacing w:line="360" w:lineRule="auto"/>
        <w:ind w:firstLine="424" w:firstLineChars="202"/>
        <w:rPr>
          <w:rFonts w:ascii="宋体" w:hAnsi="宋体"/>
          <w:szCs w:val="22"/>
        </w:rPr>
      </w:pPr>
      <w:r>
        <w:rPr>
          <w:rFonts w:ascii="宋体" w:hAnsi="宋体"/>
          <w:szCs w:val="22"/>
        </w:rPr>
        <w:t>投标人须提供专职运维团队，负责日常巡检和处理。重大活动或重要时期需按采购人要求增派人员</w:t>
      </w:r>
      <w:r>
        <w:rPr>
          <w:rFonts w:hint="eastAsia" w:ascii="宋体" w:hAnsi="宋体"/>
          <w:szCs w:val="22"/>
        </w:rPr>
        <w:t>完成</w:t>
      </w:r>
      <w:r>
        <w:rPr>
          <w:rFonts w:ascii="宋体" w:hAnsi="宋体"/>
          <w:szCs w:val="22"/>
        </w:rPr>
        <w:t>现场保障</w:t>
      </w:r>
      <w:r>
        <w:rPr>
          <w:rFonts w:hint="eastAsia" w:ascii="宋体" w:hAnsi="宋体"/>
          <w:szCs w:val="22"/>
        </w:rPr>
        <w:t>工作</w:t>
      </w:r>
      <w:r>
        <w:rPr>
          <w:rFonts w:ascii="宋体" w:hAnsi="宋体"/>
          <w:szCs w:val="22"/>
        </w:rPr>
        <w:t>。</w:t>
      </w:r>
    </w:p>
    <w:p w14:paraId="2EC5D4F1">
      <w:pPr>
        <w:spacing w:line="360" w:lineRule="auto"/>
        <w:ind w:firstLine="424" w:firstLineChars="202"/>
        <w:rPr>
          <w:rFonts w:ascii="宋体" w:hAnsi="宋体"/>
          <w:szCs w:val="22"/>
        </w:rPr>
      </w:pPr>
      <w:r>
        <w:rPr>
          <w:rFonts w:hint="eastAsia" w:ascii="宋体" w:hAnsi="宋体"/>
          <w:szCs w:val="22"/>
        </w:rPr>
        <w:t>五</w:t>
      </w:r>
      <w:r>
        <w:rPr>
          <w:rFonts w:ascii="宋体" w:hAnsi="宋体"/>
          <w:szCs w:val="22"/>
        </w:rPr>
        <w:t>、安全运维</w:t>
      </w:r>
    </w:p>
    <w:p w14:paraId="22045D0C">
      <w:pPr>
        <w:spacing w:line="360" w:lineRule="auto"/>
        <w:ind w:firstLine="424" w:firstLineChars="202"/>
        <w:rPr>
          <w:rFonts w:ascii="宋体" w:hAnsi="宋体"/>
          <w:szCs w:val="22"/>
          <w:highlight w:val="yellow"/>
        </w:rPr>
      </w:pPr>
      <w:r>
        <w:rPr>
          <w:rFonts w:ascii="宋体" w:hAnsi="宋体"/>
          <w:szCs w:val="22"/>
          <w:highlight w:val="yellow"/>
        </w:rPr>
        <w:t>运维人员须签署保密协议，定期进行</w:t>
      </w:r>
      <w:r>
        <w:rPr>
          <w:rFonts w:hint="eastAsia" w:ascii="宋体" w:hAnsi="宋体"/>
          <w:szCs w:val="22"/>
          <w:highlight w:val="yellow"/>
        </w:rPr>
        <w:t>系统</w:t>
      </w:r>
      <w:r>
        <w:rPr>
          <w:rFonts w:ascii="宋体" w:hAnsi="宋体"/>
          <w:szCs w:val="22"/>
          <w:highlight w:val="yellow"/>
        </w:rPr>
        <w:t>安全漏洞扫描和渗透测试。</w:t>
      </w:r>
    </w:p>
    <w:p w14:paraId="5978C18A">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222" w:name="_Toc26496"/>
      <w:r>
        <w:rPr>
          <w:rFonts w:hint="eastAsia" w:ascii="Times New Roman" w:hAnsi="Times New Roman" w:eastAsia="宋体" w:cs="Times New Roman"/>
          <w:b/>
          <w:bCs/>
          <w:kern w:val="2"/>
          <w:sz w:val="32"/>
          <w:szCs w:val="32"/>
          <w:lang w:val="en-US" w:eastAsia="zh-CN" w:bidi="ar-SA"/>
        </w:rPr>
        <w:t xml:space="preserve">（八） </w:t>
      </w:r>
      <w:r>
        <w:rPr>
          <w:rFonts w:ascii="Times New Roman" w:hAnsi="Times New Roman" w:eastAsia="宋体" w:cs="Times New Roman"/>
          <w:b/>
          <w:bCs/>
          <w:kern w:val="2"/>
          <w:sz w:val="32"/>
          <w:szCs w:val="32"/>
          <w:lang w:val="en-US" w:eastAsia="zh-CN" w:bidi="ar-SA"/>
        </w:rPr>
        <w:t>售后服务</w:t>
      </w:r>
      <w:bookmarkEnd w:id="222"/>
    </w:p>
    <w:p w14:paraId="1AC17D16">
      <w:pPr>
        <w:widowControl/>
        <w:spacing w:line="360" w:lineRule="auto"/>
        <w:ind w:firstLine="420"/>
        <w:rPr>
          <w:rFonts w:hint="eastAsia"/>
          <w:color w:val="000000"/>
          <w:kern w:val="0"/>
          <w:highlight w:val="yellow"/>
        </w:rPr>
      </w:pPr>
      <w:r>
        <w:rPr>
          <w:rFonts w:hint="eastAsia"/>
          <w:color w:val="000000"/>
          <w:kern w:val="0"/>
          <w:highlight w:val="yellow"/>
        </w:rPr>
        <w:t>一、免费</w:t>
      </w:r>
      <w:r>
        <w:rPr>
          <w:rFonts w:hint="eastAsia"/>
          <w:color w:val="000000"/>
          <w:kern w:val="0"/>
          <w:highlight w:val="yellow"/>
          <w:lang w:val="en-US" w:eastAsia="zh-CN"/>
        </w:rPr>
        <w:t>维保</w:t>
      </w:r>
      <w:r>
        <w:rPr>
          <w:rFonts w:hint="eastAsia"/>
          <w:color w:val="000000"/>
          <w:kern w:val="0"/>
          <w:highlight w:val="yellow"/>
        </w:rPr>
        <w:t>期</w:t>
      </w:r>
    </w:p>
    <w:p w14:paraId="3602192A">
      <w:pPr>
        <w:widowControl/>
        <w:spacing w:line="360" w:lineRule="auto"/>
        <w:ind w:firstLine="420"/>
        <w:rPr>
          <w:rFonts w:hint="default"/>
          <w:color w:val="000000"/>
          <w:kern w:val="0"/>
          <w:lang w:val="en-US" w:eastAsia="zh-CN"/>
        </w:rPr>
      </w:pPr>
      <w:r>
        <w:rPr>
          <w:rFonts w:hint="default"/>
          <w:color w:val="000000"/>
          <w:kern w:val="0"/>
          <w:highlight w:val="yellow"/>
          <w:lang w:eastAsia="zh-CN"/>
        </w:rPr>
        <w:t>自项目竣工验收合格之日起，</w:t>
      </w:r>
      <w:r>
        <w:rPr>
          <w:rFonts w:hint="eastAsia"/>
          <w:color w:val="000000"/>
          <w:kern w:val="0"/>
          <w:highlight w:val="yellow"/>
          <w:lang w:val="en-US" w:eastAsia="zh-CN"/>
        </w:rPr>
        <w:t>中标单位</w:t>
      </w:r>
      <w:r>
        <w:rPr>
          <w:rFonts w:hint="default"/>
          <w:color w:val="000000"/>
          <w:kern w:val="0"/>
          <w:highlight w:val="yellow"/>
        </w:rPr>
        <w:t>须为本项目提供</w:t>
      </w:r>
      <w:r>
        <w:rPr>
          <w:rFonts w:hint="default"/>
          <w:color w:val="000000"/>
          <w:kern w:val="0"/>
          <w:highlight w:val="yellow"/>
          <w:lang w:val="en-US" w:eastAsia="zh-CN"/>
        </w:rPr>
        <w:t>3年的</w:t>
      </w:r>
      <w:r>
        <w:rPr>
          <w:rFonts w:hint="eastAsia"/>
          <w:color w:val="000000"/>
          <w:kern w:val="0"/>
          <w:highlight w:val="yellow"/>
          <w:lang w:val="en-US" w:eastAsia="zh-CN"/>
        </w:rPr>
        <w:t>免费</w:t>
      </w:r>
      <w:r>
        <w:rPr>
          <w:rFonts w:hint="default"/>
          <w:color w:val="000000"/>
          <w:kern w:val="0"/>
          <w:highlight w:val="yellow"/>
        </w:rPr>
        <w:t>维保服务</w:t>
      </w:r>
      <w:r>
        <w:rPr>
          <w:rFonts w:hint="default"/>
          <w:color w:val="000000"/>
          <w:kern w:val="0"/>
          <w:highlight w:val="yellow"/>
          <w:lang w:eastAsia="zh-CN"/>
        </w:rPr>
        <w:t>（</w:t>
      </w:r>
      <w:r>
        <w:rPr>
          <w:rFonts w:hint="default"/>
          <w:color w:val="000000"/>
          <w:kern w:val="0"/>
          <w:highlight w:val="yellow"/>
        </w:rPr>
        <w:t>含系统维护和运维保障服务，包括因政策变更的系统升级改造</w:t>
      </w:r>
      <w:r>
        <w:rPr>
          <w:rFonts w:hint="default"/>
          <w:color w:val="000000"/>
          <w:kern w:val="0"/>
          <w:highlight w:val="yellow"/>
          <w:lang w:eastAsia="zh-CN"/>
        </w:rPr>
        <w:t>）。服务期内，</w:t>
      </w:r>
      <w:r>
        <w:rPr>
          <w:rFonts w:hint="eastAsia"/>
          <w:color w:val="000000"/>
          <w:kern w:val="0"/>
          <w:highlight w:val="yellow"/>
          <w:lang w:val="en-US" w:eastAsia="zh-CN"/>
        </w:rPr>
        <w:t>中标单位</w:t>
      </w:r>
      <w:r>
        <w:rPr>
          <w:rFonts w:hint="default"/>
          <w:color w:val="000000"/>
          <w:kern w:val="0"/>
          <w:highlight w:val="yellow"/>
          <w:lang w:eastAsia="zh-CN"/>
        </w:rPr>
        <w:t>须指定</w:t>
      </w:r>
      <w:r>
        <w:rPr>
          <w:rFonts w:hint="default"/>
          <w:color w:val="000000"/>
          <w:kern w:val="0"/>
          <w:highlight w:val="yellow"/>
          <w:lang w:val="en-US" w:eastAsia="zh-CN"/>
        </w:rPr>
        <w:t>5名技术人员（含3名驻场人员）开展维保工作，驻场期间不得兼任其他项目工作，提供</w:t>
      </w:r>
      <w:r>
        <w:rPr>
          <w:rFonts w:hint="default"/>
          <w:color w:val="000000"/>
          <w:kern w:val="0"/>
          <w:highlight w:val="yellow"/>
        </w:rPr>
        <w:t>7×24小时</w:t>
      </w:r>
      <w:r>
        <w:rPr>
          <w:rFonts w:hint="default"/>
          <w:color w:val="000000"/>
          <w:kern w:val="0"/>
          <w:highlight w:val="yellow"/>
          <w:lang w:eastAsia="zh-CN"/>
        </w:rPr>
        <w:t>维保服务，</w:t>
      </w:r>
      <w:r>
        <w:rPr>
          <w:rFonts w:hint="eastAsia"/>
          <w:color w:val="000000"/>
          <w:kern w:val="0"/>
          <w:highlight w:val="yellow"/>
          <w:lang w:val="en-US" w:eastAsia="zh-CN"/>
        </w:rPr>
        <w:t>团队</w:t>
      </w:r>
      <w:r>
        <w:rPr>
          <w:rFonts w:hint="default"/>
          <w:color w:val="000000"/>
          <w:kern w:val="0"/>
          <w:highlight w:val="yellow"/>
          <w:lang w:val="en-US" w:eastAsia="zh-CN"/>
        </w:rPr>
        <w:t>人员</w:t>
      </w:r>
      <w:r>
        <w:rPr>
          <w:rFonts w:hint="default"/>
          <w:color w:val="000000"/>
          <w:kern w:val="0"/>
          <w:highlight w:val="yellow"/>
        </w:rPr>
        <w:t>必须具备</w:t>
      </w:r>
      <w:r>
        <w:rPr>
          <w:rFonts w:hint="eastAsia"/>
          <w:color w:val="000000"/>
          <w:kern w:val="0"/>
          <w:highlight w:val="yellow"/>
          <w:lang w:val="en-US" w:eastAsia="zh-CN"/>
        </w:rPr>
        <w:t>较强</w:t>
      </w:r>
      <w:r>
        <w:rPr>
          <w:rFonts w:hint="default"/>
          <w:color w:val="000000"/>
          <w:kern w:val="0"/>
          <w:highlight w:val="yellow"/>
        </w:rPr>
        <w:t>的开发能力</w:t>
      </w:r>
      <w:r>
        <w:rPr>
          <w:rFonts w:hint="default"/>
          <w:color w:val="000000"/>
          <w:kern w:val="0"/>
          <w:highlight w:val="yellow"/>
          <w:lang w:eastAsia="zh-CN"/>
        </w:rPr>
        <w:t>且</w:t>
      </w:r>
      <w:r>
        <w:rPr>
          <w:rFonts w:hint="default"/>
          <w:color w:val="000000"/>
          <w:kern w:val="0"/>
          <w:highlight w:val="yellow"/>
        </w:rPr>
        <w:t>能够独立完成流程配置、软件维护、软件升级、系统安全漏洞修改</w:t>
      </w:r>
      <w:r>
        <w:rPr>
          <w:rFonts w:hint="eastAsia"/>
          <w:color w:val="000000"/>
          <w:kern w:val="0"/>
          <w:highlight w:val="yellow"/>
          <w:lang w:eastAsia="zh-CN"/>
        </w:rPr>
        <w:t>、</w:t>
      </w:r>
      <w:r>
        <w:rPr>
          <w:rFonts w:hint="eastAsia"/>
          <w:color w:val="000000"/>
          <w:kern w:val="0"/>
          <w:highlight w:val="yellow"/>
          <w:lang w:val="en-US" w:eastAsia="zh-CN"/>
        </w:rPr>
        <w:t>数据运营、数据安全监测和保障</w:t>
      </w:r>
      <w:r>
        <w:rPr>
          <w:rFonts w:hint="default"/>
          <w:color w:val="000000"/>
          <w:kern w:val="0"/>
          <w:highlight w:val="yellow"/>
        </w:rPr>
        <w:t>等工作</w:t>
      </w:r>
      <w:r>
        <w:rPr>
          <w:rFonts w:hint="default"/>
          <w:color w:val="000000"/>
          <w:kern w:val="0"/>
          <w:highlight w:val="yellow"/>
          <w:lang w:eastAsia="zh-CN"/>
        </w:rPr>
        <w:t>，并按甲方要求提供运维服务工作成果。</w:t>
      </w:r>
      <w:r>
        <w:rPr>
          <w:rFonts w:hint="default"/>
          <w:color w:val="000000"/>
          <w:kern w:val="0"/>
          <w:lang w:eastAsia="zh-CN"/>
        </w:rPr>
        <w:t>未经甲方书面认可，</w:t>
      </w:r>
      <w:r>
        <w:rPr>
          <w:rFonts w:hint="eastAsia"/>
          <w:color w:val="000000"/>
          <w:kern w:val="0"/>
          <w:lang w:val="en-US" w:eastAsia="zh-CN"/>
        </w:rPr>
        <w:t>中标单位</w:t>
      </w:r>
      <w:r>
        <w:rPr>
          <w:rFonts w:hint="default"/>
          <w:color w:val="000000"/>
          <w:kern w:val="0"/>
          <w:lang w:eastAsia="zh-CN"/>
        </w:rPr>
        <w:t>不得随意更换项目</w:t>
      </w:r>
      <w:r>
        <w:rPr>
          <w:rFonts w:hint="eastAsia"/>
          <w:color w:val="000000"/>
          <w:kern w:val="0"/>
          <w:lang w:val="en-US" w:eastAsia="zh-CN"/>
        </w:rPr>
        <w:t>团队</w:t>
      </w:r>
      <w:r>
        <w:rPr>
          <w:rFonts w:hint="default"/>
          <w:color w:val="000000"/>
          <w:kern w:val="0"/>
          <w:lang w:eastAsia="zh-CN"/>
        </w:rPr>
        <w:t>人员，</w:t>
      </w:r>
      <w:r>
        <w:rPr>
          <w:rFonts w:hint="eastAsia"/>
          <w:color w:val="000000"/>
          <w:kern w:val="0"/>
          <w:lang w:val="en-US" w:eastAsia="zh-CN"/>
        </w:rPr>
        <w:t>团队</w:t>
      </w:r>
      <w:r>
        <w:rPr>
          <w:rFonts w:hint="default"/>
          <w:color w:val="000000"/>
          <w:kern w:val="0"/>
          <w:lang w:eastAsia="zh-CN"/>
        </w:rPr>
        <w:t>人员</w:t>
      </w:r>
      <w:r>
        <w:rPr>
          <w:rFonts w:hint="default"/>
          <w:color w:val="000000"/>
          <w:kern w:val="0"/>
          <w:lang w:val="en-US" w:eastAsia="zh-CN"/>
        </w:rPr>
        <w:t>驻场期间不得兼任其他项目工作</w:t>
      </w:r>
      <w:r>
        <w:rPr>
          <w:rFonts w:hint="default"/>
          <w:color w:val="000000"/>
          <w:kern w:val="0"/>
          <w:lang w:eastAsia="zh-CN"/>
        </w:rPr>
        <w:t>。</w:t>
      </w:r>
      <w:r>
        <w:rPr>
          <w:rFonts w:hint="default"/>
          <w:color w:val="000000"/>
          <w:kern w:val="0"/>
          <w:lang w:val="en-US" w:eastAsia="zh-CN"/>
        </w:rPr>
        <w:t>如甲方认为</w:t>
      </w:r>
      <w:r>
        <w:rPr>
          <w:rFonts w:hint="eastAsia"/>
          <w:color w:val="000000"/>
          <w:kern w:val="0"/>
          <w:lang w:val="en-US" w:eastAsia="zh-CN"/>
        </w:rPr>
        <w:t>团队</w:t>
      </w:r>
      <w:r>
        <w:rPr>
          <w:rFonts w:hint="default"/>
          <w:color w:val="000000"/>
          <w:kern w:val="0"/>
          <w:lang w:val="en-US" w:eastAsia="zh-CN"/>
        </w:rPr>
        <w:t>人员不具备相应能力的，</w:t>
      </w:r>
      <w:r>
        <w:rPr>
          <w:rFonts w:hint="eastAsia"/>
          <w:color w:val="000000"/>
          <w:kern w:val="0"/>
          <w:lang w:val="en-US" w:eastAsia="zh-CN"/>
        </w:rPr>
        <w:t>中标单位</w:t>
      </w:r>
      <w:r>
        <w:rPr>
          <w:rFonts w:hint="default"/>
          <w:color w:val="000000"/>
          <w:kern w:val="0"/>
          <w:lang w:val="en-US" w:eastAsia="zh-CN"/>
        </w:rPr>
        <w:t>应当立即更换，如甲方认为更换后的人员仍无法满足甲方要求的，甲方可委托第三方完成相应工作，费用由</w:t>
      </w:r>
      <w:r>
        <w:rPr>
          <w:rFonts w:hint="eastAsia"/>
          <w:color w:val="000000"/>
          <w:kern w:val="0"/>
          <w:lang w:val="en-US" w:eastAsia="zh-CN"/>
        </w:rPr>
        <w:t>中标单位</w:t>
      </w:r>
      <w:r>
        <w:rPr>
          <w:rFonts w:hint="default"/>
          <w:color w:val="000000"/>
          <w:kern w:val="0"/>
          <w:lang w:val="en-US" w:eastAsia="zh-CN"/>
        </w:rPr>
        <w:t>承担。</w:t>
      </w:r>
    </w:p>
    <w:p w14:paraId="785B06CC">
      <w:pPr>
        <w:spacing w:line="360" w:lineRule="auto"/>
        <w:ind w:firstLine="424" w:firstLineChars="202"/>
        <w:rPr>
          <w:rFonts w:ascii="宋体" w:hAnsi="宋体"/>
          <w:szCs w:val="22"/>
        </w:rPr>
      </w:pPr>
      <w:r>
        <w:rPr>
          <w:rFonts w:ascii="宋体" w:hAnsi="宋体"/>
          <w:szCs w:val="22"/>
        </w:rPr>
        <w:t>二、服务响应</w:t>
      </w:r>
    </w:p>
    <w:p w14:paraId="0CF118EA">
      <w:pPr>
        <w:spacing w:line="360" w:lineRule="auto"/>
        <w:ind w:firstLine="424" w:firstLineChars="202"/>
        <w:rPr>
          <w:rFonts w:ascii="宋体" w:hAnsi="宋体"/>
          <w:szCs w:val="22"/>
        </w:rPr>
      </w:pPr>
      <w:r>
        <w:rPr>
          <w:rFonts w:ascii="宋体" w:hAnsi="宋体"/>
          <w:szCs w:val="22"/>
        </w:rPr>
        <w:t>提供7×24小时售后服务热线和在线工单系统。</w:t>
      </w:r>
    </w:p>
    <w:p w14:paraId="390655F8">
      <w:pPr>
        <w:spacing w:line="360" w:lineRule="auto"/>
        <w:ind w:firstLine="424" w:firstLineChars="202"/>
        <w:rPr>
          <w:rFonts w:ascii="宋体" w:hAnsi="宋体"/>
          <w:szCs w:val="22"/>
        </w:rPr>
      </w:pPr>
      <w:r>
        <w:rPr>
          <w:rFonts w:ascii="宋体" w:hAnsi="宋体"/>
          <w:szCs w:val="22"/>
        </w:rPr>
        <w:t>紧急问题：30分钟内响应，</w:t>
      </w:r>
      <w:r>
        <w:rPr>
          <w:rFonts w:hint="eastAsia" w:ascii="宋体" w:hAnsi="宋体"/>
          <w:szCs w:val="22"/>
        </w:rPr>
        <w:t>4</w:t>
      </w:r>
      <w:r>
        <w:rPr>
          <w:rFonts w:ascii="宋体" w:hAnsi="宋体"/>
          <w:szCs w:val="22"/>
        </w:rPr>
        <w:t>小时内提出解决方案。</w:t>
      </w:r>
    </w:p>
    <w:p w14:paraId="5CFF1F73">
      <w:pPr>
        <w:spacing w:line="360" w:lineRule="auto"/>
        <w:ind w:firstLine="424" w:firstLineChars="202"/>
        <w:rPr>
          <w:rFonts w:ascii="宋体" w:hAnsi="宋体"/>
          <w:szCs w:val="22"/>
        </w:rPr>
      </w:pPr>
      <w:r>
        <w:rPr>
          <w:rFonts w:ascii="宋体" w:hAnsi="宋体"/>
          <w:szCs w:val="22"/>
        </w:rPr>
        <w:t>一般问题：</w:t>
      </w:r>
      <w:r>
        <w:rPr>
          <w:rFonts w:hint="eastAsia" w:ascii="宋体" w:hAnsi="宋体"/>
          <w:szCs w:val="22"/>
        </w:rPr>
        <w:t>4</w:t>
      </w:r>
      <w:r>
        <w:rPr>
          <w:rFonts w:ascii="宋体" w:hAnsi="宋体"/>
          <w:szCs w:val="22"/>
        </w:rPr>
        <w:t>小时内响应，24小时内提出解决方案。</w:t>
      </w:r>
    </w:p>
    <w:p w14:paraId="3BB455BF">
      <w:pPr>
        <w:spacing w:line="360" w:lineRule="auto"/>
        <w:ind w:firstLine="424" w:firstLineChars="202"/>
        <w:rPr>
          <w:rFonts w:ascii="宋体" w:hAnsi="宋体"/>
          <w:szCs w:val="22"/>
        </w:rPr>
      </w:pPr>
      <w:r>
        <w:rPr>
          <w:rFonts w:ascii="宋体" w:hAnsi="宋体"/>
          <w:szCs w:val="22"/>
        </w:rPr>
        <w:t>三、现场服务</w:t>
      </w:r>
    </w:p>
    <w:p w14:paraId="709EC10A">
      <w:pPr>
        <w:spacing w:line="360" w:lineRule="auto"/>
        <w:ind w:firstLine="424" w:firstLineChars="202"/>
        <w:rPr>
          <w:rFonts w:ascii="宋体" w:hAnsi="宋体"/>
          <w:szCs w:val="22"/>
        </w:rPr>
      </w:pPr>
      <w:r>
        <w:rPr>
          <w:rFonts w:ascii="宋体" w:hAnsi="宋体"/>
          <w:szCs w:val="22"/>
        </w:rPr>
        <w:t>质保期内，对于远程无法解决的问题，投标人须在接到通知后24小时内派技术人员到达现场处理。</w:t>
      </w:r>
    </w:p>
    <w:p w14:paraId="7F91598D">
      <w:pPr>
        <w:spacing w:line="360" w:lineRule="auto"/>
        <w:ind w:firstLine="424" w:firstLineChars="202"/>
        <w:rPr>
          <w:rFonts w:ascii="宋体" w:hAnsi="宋体"/>
          <w:szCs w:val="22"/>
        </w:rPr>
      </w:pPr>
      <w:r>
        <w:rPr>
          <w:rFonts w:ascii="宋体" w:hAnsi="宋体"/>
          <w:szCs w:val="22"/>
        </w:rPr>
        <w:t>四、系统升级与优化</w:t>
      </w:r>
    </w:p>
    <w:p w14:paraId="5B944FAF">
      <w:pPr>
        <w:spacing w:line="360" w:lineRule="auto"/>
        <w:ind w:firstLine="424" w:firstLineChars="202"/>
        <w:rPr>
          <w:rFonts w:ascii="宋体" w:hAnsi="宋体"/>
          <w:szCs w:val="22"/>
        </w:rPr>
      </w:pPr>
      <w:r>
        <w:rPr>
          <w:rFonts w:ascii="宋体" w:hAnsi="宋体"/>
          <w:szCs w:val="22"/>
        </w:rPr>
        <w:t>质保期内，免费提供系统版本的升级更新、漏洞补丁、性能优化服务。因政策或业务需求变化导致的一般性功能调整，投标人应免费配合完成。</w:t>
      </w:r>
    </w:p>
    <w:p w14:paraId="4D1185CC">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223" w:name="_Toc21508"/>
      <w:r>
        <w:rPr>
          <w:rFonts w:hint="eastAsia" w:ascii="Times New Roman" w:hAnsi="Times New Roman" w:eastAsia="宋体" w:cs="Times New Roman"/>
          <w:b/>
          <w:bCs/>
          <w:kern w:val="2"/>
          <w:sz w:val="32"/>
          <w:szCs w:val="32"/>
          <w:lang w:val="en-US" w:eastAsia="zh-CN" w:bidi="ar-SA"/>
        </w:rPr>
        <w:t xml:space="preserve">（九） </w:t>
      </w:r>
      <w:r>
        <w:rPr>
          <w:rFonts w:ascii="Times New Roman" w:hAnsi="Times New Roman" w:eastAsia="宋体" w:cs="Times New Roman"/>
          <w:b/>
          <w:bCs/>
          <w:kern w:val="2"/>
          <w:sz w:val="32"/>
          <w:szCs w:val="32"/>
          <w:lang w:val="en-US" w:eastAsia="zh-CN" w:bidi="ar-SA"/>
        </w:rPr>
        <w:t>培训要求</w:t>
      </w:r>
      <w:bookmarkEnd w:id="223"/>
    </w:p>
    <w:p w14:paraId="57EA76FB">
      <w:pPr>
        <w:spacing w:line="360" w:lineRule="auto"/>
        <w:ind w:firstLine="424" w:firstLineChars="202"/>
        <w:rPr>
          <w:rFonts w:ascii="宋体" w:hAnsi="宋体"/>
          <w:szCs w:val="22"/>
        </w:rPr>
      </w:pPr>
      <w:r>
        <w:rPr>
          <w:rFonts w:ascii="宋体" w:hAnsi="宋体"/>
          <w:szCs w:val="22"/>
        </w:rPr>
        <w:t>一、培训对象</w:t>
      </w:r>
    </w:p>
    <w:p w14:paraId="57D45F5E">
      <w:pPr>
        <w:spacing w:line="360" w:lineRule="auto"/>
        <w:ind w:firstLine="424" w:firstLineChars="202"/>
        <w:rPr>
          <w:rFonts w:ascii="宋体" w:hAnsi="宋体"/>
          <w:szCs w:val="22"/>
        </w:rPr>
      </w:pPr>
      <w:r>
        <w:rPr>
          <w:rFonts w:ascii="宋体" w:hAnsi="宋体"/>
          <w:szCs w:val="22"/>
        </w:rPr>
        <w:t>根据项目实际使用人员情况，分层分类开展培训，覆盖以下三类人员：</w:t>
      </w:r>
    </w:p>
    <w:p w14:paraId="2586157D">
      <w:pPr>
        <w:spacing w:line="360" w:lineRule="auto"/>
        <w:ind w:firstLine="424" w:firstLineChars="202"/>
        <w:rPr>
          <w:rFonts w:ascii="宋体" w:hAnsi="宋体"/>
          <w:szCs w:val="22"/>
        </w:rPr>
      </w:pPr>
      <w:r>
        <w:rPr>
          <w:rFonts w:ascii="宋体" w:hAnsi="宋体"/>
          <w:szCs w:val="22"/>
        </w:rPr>
        <w:t>管理人员：包括各业务部门负责人、数据管理责任人。</w:t>
      </w:r>
    </w:p>
    <w:p w14:paraId="242E9630">
      <w:pPr>
        <w:spacing w:line="360" w:lineRule="auto"/>
        <w:ind w:firstLine="424" w:firstLineChars="202"/>
        <w:rPr>
          <w:rFonts w:ascii="宋体" w:hAnsi="宋体"/>
          <w:szCs w:val="22"/>
        </w:rPr>
      </w:pPr>
      <w:r>
        <w:rPr>
          <w:rFonts w:ascii="宋体" w:hAnsi="宋体"/>
          <w:szCs w:val="22"/>
        </w:rPr>
        <w:t>运维人员：包括系统管理员、数据库管理员、安全管理员。</w:t>
      </w:r>
    </w:p>
    <w:p w14:paraId="3FC5BD28">
      <w:pPr>
        <w:spacing w:line="360" w:lineRule="auto"/>
        <w:ind w:firstLine="424" w:firstLineChars="202"/>
        <w:rPr>
          <w:rFonts w:ascii="宋体" w:hAnsi="宋体"/>
          <w:szCs w:val="22"/>
        </w:rPr>
      </w:pPr>
      <w:r>
        <w:rPr>
          <w:rFonts w:ascii="宋体" w:hAnsi="宋体"/>
          <w:szCs w:val="22"/>
        </w:rPr>
        <w:t>业务操作人员：包括各专题库及业务系统的最终用户。</w:t>
      </w:r>
    </w:p>
    <w:p w14:paraId="491E0ADA">
      <w:pPr>
        <w:spacing w:line="360" w:lineRule="auto"/>
        <w:ind w:firstLine="424" w:firstLineChars="202"/>
        <w:rPr>
          <w:rFonts w:ascii="宋体" w:hAnsi="宋体"/>
          <w:szCs w:val="22"/>
        </w:rPr>
      </w:pPr>
      <w:r>
        <w:rPr>
          <w:rFonts w:ascii="宋体" w:hAnsi="宋体"/>
          <w:szCs w:val="22"/>
        </w:rPr>
        <w:t>二、培训内容</w:t>
      </w:r>
    </w:p>
    <w:p w14:paraId="7E6F125D">
      <w:pPr>
        <w:spacing w:line="360" w:lineRule="auto"/>
        <w:ind w:firstLine="424" w:firstLineChars="202"/>
        <w:rPr>
          <w:rFonts w:ascii="宋体" w:hAnsi="宋体"/>
          <w:szCs w:val="22"/>
        </w:rPr>
      </w:pPr>
      <w:r>
        <w:rPr>
          <w:rFonts w:ascii="宋体" w:hAnsi="宋体"/>
          <w:szCs w:val="22"/>
        </w:rPr>
        <w:t>系统功能使用培训（各业务模块操作流程）。</w:t>
      </w:r>
    </w:p>
    <w:p w14:paraId="4962B1D7">
      <w:pPr>
        <w:spacing w:line="360" w:lineRule="auto"/>
        <w:ind w:firstLine="424" w:firstLineChars="202"/>
        <w:rPr>
          <w:rFonts w:ascii="宋体" w:hAnsi="宋体"/>
          <w:szCs w:val="22"/>
        </w:rPr>
      </w:pPr>
      <w:r>
        <w:rPr>
          <w:rFonts w:ascii="宋体" w:hAnsi="宋体"/>
          <w:szCs w:val="22"/>
        </w:rPr>
        <w:t>系统运维培训（日常监控、故障排查、备份恢复）。</w:t>
      </w:r>
    </w:p>
    <w:p w14:paraId="54B26A83">
      <w:pPr>
        <w:spacing w:line="360" w:lineRule="auto"/>
        <w:ind w:firstLine="424" w:firstLineChars="202"/>
        <w:rPr>
          <w:rFonts w:ascii="宋体" w:hAnsi="宋体"/>
          <w:szCs w:val="22"/>
        </w:rPr>
      </w:pPr>
      <w:r>
        <w:rPr>
          <w:rFonts w:ascii="宋体" w:hAnsi="宋体"/>
          <w:szCs w:val="22"/>
        </w:rPr>
        <w:t>数据管理与安全培训（数据标准、数据质量、安全合规）。</w:t>
      </w:r>
    </w:p>
    <w:p w14:paraId="2376D62F">
      <w:pPr>
        <w:spacing w:line="360" w:lineRule="auto"/>
        <w:ind w:firstLine="424" w:firstLineChars="202"/>
        <w:rPr>
          <w:rFonts w:ascii="宋体" w:hAnsi="宋体"/>
          <w:szCs w:val="22"/>
        </w:rPr>
      </w:pPr>
      <w:r>
        <w:rPr>
          <w:rFonts w:ascii="宋体" w:hAnsi="宋体"/>
          <w:szCs w:val="22"/>
        </w:rPr>
        <w:t>可根据采购人实际需求增加定制化培训内容。</w:t>
      </w:r>
    </w:p>
    <w:p w14:paraId="6E341FE0">
      <w:pPr>
        <w:spacing w:line="360" w:lineRule="auto"/>
        <w:ind w:firstLine="424" w:firstLineChars="202"/>
        <w:rPr>
          <w:rFonts w:ascii="宋体" w:hAnsi="宋体"/>
          <w:szCs w:val="22"/>
        </w:rPr>
      </w:pPr>
      <w:r>
        <w:rPr>
          <w:rFonts w:ascii="宋体" w:hAnsi="宋体"/>
          <w:szCs w:val="22"/>
        </w:rPr>
        <w:t>三、培训方式与学时</w:t>
      </w:r>
    </w:p>
    <w:p w14:paraId="05FCF777">
      <w:pPr>
        <w:spacing w:line="360" w:lineRule="auto"/>
        <w:ind w:firstLine="424" w:firstLineChars="202"/>
        <w:rPr>
          <w:rFonts w:ascii="宋体" w:hAnsi="宋体"/>
          <w:szCs w:val="22"/>
        </w:rPr>
      </w:pPr>
      <w:r>
        <w:rPr>
          <w:rFonts w:ascii="宋体" w:hAnsi="宋体"/>
          <w:szCs w:val="22"/>
        </w:rPr>
        <w:t>采用集中授课、上机实操、视频教学相结合的方式。</w:t>
      </w:r>
    </w:p>
    <w:p w14:paraId="563B672A">
      <w:pPr>
        <w:spacing w:line="360" w:lineRule="auto"/>
        <w:ind w:firstLine="424" w:firstLineChars="202"/>
        <w:rPr>
          <w:rFonts w:ascii="宋体" w:hAnsi="宋体"/>
          <w:szCs w:val="22"/>
          <w:highlight w:val="yellow"/>
        </w:rPr>
      </w:pPr>
      <w:r>
        <w:rPr>
          <w:rFonts w:ascii="宋体" w:hAnsi="宋体"/>
          <w:szCs w:val="22"/>
          <w:highlight w:val="yellow"/>
        </w:rPr>
        <w:t>总培训场次不少于</w:t>
      </w:r>
      <w:r>
        <w:rPr>
          <w:rFonts w:hint="eastAsia" w:ascii="宋体" w:hAnsi="宋体"/>
          <w:szCs w:val="22"/>
          <w:highlight w:val="yellow"/>
        </w:rPr>
        <w:t>6</w:t>
      </w:r>
      <w:r>
        <w:rPr>
          <w:rFonts w:ascii="宋体" w:hAnsi="宋体"/>
          <w:szCs w:val="22"/>
          <w:highlight w:val="yellow"/>
        </w:rPr>
        <w:t>场，总培训学时不少于40学时。</w:t>
      </w:r>
    </w:p>
    <w:p w14:paraId="45F3D530">
      <w:pPr>
        <w:spacing w:line="360" w:lineRule="auto"/>
        <w:ind w:firstLine="424" w:firstLineChars="202"/>
        <w:rPr>
          <w:rFonts w:ascii="宋体" w:hAnsi="宋体"/>
          <w:szCs w:val="22"/>
        </w:rPr>
      </w:pPr>
      <w:r>
        <w:rPr>
          <w:rFonts w:ascii="宋体" w:hAnsi="宋体"/>
          <w:szCs w:val="22"/>
        </w:rPr>
        <w:t>培训结束后提供培训视频、电子教材等资料。</w:t>
      </w:r>
    </w:p>
    <w:p w14:paraId="1BFC10DF">
      <w:pPr>
        <w:spacing w:line="360" w:lineRule="auto"/>
        <w:ind w:firstLine="424" w:firstLineChars="202"/>
        <w:rPr>
          <w:rFonts w:ascii="宋体" w:hAnsi="宋体"/>
          <w:szCs w:val="22"/>
          <w:highlight w:val="none"/>
        </w:rPr>
      </w:pPr>
      <w:r>
        <w:rPr>
          <w:rFonts w:hint="eastAsia" w:ascii="宋体" w:hAnsi="宋体"/>
          <w:szCs w:val="22"/>
          <w:highlight w:val="none"/>
        </w:rPr>
        <w:t>四</w:t>
      </w:r>
      <w:r>
        <w:rPr>
          <w:rFonts w:ascii="宋体" w:hAnsi="宋体"/>
          <w:szCs w:val="22"/>
          <w:highlight w:val="none"/>
        </w:rPr>
        <w:t>、持续性培训</w:t>
      </w:r>
    </w:p>
    <w:p w14:paraId="27B3E5DF">
      <w:pPr>
        <w:spacing w:line="360" w:lineRule="auto"/>
        <w:ind w:firstLine="424" w:firstLineChars="202"/>
        <w:rPr>
          <w:rFonts w:ascii="宋体" w:hAnsi="宋体"/>
          <w:szCs w:val="22"/>
          <w:highlight w:val="yellow"/>
        </w:rPr>
      </w:pPr>
      <w:r>
        <w:rPr>
          <w:rFonts w:hint="eastAsia" w:ascii="宋体" w:hAnsi="宋体"/>
          <w:szCs w:val="22"/>
          <w:highlight w:val="yellow"/>
          <w:lang w:val="en-US" w:eastAsia="zh-CN"/>
        </w:rPr>
        <w:t>项目建设期、维保期</w:t>
      </w:r>
      <w:r>
        <w:rPr>
          <w:rFonts w:ascii="宋体" w:hAnsi="宋体"/>
          <w:szCs w:val="22"/>
          <w:highlight w:val="yellow"/>
        </w:rPr>
        <w:t>内，</w:t>
      </w:r>
      <w:r>
        <w:rPr>
          <w:rFonts w:hint="eastAsia" w:ascii="宋体" w:hAnsi="宋体"/>
          <w:szCs w:val="22"/>
          <w:highlight w:val="yellow"/>
        </w:rPr>
        <w:t>每年至少提供2次</w:t>
      </w:r>
      <w:r>
        <w:rPr>
          <w:rFonts w:ascii="宋体" w:hAnsi="宋体"/>
          <w:szCs w:val="22"/>
          <w:highlight w:val="yellow"/>
        </w:rPr>
        <w:t>进阶培训或新功能培训，确保用户能够熟练使用系统。</w:t>
      </w:r>
    </w:p>
    <w:p w14:paraId="5637EAF6"/>
    <w:p w14:paraId="0FEC2FAE">
      <w:pPr>
        <w:keepNext/>
        <w:keepLines/>
        <w:widowControl w:val="0"/>
        <w:spacing w:before="0" w:after="0" w:line="360" w:lineRule="auto"/>
        <w:ind w:firstLine="643" w:firstLineChars="200"/>
        <w:jc w:val="both"/>
        <w:outlineLvl w:val="2"/>
        <w:rPr>
          <w:rFonts w:hint="eastAsia" w:ascii="Times New Roman" w:hAnsi="Times New Roman" w:eastAsia="宋体" w:cs="Times New Roman"/>
          <w:b/>
          <w:bCs/>
          <w:kern w:val="2"/>
          <w:sz w:val="32"/>
          <w:szCs w:val="32"/>
          <w:lang w:val="en-US" w:eastAsia="zh-CN" w:bidi="ar-SA"/>
        </w:rPr>
      </w:pPr>
      <w:bookmarkStart w:id="224" w:name="_Toc30104"/>
      <w:bookmarkStart w:id="225" w:name="_Toc16227"/>
      <w:r>
        <w:rPr>
          <w:rFonts w:hint="eastAsia" w:ascii="Times New Roman" w:hAnsi="Times New Roman" w:eastAsia="宋体" w:cs="Times New Roman"/>
          <w:b/>
          <w:bCs/>
          <w:kern w:val="2"/>
          <w:sz w:val="32"/>
          <w:szCs w:val="32"/>
          <w:lang w:val="en-US" w:eastAsia="zh-CN" w:bidi="ar-SA"/>
        </w:rPr>
        <w:t>二、商务条款</w:t>
      </w:r>
      <w:bookmarkEnd w:id="224"/>
      <w:bookmarkEnd w:id="225"/>
    </w:p>
    <w:p w14:paraId="5FB30B32">
      <w:pPr>
        <w:keepNext/>
        <w:keepLines/>
        <w:widowControl/>
        <w:spacing w:before="0" w:after="0" w:line="360" w:lineRule="auto"/>
        <w:ind w:firstLine="643" w:firstLineChars="200"/>
        <w:jc w:val="both"/>
        <w:outlineLvl w:val="2"/>
        <w:rPr>
          <w:rFonts w:hint="eastAsia" w:ascii="Times New Roman" w:hAnsi="Times New Roman" w:eastAsia="宋体" w:cs="Times New Roman"/>
          <w:b/>
          <w:bCs/>
          <w:kern w:val="2"/>
          <w:sz w:val="32"/>
          <w:szCs w:val="32"/>
          <w:highlight w:val="yellow"/>
          <w:lang w:val="en-US" w:eastAsia="zh-CN" w:bidi="ar-SA"/>
        </w:rPr>
      </w:pPr>
      <w:bookmarkStart w:id="226" w:name="_Toc9458"/>
      <w:r>
        <w:rPr>
          <w:rFonts w:hint="eastAsia" w:ascii="Times New Roman" w:hAnsi="Times New Roman" w:eastAsia="宋体" w:cs="Times New Roman"/>
          <w:b/>
          <w:bCs/>
          <w:kern w:val="2"/>
          <w:sz w:val="32"/>
          <w:szCs w:val="32"/>
          <w:highlight w:val="yellow"/>
          <w:lang w:val="en-US" w:eastAsia="zh-CN" w:bidi="ar-SA"/>
        </w:rPr>
        <w:t>（一）服务期限</w:t>
      </w:r>
      <w:bookmarkEnd w:id="226"/>
    </w:p>
    <w:p w14:paraId="61CC9115">
      <w:pPr>
        <w:widowControl/>
        <w:spacing w:line="360" w:lineRule="auto"/>
        <w:ind w:firstLine="420"/>
        <w:rPr>
          <w:rFonts w:hint="eastAsia"/>
          <w:color w:val="000000"/>
          <w:kern w:val="0"/>
          <w:highlight w:val="yellow"/>
          <w:lang w:val="en-US" w:eastAsia="zh-CN"/>
        </w:rPr>
      </w:pPr>
      <w:r>
        <w:rPr>
          <w:rFonts w:hint="eastAsia"/>
          <w:color w:val="000000"/>
          <w:kern w:val="0"/>
          <w:highlight w:val="yellow"/>
        </w:rPr>
        <w:t>自合同签订之日起至2027年5月6日止，</w:t>
      </w:r>
      <w:r>
        <w:rPr>
          <w:rFonts w:hint="eastAsia"/>
          <w:color w:val="000000"/>
          <w:kern w:val="0"/>
          <w:highlight w:val="yellow"/>
          <w:lang w:val="en-US" w:eastAsia="zh-CN"/>
        </w:rPr>
        <w:t>中标单位</w:t>
      </w:r>
      <w:r>
        <w:rPr>
          <w:rFonts w:hint="eastAsia"/>
          <w:color w:val="000000"/>
          <w:kern w:val="0"/>
          <w:highlight w:val="yellow"/>
        </w:rPr>
        <w:t>完成所有</w:t>
      </w:r>
      <w:r>
        <w:rPr>
          <w:rFonts w:hint="eastAsia"/>
          <w:color w:val="000000"/>
          <w:kern w:val="0"/>
          <w:highlight w:val="yellow"/>
          <w:lang w:val="en-US" w:eastAsia="zh-CN"/>
        </w:rPr>
        <w:t>项目内容的建设（含系统功能</w:t>
      </w:r>
      <w:r>
        <w:rPr>
          <w:rFonts w:hint="eastAsia"/>
          <w:color w:val="000000"/>
          <w:kern w:val="0"/>
          <w:highlight w:val="yellow"/>
        </w:rPr>
        <w:t>建设和</w:t>
      </w:r>
      <w:r>
        <w:rPr>
          <w:rFonts w:hint="eastAsia"/>
          <w:color w:val="000000"/>
          <w:kern w:val="0"/>
          <w:highlight w:val="yellow"/>
          <w:lang w:val="en-US" w:eastAsia="zh-CN"/>
        </w:rPr>
        <w:t>数据库</w:t>
      </w:r>
      <w:r>
        <w:rPr>
          <w:rFonts w:hint="eastAsia"/>
          <w:color w:val="000000"/>
          <w:kern w:val="0"/>
          <w:highlight w:val="yellow"/>
        </w:rPr>
        <w:t>运营</w:t>
      </w:r>
      <w:r>
        <w:rPr>
          <w:rFonts w:hint="eastAsia"/>
          <w:color w:val="000000"/>
          <w:kern w:val="0"/>
          <w:highlight w:val="yellow"/>
          <w:lang w:val="en-US" w:eastAsia="zh-CN"/>
        </w:rPr>
        <w:t>），配合完成等级保护测评、密码应用安全性评估、第三方软件测评等工作，按照甲方的验收标准</w:t>
      </w:r>
      <w:r>
        <w:rPr>
          <w:rFonts w:hint="eastAsia"/>
          <w:color w:val="000000"/>
          <w:kern w:val="0"/>
          <w:highlight w:val="yellow"/>
        </w:rPr>
        <w:t>提交所有服务成果和</w:t>
      </w:r>
      <w:r>
        <w:rPr>
          <w:rFonts w:hint="eastAsia"/>
          <w:color w:val="000000"/>
          <w:kern w:val="0"/>
          <w:highlight w:val="yellow"/>
          <w:lang w:val="en-US" w:eastAsia="zh-CN"/>
        </w:rPr>
        <w:t>完整合规的项目资料，</w:t>
      </w:r>
      <w:r>
        <w:rPr>
          <w:rFonts w:hint="eastAsia"/>
          <w:color w:val="000000"/>
          <w:kern w:val="0"/>
          <w:highlight w:val="yellow"/>
        </w:rPr>
        <w:t>向</w:t>
      </w:r>
      <w:r>
        <w:rPr>
          <w:rFonts w:hint="eastAsia"/>
          <w:color w:val="000000"/>
          <w:kern w:val="0"/>
          <w:highlight w:val="yellow"/>
          <w:lang w:val="en-US" w:eastAsia="zh-CN"/>
        </w:rPr>
        <w:t>甲方</w:t>
      </w:r>
      <w:r>
        <w:rPr>
          <w:rFonts w:hint="eastAsia"/>
          <w:color w:val="000000"/>
          <w:kern w:val="0"/>
          <w:highlight w:val="yellow"/>
        </w:rPr>
        <w:t>提出验收申请</w:t>
      </w:r>
      <w:r>
        <w:rPr>
          <w:rFonts w:hint="eastAsia"/>
          <w:color w:val="000000"/>
          <w:kern w:val="0"/>
          <w:highlight w:val="yellow"/>
          <w:lang w:val="en-US" w:eastAsia="zh-CN"/>
        </w:rPr>
        <w:t>。</w:t>
      </w:r>
    </w:p>
    <w:p w14:paraId="41BB40F6">
      <w:pPr>
        <w:widowControl/>
        <w:spacing w:line="360" w:lineRule="auto"/>
        <w:ind w:firstLine="420"/>
        <w:rPr>
          <w:rFonts w:hint="eastAsia"/>
          <w:color w:val="000000"/>
          <w:kern w:val="0"/>
          <w:highlight w:val="yellow"/>
        </w:rPr>
      </w:pPr>
      <w:r>
        <w:rPr>
          <w:rFonts w:hint="eastAsia"/>
          <w:color w:val="000000"/>
          <w:kern w:val="0"/>
          <w:highlight w:val="yellow"/>
          <w:lang w:val="en-US" w:eastAsia="zh-CN"/>
        </w:rPr>
        <w:t>项目通过终验后，中标单位需继续支持、协助、配合甲方开展自治区一体化数据资源服务平台建设项目(一期）、自治区一体化数据资源服务平台建设项目(二期）整体竣工验收工作，直到通过竣工验收为止。</w:t>
      </w:r>
      <w:r>
        <w:rPr>
          <w:rFonts w:hint="default"/>
          <w:color w:val="000000"/>
          <w:kern w:val="0"/>
          <w:highlight w:val="yellow"/>
          <w:lang w:eastAsia="zh-CN"/>
        </w:rPr>
        <w:t>自项目竣工验收合格之日起，</w:t>
      </w:r>
      <w:r>
        <w:rPr>
          <w:rFonts w:hint="eastAsia"/>
          <w:color w:val="000000"/>
          <w:kern w:val="0"/>
          <w:highlight w:val="yellow"/>
          <w:lang w:val="en-US" w:eastAsia="zh-CN"/>
        </w:rPr>
        <w:t>中标单位</w:t>
      </w:r>
      <w:r>
        <w:rPr>
          <w:rFonts w:hint="default"/>
          <w:color w:val="000000"/>
          <w:kern w:val="0"/>
          <w:highlight w:val="yellow"/>
        </w:rPr>
        <w:t>须为本项目提供</w:t>
      </w:r>
      <w:r>
        <w:rPr>
          <w:rFonts w:hint="default"/>
          <w:color w:val="000000"/>
          <w:kern w:val="0"/>
          <w:highlight w:val="yellow"/>
          <w:lang w:val="en-US" w:eastAsia="zh-CN"/>
        </w:rPr>
        <w:t>3年的</w:t>
      </w:r>
      <w:r>
        <w:rPr>
          <w:rFonts w:hint="eastAsia"/>
          <w:color w:val="000000"/>
          <w:kern w:val="0"/>
          <w:highlight w:val="yellow"/>
          <w:lang w:val="en-US" w:eastAsia="zh-CN"/>
        </w:rPr>
        <w:t>免费</w:t>
      </w:r>
      <w:r>
        <w:rPr>
          <w:rFonts w:hint="default"/>
          <w:color w:val="000000"/>
          <w:kern w:val="0"/>
          <w:highlight w:val="yellow"/>
        </w:rPr>
        <w:t>维保服务</w:t>
      </w:r>
      <w:r>
        <w:rPr>
          <w:rFonts w:hint="default"/>
          <w:color w:val="000000"/>
          <w:kern w:val="0"/>
          <w:highlight w:val="yellow"/>
          <w:lang w:eastAsia="zh-CN"/>
        </w:rPr>
        <w:t>（</w:t>
      </w:r>
      <w:r>
        <w:rPr>
          <w:rFonts w:hint="default"/>
          <w:color w:val="000000"/>
          <w:kern w:val="0"/>
          <w:highlight w:val="yellow"/>
        </w:rPr>
        <w:t>含系统维护和运维保障服务，包括因政策变更的系统升级改造</w:t>
      </w:r>
      <w:r>
        <w:rPr>
          <w:rFonts w:hint="default"/>
          <w:color w:val="000000"/>
          <w:kern w:val="0"/>
          <w:highlight w:val="yellow"/>
          <w:lang w:eastAsia="zh-CN"/>
        </w:rPr>
        <w:t>）。</w:t>
      </w:r>
    </w:p>
    <w:p w14:paraId="2854B05D">
      <w:pPr>
        <w:widowControl/>
        <w:spacing w:line="360" w:lineRule="auto"/>
        <w:ind w:firstLine="420"/>
        <w:rPr>
          <w:rFonts w:hint="default"/>
          <w:color w:val="000000"/>
          <w:kern w:val="0"/>
          <w:highlight w:val="yellow"/>
          <w:lang w:val="en-US" w:eastAsia="zh-CN"/>
        </w:rPr>
      </w:pPr>
      <w:bookmarkStart w:id="227" w:name="_Toc5391"/>
      <w:bookmarkStart w:id="228" w:name="_Toc21250"/>
      <w:bookmarkStart w:id="229" w:name="_Toc32743"/>
      <w:bookmarkStart w:id="230" w:name="_Toc8883"/>
      <w:bookmarkStart w:id="231" w:name="_Toc30485"/>
      <w:bookmarkStart w:id="232" w:name="_Toc2912"/>
      <w:r>
        <w:rPr>
          <w:rFonts w:hint="eastAsia"/>
          <w:color w:val="000000"/>
          <w:kern w:val="0"/>
          <w:highlight w:val="yellow"/>
          <w:lang w:val="en-US" w:eastAsia="zh-CN"/>
        </w:rPr>
        <w:t>项目通过竣工验收后，中标单位需继续支持、协助、配合甲方开展自治区一体化数据资源服务平台建设项目(一期）、自治区一体化数据资源服务平台建设项目(二期）整体后评价工作，评价内容包括但不限于项目目标完成情况、社会效益、经济效益、可持续性等内容。</w:t>
      </w:r>
    </w:p>
    <w:p w14:paraId="16BD2656">
      <w:pPr>
        <w:keepNext/>
        <w:keepLines/>
        <w:widowControl/>
        <w:spacing w:before="0" w:after="0" w:line="360" w:lineRule="auto"/>
        <w:ind w:firstLine="643" w:firstLineChars="200"/>
        <w:jc w:val="both"/>
        <w:outlineLvl w:val="2"/>
        <w:rPr>
          <w:rFonts w:hint="eastAsia" w:ascii="Times New Roman" w:hAnsi="Times New Roman" w:eastAsia="宋体" w:cs="Times New Roman"/>
          <w:b/>
          <w:bCs/>
          <w:kern w:val="2"/>
          <w:sz w:val="32"/>
          <w:szCs w:val="32"/>
          <w:lang w:val="en-US" w:eastAsia="zh-CN" w:bidi="ar-SA"/>
        </w:rPr>
      </w:pPr>
      <w:bookmarkStart w:id="233" w:name="_Toc3569"/>
      <w:r>
        <w:rPr>
          <w:rFonts w:hint="eastAsia" w:ascii="Times New Roman" w:hAnsi="Times New Roman" w:eastAsia="宋体" w:cs="Times New Roman"/>
          <w:b/>
          <w:bCs/>
          <w:kern w:val="2"/>
          <w:sz w:val="32"/>
          <w:szCs w:val="32"/>
          <w:lang w:val="en-US" w:eastAsia="zh-CN" w:bidi="ar-SA"/>
        </w:rPr>
        <w:t>（二）款项支付</w:t>
      </w:r>
      <w:bookmarkEnd w:id="227"/>
      <w:bookmarkEnd w:id="228"/>
      <w:bookmarkEnd w:id="229"/>
      <w:bookmarkEnd w:id="230"/>
      <w:bookmarkEnd w:id="231"/>
      <w:bookmarkEnd w:id="232"/>
      <w:bookmarkEnd w:id="233"/>
    </w:p>
    <w:p w14:paraId="2C62D069">
      <w:pPr>
        <w:adjustRightInd w:val="0"/>
        <w:snapToGrid w:val="0"/>
        <w:spacing w:line="360" w:lineRule="auto"/>
        <w:ind w:firstLine="420" w:firstLineChars="200"/>
        <w:rPr>
          <w:rFonts w:hint="default" w:eastAsia="宋体"/>
          <w:color w:val="000000"/>
          <w:kern w:val="0"/>
          <w:highlight w:val="yellow"/>
          <w:lang w:val="en-US" w:eastAsia="zh-CN"/>
        </w:rPr>
      </w:pPr>
      <w:r>
        <w:rPr>
          <w:rFonts w:hint="eastAsia" w:ascii="Times New Roman" w:eastAsia="宋体"/>
          <w:color w:val="000000"/>
          <w:kern w:val="0"/>
          <w:highlight w:val="yellow"/>
          <w:lang w:val="en-US" w:eastAsia="zh-CN"/>
        </w:rPr>
        <w:t>计划分3次支付，</w:t>
      </w:r>
      <w:r>
        <w:rPr>
          <w:rFonts w:hint="eastAsia"/>
          <w:color w:val="000000"/>
          <w:kern w:val="0"/>
          <w:highlight w:val="yellow"/>
        </w:rPr>
        <w:t>具体支付方式以合同签订内容为准。</w:t>
      </w:r>
    </w:p>
    <w:p w14:paraId="29C8D865">
      <w:pPr>
        <w:adjustRightInd w:val="0"/>
        <w:snapToGrid w:val="0"/>
        <w:spacing w:line="360" w:lineRule="auto"/>
        <w:ind w:firstLine="420" w:firstLineChars="200"/>
        <w:rPr>
          <w:color w:val="000000"/>
          <w:kern w:val="0"/>
          <w:highlight w:val="none"/>
        </w:rPr>
      </w:pPr>
      <w:r>
        <w:rPr>
          <w:rFonts w:hint="eastAsia"/>
          <w:color w:val="000000"/>
          <w:kern w:val="0"/>
          <w:highlight w:val="none"/>
        </w:rPr>
        <w:t>1.第一次付款：合同签订后15个工作日内，甲方支付合同总金额的50%</w:t>
      </w:r>
      <w:r>
        <w:rPr>
          <w:rFonts w:hint="eastAsia" w:eastAsia="宋体"/>
          <w:color w:val="000000"/>
          <w:kern w:val="0"/>
          <w:highlight w:val="none"/>
          <w:lang w:eastAsia="zh-CN"/>
        </w:rPr>
        <w:t>。</w:t>
      </w:r>
    </w:p>
    <w:p w14:paraId="2589CFD6">
      <w:pPr>
        <w:adjustRightInd w:val="0"/>
        <w:snapToGrid w:val="0"/>
        <w:spacing w:line="360" w:lineRule="auto"/>
        <w:ind w:firstLine="420" w:firstLineChars="200"/>
        <w:rPr>
          <w:color w:val="000000"/>
          <w:kern w:val="0"/>
          <w:highlight w:val="none"/>
        </w:rPr>
      </w:pPr>
      <w:r>
        <w:rPr>
          <w:rFonts w:hint="eastAsia"/>
          <w:color w:val="000000"/>
          <w:kern w:val="0"/>
          <w:highlight w:val="none"/>
        </w:rPr>
        <w:t>2.第二次付款：</w:t>
      </w:r>
      <w:r>
        <w:rPr>
          <w:rFonts w:hint="eastAsia" w:ascii="Times New Roman" w:eastAsia="宋体"/>
          <w:color w:val="000000"/>
          <w:kern w:val="0"/>
          <w:highlight w:val="none"/>
          <w:lang w:val="en-US" w:eastAsia="zh-CN"/>
        </w:rPr>
        <w:t>中标单位</w:t>
      </w:r>
      <w:r>
        <w:rPr>
          <w:rFonts w:hint="eastAsia"/>
          <w:color w:val="000000"/>
          <w:kern w:val="0"/>
          <w:highlight w:val="none"/>
        </w:rPr>
        <w:t>完成合同约定的建设内容</w:t>
      </w:r>
      <w:r>
        <w:rPr>
          <w:rFonts w:hint="eastAsia" w:eastAsia="宋体"/>
          <w:color w:val="000000"/>
          <w:kern w:val="0"/>
          <w:highlight w:val="none"/>
          <w:lang w:eastAsia="zh-CN"/>
        </w:rPr>
        <w:t>，</w:t>
      </w:r>
      <w:r>
        <w:rPr>
          <w:rFonts w:hint="eastAsia" w:ascii="Times New Roman" w:eastAsia="宋体"/>
          <w:color w:val="000000"/>
          <w:kern w:val="0"/>
          <w:highlight w:val="none"/>
          <w:lang w:val="en-US" w:eastAsia="zh-CN"/>
        </w:rPr>
        <w:t>通过初验后</w:t>
      </w:r>
      <w:r>
        <w:rPr>
          <w:rFonts w:hint="eastAsia"/>
          <w:color w:val="000000"/>
          <w:kern w:val="0"/>
          <w:highlight w:val="none"/>
        </w:rPr>
        <w:t>，甲方支付合同总金额的30%</w:t>
      </w:r>
      <w:r>
        <w:rPr>
          <w:rFonts w:hint="eastAsia" w:eastAsia="宋体"/>
          <w:color w:val="000000"/>
          <w:kern w:val="0"/>
          <w:highlight w:val="none"/>
          <w:lang w:eastAsia="zh-CN"/>
        </w:rPr>
        <w:t>。</w:t>
      </w:r>
    </w:p>
    <w:p w14:paraId="1E47BAF2">
      <w:pPr>
        <w:adjustRightInd w:val="0"/>
        <w:snapToGrid w:val="0"/>
        <w:spacing w:line="360" w:lineRule="auto"/>
        <w:ind w:firstLine="420" w:firstLineChars="200"/>
        <w:rPr>
          <w:color w:val="000000"/>
          <w:highlight w:val="none"/>
        </w:rPr>
      </w:pPr>
      <w:r>
        <w:rPr>
          <w:rFonts w:hint="eastAsia"/>
          <w:color w:val="000000"/>
          <w:kern w:val="0"/>
          <w:highlight w:val="none"/>
        </w:rPr>
        <w:t>3.第三次付款：</w:t>
      </w:r>
      <w:r>
        <w:rPr>
          <w:rFonts w:hint="eastAsia" w:ascii="Times New Roman" w:eastAsia="宋体"/>
          <w:color w:val="000000"/>
          <w:kern w:val="0"/>
          <w:highlight w:val="none"/>
          <w:lang w:val="en-US" w:eastAsia="zh-CN"/>
        </w:rPr>
        <w:t>中标单位</w:t>
      </w:r>
      <w:r>
        <w:rPr>
          <w:rFonts w:hint="eastAsia"/>
          <w:color w:val="000000"/>
          <w:kern w:val="0"/>
          <w:highlight w:val="none"/>
        </w:rPr>
        <w:t>完成合同约定的所有内容</w:t>
      </w:r>
      <w:r>
        <w:rPr>
          <w:rFonts w:hint="eastAsia" w:eastAsia="宋体"/>
          <w:color w:val="000000"/>
          <w:kern w:val="0"/>
          <w:highlight w:val="none"/>
          <w:lang w:eastAsia="zh-CN"/>
        </w:rPr>
        <w:t>，</w:t>
      </w:r>
      <w:r>
        <w:rPr>
          <w:rFonts w:hint="eastAsia"/>
          <w:color w:val="000000"/>
          <w:kern w:val="0"/>
          <w:highlight w:val="none"/>
        </w:rPr>
        <w:t>通过</w:t>
      </w:r>
      <w:r>
        <w:rPr>
          <w:rFonts w:hint="eastAsia" w:ascii="Times New Roman" w:eastAsia="宋体"/>
          <w:color w:val="000000"/>
          <w:kern w:val="0"/>
          <w:highlight w:val="none"/>
          <w:lang w:val="en-US" w:eastAsia="zh-CN"/>
        </w:rPr>
        <w:t>终验</w:t>
      </w:r>
      <w:r>
        <w:rPr>
          <w:rFonts w:hint="eastAsia"/>
          <w:color w:val="000000"/>
          <w:kern w:val="0"/>
          <w:highlight w:val="none"/>
        </w:rPr>
        <w:t>后</w:t>
      </w:r>
      <w:r>
        <w:rPr>
          <w:rFonts w:hint="eastAsia" w:eastAsia="宋体"/>
          <w:color w:val="000000"/>
          <w:kern w:val="0"/>
          <w:highlight w:val="none"/>
          <w:lang w:eastAsia="zh-CN"/>
        </w:rPr>
        <w:t>，</w:t>
      </w:r>
      <w:r>
        <w:rPr>
          <w:rFonts w:hint="eastAsia"/>
          <w:color w:val="000000"/>
          <w:kern w:val="0"/>
          <w:highlight w:val="none"/>
        </w:rPr>
        <w:t>甲方支付合同总金额的20%</w:t>
      </w:r>
      <w:r>
        <w:rPr>
          <w:rFonts w:hint="eastAsia" w:eastAsia="宋体"/>
          <w:color w:val="000000"/>
          <w:kern w:val="0"/>
          <w:highlight w:val="none"/>
          <w:lang w:eastAsia="zh-CN"/>
        </w:rPr>
        <w:t>。</w:t>
      </w:r>
    </w:p>
    <w:p w14:paraId="386C61E0">
      <w:pPr>
        <w:keepNext/>
        <w:keepLines/>
        <w:widowControl/>
        <w:spacing w:before="0" w:after="0" w:line="360" w:lineRule="auto"/>
        <w:ind w:firstLine="643" w:firstLineChars="200"/>
        <w:jc w:val="both"/>
        <w:outlineLvl w:val="2"/>
        <w:rPr>
          <w:rFonts w:hint="eastAsia" w:ascii="Times New Roman" w:hAnsi="Times New Roman" w:eastAsia="宋体" w:cs="Times New Roman"/>
          <w:b/>
          <w:bCs/>
          <w:kern w:val="2"/>
          <w:sz w:val="32"/>
          <w:szCs w:val="32"/>
          <w:lang w:val="en-US" w:eastAsia="zh-CN" w:bidi="ar-SA"/>
        </w:rPr>
      </w:pPr>
      <w:bookmarkStart w:id="234" w:name="_Toc17094"/>
      <w:bookmarkStart w:id="235" w:name="_Toc5092"/>
      <w:r>
        <w:rPr>
          <w:rFonts w:hint="eastAsia" w:ascii="Times New Roman" w:hAnsi="Times New Roman" w:eastAsia="宋体" w:cs="Times New Roman"/>
          <w:b/>
          <w:bCs/>
          <w:kern w:val="2"/>
          <w:sz w:val="32"/>
          <w:szCs w:val="32"/>
          <w:lang w:val="en-US" w:eastAsia="zh-CN" w:bidi="ar-SA"/>
        </w:rPr>
        <w:t>（三）验收依据及方式</w:t>
      </w:r>
      <w:bookmarkEnd w:id="234"/>
      <w:bookmarkEnd w:id="235"/>
    </w:p>
    <w:p w14:paraId="44F0B09F">
      <w:pPr>
        <w:adjustRightInd w:val="0"/>
        <w:snapToGrid w:val="0"/>
        <w:spacing w:line="360" w:lineRule="auto"/>
        <w:ind w:firstLine="420" w:firstLineChars="200"/>
        <w:rPr>
          <w:kern w:val="0"/>
        </w:rPr>
      </w:pPr>
      <w:r>
        <w:rPr>
          <w:rFonts w:hint="eastAsia"/>
          <w:kern w:val="0"/>
        </w:rPr>
        <w:t>1.验收依据</w:t>
      </w:r>
    </w:p>
    <w:p w14:paraId="0718EAD2">
      <w:pPr>
        <w:adjustRightInd w:val="0"/>
        <w:snapToGrid w:val="0"/>
        <w:spacing w:line="360" w:lineRule="auto"/>
        <w:ind w:firstLine="420" w:firstLineChars="200"/>
        <w:rPr>
          <w:kern w:val="0"/>
        </w:rPr>
      </w:pPr>
      <w:r>
        <w:rPr>
          <w:rFonts w:hint="eastAsia"/>
          <w:kern w:val="0"/>
        </w:rPr>
        <w:t>依据本项目采购文件、投标人投标文件、项目合同书以及服务过程中经双方同意增加的约定文件（如工作方案、工作说明书、项目补充协议、会议纪要、备忘录等）、项目监理工作过程中的相关文件（如管理文件、项目变更文件、验收文件等）等。</w:t>
      </w:r>
    </w:p>
    <w:p w14:paraId="732BF2F6">
      <w:pPr>
        <w:adjustRightInd w:val="0"/>
        <w:snapToGrid w:val="0"/>
        <w:spacing w:line="360" w:lineRule="auto"/>
        <w:ind w:firstLine="420" w:firstLineChars="200"/>
        <w:rPr>
          <w:kern w:val="0"/>
        </w:rPr>
      </w:pPr>
      <w:r>
        <w:rPr>
          <w:rFonts w:hint="eastAsia"/>
          <w:kern w:val="0"/>
        </w:rPr>
        <w:t>2.验收方式</w:t>
      </w:r>
    </w:p>
    <w:p w14:paraId="42BA09BB">
      <w:pPr>
        <w:adjustRightInd w:val="0"/>
        <w:snapToGrid w:val="0"/>
        <w:spacing w:line="360" w:lineRule="auto"/>
        <w:ind w:firstLine="420" w:firstLineChars="200"/>
        <w:rPr>
          <w:kern w:val="0"/>
        </w:rPr>
      </w:pPr>
      <w:r>
        <w:rPr>
          <w:rFonts w:hint="eastAsia"/>
          <w:kern w:val="0"/>
        </w:rPr>
        <w:t>中标人提交所有服务成果和相关文档材料，并自验合格且监理确认，向采购人提出验收书面申请，由采购人组织评审，评审通过后视为本项目通过验收。</w:t>
      </w:r>
    </w:p>
    <w:p w14:paraId="4C96D743">
      <w:pPr>
        <w:keepNext/>
        <w:keepLines/>
        <w:widowControl w:val="0"/>
        <w:spacing w:before="0" w:after="0" w:line="360" w:lineRule="auto"/>
        <w:ind w:firstLine="643" w:firstLineChars="200"/>
        <w:jc w:val="both"/>
        <w:outlineLvl w:val="2"/>
        <w:rPr>
          <w:rFonts w:ascii="Times New Roman" w:hAnsi="Times New Roman" w:eastAsia="宋体" w:cs="Times New Roman"/>
          <w:b/>
          <w:bCs/>
          <w:kern w:val="2"/>
          <w:sz w:val="32"/>
          <w:szCs w:val="32"/>
          <w:lang w:val="en-US" w:eastAsia="zh-CN" w:bidi="ar-SA"/>
        </w:rPr>
      </w:pPr>
      <w:bookmarkStart w:id="236" w:name="_Toc14431"/>
      <w:bookmarkStart w:id="237" w:name="_Toc17353"/>
      <w:bookmarkStart w:id="238" w:name="_Toc9904"/>
      <w:bookmarkStart w:id="239" w:name="_Toc21868"/>
      <w:bookmarkStart w:id="240" w:name="_Toc21895"/>
      <w:r>
        <w:rPr>
          <w:rFonts w:hint="eastAsia" w:ascii="Times New Roman" w:hAnsi="Times New Roman" w:eastAsia="宋体" w:cs="Times New Roman"/>
          <w:b/>
          <w:bCs/>
          <w:kern w:val="2"/>
          <w:sz w:val="32"/>
          <w:szCs w:val="32"/>
          <w:lang w:val="en-US" w:eastAsia="zh-CN" w:bidi="ar-SA"/>
        </w:rPr>
        <w:t>（四）知识产权归属</w:t>
      </w:r>
      <w:bookmarkEnd w:id="236"/>
      <w:bookmarkEnd w:id="237"/>
      <w:bookmarkEnd w:id="238"/>
      <w:bookmarkEnd w:id="239"/>
      <w:bookmarkEnd w:id="240"/>
    </w:p>
    <w:p w14:paraId="66EAE12A">
      <w:pPr>
        <w:widowControl/>
        <w:spacing w:line="360" w:lineRule="auto"/>
        <w:ind w:firstLine="420"/>
        <w:rPr>
          <w:kern w:val="0"/>
        </w:rPr>
      </w:pPr>
      <w:r>
        <w:rPr>
          <w:rFonts w:hint="eastAsia"/>
          <w:kern w:val="0"/>
        </w:rPr>
        <w:t>1</w:t>
      </w:r>
      <w:r>
        <w:rPr>
          <w:kern w:val="0"/>
        </w:rPr>
        <w:t>. 投标方义务：投标方在项目开发过程中产生的所有与软件产品相关的知识产权成果，均应自动转让给甲方，并确保甲方成为这些成果的唯一合法所有者。</w:t>
      </w:r>
    </w:p>
    <w:p w14:paraId="065866AB">
      <w:pPr>
        <w:widowControl/>
        <w:spacing w:line="360" w:lineRule="auto"/>
        <w:ind w:firstLine="420"/>
        <w:rPr>
          <w:kern w:val="0"/>
        </w:rPr>
      </w:pPr>
      <w:r>
        <w:rPr>
          <w:rFonts w:hint="eastAsia"/>
          <w:kern w:val="0"/>
        </w:rPr>
        <w:t>2</w:t>
      </w:r>
      <w:r>
        <w:rPr>
          <w:kern w:val="0"/>
        </w:rPr>
        <w:t>. 保密义务：投标方应对在项目开发过程中接触到的甲方所有知识产权信息承担严格的保密义务，未经甲方书面同意，不得向任何第三方泄露或利用。</w:t>
      </w:r>
    </w:p>
    <w:p w14:paraId="461E163D">
      <w:pPr>
        <w:widowControl/>
        <w:spacing w:line="360" w:lineRule="auto"/>
        <w:ind w:firstLine="420"/>
        <w:rPr>
          <w:kern w:val="0"/>
        </w:rPr>
      </w:pPr>
      <w:r>
        <w:rPr>
          <w:rFonts w:hint="eastAsia"/>
          <w:kern w:val="0"/>
        </w:rPr>
        <w:t>3</w:t>
      </w:r>
      <w:r>
        <w:rPr>
          <w:kern w:val="0"/>
        </w:rPr>
        <w:t>. 合规性要求：投标方在软件开发过程中，应确保所有工作均符合国家和地方关于知识产权的法律法规，不得侵犯任何第三方的合法权益。</w:t>
      </w:r>
    </w:p>
    <w:p w14:paraId="615AEE86">
      <w:pPr>
        <w:widowControl/>
        <w:spacing w:line="360" w:lineRule="auto"/>
        <w:ind w:firstLine="420"/>
        <w:rPr>
          <w:kern w:val="0"/>
        </w:rPr>
      </w:pPr>
      <w:r>
        <w:rPr>
          <w:rFonts w:hint="eastAsia"/>
          <w:kern w:val="0"/>
        </w:rPr>
        <w:t>4</w:t>
      </w:r>
      <w:r>
        <w:rPr>
          <w:kern w:val="0"/>
        </w:rPr>
        <w:t>. 纠纷处理：如因投标方原因导致甲方与任何第三方发生知识产权纠纷，投标方应承担全部法律责任，并赔偿甲方因此遭受的所有损失。</w:t>
      </w:r>
    </w:p>
    <w:p w14:paraId="286F2763">
      <w:pPr>
        <w:widowControl/>
        <w:spacing w:line="360" w:lineRule="auto"/>
        <w:ind w:firstLine="420"/>
        <w:rPr>
          <w:color w:val="000000"/>
          <w:kern w:val="0"/>
        </w:rPr>
      </w:pPr>
      <w:r>
        <w:rPr>
          <w:rFonts w:hint="eastAsia"/>
          <w:color w:val="000000"/>
          <w:kern w:val="0"/>
        </w:rPr>
        <w:t>5. 本项目SSL证书（如有）仅为甲方（采购人）专属申请、签发与使用，严禁投标人转借、冒用、转售或用于非甲方指定域名与系统；证书签发、变更、续费、注销等全流程操作，须经甲方书面确认后方可执行，未经甲方授权擅自操作的，视为严重违约，甲方有权终止合同并追究责任。</w:t>
      </w:r>
    </w:p>
    <w:p w14:paraId="5E097175">
      <w:pPr>
        <w:keepNext/>
        <w:keepLines/>
        <w:widowControl/>
        <w:spacing w:before="0" w:after="0" w:line="360" w:lineRule="auto"/>
        <w:ind w:firstLine="643" w:firstLineChars="200"/>
        <w:jc w:val="both"/>
        <w:outlineLvl w:val="2"/>
        <w:rPr>
          <w:rFonts w:ascii="Times New Roman" w:hAnsi="Times New Roman" w:eastAsia="宋体" w:cs="Times New Roman"/>
          <w:b/>
          <w:bCs/>
          <w:kern w:val="2"/>
          <w:sz w:val="32"/>
          <w:szCs w:val="32"/>
          <w:lang w:val="en-US" w:eastAsia="zh-CN" w:bidi="ar-SA"/>
        </w:rPr>
      </w:pPr>
      <w:bookmarkStart w:id="241" w:name="_Toc25251"/>
      <w:bookmarkStart w:id="242" w:name="_Toc5153"/>
      <w:r>
        <w:rPr>
          <w:rFonts w:hint="eastAsia" w:ascii="Times New Roman" w:hAnsi="Times New Roman" w:eastAsia="宋体" w:cs="Times New Roman"/>
          <w:b/>
          <w:bCs/>
          <w:kern w:val="2"/>
          <w:sz w:val="32"/>
          <w:szCs w:val="32"/>
          <w:lang w:val="en-US" w:eastAsia="zh-CN" w:bidi="ar-SA"/>
        </w:rPr>
        <w:t>（五）保密性要求</w:t>
      </w:r>
      <w:bookmarkEnd w:id="241"/>
      <w:bookmarkEnd w:id="242"/>
    </w:p>
    <w:p w14:paraId="3E89317B">
      <w:pPr>
        <w:widowControl/>
        <w:spacing w:line="360" w:lineRule="auto"/>
        <w:ind w:firstLine="420"/>
        <w:rPr>
          <w:kern w:val="0"/>
        </w:rPr>
      </w:pPr>
      <w:r>
        <w:rPr>
          <w:rFonts w:hint="eastAsia"/>
          <w:kern w:val="0"/>
        </w:rPr>
        <w:t>1. 中标单位对其因为身份、职务、职业或技术关系而知悉的采购单位秘密和党政机关保密信息应严格保守，保证不被披露或使用，包括意外或过失。</w:t>
      </w:r>
    </w:p>
    <w:p w14:paraId="0CFE5EE1">
      <w:pPr>
        <w:widowControl/>
        <w:spacing w:line="360" w:lineRule="auto"/>
        <w:ind w:firstLine="420"/>
        <w:rPr>
          <w:kern w:val="0"/>
        </w:rPr>
      </w:pPr>
      <w:r>
        <w:rPr>
          <w:rFonts w:hint="eastAsia"/>
          <w:kern w:val="0"/>
        </w:rPr>
        <w:t>2. 中标单位不得以竞争为目的、或处于私利、或为第三人谋利而擅自保存、披露、使用采购单位秘密和党政机关保密信息；不得直接或间接地向无关人员泄露采购单位秘密和党政机关保密信息；不得向不承担保密义务的任何第三人披露采购单位秘密和党政机关保密信息。中标人在从事政府项目时，不得擅自记录、复制、拍摄、摘抄、收藏在工作中涉及的保密信息，严禁将涉及政府项目的任何资料、数据透露或以其他方式提供给项目以外的其他方或中标人内部与该项目无关的任何人员。</w:t>
      </w:r>
    </w:p>
    <w:p w14:paraId="3130843E">
      <w:pPr>
        <w:widowControl/>
        <w:spacing w:line="360" w:lineRule="auto"/>
        <w:ind w:firstLine="420"/>
        <w:rPr>
          <w:kern w:val="0"/>
        </w:rPr>
      </w:pPr>
      <w:r>
        <w:rPr>
          <w:rFonts w:hint="eastAsia"/>
          <w:kern w:val="0"/>
        </w:rPr>
        <w:t>3. 中标单位对于工作期间知悉采购单位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w:t>
      </w:r>
    </w:p>
    <w:p w14:paraId="13DB8DEA">
      <w:pPr>
        <w:widowControl/>
        <w:spacing w:line="360" w:lineRule="auto"/>
        <w:ind w:firstLine="420"/>
        <w:rPr>
          <w:kern w:val="0"/>
        </w:rPr>
      </w:pPr>
      <w:r>
        <w:rPr>
          <w:rFonts w:hint="eastAsia"/>
          <w:kern w:val="0"/>
        </w:rPr>
        <w:t>4. 严禁泄露在工作中接触到的政府机关科技研究、发明、装备器材及其技术资料和政府工作信息。</w:t>
      </w:r>
    </w:p>
    <w:p w14:paraId="6C26BFEA">
      <w:pPr>
        <w:widowControl/>
        <w:spacing w:line="360" w:lineRule="auto"/>
        <w:ind w:firstLine="420"/>
        <w:rPr>
          <w:kern w:val="0"/>
        </w:rPr>
      </w:pPr>
      <w:r>
        <w:rPr>
          <w:rFonts w:hint="eastAsia"/>
          <w:kern w:val="0"/>
        </w:rPr>
        <w:t>5. 中标单位所有参与服务工作的人员应签署保密协议，服务过程中应严格执行保密法和采购单位关于保密工作的所有规定。上述保密义务为长期有效，不因本项目权利义务终止而终止。如有违反，依法承担法律责任，且采购单位有权终止合作，并要求中标单位赔偿所有因泄密造成的损失。</w:t>
      </w:r>
    </w:p>
    <w:p w14:paraId="3822167D">
      <w:pPr>
        <w:keepNext/>
        <w:keepLines/>
        <w:widowControl w:val="0"/>
        <w:spacing w:before="0" w:after="0" w:line="360" w:lineRule="auto"/>
        <w:ind w:firstLine="643" w:firstLineChars="200"/>
        <w:jc w:val="both"/>
        <w:outlineLvl w:val="2"/>
        <w:rPr>
          <w:rFonts w:ascii="Times New Roman" w:hAnsi="Times New Roman" w:eastAsia="宋体" w:cs="Times New Roman"/>
          <w:b/>
          <w:bCs/>
          <w:kern w:val="2"/>
          <w:sz w:val="32"/>
          <w:szCs w:val="32"/>
          <w:lang w:val="en-US" w:eastAsia="zh-CN" w:bidi="ar-SA"/>
        </w:rPr>
      </w:pPr>
      <w:bookmarkStart w:id="243" w:name="_Toc5575"/>
      <w:bookmarkStart w:id="244" w:name="_Toc12699"/>
      <w:bookmarkStart w:id="245" w:name="_Toc2927"/>
      <w:bookmarkStart w:id="246" w:name="_Toc14901"/>
      <w:bookmarkStart w:id="247" w:name="_Toc17067"/>
      <w:r>
        <w:rPr>
          <w:rFonts w:hint="eastAsia" w:ascii="Times New Roman" w:hAnsi="Times New Roman" w:eastAsia="宋体" w:cs="Times New Roman"/>
          <w:b/>
          <w:bCs/>
          <w:kern w:val="2"/>
          <w:sz w:val="32"/>
          <w:szCs w:val="32"/>
          <w:lang w:val="en-US" w:eastAsia="zh-CN" w:bidi="ar-SA"/>
        </w:rPr>
        <w:t>（六）网络和数据安全性要求</w:t>
      </w:r>
      <w:bookmarkEnd w:id="243"/>
      <w:bookmarkEnd w:id="244"/>
    </w:p>
    <w:p w14:paraId="24F32005">
      <w:pPr>
        <w:widowControl/>
        <w:spacing w:line="360" w:lineRule="auto"/>
        <w:ind w:firstLine="420"/>
        <w:rPr>
          <w:kern w:val="0"/>
        </w:rPr>
      </w:pPr>
      <w:r>
        <w:rPr>
          <w:kern w:val="0"/>
        </w:rPr>
        <w:t>1</w:t>
      </w:r>
      <w:r>
        <w:rPr>
          <w:rFonts w:hint="eastAsia"/>
          <w:kern w:val="0"/>
        </w:rPr>
        <w:t xml:space="preserve">. </w:t>
      </w:r>
      <w:r>
        <w:rPr>
          <w:kern w:val="0"/>
        </w:rPr>
        <w:t>中标单位必须建立完善的数据安全管理体系，确保项目实施和运维过程中所有数据的安全性、完整性和可用性。</w:t>
      </w:r>
    </w:p>
    <w:p w14:paraId="6A7BECD6">
      <w:pPr>
        <w:widowControl/>
        <w:spacing w:line="360" w:lineRule="auto"/>
        <w:ind w:firstLine="420"/>
        <w:rPr>
          <w:color w:val="000000"/>
          <w:kern w:val="0"/>
        </w:rPr>
      </w:pPr>
      <w:r>
        <w:rPr>
          <w:color w:val="000000"/>
          <w:kern w:val="0"/>
        </w:rPr>
        <w:t>2</w:t>
      </w:r>
      <w:r>
        <w:rPr>
          <w:rFonts w:hint="eastAsia"/>
          <w:color w:val="000000"/>
          <w:kern w:val="0"/>
        </w:rPr>
        <w:t xml:space="preserve">. </w:t>
      </w:r>
      <w:r>
        <w:rPr>
          <w:color w:val="000000"/>
          <w:kern w:val="0"/>
        </w:rPr>
        <w:t>中标单位应严格遵守《中华人民共和国数据安全法》《中华人民共和国个人信息保护法》</w:t>
      </w:r>
      <w:r>
        <w:rPr>
          <w:rFonts w:hint="eastAsia"/>
          <w:color w:val="000000"/>
          <w:kern w:val="0"/>
        </w:rPr>
        <w:t>、《中华人民共和国网络安全法》、《中华人民共和国密码法》、《网络数据安全管理条例》</w:t>
      </w:r>
      <w:r>
        <w:rPr>
          <w:color w:val="000000"/>
          <w:kern w:val="0"/>
        </w:rPr>
        <w:t>等相关法律法规，对项目涉及的所有数据进行分类分级管理，制定相应的安全保护措施。</w:t>
      </w:r>
    </w:p>
    <w:p w14:paraId="60DB880D">
      <w:pPr>
        <w:widowControl/>
        <w:spacing w:line="360" w:lineRule="auto"/>
        <w:ind w:firstLine="420"/>
        <w:rPr>
          <w:kern w:val="0"/>
        </w:rPr>
      </w:pPr>
      <w:r>
        <w:rPr>
          <w:kern w:val="0"/>
        </w:rPr>
        <w:t>3</w:t>
      </w:r>
      <w:r>
        <w:rPr>
          <w:rFonts w:hint="eastAsia"/>
          <w:kern w:val="0"/>
        </w:rPr>
        <w:t xml:space="preserve">. </w:t>
      </w:r>
      <w:r>
        <w:rPr>
          <w:kern w:val="0"/>
        </w:rPr>
        <w:t>中标单位必须采取必要的技术措施和管理措施，防止数据泄露、毁损、丢失、篡改或非法获取、非法利用，包括但不限于：数据传输加密、数据存储加密、访问控制和身份认证、数据备份与恢复、安全审计和日志管理</w:t>
      </w:r>
      <w:r>
        <w:rPr>
          <w:rFonts w:hint="eastAsia"/>
          <w:kern w:val="0"/>
        </w:rPr>
        <w:t>。</w:t>
      </w:r>
    </w:p>
    <w:p w14:paraId="601D3A5C">
      <w:pPr>
        <w:widowControl/>
        <w:spacing w:line="360" w:lineRule="auto"/>
        <w:ind w:firstLine="420"/>
        <w:rPr>
          <w:kern w:val="0"/>
        </w:rPr>
      </w:pPr>
      <w:r>
        <w:rPr>
          <w:kern w:val="0"/>
        </w:rPr>
        <w:t>4</w:t>
      </w:r>
      <w:r>
        <w:rPr>
          <w:rFonts w:hint="eastAsia"/>
          <w:kern w:val="0"/>
        </w:rPr>
        <w:t xml:space="preserve">. </w:t>
      </w:r>
      <w:r>
        <w:rPr>
          <w:kern w:val="0"/>
        </w:rPr>
        <w:t>中标单位应建立数据安全应急响应机制，制定数据安全事件应急预案，定期开展应急演练。发生数据安全事件时，应立即启动应急响应，并在2小时内向采购单位报告。</w:t>
      </w:r>
    </w:p>
    <w:p w14:paraId="2F403D6D">
      <w:pPr>
        <w:widowControl/>
        <w:spacing w:line="360" w:lineRule="auto"/>
        <w:ind w:firstLine="420"/>
        <w:rPr>
          <w:kern w:val="0"/>
        </w:rPr>
      </w:pPr>
      <w:r>
        <w:rPr>
          <w:kern w:val="0"/>
        </w:rPr>
        <w:t>5</w:t>
      </w:r>
      <w:r>
        <w:rPr>
          <w:rFonts w:hint="eastAsia"/>
          <w:kern w:val="0"/>
        </w:rPr>
        <w:t xml:space="preserve">. </w:t>
      </w:r>
      <w:r>
        <w:rPr>
          <w:kern w:val="0"/>
        </w:rPr>
        <w:t>中标单位不得将项目数据用于合同约定以外的用途，不得向第三方提供、转让或公开项目数据。项目结束后，应按照采购单位要求彻底删除或移交所有项目数据。</w:t>
      </w:r>
    </w:p>
    <w:p w14:paraId="2E491B5A">
      <w:pPr>
        <w:widowControl/>
        <w:spacing w:line="360" w:lineRule="auto"/>
        <w:ind w:firstLine="420"/>
        <w:rPr>
          <w:kern w:val="0"/>
        </w:rPr>
      </w:pPr>
      <w:r>
        <w:rPr>
          <w:kern w:val="0"/>
        </w:rPr>
        <w:t>6</w:t>
      </w:r>
      <w:r>
        <w:rPr>
          <w:rFonts w:hint="eastAsia"/>
          <w:kern w:val="0"/>
        </w:rPr>
        <w:t xml:space="preserve">. </w:t>
      </w:r>
      <w:r>
        <w:rPr>
          <w:kern w:val="0"/>
        </w:rPr>
        <w:t>中标单位应定期（至少每季度一次）对数据安全措施的有效性进行评估，并向采购单位提交数据安全评估报告。</w:t>
      </w:r>
    </w:p>
    <w:p w14:paraId="5DC6170F">
      <w:pPr>
        <w:widowControl/>
        <w:spacing w:line="360" w:lineRule="auto"/>
        <w:ind w:firstLine="420"/>
        <w:rPr>
          <w:kern w:val="0"/>
        </w:rPr>
      </w:pPr>
      <w:r>
        <w:rPr>
          <w:kern w:val="0"/>
        </w:rPr>
        <w:t>7</w:t>
      </w:r>
      <w:r>
        <w:rPr>
          <w:rFonts w:hint="eastAsia"/>
          <w:kern w:val="0"/>
        </w:rPr>
        <w:t xml:space="preserve">. </w:t>
      </w:r>
      <w:r>
        <w:rPr>
          <w:kern w:val="0"/>
        </w:rPr>
        <w:t>如因中标单位原因导致数据安全事件，造成数据泄露、丢失或其他损害的，中标单位应承担全部法律责任和经济赔偿责任。</w:t>
      </w:r>
    </w:p>
    <w:p w14:paraId="7C464B2D">
      <w:pPr>
        <w:widowControl/>
        <w:spacing w:line="360" w:lineRule="auto"/>
        <w:ind w:firstLine="420"/>
        <w:rPr>
          <w:color w:val="000000"/>
        </w:rPr>
      </w:pPr>
      <w:r>
        <w:rPr>
          <w:rFonts w:hint="eastAsia"/>
          <w:color w:val="000000"/>
          <w:kern w:val="0"/>
        </w:rPr>
        <w:t>8.个人信息保护</w:t>
      </w:r>
      <w:r>
        <w:rPr>
          <w:rFonts w:hint="eastAsia"/>
          <w:color w:val="000000"/>
        </w:rPr>
        <w:t>：投标人须严格遵守《中华人民共和国个人信息保护法》《网络安全法》《数据安全法》等法律法规，对项目涉及的所有个人信息（含敏感信息）承担全生命周期保护责任；应建立数据分类分级、访问控制、加密存储、安全审计、泄露应急处置等机制，未经甲方书面同意不得擅自收集、使用、存储、传输或向第三方提供个人信息。</w:t>
      </w:r>
    </w:p>
    <w:p w14:paraId="79B2C36D">
      <w:pPr>
        <w:widowControl/>
        <w:spacing w:line="360" w:lineRule="auto"/>
        <w:ind w:firstLine="420"/>
        <w:rPr>
          <w:color w:val="000000"/>
        </w:rPr>
      </w:pPr>
      <w:r>
        <w:rPr>
          <w:rFonts w:hint="eastAsia"/>
          <w:color w:val="000000"/>
        </w:rPr>
        <w:t>9.安全检测工作：安全基线检查、漏洞扫描、渗透测试等。</w:t>
      </w:r>
    </w:p>
    <w:bookmarkEnd w:id="245"/>
    <w:bookmarkEnd w:id="246"/>
    <w:bookmarkEnd w:id="247"/>
    <w:p w14:paraId="0FE59D85">
      <w:pPr>
        <w:keepNext/>
        <w:keepLines/>
        <w:widowControl w:val="0"/>
        <w:spacing w:before="0" w:after="0" w:line="360" w:lineRule="auto"/>
        <w:ind w:firstLine="643" w:firstLineChars="200"/>
        <w:jc w:val="both"/>
        <w:outlineLvl w:val="2"/>
        <w:rPr>
          <w:rFonts w:ascii="Times New Roman" w:hAnsi="Times New Roman" w:eastAsia="宋体" w:cs="Times New Roman"/>
          <w:b/>
          <w:bCs/>
          <w:kern w:val="2"/>
          <w:sz w:val="32"/>
          <w:szCs w:val="32"/>
          <w:lang w:val="en-US" w:eastAsia="zh-CN" w:bidi="ar-SA"/>
        </w:rPr>
      </w:pPr>
      <w:bookmarkStart w:id="248" w:name="_Toc16502"/>
      <w:bookmarkStart w:id="249" w:name="_Toc7092"/>
      <w:bookmarkStart w:id="250" w:name="_Toc16200"/>
      <w:bookmarkStart w:id="251" w:name="_Toc20121"/>
      <w:r>
        <w:rPr>
          <w:rFonts w:hint="eastAsia" w:ascii="Times New Roman" w:hAnsi="Times New Roman" w:eastAsia="宋体" w:cs="Times New Roman"/>
          <w:b/>
          <w:bCs/>
          <w:kern w:val="2"/>
          <w:sz w:val="32"/>
          <w:szCs w:val="32"/>
          <w:lang w:val="en-US" w:eastAsia="zh-CN" w:bidi="ar-SA"/>
        </w:rPr>
        <w:t>（七）其他要求</w:t>
      </w:r>
      <w:bookmarkEnd w:id="248"/>
      <w:bookmarkEnd w:id="249"/>
      <w:bookmarkEnd w:id="250"/>
      <w:bookmarkEnd w:id="251"/>
    </w:p>
    <w:p w14:paraId="117BAA99">
      <w:pPr>
        <w:widowControl/>
        <w:spacing w:line="360" w:lineRule="auto"/>
        <w:ind w:firstLine="420"/>
        <w:rPr>
          <w:kern w:val="0"/>
        </w:rPr>
      </w:pPr>
      <w:r>
        <w:rPr>
          <w:rFonts w:hint="eastAsia"/>
          <w:kern w:val="0"/>
        </w:rPr>
        <w:t>1. 项目严格按照网络安全等级保护三级、国产密码应用相关政策要求建设。</w:t>
      </w:r>
    </w:p>
    <w:p w14:paraId="32FDE7BF">
      <w:pPr>
        <w:widowControl/>
        <w:spacing w:line="360" w:lineRule="auto"/>
        <w:ind w:firstLine="420"/>
        <w:rPr>
          <w:kern w:val="0"/>
        </w:rPr>
      </w:pPr>
      <w:r>
        <w:rPr>
          <w:rFonts w:hint="eastAsia"/>
          <w:kern w:val="0"/>
        </w:rPr>
        <w:t>2. 本项目涉及的所有系统需满足国产化要求，确保核心技术、知识产权及供应链可控，符合国家信息安全与自主可控要求及IPv6适配。</w:t>
      </w:r>
    </w:p>
    <w:p w14:paraId="42BE60FA">
      <w:pPr>
        <w:widowControl/>
        <w:spacing w:line="360" w:lineRule="auto"/>
        <w:ind w:firstLine="420"/>
        <w:rPr>
          <w:kern w:val="0"/>
        </w:rPr>
      </w:pPr>
      <w:r>
        <w:rPr>
          <w:rFonts w:hint="eastAsia"/>
          <w:kern w:val="0"/>
        </w:rPr>
        <w:t>3. 本项目部署所涉及的操作系统、中间件、数据库等须使用正版国产化产品。</w:t>
      </w:r>
    </w:p>
    <w:p w14:paraId="3BBB1751">
      <w:pPr>
        <w:widowControl/>
        <w:spacing w:line="360" w:lineRule="auto"/>
        <w:ind w:firstLine="420"/>
        <w:rPr>
          <w:kern w:val="0"/>
        </w:rPr>
      </w:pPr>
      <w:r>
        <w:rPr>
          <w:rFonts w:hint="eastAsia"/>
          <w:kern w:val="0"/>
        </w:rPr>
        <w:t>4.</w:t>
      </w:r>
      <w:r>
        <w:rPr>
          <w:kern w:val="0"/>
        </w:rPr>
        <w:t xml:space="preserve"> </w:t>
      </w:r>
      <w:r>
        <w:rPr>
          <w:rFonts w:hint="eastAsia"/>
          <w:kern w:val="0"/>
        </w:rPr>
        <w:t>本项目实施过程中产生的知识产权，需确保与项目整体系统的技术兼容性、运行完整性及功能独立性；中标人不得利用自有、第三方已登记或未登记的知识产权用于本项目的开发、升级或改造，若因中标人擅自使用上述知识产权导致任何法律争议，或造成采购人无法独立行使项目相关知识产权、系统运行受阻等损失的，由中标人承担全部法律责任</w:t>
      </w:r>
    </w:p>
    <w:p w14:paraId="2BDE49F7">
      <w:pPr>
        <w:rPr>
          <w:rFonts w:hint="eastAsia"/>
        </w:rPr>
        <w:sectPr>
          <w:footerReference r:id="rId4" w:type="first"/>
          <w:pgSz w:w="11906" w:h="16838"/>
          <w:pgMar w:top="1418" w:right="1588" w:bottom="1418" w:left="1365" w:header="851" w:footer="907" w:gutter="0"/>
          <w:cols w:space="720" w:num="1"/>
          <w:titlePg/>
          <w:docGrid w:type="lines" w:linePitch="290" w:charSpace="0"/>
        </w:sectPr>
      </w:pPr>
    </w:p>
    <w:bookmarkEnd w:id="201"/>
    <w:bookmarkEnd w:id="202"/>
    <w:bookmarkEnd w:id="203"/>
    <w:bookmarkEnd w:id="204"/>
    <w:bookmarkEnd w:id="209"/>
    <w:bookmarkEnd w:id="210"/>
    <w:p w14:paraId="296E5CAA">
      <w:pPr>
        <w:pStyle w:val="4"/>
        <w:rPr>
          <w:rFonts w:hint="eastAsia" w:ascii="宋体" w:hAnsi="宋体" w:eastAsia="宋体" w:cs="宋体"/>
        </w:rPr>
      </w:pPr>
      <w:bookmarkStart w:id="252" w:name="_Toc534725610"/>
      <w:bookmarkStart w:id="253" w:name="_Toc14009"/>
      <w:bookmarkStart w:id="254" w:name="_Toc494375081"/>
      <w:bookmarkStart w:id="255" w:name="_Toc26554093"/>
      <w:bookmarkStart w:id="256" w:name="_Toc120614281"/>
      <w:bookmarkStart w:id="257" w:name="_Toc49090575"/>
      <w:r>
        <w:rPr>
          <w:rFonts w:hint="eastAsia" w:ascii="宋体" w:hAnsi="宋体" w:eastAsia="宋体" w:cs="宋体"/>
        </w:rPr>
        <w:t>第五章  评标方法与评标标准</w:t>
      </w:r>
      <w:bookmarkEnd w:id="252"/>
      <w:bookmarkEnd w:id="253"/>
      <w:bookmarkEnd w:id="254"/>
    </w:p>
    <w:p w14:paraId="24D6691B">
      <w:pPr>
        <w:widowControl w:val="0"/>
        <w:adjustRightInd w:val="0"/>
        <w:spacing w:before="120" w:after="120" w:line="360" w:lineRule="auto"/>
        <w:ind w:firstLine="424" w:firstLineChars="177"/>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14:paraId="057A52A8">
      <w:pPr>
        <w:widowControl w:val="0"/>
        <w:adjustRightInd w:val="0"/>
        <w:spacing w:before="120" w:after="120" w:line="360" w:lineRule="auto"/>
        <w:ind w:firstLine="441" w:firstLineChars="183"/>
        <w:jc w:val="left"/>
        <w:textAlignment w:val="baseline"/>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一、政府采购政策功能落实</w:t>
      </w:r>
    </w:p>
    <w:p w14:paraId="375A5F4A">
      <w:pPr>
        <w:widowControl w:val="0"/>
        <w:adjustRightInd w:val="0"/>
        <w:spacing w:before="120" w:after="120" w:line="500" w:lineRule="exact"/>
        <w:ind w:firstLine="480" w:firstLineChars="2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1.小微型企业价格扣除</w:t>
      </w:r>
    </w:p>
    <w:p w14:paraId="1B37CAA2">
      <w:pPr>
        <w:widowControl w:val="0"/>
        <w:adjustRightInd w:val="0"/>
        <w:spacing w:before="120" w:after="120" w:line="500" w:lineRule="exact"/>
        <w:ind w:firstLine="360" w:firstLineChars="15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kern w:val="0"/>
          <w:sz w:val="24"/>
          <w:szCs w:val="24"/>
          <w:shd w:val="clear" w:color="auto" w:fill="FFFFFF"/>
          <w:lang w:val="en-US" w:eastAsia="zh-CN" w:bidi="ar-SA"/>
        </w:rPr>
        <w:t>对于经主管预算单位统筹后未预留份额专门面向中小企业采购的采购项目，以及预留份额项目中的非预留部分采购包，</w:t>
      </w:r>
      <w:r>
        <w:rPr>
          <w:rFonts w:hint="eastAsia" w:ascii="宋体" w:hAnsi="宋体" w:eastAsia="宋体" w:cs="宋体"/>
          <w:kern w:val="2"/>
          <w:sz w:val="24"/>
          <w:szCs w:val="24"/>
          <w:lang w:val="en-US" w:eastAsia="zh-CN" w:bidi="ar-SA"/>
        </w:rPr>
        <w:t>对小型和微型企业报价给予</w:t>
      </w:r>
      <w:r>
        <w:rPr>
          <w:rFonts w:hint="eastAsia" w:ascii="宋体" w:hAnsi="宋体" w:eastAsia="宋体" w:cs="宋体"/>
          <w:kern w:val="2"/>
          <w:sz w:val="24"/>
          <w:szCs w:val="24"/>
          <w:u w:val="single"/>
          <w:lang w:val="en-US" w:eastAsia="zh-CN" w:bidi="ar-SA"/>
        </w:rPr>
        <w:t>10</w:t>
      </w:r>
      <w:r>
        <w:rPr>
          <w:rFonts w:hint="eastAsia" w:ascii="宋体" w:hAnsi="宋体" w:eastAsia="宋体" w:cs="宋体"/>
          <w:bCs/>
          <w:kern w:val="2"/>
          <w:sz w:val="24"/>
          <w:szCs w:val="24"/>
          <w:lang w:val="en-US" w:eastAsia="zh-CN" w:bidi="ar-SA"/>
        </w:rPr>
        <w:t>%</w:t>
      </w:r>
      <w:r>
        <w:rPr>
          <w:rFonts w:hint="eastAsia" w:ascii="宋体" w:hAnsi="宋体" w:eastAsia="宋体" w:cs="宋体"/>
          <w:kern w:val="2"/>
          <w:sz w:val="24"/>
          <w:szCs w:val="24"/>
          <w:lang w:val="en-US" w:eastAsia="zh-CN" w:bidi="ar-SA"/>
        </w:rPr>
        <w:t>的扣除价格，用扣除后的价格参与评审。</w:t>
      </w:r>
    </w:p>
    <w:p w14:paraId="307C8E28">
      <w:pPr>
        <w:widowControl w:val="0"/>
        <w:adjustRightInd w:val="0"/>
        <w:spacing w:before="120" w:after="120" w:line="500" w:lineRule="exact"/>
        <w:ind w:firstLine="360" w:firstLineChars="15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（2）对</w:t>
      </w:r>
      <w:r>
        <w:rPr>
          <w:rFonts w:hint="eastAsia" w:ascii="宋体" w:hAnsi="宋体" w:eastAsia="宋体" w:cs="宋体"/>
          <w:kern w:val="0"/>
          <w:sz w:val="24"/>
          <w:szCs w:val="24"/>
          <w:shd w:val="clear" w:color="auto" w:fill="FFFFFF"/>
          <w:lang w:val="en-US" w:eastAsia="zh-CN" w:bidi="ar-SA"/>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ascii="宋体" w:hAnsi="宋体" w:eastAsia="宋体" w:cs="宋体"/>
          <w:kern w:val="0"/>
          <w:sz w:val="24"/>
          <w:szCs w:val="24"/>
          <w:u w:val="single"/>
          <w:shd w:val="clear" w:color="auto" w:fill="FFFFFF"/>
          <w:lang w:val="en-US" w:eastAsia="zh-CN" w:bidi="ar-SA"/>
        </w:rPr>
        <w:t>/%</w:t>
      </w:r>
      <w:r>
        <w:rPr>
          <w:rFonts w:hint="eastAsia" w:ascii="宋体" w:hAnsi="宋体" w:eastAsia="宋体" w:cs="宋体"/>
          <w:kern w:val="0"/>
          <w:sz w:val="24"/>
          <w:szCs w:val="24"/>
          <w:shd w:val="clear" w:color="auto" w:fill="FFFFFF"/>
          <w:lang w:val="en-US" w:eastAsia="zh-CN" w:bidi="ar-SA"/>
        </w:rPr>
        <w:t>的扣除，用扣除后的价格参加评审。</w:t>
      </w:r>
    </w:p>
    <w:p w14:paraId="3E7E205F">
      <w:pPr>
        <w:widowControl w:val="0"/>
        <w:adjustRightInd w:val="0"/>
        <w:spacing w:before="120" w:after="120" w:line="500" w:lineRule="exact"/>
        <w:ind w:firstLine="360" w:firstLineChars="15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（3）供应商需按照采购文件的要求提供相应的《企业声明函》。</w:t>
      </w:r>
    </w:p>
    <w:p w14:paraId="7F71EA0A">
      <w:pPr>
        <w:widowControl w:val="0"/>
        <w:adjustRightInd w:val="0"/>
        <w:spacing w:before="120" w:after="120" w:line="500" w:lineRule="exact"/>
        <w:ind w:firstLine="360" w:firstLineChars="15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（4）企业标准请参照《关于印发中小企业划型标准规定的通知》（工信部联企业〔2011〕300号）文件规定自行填写。</w:t>
      </w:r>
    </w:p>
    <w:p w14:paraId="015D98B4">
      <w:pPr>
        <w:widowControl w:val="0"/>
        <w:adjustRightInd w:val="0"/>
        <w:spacing w:before="120" w:after="120" w:line="500" w:lineRule="exact"/>
        <w:ind w:firstLine="480" w:firstLineChars="2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2.残疾人福利单位价格扣除</w:t>
      </w:r>
    </w:p>
    <w:p w14:paraId="78CC2198">
      <w:pPr>
        <w:widowControl w:val="0"/>
        <w:adjustRightInd w:val="0"/>
        <w:spacing w:before="120" w:after="120" w:line="500" w:lineRule="exact"/>
        <w:ind w:left="120" w:leftChars="57" w:firstLine="360" w:firstLineChars="15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（1）本项目对残疾人福利性单位视同小型、微型企业，给予</w:t>
      </w:r>
      <w:r>
        <w:rPr>
          <w:rFonts w:hint="eastAsia" w:ascii="宋体" w:hAnsi="宋体" w:eastAsia="宋体" w:cs="宋体"/>
          <w:kern w:val="2"/>
          <w:sz w:val="24"/>
          <w:szCs w:val="24"/>
          <w:u w:val="single"/>
          <w:lang w:val="en-US" w:eastAsia="zh-CN" w:bidi="ar-SA"/>
        </w:rPr>
        <w:t>10</w:t>
      </w:r>
      <w:r>
        <w:rPr>
          <w:rFonts w:hint="eastAsia" w:ascii="宋体" w:hAnsi="宋体" w:eastAsia="宋体" w:cs="宋体"/>
          <w:kern w:val="2"/>
          <w:sz w:val="24"/>
          <w:szCs w:val="24"/>
          <w:lang w:val="en-US" w:eastAsia="zh-CN" w:bidi="ar-SA"/>
        </w:rPr>
        <w:t>%的价格扣除，用扣除后的价格参与评审。</w:t>
      </w:r>
    </w:p>
    <w:p w14:paraId="2CE28BDF">
      <w:pPr>
        <w:widowControl w:val="0"/>
        <w:adjustRightInd w:val="0"/>
        <w:spacing w:before="120" w:after="120" w:line="500" w:lineRule="exact"/>
        <w:ind w:left="120" w:leftChars="57" w:firstLine="360" w:firstLineChars="15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（2）残疾人福利单位需按照采购文件的要求提供《残疾人福利性单位声明函》。</w:t>
      </w:r>
    </w:p>
    <w:p w14:paraId="29C8E21A">
      <w:pPr>
        <w:widowControl w:val="0"/>
        <w:adjustRightInd w:val="0"/>
        <w:spacing w:before="120" w:after="120" w:line="500" w:lineRule="exact"/>
        <w:ind w:left="120" w:leftChars="57" w:firstLine="360" w:firstLineChars="15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（3）残疾人福利单位标准请参照《关于促进残疾人就业政府采购政策的通知》（财库〔2017〕141号）。</w:t>
      </w:r>
    </w:p>
    <w:p w14:paraId="261EB2D9">
      <w:pPr>
        <w:widowControl w:val="0"/>
        <w:adjustRightInd w:val="0"/>
        <w:spacing w:before="120" w:after="120" w:line="500" w:lineRule="exact"/>
        <w:ind w:firstLine="480" w:firstLineChars="2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3.监狱和戒毒企业价格扣除</w:t>
      </w:r>
    </w:p>
    <w:p w14:paraId="64DAB856">
      <w:pPr>
        <w:widowControl w:val="0"/>
        <w:adjustRightInd w:val="0"/>
        <w:spacing w:before="120" w:after="120" w:line="500" w:lineRule="exact"/>
        <w:ind w:firstLine="480" w:firstLineChars="2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（1）本项目对监狱和戒毒企业（简称监狱企业）视同小型、微型企业，给予</w:t>
      </w:r>
      <w:r>
        <w:rPr>
          <w:rFonts w:hint="eastAsia" w:ascii="宋体" w:hAnsi="宋体" w:eastAsia="宋体" w:cs="宋体"/>
          <w:kern w:val="2"/>
          <w:sz w:val="24"/>
          <w:szCs w:val="24"/>
          <w:u w:val="single"/>
          <w:lang w:val="en-US" w:eastAsia="zh-CN" w:bidi="ar-SA"/>
        </w:rPr>
        <w:t>10</w:t>
      </w:r>
      <w:r>
        <w:rPr>
          <w:rFonts w:hint="eastAsia" w:ascii="宋体" w:hAnsi="宋体" w:eastAsia="宋体" w:cs="宋体"/>
          <w:kern w:val="2"/>
          <w:sz w:val="24"/>
          <w:szCs w:val="24"/>
          <w:lang w:val="en-US" w:eastAsia="zh-CN" w:bidi="ar-SA"/>
        </w:rPr>
        <w:t>%的价格扣除，用扣除后的价格参与评审。</w:t>
      </w:r>
    </w:p>
    <w:p w14:paraId="0D6FF41D">
      <w:pPr>
        <w:widowControl w:val="0"/>
        <w:adjustRightInd w:val="0"/>
        <w:spacing w:before="120" w:after="120" w:line="500" w:lineRule="exact"/>
        <w:ind w:firstLine="480" w:firstLineChars="2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（2）监狱企业参加政府采购活动时，需提供由省级以上监狱管理局、戒毒管理局（含新疆生产建设兵团）出具的属于监狱企业的证明文件。</w:t>
      </w:r>
      <w:r>
        <w:rPr>
          <w:rFonts w:hint="eastAsia" w:ascii="宋体" w:hAnsi="宋体" w:eastAsia="宋体" w:cs="宋体"/>
          <w:kern w:val="0"/>
          <w:sz w:val="24"/>
          <w:szCs w:val="24"/>
          <w:lang w:val="en-US" w:eastAsia="zh-CN" w:bidi="ar-SA"/>
        </w:rPr>
        <w:t>供应商如不提供上述证明文件，价格将不做相应扣除</w:t>
      </w:r>
      <w:r>
        <w:rPr>
          <w:rFonts w:hint="eastAsia" w:ascii="宋体" w:hAnsi="宋体" w:eastAsia="宋体" w:cs="宋体"/>
          <w:kern w:val="2"/>
          <w:sz w:val="24"/>
          <w:szCs w:val="24"/>
          <w:lang w:val="en-US" w:eastAsia="zh-CN" w:bidi="ar-SA"/>
        </w:rPr>
        <w:t>。</w:t>
      </w:r>
    </w:p>
    <w:p w14:paraId="5E36CD5E">
      <w:pPr>
        <w:widowControl w:val="0"/>
        <w:adjustRightInd w:val="0"/>
        <w:spacing w:before="120" w:after="120" w:line="500" w:lineRule="exact"/>
        <w:ind w:firstLine="480" w:firstLineChars="2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（3）监狱企业标准请参照《关于政府采购支持监狱企业发展有关问题的通知》（财库〔2014〕68号）。</w:t>
      </w:r>
    </w:p>
    <w:p w14:paraId="24D76736">
      <w:pPr>
        <w:widowControl w:val="0"/>
        <w:adjustRightInd w:val="0"/>
        <w:spacing w:before="120" w:after="120" w:line="500" w:lineRule="exact"/>
        <w:ind w:firstLine="480" w:firstLineChars="2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4.小微型企业、残疾人福利单位、监狱企业属于小型、微型企业的，不重复享受政策。</w:t>
      </w:r>
    </w:p>
    <w:p w14:paraId="13E382E9">
      <w:pPr>
        <w:widowControl w:val="0"/>
        <w:spacing w:line="50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5.对本国产品的支持政策。</w:t>
      </w:r>
    </w:p>
    <w:p w14:paraId="7266FCC0">
      <w:pPr>
        <w:widowControl w:val="0"/>
        <w:spacing w:line="50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（1）政府采购活动中既有本国产品又有非本国产品参与竞争的，依法对本国产品给予价格评审优惠，对本国产品的报价给予20%的价格扣除，用扣除后的价格参与评审。</w:t>
      </w:r>
    </w:p>
    <w:p w14:paraId="27AE32BD">
      <w:pPr>
        <w:widowControl w:val="0"/>
        <w:spacing w:line="500" w:lineRule="exact"/>
        <w:ind w:lef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当采购项目或者采购包中含有多种产品，供应商为该采购项目或者采购包提供的符合本国产品标准的产品成本之和占该供应商提供的全部产品成本之和的比例达到80%以上时（供应商需在“第六章 投标文件格式”的“附件四 投标产品配置及分项报价表”中填写比例数值），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512C99C8">
      <w:pPr>
        <w:spacing w:line="500" w:lineRule="exact"/>
        <w:ind w:firstLine="480" w:firstLineChars="200"/>
        <w:rPr>
          <w:rFonts w:hint="eastAsia" w:ascii="宋体" w:hAnsi="宋体" w:cs="宋体"/>
          <w:sz w:val="24"/>
          <w:szCs w:val="24"/>
        </w:rPr>
      </w:pPr>
      <w:r>
        <w:rPr>
          <w:rFonts w:hint="eastAsia" w:ascii="宋体" w:hAnsi="宋体" w:cs="宋体"/>
          <w:sz w:val="24"/>
          <w:szCs w:val="24"/>
        </w:rPr>
        <w:t>（2）产品在中国境内生产的组件成本核算规则。产品在中国境内生产的组件成本，按照《中国境内生产的组件成本核算基本规则》计算（见国办发〔2025〕34号文附件1）。</w:t>
      </w:r>
    </w:p>
    <w:p w14:paraId="64CAD8D4">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3）供应商需按照采购文件的要求对提供的产品出具《关于符合本国产品标准的声明函》。如未提供将不享受本国产品价格评审优惠。供应商需在《声明函》中逐一、准确填写产品名称、厂名、生产厂址三项信息（《声明函》中标注</w:t>
      </w:r>
      <w:r>
        <w:rPr>
          <w:rFonts w:hint="eastAsia" w:ascii="宋体" w:hAnsi="宋体" w:cs="宋体"/>
          <w:sz w:val="24"/>
          <w:szCs w:val="24"/>
          <w:u w:val="single"/>
        </w:rPr>
        <w:t>“  /  ”</w:t>
      </w:r>
      <w:r>
        <w:rPr>
          <w:rFonts w:hint="eastAsia" w:ascii="宋体" w:hAnsi="宋体" w:cs="宋体"/>
          <w:sz w:val="24"/>
          <w:szCs w:val="24"/>
        </w:rPr>
        <w:t>的地方无需填写），三项信息中任意一项未填写的视为该项产品不符合本国产品标准，不享受本国产品价格评审优惠。</w:t>
      </w:r>
    </w:p>
    <w:p w14:paraId="5E5E8D74">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注：</w:t>
      </w:r>
    </w:p>
    <w:p w14:paraId="1E5CBE99">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14E5939">
      <w:pPr>
        <w:numPr>
          <w:ilvl w:val="0"/>
          <w:numId w:val="4"/>
        </w:numPr>
        <w:spacing w:line="400" w:lineRule="exact"/>
        <w:ind w:firstLine="555"/>
        <w:rPr>
          <w:rFonts w:hint="eastAsia" w:ascii="宋体" w:hAnsi="宋体" w:cs="宋体"/>
          <w:sz w:val="24"/>
          <w:szCs w:val="24"/>
        </w:rPr>
      </w:pPr>
      <w:r>
        <w:rPr>
          <w:rFonts w:hint="eastAsia" w:ascii="宋体" w:hAnsi="宋体" w:cs="宋体"/>
          <w:sz w:val="24"/>
          <w:szCs w:val="24"/>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9551367">
      <w:pPr>
        <w:numPr>
          <w:ilvl w:val="0"/>
          <w:numId w:val="4"/>
        </w:numPr>
        <w:spacing w:line="400" w:lineRule="exact"/>
        <w:ind w:firstLine="555"/>
        <w:rPr>
          <w:rFonts w:ascii="宋体" w:hAnsi="宋体" w:cs="宋体"/>
          <w:sz w:val="24"/>
          <w:szCs w:val="24"/>
        </w:rPr>
      </w:pPr>
      <w:r>
        <w:rPr>
          <w:rFonts w:hint="eastAsia" w:ascii="宋体" w:hAnsi="宋体" w:cs="宋体"/>
          <w:sz w:val="24"/>
          <w:szCs w:val="24"/>
        </w:rPr>
        <w:t>评标过程中如发现供应商在《声明函》内容</w:t>
      </w:r>
      <w:r>
        <w:rPr>
          <w:rFonts w:ascii="宋体" w:hAnsi="宋体" w:cs="宋体"/>
          <w:sz w:val="24"/>
          <w:szCs w:val="24"/>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49684529">
      <w:pPr>
        <w:widowControl w:val="0"/>
        <w:spacing w:line="360" w:lineRule="auto"/>
        <w:ind w:firstLine="600" w:firstLineChars="200"/>
        <w:jc w:val="both"/>
        <w:rPr>
          <w:rFonts w:hint="eastAsia" w:ascii="仿宋_GB2312" w:hAnsi="Arial" w:eastAsia="仿宋_GB2312" w:cs="Times New Roman"/>
          <w:kern w:val="2"/>
          <w:sz w:val="30"/>
          <w:szCs w:val="30"/>
          <w:lang w:val="en-US" w:eastAsia="zh-CN" w:bidi="ar-SA"/>
        </w:rPr>
      </w:pPr>
    </w:p>
    <w:p w14:paraId="3F562434">
      <w:pPr>
        <w:widowControl w:val="0"/>
        <w:adjustRightInd w:val="0"/>
        <w:spacing w:before="120" w:after="120" w:line="0" w:lineRule="atLeast"/>
        <w:ind w:firstLine="482" w:firstLineChars="200"/>
        <w:jc w:val="left"/>
        <w:textAlignment w:val="baseline"/>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二、评标办法和评标标准</w:t>
      </w:r>
    </w:p>
    <w:bookmarkEnd w:id="205"/>
    <w:bookmarkEnd w:id="206"/>
    <w:bookmarkEnd w:id="255"/>
    <w:bookmarkEnd w:id="256"/>
    <w:bookmarkEnd w:id="257"/>
    <w:tbl>
      <w:tblPr>
        <w:tblStyle w:val="18"/>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653"/>
        <w:gridCol w:w="7189"/>
        <w:gridCol w:w="551"/>
        <w:gridCol w:w="11"/>
      </w:tblGrid>
      <w:tr w14:paraId="2505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771" w:type="dxa"/>
            <w:noWrap w:val="0"/>
            <w:vAlign w:val="center"/>
          </w:tcPr>
          <w:p w14:paraId="157CD77F">
            <w:pPr>
              <w:widowControl/>
              <w:adjustRightInd w:val="0"/>
              <w:snapToGrid w:val="0"/>
              <w:jc w:val="center"/>
              <w:rPr>
                <w:rFonts w:hint="eastAsia" w:ascii="宋体" w:hAnsi="宋体" w:cs="宋体"/>
                <w:b/>
                <w:bCs/>
                <w:kern w:val="0"/>
                <w:sz w:val="24"/>
              </w:rPr>
            </w:pPr>
            <w:r>
              <w:rPr>
                <w:rFonts w:hint="eastAsia" w:ascii="宋体" w:hAnsi="宋体" w:cs="宋体"/>
                <w:b/>
                <w:bCs/>
                <w:kern w:val="0"/>
                <w:sz w:val="24"/>
              </w:rPr>
              <w:t>评分项目</w:t>
            </w:r>
          </w:p>
        </w:tc>
        <w:tc>
          <w:tcPr>
            <w:tcW w:w="653" w:type="dxa"/>
            <w:noWrap w:val="0"/>
            <w:vAlign w:val="center"/>
          </w:tcPr>
          <w:p w14:paraId="5D0CB356">
            <w:pPr>
              <w:widowControl/>
              <w:adjustRightInd w:val="0"/>
              <w:snapToGrid w:val="0"/>
              <w:jc w:val="center"/>
              <w:rPr>
                <w:rFonts w:hint="eastAsia" w:ascii="宋体" w:hAnsi="宋体" w:cs="宋体"/>
                <w:b/>
                <w:bCs/>
                <w:kern w:val="0"/>
                <w:sz w:val="24"/>
              </w:rPr>
            </w:pPr>
            <w:r>
              <w:rPr>
                <w:rFonts w:hint="eastAsia" w:ascii="宋体" w:hAnsi="宋体" w:cs="宋体"/>
                <w:b/>
                <w:bCs/>
                <w:kern w:val="0"/>
                <w:sz w:val="24"/>
              </w:rPr>
              <w:t>评分因素</w:t>
            </w:r>
          </w:p>
        </w:tc>
        <w:tc>
          <w:tcPr>
            <w:tcW w:w="7189" w:type="dxa"/>
            <w:noWrap w:val="0"/>
            <w:vAlign w:val="center"/>
          </w:tcPr>
          <w:p w14:paraId="04986C62">
            <w:pPr>
              <w:widowControl/>
              <w:adjustRightInd w:val="0"/>
              <w:snapToGrid w:val="0"/>
              <w:jc w:val="center"/>
              <w:rPr>
                <w:rFonts w:hint="eastAsia" w:ascii="宋体" w:hAnsi="宋体" w:cs="宋体"/>
                <w:b/>
                <w:bCs/>
                <w:kern w:val="0"/>
                <w:sz w:val="24"/>
              </w:rPr>
            </w:pPr>
            <w:r>
              <w:rPr>
                <w:rFonts w:hint="eastAsia" w:ascii="宋体" w:hAnsi="宋体" w:cs="宋体"/>
                <w:b/>
                <w:bCs/>
                <w:kern w:val="0"/>
                <w:sz w:val="24"/>
              </w:rPr>
              <w:t>评审内容</w:t>
            </w:r>
          </w:p>
        </w:tc>
        <w:tc>
          <w:tcPr>
            <w:tcW w:w="551" w:type="dxa"/>
            <w:noWrap w:val="0"/>
            <w:vAlign w:val="center"/>
          </w:tcPr>
          <w:p w14:paraId="0A99B20A">
            <w:pPr>
              <w:widowControl/>
              <w:adjustRightInd w:val="0"/>
              <w:snapToGrid w:val="0"/>
              <w:jc w:val="center"/>
              <w:rPr>
                <w:rFonts w:hint="eastAsia" w:ascii="宋体" w:hAnsi="宋体" w:cs="宋体"/>
                <w:b/>
                <w:bCs/>
                <w:kern w:val="0"/>
                <w:sz w:val="24"/>
              </w:rPr>
            </w:pPr>
            <w:r>
              <w:rPr>
                <w:rFonts w:hint="eastAsia" w:ascii="宋体" w:hAnsi="宋体" w:cs="宋体"/>
                <w:b/>
                <w:bCs/>
                <w:kern w:val="0"/>
                <w:sz w:val="24"/>
              </w:rPr>
              <w:t>分值</w:t>
            </w:r>
          </w:p>
        </w:tc>
      </w:tr>
      <w:tr w14:paraId="1BFC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771" w:type="dxa"/>
            <w:noWrap w:val="0"/>
            <w:vAlign w:val="center"/>
          </w:tcPr>
          <w:p w14:paraId="7B277A9A">
            <w:pPr>
              <w:widowControl/>
              <w:adjustRightInd w:val="0"/>
              <w:snapToGrid w:val="0"/>
              <w:rPr>
                <w:rFonts w:hint="eastAsia" w:ascii="宋体" w:hAnsi="宋体" w:cs="宋体"/>
                <w:kern w:val="0"/>
                <w:sz w:val="24"/>
                <w:szCs w:val="24"/>
              </w:rPr>
            </w:pPr>
            <w:r>
              <w:rPr>
                <w:rFonts w:hint="eastAsia" w:ascii="宋体" w:hAnsi="宋体" w:cs="宋体"/>
                <w:kern w:val="0"/>
                <w:sz w:val="24"/>
                <w:szCs w:val="24"/>
              </w:rPr>
              <w:t>价格部分（10分）</w:t>
            </w:r>
          </w:p>
        </w:tc>
        <w:tc>
          <w:tcPr>
            <w:tcW w:w="653" w:type="dxa"/>
            <w:noWrap w:val="0"/>
            <w:vAlign w:val="center"/>
          </w:tcPr>
          <w:p w14:paraId="2A2F3AD7">
            <w:pPr>
              <w:widowControl/>
              <w:adjustRightInd w:val="0"/>
              <w:snapToGrid w:val="0"/>
              <w:rPr>
                <w:rFonts w:hint="eastAsia" w:ascii="宋体" w:hAnsi="宋体" w:cs="宋体"/>
                <w:kern w:val="0"/>
                <w:sz w:val="24"/>
                <w:szCs w:val="24"/>
              </w:rPr>
            </w:pPr>
            <w:r>
              <w:rPr>
                <w:rFonts w:hint="eastAsia" w:ascii="宋体" w:hAnsi="宋体" w:cs="宋体"/>
                <w:kern w:val="0"/>
                <w:sz w:val="24"/>
                <w:szCs w:val="24"/>
              </w:rPr>
              <w:t>投标报价</w:t>
            </w:r>
          </w:p>
        </w:tc>
        <w:tc>
          <w:tcPr>
            <w:tcW w:w="7189" w:type="dxa"/>
            <w:noWrap w:val="0"/>
            <w:vAlign w:val="center"/>
          </w:tcPr>
          <w:p w14:paraId="53B8E08A">
            <w:pPr>
              <w:widowControl/>
              <w:adjustRightInd w:val="0"/>
              <w:snapToGrid w:val="0"/>
              <w:rPr>
                <w:rFonts w:hint="eastAsia" w:ascii="宋体" w:hAnsi="宋体" w:cs="宋体"/>
                <w:kern w:val="0"/>
              </w:rPr>
            </w:pPr>
            <w:r>
              <w:rPr>
                <w:rFonts w:hint="eastAsia" w:ascii="宋体" w:hAnsi="宋体" w:cs="宋体"/>
                <w:kern w:val="0"/>
              </w:rPr>
              <w:t>价格分采用低价优先法计算，即满足本招标文件要求的最低投标报价为评标基准价，其价格分为满分，其它投标人的价格分统一按照下列公式计算：</w:t>
            </w:r>
          </w:p>
          <w:p w14:paraId="3D30527C">
            <w:pPr>
              <w:widowControl/>
              <w:adjustRightInd w:val="0"/>
              <w:snapToGrid w:val="0"/>
              <w:rPr>
                <w:rFonts w:hint="eastAsia" w:ascii="宋体" w:hAnsi="宋体" w:cs="宋体"/>
                <w:kern w:val="0"/>
              </w:rPr>
            </w:pPr>
            <w:r>
              <w:rPr>
                <w:rFonts w:hint="eastAsia" w:ascii="宋体" w:hAnsi="宋体" w:cs="宋体"/>
                <w:kern w:val="0"/>
              </w:rPr>
              <w:t>投标报价得分=（评标基准价／投标报价）×价格分分值（精确到小数点后两位）。</w:t>
            </w:r>
          </w:p>
          <w:p w14:paraId="7F825E69">
            <w:pPr>
              <w:widowControl/>
              <w:adjustRightInd w:val="0"/>
              <w:snapToGrid w:val="0"/>
              <w:rPr>
                <w:rFonts w:hint="eastAsia" w:ascii="宋体" w:hAnsi="宋体" w:cs="宋体"/>
                <w:kern w:val="0"/>
              </w:rPr>
            </w:pPr>
            <w:r>
              <w:rPr>
                <w:rFonts w:hint="eastAsia" w:ascii="宋体" w:hAnsi="宋体" w:cs="宋体"/>
                <w:kern w:val="0"/>
              </w:rPr>
              <w:t>超过采购项目预算或最高限价的，为无效投标。</w:t>
            </w:r>
          </w:p>
        </w:tc>
        <w:tc>
          <w:tcPr>
            <w:tcW w:w="551" w:type="dxa"/>
            <w:noWrap w:val="0"/>
            <w:vAlign w:val="center"/>
          </w:tcPr>
          <w:p w14:paraId="0B2B1D34">
            <w:pPr>
              <w:widowControl/>
              <w:adjustRightInd w:val="0"/>
              <w:snapToGrid w:val="0"/>
              <w:jc w:val="center"/>
              <w:rPr>
                <w:rFonts w:hint="eastAsia" w:ascii="宋体" w:hAnsi="宋体" w:cs="宋体"/>
                <w:kern w:val="0"/>
                <w:sz w:val="24"/>
                <w:szCs w:val="24"/>
              </w:rPr>
            </w:pPr>
            <w:r>
              <w:rPr>
                <w:rFonts w:hint="eastAsia" w:ascii="宋体" w:hAnsi="宋体" w:cs="宋体"/>
                <w:kern w:val="0"/>
                <w:sz w:val="24"/>
                <w:szCs w:val="24"/>
              </w:rPr>
              <w:t>10</w:t>
            </w:r>
          </w:p>
        </w:tc>
      </w:tr>
      <w:tr w14:paraId="4124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771" w:type="dxa"/>
            <w:vMerge w:val="restart"/>
            <w:noWrap w:val="0"/>
            <w:vAlign w:val="center"/>
          </w:tcPr>
          <w:p w14:paraId="3A166DC7">
            <w:pPr>
              <w:widowControl/>
              <w:adjustRightInd w:val="0"/>
              <w:snapToGrid w:val="0"/>
              <w:jc w:val="center"/>
              <w:rPr>
                <w:rFonts w:hint="eastAsia" w:ascii="宋体" w:hAnsi="宋体" w:cs="宋体"/>
                <w:kern w:val="0"/>
                <w:sz w:val="24"/>
                <w:szCs w:val="24"/>
              </w:rPr>
            </w:pPr>
            <w:bookmarkStart w:id="309" w:name="_GoBack" w:colFirst="1" w:colLast="2"/>
            <w:r>
              <w:rPr>
                <w:rFonts w:hint="eastAsia" w:ascii="宋体" w:hAnsi="宋体" w:cs="宋体"/>
                <w:kern w:val="0"/>
                <w:sz w:val="24"/>
                <w:szCs w:val="24"/>
              </w:rPr>
              <w:t>商务部分（</w:t>
            </w:r>
            <w:r>
              <w:rPr>
                <w:rFonts w:hint="eastAsia" w:ascii="宋体" w:hAnsi="宋体" w:cs="宋体"/>
                <w:kern w:val="0"/>
                <w:sz w:val="24"/>
                <w:szCs w:val="24"/>
                <w:lang w:val="en-US" w:eastAsia="zh-CN"/>
              </w:rPr>
              <w:t>15</w:t>
            </w:r>
            <w:r>
              <w:rPr>
                <w:rFonts w:hint="eastAsia" w:ascii="宋体" w:hAnsi="宋体" w:cs="宋体"/>
                <w:kern w:val="0"/>
                <w:sz w:val="24"/>
                <w:szCs w:val="24"/>
              </w:rPr>
              <w:t>分）</w:t>
            </w:r>
          </w:p>
        </w:tc>
        <w:tc>
          <w:tcPr>
            <w:tcW w:w="653" w:type="dxa"/>
            <w:noWrap w:val="0"/>
            <w:vAlign w:val="center"/>
          </w:tcPr>
          <w:p w14:paraId="29AB3B45">
            <w:pPr>
              <w:widowControl/>
              <w:adjustRightInd w:val="0"/>
              <w:snapToGrid w:val="0"/>
              <w:jc w:val="center"/>
              <w:rPr>
                <w:rFonts w:hint="eastAsia" w:ascii="宋体" w:hAnsi="宋体" w:cs="宋体"/>
                <w:kern w:val="0"/>
                <w:sz w:val="24"/>
                <w:szCs w:val="24"/>
              </w:rPr>
            </w:pPr>
            <w:r>
              <w:rPr>
                <w:rFonts w:hint="eastAsia" w:ascii="宋体" w:hAnsi="宋体" w:cs="宋体"/>
                <w:kern w:val="0"/>
                <w:sz w:val="24"/>
                <w:szCs w:val="24"/>
              </w:rPr>
              <w:t>企业资质</w:t>
            </w:r>
          </w:p>
        </w:tc>
        <w:tc>
          <w:tcPr>
            <w:tcW w:w="7189" w:type="dxa"/>
            <w:noWrap w:val="0"/>
            <w:vAlign w:val="center"/>
          </w:tcPr>
          <w:p w14:paraId="1DDA864D">
            <w:pPr>
              <w:widowControl/>
              <w:adjustRightInd w:val="0"/>
              <w:snapToGrid w:val="0"/>
              <w:rPr>
                <w:rFonts w:hint="eastAsia" w:ascii="宋体" w:hAnsi="宋体" w:cs="宋体"/>
                <w:kern w:val="0"/>
              </w:rPr>
            </w:pPr>
            <w:r>
              <w:rPr>
                <w:rFonts w:hint="eastAsia" w:ascii="宋体" w:hAnsi="宋体" w:cs="宋体"/>
                <w:kern w:val="0"/>
              </w:rPr>
              <w:t>投标人具备国家认可的专业机构或法定机构颁发的相关证书：</w:t>
            </w:r>
          </w:p>
          <w:p w14:paraId="38DD5DD4">
            <w:pPr>
              <w:widowControl/>
              <w:adjustRightInd w:val="0"/>
              <w:snapToGrid w:val="0"/>
              <w:rPr>
                <w:rFonts w:hint="eastAsia" w:ascii="宋体" w:hAnsi="宋体" w:cs="宋体"/>
                <w:kern w:val="0"/>
              </w:rPr>
            </w:pPr>
            <w:r>
              <w:rPr>
                <w:rFonts w:hint="eastAsia" w:ascii="宋体" w:hAnsi="宋体" w:cs="宋体"/>
                <w:kern w:val="0"/>
              </w:rPr>
              <w:t>1、大数据安全管理体系认证证书（GB/T 37973标准）；</w:t>
            </w:r>
          </w:p>
          <w:p w14:paraId="5A960A2C">
            <w:pPr>
              <w:widowControl/>
              <w:adjustRightInd w:val="0"/>
              <w:snapToGrid w:val="0"/>
              <w:rPr>
                <w:rFonts w:hint="eastAsia" w:ascii="宋体" w:hAnsi="宋体" w:cs="宋体"/>
                <w:kern w:val="0"/>
              </w:rPr>
            </w:pPr>
            <w:r>
              <w:rPr>
                <w:rFonts w:hint="eastAsia" w:ascii="宋体" w:hAnsi="宋体" w:cs="宋体"/>
                <w:kern w:val="0"/>
              </w:rPr>
              <w:t>2、关键信息基础设施安全保护认证证书（GB/T 39204标准）；</w:t>
            </w:r>
          </w:p>
          <w:p w14:paraId="7C4C2C63">
            <w:pPr>
              <w:widowControl/>
              <w:adjustRightInd w:val="0"/>
              <w:snapToGrid w:val="0"/>
              <w:rPr>
                <w:rFonts w:hint="eastAsia" w:ascii="宋体" w:hAnsi="宋体" w:cs="宋体"/>
                <w:kern w:val="0"/>
              </w:rPr>
            </w:pPr>
            <w:r>
              <w:rPr>
                <w:rFonts w:hint="eastAsia" w:ascii="宋体" w:hAnsi="宋体" w:cs="宋体"/>
                <w:kern w:val="0"/>
              </w:rPr>
              <w:t>3、ISO29151个人身份信息保护管理体系认证；</w:t>
            </w:r>
          </w:p>
          <w:p w14:paraId="174AF867">
            <w:pPr>
              <w:widowControl/>
              <w:adjustRightInd w:val="0"/>
              <w:snapToGrid w:val="0"/>
              <w:rPr>
                <w:rFonts w:hint="eastAsia" w:ascii="宋体" w:hAnsi="宋体" w:cs="宋体"/>
                <w:kern w:val="0"/>
              </w:rPr>
            </w:pPr>
            <w:r>
              <w:rPr>
                <w:rFonts w:hint="eastAsia" w:ascii="宋体" w:hAnsi="宋体" w:cs="宋体"/>
                <w:kern w:val="0"/>
              </w:rPr>
              <w:t>4、ISO20000信息技术服务管理体系认证；</w:t>
            </w:r>
          </w:p>
          <w:p w14:paraId="6F3B4B63">
            <w:pPr>
              <w:widowControl/>
              <w:adjustRightInd w:val="0"/>
              <w:snapToGrid w:val="0"/>
              <w:rPr>
                <w:rFonts w:hint="eastAsia" w:ascii="宋体" w:hAnsi="宋体" w:cs="宋体"/>
                <w:kern w:val="0"/>
              </w:rPr>
            </w:pPr>
            <w:r>
              <w:rPr>
                <w:rFonts w:hint="eastAsia" w:ascii="宋体" w:hAnsi="宋体" w:cs="宋体"/>
                <w:kern w:val="0"/>
                <w:lang w:val="en-US" w:eastAsia="zh-CN"/>
              </w:rPr>
              <w:t>5</w:t>
            </w:r>
            <w:r>
              <w:rPr>
                <w:rFonts w:hint="eastAsia" w:ascii="宋体" w:hAnsi="宋体" w:cs="宋体"/>
                <w:kern w:val="0"/>
              </w:rPr>
              <w:t>、合规管理体系认证证书（GB/T 35770标准）；</w:t>
            </w:r>
          </w:p>
          <w:p w14:paraId="5A3ABDA3">
            <w:pPr>
              <w:widowControl/>
              <w:adjustRightInd w:val="0"/>
              <w:snapToGrid w:val="0"/>
              <w:rPr>
                <w:rFonts w:hint="eastAsia" w:ascii="宋体" w:hAnsi="宋体" w:cs="宋体"/>
                <w:kern w:val="0"/>
              </w:rPr>
            </w:pPr>
          </w:p>
          <w:p w14:paraId="783183EE">
            <w:pPr>
              <w:widowControl/>
              <w:adjustRightInd w:val="0"/>
              <w:snapToGrid w:val="0"/>
              <w:rPr>
                <w:rFonts w:hint="eastAsia" w:ascii="宋体" w:hAnsi="宋体" w:cs="宋体"/>
                <w:kern w:val="0"/>
              </w:rPr>
            </w:pPr>
            <w:bookmarkStart w:id="258" w:name="OLE_LINK1"/>
            <w:r>
              <w:rPr>
                <w:rFonts w:hint="eastAsia" w:ascii="宋体" w:hAnsi="宋体" w:cs="宋体"/>
                <w:kern w:val="0"/>
              </w:rPr>
              <w:t>每提供一项证书得</w:t>
            </w:r>
            <w:r>
              <w:rPr>
                <w:rFonts w:hint="eastAsia" w:ascii="宋体" w:hAnsi="宋体" w:cs="宋体"/>
                <w:kern w:val="0"/>
                <w:lang w:val="en-US" w:eastAsia="zh-CN"/>
              </w:rPr>
              <w:t>2</w:t>
            </w:r>
            <w:r>
              <w:rPr>
                <w:rFonts w:hint="eastAsia" w:ascii="宋体" w:hAnsi="宋体" w:cs="宋体"/>
                <w:kern w:val="0"/>
              </w:rPr>
              <w:t>分，本项满分</w:t>
            </w:r>
            <w:r>
              <w:rPr>
                <w:rFonts w:hint="eastAsia" w:ascii="宋体" w:hAnsi="宋体" w:cs="宋体"/>
                <w:kern w:val="0"/>
                <w:lang w:val="en-US" w:eastAsia="zh-CN"/>
              </w:rPr>
              <w:t>10</w:t>
            </w:r>
            <w:r>
              <w:rPr>
                <w:rFonts w:hint="eastAsia" w:ascii="宋体" w:hAnsi="宋体" w:cs="宋体"/>
                <w:kern w:val="0"/>
              </w:rPr>
              <w:t>分。</w:t>
            </w:r>
            <w:bookmarkEnd w:id="258"/>
          </w:p>
          <w:p w14:paraId="475F9BAD">
            <w:pPr>
              <w:widowControl/>
              <w:adjustRightInd w:val="0"/>
              <w:snapToGrid w:val="0"/>
              <w:rPr>
                <w:rFonts w:hint="eastAsia" w:ascii="宋体" w:hAnsi="宋体" w:cs="宋体"/>
                <w:kern w:val="0"/>
              </w:rPr>
            </w:pPr>
            <w:r>
              <w:rPr>
                <w:rFonts w:hint="eastAsia" w:ascii="宋体" w:hAnsi="宋体" w:cs="宋体"/>
                <w:kern w:val="0"/>
              </w:rPr>
              <w:t>注：①以投标人提供的相关证书清晰扫描件为准,相关证书必须为有效期内，有效期外不得分。</w:t>
            </w:r>
            <w:r>
              <w:rPr>
                <w:rFonts w:hint="eastAsia" w:ascii="宋体" w:hAnsi="宋体" w:cs="宋体"/>
                <w:color w:val="000000"/>
                <w:kern w:val="0"/>
                <w:lang w:bidi="ar"/>
              </w:rPr>
              <w:t>②投标人应提供可</w:t>
            </w:r>
            <w:r>
              <w:rPr>
                <w:rFonts w:hint="eastAsia" w:ascii="宋体" w:hAnsi="宋体" w:cs="宋体"/>
                <w:kern w:val="0"/>
              </w:rPr>
              <w:t>在国家市场监督管理总局-全国认证认可信息公共服务平台（cx.cnca.cn）查询链接。</w:t>
            </w:r>
          </w:p>
        </w:tc>
        <w:tc>
          <w:tcPr>
            <w:tcW w:w="551" w:type="dxa"/>
            <w:noWrap w:val="0"/>
            <w:vAlign w:val="center"/>
          </w:tcPr>
          <w:p w14:paraId="696023BE">
            <w:pPr>
              <w:widowControl/>
              <w:adjustRightInd w:val="0"/>
              <w:snapToGrid w:val="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w:t>
            </w:r>
          </w:p>
        </w:tc>
      </w:tr>
      <w:bookmarkEnd w:id="309"/>
      <w:tr w14:paraId="0363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771" w:type="dxa"/>
            <w:vMerge w:val="continue"/>
            <w:noWrap w:val="0"/>
            <w:vAlign w:val="center"/>
          </w:tcPr>
          <w:p w14:paraId="2709F4B7">
            <w:pPr>
              <w:widowControl/>
              <w:adjustRightInd w:val="0"/>
              <w:snapToGrid w:val="0"/>
              <w:jc w:val="left"/>
              <w:rPr>
                <w:rFonts w:hint="eastAsia" w:ascii="宋体" w:hAnsi="宋体" w:cs="宋体"/>
                <w:kern w:val="0"/>
                <w:sz w:val="24"/>
                <w:szCs w:val="24"/>
              </w:rPr>
            </w:pPr>
          </w:p>
        </w:tc>
        <w:tc>
          <w:tcPr>
            <w:tcW w:w="653" w:type="dxa"/>
            <w:noWrap w:val="0"/>
            <w:vAlign w:val="center"/>
          </w:tcPr>
          <w:p w14:paraId="4E694EE2">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履约能力</w:t>
            </w:r>
          </w:p>
        </w:tc>
        <w:tc>
          <w:tcPr>
            <w:tcW w:w="7189" w:type="dxa"/>
            <w:noWrap w:val="0"/>
            <w:vAlign w:val="center"/>
          </w:tcPr>
          <w:p w14:paraId="6D1FD44F">
            <w:pPr>
              <w:widowControl w:val="0"/>
              <w:adjustRightInd w:val="0"/>
              <w:snapToGrid w:val="0"/>
              <w:spacing w:line="240" w:lineRule="auto"/>
              <w:ind w:firstLine="0" w:firstLineChars="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履约保障承诺：投标人应提供完整的项目履约保障、项目服务工期与进度保障、项目服务质量保障、人员配置保障、应急响应保障承诺。</w:t>
            </w:r>
          </w:p>
          <w:p w14:paraId="327DA8B6">
            <w:pPr>
              <w:widowControl w:val="0"/>
              <w:adjustRightInd w:val="0"/>
              <w:snapToGrid w:val="0"/>
              <w:spacing w:line="240" w:lineRule="auto"/>
              <w:ind w:firstLine="0" w:firstLineChars="0"/>
              <w:jc w:val="both"/>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每提供1项承诺得1分，满分5分。不承诺或不提供均不得分。</w:t>
            </w:r>
          </w:p>
        </w:tc>
        <w:tc>
          <w:tcPr>
            <w:tcW w:w="551" w:type="dxa"/>
            <w:noWrap w:val="0"/>
            <w:vAlign w:val="center"/>
          </w:tcPr>
          <w:p w14:paraId="3B23073A">
            <w:pPr>
              <w:adjustRightInd w:val="0"/>
              <w:snapToGrid w:val="0"/>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5</w:t>
            </w:r>
          </w:p>
        </w:tc>
      </w:tr>
      <w:tr w14:paraId="42A1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771" w:type="dxa"/>
            <w:vMerge w:val="restart"/>
            <w:noWrap w:val="0"/>
            <w:vAlign w:val="center"/>
          </w:tcPr>
          <w:p w14:paraId="0934225C">
            <w:pPr>
              <w:widowControl/>
              <w:adjustRightInd w:val="0"/>
              <w:snapToGrid w:val="0"/>
              <w:jc w:val="center"/>
              <w:rPr>
                <w:rFonts w:hint="eastAsia" w:ascii="宋体" w:hAnsi="宋体" w:cs="宋体"/>
                <w:kern w:val="0"/>
                <w:sz w:val="24"/>
                <w:szCs w:val="24"/>
              </w:rPr>
            </w:pPr>
            <w:r>
              <w:rPr>
                <w:rFonts w:hint="eastAsia" w:ascii="宋体" w:hAnsi="宋体" w:cs="宋体"/>
                <w:kern w:val="0"/>
                <w:sz w:val="24"/>
                <w:szCs w:val="24"/>
              </w:rPr>
              <w:t>技术部分（7</w:t>
            </w:r>
            <w:r>
              <w:rPr>
                <w:rFonts w:hint="eastAsia" w:ascii="宋体" w:hAnsi="宋体" w:cs="宋体"/>
                <w:kern w:val="0"/>
                <w:sz w:val="24"/>
                <w:szCs w:val="24"/>
                <w:lang w:val="en-US" w:eastAsia="zh-CN"/>
              </w:rPr>
              <w:t>5</w:t>
            </w:r>
            <w:r>
              <w:rPr>
                <w:rFonts w:hint="eastAsia" w:ascii="宋体" w:hAnsi="宋体" w:cs="宋体"/>
                <w:kern w:val="0"/>
                <w:sz w:val="24"/>
                <w:szCs w:val="24"/>
              </w:rPr>
              <w:t>分）</w:t>
            </w:r>
          </w:p>
        </w:tc>
        <w:tc>
          <w:tcPr>
            <w:tcW w:w="653" w:type="dxa"/>
            <w:tcBorders>
              <w:bottom w:val="single" w:color="auto" w:sz="4" w:space="0"/>
            </w:tcBorders>
            <w:noWrap w:val="0"/>
            <w:vAlign w:val="center"/>
          </w:tcPr>
          <w:p w14:paraId="134B1144">
            <w:pPr>
              <w:adjustRightInd w:val="0"/>
              <w:snapToGrid w:val="0"/>
              <w:jc w:val="center"/>
              <w:rPr>
                <w:rFonts w:hint="eastAsia" w:ascii="宋体" w:hAnsi="宋体" w:cs="宋体"/>
                <w:kern w:val="0"/>
                <w:sz w:val="24"/>
                <w:szCs w:val="24"/>
              </w:rPr>
            </w:pPr>
            <w:r>
              <w:rPr>
                <w:rFonts w:hint="eastAsia" w:ascii="宋体" w:hAnsi="宋体" w:cs="宋体"/>
                <w:kern w:val="0"/>
                <w:sz w:val="24"/>
                <w:szCs w:val="24"/>
              </w:rPr>
              <w:t>需求分析</w:t>
            </w:r>
          </w:p>
        </w:tc>
        <w:tc>
          <w:tcPr>
            <w:tcW w:w="7189" w:type="dxa"/>
            <w:tcBorders>
              <w:bottom w:val="single" w:color="auto" w:sz="4" w:space="0"/>
            </w:tcBorders>
            <w:noWrap w:val="0"/>
            <w:vAlign w:val="center"/>
          </w:tcPr>
          <w:p w14:paraId="535760ED">
            <w:pPr>
              <w:widowControl/>
              <w:adjustRightInd w:val="0"/>
              <w:snapToGrid w:val="0"/>
              <w:rPr>
                <w:rFonts w:hint="eastAsia" w:ascii="宋体" w:hAnsi="宋体" w:cs="宋体"/>
                <w:kern w:val="0"/>
              </w:rPr>
            </w:pPr>
            <w:r>
              <w:rPr>
                <w:rFonts w:hint="eastAsia" w:ascii="宋体" w:hAnsi="宋体" w:cs="宋体"/>
                <w:kern w:val="0"/>
              </w:rPr>
              <w:t>投标人需对自治区数据资源体系的建设现状、业务功能需求等方面进行现状与需求分析（包括以下6项内容：现状分析、存在问题分析、业务需求分析、用户需求分析、功能需求分析、本项目与一期项目的关系）。由评委进行评分：以上内容都包含且无缺陷得</w:t>
            </w:r>
            <w:r>
              <w:rPr>
                <w:rFonts w:hint="eastAsia" w:ascii="宋体" w:hAnsi="宋体" w:cs="宋体"/>
                <w:kern w:val="0"/>
                <w:lang w:val="en-US" w:eastAsia="zh-CN"/>
              </w:rPr>
              <w:t>6</w:t>
            </w:r>
            <w:r>
              <w:rPr>
                <w:rFonts w:hint="eastAsia" w:ascii="宋体" w:hAnsi="宋体" w:cs="宋体"/>
                <w:kern w:val="0"/>
              </w:rPr>
              <w:t>分；每缺少一项内容的扣1分；每有一处缺陷的扣0.5分；扣完为止，未提供不得分。</w:t>
            </w:r>
          </w:p>
          <w:p w14:paraId="4A236618">
            <w:pPr>
              <w:widowControl/>
              <w:adjustRightInd w:val="0"/>
              <w:snapToGrid w:val="0"/>
              <w:rPr>
                <w:rFonts w:ascii="宋体" w:hAnsi="宋体" w:cs="宋体"/>
                <w:kern w:val="0"/>
              </w:rPr>
            </w:pPr>
          </w:p>
          <w:p w14:paraId="70803675">
            <w:pPr>
              <w:widowControl/>
              <w:adjustRightInd w:val="0"/>
              <w:snapToGrid w:val="0"/>
              <w:rPr>
                <w:rFonts w:hint="eastAsia" w:ascii="宋体" w:hAnsi="宋体" w:cs="宋体"/>
                <w:kern w:val="0"/>
              </w:rPr>
            </w:pPr>
            <w:r>
              <w:rPr>
                <w:rFonts w:hint="eastAsia" w:ascii="宋体" w:hAnsi="宋体" w:cs="宋体"/>
                <w:kern w:val="0"/>
              </w:rPr>
              <w:t>缺陷定义与描述：“缺陷”是指方案生搬硬套，与实际情况明显不符；或存在与项目明显无关的文字内容；或内容不适用项目的实际情况；或对采购需求理解缺位混乱；或描述的内容混乱，重点不突出；或内容缺失不完善，可操作性较差；或凭空编造，内容矛盾，前后逻辑错误；或适用(引用)的规范及标准错误或已废止；或地点区域错误；或项目名称错误等。</w:t>
            </w:r>
          </w:p>
        </w:tc>
        <w:tc>
          <w:tcPr>
            <w:tcW w:w="551" w:type="dxa"/>
            <w:tcBorders>
              <w:bottom w:val="single" w:color="auto" w:sz="4" w:space="0"/>
            </w:tcBorders>
            <w:noWrap w:val="0"/>
            <w:vAlign w:val="center"/>
          </w:tcPr>
          <w:p w14:paraId="150E49AA">
            <w:pPr>
              <w:adjustRightInd w:val="0"/>
              <w:snapToGrid w:val="0"/>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6</w:t>
            </w:r>
          </w:p>
        </w:tc>
      </w:tr>
      <w:tr w14:paraId="3755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vMerge w:val="continue"/>
            <w:noWrap w:val="0"/>
            <w:vAlign w:val="center"/>
          </w:tcPr>
          <w:p w14:paraId="607AD01F">
            <w:pPr>
              <w:adjustRightInd w:val="0"/>
              <w:snapToGrid w:val="0"/>
              <w:jc w:val="left"/>
              <w:rPr>
                <w:rFonts w:hint="eastAsia" w:ascii="宋体" w:hAnsi="宋体" w:cs="宋体"/>
                <w:kern w:val="0"/>
                <w:sz w:val="24"/>
                <w:szCs w:val="24"/>
              </w:rPr>
            </w:pPr>
          </w:p>
        </w:tc>
        <w:tc>
          <w:tcPr>
            <w:tcW w:w="653" w:type="dxa"/>
            <w:noWrap w:val="0"/>
            <w:vAlign w:val="center"/>
          </w:tcPr>
          <w:p w14:paraId="6E224D4B">
            <w:pPr>
              <w:widowControl/>
              <w:adjustRightInd w:val="0"/>
              <w:snapToGrid w:val="0"/>
              <w:jc w:val="center"/>
              <w:rPr>
                <w:rFonts w:hint="eastAsia" w:ascii="宋体" w:hAnsi="宋体" w:eastAsia="宋体" w:cs="宋体"/>
                <w:kern w:val="0"/>
                <w:sz w:val="24"/>
                <w:szCs w:val="24"/>
                <w:lang w:val="en-US" w:eastAsia="zh-CN"/>
              </w:rPr>
            </w:pPr>
            <w:r>
              <w:rPr>
                <w:rFonts w:hint="eastAsia" w:ascii="宋体" w:hAnsi="宋体" w:cs="宋体"/>
                <w:color w:val="000000"/>
                <w:kern w:val="0"/>
                <w:sz w:val="24"/>
                <w:szCs w:val="24"/>
                <w:lang w:bidi="ar"/>
              </w:rPr>
              <w:t>总体设计</w:t>
            </w:r>
            <w:r>
              <w:rPr>
                <w:rFonts w:hint="eastAsia" w:ascii="宋体" w:hAnsi="宋体" w:cs="宋体"/>
                <w:color w:val="000000"/>
                <w:kern w:val="0"/>
                <w:sz w:val="24"/>
                <w:szCs w:val="24"/>
                <w:lang w:val="en-US" w:eastAsia="zh-CN" w:bidi="ar"/>
              </w:rPr>
              <w:t>方案</w:t>
            </w:r>
          </w:p>
        </w:tc>
        <w:tc>
          <w:tcPr>
            <w:tcW w:w="7189" w:type="dxa"/>
            <w:noWrap w:val="0"/>
            <w:vAlign w:val="center"/>
          </w:tcPr>
          <w:p w14:paraId="47044C07">
            <w:pPr>
              <w:widowControl/>
              <w:adjustRightInd w:val="0"/>
              <w:snapToGrid w:val="0"/>
              <w:jc w:val="left"/>
              <w:textAlignment w:val="center"/>
              <w:rPr>
                <w:rFonts w:ascii="宋体" w:hAnsi="宋体" w:cs="宋体"/>
                <w:color w:val="000000"/>
                <w:kern w:val="0"/>
                <w:lang w:bidi="ar"/>
              </w:rPr>
            </w:pPr>
            <w:r>
              <w:rPr>
                <w:rFonts w:hint="eastAsia" w:ascii="宋体" w:hAnsi="宋体" w:cs="宋体"/>
                <w:color w:val="000000"/>
                <w:kern w:val="0"/>
                <w:lang w:bidi="ar"/>
              </w:rPr>
              <w:t>投标人需提供本项目的总体架构设计（包括以下4项内容：技术架构、数据架构、功能架构、业务架构的详细架构图及设计说明）。由评委进行评分：以上内容都包含且无缺陷得4分；每缺少一项内容的扣1分；每有一处缺陷的扣0.5分；扣完为止，未提供不得分。</w:t>
            </w:r>
          </w:p>
          <w:p w14:paraId="209C30E5">
            <w:pPr>
              <w:widowControl/>
              <w:adjustRightInd w:val="0"/>
              <w:snapToGrid w:val="0"/>
              <w:jc w:val="left"/>
              <w:textAlignment w:val="center"/>
              <w:rPr>
                <w:rFonts w:ascii="宋体" w:hAnsi="宋体" w:cs="宋体"/>
                <w:color w:val="000000"/>
                <w:kern w:val="0"/>
                <w:lang w:bidi="ar"/>
              </w:rPr>
            </w:pPr>
          </w:p>
          <w:p w14:paraId="43B2A823">
            <w:pPr>
              <w:widowControl/>
              <w:adjustRightInd w:val="0"/>
              <w:snapToGrid w:val="0"/>
              <w:rPr>
                <w:rFonts w:hint="eastAsia" w:ascii="宋体" w:hAnsi="宋体" w:cs="宋体"/>
                <w:kern w:val="0"/>
              </w:rPr>
            </w:pPr>
            <w:r>
              <w:rPr>
                <w:rFonts w:hint="eastAsia" w:ascii="宋体" w:hAnsi="宋体" w:cs="宋体"/>
                <w:color w:val="000000"/>
                <w:kern w:val="0"/>
                <w:lang w:bidi="ar"/>
              </w:rPr>
              <w:t>缺陷定义与描述：“缺陷”是指方案生搬硬套，与实际情况明显不符；或存在与项目明显无关的文字内容；或内容不适用项目的实际情况；或对采购需求理解缺位混乱；或描述的内容混乱，重点不突出；或内容缺失不完善，可操作性较差；或凭空编造，内容矛盾，前后逻辑错误；或适用(引用)的规范及标准错误或已废止；或地点区域错误；或项目名称错误等。</w:t>
            </w:r>
          </w:p>
        </w:tc>
        <w:tc>
          <w:tcPr>
            <w:tcW w:w="562" w:type="dxa"/>
            <w:gridSpan w:val="2"/>
            <w:noWrap w:val="0"/>
            <w:vAlign w:val="center"/>
          </w:tcPr>
          <w:p w14:paraId="4CE0C13F">
            <w:pPr>
              <w:widowControl/>
              <w:adjustRightInd w:val="0"/>
              <w:snapToGrid w:val="0"/>
              <w:jc w:val="center"/>
              <w:rPr>
                <w:rFonts w:hint="eastAsia" w:ascii="宋体" w:hAnsi="宋体" w:cs="宋体"/>
                <w:kern w:val="0"/>
                <w:sz w:val="24"/>
                <w:szCs w:val="24"/>
              </w:rPr>
            </w:pPr>
            <w:r>
              <w:rPr>
                <w:rFonts w:hint="eastAsia" w:ascii="宋体" w:hAnsi="宋体" w:cs="宋体"/>
                <w:kern w:val="0"/>
                <w:sz w:val="24"/>
                <w:szCs w:val="24"/>
              </w:rPr>
              <w:t>4</w:t>
            </w:r>
          </w:p>
        </w:tc>
      </w:tr>
      <w:tr w14:paraId="31F5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vMerge w:val="continue"/>
            <w:noWrap w:val="0"/>
            <w:vAlign w:val="center"/>
          </w:tcPr>
          <w:p w14:paraId="24787566">
            <w:pPr>
              <w:adjustRightInd w:val="0"/>
              <w:snapToGrid w:val="0"/>
              <w:jc w:val="left"/>
              <w:rPr>
                <w:rFonts w:hint="eastAsia" w:ascii="宋体" w:hAnsi="宋体" w:cs="宋体"/>
                <w:kern w:val="0"/>
                <w:sz w:val="24"/>
                <w:szCs w:val="24"/>
              </w:rPr>
            </w:pPr>
          </w:p>
        </w:tc>
        <w:tc>
          <w:tcPr>
            <w:tcW w:w="653" w:type="dxa"/>
            <w:noWrap w:val="0"/>
            <w:vAlign w:val="center"/>
          </w:tcPr>
          <w:p w14:paraId="558293E0">
            <w:pPr>
              <w:widowControl/>
              <w:adjustRightInd w:val="0"/>
              <w:snapToGrid w:val="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软件系统建设方案</w:t>
            </w:r>
          </w:p>
        </w:tc>
        <w:tc>
          <w:tcPr>
            <w:tcW w:w="7189" w:type="dxa"/>
            <w:noWrap w:val="0"/>
            <w:vAlign w:val="center"/>
          </w:tcPr>
          <w:p w14:paraId="01AA90AC">
            <w:pPr>
              <w:widowControl/>
              <w:adjustRightInd w:val="0"/>
              <w:snapToGrid w:val="0"/>
              <w:jc w:val="left"/>
              <w:textAlignment w:val="center"/>
              <w:rPr>
                <w:rFonts w:ascii="宋体" w:hAnsi="宋体" w:cs="宋体"/>
                <w:color w:val="000000"/>
                <w:kern w:val="0"/>
                <w:lang w:bidi="ar"/>
              </w:rPr>
            </w:pPr>
            <w:r>
              <w:rPr>
                <w:rFonts w:hint="eastAsia" w:ascii="宋体" w:hAnsi="宋体" w:cs="宋体"/>
                <w:color w:val="000000"/>
                <w:kern w:val="0"/>
                <w:lang w:bidi="ar"/>
              </w:rPr>
              <w:t>投标人需提供本项目涉及的</w:t>
            </w:r>
            <w:r>
              <w:rPr>
                <w:rFonts w:hint="eastAsia" w:ascii="宋体" w:hAnsi="宋体" w:cs="宋体"/>
                <w:color w:val="000000"/>
                <w:kern w:val="0"/>
                <w:lang w:val="en-US" w:eastAsia="zh-CN" w:bidi="ar"/>
              </w:rPr>
              <w:t>软件</w:t>
            </w:r>
            <w:r>
              <w:rPr>
                <w:rFonts w:hint="eastAsia" w:ascii="宋体" w:hAnsi="宋体" w:cs="宋体"/>
                <w:color w:val="000000"/>
                <w:kern w:val="0"/>
                <w:lang w:bidi="ar"/>
              </w:rPr>
              <w:t>系统建设方案（包含以下4项内容：系统功能方案、技术服务方案、测试方案、项目管理策略）。由评委进行评分：以上内容都包含且无缺陷得8分；每缺少一项内容的扣2分；每有一处缺陷的扣1分；扣完为止，未提供不得分。</w:t>
            </w:r>
          </w:p>
          <w:p w14:paraId="1B43B632">
            <w:pPr>
              <w:widowControl/>
              <w:adjustRightInd w:val="0"/>
              <w:snapToGrid w:val="0"/>
              <w:jc w:val="left"/>
              <w:textAlignment w:val="center"/>
              <w:rPr>
                <w:rFonts w:ascii="宋体" w:hAnsi="宋体" w:cs="宋体"/>
                <w:color w:val="000000"/>
                <w:kern w:val="0"/>
                <w:lang w:bidi="ar"/>
              </w:rPr>
            </w:pPr>
          </w:p>
          <w:p w14:paraId="28D8FE5A">
            <w:pPr>
              <w:widowControl/>
              <w:adjustRightInd w:val="0"/>
              <w:snapToGrid w:val="0"/>
              <w:rPr>
                <w:rFonts w:hint="eastAsia" w:ascii="宋体" w:hAnsi="宋体" w:cs="宋体"/>
                <w:kern w:val="0"/>
              </w:rPr>
            </w:pPr>
            <w:r>
              <w:rPr>
                <w:rFonts w:hint="eastAsia" w:ascii="宋体" w:hAnsi="宋体" w:cs="宋体"/>
                <w:color w:val="000000"/>
                <w:kern w:val="0"/>
                <w:lang w:bidi="ar"/>
              </w:rPr>
              <w:t>缺陷定义与描述：“缺陷”是指方案生搬硬套，与实际情况明显不符；或存在与项目明显无关的文字内容；或内容不适用项目的实际情况；或对采购需求理解缺位混乱；或描述的内容混乱，重点不突出；或内容缺失不完善，可操作性较差；或凭空编造，内容矛盾，前后逻辑错误；或适用(引用)的规范及标准错误或已废止；或地点区域错误；或项目名称错误等。</w:t>
            </w:r>
          </w:p>
        </w:tc>
        <w:tc>
          <w:tcPr>
            <w:tcW w:w="562" w:type="dxa"/>
            <w:gridSpan w:val="2"/>
            <w:noWrap w:val="0"/>
            <w:vAlign w:val="center"/>
          </w:tcPr>
          <w:p w14:paraId="16BA8ACE">
            <w:pPr>
              <w:widowControl/>
              <w:adjustRightInd w:val="0"/>
              <w:snapToGrid w:val="0"/>
              <w:jc w:val="center"/>
              <w:rPr>
                <w:rFonts w:hint="eastAsia" w:ascii="宋体" w:hAnsi="宋体" w:cs="宋体"/>
                <w:kern w:val="0"/>
                <w:sz w:val="24"/>
                <w:szCs w:val="24"/>
              </w:rPr>
            </w:pPr>
            <w:r>
              <w:rPr>
                <w:rFonts w:hint="eastAsia" w:ascii="宋体" w:hAnsi="宋体" w:cs="宋体"/>
                <w:kern w:val="0"/>
                <w:sz w:val="24"/>
                <w:szCs w:val="24"/>
              </w:rPr>
              <w:t>8</w:t>
            </w:r>
          </w:p>
        </w:tc>
      </w:tr>
      <w:tr w14:paraId="6934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vMerge w:val="continue"/>
            <w:noWrap w:val="0"/>
            <w:vAlign w:val="center"/>
          </w:tcPr>
          <w:p w14:paraId="0CD36C14">
            <w:pPr>
              <w:adjustRightInd w:val="0"/>
              <w:snapToGrid w:val="0"/>
              <w:jc w:val="left"/>
              <w:rPr>
                <w:rFonts w:hint="eastAsia" w:ascii="宋体" w:hAnsi="宋体" w:cs="宋体"/>
                <w:kern w:val="0"/>
                <w:sz w:val="24"/>
                <w:szCs w:val="24"/>
              </w:rPr>
            </w:pPr>
          </w:p>
        </w:tc>
        <w:tc>
          <w:tcPr>
            <w:tcW w:w="653" w:type="dxa"/>
            <w:noWrap w:val="0"/>
            <w:vAlign w:val="center"/>
          </w:tcPr>
          <w:p w14:paraId="415DAFA1">
            <w:pPr>
              <w:widowControl/>
              <w:adjustRightInd w:val="0"/>
              <w:snapToGrid w:val="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数据运营方案</w:t>
            </w:r>
          </w:p>
        </w:tc>
        <w:tc>
          <w:tcPr>
            <w:tcW w:w="7189" w:type="dxa"/>
            <w:noWrap w:val="0"/>
            <w:vAlign w:val="center"/>
          </w:tcPr>
          <w:p w14:paraId="06C7D0A8">
            <w:pPr>
              <w:widowControl/>
              <w:adjustRightInd w:val="0"/>
              <w:snapToGrid w:val="0"/>
              <w:jc w:val="left"/>
              <w:textAlignment w:val="center"/>
              <w:rPr>
                <w:rFonts w:ascii="宋体" w:hAnsi="宋体" w:cs="宋体"/>
                <w:color w:val="000000"/>
                <w:kern w:val="0"/>
                <w:lang w:bidi="ar"/>
              </w:rPr>
            </w:pPr>
            <w:r>
              <w:rPr>
                <w:rFonts w:hint="eastAsia" w:ascii="宋体" w:hAnsi="宋体" w:cs="宋体"/>
                <w:color w:val="000000"/>
                <w:kern w:val="0"/>
                <w:lang w:bidi="ar"/>
              </w:rPr>
              <w:t>投标人需提供本项目涉及的数据运营方案（包含以下10项内容：①整体管理方案目标、②运营团队管理、③数据目录标准化服务、④数据治理和质量管理、⑤数据模型服务方案、⑥基础库建设、⑦主题库建设、⑧专题库建设、⑨公共数据开放运营、⑩高质量数据集运营）。由评委进行评分：以上内容都包含且无缺陷得</w:t>
            </w:r>
            <w:r>
              <w:rPr>
                <w:rFonts w:hint="eastAsia" w:ascii="宋体" w:hAnsi="宋体" w:cs="宋体"/>
                <w:color w:val="000000"/>
                <w:kern w:val="0"/>
                <w:lang w:val="en-US" w:eastAsia="zh-CN" w:bidi="ar"/>
              </w:rPr>
              <w:t>15</w:t>
            </w:r>
            <w:r>
              <w:rPr>
                <w:rFonts w:hint="eastAsia" w:ascii="宋体" w:hAnsi="宋体" w:cs="宋体"/>
                <w:color w:val="000000"/>
                <w:kern w:val="0"/>
                <w:lang w:bidi="ar"/>
              </w:rPr>
              <w:t>分；每缺少一项内容的扣</w:t>
            </w:r>
            <w:r>
              <w:rPr>
                <w:rFonts w:hint="eastAsia" w:ascii="宋体" w:hAnsi="宋体" w:cs="宋体"/>
                <w:color w:val="000000"/>
                <w:kern w:val="0"/>
                <w:lang w:val="en-US" w:eastAsia="zh-CN" w:bidi="ar"/>
              </w:rPr>
              <w:t>1.5</w:t>
            </w:r>
            <w:r>
              <w:rPr>
                <w:rFonts w:hint="eastAsia" w:ascii="宋体" w:hAnsi="宋体" w:cs="宋体"/>
                <w:color w:val="000000"/>
                <w:kern w:val="0"/>
                <w:lang w:bidi="ar"/>
              </w:rPr>
              <w:t>分；每有一处缺陷的扣0.5分；扣完为止，未提供不得分。</w:t>
            </w:r>
          </w:p>
          <w:p w14:paraId="77E0FC46">
            <w:pPr>
              <w:widowControl/>
              <w:adjustRightInd w:val="0"/>
              <w:snapToGrid w:val="0"/>
              <w:jc w:val="left"/>
              <w:textAlignment w:val="center"/>
              <w:rPr>
                <w:rFonts w:ascii="宋体" w:hAnsi="宋体" w:cs="宋体"/>
                <w:color w:val="000000"/>
                <w:kern w:val="0"/>
                <w:lang w:bidi="ar"/>
              </w:rPr>
            </w:pPr>
          </w:p>
          <w:p w14:paraId="7BAF04D9">
            <w:pPr>
              <w:widowControl/>
              <w:adjustRightInd w:val="0"/>
              <w:snapToGrid w:val="0"/>
              <w:rPr>
                <w:rFonts w:hint="eastAsia" w:ascii="宋体" w:hAnsi="宋体" w:cs="宋体"/>
                <w:kern w:val="0"/>
              </w:rPr>
            </w:pPr>
            <w:r>
              <w:rPr>
                <w:rFonts w:hint="eastAsia" w:ascii="宋体" w:hAnsi="宋体" w:cs="宋体"/>
                <w:color w:val="000000"/>
                <w:kern w:val="0"/>
                <w:lang w:bidi="ar"/>
              </w:rPr>
              <w:t>缺陷定义与描述：“缺陷”是指方案生搬硬套，与实际情况明显不符；或存在与项目明显无关的文字内容；或内容不适用项目的实际情况；或对采购需求理解缺位混乱；或描述的内容混乱，重点不突出；或内容缺失不完善，可操作性较差；或凭空编造，内容矛盾，前后逻辑错误；或适用(引用)的规范及标准错误或已废止；或地点区域错误；或项目名称错误等。</w:t>
            </w:r>
          </w:p>
        </w:tc>
        <w:tc>
          <w:tcPr>
            <w:tcW w:w="562" w:type="dxa"/>
            <w:gridSpan w:val="2"/>
            <w:noWrap w:val="0"/>
            <w:vAlign w:val="center"/>
          </w:tcPr>
          <w:p w14:paraId="2B7C5C96">
            <w:pPr>
              <w:widowControl/>
              <w:adjustRightInd w:val="0"/>
              <w:snapToGrid w:val="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15</w:t>
            </w:r>
          </w:p>
        </w:tc>
      </w:tr>
      <w:tr w14:paraId="02FA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vMerge w:val="continue"/>
            <w:noWrap w:val="0"/>
            <w:vAlign w:val="center"/>
          </w:tcPr>
          <w:p w14:paraId="01CB274F">
            <w:pPr>
              <w:adjustRightInd w:val="0"/>
              <w:snapToGrid w:val="0"/>
              <w:jc w:val="left"/>
              <w:rPr>
                <w:rFonts w:hint="eastAsia" w:ascii="宋体" w:hAnsi="宋体" w:cs="宋体"/>
                <w:kern w:val="0"/>
                <w:sz w:val="24"/>
                <w:szCs w:val="24"/>
              </w:rPr>
            </w:pPr>
          </w:p>
        </w:tc>
        <w:tc>
          <w:tcPr>
            <w:tcW w:w="653" w:type="dxa"/>
            <w:noWrap w:val="0"/>
            <w:vAlign w:val="center"/>
          </w:tcPr>
          <w:p w14:paraId="046A5746">
            <w:pPr>
              <w:widowControl/>
              <w:adjustRightInd w:val="0"/>
              <w:snapToGrid w:val="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系统功能演示</w:t>
            </w:r>
          </w:p>
        </w:tc>
        <w:tc>
          <w:tcPr>
            <w:tcW w:w="7189" w:type="dxa"/>
            <w:noWrap w:val="0"/>
            <w:vAlign w:val="center"/>
          </w:tcPr>
          <w:p w14:paraId="5171D9F1">
            <w:pPr>
              <w:widowControl/>
              <w:adjustRightInd w:val="0"/>
              <w:snapToGrid w:val="0"/>
              <w:jc w:val="left"/>
              <w:textAlignment w:val="center"/>
              <w:rPr>
                <w:rFonts w:hint="eastAsia" w:ascii="宋体" w:hAnsi="宋体" w:cs="宋体"/>
                <w:color w:val="000000"/>
                <w:kern w:val="0"/>
                <w:lang w:bidi="ar"/>
              </w:rPr>
            </w:pPr>
            <w:r>
              <w:rPr>
                <w:rFonts w:hint="eastAsia" w:ascii="宋体" w:hAnsi="宋体" w:cs="宋体"/>
                <w:color w:val="000000"/>
                <w:kern w:val="0"/>
                <w:lang w:bidi="ar"/>
              </w:rPr>
              <w:t>投标人进行系统功能演示，要求使用腾讯会议方式演示真实系统或demo，开标时将通知投标代表。限时20分钟内完成，超时将被要求停止。未参与演示的、不符合演示方式或演示内容要求的，该项不得分。投标人需提前准备好相关软件环境，自备电脑等其他相关演示设备，确保接口齐全。</w:t>
            </w:r>
          </w:p>
          <w:p w14:paraId="7D709B5F">
            <w:pPr>
              <w:widowControl/>
              <w:adjustRightInd w:val="0"/>
              <w:snapToGrid w:val="0"/>
              <w:jc w:val="left"/>
              <w:textAlignment w:val="center"/>
              <w:rPr>
                <w:rFonts w:hint="eastAsia" w:ascii="宋体" w:hAnsi="宋体" w:cs="宋体"/>
                <w:color w:val="000000"/>
                <w:kern w:val="0"/>
                <w:lang w:bidi="ar"/>
              </w:rPr>
            </w:pPr>
            <w:r>
              <w:rPr>
                <w:rFonts w:hint="eastAsia" w:ascii="宋体" w:hAnsi="宋体" w:cs="宋体"/>
                <w:color w:val="000000"/>
                <w:kern w:val="0"/>
                <w:lang w:bidi="ar"/>
              </w:rPr>
              <w:t>具体演示内容包括以下7个场景：</w:t>
            </w:r>
          </w:p>
          <w:p w14:paraId="62D5D465">
            <w:pPr>
              <w:widowControl/>
              <w:adjustRightInd w:val="0"/>
              <w:snapToGrid w:val="0"/>
              <w:jc w:val="left"/>
              <w:textAlignment w:val="center"/>
              <w:rPr>
                <w:rFonts w:hint="eastAsia" w:ascii="宋体" w:hAnsi="宋体" w:cs="宋体"/>
                <w:color w:val="000000"/>
                <w:kern w:val="0"/>
                <w:lang w:bidi="ar"/>
              </w:rPr>
            </w:pPr>
            <w:r>
              <w:rPr>
                <w:rFonts w:hint="eastAsia" w:ascii="宋体" w:hAnsi="宋体" w:cs="宋体"/>
                <w:color w:val="000000"/>
                <w:kern w:val="0"/>
                <w:lang w:bidi="ar"/>
              </w:rPr>
              <w:t>（一）多模态数据集处理演示（1分）</w:t>
            </w:r>
          </w:p>
          <w:p w14:paraId="2796199D">
            <w:pPr>
              <w:widowControl/>
              <w:adjustRightInd w:val="0"/>
              <w:snapToGrid w:val="0"/>
              <w:jc w:val="left"/>
              <w:textAlignment w:val="center"/>
              <w:rPr>
                <w:rFonts w:hint="eastAsia" w:ascii="宋体" w:hAnsi="宋体" w:cs="宋体"/>
                <w:color w:val="000000"/>
                <w:kern w:val="0"/>
                <w:lang w:bidi="ar"/>
              </w:rPr>
            </w:pPr>
            <w:r>
              <w:rPr>
                <w:rFonts w:hint="eastAsia" w:ascii="宋体" w:hAnsi="宋体" w:cs="宋体"/>
                <w:color w:val="000000"/>
                <w:kern w:val="0"/>
                <w:lang w:bidi="ar"/>
              </w:rPr>
              <w:t>1、演示一站式多模态处理环境，可支持结构化数据、非结构化数据、半结构化数据的数据处理、流程调度和生产运维；对文本数据、图像数据、音频数据、视频数据等多种模态数据处理，支持提取、清洗、去重、转换一系列数据规范化处理功能。</w:t>
            </w:r>
          </w:p>
          <w:p w14:paraId="2E144364">
            <w:pPr>
              <w:widowControl/>
              <w:adjustRightInd w:val="0"/>
              <w:snapToGrid w:val="0"/>
              <w:jc w:val="left"/>
              <w:textAlignment w:val="center"/>
              <w:rPr>
                <w:rFonts w:hint="eastAsia" w:ascii="宋体" w:hAnsi="宋体" w:cs="宋体"/>
                <w:color w:val="000000"/>
                <w:kern w:val="0"/>
                <w:lang w:bidi="ar"/>
              </w:rPr>
            </w:pPr>
            <w:r>
              <w:rPr>
                <w:rFonts w:hint="eastAsia" w:ascii="宋体" w:hAnsi="宋体" w:cs="宋体"/>
                <w:color w:val="000000"/>
                <w:kern w:val="0"/>
                <w:lang w:bidi="ar"/>
              </w:rPr>
              <w:t>（二）多模态数据管理（2分）</w:t>
            </w:r>
          </w:p>
          <w:p w14:paraId="47849AD3">
            <w:pPr>
              <w:widowControl/>
              <w:adjustRightInd w:val="0"/>
              <w:snapToGrid w:val="0"/>
              <w:jc w:val="left"/>
              <w:textAlignment w:val="center"/>
              <w:rPr>
                <w:rFonts w:hint="eastAsia" w:ascii="宋体" w:hAnsi="宋体" w:cs="宋体"/>
                <w:color w:val="000000"/>
                <w:kern w:val="0"/>
                <w:lang w:bidi="ar"/>
              </w:rPr>
            </w:pPr>
            <w:r>
              <w:rPr>
                <w:rFonts w:hint="eastAsia" w:ascii="宋体" w:hAnsi="宋体" w:cs="宋体"/>
                <w:color w:val="000000"/>
                <w:kern w:val="0"/>
                <w:lang w:bidi="ar"/>
              </w:rPr>
              <w:t>1、演示数据集全生命周期管理功能，包括创建、编辑、标注、质检、发布、删除能力；以及数据集详情查看、数据预览功能；将数据治理后的标准库表数据发布成数据集。</w:t>
            </w:r>
          </w:p>
          <w:p w14:paraId="401D2448">
            <w:pPr>
              <w:widowControl/>
              <w:adjustRightInd w:val="0"/>
              <w:snapToGrid w:val="0"/>
              <w:jc w:val="left"/>
              <w:textAlignment w:val="center"/>
              <w:rPr>
                <w:rFonts w:hint="eastAsia" w:ascii="宋体" w:hAnsi="宋体" w:cs="宋体"/>
                <w:color w:val="000000"/>
                <w:kern w:val="0"/>
                <w:lang w:bidi="ar"/>
              </w:rPr>
            </w:pPr>
            <w:r>
              <w:rPr>
                <w:rFonts w:hint="eastAsia" w:ascii="宋体" w:hAnsi="宋体" w:cs="宋体"/>
                <w:color w:val="000000"/>
                <w:kern w:val="0"/>
                <w:lang w:bidi="ar"/>
              </w:rPr>
              <w:t>2、演示数据标注任务管理功能，展示标注任务增删改、标注流程控制、标注标签配置、标注进度可视化跟踪的全过程。</w:t>
            </w:r>
          </w:p>
          <w:p w14:paraId="191839E5">
            <w:pPr>
              <w:widowControl/>
              <w:adjustRightInd w:val="0"/>
              <w:snapToGrid w:val="0"/>
              <w:jc w:val="left"/>
              <w:textAlignment w:val="center"/>
              <w:rPr>
                <w:rFonts w:hint="eastAsia" w:ascii="宋体" w:hAnsi="宋体" w:cs="宋体"/>
                <w:color w:val="000000"/>
                <w:kern w:val="0"/>
                <w:lang w:bidi="ar"/>
              </w:rPr>
            </w:pPr>
            <w:r>
              <w:rPr>
                <w:rFonts w:hint="eastAsia" w:ascii="宋体" w:hAnsi="宋体" w:cs="宋体"/>
                <w:color w:val="000000"/>
                <w:kern w:val="0"/>
                <w:lang w:bidi="ar"/>
              </w:rPr>
              <w:t>（三）高质量数据集标注功能演示（4分）</w:t>
            </w:r>
          </w:p>
          <w:p w14:paraId="3D3B2B77">
            <w:pPr>
              <w:widowControl/>
              <w:adjustRightInd w:val="0"/>
              <w:snapToGrid w:val="0"/>
              <w:jc w:val="left"/>
              <w:textAlignment w:val="center"/>
              <w:rPr>
                <w:rFonts w:hint="eastAsia" w:ascii="宋体" w:hAnsi="宋体" w:cs="宋体"/>
                <w:color w:val="000000"/>
                <w:kern w:val="0"/>
                <w:lang w:bidi="ar"/>
              </w:rPr>
            </w:pPr>
            <w:r>
              <w:rPr>
                <w:rFonts w:hint="eastAsia" w:ascii="宋体" w:hAnsi="宋体" w:cs="宋体"/>
                <w:color w:val="000000"/>
                <w:kern w:val="0"/>
                <w:lang w:bidi="ar"/>
              </w:rPr>
              <w:t>1、演示智能标注功能，可灵活对标注操作页面可视化配置，适应不同的标注场景和标注习惯；支持批量智能标注和交互式标注两种方式；支持标注操作的快捷键控制。</w:t>
            </w:r>
          </w:p>
          <w:p w14:paraId="3C7A13A1">
            <w:pPr>
              <w:widowControl/>
              <w:adjustRightInd w:val="0"/>
              <w:snapToGrid w:val="0"/>
              <w:jc w:val="left"/>
              <w:textAlignment w:val="center"/>
              <w:rPr>
                <w:rFonts w:hint="eastAsia" w:ascii="宋体" w:hAnsi="宋体" w:cs="宋体"/>
                <w:color w:val="000000"/>
                <w:kern w:val="0"/>
                <w:lang w:bidi="ar"/>
              </w:rPr>
            </w:pPr>
            <w:r>
              <w:rPr>
                <w:rFonts w:hint="eastAsia" w:ascii="宋体" w:hAnsi="宋体" w:cs="宋体"/>
                <w:color w:val="000000"/>
                <w:kern w:val="0"/>
                <w:lang w:bidi="ar"/>
              </w:rPr>
              <w:t>2、演示对文本数据集标注功能，展示问答对标注、文本分类的全过程操作。</w:t>
            </w:r>
          </w:p>
          <w:p w14:paraId="33973DC4">
            <w:pPr>
              <w:widowControl/>
              <w:adjustRightInd w:val="0"/>
              <w:snapToGrid w:val="0"/>
              <w:jc w:val="left"/>
              <w:textAlignment w:val="center"/>
              <w:rPr>
                <w:rFonts w:hint="eastAsia" w:ascii="宋体" w:hAnsi="宋体" w:cs="宋体"/>
                <w:color w:val="000000"/>
                <w:kern w:val="0"/>
                <w:lang w:bidi="ar"/>
              </w:rPr>
            </w:pPr>
            <w:r>
              <w:rPr>
                <w:rFonts w:hint="eastAsia" w:ascii="宋体" w:hAnsi="宋体" w:cs="宋体"/>
                <w:color w:val="000000"/>
                <w:kern w:val="0"/>
                <w:lang w:bidi="ar"/>
              </w:rPr>
              <w:t>3、演示对图像数据集标注功能，展示目标检测、图像字符识别（OCR）、图片分类的全过程操作。</w:t>
            </w:r>
          </w:p>
          <w:p w14:paraId="1E637D1D">
            <w:pPr>
              <w:widowControl/>
              <w:adjustRightInd w:val="0"/>
              <w:snapToGrid w:val="0"/>
              <w:jc w:val="left"/>
              <w:textAlignment w:val="center"/>
              <w:rPr>
                <w:rFonts w:hint="eastAsia" w:ascii="宋体" w:hAnsi="宋体" w:cs="宋体"/>
                <w:color w:val="000000"/>
                <w:kern w:val="0"/>
                <w:lang w:bidi="ar"/>
              </w:rPr>
            </w:pPr>
            <w:r>
              <w:rPr>
                <w:rFonts w:hint="eastAsia" w:ascii="宋体" w:hAnsi="宋体" w:cs="宋体"/>
                <w:color w:val="000000"/>
                <w:kern w:val="0"/>
                <w:lang w:bidi="ar"/>
              </w:rPr>
              <w:t>4、演示对音频数据集标注功能，展示语音情感标注的全过程操作；演示对视频数据集标注功能，展示视频分类的全过程操作。</w:t>
            </w:r>
          </w:p>
          <w:p w14:paraId="19BBA876">
            <w:pPr>
              <w:widowControl/>
              <w:adjustRightInd w:val="0"/>
              <w:snapToGrid w:val="0"/>
              <w:jc w:val="left"/>
              <w:textAlignment w:val="center"/>
              <w:rPr>
                <w:rFonts w:ascii="宋体" w:hAnsi="宋体" w:cs="宋体"/>
                <w:color w:val="000000"/>
                <w:kern w:val="0"/>
                <w:lang w:bidi="ar"/>
              </w:rPr>
            </w:pPr>
          </w:p>
          <w:p w14:paraId="015276C0">
            <w:pPr>
              <w:widowControl/>
              <w:adjustRightInd w:val="0"/>
              <w:snapToGrid w:val="0"/>
              <w:jc w:val="left"/>
              <w:textAlignment w:val="center"/>
              <w:rPr>
                <w:rFonts w:hint="eastAsia" w:ascii="宋体" w:hAnsi="宋体" w:cs="宋体"/>
                <w:color w:val="000000"/>
                <w:kern w:val="0"/>
                <w:lang w:bidi="ar"/>
              </w:rPr>
            </w:pPr>
            <w:r>
              <w:rPr>
                <w:rFonts w:hint="eastAsia" w:ascii="宋体" w:hAnsi="宋体" w:cs="宋体"/>
                <w:color w:val="000000"/>
                <w:kern w:val="0"/>
                <w:lang w:bidi="ar"/>
              </w:rPr>
              <w:t xml:space="preserve">评分标准： </w:t>
            </w:r>
          </w:p>
          <w:p w14:paraId="31056F1D">
            <w:pPr>
              <w:widowControl/>
              <w:adjustRightInd w:val="0"/>
              <w:snapToGrid w:val="0"/>
              <w:jc w:val="left"/>
              <w:textAlignment w:val="center"/>
              <w:rPr>
                <w:rFonts w:hint="eastAsia" w:ascii="宋体" w:hAnsi="宋体" w:cs="宋体"/>
                <w:color w:val="000000"/>
                <w:kern w:val="0"/>
                <w:lang w:bidi="ar"/>
              </w:rPr>
            </w:pPr>
            <w:r>
              <w:rPr>
                <w:rFonts w:hint="eastAsia" w:ascii="宋体" w:hAnsi="宋体" w:cs="宋体"/>
                <w:color w:val="000000"/>
                <w:kern w:val="0"/>
                <w:lang w:bidi="ar"/>
              </w:rPr>
              <w:t xml:space="preserve">1、每提供上述一个场景的演示内容且满足上述演示要求的，得1分，满分7分； </w:t>
            </w:r>
          </w:p>
          <w:p w14:paraId="1DE85F94">
            <w:pPr>
              <w:widowControl/>
              <w:adjustRightInd w:val="0"/>
              <w:snapToGrid w:val="0"/>
              <w:jc w:val="left"/>
              <w:textAlignment w:val="center"/>
              <w:rPr>
                <w:rFonts w:hint="eastAsia" w:ascii="宋体" w:hAnsi="宋体" w:cs="宋体"/>
                <w:color w:val="000000"/>
                <w:kern w:val="0"/>
                <w:lang w:bidi="ar"/>
              </w:rPr>
            </w:pPr>
            <w:r>
              <w:rPr>
                <w:rFonts w:hint="eastAsia" w:ascii="宋体" w:hAnsi="宋体" w:cs="宋体"/>
                <w:color w:val="000000"/>
                <w:kern w:val="0"/>
                <w:lang w:bidi="ar"/>
              </w:rPr>
              <w:t>2、提供内容不满足上述演示要求或不提供的，不得分。</w:t>
            </w:r>
          </w:p>
        </w:tc>
        <w:tc>
          <w:tcPr>
            <w:tcW w:w="562" w:type="dxa"/>
            <w:gridSpan w:val="2"/>
            <w:noWrap w:val="0"/>
            <w:vAlign w:val="center"/>
          </w:tcPr>
          <w:p w14:paraId="4ABBE463">
            <w:pPr>
              <w:widowControl/>
              <w:adjustRightInd w:val="0"/>
              <w:snapToGrid w:val="0"/>
              <w:jc w:val="center"/>
              <w:rPr>
                <w:rFonts w:hint="eastAsia" w:ascii="宋体" w:hAnsi="宋体" w:cs="宋体"/>
                <w:kern w:val="0"/>
                <w:sz w:val="24"/>
                <w:szCs w:val="24"/>
              </w:rPr>
            </w:pPr>
            <w:r>
              <w:rPr>
                <w:rFonts w:hint="eastAsia" w:ascii="宋体" w:hAnsi="宋体" w:cs="宋体"/>
                <w:kern w:val="0"/>
                <w:sz w:val="24"/>
                <w:szCs w:val="24"/>
              </w:rPr>
              <w:t>7</w:t>
            </w:r>
          </w:p>
        </w:tc>
      </w:tr>
      <w:tr w14:paraId="5323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vMerge w:val="continue"/>
            <w:noWrap w:val="0"/>
            <w:vAlign w:val="center"/>
          </w:tcPr>
          <w:p w14:paraId="6EF0E5E3">
            <w:pPr>
              <w:adjustRightInd w:val="0"/>
              <w:snapToGrid w:val="0"/>
              <w:jc w:val="left"/>
              <w:rPr>
                <w:rFonts w:hint="eastAsia" w:ascii="宋体" w:hAnsi="宋体" w:cs="宋体"/>
                <w:kern w:val="0"/>
                <w:sz w:val="24"/>
                <w:szCs w:val="24"/>
              </w:rPr>
            </w:pPr>
          </w:p>
        </w:tc>
        <w:tc>
          <w:tcPr>
            <w:tcW w:w="653" w:type="dxa"/>
            <w:vMerge w:val="restart"/>
            <w:noWrap w:val="0"/>
            <w:vAlign w:val="center"/>
          </w:tcPr>
          <w:p w14:paraId="02D44B75">
            <w:pPr>
              <w:widowControl/>
              <w:adjustRightInd w:val="0"/>
              <w:snapToGrid w:val="0"/>
              <w:jc w:val="center"/>
              <w:rPr>
                <w:rFonts w:hint="eastAsia" w:ascii="宋体" w:hAnsi="宋体" w:cs="宋体"/>
                <w:kern w:val="0"/>
                <w:sz w:val="24"/>
                <w:szCs w:val="24"/>
              </w:rPr>
            </w:pPr>
            <w:r>
              <w:rPr>
                <w:rFonts w:hint="eastAsia" w:ascii="宋体" w:hAnsi="宋体" w:cs="宋体"/>
                <w:kern w:val="0"/>
                <w:sz w:val="24"/>
                <w:szCs w:val="24"/>
              </w:rPr>
              <w:t>实施方案</w:t>
            </w:r>
          </w:p>
        </w:tc>
        <w:tc>
          <w:tcPr>
            <w:tcW w:w="7189" w:type="dxa"/>
            <w:noWrap w:val="0"/>
            <w:vAlign w:val="center"/>
          </w:tcPr>
          <w:p w14:paraId="517B263E">
            <w:pPr>
              <w:widowControl/>
              <w:adjustRightInd w:val="0"/>
              <w:snapToGrid w:val="0"/>
              <w:jc w:val="left"/>
              <w:textAlignment w:val="center"/>
              <w:rPr>
                <w:rFonts w:ascii="宋体" w:hAnsi="宋体" w:cs="宋体"/>
                <w:color w:val="000000"/>
                <w:kern w:val="0"/>
                <w:lang w:bidi="ar"/>
              </w:rPr>
            </w:pPr>
            <w:r>
              <w:rPr>
                <w:rFonts w:hint="eastAsia" w:ascii="宋体" w:hAnsi="宋体" w:cs="宋体"/>
                <w:color w:val="000000"/>
                <w:kern w:val="0"/>
                <w:lang w:bidi="ar"/>
              </w:rPr>
              <w:t>投标人需提供本项目详细的实施方案，实施方案包括以下8项内容：①组织与管理保障、②项目人员组织、③文档管理、④实施进度计划、⑤质量控制、⑥风险管理、⑦系统测试方案、⑧验收方案等内容，由评委进行评分：以上内容都包含且无缺陷得8分；每缺少一项内容的扣1分；每有一处缺陷的扣0.5分；扣完为止，未提供不得分。</w:t>
            </w:r>
          </w:p>
          <w:p w14:paraId="51E61B32">
            <w:pPr>
              <w:widowControl/>
              <w:adjustRightInd w:val="0"/>
              <w:snapToGrid w:val="0"/>
              <w:jc w:val="left"/>
              <w:textAlignment w:val="center"/>
              <w:rPr>
                <w:rFonts w:ascii="宋体" w:hAnsi="宋体" w:cs="宋体"/>
                <w:color w:val="000000"/>
                <w:kern w:val="0"/>
                <w:lang w:bidi="ar"/>
              </w:rPr>
            </w:pPr>
          </w:p>
          <w:p w14:paraId="7CE50102">
            <w:pPr>
              <w:widowControl/>
              <w:adjustRightInd w:val="0"/>
              <w:snapToGrid w:val="0"/>
              <w:rPr>
                <w:rFonts w:hint="eastAsia" w:ascii="宋体" w:hAnsi="宋体" w:cs="宋体"/>
                <w:kern w:val="0"/>
              </w:rPr>
            </w:pPr>
            <w:r>
              <w:rPr>
                <w:rFonts w:hint="eastAsia" w:ascii="宋体" w:hAnsi="宋体" w:cs="宋体"/>
                <w:color w:val="000000"/>
                <w:kern w:val="0"/>
                <w:lang w:bidi="ar"/>
              </w:rPr>
              <w:t>缺陷定义与描述：“缺陷”是指方案生搬硬套，与实际情况明显不符；或存在与项目明显无关的文字内容；或内容不适用项目的实际情况；或对采购需求理解缺位混乱；或描述的内容混乱，重点不突出；或内容缺失不完善，可操作性较差；或凭空编造，内容矛盾，前后逻辑错误；或适用(引用)的规范及标准错误或已废止；或地点区域错误；或项目名称错误等。</w:t>
            </w:r>
          </w:p>
        </w:tc>
        <w:tc>
          <w:tcPr>
            <w:tcW w:w="562" w:type="dxa"/>
            <w:gridSpan w:val="2"/>
            <w:noWrap w:val="0"/>
            <w:vAlign w:val="center"/>
          </w:tcPr>
          <w:p w14:paraId="3F7787D6">
            <w:pPr>
              <w:widowControl/>
              <w:adjustRightInd w:val="0"/>
              <w:snapToGrid w:val="0"/>
              <w:jc w:val="center"/>
              <w:rPr>
                <w:rFonts w:hint="eastAsia" w:ascii="宋体" w:hAnsi="宋体" w:cs="宋体"/>
                <w:kern w:val="0"/>
                <w:sz w:val="24"/>
                <w:szCs w:val="24"/>
              </w:rPr>
            </w:pPr>
            <w:r>
              <w:rPr>
                <w:rFonts w:hint="eastAsia" w:ascii="宋体" w:hAnsi="宋体" w:cs="宋体"/>
                <w:kern w:val="0"/>
                <w:sz w:val="24"/>
                <w:szCs w:val="24"/>
              </w:rPr>
              <w:t>8</w:t>
            </w:r>
          </w:p>
        </w:tc>
      </w:tr>
      <w:tr w14:paraId="6BBC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vMerge w:val="continue"/>
            <w:noWrap w:val="0"/>
            <w:vAlign w:val="center"/>
          </w:tcPr>
          <w:p w14:paraId="592B741C">
            <w:pPr>
              <w:adjustRightInd w:val="0"/>
              <w:snapToGrid w:val="0"/>
              <w:jc w:val="left"/>
              <w:rPr>
                <w:rFonts w:hint="eastAsia" w:ascii="宋体" w:hAnsi="宋体" w:cs="宋体"/>
                <w:kern w:val="0"/>
                <w:sz w:val="24"/>
                <w:szCs w:val="24"/>
              </w:rPr>
            </w:pPr>
          </w:p>
        </w:tc>
        <w:tc>
          <w:tcPr>
            <w:tcW w:w="653" w:type="dxa"/>
            <w:vMerge w:val="continue"/>
            <w:noWrap w:val="0"/>
            <w:vAlign w:val="center"/>
          </w:tcPr>
          <w:p w14:paraId="77E66FAE">
            <w:pPr>
              <w:widowControl/>
              <w:adjustRightInd w:val="0"/>
              <w:snapToGrid w:val="0"/>
              <w:jc w:val="center"/>
              <w:rPr>
                <w:rFonts w:hint="eastAsia" w:ascii="宋体" w:hAnsi="宋体" w:cs="宋体"/>
                <w:kern w:val="0"/>
                <w:sz w:val="24"/>
                <w:szCs w:val="24"/>
              </w:rPr>
            </w:pPr>
          </w:p>
        </w:tc>
        <w:tc>
          <w:tcPr>
            <w:tcW w:w="7189" w:type="dxa"/>
            <w:noWrap w:val="0"/>
            <w:vAlign w:val="center"/>
          </w:tcPr>
          <w:p w14:paraId="328FFDE6">
            <w:pPr>
              <w:widowControl/>
              <w:adjustRightInd w:val="0"/>
              <w:snapToGrid w:val="0"/>
              <w:jc w:val="left"/>
              <w:textAlignment w:val="center"/>
              <w:rPr>
                <w:rFonts w:ascii="宋体" w:hAnsi="宋体" w:cs="宋体"/>
                <w:color w:val="000000"/>
                <w:kern w:val="0"/>
                <w:lang w:bidi="ar"/>
              </w:rPr>
            </w:pPr>
            <w:r>
              <w:rPr>
                <w:rFonts w:hint="eastAsia" w:ascii="宋体" w:hAnsi="宋体" w:cs="宋体"/>
                <w:color w:val="000000"/>
                <w:kern w:val="0"/>
                <w:lang w:bidi="ar"/>
              </w:rPr>
              <w:t>投标人需提供本项目的培训方案（包括以下5项内容：①培训计划、②培训课程清单、③培训的管理与执行、④培训质量控制、⑤培训考核）。由评委进行评分：以上内容都包含且无缺陷得5分；每缺少一项内容的扣1分；每有一处缺陷的扣0.5分；扣完为止，未提供不得分。</w:t>
            </w:r>
          </w:p>
          <w:p w14:paraId="1C22B258">
            <w:pPr>
              <w:widowControl/>
              <w:adjustRightInd w:val="0"/>
              <w:snapToGrid w:val="0"/>
              <w:jc w:val="left"/>
              <w:textAlignment w:val="center"/>
              <w:rPr>
                <w:rFonts w:ascii="宋体" w:hAnsi="宋体" w:cs="宋体"/>
                <w:color w:val="000000"/>
                <w:kern w:val="0"/>
                <w:lang w:bidi="ar"/>
              </w:rPr>
            </w:pPr>
          </w:p>
          <w:p w14:paraId="7C5B4C12">
            <w:pPr>
              <w:widowControl/>
              <w:adjustRightInd w:val="0"/>
              <w:snapToGrid w:val="0"/>
              <w:rPr>
                <w:rFonts w:hint="eastAsia" w:ascii="宋体" w:hAnsi="宋体" w:cs="宋体"/>
                <w:kern w:val="0"/>
              </w:rPr>
            </w:pPr>
            <w:r>
              <w:rPr>
                <w:rFonts w:hint="eastAsia" w:ascii="宋体" w:hAnsi="宋体" w:cs="宋体"/>
                <w:color w:val="000000"/>
                <w:kern w:val="0"/>
                <w:lang w:bidi="ar"/>
              </w:rPr>
              <w:t>缺陷定义与描述：“缺陷”是指方案生搬硬套，与实际情况明显不符；或存在与项目明显无关的文字内容；或内容不适用项目的实际情况；或对采购需求理解缺位混乱；或描述的内容混乱，重点不突出；或内容缺失不完善，可操作性较差；或凭空编造，内容矛盾，前后逻辑错误；或适用(引用)的规范及标准错误或已废止；或地点区域错误；或项目名称错误等。</w:t>
            </w:r>
          </w:p>
        </w:tc>
        <w:tc>
          <w:tcPr>
            <w:tcW w:w="562" w:type="dxa"/>
            <w:gridSpan w:val="2"/>
            <w:noWrap w:val="0"/>
            <w:vAlign w:val="center"/>
          </w:tcPr>
          <w:p w14:paraId="74443FD3">
            <w:pPr>
              <w:widowControl/>
              <w:adjustRightInd w:val="0"/>
              <w:snapToGrid w:val="0"/>
              <w:jc w:val="center"/>
              <w:rPr>
                <w:rFonts w:hint="eastAsia" w:ascii="宋体" w:hAnsi="宋体" w:cs="宋体"/>
                <w:kern w:val="0"/>
                <w:sz w:val="24"/>
                <w:szCs w:val="24"/>
              </w:rPr>
            </w:pPr>
            <w:r>
              <w:rPr>
                <w:rFonts w:hint="eastAsia" w:ascii="宋体" w:hAnsi="宋体" w:cs="宋体"/>
                <w:kern w:val="0"/>
                <w:sz w:val="24"/>
                <w:szCs w:val="24"/>
              </w:rPr>
              <w:t>5</w:t>
            </w:r>
          </w:p>
        </w:tc>
      </w:tr>
      <w:tr w14:paraId="4DA1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vMerge w:val="continue"/>
            <w:noWrap w:val="0"/>
            <w:vAlign w:val="center"/>
          </w:tcPr>
          <w:p w14:paraId="48655D2F">
            <w:pPr>
              <w:adjustRightInd w:val="0"/>
              <w:snapToGrid w:val="0"/>
              <w:jc w:val="left"/>
              <w:rPr>
                <w:rFonts w:hint="eastAsia" w:ascii="宋体" w:hAnsi="宋体" w:cs="宋体"/>
                <w:kern w:val="0"/>
                <w:sz w:val="24"/>
                <w:szCs w:val="24"/>
              </w:rPr>
            </w:pPr>
          </w:p>
        </w:tc>
        <w:tc>
          <w:tcPr>
            <w:tcW w:w="653" w:type="dxa"/>
            <w:vMerge w:val="continue"/>
            <w:noWrap w:val="0"/>
            <w:vAlign w:val="center"/>
          </w:tcPr>
          <w:p w14:paraId="2C24C667">
            <w:pPr>
              <w:widowControl/>
              <w:adjustRightInd w:val="0"/>
              <w:snapToGrid w:val="0"/>
              <w:jc w:val="center"/>
              <w:rPr>
                <w:rFonts w:hint="eastAsia" w:ascii="宋体" w:hAnsi="宋体" w:cs="宋体"/>
                <w:kern w:val="0"/>
                <w:sz w:val="24"/>
                <w:szCs w:val="24"/>
              </w:rPr>
            </w:pPr>
          </w:p>
        </w:tc>
        <w:tc>
          <w:tcPr>
            <w:tcW w:w="7189" w:type="dxa"/>
            <w:noWrap w:val="0"/>
            <w:vAlign w:val="center"/>
          </w:tcPr>
          <w:p w14:paraId="05C08282">
            <w:pPr>
              <w:widowControl/>
              <w:adjustRightInd w:val="0"/>
              <w:snapToGrid w:val="0"/>
              <w:jc w:val="left"/>
              <w:textAlignment w:val="center"/>
              <w:rPr>
                <w:rFonts w:ascii="宋体" w:hAnsi="宋体" w:cs="宋体"/>
                <w:color w:val="000000"/>
                <w:kern w:val="0"/>
                <w:lang w:bidi="ar"/>
              </w:rPr>
            </w:pPr>
            <w:r>
              <w:rPr>
                <w:rFonts w:hint="eastAsia" w:ascii="宋体" w:hAnsi="宋体" w:cs="宋体"/>
                <w:color w:val="000000"/>
                <w:kern w:val="0"/>
                <w:lang w:bidi="ar"/>
              </w:rPr>
              <w:t>投标人需提供本项目的售后服务方案（包括以下4项内容：①售后服务承诺、②应急预案、③售后管理制度、④运维服务流程规范）。由评委进行评分：以上内容都包含且无缺陷得4分；每缺少一项内容的扣1分；每有一处缺陷的扣0.5分；扣完为止，未提供不得分。</w:t>
            </w:r>
          </w:p>
          <w:p w14:paraId="7CF3516F">
            <w:pPr>
              <w:widowControl/>
              <w:adjustRightInd w:val="0"/>
              <w:snapToGrid w:val="0"/>
              <w:jc w:val="left"/>
              <w:textAlignment w:val="center"/>
              <w:rPr>
                <w:rFonts w:ascii="宋体" w:hAnsi="宋体" w:cs="宋体"/>
                <w:color w:val="000000"/>
                <w:kern w:val="0"/>
                <w:lang w:bidi="ar"/>
              </w:rPr>
            </w:pPr>
          </w:p>
          <w:p w14:paraId="403D839B">
            <w:pPr>
              <w:widowControl/>
              <w:adjustRightInd w:val="0"/>
              <w:snapToGrid w:val="0"/>
              <w:rPr>
                <w:rFonts w:hint="eastAsia" w:ascii="宋体" w:hAnsi="宋体" w:cs="宋体"/>
                <w:kern w:val="0"/>
              </w:rPr>
            </w:pPr>
            <w:r>
              <w:rPr>
                <w:rFonts w:hint="eastAsia" w:ascii="宋体" w:hAnsi="宋体" w:cs="宋体"/>
                <w:color w:val="000000"/>
                <w:kern w:val="0"/>
                <w:lang w:bidi="ar"/>
              </w:rPr>
              <w:t>缺陷定义与描述：“缺陷”是指方案生搬硬套，与实际情况明显不符；或存在与项目明显无关的文字内容；或内容不适用项目的实际情况；或对采购需求理解缺位混乱；或描述的内容混乱，重点不突出；或内容缺失不完善，可操作性较差；或凭空编造，内容矛盾，前后逻辑错误；或适用(引用)的规范及标准错误或已废止；或地点区域错误；或项目名称错误等。</w:t>
            </w:r>
          </w:p>
        </w:tc>
        <w:tc>
          <w:tcPr>
            <w:tcW w:w="562" w:type="dxa"/>
            <w:gridSpan w:val="2"/>
            <w:noWrap w:val="0"/>
            <w:vAlign w:val="center"/>
          </w:tcPr>
          <w:p w14:paraId="29F8355C">
            <w:pPr>
              <w:widowControl/>
              <w:adjustRightInd w:val="0"/>
              <w:snapToGrid w:val="0"/>
              <w:jc w:val="center"/>
              <w:rPr>
                <w:rFonts w:hint="eastAsia" w:ascii="宋体" w:hAnsi="宋体" w:cs="宋体"/>
                <w:kern w:val="0"/>
                <w:sz w:val="24"/>
                <w:szCs w:val="24"/>
              </w:rPr>
            </w:pPr>
            <w:r>
              <w:rPr>
                <w:rFonts w:hint="eastAsia" w:ascii="宋体" w:hAnsi="宋体" w:cs="宋体"/>
                <w:kern w:val="0"/>
                <w:sz w:val="24"/>
                <w:szCs w:val="24"/>
              </w:rPr>
              <w:t>4</w:t>
            </w:r>
          </w:p>
        </w:tc>
      </w:tr>
      <w:tr w14:paraId="2F34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771" w:type="dxa"/>
            <w:vMerge w:val="continue"/>
            <w:noWrap w:val="0"/>
            <w:vAlign w:val="center"/>
          </w:tcPr>
          <w:p w14:paraId="4EB3BC5F">
            <w:pPr>
              <w:adjustRightInd w:val="0"/>
              <w:snapToGrid w:val="0"/>
              <w:jc w:val="left"/>
              <w:rPr>
                <w:rFonts w:hint="eastAsia" w:ascii="宋体" w:hAnsi="宋体" w:cs="宋体"/>
                <w:kern w:val="0"/>
                <w:sz w:val="24"/>
                <w:szCs w:val="24"/>
              </w:rPr>
            </w:pPr>
          </w:p>
        </w:tc>
        <w:tc>
          <w:tcPr>
            <w:tcW w:w="653" w:type="dxa"/>
            <w:noWrap w:val="0"/>
            <w:vAlign w:val="center"/>
          </w:tcPr>
          <w:p w14:paraId="69E67E99">
            <w:pPr>
              <w:adjustRightInd w:val="0"/>
              <w:snapToGrid w:val="0"/>
              <w:jc w:val="center"/>
              <w:rPr>
                <w:rFonts w:hint="eastAsia" w:ascii="宋体" w:hAnsi="宋体" w:cs="宋体"/>
                <w:kern w:val="0"/>
                <w:sz w:val="24"/>
                <w:szCs w:val="24"/>
              </w:rPr>
            </w:pPr>
            <w:r>
              <w:rPr>
                <w:rFonts w:hint="eastAsia" w:ascii="宋体" w:hAnsi="宋体" w:cs="宋体"/>
                <w:kern w:val="0"/>
                <w:sz w:val="24"/>
                <w:szCs w:val="24"/>
              </w:rPr>
              <w:t>人员配置</w:t>
            </w:r>
          </w:p>
          <w:p w14:paraId="670D2B8D">
            <w:pPr>
              <w:adjustRightInd w:val="0"/>
              <w:snapToGrid w:val="0"/>
              <w:jc w:val="center"/>
              <w:rPr>
                <w:rFonts w:hint="eastAsia" w:ascii="宋体" w:hAnsi="宋体" w:cs="宋体"/>
                <w:kern w:val="0"/>
                <w:sz w:val="24"/>
                <w:szCs w:val="24"/>
              </w:rPr>
            </w:pPr>
          </w:p>
        </w:tc>
        <w:tc>
          <w:tcPr>
            <w:tcW w:w="7189" w:type="dxa"/>
            <w:noWrap w:val="0"/>
            <w:vAlign w:val="center"/>
          </w:tcPr>
          <w:p w14:paraId="4596BCBD">
            <w:pPr>
              <w:widowControl/>
              <w:adjustRightInd w:val="0"/>
              <w:snapToGrid w:val="0"/>
              <w:rPr>
                <w:rFonts w:hint="eastAsia" w:ascii="宋体" w:hAnsi="宋体" w:cs="宋体"/>
                <w:kern w:val="0"/>
              </w:rPr>
            </w:pPr>
            <w:r>
              <w:rPr>
                <w:rFonts w:hint="eastAsia" w:ascii="宋体" w:hAnsi="宋体" w:cs="宋体"/>
                <w:kern w:val="0"/>
              </w:rPr>
              <w:t>1、项目管理组：</w:t>
            </w:r>
          </w:p>
          <w:p w14:paraId="298D4F64">
            <w:pPr>
              <w:widowControl/>
              <w:adjustRightInd w:val="0"/>
              <w:snapToGrid w:val="0"/>
              <w:rPr>
                <w:rFonts w:hint="eastAsia" w:ascii="宋体" w:hAnsi="宋体" w:cs="宋体"/>
                <w:kern w:val="0"/>
              </w:rPr>
            </w:pPr>
            <w:r>
              <w:rPr>
                <w:rFonts w:hint="eastAsia" w:ascii="宋体" w:hAnsi="宋体" w:cs="宋体"/>
                <w:kern w:val="0"/>
              </w:rPr>
              <w:t>1）项目经理（1人）：</w:t>
            </w:r>
          </w:p>
          <w:p w14:paraId="3FB7161D">
            <w:pPr>
              <w:widowControl/>
              <w:adjustRightInd w:val="0"/>
              <w:snapToGrid w:val="0"/>
              <w:rPr>
                <w:rFonts w:hint="eastAsia" w:ascii="宋体" w:hAnsi="宋体" w:cs="宋体"/>
                <w:kern w:val="0"/>
              </w:rPr>
            </w:pPr>
            <w:r>
              <w:rPr>
                <w:rFonts w:hint="eastAsia" w:ascii="宋体" w:hAnsi="宋体" w:cs="宋体"/>
                <w:kern w:val="0"/>
              </w:rPr>
              <w:t>应具备由国家或省级人力资源和社会保障部门、工业和信息化部门颁发的计算机技术与软件专业技术资格证书：系统分析师证书（高级）、系统规划与管理师证书（高级）、系统架构设计师（高级）</w:t>
            </w:r>
          </w:p>
          <w:p w14:paraId="0B8D2DAC">
            <w:pPr>
              <w:widowControl/>
              <w:adjustRightInd w:val="0"/>
              <w:snapToGrid w:val="0"/>
              <w:rPr>
                <w:rFonts w:hint="eastAsia" w:ascii="宋体" w:hAnsi="宋体" w:cs="宋体"/>
                <w:kern w:val="0"/>
              </w:rPr>
            </w:pPr>
            <w:r>
              <w:rPr>
                <w:rFonts w:hint="eastAsia" w:ascii="宋体" w:hAnsi="宋体" w:cs="宋体"/>
                <w:kern w:val="0"/>
              </w:rPr>
              <w:t>①提供3项证书，得3分；</w:t>
            </w:r>
          </w:p>
          <w:p w14:paraId="324B10E8">
            <w:pPr>
              <w:widowControl/>
              <w:adjustRightInd w:val="0"/>
              <w:snapToGrid w:val="0"/>
              <w:rPr>
                <w:rFonts w:hint="eastAsia" w:ascii="宋体" w:hAnsi="宋体" w:cs="宋体"/>
                <w:kern w:val="0"/>
              </w:rPr>
            </w:pPr>
            <w:r>
              <w:rPr>
                <w:rFonts w:hint="eastAsia" w:ascii="宋体" w:hAnsi="宋体" w:cs="宋体"/>
                <w:kern w:val="0"/>
              </w:rPr>
              <w:t>②提供2项证书，得2分；</w:t>
            </w:r>
          </w:p>
          <w:p w14:paraId="7BCA06AF">
            <w:pPr>
              <w:widowControl/>
              <w:adjustRightInd w:val="0"/>
              <w:snapToGrid w:val="0"/>
              <w:rPr>
                <w:rFonts w:hint="eastAsia" w:ascii="宋体" w:hAnsi="宋体" w:cs="宋体"/>
                <w:kern w:val="0"/>
              </w:rPr>
            </w:pPr>
            <w:r>
              <w:rPr>
                <w:rFonts w:hint="eastAsia" w:ascii="宋体" w:hAnsi="宋体" w:cs="宋体"/>
                <w:kern w:val="0"/>
              </w:rPr>
              <w:t>③提供1项证书，得1分；</w:t>
            </w:r>
          </w:p>
          <w:p w14:paraId="31417D52">
            <w:pPr>
              <w:widowControl/>
              <w:adjustRightInd w:val="0"/>
              <w:snapToGrid w:val="0"/>
              <w:rPr>
                <w:rFonts w:hint="eastAsia" w:ascii="宋体" w:hAnsi="宋体" w:cs="宋体"/>
                <w:kern w:val="0"/>
              </w:rPr>
            </w:pPr>
            <w:r>
              <w:rPr>
                <w:rFonts w:hint="eastAsia" w:ascii="宋体" w:hAnsi="宋体" w:cs="宋体"/>
                <w:kern w:val="0"/>
              </w:rPr>
              <w:t>④未提供不得分。（此项满分3分）</w:t>
            </w:r>
          </w:p>
          <w:p w14:paraId="442FDEA4">
            <w:pPr>
              <w:widowControl/>
              <w:adjustRightInd w:val="0"/>
              <w:snapToGrid w:val="0"/>
              <w:rPr>
                <w:rFonts w:hint="eastAsia" w:ascii="宋体" w:hAnsi="宋体" w:cs="宋体"/>
                <w:kern w:val="0"/>
              </w:rPr>
            </w:pPr>
            <w:r>
              <w:rPr>
                <w:rFonts w:hint="eastAsia" w:ascii="宋体" w:hAnsi="宋体" w:cs="宋体"/>
                <w:kern w:val="0"/>
              </w:rPr>
              <w:t>2）实施负责人（1人）：应具备由国家或省级人力资源和社会保障部门、工业和信息化部门颁发的计算机技术与软件专业技术资格证书：系统规划与管理师证书（高级）、系统架构设计师证书（高级）、系统分析师证书（高级）</w:t>
            </w:r>
          </w:p>
          <w:p w14:paraId="19047312">
            <w:pPr>
              <w:widowControl/>
              <w:adjustRightInd w:val="0"/>
              <w:snapToGrid w:val="0"/>
              <w:rPr>
                <w:rFonts w:hint="eastAsia" w:ascii="宋体" w:hAnsi="宋体" w:cs="宋体"/>
                <w:kern w:val="0"/>
              </w:rPr>
            </w:pPr>
            <w:r>
              <w:rPr>
                <w:rFonts w:hint="eastAsia" w:ascii="宋体" w:hAnsi="宋体" w:cs="宋体"/>
                <w:kern w:val="0"/>
              </w:rPr>
              <w:t>①提供3项证书，得3分；</w:t>
            </w:r>
          </w:p>
          <w:p w14:paraId="49FAFD24">
            <w:pPr>
              <w:widowControl/>
              <w:adjustRightInd w:val="0"/>
              <w:snapToGrid w:val="0"/>
              <w:rPr>
                <w:rFonts w:hint="eastAsia" w:ascii="宋体" w:hAnsi="宋体" w:cs="宋体"/>
                <w:kern w:val="0"/>
              </w:rPr>
            </w:pPr>
            <w:r>
              <w:rPr>
                <w:rFonts w:hint="eastAsia" w:ascii="宋体" w:hAnsi="宋体" w:cs="宋体"/>
                <w:kern w:val="0"/>
              </w:rPr>
              <w:t>②提供2项证书，得2分；</w:t>
            </w:r>
          </w:p>
          <w:p w14:paraId="4B7AEDEF">
            <w:pPr>
              <w:widowControl/>
              <w:adjustRightInd w:val="0"/>
              <w:snapToGrid w:val="0"/>
              <w:rPr>
                <w:rFonts w:hint="eastAsia" w:ascii="宋体" w:hAnsi="宋体" w:cs="宋体"/>
                <w:kern w:val="0"/>
              </w:rPr>
            </w:pPr>
            <w:r>
              <w:rPr>
                <w:rFonts w:hint="eastAsia" w:ascii="宋体" w:hAnsi="宋体" w:cs="宋体"/>
                <w:kern w:val="0"/>
              </w:rPr>
              <w:t>③提供1项证书，得1分；</w:t>
            </w:r>
          </w:p>
          <w:p w14:paraId="66A632CD">
            <w:pPr>
              <w:widowControl/>
              <w:adjustRightInd w:val="0"/>
              <w:snapToGrid w:val="0"/>
              <w:rPr>
                <w:rFonts w:hint="eastAsia" w:ascii="宋体" w:hAnsi="宋体" w:cs="宋体"/>
                <w:kern w:val="0"/>
              </w:rPr>
            </w:pPr>
            <w:r>
              <w:rPr>
                <w:rFonts w:hint="eastAsia" w:ascii="宋体" w:hAnsi="宋体" w:cs="宋体"/>
                <w:kern w:val="0"/>
              </w:rPr>
              <w:t>④未提供不得分。（此项满分3分）</w:t>
            </w:r>
          </w:p>
          <w:p w14:paraId="2E1DB1A7">
            <w:pPr>
              <w:widowControl/>
              <w:adjustRightInd w:val="0"/>
              <w:snapToGrid w:val="0"/>
              <w:rPr>
                <w:rFonts w:ascii="宋体" w:hAnsi="宋体" w:cs="宋体"/>
                <w:kern w:val="0"/>
              </w:rPr>
            </w:pPr>
          </w:p>
          <w:p w14:paraId="25B3AC8C">
            <w:pPr>
              <w:widowControl/>
              <w:adjustRightInd w:val="0"/>
              <w:snapToGrid w:val="0"/>
              <w:rPr>
                <w:rFonts w:hint="eastAsia" w:ascii="宋体" w:hAnsi="宋体" w:cs="宋体"/>
                <w:kern w:val="0"/>
              </w:rPr>
            </w:pPr>
            <w:r>
              <w:rPr>
                <w:rFonts w:hint="eastAsia" w:ascii="宋体" w:hAnsi="宋体" w:cs="宋体"/>
                <w:kern w:val="0"/>
              </w:rPr>
              <w:t>2、数据运营组</w:t>
            </w:r>
          </w:p>
          <w:p w14:paraId="1EA0F60C">
            <w:pPr>
              <w:widowControl/>
              <w:adjustRightInd w:val="0"/>
              <w:snapToGrid w:val="0"/>
              <w:rPr>
                <w:rFonts w:hint="eastAsia" w:ascii="宋体" w:hAnsi="宋体" w:cs="宋体"/>
                <w:kern w:val="0"/>
              </w:rPr>
            </w:pPr>
            <w:r>
              <w:rPr>
                <w:rFonts w:hint="eastAsia" w:ascii="宋体" w:hAnsi="宋体" w:cs="宋体"/>
                <w:kern w:val="0"/>
              </w:rPr>
              <w:t>1）组长（1人）：</w:t>
            </w:r>
          </w:p>
          <w:p w14:paraId="054A7427">
            <w:pPr>
              <w:widowControl/>
              <w:adjustRightInd w:val="0"/>
              <w:snapToGrid w:val="0"/>
              <w:rPr>
                <w:rFonts w:hint="eastAsia" w:ascii="宋体" w:hAnsi="宋体" w:cs="宋体"/>
                <w:kern w:val="0"/>
              </w:rPr>
            </w:pPr>
            <w:r>
              <w:rPr>
                <w:rFonts w:hint="eastAsia" w:ascii="宋体" w:hAnsi="宋体" w:cs="宋体"/>
                <w:kern w:val="0"/>
              </w:rPr>
              <w:t>应具备由国家或省级人力资源和社会保障部门、工业和信息化部门颁发的以下计算机技术与软件专业技术资格证书：系统分析师证书（高级）、系统规划与管理师证书（高级）、</w:t>
            </w:r>
            <w:r>
              <w:rPr>
                <w:rFonts w:hint="eastAsia" w:ascii="宋体" w:hAnsi="宋体" w:cs="宋体"/>
                <w:kern w:val="0"/>
                <w:lang w:val="en-US" w:eastAsia="zh-CN"/>
              </w:rPr>
              <w:t>信息系统项目管理师</w:t>
            </w:r>
            <w:r>
              <w:rPr>
                <w:rFonts w:hint="eastAsia" w:ascii="宋体" w:hAnsi="宋体" w:cs="宋体"/>
                <w:kern w:val="0"/>
              </w:rPr>
              <w:t>（高级）。</w:t>
            </w:r>
          </w:p>
          <w:p w14:paraId="4BB2B379">
            <w:pPr>
              <w:widowControl/>
              <w:adjustRightInd w:val="0"/>
              <w:snapToGrid w:val="0"/>
              <w:rPr>
                <w:rFonts w:hint="eastAsia" w:ascii="宋体" w:hAnsi="宋体" w:cs="宋体"/>
                <w:kern w:val="0"/>
              </w:rPr>
            </w:pPr>
            <w:r>
              <w:rPr>
                <w:rFonts w:hint="eastAsia" w:ascii="宋体" w:hAnsi="宋体" w:cs="宋体"/>
                <w:kern w:val="0"/>
              </w:rPr>
              <w:t>①提供3项证书，得3分；</w:t>
            </w:r>
          </w:p>
          <w:p w14:paraId="1C3FFC6B">
            <w:pPr>
              <w:widowControl/>
              <w:adjustRightInd w:val="0"/>
              <w:snapToGrid w:val="0"/>
              <w:rPr>
                <w:rFonts w:hint="eastAsia" w:ascii="宋体" w:hAnsi="宋体" w:cs="宋体"/>
                <w:kern w:val="0"/>
              </w:rPr>
            </w:pPr>
            <w:r>
              <w:rPr>
                <w:rFonts w:hint="eastAsia" w:ascii="宋体" w:hAnsi="宋体" w:cs="宋体"/>
                <w:kern w:val="0"/>
              </w:rPr>
              <w:t>②提供2项证书，得2分；</w:t>
            </w:r>
          </w:p>
          <w:p w14:paraId="323C996D">
            <w:pPr>
              <w:widowControl/>
              <w:adjustRightInd w:val="0"/>
              <w:snapToGrid w:val="0"/>
              <w:rPr>
                <w:rFonts w:hint="eastAsia" w:ascii="宋体" w:hAnsi="宋体" w:cs="宋体"/>
                <w:kern w:val="0"/>
              </w:rPr>
            </w:pPr>
            <w:r>
              <w:rPr>
                <w:rFonts w:hint="eastAsia" w:ascii="宋体" w:hAnsi="宋体" w:cs="宋体"/>
                <w:kern w:val="0"/>
              </w:rPr>
              <w:t>③提供1项证书，得1分；</w:t>
            </w:r>
          </w:p>
          <w:p w14:paraId="6F3BE8FD">
            <w:pPr>
              <w:widowControl/>
              <w:adjustRightInd w:val="0"/>
              <w:snapToGrid w:val="0"/>
              <w:rPr>
                <w:rFonts w:hint="eastAsia" w:ascii="宋体" w:hAnsi="宋体" w:cs="宋体"/>
                <w:kern w:val="0"/>
              </w:rPr>
            </w:pPr>
            <w:r>
              <w:rPr>
                <w:rFonts w:hint="eastAsia" w:ascii="宋体" w:hAnsi="宋体" w:cs="宋体"/>
                <w:kern w:val="0"/>
              </w:rPr>
              <w:t>④未提供不得分。（此项满分3分）</w:t>
            </w:r>
          </w:p>
          <w:p w14:paraId="4340CA60">
            <w:pPr>
              <w:widowControl/>
              <w:adjustRightInd w:val="0"/>
              <w:snapToGrid w:val="0"/>
              <w:rPr>
                <w:rFonts w:hint="eastAsia" w:ascii="宋体" w:hAnsi="宋体" w:cs="宋体"/>
                <w:kern w:val="0"/>
              </w:rPr>
            </w:pPr>
            <w:r>
              <w:rPr>
                <w:rFonts w:hint="eastAsia" w:ascii="宋体" w:hAnsi="宋体" w:cs="宋体"/>
                <w:kern w:val="0"/>
              </w:rPr>
              <w:t>2）副组长（1人）：</w:t>
            </w:r>
          </w:p>
          <w:p w14:paraId="2B35307A">
            <w:pPr>
              <w:widowControl/>
              <w:adjustRightInd w:val="0"/>
              <w:snapToGrid w:val="0"/>
              <w:rPr>
                <w:rFonts w:hint="eastAsia" w:ascii="宋体" w:hAnsi="宋体" w:cs="宋体"/>
                <w:kern w:val="0"/>
              </w:rPr>
            </w:pPr>
            <w:r>
              <w:rPr>
                <w:rFonts w:hint="eastAsia" w:ascii="宋体" w:hAnsi="宋体" w:cs="宋体"/>
                <w:kern w:val="0"/>
              </w:rPr>
              <w:t>应具备由国家或省级人力资源和社会保障部门、工业和信息化部门颁发的以下计算机技术与软件专业技术资格证书：系统分析师证书（高级）、系统架构设计师证书（高级）。</w:t>
            </w:r>
          </w:p>
          <w:p w14:paraId="0013B252">
            <w:pPr>
              <w:widowControl/>
              <w:adjustRightInd w:val="0"/>
              <w:snapToGrid w:val="0"/>
              <w:rPr>
                <w:rFonts w:hint="eastAsia" w:ascii="宋体" w:hAnsi="宋体" w:cs="宋体"/>
                <w:kern w:val="0"/>
              </w:rPr>
            </w:pPr>
            <w:r>
              <w:rPr>
                <w:rFonts w:hint="eastAsia" w:ascii="宋体" w:hAnsi="宋体" w:cs="宋体"/>
                <w:kern w:val="0"/>
              </w:rPr>
              <w:t>①提供2项证书，得2分；</w:t>
            </w:r>
          </w:p>
          <w:p w14:paraId="50B75FF1">
            <w:pPr>
              <w:widowControl/>
              <w:adjustRightInd w:val="0"/>
              <w:snapToGrid w:val="0"/>
              <w:rPr>
                <w:rFonts w:hint="eastAsia" w:ascii="宋体" w:hAnsi="宋体" w:cs="宋体"/>
                <w:kern w:val="0"/>
              </w:rPr>
            </w:pPr>
            <w:r>
              <w:rPr>
                <w:rFonts w:hint="eastAsia" w:ascii="宋体" w:hAnsi="宋体" w:cs="宋体"/>
                <w:kern w:val="0"/>
              </w:rPr>
              <w:t>②提供1项证书，得1分；</w:t>
            </w:r>
          </w:p>
          <w:p w14:paraId="53700FB5">
            <w:pPr>
              <w:widowControl/>
              <w:adjustRightInd w:val="0"/>
              <w:snapToGrid w:val="0"/>
              <w:rPr>
                <w:rFonts w:hint="eastAsia" w:ascii="宋体" w:hAnsi="宋体" w:cs="宋体"/>
                <w:kern w:val="0"/>
              </w:rPr>
            </w:pPr>
            <w:r>
              <w:rPr>
                <w:rFonts w:hint="eastAsia" w:ascii="宋体" w:hAnsi="宋体" w:cs="宋体"/>
                <w:kern w:val="0"/>
              </w:rPr>
              <w:t>③未提供不得分。（此项满分2分）</w:t>
            </w:r>
          </w:p>
          <w:p w14:paraId="59C433D6">
            <w:pPr>
              <w:widowControl/>
              <w:adjustRightInd w:val="0"/>
              <w:snapToGrid w:val="0"/>
              <w:rPr>
                <w:rFonts w:hint="eastAsia" w:ascii="宋体" w:hAnsi="宋体" w:cs="宋体"/>
                <w:kern w:val="0"/>
              </w:rPr>
            </w:pPr>
            <w:r>
              <w:rPr>
                <w:rFonts w:hint="eastAsia" w:ascii="宋体" w:hAnsi="宋体" w:cs="宋体"/>
                <w:kern w:val="0"/>
              </w:rPr>
              <w:t>3）组员（不少于6人）：</w:t>
            </w:r>
          </w:p>
          <w:p w14:paraId="0885FD72">
            <w:pPr>
              <w:widowControl/>
              <w:adjustRightInd w:val="0"/>
              <w:snapToGrid w:val="0"/>
              <w:rPr>
                <w:rFonts w:hint="eastAsia" w:ascii="宋体" w:hAnsi="宋体" w:cs="宋体"/>
                <w:kern w:val="0"/>
              </w:rPr>
            </w:pPr>
            <w:r>
              <w:rPr>
                <w:rFonts w:hint="eastAsia" w:ascii="宋体" w:hAnsi="宋体" w:cs="宋体"/>
                <w:kern w:val="0"/>
              </w:rPr>
              <w:t>应具备由国家或省级人力资源和社会保障部门、工业和信息化部门颁发的以下计算机技术与软件专业技术资格证书：系统架构设计师证书或系统分析师证书或软件设计师证书或软件评测师证书。</w:t>
            </w:r>
          </w:p>
          <w:p w14:paraId="1656FDD2">
            <w:pPr>
              <w:widowControl/>
              <w:adjustRightInd w:val="0"/>
              <w:snapToGrid w:val="0"/>
              <w:rPr>
                <w:rFonts w:hint="eastAsia" w:ascii="宋体" w:hAnsi="宋体" w:cs="宋体"/>
                <w:kern w:val="0"/>
              </w:rPr>
            </w:pPr>
            <w:r>
              <w:rPr>
                <w:rFonts w:hint="eastAsia" w:ascii="宋体" w:hAnsi="宋体" w:cs="宋体"/>
                <w:kern w:val="0"/>
              </w:rPr>
              <w:t>每人每提供一个证书，得0.25分，满分1.5分，未提供不得分。同一人员持有多个指定类别证书，仅按一个证书计算。</w:t>
            </w:r>
          </w:p>
          <w:p w14:paraId="085535D8">
            <w:pPr>
              <w:widowControl/>
              <w:adjustRightInd w:val="0"/>
              <w:snapToGrid w:val="0"/>
              <w:rPr>
                <w:rFonts w:ascii="宋体" w:hAnsi="宋体" w:cs="宋体"/>
                <w:kern w:val="0"/>
              </w:rPr>
            </w:pPr>
          </w:p>
          <w:p w14:paraId="744DB04F">
            <w:pPr>
              <w:widowControl/>
              <w:adjustRightInd w:val="0"/>
              <w:snapToGrid w:val="0"/>
              <w:rPr>
                <w:rFonts w:hint="eastAsia" w:ascii="宋体" w:hAnsi="宋体" w:cs="宋体"/>
                <w:kern w:val="0"/>
              </w:rPr>
            </w:pPr>
            <w:r>
              <w:rPr>
                <w:rFonts w:hint="eastAsia" w:ascii="宋体" w:hAnsi="宋体" w:cs="宋体"/>
                <w:kern w:val="0"/>
              </w:rPr>
              <w:t>3、技术开发组</w:t>
            </w:r>
          </w:p>
          <w:p w14:paraId="72B393A9">
            <w:pPr>
              <w:widowControl/>
              <w:adjustRightInd w:val="0"/>
              <w:snapToGrid w:val="0"/>
              <w:rPr>
                <w:rFonts w:hint="eastAsia" w:ascii="宋体" w:hAnsi="宋体" w:cs="宋体"/>
                <w:kern w:val="0"/>
              </w:rPr>
            </w:pPr>
            <w:r>
              <w:rPr>
                <w:rFonts w:hint="eastAsia" w:ascii="宋体" w:hAnsi="宋体" w:cs="宋体"/>
                <w:kern w:val="0"/>
              </w:rPr>
              <w:t>1）组长（1人）：应具备由国家或省级人力资源和社会保障部门、工业和信息化部门颁发的以下计算机技术与软件专业技术资格证书：系统规划与管理师证书（高级）、系统架构设计师证书（高级）。</w:t>
            </w:r>
          </w:p>
          <w:p w14:paraId="265CB0E8">
            <w:pPr>
              <w:widowControl/>
              <w:adjustRightInd w:val="0"/>
              <w:snapToGrid w:val="0"/>
              <w:rPr>
                <w:rFonts w:hint="eastAsia" w:ascii="宋体" w:hAnsi="宋体" w:cs="宋体"/>
                <w:kern w:val="0"/>
              </w:rPr>
            </w:pPr>
            <w:r>
              <w:rPr>
                <w:rFonts w:hint="eastAsia" w:ascii="宋体" w:hAnsi="宋体" w:cs="宋体"/>
                <w:kern w:val="0"/>
              </w:rPr>
              <w:t>①提供2项证书，得2分；</w:t>
            </w:r>
          </w:p>
          <w:p w14:paraId="5ACB165B">
            <w:pPr>
              <w:widowControl/>
              <w:adjustRightInd w:val="0"/>
              <w:snapToGrid w:val="0"/>
              <w:rPr>
                <w:rFonts w:hint="eastAsia" w:ascii="宋体" w:hAnsi="宋体" w:cs="宋体"/>
                <w:kern w:val="0"/>
              </w:rPr>
            </w:pPr>
            <w:r>
              <w:rPr>
                <w:rFonts w:hint="eastAsia" w:ascii="宋体" w:hAnsi="宋体" w:cs="宋体"/>
                <w:kern w:val="0"/>
              </w:rPr>
              <w:t>②提供1项证书，得1分；</w:t>
            </w:r>
          </w:p>
          <w:p w14:paraId="1C957277">
            <w:pPr>
              <w:widowControl/>
              <w:adjustRightInd w:val="0"/>
              <w:snapToGrid w:val="0"/>
              <w:rPr>
                <w:rFonts w:hint="eastAsia" w:ascii="宋体" w:hAnsi="宋体" w:cs="宋体"/>
                <w:kern w:val="0"/>
              </w:rPr>
            </w:pPr>
            <w:r>
              <w:rPr>
                <w:rFonts w:hint="eastAsia" w:ascii="宋体" w:hAnsi="宋体" w:cs="宋体"/>
                <w:kern w:val="0"/>
              </w:rPr>
              <w:t>③未提供不得分。（此项满分2分）</w:t>
            </w:r>
          </w:p>
          <w:p w14:paraId="248CDC9C">
            <w:pPr>
              <w:widowControl/>
              <w:adjustRightInd w:val="0"/>
              <w:snapToGrid w:val="0"/>
              <w:rPr>
                <w:rFonts w:hint="eastAsia" w:ascii="宋体" w:hAnsi="宋体" w:cs="宋体"/>
                <w:kern w:val="0"/>
              </w:rPr>
            </w:pPr>
            <w:r>
              <w:rPr>
                <w:rFonts w:hint="eastAsia" w:ascii="宋体" w:hAnsi="宋体" w:cs="宋体"/>
                <w:kern w:val="0"/>
              </w:rPr>
              <w:t>2）组员（不少于4人）：每名组员应具备由国家或省级人力资源和社会保障部门、工业和信息化部门颁发的计算机技术与软件专业技术资格证书：系统架构设计师证书或系统分析师证书。</w:t>
            </w:r>
          </w:p>
          <w:p w14:paraId="07C6ABFB">
            <w:pPr>
              <w:widowControl/>
              <w:adjustRightInd w:val="0"/>
              <w:snapToGrid w:val="0"/>
              <w:rPr>
                <w:rFonts w:hint="eastAsia" w:ascii="宋体" w:hAnsi="宋体" w:cs="宋体"/>
                <w:kern w:val="0"/>
              </w:rPr>
            </w:pPr>
            <w:r>
              <w:rPr>
                <w:rFonts w:hint="eastAsia" w:ascii="宋体" w:hAnsi="宋体" w:cs="宋体"/>
                <w:kern w:val="0"/>
              </w:rPr>
              <w:t>每人每提供一个证书，得0.25分，满分1分，未提供不得分。同一人员持有多个指定类别证书，仅按一个证书计算。</w:t>
            </w:r>
          </w:p>
          <w:p w14:paraId="32BE77C2">
            <w:pPr>
              <w:widowControl/>
              <w:adjustRightInd w:val="0"/>
              <w:snapToGrid w:val="0"/>
              <w:rPr>
                <w:rFonts w:ascii="宋体" w:hAnsi="宋体" w:cs="宋体"/>
                <w:kern w:val="0"/>
              </w:rPr>
            </w:pPr>
          </w:p>
          <w:p w14:paraId="375FE2C6">
            <w:pPr>
              <w:widowControl/>
              <w:adjustRightInd w:val="0"/>
              <w:snapToGrid w:val="0"/>
              <w:rPr>
                <w:rFonts w:hint="eastAsia" w:ascii="宋体" w:hAnsi="宋体" w:cs="宋体"/>
                <w:kern w:val="0"/>
              </w:rPr>
            </w:pPr>
            <w:r>
              <w:rPr>
                <w:rFonts w:hint="eastAsia" w:ascii="宋体" w:hAnsi="宋体" w:cs="宋体"/>
                <w:kern w:val="0"/>
              </w:rPr>
              <w:t>4、安全保障组：</w:t>
            </w:r>
          </w:p>
          <w:p w14:paraId="74801A55">
            <w:pPr>
              <w:widowControl/>
              <w:adjustRightInd w:val="0"/>
              <w:snapToGrid w:val="0"/>
              <w:rPr>
                <w:rFonts w:hint="eastAsia" w:ascii="宋体" w:hAnsi="宋体" w:cs="宋体"/>
                <w:kern w:val="0"/>
              </w:rPr>
            </w:pPr>
            <w:r>
              <w:rPr>
                <w:rFonts w:hint="eastAsia" w:ascii="宋体" w:hAnsi="宋体" w:cs="宋体"/>
                <w:kern w:val="0"/>
              </w:rPr>
              <w:t>1）组长（1人）：应具备由国家或省级人力资源和社会保障部门、工业和信息化部门颁发的计算机技术与软件专业技术资格证书：系统规划与管理师（高级）、信息安全工程师</w:t>
            </w:r>
          </w:p>
          <w:p w14:paraId="34C4246E">
            <w:pPr>
              <w:widowControl/>
              <w:adjustRightInd w:val="0"/>
              <w:snapToGrid w:val="0"/>
              <w:rPr>
                <w:rFonts w:hint="eastAsia" w:ascii="宋体" w:hAnsi="宋体" w:cs="宋体"/>
                <w:kern w:val="0"/>
              </w:rPr>
            </w:pPr>
            <w:r>
              <w:rPr>
                <w:rFonts w:hint="eastAsia" w:ascii="宋体" w:hAnsi="宋体" w:cs="宋体"/>
                <w:kern w:val="0"/>
              </w:rPr>
              <w:t>①提供2项证书，得2分；</w:t>
            </w:r>
          </w:p>
          <w:p w14:paraId="59F8494B">
            <w:pPr>
              <w:widowControl/>
              <w:adjustRightInd w:val="0"/>
              <w:snapToGrid w:val="0"/>
              <w:rPr>
                <w:rFonts w:hint="eastAsia" w:ascii="宋体" w:hAnsi="宋体" w:cs="宋体"/>
                <w:kern w:val="0"/>
              </w:rPr>
            </w:pPr>
            <w:r>
              <w:rPr>
                <w:rFonts w:hint="eastAsia" w:ascii="宋体" w:hAnsi="宋体" w:cs="宋体"/>
                <w:kern w:val="0"/>
              </w:rPr>
              <w:t>②提供1项证书及以下，得1分；</w:t>
            </w:r>
          </w:p>
          <w:p w14:paraId="4301AC3F">
            <w:pPr>
              <w:widowControl/>
              <w:adjustRightInd w:val="0"/>
              <w:snapToGrid w:val="0"/>
              <w:rPr>
                <w:rFonts w:hint="eastAsia" w:ascii="宋体" w:hAnsi="宋体" w:cs="宋体"/>
                <w:kern w:val="0"/>
              </w:rPr>
            </w:pPr>
            <w:r>
              <w:rPr>
                <w:rFonts w:hint="eastAsia" w:ascii="宋体" w:hAnsi="宋体" w:cs="宋体"/>
                <w:kern w:val="0"/>
              </w:rPr>
              <w:t>③未提供不得分。（此项满分2分）</w:t>
            </w:r>
          </w:p>
          <w:p w14:paraId="539147FB">
            <w:pPr>
              <w:widowControl/>
              <w:adjustRightInd w:val="0"/>
              <w:snapToGrid w:val="0"/>
              <w:rPr>
                <w:rFonts w:hint="eastAsia" w:ascii="宋体" w:hAnsi="宋体" w:cs="宋体"/>
                <w:kern w:val="0"/>
              </w:rPr>
            </w:pPr>
            <w:r>
              <w:rPr>
                <w:rFonts w:hint="eastAsia" w:ascii="宋体" w:hAnsi="宋体" w:cs="宋体"/>
                <w:kern w:val="0"/>
              </w:rPr>
              <w:t>2）组员（不少于2人）：</w:t>
            </w:r>
          </w:p>
          <w:p w14:paraId="38F7AE6F">
            <w:pPr>
              <w:widowControl/>
              <w:adjustRightInd w:val="0"/>
              <w:snapToGrid w:val="0"/>
              <w:rPr>
                <w:rFonts w:hint="eastAsia" w:ascii="宋体" w:hAnsi="宋体" w:cs="宋体"/>
                <w:kern w:val="0"/>
              </w:rPr>
            </w:pPr>
            <w:r>
              <w:rPr>
                <w:rFonts w:hint="eastAsia" w:ascii="宋体" w:hAnsi="宋体" w:cs="宋体"/>
                <w:kern w:val="0"/>
              </w:rPr>
              <w:t>应具备由国家或省级人力资源和社会保障部门、工业和信息化部门颁发的计算机技术与软件专业技术资格证书：系统分析师（高级）或信息安全工程师每人每提供一个证书，得0.25分，满分0.5分，未提供不得分；同一人员持有多个指定类别证书，仅按一个证书计算。</w:t>
            </w:r>
          </w:p>
          <w:p w14:paraId="38E7156B">
            <w:pPr>
              <w:widowControl/>
              <w:adjustRightInd w:val="0"/>
              <w:snapToGrid w:val="0"/>
              <w:rPr>
                <w:rFonts w:ascii="宋体" w:hAnsi="宋体" w:cs="宋体"/>
                <w:kern w:val="0"/>
              </w:rPr>
            </w:pPr>
          </w:p>
          <w:p w14:paraId="7AFD42A8">
            <w:pPr>
              <w:widowControl/>
              <w:adjustRightInd w:val="0"/>
              <w:snapToGrid w:val="0"/>
              <w:rPr>
                <w:rFonts w:hint="eastAsia" w:ascii="宋体" w:hAnsi="宋体" w:cs="宋体"/>
                <w:kern w:val="0"/>
              </w:rPr>
            </w:pPr>
            <w:r>
              <w:rPr>
                <w:rFonts w:hint="eastAsia" w:ascii="宋体" w:hAnsi="宋体" w:cs="宋体"/>
                <w:kern w:val="0"/>
              </w:rPr>
              <w:t>注：以上项目团队所有人员均不得兼任。投标人需提供上述人员证书扫描件（或电子扫描件）、身份证、劳动合同并加盖公章。若有虚假，将承担相应法律责任和违约责任。同时，若中标后发现提供材料不实，将取消中标资格并追究其责任。</w:t>
            </w:r>
          </w:p>
        </w:tc>
        <w:tc>
          <w:tcPr>
            <w:tcW w:w="551" w:type="dxa"/>
            <w:noWrap w:val="0"/>
            <w:vAlign w:val="center"/>
          </w:tcPr>
          <w:p w14:paraId="28EEA096">
            <w:pPr>
              <w:adjustRightInd w:val="0"/>
              <w:snapToGrid w:val="0"/>
              <w:jc w:val="center"/>
              <w:rPr>
                <w:rFonts w:hint="eastAsia" w:ascii="宋体" w:hAnsi="宋体" w:cs="宋体"/>
                <w:kern w:val="0"/>
                <w:sz w:val="24"/>
                <w:szCs w:val="24"/>
              </w:rPr>
            </w:pPr>
            <w:r>
              <w:rPr>
                <w:rFonts w:hint="eastAsia" w:ascii="宋体" w:hAnsi="宋体" w:cs="宋体"/>
                <w:kern w:val="0"/>
                <w:sz w:val="24"/>
                <w:szCs w:val="24"/>
              </w:rPr>
              <w:t>18</w:t>
            </w:r>
          </w:p>
          <w:p w14:paraId="181D5D1B">
            <w:pPr>
              <w:adjustRightInd w:val="0"/>
              <w:snapToGrid w:val="0"/>
              <w:jc w:val="center"/>
              <w:rPr>
                <w:rFonts w:hint="eastAsia" w:ascii="宋体" w:hAnsi="宋体" w:cs="宋体"/>
                <w:kern w:val="0"/>
                <w:sz w:val="24"/>
                <w:szCs w:val="24"/>
              </w:rPr>
            </w:pPr>
          </w:p>
        </w:tc>
      </w:tr>
    </w:tbl>
    <w:p w14:paraId="46D55D9E">
      <w:pPr>
        <w:rPr>
          <w:rFonts w:hint="eastAsia" w:ascii="宋体" w:hAnsi="宋体" w:cs="宋体"/>
        </w:rPr>
      </w:pPr>
    </w:p>
    <w:p w14:paraId="259D6A9F">
      <w:pPr>
        <w:rPr>
          <w:rFonts w:hint="eastAsia" w:ascii="宋体" w:hAnsi="宋体" w:cs="宋体"/>
        </w:rPr>
      </w:pPr>
    </w:p>
    <w:p w14:paraId="2456B7F2">
      <w:pPr>
        <w:rPr>
          <w:rFonts w:hint="eastAsia" w:ascii="宋体" w:hAnsi="宋体" w:cs="宋体"/>
        </w:rPr>
      </w:pPr>
    </w:p>
    <w:p w14:paraId="2594428A">
      <w:pPr>
        <w:rPr>
          <w:rFonts w:ascii="宋体" w:hAnsi="宋体" w:cs="宋体"/>
        </w:rPr>
        <w:sectPr>
          <w:pgSz w:w="11906" w:h="16838"/>
          <w:pgMar w:top="1418" w:right="1588" w:bottom="1418" w:left="1365" w:header="851" w:footer="907" w:gutter="0"/>
          <w:cols w:space="720" w:num="1"/>
          <w:titlePg/>
          <w:docGrid w:type="lines" w:linePitch="290" w:charSpace="0"/>
        </w:sectPr>
      </w:pPr>
    </w:p>
    <w:p w14:paraId="4BBF8531">
      <w:pPr>
        <w:pStyle w:val="4"/>
        <w:ind w:firstLine="2209" w:firstLineChars="500"/>
        <w:jc w:val="both"/>
        <w:rPr>
          <w:rFonts w:hint="eastAsia" w:ascii="宋体" w:hAnsi="宋体" w:eastAsia="宋体" w:cs="宋体"/>
        </w:rPr>
      </w:pPr>
      <w:bookmarkStart w:id="259" w:name="_Toc8555"/>
      <w:r>
        <w:rPr>
          <w:rFonts w:hint="eastAsia" w:ascii="宋体" w:hAnsi="宋体" w:eastAsia="宋体" w:cs="宋体"/>
        </w:rPr>
        <w:t>第六章  投标文件格式</w:t>
      </w:r>
      <w:bookmarkEnd w:id="259"/>
      <w:r>
        <w:rPr>
          <w:rFonts w:hint="eastAsia" w:ascii="宋体" w:hAnsi="宋体" w:eastAsia="宋体" w:cs="宋体"/>
        </w:rPr>
        <w:t xml:space="preserve"> </w:t>
      </w:r>
    </w:p>
    <w:p w14:paraId="54358B5D">
      <w:pPr>
        <w:jc w:val="center"/>
        <w:rPr>
          <w:rFonts w:hint="eastAsia" w:ascii="宋体" w:hAnsi="宋体" w:cs="宋体"/>
          <w:b/>
          <w:sz w:val="72"/>
        </w:rPr>
      </w:pPr>
      <w:bookmarkStart w:id="260" w:name="_Hlt26955039"/>
      <w:bookmarkEnd w:id="260"/>
      <w:bookmarkStart w:id="261" w:name="_Hlt26671244"/>
      <w:bookmarkEnd w:id="261"/>
      <w:bookmarkStart w:id="262" w:name="_Toc49090576"/>
      <w:bookmarkStart w:id="263" w:name="_Toc26554094"/>
      <w:bookmarkStart w:id="264" w:name="_Toc120614282"/>
    </w:p>
    <w:p w14:paraId="76E243C8">
      <w:pPr>
        <w:jc w:val="center"/>
        <w:rPr>
          <w:rFonts w:hint="eastAsia" w:ascii="宋体" w:hAnsi="宋体" w:cs="宋体"/>
          <w:b/>
          <w:sz w:val="72"/>
        </w:rPr>
      </w:pPr>
      <w:r>
        <w:rPr>
          <w:rFonts w:hint="eastAsia" w:ascii="宋体" w:hAnsi="宋体" w:cs="宋体"/>
          <w:b/>
          <w:sz w:val="72"/>
        </w:rPr>
        <w:t>投  标  文  件</w:t>
      </w:r>
    </w:p>
    <w:p w14:paraId="1BEA4E3C">
      <w:pPr>
        <w:jc w:val="center"/>
        <w:rPr>
          <w:rFonts w:hint="eastAsia" w:ascii="宋体" w:hAnsi="宋体" w:cs="宋体"/>
          <w:b/>
          <w:sz w:val="72"/>
        </w:rPr>
      </w:pPr>
    </w:p>
    <w:p w14:paraId="32291C33">
      <w:pPr>
        <w:jc w:val="center"/>
        <w:rPr>
          <w:rFonts w:hint="eastAsia" w:ascii="宋体" w:hAnsi="宋体" w:cs="宋体"/>
          <w:b/>
          <w:sz w:val="72"/>
        </w:rPr>
      </w:pPr>
    </w:p>
    <w:p w14:paraId="7E79CBE3">
      <w:pPr>
        <w:jc w:val="center"/>
        <w:rPr>
          <w:rFonts w:hint="eastAsia" w:ascii="宋体" w:hAnsi="宋体" w:cs="宋体"/>
          <w:b/>
          <w:sz w:val="36"/>
        </w:rPr>
      </w:pPr>
    </w:p>
    <w:p w14:paraId="541B6BD9">
      <w:pPr>
        <w:jc w:val="center"/>
        <w:rPr>
          <w:rFonts w:hint="eastAsia" w:ascii="宋体" w:hAnsi="宋体" w:cs="宋体"/>
          <w:b/>
          <w:sz w:val="36"/>
        </w:rPr>
      </w:pPr>
    </w:p>
    <w:p w14:paraId="3ED2DB81">
      <w:pPr>
        <w:jc w:val="center"/>
        <w:rPr>
          <w:rFonts w:hint="eastAsia" w:ascii="宋体" w:hAnsi="宋体" w:cs="宋体"/>
          <w:b/>
          <w:sz w:val="36"/>
        </w:rPr>
      </w:pPr>
    </w:p>
    <w:p w14:paraId="452333CC">
      <w:pPr>
        <w:ind w:firstLine="1084" w:firstLineChars="300"/>
        <w:rPr>
          <w:rFonts w:hint="eastAsia" w:ascii="宋体" w:hAnsi="宋体" w:cs="宋体"/>
          <w:b/>
          <w:sz w:val="36"/>
        </w:rPr>
      </w:pPr>
      <w:r>
        <w:rPr>
          <w:rFonts w:hint="eastAsia" w:ascii="宋体" w:hAnsi="宋体" w:cs="宋体"/>
          <w:b/>
          <w:sz w:val="36"/>
        </w:rPr>
        <w:t>项 目 名 称：</w:t>
      </w:r>
      <w:r>
        <w:rPr>
          <w:rFonts w:hint="eastAsia" w:ascii="宋体" w:hAnsi="宋体" w:cs="宋体"/>
          <w:b/>
          <w:sz w:val="36"/>
          <w:u w:val="single"/>
        </w:rPr>
        <w:t xml:space="preserve">               </w:t>
      </w:r>
    </w:p>
    <w:p w14:paraId="64229ABE">
      <w:pPr>
        <w:ind w:firstLine="1084" w:firstLineChars="300"/>
        <w:rPr>
          <w:rFonts w:hint="eastAsia" w:ascii="宋体" w:hAnsi="宋体" w:cs="宋体"/>
          <w:b/>
          <w:sz w:val="36"/>
          <w:u w:val="single"/>
        </w:rPr>
      </w:pPr>
      <w:r>
        <w:rPr>
          <w:rFonts w:hint="eastAsia" w:ascii="宋体" w:hAnsi="宋体" w:cs="宋体"/>
          <w:b/>
          <w:sz w:val="36"/>
        </w:rPr>
        <w:t>项 目 编 号：</w:t>
      </w:r>
      <w:r>
        <w:rPr>
          <w:rFonts w:hint="eastAsia" w:ascii="宋体" w:hAnsi="宋体" w:cs="宋体"/>
          <w:b/>
          <w:sz w:val="36"/>
          <w:u w:val="single"/>
        </w:rPr>
        <w:t xml:space="preserve">               </w:t>
      </w:r>
    </w:p>
    <w:p w14:paraId="6BD39E3F">
      <w:pPr>
        <w:rPr>
          <w:rFonts w:hint="eastAsia" w:ascii="宋体" w:hAnsi="宋体" w:cs="宋体"/>
          <w:b/>
          <w:sz w:val="36"/>
          <w:u w:val="single"/>
        </w:rPr>
      </w:pPr>
      <w:r>
        <w:rPr>
          <w:rFonts w:hint="eastAsia" w:ascii="宋体" w:hAnsi="宋体" w:cs="宋体"/>
          <w:b/>
          <w:sz w:val="36"/>
        </w:rPr>
        <w:t xml:space="preserve">      供应商名称 ：</w:t>
      </w:r>
      <w:r>
        <w:rPr>
          <w:rFonts w:hint="eastAsia" w:ascii="宋体" w:hAnsi="宋体" w:cs="宋体"/>
          <w:b/>
          <w:sz w:val="36"/>
          <w:u w:val="single"/>
        </w:rPr>
        <w:t>（电子签章）</w:t>
      </w:r>
      <w:r>
        <w:rPr>
          <w:rFonts w:hint="eastAsia" w:ascii="宋体" w:hAnsi="宋体" w:cs="宋体"/>
          <w:b/>
          <w:sz w:val="36"/>
        </w:rPr>
        <w:t xml:space="preserve">  </w:t>
      </w:r>
      <w:r>
        <w:rPr>
          <w:rFonts w:hint="eastAsia" w:ascii="宋体" w:hAnsi="宋体" w:cs="宋体"/>
          <w:b/>
          <w:sz w:val="36"/>
          <w:u w:val="single"/>
        </w:rPr>
        <w:t xml:space="preserve">                 </w:t>
      </w:r>
    </w:p>
    <w:p w14:paraId="51A8CD7C">
      <w:pPr>
        <w:ind w:firstLine="1084" w:firstLineChars="300"/>
        <w:rPr>
          <w:rFonts w:hint="eastAsia" w:ascii="宋体" w:hAnsi="宋体" w:cs="宋体"/>
          <w:b/>
          <w:sz w:val="36"/>
        </w:rPr>
      </w:pPr>
      <w:r>
        <w:rPr>
          <w:rFonts w:hint="eastAsia" w:ascii="宋体" w:hAnsi="宋体" w:cs="宋体"/>
          <w:b/>
          <w:sz w:val="36"/>
        </w:rPr>
        <w:t>日      期 ：</w:t>
      </w:r>
    </w:p>
    <w:p w14:paraId="1517015C">
      <w:pPr>
        <w:rPr>
          <w:rFonts w:hint="eastAsia" w:ascii="宋体" w:hAnsi="宋体" w:cs="宋体"/>
          <w:b/>
          <w:sz w:val="36"/>
        </w:rPr>
      </w:pPr>
      <w:r>
        <w:rPr>
          <w:rFonts w:hint="eastAsia" w:ascii="宋体" w:hAnsi="宋体" w:cs="宋体"/>
          <w:b/>
          <w:sz w:val="36"/>
          <w:u w:val="single"/>
        </w:rPr>
        <w:t xml:space="preserve">              </w:t>
      </w:r>
    </w:p>
    <w:p w14:paraId="63AF6717">
      <w:pPr>
        <w:spacing w:line="440" w:lineRule="exact"/>
        <w:jc w:val="center"/>
        <w:rPr>
          <w:rFonts w:hint="eastAsia" w:ascii="宋体" w:hAnsi="宋体" w:cs="宋体"/>
          <w:b/>
          <w:bCs/>
          <w:sz w:val="32"/>
          <w:szCs w:val="32"/>
        </w:rPr>
      </w:pPr>
    </w:p>
    <w:p w14:paraId="6CF4D79D">
      <w:pPr>
        <w:spacing w:line="440" w:lineRule="exact"/>
        <w:ind w:firstLine="480" w:firstLineChars="200"/>
        <w:rPr>
          <w:rFonts w:hint="eastAsia" w:ascii="宋体" w:hAnsi="宋体" w:cs="宋体"/>
          <w:sz w:val="24"/>
        </w:rPr>
      </w:pPr>
    </w:p>
    <w:p w14:paraId="0D93DAEB">
      <w:pPr>
        <w:spacing w:line="440" w:lineRule="exact"/>
        <w:ind w:firstLine="480" w:firstLineChars="200"/>
        <w:rPr>
          <w:rFonts w:hint="eastAsia" w:ascii="宋体" w:hAnsi="宋体" w:cs="宋体"/>
          <w:sz w:val="24"/>
        </w:rPr>
      </w:pPr>
    </w:p>
    <w:p w14:paraId="46D10AD7">
      <w:pPr>
        <w:spacing w:line="440" w:lineRule="exact"/>
        <w:rPr>
          <w:rFonts w:hint="eastAsia" w:ascii="宋体" w:hAnsi="宋体" w:cs="宋体"/>
          <w:sz w:val="24"/>
        </w:rPr>
      </w:pPr>
      <w:r>
        <w:rPr>
          <w:rFonts w:hint="eastAsia" w:ascii="宋体" w:hAnsi="宋体" w:cs="宋体"/>
          <w:sz w:val="24"/>
        </w:rPr>
        <w:br w:type="page"/>
      </w:r>
    </w:p>
    <w:p w14:paraId="40171D02">
      <w:pPr>
        <w:jc w:val="center"/>
        <w:rPr>
          <w:rFonts w:hint="eastAsia" w:ascii="宋体" w:hAnsi="宋体" w:cs="宋体"/>
          <w:b/>
          <w:sz w:val="30"/>
          <w:szCs w:val="30"/>
        </w:rPr>
      </w:pPr>
      <w:r>
        <w:rPr>
          <w:rFonts w:hint="eastAsia" w:ascii="宋体" w:hAnsi="宋体" w:cs="宋体"/>
          <w:b/>
          <w:sz w:val="30"/>
          <w:szCs w:val="30"/>
        </w:rPr>
        <w:t>评分索引表</w:t>
      </w:r>
    </w:p>
    <w:tbl>
      <w:tblPr>
        <w:tblStyle w:val="18"/>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14:paraId="58FE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2B99DBAB">
            <w:pPr>
              <w:widowControl/>
              <w:shd w:val="clear" w:color="auto" w:fill="FFFFFF"/>
              <w:spacing w:line="265" w:lineRule="atLeast"/>
              <w:ind w:left="420"/>
              <w:contextualSpacing/>
              <w:jc w:val="center"/>
              <w:rPr>
                <w:rFonts w:hint="eastAsia" w:ascii="宋体" w:hAnsi="宋体" w:eastAsia="宋体" w:cs="宋体"/>
                <w:b/>
                <w:bCs/>
                <w:kern w:val="0"/>
                <w:sz w:val="24"/>
                <w:szCs w:val="24"/>
                <w:lang w:val="en-US" w:eastAsia="zh-CN" w:bidi="en-US"/>
              </w:rPr>
            </w:pPr>
            <w:r>
              <w:rPr>
                <w:rFonts w:hint="eastAsia" w:ascii="宋体" w:hAnsi="宋体" w:eastAsia="宋体" w:cs="宋体"/>
                <w:b/>
                <w:kern w:val="0"/>
                <w:sz w:val="24"/>
                <w:szCs w:val="24"/>
                <w:lang w:val="en-US" w:eastAsia="en-US" w:bidi="en-US"/>
              </w:rPr>
              <w:t>评分项目</w:t>
            </w:r>
          </w:p>
        </w:tc>
        <w:tc>
          <w:tcPr>
            <w:tcW w:w="3711" w:type="dxa"/>
            <w:noWrap w:val="0"/>
            <w:vAlign w:val="top"/>
          </w:tcPr>
          <w:p w14:paraId="6C9DD0B6">
            <w:pPr>
              <w:jc w:val="center"/>
              <w:rPr>
                <w:rFonts w:hint="eastAsia" w:ascii="宋体" w:hAnsi="宋体" w:cs="宋体"/>
                <w:b/>
              </w:rPr>
            </w:pPr>
            <w:r>
              <w:rPr>
                <w:rFonts w:hint="eastAsia" w:ascii="宋体" w:hAnsi="宋体" w:cs="宋体"/>
                <w:b/>
                <w:kern w:val="0"/>
                <w:sz w:val="24"/>
                <w:lang w:bidi="en-US"/>
              </w:rPr>
              <w:t>在投标文件中的页码位置（注明在**节点下第**页，如“技术参数响应及偏离表I”第**页）</w:t>
            </w:r>
          </w:p>
        </w:tc>
      </w:tr>
      <w:tr w14:paraId="1BCA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529" w:type="dxa"/>
            <w:noWrap w:val="0"/>
            <w:vAlign w:val="top"/>
          </w:tcPr>
          <w:p w14:paraId="648A26F8">
            <w:pPr>
              <w:widowControl/>
              <w:shd w:val="clear" w:color="auto" w:fill="FFFFFF"/>
              <w:spacing w:line="265" w:lineRule="atLeast"/>
              <w:ind w:left="420"/>
              <w:contextualSpacing/>
              <w:jc w:val="both"/>
              <w:rPr>
                <w:rFonts w:hint="eastAsia" w:ascii="宋体" w:hAnsi="宋体" w:eastAsia="宋体" w:cs="宋体"/>
                <w:b/>
                <w:kern w:val="0"/>
                <w:sz w:val="24"/>
                <w:szCs w:val="24"/>
                <w:lang w:val="en-US" w:eastAsia="zh-CN" w:bidi="en-US"/>
              </w:rPr>
            </w:pPr>
          </w:p>
        </w:tc>
        <w:tc>
          <w:tcPr>
            <w:tcW w:w="3711" w:type="dxa"/>
            <w:noWrap w:val="0"/>
            <w:vAlign w:val="top"/>
          </w:tcPr>
          <w:p w14:paraId="33A123D2">
            <w:pPr>
              <w:rPr>
                <w:rFonts w:hint="eastAsia" w:ascii="宋体" w:hAnsi="宋体" w:cs="宋体"/>
                <w:b/>
                <w:kern w:val="0"/>
                <w:sz w:val="24"/>
                <w:lang w:bidi="en-US"/>
              </w:rPr>
            </w:pPr>
          </w:p>
        </w:tc>
      </w:tr>
      <w:tr w14:paraId="2A1D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val="0"/>
            <w:vAlign w:val="top"/>
          </w:tcPr>
          <w:p w14:paraId="08C35352">
            <w:pPr>
              <w:widowControl/>
              <w:shd w:val="clear" w:color="auto" w:fill="FFFFFF"/>
              <w:spacing w:line="265" w:lineRule="atLeast"/>
              <w:ind w:left="420"/>
              <w:contextualSpacing/>
              <w:jc w:val="both"/>
              <w:rPr>
                <w:rFonts w:hint="eastAsia" w:ascii="宋体" w:hAnsi="宋体" w:eastAsia="宋体" w:cs="宋体"/>
                <w:kern w:val="0"/>
                <w:sz w:val="24"/>
                <w:szCs w:val="24"/>
                <w:lang w:val="en-US" w:eastAsia="zh-CN" w:bidi="en-US"/>
              </w:rPr>
            </w:pPr>
          </w:p>
        </w:tc>
      </w:tr>
      <w:tr w14:paraId="2363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14:paraId="5D11E03C">
            <w:pPr>
              <w:widowControl/>
              <w:shd w:val="clear" w:color="auto" w:fill="FFFFFF"/>
              <w:spacing w:line="265" w:lineRule="atLeast"/>
              <w:ind w:left="420"/>
              <w:contextualSpacing/>
              <w:jc w:val="left"/>
              <w:rPr>
                <w:rFonts w:hint="eastAsia" w:ascii="宋体" w:hAnsi="宋体" w:eastAsia="宋体" w:cs="宋体"/>
                <w:kern w:val="0"/>
                <w:sz w:val="24"/>
                <w:szCs w:val="24"/>
                <w:lang w:val="en-US" w:eastAsia="zh-CN" w:bidi="en-US"/>
              </w:rPr>
            </w:pPr>
          </w:p>
        </w:tc>
        <w:tc>
          <w:tcPr>
            <w:tcW w:w="3711" w:type="dxa"/>
            <w:noWrap w:val="0"/>
            <w:vAlign w:val="top"/>
          </w:tcPr>
          <w:p w14:paraId="34DDA07B">
            <w:pPr>
              <w:rPr>
                <w:rFonts w:hint="eastAsia" w:ascii="宋体" w:hAnsi="宋体" w:cs="宋体"/>
              </w:rPr>
            </w:pPr>
          </w:p>
        </w:tc>
      </w:tr>
      <w:tr w14:paraId="385C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1D46DE2F">
            <w:pPr>
              <w:widowControl/>
              <w:shd w:val="clear" w:color="auto" w:fill="FFFFFF"/>
              <w:spacing w:line="265" w:lineRule="atLeast"/>
              <w:ind w:left="420"/>
              <w:contextualSpacing/>
              <w:jc w:val="left"/>
              <w:rPr>
                <w:rFonts w:hint="eastAsia" w:ascii="宋体" w:hAnsi="宋体" w:eastAsia="宋体" w:cs="宋体"/>
                <w:kern w:val="0"/>
                <w:sz w:val="24"/>
                <w:szCs w:val="24"/>
                <w:lang w:val="en-US" w:eastAsia="zh-CN" w:bidi="en-US"/>
              </w:rPr>
            </w:pPr>
          </w:p>
        </w:tc>
        <w:tc>
          <w:tcPr>
            <w:tcW w:w="3711" w:type="dxa"/>
            <w:noWrap w:val="0"/>
            <w:vAlign w:val="top"/>
          </w:tcPr>
          <w:p w14:paraId="41D55389">
            <w:pPr>
              <w:rPr>
                <w:rFonts w:hint="eastAsia" w:ascii="宋体" w:hAnsi="宋体" w:cs="宋体"/>
              </w:rPr>
            </w:pPr>
          </w:p>
        </w:tc>
      </w:tr>
      <w:tr w14:paraId="6100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380A8DFA">
            <w:pPr>
              <w:widowControl/>
              <w:shd w:val="clear" w:color="auto" w:fill="FFFFFF"/>
              <w:spacing w:line="265" w:lineRule="atLeast"/>
              <w:ind w:left="420"/>
              <w:contextualSpacing/>
              <w:jc w:val="left"/>
              <w:rPr>
                <w:rFonts w:hint="eastAsia" w:ascii="宋体" w:hAnsi="宋体" w:eastAsia="宋体" w:cs="宋体"/>
                <w:kern w:val="0"/>
                <w:sz w:val="24"/>
                <w:szCs w:val="24"/>
                <w:lang w:val="en-US" w:eastAsia="zh-CN" w:bidi="en-US"/>
              </w:rPr>
            </w:pPr>
          </w:p>
        </w:tc>
        <w:tc>
          <w:tcPr>
            <w:tcW w:w="3711" w:type="dxa"/>
            <w:noWrap w:val="0"/>
            <w:vAlign w:val="top"/>
          </w:tcPr>
          <w:p w14:paraId="072AA859">
            <w:pPr>
              <w:rPr>
                <w:rFonts w:hint="eastAsia" w:ascii="宋体" w:hAnsi="宋体" w:cs="宋体"/>
              </w:rPr>
            </w:pPr>
          </w:p>
        </w:tc>
      </w:tr>
      <w:tr w14:paraId="60FD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223F418A">
            <w:pPr>
              <w:widowControl/>
              <w:shd w:val="clear" w:color="auto" w:fill="FFFFFF"/>
              <w:spacing w:line="265" w:lineRule="atLeast"/>
              <w:ind w:left="420"/>
              <w:contextualSpacing/>
              <w:jc w:val="left"/>
              <w:rPr>
                <w:rFonts w:hint="eastAsia" w:ascii="宋体" w:hAnsi="宋体" w:eastAsia="宋体" w:cs="宋体"/>
                <w:kern w:val="0"/>
                <w:sz w:val="24"/>
                <w:szCs w:val="24"/>
                <w:lang w:val="en-US" w:eastAsia="zh-CN" w:bidi="en-US"/>
              </w:rPr>
            </w:pPr>
          </w:p>
        </w:tc>
        <w:tc>
          <w:tcPr>
            <w:tcW w:w="3711" w:type="dxa"/>
            <w:noWrap w:val="0"/>
            <w:vAlign w:val="top"/>
          </w:tcPr>
          <w:p w14:paraId="18BCBAB9">
            <w:pPr>
              <w:rPr>
                <w:rFonts w:hint="eastAsia" w:ascii="宋体" w:hAnsi="宋体" w:cs="宋体"/>
              </w:rPr>
            </w:pPr>
          </w:p>
        </w:tc>
      </w:tr>
      <w:tr w14:paraId="5F08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34D80572">
            <w:pPr>
              <w:widowControl/>
              <w:shd w:val="clear" w:color="auto" w:fill="FFFFFF"/>
              <w:spacing w:line="265" w:lineRule="atLeast"/>
              <w:ind w:left="420"/>
              <w:contextualSpacing/>
              <w:jc w:val="left"/>
              <w:rPr>
                <w:rFonts w:hint="eastAsia" w:ascii="宋体" w:hAnsi="宋体" w:eastAsia="宋体" w:cs="宋体"/>
                <w:kern w:val="0"/>
                <w:sz w:val="24"/>
                <w:szCs w:val="24"/>
                <w:lang w:val="en-US" w:eastAsia="zh-CN" w:bidi="en-US"/>
              </w:rPr>
            </w:pPr>
          </w:p>
        </w:tc>
        <w:tc>
          <w:tcPr>
            <w:tcW w:w="3711" w:type="dxa"/>
            <w:noWrap w:val="0"/>
            <w:vAlign w:val="top"/>
          </w:tcPr>
          <w:p w14:paraId="2A9D185E">
            <w:pPr>
              <w:rPr>
                <w:rFonts w:hint="eastAsia" w:ascii="宋体" w:hAnsi="宋体" w:cs="宋体"/>
              </w:rPr>
            </w:pPr>
          </w:p>
        </w:tc>
      </w:tr>
      <w:tr w14:paraId="1DAB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14:paraId="52ECB4BB">
            <w:pPr>
              <w:widowControl/>
              <w:shd w:val="clear" w:color="auto" w:fill="FFFFFF"/>
              <w:spacing w:line="265" w:lineRule="atLeast"/>
              <w:ind w:left="420"/>
              <w:contextualSpacing/>
              <w:jc w:val="both"/>
              <w:rPr>
                <w:rFonts w:hint="eastAsia" w:ascii="宋体" w:hAnsi="宋体" w:eastAsia="宋体" w:cs="宋体"/>
                <w:kern w:val="0"/>
                <w:sz w:val="24"/>
                <w:szCs w:val="24"/>
                <w:lang w:val="en-US" w:eastAsia="zh-CN" w:bidi="en-US"/>
              </w:rPr>
            </w:pPr>
          </w:p>
        </w:tc>
      </w:tr>
      <w:tr w14:paraId="0B02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9" w:type="dxa"/>
            <w:noWrap w:val="0"/>
            <w:vAlign w:val="top"/>
          </w:tcPr>
          <w:p w14:paraId="0050F62C">
            <w:pPr>
              <w:widowControl/>
              <w:shd w:val="clear" w:color="auto" w:fill="FFFFFF"/>
              <w:spacing w:line="265" w:lineRule="atLeast"/>
              <w:ind w:left="420"/>
              <w:contextualSpacing/>
              <w:jc w:val="left"/>
              <w:rPr>
                <w:rFonts w:hint="eastAsia" w:ascii="宋体" w:hAnsi="宋体" w:eastAsia="宋体" w:cs="宋体"/>
                <w:kern w:val="0"/>
                <w:sz w:val="24"/>
                <w:szCs w:val="24"/>
                <w:lang w:val="en-US" w:eastAsia="zh-CN" w:bidi="en-US"/>
              </w:rPr>
            </w:pPr>
          </w:p>
        </w:tc>
        <w:tc>
          <w:tcPr>
            <w:tcW w:w="3711" w:type="dxa"/>
            <w:noWrap w:val="0"/>
            <w:vAlign w:val="top"/>
          </w:tcPr>
          <w:p w14:paraId="5CDB8D67">
            <w:pPr>
              <w:rPr>
                <w:rFonts w:hint="eastAsia" w:ascii="宋体" w:hAnsi="宋体" w:cs="宋体"/>
              </w:rPr>
            </w:pPr>
          </w:p>
        </w:tc>
      </w:tr>
      <w:tr w14:paraId="75D0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noWrap w:val="0"/>
            <w:vAlign w:val="top"/>
          </w:tcPr>
          <w:p w14:paraId="220CBC6A">
            <w:pPr>
              <w:widowControl/>
              <w:shd w:val="clear" w:color="auto" w:fill="FFFFFF"/>
              <w:spacing w:line="265" w:lineRule="atLeast"/>
              <w:ind w:left="420"/>
              <w:contextualSpacing/>
              <w:jc w:val="left"/>
              <w:rPr>
                <w:rFonts w:hint="eastAsia" w:ascii="宋体" w:hAnsi="宋体" w:eastAsia="宋体" w:cs="宋体"/>
                <w:kern w:val="0"/>
                <w:sz w:val="24"/>
                <w:szCs w:val="24"/>
                <w:lang w:val="en-US" w:eastAsia="zh-CN" w:bidi="en-US"/>
              </w:rPr>
            </w:pPr>
          </w:p>
        </w:tc>
        <w:tc>
          <w:tcPr>
            <w:tcW w:w="3711" w:type="dxa"/>
            <w:noWrap w:val="0"/>
            <w:vAlign w:val="top"/>
          </w:tcPr>
          <w:p w14:paraId="7F745D09">
            <w:pPr>
              <w:rPr>
                <w:rFonts w:hint="eastAsia" w:ascii="宋体" w:hAnsi="宋体" w:cs="宋体"/>
              </w:rPr>
            </w:pPr>
          </w:p>
        </w:tc>
      </w:tr>
      <w:tr w14:paraId="4C97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529" w:type="dxa"/>
            <w:noWrap w:val="0"/>
            <w:vAlign w:val="top"/>
          </w:tcPr>
          <w:p w14:paraId="32C6B24F">
            <w:pPr>
              <w:widowControl/>
              <w:shd w:val="clear" w:color="auto" w:fill="FFFFFF"/>
              <w:spacing w:line="265" w:lineRule="atLeast"/>
              <w:ind w:left="420"/>
              <w:contextualSpacing/>
              <w:jc w:val="left"/>
              <w:rPr>
                <w:rFonts w:hint="eastAsia" w:ascii="宋体" w:hAnsi="宋体" w:eastAsia="宋体" w:cs="宋体"/>
                <w:kern w:val="0"/>
                <w:sz w:val="24"/>
                <w:szCs w:val="24"/>
                <w:lang w:val="en-US" w:eastAsia="zh-CN" w:bidi="en-US"/>
              </w:rPr>
            </w:pPr>
          </w:p>
        </w:tc>
        <w:tc>
          <w:tcPr>
            <w:tcW w:w="3711" w:type="dxa"/>
            <w:noWrap w:val="0"/>
            <w:vAlign w:val="top"/>
          </w:tcPr>
          <w:p w14:paraId="518B3BF0">
            <w:pPr>
              <w:rPr>
                <w:rFonts w:hint="eastAsia" w:ascii="宋体" w:hAnsi="宋体" w:cs="宋体"/>
              </w:rPr>
            </w:pPr>
          </w:p>
        </w:tc>
      </w:tr>
      <w:tr w14:paraId="6605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noWrap w:val="0"/>
            <w:vAlign w:val="top"/>
          </w:tcPr>
          <w:p w14:paraId="5FCFF75D">
            <w:pPr>
              <w:widowControl/>
              <w:shd w:val="clear" w:color="auto" w:fill="FFFFFF"/>
              <w:spacing w:line="265" w:lineRule="atLeast"/>
              <w:ind w:left="420"/>
              <w:contextualSpacing/>
              <w:jc w:val="left"/>
              <w:rPr>
                <w:rFonts w:hint="eastAsia" w:ascii="宋体" w:hAnsi="宋体" w:eastAsia="宋体" w:cs="宋体"/>
                <w:kern w:val="0"/>
                <w:sz w:val="24"/>
                <w:szCs w:val="24"/>
                <w:lang w:val="en-US" w:eastAsia="zh-CN" w:bidi="en-US"/>
              </w:rPr>
            </w:pPr>
          </w:p>
        </w:tc>
        <w:tc>
          <w:tcPr>
            <w:tcW w:w="3711" w:type="dxa"/>
            <w:noWrap w:val="0"/>
            <w:vAlign w:val="top"/>
          </w:tcPr>
          <w:p w14:paraId="2CB2F290">
            <w:pPr>
              <w:rPr>
                <w:rFonts w:hint="eastAsia" w:ascii="宋体" w:hAnsi="宋体" w:cs="宋体"/>
              </w:rPr>
            </w:pPr>
          </w:p>
        </w:tc>
      </w:tr>
      <w:tr w14:paraId="2E91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noWrap w:val="0"/>
            <w:vAlign w:val="top"/>
          </w:tcPr>
          <w:p w14:paraId="0E34357C">
            <w:pPr>
              <w:widowControl/>
              <w:shd w:val="clear" w:color="auto" w:fill="FFFFFF"/>
              <w:spacing w:line="265" w:lineRule="atLeast"/>
              <w:ind w:left="420"/>
              <w:contextualSpacing/>
              <w:jc w:val="left"/>
              <w:rPr>
                <w:rFonts w:hint="eastAsia" w:ascii="宋体" w:hAnsi="宋体" w:eastAsia="宋体" w:cs="宋体"/>
                <w:kern w:val="0"/>
                <w:sz w:val="24"/>
                <w:szCs w:val="24"/>
                <w:lang w:val="en-US" w:eastAsia="zh-CN" w:bidi="en-US"/>
              </w:rPr>
            </w:pPr>
          </w:p>
        </w:tc>
        <w:tc>
          <w:tcPr>
            <w:tcW w:w="3711" w:type="dxa"/>
            <w:noWrap w:val="0"/>
            <w:vAlign w:val="top"/>
          </w:tcPr>
          <w:p w14:paraId="1A71F6A6">
            <w:pPr>
              <w:rPr>
                <w:rFonts w:hint="eastAsia" w:ascii="宋体" w:hAnsi="宋体" w:cs="宋体"/>
              </w:rPr>
            </w:pPr>
          </w:p>
        </w:tc>
      </w:tr>
      <w:tr w14:paraId="5A52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14:paraId="445EDA05">
            <w:pPr>
              <w:widowControl/>
              <w:shd w:val="clear" w:color="auto" w:fill="FFFFFF"/>
              <w:spacing w:line="265" w:lineRule="atLeast"/>
              <w:ind w:left="420"/>
              <w:contextualSpacing/>
              <w:jc w:val="both"/>
              <w:rPr>
                <w:rFonts w:hint="eastAsia" w:ascii="宋体" w:hAnsi="宋体" w:eastAsia="宋体" w:cs="宋体"/>
                <w:b/>
                <w:kern w:val="0"/>
                <w:sz w:val="24"/>
                <w:szCs w:val="24"/>
                <w:lang w:val="en-US" w:eastAsia="zh-CN" w:bidi="en-US"/>
              </w:rPr>
            </w:pPr>
          </w:p>
        </w:tc>
      </w:tr>
      <w:tr w14:paraId="4C53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14:paraId="21010E67">
            <w:pPr>
              <w:widowControl/>
              <w:shd w:val="clear" w:color="auto" w:fill="FFFFFF"/>
              <w:spacing w:line="265" w:lineRule="atLeast"/>
              <w:ind w:left="420"/>
              <w:contextualSpacing/>
              <w:jc w:val="left"/>
              <w:rPr>
                <w:rFonts w:hint="eastAsia" w:ascii="宋体" w:hAnsi="宋体" w:eastAsia="宋体" w:cs="宋体"/>
                <w:b/>
                <w:bCs/>
                <w:kern w:val="0"/>
                <w:sz w:val="24"/>
                <w:szCs w:val="24"/>
                <w:lang w:val="en-US" w:eastAsia="zh-CN" w:bidi="en-US"/>
              </w:rPr>
            </w:pPr>
          </w:p>
        </w:tc>
        <w:tc>
          <w:tcPr>
            <w:tcW w:w="3711" w:type="dxa"/>
            <w:noWrap w:val="0"/>
            <w:vAlign w:val="top"/>
          </w:tcPr>
          <w:p w14:paraId="1707A6E2">
            <w:pPr>
              <w:rPr>
                <w:rFonts w:hint="eastAsia" w:ascii="宋体" w:hAnsi="宋体" w:cs="宋体"/>
              </w:rPr>
            </w:pPr>
          </w:p>
        </w:tc>
      </w:tr>
      <w:tr w14:paraId="2FCE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2D692674">
            <w:pPr>
              <w:widowControl/>
              <w:shd w:val="clear" w:color="auto" w:fill="FFFFFF"/>
              <w:spacing w:line="265" w:lineRule="atLeast"/>
              <w:ind w:left="420"/>
              <w:contextualSpacing/>
              <w:jc w:val="left"/>
              <w:rPr>
                <w:rFonts w:hint="eastAsia" w:ascii="宋体" w:hAnsi="宋体" w:eastAsia="宋体" w:cs="宋体"/>
                <w:kern w:val="0"/>
                <w:sz w:val="24"/>
                <w:szCs w:val="24"/>
                <w:lang w:val="en-US" w:eastAsia="zh-CN" w:bidi="en-US"/>
              </w:rPr>
            </w:pPr>
          </w:p>
        </w:tc>
        <w:tc>
          <w:tcPr>
            <w:tcW w:w="3711" w:type="dxa"/>
            <w:noWrap w:val="0"/>
            <w:vAlign w:val="top"/>
          </w:tcPr>
          <w:p w14:paraId="4E26E1EA">
            <w:pPr>
              <w:rPr>
                <w:rFonts w:hint="eastAsia" w:ascii="宋体" w:hAnsi="宋体" w:cs="宋体"/>
              </w:rPr>
            </w:pPr>
          </w:p>
        </w:tc>
      </w:tr>
    </w:tbl>
    <w:p w14:paraId="5D0AD3E0">
      <w:pPr>
        <w:rPr>
          <w:rFonts w:hint="eastAsia" w:ascii="宋体" w:hAnsi="宋体" w:cs="宋体"/>
        </w:rPr>
      </w:pPr>
    </w:p>
    <w:p w14:paraId="68128B8A">
      <w:pPr>
        <w:ind w:firstLine="1084" w:firstLineChars="300"/>
        <w:jc w:val="center"/>
        <w:rPr>
          <w:rFonts w:hint="eastAsia" w:ascii="宋体" w:hAnsi="宋体" w:cs="宋体"/>
          <w:b/>
          <w:bCs/>
          <w:sz w:val="32"/>
          <w:szCs w:val="32"/>
        </w:rPr>
      </w:pPr>
      <w:r>
        <w:rPr>
          <w:rFonts w:hint="eastAsia" w:ascii="宋体" w:hAnsi="宋体" w:cs="宋体"/>
          <w:b/>
          <w:sz w:val="36"/>
          <w:u w:val="single"/>
        </w:rPr>
        <w:br w:type="page"/>
      </w:r>
      <w:r>
        <w:rPr>
          <w:rFonts w:hint="eastAsia" w:ascii="宋体" w:hAnsi="宋体" w:cs="宋体"/>
          <w:b/>
          <w:bCs/>
          <w:sz w:val="32"/>
          <w:szCs w:val="32"/>
        </w:rPr>
        <w:t>投标主要文件目录</w:t>
      </w:r>
    </w:p>
    <w:p w14:paraId="060F1D51">
      <w:pPr>
        <w:spacing w:line="440" w:lineRule="exact"/>
        <w:jc w:val="center"/>
        <w:rPr>
          <w:rFonts w:hint="eastAsia" w:ascii="宋体" w:hAnsi="宋体" w:cs="宋体"/>
          <w:b/>
          <w:bCs/>
          <w:sz w:val="32"/>
          <w:szCs w:val="32"/>
        </w:rPr>
      </w:pPr>
    </w:p>
    <w:p w14:paraId="74677C73">
      <w:pPr>
        <w:ind w:firstLine="480" w:firstLineChars="200"/>
        <w:rPr>
          <w:rFonts w:hint="eastAsia" w:ascii="宋体" w:hAnsi="宋体" w:cs="宋体"/>
          <w:sz w:val="24"/>
        </w:rPr>
      </w:pPr>
      <w:r>
        <w:rPr>
          <w:rFonts w:hint="eastAsia" w:ascii="宋体" w:hAnsi="宋体" w:cs="宋体"/>
          <w:sz w:val="24"/>
        </w:rPr>
        <w:t>一、资格审查响应对照表</w:t>
      </w:r>
    </w:p>
    <w:p w14:paraId="74FA8549">
      <w:pPr>
        <w:ind w:left="480"/>
        <w:rPr>
          <w:rFonts w:hint="eastAsia" w:ascii="宋体" w:hAnsi="宋体" w:cs="宋体"/>
          <w:sz w:val="24"/>
        </w:rPr>
      </w:pPr>
      <w:r>
        <w:rPr>
          <w:rFonts w:hint="eastAsia" w:ascii="宋体" w:hAnsi="宋体" w:cs="宋体"/>
          <w:sz w:val="24"/>
        </w:rPr>
        <w:t>二、符合性审查响应对照表</w:t>
      </w:r>
    </w:p>
    <w:p w14:paraId="263A7171">
      <w:pPr>
        <w:ind w:left="480"/>
        <w:rPr>
          <w:rFonts w:hint="eastAsia" w:ascii="宋体" w:hAnsi="宋体" w:cs="宋体"/>
          <w:sz w:val="24"/>
        </w:rPr>
      </w:pPr>
      <w:r>
        <w:rPr>
          <w:rFonts w:hint="eastAsia" w:ascii="宋体" w:hAnsi="宋体" w:cs="宋体"/>
          <w:sz w:val="24"/>
        </w:rPr>
        <w:t>三、非实质性响应对照表</w:t>
      </w:r>
    </w:p>
    <w:p w14:paraId="5DFED2DE">
      <w:pPr>
        <w:ind w:firstLine="480" w:firstLineChars="200"/>
        <w:rPr>
          <w:rFonts w:hint="eastAsia" w:ascii="宋体" w:hAnsi="宋体" w:cs="宋体"/>
          <w:sz w:val="24"/>
        </w:rPr>
      </w:pPr>
      <w:r>
        <w:rPr>
          <w:rFonts w:hint="eastAsia" w:ascii="宋体" w:hAnsi="宋体" w:cs="宋体"/>
          <w:sz w:val="24"/>
        </w:rPr>
        <w:t>四</w:t>
      </w:r>
      <w:r>
        <w:rPr>
          <w:rFonts w:hint="eastAsia" w:ascii="宋体" w:hAnsi="宋体" w:cs="宋体"/>
          <w:b/>
          <w:bCs/>
          <w:sz w:val="24"/>
        </w:rPr>
        <w:t>、</w:t>
      </w:r>
      <w:r>
        <w:rPr>
          <w:rFonts w:hint="eastAsia" w:ascii="宋体" w:hAnsi="宋体" w:cs="宋体"/>
          <w:sz w:val="24"/>
        </w:rPr>
        <w:t>投标产品配置与分项报价表</w:t>
      </w:r>
    </w:p>
    <w:p w14:paraId="0812CA80">
      <w:pPr>
        <w:ind w:firstLine="480" w:firstLineChars="200"/>
        <w:rPr>
          <w:rFonts w:hint="eastAsia" w:ascii="宋体" w:hAnsi="宋体" w:cs="宋体"/>
          <w:sz w:val="24"/>
        </w:rPr>
      </w:pPr>
      <w:r>
        <w:rPr>
          <w:rFonts w:hint="eastAsia" w:ascii="宋体" w:hAnsi="宋体" w:cs="宋体"/>
          <w:sz w:val="24"/>
        </w:rPr>
        <w:t>五</w:t>
      </w:r>
      <w:r>
        <w:rPr>
          <w:rFonts w:hint="eastAsia" w:ascii="宋体" w:hAnsi="宋体" w:cs="宋体"/>
          <w:sz w:val="24"/>
          <w:szCs w:val="24"/>
        </w:rPr>
        <w:t>、技术参数响应及偏离表</w:t>
      </w:r>
    </w:p>
    <w:p w14:paraId="4DBCF5F4">
      <w:pPr>
        <w:ind w:firstLine="480" w:firstLineChars="200"/>
        <w:rPr>
          <w:rFonts w:hint="eastAsia" w:ascii="宋体" w:hAnsi="宋体" w:cs="宋体"/>
          <w:sz w:val="24"/>
        </w:rPr>
      </w:pPr>
      <w:r>
        <w:rPr>
          <w:rFonts w:hint="eastAsia" w:ascii="宋体" w:hAnsi="宋体" w:cs="宋体"/>
          <w:sz w:val="24"/>
        </w:rPr>
        <w:t>六、商务条款响应及偏离表</w:t>
      </w:r>
    </w:p>
    <w:p w14:paraId="1282F3FA">
      <w:pPr>
        <w:ind w:firstLine="480" w:firstLineChars="200"/>
        <w:rPr>
          <w:rFonts w:hint="eastAsia" w:ascii="宋体" w:hAnsi="宋体" w:cs="宋体"/>
          <w:i/>
          <w:sz w:val="24"/>
          <w:u w:val="single"/>
        </w:rPr>
      </w:pPr>
      <w:r>
        <w:rPr>
          <w:rFonts w:hint="eastAsia" w:ascii="宋体" w:hAnsi="宋体" w:cs="宋体"/>
          <w:i/>
          <w:sz w:val="24"/>
          <w:u w:val="single"/>
        </w:rPr>
        <w:t>七、开标一览表</w:t>
      </w:r>
    </w:p>
    <w:p w14:paraId="0B076631">
      <w:pPr>
        <w:ind w:firstLine="480" w:firstLineChars="200"/>
        <w:rPr>
          <w:rFonts w:hint="eastAsia" w:ascii="宋体" w:hAnsi="宋体" w:cs="宋体"/>
        </w:rPr>
      </w:pPr>
      <w:r>
        <w:rPr>
          <w:rFonts w:hint="eastAsia" w:ascii="宋体" w:hAnsi="宋体" w:cs="宋体"/>
          <w:sz w:val="24"/>
        </w:rPr>
        <w:t>八、供应商认为有必要提供的声明及文件资料</w:t>
      </w:r>
    </w:p>
    <w:p w14:paraId="5144A08F">
      <w:pPr>
        <w:spacing w:line="440" w:lineRule="exact"/>
        <w:ind w:firstLine="480" w:firstLineChars="200"/>
        <w:rPr>
          <w:rFonts w:hint="eastAsia" w:ascii="宋体" w:hAnsi="宋体" w:cs="宋体"/>
          <w:sz w:val="24"/>
        </w:rPr>
      </w:pPr>
    </w:p>
    <w:p w14:paraId="0C5D4EC7">
      <w:pPr>
        <w:spacing w:line="440" w:lineRule="exact"/>
        <w:ind w:firstLine="480" w:firstLineChars="200"/>
        <w:rPr>
          <w:rFonts w:hint="eastAsia" w:ascii="宋体" w:hAnsi="宋体" w:cs="宋体"/>
          <w:sz w:val="24"/>
        </w:rPr>
      </w:pPr>
    </w:p>
    <w:p w14:paraId="79C18763">
      <w:pPr>
        <w:spacing w:line="440" w:lineRule="exact"/>
        <w:ind w:firstLine="480" w:firstLineChars="200"/>
        <w:rPr>
          <w:rFonts w:hint="eastAsia" w:ascii="宋体" w:hAnsi="宋体" w:cs="宋体"/>
          <w:sz w:val="24"/>
        </w:rPr>
      </w:pPr>
    </w:p>
    <w:p w14:paraId="53A90E48">
      <w:pPr>
        <w:spacing w:line="440" w:lineRule="exact"/>
        <w:ind w:firstLine="480" w:firstLineChars="200"/>
        <w:rPr>
          <w:rFonts w:hint="eastAsia" w:ascii="宋体" w:hAnsi="宋体" w:cs="宋体"/>
          <w:sz w:val="24"/>
        </w:rPr>
      </w:pPr>
    </w:p>
    <w:p w14:paraId="7D85FF3F">
      <w:pPr>
        <w:spacing w:line="440" w:lineRule="exact"/>
        <w:ind w:firstLine="480" w:firstLineChars="200"/>
        <w:rPr>
          <w:rFonts w:hint="eastAsia" w:ascii="宋体" w:hAnsi="宋体" w:cs="宋体"/>
          <w:sz w:val="24"/>
        </w:rPr>
      </w:pPr>
    </w:p>
    <w:p w14:paraId="4E529EF8">
      <w:pPr>
        <w:spacing w:line="440" w:lineRule="exact"/>
        <w:ind w:firstLine="480" w:firstLineChars="200"/>
        <w:rPr>
          <w:rFonts w:hint="eastAsia" w:ascii="宋体" w:hAnsi="宋体" w:cs="宋体"/>
          <w:sz w:val="24"/>
        </w:rPr>
      </w:pPr>
    </w:p>
    <w:p w14:paraId="0CED1CC6">
      <w:pPr>
        <w:spacing w:line="440" w:lineRule="exact"/>
        <w:ind w:firstLine="480" w:firstLineChars="200"/>
        <w:rPr>
          <w:rFonts w:hint="eastAsia" w:ascii="宋体" w:hAnsi="宋体" w:cs="宋体"/>
          <w:sz w:val="24"/>
        </w:rPr>
      </w:pPr>
    </w:p>
    <w:p w14:paraId="75A7593A">
      <w:pPr>
        <w:spacing w:line="440" w:lineRule="exact"/>
        <w:ind w:firstLine="480" w:firstLineChars="200"/>
        <w:rPr>
          <w:rFonts w:hint="eastAsia" w:ascii="宋体" w:hAnsi="宋体" w:cs="宋体"/>
          <w:sz w:val="24"/>
        </w:rPr>
      </w:pPr>
    </w:p>
    <w:p w14:paraId="1399AEDB">
      <w:pPr>
        <w:spacing w:line="440" w:lineRule="exact"/>
        <w:ind w:firstLine="480" w:firstLineChars="200"/>
        <w:rPr>
          <w:rFonts w:hint="eastAsia" w:ascii="宋体" w:hAnsi="宋体" w:cs="宋体"/>
          <w:sz w:val="24"/>
        </w:rPr>
      </w:pPr>
    </w:p>
    <w:p w14:paraId="154AD08D">
      <w:pPr>
        <w:spacing w:line="440" w:lineRule="exact"/>
        <w:ind w:firstLine="480" w:firstLineChars="200"/>
        <w:rPr>
          <w:rFonts w:hint="eastAsia" w:ascii="宋体" w:hAnsi="宋体" w:cs="宋体"/>
          <w:sz w:val="24"/>
        </w:rPr>
      </w:pPr>
    </w:p>
    <w:p w14:paraId="1064BADD">
      <w:pPr>
        <w:spacing w:line="440" w:lineRule="exact"/>
        <w:ind w:firstLine="480" w:firstLineChars="200"/>
        <w:rPr>
          <w:rFonts w:hint="eastAsia" w:ascii="宋体" w:hAnsi="宋体" w:cs="宋体"/>
          <w:sz w:val="24"/>
        </w:rPr>
      </w:pPr>
    </w:p>
    <w:p w14:paraId="7D0D3CDD">
      <w:pPr>
        <w:spacing w:line="440" w:lineRule="exact"/>
        <w:ind w:firstLine="480" w:firstLineChars="200"/>
        <w:rPr>
          <w:rFonts w:hint="eastAsia" w:ascii="宋体" w:hAnsi="宋体" w:cs="宋体"/>
          <w:sz w:val="24"/>
        </w:rPr>
      </w:pPr>
    </w:p>
    <w:p w14:paraId="29DC0F0C">
      <w:pPr>
        <w:spacing w:line="440" w:lineRule="exact"/>
        <w:ind w:firstLine="480" w:firstLineChars="200"/>
        <w:rPr>
          <w:rFonts w:hint="eastAsia" w:ascii="宋体" w:hAnsi="宋体" w:cs="宋体"/>
          <w:sz w:val="24"/>
        </w:rPr>
      </w:pPr>
    </w:p>
    <w:p w14:paraId="0C1EE045">
      <w:pPr>
        <w:spacing w:line="440" w:lineRule="exact"/>
        <w:ind w:firstLine="480" w:firstLineChars="200"/>
        <w:rPr>
          <w:rFonts w:hint="eastAsia" w:ascii="宋体" w:hAnsi="宋体" w:cs="宋体"/>
          <w:sz w:val="24"/>
        </w:rPr>
      </w:pPr>
    </w:p>
    <w:p w14:paraId="0D1C457E">
      <w:pPr>
        <w:spacing w:line="440" w:lineRule="exact"/>
        <w:ind w:firstLine="480" w:firstLineChars="200"/>
        <w:rPr>
          <w:rFonts w:hint="eastAsia" w:ascii="宋体" w:hAnsi="宋体" w:cs="宋体"/>
          <w:sz w:val="24"/>
        </w:rPr>
      </w:pPr>
    </w:p>
    <w:p w14:paraId="5B686395">
      <w:pPr>
        <w:spacing w:line="440" w:lineRule="exact"/>
        <w:ind w:firstLine="480" w:firstLineChars="200"/>
        <w:rPr>
          <w:rFonts w:hint="eastAsia" w:ascii="宋体" w:hAnsi="宋体" w:cs="宋体"/>
          <w:sz w:val="24"/>
        </w:rPr>
      </w:pPr>
    </w:p>
    <w:p w14:paraId="0F4612CE">
      <w:pPr>
        <w:keepNext/>
        <w:keepLines/>
        <w:widowControl w:val="0"/>
        <w:spacing w:before="260" w:after="260" w:line="416" w:lineRule="auto"/>
        <w:jc w:val="center"/>
        <w:outlineLvl w:val="2"/>
        <w:rPr>
          <w:rFonts w:hint="eastAsia" w:ascii="宋体" w:hAnsi="宋体" w:eastAsia="宋体" w:cs="宋体"/>
          <w:b/>
          <w:bCs/>
          <w:kern w:val="2"/>
          <w:sz w:val="44"/>
          <w:szCs w:val="32"/>
          <w:lang w:val="en-US" w:eastAsia="zh-CN" w:bidi="ar-SA"/>
        </w:rPr>
      </w:pPr>
      <w:r>
        <w:rPr>
          <w:rFonts w:hint="eastAsia" w:ascii="宋体" w:hAnsi="宋体" w:eastAsia="宋体" w:cs="宋体"/>
          <w:b/>
          <w:bCs/>
          <w:kern w:val="2"/>
          <w:sz w:val="24"/>
          <w:szCs w:val="32"/>
          <w:lang w:val="en-US" w:eastAsia="zh-CN" w:bidi="ar-SA"/>
        </w:rPr>
        <w:br w:type="page"/>
      </w:r>
      <w:bookmarkStart w:id="265" w:name="_Toc534816641"/>
      <w:bookmarkStart w:id="266" w:name="_Toc534725612"/>
      <w:bookmarkStart w:id="267" w:name="_Toc10130"/>
      <w:r>
        <w:rPr>
          <w:rFonts w:hint="eastAsia" w:ascii="宋体" w:hAnsi="宋体" w:eastAsia="宋体" w:cs="宋体"/>
          <w:b/>
          <w:bCs/>
          <w:kern w:val="2"/>
          <w:sz w:val="32"/>
          <w:szCs w:val="32"/>
          <w:lang w:val="en-US" w:eastAsia="zh-CN" w:bidi="ar-SA"/>
        </w:rPr>
        <w:t>一、</w:t>
      </w:r>
      <w:bookmarkEnd w:id="265"/>
      <w:bookmarkEnd w:id="266"/>
      <w:r>
        <w:rPr>
          <w:rFonts w:hint="eastAsia" w:ascii="宋体" w:hAnsi="宋体" w:eastAsia="宋体" w:cs="宋体"/>
          <w:b/>
          <w:bCs/>
          <w:kern w:val="2"/>
          <w:sz w:val="32"/>
          <w:szCs w:val="32"/>
          <w:lang w:val="en-US" w:eastAsia="zh-CN" w:bidi="ar-SA"/>
        </w:rPr>
        <w:t>资格审查响应对照表</w:t>
      </w:r>
      <w:bookmarkEnd w:id="262"/>
      <w:bookmarkEnd w:id="263"/>
      <w:bookmarkEnd w:id="264"/>
      <w:bookmarkEnd w:id="267"/>
    </w:p>
    <w:p w14:paraId="708EAB95">
      <w:pPr>
        <w:snapToGrid w:val="0"/>
        <w:spacing w:before="50" w:after="50"/>
        <w:rPr>
          <w:rFonts w:hint="eastAsia" w:ascii="宋体" w:hAnsi="宋体" w:cs="宋体"/>
          <w:sz w:val="44"/>
        </w:rPr>
      </w:pPr>
    </w:p>
    <w:tbl>
      <w:tblPr>
        <w:tblStyle w:val="18"/>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103"/>
        <w:gridCol w:w="1916"/>
      </w:tblGrid>
      <w:tr w14:paraId="4FAA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331CE258">
            <w:pPr>
              <w:snapToGrid w:val="0"/>
              <w:spacing w:line="240" w:lineRule="atLeast"/>
              <w:jc w:val="center"/>
              <w:rPr>
                <w:rFonts w:hint="eastAsia" w:ascii="宋体" w:hAnsi="宋体" w:cs="宋体"/>
                <w:b/>
              </w:rPr>
            </w:pPr>
            <w:r>
              <w:rPr>
                <w:rFonts w:hint="eastAsia" w:ascii="宋体" w:hAnsi="宋体" w:cs="宋体"/>
                <w:b/>
              </w:rPr>
              <w:t>序号</w:t>
            </w:r>
          </w:p>
        </w:tc>
        <w:tc>
          <w:tcPr>
            <w:tcW w:w="5447" w:type="dxa"/>
            <w:noWrap w:val="0"/>
            <w:vAlign w:val="center"/>
          </w:tcPr>
          <w:p w14:paraId="7B699A7B">
            <w:pPr>
              <w:snapToGrid w:val="0"/>
              <w:spacing w:line="240" w:lineRule="atLeast"/>
              <w:jc w:val="center"/>
              <w:rPr>
                <w:rFonts w:hint="eastAsia" w:ascii="宋体" w:hAnsi="宋体" w:cs="宋体"/>
                <w:b/>
              </w:rPr>
            </w:pPr>
            <w:r>
              <w:rPr>
                <w:rFonts w:hint="eastAsia" w:ascii="宋体" w:hAnsi="宋体" w:cs="宋体"/>
                <w:b/>
              </w:rPr>
              <w:t>资格审查响应内容</w:t>
            </w:r>
          </w:p>
        </w:tc>
        <w:tc>
          <w:tcPr>
            <w:tcW w:w="1103" w:type="dxa"/>
            <w:noWrap w:val="0"/>
            <w:vAlign w:val="center"/>
          </w:tcPr>
          <w:p w14:paraId="4108A126">
            <w:pPr>
              <w:snapToGrid w:val="0"/>
              <w:spacing w:line="240" w:lineRule="atLeast"/>
              <w:jc w:val="center"/>
              <w:rPr>
                <w:rFonts w:hint="eastAsia" w:ascii="宋体" w:hAnsi="宋体" w:cs="宋体"/>
                <w:b/>
              </w:rPr>
            </w:pPr>
            <w:r>
              <w:rPr>
                <w:rFonts w:hint="eastAsia" w:ascii="宋体" w:hAnsi="宋体" w:cs="宋体"/>
                <w:b/>
              </w:rPr>
              <w:t>是否响应</w:t>
            </w:r>
          </w:p>
          <w:p w14:paraId="1442F95A">
            <w:pPr>
              <w:snapToGrid w:val="0"/>
              <w:spacing w:line="240" w:lineRule="atLeast"/>
              <w:jc w:val="center"/>
              <w:rPr>
                <w:rFonts w:hint="eastAsia" w:ascii="宋体" w:hAnsi="宋体" w:cs="宋体"/>
                <w:b/>
              </w:rPr>
            </w:pPr>
            <w:r>
              <w:rPr>
                <w:rFonts w:hint="eastAsia" w:ascii="宋体" w:hAnsi="宋体" w:cs="宋体"/>
                <w:b/>
              </w:rPr>
              <w:t>（填是或否）</w:t>
            </w:r>
          </w:p>
        </w:tc>
        <w:tc>
          <w:tcPr>
            <w:tcW w:w="1916" w:type="dxa"/>
            <w:noWrap w:val="0"/>
            <w:vAlign w:val="center"/>
          </w:tcPr>
          <w:p w14:paraId="6DFE578C">
            <w:pPr>
              <w:snapToGrid w:val="0"/>
              <w:spacing w:line="240" w:lineRule="atLeast"/>
              <w:jc w:val="center"/>
              <w:rPr>
                <w:rFonts w:hint="eastAsia" w:ascii="宋体" w:hAnsi="宋体" w:cs="宋体"/>
                <w:b/>
              </w:rPr>
            </w:pPr>
            <w:r>
              <w:rPr>
                <w:rFonts w:hint="eastAsia" w:ascii="宋体" w:hAnsi="宋体" w:cs="宋体"/>
                <w:b/>
              </w:rPr>
              <w:t>上传证明材料的图片（按顺序附到此对照表后面）</w:t>
            </w:r>
          </w:p>
        </w:tc>
      </w:tr>
      <w:tr w14:paraId="4BE1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12" w:type="dxa"/>
            <w:gridSpan w:val="4"/>
            <w:noWrap w:val="0"/>
            <w:vAlign w:val="center"/>
          </w:tcPr>
          <w:p w14:paraId="783DB895">
            <w:pPr>
              <w:rPr>
                <w:rFonts w:hint="eastAsia" w:ascii="宋体" w:hAnsi="宋体" w:cs="宋体"/>
                <w:b/>
              </w:rPr>
            </w:pPr>
            <w:r>
              <w:rPr>
                <w:rFonts w:hint="eastAsia" w:ascii="宋体" w:hAnsi="宋体" w:cs="宋体"/>
                <w:b/>
              </w:rPr>
              <w:t>通用资格条件</w:t>
            </w:r>
          </w:p>
        </w:tc>
      </w:tr>
      <w:tr w14:paraId="2E04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363608E3">
            <w:pPr>
              <w:jc w:val="center"/>
              <w:rPr>
                <w:rFonts w:hint="eastAsia" w:ascii="宋体" w:hAnsi="宋体" w:cs="宋体"/>
                <w:b/>
              </w:rPr>
            </w:pPr>
            <w:r>
              <w:rPr>
                <w:rFonts w:hint="eastAsia" w:ascii="宋体" w:hAnsi="宋体" w:cs="宋体"/>
                <w:b/>
              </w:rPr>
              <w:t>1</w:t>
            </w:r>
          </w:p>
        </w:tc>
        <w:tc>
          <w:tcPr>
            <w:tcW w:w="5447" w:type="dxa"/>
            <w:noWrap w:val="0"/>
            <w:vAlign w:val="center"/>
          </w:tcPr>
          <w:p w14:paraId="088C3D49">
            <w:pPr>
              <w:spacing w:line="0" w:lineRule="atLeast"/>
              <w:rPr>
                <w:rFonts w:hint="eastAsia" w:ascii="宋体" w:hAnsi="宋体" w:cs="宋体"/>
                <w:iCs/>
                <w:sz w:val="24"/>
                <w:szCs w:val="24"/>
              </w:rPr>
            </w:pPr>
            <w:r>
              <w:rPr>
                <w:rFonts w:hint="eastAsia" w:ascii="宋体" w:hAnsi="宋体" w:cs="宋体"/>
                <w:iCs/>
                <w:sz w:val="24"/>
                <w:szCs w:val="24"/>
              </w:rPr>
              <w:t>法人或者其他组织的营业执照等证明文件，自然人的身份证明（身份证为正、反面）</w:t>
            </w:r>
          </w:p>
        </w:tc>
        <w:tc>
          <w:tcPr>
            <w:tcW w:w="1103" w:type="dxa"/>
            <w:noWrap w:val="0"/>
            <w:vAlign w:val="center"/>
          </w:tcPr>
          <w:p w14:paraId="614B3B10">
            <w:pPr>
              <w:rPr>
                <w:rFonts w:hint="eastAsia" w:ascii="宋体" w:hAnsi="宋体" w:cs="宋体"/>
                <w:b/>
              </w:rPr>
            </w:pPr>
          </w:p>
        </w:tc>
        <w:tc>
          <w:tcPr>
            <w:tcW w:w="1916" w:type="dxa"/>
            <w:noWrap w:val="0"/>
            <w:vAlign w:val="center"/>
          </w:tcPr>
          <w:p w14:paraId="14492717">
            <w:pPr>
              <w:rPr>
                <w:rFonts w:hint="eastAsia" w:ascii="宋体" w:hAnsi="宋体" w:cs="宋体"/>
                <w:b/>
              </w:rPr>
            </w:pPr>
          </w:p>
        </w:tc>
      </w:tr>
      <w:tr w14:paraId="4C8D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089A8CE5">
            <w:pPr>
              <w:jc w:val="center"/>
              <w:rPr>
                <w:rFonts w:hint="eastAsia" w:ascii="宋体" w:hAnsi="宋体" w:cs="宋体"/>
              </w:rPr>
            </w:pPr>
            <w:r>
              <w:rPr>
                <w:rFonts w:hint="eastAsia" w:ascii="宋体" w:hAnsi="宋体" w:cs="宋体"/>
              </w:rPr>
              <w:t>2</w:t>
            </w:r>
          </w:p>
        </w:tc>
        <w:tc>
          <w:tcPr>
            <w:tcW w:w="5447" w:type="dxa"/>
            <w:noWrap w:val="0"/>
            <w:vAlign w:val="center"/>
          </w:tcPr>
          <w:p w14:paraId="4FB3ECC1">
            <w:pPr>
              <w:spacing w:line="0" w:lineRule="atLeast"/>
              <w:rPr>
                <w:rFonts w:hint="eastAsia" w:ascii="宋体" w:hAnsi="宋体" w:cs="宋体"/>
                <w:iCs/>
                <w:sz w:val="24"/>
                <w:szCs w:val="24"/>
              </w:rPr>
            </w:pPr>
            <w:r>
              <w:rPr>
                <w:rFonts w:hint="eastAsia" w:ascii="宋体" w:hAnsi="宋体" w:cs="宋体"/>
                <w:iCs/>
                <w:sz w:val="24"/>
                <w:szCs w:val="24"/>
              </w:rPr>
              <w:t>最近一个年度的财务状况报告（成立不满一年不需提供）</w:t>
            </w:r>
          </w:p>
        </w:tc>
        <w:tc>
          <w:tcPr>
            <w:tcW w:w="1103" w:type="dxa"/>
            <w:noWrap w:val="0"/>
            <w:vAlign w:val="center"/>
          </w:tcPr>
          <w:p w14:paraId="2894F5A3">
            <w:pPr>
              <w:rPr>
                <w:rFonts w:hint="eastAsia" w:ascii="宋体" w:hAnsi="宋体" w:cs="宋体"/>
              </w:rPr>
            </w:pPr>
          </w:p>
        </w:tc>
        <w:tc>
          <w:tcPr>
            <w:tcW w:w="1916" w:type="dxa"/>
            <w:noWrap w:val="0"/>
            <w:vAlign w:val="center"/>
          </w:tcPr>
          <w:p w14:paraId="79623AF9">
            <w:pPr>
              <w:rPr>
                <w:rFonts w:hint="eastAsia" w:ascii="宋体" w:hAnsi="宋体" w:cs="宋体"/>
              </w:rPr>
            </w:pPr>
          </w:p>
        </w:tc>
      </w:tr>
      <w:tr w14:paraId="3BCF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7F9E221C">
            <w:pPr>
              <w:jc w:val="center"/>
              <w:rPr>
                <w:rFonts w:hint="eastAsia" w:ascii="宋体" w:hAnsi="宋体" w:cs="宋体"/>
              </w:rPr>
            </w:pPr>
            <w:r>
              <w:rPr>
                <w:rFonts w:hint="eastAsia" w:ascii="宋体" w:hAnsi="宋体" w:cs="宋体"/>
              </w:rPr>
              <w:t>3</w:t>
            </w:r>
          </w:p>
        </w:tc>
        <w:tc>
          <w:tcPr>
            <w:tcW w:w="5447" w:type="dxa"/>
            <w:noWrap w:val="0"/>
            <w:vAlign w:val="center"/>
          </w:tcPr>
          <w:p w14:paraId="4D3A6A16">
            <w:pPr>
              <w:spacing w:line="0" w:lineRule="atLeast"/>
              <w:rPr>
                <w:rFonts w:hint="eastAsia" w:ascii="宋体" w:hAnsi="宋体" w:cs="宋体"/>
                <w:iCs/>
                <w:sz w:val="24"/>
                <w:szCs w:val="24"/>
              </w:rPr>
            </w:pPr>
            <w:r>
              <w:rPr>
                <w:rFonts w:hint="eastAsia" w:ascii="宋体" w:hAnsi="宋体" w:cs="宋体"/>
                <w:iCs/>
                <w:sz w:val="24"/>
                <w:szCs w:val="24"/>
              </w:rPr>
              <w:t>依法缴纳税收和社会保障资金的相关材料（提供提交投标文件截止时间前一年内至少一个月依法缴纳税收及缴纳社会保障资金的证明材料。投标人依法享受缓缴、免缴税收、社会保障资金的提供证明材料。）</w:t>
            </w:r>
          </w:p>
        </w:tc>
        <w:tc>
          <w:tcPr>
            <w:tcW w:w="1103" w:type="dxa"/>
            <w:noWrap w:val="0"/>
            <w:vAlign w:val="center"/>
          </w:tcPr>
          <w:p w14:paraId="357B78E1">
            <w:pPr>
              <w:rPr>
                <w:rFonts w:hint="eastAsia" w:ascii="宋体" w:hAnsi="宋体" w:cs="宋体"/>
              </w:rPr>
            </w:pPr>
          </w:p>
        </w:tc>
        <w:tc>
          <w:tcPr>
            <w:tcW w:w="1916" w:type="dxa"/>
            <w:noWrap w:val="0"/>
            <w:vAlign w:val="center"/>
          </w:tcPr>
          <w:p w14:paraId="5A2EC5D4">
            <w:pPr>
              <w:rPr>
                <w:rFonts w:hint="eastAsia" w:ascii="宋体" w:hAnsi="宋体" w:cs="宋体"/>
              </w:rPr>
            </w:pPr>
          </w:p>
        </w:tc>
      </w:tr>
      <w:tr w14:paraId="7988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noWrap w:val="0"/>
            <w:vAlign w:val="center"/>
          </w:tcPr>
          <w:p w14:paraId="42F38EC3">
            <w:pPr>
              <w:jc w:val="center"/>
              <w:rPr>
                <w:rFonts w:hint="eastAsia" w:ascii="宋体" w:hAnsi="宋体" w:cs="宋体"/>
              </w:rPr>
            </w:pPr>
            <w:r>
              <w:rPr>
                <w:rFonts w:hint="eastAsia" w:ascii="宋体" w:hAnsi="宋体" w:cs="宋体"/>
              </w:rPr>
              <w:t>4</w:t>
            </w:r>
          </w:p>
        </w:tc>
        <w:tc>
          <w:tcPr>
            <w:tcW w:w="5447" w:type="dxa"/>
            <w:noWrap w:val="0"/>
            <w:vAlign w:val="center"/>
          </w:tcPr>
          <w:p w14:paraId="721A1221">
            <w:pPr>
              <w:spacing w:line="0" w:lineRule="atLeast"/>
              <w:rPr>
                <w:rFonts w:hint="eastAsia" w:ascii="宋体" w:hAnsi="宋体" w:cs="宋体"/>
                <w:iCs/>
                <w:sz w:val="24"/>
                <w:szCs w:val="24"/>
              </w:rPr>
            </w:pPr>
            <w:r>
              <w:rPr>
                <w:rFonts w:hint="eastAsia" w:ascii="宋体" w:hAnsi="宋体" w:cs="宋体"/>
                <w:iCs/>
                <w:sz w:val="24"/>
                <w:szCs w:val="24"/>
              </w:rPr>
              <w:t>具备履行合同所必需的设备和专业技术能力的书面声明</w:t>
            </w:r>
          </w:p>
        </w:tc>
        <w:tc>
          <w:tcPr>
            <w:tcW w:w="1103" w:type="dxa"/>
            <w:noWrap w:val="0"/>
            <w:vAlign w:val="center"/>
          </w:tcPr>
          <w:p w14:paraId="563C0046">
            <w:pPr>
              <w:rPr>
                <w:rFonts w:hint="eastAsia" w:ascii="宋体" w:hAnsi="宋体" w:cs="宋体"/>
              </w:rPr>
            </w:pPr>
          </w:p>
        </w:tc>
        <w:tc>
          <w:tcPr>
            <w:tcW w:w="1916" w:type="dxa"/>
            <w:noWrap w:val="0"/>
            <w:vAlign w:val="center"/>
          </w:tcPr>
          <w:p w14:paraId="7EEB3ED0">
            <w:pPr>
              <w:rPr>
                <w:rFonts w:hint="eastAsia" w:ascii="宋体" w:hAnsi="宋体" w:cs="宋体"/>
              </w:rPr>
            </w:pPr>
          </w:p>
        </w:tc>
      </w:tr>
      <w:tr w14:paraId="214A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5EE46155">
            <w:pPr>
              <w:jc w:val="center"/>
              <w:rPr>
                <w:rFonts w:hint="eastAsia" w:ascii="宋体" w:hAnsi="宋体" w:cs="宋体"/>
              </w:rPr>
            </w:pPr>
            <w:r>
              <w:rPr>
                <w:rFonts w:hint="eastAsia" w:ascii="宋体" w:hAnsi="宋体" w:cs="宋体"/>
              </w:rPr>
              <w:t>5</w:t>
            </w:r>
          </w:p>
        </w:tc>
        <w:tc>
          <w:tcPr>
            <w:tcW w:w="5447" w:type="dxa"/>
            <w:noWrap w:val="0"/>
            <w:vAlign w:val="center"/>
          </w:tcPr>
          <w:p w14:paraId="5F2B8184">
            <w:pPr>
              <w:snapToGrid w:val="0"/>
              <w:spacing w:line="0" w:lineRule="atLeast"/>
              <w:rPr>
                <w:rFonts w:hint="eastAsia" w:ascii="宋体" w:hAnsi="宋体" w:cs="宋体"/>
                <w:iCs/>
                <w:sz w:val="24"/>
                <w:szCs w:val="24"/>
              </w:rPr>
            </w:pPr>
            <w:r>
              <w:rPr>
                <w:rFonts w:hint="eastAsia" w:ascii="宋体" w:hAnsi="宋体" w:cs="宋体"/>
                <w:iCs/>
                <w:sz w:val="24"/>
                <w:szCs w:val="24"/>
              </w:rPr>
              <w:t>参加政府采购活动前 3 年内在经营活动中没有重大违法记录的书面声明</w:t>
            </w:r>
          </w:p>
        </w:tc>
        <w:tc>
          <w:tcPr>
            <w:tcW w:w="1103" w:type="dxa"/>
            <w:noWrap w:val="0"/>
            <w:vAlign w:val="center"/>
          </w:tcPr>
          <w:p w14:paraId="7A89F511">
            <w:pPr>
              <w:rPr>
                <w:rFonts w:hint="eastAsia" w:ascii="宋体" w:hAnsi="宋体" w:cs="宋体"/>
              </w:rPr>
            </w:pPr>
          </w:p>
        </w:tc>
        <w:tc>
          <w:tcPr>
            <w:tcW w:w="1916" w:type="dxa"/>
            <w:noWrap w:val="0"/>
            <w:vAlign w:val="center"/>
          </w:tcPr>
          <w:p w14:paraId="5D700120">
            <w:pPr>
              <w:rPr>
                <w:rFonts w:hint="eastAsia" w:ascii="宋体" w:hAnsi="宋体" w:cs="宋体"/>
              </w:rPr>
            </w:pPr>
          </w:p>
        </w:tc>
      </w:tr>
      <w:tr w14:paraId="6819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3DEAC5AD">
            <w:pPr>
              <w:jc w:val="center"/>
              <w:rPr>
                <w:rFonts w:hint="eastAsia" w:ascii="宋体" w:hAnsi="宋体" w:cs="宋体"/>
              </w:rPr>
            </w:pPr>
            <w:r>
              <w:rPr>
                <w:rFonts w:hint="eastAsia" w:ascii="宋体" w:hAnsi="宋体" w:cs="宋体"/>
              </w:rPr>
              <w:t>6</w:t>
            </w:r>
          </w:p>
        </w:tc>
        <w:tc>
          <w:tcPr>
            <w:tcW w:w="5447" w:type="dxa"/>
            <w:noWrap w:val="0"/>
            <w:vAlign w:val="center"/>
          </w:tcPr>
          <w:p w14:paraId="5A72A6A8">
            <w:pPr>
              <w:snapToGrid w:val="0"/>
              <w:spacing w:line="0" w:lineRule="atLeast"/>
              <w:rPr>
                <w:rFonts w:hint="eastAsia" w:ascii="宋体" w:hAnsi="宋体" w:cs="宋体"/>
                <w:iCs/>
                <w:sz w:val="24"/>
                <w:szCs w:val="24"/>
              </w:rPr>
            </w:pPr>
            <w:r>
              <w:rPr>
                <w:rFonts w:hint="eastAsia" w:ascii="宋体" w:hAnsi="宋体" w:cs="宋体"/>
                <w:iCs/>
                <w:sz w:val="24"/>
                <w:szCs w:val="24"/>
              </w:rPr>
              <w:t>未被“信用中国”网站（www.creditchina.gov.cn）、“中国政府采购网”(www.ccgp.gov.cn）列入失信被执行人、重大税收违法案件当事人名单、政府采购严重失信行为记录名单</w:t>
            </w:r>
            <w:r>
              <w:rPr>
                <w:rFonts w:hint="eastAsia" w:ascii="宋体" w:hAnsi="宋体" w:cs="宋体"/>
                <w:sz w:val="24"/>
                <w:szCs w:val="24"/>
              </w:rPr>
              <w:t>（提供网页截图或自拟承诺函）</w:t>
            </w:r>
          </w:p>
        </w:tc>
        <w:tc>
          <w:tcPr>
            <w:tcW w:w="1103" w:type="dxa"/>
            <w:noWrap w:val="0"/>
            <w:vAlign w:val="center"/>
          </w:tcPr>
          <w:p w14:paraId="768B83E2">
            <w:pPr>
              <w:rPr>
                <w:rFonts w:hint="eastAsia" w:ascii="宋体" w:hAnsi="宋体" w:cs="宋体"/>
              </w:rPr>
            </w:pPr>
          </w:p>
        </w:tc>
        <w:tc>
          <w:tcPr>
            <w:tcW w:w="1916" w:type="dxa"/>
            <w:noWrap w:val="0"/>
            <w:vAlign w:val="center"/>
          </w:tcPr>
          <w:p w14:paraId="622AA2C0">
            <w:pPr>
              <w:rPr>
                <w:rFonts w:hint="eastAsia" w:ascii="宋体" w:hAnsi="宋体" w:cs="宋体"/>
              </w:rPr>
            </w:pPr>
          </w:p>
        </w:tc>
      </w:tr>
      <w:tr w14:paraId="26D8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2" w:type="dxa"/>
            <w:gridSpan w:val="4"/>
            <w:noWrap w:val="0"/>
            <w:vAlign w:val="center"/>
          </w:tcPr>
          <w:p w14:paraId="47936799">
            <w:pPr>
              <w:rPr>
                <w:rFonts w:hint="eastAsia" w:ascii="宋体" w:hAnsi="宋体" w:cs="宋体"/>
              </w:rPr>
            </w:pPr>
            <w:r>
              <w:rPr>
                <w:rFonts w:hint="eastAsia" w:ascii="宋体" w:hAnsi="宋体" w:cs="宋体"/>
                <w:b/>
              </w:rPr>
              <w:t>特定资格条件</w:t>
            </w:r>
          </w:p>
        </w:tc>
      </w:tr>
      <w:tr w14:paraId="1FDF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280D8D23">
            <w:pPr>
              <w:jc w:val="center"/>
              <w:rPr>
                <w:rFonts w:hint="eastAsia" w:ascii="宋体" w:hAnsi="宋体" w:cs="宋体"/>
              </w:rPr>
            </w:pPr>
            <w:r>
              <w:rPr>
                <w:rFonts w:hint="eastAsia" w:ascii="宋体" w:hAnsi="宋体" w:cs="宋体"/>
              </w:rPr>
              <w:t>7</w:t>
            </w:r>
          </w:p>
        </w:tc>
        <w:tc>
          <w:tcPr>
            <w:tcW w:w="5447" w:type="dxa"/>
            <w:noWrap w:val="0"/>
            <w:vAlign w:val="center"/>
          </w:tcPr>
          <w:p w14:paraId="2006018C">
            <w:pPr>
              <w:snapToGrid w:val="0"/>
              <w:spacing w:line="0" w:lineRule="atLeast"/>
              <w:jc w:val="left"/>
              <w:rPr>
                <w:rFonts w:hint="eastAsia" w:ascii="宋体" w:hAnsi="宋体" w:cs="宋体"/>
                <w:iCs/>
                <w:sz w:val="24"/>
                <w:szCs w:val="24"/>
              </w:rPr>
            </w:pPr>
            <w:r>
              <w:rPr>
                <w:rFonts w:hint="eastAsia" w:ascii="宋体" w:hAnsi="宋体" w:cs="宋体"/>
                <w:iCs/>
                <w:sz w:val="24"/>
                <w:szCs w:val="24"/>
              </w:rPr>
              <w:t>……</w:t>
            </w:r>
          </w:p>
        </w:tc>
        <w:tc>
          <w:tcPr>
            <w:tcW w:w="3019" w:type="dxa"/>
            <w:gridSpan w:val="2"/>
            <w:noWrap w:val="0"/>
            <w:vAlign w:val="center"/>
          </w:tcPr>
          <w:p w14:paraId="1BA4D3AB">
            <w:pPr>
              <w:rPr>
                <w:rFonts w:hint="eastAsia" w:ascii="宋体" w:hAnsi="宋体" w:cs="宋体"/>
              </w:rPr>
            </w:pPr>
            <w:r>
              <w:rPr>
                <w:rFonts w:hint="eastAsia" w:ascii="宋体" w:hAnsi="宋体" w:cs="宋体"/>
              </w:rPr>
              <w:t>如该项目设定</w:t>
            </w:r>
          </w:p>
        </w:tc>
      </w:tr>
      <w:tr w14:paraId="18FC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14:paraId="51ED5386">
            <w:pPr>
              <w:rPr>
                <w:rFonts w:hint="eastAsia" w:ascii="宋体" w:hAnsi="宋体" w:cs="宋体"/>
              </w:rPr>
            </w:pPr>
            <w:r>
              <w:rPr>
                <w:rFonts w:hint="eastAsia" w:ascii="宋体" w:hAnsi="宋体" w:cs="宋体"/>
                <w:b/>
              </w:rPr>
              <w:t>落实政府采购政策需满足的资格要求</w:t>
            </w:r>
          </w:p>
        </w:tc>
      </w:tr>
      <w:tr w14:paraId="7314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2E02B7D7">
            <w:pPr>
              <w:jc w:val="center"/>
              <w:rPr>
                <w:rFonts w:hint="eastAsia" w:ascii="宋体" w:hAnsi="宋体" w:cs="宋体"/>
              </w:rPr>
            </w:pPr>
            <w:r>
              <w:rPr>
                <w:rFonts w:hint="eastAsia" w:ascii="宋体" w:hAnsi="宋体" w:cs="宋体"/>
              </w:rPr>
              <w:t>8</w:t>
            </w:r>
          </w:p>
        </w:tc>
        <w:tc>
          <w:tcPr>
            <w:tcW w:w="5447" w:type="dxa"/>
            <w:noWrap w:val="0"/>
            <w:vAlign w:val="center"/>
          </w:tcPr>
          <w:p w14:paraId="678E09A9">
            <w:pPr>
              <w:snapToGrid w:val="0"/>
              <w:spacing w:line="0" w:lineRule="atLeast"/>
              <w:jc w:val="left"/>
              <w:rPr>
                <w:rFonts w:hint="eastAsia" w:ascii="宋体" w:hAnsi="宋体" w:cs="宋体"/>
                <w:iCs/>
                <w:sz w:val="24"/>
                <w:szCs w:val="24"/>
              </w:rPr>
            </w:pPr>
            <w:r>
              <w:rPr>
                <w:rFonts w:hint="eastAsia" w:ascii="宋体" w:hAnsi="宋体" w:cs="宋体"/>
                <w:iCs/>
                <w:sz w:val="24"/>
                <w:szCs w:val="24"/>
              </w:rPr>
              <w:t>……</w:t>
            </w:r>
          </w:p>
        </w:tc>
        <w:tc>
          <w:tcPr>
            <w:tcW w:w="3019" w:type="dxa"/>
            <w:gridSpan w:val="2"/>
            <w:noWrap w:val="0"/>
            <w:vAlign w:val="center"/>
          </w:tcPr>
          <w:p w14:paraId="53470B3B">
            <w:pPr>
              <w:rPr>
                <w:rFonts w:hint="eastAsia" w:ascii="宋体" w:hAnsi="宋体" w:cs="宋体"/>
              </w:rPr>
            </w:pPr>
            <w:r>
              <w:rPr>
                <w:rFonts w:hint="eastAsia" w:ascii="宋体" w:hAnsi="宋体" w:cs="宋体"/>
              </w:rPr>
              <w:t>如该项目设定</w:t>
            </w:r>
          </w:p>
        </w:tc>
      </w:tr>
      <w:tr w14:paraId="590D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14:paraId="4793E3F9">
            <w:pPr>
              <w:rPr>
                <w:rFonts w:hint="eastAsia" w:ascii="宋体" w:hAnsi="宋体" w:cs="宋体"/>
              </w:rPr>
            </w:pPr>
            <w:r>
              <w:rPr>
                <w:rFonts w:hint="eastAsia" w:ascii="宋体" w:hAnsi="宋体" w:cs="宋体"/>
                <w:b/>
              </w:rPr>
              <w:t>其他资格条件</w:t>
            </w:r>
          </w:p>
        </w:tc>
      </w:tr>
      <w:tr w14:paraId="3B83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0F35D0AC">
            <w:pPr>
              <w:jc w:val="center"/>
              <w:rPr>
                <w:rFonts w:hint="eastAsia" w:ascii="宋体" w:hAnsi="宋体" w:cs="宋体"/>
              </w:rPr>
            </w:pPr>
            <w:r>
              <w:rPr>
                <w:rFonts w:hint="eastAsia" w:ascii="宋体" w:hAnsi="宋体" w:cs="宋体"/>
              </w:rPr>
              <w:t>9</w:t>
            </w:r>
          </w:p>
        </w:tc>
        <w:tc>
          <w:tcPr>
            <w:tcW w:w="5447" w:type="dxa"/>
            <w:noWrap w:val="0"/>
            <w:vAlign w:val="center"/>
          </w:tcPr>
          <w:p w14:paraId="2F5D14F8">
            <w:pPr>
              <w:snapToGrid w:val="0"/>
              <w:spacing w:line="0" w:lineRule="atLeast"/>
              <w:jc w:val="left"/>
              <w:rPr>
                <w:rFonts w:hint="eastAsia" w:ascii="宋体" w:hAnsi="宋体" w:cs="宋体"/>
                <w:iCs/>
                <w:sz w:val="24"/>
                <w:szCs w:val="24"/>
              </w:rPr>
            </w:pPr>
            <w:r>
              <w:rPr>
                <w:rFonts w:hint="eastAsia" w:ascii="宋体" w:hAnsi="宋体" w:cs="宋体"/>
                <w:iCs/>
                <w:sz w:val="24"/>
                <w:szCs w:val="24"/>
              </w:rPr>
              <w:t>法人授权书</w:t>
            </w:r>
          </w:p>
        </w:tc>
        <w:tc>
          <w:tcPr>
            <w:tcW w:w="3019" w:type="dxa"/>
            <w:gridSpan w:val="2"/>
            <w:noWrap w:val="0"/>
            <w:vAlign w:val="center"/>
          </w:tcPr>
          <w:p w14:paraId="02CD5676">
            <w:pPr>
              <w:rPr>
                <w:rFonts w:hint="eastAsia" w:ascii="宋体" w:hAnsi="宋体" w:cs="宋体"/>
              </w:rPr>
            </w:pPr>
          </w:p>
        </w:tc>
      </w:tr>
      <w:tr w14:paraId="29BF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11B88C8C">
            <w:pPr>
              <w:jc w:val="center"/>
              <w:rPr>
                <w:rFonts w:hint="eastAsia" w:ascii="宋体" w:hAnsi="宋体" w:cs="宋体"/>
              </w:rPr>
            </w:pPr>
            <w:r>
              <w:rPr>
                <w:rFonts w:hint="eastAsia" w:ascii="宋体" w:hAnsi="宋体" w:cs="宋体"/>
              </w:rPr>
              <w:t>10</w:t>
            </w:r>
          </w:p>
        </w:tc>
        <w:tc>
          <w:tcPr>
            <w:tcW w:w="5447" w:type="dxa"/>
            <w:noWrap w:val="0"/>
            <w:vAlign w:val="center"/>
          </w:tcPr>
          <w:p w14:paraId="2C614C99">
            <w:pPr>
              <w:snapToGrid w:val="0"/>
              <w:spacing w:line="0" w:lineRule="atLeast"/>
              <w:jc w:val="left"/>
              <w:rPr>
                <w:rFonts w:hint="eastAsia" w:ascii="宋体" w:hAnsi="宋体" w:cs="宋体"/>
                <w:iCs/>
                <w:sz w:val="24"/>
                <w:szCs w:val="24"/>
              </w:rPr>
            </w:pPr>
            <w:r>
              <w:rPr>
                <w:rFonts w:hint="eastAsia" w:ascii="宋体" w:hAnsi="宋体" w:cs="宋体"/>
                <w:iCs/>
                <w:sz w:val="24"/>
                <w:szCs w:val="24"/>
              </w:rPr>
              <w:t>投标保证金缴纳凭证</w:t>
            </w:r>
          </w:p>
        </w:tc>
        <w:tc>
          <w:tcPr>
            <w:tcW w:w="3019" w:type="dxa"/>
            <w:gridSpan w:val="2"/>
            <w:noWrap w:val="0"/>
            <w:vAlign w:val="center"/>
          </w:tcPr>
          <w:p w14:paraId="302531C9">
            <w:pPr>
              <w:rPr>
                <w:rFonts w:hint="eastAsia" w:ascii="宋体" w:hAnsi="宋体" w:cs="宋体"/>
              </w:rPr>
            </w:pPr>
            <w:r>
              <w:rPr>
                <w:rFonts w:hint="eastAsia" w:ascii="宋体" w:hAnsi="宋体" w:cs="宋体"/>
              </w:rPr>
              <w:t>如该项目收取</w:t>
            </w:r>
          </w:p>
        </w:tc>
      </w:tr>
      <w:tr w14:paraId="12CF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017471B8">
            <w:pPr>
              <w:jc w:val="center"/>
              <w:rPr>
                <w:rFonts w:hint="eastAsia" w:ascii="宋体" w:hAnsi="宋体" w:cs="宋体"/>
              </w:rPr>
            </w:pPr>
          </w:p>
        </w:tc>
        <w:tc>
          <w:tcPr>
            <w:tcW w:w="5447" w:type="dxa"/>
            <w:noWrap w:val="0"/>
            <w:vAlign w:val="center"/>
          </w:tcPr>
          <w:p w14:paraId="2AE4455D">
            <w:pPr>
              <w:snapToGrid w:val="0"/>
              <w:spacing w:line="0" w:lineRule="atLeast"/>
              <w:jc w:val="left"/>
              <w:rPr>
                <w:rFonts w:hint="eastAsia" w:ascii="宋体" w:hAnsi="宋体" w:cs="宋体"/>
                <w:sz w:val="24"/>
                <w:szCs w:val="24"/>
              </w:rPr>
            </w:pPr>
          </w:p>
        </w:tc>
        <w:tc>
          <w:tcPr>
            <w:tcW w:w="3019" w:type="dxa"/>
            <w:gridSpan w:val="2"/>
            <w:noWrap w:val="0"/>
            <w:vAlign w:val="center"/>
          </w:tcPr>
          <w:p w14:paraId="4D51E5C3">
            <w:pPr>
              <w:rPr>
                <w:rFonts w:hint="eastAsia" w:ascii="宋体" w:hAnsi="宋体" w:cs="宋体"/>
              </w:rPr>
            </w:pPr>
          </w:p>
        </w:tc>
      </w:tr>
    </w:tbl>
    <w:p w14:paraId="24409C5D">
      <w:pPr>
        <w:ind w:firstLine="600"/>
        <w:rPr>
          <w:rFonts w:hint="eastAsia" w:ascii="宋体" w:hAnsi="宋体" w:eastAsia="宋体" w:cs="宋体"/>
        </w:rPr>
        <w:sectPr>
          <w:pgSz w:w="11906" w:h="16838"/>
          <w:pgMar w:top="1418" w:right="1588" w:bottom="1418" w:left="1365" w:header="851" w:footer="907" w:gutter="0"/>
          <w:cols w:space="720" w:num="1"/>
          <w:titlePg/>
          <w:docGrid w:type="lines" w:linePitch="290" w:charSpace="0"/>
        </w:sectPr>
      </w:pPr>
    </w:p>
    <w:p w14:paraId="6F1B2C6F">
      <w:pPr>
        <w:keepNext/>
        <w:keepLines/>
        <w:widowControl w:val="0"/>
        <w:spacing w:before="260" w:after="260" w:line="416" w:lineRule="auto"/>
        <w:jc w:val="center"/>
        <w:outlineLvl w:val="2"/>
        <w:rPr>
          <w:rFonts w:hint="eastAsia" w:ascii="宋体" w:hAnsi="宋体" w:eastAsia="宋体" w:cs="宋体"/>
          <w:b/>
          <w:bCs/>
          <w:kern w:val="2"/>
          <w:sz w:val="32"/>
          <w:szCs w:val="32"/>
          <w:lang w:val="en-US" w:eastAsia="zh-CN" w:bidi="ar-SA"/>
        </w:rPr>
      </w:pPr>
      <w:bookmarkStart w:id="268" w:name="_Toc30295"/>
      <w:r>
        <w:rPr>
          <w:rFonts w:hint="eastAsia" w:ascii="宋体" w:hAnsi="宋体" w:eastAsia="宋体" w:cs="宋体"/>
          <w:b/>
          <w:bCs/>
          <w:kern w:val="2"/>
          <w:sz w:val="32"/>
          <w:szCs w:val="32"/>
          <w:lang w:val="en-US" w:eastAsia="zh-CN" w:bidi="ar-SA"/>
        </w:rPr>
        <w:t>二、符合性审查响应对照表</w:t>
      </w:r>
      <w:bookmarkEnd w:id="268"/>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4C2A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6D53DEE8">
            <w:pPr>
              <w:snapToGrid w:val="0"/>
              <w:spacing w:line="240" w:lineRule="atLeast"/>
              <w:jc w:val="center"/>
              <w:rPr>
                <w:rFonts w:hint="eastAsia" w:ascii="宋体" w:hAnsi="宋体" w:cs="宋体"/>
                <w:b/>
              </w:rPr>
            </w:pPr>
            <w:r>
              <w:rPr>
                <w:rFonts w:hint="eastAsia" w:ascii="宋体" w:hAnsi="宋体" w:cs="宋体"/>
                <w:b/>
              </w:rPr>
              <w:t>序号</w:t>
            </w:r>
          </w:p>
        </w:tc>
        <w:tc>
          <w:tcPr>
            <w:tcW w:w="5447" w:type="dxa"/>
            <w:noWrap w:val="0"/>
            <w:vAlign w:val="center"/>
          </w:tcPr>
          <w:p w14:paraId="5D946EC2">
            <w:pPr>
              <w:snapToGrid w:val="0"/>
              <w:spacing w:line="240" w:lineRule="atLeast"/>
              <w:jc w:val="center"/>
              <w:rPr>
                <w:rFonts w:hint="eastAsia" w:ascii="宋体" w:hAnsi="宋体" w:cs="宋体"/>
                <w:b/>
              </w:rPr>
            </w:pPr>
            <w:r>
              <w:rPr>
                <w:rFonts w:hint="eastAsia" w:ascii="宋体" w:hAnsi="宋体" w:cs="宋体"/>
                <w:b/>
              </w:rPr>
              <w:t>符合性审查响应内容</w:t>
            </w:r>
          </w:p>
        </w:tc>
        <w:tc>
          <w:tcPr>
            <w:tcW w:w="1680" w:type="dxa"/>
            <w:noWrap w:val="0"/>
            <w:vAlign w:val="center"/>
          </w:tcPr>
          <w:p w14:paraId="4114E3B9">
            <w:pPr>
              <w:snapToGrid w:val="0"/>
              <w:spacing w:line="240" w:lineRule="atLeast"/>
              <w:jc w:val="center"/>
              <w:rPr>
                <w:rFonts w:hint="eastAsia" w:ascii="宋体" w:hAnsi="宋体" w:cs="宋体"/>
                <w:b/>
              </w:rPr>
            </w:pPr>
            <w:r>
              <w:rPr>
                <w:rFonts w:hint="eastAsia" w:ascii="宋体" w:hAnsi="宋体" w:cs="宋体"/>
                <w:b/>
              </w:rPr>
              <w:t>是否响应</w:t>
            </w:r>
          </w:p>
          <w:p w14:paraId="0DC15283">
            <w:pPr>
              <w:snapToGrid w:val="0"/>
              <w:spacing w:line="240" w:lineRule="atLeast"/>
              <w:jc w:val="center"/>
              <w:rPr>
                <w:rFonts w:hint="eastAsia" w:ascii="宋体" w:hAnsi="宋体" w:cs="宋体"/>
                <w:b/>
              </w:rPr>
            </w:pPr>
            <w:r>
              <w:rPr>
                <w:rFonts w:hint="eastAsia" w:ascii="宋体" w:hAnsi="宋体" w:cs="宋体"/>
                <w:b/>
              </w:rPr>
              <w:t>（填是或否）</w:t>
            </w:r>
          </w:p>
        </w:tc>
        <w:tc>
          <w:tcPr>
            <w:tcW w:w="1308" w:type="dxa"/>
            <w:noWrap w:val="0"/>
            <w:vAlign w:val="center"/>
          </w:tcPr>
          <w:p w14:paraId="05F1AECB">
            <w:pPr>
              <w:snapToGrid w:val="0"/>
              <w:rPr>
                <w:rFonts w:hint="eastAsia" w:ascii="宋体" w:hAnsi="宋体" w:cs="宋体"/>
                <w:b/>
              </w:rPr>
            </w:pPr>
            <w:r>
              <w:rPr>
                <w:rFonts w:hint="eastAsia" w:ascii="宋体" w:hAnsi="宋体" w:cs="宋体"/>
                <w:b/>
              </w:rPr>
              <w:t>在投标文件中的页码位置（注明在**节点下第**页，如“技术参数响应及偏离表I”第**页）</w:t>
            </w:r>
          </w:p>
        </w:tc>
      </w:tr>
      <w:tr w14:paraId="25B3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4D5B85C8">
            <w:pPr>
              <w:jc w:val="center"/>
              <w:rPr>
                <w:rFonts w:hint="eastAsia" w:ascii="宋体" w:hAnsi="宋体" w:cs="宋体"/>
              </w:rPr>
            </w:pPr>
            <w:r>
              <w:rPr>
                <w:rFonts w:hint="eastAsia" w:ascii="宋体" w:hAnsi="宋体" w:cs="宋体"/>
              </w:rPr>
              <w:t>1</w:t>
            </w:r>
          </w:p>
        </w:tc>
        <w:tc>
          <w:tcPr>
            <w:tcW w:w="5447" w:type="dxa"/>
            <w:noWrap w:val="0"/>
            <w:vAlign w:val="center"/>
          </w:tcPr>
          <w:p w14:paraId="29272AD1">
            <w:pPr>
              <w:spacing w:line="0" w:lineRule="atLeast"/>
              <w:rPr>
                <w:rFonts w:hint="eastAsia" w:ascii="宋体" w:hAnsi="宋体" w:cs="宋体"/>
                <w:sz w:val="24"/>
                <w:szCs w:val="24"/>
              </w:rPr>
            </w:pPr>
            <w:r>
              <w:rPr>
                <w:rFonts w:hint="eastAsia" w:ascii="宋体" w:hAnsi="宋体" w:cs="宋体"/>
                <w:sz w:val="24"/>
                <w:szCs w:val="24"/>
              </w:rPr>
              <w:t>报价未超预算</w:t>
            </w:r>
          </w:p>
        </w:tc>
        <w:tc>
          <w:tcPr>
            <w:tcW w:w="1680" w:type="dxa"/>
            <w:noWrap w:val="0"/>
            <w:vAlign w:val="center"/>
          </w:tcPr>
          <w:p w14:paraId="6767D56C">
            <w:pPr>
              <w:rPr>
                <w:rFonts w:hint="eastAsia" w:ascii="宋体" w:hAnsi="宋体" w:cs="宋体"/>
              </w:rPr>
            </w:pPr>
          </w:p>
        </w:tc>
        <w:tc>
          <w:tcPr>
            <w:tcW w:w="1308" w:type="dxa"/>
            <w:noWrap w:val="0"/>
            <w:vAlign w:val="center"/>
          </w:tcPr>
          <w:p w14:paraId="63411E2A">
            <w:pPr>
              <w:rPr>
                <w:rFonts w:hint="eastAsia" w:ascii="宋体" w:hAnsi="宋体" w:cs="宋体"/>
              </w:rPr>
            </w:pPr>
          </w:p>
        </w:tc>
      </w:tr>
      <w:tr w14:paraId="2C6B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2D198A8B">
            <w:pPr>
              <w:jc w:val="center"/>
              <w:rPr>
                <w:rFonts w:hint="eastAsia" w:ascii="宋体" w:hAnsi="宋体" w:cs="宋体"/>
              </w:rPr>
            </w:pPr>
            <w:r>
              <w:rPr>
                <w:rFonts w:hint="eastAsia" w:ascii="宋体" w:hAnsi="宋体" w:cs="宋体"/>
              </w:rPr>
              <w:t>2</w:t>
            </w:r>
          </w:p>
        </w:tc>
        <w:tc>
          <w:tcPr>
            <w:tcW w:w="5447" w:type="dxa"/>
            <w:noWrap w:val="0"/>
            <w:vAlign w:val="center"/>
          </w:tcPr>
          <w:p w14:paraId="3245A0A2">
            <w:pPr>
              <w:spacing w:line="0" w:lineRule="atLeast"/>
              <w:rPr>
                <w:rFonts w:hint="eastAsia" w:ascii="宋体" w:hAnsi="宋体" w:cs="宋体"/>
                <w:sz w:val="24"/>
                <w:szCs w:val="24"/>
              </w:rPr>
            </w:pPr>
            <w:r>
              <w:rPr>
                <w:rFonts w:hint="eastAsia" w:ascii="宋体" w:hAnsi="宋体" w:cs="宋体"/>
                <w:sz w:val="24"/>
                <w:szCs w:val="24"/>
              </w:rPr>
              <w:t>按照招标文件规定要求签署、盖章</w:t>
            </w:r>
          </w:p>
        </w:tc>
        <w:tc>
          <w:tcPr>
            <w:tcW w:w="1680" w:type="dxa"/>
            <w:noWrap w:val="0"/>
            <w:vAlign w:val="center"/>
          </w:tcPr>
          <w:p w14:paraId="241654BF">
            <w:pPr>
              <w:rPr>
                <w:rFonts w:hint="eastAsia" w:ascii="宋体" w:hAnsi="宋体" w:cs="宋体"/>
              </w:rPr>
            </w:pPr>
          </w:p>
        </w:tc>
        <w:tc>
          <w:tcPr>
            <w:tcW w:w="1308" w:type="dxa"/>
            <w:noWrap w:val="0"/>
            <w:vAlign w:val="center"/>
          </w:tcPr>
          <w:p w14:paraId="5C7B3EB4">
            <w:pPr>
              <w:rPr>
                <w:rFonts w:hint="eastAsia" w:ascii="宋体" w:hAnsi="宋体" w:cs="宋体"/>
              </w:rPr>
            </w:pPr>
          </w:p>
        </w:tc>
      </w:tr>
      <w:tr w14:paraId="32A5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258ACFFE">
            <w:pPr>
              <w:jc w:val="center"/>
              <w:rPr>
                <w:rFonts w:hint="eastAsia" w:ascii="宋体" w:hAnsi="宋体" w:cs="宋体"/>
              </w:rPr>
            </w:pPr>
            <w:r>
              <w:rPr>
                <w:rFonts w:hint="eastAsia" w:ascii="宋体" w:hAnsi="宋体" w:cs="宋体"/>
              </w:rPr>
              <w:t>3</w:t>
            </w:r>
          </w:p>
        </w:tc>
        <w:tc>
          <w:tcPr>
            <w:tcW w:w="5447" w:type="dxa"/>
            <w:noWrap w:val="0"/>
            <w:vAlign w:val="center"/>
          </w:tcPr>
          <w:p w14:paraId="77123F3B">
            <w:pPr>
              <w:spacing w:line="0" w:lineRule="atLeast"/>
              <w:rPr>
                <w:rFonts w:hint="eastAsia" w:ascii="宋体" w:hAnsi="宋体" w:cs="宋体"/>
                <w:sz w:val="24"/>
                <w:szCs w:val="24"/>
              </w:rPr>
            </w:pPr>
            <w:r>
              <w:rPr>
                <w:rFonts w:hint="eastAsia" w:ascii="宋体" w:hAnsi="宋体" w:cs="宋体"/>
                <w:sz w:val="24"/>
                <w:szCs w:val="24"/>
              </w:rPr>
              <w:t>供应商在报价时未采用选择性报价</w:t>
            </w:r>
          </w:p>
          <w:p w14:paraId="5201214C">
            <w:pPr>
              <w:spacing w:line="0" w:lineRule="atLeast"/>
              <w:rPr>
                <w:rFonts w:hint="eastAsia" w:ascii="宋体" w:hAnsi="宋体" w:cs="宋体"/>
                <w:sz w:val="24"/>
                <w:szCs w:val="24"/>
              </w:rPr>
            </w:pPr>
          </w:p>
        </w:tc>
        <w:tc>
          <w:tcPr>
            <w:tcW w:w="1680" w:type="dxa"/>
            <w:noWrap w:val="0"/>
            <w:vAlign w:val="center"/>
          </w:tcPr>
          <w:p w14:paraId="6FC0276D">
            <w:pPr>
              <w:rPr>
                <w:rFonts w:hint="eastAsia" w:ascii="宋体" w:hAnsi="宋体" w:cs="宋体"/>
              </w:rPr>
            </w:pPr>
          </w:p>
        </w:tc>
        <w:tc>
          <w:tcPr>
            <w:tcW w:w="1308" w:type="dxa"/>
            <w:noWrap w:val="0"/>
            <w:vAlign w:val="center"/>
          </w:tcPr>
          <w:p w14:paraId="55485CEE">
            <w:pPr>
              <w:rPr>
                <w:rFonts w:hint="eastAsia" w:ascii="宋体" w:hAnsi="宋体" w:cs="宋体"/>
              </w:rPr>
            </w:pPr>
          </w:p>
        </w:tc>
      </w:tr>
      <w:tr w14:paraId="013B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432D9310">
            <w:pPr>
              <w:jc w:val="center"/>
              <w:rPr>
                <w:rFonts w:hint="eastAsia" w:ascii="宋体" w:hAnsi="宋体" w:cs="宋体"/>
              </w:rPr>
            </w:pPr>
            <w:r>
              <w:rPr>
                <w:rFonts w:hint="eastAsia" w:ascii="宋体" w:hAnsi="宋体" w:cs="宋体"/>
              </w:rPr>
              <w:t>4</w:t>
            </w:r>
          </w:p>
        </w:tc>
        <w:tc>
          <w:tcPr>
            <w:tcW w:w="5447" w:type="dxa"/>
            <w:noWrap w:val="0"/>
            <w:vAlign w:val="center"/>
          </w:tcPr>
          <w:p w14:paraId="3518FF70">
            <w:pPr>
              <w:spacing w:line="0" w:lineRule="atLeast"/>
              <w:rPr>
                <w:rFonts w:hint="eastAsia" w:ascii="宋体" w:hAnsi="宋体" w:cs="宋体"/>
                <w:sz w:val="24"/>
                <w:szCs w:val="24"/>
              </w:rPr>
            </w:pPr>
            <w:r>
              <w:rPr>
                <w:rFonts w:hint="eastAsia" w:ascii="宋体" w:hAnsi="宋体" w:cs="宋体"/>
                <w:sz w:val="24"/>
                <w:szCs w:val="24"/>
              </w:rPr>
              <w:t>符合招标文件中规定的实质性要求和条件的（本招标文件中斜体且有下划线部分为实质性要求和条件）</w:t>
            </w:r>
          </w:p>
        </w:tc>
        <w:tc>
          <w:tcPr>
            <w:tcW w:w="1680" w:type="dxa"/>
            <w:noWrap w:val="0"/>
            <w:vAlign w:val="center"/>
          </w:tcPr>
          <w:p w14:paraId="7AAC6AF1">
            <w:pPr>
              <w:rPr>
                <w:rFonts w:hint="eastAsia" w:ascii="宋体" w:hAnsi="宋体" w:cs="宋体"/>
              </w:rPr>
            </w:pPr>
          </w:p>
        </w:tc>
        <w:tc>
          <w:tcPr>
            <w:tcW w:w="1308" w:type="dxa"/>
            <w:noWrap w:val="0"/>
            <w:vAlign w:val="center"/>
          </w:tcPr>
          <w:p w14:paraId="10EBB5AB">
            <w:pPr>
              <w:rPr>
                <w:rFonts w:hint="eastAsia" w:ascii="宋体" w:hAnsi="宋体" w:cs="宋体"/>
              </w:rPr>
            </w:pPr>
          </w:p>
        </w:tc>
      </w:tr>
      <w:tr w14:paraId="3354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4E1F9D17">
            <w:pPr>
              <w:jc w:val="center"/>
              <w:rPr>
                <w:rFonts w:hint="eastAsia" w:ascii="宋体" w:hAnsi="宋体" w:cs="宋体"/>
              </w:rPr>
            </w:pPr>
            <w:r>
              <w:rPr>
                <w:rFonts w:hint="eastAsia" w:ascii="宋体" w:hAnsi="宋体" w:cs="宋体"/>
              </w:rPr>
              <w:t>5</w:t>
            </w:r>
          </w:p>
        </w:tc>
        <w:tc>
          <w:tcPr>
            <w:tcW w:w="5447" w:type="dxa"/>
            <w:noWrap w:val="0"/>
            <w:vAlign w:val="center"/>
          </w:tcPr>
          <w:p w14:paraId="6384A416">
            <w:pPr>
              <w:spacing w:line="0" w:lineRule="atLeast"/>
              <w:rPr>
                <w:rFonts w:hint="eastAsia" w:ascii="宋体" w:hAnsi="宋体" w:cs="宋体"/>
                <w:sz w:val="24"/>
                <w:szCs w:val="24"/>
              </w:rPr>
            </w:pPr>
            <w:r>
              <w:rPr>
                <w:rFonts w:hint="eastAsia" w:ascii="宋体" w:hAnsi="宋体" w:cs="宋体"/>
                <w:sz w:val="24"/>
                <w:szCs w:val="24"/>
              </w:rPr>
              <w:t>未含有采购人不能接受的附加条件的</w:t>
            </w:r>
          </w:p>
        </w:tc>
        <w:tc>
          <w:tcPr>
            <w:tcW w:w="1680" w:type="dxa"/>
            <w:noWrap w:val="0"/>
            <w:vAlign w:val="center"/>
          </w:tcPr>
          <w:p w14:paraId="15501B74">
            <w:pPr>
              <w:rPr>
                <w:rFonts w:hint="eastAsia" w:ascii="宋体" w:hAnsi="宋体" w:cs="宋体"/>
              </w:rPr>
            </w:pPr>
          </w:p>
        </w:tc>
        <w:tc>
          <w:tcPr>
            <w:tcW w:w="1308" w:type="dxa"/>
            <w:noWrap w:val="0"/>
            <w:vAlign w:val="center"/>
          </w:tcPr>
          <w:p w14:paraId="5744EB11">
            <w:pPr>
              <w:rPr>
                <w:rFonts w:hint="eastAsia" w:ascii="宋体" w:hAnsi="宋体" w:cs="宋体"/>
              </w:rPr>
            </w:pPr>
          </w:p>
        </w:tc>
      </w:tr>
    </w:tbl>
    <w:p w14:paraId="4303CFCC">
      <w:pPr>
        <w:snapToGrid w:val="0"/>
        <w:spacing w:before="50" w:after="50"/>
        <w:rPr>
          <w:rFonts w:hint="eastAsia" w:ascii="宋体" w:hAnsi="宋体" w:cs="宋体"/>
          <w:sz w:val="32"/>
          <w:szCs w:val="32"/>
        </w:rPr>
      </w:pPr>
    </w:p>
    <w:p w14:paraId="29A429A1">
      <w:pPr>
        <w:snapToGrid w:val="0"/>
        <w:spacing w:before="50" w:after="50"/>
        <w:rPr>
          <w:rFonts w:hint="eastAsia" w:ascii="宋体" w:hAnsi="宋体" w:cs="宋体"/>
          <w:b/>
          <w:sz w:val="24"/>
        </w:rPr>
      </w:pPr>
      <w:r>
        <w:rPr>
          <w:rFonts w:hint="eastAsia" w:ascii="宋体" w:hAnsi="宋体" w:cs="宋体"/>
          <w:sz w:val="44"/>
        </w:rPr>
        <w:t xml:space="preserve"> </w:t>
      </w:r>
    </w:p>
    <w:p w14:paraId="74E1257C">
      <w:pPr>
        <w:keepNext/>
        <w:keepLines/>
        <w:widowControl w:val="0"/>
        <w:spacing w:before="260" w:after="260" w:line="416" w:lineRule="auto"/>
        <w:jc w:val="center"/>
        <w:outlineLvl w:val="2"/>
        <w:rPr>
          <w:rFonts w:hint="eastAsia" w:ascii="宋体" w:hAnsi="宋体" w:eastAsia="宋体" w:cs="宋体"/>
          <w:b/>
          <w:bCs/>
          <w:kern w:val="2"/>
          <w:sz w:val="32"/>
          <w:szCs w:val="32"/>
          <w:lang w:val="en-US" w:eastAsia="zh-CN" w:bidi="ar-SA"/>
        </w:rPr>
      </w:pPr>
      <w:bookmarkStart w:id="269" w:name="_Toc2696"/>
      <w:r>
        <w:rPr>
          <w:rFonts w:hint="eastAsia" w:ascii="宋体" w:hAnsi="宋体" w:eastAsia="宋体" w:cs="宋体"/>
          <w:b/>
          <w:bCs/>
          <w:kern w:val="2"/>
          <w:sz w:val="32"/>
          <w:szCs w:val="32"/>
          <w:lang w:val="en-US" w:eastAsia="zh-CN" w:bidi="ar-SA"/>
        </w:rPr>
        <w:t>三、非实质性响应对照表</w:t>
      </w:r>
      <w:bookmarkEnd w:id="269"/>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6F15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735FC566">
            <w:pPr>
              <w:snapToGrid w:val="0"/>
              <w:spacing w:line="240" w:lineRule="atLeast"/>
              <w:jc w:val="center"/>
              <w:rPr>
                <w:rFonts w:hint="eastAsia" w:ascii="宋体" w:hAnsi="宋体" w:cs="宋体"/>
                <w:b/>
              </w:rPr>
            </w:pPr>
            <w:r>
              <w:rPr>
                <w:rFonts w:hint="eastAsia" w:ascii="宋体" w:hAnsi="宋体" w:cs="宋体"/>
                <w:b/>
              </w:rPr>
              <w:t>序号</w:t>
            </w:r>
          </w:p>
        </w:tc>
        <w:tc>
          <w:tcPr>
            <w:tcW w:w="5447" w:type="dxa"/>
            <w:noWrap w:val="0"/>
            <w:vAlign w:val="center"/>
          </w:tcPr>
          <w:p w14:paraId="69C6ED44">
            <w:pPr>
              <w:snapToGrid w:val="0"/>
              <w:spacing w:line="240" w:lineRule="atLeast"/>
              <w:jc w:val="center"/>
              <w:rPr>
                <w:rFonts w:hint="eastAsia" w:ascii="宋体" w:hAnsi="宋体" w:cs="宋体"/>
                <w:b/>
              </w:rPr>
            </w:pPr>
            <w:r>
              <w:rPr>
                <w:rFonts w:hint="eastAsia" w:ascii="宋体" w:hAnsi="宋体" w:cs="宋体"/>
                <w:b/>
              </w:rPr>
              <w:t>非实质性响应内容</w:t>
            </w:r>
          </w:p>
        </w:tc>
        <w:tc>
          <w:tcPr>
            <w:tcW w:w="1680" w:type="dxa"/>
            <w:noWrap w:val="0"/>
            <w:vAlign w:val="center"/>
          </w:tcPr>
          <w:p w14:paraId="474AF7F7">
            <w:pPr>
              <w:snapToGrid w:val="0"/>
              <w:spacing w:line="240" w:lineRule="atLeast"/>
              <w:jc w:val="center"/>
              <w:rPr>
                <w:rFonts w:hint="eastAsia" w:ascii="宋体" w:hAnsi="宋体" w:cs="宋体"/>
                <w:b/>
              </w:rPr>
            </w:pPr>
            <w:r>
              <w:rPr>
                <w:rFonts w:hint="eastAsia" w:ascii="宋体" w:hAnsi="宋体" w:cs="宋体"/>
                <w:b/>
              </w:rPr>
              <w:t>是否响应</w:t>
            </w:r>
          </w:p>
          <w:p w14:paraId="5E9AFC54">
            <w:pPr>
              <w:snapToGrid w:val="0"/>
              <w:spacing w:line="240" w:lineRule="atLeast"/>
              <w:jc w:val="center"/>
              <w:rPr>
                <w:rFonts w:hint="eastAsia" w:ascii="宋体" w:hAnsi="宋体" w:cs="宋体"/>
                <w:b/>
              </w:rPr>
            </w:pPr>
            <w:r>
              <w:rPr>
                <w:rFonts w:hint="eastAsia" w:ascii="宋体" w:hAnsi="宋体" w:cs="宋体"/>
                <w:b/>
              </w:rPr>
              <w:t>（填是或者否）</w:t>
            </w:r>
          </w:p>
        </w:tc>
        <w:tc>
          <w:tcPr>
            <w:tcW w:w="1308" w:type="dxa"/>
            <w:noWrap w:val="0"/>
            <w:vAlign w:val="center"/>
          </w:tcPr>
          <w:p w14:paraId="50FEF848">
            <w:pPr>
              <w:snapToGrid w:val="0"/>
              <w:spacing w:line="240" w:lineRule="atLeast"/>
              <w:jc w:val="center"/>
              <w:rPr>
                <w:rFonts w:hint="eastAsia" w:ascii="宋体" w:hAnsi="宋体" w:cs="宋体"/>
                <w:b/>
              </w:rPr>
            </w:pPr>
            <w:r>
              <w:rPr>
                <w:rFonts w:hint="eastAsia" w:ascii="宋体" w:hAnsi="宋体" w:cs="宋体"/>
                <w:b/>
              </w:rPr>
              <w:t>上传证明材料的图片（按顺序附到此对照表后面）</w:t>
            </w:r>
          </w:p>
        </w:tc>
      </w:tr>
      <w:tr w14:paraId="67EB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6CB95BAA">
            <w:pPr>
              <w:jc w:val="center"/>
              <w:rPr>
                <w:rFonts w:hint="eastAsia" w:ascii="宋体" w:hAnsi="宋体" w:cs="宋体"/>
                <w:b/>
              </w:rPr>
            </w:pPr>
            <w:r>
              <w:rPr>
                <w:rFonts w:hint="eastAsia" w:ascii="宋体" w:hAnsi="宋体" w:cs="宋体"/>
                <w:b/>
              </w:rPr>
              <w:t>1</w:t>
            </w:r>
          </w:p>
        </w:tc>
        <w:tc>
          <w:tcPr>
            <w:tcW w:w="5447" w:type="dxa"/>
            <w:noWrap w:val="0"/>
            <w:vAlign w:val="center"/>
          </w:tcPr>
          <w:p w14:paraId="47C27AC8">
            <w:pPr>
              <w:spacing w:line="0" w:lineRule="atLeast"/>
              <w:rPr>
                <w:rFonts w:hint="eastAsia" w:ascii="宋体" w:hAnsi="宋体" w:cs="宋体"/>
                <w:iCs/>
                <w:sz w:val="24"/>
                <w:szCs w:val="24"/>
              </w:rPr>
            </w:pPr>
            <w:r>
              <w:rPr>
                <w:rFonts w:hint="eastAsia" w:ascii="宋体" w:hAnsi="宋体" w:cs="宋体"/>
                <w:sz w:val="24"/>
                <w:szCs w:val="24"/>
              </w:rPr>
              <w:t>《企业声明函》</w:t>
            </w:r>
          </w:p>
        </w:tc>
        <w:tc>
          <w:tcPr>
            <w:tcW w:w="1680" w:type="dxa"/>
            <w:noWrap w:val="0"/>
            <w:vAlign w:val="center"/>
          </w:tcPr>
          <w:p w14:paraId="6D8C305A">
            <w:pPr>
              <w:rPr>
                <w:rFonts w:hint="eastAsia" w:ascii="宋体" w:hAnsi="宋体" w:cs="宋体"/>
                <w:b/>
              </w:rPr>
            </w:pPr>
          </w:p>
        </w:tc>
        <w:tc>
          <w:tcPr>
            <w:tcW w:w="1308" w:type="dxa"/>
            <w:noWrap w:val="0"/>
            <w:vAlign w:val="center"/>
          </w:tcPr>
          <w:p w14:paraId="3AFA194E">
            <w:pPr>
              <w:rPr>
                <w:rFonts w:hint="eastAsia" w:ascii="宋体" w:hAnsi="宋体" w:cs="宋体"/>
                <w:b/>
              </w:rPr>
            </w:pPr>
          </w:p>
        </w:tc>
      </w:tr>
      <w:tr w14:paraId="45D1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35788AE5">
            <w:pPr>
              <w:jc w:val="center"/>
              <w:rPr>
                <w:rFonts w:hint="eastAsia" w:ascii="宋体" w:hAnsi="宋体" w:cs="宋体"/>
              </w:rPr>
            </w:pPr>
            <w:r>
              <w:rPr>
                <w:rFonts w:hint="eastAsia" w:ascii="宋体" w:hAnsi="宋体" w:cs="宋体"/>
              </w:rPr>
              <w:t>2</w:t>
            </w:r>
          </w:p>
        </w:tc>
        <w:tc>
          <w:tcPr>
            <w:tcW w:w="5447" w:type="dxa"/>
            <w:noWrap w:val="0"/>
            <w:vAlign w:val="center"/>
          </w:tcPr>
          <w:p w14:paraId="69FC213C">
            <w:pPr>
              <w:spacing w:line="0" w:lineRule="atLeast"/>
              <w:rPr>
                <w:rFonts w:hint="eastAsia" w:ascii="宋体" w:hAnsi="宋体" w:cs="宋体"/>
                <w:iCs/>
                <w:sz w:val="24"/>
                <w:szCs w:val="24"/>
              </w:rPr>
            </w:pPr>
            <w:r>
              <w:rPr>
                <w:rFonts w:hint="eastAsia" w:ascii="宋体" w:hAnsi="宋体" w:cs="宋体"/>
                <w:sz w:val="24"/>
                <w:szCs w:val="24"/>
              </w:rPr>
              <w:t>《残疾人福利性单位声明函》</w:t>
            </w:r>
          </w:p>
        </w:tc>
        <w:tc>
          <w:tcPr>
            <w:tcW w:w="1680" w:type="dxa"/>
            <w:noWrap w:val="0"/>
            <w:vAlign w:val="center"/>
          </w:tcPr>
          <w:p w14:paraId="6B7687D7">
            <w:pPr>
              <w:rPr>
                <w:rFonts w:hint="eastAsia" w:ascii="宋体" w:hAnsi="宋体" w:cs="宋体"/>
              </w:rPr>
            </w:pPr>
          </w:p>
        </w:tc>
        <w:tc>
          <w:tcPr>
            <w:tcW w:w="1308" w:type="dxa"/>
            <w:noWrap w:val="0"/>
            <w:vAlign w:val="center"/>
          </w:tcPr>
          <w:p w14:paraId="7C94A3C8">
            <w:pPr>
              <w:rPr>
                <w:rFonts w:hint="eastAsia" w:ascii="宋体" w:hAnsi="宋体" w:cs="宋体"/>
              </w:rPr>
            </w:pPr>
          </w:p>
        </w:tc>
      </w:tr>
      <w:tr w14:paraId="2426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75597593">
            <w:pPr>
              <w:jc w:val="center"/>
              <w:rPr>
                <w:rFonts w:hint="eastAsia" w:ascii="宋体" w:hAnsi="宋体" w:cs="宋体"/>
              </w:rPr>
            </w:pPr>
            <w:r>
              <w:rPr>
                <w:rFonts w:hint="eastAsia" w:ascii="宋体" w:hAnsi="宋体" w:cs="宋体"/>
              </w:rPr>
              <w:t>3</w:t>
            </w:r>
          </w:p>
        </w:tc>
        <w:tc>
          <w:tcPr>
            <w:tcW w:w="5447" w:type="dxa"/>
            <w:noWrap w:val="0"/>
            <w:vAlign w:val="center"/>
          </w:tcPr>
          <w:p w14:paraId="6AC29443">
            <w:pPr>
              <w:snapToGrid w:val="0"/>
              <w:spacing w:line="0" w:lineRule="atLeast"/>
              <w:rPr>
                <w:rFonts w:hint="eastAsia" w:ascii="宋体" w:hAnsi="宋体" w:cs="宋体"/>
                <w:iCs/>
                <w:sz w:val="24"/>
                <w:szCs w:val="24"/>
              </w:rPr>
            </w:pPr>
            <w:r>
              <w:rPr>
                <w:rFonts w:hint="eastAsia" w:ascii="宋体" w:hAnsi="宋体" w:cs="宋体"/>
                <w:iCs/>
                <w:sz w:val="24"/>
                <w:szCs w:val="24"/>
              </w:rPr>
              <w:t>……</w:t>
            </w:r>
          </w:p>
        </w:tc>
        <w:tc>
          <w:tcPr>
            <w:tcW w:w="1680" w:type="dxa"/>
            <w:noWrap w:val="0"/>
            <w:vAlign w:val="center"/>
          </w:tcPr>
          <w:p w14:paraId="3A43935D">
            <w:pPr>
              <w:rPr>
                <w:rFonts w:hint="eastAsia" w:ascii="宋体" w:hAnsi="宋体" w:cs="宋体"/>
              </w:rPr>
            </w:pPr>
          </w:p>
        </w:tc>
        <w:tc>
          <w:tcPr>
            <w:tcW w:w="1308" w:type="dxa"/>
            <w:noWrap w:val="0"/>
            <w:vAlign w:val="center"/>
          </w:tcPr>
          <w:p w14:paraId="348BA149">
            <w:pPr>
              <w:rPr>
                <w:rFonts w:hint="eastAsia" w:ascii="宋体" w:hAnsi="宋体" w:cs="宋体"/>
              </w:rPr>
            </w:pPr>
          </w:p>
        </w:tc>
      </w:tr>
    </w:tbl>
    <w:p w14:paraId="4EB72C00">
      <w:pPr>
        <w:ind w:firstLine="0"/>
        <w:jc w:val="center"/>
        <w:rPr>
          <w:rFonts w:hint="eastAsia" w:ascii="宋体" w:hAnsi="宋体" w:cs="宋体"/>
          <w:b/>
          <w:bCs/>
          <w:sz w:val="30"/>
          <w:szCs w:val="30"/>
        </w:rPr>
        <w:sectPr>
          <w:pgSz w:w="11906" w:h="16838"/>
          <w:pgMar w:top="1418" w:right="1588" w:bottom="1418" w:left="1365" w:header="851" w:footer="907" w:gutter="0"/>
          <w:cols w:space="720" w:num="1"/>
          <w:titlePg/>
          <w:docGrid w:type="lines" w:linePitch="290" w:charSpace="0"/>
        </w:sectPr>
      </w:pPr>
      <w:bookmarkStart w:id="270" w:name="_Toc534816643"/>
      <w:bookmarkStart w:id="271" w:name="_Toc534725614"/>
      <w:bookmarkStart w:id="272" w:name="_Toc120614284"/>
    </w:p>
    <w:bookmarkEnd w:id="270"/>
    <w:bookmarkEnd w:id="271"/>
    <w:p w14:paraId="717B565A">
      <w:pPr>
        <w:keepNext/>
        <w:keepLines/>
        <w:widowControl w:val="0"/>
        <w:spacing w:before="260" w:after="260" w:line="416" w:lineRule="auto"/>
        <w:jc w:val="both"/>
        <w:outlineLvl w:val="2"/>
        <w:rPr>
          <w:rFonts w:hint="eastAsia" w:ascii="宋体" w:hAnsi="宋体" w:eastAsia="宋体" w:cs="宋体"/>
          <w:b/>
          <w:bCs/>
          <w:kern w:val="2"/>
          <w:sz w:val="32"/>
          <w:szCs w:val="32"/>
          <w:lang w:val="en-US" w:eastAsia="zh-CN" w:bidi="ar-SA"/>
        </w:rPr>
      </w:pPr>
      <w:bookmarkStart w:id="273" w:name="_Toc8171"/>
      <w:bookmarkStart w:id="274" w:name="_Toc534725619"/>
      <w:bookmarkStart w:id="275" w:name="_Toc534816648"/>
      <w:r>
        <w:rPr>
          <w:rFonts w:hint="eastAsia" w:ascii="宋体" w:hAnsi="宋体" w:eastAsia="宋体" w:cs="宋体"/>
          <w:b/>
          <w:bCs/>
          <w:kern w:val="2"/>
          <w:sz w:val="32"/>
          <w:szCs w:val="32"/>
          <w:lang w:val="en-US" w:eastAsia="zh-CN" w:bidi="ar-SA"/>
        </w:rPr>
        <w:t>四、投标产品配置及分项报价表</w:t>
      </w:r>
      <w:bookmarkEnd w:id="273"/>
    </w:p>
    <w:tbl>
      <w:tblPr>
        <w:tblStyle w:val="18"/>
        <w:tblW w:w="14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4032"/>
        <w:gridCol w:w="3217"/>
        <w:gridCol w:w="993"/>
        <w:gridCol w:w="708"/>
        <w:gridCol w:w="993"/>
        <w:gridCol w:w="1134"/>
        <w:gridCol w:w="1134"/>
        <w:gridCol w:w="1387"/>
      </w:tblGrid>
      <w:tr w14:paraId="3EF6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044" w:type="dxa"/>
            <w:noWrap w:val="0"/>
            <w:vAlign w:val="center"/>
          </w:tcPr>
          <w:p w14:paraId="4149E81C">
            <w:pPr>
              <w:jc w:val="center"/>
              <w:rPr>
                <w:rFonts w:hint="eastAsia" w:ascii="宋体" w:hAnsi="宋体" w:cs="宋体"/>
                <w:sz w:val="24"/>
                <w:szCs w:val="24"/>
              </w:rPr>
            </w:pPr>
            <w:r>
              <w:rPr>
                <w:rFonts w:hint="eastAsia" w:ascii="宋体" w:hAnsi="宋体" w:cs="宋体"/>
                <w:sz w:val="24"/>
                <w:szCs w:val="24"/>
              </w:rPr>
              <w:t>序号</w:t>
            </w:r>
          </w:p>
        </w:tc>
        <w:tc>
          <w:tcPr>
            <w:tcW w:w="4032" w:type="dxa"/>
            <w:noWrap w:val="0"/>
            <w:vAlign w:val="center"/>
          </w:tcPr>
          <w:p w14:paraId="5F6F0810">
            <w:pPr>
              <w:jc w:val="center"/>
              <w:rPr>
                <w:rFonts w:hint="eastAsia" w:ascii="宋体" w:hAnsi="宋体" w:cs="宋体"/>
                <w:sz w:val="24"/>
                <w:szCs w:val="24"/>
              </w:rPr>
            </w:pPr>
            <w:r>
              <w:rPr>
                <w:rFonts w:hint="eastAsia" w:ascii="宋体" w:hAnsi="宋体" w:cs="宋体"/>
                <w:sz w:val="24"/>
                <w:szCs w:val="24"/>
              </w:rPr>
              <w:t>标的物名称</w:t>
            </w:r>
          </w:p>
        </w:tc>
        <w:tc>
          <w:tcPr>
            <w:tcW w:w="3217" w:type="dxa"/>
            <w:noWrap w:val="0"/>
            <w:vAlign w:val="center"/>
          </w:tcPr>
          <w:p w14:paraId="6B60D995">
            <w:pPr>
              <w:jc w:val="center"/>
              <w:rPr>
                <w:rFonts w:hint="eastAsia" w:ascii="宋体" w:hAnsi="宋体" w:cs="宋体"/>
                <w:sz w:val="24"/>
                <w:szCs w:val="24"/>
              </w:rPr>
            </w:pPr>
            <w:r>
              <w:rPr>
                <w:rFonts w:hint="eastAsia" w:ascii="宋体" w:hAnsi="宋体" w:cs="宋体"/>
                <w:sz w:val="24"/>
                <w:szCs w:val="24"/>
              </w:rPr>
              <w:t>品牌、规格、型号</w:t>
            </w:r>
          </w:p>
        </w:tc>
        <w:tc>
          <w:tcPr>
            <w:tcW w:w="993" w:type="dxa"/>
            <w:noWrap w:val="0"/>
            <w:vAlign w:val="center"/>
          </w:tcPr>
          <w:p w14:paraId="328CCD35">
            <w:pPr>
              <w:jc w:val="center"/>
              <w:rPr>
                <w:rFonts w:hint="eastAsia" w:ascii="宋体" w:hAnsi="宋体" w:cs="宋体"/>
                <w:sz w:val="24"/>
                <w:szCs w:val="24"/>
              </w:rPr>
            </w:pPr>
            <w:r>
              <w:rPr>
                <w:rFonts w:hint="eastAsia" w:ascii="宋体" w:hAnsi="宋体" w:cs="宋体"/>
                <w:sz w:val="24"/>
                <w:szCs w:val="24"/>
              </w:rPr>
              <w:t>数量</w:t>
            </w:r>
          </w:p>
        </w:tc>
        <w:tc>
          <w:tcPr>
            <w:tcW w:w="708" w:type="dxa"/>
            <w:noWrap w:val="0"/>
            <w:vAlign w:val="top"/>
          </w:tcPr>
          <w:p w14:paraId="773FD089">
            <w:pPr>
              <w:jc w:val="center"/>
              <w:rPr>
                <w:rFonts w:hint="eastAsia" w:ascii="宋体" w:hAnsi="宋体" w:cs="宋体"/>
                <w:sz w:val="24"/>
                <w:szCs w:val="24"/>
              </w:rPr>
            </w:pPr>
            <w:r>
              <w:rPr>
                <w:rFonts w:hint="eastAsia" w:ascii="宋体" w:hAnsi="宋体" w:cs="宋体"/>
                <w:sz w:val="24"/>
                <w:szCs w:val="24"/>
              </w:rPr>
              <w:t>单位</w:t>
            </w:r>
          </w:p>
        </w:tc>
        <w:tc>
          <w:tcPr>
            <w:tcW w:w="993" w:type="dxa"/>
            <w:noWrap w:val="0"/>
            <w:vAlign w:val="center"/>
          </w:tcPr>
          <w:p w14:paraId="794D9695">
            <w:pPr>
              <w:jc w:val="center"/>
              <w:rPr>
                <w:rFonts w:hint="eastAsia" w:ascii="宋体" w:hAnsi="宋体" w:cs="宋体"/>
                <w:sz w:val="24"/>
                <w:szCs w:val="24"/>
              </w:rPr>
            </w:pPr>
            <w:r>
              <w:rPr>
                <w:rFonts w:hint="eastAsia" w:ascii="宋体" w:hAnsi="宋体" w:cs="宋体"/>
                <w:sz w:val="24"/>
                <w:szCs w:val="24"/>
              </w:rPr>
              <w:t>单价</w:t>
            </w:r>
          </w:p>
        </w:tc>
        <w:tc>
          <w:tcPr>
            <w:tcW w:w="1134" w:type="dxa"/>
            <w:noWrap w:val="0"/>
            <w:vAlign w:val="center"/>
          </w:tcPr>
          <w:p w14:paraId="17A962DE">
            <w:pPr>
              <w:jc w:val="center"/>
              <w:rPr>
                <w:rFonts w:hint="eastAsia" w:ascii="宋体" w:hAnsi="宋体" w:cs="宋体"/>
                <w:sz w:val="24"/>
                <w:szCs w:val="24"/>
              </w:rPr>
            </w:pPr>
            <w:r>
              <w:rPr>
                <w:rFonts w:hint="eastAsia" w:ascii="宋体" w:hAnsi="宋体" w:cs="宋体"/>
                <w:sz w:val="24"/>
                <w:szCs w:val="24"/>
              </w:rPr>
              <w:t>交付期/服务期</w:t>
            </w:r>
          </w:p>
        </w:tc>
        <w:tc>
          <w:tcPr>
            <w:tcW w:w="1134" w:type="dxa"/>
            <w:noWrap w:val="0"/>
            <w:vAlign w:val="center"/>
          </w:tcPr>
          <w:p w14:paraId="17792769">
            <w:pPr>
              <w:jc w:val="center"/>
              <w:rPr>
                <w:rFonts w:hint="eastAsia" w:ascii="宋体" w:hAnsi="宋体" w:cs="宋体"/>
                <w:sz w:val="24"/>
                <w:szCs w:val="24"/>
              </w:rPr>
            </w:pPr>
            <w:r>
              <w:rPr>
                <w:rFonts w:hint="eastAsia" w:ascii="宋体" w:hAnsi="宋体" w:cs="宋体"/>
                <w:sz w:val="24"/>
                <w:szCs w:val="24"/>
              </w:rPr>
              <w:t>产地</w:t>
            </w:r>
          </w:p>
        </w:tc>
        <w:tc>
          <w:tcPr>
            <w:tcW w:w="1387" w:type="dxa"/>
            <w:noWrap w:val="0"/>
            <w:vAlign w:val="center"/>
          </w:tcPr>
          <w:p w14:paraId="6F0853E3">
            <w:pPr>
              <w:jc w:val="center"/>
              <w:rPr>
                <w:rFonts w:hint="eastAsia" w:ascii="宋体" w:hAnsi="宋体" w:cs="宋体"/>
                <w:sz w:val="24"/>
                <w:szCs w:val="24"/>
              </w:rPr>
            </w:pPr>
            <w:r>
              <w:rPr>
                <w:rFonts w:hint="eastAsia" w:ascii="宋体" w:hAnsi="宋体" w:cs="宋体"/>
                <w:sz w:val="24"/>
                <w:szCs w:val="24"/>
              </w:rPr>
              <w:t>总价</w:t>
            </w:r>
          </w:p>
        </w:tc>
      </w:tr>
      <w:tr w14:paraId="350F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08A00F7C">
            <w:pPr>
              <w:jc w:val="center"/>
              <w:rPr>
                <w:rFonts w:hint="eastAsia" w:ascii="宋体" w:hAnsi="宋体" w:cs="宋体"/>
                <w:sz w:val="24"/>
                <w:szCs w:val="24"/>
              </w:rPr>
            </w:pPr>
            <w:r>
              <w:rPr>
                <w:rFonts w:hint="eastAsia" w:ascii="宋体" w:hAnsi="宋体" w:cs="宋体"/>
                <w:sz w:val="24"/>
                <w:szCs w:val="24"/>
              </w:rPr>
              <w:t>1</w:t>
            </w:r>
          </w:p>
        </w:tc>
        <w:tc>
          <w:tcPr>
            <w:tcW w:w="4032" w:type="dxa"/>
            <w:noWrap w:val="0"/>
            <w:vAlign w:val="center"/>
          </w:tcPr>
          <w:p w14:paraId="63F401C0">
            <w:pPr>
              <w:rPr>
                <w:rFonts w:hint="eastAsia" w:ascii="宋体" w:hAnsi="宋体" w:cs="宋体"/>
                <w:sz w:val="24"/>
                <w:szCs w:val="24"/>
              </w:rPr>
            </w:pPr>
          </w:p>
        </w:tc>
        <w:tc>
          <w:tcPr>
            <w:tcW w:w="3217" w:type="dxa"/>
            <w:noWrap w:val="0"/>
            <w:vAlign w:val="center"/>
          </w:tcPr>
          <w:p w14:paraId="65963EF0">
            <w:pPr>
              <w:jc w:val="center"/>
              <w:rPr>
                <w:rFonts w:hint="eastAsia" w:ascii="宋体" w:hAnsi="宋体" w:cs="宋体"/>
                <w:sz w:val="24"/>
                <w:szCs w:val="24"/>
              </w:rPr>
            </w:pPr>
          </w:p>
        </w:tc>
        <w:tc>
          <w:tcPr>
            <w:tcW w:w="993" w:type="dxa"/>
            <w:noWrap w:val="0"/>
            <w:vAlign w:val="center"/>
          </w:tcPr>
          <w:p w14:paraId="3AAF7106">
            <w:pPr>
              <w:rPr>
                <w:rFonts w:hint="eastAsia" w:ascii="宋体" w:hAnsi="宋体" w:cs="宋体"/>
                <w:sz w:val="24"/>
                <w:szCs w:val="24"/>
              </w:rPr>
            </w:pPr>
          </w:p>
        </w:tc>
        <w:tc>
          <w:tcPr>
            <w:tcW w:w="708" w:type="dxa"/>
            <w:noWrap w:val="0"/>
            <w:vAlign w:val="top"/>
          </w:tcPr>
          <w:p w14:paraId="3B6B1A20">
            <w:pPr>
              <w:rPr>
                <w:rFonts w:hint="eastAsia" w:ascii="宋体" w:hAnsi="宋体" w:cs="宋体"/>
                <w:sz w:val="24"/>
                <w:szCs w:val="24"/>
              </w:rPr>
            </w:pPr>
          </w:p>
        </w:tc>
        <w:tc>
          <w:tcPr>
            <w:tcW w:w="993" w:type="dxa"/>
            <w:noWrap w:val="0"/>
            <w:vAlign w:val="center"/>
          </w:tcPr>
          <w:p w14:paraId="287C1657">
            <w:pPr>
              <w:rPr>
                <w:rFonts w:hint="eastAsia" w:ascii="宋体" w:hAnsi="宋体" w:cs="宋体"/>
                <w:sz w:val="24"/>
                <w:szCs w:val="24"/>
              </w:rPr>
            </w:pPr>
          </w:p>
        </w:tc>
        <w:tc>
          <w:tcPr>
            <w:tcW w:w="1134" w:type="dxa"/>
            <w:noWrap w:val="0"/>
            <w:vAlign w:val="center"/>
          </w:tcPr>
          <w:p w14:paraId="7AA432F6">
            <w:pPr>
              <w:rPr>
                <w:rFonts w:hint="eastAsia" w:ascii="宋体" w:hAnsi="宋体" w:cs="宋体"/>
                <w:sz w:val="24"/>
                <w:szCs w:val="24"/>
              </w:rPr>
            </w:pPr>
          </w:p>
        </w:tc>
        <w:tc>
          <w:tcPr>
            <w:tcW w:w="1134" w:type="dxa"/>
            <w:noWrap w:val="0"/>
            <w:vAlign w:val="center"/>
          </w:tcPr>
          <w:p w14:paraId="3A4F7B51">
            <w:pPr>
              <w:rPr>
                <w:rFonts w:hint="eastAsia" w:ascii="宋体" w:hAnsi="宋体" w:cs="宋体"/>
                <w:sz w:val="24"/>
                <w:szCs w:val="24"/>
              </w:rPr>
            </w:pPr>
          </w:p>
        </w:tc>
        <w:tc>
          <w:tcPr>
            <w:tcW w:w="1387" w:type="dxa"/>
            <w:noWrap w:val="0"/>
            <w:vAlign w:val="center"/>
          </w:tcPr>
          <w:p w14:paraId="6FC11D8C">
            <w:pPr>
              <w:rPr>
                <w:rFonts w:hint="eastAsia" w:ascii="宋体" w:hAnsi="宋体" w:cs="宋体"/>
                <w:sz w:val="24"/>
                <w:szCs w:val="24"/>
              </w:rPr>
            </w:pPr>
          </w:p>
        </w:tc>
      </w:tr>
      <w:tr w14:paraId="2F0E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2C2AC4E3">
            <w:pPr>
              <w:jc w:val="center"/>
              <w:rPr>
                <w:rFonts w:hint="eastAsia" w:ascii="宋体" w:hAnsi="宋体" w:cs="宋体"/>
                <w:sz w:val="24"/>
                <w:szCs w:val="24"/>
              </w:rPr>
            </w:pPr>
            <w:r>
              <w:rPr>
                <w:rFonts w:hint="eastAsia" w:ascii="宋体" w:hAnsi="宋体" w:cs="宋体"/>
                <w:sz w:val="24"/>
                <w:szCs w:val="24"/>
              </w:rPr>
              <w:t>2</w:t>
            </w:r>
          </w:p>
        </w:tc>
        <w:tc>
          <w:tcPr>
            <w:tcW w:w="4032" w:type="dxa"/>
            <w:noWrap w:val="0"/>
            <w:vAlign w:val="center"/>
          </w:tcPr>
          <w:p w14:paraId="1B56142F">
            <w:pPr>
              <w:rPr>
                <w:rFonts w:hint="eastAsia" w:ascii="宋体" w:hAnsi="宋体" w:cs="宋体"/>
                <w:sz w:val="24"/>
                <w:szCs w:val="24"/>
              </w:rPr>
            </w:pPr>
          </w:p>
        </w:tc>
        <w:tc>
          <w:tcPr>
            <w:tcW w:w="3217" w:type="dxa"/>
            <w:noWrap w:val="0"/>
            <w:vAlign w:val="center"/>
          </w:tcPr>
          <w:p w14:paraId="0FECE712">
            <w:pPr>
              <w:jc w:val="center"/>
              <w:rPr>
                <w:rFonts w:hint="eastAsia" w:ascii="宋体" w:hAnsi="宋体" w:cs="宋体"/>
                <w:sz w:val="24"/>
                <w:szCs w:val="24"/>
              </w:rPr>
            </w:pPr>
          </w:p>
        </w:tc>
        <w:tc>
          <w:tcPr>
            <w:tcW w:w="993" w:type="dxa"/>
            <w:noWrap w:val="0"/>
            <w:vAlign w:val="center"/>
          </w:tcPr>
          <w:p w14:paraId="4153E91F">
            <w:pPr>
              <w:rPr>
                <w:rFonts w:hint="eastAsia" w:ascii="宋体" w:hAnsi="宋体" w:cs="宋体"/>
                <w:sz w:val="24"/>
                <w:szCs w:val="24"/>
              </w:rPr>
            </w:pPr>
          </w:p>
        </w:tc>
        <w:tc>
          <w:tcPr>
            <w:tcW w:w="708" w:type="dxa"/>
            <w:noWrap w:val="0"/>
            <w:vAlign w:val="top"/>
          </w:tcPr>
          <w:p w14:paraId="17079A35">
            <w:pPr>
              <w:rPr>
                <w:rFonts w:hint="eastAsia" w:ascii="宋体" w:hAnsi="宋体" w:cs="宋体"/>
                <w:sz w:val="24"/>
                <w:szCs w:val="24"/>
              </w:rPr>
            </w:pPr>
          </w:p>
        </w:tc>
        <w:tc>
          <w:tcPr>
            <w:tcW w:w="993" w:type="dxa"/>
            <w:noWrap w:val="0"/>
            <w:vAlign w:val="center"/>
          </w:tcPr>
          <w:p w14:paraId="4E593986">
            <w:pPr>
              <w:rPr>
                <w:rFonts w:hint="eastAsia" w:ascii="宋体" w:hAnsi="宋体" w:cs="宋体"/>
                <w:sz w:val="24"/>
                <w:szCs w:val="24"/>
              </w:rPr>
            </w:pPr>
          </w:p>
        </w:tc>
        <w:tc>
          <w:tcPr>
            <w:tcW w:w="1134" w:type="dxa"/>
            <w:noWrap w:val="0"/>
            <w:vAlign w:val="center"/>
          </w:tcPr>
          <w:p w14:paraId="538D192A">
            <w:pPr>
              <w:rPr>
                <w:rFonts w:hint="eastAsia" w:ascii="宋体" w:hAnsi="宋体" w:cs="宋体"/>
                <w:sz w:val="24"/>
                <w:szCs w:val="24"/>
              </w:rPr>
            </w:pPr>
          </w:p>
        </w:tc>
        <w:tc>
          <w:tcPr>
            <w:tcW w:w="1134" w:type="dxa"/>
            <w:noWrap w:val="0"/>
            <w:vAlign w:val="center"/>
          </w:tcPr>
          <w:p w14:paraId="43A81A06">
            <w:pPr>
              <w:rPr>
                <w:rFonts w:hint="eastAsia" w:ascii="宋体" w:hAnsi="宋体" w:cs="宋体"/>
                <w:sz w:val="24"/>
                <w:szCs w:val="24"/>
              </w:rPr>
            </w:pPr>
          </w:p>
        </w:tc>
        <w:tc>
          <w:tcPr>
            <w:tcW w:w="1387" w:type="dxa"/>
            <w:noWrap w:val="0"/>
            <w:vAlign w:val="center"/>
          </w:tcPr>
          <w:p w14:paraId="67B9FB4F">
            <w:pPr>
              <w:rPr>
                <w:rFonts w:hint="eastAsia" w:ascii="宋体" w:hAnsi="宋体" w:cs="宋体"/>
                <w:sz w:val="24"/>
                <w:szCs w:val="24"/>
              </w:rPr>
            </w:pPr>
          </w:p>
        </w:tc>
      </w:tr>
      <w:tr w14:paraId="545B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34D72106">
            <w:pPr>
              <w:jc w:val="center"/>
              <w:rPr>
                <w:rFonts w:hint="eastAsia" w:ascii="宋体" w:hAnsi="宋体" w:cs="宋体"/>
                <w:sz w:val="24"/>
                <w:szCs w:val="24"/>
              </w:rPr>
            </w:pPr>
            <w:r>
              <w:rPr>
                <w:rFonts w:hint="eastAsia" w:ascii="宋体" w:hAnsi="宋体" w:cs="宋体"/>
                <w:sz w:val="24"/>
                <w:szCs w:val="24"/>
              </w:rPr>
              <w:t>3</w:t>
            </w:r>
          </w:p>
        </w:tc>
        <w:tc>
          <w:tcPr>
            <w:tcW w:w="4032" w:type="dxa"/>
            <w:noWrap w:val="0"/>
            <w:vAlign w:val="center"/>
          </w:tcPr>
          <w:p w14:paraId="53B73DF0">
            <w:pPr>
              <w:rPr>
                <w:rFonts w:hint="eastAsia" w:ascii="宋体" w:hAnsi="宋体" w:cs="宋体"/>
                <w:sz w:val="24"/>
                <w:szCs w:val="24"/>
              </w:rPr>
            </w:pPr>
          </w:p>
        </w:tc>
        <w:tc>
          <w:tcPr>
            <w:tcW w:w="3217" w:type="dxa"/>
            <w:noWrap w:val="0"/>
            <w:vAlign w:val="center"/>
          </w:tcPr>
          <w:p w14:paraId="689C7050">
            <w:pPr>
              <w:jc w:val="center"/>
              <w:rPr>
                <w:rFonts w:hint="eastAsia" w:ascii="宋体" w:hAnsi="宋体" w:cs="宋体"/>
                <w:sz w:val="24"/>
                <w:szCs w:val="24"/>
              </w:rPr>
            </w:pPr>
          </w:p>
        </w:tc>
        <w:tc>
          <w:tcPr>
            <w:tcW w:w="993" w:type="dxa"/>
            <w:noWrap w:val="0"/>
            <w:vAlign w:val="center"/>
          </w:tcPr>
          <w:p w14:paraId="6BF3C40C">
            <w:pPr>
              <w:rPr>
                <w:rFonts w:hint="eastAsia" w:ascii="宋体" w:hAnsi="宋体" w:cs="宋体"/>
                <w:sz w:val="24"/>
                <w:szCs w:val="24"/>
              </w:rPr>
            </w:pPr>
          </w:p>
        </w:tc>
        <w:tc>
          <w:tcPr>
            <w:tcW w:w="708" w:type="dxa"/>
            <w:noWrap w:val="0"/>
            <w:vAlign w:val="top"/>
          </w:tcPr>
          <w:p w14:paraId="1BAF5DBF">
            <w:pPr>
              <w:rPr>
                <w:rFonts w:hint="eastAsia" w:ascii="宋体" w:hAnsi="宋体" w:cs="宋体"/>
                <w:sz w:val="24"/>
                <w:szCs w:val="24"/>
              </w:rPr>
            </w:pPr>
          </w:p>
        </w:tc>
        <w:tc>
          <w:tcPr>
            <w:tcW w:w="993" w:type="dxa"/>
            <w:noWrap w:val="0"/>
            <w:vAlign w:val="center"/>
          </w:tcPr>
          <w:p w14:paraId="6886879D">
            <w:pPr>
              <w:rPr>
                <w:rFonts w:hint="eastAsia" w:ascii="宋体" w:hAnsi="宋体" w:cs="宋体"/>
                <w:sz w:val="24"/>
                <w:szCs w:val="24"/>
              </w:rPr>
            </w:pPr>
          </w:p>
        </w:tc>
        <w:tc>
          <w:tcPr>
            <w:tcW w:w="1134" w:type="dxa"/>
            <w:noWrap w:val="0"/>
            <w:vAlign w:val="center"/>
          </w:tcPr>
          <w:p w14:paraId="583975F3">
            <w:pPr>
              <w:rPr>
                <w:rFonts w:hint="eastAsia" w:ascii="宋体" w:hAnsi="宋体" w:cs="宋体"/>
                <w:sz w:val="24"/>
                <w:szCs w:val="24"/>
              </w:rPr>
            </w:pPr>
          </w:p>
        </w:tc>
        <w:tc>
          <w:tcPr>
            <w:tcW w:w="1134" w:type="dxa"/>
            <w:noWrap w:val="0"/>
            <w:vAlign w:val="center"/>
          </w:tcPr>
          <w:p w14:paraId="0C59C57D">
            <w:pPr>
              <w:rPr>
                <w:rFonts w:hint="eastAsia" w:ascii="宋体" w:hAnsi="宋体" w:cs="宋体"/>
                <w:sz w:val="24"/>
                <w:szCs w:val="24"/>
              </w:rPr>
            </w:pPr>
          </w:p>
        </w:tc>
        <w:tc>
          <w:tcPr>
            <w:tcW w:w="1387" w:type="dxa"/>
            <w:noWrap w:val="0"/>
            <w:vAlign w:val="center"/>
          </w:tcPr>
          <w:p w14:paraId="5B35EDC5">
            <w:pPr>
              <w:rPr>
                <w:rFonts w:hint="eastAsia" w:ascii="宋体" w:hAnsi="宋体" w:cs="宋体"/>
                <w:sz w:val="24"/>
                <w:szCs w:val="24"/>
              </w:rPr>
            </w:pPr>
          </w:p>
        </w:tc>
      </w:tr>
      <w:tr w14:paraId="0FCE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044" w:type="dxa"/>
            <w:noWrap w:val="0"/>
            <w:vAlign w:val="center"/>
          </w:tcPr>
          <w:p w14:paraId="514286EB">
            <w:pPr>
              <w:jc w:val="center"/>
              <w:rPr>
                <w:rFonts w:hint="eastAsia" w:ascii="宋体" w:hAnsi="宋体" w:cs="宋体"/>
                <w:sz w:val="24"/>
                <w:szCs w:val="24"/>
              </w:rPr>
            </w:pPr>
            <w:r>
              <w:rPr>
                <w:rFonts w:hint="eastAsia" w:ascii="宋体" w:hAnsi="宋体" w:cs="宋体"/>
                <w:sz w:val="24"/>
                <w:szCs w:val="24"/>
              </w:rPr>
              <w:t>4</w:t>
            </w:r>
          </w:p>
        </w:tc>
        <w:tc>
          <w:tcPr>
            <w:tcW w:w="4032" w:type="dxa"/>
            <w:noWrap w:val="0"/>
            <w:vAlign w:val="center"/>
          </w:tcPr>
          <w:p w14:paraId="10DA234B">
            <w:pPr>
              <w:rPr>
                <w:rFonts w:hint="eastAsia" w:ascii="宋体" w:hAnsi="宋体" w:cs="宋体"/>
                <w:sz w:val="24"/>
                <w:szCs w:val="24"/>
              </w:rPr>
            </w:pPr>
          </w:p>
        </w:tc>
        <w:tc>
          <w:tcPr>
            <w:tcW w:w="3217" w:type="dxa"/>
            <w:noWrap w:val="0"/>
            <w:vAlign w:val="center"/>
          </w:tcPr>
          <w:p w14:paraId="1E147F51">
            <w:pPr>
              <w:jc w:val="center"/>
              <w:rPr>
                <w:rFonts w:hint="eastAsia" w:ascii="宋体" w:hAnsi="宋体" w:cs="宋体"/>
                <w:sz w:val="24"/>
                <w:szCs w:val="24"/>
              </w:rPr>
            </w:pPr>
          </w:p>
        </w:tc>
        <w:tc>
          <w:tcPr>
            <w:tcW w:w="993" w:type="dxa"/>
            <w:noWrap w:val="0"/>
            <w:vAlign w:val="center"/>
          </w:tcPr>
          <w:p w14:paraId="046CE4CE">
            <w:pPr>
              <w:rPr>
                <w:rFonts w:hint="eastAsia" w:ascii="宋体" w:hAnsi="宋体" w:cs="宋体"/>
                <w:sz w:val="24"/>
                <w:szCs w:val="24"/>
              </w:rPr>
            </w:pPr>
          </w:p>
        </w:tc>
        <w:tc>
          <w:tcPr>
            <w:tcW w:w="708" w:type="dxa"/>
            <w:noWrap w:val="0"/>
            <w:vAlign w:val="top"/>
          </w:tcPr>
          <w:p w14:paraId="398B7053">
            <w:pPr>
              <w:rPr>
                <w:rFonts w:hint="eastAsia" w:ascii="宋体" w:hAnsi="宋体" w:cs="宋体"/>
                <w:sz w:val="24"/>
                <w:szCs w:val="24"/>
              </w:rPr>
            </w:pPr>
          </w:p>
        </w:tc>
        <w:tc>
          <w:tcPr>
            <w:tcW w:w="993" w:type="dxa"/>
            <w:noWrap w:val="0"/>
            <w:vAlign w:val="center"/>
          </w:tcPr>
          <w:p w14:paraId="1E691944">
            <w:pPr>
              <w:rPr>
                <w:rFonts w:hint="eastAsia" w:ascii="宋体" w:hAnsi="宋体" w:cs="宋体"/>
                <w:sz w:val="24"/>
                <w:szCs w:val="24"/>
              </w:rPr>
            </w:pPr>
          </w:p>
        </w:tc>
        <w:tc>
          <w:tcPr>
            <w:tcW w:w="1134" w:type="dxa"/>
            <w:noWrap w:val="0"/>
            <w:vAlign w:val="center"/>
          </w:tcPr>
          <w:p w14:paraId="33C3B814">
            <w:pPr>
              <w:rPr>
                <w:rFonts w:hint="eastAsia" w:ascii="宋体" w:hAnsi="宋体" w:cs="宋体"/>
                <w:sz w:val="24"/>
                <w:szCs w:val="24"/>
              </w:rPr>
            </w:pPr>
          </w:p>
        </w:tc>
        <w:tc>
          <w:tcPr>
            <w:tcW w:w="1134" w:type="dxa"/>
            <w:noWrap w:val="0"/>
            <w:vAlign w:val="center"/>
          </w:tcPr>
          <w:p w14:paraId="059C16F5">
            <w:pPr>
              <w:rPr>
                <w:rFonts w:hint="eastAsia" w:ascii="宋体" w:hAnsi="宋体" w:cs="宋体"/>
                <w:sz w:val="24"/>
                <w:szCs w:val="24"/>
              </w:rPr>
            </w:pPr>
          </w:p>
        </w:tc>
        <w:tc>
          <w:tcPr>
            <w:tcW w:w="1387" w:type="dxa"/>
            <w:noWrap w:val="0"/>
            <w:vAlign w:val="center"/>
          </w:tcPr>
          <w:p w14:paraId="20FC1860">
            <w:pPr>
              <w:rPr>
                <w:rFonts w:hint="eastAsia" w:ascii="宋体" w:hAnsi="宋体" w:cs="宋体"/>
                <w:sz w:val="24"/>
                <w:szCs w:val="24"/>
              </w:rPr>
            </w:pPr>
          </w:p>
        </w:tc>
      </w:tr>
      <w:tr w14:paraId="13D2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293" w:type="dxa"/>
            <w:gridSpan w:val="3"/>
            <w:noWrap w:val="0"/>
            <w:vAlign w:val="center"/>
          </w:tcPr>
          <w:p w14:paraId="03F89973">
            <w:pPr>
              <w:jc w:val="center"/>
              <w:rPr>
                <w:rFonts w:hint="eastAsia" w:ascii="宋体" w:hAnsi="宋体" w:cs="宋体"/>
                <w:sz w:val="24"/>
                <w:szCs w:val="24"/>
              </w:rPr>
            </w:pPr>
            <w:r>
              <w:rPr>
                <w:rFonts w:hint="eastAsia" w:ascii="宋体" w:hAnsi="宋体" w:cs="宋体"/>
                <w:sz w:val="24"/>
                <w:szCs w:val="24"/>
              </w:rPr>
              <w:t>合计</w:t>
            </w:r>
          </w:p>
        </w:tc>
        <w:tc>
          <w:tcPr>
            <w:tcW w:w="6349" w:type="dxa"/>
            <w:gridSpan w:val="6"/>
            <w:noWrap w:val="0"/>
            <w:vAlign w:val="top"/>
          </w:tcPr>
          <w:p w14:paraId="260A5FC9">
            <w:pPr>
              <w:rPr>
                <w:rFonts w:hint="eastAsia" w:ascii="宋体" w:hAnsi="宋体" w:cs="宋体"/>
                <w:sz w:val="24"/>
                <w:szCs w:val="24"/>
              </w:rPr>
            </w:pPr>
            <w:r>
              <w:rPr>
                <w:rFonts w:hint="eastAsia" w:ascii="宋体" w:hAnsi="宋体" w:cs="宋体"/>
                <w:sz w:val="24"/>
                <w:szCs w:val="24"/>
              </w:rPr>
              <w:t xml:space="preserve"> </w:t>
            </w:r>
          </w:p>
        </w:tc>
      </w:tr>
      <w:tr w14:paraId="3C9D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4642" w:type="dxa"/>
            <w:gridSpan w:val="9"/>
            <w:noWrap w:val="0"/>
            <w:vAlign w:val="center"/>
          </w:tcPr>
          <w:p w14:paraId="0BBDFEA5">
            <w:pPr>
              <w:rPr>
                <w:rFonts w:hint="eastAsia" w:ascii="宋体" w:hAnsi="宋体" w:cs="宋体"/>
                <w:sz w:val="24"/>
                <w:szCs w:val="24"/>
              </w:rPr>
            </w:pPr>
            <w:r>
              <w:rPr>
                <w:rFonts w:hint="eastAsia" w:ascii="方正魏碑_GBK" w:hAnsi="方正魏碑_GBK" w:eastAsia="方正魏碑_GBK" w:cs="方正魏碑_GBK"/>
                <w:sz w:val="28"/>
                <w:szCs w:val="28"/>
              </w:rPr>
              <w:t>本采购包中提供的符合本国产品标准的产品成本之和占该采购包提供的全部产品成本之和的比例为</w:t>
            </w:r>
            <w:r>
              <w:rPr>
                <w:rFonts w:hint="eastAsia" w:ascii="方正魏碑_GBK" w:hAnsi="方正魏碑_GBK" w:eastAsia="方正魏碑_GBK" w:cs="方正魏碑_GBK"/>
                <w:sz w:val="28"/>
                <w:szCs w:val="28"/>
                <w:u w:val="single"/>
              </w:rPr>
              <w:t>***</w:t>
            </w:r>
            <w:r>
              <w:rPr>
                <w:rFonts w:hint="eastAsia" w:ascii="方正魏碑_GBK" w:hAnsi="方正魏碑_GBK" w:eastAsia="方正魏碑_GBK" w:cs="方正魏碑_GBK"/>
                <w:sz w:val="28"/>
                <w:szCs w:val="28"/>
              </w:rPr>
              <w:t>%。</w:t>
            </w:r>
          </w:p>
        </w:tc>
      </w:tr>
    </w:tbl>
    <w:p w14:paraId="65F43C93">
      <w:pPr>
        <w:rPr>
          <w:rFonts w:hint="eastAsia" w:ascii="宋体" w:hAnsi="宋体" w:cs="宋体"/>
          <w:bCs/>
          <w:sz w:val="24"/>
        </w:rPr>
      </w:pPr>
      <w:r>
        <w:rPr>
          <w:rFonts w:hint="eastAsia" w:ascii="宋体" w:hAnsi="宋体" w:cs="宋体"/>
          <w:bCs/>
          <w:sz w:val="24"/>
        </w:rPr>
        <w:t>注：</w:t>
      </w:r>
    </w:p>
    <w:p w14:paraId="0F1A7AD9">
      <w:pPr>
        <w:rPr>
          <w:rFonts w:hint="eastAsia" w:ascii="宋体" w:hAnsi="宋体" w:cs="宋体"/>
          <w:bCs/>
          <w:sz w:val="24"/>
        </w:rPr>
      </w:pPr>
      <w:r>
        <w:rPr>
          <w:rFonts w:hint="eastAsia" w:ascii="宋体" w:hAnsi="宋体" w:cs="宋体"/>
          <w:bCs/>
          <w:sz w:val="24"/>
        </w:rPr>
        <w:t>1.单价和总价采用人民币报价，以元为单位。</w:t>
      </w:r>
    </w:p>
    <w:p w14:paraId="29AE924A">
      <w:pPr>
        <w:rPr>
          <w:rFonts w:hint="eastAsia" w:ascii="宋体" w:hAnsi="宋体" w:cs="宋体"/>
          <w:bCs/>
          <w:sz w:val="24"/>
        </w:rPr>
      </w:pPr>
      <w:r>
        <w:rPr>
          <w:rFonts w:hint="eastAsia" w:ascii="宋体" w:hAnsi="宋体" w:cs="宋体"/>
          <w:bCs/>
          <w:sz w:val="24"/>
        </w:rPr>
        <w:t>2.货物项目填写“交付期”，服务项目填写“服务期”，只填写一个期限。</w:t>
      </w:r>
    </w:p>
    <w:p w14:paraId="6FC170A9">
      <w:pPr>
        <w:ind w:firstLine="0" w:firstLineChars="0"/>
        <w:rPr>
          <w:rFonts w:hint="eastAsia" w:ascii="宋体" w:hAnsi="宋体" w:eastAsia="宋体" w:cs="宋体"/>
        </w:rPr>
        <w:sectPr>
          <w:pgSz w:w="16838" w:h="11906" w:orient="landscape"/>
          <w:pgMar w:top="1365" w:right="1418" w:bottom="1588" w:left="1418" w:header="851" w:footer="907" w:gutter="0"/>
          <w:cols w:space="720" w:num="1"/>
          <w:titlePg/>
          <w:docGrid w:type="lines" w:linePitch="290" w:charSpace="0"/>
        </w:sectPr>
      </w:pPr>
    </w:p>
    <w:p w14:paraId="06BF7D5E">
      <w:pPr>
        <w:keepNext/>
        <w:keepLines/>
        <w:widowControl w:val="0"/>
        <w:spacing w:before="260" w:after="260" w:line="416" w:lineRule="auto"/>
        <w:jc w:val="center"/>
        <w:outlineLvl w:val="2"/>
        <w:rPr>
          <w:rFonts w:hint="eastAsia" w:ascii="宋体" w:hAnsi="宋体" w:eastAsia="宋体" w:cs="宋体"/>
          <w:b/>
          <w:bCs/>
          <w:kern w:val="2"/>
          <w:sz w:val="32"/>
          <w:szCs w:val="32"/>
          <w:lang w:val="en-US" w:eastAsia="zh-CN" w:bidi="ar-SA"/>
        </w:rPr>
      </w:pPr>
      <w:bookmarkStart w:id="276" w:name="_Toc12176"/>
      <w:r>
        <w:rPr>
          <w:rFonts w:hint="eastAsia" w:ascii="宋体" w:hAnsi="宋体" w:eastAsia="宋体" w:cs="宋体"/>
          <w:b/>
          <w:bCs/>
          <w:kern w:val="2"/>
          <w:sz w:val="32"/>
          <w:szCs w:val="32"/>
          <w:lang w:val="en-US" w:eastAsia="zh-CN" w:bidi="ar-SA"/>
        </w:rPr>
        <w:t>五、技术参数响应及偏离表</w:t>
      </w:r>
      <w:bookmarkEnd w:id="274"/>
      <w:bookmarkEnd w:id="275"/>
      <w:bookmarkEnd w:id="276"/>
    </w:p>
    <w:p w14:paraId="58B686A0">
      <w:pPr>
        <w:jc w:val="center"/>
        <w:rPr>
          <w:rFonts w:hint="eastAsia" w:ascii="宋体" w:hAnsi="宋体" w:cs="宋体"/>
          <w:sz w:val="24"/>
          <w:szCs w:val="24"/>
        </w:rPr>
      </w:pPr>
    </w:p>
    <w:tbl>
      <w:tblPr>
        <w:tblStyle w:val="18"/>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14:paraId="04F4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14:paraId="092EDFEF">
            <w:pPr>
              <w:jc w:val="center"/>
              <w:rPr>
                <w:rFonts w:hint="eastAsia" w:ascii="宋体" w:hAnsi="宋体" w:cs="宋体"/>
                <w:sz w:val="24"/>
                <w:szCs w:val="24"/>
              </w:rPr>
            </w:pPr>
            <w:r>
              <w:rPr>
                <w:rFonts w:hint="eastAsia" w:ascii="宋体" w:hAnsi="宋体" w:cs="宋体"/>
                <w:sz w:val="24"/>
                <w:szCs w:val="24"/>
              </w:rPr>
              <w:t>序号</w:t>
            </w:r>
          </w:p>
        </w:tc>
        <w:tc>
          <w:tcPr>
            <w:tcW w:w="2852" w:type="dxa"/>
            <w:noWrap w:val="0"/>
            <w:vAlign w:val="center"/>
          </w:tcPr>
          <w:p w14:paraId="04FAFB63">
            <w:pPr>
              <w:jc w:val="center"/>
              <w:rPr>
                <w:rFonts w:hint="eastAsia" w:ascii="宋体" w:hAnsi="宋体" w:cs="宋体"/>
                <w:sz w:val="24"/>
                <w:szCs w:val="24"/>
              </w:rPr>
            </w:pPr>
            <w:r>
              <w:rPr>
                <w:rFonts w:hint="eastAsia" w:ascii="宋体" w:hAnsi="宋体" w:cs="宋体"/>
                <w:sz w:val="24"/>
                <w:szCs w:val="24"/>
              </w:rPr>
              <w:t>招标要求</w:t>
            </w:r>
          </w:p>
        </w:tc>
        <w:tc>
          <w:tcPr>
            <w:tcW w:w="2852" w:type="dxa"/>
            <w:noWrap w:val="0"/>
            <w:vAlign w:val="center"/>
          </w:tcPr>
          <w:p w14:paraId="3D893F8B">
            <w:pPr>
              <w:jc w:val="center"/>
              <w:rPr>
                <w:rFonts w:hint="eastAsia" w:ascii="宋体" w:hAnsi="宋体" w:cs="宋体"/>
                <w:sz w:val="24"/>
                <w:szCs w:val="24"/>
              </w:rPr>
            </w:pPr>
            <w:r>
              <w:rPr>
                <w:rFonts w:hint="eastAsia" w:ascii="宋体" w:hAnsi="宋体" w:cs="宋体"/>
                <w:sz w:val="24"/>
                <w:szCs w:val="24"/>
              </w:rPr>
              <w:t>投标响应</w:t>
            </w:r>
          </w:p>
        </w:tc>
        <w:tc>
          <w:tcPr>
            <w:tcW w:w="1308" w:type="dxa"/>
            <w:noWrap w:val="0"/>
            <w:vAlign w:val="center"/>
          </w:tcPr>
          <w:p w14:paraId="075CC7F5">
            <w:pPr>
              <w:jc w:val="center"/>
              <w:rPr>
                <w:rFonts w:hint="eastAsia" w:ascii="宋体" w:hAnsi="宋体" w:cs="宋体"/>
                <w:sz w:val="24"/>
                <w:szCs w:val="24"/>
              </w:rPr>
            </w:pPr>
            <w:r>
              <w:rPr>
                <w:rFonts w:hint="eastAsia" w:ascii="宋体" w:hAnsi="宋体" w:cs="宋体"/>
                <w:sz w:val="24"/>
                <w:szCs w:val="24"/>
              </w:rPr>
              <w:t>超出、符合或偏离</w:t>
            </w:r>
          </w:p>
        </w:tc>
        <w:tc>
          <w:tcPr>
            <w:tcW w:w="1173" w:type="dxa"/>
            <w:noWrap w:val="0"/>
            <w:vAlign w:val="center"/>
          </w:tcPr>
          <w:p w14:paraId="60A2541B">
            <w:pPr>
              <w:jc w:val="center"/>
              <w:rPr>
                <w:rFonts w:hint="eastAsia" w:ascii="宋体" w:hAnsi="宋体" w:cs="宋体"/>
                <w:sz w:val="24"/>
                <w:szCs w:val="24"/>
              </w:rPr>
            </w:pPr>
            <w:r>
              <w:rPr>
                <w:rFonts w:hint="eastAsia" w:ascii="宋体" w:hAnsi="宋体" w:cs="宋体"/>
                <w:sz w:val="24"/>
                <w:szCs w:val="24"/>
              </w:rPr>
              <w:t>原因</w:t>
            </w:r>
          </w:p>
        </w:tc>
      </w:tr>
      <w:tr w14:paraId="5168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70EF69E3">
            <w:pPr>
              <w:jc w:val="center"/>
              <w:rPr>
                <w:rFonts w:hint="eastAsia" w:ascii="宋体" w:hAnsi="宋体" w:cs="宋体"/>
                <w:sz w:val="24"/>
                <w:szCs w:val="24"/>
              </w:rPr>
            </w:pPr>
            <w:r>
              <w:rPr>
                <w:rFonts w:hint="eastAsia" w:ascii="宋体" w:hAnsi="宋体" w:cs="宋体"/>
                <w:sz w:val="24"/>
                <w:szCs w:val="24"/>
              </w:rPr>
              <w:t>1</w:t>
            </w:r>
          </w:p>
        </w:tc>
        <w:tc>
          <w:tcPr>
            <w:tcW w:w="2852" w:type="dxa"/>
            <w:noWrap w:val="0"/>
            <w:vAlign w:val="top"/>
          </w:tcPr>
          <w:p w14:paraId="3276052F">
            <w:pPr>
              <w:jc w:val="center"/>
              <w:rPr>
                <w:rFonts w:hint="eastAsia" w:ascii="宋体" w:hAnsi="宋体" w:cs="宋体"/>
                <w:sz w:val="24"/>
                <w:szCs w:val="24"/>
              </w:rPr>
            </w:pPr>
          </w:p>
        </w:tc>
        <w:tc>
          <w:tcPr>
            <w:tcW w:w="2852" w:type="dxa"/>
            <w:noWrap w:val="0"/>
            <w:vAlign w:val="top"/>
          </w:tcPr>
          <w:p w14:paraId="7F037B83">
            <w:pPr>
              <w:jc w:val="center"/>
              <w:rPr>
                <w:rFonts w:hint="eastAsia" w:ascii="宋体" w:hAnsi="宋体" w:cs="宋体"/>
                <w:sz w:val="24"/>
                <w:szCs w:val="24"/>
              </w:rPr>
            </w:pPr>
          </w:p>
        </w:tc>
        <w:tc>
          <w:tcPr>
            <w:tcW w:w="1308" w:type="dxa"/>
            <w:noWrap w:val="0"/>
            <w:vAlign w:val="top"/>
          </w:tcPr>
          <w:p w14:paraId="3EA6D3B5">
            <w:pPr>
              <w:jc w:val="center"/>
              <w:rPr>
                <w:rFonts w:hint="eastAsia" w:ascii="宋体" w:hAnsi="宋体" w:cs="宋体"/>
                <w:sz w:val="24"/>
                <w:szCs w:val="24"/>
              </w:rPr>
            </w:pPr>
          </w:p>
        </w:tc>
        <w:tc>
          <w:tcPr>
            <w:tcW w:w="1173" w:type="dxa"/>
            <w:noWrap w:val="0"/>
            <w:vAlign w:val="top"/>
          </w:tcPr>
          <w:p w14:paraId="6CB28525">
            <w:pPr>
              <w:jc w:val="center"/>
              <w:rPr>
                <w:rFonts w:hint="eastAsia" w:ascii="宋体" w:hAnsi="宋体" w:cs="宋体"/>
                <w:sz w:val="24"/>
                <w:szCs w:val="24"/>
              </w:rPr>
            </w:pPr>
          </w:p>
        </w:tc>
      </w:tr>
      <w:tr w14:paraId="6E62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723CA7F0">
            <w:pPr>
              <w:jc w:val="center"/>
              <w:rPr>
                <w:rFonts w:hint="eastAsia" w:ascii="宋体" w:hAnsi="宋体" w:cs="宋体"/>
                <w:sz w:val="24"/>
                <w:szCs w:val="24"/>
              </w:rPr>
            </w:pPr>
            <w:r>
              <w:rPr>
                <w:rFonts w:hint="eastAsia" w:ascii="宋体" w:hAnsi="宋体" w:cs="宋体"/>
                <w:sz w:val="24"/>
                <w:szCs w:val="24"/>
              </w:rPr>
              <w:t>2</w:t>
            </w:r>
          </w:p>
        </w:tc>
        <w:tc>
          <w:tcPr>
            <w:tcW w:w="2852" w:type="dxa"/>
            <w:noWrap w:val="0"/>
            <w:vAlign w:val="top"/>
          </w:tcPr>
          <w:p w14:paraId="6E84183A">
            <w:pPr>
              <w:jc w:val="center"/>
              <w:rPr>
                <w:rFonts w:hint="eastAsia" w:ascii="宋体" w:hAnsi="宋体" w:cs="宋体"/>
                <w:sz w:val="24"/>
                <w:szCs w:val="24"/>
              </w:rPr>
            </w:pPr>
          </w:p>
        </w:tc>
        <w:tc>
          <w:tcPr>
            <w:tcW w:w="2852" w:type="dxa"/>
            <w:noWrap w:val="0"/>
            <w:vAlign w:val="top"/>
          </w:tcPr>
          <w:p w14:paraId="04CE6156">
            <w:pPr>
              <w:jc w:val="center"/>
              <w:rPr>
                <w:rFonts w:hint="eastAsia" w:ascii="宋体" w:hAnsi="宋体" w:cs="宋体"/>
                <w:sz w:val="24"/>
                <w:szCs w:val="24"/>
              </w:rPr>
            </w:pPr>
          </w:p>
        </w:tc>
        <w:tc>
          <w:tcPr>
            <w:tcW w:w="1308" w:type="dxa"/>
            <w:noWrap w:val="0"/>
            <w:vAlign w:val="top"/>
          </w:tcPr>
          <w:p w14:paraId="6E7A70D8">
            <w:pPr>
              <w:jc w:val="center"/>
              <w:rPr>
                <w:rFonts w:hint="eastAsia" w:ascii="宋体" w:hAnsi="宋体" w:cs="宋体"/>
                <w:sz w:val="24"/>
                <w:szCs w:val="24"/>
              </w:rPr>
            </w:pPr>
          </w:p>
        </w:tc>
        <w:tc>
          <w:tcPr>
            <w:tcW w:w="1173" w:type="dxa"/>
            <w:noWrap w:val="0"/>
            <w:vAlign w:val="top"/>
          </w:tcPr>
          <w:p w14:paraId="404E0EB7">
            <w:pPr>
              <w:jc w:val="center"/>
              <w:rPr>
                <w:rFonts w:hint="eastAsia" w:ascii="宋体" w:hAnsi="宋体" w:cs="宋体"/>
                <w:sz w:val="24"/>
                <w:szCs w:val="24"/>
              </w:rPr>
            </w:pPr>
          </w:p>
        </w:tc>
      </w:tr>
      <w:tr w14:paraId="4420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0FB19414">
            <w:pPr>
              <w:jc w:val="center"/>
              <w:rPr>
                <w:rFonts w:hint="eastAsia" w:ascii="宋体" w:hAnsi="宋体" w:cs="宋体"/>
                <w:sz w:val="24"/>
                <w:szCs w:val="24"/>
              </w:rPr>
            </w:pPr>
            <w:r>
              <w:rPr>
                <w:rFonts w:hint="eastAsia" w:ascii="宋体" w:hAnsi="宋体" w:cs="宋体"/>
                <w:sz w:val="24"/>
                <w:szCs w:val="24"/>
              </w:rPr>
              <w:t>3</w:t>
            </w:r>
          </w:p>
        </w:tc>
        <w:tc>
          <w:tcPr>
            <w:tcW w:w="2852" w:type="dxa"/>
            <w:noWrap w:val="0"/>
            <w:vAlign w:val="top"/>
          </w:tcPr>
          <w:p w14:paraId="2D71069F">
            <w:pPr>
              <w:jc w:val="center"/>
              <w:rPr>
                <w:rFonts w:hint="eastAsia" w:ascii="宋体" w:hAnsi="宋体" w:cs="宋体"/>
                <w:sz w:val="24"/>
                <w:szCs w:val="24"/>
              </w:rPr>
            </w:pPr>
          </w:p>
        </w:tc>
        <w:tc>
          <w:tcPr>
            <w:tcW w:w="2852" w:type="dxa"/>
            <w:noWrap w:val="0"/>
            <w:vAlign w:val="top"/>
          </w:tcPr>
          <w:p w14:paraId="034F5871">
            <w:pPr>
              <w:jc w:val="center"/>
              <w:rPr>
                <w:rFonts w:hint="eastAsia" w:ascii="宋体" w:hAnsi="宋体" w:cs="宋体"/>
                <w:sz w:val="24"/>
                <w:szCs w:val="24"/>
              </w:rPr>
            </w:pPr>
          </w:p>
        </w:tc>
        <w:tc>
          <w:tcPr>
            <w:tcW w:w="1308" w:type="dxa"/>
            <w:noWrap w:val="0"/>
            <w:vAlign w:val="top"/>
          </w:tcPr>
          <w:p w14:paraId="3C5B728A">
            <w:pPr>
              <w:jc w:val="center"/>
              <w:rPr>
                <w:rFonts w:hint="eastAsia" w:ascii="宋体" w:hAnsi="宋体" w:cs="宋体"/>
                <w:sz w:val="24"/>
                <w:szCs w:val="24"/>
              </w:rPr>
            </w:pPr>
          </w:p>
        </w:tc>
        <w:tc>
          <w:tcPr>
            <w:tcW w:w="1173" w:type="dxa"/>
            <w:noWrap w:val="0"/>
            <w:vAlign w:val="top"/>
          </w:tcPr>
          <w:p w14:paraId="7B344C22">
            <w:pPr>
              <w:jc w:val="center"/>
              <w:rPr>
                <w:rFonts w:hint="eastAsia" w:ascii="宋体" w:hAnsi="宋体" w:cs="宋体"/>
                <w:sz w:val="24"/>
                <w:szCs w:val="24"/>
              </w:rPr>
            </w:pPr>
          </w:p>
        </w:tc>
      </w:tr>
      <w:tr w14:paraId="5BC7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435B0BA0">
            <w:pPr>
              <w:jc w:val="center"/>
              <w:rPr>
                <w:rFonts w:hint="eastAsia" w:ascii="宋体" w:hAnsi="宋体" w:cs="宋体"/>
                <w:sz w:val="24"/>
                <w:szCs w:val="24"/>
              </w:rPr>
            </w:pPr>
            <w:r>
              <w:rPr>
                <w:rFonts w:hint="eastAsia" w:ascii="宋体" w:hAnsi="宋体" w:cs="宋体"/>
                <w:sz w:val="24"/>
                <w:szCs w:val="24"/>
              </w:rPr>
              <w:t>4</w:t>
            </w:r>
          </w:p>
        </w:tc>
        <w:tc>
          <w:tcPr>
            <w:tcW w:w="2852" w:type="dxa"/>
            <w:noWrap w:val="0"/>
            <w:vAlign w:val="top"/>
          </w:tcPr>
          <w:p w14:paraId="3AF1697C">
            <w:pPr>
              <w:jc w:val="center"/>
              <w:rPr>
                <w:rFonts w:hint="eastAsia" w:ascii="宋体" w:hAnsi="宋体" w:cs="宋体"/>
                <w:sz w:val="24"/>
                <w:szCs w:val="24"/>
              </w:rPr>
            </w:pPr>
          </w:p>
        </w:tc>
        <w:tc>
          <w:tcPr>
            <w:tcW w:w="2852" w:type="dxa"/>
            <w:noWrap w:val="0"/>
            <w:vAlign w:val="top"/>
          </w:tcPr>
          <w:p w14:paraId="088856B1">
            <w:pPr>
              <w:jc w:val="center"/>
              <w:rPr>
                <w:rFonts w:hint="eastAsia" w:ascii="宋体" w:hAnsi="宋体" w:cs="宋体"/>
                <w:sz w:val="24"/>
                <w:szCs w:val="24"/>
              </w:rPr>
            </w:pPr>
          </w:p>
        </w:tc>
        <w:tc>
          <w:tcPr>
            <w:tcW w:w="1308" w:type="dxa"/>
            <w:noWrap w:val="0"/>
            <w:vAlign w:val="top"/>
          </w:tcPr>
          <w:p w14:paraId="586EB782">
            <w:pPr>
              <w:jc w:val="center"/>
              <w:rPr>
                <w:rFonts w:hint="eastAsia" w:ascii="宋体" w:hAnsi="宋体" w:cs="宋体"/>
                <w:sz w:val="24"/>
                <w:szCs w:val="24"/>
              </w:rPr>
            </w:pPr>
          </w:p>
        </w:tc>
        <w:tc>
          <w:tcPr>
            <w:tcW w:w="1173" w:type="dxa"/>
            <w:noWrap w:val="0"/>
            <w:vAlign w:val="top"/>
          </w:tcPr>
          <w:p w14:paraId="7ABDE8B6">
            <w:pPr>
              <w:jc w:val="center"/>
              <w:rPr>
                <w:rFonts w:hint="eastAsia" w:ascii="宋体" w:hAnsi="宋体" w:cs="宋体"/>
                <w:sz w:val="24"/>
                <w:szCs w:val="24"/>
              </w:rPr>
            </w:pPr>
          </w:p>
        </w:tc>
      </w:tr>
      <w:tr w14:paraId="2204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3EACF5F7">
            <w:pPr>
              <w:jc w:val="center"/>
              <w:rPr>
                <w:rFonts w:hint="eastAsia" w:ascii="宋体" w:hAnsi="宋体" w:cs="宋体"/>
                <w:sz w:val="24"/>
                <w:szCs w:val="24"/>
              </w:rPr>
            </w:pPr>
            <w:r>
              <w:rPr>
                <w:rFonts w:hint="eastAsia" w:ascii="宋体" w:hAnsi="宋体" w:cs="宋体"/>
                <w:sz w:val="24"/>
                <w:szCs w:val="24"/>
              </w:rPr>
              <w:t>5</w:t>
            </w:r>
          </w:p>
        </w:tc>
        <w:tc>
          <w:tcPr>
            <w:tcW w:w="2852" w:type="dxa"/>
            <w:noWrap w:val="0"/>
            <w:vAlign w:val="top"/>
          </w:tcPr>
          <w:p w14:paraId="624BA643">
            <w:pPr>
              <w:jc w:val="center"/>
              <w:rPr>
                <w:rFonts w:hint="eastAsia" w:ascii="宋体" w:hAnsi="宋体" w:cs="宋体"/>
                <w:sz w:val="24"/>
                <w:szCs w:val="24"/>
              </w:rPr>
            </w:pPr>
          </w:p>
        </w:tc>
        <w:tc>
          <w:tcPr>
            <w:tcW w:w="2852" w:type="dxa"/>
            <w:noWrap w:val="0"/>
            <w:vAlign w:val="top"/>
          </w:tcPr>
          <w:p w14:paraId="5CB8DD88">
            <w:pPr>
              <w:jc w:val="center"/>
              <w:rPr>
                <w:rFonts w:hint="eastAsia" w:ascii="宋体" w:hAnsi="宋体" w:cs="宋体"/>
                <w:sz w:val="24"/>
                <w:szCs w:val="24"/>
              </w:rPr>
            </w:pPr>
          </w:p>
        </w:tc>
        <w:tc>
          <w:tcPr>
            <w:tcW w:w="1308" w:type="dxa"/>
            <w:noWrap w:val="0"/>
            <w:vAlign w:val="top"/>
          </w:tcPr>
          <w:p w14:paraId="0ED9034A">
            <w:pPr>
              <w:jc w:val="center"/>
              <w:rPr>
                <w:rFonts w:hint="eastAsia" w:ascii="宋体" w:hAnsi="宋体" w:cs="宋体"/>
                <w:sz w:val="24"/>
                <w:szCs w:val="24"/>
              </w:rPr>
            </w:pPr>
          </w:p>
        </w:tc>
        <w:tc>
          <w:tcPr>
            <w:tcW w:w="1173" w:type="dxa"/>
            <w:noWrap w:val="0"/>
            <w:vAlign w:val="top"/>
          </w:tcPr>
          <w:p w14:paraId="4884F7E4">
            <w:pPr>
              <w:jc w:val="center"/>
              <w:rPr>
                <w:rFonts w:hint="eastAsia" w:ascii="宋体" w:hAnsi="宋体" w:cs="宋体"/>
                <w:sz w:val="24"/>
                <w:szCs w:val="24"/>
              </w:rPr>
            </w:pPr>
          </w:p>
        </w:tc>
      </w:tr>
      <w:tr w14:paraId="4CF3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7172D249">
            <w:pPr>
              <w:jc w:val="center"/>
              <w:rPr>
                <w:rFonts w:hint="eastAsia" w:ascii="宋体" w:hAnsi="宋体" w:cs="宋体"/>
                <w:sz w:val="24"/>
                <w:szCs w:val="24"/>
              </w:rPr>
            </w:pPr>
            <w:r>
              <w:rPr>
                <w:rFonts w:hint="eastAsia" w:ascii="宋体" w:hAnsi="宋体" w:cs="宋体"/>
                <w:sz w:val="24"/>
                <w:szCs w:val="24"/>
              </w:rPr>
              <w:t>6</w:t>
            </w:r>
          </w:p>
        </w:tc>
        <w:tc>
          <w:tcPr>
            <w:tcW w:w="2852" w:type="dxa"/>
            <w:noWrap w:val="0"/>
            <w:vAlign w:val="top"/>
          </w:tcPr>
          <w:p w14:paraId="06B2A57C">
            <w:pPr>
              <w:jc w:val="center"/>
              <w:rPr>
                <w:rFonts w:hint="eastAsia" w:ascii="宋体" w:hAnsi="宋体" w:cs="宋体"/>
                <w:sz w:val="24"/>
                <w:szCs w:val="24"/>
              </w:rPr>
            </w:pPr>
          </w:p>
        </w:tc>
        <w:tc>
          <w:tcPr>
            <w:tcW w:w="2852" w:type="dxa"/>
            <w:noWrap w:val="0"/>
            <w:vAlign w:val="top"/>
          </w:tcPr>
          <w:p w14:paraId="20B44957">
            <w:pPr>
              <w:jc w:val="center"/>
              <w:rPr>
                <w:rFonts w:hint="eastAsia" w:ascii="宋体" w:hAnsi="宋体" w:cs="宋体"/>
                <w:sz w:val="24"/>
                <w:szCs w:val="24"/>
              </w:rPr>
            </w:pPr>
          </w:p>
        </w:tc>
        <w:tc>
          <w:tcPr>
            <w:tcW w:w="1308" w:type="dxa"/>
            <w:noWrap w:val="0"/>
            <w:vAlign w:val="top"/>
          </w:tcPr>
          <w:p w14:paraId="3390E3DF">
            <w:pPr>
              <w:jc w:val="center"/>
              <w:rPr>
                <w:rFonts w:hint="eastAsia" w:ascii="宋体" w:hAnsi="宋体" w:cs="宋体"/>
                <w:sz w:val="24"/>
                <w:szCs w:val="24"/>
              </w:rPr>
            </w:pPr>
          </w:p>
        </w:tc>
        <w:tc>
          <w:tcPr>
            <w:tcW w:w="1173" w:type="dxa"/>
            <w:noWrap w:val="0"/>
            <w:vAlign w:val="top"/>
          </w:tcPr>
          <w:p w14:paraId="19A57477">
            <w:pPr>
              <w:jc w:val="center"/>
              <w:rPr>
                <w:rFonts w:hint="eastAsia" w:ascii="宋体" w:hAnsi="宋体" w:cs="宋体"/>
                <w:sz w:val="24"/>
                <w:szCs w:val="24"/>
              </w:rPr>
            </w:pPr>
          </w:p>
        </w:tc>
      </w:tr>
      <w:tr w14:paraId="306F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70E7D193">
            <w:pPr>
              <w:jc w:val="center"/>
              <w:rPr>
                <w:rFonts w:hint="eastAsia" w:ascii="宋体" w:hAnsi="宋体" w:cs="宋体"/>
                <w:sz w:val="24"/>
                <w:szCs w:val="24"/>
              </w:rPr>
            </w:pPr>
            <w:r>
              <w:rPr>
                <w:rFonts w:hint="eastAsia" w:ascii="宋体" w:hAnsi="宋体" w:cs="宋体"/>
                <w:sz w:val="24"/>
                <w:szCs w:val="24"/>
              </w:rPr>
              <w:t>7</w:t>
            </w:r>
          </w:p>
        </w:tc>
        <w:tc>
          <w:tcPr>
            <w:tcW w:w="2852" w:type="dxa"/>
            <w:noWrap w:val="0"/>
            <w:vAlign w:val="top"/>
          </w:tcPr>
          <w:p w14:paraId="4E7BA785">
            <w:pPr>
              <w:jc w:val="center"/>
              <w:rPr>
                <w:rFonts w:hint="eastAsia" w:ascii="宋体" w:hAnsi="宋体" w:cs="宋体"/>
                <w:sz w:val="24"/>
                <w:szCs w:val="24"/>
              </w:rPr>
            </w:pPr>
          </w:p>
        </w:tc>
        <w:tc>
          <w:tcPr>
            <w:tcW w:w="2852" w:type="dxa"/>
            <w:noWrap w:val="0"/>
            <w:vAlign w:val="top"/>
          </w:tcPr>
          <w:p w14:paraId="5BE4EB4E">
            <w:pPr>
              <w:jc w:val="center"/>
              <w:rPr>
                <w:rFonts w:hint="eastAsia" w:ascii="宋体" w:hAnsi="宋体" w:cs="宋体"/>
                <w:sz w:val="24"/>
                <w:szCs w:val="24"/>
              </w:rPr>
            </w:pPr>
          </w:p>
        </w:tc>
        <w:tc>
          <w:tcPr>
            <w:tcW w:w="1308" w:type="dxa"/>
            <w:noWrap w:val="0"/>
            <w:vAlign w:val="top"/>
          </w:tcPr>
          <w:p w14:paraId="5C553366">
            <w:pPr>
              <w:jc w:val="center"/>
              <w:rPr>
                <w:rFonts w:hint="eastAsia" w:ascii="宋体" w:hAnsi="宋体" w:cs="宋体"/>
                <w:sz w:val="24"/>
                <w:szCs w:val="24"/>
              </w:rPr>
            </w:pPr>
          </w:p>
        </w:tc>
        <w:tc>
          <w:tcPr>
            <w:tcW w:w="1173" w:type="dxa"/>
            <w:noWrap w:val="0"/>
            <w:vAlign w:val="top"/>
          </w:tcPr>
          <w:p w14:paraId="2E0E6FFE">
            <w:pPr>
              <w:jc w:val="center"/>
              <w:rPr>
                <w:rFonts w:hint="eastAsia" w:ascii="宋体" w:hAnsi="宋体" w:cs="宋体"/>
                <w:sz w:val="24"/>
                <w:szCs w:val="24"/>
              </w:rPr>
            </w:pPr>
          </w:p>
        </w:tc>
      </w:tr>
      <w:tr w14:paraId="4FE3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58270019">
            <w:pPr>
              <w:jc w:val="center"/>
              <w:rPr>
                <w:rFonts w:hint="eastAsia" w:ascii="宋体" w:hAnsi="宋体" w:cs="宋体"/>
                <w:sz w:val="24"/>
                <w:szCs w:val="24"/>
              </w:rPr>
            </w:pPr>
            <w:r>
              <w:rPr>
                <w:rFonts w:hint="eastAsia" w:ascii="宋体" w:hAnsi="宋体" w:cs="宋体"/>
                <w:sz w:val="24"/>
                <w:szCs w:val="24"/>
              </w:rPr>
              <w:t>8</w:t>
            </w:r>
          </w:p>
        </w:tc>
        <w:tc>
          <w:tcPr>
            <w:tcW w:w="2852" w:type="dxa"/>
            <w:noWrap w:val="0"/>
            <w:vAlign w:val="top"/>
          </w:tcPr>
          <w:p w14:paraId="39A7356F">
            <w:pPr>
              <w:jc w:val="center"/>
              <w:rPr>
                <w:rFonts w:hint="eastAsia" w:ascii="宋体" w:hAnsi="宋体" w:cs="宋体"/>
                <w:sz w:val="24"/>
                <w:szCs w:val="24"/>
              </w:rPr>
            </w:pPr>
          </w:p>
        </w:tc>
        <w:tc>
          <w:tcPr>
            <w:tcW w:w="2852" w:type="dxa"/>
            <w:noWrap w:val="0"/>
            <w:vAlign w:val="top"/>
          </w:tcPr>
          <w:p w14:paraId="5CF6768A">
            <w:pPr>
              <w:jc w:val="center"/>
              <w:rPr>
                <w:rFonts w:hint="eastAsia" w:ascii="宋体" w:hAnsi="宋体" w:cs="宋体"/>
                <w:sz w:val="24"/>
                <w:szCs w:val="24"/>
              </w:rPr>
            </w:pPr>
          </w:p>
        </w:tc>
        <w:tc>
          <w:tcPr>
            <w:tcW w:w="1308" w:type="dxa"/>
            <w:noWrap w:val="0"/>
            <w:vAlign w:val="top"/>
          </w:tcPr>
          <w:p w14:paraId="454FAA5C">
            <w:pPr>
              <w:jc w:val="center"/>
              <w:rPr>
                <w:rFonts w:hint="eastAsia" w:ascii="宋体" w:hAnsi="宋体" w:cs="宋体"/>
                <w:sz w:val="24"/>
                <w:szCs w:val="24"/>
              </w:rPr>
            </w:pPr>
          </w:p>
        </w:tc>
        <w:tc>
          <w:tcPr>
            <w:tcW w:w="1173" w:type="dxa"/>
            <w:noWrap w:val="0"/>
            <w:vAlign w:val="top"/>
          </w:tcPr>
          <w:p w14:paraId="26CFF0FD">
            <w:pPr>
              <w:jc w:val="center"/>
              <w:rPr>
                <w:rFonts w:hint="eastAsia" w:ascii="宋体" w:hAnsi="宋体" w:cs="宋体"/>
                <w:sz w:val="24"/>
                <w:szCs w:val="24"/>
              </w:rPr>
            </w:pPr>
          </w:p>
        </w:tc>
      </w:tr>
    </w:tbl>
    <w:p w14:paraId="059D2961">
      <w:pPr>
        <w:rPr>
          <w:rFonts w:hint="eastAsia" w:ascii="宋体" w:hAnsi="宋体" w:cs="宋体"/>
          <w:sz w:val="24"/>
          <w:szCs w:val="24"/>
        </w:rPr>
      </w:pPr>
    </w:p>
    <w:p w14:paraId="2D3E082B">
      <w:pPr>
        <w:rPr>
          <w:rFonts w:hint="eastAsia" w:ascii="宋体" w:hAnsi="宋体" w:cs="宋体"/>
          <w:sz w:val="24"/>
          <w:szCs w:val="24"/>
        </w:rPr>
      </w:pPr>
    </w:p>
    <w:p w14:paraId="106E2D95">
      <w:pPr>
        <w:rPr>
          <w:rFonts w:hint="eastAsia" w:ascii="宋体" w:hAnsi="宋体" w:cs="宋体"/>
          <w:sz w:val="24"/>
          <w:szCs w:val="24"/>
        </w:rPr>
      </w:pPr>
      <w:r>
        <w:rPr>
          <w:rFonts w:hint="eastAsia" w:ascii="宋体" w:hAnsi="宋体" w:cs="宋体"/>
          <w:sz w:val="24"/>
          <w:szCs w:val="24"/>
        </w:rPr>
        <w:t>注：1、按照基本技术要求详细填列。</w:t>
      </w:r>
    </w:p>
    <w:p w14:paraId="252BAD32">
      <w:pPr>
        <w:ind w:firstLine="480" w:firstLineChars="200"/>
        <w:rPr>
          <w:rFonts w:hint="eastAsia" w:ascii="宋体" w:hAnsi="宋体" w:cs="宋体"/>
          <w:sz w:val="24"/>
          <w:szCs w:val="24"/>
        </w:rPr>
      </w:pPr>
      <w:r>
        <w:rPr>
          <w:rFonts w:hint="eastAsia" w:ascii="宋体" w:hAnsi="宋体" w:cs="宋体"/>
          <w:sz w:val="24"/>
          <w:szCs w:val="24"/>
        </w:rPr>
        <w:t>2.行数不够，可自行添加。</w:t>
      </w:r>
    </w:p>
    <w:p w14:paraId="3D6B6811">
      <w:pPr>
        <w:rPr>
          <w:rFonts w:hint="eastAsia" w:ascii="宋体" w:hAnsi="宋体" w:cs="宋体"/>
          <w:sz w:val="32"/>
        </w:rPr>
        <w:sectPr>
          <w:pgSz w:w="11906" w:h="16838"/>
          <w:pgMar w:top="1418" w:right="1588" w:bottom="1418" w:left="1365" w:header="851" w:footer="907" w:gutter="0"/>
          <w:cols w:space="720" w:num="1"/>
          <w:titlePg/>
          <w:docGrid w:type="lines" w:linePitch="290" w:charSpace="0"/>
        </w:sectPr>
      </w:pPr>
    </w:p>
    <w:bookmarkEnd w:id="272"/>
    <w:p w14:paraId="0B0D6363">
      <w:pPr>
        <w:keepNext/>
        <w:keepLines/>
        <w:widowControl w:val="0"/>
        <w:spacing w:before="260" w:after="260" w:line="416" w:lineRule="auto"/>
        <w:jc w:val="center"/>
        <w:outlineLvl w:val="2"/>
        <w:rPr>
          <w:rFonts w:hint="eastAsia" w:ascii="宋体" w:hAnsi="宋体" w:eastAsia="宋体" w:cs="宋体"/>
          <w:b/>
          <w:bCs/>
          <w:kern w:val="2"/>
          <w:sz w:val="32"/>
          <w:szCs w:val="32"/>
          <w:lang w:val="en-US" w:eastAsia="zh-CN" w:bidi="ar-SA"/>
        </w:rPr>
      </w:pPr>
      <w:bookmarkStart w:id="277" w:name="_Hlt26955054"/>
      <w:bookmarkEnd w:id="277"/>
      <w:bookmarkStart w:id="278" w:name="_Toc534725620"/>
      <w:bookmarkStart w:id="279" w:name="_Toc534816649"/>
      <w:bookmarkStart w:id="280" w:name="_Toc36"/>
      <w:r>
        <w:rPr>
          <w:rFonts w:hint="eastAsia" w:ascii="宋体" w:hAnsi="宋体" w:eastAsia="宋体" w:cs="宋体"/>
          <w:b/>
          <w:bCs/>
          <w:kern w:val="2"/>
          <w:sz w:val="32"/>
          <w:szCs w:val="32"/>
          <w:lang w:val="en-US" w:eastAsia="zh-CN" w:bidi="ar-SA"/>
        </w:rPr>
        <w:t>六、商务条款响应及偏离表</w:t>
      </w:r>
      <w:bookmarkEnd w:id="278"/>
      <w:bookmarkEnd w:id="279"/>
      <w:bookmarkEnd w:id="280"/>
    </w:p>
    <w:tbl>
      <w:tblPr>
        <w:tblStyle w:val="18"/>
        <w:tblW w:w="895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982"/>
      </w:tblGrid>
      <w:tr w14:paraId="67B71D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63B760BB">
            <w:pPr>
              <w:snapToGrid w:val="0"/>
              <w:spacing w:before="145" w:beforeLines="50"/>
              <w:jc w:val="center"/>
              <w:rPr>
                <w:rFonts w:hint="eastAsia" w:ascii="宋体" w:hAnsi="宋体" w:cs="宋体"/>
                <w:sz w:val="24"/>
                <w:szCs w:val="20"/>
              </w:rPr>
            </w:pPr>
            <w:r>
              <w:rPr>
                <w:rFonts w:hint="eastAsia" w:ascii="宋体" w:hAnsi="宋体" w:cs="宋体"/>
                <w:sz w:val="24"/>
              </w:rPr>
              <w:t>项目</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04A29C50">
            <w:pPr>
              <w:snapToGrid w:val="0"/>
              <w:spacing w:before="145" w:beforeLines="50"/>
              <w:jc w:val="center"/>
              <w:rPr>
                <w:rFonts w:hint="eastAsia" w:ascii="宋体" w:hAnsi="宋体" w:cs="宋体"/>
                <w:sz w:val="24"/>
                <w:szCs w:val="20"/>
              </w:rPr>
            </w:pPr>
            <w:r>
              <w:rPr>
                <w:rFonts w:hint="eastAsia" w:ascii="宋体" w:hAnsi="宋体" w:cs="宋体"/>
                <w:sz w:val="24"/>
              </w:rPr>
              <w:t>招标文件要求</w:t>
            </w:r>
          </w:p>
        </w:tc>
        <w:tc>
          <w:tcPr>
            <w:tcW w:w="1837" w:type="dxa"/>
            <w:tcBorders>
              <w:top w:val="single" w:color="auto" w:sz="4" w:space="0"/>
              <w:left w:val="single" w:color="auto" w:sz="4" w:space="0"/>
              <w:bottom w:val="single" w:color="auto" w:sz="4" w:space="0"/>
              <w:right w:val="single" w:color="auto" w:sz="4" w:space="0"/>
            </w:tcBorders>
            <w:noWrap w:val="0"/>
            <w:vAlign w:val="top"/>
          </w:tcPr>
          <w:p w14:paraId="529D888E">
            <w:pPr>
              <w:snapToGrid w:val="0"/>
              <w:spacing w:before="145" w:beforeLines="50"/>
              <w:jc w:val="center"/>
              <w:rPr>
                <w:rFonts w:hint="eastAsia" w:ascii="宋体" w:hAnsi="宋体" w:cs="宋体"/>
                <w:sz w:val="24"/>
                <w:szCs w:val="20"/>
              </w:rPr>
            </w:pPr>
            <w:r>
              <w:rPr>
                <w:rFonts w:hint="eastAsia" w:ascii="宋体" w:hAnsi="宋体" w:cs="宋体"/>
                <w:sz w:val="24"/>
              </w:rPr>
              <w:t>是否响应</w:t>
            </w:r>
          </w:p>
        </w:tc>
        <w:tc>
          <w:tcPr>
            <w:tcW w:w="2982" w:type="dxa"/>
            <w:tcBorders>
              <w:top w:val="single" w:color="auto" w:sz="4" w:space="0"/>
              <w:left w:val="single" w:color="auto" w:sz="4" w:space="0"/>
              <w:bottom w:val="single" w:color="auto" w:sz="4" w:space="0"/>
              <w:right w:val="single" w:color="auto" w:sz="4" w:space="0"/>
            </w:tcBorders>
            <w:noWrap w:val="0"/>
            <w:vAlign w:val="top"/>
          </w:tcPr>
          <w:p w14:paraId="0086C90C">
            <w:pPr>
              <w:snapToGrid w:val="0"/>
              <w:spacing w:before="145" w:beforeLines="50"/>
              <w:jc w:val="center"/>
              <w:rPr>
                <w:rFonts w:hint="eastAsia" w:ascii="宋体" w:hAnsi="宋体" w:cs="宋体"/>
                <w:sz w:val="24"/>
                <w:szCs w:val="20"/>
              </w:rPr>
            </w:pPr>
            <w:r>
              <w:rPr>
                <w:rFonts w:hint="eastAsia" w:ascii="宋体" w:hAnsi="宋体" w:cs="宋体"/>
                <w:sz w:val="24"/>
              </w:rPr>
              <w:t>投标人的承诺或说明</w:t>
            </w:r>
          </w:p>
        </w:tc>
      </w:tr>
      <w:tr w14:paraId="3257C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39FEF1DC">
            <w:pPr>
              <w:snapToGrid w:val="0"/>
              <w:spacing w:before="145" w:beforeLines="50"/>
              <w:jc w:val="center"/>
              <w:rPr>
                <w:rFonts w:hint="eastAsia" w:ascii="宋体" w:hAnsi="宋体" w:cs="宋体"/>
                <w:sz w:val="24"/>
                <w:szCs w:val="20"/>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CCA2671">
            <w:pPr>
              <w:snapToGrid w:val="0"/>
              <w:spacing w:before="145" w:beforeLines="50"/>
              <w:jc w:val="center"/>
              <w:rPr>
                <w:rFonts w:hint="eastAsia" w:ascii="宋体" w:hAnsi="宋体" w:cs="宋体"/>
                <w:sz w:val="24"/>
                <w:szCs w:val="20"/>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4523BC17">
            <w:pPr>
              <w:snapToGrid w:val="0"/>
              <w:spacing w:before="145" w:beforeLines="50"/>
              <w:jc w:val="center"/>
              <w:rPr>
                <w:rFonts w:hint="eastAsia" w:ascii="宋体" w:hAnsi="宋体" w:cs="宋体"/>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166B3DF4">
            <w:pPr>
              <w:snapToGrid w:val="0"/>
              <w:spacing w:before="145" w:beforeLines="50"/>
              <w:jc w:val="center"/>
              <w:rPr>
                <w:rFonts w:hint="eastAsia" w:ascii="宋体" w:hAnsi="宋体" w:cs="宋体"/>
                <w:sz w:val="24"/>
                <w:szCs w:val="20"/>
              </w:rPr>
            </w:pPr>
          </w:p>
        </w:tc>
      </w:tr>
      <w:tr w14:paraId="1066A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6995B222">
            <w:pPr>
              <w:snapToGrid w:val="0"/>
              <w:spacing w:before="145" w:beforeLines="50"/>
              <w:jc w:val="center"/>
              <w:rPr>
                <w:rFonts w:hint="eastAsia" w:ascii="宋体" w:hAnsi="宋体" w:cs="宋体"/>
                <w:sz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054238EF">
            <w:pPr>
              <w:snapToGrid w:val="0"/>
              <w:spacing w:before="145" w:beforeLines="50"/>
              <w:rPr>
                <w:rFonts w:hint="eastAsia" w:ascii="宋体" w:hAnsi="宋体" w:cs="宋体"/>
                <w:sz w:val="24"/>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3FFA93E1">
            <w:pPr>
              <w:snapToGrid w:val="0"/>
              <w:spacing w:before="145" w:beforeLines="50"/>
              <w:ind w:left="43"/>
              <w:jc w:val="center"/>
              <w:rPr>
                <w:rFonts w:hint="eastAsia" w:ascii="宋体" w:hAnsi="宋体" w:cs="宋体"/>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43E733CA">
            <w:pPr>
              <w:snapToGrid w:val="0"/>
              <w:spacing w:before="145" w:beforeLines="50"/>
              <w:ind w:left="43"/>
              <w:jc w:val="center"/>
              <w:rPr>
                <w:rFonts w:hint="eastAsia" w:ascii="宋体" w:hAnsi="宋体" w:cs="宋体"/>
                <w:sz w:val="24"/>
                <w:szCs w:val="20"/>
              </w:rPr>
            </w:pPr>
          </w:p>
        </w:tc>
      </w:tr>
      <w:tr w14:paraId="23BDF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152F036D">
            <w:pPr>
              <w:snapToGrid w:val="0"/>
              <w:spacing w:before="145" w:beforeLines="50"/>
              <w:jc w:val="center"/>
              <w:rPr>
                <w:rFonts w:hint="eastAsia" w:ascii="宋体" w:hAnsi="宋体" w:cs="宋体"/>
                <w:sz w:val="24"/>
                <w:szCs w:val="20"/>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284E96D9">
            <w:pPr>
              <w:snapToGrid w:val="0"/>
              <w:spacing w:before="145" w:beforeLines="50"/>
              <w:rPr>
                <w:rFonts w:hint="eastAsia" w:ascii="宋体" w:hAnsi="宋体" w:cs="宋体"/>
                <w:sz w:val="24"/>
                <w:szCs w:val="20"/>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04DDAF8C">
            <w:pPr>
              <w:snapToGrid w:val="0"/>
              <w:spacing w:before="145" w:beforeLines="50"/>
              <w:jc w:val="center"/>
              <w:rPr>
                <w:rFonts w:hint="eastAsia" w:ascii="宋体" w:hAnsi="宋体" w:cs="宋体"/>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1C67D75E">
            <w:pPr>
              <w:snapToGrid w:val="0"/>
              <w:spacing w:before="145" w:beforeLines="50"/>
              <w:jc w:val="center"/>
              <w:rPr>
                <w:rFonts w:hint="eastAsia" w:ascii="宋体" w:hAnsi="宋体" w:cs="宋体"/>
                <w:sz w:val="24"/>
                <w:szCs w:val="20"/>
              </w:rPr>
            </w:pPr>
          </w:p>
        </w:tc>
      </w:tr>
      <w:tr w14:paraId="5F0C9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23E2C94C">
            <w:pPr>
              <w:snapToGrid w:val="0"/>
              <w:spacing w:before="145" w:beforeLines="50"/>
              <w:jc w:val="center"/>
              <w:rPr>
                <w:rFonts w:hint="eastAsia" w:ascii="宋体" w:hAnsi="宋体" w:cs="宋体"/>
                <w:sz w:val="24"/>
                <w:szCs w:val="20"/>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73C8F66">
            <w:pPr>
              <w:snapToGrid w:val="0"/>
              <w:spacing w:before="145" w:beforeLines="50"/>
              <w:rPr>
                <w:rFonts w:hint="eastAsia" w:ascii="宋体" w:hAnsi="宋体" w:cs="宋体"/>
                <w:sz w:val="24"/>
                <w:szCs w:val="20"/>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1DA21E4F">
            <w:pPr>
              <w:snapToGrid w:val="0"/>
              <w:spacing w:before="145" w:beforeLines="50"/>
              <w:jc w:val="center"/>
              <w:rPr>
                <w:rFonts w:hint="eastAsia" w:ascii="宋体" w:hAnsi="宋体" w:cs="宋体"/>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2155172B">
            <w:pPr>
              <w:snapToGrid w:val="0"/>
              <w:spacing w:before="145" w:beforeLines="50"/>
              <w:jc w:val="center"/>
              <w:rPr>
                <w:rFonts w:hint="eastAsia" w:ascii="宋体" w:hAnsi="宋体" w:cs="宋体"/>
                <w:sz w:val="24"/>
                <w:szCs w:val="20"/>
              </w:rPr>
            </w:pPr>
          </w:p>
        </w:tc>
      </w:tr>
      <w:tr w14:paraId="6D639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14:paraId="53A2B049">
            <w:pPr>
              <w:snapToGrid w:val="0"/>
              <w:spacing w:before="145" w:beforeLines="50"/>
              <w:jc w:val="center"/>
              <w:rPr>
                <w:rFonts w:hint="eastAsia" w:ascii="宋体" w:hAnsi="宋体" w:cs="宋体"/>
                <w:sz w:val="24"/>
                <w:szCs w:val="20"/>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2065709E">
            <w:pPr>
              <w:snapToGrid w:val="0"/>
              <w:spacing w:before="145" w:beforeLines="50"/>
              <w:jc w:val="center"/>
              <w:rPr>
                <w:rFonts w:hint="eastAsia" w:ascii="宋体" w:hAnsi="宋体" w:cs="宋体"/>
                <w:sz w:val="24"/>
                <w:szCs w:val="20"/>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0F63CA81">
            <w:pPr>
              <w:snapToGrid w:val="0"/>
              <w:spacing w:before="145" w:beforeLines="50"/>
              <w:jc w:val="center"/>
              <w:rPr>
                <w:rFonts w:hint="eastAsia" w:ascii="宋体" w:hAnsi="宋体" w:cs="宋体"/>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02644950">
            <w:pPr>
              <w:snapToGrid w:val="0"/>
              <w:spacing w:before="145" w:beforeLines="50"/>
              <w:jc w:val="center"/>
              <w:rPr>
                <w:rFonts w:hint="eastAsia" w:ascii="宋体" w:hAnsi="宋体" w:cs="宋体"/>
                <w:sz w:val="24"/>
                <w:szCs w:val="20"/>
              </w:rPr>
            </w:pPr>
          </w:p>
        </w:tc>
      </w:tr>
      <w:tr w14:paraId="4D905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14:paraId="310813E7">
            <w:pPr>
              <w:snapToGrid w:val="0"/>
              <w:spacing w:before="145" w:beforeLines="50"/>
              <w:jc w:val="center"/>
              <w:rPr>
                <w:rFonts w:hint="eastAsia" w:ascii="宋体" w:hAnsi="宋体" w:cs="宋体"/>
                <w:sz w:val="24"/>
                <w:szCs w:val="20"/>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0C72505D">
            <w:pPr>
              <w:snapToGrid w:val="0"/>
              <w:spacing w:before="145" w:beforeLines="50"/>
              <w:jc w:val="center"/>
              <w:rPr>
                <w:rFonts w:hint="eastAsia" w:ascii="宋体" w:hAnsi="宋体" w:cs="宋体"/>
                <w:sz w:val="24"/>
                <w:szCs w:val="20"/>
              </w:rPr>
            </w:pPr>
            <w:r>
              <w:rPr>
                <w:rFonts w:hint="eastAsia" w:ascii="宋体" w:hAnsi="宋体" w:cs="宋体"/>
                <w:sz w:val="24"/>
                <w:szCs w:val="20"/>
              </w:rPr>
              <w:t>……</w:t>
            </w:r>
          </w:p>
        </w:tc>
        <w:tc>
          <w:tcPr>
            <w:tcW w:w="1837" w:type="dxa"/>
            <w:tcBorders>
              <w:top w:val="single" w:color="auto" w:sz="4" w:space="0"/>
              <w:left w:val="single" w:color="auto" w:sz="4" w:space="0"/>
              <w:bottom w:val="single" w:color="auto" w:sz="4" w:space="0"/>
              <w:right w:val="single" w:color="auto" w:sz="4" w:space="0"/>
            </w:tcBorders>
            <w:noWrap w:val="0"/>
            <w:vAlign w:val="top"/>
          </w:tcPr>
          <w:p w14:paraId="4ED449AE">
            <w:pPr>
              <w:snapToGrid w:val="0"/>
              <w:spacing w:before="145" w:beforeLines="50"/>
              <w:jc w:val="center"/>
              <w:rPr>
                <w:rFonts w:hint="eastAsia" w:ascii="宋体" w:hAnsi="宋体" w:cs="宋体"/>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67F0D818">
            <w:pPr>
              <w:snapToGrid w:val="0"/>
              <w:spacing w:before="145" w:beforeLines="50"/>
              <w:jc w:val="center"/>
              <w:rPr>
                <w:rFonts w:hint="eastAsia" w:ascii="宋体" w:hAnsi="宋体" w:cs="宋体"/>
                <w:sz w:val="24"/>
                <w:szCs w:val="20"/>
              </w:rPr>
            </w:pPr>
          </w:p>
        </w:tc>
      </w:tr>
    </w:tbl>
    <w:p w14:paraId="0E52BED6">
      <w:pPr>
        <w:jc w:val="center"/>
        <w:rPr>
          <w:rFonts w:hint="eastAsia" w:ascii="宋体" w:hAnsi="宋体" w:cs="宋体"/>
          <w:sz w:val="24"/>
          <w:szCs w:val="24"/>
        </w:rPr>
      </w:pPr>
    </w:p>
    <w:p w14:paraId="46D65DA3">
      <w:pPr>
        <w:spacing w:line="480" w:lineRule="auto"/>
        <w:rPr>
          <w:rFonts w:hint="eastAsia" w:ascii="宋体" w:hAnsi="宋体" w:cs="宋体"/>
          <w:sz w:val="24"/>
        </w:rPr>
      </w:pPr>
      <w:bookmarkStart w:id="281" w:name="_Hlt26955064"/>
      <w:bookmarkEnd w:id="281"/>
      <w:bookmarkStart w:id="282" w:name="_Hlt26609391"/>
      <w:bookmarkEnd w:id="282"/>
      <w:bookmarkStart w:id="283" w:name="_Hlt26782999"/>
      <w:bookmarkEnd w:id="283"/>
      <w:bookmarkStart w:id="284" w:name="_Hlt26580838"/>
      <w:bookmarkEnd w:id="284"/>
      <w:bookmarkStart w:id="285" w:name="_Hlt24879081"/>
      <w:bookmarkEnd w:id="285"/>
      <w:bookmarkStart w:id="286" w:name="_Hlt26955056"/>
      <w:bookmarkEnd w:id="286"/>
      <w:bookmarkStart w:id="287" w:name="_Hlt26671343"/>
      <w:bookmarkEnd w:id="287"/>
      <w:bookmarkStart w:id="288" w:name="_Hlt26671372"/>
      <w:bookmarkEnd w:id="288"/>
    </w:p>
    <w:p w14:paraId="790B5C4C">
      <w:pPr>
        <w:ind w:firstLine="0"/>
        <w:rPr>
          <w:rFonts w:hint="eastAsia" w:ascii="宋体" w:hAnsi="宋体" w:cs="宋体"/>
          <w:sz w:val="24"/>
        </w:rPr>
        <w:sectPr>
          <w:pgSz w:w="11906" w:h="16838"/>
          <w:pgMar w:top="1418" w:right="1588" w:bottom="1418" w:left="1365" w:header="851" w:footer="907" w:gutter="0"/>
          <w:cols w:space="720" w:num="1"/>
          <w:titlePg/>
          <w:docGrid w:type="lines" w:linePitch="290" w:charSpace="0"/>
        </w:sectPr>
      </w:pPr>
      <w:bookmarkStart w:id="289" w:name="_Toc462564146"/>
    </w:p>
    <w:bookmarkEnd w:id="289"/>
    <w:p w14:paraId="54FC50FB">
      <w:pPr>
        <w:keepNext/>
        <w:keepLines/>
        <w:widowControl w:val="0"/>
        <w:spacing w:before="260" w:after="260" w:line="416" w:lineRule="auto"/>
        <w:jc w:val="center"/>
        <w:outlineLvl w:val="2"/>
        <w:rPr>
          <w:rFonts w:hint="eastAsia" w:ascii="宋体" w:hAnsi="宋体" w:eastAsia="宋体" w:cs="宋体"/>
          <w:b/>
          <w:bCs/>
          <w:kern w:val="2"/>
          <w:sz w:val="24"/>
          <w:szCs w:val="20"/>
          <w:lang w:val="en-US" w:eastAsia="zh-CN" w:bidi="ar-SA"/>
        </w:rPr>
      </w:pPr>
      <w:bookmarkStart w:id="290" w:name="_格式2__法定代表人授权书"/>
      <w:bookmarkEnd w:id="290"/>
      <w:bookmarkStart w:id="291" w:name="_Toc513029276"/>
      <w:bookmarkStart w:id="292" w:name="_Toc23828478"/>
      <w:bookmarkStart w:id="293" w:name="_Toc22356580"/>
      <w:bookmarkStart w:id="294" w:name="_Toc120614283"/>
      <w:bookmarkStart w:id="295" w:name="_Toc49090577"/>
      <w:bookmarkStart w:id="296" w:name="_Toc460901585"/>
      <w:bookmarkStart w:id="297" w:name="_Toc26554095"/>
      <w:bookmarkStart w:id="298" w:name="_Toc534725621"/>
      <w:bookmarkStart w:id="299" w:name="_Toc534816650"/>
      <w:bookmarkStart w:id="300" w:name="_Toc783"/>
      <w:r>
        <w:rPr>
          <w:rFonts w:hint="eastAsia" w:ascii="宋体" w:hAnsi="宋体" w:eastAsia="宋体" w:cs="宋体"/>
          <w:b/>
          <w:bCs/>
          <w:kern w:val="2"/>
          <w:sz w:val="32"/>
          <w:szCs w:val="32"/>
          <w:lang w:val="en-US" w:eastAsia="zh-CN" w:bidi="ar-SA"/>
        </w:rPr>
        <w:t>七、</w:t>
      </w:r>
      <w:bookmarkEnd w:id="291"/>
      <w:bookmarkEnd w:id="292"/>
      <w:bookmarkEnd w:id="293"/>
      <w:bookmarkEnd w:id="294"/>
      <w:bookmarkEnd w:id="295"/>
      <w:bookmarkEnd w:id="296"/>
      <w:bookmarkEnd w:id="297"/>
      <w:r>
        <w:rPr>
          <w:rFonts w:hint="eastAsia" w:ascii="宋体" w:hAnsi="宋体" w:eastAsia="宋体" w:cs="宋体"/>
          <w:b/>
          <w:bCs/>
          <w:kern w:val="2"/>
          <w:sz w:val="32"/>
          <w:szCs w:val="32"/>
          <w:lang w:val="en-US" w:eastAsia="zh-CN" w:bidi="ar-SA"/>
        </w:rPr>
        <w:t>开标一览表</w:t>
      </w:r>
      <w:bookmarkEnd w:id="298"/>
      <w:bookmarkEnd w:id="299"/>
      <w:bookmarkEnd w:id="300"/>
    </w:p>
    <w:tbl>
      <w:tblPr>
        <w:tblStyle w:val="18"/>
        <w:tblpPr w:leftFromText="45" w:rightFromText="45" w:vertAnchor="text" w:tblpXSpec="center"/>
        <w:tblW w:w="8964"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14:paraId="3BF6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4" w:hRule="atLeast"/>
          <w:tblCellSpacing w:w="0" w:type="dxa"/>
          <w:jc w:val="center"/>
        </w:trPr>
        <w:tc>
          <w:tcPr>
            <w:tcW w:w="2929" w:type="dxa"/>
            <w:noWrap w:val="0"/>
            <w:vAlign w:val="center"/>
          </w:tcPr>
          <w:p w14:paraId="00DC9EFC">
            <w:pPr>
              <w:tabs>
                <w:tab w:val="left" w:pos="142"/>
              </w:tabs>
              <w:spacing w:line="360" w:lineRule="auto"/>
              <w:jc w:val="center"/>
              <w:rPr>
                <w:rFonts w:hint="eastAsia" w:ascii="宋体" w:hAnsi="宋体" w:cs="宋体"/>
                <w:sz w:val="24"/>
                <w:szCs w:val="24"/>
              </w:rPr>
            </w:pPr>
            <w:r>
              <w:rPr>
                <w:rFonts w:hint="eastAsia" w:ascii="宋体" w:hAnsi="宋体" w:cs="宋体"/>
                <w:sz w:val="24"/>
                <w:szCs w:val="24"/>
              </w:rPr>
              <w:t>项目名称</w:t>
            </w:r>
          </w:p>
        </w:tc>
        <w:tc>
          <w:tcPr>
            <w:tcW w:w="6035" w:type="dxa"/>
            <w:noWrap w:val="0"/>
            <w:vAlign w:val="center"/>
          </w:tcPr>
          <w:p w14:paraId="403F3FD9">
            <w:pPr>
              <w:tabs>
                <w:tab w:val="left" w:pos="142"/>
              </w:tabs>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  </w:t>
            </w:r>
          </w:p>
        </w:tc>
      </w:tr>
      <w:tr w14:paraId="1C00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blCellSpacing w:w="0" w:type="dxa"/>
          <w:jc w:val="center"/>
        </w:trPr>
        <w:tc>
          <w:tcPr>
            <w:tcW w:w="2929" w:type="dxa"/>
            <w:noWrap w:val="0"/>
            <w:vAlign w:val="center"/>
          </w:tcPr>
          <w:p w14:paraId="256078A8">
            <w:pPr>
              <w:tabs>
                <w:tab w:val="left" w:pos="142"/>
              </w:tabs>
              <w:spacing w:line="500" w:lineRule="exact"/>
              <w:jc w:val="center"/>
              <w:rPr>
                <w:rFonts w:hint="eastAsia" w:ascii="宋体" w:hAnsi="宋体" w:cs="宋体"/>
                <w:sz w:val="24"/>
                <w:szCs w:val="24"/>
              </w:rPr>
            </w:pPr>
            <w:r>
              <w:rPr>
                <w:rFonts w:hint="eastAsia" w:ascii="宋体" w:hAnsi="宋体" w:cs="宋体"/>
                <w:sz w:val="24"/>
                <w:szCs w:val="24"/>
              </w:rPr>
              <w:t>项目编号</w:t>
            </w:r>
          </w:p>
        </w:tc>
        <w:tc>
          <w:tcPr>
            <w:tcW w:w="6035" w:type="dxa"/>
            <w:noWrap w:val="0"/>
            <w:vAlign w:val="center"/>
          </w:tcPr>
          <w:p w14:paraId="72F0DB64">
            <w:pPr>
              <w:tabs>
                <w:tab w:val="left" w:pos="142"/>
              </w:tabs>
              <w:spacing w:line="500" w:lineRule="exact"/>
              <w:ind w:firstLine="480" w:firstLineChars="200"/>
              <w:jc w:val="left"/>
              <w:rPr>
                <w:rFonts w:hint="eastAsia" w:ascii="宋体" w:hAnsi="宋体" w:cs="宋体"/>
                <w:sz w:val="24"/>
                <w:szCs w:val="24"/>
              </w:rPr>
            </w:pPr>
            <w:r>
              <w:rPr>
                <w:rFonts w:hint="eastAsia" w:ascii="宋体" w:hAnsi="宋体" w:cs="宋体"/>
                <w:sz w:val="24"/>
                <w:szCs w:val="24"/>
              </w:rPr>
              <w:t xml:space="preserve">  </w:t>
            </w:r>
          </w:p>
        </w:tc>
      </w:tr>
      <w:tr w14:paraId="3812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tblCellSpacing w:w="0" w:type="dxa"/>
          <w:jc w:val="center"/>
        </w:trPr>
        <w:tc>
          <w:tcPr>
            <w:tcW w:w="2929" w:type="dxa"/>
            <w:noWrap w:val="0"/>
            <w:vAlign w:val="center"/>
          </w:tcPr>
          <w:p w14:paraId="43665D3E">
            <w:pPr>
              <w:tabs>
                <w:tab w:val="left" w:pos="142"/>
              </w:tabs>
              <w:spacing w:line="500" w:lineRule="exact"/>
              <w:jc w:val="center"/>
              <w:rPr>
                <w:rFonts w:hint="eastAsia" w:ascii="宋体" w:hAnsi="宋体" w:cs="宋体"/>
                <w:sz w:val="24"/>
                <w:szCs w:val="24"/>
              </w:rPr>
            </w:pPr>
            <w:r>
              <w:rPr>
                <w:rFonts w:hint="eastAsia" w:ascii="宋体" w:hAnsi="宋体" w:cs="宋体"/>
                <w:sz w:val="24"/>
                <w:szCs w:val="24"/>
              </w:rPr>
              <w:t>投标报价</w:t>
            </w:r>
          </w:p>
        </w:tc>
        <w:tc>
          <w:tcPr>
            <w:tcW w:w="6035" w:type="dxa"/>
            <w:noWrap w:val="0"/>
            <w:vAlign w:val="center"/>
          </w:tcPr>
          <w:p w14:paraId="0AB8F419">
            <w:pPr>
              <w:tabs>
                <w:tab w:val="left" w:pos="142"/>
              </w:tabs>
              <w:spacing w:line="500" w:lineRule="exact"/>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元整</w:t>
            </w:r>
          </w:p>
          <w:p w14:paraId="2A795893">
            <w:pPr>
              <w:tabs>
                <w:tab w:val="left" w:pos="142"/>
              </w:tabs>
              <w:spacing w:line="500" w:lineRule="exact"/>
              <w:jc w:val="left"/>
              <w:rPr>
                <w:rFonts w:hint="eastAsia" w:ascii="宋体" w:hAnsi="宋体" w:cs="宋体"/>
                <w:sz w:val="24"/>
                <w:szCs w:val="24"/>
              </w:rPr>
            </w:pPr>
            <w:r>
              <w:rPr>
                <w:rFonts w:hint="eastAsia" w:ascii="宋体" w:hAnsi="宋体" w:cs="宋体"/>
                <w:sz w:val="24"/>
                <w:szCs w:val="24"/>
              </w:rPr>
              <w:t>人民币 （大写）:</w:t>
            </w:r>
            <w:r>
              <w:rPr>
                <w:rFonts w:hint="eastAsia" w:ascii="宋体" w:hAnsi="宋体" w:cs="宋体"/>
                <w:sz w:val="24"/>
                <w:szCs w:val="24"/>
                <w:u w:val="single"/>
              </w:rPr>
              <w:t xml:space="preserve">              </w:t>
            </w:r>
            <w:r>
              <w:rPr>
                <w:rFonts w:hint="eastAsia" w:ascii="宋体" w:hAnsi="宋体" w:cs="宋体"/>
                <w:sz w:val="24"/>
                <w:szCs w:val="24"/>
              </w:rPr>
              <w:t xml:space="preserve">                 </w:t>
            </w:r>
          </w:p>
        </w:tc>
      </w:tr>
      <w:tr w14:paraId="132A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blCellSpacing w:w="0" w:type="dxa"/>
          <w:jc w:val="center"/>
        </w:trPr>
        <w:tc>
          <w:tcPr>
            <w:tcW w:w="2929" w:type="dxa"/>
            <w:noWrap w:val="0"/>
            <w:vAlign w:val="center"/>
          </w:tcPr>
          <w:p w14:paraId="12A3D4F9">
            <w:pPr>
              <w:tabs>
                <w:tab w:val="left" w:pos="142"/>
              </w:tabs>
              <w:spacing w:line="500" w:lineRule="exact"/>
              <w:jc w:val="center"/>
              <w:rPr>
                <w:rFonts w:hint="eastAsia" w:ascii="宋体" w:hAnsi="宋体" w:cs="宋体"/>
                <w:sz w:val="24"/>
                <w:szCs w:val="24"/>
              </w:rPr>
            </w:pPr>
            <w:r>
              <w:rPr>
                <w:rFonts w:hint="eastAsia" w:ascii="宋体" w:hAnsi="宋体" w:cs="宋体"/>
                <w:sz w:val="24"/>
                <w:szCs w:val="24"/>
              </w:rPr>
              <w:t>交货期限/服务期限</w:t>
            </w:r>
          </w:p>
        </w:tc>
        <w:tc>
          <w:tcPr>
            <w:tcW w:w="6035" w:type="dxa"/>
            <w:noWrap w:val="0"/>
            <w:vAlign w:val="center"/>
          </w:tcPr>
          <w:p w14:paraId="7A72B539">
            <w:pPr>
              <w:tabs>
                <w:tab w:val="left" w:pos="142"/>
              </w:tabs>
              <w:spacing w:line="500" w:lineRule="exact"/>
              <w:ind w:firstLine="480" w:firstLineChars="200"/>
              <w:jc w:val="left"/>
              <w:rPr>
                <w:rFonts w:hint="eastAsia" w:ascii="宋体" w:hAnsi="宋体" w:cs="宋体"/>
                <w:sz w:val="24"/>
                <w:szCs w:val="24"/>
              </w:rPr>
            </w:pPr>
            <w:r>
              <w:rPr>
                <w:rFonts w:hint="eastAsia" w:ascii="宋体" w:hAnsi="宋体" w:cs="宋体"/>
                <w:sz w:val="24"/>
                <w:szCs w:val="24"/>
              </w:rPr>
              <w:t>合同签订后</w:t>
            </w:r>
            <w:r>
              <w:rPr>
                <w:rFonts w:hint="eastAsia" w:ascii="宋体" w:hAnsi="宋体" w:cs="宋体"/>
                <w:sz w:val="24"/>
                <w:szCs w:val="24"/>
                <w:u w:val="single"/>
              </w:rPr>
              <w:t xml:space="preserve">                  天</w:t>
            </w:r>
          </w:p>
        </w:tc>
      </w:tr>
    </w:tbl>
    <w:p w14:paraId="15F126AB">
      <w:pPr>
        <w:rPr>
          <w:rFonts w:hint="eastAsia" w:ascii="宋体" w:hAnsi="宋体" w:cs="宋体"/>
        </w:rPr>
      </w:pPr>
      <w:r>
        <w:rPr>
          <w:rFonts w:hint="eastAsia" w:ascii="宋体" w:hAnsi="宋体" w:cs="宋体"/>
        </w:rPr>
        <w:t>供应商全称（公章）：        </w:t>
      </w:r>
    </w:p>
    <w:p w14:paraId="34157237">
      <w:pPr>
        <w:rPr>
          <w:rFonts w:hint="eastAsia" w:ascii="宋体" w:hAnsi="宋体" w:cs="宋体"/>
        </w:rPr>
      </w:pPr>
      <w:r>
        <w:rPr>
          <w:rFonts w:hint="eastAsia" w:ascii="宋体" w:hAnsi="宋体" w:cs="宋体"/>
        </w:rPr>
        <w:t>法定代表人（授权代表）（签字或盖章）：</w:t>
      </w:r>
    </w:p>
    <w:p w14:paraId="07DD806D">
      <w:pPr>
        <w:rPr>
          <w:rFonts w:hint="eastAsia" w:ascii="宋体" w:hAnsi="宋体" w:cs="宋体"/>
        </w:rPr>
      </w:pPr>
      <w:r>
        <w:rPr>
          <w:rFonts w:hint="eastAsia" w:ascii="宋体" w:hAnsi="宋体" w:cs="宋体"/>
        </w:rPr>
        <w:t>日期：</w:t>
      </w:r>
    </w:p>
    <w:p w14:paraId="496558BE">
      <w:pPr>
        <w:rPr>
          <w:rFonts w:hint="eastAsia" w:ascii="宋体" w:hAnsi="宋体" w:cs="宋体"/>
        </w:rPr>
      </w:pPr>
      <w:r>
        <w:rPr>
          <w:rFonts w:hint="eastAsia" w:ascii="宋体" w:hAnsi="宋体" w:cs="宋体"/>
        </w:rPr>
        <w:t>   </w:t>
      </w:r>
    </w:p>
    <w:p w14:paraId="3A2317D1">
      <w:pPr>
        <w:rPr>
          <w:rFonts w:hint="eastAsia" w:ascii="宋体" w:hAnsi="宋体" w:cs="宋体"/>
        </w:rPr>
      </w:pPr>
      <w:r>
        <w:rPr>
          <w:rFonts w:hint="eastAsia" w:ascii="宋体" w:hAnsi="宋体" w:cs="宋体"/>
        </w:rPr>
        <w:t>注：</w:t>
      </w:r>
    </w:p>
    <w:p w14:paraId="4D773D18">
      <w:pPr>
        <w:rPr>
          <w:rFonts w:hint="eastAsia" w:ascii="宋体" w:hAnsi="宋体" w:cs="宋体"/>
          <w:szCs w:val="28"/>
        </w:rPr>
      </w:pPr>
      <w:r>
        <w:rPr>
          <w:rFonts w:hint="eastAsia" w:ascii="宋体" w:hAnsi="宋体" w:cs="宋体"/>
        </w:rPr>
        <w:t>投标总报价应包含本项目实施期间的所有含税费用。</w:t>
      </w:r>
    </w:p>
    <w:p w14:paraId="1A1248E2">
      <w:pPr>
        <w:numPr>
          <w:ilvl w:val="0"/>
          <w:numId w:val="5"/>
        </w:numPr>
        <w:ind w:firstLine="480" w:firstLineChars="200"/>
        <w:jc w:val="center"/>
        <w:rPr>
          <w:rFonts w:hint="eastAsia" w:ascii="宋体" w:hAnsi="宋体" w:cs="宋体"/>
          <w:b/>
          <w:bCs/>
          <w:sz w:val="32"/>
          <w:szCs w:val="32"/>
        </w:rPr>
      </w:pPr>
      <w:r>
        <w:rPr>
          <w:rFonts w:hint="eastAsia" w:ascii="宋体" w:hAnsi="宋体" w:cs="宋体"/>
          <w:sz w:val="24"/>
          <w:szCs w:val="24"/>
        </w:rPr>
        <w:br w:type="page"/>
      </w:r>
      <w:bookmarkStart w:id="301" w:name="_Toc534816652"/>
      <w:bookmarkStart w:id="302" w:name="_Toc534725623"/>
      <w:r>
        <w:rPr>
          <w:rFonts w:hint="eastAsia" w:ascii="宋体" w:hAnsi="宋体" w:cs="宋体"/>
          <w:b/>
          <w:bCs/>
          <w:sz w:val="32"/>
          <w:szCs w:val="32"/>
        </w:rPr>
        <w:t>供应商认为有必要提供的声明及文件资料</w:t>
      </w:r>
    </w:p>
    <w:p w14:paraId="231723B0">
      <w:pPr>
        <w:widowControl w:val="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（格式自拟）</w:t>
      </w:r>
    </w:p>
    <w:p w14:paraId="55DC67AF">
      <w:pPr>
        <w:keepNext/>
        <w:keepLines/>
        <w:widowControl w:val="0"/>
        <w:spacing w:before="260" w:after="260" w:line="416" w:lineRule="auto"/>
        <w:jc w:val="center"/>
        <w:outlineLvl w:val="2"/>
        <w:rPr>
          <w:rFonts w:hint="eastAsia" w:ascii="宋体" w:hAnsi="宋体" w:eastAsia="宋体" w:cs="宋体"/>
          <w:b/>
          <w:bCs/>
          <w:kern w:val="2"/>
          <w:sz w:val="24"/>
          <w:szCs w:val="24"/>
          <w:lang w:val="en-US" w:eastAsia="zh-CN" w:bidi="ar-SA"/>
        </w:rPr>
      </w:pPr>
    </w:p>
    <w:p w14:paraId="46BD3D46">
      <w:pPr>
        <w:rPr>
          <w:rFonts w:hint="eastAsia" w:ascii="宋体" w:hAnsi="宋体" w:cs="宋体"/>
          <w:sz w:val="24"/>
          <w:szCs w:val="24"/>
        </w:rPr>
      </w:pPr>
    </w:p>
    <w:p w14:paraId="67C07A81">
      <w:pPr>
        <w:widowControl w:val="0"/>
        <w:jc w:val="both"/>
        <w:rPr>
          <w:rFonts w:hint="eastAsia" w:ascii="宋体" w:hAnsi="宋体" w:eastAsia="宋体" w:cs="宋体"/>
          <w:kern w:val="2"/>
          <w:sz w:val="24"/>
          <w:szCs w:val="24"/>
          <w:lang w:val="en-US" w:eastAsia="zh-CN" w:bidi="ar-SA"/>
        </w:rPr>
      </w:pPr>
    </w:p>
    <w:p w14:paraId="4CB59F37">
      <w:pPr>
        <w:widowControl w:val="0"/>
        <w:jc w:val="both"/>
        <w:rPr>
          <w:rFonts w:hint="eastAsia" w:ascii="宋体" w:hAnsi="宋体" w:eastAsia="宋体" w:cs="宋体"/>
          <w:kern w:val="2"/>
          <w:sz w:val="24"/>
          <w:szCs w:val="24"/>
          <w:lang w:val="en-US" w:eastAsia="zh-CN" w:bidi="ar-SA"/>
        </w:rPr>
      </w:pPr>
    </w:p>
    <w:p w14:paraId="00F6DFC9">
      <w:pPr>
        <w:widowControl w:val="0"/>
        <w:jc w:val="both"/>
        <w:rPr>
          <w:rFonts w:hint="eastAsia" w:ascii="宋体" w:hAnsi="宋体" w:eastAsia="宋体" w:cs="宋体"/>
          <w:kern w:val="2"/>
          <w:sz w:val="24"/>
          <w:szCs w:val="24"/>
          <w:lang w:val="en-US" w:eastAsia="zh-CN" w:bidi="ar-SA"/>
        </w:rPr>
      </w:pPr>
    </w:p>
    <w:p w14:paraId="111D34B3">
      <w:pPr>
        <w:widowControl w:val="0"/>
        <w:jc w:val="both"/>
        <w:rPr>
          <w:rFonts w:hint="eastAsia" w:ascii="宋体" w:hAnsi="宋体" w:eastAsia="宋体" w:cs="宋体"/>
          <w:kern w:val="2"/>
          <w:sz w:val="24"/>
          <w:szCs w:val="24"/>
          <w:lang w:val="en-US" w:eastAsia="zh-CN" w:bidi="ar-SA"/>
        </w:rPr>
      </w:pPr>
    </w:p>
    <w:p w14:paraId="2155DBBF">
      <w:pPr>
        <w:widowControl w:val="0"/>
        <w:jc w:val="both"/>
        <w:rPr>
          <w:rFonts w:hint="eastAsia" w:ascii="宋体" w:hAnsi="宋体" w:eastAsia="宋体" w:cs="宋体"/>
          <w:kern w:val="2"/>
          <w:sz w:val="24"/>
          <w:szCs w:val="24"/>
          <w:lang w:val="en-US" w:eastAsia="zh-CN" w:bidi="ar-SA"/>
        </w:rPr>
      </w:pPr>
    </w:p>
    <w:p w14:paraId="22EC4C2C">
      <w:pPr>
        <w:widowControl w:val="0"/>
        <w:jc w:val="both"/>
        <w:rPr>
          <w:rFonts w:hint="eastAsia" w:ascii="宋体" w:hAnsi="宋体" w:eastAsia="宋体" w:cs="宋体"/>
          <w:kern w:val="2"/>
          <w:sz w:val="24"/>
          <w:szCs w:val="24"/>
          <w:lang w:val="en-US" w:eastAsia="zh-CN" w:bidi="ar-SA"/>
        </w:rPr>
      </w:pPr>
    </w:p>
    <w:p w14:paraId="5BFE1125">
      <w:pPr>
        <w:widowControl w:val="0"/>
        <w:jc w:val="both"/>
        <w:rPr>
          <w:rFonts w:hint="eastAsia" w:ascii="宋体" w:hAnsi="宋体" w:eastAsia="宋体" w:cs="宋体"/>
          <w:kern w:val="2"/>
          <w:sz w:val="24"/>
          <w:szCs w:val="24"/>
          <w:lang w:val="en-US" w:eastAsia="zh-CN" w:bidi="ar-SA"/>
        </w:rPr>
      </w:pPr>
    </w:p>
    <w:p w14:paraId="44F3D04E">
      <w:pPr>
        <w:widowControl w:val="0"/>
        <w:jc w:val="both"/>
        <w:rPr>
          <w:rFonts w:hint="eastAsia" w:ascii="宋体" w:hAnsi="宋体" w:eastAsia="宋体" w:cs="宋体"/>
          <w:kern w:val="2"/>
          <w:sz w:val="24"/>
          <w:szCs w:val="24"/>
          <w:lang w:val="en-US" w:eastAsia="zh-CN" w:bidi="ar-SA"/>
        </w:rPr>
      </w:pPr>
    </w:p>
    <w:p w14:paraId="7AB8C38E">
      <w:pPr>
        <w:widowControl w:val="0"/>
        <w:jc w:val="both"/>
        <w:rPr>
          <w:rFonts w:hint="eastAsia" w:ascii="宋体" w:hAnsi="宋体" w:eastAsia="宋体" w:cs="宋体"/>
          <w:kern w:val="2"/>
          <w:sz w:val="24"/>
          <w:szCs w:val="24"/>
          <w:lang w:val="en-US" w:eastAsia="zh-CN" w:bidi="ar-SA"/>
        </w:rPr>
      </w:pPr>
    </w:p>
    <w:p w14:paraId="0D9E46E6">
      <w:pPr>
        <w:widowControl w:val="0"/>
        <w:jc w:val="both"/>
        <w:rPr>
          <w:rFonts w:hint="eastAsia" w:ascii="宋体" w:hAnsi="宋体" w:eastAsia="宋体" w:cs="宋体"/>
          <w:kern w:val="2"/>
          <w:sz w:val="24"/>
          <w:szCs w:val="24"/>
          <w:lang w:val="en-US" w:eastAsia="zh-CN" w:bidi="ar-SA"/>
        </w:rPr>
      </w:pPr>
    </w:p>
    <w:p w14:paraId="787714B9">
      <w:pPr>
        <w:widowControl w:val="0"/>
        <w:jc w:val="both"/>
        <w:rPr>
          <w:rFonts w:hint="eastAsia" w:ascii="宋体" w:hAnsi="宋体" w:eastAsia="宋体" w:cs="宋体"/>
          <w:kern w:val="2"/>
          <w:sz w:val="24"/>
          <w:szCs w:val="24"/>
          <w:lang w:val="en-US" w:eastAsia="zh-CN" w:bidi="ar-SA"/>
        </w:rPr>
      </w:pPr>
    </w:p>
    <w:p w14:paraId="5DB66A24">
      <w:pPr>
        <w:widowControl w:val="0"/>
        <w:jc w:val="both"/>
        <w:rPr>
          <w:rFonts w:hint="eastAsia" w:ascii="宋体" w:hAnsi="宋体" w:eastAsia="宋体" w:cs="宋体"/>
          <w:kern w:val="2"/>
          <w:sz w:val="24"/>
          <w:szCs w:val="24"/>
          <w:lang w:val="en-US" w:eastAsia="zh-CN" w:bidi="ar-SA"/>
        </w:rPr>
      </w:pPr>
    </w:p>
    <w:p w14:paraId="0A837806">
      <w:pPr>
        <w:widowControl w:val="0"/>
        <w:jc w:val="both"/>
        <w:rPr>
          <w:rFonts w:hint="eastAsia" w:ascii="宋体" w:hAnsi="宋体" w:eastAsia="宋体" w:cs="宋体"/>
          <w:kern w:val="2"/>
          <w:sz w:val="24"/>
          <w:szCs w:val="24"/>
          <w:lang w:val="en-US" w:eastAsia="zh-CN" w:bidi="ar-SA"/>
        </w:rPr>
      </w:pPr>
    </w:p>
    <w:p w14:paraId="560F943E">
      <w:pPr>
        <w:widowControl w:val="0"/>
        <w:jc w:val="both"/>
        <w:rPr>
          <w:rFonts w:hint="eastAsia" w:ascii="宋体" w:hAnsi="宋体" w:eastAsia="宋体" w:cs="宋体"/>
          <w:kern w:val="2"/>
          <w:sz w:val="24"/>
          <w:szCs w:val="24"/>
          <w:lang w:val="en-US" w:eastAsia="zh-CN" w:bidi="ar-SA"/>
        </w:rPr>
      </w:pPr>
    </w:p>
    <w:p w14:paraId="16AB517E">
      <w:pPr>
        <w:widowControl w:val="0"/>
        <w:jc w:val="both"/>
        <w:rPr>
          <w:rFonts w:hint="eastAsia" w:ascii="宋体" w:hAnsi="宋体" w:eastAsia="宋体" w:cs="宋体"/>
          <w:kern w:val="2"/>
          <w:sz w:val="24"/>
          <w:szCs w:val="24"/>
          <w:lang w:val="en-US" w:eastAsia="zh-CN" w:bidi="ar-SA"/>
        </w:rPr>
      </w:pPr>
    </w:p>
    <w:p w14:paraId="67A7496A">
      <w:pPr>
        <w:widowControl w:val="0"/>
        <w:jc w:val="both"/>
        <w:rPr>
          <w:rFonts w:hint="eastAsia" w:ascii="宋体" w:hAnsi="宋体" w:eastAsia="宋体" w:cs="宋体"/>
          <w:kern w:val="2"/>
          <w:sz w:val="24"/>
          <w:szCs w:val="24"/>
          <w:lang w:val="en-US" w:eastAsia="zh-CN" w:bidi="ar-SA"/>
        </w:rPr>
      </w:pPr>
    </w:p>
    <w:p w14:paraId="7094E95C">
      <w:pPr>
        <w:widowControl w:val="0"/>
        <w:jc w:val="both"/>
        <w:rPr>
          <w:rFonts w:hint="eastAsia" w:ascii="宋体" w:hAnsi="宋体" w:eastAsia="宋体" w:cs="宋体"/>
          <w:kern w:val="2"/>
          <w:sz w:val="24"/>
          <w:szCs w:val="24"/>
          <w:lang w:val="en-US" w:eastAsia="zh-CN" w:bidi="ar-SA"/>
        </w:rPr>
      </w:pPr>
    </w:p>
    <w:p w14:paraId="609330C0">
      <w:pPr>
        <w:widowControl w:val="0"/>
        <w:jc w:val="both"/>
        <w:rPr>
          <w:rFonts w:hint="eastAsia" w:ascii="宋体" w:hAnsi="宋体" w:eastAsia="宋体" w:cs="宋体"/>
          <w:kern w:val="2"/>
          <w:sz w:val="24"/>
          <w:szCs w:val="24"/>
          <w:lang w:val="en-US" w:eastAsia="zh-CN" w:bidi="ar-SA"/>
        </w:rPr>
      </w:pPr>
    </w:p>
    <w:p w14:paraId="60446802">
      <w:pPr>
        <w:widowControl w:val="0"/>
        <w:jc w:val="both"/>
        <w:rPr>
          <w:rFonts w:hint="eastAsia" w:ascii="宋体" w:hAnsi="宋体" w:eastAsia="宋体" w:cs="宋体"/>
          <w:kern w:val="2"/>
          <w:sz w:val="24"/>
          <w:szCs w:val="24"/>
          <w:lang w:val="en-US" w:eastAsia="zh-CN" w:bidi="ar-SA"/>
        </w:rPr>
      </w:pPr>
    </w:p>
    <w:p w14:paraId="6C7DD6F8">
      <w:pPr>
        <w:widowControl w:val="0"/>
        <w:jc w:val="both"/>
        <w:rPr>
          <w:rFonts w:hint="eastAsia" w:ascii="宋体" w:hAnsi="宋体" w:eastAsia="宋体" w:cs="宋体"/>
          <w:kern w:val="2"/>
          <w:sz w:val="24"/>
          <w:szCs w:val="24"/>
          <w:lang w:val="en-US" w:eastAsia="zh-CN" w:bidi="ar-SA"/>
        </w:rPr>
      </w:pPr>
    </w:p>
    <w:p w14:paraId="13016760">
      <w:pPr>
        <w:widowControl w:val="0"/>
        <w:jc w:val="both"/>
        <w:rPr>
          <w:rFonts w:hint="eastAsia" w:ascii="宋体" w:hAnsi="宋体" w:eastAsia="宋体" w:cs="宋体"/>
          <w:kern w:val="2"/>
          <w:sz w:val="24"/>
          <w:szCs w:val="24"/>
          <w:lang w:val="en-US" w:eastAsia="zh-CN" w:bidi="ar-SA"/>
        </w:rPr>
      </w:pPr>
    </w:p>
    <w:p w14:paraId="443694E7">
      <w:pPr>
        <w:widowControl w:val="0"/>
        <w:jc w:val="both"/>
        <w:rPr>
          <w:rFonts w:hint="eastAsia" w:ascii="宋体" w:hAnsi="宋体" w:eastAsia="宋体" w:cs="宋体"/>
          <w:kern w:val="2"/>
          <w:sz w:val="24"/>
          <w:szCs w:val="24"/>
          <w:lang w:val="en-US" w:eastAsia="zh-CN" w:bidi="ar-SA"/>
        </w:rPr>
      </w:pPr>
    </w:p>
    <w:p w14:paraId="2E961B22">
      <w:pPr>
        <w:widowControl w:val="0"/>
        <w:jc w:val="both"/>
        <w:rPr>
          <w:rFonts w:hint="eastAsia" w:ascii="宋体" w:hAnsi="宋体" w:eastAsia="宋体" w:cs="宋体"/>
          <w:kern w:val="2"/>
          <w:sz w:val="24"/>
          <w:szCs w:val="24"/>
          <w:lang w:val="en-US" w:eastAsia="zh-CN" w:bidi="ar-SA"/>
        </w:rPr>
      </w:pPr>
    </w:p>
    <w:p w14:paraId="4B38ED48">
      <w:pPr>
        <w:widowControl w:val="0"/>
        <w:jc w:val="both"/>
        <w:rPr>
          <w:rFonts w:hint="eastAsia" w:ascii="宋体" w:hAnsi="宋体" w:eastAsia="宋体" w:cs="宋体"/>
          <w:kern w:val="2"/>
          <w:sz w:val="24"/>
          <w:szCs w:val="24"/>
          <w:lang w:val="en-US" w:eastAsia="zh-CN" w:bidi="ar-SA"/>
        </w:rPr>
      </w:pPr>
    </w:p>
    <w:p w14:paraId="078B80A0">
      <w:pPr>
        <w:widowControl w:val="0"/>
        <w:jc w:val="both"/>
        <w:rPr>
          <w:rFonts w:hint="eastAsia" w:ascii="宋体" w:hAnsi="宋体" w:eastAsia="宋体" w:cs="宋体"/>
          <w:kern w:val="2"/>
          <w:sz w:val="24"/>
          <w:szCs w:val="24"/>
          <w:lang w:val="en-US" w:eastAsia="zh-CN" w:bidi="ar-SA"/>
        </w:rPr>
      </w:pPr>
    </w:p>
    <w:p w14:paraId="755CB27B">
      <w:pPr>
        <w:widowControl w:val="0"/>
        <w:jc w:val="both"/>
        <w:rPr>
          <w:rFonts w:hint="eastAsia" w:ascii="宋体" w:hAnsi="宋体" w:eastAsia="宋体" w:cs="宋体"/>
          <w:kern w:val="2"/>
          <w:sz w:val="24"/>
          <w:szCs w:val="24"/>
          <w:lang w:val="en-US" w:eastAsia="zh-CN" w:bidi="ar-SA"/>
        </w:rPr>
      </w:pPr>
    </w:p>
    <w:p w14:paraId="6A7DFE33">
      <w:pPr>
        <w:widowControl w:val="0"/>
        <w:jc w:val="both"/>
        <w:rPr>
          <w:rFonts w:hint="eastAsia" w:ascii="宋体" w:hAnsi="宋体" w:eastAsia="宋体" w:cs="宋体"/>
          <w:kern w:val="2"/>
          <w:sz w:val="24"/>
          <w:szCs w:val="24"/>
          <w:lang w:val="en-US" w:eastAsia="zh-CN" w:bidi="ar-SA"/>
        </w:rPr>
      </w:pPr>
    </w:p>
    <w:p w14:paraId="03CAE481">
      <w:pPr>
        <w:widowControl w:val="0"/>
        <w:jc w:val="both"/>
        <w:rPr>
          <w:rFonts w:hint="eastAsia" w:ascii="宋体" w:hAnsi="宋体" w:eastAsia="宋体" w:cs="宋体"/>
          <w:kern w:val="2"/>
          <w:sz w:val="24"/>
          <w:szCs w:val="24"/>
          <w:lang w:val="en-US" w:eastAsia="zh-CN" w:bidi="ar-SA"/>
        </w:rPr>
      </w:pPr>
    </w:p>
    <w:p w14:paraId="0988E470">
      <w:pPr>
        <w:widowControl w:val="0"/>
        <w:jc w:val="both"/>
        <w:rPr>
          <w:rFonts w:hint="eastAsia" w:ascii="宋体" w:hAnsi="宋体" w:eastAsia="宋体" w:cs="宋体"/>
          <w:kern w:val="2"/>
          <w:sz w:val="24"/>
          <w:szCs w:val="24"/>
          <w:lang w:val="en-US" w:eastAsia="zh-CN" w:bidi="ar-SA"/>
        </w:rPr>
      </w:pPr>
    </w:p>
    <w:p w14:paraId="16E77EE3">
      <w:pPr>
        <w:widowControl w:val="0"/>
        <w:jc w:val="both"/>
        <w:rPr>
          <w:rFonts w:hint="eastAsia" w:ascii="宋体" w:hAnsi="宋体" w:eastAsia="宋体" w:cs="宋体"/>
          <w:kern w:val="2"/>
          <w:sz w:val="24"/>
          <w:szCs w:val="24"/>
          <w:lang w:val="en-US" w:eastAsia="zh-CN" w:bidi="ar-SA"/>
        </w:rPr>
      </w:pPr>
    </w:p>
    <w:p w14:paraId="027FB027">
      <w:pPr>
        <w:widowControl w:val="0"/>
        <w:jc w:val="both"/>
        <w:rPr>
          <w:rFonts w:hint="eastAsia" w:ascii="宋体" w:hAnsi="宋体" w:eastAsia="宋体" w:cs="宋体"/>
          <w:kern w:val="2"/>
          <w:sz w:val="24"/>
          <w:szCs w:val="24"/>
          <w:lang w:val="en-US" w:eastAsia="zh-CN" w:bidi="ar-SA"/>
        </w:rPr>
      </w:pPr>
    </w:p>
    <w:p w14:paraId="442FB471">
      <w:pPr>
        <w:widowControl w:val="0"/>
        <w:jc w:val="both"/>
        <w:rPr>
          <w:rFonts w:hint="eastAsia" w:ascii="宋体" w:hAnsi="宋体" w:eastAsia="宋体" w:cs="宋体"/>
          <w:kern w:val="2"/>
          <w:sz w:val="24"/>
          <w:szCs w:val="24"/>
          <w:lang w:val="en-US" w:eastAsia="zh-CN" w:bidi="ar-SA"/>
        </w:rPr>
      </w:pPr>
    </w:p>
    <w:p w14:paraId="1EA418B1">
      <w:pPr>
        <w:widowControl w:val="0"/>
        <w:jc w:val="both"/>
        <w:rPr>
          <w:rFonts w:hint="eastAsia" w:ascii="宋体" w:hAnsi="宋体" w:eastAsia="宋体" w:cs="宋体"/>
          <w:kern w:val="2"/>
          <w:sz w:val="24"/>
          <w:szCs w:val="24"/>
          <w:lang w:val="en-US" w:eastAsia="zh-CN" w:bidi="ar-SA"/>
        </w:rPr>
      </w:pPr>
    </w:p>
    <w:p w14:paraId="3C8334D0">
      <w:pPr>
        <w:widowControl w:val="0"/>
        <w:jc w:val="both"/>
        <w:rPr>
          <w:rFonts w:hint="eastAsia" w:ascii="宋体" w:hAnsi="宋体" w:eastAsia="宋体" w:cs="宋体"/>
          <w:kern w:val="2"/>
          <w:sz w:val="24"/>
          <w:szCs w:val="24"/>
          <w:lang w:val="en-US" w:eastAsia="zh-CN" w:bidi="ar-SA"/>
        </w:rPr>
      </w:pPr>
    </w:p>
    <w:p w14:paraId="1E967641">
      <w:pPr>
        <w:widowControl w:val="0"/>
        <w:ind w:firstLine="0"/>
        <w:jc w:val="left"/>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表一</w:t>
      </w:r>
    </w:p>
    <w:p w14:paraId="330EDC8E">
      <w:pPr>
        <w:widowControl w:val="0"/>
        <w:ind w:firstLine="0"/>
        <w:jc w:val="center"/>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具备履行合同所必需的设备和专业技术能力的书面声明</w:t>
      </w:r>
    </w:p>
    <w:p w14:paraId="74609E0D">
      <w:pPr>
        <w:widowControl w:val="0"/>
        <w:ind w:firstLine="0"/>
        <w:jc w:val="center"/>
        <w:rPr>
          <w:rFonts w:hint="eastAsia" w:ascii="宋体" w:hAnsi="宋体" w:eastAsia="宋体" w:cs="宋体"/>
          <w:b/>
          <w:bCs/>
          <w:kern w:val="2"/>
          <w:sz w:val="30"/>
          <w:szCs w:val="30"/>
          <w:lang w:val="en-US" w:eastAsia="zh-CN" w:bidi="ar-SA"/>
        </w:rPr>
      </w:pPr>
    </w:p>
    <w:p w14:paraId="3B6554D6">
      <w:pPr>
        <w:spacing w:before="120" w:beforeLines="50" w:after="120" w:afterLines="50" w:line="300" w:lineRule="auto"/>
        <w:ind w:firstLine="492"/>
        <w:rPr>
          <w:rFonts w:hint="eastAsia" w:ascii="宋体" w:hAnsi="宋体" w:cs="宋体"/>
          <w:bCs/>
          <w:sz w:val="24"/>
        </w:rPr>
      </w:pPr>
      <w:r>
        <w:rPr>
          <w:rFonts w:hint="eastAsia" w:ascii="宋体" w:hAnsi="宋体" w:cs="宋体"/>
          <w:bCs/>
          <w:sz w:val="24"/>
        </w:rPr>
        <w:t>我单位郑重声明：我单位具备履行本项采购合同所必需的设备和专业技术能力，为履行本项采购合同我公司具备如下主要设备和主要专业技术能力：</w:t>
      </w:r>
    </w:p>
    <w:p w14:paraId="2C076132">
      <w:pPr>
        <w:spacing w:before="120" w:beforeLines="50" w:after="120" w:afterLines="50" w:line="300" w:lineRule="auto"/>
        <w:ind w:firstLine="492"/>
        <w:rPr>
          <w:rFonts w:hint="eastAsia"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14:paraId="0F47C4EB">
      <w:pPr>
        <w:spacing w:before="120" w:beforeLines="50" w:after="120" w:afterLines="50" w:line="300" w:lineRule="auto"/>
        <w:ind w:firstLine="492"/>
        <w:rPr>
          <w:rFonts w:hint="eastAsia"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14:paraId="2C7483CD">
      <w:pPr>
        <w:widowControl w:val="0"/>
        <w:adjustRightInd w:val="0"/>
        <w:spacing w:before="120" w:beforeLines="50" w:after="120" w:afterLines="50" w:line="300" w:lineRule="auto"/>
        <w:ind w:left="5760" w:leftChars="2400" w:hanging="720" w:hangingChars="300"/>
        <w:jc w:val="left"/>
        <w:textAlignment w:val="baseline"/>
        <w:rPr>
          <w:rFonts w:hint="eastAsia" w:ascii="宋体" w:hAnsi="宋体" w:eastAsia="宋体" w:cs="宋体"/>
          <w:kern w:val="2"/>
          <w:sz w:val="24"/>
          <w:szCs w:val="21"/>
          <w:lang w:val="en-US" w:eastAsia="zh-CN" w:bidi="ar-SA"/>
        </w:rPr>
      </w:pPr>
      <w:r>
        <w:rPr>
          <w:rFonts w:hint="eastAsia" w:ascii="宋体" w:hAnsi="宋体" w:eastAsia="宋体" w:cs="宋体"/>
          <w:bCs/>
          <w:kern w:val="0"/>
          <w:sz w:val="24"/>
          <w:szCs w:val="24"/>
          <w:lang w:val="en-US" w:eastAsia="zh-CN" w:bidi="ar-SA"/>
        </w:rPr>
        <w:t xml:space="preserve">                                     </w:t>
      </w:r>
      <w:r>
        <w:rPr>
          <w:rFonts w:hint="eastAsia" w:ascii="宋体" w:hAnsi="宋体" w:eastAsia="宋体" w:cs="宋体"/>
          <w:kern w:val="2"/>
          <w:sz w:val="24"/>
          <w:szCs w:val="21"/>
          <w:lang w:val="en-US" w:eastAsia="zh-CN" w:bidi="ar-SA"/>
        </w:rPr>
        <w:t xml:space="preserve">投标人名称（盖章）： </w:t>
      </w:r>
    </w:p>
    <w:p w14:paraId="614D9550">
      <w:pPr>
        <w:spacing w:before="120" w:beforeLines="50" w:after="120" w:afterLines="50" w:line="300" w:lineRule="auto"/>
        <w:ind w:firstLine="5775" w:firstLineChars="2750"/>
        <w:rPr>
          <w:rFonts w:hint="eastAsia" w:ascii="宋体" w:hAnsi="宋体" w:cs="宋体"/>
          <w:bCs/>
          <w:sz w:val="24"/>
        </w:rPr>
      </w:pPr>
      <w:r>
        <w:rPr>
          <w:rFonts w:hint="eastAsia" w:ascii="宋体" w:hAnsi="宋体" w:cs="宋体"/>
        </w:rPr>
        <w:t>______年____月____日</w:t>
      </w:r>
    </w:p>
    <w:p w14:paraId="02641C21">
      <w:pPr>
        <w:spacing w:before="120" w:beforeLines="50" w:after="120" w:afterLines="50" w:line="300" w:lineRule="auto"/>
        <w:rPr>
          <w:rFonts w:hint="eastAsia" w:ascii="宋体" w:hAnsi="宋体" w:cs="宋体"/>
          <w:bCs/>
          <w:sz w:val="24"/>
        </w:rPr>
      </w:pPr>
    </w:p>
    <w:p w14:paraId="1A3814C9">
      <w:pPr>
        <w:widowControl w:val="0"/>
        <w:ind w:firstLine="0"/>
        <w:jc w:val="left"/>
        <w:rPr>
          <w:rFonts w:hint="eastAsia" w:ascii="宋体" w:hAnsi="宋体" w:eastAsia="宋体" w:cs="宋体"/>
          <w:kern w:val="2"/>
          <w:sz w:val="30"/>
          <w:szCs w:val="30"/>
          <w:lang w:val="en-US" w:eastAsia="zh-CN" w:bidi="ar-SA"/>
        </w:rPr>
      </w:pPr>
      <w:r>
        <w:rPr>
          <w:rFonts w:hint="eastAsia" w:ascii="宋体" w:hAnsi="宋体" w:eastAsia="宋体" w:cs="宋体"/>
          <w:bCs/>
          <w:kern w:val="2"/>
          <w:sz w:val="24"/>
          <w:szCs w:val="21"/>
          <w:lang w:val="en-US" w:eastAsia="zh-CN" w:bidi="ar-SA"/>
        </w:rPr>
        <w:br w:type="page"/>
      </w:r>
      <w:bookmarkStart w:id="303" w:name="_Toc534725615"/>
      <w:bookmarkStart w:id="304" w:name="_Toc534816644"/>
      <w:r>
        <w:rPr>
          <w:rFonts w:hint="eastAsia" w:ascii="宋体" w:hAnsi="宋体" w:eastAsia="宋体" w:cs="宋体"/>
          <w:bCs/>
          <w:kern w:val="2"/>
          <w:sz w:val="24"/>
          <w:szCs w:val="21"/>
          <w:lang w:val="en-US" w:eastAsia="zh-CN" w:bidi="ar-SA"/>
        </w:rPr>
        <w:t>表二</w:t>
      </w:r>
    </w:p>
    <w:p w14:paraId="75C8A2DF">
      <w:pPr>
        <w:spacing w:before="120" w:beforeLines="50" w:after="120" w:afterLines="50" w:line="300" w:lineRule="auto"/>
        <w:rPr>
          <w:rFonts w:hint="eastAsia" w:ascii="宋体" w:hAnsi="宋体" w:cs="宋体"/>
          <w:bCs/>
          <w:sz w:val="24"/>
        </w:rPr>
      </w:pPr>
    </w:p>
    <w:p w14:paraId="4A33CA00">
      <w:pPr>
        <w:spacing w:before="120" w:beforeLines="50" w:after="120" w:afterLines="50" w:line="300" w:lineRule="auto"/>
        <w:jc w:val="center"/>
        <w:rPr>
          <w:rFonts w:hint="eastAsia" w:ascii="宋体" w:hAnsi="宋体" w:cs="宋体"/>
          <w:b/>
          <w:bCs/>
          <w:sz w:val="30"/>
          <w:szCs w:val="30"/>
        </w:rPr>
      </w:pPr>
      <w:r>
        <w:rPr>
          <w:rFonts w:hint="eastAsia" w:ascii="宋体" w:hAnsi="宋体" w:cs="宋体"/>
          <w:b/>
          <w:bCs/>
          <w:sz w:val="30"/>
          <w:szCs w:val="30"/>
        </w:rPr>
        <w:t>参加政府采购活动前 3 年内在经营活动中没有重大违法记录的</w:t>
      </w:r>
    </w:p>
    <w:p w14:paraId="147ECD39">
      <w:pPr>
        <w:spacing w:before="120" w:beforeLines="50" w:after="120" w:afterLines="50" w:line="300" w:lineRule="auto"/>
        <w:jc w:val="center"/>
        <w:rPr>
          <w:rFonts w:hint="eastAsia" w:ascii="宋体" w:hAnsi="宋体" w:cs="宋体"/>
          <w:b/>
          <w:bCs/>
          <w:sz w:val="30"/>
          <w:szCs w:val="30"/>
        </w:rPr>
      </w:pPr>
      <w:r>
        <w:rPr>
          <w:rFonts w:hint="eastAsia" w:ascii="宋体" w:hAnsi="宋体" w:cs="宋体"/>
          <w:b/>
          <w:bCs/>
          <w:sz w:val="30"/>
          <w:szCs w:val="30"/>
        </w:rPr>
        <w:t>书面声明</w:t>
      </w:r>
      <w:bookmarkEnd w:id="303"/>
      <w:bookmarkEnd w:id="304"/>
    </w:p>
    <w:p w14:paraId="3C3F595B">
      <w:pPr>
        <w:widowControl w:val="0"/>
        <w:jc w:val="both"/>
        <w:rPr>
          <w:rFonts w:hint="eastAsia" w:ascii="宋体" w:hAnsi="宋体" w:eastAsia="宋体" w:cs="宋体"/>
          <w:kern w:val="2"/>
          <w:sz w:val="28"/>
          <w:szCs w:val="28"/>
          <w:lang w:val="en-US" w:eastAsia="zh-CN" w:bidi="ar-SA"/>
        </w:rPr>
      </w:pPr>
    </w:p>
    <w:p w14:paraId="49146D12">
      <w:pPr>
        <w:spacing w:before="120" w:beforeLines="50" w:after="120" w:afterLines="50" w:line="300" w:lineRule="auto"/>
        <w:rPr>
          <w:rFonts w:hint="eastAsia" w:ascii="宋体" w:hAnsi="宋体" w:cs="宋体"/>
          <w:bCs/>
          <w:sz w:val="24"/>
        </w:rPr>
      </w:pPr>
      <w:r>
        <w:rPr>
          <w:rFonts w:hint="eastAsia" w:ascii="宋体" w:hAnsi="宋体" w:cs="宋体"/>
          <w:b/>
          <w:bCs/>
          <w:sz w:val="24"/>
        </w:rPr>
        <w:t xml:space="preserve">    </w:t>
      </w:r>
      <w:r>
        <w:rPr>
          <w:rFonts w:hint="eastAsia" w:ascii="宋体" w:hAnsi="宋体" w:cs="宋体"/>
          <w:bCs/>
          <w:sz w:val="24"/>
        </w:rPr>
        <w:t>我单位郑重声明：参加本次政府采购活动前 3 年内，我单位在经营活动中没有因违法经营受到刑事处罚或者责令停产停业、吊销许可证或者执照、较大数额罚款等行政处罚。</w:t>
      </w:r>
    </w:p>
    <w:p w14:paraId="19E21604">
      <w:pPr>
        <w:spacing w:before="120" w:beforeLines="50" w:after="120" w:afterLines="50" w:line="300" w:lineRule="auto"/>
        <w:rPr>
          <w:rFonts w:hint="eastAsia" w:ascii="宋体" w:hAnsi="宋体" w:cs="宋体"/>
          <w:bCs/>
          <w:sz w:val="24"/>
        </w:rPr>
      </w:pPr>
    </w:p>
    <w:p w14:paraId="5CB29CCD">
      <w:pPr>
        <w:widowControl w:val="0"/>
        <w:adjustRightInd w:val="0"/>
        <w:spacing w:before="120" w:beforeLines="50" w:after="120" w:afterLines="50" w:line="300" w:lineRule="auto"/>
        <w:ind w:left="420" w:leftChars="200" w:firstLine="5280" w:firstLineChars="2200"/>
        <w:jc w:val="left"/>
        <w:textAlignment w:val="baseline"/>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 xml:space="preserve">投标人名称（盖章）： </w:t>
      </w:r>
    </w:p>
    <w:p w14:paraId="304DF7F5">
      <w:pPr>
        <w:spacing w:before="120" w:beforeLines="50" w:after="120" w:afterLines="50" w:line="300" w:lineRule="auto"/>
        <w:ind w:firstLine="5775" w:firstLineChars="2750"/>
        <w:rPr>
          <w:rFonts w:hint="eastAsia" w:ascii="宋体" w:hAnsi="宋体" w:cs="宋体"/>
          <w:bCs/>
          <w:sz w:val="24"/>
        </w:rPr>
      </w:pPr>
      <w:r>
        <w:rPr>
          <w:rFonts w:hint="eastAsia" w:ascii="宋体" w:hAnsi="宋体" w:cs="宋体"/>
        </w:rPr>
        <w:t>______年____月____日</w:t>
      </w:r>
    </w:p>
    <w:p w14:paraId="79A08269">
      <w:pPr>
        <w:spacing w:before="120" w:beforeLines="50" w:after="120" w:afterLines="50" w:line="300" w:lineRule="auto"/>
        <w:rPr>
          <w:rFonts w:hint="eastAsia" w:ascii="宋体" w:hAnsi="宋体" w:cs="宋体"/>
          <w:bCs/>
          <w:sz w:val="24"/>
        </w:rPr>
      </w:pPr>
    </w:p>
    <w:p w14:paraId="7D0415BE">
      <w:pPr>
        <w:widowControl w:val="0"/>
        <w:ind w:firstLine="0"/>
        <w:jc w:val="left"/>
        <w:rPr>
          <w:rFonts w:hint="eastAsia" w:ascii="宋体" w:hAnsi="宋体" w:eastAsia="宋体" w:cs="宋体"/>
          <w:kern w:val="2"/>
          <w:sz w:val="30"/>
          <w:szCs w:val="30"/>
          <w:lang w:val="en-US" w:eastAsia="zh-CN" w:bidi="ar-SA"/>
        </w:rPr>
      </w:pPr>
      <w:r>
        <w:rPr>
          <w:rFonts w:hint="eastAsia" w:ascii="宋体" w:hAnsi="宋体" w:eastAsia="宋体" w:cs="宋体"/>
          <w:bCs/>
          <w:kern w:val="2"/>
          <w:sz w:val="24"/>
          <w:szCs w:val="21"/>
          <w:lang w:val="en-US" w:eastAsia="zh-CN" w:bidi="ar-SA"/>
        </w:rPr>
        <w:br w:type="page"/>
      </w:r>
      <w:bookmarkStart w:id="305" w:name="_Toc534816645"/>
      <w:bookmarkStart w:id="306" w:name="_Toc534725616"/>
      <w:r>
        <w:rPr>
          <w:rFonts w:hint="eastAsia" w:ascii="宋体" w:hAnsi="宋体" w:eastAsia="宋体" w:cs="宋体"/>
          <w:kern w:val="2"/>
          <w:sz w:val="30"/>
          <w:szCs w:val="30"/>
          <w:lang w:val="en-US" w:eastAsia="zh-CN" w:bidi="ar-SA"/>
        </w:rPr>
        <w:t>表三</w:t>
      </w:r>
    </w:p>
    <w:p w14:paraId="36F06E40">
      <w:pPr>
        <w:spacing w:before="120" w:beforeLines="50" w:after="120" w:afterLines="50" w:line="300" w:lineRule="auto"/>
        <w:jc w:val="center"/>
        <w:rPr>
          <w:rFonts w:hint="eastAsia" w:ascii="宋体" w:hAnsi="宋体" w:cs="宋体"/>
          <w:bCs/>
          <w:sz w:val="24"/>
        </w:rPr>
      </w:pPr>
    </w:p>
    <w:p w14:paraId="6E1E26D0">
      <w:pPr>
        <w:spacing w:before="120" w:beforeLines="50" w:after="120" w:afterLines="50" w:line="300" w:lineRule="auto"/>
        <w:jc w:val="center"/>
        <w:rPr>
          <w:rFonts w:hint="eastAsia" w:ascii="宋体" w:hAnsi="宋体" w:cs="宋体"/>
          <w:sz w:val="24"/>
          <w:szCs w:val="24"/>
        </w:rPr>
      </w:pPr>
      <w:r>
        <w:rPr>
          <w:rFonts w:hint="eastAsia" w:ascii="宋体" w:hAnsi="宋体" w:cs="宋体"/>
          <w:b/>
          <w:bCs/>
          <w:sz w:val="30"/>
          <w:szCs w:val="30"/>
        </w:rPr>
        <w:t>法人授权书</w:t>
      </w:r>
      <w:bookmarkEnd w:id="305"/>
      <w:bookmarkEnd w:id="306"/>
    </w:p>
    <w:p w14:paraId="77CD155C">
      <w:pPr>
        <w:spacing w:line="440" w:lineRule="exact"/>
        <w:ind w:firstLine="480" w:firstLineChars="200"/>
        <w:rPr>
          <w:rFonts w:hint="eastAsia" w:ascii="宋体" w:hAnsi="宋体" w:cs="宋体"/>
          <w:sz w:val="24"/>
          <w:szCs w:val="24"/>
        </w:rPr>
      </w:pPr>
      <w:r>
        <w:rPr>
          <w:rFonts w:hint="eastAsia" w:ascii="宋体" w:hAnsi="宋体" w:cs="宋体"/>
          <w:sz w:val="24"/>
          <w:szCs w:val="24"/>
        </w:rPr>
        <w:t>本授权委托书声明：注册于</w:t>
      </w:r>
      <w:r>
        <w:rPr>
          <w:rFonts w:hint="eastAsia" w:ascii="宋体" w:hAnsi="宋体" w:cs="宋体"/>
          <w:sz w:val="24"/>
          <w:szCs w:val="24"/>
          <w:u w:val="single"/>
        </w:rPr>
        <w:t xml:space="preserve"> （供应商地址） </w:t>
      </w:r>
      <w:r>
        <w:rPr>
          <w:rFonts w:hint="eastAsia" w:ascii="宋体" w:hAnsi="宋体" w:cs="宋体"/>
          <w:sz w:val="24"/>
          <w:szCs w:val="24"/>
        </w:rPr>
        <w:t xml:space="preserve"> 的 </w:t>
      </w:r>
      <w:r>
        <w:rPr>
          <w:rFonts w:hint="eastAsia" w:ascii="宋体" w:hAnsi="宋体" w:cs="宋体"/>
          <w:sz w:val="24"/>
          <w:szCs w:val="24"/>
          <w:u w:val="single"/>
        </w:rPr>
        <w:t xml:space="preserve"> （供应商名称）    </w:t>
      </w:r>
      <w:r>
        <w:rPr>
          <w:rFonts w:hint="eastAsia" w:ascii="宋体" w:hAnsi="宋体" w:cs="宋体"/>
          <w:sz w:val="24"/>
          <w:szCs w:val="24"/>
        </w:rPr>
        <w:t>在下面签名的（</w:t>
      </w:r>
      <w:r>
        <w:rPr>
          <w:rFonts w:hint="eastAsia" w:ascii="宋体" w:hAnsi="宋体" w:cs="宋体"/>
          <w:sz w:val="24"/>
          <w:szCs w:val="24"/>
          <w:u w:val="single"/>
        </w:rPr>
        <w:t>法定代表人姓名、职务</w:t>
      </w:r>
      <w:r>
        <w:rPr>
          <w:rFonts w:hint="eastAsia" w:ascii="宋体" w:hAnsi="宋体" w:cs="宋体"/>
          <w:sz w:val="24"/>
          <w:szCs w:val="24"/>
        </w:rPr>
        <w:t>），现任我单位</w:t>
      </w:r>
      <w:r>
        <w:rPr>
          <w:rFonts w:hint="eastAsia" w:ascii="宋体" w:hAnsi="宋体" w:cs="宋体"/>
          <w:sz w:val="24"/>
          <w:szCs w:val="24"/>
          <w:u w:val="single"/>
        </w:rPr>
        <w:t xml:space="preserve">         </w:t>
      </w:r>
      <w:r>
        <w:rPr>
          <w:rFonts w:hint="eastAsia" w:ascii="宋体" w:hAnsi="宋体" w:cs="宋体"/>
          <w:sz w:val="24"/>
          <w:szCs w:val="24"/>
        </w:rPr>
        <w:t>职务，为法定代表人。在此授权（</w:t>
      </w:r>
      <w:r>
        <w:rPr>
          <w:rFonts w:hint="eastAsia" w:ascii="宋体" w:hAnsi="宋体" w:cs="宋体"/>
          <w:sz w:val="24"/>
          <w:szCs w:val="24"/>
          <w:u w:val="single"/>
        </w:rPr>
        <w:t>被授权人姓名、职务</w:t>
      </w:r>
      <w:r>
        <w:rPr>
          <w:rFonts w:hint="eastAsia" w:ascii="宋体" w:hAnsi="宋体" w:cs="宋体"/>
          <w:sz w:val="24"/>
          <w:szCs w:val="24"/>
        </w:rPr>
        <w:t>）作为我公司的合法代理人，就（</w:t>
      </w:r>
      <w:r>
        <w:rPr>
          <w:rFonts w:hint="eastAsia" w:ascii="宋体" w:hAnsi="宋体" w:cs="宋体"/>
          <w:sz w:val="24"/>
          <w:szCs w:val="24"/>
          <w:u w:val="single"/>
        </w:rPr>
        <w:t>采购项目名称、采购项目编号</w:t>
      </w:r>
      <w:r>
        <w:rPr>
          <w:rFonts w:hint="eastAsia" w:ascii="宋体" w:hAnsi="宋体" w:cs="宋体"/>
          <w:sz w:val="24"/>
          <w:szCs w:val="24"/>
        </w:rPr>
        <w:t xml:space="preserve">）采购活动以我公司的名义处理一切与之有关的事务。 </w:t>
      </w:r>
    </w:p>
    <w:p w14:paraId="61DDCA1A">
      <w:pPr>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被授权人（供应商授权代表）无转委托权限。 </w:t>
      </w:r>
    </w:p>
    <w:p w14:paraId="425CA8D0">
      <w:pPr>
        <w:spacing w:line="440" w:lineRule="exact"/>
        <w:ind w:firstLine="480" w:firstLineChars="200"/>
        <w:rPr>
          <w:rFonts w:hint="eastAsia"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59264"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a:noFill/>
                        </a:ln>
                      </wps:spPr>
                      <wps:txbx>
                        <w:txbxContent>
                          <w:p w14:paraId="5788492B">
                            <w:pPr>
                              <w:widowControl w:val="0"/>
                              <w:spacing w:line="211" w:lineRule="exact"/>
                              <w:jc w:val="both"/>
                              <w:rPr>
                                <w:rFonts w:ascii="楷体_GB2312" w:hAnsi="Arial" w:eastAsia="楷体_GB2312" w:cs="Times New Roman"/>
                                <w:kern w:val="2"/>
                                <w:sz w:val="28"/>
                                <w:szCs w:val="28"/>
                                <w:lang w:val="en-US" w:eastAsia="zh-CN" w:bidi="ar-SA"/>
                              </w:rPr>
                            </w:pPr>
                            <w:r>
                              <w:rPr>
                                <w:rFonts w:ascii="楷体_GB2312" w:hAnsi="Arial" w:eastAsia="楷体_GB2312" w:cs="Times New Roman"/>
                                <w:kern w:val="2"/>
                                <w:sz w:val="28"/>
                                <w:szCs w:val="28"/>
                                <w:lang w:val="en-US" w:eastAsia="zh-CN" w:bidi="ar-SA"/>
                              </w:rP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57216;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UDL6NkAAAALAQAADwAAAAAAAAABACAAAAAiAAAAZHJzL2Rvd25yZXYueG1sUEsBAhQA&#10;FAAAAAgAh07iQNKvwWq4AQAAcgMAAA4AAAAAAAAAAQAgAAAAKAEAAGRycy9lMm9Eb2MueG1sUEsF&#10;BgAAAAAGAAYAWQEAAFIFAAAAAA==&#10;">
                <v:fill on="f" focussize="0,0"/>
                <v:stroke on="f"/>
                <v:imagedata o:title=""/>
                <o:lock v:ext="edit" aspectratio="f"/>
                <v:textbox inset="0mm,0mm,0mm,0mm">
                  <w:txbxContent>
                    <w:p w14:paraId="5788492B">
                      <w:pPr>
                        <w:widowControl w:val="0"/>
                        <w:spacing w:line="211" w:lineRule="exact"/>
                        <w:jc w:val="both"/>
                        <w:rPr>
                          <w:rFonts w:ascii="楷体_GB2312" w:hAnsi="Arial" w:eastAsia="楷体_GB2312" w:cs="Times New Roman"/>
                          <w:kern w:val="2"/>
                          <w:sz w:val="28"/>
                          <w:szCs w:val="28"/>
                          <w:lang w:val="en-US" w:eastAsia="zh-CN" w:bidi="ar-SA"/>
                        </w:rPr>
                      </w:pPr>
                      <w:r>
                        <w:rPr>
                          <w:rFonts w:ascii="楷体_GB2312" w:hAnsi="Arial" w:eastAsia="楷体_GB2312" w:cs="Times New Roman"/>
                          <w:kern w:val="2"/>
                          <w:sz w:val="28"/>
                          <w:szCs w:val="28"/>
                          <w:lang w:val="en-US" w:eastAsia="zh-CN" w:bidi="ar-SA"/>
                        </w:rPr>
                        <w:t xml:space="preserve"> </w:t>
                      </w:r>
                    </w:p>
                  </w:txbxContent>
                </v:textbox>
              </v:shape>
            </w:pict>
          </mc:Fallback>
        </mc:AlternateContent>
      </w:r>
      <w:r>
        <w:rPr>
          <w:rFonts w:hint="eastAsia" w:ascii="宋体" w:hAnsi="宋体" w:cs="宋体"/>
          <w:sz w:val="24"/>
          <w:szCs w:val="24"/>
        </w:rPr>
        <mc:AlternateContent>
          <mc:Choice Requires="wps">
            <w:drawing>
              <wp:anchor distT="0" distB="0" distL="114300" distR="114300" simplePos="0" relativeHeight="251662336" behindDoc="1" locked="0" layoutInCell="1" allowOverlap="1">
                <wp:simplePos x="0" y="0"/>
                <wp:positionH relativeFrom="page">
                  <wp:posOffset>3604895</wp:posOffset>
                </wp:positionH>
                <wp:positionV relativeFrom="paragraph">
                  <wp:posOffset>568960</wp:posOffset>
                </wp:positionV>
                <wp:extent cx="2723515" cy="1511300"/>
                <wp:effectExtent l="4445" t="4445" r="17780" b="17780"/>
                <wp:wrapNone/>
                <wp:docPr id="21" name="文本框 21"/>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9525" cap="flat" cmpd="sng">
                          <a:solidFill>
                            <a:srgbClr val="000000"/>
                          </a:solidFill>
                          <a:prstDash val="solid"/>
                          <a:miter/>
                          <a:headEnd type="none" w="med" len="med"/>
                          <a:tailEnd type="none" w="med" len="med"/>
                        </a:ln>
                      </wps:spPr>
                      <wps:txbx>
                        <w:txbxContent>
                          <w:p w14:paraId="35E76990">
                            <w:pPr>
                              <w:widowControl w:val="0"/>
                              <w:jc w:val="both"/>
                              <w:rPr>
                                <w:rFonts w:ascii="楷体_GB2312" w:hAnsi="Arial" w:eastAsia="楷体_GB2312" w:cs="Times New Roman"/>
                                <w:kern w:val="2"/>
                                <w:sz w:val="20"/>
                                <w:szCs w:val="28"/>
                                <w:lang w:val="en-US" w:eastAsia="zh-CN" w:bidi="ar-SA"/>
                              </w:rPr>
                            </w:pPr>
                          </w:p>
                          <w:p w14:paraId="7F1B18DA">
                            <w:pPr>
                              <w:widowControl w:val="0"/>
                              <w:jc w:val="both"/>
                              <w:rPr>
                                <w:rFonts w:ascii="楷体_GB2312" w:hAnsi="Arial" w:eastAsia="楷体_GB2312" w:cs="Times New Roman"/>
                                <w:kern w:val="2"/>
                                <w:sz w:val="20"/>
                                <w:szCs w:val="28"/>
                                <w:lang w:val="en-US" w:eastAsia="zh-CN" w:bidi="ar-SA"/>
                              </w:rPr>
                            </w:pPr>
                          </w:p>
                          <w:p w14:paraId="13DA51D0">
                            <w:pPr>
                              <w:widowControl w:val="0"/>
                              <w:spacing w:before="1"/>
                              <w:jc w:val="both"/>
                              <w:rPr>
                                <w:rFonts w:ascii="楷体_GB2312" w:hAnsi="Arial" w:eastAsia="楷体_GB2312" w:cs="Times New Roman"/>
                                <w:kern w:val="2"/>
                                <w:sz w:val="16"/>
                                <w:szCs w:val="28"/>
                                <w:lang w:val="en-US" w:eastAsia="zh-CN" w:bidi="ar-SA"/>
                              </w:rPr>
                            </w:pPr>
                          </w:p>
                          <w:p w14:paraId="02FB0FD5">
                            <w:pPr>
                              <w:widowControl w:val="0"/>
                              <w:spacing w:line="278" w:lineRule="auto"/>
                              <w:ind w:left="1091" w:right="1498" w:firstLine="314"/>
                              <w:jc w:val="both"/>
                              <w:rPr>
                                <w:rFonts w:ascii="楷体_GB2312" w:hAnsi="Arial" w:eastAsia="楷体_GB2312" w:cs="Times New Roman"/>
                                <w:kern w:val="2"/>
                                <w:sz w:val="28"/>
                                <w:szCs w:val="28"/>
                                <w:lang w:val="en-US" w:eastAsia="zh-CN" w:bidi="ar-SA"/>
                              </w:rPr>
                            </w:pPr>
                            <w:r>
                              <w:rPr>
                                <w:rFonts w:ascii="楷体_GB2312" w:hAnsi="Arial" w:eastAsia="楷体_GB2312" w:cs="Times New Roman"/>
                                <w:spacing w:val="-1"/>
                                <w:kern w:val="2"/>
                                <w:sz w:val="28"/>
                                <w:szCs w:val="28"/>
                                <w:lang w:val="en-US" w:eastAsia="zh-CN" w:bidi="ar-SA"/>
                              </w:rPr>
                              <w:t xml:space="preserve">法定代表人  </w:t>
                            </w:r>
                            <w:r>
                              <w:rPr>
                                <w:rFonts w:ascii="楷体_GB2312" w:hAnsi="Arial" w:eastAsia="楷体_GB2312" w:cs="Times New Roman"/>
                                <w:spacing w:val="-5"/>
                                <w:kern w:val="2"/>
                                <w:sz w:val="28"/>
                                <w:szCs w:val="28"/>
                                <w:lang w:val="en-US" w:eastAsia="zh-CN" w:bidi="ar-SA"/>
                              </w:rPr>
                              <w:t>居民身份证复印件</w:t>
                            </w:r>
                          </w:p>
                          <w:p w14:paraId="4BE67DD9">
                            <w:pPr>
                              <w:widowControl w:val="0"/>
                              <w:spacing w:before="4"/>
                              <w:jc w:val="both"/>
                              <w:rPr>
                                <w:rFonts w:ascii="楷体_GB2312" w:hAnsi="Arial" w:eastAsia="楷体_GB2312" w:cs="Times New Roman"/>
                                <w:kern w:val="2"/>
                                <w:sz w:val="24"/>
                                <w:szCs w:val="28"/>
                                <w:lang w:val="en-US" w:eastAsia="zh-CN" w:bidi="ar-SA"/>
                              </w:rPr>
                            </w:pPr>
                          </w:p>
                          <w:p w14:paraId="5922B7EB">
                            <w:pPr>
                              <w:widowControl w:val="0"/>
                              <w:spacing w:before="1"/>
                              <w:ind w:left="1405"/>
                              <w:jc w:val="both"/>
                              <w:rPr>
                                <w:rFonts w:ascii="楷体_GB2312" w:hAnsi="Arial" w:eastAsia="楷体_GB2312" w:cs="Times New Roman"/>
                                <w:kern w:val="2"/>
                                <w:sz w:val="28"/>
                                <w:szCs w:val="28"/>
                                <w:lang w:val="en-US" w:eastAsia="zh-CN" w:bidi="ar-SA"/>
                              </w:rPr>
                            </w:pPr>
                            <w:r>
                              <w:rPr>
                                <w:rFonts w:ascii="楷体_GB2312" w:hAnsi="Arial" w:eastAsia="楷体_GB2312" w:cs="Times New Roman"/>
                                <w:kern w:val="2"/>
                                <w:sz w:val="28"/>
                                <w:szCs w:val="28"/>
                                <w:lang w:val="en-US" w:eastAsia="zh-CN" w:bidi="ar-SA"/>
                              </w:rPr>
                              <w:t>（反面）</w:t>
                            </w:r>
                          </w:p>
                        </w:txbxContent>
                      </wps:txbx>
                      <wps:bodyPr lIns="0" tIns="0" rIns="0" bIns="0" upright="1"/>
                    </wps:wsp>
                  </a:graphicData>
                </a:graphic>
              </wp:anchor>
            </w:drawing>
          </mc:Choice>
          <mc:Fallback>
            <w:pict>
              <v:shape id="_x0000_s1026" o:spid="_x0000_s1026" o:spt="202" type="#_x0000_t202" style="position:absolute;left:0pt;margin-left:283.85pt;margin-top:44.8pt;height:119pt;width:214.45pt;mso-position-horizontal-relative:page;z-index:-251654144;mso-width-relative:page;mso-height-relative:page;" filled="f" stroked="t" coordsize="21600,21600" o:gfxdata="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1UC1l2gAAAAoBAAAP&#10;AAAAAAAAAAEAIAAAACIAAABkcnMvZG93bnJldi54bWxQSwECFAAUAAAACACHTuJA3HMrShYCAAA0&#10;BAAADgAAAAAAAAABACAAAAApAQAAZHJzL2Uyb0RvYy54bWxQSwUGAAAAAAYABgBZAQAAsQUAAAAA&#10;">
                <v:fill on="f" focussize="0,0"/>
                <v:stroke color="#000000" joinstyle="miter"/>
                <v:imagedata o:title=""/>
                <o:lock v:ext="edit" aspectratio="f"/>
                <v:textbox inset="0mm,0mm,0mm,0mm">
                  <w:txbxContent>
                    <w:p w14:paraId="35E76990">
                      <w:pPr>
                        <w:widowControl w:val="0"/>
                        <w:jc w:val="both"/>
                        <w:rPr>
                          <w:rFonts w:ascii="楷体_GB2312" w:hAnsi="Arial" w:eastAsia="楷体_GB2312" w:cs="Times New Roman"/>
                          <w:kern w:val="2"/>
                          <w:sz w:val="20"/>
                          <w:szCs w:val="28"/>
                          <w:lang w:val="en-US" w:eastAsia="zh-CN" w:bidi="ar-SA"/>
                        </w:rPr>
                      </w:pPr>
                    </w:p>
                    <w:p w14:paraId="7F1B18DA">
                      <w:pPr>
                        <w:widowControl w:val="0"/>
                        <w:jc w:val="both"/>
                        <w:rPr>
                          <w:rFonts w:ascii="楷体_GB2312" w:hAnsi="Arial" w:eastAsia="楷体_GB2312" w:cs="Times New Roman"/>
                          <w:kern w:val="2"/>
                          <w:sz w:val="20"/>
                          <w:szCs w:val="28"/>
                          <w:lang w:val="en-US" w:eastAsia="zh-CN" w:bidi="ar-SA"/>
                        </w:rPr>
                      </w:pPr>
                    </w:p>
                    <w:p w14:paraId="13DA51D0">
                      <w:pPr>
                        <w:widowControl w:val="0"/>
                        <w:spacing w:before="1"/>
                        <w:jc w:val="both"/>
                        <w:rPr>
                          <w:rFonts w:ascii="楷体_GB2312" w:hAnsi="Arial" w:eastAsia="楷体_GB2312" w:cs="Times New Roman"/>
                          <w:kern w:val="2"/>
                          <w:sz w:val="16"/>
                          <w:szCs w:val="28"/>
                          <w:lang w:val="en-US" w:eastAsia="zh-CN" w:bidi="ar-SA"/>
                        </w:rPr>
                      </w:pPr>
                    </w:p>
                    <w:p w14:paraId="02FB0FD5">
                      <w:pPr>
                        <w:widowControl w:val="0"/>
                        <w:spacing w:line="278" w:lineRule="auto"/>
                        <w:ind w:left="1091" w:right="1498" w:firstLine="314"/>
                        <w:jc w:val="both"/>
                        <w:rPr>
                          <w:rFonts w:ascii="楷体_GB2312" w:hAnsi="Arial" w:eastAsia="楷体_GB2312" w:cs="Times New Roman"/>
                          <w:kern w:val="2"/>
                          <w:sz w:val="28"/>
                          <w:szCs w:val="28"/>
                          <w:lang w:val="en-US" w:eastAsia="zh-CN" w:bidi="ar-SA"/>
                        </w:rPr>
                      </w:pPr>
                      <w:r>
                        <w:rPr>
                          <w:rFonts w:ascii="楷体_GB2312" w:hAnsi="Arial" w:eastAsia="楷体_GB2312" w:cs="Times New Roman"/>
                          <w:spacing w:val="-1"/>
                          <w:kern w:val="2"/>
                          <w:sz w:val="28"/>
                          <w:szCs w:val="28"/>
                          <w:lang w:val="en-US" w:eastAsia="zh-CN" w:bidi="ar-SA"/>
                        </w:rPr>
                        <w:t xml:space="preserve">法定代表人  </w:t>
                      </w:r>
                      <w:r>
                        <w:rPr>
                          <w:rFonts w:ascii="楷体_GB2312" w:hAnsi="Arial" w:eastAsia="楷体_GB2312" w:cs="Times New Roman"/>
                          <w:spacing w:val="-5"/>
                          <w:kern w:val="2"/>
                          <w:sz w:val="28"/>
                          <w:szCs w:val="28"/>
                          <w:lang w:val="en-US" w:eastAsia="zh-CN" w:bidi="ar-SA"/>
                        </w:rPr>
                        <w:t>居民身份证复印件</w:t>
                      </w:r>
                    </w:p>
                    <w:p w14:paraId="4BE67DD9">
                      <w:pPr>
                        <w:widowControl w:val="0"/>
                        <w:spacing w:before="4"/>
                        <w:jc w:val="both"/>
                        <w:rPr>
                          <w:rFonts w:ascii="楷体_GB2312" w:hAnsi="Arial" w:eastAsia="楷体_GB2312" w:cs="Times New Roman"/>
                          <w:kern w:val="2"/>
                          <w:sz w:val="24"/>
                          <w:szCs w:val="28"/>
                          <w:lang w:val="en-US" w:eastAsia="zh-CN" w:bidi="ar-SA"/>
                        </w:rPr>
                      </w:pPr>
                    </w:p>
                    <w:p w14:paraId="5922B7EB">
                      <w:pPr>
                        <w:widowControl w:val="0"/>
                        <w:spacing w:before="1"/>
                        <w:ind w:left="1405"/>
                        <w:jc w:val="both"/>
                        <w:rPr>
                          <w:rFonts w:ascii="楷体_GB2312" w:hAnsi="Arial" w:eastAsia="楷体_GB2312" w:cs="Times New Roman"/>
                          <w:kern w:val="2"/>
                          <w:sz w:val="28"/>
                          <w:szCs w:val="28"/>
                          <w:lang w:val="en-US" w:eastAsia="zh-CN" w:bidi="ar-SA"/>
                        </w:rPr>
                      </w:pPr>
                      <w:r>
                        <w:rPr>
                          <w:rFonts w:ascii="楷体_GB2312" w:hAnsi="Arial" w:eastAsia="楷体_GB2312" w:cs="Times New Roman"/>
                          <w:kern w:val="2"/>
                          <w:sz w:val="28"/>
                          <w:szCs w:val="28"/>
                          <w:lang w:val="en-US" w:eastAsia="zh-CN" w:bidi="ar-SA"/>
                        </w:rPr>
                        <w:t>（反面）</w:t>
                      </w:r>
                    </w:p>
                  </w:txbxContent>
                </v:textbox>
              </v:shape>
            </w:pict>
          </mc:Fallback>
        </mc:AlternateContent>
      </w:r>
      <w:r>
        <w:rPr>
          <w:rFonts w:hint="eastAsia" w:ascii="宋体" w:hAnsi="宋体" w:cs="宋体"/>
          <w:sz w:val="24"/>
          <w:szCs w:val="24"/>
        </w:rPr>
        <w:t>本授权书自法定代表人签字之日起生效，特此声明。</w:t>
      </w:r>
    </w:p>
    <w:p w14:paraId="4577642F">
      <w:pPr>
        <w:spacing w:line="440" w:lineRule="exact"/>
        <w:rPr>
          <w:rFonts w:hint="eastAsia" w:ascii="宋体" w:hAnsi="宋体" w:cs="宋体"/>
          <w:sz w:val="24"/>
          <w:szCs w:val="24"/>
        </w:rPr>
      </w:pPr>
      <w:r>
        <w:rPr>
          <w:rFonts w:hint="eastAsia" w:ascii="宋体" w:hAnsi="宋体" w:cs="宋体"/>
          <w:sz w:val="24"/>
          <w:szCs w:val="24"/>
        </w:rPr>
        <mc:AlternateContent>
          <mc:Choice Requires="wpg">
            <w:drawing>
              <wp:anchor distT="0" distB="0" distL="114300" distR="114300" simplePos="0" relativeHeight="251661312" behindDoc="1" locked="0" layoutInCell="1" allowOverlap="1">
                <wp:simplePos x="0" y="0"/>
                <wp:positionH relativeFrom="page">
                  <wp:posOffset>789940</wp:posOffset>
                </wp:positionH>
                <wp:positionV relativeFrom="paragraph">
                  <wp:posOffset>274955</wp:posOffset>
                </wp:positionV>
                <wp:extent cx="2724150" cy="1539240"/>
                <wp:effectExtent l="0" t="635" r="7620" b="8255"/>
                <wp:wrapNone/>
                <wp:docPr id="19" name="组合 19"/>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17" name="矩形 17"/>
                        <wps:cNvSpPr/>
                        <wps:spPr>
                          <a:xfrm>
                            <a:off x="1222" y="896"/>
                            <a:ext cx="4275" cy="2754"/>
                          </a:xfrm>
                          <a:prstGeom prst="rect">
                            <a:avLst/>
                          </a:prstGeom>
                          <a:solidFill>
                            <a:srgbClr val="FFFFFF"/>
                          </a:solidFill>
                          <a:ln>
                            <a:noFill/>
                          </a:ln>
                        </wps:spPr>
                        <wps:bodyPr upright="1"/>
                      </wps:wsp>
                      <wps:wsp>
                        <wps:cNvPr id="18" name="文本框 18"/>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14:paraId="0DD67111">
                              <w:pPr>
                                <w:rPr>
                                  <w:sz w:val="20"/>
                                </w:rPr>
                              </w:pPr>
                            </w:p>
                            <w:p w14:paraId="05E63D5B">
                              <w:pPr>
                                <w:rPr>
                                  <w:sz w:val="20"/>
                                </w:rPr>
                              </w:pPr>
                            </w:p>
                            <w:p w14:paraId="7EA2CAD5">
                              <w:pPr>
                                <w:spacing w:before="1"/>
                                <w:rPr>
                                  <w:sz w:val="16"/>
                                </w:rPr>
                              </w:pPr>
                            </w:p>
                            <w:p w14:paraId="7403498D">
                              <w:pPr>
                                <w:spacing w:line="278" w:lineRule="auto"/>
                                <w:ind w:left="1194" w:right="1380" w:firstLine="314"/>
                              </w:pPr>
                              <w:r>
                                <w:rPr>
                                  <w:spacing w:val="-1"/>
                                </w:rPr>
                                <w:t xml:space="preserve">法定代表人  </w:t>
                              </w:r>
                              <w:r>
                                <w:rPr>
                                  <w:spacing w:val="-5"/>
                                </w:rPr>
                                <w:t>居民身份证复印件</w:t>
                              </w:r>
                            </w:p>
                            <w:p w14:paraId="1F45896B">
                              <w:pPr>
                                <w:spacing w:before="4"/>
                                <w:rPr>
                                  <w:sz w:val="24"/>
                                </w:rPr>
                              </w:pPr>
                            </w:p>
                            <w:p w14:paraId="2F9EB173">
                              <w:pPr>
                                <w:spacing w:before="1"/>
                                <w:ind w:left="1491" w:right="1888"/>
                                <w:jc w:val="center"/>
                              </w:pPr>
                              <w:r>
                                <w:t>（</w:t>
                              </w:r>
                              <w:r>
                                <w:rPr>
                                  <w:spacing w:val="-2"/>
                                </w:rPr>
                                <w:t>正面</w:t>
                              </w:r>
                              <w:r>
                                <w:t>）</w:t>
                              </w:r>
                            </w:p>
                          </w:txbxContent>
                        </wps:txbx>
                        <wps:bodyPr lIns="0" tIns="0" rIns="0" bIns="0" upright="1"/>
                      </wps:wsp>
                    </wpg:wgp>
                  </a:graphicData>
                </a:graphic>
              </wp:anchor>
            </w:drawing>
          </mc:Choice>
          <mc:Fallback>
            <w:pict>
              <v:group id="_x0000_s1026" o:spid="_x0000_s1026" o:spt="203" style="position:absolute;left:0pt;margin-left:62.2pt;margin-top:21.65pt;height:121.2pt;width:214.5pt;mso-position-horizontal-relative:page;z-index:-251655168;mso-width-relative:page;mso-height-relative:page;" coordorigin="1214,889" coordsize="4290,2769" o:gfxdata="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KEyLB2QAA&#10;AAoBAAAPAAAAAAAAAAEAIAAAACIAAABkcnMvZG93bnJldi54bWxQSwECFAAUAAAACACHTuJAfRPD&#10;WcgCAADoBgAADgAAAAAAAAABACAAAAAoAQAAZHJzL2Uyb0RvYy54bWxQSwUGAAAAAAYABgBZAQAA&#10;YgYAAAAA&#10;">
                <o:lock v:ext="edit" aspectratio="f"/>
                <v:rect id="_x0000_s1026" o:spid="_x0000_s1026" o:spt="1" style="position:absolute;left:1222;top:896;height:2754;width:4275;" fillcolor="#FFFFFF" filled="t" stroked="f" coordsize="21600,21600" o:gfxdata="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yUF28AAAA&#10;2wAAAA8AAAAAAAAAAQAgAAAAIgAAAGRycy9kb3ducmV2LnhtbFBLAQIUABQAAAAIAIdO4kAzLwWe&#10;OwAAADkAAAAQAAAAAAAAAAEAIAAAAAsBAABkcnMvc2hhcGV4bWwueG1sUEsFBgAAAAAGAAYAWwEA&#10;ALUDAAAAAA==&#10;">
                  <v:fill on="t" focussize="0,0"/>
                  <v:stroke on="f"/>
                  <v:imagedata o:title=""/>
                  <o:lock v:ext="edit" aspectratio="f"/>
                </v:rect>
                <v:shape id="_x0000_s1026" o:spid="_x0000_s1026" o:spt="202" type="#_x0000_t202" style="position:absolute;left:1222;top:896;height:2754;width:4275;" filled="f" stroked="t" coordsize="21600,21600" o:gfxdata="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JlAJ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0DD67111">
                        <w:pPr>
                          <w:rPr>
                            <w:sz w:val="20"/>
                          </w:rPr>
                        </w:pPr>
                      </w:p>
                      <w:p w14:paraId="05E63D5B">
                        <w:pPr>
                          <w:rPr>
                            <w:sz w:val="20"/>
                          </w:rPr>
                        </w:pPr>
                      </w:p>
                      <w:p w14:paraId="7EA2CAD5">
                        <w:pPr>
                          <w:spacing w:before="1"/>
                          <w:rPr>
                            <w:sz w:val="16"/>
                          </w:rPr>
                        </w:pPr>
                      </w:p>
                      <w:p w14:paraId="7403498D">
                        <w:pPr>
                          <w:spacing w:line="278" w:lineRule="auto"/>
                          <w:ind w:left="1194" w:right="1380" w:firstLine="314"/>
                        </w:pPr>
                        <w:r>
                          <w:rPr>
                            <w:spacing w:val="-1"/>
                          </w:rPr>
                          <w:t xml:space="preserve">法定代表人  </w:t>
                        </w:r>
                        <w:r>
                          <w:rPr>
                            <w:spacing w:val="-5"/>
                          </w:rPr>
                          <w:t>居民身份证复印件</w:t>
                        </w:r>
                      </w:p>
                      <w:p w14:paraId="1F45896B">
                        <w:pPr>
                          <w:spacing w:before="4"/>
                          <w:rPr>
                            <w:sz w:val="24"/>
                          </w:rPr>
                        </w:pPr>
                      </w:p>
                      <w:p w14:paraId="2F9EB173">
                        <w:pPr>
                          <w:spacing w:before="1"/>
                          <w:ind w:left="1491" w:right="1888"/>
                          <w:jc w:val="center"/>
                        </w:pPr>
                        <w:r>
                          <w:t>（</w:t>
                        </w:r>
                        <w:r>
                          <w:rPr>
                            <w:spacing w:val="-2"/>
                          </w:rPr>
                          <w:t>正面</w:t>
                        </w:r>
                        <w:r>
                          <w:t>）</w:t>
                        </w:r>
                      </w:p>
                    </w:txbxContent>
                  </v:textbox>
                </v:shape>
              </v:group>
            </w:pict>
          </mc:Fallback>
        </mc:AlternateContent>
      </w:r>
      <w:r>
        <w:rPr>
          <w:rFonts w:hint="eastAsia" w:ascii="宋体" w:hAnsi="宋体" w:cs="宋体"/>
          <w:b/>
          <w:bCs/>
          <w:sz w:val="24"/>
          <w:szCs w:val="24"/>
        </w:rPr>
        <w:t>附：法定代表人身份证复印件</w:t>
      </w:r>
      <w:r>
        <w:rPr>
          <w:rFonts w:hint="eastAsia" w:ascii="宋体" w:hAnsi="宋体" w:cs="宋体"/>
          <w:sz w:val="24"/>
          <w:szCs w:val="24"/>
        </w:rPr>
        <w:t xml:space="preserve"> </w:t>
      </w:r>
    </w:p>
    <w:p w14:paraId="3A9457AF">
      <w:pPr>
        <w:spacing w:line="440" w:lineRule="exact"/>
        <w:ind w:firstLine="480" w:firstLineChars="200"/>
        <w:rPr>
          <w:rFonts w:hint="eastAsia" w:ascii="宋体" w:hAnsi="宋体" w:cs="宋体"/>
          <w:sz w:val="24"/>
          <w:szCs w:val="24"/>
        </w:rPr>
      </w:pPr>
    </w:p>
    <w:p w14:paraId="5BF0E662">
      <w:pPr>
        <w:spacing w:line="440" w:lineRule="exact"/>
        <w:ind w:firstLine="480" w:firstLineChars="200"/>
        <w:rPr>
          <w:rFonts w:hint="eastAsia" w:ascii="宋体" w:hAnsi="宋体" w:cs="宋体"/>
          <w:sz w:val="24"/>
          <w:szCs w:val="24"/>
        </w:rPr>
      </w:pPr>
    </w:p>
    <w:p w14:paraId="201CE219">
      <w:pPr>
        <w:spacing w:line="440" w:lineRule="exact"/>
        <w:ind w:firstLine="480" w:firstLineChars="200"/>
        <w:rPr>
          <w:rFonts w:hint="eastAsia" w:ascii="宋体" w:hAnsi="宋体" w:cs="宋体"/>
          <w:sz w:val="24"/>
          <w:szCs w:val="24"/>
        </w:rPr>
      </w:pPr>
    </w:p>
    <w:p w14:paraId="7D6E2D49">
      <w:pPr>
        <w:spacing w:line="440" w:lineRule="exact"/>
        <w:ind w:firstLine="480" w:firstLineChars="200"/>
        <w:rPr>
          <w:rFonts w:hint="eastAsia" w:ascii="宋体" w:hAnsi="宋体" w:cs="宋体"/>
          <w:sz w:val="24"/>
          <w:szCs w:val="24"/>
        </w:rPr>
      </w:pPr>
    </w:p>
    <w:p w14:paraId="7D05D8A2">
      <w:pPr>
        <w:spacing w:line="440" w:lineRule="exact"/>
        <w:ind w:firstLine="480" w:firstLineChars="200"/>
        <w:rPr>
          <w:rFonts w:hint="eastAsia" w:ascii="宋体" w:hAnsi="宋体" w:cs="宋体"/>
          <w:sz w:val="24"/>
          <w:szCs w:val="24"/>
        </w:rPr>
      </w:pPr>
    </w:p>
    <w:p w14:paraId="6BF9E02F">
      <w:pPr>
        <w:spacing w:line="440" w:lineRule="exact"/>
        <w:rPr>
          <w:rFonts w:hint="eastAsia" w:ascii="宋体" w:hAnsi="宋体" w:cs="宋体"/>
          <w:sz w:val="24"/>
          <w:szCs w:val="24"/>
        </w:rPr>
      </w:pPr>
    </w:p>
    <w:p w14:paraId="033895B6">
      <w:pPr>
        <w:spacing w:line="440" w:lineRule="exact"/>
        <w:rPr>
          <w:rFonts w:hint="eastAsia" w:ascii="宋体" w:hAnsi="宋体" w:cs="宋体"/>
          <w:sz w:val="24"/>
          <w:szCs w:val="24"/>
        </w:rPr>
      </w:pPr>
      <w:r>
        <w:rPr>
          <w:rFonts w:hint="eastAsia" w:ascii="宋体" w:hAnsi="宋体" w:cs="宋体"/>
          <w:sz w:val="24"/>
          <w:szCs w:val="24"/>
        </w:rPr>
        <mc:AlternateContent>
          <mc:Choice Requires="wpg">
            <w:drawing>
              <wp:anchor distT="0" distB="0" distL="114300" distR="114300" simplePos="0" relativeHeight="251663360" behindDoc="1" locked="0" layoutInCell="1" allowOverlap="1">
                <wp:simplePos x="0" y="0"/>
                <wp:positionH relativeFrom="page">
                  <wp:posOffset>695960</wp:posOffset>
                </wp:positionH>
                <wp:positionV relativeFrom="paragraph">
                  <wp:posOffset>293370</wp:posOffset>
                </wp:positionV>
                <wp:extent cx="2834005" cy="1572260"/>
                <wp:effectExtent l="635" t="635" r="13335" b="4445"/>
                <wp:wrapTopAndBottom/>
                <wp:docPr id="16" name="组合 16"/>
                <wp:cNvGraphicFramePr/>
                <a:graphic xmlns:a="http://schemas.openxmlformats.org/drawingml/2006/main">
                  <a:graphicData uri="http://schemas.microsoft.com/office/word/2010/wordprocessingGroup">
                    <wpg:wgp>
                      <wpg:cNvGrpSpPr/>
                      <wpg:grpSpPr>
                        <a:xfrm>
                          <a:off x="0" y="0"/>
                          <a:ext cx="2834005" cy="1572260"/>
                          <a:chOff x="1097" y="462"/>
                          <a:chExt cx="4463" cy="2790"/>
                        </a:xfrm>
                      </wpg:grpSpPr>
                      <wps:wsp>
                        <wps:cNvPr id="14" name="矩形 14"/>
                        <wps:cNvSpPr/>
                        <wps:spPr>
                          <a:xfrm>
                            <a:off x="1104" y="469"/>
                            <a:ext cx="4448" cy="2775"/>
                          </a:xfrm>
                          <a:prstGeom prst="rect">
                            <a:avLst/>
                          </a:prstGeom>
                          <a:solidFill>
                            <a:srgbClr val="FFFFFF"/>
                          </a:solidFill>
                          <a:ln>
                            <a:noFill/>
                          </a:ln>
                        </wps:spPr>
                        <wps:bodyPr upright="1"/>
                      </wps:wsp>
                      <wps:wsp>
                        <wps:cNvPr id="15" name="文本框 15"/>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14:paraId="428D966C">
                              <w:pPr>
                                <w:rPr>
                                  <w:rFonts w:ascii="微软雅黑"/>
                                  <w:b/>
                                  <w:sz w:val="20"/>
                                </w:rPr>
                              </w:pPr>
                            </w:p>
                            <w:p w14:paraId="1738608C">
                              <w:pPr>
                                <w:spacing w:before="1"/>
                                <w:rPr>
                                  <w:rFonts w:ascii="微软雅黑"/>
                                  <w:b/>
                                  <w:sz w:val="19"/>
                                </w:rPr>
                              </w:pPr>
                            </w:p>
                            <w:p w14:paraId="58BA558E">
                              <w:pPr>
                                <w:spacing w:line="278" w:lineRule="auto"/>
                                <w:ind w:left="1166" w:right="1161"/>
                                <w:jc w:val="center"/>
                              </w:pPr>
                              <w:r>
                                <w:t>被授权人（授权代表） 居民身份证复印件</w:t>
                              </w:r>
                            </w:p>
                            <w:p w14:paraId="685B9D67">
                              <w:pPr>
                                <w:spacing w:before="16"/>
                                <w:rPr>
                                  <w:rFonts w:ascii="微软雅黑"/>
                                  <w:b/>
                                  <w:sz w:val="16"/>
                                </w:rPr>
                              </w:pPr>
                            </w:p>
                            <w:p w14:paraId="50F5AC63">
                              <w:pPr>
                                <w:spacing w:before="1"/>
                                <w:ind w:left="1161" w:right="1161"/>
                                <w:jc w:val="center"/>
                              </w:pPr>
                              <w:r>
                                <w:t>（正面）</w:t>
                              </w:r>
                            </w:p>
                          </w:txbxContent>
                        </wps:txbx>
                        <wps:bodyPr lIns="0" tIns="0" rIns="0" bIns="0" upright="1"/>
                      </wps:wsp>
                    </wpg:wgp>
                  </a:graphicData>
                </a:graphic>
              </wp:anchor>
            </w:drawing>
          </mc:Choice>
          <mc:Fallback>
            <w:pict>
              <v:group id="_x0000_s1026" o:spid="_x0000_s1026" o:spt="203" style="position:absolute;left:0pt;margin-left:54.8pt;margin-top:23.1pt;height:123.8pt;width:223.15pt;mso-position-horizontal-relative:page;mso-wrap-distance-bottom:0pt;mso-wrap-distance-top:0pt;z-index:-251653120;mso-width-relative:page;mso-height-relative:page;" coordorigin="1097,462" coordsize="4463,2790" o:gfxdata="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Pbe&#10;vwnaAAAACgEAAA8AAAAAAAAAAQAgAAAAIgAAAGRycy9kb3ducmV2LnhtbFBLAQIUABQAAAAIAIdO&#10;4kB9gYwazAIAAOgGAAAOAAAAAAAAAAEAIAAAACkBAABkcnMvZTJvRG9jLnhtbFBLBQYAAAAABgAG&#10;AFkBAABnBgAAAAA=&#10;">
                <o:lock v:ext="edit" aspectratio="f"/>
                <v:rect id="_x0000_s1026" o:spid="_x0000_s1026" o:spt="1" style="position:absolute;left:1104;top:469;height:2775;width:4448;" fillcolor="#FFFFFF" filled="t" stroked="f" coordsize="21600,21600" o:gfxdata="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DOKrsAAADb&#10;AAAADwAAAAAAAAABACAAAAAiAAAAZHJzL2Rvd25yZXYueG1sUEsBAhQAFAAAAAgAh07iQDMvBZ47&#10;AAAAOQAAABAAAAAAAAAAAQAgAAAACgEAAGRycy9zaGFwZXhtbC54bWxQSwUGAAAAAAYABgBbAQAA&#10;tAM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ypjvurwAAADb&#10;AAAADwAAAGRycy9kb3ducmV2LnhtbEVPTWsCMRC9F/wPYYReiiYWWmTdrAex0IOUait6HDbjZtnN&#10;ZNlEV/99Iwi9zeN9Tr68ulZcqA+1Zw2zqQJBXHpTc6Xh9+djMgcRIrLB1jNpuFGAZTF6yjEzfuAt&#10;XXaxEimEQ4YabIxdJmUoLTkMU98RJ+7ke4cxwb6SpschhbtWvir1Lh3WnBosdrSyVDa7s9PQfNnv&#10;7WGzOpYvkppq2KvD/LbW+nk8UwsQka7xX/xwf5o0/w3uv6QD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Y77q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14:paraId="428D966C">
                        <w:pPr>
                          <w:rPr>
                            <w:rFonts w:ascii="微软雅黑"/>
                            <w:b/>
                            <w:sz w:val="20"/>
                          </w:rPr>
                        </w:pPr>
                      </w:p>
                      <w:p w14:paraId="1738608C">
                        <w:pPr>
                          <w:spacing w:before="1"/>
                          <w:rPr>
                            <w:rFonts w:ascii="微软雅黑"/>
                            <w:b/>
                            <w:sz w:val="19"/>
                          </w:rPr>
                        </w:pPr>
                      </w:p>
                      <w:p w14:paraId="58BA558E">
                        <w:pPr>
                          <w:spacing w:line="278" w:lineRule="auto"/>
                          <w:ind w:left="1166" w:right="1161"/>
                          <w:jc w:val="center"/>
                        </w:pPr>
                        <w:r>
                          <w:t>被授权人（授权代表） 居民身份证复印件</w:t>
                        </w:r>
                      </w:p>
                      <w:p w14:paraId="685B9D67">
                        <w:pPr>
                          <w:spacing w:before="16"/>
                          <w:rPr>
                            <w:rFonts w:ascii="微软雅黑"/>
                            <w:b/>
                            <w:sz w:val="16"/>
                          </w:rPr>
                        </w:pPr>
                      </w:p>
                      <w:p w14:paraId="50F5AC63">
                        <w:pPr>
                          <w:spacing w:before="1"/>
                          <w:ind w:left="1161" w:right="1161"/>
                          <w:jc w:val="center"/>
                        </w:pPr>
                        <w:r>
                          <w:t>（正面）</w:t>
                        </w:r>
                      </w:p>
                    </w:txbxContent>
                  </v:textbox>
                </v:shape>
                <w10:wrap type="topAndBottom"/>
              </v:group>
            </w:pict>
          </mc:Fallback>
        </mc:AlternateContent>
      </w:r>
      <w:r>
        <w:rPr>
          <w:rFonts w:hint="eastAsia" w:ascii="宋体" w:hAnsi="宋体" w:cs="宋体"/>
          <w:sz w:val="24"/>
          <w:szCs w:val="24"/>
        </w:rPr>
        <mc:AlternateContent>
          <mc:Choice Requires="wps">
            <w:drawing>
              <wp:anchor distT="0" distB="0" distL="114300" distR="114300" simplePos="0" relativeHeight="251664384" behindDoc="1" locked="0" layoutInCell="1" allowOverlap="1">
                <wp:simplePos x="0" y="0"/>
                <wp:positionH relativeFrom="page">
                  <wp:posOffset>3603625</wp:posOffset>
                </wp:positionH>
                <wp:positionV relativeFrom="paragraph">
                  <wp:posOffset>297815</wp:posOffset>
                </wp:positionV>
                <wp:extent cx="2824480" cy="1591310"/>
                <wp:effectExtent l="4445" t="4445" r="19050" b="10795"/>
                <wp:wrapTopAndBottom/>
                <wp:docPr id="22" name="文本框 22"/>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wps:spPr>
                      <wps:txbx>
                        <w:txbxContent>
                          <w:p w14:paraId="5B3554AD">
                            <w:pPr>
                              <w:widowControl w:val="0"/>
                              <w:jc w:val="both"/>
                              <w:rPr>
                                <w:rFonts w:ascii="微软雅黑" w:hAnsi="Arial" w:eastAsia="楷体_GB2312" w:cs="Times New Roman"/>
                                <w:b/>
                                <w:kern w:val="2"/>
                                <w:sz w:val="20"/>
                                <w:szCs w:val="28"/>
                                <w:lang w:val="en-US" w:eastAsia="zh-CN" w:bidi="ar-SA"/>
                              </w:rPr>
                            </w:pPr>
                          </w:p>
                          <w:p w14:paraId="75A308BA">
                            <w:pPr>
                              <w:widowControl w:val="0"/>
                              <w:spacing w:before="1"/>
                              <w:jc w:val="both"/>
                              <w:rPr>
                                <w:rFonts w:ascii="微软雅黑" w:hAnsi="Arial" w:eastAsia="楷体_GB2312" w:cs="Times New Roman"/>
                                <w:b/>
                                <w:kern w:val="2"/>
                                <w:sz w:val="19"/>
                                <w:szCs w:val="28"/>
                                <w:lang w:val="en-US" w:eastAsia="zh-CN" w:bidi="ar-SA"/>
                              </w:rPr>
                            </w:pPr>
                          </w:p>
                          <w:p w14:paraId="2A274624">
                            <w:pPr>
                              <w:widowControl w:val="0"/>
                              <w:spacing w:line="278" w:lineRule="auto"/>
                              <w:ind w:left="1168" w:right="1159"/>
                              <w:jc w:val="center"/>
                              <w:rPr>
                                <w:rFonts w:ascii="楷体_GB2312" w:hAnsi="Arial" w:eastAsia="楷体_GB2312" w:cs="Times New Roman"/>
                                <w:kern w:val="2"/>
                                <w:sz w:val="28"/>
                                <w:szCs w:val="28"/>
                                <w:lang w:val="en-US" w:eastAsia="zh-CN" w:bidi="ar-SA"/>
                              </w:rPr>
                            </w:pPr>
                            <w:r>
                              <w:rPr>
                                <w:rFonts w:ascii="楷体_GB2312" w:hAnsi="Arial" w:eastAsia="楷体_GB2312" w:cs="Times New Roman"/>
                                <w:kern w:val="2"/>
                                <w:sz w:val="28"/>
                                <w:szCs w:val="28"/>
                                <w:lang w:val="en-US" w:eastAsia="zh-CN" w:bidi="ar-SA"/>
                              </w:rPr>
                              <w:t>被授权人（授权代表） 居民身份证复印件</w:t>
                            </w:r>
                          </w:p>
                          <w:p w14:paraId="50BEBBB0">
                            <w:pPr>
                              <w:widowControl w:val="0"/>
                              <w:spacing w:before="16"/>
                              <w:jc w:val="both"/>
                              <w:rPr>
                                <w:rFonts w:ascii="微软雅黑" w:hAnsi="Arial" w:eastAsia="楷体_GB2312" w:cs="Times New Roman"/>
                                <w:b/>
                                <w:kern w:val="2"/>
                                <w:sz w:val="16"/>
                                <w:szCs w:val="28"/>
                                <w:lang w:val="en-US" w:eastAsia="zh-CN" w:bidi="ar-SA"/>
                              </w:rPr>
                            </w:pPr>
                          </w:p>
                          <w:p w14:paraId="4E48BE2E">
                            <w:pPr>
                              <w:widowControl w:val="0"/>
                              <w:spacing w:before="1"/>
                              <w:ind w:left="1165" w:right="1161"/>
                              <w:jc w:val="center"/>
                              <w:rPr>
                                <w:rFonts w:ascii="楷体_GB2312" w:hAnsi="Arial" w:eastAsia="楷体_GB2312" w:cs="Times New Roman"/>
                                <w:kern w:val="2"/>
                                <w:sz w:val="28"/>
                                <w:szCs w:val="28"/>
                                <w:lang w:val="en-US" w:eastAsia="zh-CN" w:bidi="ar-SA"/>
                              </w:rPr>
                            </w:pPr>
                            <w:r>
                              <w:rPr>
                                <w:rFonts w:ascii="楷体_GB2312" w:hAnsi="Arial" w:eastAsia="楷体_GB2312" w:cs="Times New Roman"/>
                                <w:kern w:val="2"/>
                                <w:sz w:val="28"/>
                                <w:szCs w:val="28"/>
                                <w:lang w:val="en-US" w:eastAsia="zh-CN" w:bidi="ar-SA"/>
                              </w:rP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25.3pt;width:222.4pt;mso-position-horizontal-relative:page;mso-wrap-distance-bottom:0pt;mso-wrap-distance-top:0pt;z-index:-251652096;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ecGnDbAAAACwEA&#10;AA8AAAAAAAAAAQAgAAAAIgAAAGRycy9kb3ducmV2LnhtbFBLAQIUABQAAAAIAIdO4kDa+YOiFwIA&#10;ADQEAAAOAAAAAAAAAAEAIAAAACoBAABkcnMvZTJvRG9jLnhtbFBLBQYAAAAABgAGAFkBAACzBQAA&#10;AAA=&#10;">
                <v:fill on="f" focussize="0,0"/>
                <v:stroke color="#000000" joinstyle="miter"/>
                <v:imagedata o:title=""/>
                <o:lock v:ext="edit" aspectratio="f"/>
                <v:textbox inset="0mm,0mm,0mm,0mm">
                  <w:txbxContent>
                    <w:p w14:paraId="5B3554AD">
                      <w:pPr>
                        <w:widowControl w:val="0"/>
                        <w:jc w:val="both"/>
                        <w:rPr>
                          <w:rFonts w:ascii="微软雅黑" w:hAnsi="Arial" w:eastAsia="楷体_GB2312" w:cs="Times New Roman"/>
                          <w:b/>
                          <w:kern w:val="2"/>
                          <w:sz w:val="20"/>
                          <w:szCs w:val="28"/>
                          <w:lang w:val="en-US" w:eastAsia="zh-CN" w:bidi="ar-SA"/>
                        </w:rPr>
                      </w:pPr>
                    </w:p>
                    <w:p w14:paraId="75A308BA">
                      <w:pPr>
                        <w:widowControl w:val="0"/>
                        <w:spacing w:before="1"/>
                        <w:jc w:val="both"/>
                        <w:rPr>
                          <w:rFonts w:ascii="微软雅黑" w:hAnsi="Arial" w:eastAsia="楷体_GB2312" w:cs="Times New Roman"/>
                          <w:b/>
                          <w:kern w:val="2"/>
                          <w:sz w:val="19"/>
                          <w:szCs w:val="28"/>
                          <w:lang w:val="en-US" w:eastAsia="zh-CN" w:bidi="ar-SA"/>
                        </w:rPr>
                      </w:pPr>
                    </w:p>
                    <w:p w14:paraId="2A274624">
                      <w:pPr>
                        <w:widowControl w:val="0"/>
                        <w:spacing w:line="278" w:lineRule="auto"/>
                        <w:ind w:left="1168" w:right="1159"/>
                        <w:jc w:val="center"/>
                        <w:rPr>
                          <w:rFonts w:ascii="楷体_GB2312" w:hAnsi="Arial" w:eastAsia="楷体_GB2312" w:cs="Times New Roman"/>
                          <w:kern w:val="2"/>
                          <w:sz w:val="28"/>
                          <w:szCs w:val="28"/>
                          <w:lang w:val="en-US" w:eastAsia="zh-CN" w:bidi="ar-SA"/>
                        </w:rPr>
                      </w:pPr>
                      <w:r>
                        <w:rPr>
                          <w:rFonts w:ascii="楷体_GB2312" w:hAnsi="Arial" w:eastAsia="楷体_GB2312" w:cs="Times New Roman"/>
                          <w:kern w:val="2"/>
                          <w:sz w:val="28"/>
                          <w:szCs w:val="28"/>
                          <w:lang w:val="en-US" w:eastAsia="zh-CN" w:bidi="ar-SA"/>
                        </w:rPr>
                        <w:t>被授权人（授权代表） 居民身份证复印件</w:t>
                      </w:r>
                    </w:p>
                    <w:p w14:paraId="50BEBBB0">
                      <w:pPr>
                        <w:widowControl w:val="0"/>
                        <w:spacing w:before="16"/>
                        <w:jc w:val="both"/>
                        <w:rPr>
                          <w:rFonts w:ascii="微软雅黑" w:hAnsi="Arial" w:eastAsia="楷体_GB2312" w:cs="Times New Roman"/>
                          <w:b/>
                          <w:kern w:val="2"/>
                          <w:sz w:val="16"/>
                          <w:szCs w:val="28"/>
                          <w:lang w:val="en-US" w:eastAsia="zh-CN" w:bidi="ar-SA"/>
                        </w:rPr>
                      </w:pPr>
                    </w:p>
                    <w:p w14:paraId="4E48BE2E">
                      <w:pPr>
                        <w:widowControl w:val="0"/>
                        <w:spacing w:before="1"/>
                        <w:ind w:left="1165" w:right="1161"/>
                        <w:jc w:val="center"/>
                        <w:rPr>
                          <w:rFonts w:ascii="楷体_GB2312" w:hAnsi="Arial" w:eastAsia="楷体_GB2312" w:cs="Times New Roman"/>
                          <w:kern w:val="2"/>
                          <w:sz w:val="28"/>
                          <w:szCs w:val="28"/>
                          <w:lang w:val="en-US" w:eastAsia="zh-CN" w:bidi="ar-SA"/>
                        </w:rPr>
                      </w:pPr>
                      <w:r>
                        <w:rPr>
                          <w:rFonts w:ascii="楷体_GB2312" w:hAnsi="Arial" w:eastAsia="楷体_GB2312" w:cs="Times New Roman"/>
                          <w:kern w:val="2"/>
                          <w:sz w:val="28"/>
                          <w:szCs w:val="28"/>
                          <w:lang w:val="en-US" w:eastAsia="zh-CN" w:bidi="ar-SA"/>
                        </w:rPr>
                        <w:t>（反面）</w:t>
                      </w:r>
                    </w:p>
                  </w:txbxContent>
                </v:textbox>
                <w10:wrap type="topAndBottom"/>
              </v:shape>
            </w:pict>
          </mc:Fallback>
        </mc:AlternateContent>
      </w:r>
      <w:r>
        <w:rPr>
          <w:rFonts w:hint="eastAsia" w:ascii="宋体" w:hAnsi="宋体" w:cs="宋体"/>
          <w:sz w:val="24"/>
          <w:szCs w:val="24"/>
        </w:rPr>
        <mc:AlternateContent>
          <mc:Choice Requires="wps">
            <w:drawing>
              <wp:anchor distT="0" distB="0" distL="114300" distR="114300" simplePos="0" relativeHeight="251660288"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14:paraId="5157EE63">
                            <w:pPr>
                              <w:widowControl w:val="0"/>
                              <w:spacing w:line="241" w:lineRule="exact"/>
                              <w:jc w:val="both"/>
                              <w:rPr>
                                <w:rFonts w:ascii="楷体_GB2312" w:hAnsi="Arial" w:eastAsia="楷体_GB2312" w:cs="Times New Roman"/>
                                <w:kern w:val="2"/>
                                <w:sz w:val="28"/>
                                <w:szCs w:val="28"/>
                                <w:lang w:val="en-US" w:eastAsia="zh-CN" w:bidi="ar-SA"/>
                              </w:rPr>
                            </w:pPr>
                            <w:r>
                              <w:rPr>
                                <w:rFonts w:ascii="楷体_GB2312" w:hAnsi="Arial" w:eastAsia="楷体_GB2312" w:cs="Times New Roman"/>
                                <w:kern w:val="2"/>
                                <w:sz w:val="28"/>
                                <w:szCs w:val="28"/>
                                <w:lang w:val="en-US" w:eastAsia="zh-CN" w:bidi="ar-SA"/>
                              </w:rPr>
                              <w:t xml:space="preserve"> </w:t>
                            </w:r>
                          </w:p>
                          <w:p w14:paraId="68FA4A3A">
                            <w:pPr>
                              <w:widowControl w:val="0"/>
                              <w:spacing w:before="6"/>
                              <w:jc w:val="both"/>
                              <w:rPr>
                                <w:rFonts w:ascii="楷体_GB2312" w:hAnsi="Arial" w:eastAsia="楷体_GB2312" w:cs="Times New Roman"/>
                                <w:kern w:val="2"/>
                                <w:sz w:val="15"/>
                                <w:szCs w:val="28"/>
                                <w:lang w:val="en-US" w:eastAsia="zh-CN" w:bidi="ar-SA"/>
                              </w:rPr>
                            </w:pPr>
                          </w:p>
                          <w:p w14:paraId="6983675A">
                            <w:pPr>
                              <w:widowControl w:val="0"/>
                              <w:jc w:val="both"/>
                              <w:rPr>
                                <w:rFonts w:ascii="楷体_GB2312" w:hAnsi="Arial" w:eastAsia="楷体_GB2312" w:cs="Times New Roman"/>
                                <w:kern w:val="2"/>
                                <w:sz w:val="28"/>
                                <w:szCs w:val="28"/>
                                <w:lang w:val="en-US" w:eastAsia="zh-CN" w:bidi="ar-SA"/>
                              </w:rPr>
                            </w:pPr>
                            <w:r>
                              <w:rPr>
                                <w:rFonts w:ascii="楷体_GB2312" w:hAnsi="Arial" w:eastAsia="楷体_GB2312" w:cs="Times New Roman"/>
                                <w:kern w:val="2"/>
                                <w:sz w:val="28"/>
                                <w:szCs w:val="28"/>
                                <w:lang w:val="en-US" w:eastAsia="zh-CN" w:bidi="ar-SA"/>
                              </w:rPr>
                              <w:t xml:space="preserve"> </w:t>
                            </w:r>
                          </w:p>
                          <w:p w14:paraId="3A8456DE">
                            <w:pPr>
                              <w:widowControl w:val="0"/>
                              <w:spacing w:before="7"/>
                              <w:jc w:val="both"/>
                              <w:rPr>
                                <w:rFonts w:ascii="楷体_GB2312" w:hAnsi="Arial" w:eastAsia="楷体_GB2312" w:cs="Times New Roman"/>
                                <w:kern w:val="2"/>
                                <w:sz w:val="15"/>
                                <w:szCs w:val="28"/>
                                <w:lang w:val="en-US" w:eastAsia="zh-CN" w:bidi="ar-SA"/>
                              </w:rPr>
                            </w:pPr>
                          </w:p>
                          <w:p w14:paraId="0E0B4B78">
                            <w:pPr>
                              <w:widowControl w:val="0"/>
                              <w:jc w:val="both"/>
                              <w:rPr>
                                <w:rFonts w:ascii="楷体_GB2312" w:hAnsi="Arial" w:eastAsia="楷体_GB2312" w:cs="Times New Roman"/>
                                <w:kern w:val="2"/>
                                <w:sz w:val="28"/>
                                <w:szCs w:val="28"/>
                                <w:lang w:val="en-US" w:eastAsia="zh-CN" w:bidi="ar-SA"/>
                              </w:rPr>
                            </w:pPr>
                            <w:r>
                              <w:rPr>
                                <w:rFonts w:ascii="楷体_GB2312" w:hAnsi="Arial" w:eastAsia="楷体_GB2312" w:cs="Times New Roman"/>
                                <w:kern w:val="2"/>
                                <w:sz w:val="28"/>
                                <w:szCs w:val="28"/>
                                <w:lang w:val="en-US" w:eastAsia="zh-CN" w:bidi="ar-SA"/>
                              </w:rPr>
                              <w:t xml:space="preserve"> </w:t>
                            </w:r>
                          </w:p>
                          <w:p w14:paraId="78D98D4A">
                            <w:pPr>
                              <w:widowControl w:val="0"/>
                              <w:spacing w:before="7"/>
                              <w:jc w:val="both"/>
                              <w:rPr>
                                <w:rFonts w:ascii="楷体_GB2312" w:hAnsi="Arial" w:eastAsia="楷体_GB2312" w:cs="Times New Roman"/>
                                <w:kern w:val="2"/>
                                <w:sz w:val="15"/>
                                <w:szCs w:val="28"/>
                                <w:lang w:val="en-US" w:eastAsia="zh-CN" w:bidi="ar-SA"/>
                              </w:rPr>
                            </w:pPr>
                          </w:p>
                          <w:p w14:paraId="526FFDED">
                            <w:pPr>
                              <w:widowControl w:val="0"/>
                              <w:jc w:val="both"/>
                              <w:rPr>
                                <w:rFonts w:ascii="楷体_GB2312" w:hAnsi="Arial" w:eastAsia="楷体_GB2312" w:cs="Times New Roman"/>
                                <w:kern w:val="2"/>
                                <w:sz w:val="28"/>
                                <w:szCs w:val="28"/>
                                <w:lang w:val="en-US" w:eastAsia="zh-CN" w:bidi="ar-SA"/>
                              </w:rPr>
                            </w:pPr>
                            <w:r>
                              <w:rPr>
                                <w:rFonts w:ascii="楷体_GB2312" w:hAnsi="Arial" w:eastAsia="楷体_GB2312" w:cs="Times New Roman"/>
                                <w:kern w:val="2"/>
                                <w:sz w:val="28"/>
                                <w:szCs w:val="28"/>
                                <w:lang w:val="en-US" w:eastAsia="zh-CN" w:bidi="ar-SA"/>
                              </w:rPr>
                              <w:t xml:space="preserve"> </w:t>
                            </w:r>
                          </w:p>
                          <w:p w14:paraId="6C3779FF">
                            <w:pPr>
                              <w:widowControl w:val="0"/>
                              <w:spacing w:before="7"/>
                              <w:jc w:val="both"/>
                              <w:rPr>
                                <w:rFonts w:ascii="楷体_GB2312" w:hAnsi="Arial" w:eastAsia="楷体_GB2312" w:cs="Times New Roman"/>
                                <w:kern w:val="2"/>
                                <w:sz w:val="15"/>
                                <w:szCs w:val="28"/>
                                <w:lang w:val="en-US" w:eastAsia="zh-CN" w:bidi="ar-SA"/>
                              </w:rPr>
                            </w:pPr>
                          </w:p>
                          <w:p w14:paraId="24AB1D3A">
                            <w:pPr>
                              <w:widowControl w:val="0"/>
                              <w:jc w:val="both"/>
                              <w:rPr>
                                <w:rFonts w:ascii="楷体_GB2312" w:hAnsi="Arial" w:eastAsia="楷体_GB2312" w:cs="Times New Roman"/>
                                <w:kern w:val="2"/>
                                <w:sz w:val="28"/>
                                <w:szCs w:val="28"/>
                                <w:lang w:val="en-US" w:eastAsia="zh-CN" w:bidi="ar-SA"/>
                              </w:rPr>
                            </w:pPr>
                            <w:r>
                              <w:rPr>
                                <w:rFonts w:ascii="楷体_GB2312" w:hAnsi="Arial" w:eastAsia="楷体_GB2312" w:cs="Times New Roman"/>
                                <w:kern w:val="2"/>
                                <w:sz w:val="28"/>
                                <w:szCs w:val="28"/>
                                <w:lang w:val="en-US" w:eastAsia="zh-CN" w:bidi="ar-SA"/>
                              </w:rPr>
                              <w:t xml:space="preserve"> </w:t>
                            </w:r>
                          </w:p>
                          <w:p w14:paraId="16785CA7">
                            <w:pPr>
                              <w:widowControl w:val="0"/>
                              <w:spacing w:before="6"/>
                              <w:jc w:val="both"/>
                              <w:rPr>
                                <w:rFonts w:ascii="楷体_GB2312" w:hAnsi="Arial" w:eastAsia="楷体_GB2312" w:cs="Times New Roman"/>
                                <w:kern w:val="2"/>
                                <w:sz w:val="15"/>
                                <w:szCs w:val="28"/>
                                <w:lang w:val="en-US" w:eastAsia="zh-CN" w:bidi="ar-SA"/>
                              </w:rPr>
                            </w:pPr>
                          </w:p>
                          <w:p w14:paraId="329EFAA3">
                            <w:pPr>
                              <w:widowControl w:val="0"/>
                              <w:spacing w:line="240" w:lineRule="exact"/>
                              <w:jc w:val="both"/>
                              <w:rPr>
                                <w:rFonts w:ascii="楷体_GB2312" w:hAnsi="Arial" w:eastAsia="楷体_GB2312" w:cs="Times New Roman"/>
                                <w:kern w:val="2"/>
                                <w:sz w:val="28"/>
                                <w:szCs w:val="28"/>
                                <w:lang w:val="en-US" w:eastAsia="zh-CN" w:bidi="ar-SA"/>
                              </w:rPr>
                            </w:pPr>
                            <w:r>
                              <w:rPr>
                                <w:rFonts w:ascii="楷体_GB2312" w:hAnsi="Arial" w:eastAsia="楷体_GB2312" w:cs="Times New Roman"/>
                                <w:kern w:val="2"/>
                                <w:sz w:val="28"/>
                                <w:szCs w:val="28"/>
                                <w:lang w:val="en-US" w:eastAsia="zh-CN" w:bidi="ar-SA"/>
                              </w:rP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6192;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nlUMfXAAAACgEAAA8AAAAAAAAAAQAgAAAAIgAAAGRycy9kb3ducmV2LnhtbFBLAQIU&#10;ABQAAAAIAIdO4kDEhZLWuwEAAHMDAAAOAAAAAAAAAAEAIAAAACYBAABkcnMvZTJvRG9jLnhtbFBL&#10;BQYAAAAABgAGAFkBAABTBQAAAAA=&#10;">
                <v:fill on="f" focussize="0,0"/>
                <v:stroke on="f"/>
                <v:imagedata o:title=""/>
                <o:lock v:ext="edit" aspectratio="f"/>
                <v:textbox inset="0mm,0mm,0mm,0mm">
                  <w:txbxContent>
                    <w:p w14:paraId="5157EE63">
                      <w:pPr>
                        <w:widowControl w:val="0"/>
                        <w:spacing w:line="241" w:lineRule="exact"/>
                        <w:jc w:val="both"/>
                        <w:rPr>
                          <w:rFonts w:ascii="楷体_GB2312" w:hAnsi="Arial" w:eastAsia="楷体_GB2312" w:cs="Times New Roman"/>
                          <w:kern w:val="2"/>
                          <w:sz w:val="28"/>
                          <w:szCs w:val="28"/>
                          <w:lang w:val="en-US" w:eastAsia="zh-CN" w:bidi="ar-SA"/>
                        </w:rPr>
                      </w:pPr>
                      <w:r>
                        <w:rPr>
                          <w:rFonts w:ascii="楷体_GB2312" w:hAnsi="Arial" w:eastAsia="楷体_GB2312" w:cs="Times New Roman"/>
                          <w:kern w:val="2"/>
                          <w:sz w:val="28"/>
                          <w:szCs w:val="28"/>
                          <w:lang w:val="en-US" w:eastAsia="zh-CN" w:bidi="ar-SA"/>
                        </w:rPr>
                        <w:t xml:space="preserve"> </w:t>
                      </w:r>
                    </w:p>
                    <w:p w14:paraId="68FA4A3A">
                      <w:pPr>
                        <w:widowControl w:val="0"/>
                        <w:spacing w:before="6"/>
                        <w:jc w:val="both"/>
                        <w:rPr>
                          <w:rFonts w:ascii="楷体_GB2312" w:hAnsi="Arial" w:eastAsia="楷体_GB2312" w:cs="Times New Roman"/>
                          <w:kern w:val="2"/>
                          <w:sz w:val="15"/>
                          <w:szCs w:val="28"/>
                          <w:lang w:val="en-US" w:eastAsia="zh-CN" w:bidi="ar-SA"/>
                        </w:rPr>
                      </w:pPr>
                    </w:p>
                    <w:p w14:paraId="6983675A">
                      <w:pPr>
                        <w:widowControl w:val="0"/>
                        <w:jc w:val="both"/>
                        <w:rPr>
                          <w:rFonts w:ascii="楷体_GB2312" w:hAnsi="Arial" w:eastAsia="楷体_GB2312" w:cs="Times New Roman"/>
                          <w:kern w:val="2"/>
                          <w:sz w:val="28"/>
                          <w:szCs w:val="28"/>
                          <w:lang w:val="en-US" w:eastAsia="zh-CN" w:bidi="ar-SA"/>
                        </w:rPr>
                      </w:pPr>
                      <w:r>
                        <w:rPr>
                          <w:rFonts w:ascii="楷体_GB2312" w:hAnsi="Arial" w:eastAsia="楷体_GB2312" w:cs="Times New Roman"/>
                          <w:kern w:val="2"/>
                          <w:sz w:val="28"/>
                          <w:szCs w:val="28"/>
                          <w:lang w:val="en-US" w:eastAsia="zh-CN" w:bidi="ar-SA"/>
                        </w:rPr>
                        <w:t xml:space="preserve"> </w:t>
                      </w:r>
                    </w:p>
                    <w:p w14:paraId="3A8456DE">
                      <w:pPr>
                        <w:widowControl w:val="0"/>
                        <w:spacing w:before="7"/>
                        <w:jc w:val="both"/>
                        <w:rPr>
                          <w:rFonts w:ascii="楷体_GB2312" w:hAnsi="Arial" w:eastAsia="楷体_GB2312" w:cs="Times New Roman"/>
                          <w:kern w:val="2"/>
                          <w:sz w:val="15"/>
                          <w:szCs w:val="28"/>
                          <w:lang w:val="en-US" w:eastAsia="zh-CN" w:bidi="ar-SA"/>
                        </w:rPr>
                      </w:pPr>
                    </w:p>
                    <w:p w14:paraId="0E0B4B78">
                      <w:pPr>
                        <w:widowControl w:val="0"/>
                        <w:jc w:val="both"/>
                        <w:rPr>
                          <w:rFonts w:ascii="楷体_GB2312" w:hAnsi="Arial" w:eastAsia="楷体_GB2312" w:cs="Times New Roman"/>
                          <w:kern w:val="2"/>
                          <w:sz w:val="28"/>
                          <w:szCs w:val="28"/>
                          <w:lang w:val="en-US" w:eastAsia="zh-CN" w:bidi="ar-SA"/>
                        </w:rPr>
                      </w:pPr>
                      <w:r>
                        <w:rPr>
                          <w:rFonts w:ascii="楷体_GB2312" w:hAnsi="Arial" w:eastAsia="楷体_GB2312" w:cs="Times New Roman"/>
                          <w:kern w:val="2"/>
                          <w:sz w:val="28"/>
                          <w:szCs w:val="28"/>
                          <w:lang w:val="en-US" w:eastAsia="zh-CN" w:bidi="ar-SA"/>
                        </w:rPr>
                        <w:t xml:space="preserve"> </w:t>
                      </w:r>
                    </w:p>
                    <w:p w14:paraId="78D98D4A">
                      <w:pPr>
                        <w:widowControl w:val="0"/>
                        <w:spacing w:before="7"/>
                        <w:jc w:val="both"/>
                        <w:rPr>
                          <w:rFonts w:ascii="楷体_GB2312" w:hAnsi="Arial" w:eastAsia="楷体_GB2312" w:cs="Times New Roman"/>
                          <w:kern w:val="2"/>
                          <w:sz w:val="15"/>
                          <w:szCs w:val="28"/>
                          <w:lang w:val="en-US" w:eastAsia="zh-CN" w:bidi="ar-SA"/>
                        </w:rPr>
                      </w:pPr>
                    </w:p>
                    <w:p w14:paraId="526FFDED">
                      <w:pPr>
                        <w:widowControl w:val="0"/>
                        <w:jc w:val="both"/>
                        <w:rPr>
                          <w:rFonts w:ascii="楷体_GB2312" w:hAnsi="Arial" w:eastAsia="楷体_GB2312" w:cs="Times New Roman"/>
                          <w:kern w:val="2"/>
                          <w:sz w:val="28"/>
                          <w:szCs w:val="28"/>
                          <w:lang w:val="en-US" w:eastAsia="zh-CN" w:bidi="ar-SA"/>
                        </w:rPr>
                      </w:pPr>
                      <w:r>
                        <w:rPr>
                          <w:rFonts w:ascii="楷体_GB2312" w:hAnsi="Arial" w:eastAsia="楷体_GB2312" w:cs="Times New Roman"/>
                          <w:kern w:val="2"/>
                          <w:sz w:val="28"/>
                          <w:szCs w:val="28"/>
                          <w:lang w:val="en-US" w:eastAsia="zh-CN" w:bidi="ar-SA"/>
                        </w:rPr>
                        <w:t xml:space="preserve"> </w:t>
                      </w:r>
                    </w:p>
                    <w:p w14:paraId="6C3779FF">
                      <w:pPr>
                        <w:widowControl w:val="0"/>
                        <w:spacing w:before="7"/>
                        <w:jc w:val="both"/>
                        <w:rPr>
                          <w:rFonts w:ascii="楷体_GB2312" w:hAnsi="Arial" w:eastAsia="楷体_GB2312" w:cs="Times New Roman"/>
                          <w:kern w:val="2"/>
                          <w:sz w:val="15"/>
                          <w:szCs w:val="28"/>
                          <w:lang w:val="en-US" w:eastAsia="zh-CN" w:bidi="ar-SA"/>
                        </w:rPr>
                      </w:pPr>
                    </w:p>
                    <w:p w14:paraId="24AB1D3A">
                      <w:pPr>
                        <w:widowControl w:val="0"/>
                        <w:jc w:val="both"/>
                        <w:rPr>
                          <w:rFonts w:ascii="楷体_GB2312" w:hAnsi="Arial" w:eastAsia="楷体_GB2312" w:cs="Times New Roman"/>
                          <w:kern w:val="2"/>
                          <w:sz w:val="28"/>
                          <w:szCs w:val="28"/>
                          <w:lang w:val="en-US" w:eastAsia="zh-CN" w:bidi="ar-SA"/>
                        </w:rPr>
                      </w:pPr>
                      <w:r>
                        <w:rPr>
                          <w:rFonts w:ascii="楷体_GB2312" w:hAnsi="Arial" w:eastAsia="楷体_GB2312" w:cs="Times New Roman"/>
                          <w:kern w:val="2"/>
                          <w:sz w:val="28"/>
                          <w:szCs w:val="28"/>
                          <w:lang w:val="en-US" w:eastAsia="zh-CN" w:bidi="ar-SA"/>
                        </w:rPr>
                        <w:t xml:space="preserve"> </w:t>
                      </w:r>
                    </w:p>
                    <w:p w14:paraId="16785CA7">
                      <w:pPr>
                        <w:widowControl w:val="0"/>
                        <w:spacing w:before="6"/>
                        <w:jc w:val="both"/>
                        <w:rPr>
                          <w:rFonts w:ascii="楷体_GB2312" w:hAnsi="Arial" w:eastAsia="楷体_GB2312" w:cs="Times New Roman"/>
                          <w:kern w:val="2"/>
                          <w:sz w:val="15"/>
                          <w:szCs w:val="28"/>
                          <w:lang w:val="en-US" w:eastAsia="zh-CN" w:bidi="ar-SA"/>
                        </w:rPr>
                      </w:pPr>
                    </w:p>
                    <w:p w14:paraId="329EFAA3">
                      <w:pPr>
                        <w:widowControl w:val="0"/>
                        <w:spacing w:line="240" w:lineRule="exact"/>
                        <w:jc w:val="both"/>
                        <w:rPr>
                          <w:rFonts w:ascii="楷体_GB2312" w:hAnsi="Arial" w:eastAsia="楷体_GB2312" w:cs="Times New Roman"/>
                          <w:kern w:val="2"/>
                          <w:sz w:val="28"/>
                          <w:szCs w:val="28"/>
                          <w:lang w:val="en-US" w:eastAsia="zh-CN" w:bidi="ar-SA"/>
                        </w:rPr>
                      </w:pPr>
                      <w:r>
                        <w:rPr>
                          <w:rFonts w:ascii="楷体_GB2312" w:hAnsi="Arial" w:eastAsia="楷体_GB2312" w:cs="Times New Roman"/>
                          <w:kern w:val="2"/>
                          <w:sz w:val="28"/>
                          <w:szCs w:val="28"/>
                          <w:lang w:val="en-US" w:eastAsia="zh-CN" w:bidi="ar-SA"/>
                        </w:rPr>
                        <w:t xml:space="preserve"> </w:t>
                      </w:r>
                    </w:p>
                  </w:txbxContent>
                </v:textbox>
              </v:shape>
            </w:pict>
          </mc:Fallback>
        </mc:AlternateContent>
      </w:r>
      <w:r>
        <w:rPr>
          <w:rFonts w:hint="eastAsia" w:ascii="宋体" w:hAnsi="宋体" w:cs="宋体"/>
          <w:sz w:val="24"/>
          <w:szCs w:val="24"/>
        </w:rPr>
        <w:t xml:space="preserve">附：被授权代表人身份证复印件 </w:t>
      </w:r>
    </w:p>
    <w:p w14:paraId="64FCDAB6">
      <w:pPr>
        <w:spacing w:line="440" w:lineRule="exact"/>
        <w:ind w:firstLine="480" w:firstLineChars="200"/>
        <w:rPr>
          <w:rFonts w:hint="eastAsia" w:ascii="宋体" w:hAnsi="宋体" w:cs="宋体"/>
          <w:sz w:val="24"/>
          <w:szCs w:val="24"/>
        </w:rPr>
      </w:pPr>
    </w:p>
    <w:p w14:paraId="760F67E3">
      <w:pPr>
        <w:spacing w:line="440" w:lineRule="exact"/>
        <w:ind w:firstLine="480" w:firstLineChars="200"/>
        <w:rPr>
          <w:rFonts w:hint="eastAsia" w:ascii="宋体" w:hAnsi="宋体" w:cs="宋体"/>
          <w:sz w:val="24"/>
          <w:szCs w:val="24"/>
          <w:u w:val="single"/>
        </w:rPr>
      </w:pPr>
      <w:r>
        <w:rPr>
          <w:rFonts w:hint="eastAsia" w:ascii="宋体" w:hAnsi="宋体" w:cs="宋体"/>
          <w:sz w:val="24"/>
          <w:szCs w:val="24"/>
        </w:rPr>
        <w:t>法定代表人（签名或盖章）：</w:t>
      </w:r>
      <w:r>
        <w:rPr>
          <w:rFonts w:hint="eastAsia" w:ascii="宋体" w:hAnsi="宋体" w:cs="宋体"/>
          <w:sz w:val="24"/>
          <w:szCs w:val="24"/>
          <w:u w:val="single"/>
        </w:rPr>
        <w:t xml:space="preserve">              </w:t>
      </w:r>
      <w:r>
        <w:rPr>
          <w:rFonts w:hint="eastAsia" w:ascii="宋体" w:hAnsi="宋体" w:cs="宋体"/>
          <w:sz w:val="24"/>
          <w:szCs w:val="24"/>
        </w:rPr>
        <w:t xml:space="preserve">职务： </w:t>
      </w:r>
      <w:r>
        <w:rPr>
          <w:rFonts w:hint="eastAsia" w:ascii="宋体" w:hAnsi="宋体" w:cs="宋体"/>
          <w:sz w:val="24"/>
          <w:szCs w:val="24"/>
          <w:u w:val="single"/>
        </w:rPr>
        <w:t xml:space="preserve">            </w:t>
      </w:r>
    </w:p>
    <w:p w14:paraId="47F7EBA2">
      <w:pPr>
        <w:spacing w:line="440" w:lineRule="exact"/>
        <w:ind w:firstLine="480" w:firstLineChars="200"/>
        <w:rPr>
          <w:rFonts w:hint="eastAsia" w:ascii="宋体" w:hAnsi="宋体" w:cs="宋体"/>
          <w:sz w:val="24"/>
          <w:szCs w:val="24"/>
          <w:u w:val="single"/>
        </w:rPr>
      </w:pPr>
      <w:r>
        <w:rPr>
          <w:rFonts w:hint="eastAsia" w:ascii="宋体" w:hAnsi="宋体" w:cs="宋体"/>
          <w:sz w:val="24"/>
          <w:szCs w:val="24"/>
        </w:rPr>
        <w:t>被授权人（签名）：</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0AFB4CE0">
      <w:pPr>
        <w:spacing w:line="440" w:lineRule="exact"/>
        <w:ind w:firstLine="480" w:firstLineChars="200"/>
        <w:rPr>
          <w:rFonts w:hint="eastAsia" w:ascii="宋体" w:hAnsi="宋体" w:cs="宋体"/>
          <w:sz w:val="24"/>
          <w:szCs w:val="24"/>
        </w:rPr>
      </w:pPr>
      <w:r>
        <w:rPr>
          <w:rFonts w:hint="eastAsia" w:ascii="宋体" w:hAnsi="宋体" w:cs="宋体"/>
          <w:sz w:val="24"/>
          <w:szCs w:val="24"/>
        </w:rPr>
        <w:t>供应商名称（单位盖公章）：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713DE7DE">
      <w:pPr>
        <w:spacing w:line="440" w:lineRule="exact"/>
        <w:ind w:firstLine="480" w:firstLineChars="200"/>
        <w:rPr>
          <w:rFonts w:hint="eastAsia" w:ascii="宋体" w:hAnsi="宋体" w:cs="宋体"/>
          <w:sz w:val="24"/>
          <w:szCs w:val="24"/>
        </w:rPr>
        <w:sectPr>
          <w:headerReference r:id="rId5" w:type="default"/>
          <w:pgSz w:w="11910" w:h="16840"/>
          <w:pgMar w:top="1984" w:right="1531" w:bottom="2098" w:left="1531" w:header="670" w:footer="1041" w:gutter="0"/>
          <w:cols w:space="720" w:num="1"/>
          <w:docGrid w:linePitch="1" w:charSpace="0"/>
        </w:sectPr>
      </w:pPr>
      <w:r>
        <w:rPr>
          <w:rFonts w:hint="eastAsia" w:ascii="宋体" w:hAnsi="宋体" w:cs="宋体"/>
          <w:sz w:val="24"/>
          <w:szCs w:val="24"/>
        </w:rPr>
        <w:t xml:space="preserve">日期： </w:t>
      </w:r>
      <w:r>
        <w:rPr>
          <w:rFonts w:hint="eastAsia" w:ascii="宋体" w:hAnsi="宋体" w:cs="宋体"/>
          <w:sz w:val="24"/>
          <w:szCs w:val="24"/>
          <w:u w:val="single"/>
        </w:rPr>
        <w:t xml:space="preserve">           </w:t>
      </w:r>
      <w:r>
        <w:rPr>
          <w:rFonts w:hint="eastAsia" w:ascii="宋体" w:hAnsi="宋体" w:cs="宋体"/>
          <w:sz w:val="24"/>
          <w:szCs w:val="24"/>
        </w:rPr>
        <w:t xml:space="preserve"> </w:t>
      </w:r>
    </w:p>
    <w:p w14:paraId="356AAB84">
      <w:pPr>
        <w:widowControl w:val="0"/>
        <w:spacing w:before="143" w:beforeLines="50" w:after="143" w:afterLines="50" w:line="300" w:lineRule="auto"/>
        <w:ind w:firstLine="0" w:firstLineChars="0"/>
        <w:jc w:val="both"/>
        <w:rPr>
          <w:rFonts w:hint="eastAsia" w:ascii="宋体" w:hAnsi="宋体" w:eastAsia="宋体" w:cs="宋体"/>
          <w:kern w:val="2"/>
          <w:sz w:val="24"/>
          <w:szCs w:val="24"/>
          <w:u w:val="single"/>
          <w:lang w:val="en-US" w:eastAsia="zh-CN" w:bidi="ar-SA"/>
        </w:rPr>
      </w:pPr>
    </w:p>
    <w:p w14:paraId="6C5BD0CF">
      <w:pPr>
        <w:spacing w:before="143" w:beforeLines="50" w:after="143" w:afterLines="50" w:line="300" w:lineRule="auto"/>
        <w:ind w:firstLine="300" w:firstLineChars="100"/>
        <w:jc w:val="left"/>
        <w:rPr>
          <w:rFonts w:hint="eastAsia" w:ascii="宋体" w:hAnsi="宋体" w:cs="宋体"/>
          <w:sz w:val="30"/>
          <w:szCs w:val="30"/>
        </w:rPr>
      </w:pPr>
      <w:bookmarkStart w:id="307" w:name="_Toc534725617"/>
      <w:bookmarkStart w:id="308" w:name="_Toc534816646"/>
      <w:r>
        <w:rPr>
          <w:rFonts w:hint="eastAsia" w:ascii="宋体" w:hAnsi="宋体" w:cs="宋体"/>
          <w:sz w:val="30"/>
          <w:szCs w:val="30"/>
        </w:rPr>
        <w:t>表四</w:t>
      </w:r>
    </w:p>
    <w:p w14:paraId="22CCB051">
      <w:pPr>
        <w:spacing w:before="143" w:beforeLines="50" w:after="143" w:afterLines="50" w:line="300" w:lineRule="auto"/>
        <w:jc w:val="center"/>
        <w:rPr>
          <w:rFonts w:hint="eastAsia" w:ascii="宋体" w:hAnsi="宋体" w:cs="宋体"/>
          <w:b/>
          <w:bCs/>
          <w:sz w:val="30"/>
          <w:szCs w:val="30"/>
        </w:rPr>
      </w:pPr>
      <w:r>
        <w:rPr>
          <w:rFonts w:hint="eastAsia" w:ascii="宋体" w:hAnsi="宋体" w:cs="宋体"/>
          <w:b/>
          <w:bCs/>
          <w:sz w:val="30"/>
          <w:szCs w:val="30"/>
        </w:rPr>
        <w:t>投标函格式</w:t>
      </w:r>
      <w:bookmarkEnd w:id="307"/>
      <w:bookmarkEnd w:id="308"/>
    </w:p>
    <w:p w14:paraId="279E076C">
      <w:pPr>
        <w:widowControl w:val="0"/>
        <w:adjustRightInd w:val="0"/>
        <w:spacing w:before="143" w:beforeLines="50" w:after="143" w:afterLines="50" w:line="400" w:lineRule="exact"/>
        <w:ind w:firstLine="0"/>
        <w:jc w:val="left"/>
        <w:textAlignment w:val="baseline"/>
        <w:rPr>
          <w:rFonts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致：新疆维吾尔</w:t>
      </w:r>
      <w:r>
        <w:rPr>
          <w:rFonts w:ascii="宋体" w:hAnsi="宋体" w:eastAsia="宋体" w:cs="宋体"/>
          <w:kern w:val="2"/>
          <w:sz w:val="24"/>
          <w:szCs w:val="21"/>
          <w:lang w:val="en-US" w:eastAsia="zh-CN" w:bidi="ar-SA"/>
        </w:rPr>
        <w:t>自治区公共资源交易中心</w:t>
      </w:r>
    </w:p>
    <w:p w14:paraId="1504ACA2">
      <w:pPr>
        <w:widowControl w:val="0"/>
        <w:adjustRightInd w:val="0"/>
        <w:spacing w:before="143" w:beforeLines="50" w:after="143" w:afterLines="50" w:line="400" w:lineRule="exact"/>
        <w:ind w:firstLine="480" w:firstLineChars="200"/>
        <w:jc w:val="left"/>
        <w:textAlignment w:val="baseline"/>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根据贵方的GK</w:t>
      </w:r>
      <w:r>
        <w:rPr>
          <w:rFonts w:hint="eastAsia" w:ascii="宋体" w:hAnsi="宋体" w:eastAsia="宋体" w:cs="宋体"/>
          <w:b/>
          <w:kern w:val="0"/>
          <w:sz w:val="36"/>
          <w:szCs w:val="24"/>
          <w:u w:val="single"/>
          <w:lang w:val="en-US" w:eastAsia="zh-CN" w:bidi="ar-SA"/>
        </w:rPr>
        <w:t xml:space="preserve">            </w:t>
      </w:r>
      <w:r>
        <w:rPr>
          <w:rFonts w:hint="eastAsia" w:ascii="宋体" w:hAnsi="宋体" w:eastAsia="宋体" w:cs="宋体"/>
          <w:kern w:val="2"/>
          <w:sz w:val="24"/>
          <w:szCs w:val="21"/>
          <w:lang w:val="en-US" w:eastAsia="zh-CN" w:bidi="ar-SA"/>
        </w:rPr>
        <w:t>号招标文件，正式授权下述签字人_________________（姓名）代表我方______________（投标人的名称），全权处理本次项目投标的有关事宜。</w:t>
      </w:r>
    </w:p>
    <w:p w14:paraId="04CF3E11">
      <w:pPr>
        <w:widowControl w:val="0"/>
        <w:adjustRightInd w:val="0"/>
        <w:spacing w:before="143" w:beforeLines="50" w:after="143" w:afterLines="50" w:line="400" w:lineRule="exact"/>
        <w:ind w:firstLine="480" w:firstLineChars="200"/>
        <w:jc w:val="left"/>
        <w:textAlignment w:val="baseline"/>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据此函，__________签字人兹宣布同意如下：</w:t>
      </w:r>
    </w:p>
    <w:p w14:paraId="1D791A0A">
      <w:pPr>
        <w:widowControl w:val="0"/>
        <w:adjustRightInd w:val="0"/>
        <w:spacing w:before="143" w:beforeLines="50" w:after="143" w:afterLines="50" w:line="400" w:lineRule="exact"/>
        <w:ind w:firstLine="480"/>
        <w:jc w:val="left"/>
        <w:textAlignment w:val="baseline"/>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1.按招标文件规定的各项要求，向买方提供所需货物与服务。</w:t>
      </w:r>
    </w:p>
    <w:p w14:paraId="104884FF">
      <w:pPr>
        <w:widowControl w:val="0"/>
        <w:adjustRightInd w:val="0"/>
        <w:spacing w:before="143" w:beforeLines="50" w:after="143" w:afterLines="50" w:line="400" w:lineRule="exact"/>
        <w:ind w:firstLine="480" w:firstLineChars="200"/>
        <w:jc w:val="left"/>
        <w:textAlignment w:val="baseline"/>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2.我们完全理解贵方不一定将合同授予报价最低的投标人。</w:t>
      </w:r>
    </w:p>
    <w:p w14:paraId="1BB66676">
      <w:pPr>
        <w:widowControl w:val="0"/>
        <w:adjustRightInd w:val="0"/>
        <w:spacing w:before="143" w:beforeLines="50" w:after="143" w:afterLines="50" w:line="400" w:lineRule="exact"/>
        <w:ind w:firstLine="480" w:firstLineChars="200"/>
        <w:jc w:val="left"/>
        <w:textAlignment w:val="baseline"/>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3.我们已详细审核全部招标文件及其有效补充文件，我们知道必须放弃提出含糊不清或误解问题的权利。</w:t>
      </w:r>
    </w:p>
    <w:p w14:paraId="755EDED6">
      <w:pPr>
        <w:widowControl w:val="0"/>
        <w:adjustRightInd w:val="0"/>
        <w:spacing w:before="143" w:beforeLines="50" w:after="143" w:afterLines="50" w:line="400" w:lineRule="exact"/>
        <w:ind w:firstLine="480"/>
        <w:jc w:val="left"/>
        <w:textAlignment w:val="baseline"/>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4.我们同意从规定的开标时间起遵循本投标文件，并在规定的投标有效期期满之前均具有约束力。</w:t>
      </w:r>
    </w:p>
    <w:p w14:paraId="6C2839C0">
      <w:pPr>
        <w:widowControl w:val="0"/>
        <w:adjustRightInd w:val="0"/>
        <w:spacing w:before="143" w:beforeLines="50" w:after="143" w:afterLines="50" w:line="400" w:lineRule="exact"/>
        <w:ind w:firstLine="480"/>
        <w:jc w:val="left"/>
        <w:textAlignment w:val="baseline"/>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5.如果在开标后规定的投标有效期内撤回投标或中标后拒绝签订合同，我们的投标保证金可不予退还。</w:t>
      </w:r>
    </w:p>
    <w:p w14:paraId="61686226">
      <w:pPr>
        <w:widowControl w:val="0"/>
        <w:adjustRightInd w:val="0"/>
        <w:spacing w:before="143" w:beforeLines="50" w:after="143" w:afterLines="50" w:line="400" w:lineRule="exact"/>
        <w:ind w:firstLine="480"/>
        <w:jc w:val="left"/>
        <w:textAlignment w:val="baseline"/>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6.同意向贵方提供贵方可能另外要求的与投标有关的任何证据或资料，并保证我方已提供和将要提供的文件是真实的、准确的。</w:t>
      </w:r>
    </w:p>
    <w:p w14:paraId="656DBA78">
      <w:pPr>
        <w:widowControl w:val="0"/>
        <w:adjustRightInd w:val="0"/>
        <w:spacing w:before="143" w:beforeLines="50" w:after="143" w:afterLines="50" w:line="400" w:lineRule="exact"/>
        <w:ind w:firstLine="480"/>
        <w:jc w:val="left"/>
        <w:textAlignment w:val="baseline"/>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7.一旦我方中标，我方将根据招标文件的规定，严格履行合同的责任和义务，并保证在招标文件规定的时间内完成项目，交付买方验收、使用。</w:t>
      </w:r>
    </w:p>
    <w:p w14:paraId="78E1FF16">
      <w:pPr>
        <w:widowControl w:val="0"/>
        <w:adjustRightInd w:val="0"/>
        <w:spacing w:before="143" w:beforeLines="50" w:after="143" w:afterLines="50" w:line="400" w:lineRule="exact"/>
        <w:ind w:left="425" w:firstLine="0"/>
        <w:jc w:val="left"/>
        <w:textAlignment w:val="baseline"/>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8.与本投标有关的正式通讯地址为：</w:t>
      </w:r>
    </w:p>
    <w:p w14:paraId="298727A4">
      <w:pPr>
        <w:tabs>
          <w:tab w:val="left" w:pos="360"/>
        </w:tabs>
        <w:spacing w:line="400" w:lineRule="exact"/>
        <w:ind w:firstLine="482"/>
        <w:rPr>
          <w:rFonts w:hint="eastAsia" w:ascii="宋体" w:hAnsi="宋体" w:cs="宋体"/>
          <w:sz w:val="24"/>
          <w:szCs w:val="24"/>
        </w:rPr>
      </w:pPr>
      <w:r>
        <w:rPr>
          <w:rFonts w:hint="eastAsia" w:ascii="宋体" w:hAnsi="宋体" w:cs="宋体"/>
          <w:sz w:val="24"/>
          <w:szCs w:val="24"/>
        </w:rPr>
        <w:t>地 址：                         邮 编：</w:t>
      </w:r>
    </w:p>
    <w:p w14:paraId="4F11D1F4">
      <w:pPr>
        <w:tabs>
          <w:tab w:val="left" w:pos="360"/>
        </w:tabs>
        <w:spacing w:line="400" w:lineRule="exact"/>
        <w:ind w:firstLine="482"/>
        <w:rPr>
          <w:rFonts w:hint="eastAsia" w:ascii="宋体" w:hAnsi="宋体" w:cs="宋体"/>
          <w:sz w:val="24"/>
          <w:szCs w:val="24"/>
        </w:rPr>
      </w:pPr>
      <w:r>
        <w:rPr>
          <w:rFonts w:hint="eastAsia" w:ascii="宋体" w:hAnsi="宋体" w:cs="宋体"/>
          <w:sz w:val="24"/>
          <w:szCs w:val="24"/>
        </w:rPr>
        <w:t>电 话：                         传 真：</w:t>
      </w:r>
    </w:p>
    <w:p w14:paraId="00F113B1">
      <w:pPr>
        <w:tabs>
          <w:tab w:val="left" w:pos="360"/>
        </w:tabs>
        <w:spacing w:line="400" w:lineRule="exact"/>
        <w:ind w:firstLine="482"/>
        <w:rPr>
          <w:rFonts w:hint="eastAsia" w:ascii="宋体" w:hAnsi="宋体" w:cs="宋体"/>
          <w:sz w:val="24"/>
          <w:szCs w:val="24"/>
        </w:rPr>
      </w:pPr>
      <w:r>
        <w:rPr>
          <w:rFonts w:hint="eastAsia" w:ascii="宋体" w:hAnsi="宋体" w:cs="宋体"/>
          <w:sz w:val="24"/>
          <w:szCs w:val="24"/>
        </w:rPr>
        <w:t xml:space="preserve">供应商开户行：                  账 户： </w:t>
      </w:r>
    </w:p>
    <w:p w14:paraId="1B5F62BE">
      <w:pPr>
        <w:tabs>
          <w:tab w:val="left" w:pos="360"/>
        </w:tabs>
        <w:spacing w:line="400" w:lineRule="exact"/>
        <w:ind w:firstLine="482"/>
        <w:rPr>
          <w:rFonts w:hint="eastAsia" w:ascii="宋体" w:hAnsi="宋体" w:cs="宋体"/>
          <w:sz w:val="24"/>
          <w:szCs w:val="24"/>
        </w:rPr>
      </w:pPr>
      <w:r>
        <w:rPr>
          <w:rFonts w:hint="eastAsia" w:ascii="宋体" w:hAnsi="宋体" w:cs="宋体"/>
          <w:sz w:val="24"/>
          <w:szCs w:val="24"/>
        </w:rPr>
        <w:t>授权代表人（签字）：            联系电话：</w:t>
      </w:r>
    </w:p>
    <w:p w14:paraId="35E3C6E7">
      <w:pPr>
        <w:tabs>
          <w:tab w:val="left" w:pos="360"/>
        </w:tabs>
        <w:spacing w:line="400" w:lineRule="exact"/>
        <w:ind w:firstLine="482"/>
        <w:rPr>
          <w:rFonts w:hint="eastAsia" w:ascii="宋体" w:hAnsi="宋体" w:cs="宋体"/>
          <w:sz w:val="24"/>
          <w:szCs w:val="24"/>
        </w:rPr>
      </w:pPr>
      <w:r>
        <w:rPr>
          <w:rFonts w:hint="eastAsia" w:ascii="宋体" w:hAnsi="宋体" w:cs="宋体"/>
          <w:sz w:val="24"/>
          <w:szCs w:val="24"/>
        </w:rPr>
        <w:t xml:space="preserve">投标人名称（公章）：            </w:t>
      </w:r>
    </w:p>
    <w:p w14:paraId="5C073A90">
      <w:pPr>
        <w:spacing w:line="400" w:lineRule="exact"/>
        <w:jc w:val="center"/>
        <w:rPr>
          <w:rFonts w:hint="eastAsia" w:ascii="宋体" w:hAnsi="宋体" w:cs="宋体"/>
        </w:rPr>
        <w:sectPr>
          <w:footerReference r:id="rId7" w:type="first"/>
          <w:footerReference r:id="rId6" w:type="default"/>
          <w:pgSz w:w="11906" w:h="16838"/>
          <w:pgMar w:top="1015" w:right="1196" w:bottom="868" w:left="1259" w:header="851" w:footer="907" w:gutter="0"/>
          <w:cols w:space="720" w:num="1"/>
          <w:titlePg/>
          <w:docGrid w:type="lines" w:linePitch="286" w:charSpace="0"/>
        </w:sectPr>
      </w:pPr>
      <w:r>
        <w:rPr>
          <w:rFonts w:hint="eastAsia" w:ascii="宋体" w:hAnsi="宋体" w:cs="宋体"/>
        </w:rPr>
        <w:t>日 期：________年____月____</w:t>
      </w:r>
    </w:p>
    <w:p w14:paraId="4B64A2F9">
      <w:pPr>
        <w:spacing w:before="156" w:beforeLines="50" w:after="156" w:afterLines="50" w:line="300" w:lineRule="auto"/>
        <w:ind w:firstLine="300" w:firstLineChars="100"/>
        <w:jc w:val="left"/>
        <w:rPr>
          <w:rFonts w:ascii="宋体" w:hAnsi="宋体" w:cs="宋体"/>
          <w:sz w:val="30"/>
          <w:szCs w:val="30"/>
        </w:rPr>
      </w:pPr>
      <w:r>
        <w:rPr>
          <w:rFonts w:hint="eastAsia" w:ascii="宋体" w:hAnsi="宋体" w:cs="宋体"/>
          <w:sz w:val="30"/>
          <w:szCs w:val="30"/>
        </w:rPr>
        <w:t>表五</w:t>
      </w:r>
    </w:p>
    <w:p w14:paraId="4927B028">
      <w:pPr>
        <w:widowControl/>
        <w:spacing w:line="400" w:lineRule="exact"/>
        <w:jc w:val="center"/>
        <w:rPr>
          <w:rFonts w:hint="eastAsia" w:ascii="宋体" w:hAnsi="宋体" w:cs="宋体"/>
          <w:sz w:val="36"/>
        </w:rPr>
      </w:pPr>
      <w:r>
        <w:rPr>
          <w:rFonts w:hint="eastAsia" w:ascii="宋体" w:hAnsi="宋体" w:cs="宋体"/>
          <w:b/>
          <w:sz w:val="32"/>
          <w:szCs w:val="32"/>
        </w:rPr>
        <w:t xml:space="preserve"> </w:t>
      </w:r>
      <w:r>
        <w:rPr>
          <w:rFonts w:hint="eastAsia" w:ascii="宋体" w:hAnsi="宋体" w:cs="宋体"/>
          <w:b/>
          <w:bCs/>
          <w:sz w:val="36"/>
        </w:rPr>
        <w:t>中小企业声明函（货</w:t>
      </w:r>
      <w:r>
        <w:rPr>
          <w:rFonts w:hint="eastAsia" w:ascii="宋体" w:hAnsi="宋体" w:cs="宋体"/>
          <w:sz w:val="36"/>
        </w:rPr>
        <w:t>物）</w:t>
      </w:r>
    </w:p>
    <w:p w14:paraId="6AE803AD">
      <w:pPr>
        <w:widowControl/>
        <w:spacing w:line="400" w:lineRule="exact"/>
        <w:jc w:val="center"/>
        <w:rPr>
          <w:rFonts w:hint="eastAsia" w:ascii="宋体" w:hAnsi="宋体" w:cs="宋体"/>
          <w:sz w:val="36"/>
        </w:rPr>
      </w:pPr>
    </w:p>
    <w:p w14:paraId="3E5E1EFD">
      <w:pPr>
        <w:spacing w:before="156" w:beforeLines="50" w:after="156" w:afterLines="50" w:line="300" w:lineRule="auto"/>
        <w:ind w:firstLine="480" w:firstLineChars="200"/>
        <w:rPr>
          <w:rFonts w:hint="eastAsia" w:ascii="宋体" w:hAnsi="宋体" w:cs="宋体"/>
          <w:bCs/>
          <w:sz w:val="24"/>
        </w:rPr>
      </w:pPr>
      <w:r>
        <w:rPr>
          <w:rFonts w:hint="eastAsia" w:ascii="宋体" w:hAnsi="宋体" w:cs="宋体"/>
          <w:bCs/>
          <w:sz w:val="24"/>
        </w:rPr>
        <w:t>本公司（联合体）郑重声明，根据《政府采购促进中小企业发展管理办法》（财库﹝2020﹞46 号）的规定，本公司（联合体）参加（</w:t>
      </w:r>
      <w:r>
        <w:rPr>
          <w:rFonts w:hint="eastAsia" w:ascii="宋体" w:hAnsi="宋体" w:cs="宋体"/>
          <w:bCs/>
          <w:i/>
          <w:iCs/>
          <w:sz w:val="24"/>
          <w:u w:val="single"/>
        </w:rPr>
        <w:t>单位名称</w:t>
      </w:r>
      <w:r>
        <w:rPr>
          <w:rFonts w:hint="eastAsia" w:ascii="宋体" w:hAnsi="宋体" w:cs="宋体"/>
          <w:bCs/>
          <w:sz w:val="24"/>
        </w:rPr>
        <w:t>）的（</w:t>
      </w:r>
      <w:r>
        <w:rPr>
          <w:rFonts w:hint="eastAsia" w:ascii="宋体" w:hAnsi="宋体" w:cs="宋体"/>
          <w:bCs/>
          <w:i/>
          <w:iCs/>
          <w:sz w:val="24"/>
          <w:u w:val="single"/>
        </w:rPr>
        <w:t>项目名称</w:t>
      </w:r>
      <w:r>
        <w:rPr>
          <w:rFonts w:hint="eastAsia" w:ascii="宋体" w:hAnsi="宋体" w:cs="宋体"/>
          <w:bCs/>
          <w:sz w:val="24"/>
        </w:rPr>
        <w:t>）采购活动，提供的货物全部由符合政策要求的中小企业制造。相关企业（含联合体中的中小企业、签订分包意向协议的中小企业）的具体情况如下：</w:t>
      </w:r>
    </w:p>
    <w:p w14:paraId="0CC11052">
      <w:pPr>
        <w:spacing w:before="156" w:beforeLines="50" w:after="156" w:afterLines="50" w:line="300" w:lineRule="auto"/>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bCs/>
          <w:i/>
          <w:iCs/>
          <w:sz w:val="24"/>
          <w:u w:val="single"/>
        </w:rPr>
        <w:t>标的名称</w:t>
      </w:r>
      <w:r>
        <w:rPr>
          <w:rFonts w:hint="eastAsia" w:ascii="宋体" w:hAnsi="宋体" w:cs="宋体"/>
          <w:bCs/>
          <w:sz w:val="24"/>
        </w:rPr>
        <w:t>） ，属于（</w:t>
      </w:r>
      <w:r>
        <w:rPr>
          <w:rFonts w:hint="eastAsia" w:ascii="宋体" w:hAnsi="宋体" w:cs="宋体"/>
          <w:bCs/>
          <w:i/>
          <w:iCs/>
          <w:sz w:val="24"/>
          <w:u w:val="single"/>
        </w:rPr>
        <w:t>采购文件中明确的所属行业</w:t>
      </w:r>
      <w:r>
        <w:rPr>
          <w:rFonts w:hint="eastAsia" w:ascii="宋体" w:hAnsi="宋体" w:cs="宋体"/>
          <w:bCs/>
          <w:sz w:val="24"/>
        </w:rPr>
        <w:t>）行业；制造商为（</w:t>
      </w:r>
      <w:r>
        <w:rPr>
          <w:rFonts w:hint="eastAsia" w:ascii="宋体" w:hAnsi="宋体" w:cs="宋体"/>
          <w:bCs/>
          <w:i/>
          <w:iCs/>
          <w:sz w:val="24"/>
          <w:u w:val="single"/>
        </w:rPr>
        <w:t>企业名称</w:t>
      </w:r>
      <w:r>
        <w:rPr>
          <w:rFonts w:hint="eastAsia" w:ascii="宋体" w:hAnsi="宋体" w:cs="宋体"/>
          <w:bCs/>
          <w:sz w:val="24"/>
        </w:rPr>
        <w:t>），从业人员</w:t>
      </w:r>
      <w:r>
        <w:rPr>
          <w:rFonts w:hint="eastAsia" w:ascii="宋体" w:hAnsi="宋体" w:cs="宋体"/>
          <w:bCs/>
          <w:sz w:val="24"/>
          <w:u w:val="single"/>
        </w:rPr>
        <w:t xml:space="preserve">     </w:t>
      </w:r>
      <w:r>
        <w:rPr>
          <w:rFonts w:hint="eastAsia" w:ascii="宋体" w:hAnsi="宋体" w:cs="宋体"/>
          <w:bCs/>
          <w:sz w:val="24"/>
        </w:rPr>
        <w:t>人，营业收入为</w:t>
      </w:r>
      <w:r>
        <w:rPr>
          <w:rFonts w:hint="eastAsia" w:ascii="宋体" w:hAnsi="宋体" w:cs="宋体"/>
          <w:bCs/>
          <w:sz w:val="24"/>
          <w:u w:val="single"/>
        </w:rPr>
        <w:t xml:space="preserve">     </w:t>
      </w:r>
      <w:r>
        <w:rPr>
          <w:rFonts w:hint="eastAsia" w:ascii="宋体" w:hAnsi="宋体" w:cs="宋体"/>
          <w:bCs/>
          <w:sz w:val="24"/>
        </w:rPr>
        <w:t>万元，资产总额为</w:t>
      </w:r>
      <w:r>
        <w:rPr>
          <w:rFonts w:hint="eastAsia" w:ascii="宋体" w:hAnsi="宋体" w:cs="宋体"/>
          <w:bCs/>
          <w:sz w:val="24"/>
          <w:u w:val="single"/>
        </w:rPr>
        <w:t xml:space="preserve">     </w:t>
      </w:r>
      <w:r>
        <w:rPr>
          <w:rFonts w:hint="eastAsia" w:ascii="宋体" w:hAnsi="宋体" w:cs="宋体"/>
          <w:bCs/>
          <w:sz w:val="24"/>
        </w:rPr>
        <w:t>万元，属于（</w:t>
      </w:r>
      <w:r>
        <w:rPr>
          <w:rFonts w:hint="eastAsia" w:ascii="宋体" w:hAnsi="宋体" w:cs="宋体"/>
          <w:bCs/>
          <w:i/>
          <w:iCs/>
          <w:sz w:val="24"/>
          <w:u w:val="single"/>
        </w:rPr>
        <w:t>中型企业、小型企业、微型企业</w:t>
      </w:r>
      <w:r>
        <w:rPr>
          <w:rFonts w:hint="eastAsia" w:ascii="宋体" w:hAnsi="宋体" w:cs="宋体"/>
          <w:bCs/>
          <w:sz w:val="24"/>
        </w:rPr>
        <w:t>）；</w:t>
      </w:r>
    </w:p>
    <w:p w14:paraId="5A9F3FC3">
      <w:pPr>
        <w:spacing w:before="156" w:beforeLines="50" w:after="156" w:afterLines="50" w:line="300" w:lineRule="auto"/>
        <w:ind w:firstLine="480" w:firstLineChars="200"/>
        <w:rPr>
          <w:rFonts w:hint="eastAsia" w:ascii="宋体" w:hAnsi="宋体" w:cs="宋体"/>
          <w:bCs/>
          <w:sz w:val="24"/>
        </w:rPr>
      </w:pPr>
      <w:r>
        <w:rPr>
          <w:rFonts w:hint="eastAsia" w:ascii="宋体" w:hAnsi="宋体" w:cs="宋体"/>
          <w:bCs/>
          <w:sz w:val="24"/>
        </w:rPr>
        <w:t>2.（</w:t>
      </w:r>
      <w:r>
        <w:rPr>
          <w:rFonts w:hint="eastAsia" w:ascii="宋体" w:hAnsi="宋体" w:cs="宋体"/>
          <w:bCs/>
          <w:i/>
          <w:iCs/>
          <w:sz w:val="24"/>
          <w:u w:val="single"/>
        </w:rPr>
        <w:t>标的名称</w:t>
      </w:r>
      <w:r>
        <w:rPr>
          <w:rFonts w:hint="eastAsia" w:ascii="宋体" w:hAnsi="宋体" w:cs="宋体"/>
          <w:bCs/>
          <w:sz w:val="24"/>
        </w:rPr>
        <w:t>） ，属于（</w:t>
      </w:r>
      <w:r>
        <w:rPr>
          <w:rFonts w:hint="eastAsia" w:ascii="宋体" w:hAnsi="宋体" w:cs="宋体"/>
          <w:bCs/>
          <w:i/>
          <w:iCs/>
          <w:sz w:val="24"/>
          <w:u w:val="single"/>
        </w:rPr>
        <w:t>采购文件中明确的所属行业</w:t>
      </w:r>
      <w:r>
        <w:rPr>
          <w:rFonts w:hint="eastAsia" w:ascii="宋体" w:hAnsi="宋体" w:cs="宋体"/>
          <w:bCs/>
          <w:sz w:val="24"/>
        </w:rPr>
        <w:t>）行业；制造商为（</w:t>
      </w:r>
      <w:r>
        <w:rPr>
          <w:rFonts w:hint="eastAsia" w:ascii="宋体" w:hAnsi="宋体" w:cs="宋体"/>
          <w:bCs/>
          <w:i/>
          <w:iCs/>
          <w:sz w:val="24"/>
          <w:u w:val="single"/>
        </w:rPr>
        <w:t>企业名称</w:t>
      </w:r>
      <w:r>
        <w:rPr>
          <w:rFonts w:hint="eastAsia" w:ascii="宋体" w:hAnsi="宋体" w:cs="宋体"/>
          <w:bCs/>
          <w:sz w:val="24"/>
        </w:rPr>
        <w:t>），从业人员</w:t>
      </w:r>
      <w:r>
        <w:rPr>
          <w:rFonts w:hint="eastAsia" w:ascii="宋体" w:hAnsi="宋体" w:cs="宋体"/>
          <w:bCs/>
          <w:sz w:val="24"/>
          <w:u w:val="single"/>
        </w:rPr>
        <w:t xml:space="preserve">     </w:t>
      </w:r>
      <w:r>
        <w:rPr>
          <w:rFonts w:hint="eastAsia" w:ascii="宋体" w:hAnsi="宋体" w:cs="宋体"/>
          <w:bCs/>
          <w:sz w:val="24"/>
        </w:rPr>
        <w:t>人，营业收入为</w:t>
      </w:r>
      <w:r>
        <w:rPr>
          <w:rFonts w:hint="eastAsia" w:ascii="宋体" w:hAnsi="宋体" w:cs="宋体"/>
          <w:bCs/>
          <w:sz w:val="24"/>
          <w:u w:val="single"/>
        </w:rPr>
        <w:t xml:space="preserve">     </w:t>
      </w:r>
      <w:r>
        <w:rPr>
          <w:rFonts w:hint="eastAsia" w:ascii="宋体" w:hAnsi="宋体" w:cs="宋体"/>
          <w:bCs/>
          <w:sz w:val="24"/>
        </w:rPr>
        <w:t>万元，资产总额为</w:t>
      </w:r>
      <w:r>
        <w:rPr>
          <w:rFonts w:hint="eastAsia" w:ascii="宋体" w:hAnsi="宋体" w:cs="宋体"/>
          <w:bCs/>
          <w:sz w:val="24"/>
          <w:u w:val="single"/>
        </w:rPr>
        <w:t xml:space="preserve">     </w:t>
      </w:r>
      <w:r>
        <w:rPr>
          <w:rFonts w:hint="eastAsia" w:ascii="宋体" w:hAnsi="宋体" w:cs="宋体"/>
          <w:bCs/>
          <w:sz w:val="24"/>
        </w:rPr>
        <w:t>万元，属于（</w:t>
      </w:r>
      <w:r>
        <w:rPr>
          <w:rFonts w:hint="eastAsia" w:ascii="宋体" w:hAnsi="宋体" w:cs="宋体"/>
          <w:bCs/>
          <w:i/>
          <w:iCs/>
          <w:sz w:val="24"/>
          <w:u w:val="single"/>
        </w:rPr>
        <w:t>中型企业、小型企业、微型企业</w:t>
      </w:r>
      <w:r>
        <w:rPr>
          <w:rFonts w:hint="eastAsia" w:ascii="宋体" w:hAnsi="宋体" w:cs="宋体"/>
          <w:bCs/>
          <w:sz w:val="24"/>
        </w:rPr>
        <w:t>）；</w:t>
      </w:r>
    </w:p>
    <w:p w14:paraId="2EF9831F">
      <w:pPr>
        <w:spacing w:before="156" w:beforeLines="50" w:after="156" w:afterLines="50" w:line="300" w:lineRule="auto"/>
        <w:ind w:firstLine="480" w:firstLineChars="200"/>
        <w:rPr>
          <w:rFonts w:hint="eastAsia" w:ascii="宋体" w:hAnsi="宋体" w:cs="宋体"/>
          <w:bCs/>
          <w:sz w:val="24"/>
        </w:rPr>
      </w:pPr>
      <w:r>
        <w:rPr>
          <w:rFonts w:hint="eastAsia" w:ascii="宋体" w:hAnsi="宋体" w:cs="宋体"/>
          <w:bCs/>
          <w:sz w:val="24"/>
        </w:rPr>
        <w:t>……</w:t>
      </w:r>
    </w:p>
    <w:p w14:paraId="35D32198">
      <w:pPr>
        <w:spacing w:before="156" w:beforeLines="50" w:after="156" w:afterLines="50" w:line="300" w:lineRule="auto"/>
        <w:ind w:firstLine="480" w:firstLineChars="200"/>
        <w:rPr>
          <w:rFonts w:hint="eastAsia" w:ascii="宋体" w:hAnsi="宋体" w:cs="宋体"/>
          <w:bCs/>
          <w:sz w:val="24"/>
        </w:rPr>
      </w:pPr>
      <w:r>
        <w:rPr>
          <w:rFonts w:hint="eastAsia" w:ascii="宋体" w:hAnsi="宋体" w:cs="宋体"/>
          <w:bCs/>
          <w:sz w:val="24"/>
        </w:rPr>
        <w:t>以上企业，不属于大企业的分支机构，不存在控股股东为大企业的情形，也不存在与大企业的负责人为同一人的情形。</w:t>
      </w:r>
    </w:p>
    <w:p w14:paraId="0B473146">
      <w:pPr>
        <w:spacing w:before="156" w:beforeLines="50" w:after="156" w:afterLines="50" w:line="300" w:lineRule="auto"/>
        <w:ind w:firstLine="480" w:firstLineChars="200"/>
        <w:rPr>
          <w:rFonts w:hint="eastAsia" w:ascii="宋体" w:hAnsi="宋体" w:cs="宋体"/>
          <w:bCs/>
          <w:sz w:val="24"/>
        </w:rPr>
      </w:pPr>
      <w:r>
        <w:rPr>
          <w:rFonts w:hint="eastAsia" w:ascii="宋体" w:hAnsi="宋体" w:cs="宋体"/>
          <w:bCs/>
          <w:sz w:val="24"/>
        </w:rPr>
        <w:t>本企业对上述声明内容的真实性负责。如有虚假，将依法承担相应责任。</w:t>
      </w:r>
    </w:p>
    <w:p w14:paraId="625E0819">
      <w:pPr>
        <w:spacing w:before="156" w:beforeLines="50" w:after="156" w:afterLines="50" w:line="300" w:lineRule="auto"/>
        <w:rPr>
          <w:rFonts w:hint="eastAsia" w:ascii="宋体" w:hAnsi="宋体" w:cs="宋体"/>
          <w:bCs/>
          <w:sz w:val="24"/>
        </w:rPr>
      </w:pPr>
    </w:p>
    <w:p w14:paraId="24E6ADBB">
      <w:pPr>
        <w:spacing w:before="156" w:beforeLines="50" w:after="156" w:afterLines="50" w:line="300" w:lineRule="auto"/>
        <w:rPr>
          <w:rFonts w:hint="eastAsia" w:ascii="宋体" w:hAnsi="宋体" w:cs="宋体"/>
          <w:bCs/>
          <w:sz w:val="24"/>
        </w:rPr>
      </w:pPr>
    </w:p>
    <w:p w14:paraId="1E8FB382">
      <w:pPr>
        <w:spacing w:before="156" w:beforeLines="50" w:after="156" w:afterLines="50" w:line="300" w:lineRule="auto"/>
        <w:ind w:firstLine="4080" w:firstLineChars="1700"/>
        <w:rPr>
          <w:rFonts w:hint="eastAsia" w:ascii="宋体" w:hAnsi="宋体" w:cs="宋体"/>
          <w:bCs/>
          <w:sz w:val="24"/>
        </w:rPr>
      </w:pPr>
      <w:r>
        <w:rPr>
          <w:rFonts w:hint="eastAsia" w:ascii="宋体" w:hAnsi="宋体" w:cs="宋体"/>
          <w:bCs/>
          <w:sz w:val="24"/>
        </w:rPr>
        <w:t>企业名称（盖章）：</w:t>
      </w:r>
    </w:p>
    <w:p w14:paraId="42D4A042">
      <w:pPr>
        <w:spacing w:before="156" w:beforeLines="50" w:after="156" w:afterLines="50" w:line="300" w:lineRule="auto"/>
        <w:ind w:firstLine="4080" w:firstLineChars="1700"/>
        <w:rPr>
          <w:rFonts w:hint="eastAsia" w:ascii="宋体" w:hAnsi="宋体" w:cs="宋体"/>
          <w:bCs/>
          <w:sz w:val="24"/>
        </w:rPr>
      </w:pPr>
      <w:r>
        <w:rPr>
          <w:rFonts w:hint="eastAsia" w:ascii="宋体" w:hAnsi="宋体" w:cs="宋体"/>
          <w:bCs/>
          <w:sz w:val="24"/>
        </w:rPr>
        <w:t>日期：</w:t>
      </w:r>
    </w:p>
    <w:p w14:paraId="7D4C3D18">
      <w:pPr>
        <w:widowControl w:val="0"/>
        <w:ind w:left="2100"/>
        <w:jc w:val="both"/>
        <w:rPr>
          <w:rFonts w:hint="eastAsia" w:ascii="宋体" w:hAnsi="宋体" w:eastAsia="宋体" w:cs="宋体"/>
          <w:kern w:val="2"/>
          <w:sz w:val="21"/>
          <w:szCs w:val="21"/>
          <w:lang w:val="en-US" w:eastAsia="zh-CN" w:bidi="ar-SA"/>
        </w:rPr>
      </w:pPr>
    </w:p>
    <w:p w14:paraId="171929E6">
      <w:pPr>
        <w:rPr>
          <w:rFonts w:hint="eastAsia" w:ascii="宋体" w:hAnsi="宋体" w:cs="宋体"/>
        </w:rPr>
      </w:pPr>
    </w:p>
    <w:p w14:paraId="72F1D9CF">
      <w:pPr>
        <w:widowControl/>
        <w:spacing w:line="400" w:lineRule="exact"/>
        <w:rPr>
          <w:rFonts w:hint="eastAsia" w:ascii="宋体" w:hAnsi="宋体" w:cs="宋体"/>
          <w:b/>
          <w:bCs/>
          <w:sz w:val="18"/>
        </w:rPr>
      </w:pPr>
      <w:r>
        <w:rPr>
          <w:rFonts w:hint="eastAsia" w:ascii="宋体" w:hAnsi="宋体" w:cs="宋体"/>
          <w:b/>
          <w:bCs/>
          <w:sz w:val="18"/>
        </w:rPr>
        <w:t>备注：1、从业人员、营业收入、资产总额填报上一年度数据，无上一年度数据的新成立企业可不填报。</w:t>
      </w:r>
    </w:p>
    <w:p w14:paraId="3D2982F0">
      <w:pPr>
        <w:widowControl/>
        <w:numPr>
          <w:ilvl w:val="0"/>
          <w:numId w:val="6"/>
        </w:numPr>
        <w:spacing w:line="400" w:lineRule="exact"/>
        <w:ind w:firstLine="542" w:firstLineChars="300"/>
        <w:rPr>
          <w:rFonts w:hint="eastAsia" w:ascii="宋体" w:hAnsi="宋体" w:cs="宋体"/>
          <w:b/>
          <w:bCs/>
          <w:sz w:val="18"/>
          <w:szCs w:val="22"/>
        </w:rPr>
      </w:pPr>
      <w:r>
        <w:rPr>
          <w:rFonts w:hint="eastAsia" w:ascii="宋体" w:hAnsi="宋体" w:cs="宋体"/>
          <w:b/>
          <w:bCs/>
          <w:sz w:val="18"/>
          <w:szCs w:val="22"/>
        </w:rPr>
        <w:t>投标人为中小企业时需提供本声明函，并完整填写从业人员、营业收入、资产总额等内容，否则评审时不能享受相应的价格扣除。</w:t>
      </w:r>
    </w:p>
    <w:p w14:paraId="048DE8AD">
      <w:pPr>
        <w:widowControl w:val="0"/>
        <w:ind w:left="0"/>
        <w:jc w:val="both"/>
        <w:rPr>
          <w:rFonts w:hint="eastAsia" w:ascii="宋体" w:hAnsi="宋体" w:eastAsia="宋体" w:cs="宋体"/>
          <w:kern w:val="2"/>
          <w:sz w:val="21"/>
          <w:szCs w:val="21"/>
          <w:lang w:val="en-US" w:eastAsia="zh-CN" w:bidi="ar-SA"/>
        </w:rPr>
      </w:pPr>
    </w:p>
    <w:p w14:paraId="3A51EA90">
      <w:pPr>
        <w:rPr>
          <w:rFonts w:hint="eastAsia" w:ascii="宋体" w:hAnsi="宋体" w:cs="宋体"/>
        </w:rPr>
      </w:pPr>
    </w:p>
    <w:p w14:paraId="19167556">
      <w:pPr>
        <w:widowControl w:val="0"/>
        <w:ind w:left="2100"/>
        <w:jc w:val="both"/>
        <w:rPr>
          <w:rFonts w:hint="eastAsia" w:ascii="宋体" w:hAnsi="宋体" w:eastAsia="宋体" w:cs="宋体"/>
          <w:kern w:val="2"/>
          <w:sz w:val="21"/>
          <w:szCs w:val="21"/>
          <w:lang w:val="en-US" w:eastAsia="zh-CN" w:bidi="ar-SA"/>
        </w:rPr>
      </w:pPr>
    </w:p>
    <w:p w14:paraId="68CDD182">
      <w:pPr>
        <w:widowControl/>
        <w:spacing w:line="400" w:lineRule="exact"/>
        <w:jc w:val="left"/>
        <w:rPr>
          <w:rFonts w:hint="eastAsia" w:ascii="宋体" w:hAnsi="宋体" w:cs="宋体"/>
          <w:b/>
          <w:bCs/>
          <w:sz w:val="36"/>
          <w:szCs w:val="22"/>
        </w:rPr>
      </w:pPr>
      <w:r>
        <w:rPr>
          <w:rFonts w:hint="eastAsia" w:ascii="宋体" w:hAnsi="宋体" w:cs="宋体"/>
          <w:b/>
          <w:bCs/>
          <w:sz w:val="36"/>
          <w:szCs w:val="22"/>
        </w:rPr>
        <w:br w:type="page"/>
      </w:r>
      <w:r>
        <w:rPr>
          <w:rFonts w:hint="eastAsia" w:ascii="宋体" w:hAnsi="宋体" w:cs="宋体"/>
          <w:sz w:val="30"/>
          <w:szCs w:val="30"/>
        </w:rPr>
        <w:t>表六</w:t>
      </w:r>
    </w:p>
    <w:p w14:paraId="24DBF194">
      <w:pPr>
        <w:widowControl/>
        <w:spacing w:line="400" w:lineRule="exact"/>
        <w:jc w:val="center"/>
        <w:rPr>
          <w:rFonts w:hint="eastAsia" w:ascii="宋体" w:hAnsi="宋体" w:cs="宋体"/>
          <w:sz w:val="36"/>
          <w:szCs w:val="22"/>
        </w:rPr>
      </w:pPr>
      <w:r>
        <w:rPr>
          <w:rFonts w:hint="eastAsia" w:ascii="宋体" w:hAnsi="宋体" w:cs="宋体"/>
          <w:b/>
          <w:bCs/>
          <w:sz w:val="36"/>
          <w:szCs w:val="22"/>
        </w:rPr>
        <w:t>中小企业声明函（工程、服务）</w:t>
      </w:r>
    </w:p>
    <w:p w14:paraId="6A1FE848">
      <w:pPr>
        <w:widowControl/>
        <w:spacing w:line="400" w:lineRule="exact"/>
        <w:jc w:val="center"/>
        <w:rPr>
          <w:rFonts w:hint="eastAsia" w:ascii="宋体" w:hAnsi="宋体" w:cs="宋体"/>
          <w:sz w:val="36"/>
          <w:szCs w:val="22"/>
        </w:rPr>
      </w:pPr>
    </w:p>
    <w:p w14:paraId="4830169B">
      <w:pPr>
        <w:spacing w:before="156" w:beforeLines="50" w:after="156" w:afterLines="50" w:line="300" w:lineRule="auto"/>
        <w:ind w:firstLine="480" w:firstLineChars="200"/>
        <w:rPr>
          <w:rFonts w:hint="eastAsia" w:ascii="宋体" w:hAnsi="宋体" w:cs="宋体"/>
          <w:bCs/>
          <w:sz w:val="24"/>
        </w:rPr>
      </w:pPr>
      <w:r>
        <w:rPr>
          <w:rFonts w:hint="eastAsia" w:ascii="宋体" w:hAnsi="宋体" w:cs="宋体"/>
          <w:bCs/>
          <w:sz w:val="24"/>
        </w:rPr>
        <w:t>本公司（联合体）郑重声明，根据《政府采购促进中小企业发展管理办法》（财库﹝2020﹞46 号）的规定，本公司（联合体）参加（</w:t>
      </w:r>
      <w:r>
        <w:rPr>
          <w:rFonts w:hint="eastAsia" w:ascii="宋体" w:hAnsi="宋体" w:cs="宋体"/>
          <w:bCs/>
          <w:i/>
          <w:iCs/>
          <w:sz w:val="24"/>
          <w:u w:val="single"/>
        </w:rPr>
        <w:t>单位名称</w:t>
      </w:r>
      <w:r>
        <w:rPr>
          <w:rFonts w:hint="eastAsia" w:ascii="宋体" w:hAnsi="宋体" w:cs="宋体"/>
          <w:bCs/>
          <w:sz w:val="24"/>
        </w:rPr>
        <w:t>）的（</w:t>
      </w:r>
      <w:r>
        <w:rPr>
          <w:rFonts w:hint="eastAsia" w:ascii="宋体" w:hAnsi="宋体" w:cs="宋体"/>
          <w:bCs/>
          <w:i/>
          <w:iCs/>
          <w:sz w:val="24"/>
          <w:u w:val="single"/>
        </w:rPr>
        <w:t>项目名称</w:t>
      </w:r>
      <w:r>
        <w:rPr>
          <w:rFonts w:hint="eastAsia" w:ascii="宋体" w:hAnsi="宋体" w:cs="宋体"/>
          <w:bCs/>
          <w:sz w:val="24"/>
        </w:rPr>
        <w:t>）采购活动，工程的施工单位全部为符合政策要求的中小企业（或者：服务全部由符合政策要求的中小企业承接）。相关企业（含联合体中的中小企业、签订分包意向协议的中小企业）的具体情况如下：</w:t>
      </w:r>
    </w:p>
    <w:p w14:paraId="04BF5B99">
      <w:pPr>
        <w:spacing w:before="156" w:beforeLines="50" w:after="156" w:afterLines="50" w:line="300" w:lineRule="auto"/>
        <w:ind w:firstLine="480" w:firstLineChars="200"/>
        <w:rPr>
          <w:rFonts w:hint="eastAsia" w:ascii="宋体" w:hAnsi="宋体" w:cs="宋体"/>
          <w:bCs/>
          <w:sz w:val="24"/>
        </w:rPr>
      </w:pPr>
      <w:r>
        <w:rPr>
          <w:rFonts w:hint="eastAsia" w:ascii="宋体" w:hAnsi="宋体" w:cs="宋体"/>
          <w:bCs/>
          <w:sz w:val="24"/>
        </w:rPr>
        <w:t>1. （</w:t>
      </w:r>
      <w:r>
        <w:rPr>
          <w:rFonts w:hint="eastAsia" w:ascii="宋体" w:hAnsi="宋体" w:cs="宋体"/>
          <w:bCs/>
          <w:i/>
          <w:iCs/>
          <w:sz w:val="24"/>
          <w:u w:val="single"/>
        </w:rPr>
        <w:t>标的名称</w:t>
      </w:r>
      <w:r>
        <w:rPr>
          <w:rFonts w:hint="eastAsia" w:ascii="宋体" w:hAnsi="宋体" w:cs="宋体"/>
          <w:bCs/>
          <w:sz w:val="24"/>
        </w:rPr>
        <w:t>） ，属于（</w:t>
      </w:r>
      <w:r>
        <w:rPr>
          <w:rFonts w:hint="eastAsia" w:ascii="宋体" w:hAnsi="宋体" w:cs="宋体"/>
          <w:bCs/>
          <w:i/>
          <w:iCs/>
          <w:sz w:val="24"/>
          <w:u w:val="single"/>
        </w:rPr>
        <w:t>采购文件中明确的所属行业</w:t>
      </w:r>
      <w:r>
        <w:rPr>
          <w:rFonts w:hint="eastAsia" w:ascii="宋体" w:hAnsi="宋体" w:cs="宋体"/>
          <w:bCs/>
          <w:sz w:val="24"/>
        </w:rPr>
        <w:t>）；承建（承接）企业为（</w:t>
      </w:r>
      <w:r>
        <w:rPr>
          <w:rFonts w:hint="eastAsia" w:ascii="宋体" w:hAnsi="宋体" w:cs="宋体"/>
          <w:bCs/>
          <w:i/>
          <w:iCs/>
          <w:sz w:val="24"/>
          <w:u w:val="single"/>
        </w:rPr>
        <w:t>企业名称</w:t>
      </w:r>
      <w:r>
        <w:rPr>
          <w:rFonts w:hint="eastAsia" w:ascii="宋体" w:hAnsi="宋体" w:cs="宋体"/>
          <w:bCs/>
          <w:sz w:val="24"/>
        </w:rPr>
        <w:t>），从业人员</w:t>
      </w:r>
      <w:r>
        <w:rPr>
          <w:rFonts w:hint="eastAsia" w:ascii="宋体" w:hAnsi="宋体" w:cs="宋体"/>
          <w:bCs/>
          <w:sz w:val="24"/>
          <w:u w:val="single"/>
        </w:rPr>
        <w:t xml:space="preserve">     </w:t>
      </w:r>
      <w:r>
        <w:rPr>
          <w:rFonts w:hint="eastAsia" w:ascii="宋体" w:hAnsi="宋体" w:cs="宋体"/>
          <w:bCs/>
          <w:sz w:val="24"/>
        </w:rPr>
        <w:t>人，营业收入为</w:t>
      </w:r>
      <w:r>
        <w:rPr>
          <w:rFonts w:hint="eastAsia" w:ascii="宋体" w:hAnsi="宋体" w:cs="宋体"/>
          <w:bCs/>
          <w:sz w:val="24"/>
          <w:u w:val="single"/>
        </w:rPr>
        <w:t xml:space="preserve">     </w:t>
      </w:r>
      <w:r>
        <w:rPr>
          <w:rFonts w:hint="eastAsia" w:ascii="宋体" w:hAnsi="宋体" w:cs="宋体"/>
          <w:bCs/>
          <w:sz w:val="24"/>
        </w:rPr>
        <w:t>万元，资产总额为</w:t>
      </w:r>
      <w:r>
        <w:rPr>
          <w:rFonts w:hint="eastAsia" w:ascii="宋体" w:hAnsi="宋体" w:cs="宋体"/>
          <w:bCs/>
          <w:sz w:val="24"/>
          <w:u w:val="single"/>
        </w:rPr>
        <w:t xml:space="preserve">     </w:t>
      </w:r>
      <w:r>
        <w:rPr>
          <w:rFonts w:hint="eastAsia" w:ascii="宋体" w:hAnsi="宋体" w:cs="宋体"/>
          <w:bCs/>
          <w:sz w:val="24"/>
        </w:rPr>
        <w:t>万元，属于（</w:t>
      </w:r>
      <w:r>
        <w:rPr>
          <w:rFonts w:hint="eastAsia" w:ascii="宋体" w:hAnsi="宋体" w:cs="宋体"/>
          <w:bCs/>
          <w:i/>
          <w:iCs/>
          <w:sz w:val="24"/>
          <w:u w:val="single"/>
        </w:rPr>
        <w:t>中型企业、小型企业、微型企业</w:t>
      </w:r>
      <w:r>
        <w:rPr>
          <w:rFonts w:hint="eastAsia" w:ascii="宋体" w:hAnsi="宋体" w:cs="宋体"/>
          <w:bCs/>
          <w:sz w:val="24"/>
        </w:rPr>
        <w:t>）；</w:t>
      </w:r>
    </w:p>
    <w:p w14:paraId="5E6506A9">
      <w:pPr>
        <w:spacing w:before="156" w:beforeLines="50" w:after="156" w:afterLines="50" w:line="300" w:lineRule="auto"/>
        <w:ind w:firstLine="480" w:firstLineChars="200"/>
        <w:rPr>
          <w:rFonts w:hint="eastAsia" w:ascii="宋体" w:hAnsi="宋体" w:cs="宋体"/>
          <w:bCs/>
          <w:sz w:val="24"/>
        </w:rPr>
      </w:pPr>
      <w:r>
        <w:rPr>
          <w:rFonts w:hint="eastAsia" w:ascii="宋体" w:hAnsi="宋体" w:cs="宋体"/>
          <w:bCs/>
          <w:sz w:val="24"/>
        </w:rPr>
        <w:t>2. （</w:t>
      </w:r>
      <w:r>
        <w:rPr>
          <w:rFonts w:hint="eastAsia" w:ascii="宋体" w:hAnsi="宋体" w:cs="宋体"/>
          <w:bCs/>
          <w:i/>
          <w:iCs/>
          <w:sz w:val="24"/>
          <w:u w:val="single"/>
        </w:rPr>
        <w:t>标的名称</w:t>
      </w:r>
      <w:r>
        <w:rPr>
          <w:rFonts w:hint="eastAsia" w:ascii="宋体" w:hAnsi="宋体" w:cs="宋体"/>
          <w:bCs/>
          <w:sz w:val="24"/>
        </w:rPr>
        <w:t>） ，属于（</w:t>
      </w:r>
      <w:r>
        <w:rPr>
          <w:rFonts w:hint="eastAsia" w:ascii="宋体" w:hAnsi="宋体" w:cs="宋体"/>
          <w:bCs/>
          <w:i/>
          <w:iCs/>
          <w:sz w:val="24"/>
          <w:u w:val="single"/>
        </w:rPr>
        <w:t>采购文件中明确的所属行业</w:t>
      </w:r>
      <w:r>
        <w:rPr>
          <w:rFonts w:hint="eastAsia" w:ascii="宋体" w:hAnsi="宋体" w:cs="宋体"/>
          <w:bCs/>
          <w:sz w:val="24"/>
        </w:rPr>
        <w:t>）；承建（承接）企业为（</w:t>
      </w:r>
      <w:r>
        <w:rPr>
          <w:rFonts w:hint="eastAsia" w:ascii="宋体" w:hAnsi="宋体" w:cs="宋体"/>
          <w:bCs/>
          <w:i/>
          <w:iCs/>
          <w:sz w:val="24"/>
          <w:u w:val="single"/>
        </w:rPr>
        <w:t>企业名称</w:t>
      </w:r>
      <w:r>
        <w:rPr>
          <w:rFonts w:hint="eastAsia" w:ascii="宋体" w:hAnsi="宋体" w:cs="宋体"/>
          <w:bCs/>
          <w:sz w:val="24"/>
        </w:rPr>
        <w:t>），从业人员</w:t>
      </w:r>
      <w:r>
        <w:rPr>
          <w:rFonts w:hint="eastAsia" w:ascii="宋体" w:hAnsi="宋体" w:cs="宋体"/>
          <w:bCs/>
          <w:sz w:val="24"/>
          <w:u w:val="single"/>
        </w:rPr>
        <w:t xml:space="preserve">     </w:t>
      </w:r>
      <w:r>
        <w:rPr>
          <w:rFonts w:hint="eastAsia" w:ascii="宋体" w:hAnsi="宋体" w:cs="宋体"/>
          <w:bCs/>
          <w:sz w:val="24"/>
        </w:rPr>
        <w:t>人，营业收入为</w:t>
      </w:r>
      <w:r>
        <w:rPr>
          <w:rFonts w:hint="eastAsia" w:ascii="宋体" w:hAnsi="宋体" w:cs="宋体"/>
          <w:bCs/>
          <w:sz w:val="24"/>
          <w:u w:val="single"/>
        </w:rPr>
        <w:t xml:space="preserve">     </w:t>
      </w:r>
      <w:r>
        <w:rPr>
          <w:rFonts w:hint="eastAsia" w:ascii="宋体" w:hAnsi="宋体" w:cs="宋体"/>
          <w:bCs/>
          <w:sz w:val="24"/>
        </w:rPr>
        <w:t>万元，资产总额为</w:t>
      </w:r>
      <w:r>
        <w:rPr>
          <w:rFonts w:hint="eastAsia" w:ascii="宋体" w:hAnsi="宋体" w:cs="宋体"/>
          <w:bCs/>
          <w:sz w:val="24"/>
          <w:u w:val="single"/>
        </w:rPr>
        <w:t xml:space="preserve">     </w:t>
      </w:r>
      <w:r>
        <w:rPr>
          <w:rFonts w:hint="eastAsia" w:ascii="宋体" w:hAnsi="宋体" w:cs="宋体"/>
          <w:bCs/>
          <w:sz w:val="24"/>
        </w:rPr>
        <w:t>万元，属于（</w:t>
      </w:r>
      <w:r>
        <w:rPr>
          <w:rFonts w:hint="eastAsia" w:ascii="宋体" w:hAnsi="宋体" w:cs="宋体"/>
          <w:bCs/>
          <w:i/>
          <w:iCs/>
          <w:sz w:val="24"/>
          <w:u w:val="single"/>
        </w:rPr>
        <w:t>中型企业、小型企业、微型企业</w:t>
      </w:r>
      <w:r>
        <w:rPr>
          <w:rFonts w:hint="eastAsia" w:ascii="宋体" w:hAnsi="宋体" w:cs="宋体"/>
          <w:bCs/>
          <w:sz w:val="24"/>
        </w:rPr>
        <w:t>）；</w:t>
      </w:r>
    </w:p>
    <w:p w14:paraId="08784D42">
      <w:pPr>
        <w:spacing w:before="156" w:beforeLines="50" w:after="156" w:afterLines="50" w:line="300" w:lineRule="auto"/>
        <w:rPr>
          <w:rFonts w:hint="eastAsia" w:ascii="宋体" w:hAnsi="宋体" w:cs="宋体"/>
          <w:bCs/>
          <w:sz w:val="24"/>
        </w:rPr>
      </w:pPr>
      <w:r>
        <w:rPr>
          <w:rFonts w:hint="eastAsia" w:ascii="宋体" w:hAnsi="宋体" w:cs="宋体"/>
          <w:bCs/>
          <w:sz w:val="24"/>
        </w:rPr>
        <w:t>……</w:t>
      </w:r>
    </w:p>
    <w:p w14:paraId="29CFCC2F">
      <w:pPr>
        <w:spacing w:before="156" w:beforeLines="50" w:after="156" w:afterLines="50" w:line="300" w:lineRule="auto"/>
        <w:ind w:firstLine="480" w:firstLineChars="200"/>
        <w:rPr>
          <w:rFonts w:hint="eastAsia" w:ascii="宋体" w:hAnsi="宋体" w:cs="宋体"/>
          <w:bCs/>
          <w:sz w:val="24"/>
        </w:rPr>
      </w:pPr>
      <w:r>
        <w:rPr>
          <w:rFonts w:hint="eastAsia" w:ascii="宋体" w:hAnsi="宋体" w:cs="宋体"/>
          <w:bCs/>
          <w:sz w:val="24"/>
        </w:rPr>
        <w:t>以上企业，不属于大企业的分支机构，不存在控股股东为大企业的情形，也不存在与大企业的负责人为同一人的情形。</w:t>
      </w:r>
    </w:p>
    <w:p w14:paraId="2ACB37F6">
      <w:pPr>
        <w:spacing w:before="156" w:beforeLines="50" w:after="156" w:afterLines="50" w:line="300" w:lineRule="auto"/>
        <w:ind w:firstLine="480" w:firstLineChars="200"/>
        <w:rPr>
          <w:rFonts w:hint="eastAsia" w:ascii="宋体" w:hAnsi="宋体" w:cs="宋体"/>
          <w:bCs/>
          <w:sz w:val="24"/>
        </w:rPr>
      </w:pPr>
      <w:r>
        <w:rPr>
          <w:rFonts w:hint="eastAsia" w:ascii="宋体" w:hAnsi="宋体" w:cs="宋体"/>
          <w:bCs/>
          <w:sz w:val="24"/>
        </w:rPr>
        <w:t>本企业对上述声明内容的真实性负责。如有虚假，将依法承担相应责任。</w:t>
      </w:r>
    </w:p>
    <w:p w14:paraId="30BB595D">
      <w:pPr>
        <w:spacing w:before="156" w:beforeLines="50" w:after="156" w:afterLines="50" w:line="300" w:lineRule="auto"/>
        <w:rPr>
          <w:rFonts w:hint="eastAsia" w:ascii="宋体" w:hAnsi="宋体" w:cs="宋体"/>
          <w:bCs/>
          <w:sz w:val="24"/>
        </w:rPr>
      </w:pPr>
    </w:p>
    <w:p w14:paraId="3FE99C24">
      <w:pPr>
        <w:spacing w:before="156" w:beforeLines="50" w:after="156" w:afterLines="50" w:line="300" w:lineRule="auto"/>
        <w:rPr>
          <w:rFonts w:hint="eastAsia" w:ascii="宋体" w:hAnsi="宋体" w:cs="宋体"/>
          <w:bCs/>
          <w:sz w:val="24"/>
        </w:rPr>
      </w:pPr>
    </w:p>
    <w:p w14:paraId="3043AA77">
      <w:pPr>
        <w:spacing w:before="156" w:beforeLines="50" w:after="156" w:afterLines="50" w:line="300" w:lineRule="auto"/>
        <w:ind w:firstLine="4320" w:firstLineChars="1800"/>
        <w:rPr>
          <w:rFonts w:hint="eastAsia" w:ascii="宋体" w:hAnsi="宋体" w:cs="宋体"/>
          <w:bCs/>
          <w:sz w:val="24"/>
        </w:rPr>
      </w:pPr>
      <w:r>
        <w:rPr>
          <w:rFonts w:hint="eastAsia" w:ascii="宋体" w:hAnsi="宋体" w:cs="宋体"/>
          <w:bCs/>
          <w:sz w:val="24"/>
        </w:rPr>
        <w:t>企业名称（盖章）：</w:t>
      </w:r>
    </w:p>
    <w:p w14:paraId="1C3C383F">
      <w:pPr>
        <w:spacing w:before="156" w:beforeLines="50" w:after="156" w:afterLines="50" w:line="300" w:lineRule="auto"/>
        <w:ind w:firstLine="4320" w:firstLineChars="1800"/>
        <w:rPr>
          <w:rFonts w:hint="eastAsia" w:ascii="宋体" w:hAnsi="宋体" w:cs="宋体"/>
          <w:bCs/>
          <w:sz w:val="24"/>
        </w:rPr>
      </w:pPr>
      <w:r>
        <w:rPr>
          <w:rFonts w:hint="eastAsia" w:ascii="宋体" w:hAnsi="宋体" w:cs="宋体"/>
          <w:bCs/>
          <w:sz w:val="24"/>
        </w:rPr>
        <w:t>日期：</w:t>
      </w:r>
    </w:p>
    <w:p w14:paraId="670BEDAF">
      <w:pPr>
        <w:widowControl w:val="0"/>
        <w:ind w:left="0"/>
        <w:jc w:val="both"/>
        <w:rPr>
          <w:rFonts w:hint="eastAsia" w:ascii="宋体" w:hAnsi="宋体" w:eastAsia="宋体" w:cs="宋体"/>
          <w:kern w:val="2"/>
          <w:sz w:val="21"/>
          <w:szCs w:val="21"/>
          <w:lang w:val="en-US" w:eastAsia="zh-CN" w:bidi="ar-SA"/>
        </w:rPr>
      </w:pPr>
    </w:p>
    <w:p w14:paraId="68D2E76D">
      <w:pPr>
        <w:rPr>
          <w:rFonts w:hint="eastAsia" w:ascii="宋体" w:hAnsi="宋体" w:cs="宋体"/>
        </w:rPr>
      </w:pPr>
    </w:p>
    <w:p w14:paraId="051D51A8">
      <w:pPr>
        <w:widowControl/>
        <w:spacing w:line="400" w:lineRule="exact"/>
        <w:rPr>
          <w:rFonts w:hint="eastAsia" w:ascii="宋体" w:hAnsi="宋体" w:cs="宋体"/>
          <w:b/>
          <w:bCs/>
          <w:sz w:val="18"/>
        </w:rPr>
      </w:pPr>
      <w:r>
        <w:rPr>
          <w:rFonts w:hint="eastAsia" w:ascii="宋体" w:hAnsi="宋体" w:cs="宋体"/>
          <w:b/>
          <w:bCs/>
          <w:sz w:val="18"/>
        </w:rPr>
        <w:t>备注：1、从业人员、营业收入、资产总额填报上一年度数据，无上一年度数据的新成立企业可不填报。</w:t>
      </w:r>
    </w:p>
    <w:p w14:paraId="19CD5D98">
      <w:pPr>
        <w:widowControl/>
        <w:spacing w:line="400" w:lineRule="exact"/>
        <w:ind w:firstLine="542" w:firstLineChars="300"/>
        <w:rPr>
          <w:rFonts w:hint="eastAsia" w:ascii="宋体" w:hAnsi="宋体" w:cs="宋体"/>
          <w:b/>
          <w:bCs/>
          <w:sz w:val="18"/>
          <w:szCs w:val="22"/>
        </w:rPr>
      </w:pPr>
      <w:r>
        <w:rPr>
          <w:rFonts w:hint="eastAsia" w:ascii="宋体" w:hAnsi="宋体" w:cs="宋体"/>
          <w:b/>
          <w:bCs/>
          <w:sz w:val="18"/>
          <w:szCs w:val="22"/>
        </w:rPr>
        <w:t>2.投标人为中小企业时需提供本声明函，并完整填写从业人员、营业收入、资产总额等内容，否则评审时不能享受相应的价格扣除。</w:t>
      </w:r>
    </w:p>
    <w:p w14:paraId="5B0C16AE">
      <w:pPr>
        <w:widowControl/>
        <w:spacing w:line="400" w:lineRule="exact"/>
        <w:ind w:firstLine="542" w:firstLineChars="300"/>
        <w:rPr>
          <w:rFonts w:hint="eastAsia" w:ascii="宋体" w:hAnsi="宋体" w:cs="宋体"/>
          <w:b/>
          <w:bCs/>
          <w:sz w:val="18"/>
          <w:szCs w:val="22"/>
        </w:rPr>
      </w:pPr>
    </w:p>
    <w:p w14:paraId="78B3593F">
      <w:pPr>
        <w:spacing w:before="156" w:beforeLines="50" w:after="156" w:afterLines="50" w:line="300" w:lineRule="auto"/>
        <w:rPr>
          <w:rFonts w:hint="eastAsia" w:ascii="宋体" w:hAnsi="宋体" w:cs="宋体"/>
          <w:bCs/>
          <w:sz w:val="24"/>
        </w:rPr>
      </w:pPr>
    </w:p>
    <w:p w14:paraId="646A5B5A">
      <w:pPr>
        <w:widowControl w:val="0"/>
        <w:ind w:left="2100"/>
        <w:jc w:val="both"/>
        <w:rPr>
          <w:rFonts w:hint="eastAsia" w:ascii="宋体" w:hAnsi="宋体" w:eastAsia="宋体" w:cs="宋体"/>
          <w:bCs/>
          <w:kern w:val="2"/>
          <w:sz w:val="24"/>
          <w:szCs w:val="21"/>
          <w:lang w:val="en-US" w:eastAsia="zh-CN" w:bidi="ar-SA"/>
        </w:rPr>
      </w:pPr>
    </w:p>
    <w:p w14:paraId="700FC1AC">
      <w:pPr>
        <w:rPr>
          <w:rFonts w:hint="eastAsia" w:ascii="宋体" w:hAnsi="宋体" w:cs="宋体"/>
          <w:bCs/>
          <w:sz w:val="24"/>
        </w:rPr>
      </w:pPr>
    </w:p>
    <w:p w14:paraId="2F5FFAAB">
      <w:pPr>
        <w:widowControl w:val="0"/>
        <w:ind w:left="2100"/>
        <w:jc w:val="both"/>
        <w:rPr>
          <w:rFonts w:hint="eastAsia" w:ascii="宋体" w:hAnsi="宋体" w:eastAsia="宋体" w:cs="宋体"/>
          <w:kern w:val="2"/>
          <w:sz w:val="21"/>
          <w:szCs w:val="21"/>
          <w:lang w:val="en-US" w:eastAsia="zh-CN" w:bidi="ar-SA"/>
        </w:rPr>
      </w:pPr>
    </w:p>
    <w:p w14:paraId="74428EB0">
      <w:pPr>
        <w:spacing w:before="156" w:beforeLines="50" w:after="156" w:afterLines="50" w:line="300" w:lineRule="auto"/>
        <w:ind w:firstLine="300" w:firstLineChars="100"/>
        <w:jc w:val="left"/>
        <w:rPr>
          <w:rFonts w:ascii="宋体" w:hAnsi="宋体" w:cs="宋体"/>
          <w:sz w:val="30"/>
          <w:szCs w:val="30"/>
        </w:rPr>
      </w:pPr>
      <w:r>
        <w:rPr>
          <w:rFonts w:hint="eastAsia" w:ascii="宋体" w:hAnsi="宋体" w:cs="宋体"/>
          <w:sz w:val="30"/>
          <w:szCs w:val="30"/>
        </w:rPr>
        <w:t xml:space="preserve"> 表七</w:t>
      </w:r>
    </w:p>
    <w:p w14:paraId="461D8371">
      <w:pPr>
        <w:spacing w:before="156" w:beforeLines="50" w:after="156" w:afterLines="50" w:line="300" w:lineRule="auto"/>
        <w:jc w:val="center"/>
        <w:rPr>
          <w:rFonts w:hint="eastAsia" w:ascii="宋体" w:hAnsi="宋体" w:cs="宋体"/>
          <w:b/>
          <w:sz w:val="32"/>
          <w:szCs w:val="32"/>
        </w:rPr>
      </w:pPr>
      <w:r>
        <w:rPr>
          <w:rFonts w:hint="eastAsia" w:ascii="宋体" w:hAnsi="宋体" w:cs="宋体"/>
          <w:b/>
          <w:sz w:val="32"/>
          <w:szCs w:val="32"/>
        </w:rPr>
        <w:t>残疾人福利性单位声明函</w:t>
      </w:r>
    </w:p>
    <w:p w14:paraId="53D43398">
      <w:pPr>
        <w:spacing w:before="156" w:beforeLines="50" w:after="156" w:afterLines="50" w:line="300" w:lineRule="auto"/>
        <w:ind w:firstLine="624" w:firstLineChars="200"/>
        <w:rPr>
          <w:rFonts w:hint="eastAsia" w:ascii="宋体" w:hAnsi="宋体" w:cs="宋体"/>
          <w:spacing w:val="6"/>
          <w:sz w:val="30"/>
          <w:szCs w:val="30"/>
        </w:rPr>
      </w:pPr>
    </w:p>
    <w:p w14:paraId="5F20CEC4">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中国残疾人联合会关于促进残疾人就业政府采购政策的通知》（财库〔2017〕141号）的规定，本单位为符合条件的残疾人福利性单位，且本单位参加______单位的采购文件编号为______的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14:paraId="14F4A39D">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本单位在本次政府采购活动中提供的残疾人福利单位产品报价合计为人民币（大写）</w:t>
      </w:r>
      <w:r>
        <w:rPr>
          <w:rFonts w:hint="eastAsia" w:ascii="宋体" w:hAnsi="宋体" w:cs="宋体"/>
          <w:sz w:val="24"/>
          <w:u w:val="single"/>
        </w:rPr>
        <w:t xml:space="preserve">      </w:t>
      </w:r>
      <w:r>
        <w:rPr>
          <w:rFonts w:hint="eastAsia" w:ascii="宋体" w:hAnsi="宋体" w:cs="宋体"/>
          <w:sz w:val="24"/>
        </w:rPr>
        <w:t>圆整（￥：     ）。</w:t>
      </w:r>
    </w:p>
    <w:p w14:paraId="1787DA74">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14:paraId="3BD436E6">
      <w:pPr>
        <w:spacing w:before="156" w:beforeLines="50" w:after="156" w:afterLines="50" w:line="300" w:lineRule="auto"/>
        <w:ind w:firstLine="480" w:firstLineChars="200"/>
        <w:rPr>
          <w:rFonts w:hint="eastAsia" w:ascii="宋体" w:hAnsi="宋体" w:cs="宋体"/>
          <w:sz w:val="24"/>
        </w:rPr>
      </w:pPr>
    </w:p>
    <w:p w14:paraId="119E1299">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（备注：1、供应商如不提供此声明函，价格将不做相应扣除。2、中标供应商为残疾人福利单位的，此声明函将随中标结果同时公告，接受社会监督）</w:t>
      </w:r>
    </w:p>
    <w:p w14:paraId="186867AB">
      <w:pPr>
        <w:spacing w:before="156" w:beforeLines="50" w:after="156" w:afterLines="50" w:line="300" w:lineRule="auto"/>
        <w:ind w:firstLine="624" w:firstLineChars="200"/>
        <w:rPr>
          <w:rFonts w:hint="eastAsia" w:ascii="宋体" w:hAnsi="宋体" w:cs="宋体"/>
          <w:spacing w:val="6"/>
          <w:sz w:val="30"/>
          <w:szCs w:val="30"/>
        </w:rPr>
      </w:pPr>
    </w:p>
    <w:p w14:paraId="32DFC735">
      <w:pPr>
        <w:tabs>
          <w:tab w:val="left" w:pos="4860"/>
        </w:tabs>
        <w:spacing w:before="156" w:beforeLines="50" w:after="156" w:afterLines="50" w:line="300" w:lineRule="auto"/>
        <w:ind w:right="1560" w:firstLine="624" w:firstLineChars="200"/>
        <w:jc w:val="center"/>
        <w:rPr>
          <w:rFonts w:hint="eastAsia"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供应商全称（盖章）：</w:t>
      </w:r>
    </w:p>
    <w:p w14:paraId="74191E2E">
      <w:pPr>
        <w:tabs>
          <w:tab w:val="left" w:pos="4860"/>
        </w:tabs>
        <w:spacing w:before="156" w:beforeLines="50" w:after="156" w:afterLines="50" w:line="300" w:lineRule="auto"/>
        <w:ind w:right="1560" w:firstLine="480" w:firstLineChars="200"/>
        <w:jc w:val="center"/>
        <w:rPr>
          <w:rFonts w:hint="eastAsia" w:ascii="宋体" w:hAnsi="宋体" w:cs="宋体"/>
          <w:sz w:val="24"/>
        </w:rPr>
      </w:pPr>
      <w:r>
        <w:rPr>
          <w:rFonts w:hint="eastAsia" w:ascii="宋体" w:hAnsi="宋体" w:cs="宋体"/>
          <w:sz w:val="24"/>
        </w:rPr>
        <w:t xml:space="preserve">                              日  期：</w:t>
      </w:r>
    </w:p>
    <w:p w14:paraId="2F8BF75B">
      <w:pPr>
        <w:spacing w:before="156" w:beforeLines="50" w:after="156" w:afterLines="50" w:line="300" w:lineRule="auto"/>
        <w:rPr>
          <w:rFonts w:hint="eastAsia" w:ascii="宋体" w:hAnsi="宋体" w:cs="宋体"/>
          <w:b/>
          <w:bCs/>
          <w:sz w:val="24"/>
        </w:rPr>
      </w:pPr>
      <w:r>
        <w:rPr>
          <w:rFonts w:hint="eastAsia" w:ascii="宋体" w:hAnsi="宋体" w:cs="宋体"/>
          <w:b/>
          <w:bCs/>
          <w:sz w:val="24"/>
        </w:rPr>
        <w:t>（备注：投标人如未提供此声明函，价格将不做相应扣除，但投标不会被拒绝；如未如实声明，需承担相应法律责任。）</w:t>
      </w:r>
    </w:p>
    <w:p w14:paraId="5AA30F4F">
      <w:pPr>
        <w:widowControl w:val="0"/>
        <w:jc w:val="both"/>
        <w:rPr>
          <w:rFonts w:hint="eastAsia" w:ascii="宋体" w:hAnsi="宋体" w:eastAsia="宋体" w:cs="宋体"/>
          <w:kern w:val="2"/>
          <w:sz w:val="24"/>
          <w:szCs w:val="24"/>
          <w:lang w:val="en-US" w:eastAsia="zh-CN" w:bidi="ar-SA"/>
        </w:rPr>
      </w:pPr>
    </w:p>
    <w:p w14:paraId="7FBA2A52">
      <w:pPr>
        <w:widowControl w:val="0"/>
        <w:jc w:val="both"/>
        <w:rPr>
          <w:rFonts w:hint="eastAsia" w:ascii="宋体" w:hAnsi="宋体" w:eastAsia="宋体" w:cs="宋体"/>
          <w:kern w:val="2"/>
          <w:sz w:val="24"/>
          <w:szCs w:val="24"/>
          <w:lang w:val="en-US" w:eastAsia="zh-CN" w:bidi="ar-SA"/>
        </w:rPr>
      </w:pPr>
    </w:p>
    <w:p w14:paraId="0CDD5127">
      <w:pPr>
        <w:widowControl w:val="0"/>
        <w:jc w:val="both"/>
        <w:rPr>
          <w:rFonts w:hint="eastAsia" w:ascii="宋体" w:hAnsi="宋体" w:eastAsia="宋体" w:cs="宋体"/>
          <w:kern w:val="2"/>
          <w:sz w:val="24"/>
          <w:szCs w:val="24"/>
          <w:lang w:val="en-US" w:eastAsia="zh-CN" w:bidi="ar-SA"/>
        </w:rPr>
      </w:pPr>
    </w:p>
    <w:p w14:paraId="298307A2">
      <w:pPr>
        <w:widowControl w:val="0"/>
        <w:jc w:val="both"/>
        <w:rPr>
          <w:rFonts w:hint="eastAsia" w:ascii="宋体" w:hAnsi="宋体" w:eastAsia="宋体" w:cs="宋体"/>
          <w:kern w:val="2"/>
          <w:sz w:val="24"/>
          <w:szCs w:val="24"/>
          <w:lang w:val="en-US" w:eastAsia="zh-CN" w:bidi="ar-SA"/>
        </w:rPr>
      </w:pPr>
    </w:p>
    <w:p w14:paraId="733142C3">
      <w:pPr>
        <w:widowControl w:val="0"/>
        <w:jc w:val="both"/>
        <w:rPr>
          <w:rFonts w:hint="eastAsia" w:ascii="宋体" w:hAnsi="宋体" w:eastAsia="宋体" w:cs="宋体"/>
          <w:kern w:val="2"/>
          <w:sz w:val="24"/>
          <w:szCs w:val="24"/>
          <w:lang w:val="en-US" w:eastAsia="zh-CN" w:bidi="ar-SA"/>
        </w:rPr>
      </w:pPr>
    </w:p>
    <w:p w14:paraId="5FEAC923">
      <w:pPr>
        <w:widowControl w:val="0"/>
        <w:jc w:val="both"/>
        <w:rPr>
          <w:rFonts w:hint="eastAsia" w:ascii="宋体" w:hAnsi="宋体" w:eastAsia="宋体" w:cs="宋体"/>
          <w:kern w:val="2"/>
          <w:sz w:val="24"/>
          <w:szCs w:val="24"/>
          <w:lang w:val="en-US" w:eastAsia="zh-CN" w:bidi="ar-SA"/>
        </w:rPr>
      </w:pPr>
    </w:p>
    <w:p w14:paraId="3596B3C0">
      <w:pPr>
        <w:widowControl w:val="0"/>
        <w:jc w:val="both"/>
        <w:rPr>
          <w:rFonts w:hint="eastAsia" w:ascii="宋体" w:hAnsi="宋体" w:eastAsia="宋体" w:cs="宋体"/>
          <w:kern w:val="2"/>
          <w:sz w:val="24"/>
          <w:szCs w:val="24"/>
          <w:lang w:val="en-US" w:eastAsia="zh-CN" w:bidi="ar-SA"/>
        </w:rPr>
      </w:pPr>
    </w:p>
    <w:p w14:paraId="0F1CF324">
      <w:pPr>
        <w:widowControl w:val="0"/>
        <w:jc w:val="both"/>
        <w:rPr>
          <w:rFonts w:hint="eastAsia" w:ascii="宋体" w:hAnsi="宋体" w:eastAsia="宋体" w:cs="宋体"/>
          <w:kern w:val="2"/>
          <w:sz w:val="24"/>
          <w:szCs w:val="24"/>
          <w:lang w:val="en-US" w:eastAsia="zh-CN" w:bidi="ar-SA"/>
        </w:rPr>
      </w:pPr>
    </w:p>
    <w:p w14:paraId="5FA0BDB9">
      <w:pPr>
        <w:widowControl w:val="0"/>
        <w:jc w:val="both"/>
        <w:rPr>
          <w:rFonts w:hint="eastAsia" w:ascii="宋体" w:hAnsi="宋体" w:eastAsia="宋体" w:cs="宋体"/>
          <w:kern w:val="2"/>
          <w:sz w:val="24"/>
          <w:szCs w:val="24"/>
          <w:lang w:val="en-US" w:eastAsia="zh-CN" w:bidi="ar-SA"/>
        </w:rPr>
      </w:pPr>
    </w:p>
    <w:bookmarkEnd w:id="301"/>
    <w:bookmarkEnd w:id="302"/>
    <w:p w14:paraId="7A52239D">
      <w:pPr>
        <w:jc w:val="left"/>
        <w:rPr>
          <w:rFonts w:hint="eastAsia" w:ascii="宋体" w:hAnsi="宋体" w:cs="宋体"/>
          <w:sz w:val="30"/>
          <w:szCs w:val="30"/>
        </w:rPr>
      </w:pPr>
      <w:r>
        <w:rPr>
          <w:rFonts w:hint="eastAsia" w:ascii="宋体" w:hAnsi="宋体" w:cs="宋体"/>
          <w:sz w:val="30"/>
          <w:szCs w:val="30"/>
        </w:rPr>
        <w:t>表八</w:t>
      </w:r>
    </w:p>
    <w:p w14:paraId="4FF4E3A9">
      <w:pPr>
        <w:widowControl/>
        <w:shd w:val="clear" w:color="auto" w:fill="FFFFFF"/>
        <w:spacing w:before="0" w:beforeAutospacing="0" w:after="0" w:afterAutospacing="0" w:line="600" w:lineRule="atLeast"/>
        <w:ind w:firstLine="645"/>
        <w:jc w:val="center"/>
        <w:rPr>
          <w:rFonts w:hint="eastAsia" w:ascii="宋体" w:hAnsi="宋体" w:eastAsia="方正小标宋简体" w:cs="宋体"/>
          <w:kern w:val="0"/>
          <w:sz w:val="21"/>
          <w:szCs w:val="21"/>
          <w:lang w:val="en-US" w:eastAsia="zh-CN" w:bidi="ar-SA"/>
        </w:rPr>
      </w:pPr>
      <w:r>
        <w:rPr>
          <w:rFonts w:ascii="方正小标宋简体" w:hAnsi="方正小标宋简体" w:eastAsia="方正小标宋简体" w:cs="方正小标宋简体"/>
          <w:kern w:val="0"/>
          <w:sz w:val="43"/>
          <w:szCs w:val="43"/>
          <w:shd w:val="clear" w:color="auto" w:fill="FFFFFF"/>
          <w:lang w:val="en-US" w:eastAsia="zh-CN" w:bidi="ar-SA"/>
        </w:rPr>
        <w:t>质疑函</w:t>
      </w:r>
      <w:r>
        <w:rPr>
          <w:rFonts w:hint="eastAsia" w:ascii="方正小标宋简体" w:hAnsi="方正小标宋简体" w:eastAsia="方正小标宋简体" w:cs="方正小标宋简体"/>
          <w:kern w:val="0"/>
          <w:sz w:val="43"/>
          <w:szCs w:val="43"/>
          <w:shd w:val="clear" w:color="auto" w:fill="FFFFFF"/>
          <w:lang w:val="en-US" w:eastAsia="zh-CN" w:bidi="ar-SA"/>
        </w:rPr>
        <w:t>范本</w:t>
      </w:r>
    </w:p>
    <w:tbl>
      <w:tblPr>
        <w:tblStyle w:val="18"/>
        <w:tblW w:w="8516" w:type="dxa"/>
        <w:tblInd w:w="0" w:type="dxa"/>
        <w:shd w:val="clear" w:color="auto" w:fill="FFFFFF"/>
        <w:tblLayout w:type="fixed"/>
        <w:tblCellMar>
          <w:top w:w="0" w:type="dxa"/>
          <w:left w:w="0" w:type="dxa"/>
          <w:bottom w:w="0" w:type="dxa"/>
          <w:right w:w="0" w:type="dxa"/>
        </w:tblCellMar>
      </w:tblPr>
      <w:tblGrid>
        <w:gridCol w:w="813"/>
        <w:gridCol w:w="1238"/>
        <w:gridCol w:w="724"/>
        <w:gridCol w:w="1358"/>
        <w:gridCol w:w="1761"/>
        <w:gridCol w:w="935"/>
        <w:gridCol w:w="1687"/>
      </w:tblGrid>
      <w:tr w14:paraId="018BBE10">
        <w:tblPrEx>
          <w:shd w:val="clear" w:color="auto" w:fill="FFFFFF"/>
          <w:tblCellMar>
            <w:top w:w="0" w:type="dxa"/>
            <w:left w:w="0" w:type="dxa"/>
            <w:bottom w:w="0" w:type="dxa"/>
            <w:right w:w="0" w:type="dxa"/>
          </w:tblCellMar>
        </w:tblPrEx>
        <w:trPr>
          <w:trHeight w:val="390" w:hRule="atLeast"/>
        </w:trPr>
        <w:tc>
          <w:tcPr>
            <w:tcW w:w="81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3021F02">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质疑项目</w:t>
            </w:r>
          </w:p>
          <w:p w14:paraId="5F3D9759">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基本情况</w:t>
            </w: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C21D9D9">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项目名称</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E9707D4">
            <w:pPr>
              <w:rPr>
                <w:rFonts w:hint="eastAsia" w:ascii="宋体" w:hAnsi="宋体" w:cs="宋体"/>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58094EB">
            <w:pPr>
              <w:rPr>
                <w:rFonts w:hint="eastAsia" w:ascii="宋体" w:hAnsi="宋体" w:cs="宋体"/>
              </w:rPr>
            </w:pP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EE48015">
            <w:pPr>
              <w:rPr>
                <w:rFonts w:hint="eastAsia" w:ascii="宋体" w:hAnsi="宋体" w:cs="宋体"/>
              </w:rPr>
            </w:pPr>
          </w:p>
        </w:tc>
      </w:tr>
      <w:tr w14:paraId="1F21E949">
        <w:tblPrEx>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9C93C47">
            <w:pPr>
              <w:rPr>
                <w:rFonts w:hint="eastAsia" w:ascii="宋体" w:hAnsi="宋体" w:cs="宋体"/>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AD27BD2">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项目编号</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43EEF4D">
            <w:pPr>
              <w:rPr>
                <w:rFonts w:hint="eastAsia" w:ascii="宋体" w:hAnsi="宋体" w:cs="宋体"/>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C7EF3B5">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包  号</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2353841">
            <w:pPr>
              <w:rPr>
                <w:rFonts w:hint="eastAsia" w:ascii="宋体" w:hAnsi="宋体" w:cs="宋体"/>
              </w:rPr>
            </w:pPr>
          </w:p>
        </w:tc>
      </w:tr>
      <w:tr w14:paraId="4AFB4952">
        <w:tblPrEx>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8C43158">
            <w:pPr>
              <w:rPr>
                <w:rFonts w:hint="eastAsia" w:ascii="宋体" w:hAnsi="宋体" w:cs="宋体"/>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7713596">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采购人名称</w:t>
            </w:r>
          </w:p>
        </w:tc>
        <w:tc>
          <w:tcPr>
            <w:tcW w:w="6465"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46A7392">
            <w:pPr>
              <w:rPr>
                <w:rFonts w:hint="eastAsia" w:ascii="宋体" w:hAnsi="宋体" w:cs="宋体"/>
              </w:rPr>
            </w:pPr>
          </w:p>
        </w:tc>
      </w:tr>
      <w:tr w14:paraId="31441228">
        <w:tblPrEx>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6435B75">
            <w:pPr>
              <w:rPr>
                <w:rFonts w:hint="eastAsia" w:ascii="宋体" w:hAnsi="宋体" w:cs="宋体"/>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F1ABD22">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采购公告时间</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97D6ADB">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u w:val="single"/>
                <w:lang w:val="en-US" w:eastAsia="zh-CN" w:bidi="ar-SA"/>
              </w:rPr>
              <w:t>    </w:t>
            </w:r>
            <w:r>
              <w:rPr>
                <w:rFonts w:ascii="方正仿宋简体" w:hAnsi="方正仿宋简体" w:eastAsia="方正仿宋简体" w:cs="方正仿宋简体"/>
                <w:kern w:val="0"/>
                <w:sz w:val="21"/>
                <w:szCs w:val="21"/>
                <w:lang w:val="en-US" w:eastAsia="zh-CN" w:bidi="ar-SA"/>
              </w:rPr>
              <w:t>年</w:t>
            </w:r>
            <w:r>
              <w:rPr>
                <w:rFonts w:ascii="方正仿宋简体" w:hAnsi="方正仿宋简体" w:eastAsia="方正仿宋简体" w:cs="方正仿宋简体"/>
                <w:kern w:val="0"/>
                <w:sz w:val="21"/>
                <w:szCs w:val="21"/>
                <w:u w:val="single"/>
                <w:lang w:val="en-US" w:eastAsia="zh-CN" w:bidi="ar-SA"/>
              </w:rPr>
              <w:t>  </w:t>
            </w:r>
            <w:r>
              <w:rPr>
                <w:rFonts w:ascii="方正仿宋简体" w:hAnsi="方正仿宋简体" w:eastAsia="方正仿宋简体" w:cs="方正仿宋简体"/>
                <w:kern w:val="0"/>
                <w:sz w:val="21"/>
                <w:szCs w:val="21"/>
                <w:lang w:val="en-US" w:eastAsia="zh-CN" w:bidi="ar-SA"/>
              </w:rPr>
              <w:t>月</w:t>
            </w:r>
            <w:r>
              <w:rPr>
                <w:rFonts w:ascii="方正仿宋简体" w:hAnsi="方正仿宋简体" w:eastAsia="方正仿宋简体" w:cs="方正仿宋简体"/>
                <w:kern w:val="0"/>
                <w:sz w:val="21"/>
                <w:szCs w:val="21"/>
                <w:u w:val="single"/>
                <w:lang w:val="en-US" w:eastAsia="zh-CN" w:bidi="ar-SA"/>
              </w:rPr>
              <w:t>  </w:t>
            </w:r>
            <w:r>
              <w:rPr>
                <w:rFonts w:ascii="方正仿宋简体" w:hAnsi="方正仿宋简体" w:eastAsia="方正仿宋简体" w:cs="方正仿宋简体"/>
                <w:kern w:val="0"/>
                <w:sz w:val="21"/>
                <w:szCs w:val="21"/>
                <w:lang w:val="en-US" w:eastAsia="zh-CN" w:bidi="ar-SA"/>
              </w:rPr>
              <w:t>日</w:t>
            </w: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51B0A84">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中标（成交）公告时间</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F3359D8">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u w:val="single"/>
                <w:lang w:val="en-US" w:eastAsia="zh-CN" w:bidi="ar-SA"/>
              </w:rPr>
              <w:t>    </w:t>
            </w:r>
            <w:r>
              <w:rPr>
                <w:rFonts w:ascii="方正仿宋简体" w:hAnsi="方正仿宋简体" w:eastAsia="方正仿宋简体" w:cs="方正仿宋简体"/>
                <w:kern w:val="0"/>
                <w:sz w:val="21"/>
                <w:szCs w:val="21"/>
                <w:lang w:val="en-US" w:eastAsia="zh-CN" w:bidi="ar-SA"/>
              </w:rPr>
              <w:t>年</w:t>
            </w:r>
            <w:r>
              <w:rPr>
                <w:rFonts w:ascii="方正仿宋简体" w:hAnsi="方正仿宋简体" w:eastAsia="方正仿宋简体" w:cs="方正仿宋简体"/>
                <w:kern w:val="0"/>
                <w:sz w:val="21"/>
                <w:szCs w:val="21"/>
                <w:u w:val="single"/>
                <w:lang w:val="en-US" w:eastAsia="zh-CN" w:bidi="ar-SA"/>
              </w:rPr>
              <w:t>  </w:t>
            </w:r>
            <w:r>
              <w:rPr>
                <w:rFonts w:ascii="方正仿宋简体" w:hAnsi="方正仿宋简体" w:eastAsia="方正仿宋简体" w:cs="方正仿宋简体"/>
                <w:kern w:val="0"/>
                <w:sz w:val="21"/>
                <w:szCs w:val="21"/>
                <w:lang w:val="en-US" w:eastAsia="zh-CN" w:bidi="ar-SA"/>
              </w:rPr>
              <w:t>月</w:t>
            </w:r>
            <w:r>
              <w:rPr>
                <w:rFonts w:ascii="方正仿宋简体" w:hAnsi="方正仿宋简体" w:eastAsia="方正仿宋简体" w:cs="方正仿宋简体"/>
                <w:kern w:val="0"/>
                <w:sz w:val="21"/>
                <w:szCs w:val="21"/>
                <w:u w:val="single"/>
                <w:lang w:val="en-US" w:eastAsia="zh-CN" w:bidi="ar-SA"/>
              </w:rPr>
              <w:t>  </w:t>
            </w:r>
            <w:r>
              <w:rPr>
                <w:rFonts w:ascii="方正仿宋简体" w:hAnsi="方正仿宋简体" w:eastAsia="方正仿宋简体" w:cs="方正仿宋简体"/>
                <w:kern w:val="0"/>
                <w:sz w:val="21"/>
                <w:szCs w:val="21"/>
                <w:lang w:val="en-US" w:eastAsia="zh-CN" w:bidi="ar-SA"/>
              </w:rPr>
              <w:t>日</w:t>
            </w:r>
          </w:p>
        </w:tc>
      </w:tr>
      <w:tr w14:paraId="1C7A660E">
        <w:tblPrEx>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3BEFDB6">
            <w:pPr>
              <w:rPr>
                <w:rFonts w:hint="eastAsia" w:ascii="宋体" w:hAnsi="宋体" w:cs="宋体"/>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2F3197E">
            <w:pPr>
              <w:widowControl/>
              <w:spacing w:before="0" w:beforeAutospacing="0" w:after="0" w:afterAutospacing="0" w:line="300" w:lineRule="atLeast"/>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更正公告时间</w:t>
            </w:r>
          </w:p>
          <w:p w14:paraId="48F5FD47">
            <w:pPr>
              <w:widowControl/>
              <w:spacing w:before="0" w:beforeAutospacing="0" w:after="0" w:afterAutospacing="0" w:line="300" w:lineRule="atLeast"/>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（包含采购文件和采购结果更正公告）</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5F84D2A">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u w:val="single"/>
                <w:lang w:val="en-US" w:eastAsia="zh-CN" w:bidi="ar-SA"/>
              </w:rPr>
              <w:t>    </w:t>
            </w:r>
            <w:r>
              <w:rPr>
                <w:rFonts w:ascii="方正仿宋简体" w:hAnsi="方正仿宋简体" w:eastAsia="方正仿宋简体" w:cs="方正仿宋简体"/>
                <w:kern w:val="0"/>
                <w:sz w:val="21"/>
                <w:szCs w:val="21"/>
                <w:lang w:val="en-US" w:eastAsia="zh-CN" w:bidi="ar-SA"/>
              </w:rPr>
              <w:t>年</w:t>
            </w:r>
            <w:r>
              <w:rPr>
                <w:rFonts w:ascii="方正仿宋简体" w:hAnsi="方正仿宋简体" w:eastAsia="方正仿宋简体" w:cs="方正仿宋简体"/>
                <w:kern w:val="0"/>
                <w:sz w:val="21"/>
                <w:szCs w:val="21"/>
                <w:u w:val="single"/>
                <w:lang w:val="en-US" w:eastAsia="zh-CN" w:bidi="ar-SA"/>
              </w:rPr>
              <w:t>  </w:t>
            </w:r>
            <w:r>
              <w:rPr>
                <w:rFonts w:ascii="方正仿宋简体" w:hAnsi="方正仿宋简体" w:eastAsia="方正仿宋简体" w:cs="方正仿宋简体"/>
                <w:kern w:val="0"/>
                <w:sz w:val="21"/>
                <w:szCs w:val="21"/>
                <w:lang w:val="en-US" w:eastAsia="zh-CN" w:bidi="ar-SA"/>
              </w:rPr>
              <w:t>月</w:t>
            </w:r>
            <w:r>
              <w:rPr>
                <w:rFonts w:ascii="方正仿宋简体" w:hAnsi="方正仿宋简体" w:eastAsia="方正仿宋简体" w:cs="方正仿宋简体"/>
                <w:kern w:val="0"/>
                <w:sz w:val="21"/>
                <w:szCs w:val="21"/>
                <w:u w:val="single"/>
                <w:lang w:val="en-US" w:eastAsia="zh-CN" w:bidi="ar-SA"/>
              </w:rPr>
              <w:t>  </w:t>
            </w:r>
            <w:r>
              <w:rPr>
                <w:rFonts w:ascii="方正仿宋简体" w:hAnsi="方正仿宋简体" w:eastAsia="方正仿宋简体" w:cs="方正仿宋简体"/>
                <w:kern w:val="0"/>
                <w:sz w:val="21"/>
                <w:szCs w:val="21"/>
                <w:lang w:val="en-US" w:eastAsia="zh-CN" w:bidi="ar-SA"/>
              </w:rPr>
              <w:t>日</w:t>
            </w: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77EA84B">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终止公告时间（包含废标和采购任务取消）</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B1380DA">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u w:val="single"/>
                <w:lang w:val="en-US" w:eastAsia="zh-CN" w:bidi="ar-SA"/>
              </w:rPr>
              <w:t>    </w:t>
            </w:r>
            <w:r>
              <w:rPr>
                <w:rFonts w:ascii="方正仿宋简体" w:hAnsi="方正仿宋简体" w:eastAsia="方正仿宋简体" w:cs="方正仿宋简体"/>
                <w:kern w:val="0"/>
                <w:sz w:val="21"/>
                <w:szCs w:val="21"/>
                <w:lang w:val="en-US" w:eastAsia="zh-CN" w:bidi="ar-SA"/>
              </w:rPr>
              <w:t>年</w:t>
            </w:r>
            <w:r>
              <w:rPr>
                <w:rFonts w:ascii="方正仿宋简体" w:hAnsi="方正仿宋简体" w:eastAsia="方正仿宋简体" w:cs="方正仿宋简体"/>
                <w:kern w:val="0"/>
                <w:sz w:val="21"/>
                <w:szCs w:val="21"/>
                <w:u w:val="single"/>
                <w:lang w:val="en-US" w:eastAsia="zh-CN" w:bidi="ar-SA"/>
              </w:rPr>
              <w:t>  </w:t>
            </w:r>
            <w:r>
              <w:rPr>
                <w:rFonts w:ascii="方正仿宋简体" w:hAnsi="方正仿宋简体" w:eastAsia="方正仿宋简体" w:cs="方正仿宋简体"/>
                <w:kern w:val="0"/>
                <w:sz w:val="21"/>
                <w:szCs w:val="21"/>
                <w:lang w:val="en-US" w:eastAsia="zh-CN" w:bidi="ar-SA"/>
              </w:rPr>
              <w:t>月</w:t>
            </w:r>
            <w:r>
              <w:rPr>
                <w:rFonts w:ascii="方正仿宋简体" w:hAnsi="方正仿宋简体" w:eastAsia="方正仿宋简体" w:cs="方正仿宋简体"/>
                <w:kern w:val="0"/>
                <w:sz w:val="21"/>
                <w:szCs w:val="21"/>
                <w:u w:val="single"/>
                <w:lang w:val="en-US" w:eastAsia="zh-CN" w:bidi="ar-SA"/>
              </w:rPr>
              <w:t>  </w:t>
            </w:r>
            <w:r>
              <w:rPr>
                <w:rFonts w:ascii="方正仿宋简体" w:hAnsi="方正仿宋简体" w:eastAsia="方正仿宋简体" w:cs="方正仿宋简体"/>
                <w:kern w:val="0"/>
                <w:sz w:val="21"/>
                <w:szCs w:val="21"/>
                <w:lang w:val="en-US" w:eastAsia="zh-CN" w:bidi="ar-SA"/>
              </w:rPr>
              <w:t>日</w:t>
            </w:r>
          </w:p>
        </w:tc>
      </w:tr>
      <w:tr w14:paraId="54783413">
        <w:tblPrEx>
          <w:shd w:val="clear" w:color="auto" w:fill="FFFFFF"/>
          <w:tblCellMar>
            <w:top w:w="0" w:type="dxa"/>
            <w:left w:w="0" w:type="dxa"/>
            <w:bottom w:w="0" w:type="dxa"/>
            <w:right w:w="0" w:type="dxa"/>
          </w:tblCellMar>
        </w:tblPrEx>
        <w:trPr>
          <w:trHeight w:val="390" w:hRule="atLeast"/>
        </w:trPr>
        <w:tc>
          <w:tcPr>
            <w:tcW w:w="81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0BE3EA9">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质疑供应商基本信息</w:t>
            </w: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594962B">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单位名称</w:t>
            </w:r>
          </w:p>
        </w:tc>
        <w:tc>
          <w:tcPr>
            <w:tcW w:w="6465"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D7651D9">
            <w:pPr>
              <w:rPr>
                <w:rFonts w:hint="eastAsia" w:ascii="宋体" w:hAnsi="宋体" w:cs="宋体"/>
              </w:rPr>
            </w:pPr>
          </w:p>
        </w:tc>
      </w:tr>
      <w:tr w14:paraId="7B7311AC">
        <w:tblPrEx>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FAB5840">
            <w:pPr>
              <w:rPr>
                <w:rFonts w:hint="eastAsia" w:ascii="宋体" w:hAnsi="宋体" w:cs="宋体"/>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1CDA83F">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地址</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FC9DE08">
            <w:pPr>
              <w:rPr>
                <w:rFonts w:hint="eastAsia" w:ascii="宋体" w:hAnsi="宋体" w:cs="宋体"/>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DD9EBA5">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邮编</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46977D3">
            <w:pPr>
              <w:rPr>
                <w:rFonts w:hint="eastAsia" w:ascii="宋体" w:hAnsi="宋体" w:cs="宋体"/>
              </w:rPr>
            </w:pPr>
          </w:p>
        </w:tc>
      </w:tr>
      <w:tr w14:paraId="18B67818">
        <w:tblPrEx>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B7E8D91">
            <w:pPr>
              <w:rPr>
                <w:rFonts w:hint="eastAsia" w:ascii="宋体" w:hAnsi="宋体" w:cs="宋体"/>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901E6FE">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联系人</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EDB5FE1">
            <w:pPr>
              <w:rPr>
                <w:rFonts w:hint="eastAsia" w:ascii="宋体" w:hAnsi="宋体" w:cs="宋体"/>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9B61286">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联系电话</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FC30C74">
            <w:pPr>
              <w:rPr>
                <w:rFonts w:hint="eastAsia" w:ascii="宋体" w:hAnsi="宋体" w:cs="宋体"/>
              </w:rPr>
            </w:pPr>
          </w:p>
        </w:tc>
      </w:tr>
      <w:tr w14:paraId="0FF17BFA">
        <w:tblPrEx>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DE27ED2">
            <w:pPr>
              <w:rPr>
                <w:rFonts w:hint="eastAsia" w:ascii="宋体" w:hAnsi="宋体" w:cs="宋体"/>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0B123D6">
            <w:pPr>
              <w:widowControl/>
              <w:spacing w:before="0" w:beforeAutospacing="0" w:after="0" w:afterAutospacing="0" w:line="240" w:lineRule="atLeast"/>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授权代表</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B56E3EA">
            <w:pPr>
              <w:rPr>
                <w:rFonts w:hint="eastAsia" w:ascii="宋体" w:hAnsi="宋体" w:cs="宋体"/>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7946053">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联系电话</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B07F3C5">
            <w:pPr>
              <w:rPr>
                <w:rFonts w:hint="eastAsia" w:ascii="宋体" w:hAnsi="宋体" w:cs="宋体"/>
              </w:rPr>
            </w:pPr>
          </w:p>
        </w:tc>
      </w:tr>
      <w:tr w14:paraId="2B09B458">
        <w:tblPrEx>
          <w:shd w:val="clear" w:color="auto" w:fill="FFFFFF"/>
          <w:tblCellMar>
            <w:top w:w="0" w:type="dxa"/>
            <w:left w:w="0" w:type="dxa"/>
            <w:bottom w:w="0" w:type="dxa"/>
            <w:right w:w="0" w:type="dxa"/>
          </w:tblCellMar>
        </w:tblPrEx>
        <w:tc>
          <w:tcPr>
            <w:tcW w:w="81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1D7A46E">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质疑事项及相关请求（纸张不够另附）</w:t>
            </w: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66F2C80">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分    类</w:t>
            </w:r>
          </w:p>
        </w:tc>
        <w:tc>
          <w:tcPr>
            <w:tcW w:w="6465"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6539403A">
            <w:pPr>
              <w:widowControl/>
              <w:spacing w:before="0" w:beforeAutospacing="0" w:after="0" w:afterAutospacing="0"/>
              <w:jc w:val="both"/>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 采购文件 □ 采购过程 □ 中标或成交结果</w:t>
            </w:r>
          </w:p>
        </w:tc>
      </w:tr>
      <w:tr w14:paraId="249FEE10">
        <w:tblPrEx>
          <w:shd w:val="clear" w:color="auto" w:fill="FFFFFF"/>
          <w:tblCellMar>
            <w:top w:w="0" w:type="dxa"/>
            <w:left w:w="0" w:type="dxa"/>
            <w:bottom w:w="0" w:type="dxa"/>
            <w:right w:w="0" w:type="dxa"/>
          </w:tblCellMar>
        </w:tblPrEx>
        <w:trPr>
          <w:trHeight w:val="1125"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76B5620">
            <w:pPr>
              <w:rPr>
                <w:rFonts w:hint="eastAsia" w:ascii="宋体" w:hAnsi="宋体" w:cs="宋体"/>
              </w:rPr>
            </w:pPr>
          </w:p>
        </w:tc>
        <w:tc>
          <w:tcPr>
            <w:tcW w:w="7703"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628122D6">
            <w:pPr>
              <w:widowControl/>
              <w:spacing w:before="0" w:beforeAutospacing="0" w:after="0" w:afterAutospacing="0"/>
              <w:jc w:val="left"/>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请逐条列明质疑事项、事实依据和法律依据，并提供必要的证明材料。</w:t>
            </w:r>
          </w:p>
          <w:p w14:paraId="34BF65F0">
            <w:pPr>
              <w:widowControl/>
              <w:spacing w:before="0" w:beforeAutospacing="0" w:after="0" w:afterAutospacing="0"/>
              <w:jc w:val="left"/>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质疑事项</w:t>
            </w:r>
            <w:r>
              <w:rPr>
                <w:rFonts w:hint="eastAsia" w:ascii="宋体" w:hAnsi="宋体" w:eastAsia="宋体" w:cs="宋体"/>
                <w:kern w:val="0"/>
                <w:sz w:val="21"/>
                <w:szCs w:val="21"/>
                <w:lang w:val="en-US" w:eastAsia="zh-CN" w:bidi="ar-SA"/>
              </w:rPr>
              <w:t>1</w:t>
            </w:r>
            <w:r>
              <w:rPr>
                <w:rFonts w:ascii="方正仿宋简体" w:hAnsi="方正仿宋简体" w:eastAsia="方正仿宋简体" w:cs="方正仿宋简体"/>
                <w:kern w:val="0"/>
                <w:sz w:val="21"/>
                <w:szCs w:val="21"/>
                <w:lang w:val="en-US" w:eastAsia="zh-CN" w:bidi="ar-SA"/>
              </w:rPr>
              <w:t>：</w:t>
            </w:r>
          </w:p>
          <w:p w14:paraId="373ED311">
            <w:pPr>
              <w:widowControl/>
              <w:spacing w:before="0" w:beforeAutospacing="0" w:after="0" w:afterAutospacing="0"/>
              <w:jc w:val="left"/>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事实依据：</w:t>
            </w:r>
          </w:p>
          <w:p w14:paraId="394D9E82">
            <w:pPr>
              <w:widowControl/>
              <w:spacing w:before="0" w:beforeAutospacing="0" w:after="0" w:afterAutospacing="0"/>
              <w:jc w:val="left"/>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法律依据：</w:t>
            </w:r>
          </w:p>
          <w:p w14:paraId="09101AF0">
            <w:pPr>
              <w:widowControl/>
              <w:spacing w:before="0" w:beforeAutospacing="0" w:after="0" w:afterAutospacing="0"/>
              <w:jc w:val="left"/>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相关请求：</w:t>
            </w:r>
          </w:p>
          <w:p w14:paraId="14C04C82">
            <w:pPr>
              <w:widowControl/>
              <w:spacing w:before="0" w:beforeAutospacing="0" w:after="0" w:afterAutospacing="0"/>
              <w:jc w:val="left"/>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质疑事项</w:t>
            </w:r>
            <w:r>
              <w:rPr>
                <w:rFonts w:hint="eastAsia" w:ascii="宋体" w:hAnsi="宋体" w:eastAsia="宋体" w:cs="宋体"/>
                <w:kern w:val="0"/>
                <w:sz w:val="21"/>
                <w:szCs w:val="21"/>
                <w:lang w:val="en-US" w:eastAsia="zh-CN" w:bidi="ar-SA"/>
              </w:rPr>
              <w:t>2</w:t>
            </w:r>
          </w:p>
          <w:p w14:paraId="52578B25">
            <w:pPr>
              <w:widowControl/>
              <w:spacing w:before="0" w:beforeAutospacing="0" w:after="0" w:afterAutospacing="0"/>
              <w:jc w:val="left"/>
              <w:rPr>
                <w:rFonts w:ascii="宋体" w:hAnsi="宋体" w:eastAsia="宋体" w:cs="宋体"/>
                <w:kern w:val="0"/>
                <w:sz w:val="24"/>
                <w:szCs w:val="24"/>
                <w:lang w:val="en-US" w:eastAsia="zh-CN" w:bidi="ar-SA"/>
              </w:rPr>
            </w:pPr>
            <w:r>
              <w:rPr>
                <w:rFonts w:hint="eastAsia" w:ascii="方正仿宋简体" w:hAnsi="方正仿宋简体" w:eastAsia="方正仿宋简体" w:cs="方正仿宋简体"/>
                <w:kern w:val="0"/>
                <w:sz w:val="21"/>
                <w:szCs w:val="21"/>
                <w:lang w:val="en-US" w:eastAsia="zh-CN" w:bidi="ar-SA"/>
              </w:rPr>
              <w:t>……</w:t>
            </w:r>
          </w:p>
        </w:tc>
      </w:tr>
      <w:tr w14:paraId="7EF0142A">
        <w:tblPrEx>
          <w:shd w:val="clear" w:color="auto" w:fill="FFFFFF"/>
          <w:tblCellMar>
            <w:top w:w="0" w:type="dxa"/>
            <w:left w:w="0" w:type="dxa"/>
            <w:bottom w:w="0" w:type="dxa"/>
            <w:right w:w="0" w:type="dxa"/>
          </w:tblCellMar>
        </w:tblPrEx>
        <w:trPr>
          <w:trHeight w:val="435" w:hRule="atLeast"/>
        </w:trPr>
        <w:tc>
          <w:tcPr>
            <w:tcW w:w="81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B1FF428">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签字</w:t>
            </w:r>
          </w:p>
          <w:p w14:paraId="414FBFD6">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或盖人名章</w:t>
            </w:r>
          </w:p>
        </w:tc>
        <w:tc>
          <w:tcPr>
            <w:tcW w:w="1962"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BE615D4">
            <w:pPr>
              <w:rPr>
                <w:rFonts w:hint="eastAsia" w:ascii="宋体" w:hAnsi="宋体" w:cs="宋体"/>
              </w:rPr>
            </w:pPr>
          </w:p>
        </w:tc>
        <w:tc>
          <w:tcPr>
            <w:tcW w:w="311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D91991C">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公章</w:t>
            </w:r>
          </w:p>
        </w:tc>
        <w:tc>
          <w:tcPr>
            <w:tcW w:w="26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6C22D1C6">
            <w:pPr>
              <w:rPr>
                <w:rFonts w:hint="eastAsia" w:ascii="宋体" w:hAnsi="宋体" w:cs="宋体"/>
              </w:rPr>
            </w:pPr>
          </w:p>
        </w:tc>
      </w:tr>
      <w:tr w14:paraId="6B6AA710">
        <w:tblPrEx>
          <w:shd w:val="clear" w:color="auto" w:fill="FFFFFF"/>
          <w:tblCellMar>
            <w:top w:w="0" w:type="dxa"/>
            <w:left w:w="0" w:type="dxa"/>
            <w:bottom w:w="0" w:type="dxa"/>
            <w:right w:w="0" w:type="dxa"/>
          </w:tblCellMar>
        </w:tblPrEx>
        <w:trPr>
          <w:trHeight w:val="36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D9CB7A8">
            <w:pPr>
              <w:rPr>
                <w:rFonts w:hint="eastAsia" w:ascii="宋体" w:hAnsi="宋体" w:cs="宋体"/>
              </w:rPr>
            </w:pPr>
          </w:p>
        </w:tc>
        <w:tc>
          <w:tcPr>
            <w:tcW w:w="1962"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B21B828">
            <w:pPr>
              <w:rPr>
                <w:rFonts w:hint="eastAsia" w:ascii="宋体" w:hAnsi="宋体" w:cs="宋体"/>
              </w:rPr>
            </w:pPr>
          </w:p>
        </w:tc>
        <w:tc>
          <w:tcPr>
            <w:tcW w:w="311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06D6102">
            <w:pPr>
              <w:widowControl/>
              <w:spacing w:before="0" w:beforeAutospacing="0" w:after="0" w:afterAutospacing="0"/>
              <w:jc w:val="center"/>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日期</w:t>
            </w:r>
          </w:p>
        </w:tc>
        <w:tc>
          <w:tcPr>
            <w:tcW w:w="26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F761673">
            <w:pPr>
              <w:rPr>
                <w:rFonts w:hint="eastAsia" w:ascii="宋体" w:hAnsi="宋体" w:cs="宋体"/>
              </w:rPr>
            </w:pPr>
          </w:p>
        </w:tc>
      </w:tr>
      <w:tr w14:paraId="0F03FAEA">
        <w:tblPrEx>
          <w:shd w:val="clear" w:color="auto" w:fill="FFFFFF"/>
          <w:tblCellMar>
            <w:top w:w="0" w:type="dxa"/>
            <w:left w:w="0" w:type="dxa"/>
            <w:bottom w:w="0" w:type="dxa"/>
            <w:right w:w="0" w:type="dxa"/>
          </w:tblCellMar>
        </w:tblPrEx>
        <w:trPr>
          <w:trHeight w:val="570" w:hRule="atLeast"/>
        </w:trPr>
        <w:tc>
          <w:tcPr>
            <w:tcW w:w="8516"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0AF4AE7">
            <w:pPr>
              <w:widowControl/>
              <w:spacing w:before="0" w:beforeAutospacing="0" w:after="0" w:afterAutospacing="0" w:line="400" w:lineRule="exact"/>
              <w:jc w:val="left"/>
              <w:rPr>
                <w:rFonts w:ascii="宋体" w:hAnsi="宋体" w:eastAsia="宋体" w:cs="宋体"/>
                <w:kern w:val="0"/>
                <w:sz w:val="24"/>
                <w:szCs w:val="24"/>
                <w:lang w:val="en-US" w:eastAsia="zh-CN" w:bidi="ar-SA"/>
              </w:rPr>
            </w:pPr>
            <w:r>
              <w:rPr>
                <w:rFonts w:ascii="方正仿宋简体" w:hAnsi="方正仿宋简体" w:eastAsia="方正仿宋简体" w:cs="方正仿宋简体"/>
                <w:kern w:val="0"/>
                <w:sz w:val="21"/>
                <w:szCs w:val="21"/>
                <w:lang w:val="en-US" w:eastAsia="zh-CN" w:bidi="ar-SA"/>
              </w:rPr>
              <w:t>质疑函制作说明：</w:t>
            </w:r>
          </w:p>
          <w:p w14:paraId="7262CE95">
            <w:pPr>
              <w:widowControl/>
              <w:spacing w:before="0" w:beforeAutospacing="0" w:after="0" w:afterAutospacing="0" w:line="400" w:lineRule="exact"/>
              <w:ind w:firstLine="420" w:firstLineChars="200"/>
              <w:jc w:val="left"/>
              <w:rPr>
                <w:rFonts w:ascii="方正仿宋简体" w:hAnsi="方正仿宋简体" w:eastAsia="方正仿宋简体" w:cs="方正仿宋简体"/>
                <w:kern w:val="0"/>
                <w:sz w:val="21"/>
                <w:szCs w:val="21"/>
                <w:lang w:val="en-US" w:eastAsia="zh-CN" w:bidi="ar-SA"/>
              </w:rPr>
            </w:pPr>
            <w:r>
              <w:rPr>
                <w:rFonts w:hint="eastAsia" w:ascii="方正仿宋简体" w:hAnsi="方正仿宋简体" w:eastAsia="方正仿宋简体" w:cs="方正仿宋简体"/>
                <w:kern w:val="0"/>
                <w:sz w:val="21"/>
                <w:szCs w:val="21"/>
                <w:lang w:val="en-US" w:eastAsia="zh-CN" w:bidi="ar-SA"/>
              </w:rPr>
              <w:t>1.</w:t>
            </w:r>
            <w:r>
              <w:rPr>
                <w:rFonts w:ascii="方正仿宋简体" w:hAnsi="方正仿宋简体" w:eastAsia="方正仿宋简体" w:cs="方正仿宋简体"/>
                <w:kern w:val="0"/>
                <w:sz w:val="21"/>
                <w:szCs w:val="21"/>
                <w:lang w:val="en-US" w:eastAsia="zh-CN" w:bidi="ar-SA"/>
              </w:rPr>
              <w:t>供应商提出质疑时，应提交质疑函和必要的证明材料</w:t>
            </w:r>
            <w:r>
              <w:rPr>
                <w:rFonts w:hint="eastAsia" w:ascii="方正仿宋简体" w:hAnsi="方正仿宋简体" w:eastAsia="方正仿宋简体" w:cs="方正仿宋简体"/>
                <w:kern w:val="0"/>
                <w:sz w:val="21"/>
                <w:szCs w:val="21"/>
                <w:lang w:val="en-US" w:eastAsia="zh-CN" w:bidi="ar-SA"/>
              </w:rPr>
              <w:t>或有效线索</w:t>
            </w:r>
            <w:r>
              <w:rPr>
                <w:rFonts w:ascii="方正仿宋简体" w:hAnsi="方正仿宋简体" w:eastAsia="方正仿宋简体" w:cs="方正仿宋简体"/>
                <w:kern w:val="0"/>
                <w:sz w:val="21"/>
                <w:szCs w:val="21"/>
                <w:lang w:val="en-US" w:eastAsia="zh-CN" w:bidi="ar-SA"/>
              </w:rPr>
              <w:t>；质疑函存在《自治区公共资源交易中心</w:t>
            </w:r>
            <w:r>
              <w:rPr>
                <w:rFonts w:hint="eastAsia" w:ascii="方正仿宋简体" w:hAnsi="方正仿宋简体" w:eastAsia="方正仿宋简体" w:cs="方正仿宋简体"/>
                <w:kern w:val="0"/>
                <w:sz w:val="21"/>
                <w:szCs w:val="21"/>
                <w:lang w:val="en-US" w:eastAsia="zh-CN" w:bidi="ar-SA"/>
              </w:rPr>
              <w:t>公共资源交易质疑异议投诉举报处理实施细则</w:t>
            </w:r>
            <w:r>
              <w:rPr>
                <w:rFonts w:ascii="方正仿宋简体" w:hAnsi="方正仿宋简体" w:eastAsia="方正仿宋简体" w:cs="方正仿宋简体"/>
                <w:kern w:val="0"/>
                <w:sz w:val="21"/>
                <w:szCs w:val="21"/>
                <w:lang w:val="en-US" w:eastAsia="zh-CN" w:bidi="ar-SA"/>
              </w:rPr>
              <w:t>》（新政资内发〔202</w:t>
            </w:r>
            <w:r>
              <w:rPr>
                <w:rFonts w:hint="eastAsia" w:ascii="方正仿宋简体" w:hAnsi="方正仿宋简体" w:eastAsia="方正仿宋简体" w:cs="方正仿宋简体"/>
                <w:kern w:val="0"/>
                <w:sz w:val="21"/>
                <w:szCs w:val="21"/>
                <w:lang w:val="en-US" w:eastAsia="zh-CN" w:bidi="ar-SA"/>
              </w:rPr>
              <w:t>2</w:t>
            </w:r>
            <w:r>
              <w:rPr>
                <w:rFonts w:ascii="方正仿宋简体" w:hAnsi="方正仿宋简体" w:eastAsia="方正仿宋简体" w:cs="方正仿宋简体"/>
                <w:kern w:val="0"/>
                <w:sz w:val="21"/>
                <w:szCs w:val="21"/>
                <w:lang w:val="en-US" w:eastAsia="zh-CN" w:bidi="ar-SA"/>
              </w:rPr>
              <w:t>〕</w:t>
            </w:r>
            <w:r>
              <w:rPr>
                <w:rFonts w:hint="eastAsia" w:ascii="方正仿宋简体" w:hAnsi="方正仿宋简体" w:eastAsia="方正仿宋简体" w:cs="方正仿宋简体"/>
                <w:kern w:val="0"/>
                <w:sz w:val="21"/>
                <w:szCs w:val="21"/>
                <w:lang w:val="en-US" w:eastAsia="zh-CN" w:bidi="ar-SA"/>
              </w:rPr>
              <w:t>12</w:t>
            </w:r>
            <w:r>
              <w:rPr>
                <w:rFonts w:ascii="方正仿宋简体" w:hAnsi="方正仿宋简体" w:eastAsia="方正仿宋简体" w:cs="方正仿宋简体"/>
                <w:kern w:val="0"/>
                <w:sz w:val="21"/>
                <w:szCs w:val="21"/>
                <w:lang w:val="en-US" w:eastAsia="zh-CN" w:bidi="ar-SA"/>
              </w:rPr>
              <w:t>号）第十</w:t>
            </w:r>
            <w:r>
              <w:rPr>
                <w:rFonts w:hint="eastAsia" w:ascii="方正仿宋简体" w:hAnsi="方正仿宋简体" w:eastAsia="方正仿宋简体" w:cs="方正仿宋简体"/>
                <w:kern w:val="0"/>
                <w:sz w:val="21"/>
                <w:szCs w:val="21"/>
                <w:lang w:val="en-US" w:eastAsia="zh-CN" w:bidi="ar-SA"/>
              </w:rPr>
              <w:t>四</w:t>
            </w:r>
            <w:r>
              <w:rPr>
                <w:rFonts w:ascii="方正仿宋简体" w:hAnsi="方正仿宋简体" w:eastAsia="方正仿宋简体" w:cs="方正仿宋简体"/>
                <w:kern w:val="0"/>
                <w:sz w:val="21"/>
                <w:szCs w:val="21"/>
                <w:lang w:val="en-US" w:eastAsia="zh-CN" w:bidi="ar-SA"/>
              </w:rPr>
              <w:t>条所列情形的，</w:t>
            </w:r>
            <w:r>
              <w:rPr>
                <w:rFonts w:hint="eastAsia" w:ascii="方正仿宋简体" w:hAnsi="方正仿宋简体" w:eastAsia="方正仿宋简体" w:cs="方正仿宋简体"/>
                <w:kern w:val="0"/>
                <w:sz w:val="21"/>
                <w:szCs w:val="21"/>
                <w:lang w:val="en-US" w:eastAsia="zh-CN" w:bidi="ar-SA"/>
              </w:rPr>
              <w:t>交易</w:t>
            </w:r>
            <w:r>
              <w:rPr>
                <w:rFonts w:ascii="方正仿宋简体" w:hAnsi="方正仿宋简体" w:eastAsia="方正仿宋简体" w:cs="方正仿宋简体"/>
                <w:kern w:val="0"/>
                <w:sz w:val="21"/>
                <w:szCs w:val="21"/>
                <w:lang w:val="en-US" w:eastAsia="zh-CN" w:bidi="ar-SA"/>
              </w:rPr>
              <w:t>中心不予受理。</w:t>
            </w:r>
          </w:p>
          <w:p w14:paraId="3E4D529A">
            <w:pPr>
              <w:widowControl/>
              <w:shd w:val="clear" w:color="auto" w:fill="FFFFFF"/>
              <w:spacing w:before="0" w:beforeAutospacing="0" w:after="0" w:afterAutospacing="0" w:line="400" w:lineRule="exact"/>
              <w:ind w:firstLine="420" w:firstLineChars="200"/>
              <w:jc w:val="both"/>
              <w:rPr>
                <w:rFonts w:hint="eastAsia" w:ascii="方正仿宋简体" w:hAnsi="方正仿宋简体" w:eastAsia="方正仿宋简体" w:cs="方正仿宋简体"/>
                <w:kern w:val="0"/>
                <w:sz w:val="21"/>
                <w:szCs w:val="21"/>
                <w:lang w:val="en-US" w:eastAsia="zh-CN" w:bidi="ar-SA"/>
              </w:rPr>
            </w:pPr>
            <w:r>
              <w:rPr>
                <w:rFonts w:hint="eastAsia" w:ascii="方正仿宋简体" w:hAnsi="方正仿宋简体" w:eastAsia="方正仿宋简体" w:cs="方正仿宋简体"/>
                <w:kern w:val="0"/>
                <w:sz w:val="21"/>
                <w:szCs w:val="21"/>
                <w:lang w:val="en-US" w:eastAsia="zh-CN" w:bidi="ar-SA"/>
              </w:rPr>
              <w:t>2.</w:t>
            </w:r>
            <w:r>
              <w:rPr>
                <w:rFonts w:ascii="方正仿宋简体" w:hAnsi="方正仿宋简体" w:eastAsia="方正仿宋简体" w:cs="方正仿宋简体"/>
                <w:kern w:val="0"/>
                <w:sz w:val="21"/>
                <w:szCs w:val="21"/>
                <w:lang w:val="en-US" w:eastAsia="zh-CN" w:bidi="ar-SA"/>
              </w:rPr>
              <w:t>质疑函的质疑事项应具体、明确，并有必要的事实依据和法律依据</w:t>
            </w:r>
            <w:r>
              <w:rPr>
                <w:rFonts w:hint="eastAsia" w:ascii="方正仿宋简体" w:hAnsi="方正仿宋简体" w:eastAsia="方正仿宋简体" w:cs="方正仿宋简体"/>
                <w:kern w:val="0"/>
                <w:sz w:val="21"/>
                <w:szCs w:val="21"/>
                <w:lang w:val="en-US" w:eastAsia="zh-CN" w:bidi="ar-SA"/>
              </w:rPr>
              <w:t>。</w:t>
            </w:r>
          </w:p>
          <w:p w14:paraId="01B0A7C3">
            <w:pPr>
              <w:widowControl/>
              <w:spacing w:before="0" w:beforeAutospacing="0" w:after="0" w:afterAutospacing="0" w:line="400" w:lineRule="exact"/>
              <w:ind w:firstLine="420" w:firstLineChars="200"/>
              <w:jc w:val="left"/>
              <w:rPr>
                <w:rFonts w:ascii="方正仿宋简体" w:hAnsi="方正仿宋简体" w:eastAsia="方正仿宋简体" w:cs="方正仿宋简体"/>
                <w:kern w:val="0"/>
                <w:sz w:val="21"/>
                <w:szCs w:val="21"/>
                <w:lang w:val="en-US" w:eastAsia="zh-CN" w:bidi="ar-SA"/>
              </w:rPr>
            </w:pPr>
            <w:r>
              <w:rPr>
                <w:rFonts w:hint="eastAsia" w:ascii="方正仿宋简体" w:hAnsi="方正仿宋简体" w:eastAsia="方正仿宋简体" w:cs="方正仿宋简体"/>
                <w:kern w:val="0"/>
                <w:sz w:val="21"/>
                <w:szCs w:val="21"/>
                <w:lang w:val="en-US" w:eastAsia="zh-CN" w:bidi="ar-SA"/>
              </w:rPr>
              <w:t>3.</w:t>
            </w:r>
            <w:r>
              <w:rPr>
                <w:rFonts w:ascii="方正仿宋简体" w:hAnsi="方正仿宋简体" w:eastAsia="方正仿宋简体" w:cs="方正仿宋简体"/>
                <w:kern w:val="0"/>
                <w:sz w:val="21"/>
                <w:szCs w:val="21"/>
                <w:lang w:val="en-US" w:eastAsia="zh-CN" w:bidi="ar-SA"/>
              </w:rPr>
              <w:t>质疑函的质疑请求应与质疑事项相关。</w:t>
            </w:r>
          </w:p>
          <w:p w14:paraId="16180E61">
            <w:pPr>
              <w:widowControl/>
              <w:spacing w:before="0" w:beforeAutospacing="0" w:after="0" w:afterAutospacing="0" w:line="400" w:lineRule="exact"/>
              <w:ind w:firstLine="420" w:firstLineChars="200"/>
              <w:jc w:val="left"/>
              <w:rPr>
                <w:rFonts w:ascii="方正仿宋简体" w:hAnsi="方正仿宋简体" w:eastAsia="方正仿宋简体" w:cs="方正仿宋简体"/>
                <w:kern w:val="0"/>
                <w:sz w:val="21"/>
                <w:szCs w:val="21"/>
                <w:lang w:val="en-US" w:eastAsia="zh-CN" w:bidi="ar-SA"/>
              </w:rPr>
            </w:pPr>
            <w:r>
              <w:rPr>
                <w:rFonts w:hint="eastAsia" w:ascii="方正仿宋简体" w:hAnsi="方正仿宋简体" w:eastAsia="方正仿宋简体" w:cs="方正仿宋简体"/>
                <w:kern w:val="0"/>
                <w:sz w:val="21"/>
                <w:szCs w:val="21"/>
                <w:lang w:val="en-US" w:eastAsia="zh-CN" w:bidi="ar-SA"/>
              </w:rPr>
              <w:t>4.一份质疑函只能针对一个项目提出质疑，且针对同一交易程序环节的质疑应当一次性提出。质疑对一个项目的不同包提出质疑的，应当将各包质疑事项集中在一份质疑函中提出，并在质疑函中列明具体分包号。</w:t>
            </w:r>
          </w:p>
          <w:p w14:paraId="6BD55832">
            <w:pPr>
              <w:widowControl/>
              <w:spacing w:before="0" w:beforeAutospacing="0" w:after="0" w:afterAutospacing="0" w:line="400" w:lineRule="exact"/>
              <w:ind w:firstLine="420" w:firstLineChars="200"/>
              <w:jc w:val="left"/>
              <w:rPr>
                <w:rFonts w:ascii="方正仿宋简体" w:hAnsi="方正仿宋简体" w:eastAsia="方正仿宋简体" w:cs="方正仿宋简体"/>
                <w:kern w:val="0"/>
                <w:sz w:val="21"/>
                <w:szCs w:val="21"/>
                <w:lang w:val="en-US" w:eastAsia="zh-CN" w:bidi="ar-SA"/>
              </w:rPr>
            </w:pPr>
            <w:r>
              <w:rPr>
                <w:rFonts w:hint="eastAsia" w:ascii="方正仿宋简体" w:hAnsi="方正仿宋简体" w:eastAsia="方正仿宋简体" w:cs="方正仿宋简体"/>
                <w:kern w:val="0"/>
                <w:sz w:val="21"/>
                <w:szCs w:val="21"/>
                <w:lang w:val="en-US" w:eastAsia="zh-CN" w:bidi="ar-SA"/>
              </w:rPr>
              <w:t>5.</w:t>
            </w:r>
            <w:r>
              <w:rPr>
                <w:rFonts w:ascii="方正仿宋简体" w:hAnsi="方正仿宋简体" w:eastAsia="方正仿宋简体" w:cs="方正仿宋简体"/>
                <w:kern w:val="0"/>
                <w:sz w:val="21"/>
                <w:szCs w:val="21"/>
                <w:lang w:val="en-US" w:eastAsia="zh-CN" w:bidi="ar-SA"/>
              </w:rPr>
              <w:t>质疑供应商若委托代理人进行质疑的，质疑函应按要求列明</w:t>
            </w:r>
            <w:r>
              <w:rPr>
                <w:rFonts w:hint="eastAsia" w:ascii="方正仿宋简体" w:hAnsi="方正仿宋简体" w:eastAsia="方正仿宋简体" w:cs="方正仿宋简体"/>
                <w:kern w:val="0"/>
                <w:sz w:val="21"/>
                <w:szCs w:val="21"/>
                <w:lang w:val="en-US" w:eastAsia="zh-CN" w:bidi="ar-SA"/>
              </w:rPr>
              <w:t>“</w:t>
            </w:r>
            <w:r>
              <w:rPr>
                <w:rFonts w:ascii="方正仿宋简体" w:hAnsi="方正仿宋简体" w:eastAsia="方正仿宋简体" w:cs="方正仿宋简体"/>
                <w:kern w:val="0"/>
                <w:sz w:val="21"/>
                <w:szCs w:val="21"/>
                <w:lang w:val="en-US" w:eastAsia="zh-CN" w:bidi="ar-SA"/>
              </w:rPr>
              <w:t>授权代表”的有关内容，并在附件中提交由质疑供应商签署的授权委托书。授权委托书应载明代理人的姓名或者名称、代理事项、具体权限、期限和相关事项。</w:t>
            </w:r>
          </w:p>
          <w:p w14:paraId="06703AC2">
            <w:pPr>
              <w:widowControl/>
              <w:spacing w:before="0" w:beforeAutospacing="0" w:after="0" w:afterAutospacing="0" w:line="400" w:lineRule="exact"/>
              <w:ind w:firstLine="420" w:firstLineChars="200"/>
              <w:jc w:val="left"/>
              <w:rPr>
                <w:rFonts w:ascii="方正仿宋简体" w:hAnsi="方正仿宋简体" w:eastAsia="方正仿宋简体" w:cs="方正仿宋简体"/>
                <w:kern w:val="0"/>
                <w:sz w:val="21"/>
                <w:szCs w:val="21"/>
                <w:lang w:val="en-US" w:eastAsia="zh-CN" w:bidi="ar-SA"/>
              </w:rPr>
            </w:pPr>
            <w:r>
              <w:rPr>
                <w:rFonts w:hint="eastAsia" w:ascii="宋体" w:hAnsi="宋体" w:eastAsia="宋体" w:cs="宋体"/>
                <w:kern w:val="0"/>
                <w:sz w:val="21"/>
                <w:szCs w:val="21"/>
                <w:lang w:val="en-US" w:eastAsia="zh-CN" w:bidi="ar-SA"/>
              </w:rPr>
              <w:t>6.</w:t>
            </w:r>
            <w:r>
              <w:rPr>
                <w:rFonts w:ascii="方正仿宋简体" w:hAnsi="方正仿宋简体" w:eastAsia="方正仿宋简体" w:cs="方正仿宋简体"/>
                <w:kern w:val="0"/>
                <w:sz w:val="21"/>
                <w:szCs w:val="21"/>
                <w:lang w:val="en-US" w:eastAsia="zh-CN" w:bidi="ar-SA"/>
              </w:rPr>
              <w:t>质疑供应商为自然人的，质疑函应由本人签字</w:t>
            </w:r>
            <w:r>
              <w:rPr>
                <w:rFonts w:hint="eastAsia" w:ascii="方正仿宋简体" w:hAnsi="方正仿宋简体" w:eastAsia="方正仿宋简体" w:cs="方正仿宋简体"/>
                <w:kern w:val="0"/>
                <w:sz w:val="21"/>
                <w:szCs w:val="21"/>
                <w:lang w:val="en-US" w:eastAsia="zh-CN" w:bidi="ar-SA"/>
              </w:rPr>
              <w:t>，提供本人及代理人身份证复印件，并在复印件上签字</w:t>
            </w:r>
            <w:r>
              <w:rPr>
                <w:rFonts w:ascii="方正仿宋简体" w:hAnsi="方正仿宋简体" w:eastAsia="方正仿宋简体" w:cs="方正仿宋简体"/>
                <w:kern w:val="0"/>
                <w:sz w:val="21"/>
                <w:szCs w:val="21"/>
                <w:lang w:val="en-US" w:eastAsia="zh-CN" w:bidi="ar-SA"/>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kern w:val="0"/>
                <w:sz w:val="21"/>
                <w:szCs w:val="21"/>
                <w:lang w:val="en-US" w:eastAsia="zh-CN" w:bidi="ar-SA"/>
              </w:rPr>
              <w:t>，同时提供法人证书（营业执照）复印件、代理人身份证复印件并加盖法人公章</w:t>
            </w:r>
            <w:r>
              <w:rPr>
                <w:rFonts w:ascii="方正仿宋简体" w:hAnsi="方正仿宋简体" w:eastAsia="方正仿宋简体" w:cs="方正仿宋简体"/>
                <w:kern w:val="0"/>
                <w:sz w:val="21"/>
                <w:szCs w:val="21"/>
                <w:lang w:val="en-US" w:eastAsia="zh-CN" w:bidi="ar-SA"/>
              </w:rPr>
              <w:t>。</w:t>
            </w:r>
          </w:p>
          <w:p w14:paraId="0ED857C4">
            <w:pPr>
              <w:widowControl/>
              <w:spacing w:line="400" w:lineRule="exact"/>
              <w:ind w:firstLine="422" w:firstLineChars="200"/>
              <w:jc w:val="left"/>
              <w:rPr>
                <w:rFonts w:ascii="方正仿宋简体" w:hAnsi="方正仿宋简体" w:eastAsia="方正仿宋简体" w:cs="方正仿宋简体"/>
              </w:rPr>
            </w:pPr>
            <w:r>
              <w:rPr>
                <w:rFonts w:hint="eastAsia" w:ascii="方正仿宋简体" w:hAnsi="方正仿宋简体" w:eastAsia="方正仿宋简体" w:cs="方正仿宋简体"/>
                <w:b/>
                <w:bCs/>
                <w:kern w:val="0"/>
              </w:rPr>
              <w:t>7.质疑函份数要求：一式四份</w:t>
            </w:r>
            <w:r>
              <w:rPr>
                <w:rFonts w:hint="eastAsia" w:ascii="方正仿宋简体" w:hAnsi="方正仿宋简体" w:eastAsia="方正仿宋简体" w:cs="方正仿宋简体"/>
                <w:kern w:val="0"/>
              </w:rPr>
              <w:t>。</w:t>
            </w:r>
          </w:p>
        </w:tc>
      </w:tr>
    </w:tbl>
    <w:p w14:paraId="1F566A25">
      <w:pPr>
        <w:widowControl w:val="0"/>
        <w:ind w:left="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（和财政部的范本比较，有缺项，缺少获取招标文件时间）</w:t>
      </w:r>
    </w:p>
    <w:p w14:paraId="53B6236F">
      <w:pPr>
        <w:jc w:val="left"/>
        <w:rPr>
          <w:rFonts w:ascii="宋体" w:hAnsi="宋体" w:cs="宋体"/>
          <w:sz w:val="30"/>
          <w:szCs w:val="30"/>
        </w:rPr>
        <w:sectPr>
          <w:pgSz w:w="11906" w:h="16838"/>
          <w:pgMar w:top="1440" w:right="1800" w:bottom="1440" w:left="1800" w:header="851" w:footer="992" w:gutter="0"/>
          <w:cols w:space="720" w:num="1"/>
          <w:docGrid w:type="lines" w:linePitch="312" w:charSpace="0"/>
        </w:sectPr>
      </w:pPr>
    </w:p>
    <w:p w14:paraId="2CE1C961">
      <w:pPr>
        <w:jc w:val="left"/>
        <w:rPr>
          <w:rFonts w:ascii="宋体" w:hAnsi="宋体" w:cs="宋体"/>
          <w:sz w:val="30"/>
          <w:szCs w:val="30"/>
        </w:rPr>
      </w:pPr>
      <w:r>
        <w:rPr>
          <w:rFonts w:hint="eastAsia" w:ascii="宋体" w:hAnsi="宋体" w:cs="宋体"/>
          <w:sz w:val="30"/>
          <w:szCs w:val="30"/>
        </w:rPr>
        <w:t>表九</w:t>
      </w:r>
    </w:p>
    <w:p w14:paraId="02B54AA0">
      <w:pPr>
        <w:widowControl/>
        <w:spacing w:before="40" w:beforeAutospacing="0" w:after="40" w:afterAutospacing="0"/>
        <w:jc w:val="left"/>
        <w:rPr>
          <w:rFonts w:hint="eastAsia" w:ascii="宋体" w:hAnsi="宋体" w:eastAsia="宋体" w:cs="宋体"/>
          <w:kern w:val="0"/>
          <w:sz w:val="24"/>
          <w:szCs w:val="24"/>
          <w:lang w:val="en-US" w:eastAsia="zh-CN" w:bidi="ar-SA"/>
        </w:rPr>
      </w:pPr>
    </w:p>
    <w:p w14:paraId="2C39690D">
      <w:pPr>
        <w:widowControl/>
        <w:spacing w:before="40" w:beforeAutospacing="0" w:after="40" w:afterAutospacing="0"/>
        <w:jc w:val="center"/>
        <w:rPr>
          <w:rStyle w:val="20"/>
          <w:rFonts w:hint="eastAsia" w:ascii="宋体" w:hAnsi="宋体" w:eastAsia="宋体" w:cs="宋体"/>
          <w:kern w:val="0"/>
          <w:sz w:val="32"/>
          <w:szCs w:val="32"/>
          <w:lang w:val="en-US" w:eastAsia="zh-CN" w:bidi="ar-SA"/>
        </w:rPr>
      </w:pPr>
      <w:r>
        <w:rPr>
          <w:rStyle w:val="20"/>
          <w:rFonts w:hint="eastAsia" w:ascii="Times New Roman" w:hAnsi="Times New Roman" w:eastAsia="宋体" w:cs="Times New Roman"/>
          <w:kern w:val="0"/>
          <w:sz w:val="32"/>
          <w:szCs w:val="32"/>
          <w:lang w:val="en-US" w:eastAsia="zh-CN" w:bidi="ar-SA"/>
        </w:rPr>
        <w:t>关于符合本国产品标准的声明函</w:t>
      </w:r>
    </w:p>
    <w:p w14:paraId="094237B7">
      <w:pPr>
        <w:widowControl/>
        <w:spacing w:before="0" w:beforeAutospacing="0" w:after="0" w:afterAutospacing="0" w:line="0" w:lineRule="atLeast"/>
        <w:ind w:firstLine="420"/>
        <w:jc w:val="left"/>
        <w:rPr>
          <w:rFonts w:hint="eastAsia" w:ascii="方正魏碑_GBK" w:hAnsi="方正魏碑_GBK" w:eastAsia="方正魏碑_GBK" w:cs="方正魏碑_GBK"/>
          <w:kern w:val="0"/>
          <w:sz w:val="24"/>
          <w:szCs w:val="24"/>
          <w:lang w:val="en-US" w:eastAsia="zh-CN" w:bidi="ar-SA"/>
        </w:rPr>
      </w:pPr>
      <w:r>
        <w:rPr>
          <w:rFonts w:hint="eastAsia" w:ascii="方正魏碑_GBK" w:hAnsi="方正魏碑_GBK" w:eastAsia="方正魏碑_GBK" w:cs="方正魏碑_GBK"/>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318E7769">
      <w:pPr>
        <w:widowControl/>
        <w:spacing w:before="30" w:beforeAutospacing="0" w:after="30" w:afterAutospacing="0" w:line="0" w:lineRule="atLeast"/>
        <w:ind w:firstLine="420"/>
        <w:jc w:val="left"/>
        <w:rPr>
          <w:rFonts w:hint="eastAsia" w:ascii="方正魏碑_GBK" w:hAnsi="方正魏碑_GBK" w:eastAsia="方正魏碑_GBK" w:cs="方正魏碑_GBK"/>
          <w:kern w:val="0"/>
          <w:sz w:val="24"/>
          <w:szCs w:val="24"/>
          <w:lang w:val="en-US" w:eastAsia="zh-CN" w:bidi="ar-SA"/>
        </w:rPr>
      </w:pPr>
      <w:r>
        <w:rPr>
          <w:rFonts w:hint="eastAsia" w:ascii="方正魏碑_GBK" w:hAnsi="方正魏碑_GBK" w:eastAsia="方正魏碑_GBK" w:cs="方正魏碑_GBK"/>
          <w:kern w:val="0"/>
          <w:sz w:val="24"/>
          <w:szCs w:val="24"/>
          <w:shd w:val="clear" w:color="auto" w:fill="FFFFFF"/>
          <w:lang w:val="en-US" w:eastAsia="zh-CN" w:bidi="ar-SA"/>
        </w:rPr>
        <w:t>1.</w:t>
      </w:r>
      <w:r>
        <w:rPr>
          <w:rStyle w:val="21"/>
          <w:rFonts w:hint="eastAsia" w:ascii="方正魏碑_GBK" w:hAnsi="方正魏碑_GBK" w:eastAsia="方正魏碑_GBK" w:cs="方正魏碑_GBK"/>
          <w:i w:val="0"/>
          <w:kern w:val="0"/>
          <w:sz w:val="24"/>
          <w:szCs w:val="24"/>
          <w:u w:val="single"/>
          <w:shd w:val="clear" w:color="auto" w:fill="FFFFFF"/>
          <w:lang w:val="en-US" w:eastAsia="zh-CN" w:bidi="ar-SA"/>
        </w:rPr>
        <w:t>（产品名称1）</w:t>
      </w:r>
      <w:r>
        <w:rPr>
          <w:rStyle w:val="21"/>
          <w:rFonts w:hint="eastAsia" w:ascii="方正魏碑_GBK" w:hAnsi="方正魏碑_GBK" w:eastAsia="方正魏碑_GBK" w:cs="方正魏碑_GBK"/>
          <w:i w:val="0"/>
          <w:kern w:val="0"/>
          <w:sz w:val="24"/>
          <w:szCs w:val="24"/>
          <w:shd w:val="clear" w:color="auto" w:fill="FFFFFF"/>
          <w:vertAlign w:val="superscript"/>
          <w:lang w:val="en-US" w:eastAsia="zh-CN" w:bidi="ar-SA"/>
        </w:rPr>
        <w:t>1</w:t>
      </w:r>
      <w:r>
        <w:rPr>
          <w:rFonts w:hint="eastAsia" w:ascii="方正魏碑_GBK" w:hAnsi="方正魏碑_GBK" w:eastAsia="方正魏碑_GBK" w:cs="方正魏碑_GBK"/>
          <w:kern w:val="0"/>
          <w:sz w:val="24"/>
          <w:szCs w:val="24"/>
          <w:shd w:val="clear" w:color="auto" w:fill="FFFFFF"/>
          <w:lang w:val="en-US" w:eastAsia="zh-CN" w:bidi="ar-SA"/>
        </w:rPr>
        <w:t>，生产厂为</w:t>
      </w:r>
      <w:r>
        <w:rPr>
          <w:rStyle w:val="21"/>
          <w:rFonts w:hint="eastAsia" w:ascii="方正魏碑_GBK" w:hAnsi="方正魏碑_GBK" w:eastAsia="方正魏碑_GBK" w:cs="方正魏碑_GBK"/>
          <w:i w:val="0"/>
          <w:kern w:val="0"/>
          <w:sz w:val="24"/>
          <w:szCs w:val="24"/>
          <w:u w:val="single"/>
          <w:shd w:val="clear" w:color="auto" w:fill="FFFFFF"/>
          <w:lang w:val="en-US" w:eastAsia="zh-CN" w:bidi="ar-SA"/>
        </w:rPr>
        <w:t>（厂名）</w:t>
      </w:r>
      <w:r>
        <w:rPr>
          <w:rStyle w:val="21"/>
          <w:rFonts w:hint="eastAsia" w:ascii="方正魏碑_GBK" w:hAnsi="方正魏碑_GBK" w:eastAsia="方正魏碑_GBK" w:cs="方正魏碑_GBK"/>
          <w:i w:val="0"/>
          <w:kern w:val="0"/>
          <w:sz w:val="24"/>
          <w:szCs w:val="24"/>
          <w:shd w:val="clear" w:color="auto" w:fill="FFFFFF"/>
          <w:vertAlign w:val="superscript"/>
          <w:lang w:val="en-US" w:eastAsia="zh-CN" w:bidi="ar-SA"/>
        </w:rPr>
        <w:t>2</w:t>
      </w:r>
      <w:r>
        <w:rPr>
          <w:rFonts w:hint="eastAsia" w:ascii="方正魏碑_GBK" w:hAnsi="方正魏碑_GBK" w:eastAsia="方正魏碑_GBK" w:cs="方正魏碑_GBK"/>
          <w:kern w:val="0"/>
          <w:sz w:val="24"/>
          <w:szCs w:val="24"/>
          <w:shd w:val="clear" w:color="auto" w:fill="FFFFFF"/>
          <w:lang w:val="en-US" w:eastAsia="zh-CN" w:bidi="ar-SA"/>
        </w:rPr>
        <w:t>，厂址为</w:t>
      </w:r>
      <w:r>
        <w:rPr>
          <w:rStyle w:val="21"/>
          <w:rFonts w:hint="eastAsia" w:ascii="方正魏碑_GBK" w:hAnsi="方正魏碑_GBK" w:eastAsia="方正魏碑_GBK" w:cs="方正魏碑_GBK"/>
          <w:i w:val="0"/>
          <w:kern w:val="0"/>
          <w:sz w:val="24"/>
          <w:szCs w:val="24"/>
          <w:u w:val="single"/>
          <w:shd w:val="clear" w:color="auto" w:fill="FFFFFF"/>
          <w:lang w:val="en-US" w:eastAsia="zh-CN" w:bidi="ar-SA"/>
        </w:rPr>
        <w:t>（生产厂址）</w:t>
      </w:r>
      <w:r>
        <w:rPr>
          <w:rFonts w:hint="eastAsia" w:ascii="方正魏碑_GBK" w:hAnsi="方正魏碑_GBK" w:eastAsia="方正魏碑_GBK" w:cs="方正魏碑_GBK"/>
          <w:kern w:val="0"/>
          <w:sz w:val="24"/>
          <w:szCs w:val="24"/>
          <w:shd w:val="clear" w:color="auto" w:fill="FFFFFF"/>
          <w:lang w:val="en-US" w:eastAsia="zh-CN" w:bidi="ar-SA"/>
        </w:rPr>
        <w:t>。</w:t>
      </w:r>
      <w:r>
        <w:rPr>
          <w:rFonts w:hint="eastAsia" w:ascii="方正魏碑_GBK" w:hAnsi="方正魏碑_GBK" w:eastAsia="方正魏碑_GBK" w:cs="方正魏碑_GBK"/>
          <w:kern w:val="0"/>
          <w:sz w:val="24"/>
          <w:szCs w:val="24"/>
          <w:u w:val="single"/>
          <w:shd w:val="clear" w:color="auto" w:fill="FFFFFF"/>
          <w:lang w:val="en-US" w:eastAsia="zh-CN" w:bidi="ar-SA"/>
        </w:rPr>
        <w:t xml:space="preserve"> </w:t>
      </w:r>
      <w:r>
        <w:rPr>
          <w:rStyle w:val="21"/>
          <w:rFonts w:hint="eastAsia" w:ascii="方正魏碑_GBK" w:hAnsi="方正魏碑_GBK" w:eastAsia="方正魏碑_GBK" w:cs="方正魏碑_GBK"/>
          <w:i w:val="0"/>
          <w:kern w:val="0"/>
          <w:sz w:val="24"/>
          <w:szCs w:val="24"/>
          <w:u w:val="single"/>
          <w:shd w:val="clear" w:color="auto" w:fill="FFFFFF"/>
          <w:lang w:val="en-US" w:eastAsia="zh-CN" w:bidi="ar-SA"/>
        </w:rPr>
        <w:t xml:space="preserve">/ </w:t>
      </w:r>
      <w:r>
        <w:rPr>
          <w:rFonts w:hint="eastAsia" w:ascii="方正魏碑_GBK" w:hAnsi="方正魏碑_GBK" w:eastAsia="方正魏碑_GBK" w:cs="方正魏碑_GBK"/>
          <w:kern w:val="0"/>
          <w:sz w:val="24"/>
          <w:szCs w:val="24"/>
          <w:shd w:val="clear" w:color="auto" w:fill="FFFFFF"/>
          <w:lang w:val="en-US" w:eastAsia="zh-CN" w:bidi="ar-SA"/>
        </w:rPr>
        <w:t>的中国境内生产的组件成本占比≥</w:t>
      </w:r>
      <w:r>
        <w:rPr>
          <w:rFonts w:hint="eastAsia" w:ascii="方正魏碑_GBK" w:hAnsi="方正魏碑_GBK" w:eastAsia="方正魏碑_GBK" w:cs="方正魏碑_GBK"/>
          <w:kern w:val="0"/>
          <w:sz w:val="24"/>
          <w:szCs w:val="24"/>
          <w:u w:val="single"/>
          <w:shd w:val="clear" w:color="auto" w:fill="FFFFFF"/>
          <w:lang w:val="en-US" w:eastAsia="zh-CN" w:bidi="ar-SA"/>
        </w:rPr>
        <w:t xml:space="preserve">  </w:t>
      </w:r>
      <w:r>
        <w:rPr>
          <w:rStyle w:val="21"/>
          <w:rFonts w:hint="eastAsia" w:ascii="方正魏碑_GBK" w:hAnsi="方正魏碑_GBK" w:eastAsia="方正魏碑_GBK" w:cs="方正魏碑_GBK"/>
          <w:i w:val="0"/>
          <w:kern w:val="0"/>
          <w:sz w:val="24"/>
          <w:szCs w:val="24"/>
          <w:u w:val="single"/>
          <w:shd w:val="clear" w:color="auto" w:fill="FFFFFF"/>
          <w:lang w:val="en-US" w:eastAsia="zh-CN" w:bidi="ar-SA"/>
        </w:rPr>
        <w:t xml:space="preserve">/  </w:t>
      </w:r>
      <w:r>
        <w:rPr>
          <w:rStyle w:val="21"/>
          <w:rFonts w:hint="eastAsia" w:ascii="方正魏碑_GBK" w:hAnsi="方正魏碑_GBK" w:eastAsia="方正魏碑_GBK" w:cs="方正魏碑_GBK"/>
          <w:i w:val="0"/>
          <w:kern w:val="0"/>
          <w:sz w:val="24"/>
          <w:szCs w:val="24"/>
          <w:shd w:val="clear" w:color="auto" w:fill="FFFFFF"/>
          <w:vertAlign w:val="superscript"/>
          <w:lang w:val="en-US" w:eastAsia="zh-CN" w:bidi="ar-SA"/>
        </w:rPr>
        <w:t>3</w:t>
      </w:r>
      <w:r>
        <w:rPr>
          <w:rFonts w:hint="eastAsia" w:ascii="方正魏碑_GBK" w:hAnsi="方正魏碑_GBK" w:eastAsia="方正魏碑_GBK" w:cs="方正魏碑_GBK"/>
          <w:kern w:val="0"/>
          <w:sz w:val="24"/>
          <w:szCs w:val="24"/>
          <w:shd w:val="clear" w:color="auto" w:fill="FFFFFF"/>
          <w:lang w:val="en-US" w:eastAsia="zh-CN" w:bidi="ar-SA"/>
        </w:rPr>
        <w:t>。</w:t>
      </w:r>
      <w:r>
        <w:rPr>
          <w:rFonts w:hint="eastAsia" w:ascii="方正魏碑_GBK" w:hAnsi="方正魏碑_GBK" w:eastAsia="方正魏碑_GBK" w:cs="方正魏碑_GBK"/>
          <w:kern w:val="0"/>
          <w:sz w:val="24"/>
          <w:szCs w:val="24"/>
          <w:u w:val="single"/>
          <w:shd w:val="clear" w:color="auto" w:fill="FFFFFF"/>
          <w:lang w:val="en-US" w:eastAsia="zh-CN" w:bidi="ar-SA"/>
        </w:rPr>
        <w:t xml:space="preserve">  </w:t>
      </w:r>
      <w:r>
        <w:rPr>
          <w:rStyle w:val="21"/>
          <w:rFonts w:hint="eastAsia" w:ascii="方正魏碑_GBK" w:hAnsi="方正魏碑_GBK" w:eastAsia="方正魏碑_GBK" w:cs="方正魏碑_GBK"/>
          <w:i w:val="0"/>
          <w:kern w:val="0"/>
          <w:sz w:val="24"/>
          <w:szCs w:val="24"/>
          <w:u w:val="single"/>
          <w:shd w:val="clear" w:color="auto" w:fill="FFFFFF"/>
          <w:lang w:val="en-US" w:eastAsia="zh-CN" w:bidi="ar-SA"/>
        </w:rPr>
        <w:t xml:space="preserve">/  </w:t>
      </w:r>
      <w:r>
        <w:rPr>
          <w:rFonts w:hint="eastAsia" w:ascii="方正魏碑_GBK" w:hAnsi="方正魏碑_GBK" w:eastAsia="方正魏碑_GBK" w:cs="方正魏碑_GBK"/>
          <w:kern w:val="0"/>
          <w:sz w:val="24"/>
          <w:szCs w:val="24"/>
          <w:shd w:val="clear" w:color="auto" w:fill="FFFFFF"/>
          <w:lang w:val="en-US" w:eastAsia="zh-CN" w:bidi="ar-SA"/>
        </w:rPr>
        <w:t>的</w:t>
      </w:r>
      <w:r>
        <w:rPr>
          <w:rFonts w:hint="eastAsia" w:ascii="方正魏碑_GBK" w:hAnsi="方正魏碑_GBK" w:eastAsia="方正魏碑_GBK" w:cs="方正魏碑_GBK"/>
          <w:kern w:val="0"/>
          <w:sz w:val="24"/>
          <w:szCs w:val="24"/>
          <w:u w:val="single"/>
          <w:shd w:val="clear" w:color="auto" w:fill="FFFFFF"/>
          <w:lang w:val="en-US" w:eastAsia="zh-CN" w:bidi="ar-SA"/>
        </w:rPr>
        <w:t xml:space="preserve">  </w:t>
      </w:r>
      <w:r>
        <w:rPr>
          <w:rStyle w:val="21"/>
          <w:rFonts w:hint="eastAsia" w:ascii="方正魏碑_GBK" w:hAnsi="方正魏碑_GBK" w:eastAsia="方正魏碑_GBK" w:cs="方正魏碑_GBK"/>
          <w:i w:val="0"/>
          <w:kern w:val="0"/>
          <w:sz w:val="24"/>
          <w:szCs w:val="24"/>
          <w:u w:val="single"/>
          <w:shd w:val="clear" w:color="auto" w:fill="FFFFFF"/>
          <w:lang w:val="en-US" w:eastAsia="zh-CN" w:bidi="ar-SA"/>
        </w:rPr>
        <w:t xml:space="preserve">/  </w:t>
      </w:r>
      <w:r>
        <w:rPr>
          <w:rStyle w:val="21"/>
          <w:rFonts w:hint="eastAsia" w:ascii="方正魏碑_GBK" w:hAnsi="方正魏碑_GBK" w:eastAsia="方正魏碑_GBK" w:cs="方正魏碑_GBK"/>
          <w:i w:val="0"/>
          <w:kern w:val="0"/>
          <w:sz w:val="24"/>
          <w:szCs w:val="24"/>
          <w:shd w:val="clear" w:color="auto" w:fill="FFFFFF"/>
          <w:vertAlign w:val="superscript"/>
          <w:lang w:val="en-US" w:eastAsia="zh-CN" w:bidi="ar-SA"/>
        </w:rPr>
        <w:t>4</w:t>
      </w:r>
      <w:r>
        <w:rPr>
          <w:rFonts w:hint="eastAsia" w:ascii="方正魏碑_GBK" w:hAnsi="方正魏碑_GBK" w:eastAsia="方正魏碑_GBK" w:cs="方正魏碑_GBK"/>
          <w:kern w:val="0"/>
          <w:sz w:val="24"/>
          <w:szCs w:val="24"/>
          <w:shd w:val="clear" w:color="auto" w:fill="FFFFFF"/>
          <w:lang w:val="en-US" w:eastAsia="zh-CN" w:bidi="ar-SA"/>
        </w:rPr>
        <w:t>在中国境内生产。</w:t>
      </w:r>
      <w:r>
        <w:rPr>
          <w:rFonts w:hint="eastAsia" w:ascii="方正魏碑_GBK" w:hAnsi="方正魏碑_GBK" w:eastAsia="方正魏碑_GBK" w:cs="方正魏碑_GBK"/>
          <w:kern w:val="0"/>
          <w:sz w:val="24"/>
          <w:szCs w:val="24"/>
          <w:u w:val="single"/>
          <w:shd w:val="clear" w:color="auto" w:fill="FFFFFF"/>
          <w:lang w:val="en-US" w:eastAsia="zh-CN" w:bidi="ar-SA"/>
        </w:rPr>
        <w:t xml:space="preserve">  </w:t>
      </w:r>
      <w:r>
        <w:rPr>
          <w:rStyle w:val="21"/>
          <w:rFonts w:hint="eastAsia" w:ascii="方正魏碑_GBK" w:hAnsi="方正魏碑_GBK" w:eastAsia="方正魏碑_GBK" w:cs="方正魏碑_GBK"/>
          <w:i w:val="0"/>
          <w:kern w:val="0"/>
          <w:sz w:val="24"/>
          <w:szCs w:val="24"/>
          <w:u w:val="single"/>
          <w:shd w:val="clear" w:color="auto" w:fill="FFFFFF"/>
          <w:lang w:val="en-US" w:eastAsia="zh-CN" w:bidi="ar-SA"/>
        </w:rPr>
        <w:t xml:space="preserve">/  </w:t>
      </w:r>
      <w:r>
        <w:rPr>
          <w:rFonts w:hint="eastAsia" w:ascii="方正魏碑_GBK" w:hAnsi="方正魏碑_GBK" w:eastAsia="方正魏碑_GBK" w:cs="方正魏碑_GBK"/>
          <w:kern w:val="0"/>
          <w:sz w:val="24"/>
          <w:szCs w:val="24"/>
          <w:shd w:val="clear" w:color="auto" w:fill="FFFFFF"/>
          <w:lang w:val="en-US" w:eastAsia="zh-CN" w:bidi="ar-SA"/>
        </w:rPr>
        <w:t>的</w:t>
      </w:r>
      <w:r>
        <w:rPr>
          <w:rFonts w:hint="eastAsia" w:ascii="方正魏碑_GBK" w:hAnsi="方正魏碑_GBK" w:eastAsia="方正魏碑_GBK" w:cs="方正魏碑_GBK"/>
          <w:kern w:val="0"/>
          <w:sz w:val="24"/>
          <w:szCs w:val="24"/>
          <w:u w:val="single"/>
          <w:shd w:val="clear" w:color="auto" w:fill="FFFFFF"/>
          <w:lang w:val="en-US" w:eastAsia="zh-CN" w:bidi="ar-SA"/>
        </w:rPr>
        <w:t xml:space="preserve">  </w:t>
      </w:r>
      <w:r>
        <w:rPr>
          <w:rStyle w:val="21"/>
          <w:rFonts w:hint="eastAsia" w:ascii="方正魏碑_GBK" w:hAnsi="方正魏碑_GBK" w:eastAsia="方正魏碑_GBK" w:cs="方正魏碑_GBK"/>
          <w:i w:val="0"/>
          <w:kern w:val="0"/>
          <w:sz w:val="24"/>
          <w:szCs w:val="24"/>
          <w:u w:val="single"/>
          <w:shd w:val="clear" w:color="auto" w:fill="FFFFFF"/>
          <w:lang w:val="en-US" w:eastAsia="zh-CN" w:bidi="ar-SA"/>
        </w:rPr>
        <w:t xml:space="preserve">/  </w:t>
      </w:r>
      <w:r>
        <w:rPr>
          <w:rStyle w:val="21"/>
          <w:rFonts w:hint="eastAsia" w:ascii="方正魏碑_GBK" w:hAnsi="方正魏碑_GBK" w:eastAsia="方正魏碑_GBK" w:cs="方正魏碑_GBK"/>
          <w:i w:val="0"/>
          <w:kern w:val="0"/>
          <w:sz w:val="24"/>
          <w:szCs w:val="24"/>
          <w:shd w:val="clear" w:color="auto" w:fill="FFFFFF"/>
          <w:vertAlign w:val="superscript"/>
          <w:lang w:val="en-US" w:eastAsia="zh-CN" w:bidi="ar-SA"/>
        </w:rPr>
        <w:t>5</w:t>
      </w:r>
      <w:r>
        <w:rPr>
          <w:rFonts w:hint="eastAsia" w:ascii="方正魏碑_GBK" w:hAnsi="方正魏碑_GBK" w:eastAsia="方正魏碑_GBK" w:cs="方正魏碑_GBK"/>
          <w:kern w:val="0"/>
          <w:sz w:val="24"/>
          <w:szCs w:val="24"/>
          <w:shd w:val="clear" w:color="auto" w:fill="FFFFFF"/>
          <w:lang w:val="en-US" w:eastAsia="zh-CN" w:bidi="ar-SA"/>
        </w:rPr>
        <w:t>在中国境内完成。</w:t>
      </w:r>
    </w:p>
    <w:p w14:paraId="15BE3968">
      <w:pPr>
        <w:widowControl/>
        <w:spacing w:before="30" w:beforeAutospacing="0" w:after="30" w:afterAutospacing="0" w:line="0" w:lineRule="atLeast"/>
        <w:ind w:firstLine="420"/>
        <w:jc w:val="left"/>
        <w:rPr>
          <w:rFonts w:hint="eastAsia" w:ascii="方正魏碑_GBK" w:hAnsi="方正魏碑_GBK" w:eastAsia="方正魏碑_GBK" w:cs="方正魏碑_GBK"/>
          <w:kern w:val="0"/>
          <w:sz w:val="24"/>
          <w:szCs w:val="24"/>
          <w:lang w:val="en-US" w:eastAsia="zh-CN" w:bidi="ar-SA"/>
        </w:rPr>
      </w:pPr>
      <w:r>
        <w:rPr>
          <w:rFonts w:hint="eastAsia" w:ascii="方正魏碑_GBK" w:hAnsi="方正魏碑_GBK" w:eastAsia="方正魏碑_GBK" w:cs="方正魏碑_GBK"/>
          <w:kern w:val="0"/>
          <w:sz w:val="24"/>
          <w:szCs w:val="24"/>
          <w:shd w:val="clear" w:color="auto" w:fill="FFFFFF"/>
          <w:lang w:val="en-US" w:eastAsia="zh-CN" w:bidi="ar-SA"/>
        </w:rPr>
        <w:t>2.</w:t>
      </w:r>
      <w:r>
        <w:rPr>
          <w:rStyle w:val="21"/>
          <w:rFonts w:hint="eastAsia" w:ascii="方正魏碑_GBK" w:hAnsi="方正魏碑_GBK" w:eastAsia="方正魏碑_GBK" w:cs="方正魏碑_GBK"/>
          <w:i w:val="0"/>
          <w:kern w:val="0"/>
          <w:sz w:val="24"/>
          <w:szCs w:val="24"/>
          <w:u w:val="single"/>
          <w:shd w:val="clear" w:color="auto" w:fill="FFFFFF"/>
          <w:lang w:val="en-US" w:eastAsia="zh-CN" w:bidi="ar-SA"/>
        </w:rPr>
        <w:t>（产品名称2）</w:t>
      </w:r>
      <w:r>
        <w:rPr>
          <w:rFonts w:hint="eastAsia" w:ascii="方正魏碑_GBK" w:hAnsi="方正魏碑_GBK" w:eastAsia="方正魏碑_GBK" w:cs="方正魏碑_GBK"/>
          <w:kern w:val="0"/>
          <w:sz w:val="24"/>
          <w:szCs w:val="24"/>
          <w:shd w:val="clear" w:color="auto" w:fill="FFFFFF"/>
          <w:lang w:val="en-US" w:eastAsia="zh-CN" w:bidi="ar-SA"/>
        </w:rPr>
        <w:t>，生产厂为</w:t>
      </w:r>
      <w:r>
        <w:rPr>
          <w:rStyle w:val="21"/>
          <w:rFonts w:hint="eastAsia" w:ascii="方正魏碑_GBK" w:hAnsi="方正魏碑_GBK" w:eastAsia="方正魏碑_GBK" w:cs="方正魏碑_GBK"/>
          <w:i w:val="0"/>
          <w:kern w:val="0"/>
          <w:sz w:val="24"/>
          <w:szCs w:val="24"/>
          <w:u w:val="single"/>
          <w:shd w:val="clear" w:color="auto" w:fill="FFFFFF"/>
          <w:lang w:val="en-US" w:eastAsia="zh-CN" w:bidi="ar-SA"/>
        </w:rPr>
        <w:t>（厂名）</w:t>
      </w:r>
      <w:r>
        <w:rPr>
          <w:rFonts w:hint="eastAsia" w:ascii="方正魏碑_GBK" w:hAnsi="方正魏碑_GBK" w:eastAsia="方正魏碑_GBK" w:cs="方正魏碑_GBK"/>
          <w:kern w:val="0"/>
          <w:sz w:val="24"/>
          <w:szCs w:val="24"/>
          <w:shd w:val="clear" w:color="auto" w:fill="FFFFFF"/>
          <w:lang w:val="en-US" w:eastAsia="zh-CN" w:bidi="ar-SA"/>
        </w:rPr>
        <w:t>，厂址为</w:t>
      </w:r>
      <w:r>
        <w:rPr>
          <w:rStyle w:val="21"/>
          <w:rFonts w:hint="eastAsia" w:ascii="方正魏碑_GBK" w:hAnsi="方正魏碑_GBK" w:eastAsia="方正魏碑_GBK" w:cs="方正魏碑_GBK"/>
          <w:i w:val="0"/>
          <w:kern w:val="0"/>
          <w:sz w:val="24"/>
          <w:szCs w:val="24"/>
          <w:u w:val="single"/>
          <w:shd w:val="clear" w:color="auto" w:fill="FFFFFF"/>
          <w:lang w:val="en-US" w:eastAsia="zh-CN" w:bidi="ar-SA"/>
        </w:rPr>
        <w:t>（生产厂址）</w:t>
      </w:r>
      <w:r>
        <w:rPr>
          <w:rFonts w:hint="eastAsia" w:ascii="方正魏碑_GBK" w:hAnsi="方正魏碑_GBK" w:eastAsia="方正魏碑_GBK" w:cs="方正魏碑_GBK"/>
          <w:kern w:val="0"/>
          <w:sz w:val="24"/>
          <w:szCs w:val="24"/>
          <w:shd w:val="clear" w:color="auto" w:fill="FFFFFF"/>
          <w:lang w:val="en-US" w:eastAsia="zh-CN" w:bidi="ar-SA"/>
        </w:rPr>
        <w:t>。</w:t>
      </w:r>
      <w:r>
        <w:rPr>
          <w:rFonts w:hint="eastAsia" w:ascii="方正魏碑_GBK" w:hAnsi="方正魏碑_GBK" w:eastAsia="方正魏碑_GBK" w:cs="方正魏碑_GBK"/>
          <w:kern w:val="0"/>
          <w:sz w:val="24"/>
          <w:szCs w:val="24"/>
          <w:u w:val="single"/>
          <w:shd w:val="clear" w:color="auto" w:fill="FFFFFF"/>
          <w:lang w:val="en-US" w:eastAsia="zh-CN" w:bidi="ar-SA"/>
        </w:rPr>
        <w:t xml:space="preserve"> </w:t>
      </w:r>
      <w:r>
        <w:rPr>
          <w:rStyle w:val="21"/>
          <w:rFonts w:hint="eastAsia" w:ascii="方正魏碑_GBK" w:hAnsi="方正魏碑_GBK" w:eastAsia="方正魏碑_GBK" w:cs="方正魏碑_GBK"/>
          <w:i w:val="0"/>
          <w:kern w:val="0"/>
          <w:sz w:val="24"/>
          <w:szCs w:val="24"/>
          <w:u w:val="single"/>
          <w:shd w:val="clear" w:color="auto" w:fill="FFFFFF"/>
          <w:lang w:val="en-US" w:eastAsia="zh-CN" w:bidi="ar-SA"/>
        </w:rPr>
        <w:t xml:space="preserve">/  </w:t>
      </w:r>
      <w:r>
        <w:rPr>
          <w:rFonts w:hint="eastAsia" w:ascii="方正魏碑_GBK" w:hAnsi="方正魏碑_GBK" w:eastAsia="方正魏碑_GBK" w:cs="方正魏碑_GBK"/>
          <w:kern w:val="0"/>
          <w:sz w:val="24"/>
          <w:szCs w:val="24"/>
          <w:shd w:val="clear" w:color="auto" w:fill="FFFFFF"/>
          <w:lang w:val="en-US" w:eastAsia="zh-CN" w:bidi="ar-SA"/>
        </w:rPr>
        <w:t>的中国境内生产的组件成本占比≥</w:t>
      </w:r>
      <w:r>
        <w:rPr>
          <w:rFonts w:hint="eastAsia" w:ascii="方正魏碑_GBK" w:hAnsi="方正魏碑_GBK" w:eastAsia="方正魏碑_GBK" w:cs="方正魏碑_GBK"/>
          <w:kern w:val="0"/>
          <w:sz w:val="24"/>
          <w:szCs w:val="24"/>
          <w:u w:val="single"/>
          <w:shd w:val="clear" w:color="auto" w:fill="FFFFFF"/>
          <w:lang w:val="en-US" w:eastAsia="zh-CN" w:bidi="ar-SA"/>
        </w:rPr>
        <w:t xml:space="preserve">  </w:t>
      </w:r>
      <w:r>
        <w:rPr>
          <w:rStyle w:val="21"/>
          <w:rFonts w:hint="eastAsia" w:ascii="方正魏碑_GBK" w:hAnsi="方正魏碑_GBK" w:eastAsia="方正魏碑_GBK" w:cs="方正魏碑_GBK"/>
          <w:i w:val="0"/>
          <w:kern w:val="0"/>
          <w:sz w:val="24"/>
          <w:szCs w:val="24"/>
          <w:u w:val="single"/>
          <w:shd w:val="clear" w:color="auto" w:fill="FFFFFF"/>
          <w:lang w:val="en-US" w:eastAsia="zh-CN" w:bidi="ar-SA"/>
        </w:rPr>
        <w:t xml:space="preserve">/  </w:t>
      </w:r>
      <w:r>
        <w:rPr>
          <w:rFonts w:hint="eastAsia" w:ascii="方正魏碑_GBK" w:hAnsi="方正魏碑_GBK" w:eastAsia="方正魏碑_GBK" w:cs="方正魏碑_GBK"/>
          <w:kern w:val="0"/>
          <w:sz w:val="24"/>
          <w:szCs w:val="24"/>
          <w:shd w:val="clear" w:color="auto" w:fill="FFFFFF"/>
          <w:lang w:val="en-US" w:eastAsia="zh-CN" w:bidi="ar-SA"/>
        </w:rPr>
        <w:t>。</w:t>
      </w:r>
      <w:r>
        <w:rPr>
          <w:rFonts w:hint="eastAsia" w:ascii="方正魏碑_GBK" w:hAnsi="方正魏碑_GBK" w:eastAsia="方正魏碑_GBK" w:cs="方正魏碑_GBK"/>
          <w:kern w:val="0"/>
          <w:sz w:val="24"/>
          <w:szCs w:val="24"/>
          <w:u w:val="single"/>
          <w:shd w:val="clear" w:color="auto" w:fill="FFFFFF"/>
          <w:lang w:val="en-US" w:eastAsia="zh-CN" w:bidi="ar-SA"/>
        </w:rPr>
        <w:t xml:space="preserve">  </w:t>
      </w:r>
      <w:r>
        <w:rPr>
          <w:rStyle w:val="21"/>
          <w:rFonts w:hint="eastAsia" w:ascii="方正魏碑_GBK" w:hAnsi="方正魏碑_GBK" w:eastAsia="方正魏碑_GBK" w:cs="方正魏碑_GBK"/>
          <w:i w:val="0"/>
          <w:kern w:val="0"/>
          <w:sz w:val="24"/>
          <w:szCs w:val="24"/>
          <w:u w:val="single"/>
          <w:shd w:val="clear" w:color="auto" w:fill="FFFFFF"/>
          <w:lang w:val="en-US" w:eastAsia="zh-CN" w:bidi="ar-SA"/>
        </w:rPr>
        <w:t xml:space="preserve">/  </w:t>
      </w:r>
      <w:r>
        <w:rPr>
          <w:rFonts w:hint="eastAsia" w:ascii="方正魏碑_GBK" w:hAnsi="方正魏碑_GBK" w:eastAsia="方正魏碑_GBK" w:cs="方正魏碑_GBK"/>
          <w:kern w:val="0"/>
          <w:sz w:val="24"/>
          <w:szCs w:val="24"/>
          <w:shd w:val="clear" w:color="auto" w:fill="FFFFFF"/>
          <w:lang w:val="en-US" w:eastAsia="zh-CN" w:bidi="ar-SA"/>
        </w:rPr>
        <w:t>的</w:t>
      </w:r>
      <w:r>
        <w:rPr>
          <w:rFonts w:hint="eastAsia" w:ascii="方正魏碑_GBK" w:hAnsi="方正魏碑_GBK" w:eastAsia="方正魏碑_GBK" w:cs="方正魏碑_GBK"/>
          <w:kern w:val="0"/>
          <w:sz w:val="24"/>
          <w:szCs w:val="24"/>
          <w:u w:val="single"/>
          <w:shd w:val="clear" w:color="auto" w:fill="FFFFFF"/>
          <w:lang w:val="en-US" w:eastAsia="zh-CN" w:bidi="ar-SA"/>
        </w:rPr>
        <w:t xml:space="preserve">  </w:t>
      </w:r>
      <w:r>
        <w:rPr>
          <w:rStyle w:val="21"/>
          <w:rFonts w:hint="eastAsia" w:ascii="方正魏碑_GBK" w:hAnsi="方正魏碑_GBK" w:eastAsia="方正魏碑_GBK" w:cs="方正魏碑_GBK"/>
          <w:i w:val="0"/>
          <w:kern w:val="0"/>
          <w:sz w:val="24"/>
          <w:szCs w:val="24"/>
          <w:u w:val="single"/>
          <w:shd w:val="clear" w:color="auto" w:fill="FFFFFF"/>
          <w:lang w:val="en-US" w:eastAsia="zh-CN" w:bidi="ar-SA"/>
        </w:rPr>
        <w:t xml:space="preserve">/  </w:t>
      </w:r>
      <w:r>
        <w:rPr>
          <w:rFonts w:hint="eastAsia" w:ascii="方正魏碑_GBK" w:hAnsi="方正魏碑_GBK" w:eastAsia="方正魏碑_GBK" w:cs="方正魏碑_GBK"/>
          <w:kern w:val="0"/>
          <w:sz w:val="24"/>
          <w:szCs w:val="24"/>
          <w:shd w:val="clear" w:color="auto" w:fill="FFFFFF"/>
          <w:lang w:val="en-US" w:eastAsia="zh-CN" w:bidi="ar-SA"/>
        </w:rPr>
        <w:t>在中国境内生产。</w:t>
      </w:r>
      <w:r>
        <w:rPr>
          <w:rFonts w:hint="eastAsia" w:ascii="方正魏碑_GBK" w:hAnsi="方正魏碑_GBK" w:eastAsia="方正魏碑_GBK" w:cs="方正魏碑_GBK"/>
          <w:kern w:val="0"/>
          <w:sz w:val="24"/>
          <w:szCs w:val="24"/>
          <w:u w:val="single"/>
          <w:shd w:val="clear" w:color="auto" w:fill="FFFFFF"/>
          <w:lang w:val="en-US" w:eastAsia="zh-CN" w:bidi="ar-SA"/>
        </w:rPr>
        <w:t xml:space="preserve">  </w:t>
      </w:r>
      <w:r>
        <w:rPr>
          <w:rStyle w:val="21"/>
          <w:rFonts w:hint="eastAsia" w:ascii="方正魏碑_GBK" w:hAnsi="方正魏碑_GBK" w:eastAsia="方正魏碑_GBK" w:cs="方正魏碑_GBK"/>
          <w:i w:val="0"/>
          <w:kern w:val="0"/>
          <w:sz w:val="24"/>
          <w:szCs w:val="24"/>
          <w:u w:val="single"/>
          <w:shd w:val="clear" w:color="auto" w:fill="FFFFFF"/>
          <w:lang w:val="en-US" w:eastAsia="zh-CN" w:bidi="ar-SA"/>
        </w:rPr>
        <w:t xml:space="preserve">/  </w:t>
      </w:r>
      <w:r>
        <w:rPr>
          <w:rFonts w:hint="eastAsia" w:ascii="方正魏碑_GBK" w:hAnsi="方正魏碑_GBK" w:eastAsia="方正魏碑_GBK" w:cs="方正魏碑_GBK"/>
          <w:kern w:val="0"/>
          <w:sz w:val="24"/>
          <w:szCs w:val="24"/>
          <w:shd w:val="clear" w:color="auto" w:fill="FFFFFF"/>
          <w:lang w:val="en-US" w:eastAsia="zh-CN" w:bidi="ar-SA"/>
        </w:rPr>
        <w:t>的</w:t>
      </w:r>
      <w:r>
        <w:rPr>
          <w:rFonts w:hint="eastAsia" w:ascii="方正魏碑_GBK" w:hAnsi="方正魏碑_GBK" w:eastAsia="方正魏碑_GBK" w:cs="方正魏碑_GBK"/>
          <w:kern w:val="0"/>
          <w:sz w:val="24"/>
          <w:szCs w:val="24"/>
          <w:u w:val="single"/>
          <w:shd w:val="clear" w:color="auto" w:fill="FFFFFF"/>
          <w:lang w:val="en-US" w:eastAsia="zh-CN" w:bidi="ar-SA"/>
        </w:rPr>
        <w:t xml:space="preserve">  </w:t>
      </w:r>
      <w:r>
        <w:rPr>
          <w:rStyle w:val="21"/>
          <w:rFonts w:hint="eastAsia" w:ascii="方正魏碑_GBK" w:hAnsi="方正魏碑_GBK" w:eastAsia="方正魏碑_GBK" w:cs="方正魏碑_GBK"/>
          <w:i w:val="0"/>
          <w:kern w:val="0"/>
          <w:sz w:val="24"/>
          <w:szCs w:val="24"/>
          <w:u w:val="single"/>
          <w:shd w:val="clear" w:color="auto" w:fill="FFFFFF"/>
          <w:lang w:val="en-US" w:eastAsia="zh-CN" w:bidi="ar-SA"/>
        </w:rPr>
        <w:t xml:space="preserve">/  </w:t>
      </w:r>
      <w:r>
        <w:rPr>
          <w:rFonts w:hint="eastAsia" w:ascii="方正魏碑_GBK" w:hAnsi="方正魏碑_GBK" w:eastAsia="方正魏碑_GBK" w:cs="方正魏碑_GBK"/>
          <w:kern w:val="0"/>
          <w:sz w:val="24"/>
          <w:szCs w:val="24"/>
          <w:shd w:val="clear" w:color="auto" w:fill="FFFFFF"/>
          <w:lang w:val="en-US" w:eastAsia="zh-CN" w:bidi="ar-SA"/>
        </w:rPr>
        <w:t>在中国境内完成。</w:t>
      </w:r>
    </w:p>
    <w:p w14:paraId="52411C4E">
      <w:pPr>
        <w:widowControl/>
        <w:spacing w:before="30" w:beforeAutospacing="0" w:after="30" w:afterAutospacing="0" w:line="0" w:lineRule="atLeast"/>
        <w:ind w:firstLine="420"/>
        <w:jc w:val="left"/>
        <w:rPr>
          <w:rFonts w:hint="eastAsia" w:ascii="方正魏碑_GBK" w:hAnsi="方正魏碑_GBK" w:eastAsia="方正魏碑_GBK" w:cs="方正魏碑_GBK"/>
          <w:kern w:val="0"/>
          <w:sz w:val="24"/>
          <w:szCs w:val="24"/>
          <w:lang w:val="en-US" w:eastAsia="zh-CN" w:bidi="ar-SA"/>
        </w:rPr>
      </w:pPr>
      <w:r>
        <w:rPr>
          <w:rFonts w:hint="eastAsia" w:ascii="方正魏碑_GBK" w:hAnsi="方正魏碑_GBK" w:eastAsia="方正魏碑_GBK" w:cs="方正魏碑_GBK"/>
          <w:kern w:val="0"/>
          <w:sz w:val="24"/>
          <w:szCs w:val="24"/>
          <w:shd w:val="clear" w:color="auto" w:fill="FFFFFF"/>
          <w:lang w:val="en-US" w:eastAsia="zh-CN" w:bidi="ar-SA"/>
        </w:rPr>
        <w:t>……</w:t>
      </w:r>
    </w:p>
    <w:p w14:paraId="6719BAFA">
      <w:pPr>
        <w:widowControl/>
        <w:spacing w:before="30" w:beforeAutospacing="0" w:after="30" w:afterAutospacing="0" w:line="0" w:lineRule="atLeast"/>
        <w:ind w:firstLine="420"/>
        <w:jc w:val="left"/>
        <w:rPr>
          <w:rFonts w:hint="eastAsia" w:ascii="方正魏碑_GBK" w:hAnsi="方正魏碑_GBK" w:eastAsia="方正魏碑_GBK" w:cs="方正魏碑_GBK"/>
          <w:kern w:val="0"/>
          <w:sz w:val="24"/>
          <w:szCs w:val="24"/>
          <w:lang w:val="en-US" w:eastAsia="zh-CN" w:bidi="ar-SA"/>
        </w:rPr>
      </w:pPr>
      <w:r>
        <w:rPr>
          <w:rFonts w:hint="eastAsia" w:ascii="方正魏碑_GBK" w:hAnsi="方正魏碑_GBK" w:eastAsia="方正魏碑_GBK" w:cs="方正魏碑_GBK"/>
          <w:kern w:val="0"/>
          <w:sz w:val="24"/>
          <w:szCs w:val="24"/>
          <w:shd w:val="clear" w:color="auto" w:fill="FFFFFF"/>
          <w:lang w:val="en-US" w:eastAsia="zh-CN" w:bidi="ar-SA"/>
        </w:rPr>
        <w:t>本公司（单位）对上述声明内容的真实性负责。如有虚假，愿承担相应法律责任。</w:t>
      </w:r>
    </w:p>
    <w:p w14:paraId="513BC883">
      <w:pPr>
        <w:widowControl/>
        <w:spacing w:before="30" w:beforeAutospacing="0" w:after="30" w:afterAutospacing="0" w:line="0" w:lineRule="atLeast"/>
        <w:jc w:val="left"/>
        <w:rPr>
          <w:rFonts w:hint="eastAsia" w:ascii="方正魏碑_GBK" w:hAnsi="方正魏碑_GBK" w:eastAsia="方正魏碑_GBK" w:cs="方正魏碑_GBK"/>
          <w:kern w:val="0"/>
          <w:sz w:val="24"/>
          <w:szCs w:val="24"/>
          <w:lang w:val="en-US" w:eastAsia="zh-CN" w:bidi="ar-SA"/>
        </w:rPr>
      </w:pPr>
    </w:p>
    <w:p w14:paraId="067E1B89">
      <w:pPr>
        <w:widowControl/>
        <w:spacing w:before="30" w:beforeAutospacing="0" w:after="30" w:afterAutospacing="0" w:line="0" w:lineRule="atLeast"/>
        <w:jc w:val="right"/>
        <w:rPr>
          <w:rFonts w:hint="eastAsia" w:ascii="方正魏碑_GBK" w:hAnsi="方正魏碑_GBK" w:eastAsia="方正魏碑_GBK" w:cs="方正魏碑_GBK"/>
          <w:kern w:val="0"/>
          <w:sz w:val="24"/>
          <w:szCs w:val="24"/>
          <w:lang w:val="en-US" w:eastAsia="zh-CN" w:bidi="ar-SA"/>
        </w:rPr>
      </w:pPr>
      <w:r>
        <w:rPr>
          <w:rFonts w:hint="eastAsia" w:ascii="方正魏碑_GBK" w:hAnsi="方正魏碑_GBK" w:eastAsia="方正魏碑_GBK" w:cs="方正魏碑_GBK"/>
          <w:kern w:val="0"/>
          <w:sz w:val="24"/>
          <w:szCs w:val="24"/>
          <w:shd w:val="clear" w:color="auto" w:fill="FFFFFF"/>
          <w:lang w:val="en-US" w:eastAsia="zh-CN" w:bidi="ar-SA"/>
        </w:rPr>
        <w:t xml:space="preserve">    公司（单位）名称（加盖CA电子公章）：　        </w:t>
      </w:r>
    </w:p>
    <w:p w14:paraId="59136D97">
      <w:pPr>
        <w:widowControl/>
        <w:spacing w:before="40" w:beforeAutospacing="0" w:after="40" w:afterAutospacing="0"/>
        <w:jc w:val="right"/>
        <w:rPr>
          <w:rFonts w:hint="eastAsia" w:ascii="方正魏碑_GBK" w:hAnsi="方正魏碑_GBK" w:eastAsia="方正魏碑_GBK" w:cs="方正魏碑_GBK"/>
          <w:kern w:val="0"/>
          <w:sz w:val="24"/>
          <w:szCs w:val="24"/>
          <w:shd w:val="clear" w:color="auto" w:fill="FFFFFF"/>
          <w:lang w:val="en-US" w:eastAsia="zh-CN" w:bidi="ar-SA"/>
        </w:rPr>
      </w:pPr>
      <w:r>
        <w:rPr>
          <w:rFonts w:hint="eastAsia" w:ascii="方正魏碑_GBK" w:hAnsi="方正魏碑_GBK" w:eastAsia="方正魏碑_GBK" w:cs="方正魏碑_GBK"/>
          <w:kern w:val="0"/>
          <w:sz w:val="24"/>
          <w:szCs w:val="24"/>
          <w:shd w:val="clear" w:color="auto" w:fill="FFFFFF"/>
          <w:lang w:val="en-US" w:eastAsia="zh-CN" w:bidi="ar-SA"/>
        </w:rPr>
        <w:t xml:space="preserve">         日期：　     年　  月　  日       </w:t>
      </w:r>
    </w:p>
    <w:p w14:paraId="60DA6623">
      <w:pPr>
        <w:widowControl/>
        <w:spacing w:before="40" w:beforeAutospacing="0" w:after="40" w:afterAutospacing="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__________________</w:t>
      </w:r>
    </w:p>
    <w:p w14:paraId="75B4BAF5">
      <w:pPr>
        <w:widowControl/>
        <w:spacing w:before="40" w:beforeAutospacing="0" w:after="40" w:afterAutospacing="0"/>
        <w:ind w:firstLine="420"/>
        <w:jc w:val="lef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1.产品如有型号，请在“产品名称”栏一并填写。</w:t>
      </w:r>
    </w:p>
    <w:p w14:paraId="4B1FCB56">
      <w:pPr>
        <w:widowControl/>
        <w:spacing w:before="40" w:beforeAutospacing="0" w:after="40" w:afterAutospacing="0"/>
        <w:ind w:firstLine="420"/>
        <w:jc w:val="lef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2.生产厂名与厂址应与生产厂营业执照载明的相关信息保持一致。</w:t>
      </w:r>
    </w:p>
    <w:p w14:paraId="361FD2BB">
      <w:pPr>
        <w:widowControl/>
        <w:spacing w:before="40" w:beforeAutospacing="0" w:after="40" w:afterAutospacing="0"/>
        <w:ind w:firstLine="420"/>
        <w:jc w:val="lef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3.该产品的中国境内生产的组件成本占比相关要求实施前，“规定比例”栏可不填，下同。</w:t>
      </w:r>
    </w:p>
    <w:p w14:paraId="1A868866">
      <w:pPr>
        <w:widowControl/>
        <w:spacing w:before="40" w:beforeAutospacing="0" w:after="40" w:afterAutospacing="0"/>
        <w:ind w:firstLine="420"/>
        <w:jc w:val="lef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4.该产品的关键组件要求实施前，“关键组件”栏可不填，下同。</w:t>
      </w:r>
    </w:p>
    <w:p w14:paraId="42A57FC7">
      <w:pPr>
        <w:widowControl/>
        <w:spacing w:before="40" w:beforeAutospacing="0" w:after="40" w:afterAutospacing="0"/>
        <w:ind w:firstLine="420"/>
        <w:jc w:val="lef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5.该产品的关键工序要求实施前，“关键工序”栏可不填，下同。</w:t>
      </w:r>
    </w:p>
    <w:p w14:paraId="678C2EF0">
      <w:pPr>
        <w:widowControl/>
        <w:spacing w:before="40" w:beforeAutospacing="0" w:after="40" w:afterAutospacing="0"/>
        <w:ind w:firstLine="420"/>
        <w:jc w:val="lef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6.《声明函》中标注“  /  ”的地方无需填写。</w:t>
      </w:r>
    </w:p>
    <w:p w14:paraId="1456F6A2">
      <w:pPr>
        <w:rPr>
          <w:rFonts w:hint="eastAsia" w:ascii="宋体" w:hAnsi="宋体" w:cs="宋体"/>
          <w:sz w:val="24"/>
          <w:szCs w:val="24"/>
        </w:rPr>
      </w:pPr>
    </w:p>
    <w:p w14:paraId="007EB5FD">
      <w:pPr>
        <w:widowControl w:val="0"/>
        <w:adjustRightInd w:val="0"/>
        <w:spacing w:before="120" w:after="120" w:line="0" w:lineRule="atLeast"/>
        <w:ind w:firstLine="440" w:firstLineChars="200"/>
        <w:jc w:val="left"/>
        <w:textAlignment w:val="baseline"/>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526211B7">
      <w:pPr>
        <w:rPr>
          <w:rFonts w:hint="eastAsia" w:ascii="宋体" w:hAnsi="宋体" w:cs="宋体"/>
          <w:sz w:val="24"/>
          <w:szCs w:val="24"/>
        </w:rPr>
      </w:pPr>
    </w:p>
    <w:p w14:paraId="1459D65C"/>
    <w:sectPr>
      <w:headerReference r:id="rId8" w:type="default"/>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 New Roman Regular">
    <w:altName w:val="Times New Roman"/>
    <w:panose1 w:val="00000000000000000000"/>
    <w:charset w:val="00"/>
    <w:family w:val="auto"/>
    <w:pitch w:val="default"/>
    <w:sig w:usb0="00000000" w:usb1="00000000" w:usb2="00000001" w:usb3="00000000" w:csb0="400001BF" w:csb1="DFF70000"/>
  </w:font>
  <w:font w:name="方正魏碑_GBK">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17999">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20</w:t>
    </w:r>
    <w:r>
      <w:rPr>
        <w:rFonts w:ascii="Times New Roman" w:hAnsi="Times New Roman" w:eastAsia="宋体" w:cs="Times New Roman"/>
        <w:kern w:val="2"/>
        <w:sz w:val="18"/>
        <w:szCs w:val="18"/>
        <w:lang w:val="en-US" w:eastAsia="zh-CN"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96BB8">
    <w:pPr>
      <w:widowControl w:val="0"/>
      <w:tabs>
        <w:tab w:val="center" w:pos="4140"/>
        <w:tab w:val="right" w:pos="8300"/>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25</w:t>
    </w:r>
    <w:r>
      <w:rPr>
        <w:rFonts w:ascii="Times New Roman" w:hAnsi="Times New Roman" w:eastAsia="宋体" w:cs="Times New Roman"/>
        <w:kern w:val="2"/>
        <w:sz w:val="18"/>
        <w:szCs w:val="18"/>
        <w:lang w:val="en-US"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147E4">
    <w:pPr>
      <w:tabs>
        <w:tab w:val="center" w:pos="4153"/>
        <w:tab w:val="right" w:pos="8306"/>
      </w:tabs>
      <w:snapToGrid w:val="0"/>
      <w:spacing w:line="360" w:lineRule="auto"/>
      <w:jc w:val="left"/>
      <w:rPr>
        <w:sz w:val="18"/>
        <w:szCs w:val="18"/>
      </w:rPr>
    </w:pP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BC52B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51BC52B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40</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D9308">
    <w:pPr>
      <w:tabs>
        <w:tab w:val="center" w:pos="4153"/>
        <w:tab w:val="right" w:pos="8306"/>
      </w:tabs>
      <w:snapToGrid w:val="0"/>
      <w:spacing w:line="360" w:lineRule="auto"/>
      <w:jc w:val="center"/>
      <w:rPr>
        <w:sz w:val="18"/>
        <w:szCs w:val="18"/>
      </w:rPr>
    </w:pPr>
    <w:r>
      <w:rPr>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A09BB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14:paraId="46A09BB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CC397">
    <w:pPr>
      <w:tabs>
        <w:tab w:val="center" w:pos="4153"/>
        <w:tab w:val="right" w:pos="8306"/>
      </w:tabs>
      <w:snapToGrid w:val="0"/>
      <w:spacing w:line="360" w:lineRule="auto"/>
      <w:jc w:val="left"/>
      <w:rPr>
        <w:sz w:val="18"/>
        <w:szCs w:val="18"/>
      </w:rPr>
    </w:pP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0049D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460049D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F2BA9">
    <w:pPr>
      <w:widowControl w:val="0"/>
      <w:spacing w:line="14" w:lineRule="auto"/>
      <w:jc w:val="both"/>
      <w:rPr>
        <w:rFonts w:ascii="楷体_GB2312" w:hAnsi="Arial" w:eastAsia="楷体_GB2312" w:cs="Times New Roman"/>
        <w:kern w:val="2"/>
        <w:sz w:val="20"/>
        <w:szCs w:val="28"/>
        <w:lang w:val="en-US" w:eastAsia="zh-CN" w:bidi="ar-SA"/>
      </w:rPr>
    </w:pPr>
    <w:r>
      <w:rPr>
        <w:rFonts w:ascii="楷体_GB2312" w:hAnsi="Arial" w:eastAsia="楷体_GB2312" w:cs="Times New Roman"/>
        <w:kern w:val="2"/>
        <w:sz w:val="28"/>
        <w:szCs w:val="28"/>
        <w:lang w:val="en-US" w:eastAsia="zh-CN" w:bidi="ar-SA"/>
      </w:rPr>
      <mc:AlternateContent>
        <mc:Choice Requires="wps">
          <w:drawing>
            <wp:anchor distT="0" distB="0" distL="114300" distR="114300" simplePos="0" relativeHeight="25165926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37640712"/>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721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euJOH7sBAAB0AwAADgAAAAAAAAABACAAAAAnAQAAZHJzL2Uyb0RvYy54bWxQ&#10;SwUGAAAAAAYABgBZAQAAVAUAAAAA&#10;">
              <v:fill on="f" focussize="0,0"/>
              <v:stroke on="f"/>
              <v:imagedata o:title=""/>
              <o:lock v:ext="edit" aspectratio="f"/>
              <v:textbox inset="0mm,0mm,0mm,0mm">
                <w:txbxContent>
                  <w:p w14:paraId="37640712"/>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B0137">
    <w:pPr>
      <w:pStyle w:val="11"/>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6A0C7219"/>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721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2oeznYAAAACQEAAA8AAAAAAAAAAQAgAAAAIgAAAGRycy9kb3ducmV2LnhtbFBLAQIU&#10;ABQAAAAIAIdO4kCQixAHugEAAHQDAAAOAAAAAAAAAAEAIAAAACcBAABkcnMvZTJvRG9jLnhtbFBL&#10;BQYAAAAABgAGAFkBAABTBQAAAAA=&#10;">
              <v:fill on="f" focussize="0,0"/>
              <v:stroke on="f"/>
              <v:imagedata o:title=""/>
              <o:lock v:ext="edit" aspectratio="f"/>
              <v:textbox inset="0mm,0mm,0mm,0mm">
                <w:txbxContent>
                  <w:p w14:paraId="6A0C7219"/>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9162CF45"/>
    <w:multiLevelType w:val="multilevel"/>
    <w:tmpl w:val="9162CF45"/>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F7FFB4B4"/>
    <w:multiLevelType w:val="singleLevel"/>
    <w:tmpl w:val="F7FFB4B4"/>
    <w:lvl w:ilvl="0" w:tentative="0">
      <w:start w:val="2"/>
      <w:numFmt w:val="decimal"/>
      <w:suff w:val="space"/>
      <w:lvlText w:val="%1."/>
      <w:lvlJc w:val="left"/>
    </w:lvl>
  </w:abstractNum>
  <w:abstractNum w:abstractNumId="3">
    <w:nsid w:val="00000004"/>
    <w:multiLevelType w:val="singleLevel"/>
    <w:tmpl w:val="00000004"/>
    <w:lvl w:ilvl="0" w:tentative="0">
      <w:start w:val="8"/>
      <w:numFmt w:val="chineseCounting"/>
      <w:suff w:val="nothing"/>
      <w:lvlText w:val="%1、"/>
      <w:lvlJc w:val="left"/>
      <w:rPr>
        <w:rFonts w:hint="eastAsia"/>
      </w:rPr>
    </w:lvl>
  </w:abstractNum>
  <w:abstractNum w:abstractNumId="4">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77791287"/>
    <w:multiLevelType w:val="singleLevel"/>
    <w:tmpl w:val="77791287"/>
    <w:lvl w:ilvl="0" w:tentative="0">
      <w:start w:val="2"/>
      <w:numFmt w:val="decimal"/>
      <w:lvlText w:val="%1."/>
      <w:lvlJc w:val="left"/>
      <w:pPr>
        <w:tabs>
          <w:tab w:val="left" w:pos="312"/>
        </w:tabs>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2725F"/>
    <w:rsid w:val="067F11EE"/>
    <w:rsid w:val="08FD34DA"/>
    <w:rsid w:val="12B86DA7"/>
    <w:rsid w:val="14AF7AC2"/>
    <w:rsid w:val="182F6765"/>
    <w:rsid w:val="185F384E"/>
    <w:rsid w:val="18B74723"/>
    <w:rsid w:val="1AC629FA"/>
    <w:rsid w:val="1B522F7D"/>
    <w:rsid w:val="1C8A50BE"/>
    <w:rsid w:val="1CD4055C"/>
    <w:rsid w:val="1CFD20DE"/>
    <w:rsid w:val="1E01782D"/>
    <w:rsid w:val="1E3678AE"/>
    <w:rsid w:val="1F24680D"/>
    <w:rsid w:val="21C82111"/>
    <w:rsid w:val="23933D06"/>
    <w:rsid w:val="26185D26"/>
    <w:rsid w:val="289F0C32"/>
    <w:rsid w:val="2BB70D37"/>
    <w:rsid w:val="2F653EEC"/>
    <w:rsid w:val="33AB7013"/>
    <w:rsid w:val="348C2A67"/>
    <w:rsid w:val="353177D4"/>
    <w:rsid w:val="353727AC"/>
    <w:rsid w:val="37AB36B6"/>
    <w:rsid w:val="3AA95C4B"/>
    <w:rsid w:val="3B5915A4"/>
    <w:rsid w:val="406673C1"/>
    <w:rsid w:val="40CE0E52"/>
    <w:rsid w:val="40F14D85"/>
    <w:rsid w:val="40FA1EA6"/>
    <w:rsid w:val="422B72C3"/>
    <w:rsid w:val="46B4048E"/>
    <w:rsid w:val="4C1A713C"/>
    <w:rsid w:val="5149726B"/>
    <w:rsid w:val="54366C9C"/>
    <w:rsid w:val="55A55FED"/>
    <w:rsid w:val="59EE111B"/>
    <w:rsid w:val="59FB776F"/>
    <w:rsid w:val="5B325317"/>
    <w:rsid w:val="5E3C1B3D"/>
    <w:rsid w:val="5F6D1A9C"/>
    <w:rsid w:val="640A783B"/>
    <w:rsid w:val="66303BC3"/>
    <w:rsid w:val="686408E0"/>
    <w:rsid w:val="68AA60C2"/>
    <w:rsid w:val="702C7A97"/>
    <w:rsid w:val="71BF0D9B"/>
    <w:rsid w:val="72F71430"/>
    <w:rsid w:val="735C0F53"/>
    <w:rsid w:val="773B3EEA"/>
    <w:rsid w:val="78F63281"/>
    <w:rsid w:val="79F116A2"/>
    <w:rsid w:val="79FD23DF"/>
    <w:rsid w:val="7D7C0928"/>
    <w:rsid w:val="7F050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cs="Arial"/>
      <w:b/>
      <w:bCs/>
      <w:sz w:val="44"/>
      <w:szCs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7"/>
    <w:qFormat/>
    <w:uiPriority w:val="0"/>
    <w:pPr>
      <w:keepNext/>
      <w:keepLines/>
      <w:ind w:firstLine="420" w:firstLineChars="150"/>
      <w:outlineLvl w:val="3"/>
    </w:pPr>
    <w:rPr>
      <w:rFonts w:ascii="Arial" w:hAnsi="Arial" w:cs="Arial"/>
      <w:b/>
      <w:sz w:val="28"/>
      <w:szCs w:val="28"/>
    </w:rPr>
  </w:style>
  <w:style w:type="paragraph" w:styleId="8">
    <w:name w:val="heading 5"/>
    <w:basedOn w:val="1"/>
    <w:next w:val="7"/>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7">
    <w:name w:val="Normal Indent"/>
    <w:basedOn w:val="1"/>
    <w:qFormat/>
    <w:uiPriority w:val="0"/>
    <w:pPr>
      <w:ind w:firstLine="420"/>
    </w:pPr>
  </w:style>
  <w:style w:type="paragraph" w:styleId="10">
    <w:name w:val="annotation text"/>
    <w:basedOn w:val="1"/>
    <w:qFormat/>
    <w:uiPriority w:val="0"/>
    <w:pPr>
      <w:jc w:val="left"/>
    </w:pPr>
  </w:style>
  <w:style w:type="paragraph" w:styleId="11">
    <w:name w:val="Body Text"/>
    <w:basedOn w:val="1"/>
    <w:next w:val="12"/>
    <w:qFormat/>
    <w:uiPriority w:val="0"/>
    <w:rPr>
      <w:rFonts w:ascii="楷体_GB2312" w:hAnsi="Arial" w:eastAsia="楷体_GB2312"/>
      <w:sz w:val="28"/>
      <w:szCs w:val="28"/>
    </w:rPr>
  </w:style>
  <w:style w:type="paragraph" w:styleId="12">
    <w:name w:val="Body Text First Indent"/>
    <w:basedOn w:val="11"/>
    <w:next w:val="1"/>
    <w:qFormat/>
    <w:uiPriority w:val="0"/>
    <w:pPr>
      <w:spacing w:line="360" w:lineRule="auto"/>
      <w:ind w:firstLine="200" w:firstLineChars="200"/>
    </w:pPr>
    <w:rPr>
      <w:rFonts w:ascii="仿宋_GB2312" w:eastAsia="仿宋_GB2312"/>
      <w:sz w:val="30"/>
      <w:szCs w:val="30"/>
    </w:rPr>
  </w:style>
  <w:style w:type="paragraph" w:styleId="13">
    <w:name w:val="toc 3"/>
    <w:basedOn w:val="1"/>
    <w:next w:val="1"/>
    <w:qFormat/>
    <w:uiPriority w:val="39"/>
    <w:pPr>
      <w:ind w:left="840" w:leftChars="400"/>
    </w:pPr>
  </w:style>
  <w:style w:type="paragraph" w:styleId="14">
    <w:name w:val="Plain Text"/>
    <w:basedOn w:val="1"/>
    <w:qFormat/>
    <w:uiPriority w:val="0"/>
    <w:rPr>
      <w:rFonts w:ascii="宋体" w:hAnsi="Courier New" w:cs="Courier New"/>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toc 2"/>
    <w:basedOn w:val="1"/>
    <w:next w:val="1"/>
    <w:qFormat/>
    <w:uiPriority w:val="39"/>
    <w:pPr>
      <w:ind w:left="210"/>
      <w:jc w:val="left"/>
    </w:pPr>
    <w:rPr>
      <w:smallCaps/>
      <w:szCs w:val="24"/>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20">
    <w:name w:val="Strong"/>
    <w:qFormat/>
    <w:uiPriority w:val="0"/>
    <w:rPr>
      <w:b/>
      <w:bCs/>
    </w:rPr>
  </w:style>
  <w:style w:type="character" w:styleId="21">
    <w:name w:val="Emphasis"/>
    <w:qFormat/>
    <w:uiPriority w:val="0"/>
    <w:rPr>
      <w:i/>
    </w:rPr>
  </w:style>
  <w:style w:type="character" w:styleId="22">
    <w:name w:val="Hyperlink"/>
    <w:qFormat/>
    <w:uiPriority w:val="99"/>
    <w:rPr>
      <w:color w:val="0000FF"/>
      <w:u w:val="single"/>
    </w:rPr>
  </w:style>
  <w:style w:type="paragraph" w:customStyle="1" w:styleId="2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4">
    <w:name w:val="_Style 10"/>
    <w:basedOn w:val="3"/>
    <w:next w:val="1"/>
    <w:qFormat/>
    <w:uiPriority w:val="39"/>
    <w:pPr>
      <w:keepLines/>
      <w:widowControl/>
      <w:spacing w:before="480" w:line="276" w:lineRule="auto"/>
      <w:jc w:val="left"/>
      <w:outlineLvl w:val="9"/>
    </w:pPr>
    <w:rPr>
      <w:rFonts w:ascii="Cambria" w:hAnsi="Cambria" w:eastAsia="宋体"/>
      <w:b/>
      <w:bCs/>
      <w:color w:val="365F91"/>
      <w:kern w:val="0"/>
    </w:rPr>
  </w:style>
  <w:style w:type="paragraph" w:customStyle="1" w:styleId="25">
    <w:name w:val="列出段落1"/>
    <w:basedOn w:val="1"/>
    <w:qFormat/>
    <w:uiPriority w:val="0"/>
    <w:pPr>
      <w:widowControl/>
      <w:ind w:left="720"/>
      <w:contextualSpacing/>
      <w:jc w:val="left"/>
    </w:pPr>
    <w:rPr>
      <w:kern w:val="0"/>
      <w:sz w:val="24"/>
      <w:szCs w:val="24"/>
      <w:lang w:eastAsia="en-US" w:bidi="en-US"/>
    </w:rPr>
  </w:style>
  <w:style w:type="paragraph" w:customStyle="1" w:styleId="26">
    <w:name w:val="Char"/>
    <w:basedOn w:val="1"/>
    <w:qFormat/>
    <w:uiPriority w:val="0"/>
    <w:pPr>
      <w:tabs>
        <w:tab w:val="left" w:pos="360"/>
      </w:tabs>
      <w:ind w:firstLine="200" w:firstLineChars="200"/>
    </w:pPr>
    <w:rPr>
      <w:sz w:val="28"/>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96</Words>
  <Characters>108</Characters>
  <Lines>0</Lines>
  <Paragraphs>0</Paragraphs>
  <TotalTime>12</TotalTime>
  <ScaleCrop>false</ScaleCrop>
  <LinksUpToDate>false</LinksUpToDate>
  <CharactersWithSpaces>219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2026-05-13T14:26:00Z</dcterms:created>
  <dc:creator>Administrator</dc:creator>
  <cp:lastModifiedBy>啸风</cp:lastModifiedBy>
  <cp:lastPrinted>2026-05-19T14:02:00Z</cp:lastPrinted>
  <dcterms:modified xsi:type="dcterms:W3CDTF">2026-05-26T02:33:45Z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eyJoZGlkIjoiOWQ1NjRjOTkyOGRkYWIwNmE1ODcwOTllYTljMzQ3NGYiLCJ1c2VySWQiOiIzMDQzNTcyNjYifQ==</vt:lpwstr>
  </property>
  <property fmtid="{D5CDD505-2E9C-101B-9397-08002B2CF9AE}" pid="4" name="ICV">
    <vt:lpwstr>3C83F84A68774FD0B16EB21261F4F7DE_12</vt:lpwstr>
  </property>
</Properties>
</file>