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D6CB8">
      <w:pPr>
        <w:spacing w:line="285" w:lineRule="auto"/>
        <w:rPr>
          <w:rFonts w:hint="eastAsia" w:ascii="宋体" w:hAnsi="宋体" w:eastAsia="宋体" w:cs="宋体"/>
          <w:color w:val="auto"/>
          <w:sz w:val="21"/>
          <w:highlight w:val="none"/>
        </w:rPr>
      </w:pPr>
    </w:p>
    <w:p w14:paraId="6659A869">
      <w:pPr>
        <w:spacing w:line="286" w:lineRule="auto"/>
        <w:rPr>
          <w:rFonts w:hint="eastAsia" w:ascii="宋体" w:hAnsi="宋体" w:eastAsia="宋体" w:cs="宋体"/>
          <w:color w:val="auto"/>
          <w:sz w:val="21"/>
          <w:highlight w:val="none"/>
        </w:rPr>
      </w:pPr>
    </w:p>
    <w:p w14:paraId="37B358B9">
      <w:pPr>
        <w:spacing w:line="286" w:lineRule="auto"/>
        <w:rPr>
          <w:rFonts w:hint="eastAsia" w:ascii="宋体" w:hAnsi="宋体" w:eastAsia="宋体" w:cs="宋体"/>
          <w:color w:val="auto"/>
          <w:sz w:val="21"/>
          <w:highlight w:val="none"/>
        </w:rPr>
      </w:pPr>
    </w:p>
    <w:p w14:paraId="1CA803C8">
      <w:pPr>
        <w:pStyle w:val="9"/>
        <w:spacing w:before="171" w:line="220" w:lineRule="auto"/>
        <w:ind w:right="-500" w:rightChars="-238"/>
        <w:jc w:val="center"/>
        <w:outlineLvl w:val="0"/>
        <w:rPr>
          <w:rFonts w:hint="eastAsia" w:ascii="宋体" w:hAnsi="宋体" w:eastAsia="宋体" w:cs="宋体"/>
          <w:color w:val="auto"/>
          <w:spacing w:val="-10"/>
          <w:sz w:val="52"/>
          <w:szCs w:val="52"/>
          <w:highlight w:val="none"/>
          <w:lang w:eastAsia="zh-CN"/>
        </w:rPr>
      </w:pPr>
      <w:r>
        <w:rPr>
          <w:rFonts w:hint="eastAsia" w:cs="宋体"/>
          <w:color w:val="auto"/>
          <w:spacing w:val="-10"/>
          <w:sz w:val="52"/>
          <w:szCs w:val="52"/>
          <w:highlight w:val="none"/>
          <w:lang w:eastAsia="zh-CN"/>
        </w:rPr>
        <w:t>莎车县特色农业发展（农业绿色生物科技推广）项目</w:t>
      </w:r>
    </w:p>
    <w:p w14:paraId="0F7865AC">
      <w:pPr>
        <w:pStyle w:val="9"/>
        <w:spacing w:before="171" w:line="220" w:lineRule="auto"/>
        <w:ind w:left="2275" w:leftChars="0" w:right="-500" w:rightChars="-238" w:hanging="2275" w:hangingChars="455"/>
        <w:jc w:val="center"/>
        <w:outlineLvl w:val="0"/>
        <w:rPr>
          <w:rFonts w:hint="eastAsia" w:ascii="宋体" w:hAnsi="宋体" w:eastAsia="宋体" w:cs="宋体"/>
          <w:color w:val="auto"/>
          <w:spacing w:val="-10"/>
          <w:sz w:val="52"/>
          <w:szCs w:val="52"/>
          <w:highlight w:val="none"/>
        </w:rPr>
      </w:pPr>
    </w:p>
    <w:p w14:paraId="71AB165E">
      <w:pPr>
        <w:pStyle w:val="9"/>
        <w:spacing w:before="171" w:line="220" w:lineRule="auto"/>
        <w:ind w:left="2275" w:leftChars="0" w:right="-500" w:rightChars="-238" w:hanging="2275" w:hangingChars="455"/>
        <w:jc w:val="center"/>
        <w:outlineLvl w:val="0"/>
        <w:rPr>
          <w:rFonts w:hint="eastAsia" w:ascii="宋体" w:hAnsi="宋体" w:eastAsia="宋体" w:cs="宋体"/>
          <w:color w:val="auto"/>
          <w:sz w:val="52"/>
          <w:szCs w:val="52"/>
          <w:highlight w:val="none"/>
        </w:rPr>
      </w:pPr>
      <w:r>
        <w:rPr>
          <w:rFonts w:hint="eastAsia" w:ascii="宋体" w:hAnsi="宋体" w:eastAsia="宋体" w:cs="宋体"/>
          <w:color w:val="auto"/>
          <w:spacing w:val="-10"/>
          <w:sz w:val="52"/>
          <w:szCs w:val="52"/>
          <w:highlight w:val="none"/>
        </w:rPr>
        <w:t>竞争性磋商文件</w:t>
      </w:r>
    </w:p>
    <w:p w14:paraId="4D9A1991">
      <w:pPr>
        <w:spacing w:line="247" w:lineRule="auto"/>
        <w:rPr>
          <w:rFonts w:hint="eastAsia" w:ascii="宋体" w:hAnsi="宋体" w:eastAsia="宋体" w:cs="宋体"/>
          <w:color w:val="auto"/>
          <w:sz w:val="21"/>
          <w:highlight w:val="none"/>
        </w:rPr>
      </w:pPr>
    </w:p>
    <w:p w14:paraId="0BA9764D">
      <w:pPr>
        <w:spacing w:line="248" w:lineRule="auto"/>
        <w:rPr>
          <w:rFonts w:hint="eastAsia" w:ascii="宋体" w:hAnsi="宋体" w:eastAsia="宋体" w:cs="宋体"/>
          <w:color w:val="auto"/>
          <w:sz w:val="21"/>
          <w:highlight w:val="none"/>
        </w:rPr>
      </w:pPr>
    </w:p>
    <w:p w14:paraId="42968C5F">
      <w:pPr>
        <w:spacing w:line="248" w:lineRule="auto"/>
        <w:rPr>
          <w:rFonts w:hint="eastAsia" w:ascii="宋体" w:hAnsi="宋体" w:eastAsia="宋体" w:cs="宋体"/>
          <w:color w:val="auto"/>
          <w:sz w:val="21"/>
          <w:highlight w:val="none"/>
        </w:rPr>
      </w:pPr>
    </w:p>
    <w:p w14:paraId="67748425">
      <w:pPr>
        <w:pStyle w:val="9"/>
        <w:spacing w:before="97" w:line="218"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pacing w:val="-1"/>
          <w:sz w:val="30"/>
          <w:szCs w:val="30"/>
          <w:highlight w:val="none"/>
        </w:rPr>
        <w:t>项目编号</w:t>
      </w:r>
      <w:r>
        <w:rPr>
          <w:rFonts w:hint="eastAsia" w:ascii="宋体" w:hAnsi="宋体" w:eastAsia="宋体" w:cs="宋体"/>
          <w:color w:val="auto"/>
          <w:spacing w:val="-79"/>
          <w:sz w:val="30"/>
          <w:szCs w:val="30"/>
          <w:highlight w:val="none"/>
        </w:rPr>
        <w:t xml:space="preserve"> </w:t>
      </w:r>
      <w:r>
        <w:rPr>
          <w:rFonts w:hint="eastAsia" w:ascii="宋体" w:hAnsi="宋体" w:eastAsia="宋体" w:cs="宋体"/>
          <w:color w:val="auto"/>
          <w:spacing w:val="-1"/>
          <w:sz w:val="30"/>
          <w:szCs w:val="30"/>
          <w:highlight w:val="none"/>
        </w:rPr>
        <w:t>：</w:t>
      </w:r>
      <w:r>
        <w:rPr>
          <w:rFonts w:hint="eastAsia" w:cs="宋体"/>
          <w:color w:val="auto"/>
          <w:spacing w:val="-1"/>
          <w:sz w:val="30"/>
          <w:szCs w:val="30"/>
          <w:highlight w:val="none"/>
          <w:lang w:eastAsia="zh-CN"/>
        </w:rPr>
        <w:t>FYHCG(2026)006</w:t>
      </w:r>
    </w:p>
    <w:p w14:paraId="26FE1901">
      <w:pPr>
        <w:spacing w:line="266" w:lineRule="auto"/>
        <w:rPr>
          <w:rFonts w:hint="eastAsia" w:ascii="宋体" w:hAnsi="宋体" w:eastAsia="宋体" w:cs="宋体"/>
          <w:color w:val="auto"/>
          <w:sz w:val="21"/>
          <w:highlight w:val="none"/>
        </w:rPr>
      </w:pPr>
    </w:p>
    <w:p w14:paraId="2D5A0DF8">
      <w:pPr>
        <w:spacing w:line="266" w:lineRule="auto"/>
        <w:rPr>
          <w:rFonts w:hint="eastAsia" w:ascii="宋体" w:hAnsi="宋体" w:eastAsia="宋体" w:cs="宋体"/>
          <w:color w:val="auto"/>
          <w:sz w:val="21"/>
          <w:highlight w:val="none"/>
        </w:rPr>
      </w:pPr>
    </w:p>
    <w:p w14:paraId="3AFDBEC4">
      <w:pPr>
        <w:spacing w:line="266" w:lineRule="auto"/>
        <w:rPr>
          <w:rFonts w:hint="eastAsia" w:ascii="宋体" w:hAnsi="宋体" w:eastAsia="宋体" w:cs="宋体"/>
          <w:color w:val="auto"/>
          <w:sz w:val="21"/>
          <w:highlight w:val="none"/>
        </w:rPr>
      </w:pPr>
    </w:p>
    <w:p w14:paraId="1300691A">
      <w:pPr>
        <w:pStyle w:val="9"/>
        <w:spacing w:before="150" w:line="220" w:lineRule="auto"/>
        <w:ind w:left="3989"/>
        <w:outlineLvl w:val="0"/>
        <w:rPr>
          <w:rFonts w:hint="eastAsia" w:ascii="宋体" w:hAnsi="宋体" w:eastAsia="宋体" w:cs="宋体"/>
          <w:color w:val="auto"/>
          <w:sz w:val="46"/>
          <w:szCs w:val="46"/>
          <w:highlight w:val="none"/>
        </w:rPr>
      </w:pPr>
      <w:r>
        <w:rPr>
          <w:rFonts w:hint="eastAsia" w:ascii="宋体" w:hAnsi="宋体" w:eastAsia="宋体" w:cs="宋体"/>
          <w:color w:val="auto"/>
          <w:spacing w:val="-7"/>
          <w:sz w:val="46"/>
          <w:szCs w:val="46"/>
          <w:highlight w:val="none"/>
        </w:rPr>
        <w:t>第一册</w:t>
      </w:r>
    </w:p>
    <w:p w14:paraId="150C3D5A">
      <w:pPr>
        <w:spacing w:line="263" w:lineRule="auto"/>
        <w:rPr>
          <w:rFonts w:hint="eastAsia" w:ascii="宋体" w:hAnsi="宋体" w:eastAsia="宋体" w:cs="宋体"/>
          <w:color w:val="auto"/>
          <w:sz w:val="21"/>
          <w:highlight w:val="none"/>
        </w:rPr>
      </w:pPr>
    </w:p>
    <w:p w14:paraId="068D9DA6">
      <w:pPr>
        <w:spacing w:line="263" w:lineRule="auto"/>
        <w:rPr>
          <w:rFonts w:hint="eastAsia" w:ascii="宋体" w:hAnsi="宋体" w:eastAsia="宋体" w:cs="宋体"/>
          <w:color w:val="auto"/>
          <w:sz w:val="21"/>
          <w:highlight w:val="none"/>
        </w:rPr>
      </w:pPr>
    </w:p>
    <w:p w14:paraId="2DFA1BED">
      <w:pPr>
        <w:spacing w:line="263" w:lineRule="auto"/>
        <w:rPr>
          <w:rFonts w:hint="eastAsia" w:ascii="宋体" w:hAnsi="宋体" w:eastAsia="宋体" w:cs="宋体"/>
          <w:color w:val="auto"/>
          <w:sz w:val="21"/>
          <w:highlight w:val="none"/>
        </w:rPr>
      </w:pPr>
    </w:p>
    <w:p w14:paraId="0A7DC9F2">
      <w:pPr>
        <w:spacing w:line="263" w:lineRule="auto"/>
        <w:rPr>
          <w:rFonts w:hint="eastAsia" w:ascii="宋体" w:hAnsi="宋体" w:eastAsia="宋体" w:cs="宋体"/>
          <w:color w:val="auto"/>
          <w:sz w:val="21"/>
          <w:highlight w:val="none"/>
        </w:rPr>
      </w:pPr>
    </w:p>
    <w:p w14:paraId="45CB89A9">
      <w:pPr>
        <w:spacing w:line="264" w:lineRule="auto"/>
        <w:rPr>
          <w:rFonts w:hint="eastAsia" w:ascii="宋体" w:hAnsi="宋体" w:eastAsia="宋体" w:cs="宋体"/>
          <w:color w:val="auto"/>
          <w:sz w:val="21"/>
          <w:highlight w:val="none"/>
        </w:rPr>
      </w:pPr>
    </w:p>
    <w:p w14:paraId="7849AB31">
      <w:pPr>
        <w:pStyle w:val="9"/>
        <w:tabs>
          <w:tab w:val="left" w:pos="7407"/>
        </w:tabs>
        <w:spacing w:before="92" w:line="387" w:lineRule="auto"/>
        <w:ind w:left="838" w:leftChars="399" w:right="1329" w:firstLine="0" w:firstLineChars="0"/>
        <w:jc w:val="both"/>
        <w:rPr>
          <w:rFonts w:hint="eastAsia" w:ascii="宋体" w:hAnsi="宋体" w:eastAsia="宋体" w:cs="宋体"/>
          <w:color w:val="auto"/>
          <w:spacing w:val="-1"/>
          <w:highlight w:val="none"/>
          <w:u w:val="single" w:color="auto"/>
          <w:lang w:eastAsia="zh-CN"/>
        </w:rPr>
      </w:pPr>
      <w:r>
        <w:rPr>
          <w:rFonts w:hint="eastAsia" w:ascii="宋体" w:hAnsi="宋体" w:eastAsia="宋体" w:cs="宋体"/>
          <w:color w:val="auto"/>
          <w:spacing w:val="-1"/>
          <w:highlight w:val="none"/>
        </w:rPr>
        <w:t>采购单位名称：</w:t>
      </w:r>
      <w:r>
        <w:rPr>
          <w:rFonts w:hint="eastAsia" w:cs="宋体"/>
          <w:color w:val="auto"/>
          <w:spacing w:val="-1"/>
          <w:highlight w:val="none"/>
          <w:u w:val="single" w:color="auto"/>
          <w:lang w:eastAsia="zh-CN"/>
        </w:rPr>
        <w:t>莎车县农业农村局</w:t>
      </w:r>
    </w:p>
    <w:p w14:paraId="04B11022">
      <w:pPr>
        <w:pStyle w:val="9"/>
        <w:tabs>
          <w:tab w:val="left" w:pos="7407"/>
        </w:tabs>
        <w:spacing w:before="92" w:line="387" w:lineRule="auto"/>
        <w:ind w:left="838" w:leftChars="399" w:right="1329" w:firstLine="0" w:firstLineChars="0"/>
        <w:jc w:val="both"/>
        <w:rPr>
          <w:rFonts w:hint="eastAsia" w:ascii="宋体" w:hAnsi="宋体" w:eastAsia="宋体" w:cs="宋体"/>
          <w:color w:val="auto"/>
          <w:spacing w:val="-9"/>
          <w:highlight w:val="none"/>
          <w:u w:val="single" w:color="auto"/>
          <w:lang w:eastAsia="zh-CN"/>
        </w:rPr>
      </w:pPr>
      <w:r>
        <w:rPr>
          <w:rFonts w:hint="eastAsia" w:ascii="宋体" w:hAnsi="宋体" w:eastAsia="宋体" w:cs="宋体"/>
          <w:color w:val="auto"/>
          <w:spacing w:val="-9"/>
          <w:highlight w:val="none"/>
        </w:rPr>
        <w:t>联</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9"/>
          <w:highlight w:val="none"/>
        </w:rPr>
        <w:t>系</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9"/>
          <w:highlight w:val="none"/>
        </w:rPr>
        <w:t>人：</w:t>
      </w:r>
      <w:r>
        <w:rPr>
          <w:rFonts w:hint="eastAsia" w:cs="宋体"/>
          <w:color w:val="auto"/>
          <w:spacing w:val="-9"/>
          <w:highlight w:val="none"/>
          <w:u w:val="single" w:color="auto"/>
          <w:lang w:eastAsia="zh-CN"/>
        </w:rPr>
        <w:t>李正明</w:t>
      </w:r>
    </w:p>
    <w:p w14:paraId="2C4CE36C">
      <w:pPr>
        <w:pStyle w:val="9"/>
        <w:tabs>
          <w:tab w:val="left" w:pos="7407"/>
        </w:tabs>
        <w:spacing w:before="92" w:line="387" w:lineRule="auto"/>
        <w:ind w:left="838" w:leftChars="399" w:right="1329" w:firstLine="0" w:firstLineChars="0"/>
        <w:jc w:val="both"/>
        <w:rPr>
          <w:rFonts w:hint="eastAsia" w:ascii="宋体" w:hAnsi="宋体" w:eastAsia="宋体" w:cs="宋体"/>
          <w:color w:val="auto"/>
          <w:highlight w:val="none"/>
        </w:rPr>
      </w:pPr>
      <w:r>
        <w:rPr>
          <w:rFonts w:hint="eastAsia" w:ascii="宋体" w:hAnsi="宋体" w:eastAsia="宋体" w:cs="宋体"/>
          <w:color w:val="auto"/>
          <w:spacing w:val="-6"/>
          <w:highlight w:val="none"/>
        </w:rPr>
        <w:t>联 系</w:t>
      </w:r>
      <w:r>
        <w:rPr>
          <w:rFonts w:hint="eastAsia" w:ascii="宋体" w:hAnsi="宋体" w:eastAsia="宋体" w:cs="宋体"/>
          <w:color w:val="auto"/>
          <w:spacing w:val="26"/>
          <w:highlight w:val="none"/>
        </w:rPr>
        <w:t xml:space="preserve">  </w:t>
      </w:r>
      <w:r>
        <w:rPr>
          <w:rFonts w:hint="eastAsia" w:ascii="宋体" w:hAnsi="宋体" w:eastAsia="宋体" w:cs="宋体"/>
          <w:color w:val="auto"/>
          <w:spacing w:val="-6"/>
          <w:highlight w:val="none"/>
        </w:rPr>
        <w:t>电</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6"/>
          <w:highlight w:val="none"/>
        </w:rPr>
        <w:t>话：</w:t>
      </w:r>
      <w:r>
        <w:rPr>
          <w:rFonts w:hint="eastAsia" w:cs="宋体"/>
          <w:color w:val="auto"/>
          <w:spacing w:val="-6"/>
          <w:highlight w:val="none"/>
          <w:u w:val="single" w:color="auto"/>
          <w:lang w:eastAsia="zh-CN"/>
        </w:rPr>
        <w:t>18388070529</w:t>
      </w:r>
    </w:p>
    <w:p w14:paraId="3EF387FA">
      <w:pPr>
        <w:spacing w:line="272" w:lineRule="auto"/>
        <w:rPr>
          <w:rFonts w:hint="eastAsia" w:ascii="宋体" w:hAnsi="宋体" w:eastAsia="宋体" w:cs="宋体"/>
          <w:color w:val="auto"/>
          <w:sz w:val="21"/>
          <w:highlight w:val="none"/>
        </w:rPr>
      </w:pPr>
    </w:p>
    <w:p w14:paraId="5E4BD72B">
      <w:pPr>
        <w:spacing w:line="272" w:lineRule="auto"/>
        <w:rPr>
          <w:rFonts w:hint="eastAsia" w:ascii="宋体" w:hAnsi="宋体" w:eastAsia="宋体" w:cs="宋体"/>
          <w:color w:val="auto"/>
          <w:sz w:val="21"/>
          <w:highlight w:val="none"/>
        </w:rPr>
      </w:pPr>
    </w:p>
    <w:p w14:paraId="699D107A">
      <w:pPr>
        <w:spacing w:line="272" w:lineRule="auto"/>
        <w:rPr>
          <w:rFonts w:hint="eastAsia" w:ascii="宋体" w:hAnsi="宋体" w:eastAsia="宋体" w:cs="宋体"/>
          <w:color w:val="auto"/>
          <w:sz w:val="21"/>
          <w:highlight w:val="none"/>
        </w:rPr>
      </w:pPr>
    </w:p>
    <w:p w14:paraId="671F0746">
      <w:pPr>
        <w:pStyle w:val="6"/>
        <w:rPr>
          <w:rFonts w:hint="eastAsia" w:ascii="宋体" w:hAnsi="宋体" w:eastAsia="宋体" w:cs="宋体"/>
          <w:color w:val="auto"/>
          <w:sz w:val="21"/>
          <w:highlight w:val="none"/>
        </w:rPr>
      </w:pPr>
    </w:p>
    <w:p w14:paraId="3FFCD003">
      <w:pPr>
        <w:rPr>
          <w:rFonts w:hint="eastAsia"/>
          <w:color w:val="auto"/>
          <w:highlight w:val="none"/>
        </w:rPr>
      </w:pPr>
    </w:p>
    <w:p w14:paraId="3F5FBA78">
      <w:pPr>
        <w:pStyle w:val="9"/>
        <w:tabs>
          <w:tab w:val="left" w:pos="7549"/>
        </w:tabs>
        <w:spacing w:before="92" w:line="387" w:lineRule="auto"/>
        <w:ind w:left="838" w:leftChars="399" w:right="1188" w:firstLine="0" w:firstLineChars="0"/>
        <w:jc w:val="both"/>
        <w:rPr>
          <w:rFonts w:hint="eastAsia" w:ascii="宋体" w:hAnsi="宋体" w:eastAsia="宋体" w:cs="宋体"/>
          <w:color w:val="auto"/>
          <w:spacing w:val="-1"/>
          <w:highlight w:val="none"/>
          <w:u w:val="single" w:color="auto"/>
          <w:lang w:eastAsia="zh-CN"/>
        </w:rPr>
      </w:pPr>
      <w:r>
        <w:rPr>
          <w:rFonts w:hint="eastAsia" w:ascii="宋体" w:hAnsi="宋体" w:eastAsia="宋体" w:cs="宋体"/>
          <w:color w:val="auto"/>
          <w:spacing w:val="-1"/>
          <w:highlight w:val="none"/>
        </w:rPr>
        <w:t>代理机构名称：</w:t>
      </w:r>
      <w:r>
        <w:rPr>
          <w:rFonts w:hint="eastAsia" w:ascii="宋体" w:hAnsi="宋体" w:eastAsia="宋体" w:cs="宋体"/>
          <w:color w:val="auto"/>
          <w:spacing w:val="-1"/>
          <w:highlight w:val="none"/>
          <w:u w:val="single" w:color="auto"/>
          <w:lang w:eastAsia="zh-CN"/>
        </w:rPr>
        <w:t>新疆方元晖工程项目管理有限公司</w:t>
      </w:r>
    </w:p>
    <w:p w14:paraId="5C8CABBB">
      <w:pPr>
        <w:pStyle w:val="9"/>
        <w:tabs>
          <w:tab w:val="left" w:pos="7549"/>
        </w:tabs>
        <w:spacing w:before="92" w:line="387" w:lineRule="auto"/>
        <w:ind w:left="838" w:leftChars="399" w:right="1188" w:firstLine="0" w:firstLineChars="0"/>
        <w:jc w:val="both"/>
        <w:rPr>
          <w:rFonts w:hint="eastAsia" w:ascii="宋体" w:hAnsi="宋体" w:eastAsia="宋体" w:cs="宋体"/>
          <w:color w:val="auto"/>
          <w:spacing w:val="-6"/>
          <w:highlight w:val="none"/>
          <w:u w:val="single" w:color="auto"/>
          <w:lang w:eastAsia="zh-CN"/>
        </w:rPr>
      </w:pPr>
      <w:r>
        <w:rPr>
          <w:rFonts w:hint="eastAsia" w:ascii="宋体" w:hAnsi="宋体" w:eastAsia="宋体" w:cs="宋体"/>
          <w:color w:val="auto"/>
          <w:spacing w:val="-6"/>
          <w:highlight w:val="none"/>
        </w:rPr>
        <w:t>联</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6"/>
          <w:highlight w:val="none"/>
        </w:rPr>
        <w:t>系</w:t>
      </w:r>
      <w:r>
        <w:rPr>
          <w:rFonts w:hint="eastAsia" w:ascii="宋体" w:hAnsi="宋体" w:eastAsia="宋体" w:cs="宋体"/>
          <w:color w:val="auto"/>
          <w:spacing w:val="5"/>
          <w:highlight w:val="none"/>
        </w:rPr>
        <w:t xml:space="preserve">  </w:t>
      </w:r>
      <w:r>
        <w:rPr>
          <w:rFonts w:hint="eastAsia" w:cs="宋体"/>
          <w:color w:val="auto"/>
          <w:spacing w:val="5"/>
          <w:highlight w:val="none"/>
          <w:lang w:val="en-US" w:eastAsia="zh-CN"/>
        </w:rPr>
        <w:t xml:space="preserve"> </w:t>
      </w:r>
      <w:r>
        <w:rPr>
          <w:rFonts w:hint="eastAsia" w:ascii="宋体" w:hAnsi="宋体" w:eastAsia="宋体" w:cs="宋体"/>
          <w:color w:val="auto"/>
          <w:spacing w:val="-6"/>
          <w:highlight w:val="none"/>
        </w:rPr>
        <w:t>人：</w:t>
      </w:r>
      <w:r>
        <w:rPr>
          <w:rFonts w:hint="eastAsia" w:ascii="宋体" w:hAnsi="宋体" w:eastAsia="宋体" w:cs="宋体"/>
          <w:color w:val="auto"/>
          <w:spacing w:val="-6"/>
          <w:highlight w:val="none"/>
          <w:u w:val="single" w:color="auto"/>
          <w:lang w:eastAsia="zh-CN"/>
        </w:rPr>
        <w:t>陈聪</w:t>
      </w:r>
    </w:p>
    <w:p w14:paraId="6D94E827">
      <w:pPr>
        <w:pStyle w:val="9"/>
        <w:tabs>
          <w:tab w:val="left" w:pos="7549"/>
        </w:tabs>
        <w:spacing w:before="92" w:line="387" w:lineRule="auto"/>
        <w:ind w:left="838" w:leftChars="399" w:right="1188" w:firstLine="0" w:firstLineChars="0"/>
        <w:jc w:val="both"/>
        <w:rPr>
          <w:rFonts w:hint="eastAsia" w:ascii="宋体" w:hAnsi="宋体" w:eastAsia="宋体" w:cs="宋体"/>
          <w:color w:val="auto"/>
          <w:spacing w:val="-6"/>
          <w:highlight w:val="none"/>
          <w:u w:val="single" w:color="auto"/>
          <w:lang w:eastAsia="zh-CN"/>
        </w:rPr>
      </w:pPr>
      <w:r>
        <w:rPr>
          <w:rFonts w:hint="eastAsia" w:ascii="宋体" w:hAnsi="宋体" w:eastAsia="宋体" w:cs="宋体"/>
          <w:color w:val="auto"/>
          <w:spacing w:val="-6"/>
          <w:highlight w:val="none"/>
        </w:rPr>
        <w:t>联 系</w:t>
      </w:r>
      <w:r>
        <w:rPr>
          <w:rFonts w:hint="eastAsia" w:ascii="宋体" w:hAnsi="宋体" w:eastAsia="宋体" w:cs="宋体"/>
          <w:color w:val="auto"/>
          <w:spacing w:val="45"/>
          <w:highlight w:val="none"/>
        </w:rPr>
        <w:t xml:space="preserve"> </w:t>
      </w:r>
      <w:r>
        <w:rPr>
          <w:rFonts w:hint="eastAsia" w:ascii="宋体" w:hAnsi="宋体" w:eastAsia="宋体" w:cs="宋体"/>
          <w:color w:val="auto"/>
          <w:spacing w:val="-6"/>
          <w:highlight w:val="none"/>
        </w:rPr>
        <w:t>电</w:t>
      </w:r>
      <w:r>
        <w:rPr>
          <w:rFonts w:hint="eastAsia" w:ascii="宋体" w:hAnsi="宋体" w:eastAsia="宋体" w:cs="宋体"/>
          <w:color w:val="auto"/>
          <w:spacing w:val="10"/>
          <w:highlight w:val="none"/>
        </w:rPr>
        <w:t xml:space="preserve"> </w:t>
      </w:r>
      <w:r>
        <w:rPr>
          <w:rFonts w:hint="eastAsia" w:ascii="宋体" w:hAnsi="宋体" w:eastAsia="宋体" w:cs="宋体"/>
          <w:color w:val="auto"/>
          <w:spacing w:val="10"/>
          <w:highlight w:val="none"/>
          <w:lang w:val="en-US" w:eastAsia="zh-CN"/>
        </w:rPr>
        <w:t xml:space="preserve"> </w:t>
      </w:r>
      <w:r>
        <w:rPr>
          <w:rFonts w:hint="eastAsia" w:ascii="宋体" w:hAnsi="宋体" w:eastAsia="宋体" w:cs="宋体"/>
          <w:color w:val="auto"/>
          <w:spacing w:val="-6"/>
          <w:highlight w:val="none"/>
        </w:rPr>
        <w:t>话：</w:t>
      </w:r>
      <w:r>
        <w:rPr>
          <w:rFonts w:hint="eastAsia" w:ascii="宋体" w:hAnsi="宋体" w:eastAsia="宋体" w:cs="宋体"/>
          <w:color w:val="auto"/>
          <w:spacing w:val="-6"/>
          <w:highlight w:val="none"/>
          <w:u w:val="single" w:color="auto"/>
          <w:lang w:eastAsia="zh-CN"/>
        </w:rPr>
        <w:t>16698774668</w:t>
      </w:r>
    </w:p>
    <w:p w14:paraId="01502EC4">
      <w:pPr>
        <w:pStyle w:val="9"/>
        <w:spacing w:before="56" w:line="222" w:lineRule="auto"/>
        <w:ind w:left="4643"/>
        <w:rPr>
          <w:rFonts w:hint="eastAsia" w:ascii="宋体" w:hAnsi="宋体" w:eastAsia="宋体" w:cs="宋体"/>
          <w:color w:val="auto"/>
          <w:sz w:val="28"/>
          <w:szCs w:val="28"/>
          <w:highlight w:val="none"/>
        </w:rPr>
      </w:pPr>
    </w:p>
    <w:sdt>
      <w:sdtPr>
        <w:rPr>
          <w:rFonts w:hint="eastAsia" w:ascii="宋体" w:hAnsi="宋体" w:eastAsia="宋体" w:cs="宋体"/>
          <w:color w:val="auto"/>
          <w:sz w:val="28"/>
          <w:szCs w:val="28"/>
          <w:highlight w:val="none"/>
        </w:rPr>
        <w:id w:val="147464511"/>
        <w:docPartObj>
          <w:docPartGallery w:val="Table of Contents"/>
          <w:docPartUnique/>
        </w:docPartObj>
      </w:sdtPr>
      <w:sdtEndPr>
        <w:rPr>
          <w:rFonts w:hint="eastAsia" w:ascii="宋体" w:hAnsi="宋体" w:eastAsia="宋体" w:cs="宋体"/>
          <w:color w:val="auto"/>
          <w:sz w:val="28"/>
          <w:szCs w:val="28"/>
          <w:highlight w:val="none"/>
        </w:rPr>
      </w:sdtEndPr>
      <w:sdtContent>
        <w:p w14:paraId="642EB605">
          <w:pPr>
            <w:pStyle w:val="9"/>
            <w:spacing w:before="56" w:line="222" w:lineRule="auto"/>
            <w:ind w:left="4643"/>
            <w:rPr>
              <w:rFonts w:hint="eastAsia" w:ascii="宋体" w:hAnsi="宋体" w:eastAsia="宋体" w:cs="宋体"/>
              <w:color w:val="auto"/>
              <w:highlight w:val="none"/>
            </w:rPr>
          </w:pPr>
          <w:r>
            <w:rPr>
              <w:rFonts w:hint="eastAsia" w:ascii="宋体" w:hAnsi="宋体" w:eastAsia="宋体" w:cs="宋体"/>
              <w:color w:val="auto"/>
              <w:spacing w:val="-32"/>
              <w:highlight w:val="none"/>
            </w:rPr>
            <w:t>目录</w:t>
          </w:r>
        </w:p>
        <w:p w14:paraId="70E71E9C">
          <w:pPr>
            <w:spacing w:line="265" w:lineRule="auto"/>
            <w:rPr>
              <w:rFonts w:hint="eastAsia" w:ascii="宋体" w:hAnsi="宋体" w:eastAsia="宋体" w:cs="宋体"/>
              <w:color w:val="auto"/>
              <w:sz w:val="21"/>
              <w:highlight w:val="none"/>
            </w:rPr>
          </w:pPr>
        </w:p>
        <w:p w14:paraId="5525129A">
          <w:pPr>
            <w:spacing w:line="265" w:lineRule="auto"/>
            <w:rPr>
              <w:rFonts w:hint="eastAsia" w:ascii="宋体" w:hAnsi="宋体" w:eastAsia="宋体" w:cs="宋体"/>
              <w:color w:val="auto"/>
              <w:sz w:val="21"/>
              <w:highlight w:val="none"/>
            </w:rPr>
          </w:pPr>
        </w:p>
        <w:p w14:paraId="01CF003D">
          <w:pPr>
            <w:pStyle w:val="9"/>
            <w:tabs>
              <w:tab w:val="right" w:leader="dot" w:pos="9685"/>
            </w:tabs>
            <w:spacing w:before="62" w:line="193" w:lineRule="auto"/>
            <w:rPr>
              <w:rFonts w:hint="eastAsia" w:ascii="宋体" w:hAnsi="宋体" w:eastAsia="宋体" w:cs="宋体"/>
              <w:color w:val="auto"/>
              <w:sz w:val="19"/>
              <w:szCs w:val="19"/>
              <w:highlight w:val="none"/>
              <w:lang w:val="en-US" w:eastAsia="zh-CN"/>
            </w:rPr>
          </w:pPr>
          <w:bookmarkStart w:id="0" w:name="bookmark1"/>
          <w:bookmarkEnd w:id="0"/>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19"/>
              <w:szCs w:val="19"/>
              <w:highlight w:val="none"/>
            </w:rPr>
            <w:t>第 1</w:t>
          </w:r>
          <w:r>
            <w:rPr>
              <w:rFonts w:hint="eastAsia" w:ascii="宋体" w:hAnsi="宋体" w:eastAsia="宋体" w:cs="宋体"/>
              <w:color w:val="auto"/>
              <w:spacing w:val="23"/>
              <w:w w:val="101"/>
              <w:sz w:val="19"/>
              <w:szCs w:val="19"/>
              <w:highlight w:val="none"/>
            </w:rPr>
            <w:t xml:space="preserve"> </w:t>
          </w:r>
          <w:r>
            <w:rPr>
              <w:rFonts w:hint="eastAsia" w:ascii="宋体" w:hAnsi="宋体" w:eastAsia="宋体" w:cs="宋体"/>
              <w:color w:val="auto"/>
              <w:spacing w:val="4"/>
              <w:sz w:val="19"/>
              <w:szCs w:val="19"/>
              <w:highlight w:val="none"/>
            </w:rPr>
            <w:t>章</w:t>
          </w:r>
          <w:r>
            <w:rPr>
              <w:rFonts w:hint="eastAsia" w:ascii="宋体" w:hAnsi="宋体" w:eastAsia="宋体" w:cs="宋体"/>
              <w:color w:val="auto"/>
              <w:spacing w:val="81"/>
              <w:sz w:val="19"/>
              <w:szCs w:val="19"/>
              <w:highlight w:val="none"/>
            </w:rPr>
            <w:t xml:space="preserve"> </w:t>
          </w:r>
          <w:r>
            <w:rPr>
              <w:rFonts w:hint="eastAsia" w:ascii="宋体" w:hAnsi="宋体" w:eastAsia="宋体" w:cs="宋体"/>
              <w:color w:val="auto"/>
              <w:spacing w:val="4"/>
              <w:sz w:val="19"/>
              <w:szCs w:val="19"/>
              <w:highlight w:val="none"/>
            </w:rPr>
            <w:t>供应商须知</w:t>
          </w:r>
          <w:r>
            <w:rPr>
              <w:rFonts w:hint="eastAsia" w:ascii="宋体" w:hAnsi="宋体" w:eastAsia="宋体" w:cs="宋体"/>
              <w:color w:val="auto"/>
              <w:spacing w:val="-50"/>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3</w:t>
          </w:r>
        </w:p>
        <w:p w14:paraId="5B13C1AB">
          <w:pPr>
            <w:pStyle w:val="9"/>
            <w:tabs>
              <w:tab w:val="right" w:leader="dot" w:pos="9685"/>
            </w:tabs>
            <w:spacing w:before="199" w:line="193" w:lineRule="auto"/>
            <w:ind w:left="423"/>
            <w:rPr>
              <w:rFonts w:hint="eastAsia" w:ascii="宋体" w:hAnsi="宋体" w:eastAsia="宋体" w:cs="宋体"/>
              <w:color w:val="auto"/>
              <w:sz w:val="19"/>
              <w:szCs w:val="19"/>
              <w:highlight w:val="none"/>
              <w:lang w:val="en-US" w:eastAsia="zh-CN"/>
            </w:rPr>
          </w:pPr>
          <w:bookmarkStart w:id="1" w:name="bookmark3"/>
          <w:bookmarkEnd w:id="1"/>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"bookmark4"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3"/>
              <w:sz w:val="19"/>
              <w:szCs w:val="19"/>
              <w:highlight w:val="none"/>
            </w:rPr>
            <w:t>一</w:t>
          </w:r>
          <w:r>
            <w:rPr>
              <w:rFonts w:hint="eastAsia" w:ascii="宋体" w:hAnsi="宋体" w:eastAsia="宋体" w:cs="宋体"/>
              <w:color w:val="auto"/>
              <w:spacing w:val="83"/>
              <w:sz w:val="19"/>
              <w:szCs w:val="19"/>
              <w:highlight w:val="none"/>
            </w:rPr>
            <w:t xml:space="preserve"> </w:t>
          </w:r>
          <w:r>
            <w:rPr>
              <w:rFonts w:hint="eastAsia" w:ascii="宋体" w:hAnsi="宋体" w:eastAsia="宋体" w:cs="宋体"/>
              <w:color w:val="auto"/>
              <w:spacing w:val="-3"/>
              <w:sz w:val="19"/>
              <w:szCs w:val="19"/>
              <w:highlight w:val="none"/>
            </w:rPr>
            <w:t>总</w:t>
          </w:r>
          <w:r>
            <w:rPr>
              <w:rFonts w:hint="eastAsia" w:ascii="宋体" w:hAnsi="宋体" w:eastAsia="宋体" w:cs="宋体"/>
              <w:color w:val="auto"/>
              <w:spacing w:val="20"/>
              <w:sz w:val="19"/>
              <w:szCs w:val="19"/>
              <w:highlight w:val="none"/>
            </w:rPr>
            <w:t xml:space="preserve"> </w:t>
          </w:r>
          <w:r>
            <w:rPr>
              <w:rFonts w:hint="eastAsia" w:ascii="宋体" w:hAnsi="宋体" w:eastAsia="宋体" w:cs="宋体"/>
              <w:color w:val="auto"/>
              <w:spacing w:val="-3"/>
              <w:sz w:val="19"/>
              <w:szCs w:val="19"/>
              <w:highlight w:val="none"/>
            </w:rPr>
            <w:t>则</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3</w:t>
          </w:r>
        </w:p>
        <w:p w14:paraId="62639C18">
          <w:pPr>
            <w:pStyle w:val="9"/>
            <w:tabs>
              <w:tab w:val="right" w:leader="dot" w:pos="9680"/>
            </w:tabs>
            <w:spacing w:before="202" w:line="193" w:lineRule="auto"/>
            <w:ind w:left="435"/>
            <w:rPr>
              <w:rFonts w:hint="eastAsia" w:ascii="宋体" w:hAnsi="宋体" w:eastAsia="宋体" w:cs="宋体"/>
              <w:color w:val="auto"/>
              <w:sz w:val="19"/>
              <w:szCs w:val="19"/>
              <w:highlight w:val="none"/>
              <w:lang w:val="en-US" w:eastAsia="zh-CN"/>
            </w:rPr>
          </w:pPr>
          <w:bookmarkStart w:id="2" w:name="bookmark5"/>
          <w:bookmarkEnd w:id="2"/>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3"/>
              <w:sz w:val="19"/>
              <w:szCs w:val="19"/>
              <w:highlight w:val="none"/>
            </w:rPr>
            <w:t>1.采购人、采购代理机构及供应商</w:t>
          </w:r>
          <w:r>
            <w:rPr>
              <w:rFonts w:hint="eastAsia" w:ascii="宋体" w:hAnsi="宋体" w:eastAsia="宋体" w:cs="宋体"/>
              <w:color w:val="auto"/>
              <w:spacing w:val="-47"/>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3</w:t>
          </w:r>
        </w:p>
        <w:p w14:paraId="6E8FE40C">
          <w:pPr>
            <w:pStyle w:val="9"/>
            <w:tabs>
              <w:tab w:val="right" w:leader="dot" w:pos="9702"/>
            </w:tabs>
            <w:spacing w:before="202" w:line="193" w:lineRule="auto"/>
            <w:ind w:left="416"/>
            <w:rPr>
              <w:rFonts w:hint="eastAsia" w:ascii="宋体" w:hAnsi="宋体" w:eastAsia="宋体" w:cs="宋体"/>
              <w:color w:val="auto"/>
              <w:sz w:val="19"/>
              <w:szCs w:val="19"/>
              <w:highlight w:val="none"/>
              <w:lang w:val="en-US" w:eastAsia="zh-CN"/>
            </w:rPr>
          </w:pPr>
          <w:bookmarkStart w:id="3" w:name="bookmark7"/>
          <w:bookmarkEnd w:id="3"/>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"bookmark8"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9"/>
              <w:sz w:val="19"/>
              <w:szCs w:val="19"/>
              <w:highlight w:val="none"/>
            </w:rPr>
            <w:t>2.资金来源</w:t>
          </w:r>
          <w:r>
            <w:rPr>
              <w:rFonts w:hint="eastAsia" w:ascii="宋体" w:hAnsi="宋体" w:eastAsia="宋体" w:cs="宋体"/>
              <w:color w:val="auto"/>
              <w:spacing w:val="-52"/>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3</w:t>
          </w:r>
        </w:p>
        <w:p w14:paraId="6E49437B">
          <w:pPr>
            <w:pStyle w:val="9"/>
            <w:tabs>
              <w:tab w:val="right" w:leader="dot" w:pos="9697"/>
            </w:tabs>
            <w:spacing w:before="199" w:line="193" w:lineRule="auto"/>
            <w:ind w:left="420"/>
            <w:rPr>
              <w:rFonts w:hint="eastAsia" w:ascii="宋体" w:hAnsi="宋体" w:eastAsia="宋体" w:cs="宋体"/>
              <w:color w:val="auto"/>
              <w:sz w:val="19"/>
              <w:szCs w:val="19"/>
              <w:highlight w:val="none"/>
              <w:lang w:val="en-US" w:eastAsia="zh-CN"/>
            </w:rPr>
          </w:pPr>
          <w:bookmarkStart w:id="4" w:name="bookmark9"/>
          <w:bookmarkEnd w:id="4"/>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7"/>
              <w:sz w:val="19"/>
              <w:szCs w:val="19"/>
              <w:highlight w:val="none"/>
            </w:rPr>
            <w:t>3.磋商费用</w:t>
          </w:r>
          <w:r>
            <w:rPr>
              <w:rFonts w:hint="eastAsia" w:ascii="宋体" w:hAnsi="宋体" w:eastAsia="宋体" w:cs="宋体"/>
              <w:color w:val="auto"/>
              <w:spacing w:val="-49"/>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4</w:t>
          </w:r>
        </w:p>
        <w:p w14:paraId="1C3F9A1C">
          <w:pPr>
            <w:pStyle w:val="9"/>
            <w:tabs>
              <w:tab w:val="right" w:leader="dot" w:pos="9710"/>
            </w:tabs>
            <w:spacing w:before="202" w:line="193" w:lineRule="auto"/>
            <w:ind w:left="415"/>
            <w:rPr>
              <w:rFonts w:hint="eastAsia" w:ascii="宋体" w:hAnsi="宋体" w:eastAsia="宋体" w:cs="宋体"/>
              <w:color w:val="auto"/>
              <w:sz w:val="19"/>
              <w:szCs w:val="19"/>
              <w:highlight w:val="none"/>
              <w:lang w:val="en-US" w:eastAsia="zh-CN"/>
            </w:rPr>
          </w:pPr>
          <w:bookmarkStart w:id="5" w:name="bookmark11"/>
          <w:bookmarkEnd w:id="5"/>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0"/>
              <w:sz w:val="19"/>
              <w:szCs w:val="19"/>
              <w:highlight w:val="none"/>
            </w:rPr>
            <w:t>4.适用法律</w:t>
          </w:r>
          <w:r>
            <w:rPr>
              <w:rFonts w:hint="eastAsia" w:ascii="宋体" w:hAnsi="宋体" w:eastAsia="宋体" w:cs="宋体"/>
              <w:color w:val="auto"/>
              <w:spacing w:val="-50"/>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4</w:t>
          </w:r>
        </w:p>
        <w:p w14:paraId="334645CA">
          <w:pPr>
            <w:pStyle w:val="9"/>
            <w:tabs>
              <w:tab w:val="right" w:leader="dot" w:pos="9677"/>
            </w:tabs>
            <w:spacing w:before="202" w:line="193" w:lineRule="auto"/>
            <w:ind w:left="401"/>
            <w:rPr>
              <w:rFonts w:hint="eastAsia" w:ascii="宋体" w:hAnsi="宋体" w:eastAsia="宋体" w:cs="宋体"/>
              <w:color w:val="auto"/>
              <w:sz w:val="19"/>
              <w:szCs w:val="19"/>
              <w:highlight w:val="none"/>
              <w:lang w:val="en-US" w:eastAsia="zh-CN"/>
            </w:rPr>
          </w:pPr>
          <w:bookmarkStart w:id="6" w:name="bookmark13"/>
          <w:bookmarkEnd w:id="6"/>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"bookmark14"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19"/>
              <w:szCs w:val="19"/>
              <w:highlight w:val="none"/>
            </w:rPr>
            <w:t>二</w:t>
          </w:r>
          <w:r>
            <w:rPr>
              <w:rFonts w:hint="eastAsia" w:ascii="宋体" w:hAnsi="宋体" w:eastAsia="宋体" w:cs="宋体"/>
              <w:color w:val="auto"/>
              <w:spacing w:val="68"/>
              <w:sz w:val="19"/>
              <w:szCs w:val="19"/>
              <w:highlight w:val="none"/>
            </w:rPr>
            <w:t xml:space="preserve"> </w:t>
          </w:r>
          <w:r>
            <w:rPr>
              <w:rFonts w:hint="eastAsia" w:ascii="宋体" w:hAnsi="宋体" w:eastAsia="宋体" w:cs="宋体"/>
              <w:color w:val="auto"/>
              <w:spacing w:val="-1"/>
              <w:sz w:val="19"/>
              <w:szCs w:val="19"/>
              <w:highlight w:val="none"/>
            </w:rPr>
            <w:t>磋商文件</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4</w:t>
          </w:r>
        </w:p>
        <w:p w14:paraId="1F8F132E">
          <w:pPr>
            <w:pStyle w:val="9"/>
            <w:tabs>
              <w:tab w:val="right" w:leader="dot" w:pos="9725"/>
            </w:tabs>
            <w:spacing w:before="200" w:line="193" w:lineRule="auto"/>
            <w:ind w:left="421"/>
            <w:rPr>
              <w:rFonts w:hint="eastAsia" w:ascii="宋体" w:hAnsi="宋体" w:eastAsia="宋体" w:cs="宋体"/>
              <w:color w:val="auto"/>
              <w:sz w:val="19"/>
              <w:szCs w:val="19"/>
              <w:highlight w:val="none"/>
              <w:lang w:val="en-US" w:eastAsia="zh-CN"/>
            </w:rPr>
          </w:pPr>
          <w:bookmarkStart w:id="7" w:name="bookmark15"/>
          <w:bookmarkEnd w:id="7"/>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1"/>
              <w:sz w:val="19"/>
              <w:szCs w:val="19"/>
              <w:highlight w:val="none"/>
            </w:rPr>
            <w:t>5.磋商文件构成</w:t>
          </w:r>
          <w:r>
            <w:rPr>
              <w:rFonts w:hint="eastAsia" w:ascii="宋体" w:hAnsi="宋体" w:eastAsia="宋体" w:cs="宋体"/>
              <w:color w:val="auto"/>
              <w:spacing w:val="-49"/>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4</w:t>
          </w:r>
        </w:p>
        <w:p w14:paraId="6E3C3483">
          <w:pPr>
            <w:pStyle w:val="9"/>
            <w:tabs>
              <w:tab w:val="right" w:leader="dot" w:pos="9725"/>
            </w:tabs>
            <w:spacing w:before="202" w:line="193" w:lineRule="auto"/>
            <w:ind w:left="399"/>
            <w:rPr>
              <w:rFonts w:hint="eastAsia" w:ascii="宋体" w:hAnsi="宋体" w:eastAsia="宋体" w:cs="宋体"/>
              <w:color w:val="auto"/>
              <w:sz w:val="19"/>
              <w:szCs w:val="19"/>
              <w:highlight w:val="none"/>
              <w:lang w:val="en-US" w:eastAsia="zh-CN"/>
            </w:rPr>
          </w:pPr>
          <w:bookmarkStart w:id="8" w:name="bookmark17"/>
          <w:bookmarkEnd w:id="8"/>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"bookmark18"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6"/>
              <w:sz w:val="19"/>
              <w:szCs w:val="19"/>
              <w:highlight w:val="none"/>
            </w:rPr>
            <w:t>6.磋商文件的澄清与修改</w:t>
          </w:r>
          <w:r>
            <w:rPr>
              <w:rFonts w:hint="eastAsia" w:ascii="宋体" w:hAnsi="宋体" w:eastAsia="宋体" w:cs="宋体"/>
              <w:color w:val="auto"/>
              <w:spacing w:val="-41"/>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5</w:t>
          </w:r>
        </w:p>
        <w:p w14:paraId="79B0FEE9">
          <w:pPr>
            <w:pStyle w:val="9"/>
            <w:tabs>
              <w:tab w:val="right" w:leader="dot" w:pos="9687"/>
            </w:tabs>
            <w:spacing w:before="52" w:line="400" w:lineRule="exact"/>
            <w:ind w:left="398"/>
            <w:rPr>
              <w:rFonts w:hint="eastAsia" w:ascii="宋体" w:hAnsi="宋体" w:eastAsia="宋体" w:cs="宋体"/>
              <w:color w:val="auto"/>
              <w:sz w:val="19"/>
              <w:szCs w:val="19"/>
              <w:highlight w:val="none"/>
              <w:lang w:val="en-US" w:eastAsia="zh-CN"/>
            </w:rPr>
          </w:pPr>
          <w:bookmarkStart w:id="9" w:name="bookmark19"/>
          <w:bookmarkEnd w:id="9"/>
          <w:r>
            <w:rPr>
              <w:rFonts w:hint="eastAsia" w:ascii="宋体" w:hAnsi="宋体" w:eastAsia="宋体" w:cs="宋体"/>
              <w:color w:val="auto"/>
              <w:spacing w:val="5"/>
              <w:position w:val="5"/>
              <w:sz w:val="19"/>
              <w:szCs w:val="19"/>
              <w:highlight w:val="none"/>
            </w:rPr>
            <w:t xml:space="preserve">三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"bookmark20"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5"/>
              <w:position w:val="5"/>
              <w:sz w:val="19"/>
              <w:szCs w:val="19"/>
              <w:highlight w:val="none"/>
            </w:rPr>
            <w:t>响应文件的编制</w:t>
          </w:r>
          <w:r>
            <w:rPr>
              <w:rFonts w:hint="eastAsia" w:ascii="宋体" w:hAnsi="宋体" w:eastAsia="宋体" w:cs="宋体"/>
              <w:color w:val="auto"/>
              <w:position w:val="5"/>
              <w:sz w:val="19"/>
              <w:szCs w:val="19"/>
              <w:highlight w:val="none"/>
            </w:rPr>
            <w:tab/>
          </w:r>
          <w:r>
            <w:rPr>
              <w:rFonts w:hint="eastAsia" w:ascii="宋体" w:hAnsi="宋体" w:eastAsia="宋体" w:cs="宋体"/>
              <w:color w:val="auto"/>
              <w:position w:val="5"/>
              <w:sz w:val="19"/>
              <w:szCs w:val="19"/>
              <w:highlight w:val="none"/>
            </w:rPr>
            <w:fldChar w:fldCharType="end"/>
          </w:r>
          <w:r>
            <w:rPr>
              <w:rFonts w:hint="eastAsia" w:cs="宋体"/>
              <w:color w:val="auto"/>
              <w:position w:val="5"/>
              <w:sz w:val="19"/>
              <w:szCs w:val="19"/>
              <w:highlight w:val="none"/>
              <w:lang w:val="en-US" w:eastAsia="zh-CN"/>
            </w:rPr>
            <w:t>5</w:t>
          </w:r>
        </w:p>
        <w:p w14:paraId="3D7C10BB">
          <w:pPr>
            <w:pStyle w:val="9"/>
            <w:tabs>
              <w:tab w:val="right" w:leader="dot" w:pos="9722"/>
            </w:tabs>
            <w:spacing w:line="400" w:lineRule="exact"/>
            <w:ind w:left="417"/>
            <w:rPr>
              <w:rFonts w:hint="eastAsia" w:ascii="宋体" w:hAnsi="宋体" w:eastAsia="宋体" w:cs="宋体"/>
              <w:color w:val="auto"/>
              <w:sz w:val="19"/>
              <w:szCs w:val="19"/>
              <w:highlight w:val="none"/>
              <w:lang w:val="en-US" w:eastAsia="zh-CN"/>
            </w:rPr>
          </w:pPr>
          <w:bookmarkStart w:id="10" w:name="bookmark21"/>
          <w:bookmarkEnd w:id="10"/>
          <w:r>
            <w:rPr>
              <w:rFonts w:hint="eastAsia" w:ascii="宋体" w:hAnsi="宋体" w:eastAsia="宋体" w:cs="宋体"/>
              <w:color w:val="auto"/>
              <w:spacing w:val="6"/>
              <w:position w:val="5"/>
              <w:sz w:val="19"/>
              <w:szCs w:val="19"/>
              <w:highlight w:val="none"/>
            </w:rPr>
            <w:t xml:space="preserve">四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"bookmark22"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6"/>
              <w:position w:val="5"/>
              <w:sz w:val="19"/>
              <w:szCs w:val="19"/>
              <w:highlight w:val="none"/>
            </w:rPr>
            <w:t>响应文件的递交</w:t>
          </w:r>
          <w:r>
            <w:rPr>
              <w:rFonts w:hint="eastAsia" w:ascii="宋体" w:hAnsi="宋体" w:eastAsia="宋体" w:cs="宋体"/>
              <w:color w:val="auto"/>
              <w:spacing w:val="-45"/>
              <w:position w:val="5"/>
              <w:sz w:val="19"/>
              <w:szCs w:val="19"/>
              <w:highlight w:val="none"/>
            </w:rPr>
            <w:t xml:space="preserve"> </w:t>
          </w:r>
          <w:r>
            <w:rPr>
              <w:rFonts w:hint="eastAsia" w:ascii="宋体" w:hAnsi="宋体" w:eastAsia="宋体" w:cs="宋体"/>
              <w:color w:val="auto"/>
              <w:position w:val="5"/>
              <w:sz w:val="19"/>
              <w:szCs w:val="19"/>
              <w:highlight w:val="none"/>
            </w:rPr>
            <w:tab/>
          </w:r>
          <w:r>
            <w:rPr>
              <w:rFonts w:hint="eastAsia" w:ascii="宋体" w:hAnsi="宋体" w:eastAsia="宋体" w:cs="宋体"/>
              <w:color w:val="auto"/>
              <w:position w:val="5"/>
              <w:sz w:val="19"/>
              <w:szCs w:val="19"/>
              <w:highlight w:val="none"/>
            </w:rPr>
            <w:fldChar w:fldCharType="end"/>
          </w:r>
          <w:r>
            <w:rPr>
              <w:rFonts w:hint="eastAsia" w:cs="宋体"/>
              <w:color w:val="auto"/>
              <w:position w:val="5"/>
              <w:sz w:val="19"/>
              <w:szCs w:val="19"/>
              <w:highlight w:val="none"/>
              <w:lang w:val="en-US" w:eastAsia="zh-CN"/>
            </w:rPr>
            <w:t>7</w:t>
          </w:r>
        </w:p>
        <w:p w14:paraId="0FD23E29">
          <w:pPr>
            <w:pStyle w:val="9"/>
            <w:tabs>
              <w:tab w:val="right" w:leader="dot" w:pos="9722"/>
            </w:tabs>
            <w:spacing w:line="400" w:lineRule="exact"/>
            <w:ind w:left="401"/>
            <w:rPr>
              <w:rFonts w:hint="eastAsia" w:ascii="宋体" w:hAnsi="宋体" w:eastAsia="宋体" w:cs="宋体"/>
              <w:color w:val="auto"/>
              <w:sz w:val="19"/>
              <w:szCs w:val="19"/>
              <w:highlight w:val="none"/>
              <w:lang w:val="en-US" w:eastAsia="zh-CN"/>
            </w:rPr>
          </w:pPr>
          <w:bookmarkStart w:id="11" w:name="bookmark23"/>
          <w:bookmarkEnd w:id="11"/>
          <w:r>
            <w:rPr>
              <w:rFonts w:hint="eastAsia" w:ascii="宋体" w:hAnsi="宋体" w:eastAsia="宋体" w:cs="宋体"/>
              <w:color w:val="auto"/>
              <w:spacing w:val="8"/>
              <w:position w:val="5"/>
              <w:sz w:val="19"/>
              <w:szCs w:val="19"/>
              <w:highlight w:val="none"/>
            </w:rPr>
            <w:t>五</w:t>
          </w:r>
          <w:r>
            <w:rPr>
              <w:rFonts w:hint="eastAsia" w:ascii="宋体" w:hAnsi="宋体" w:eastAsia="宋体" w:cs="宋体"/>
              <w:color w:val="auto"/>
              <w:spacing w:val="63"/>
              <w:position w:val="5"/>
              <w:sz w:val="19"/>
              <w:szCs w:val="19"/>
              <w:highlight w:val="none"/>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"bookmark24"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position w:val="5"/>
              <w:sz w:val="19"/>
              <w:szCs w:val="19"/>
              <w:highlight w:val="none"/>
            </w:rPr>
            <w:t>磋商开启及评审</w:t>
          </w:r>
          <w:r>
            <w:rPr>
              <w:rFonts w:hint="eastAsia" w:ascii="宋体" w:hAnsi="宋体" w:eastAsia="宋体" w:cs="宋体"/>
              <w:color w:val="auto"/>
              <w:spacing w:val="-52"/>
              <w:position w:val="5"/>
              <w:sz w:val="19"/>
              <w:szCs w:val="19"/>
              <w:highlight w:val="none"/>
            </w:rPr>
            <w:t xml:space="preserve"> </w:t>
          </w:r>
          <w:r>
            <w:rPr>
              <w:rFonts w:hint="eastAsia" w:ascii="宋体" w:hAnsi="宋体" w:eastAsia="宋体" w:cs="宋体"/>
              <w:color w:val="auto"/>
              <w:position w:val="5"/>
              <w:sz w:val="19"/>
              <w:szCs w:val="19"/>
              <w:highlight w:val="none"/>
            </w:rPr>
            <w:tab/>
          </w:r>
          <w:r>
            <w:rPr>
              <w:rFonts w:hint="eastAsia" w:ascii="宋体" w:hAnsi="宋体" w:eastAsia="宋体" w:cs="宋体"/>
              <w:color w:val="auto"/>
              <w:position w:val="5"/>
              <w:sz w:val="19"/>
              <w:szCs w:val="19"/>
              <w:highlight w:val="none"/>
            </w:rPr>
            <w:fldChar w:fldCharType="end"/>
          </w:r>
          <w:r>
            <w:rPr>
              <w:rFonts w:hint="eastAsia" w:cs="宋体"/>
              <w:color w:val="auto"/>
              <w:position w:val="5"/>
              <w:sz w:val="19"/>
              <w:szCs w:val="19"/>
              <w:highlight w:val="none"/>
              <w:lang w:val="en-US" w:eastAsia="zh-CN"/>
            </w:rPr>
            <w:t>8</w:t>
          </w:r>
        </w:p>
        <w:p w14:paraId="676F76B2">
          <w:pPr>
            <w:pStyle w:val="9"/>
            <w:tabs>
              <w:tab w:val="right" w:leader="dot" w:pos="9695"/>
            </w:tabs>
            <w:spacing w:before="150" w:line="193" w:lineRule="auto"/>
            <w:ind w:left="399"/>
            <w:rPr>
              <w:rFonts w:hint="default" w:ascii="宋体" w:hAnsi="宋体" w:eastAsia="宋体" w:cs="宋体"/>
              <w:color w:val="auto"/>
              <w:sz w:val="19"/>
              <w:szCs w:val="19"/>
              <w:highlight w:val="none"/>
              <w:lang w:val="en-US" w:eastAsia="zh-CN"/>
            </w:rPr>
          </w:pPr>
          <w:bookmarkStart w:id="12" w:name="bookmark25"/>
          <w:bookmarkEnd w:id="12"/>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"bookmark26"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3"/>
              <w:sz w:val="19"/>
              <w:szCs w:val="19"/>
              <w:highlight w:val="none"/>
            </w:rPr>
            <w:t>六</w:t>
          </w:r>
          <w:r>
            <w:rPr>
              <w:rFonts w:hint="eastAsia" w:ascii="宋体" w:hAnsi="宋体" w:eastAsia="宋体" w:cs="宋体"/>
              <w:color w:val="auto"/>
              <w:spacing w:val="8"/>
              <w:sz w:val="19"/>
              <w:szCs w:val="19"/>
              <w:highlight w:val="none"/>
            </w:rPr>
            <w:t xml:space="preserve">  </w:t>
          </w:r>
          <w:r>
            <w:rPr>
              <w:rFonts w:hint="eastAsia" w:ascii="宋体" w:hAnsi="宋体" w:eastAsia="宋体" w:cs="宋体"/>
              <w:color w:val="auto"/>
              <w:spacing w:val="3"/>
              <w:sz w:val="19"/>
              <w:szCs w:val="19"/>
              <w:highlight w:val="none"/>
            </w:rPr>
            <w:t>确定成交</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11</w:t>
          </w:r>
        </w:p>
        <w:p w14:paraId="0F926DEC">
          <w:pPr>
            <w:pStyle w:val="9"/>
            <w:tabs>
              <w:tab w:val="right" w:leader="dot" w:pos="9677"/>
            </w:tabs>
            <w:spacing w:before="200" w:line="193" w:lineRule="auto"/>
            <w:rPr>
              <w:rFonts w:hint="eastAsia" w:cs="宋体"/>
              <w:color w:val="auto"/>
              <w:sz w:val="19"/>
              <w:szCs w:val="19"/>
              <w:highlight w:val="none"/>
              <w:lang w:val="en-US" w:eastAsia="zh-CN"/>
            </w:rPr>
          </w:pPr>
          <w:bookmarkStart w:id="13" w:name="bookmark27"/>
          <w:bookmarkEnd w:id="13"/>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"bookmark28"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7"/>
              <w:sz w:val="19"/>
              <w:szCs w:val="19"/>
              <w:highlight w:val="none"/>
            </w:rPr>
            <w:t>第</w:t>
          </w:r>
          <w:r>
            <w:rPr>
              <w:rFonts w:hint="eastAsia" w:ascii="宋体" w:hAnsi="宋体" w:eastAsia="宋体" w:cs="宋体"/>
              <w:color w:val="auto"/>
              <w:spacing w:val="-29"/>
              <w:sz w:val="19"/>
              <w:szCs w:val="19"/>
              <w:highlight w:val="none"/>
            </w:rPr>
            <w:t xml:space="preserve"> </w:t>
          </w:r>
          <w:r>
            <w:rPr>
              <w:rFonts w:hint="eastAsia" w:ascii="宋体" w:hAnsi="宋体" w:eastAsia="宋体" w:cs="宋体"/>
              <w:color w:val="auto"/>
              <w:spacing w:val="7"/>
              <w:sz w:val="19"/>
              <w:szCs w:val="19"/>
              <w:highlight w:val="none"/>
            </w:rPr>
            <w:t>2</w:t>
          </w:r>
          <w:r>
            <w:rPr>
              <w:rFonts w:hint="eastAsia" w:ascii="宋体" w:hAnsi="宋体" w:eastAsia="宋体" w:cs="宋体"/>
              <w:color w:val="auto"/>
              <w:spacing w:val="17"/>
              <w:sz w:val="19"/>
              <w:szCs w:val="19"/>
              <w:highlight w:val="none"/>
            </w:rPr>
            <w:t xml:space="preserve"> </w:t>
          </w:r>
          <w:r>
            <w:rPr>
              <w:rFonts w:hint="eastAsia" w:ascii="宋体" w:hAnsi="宋体" w:eastAsia="宋体" w:cs="宋体"/>
              <w:color w:val="auto"/>
              <w:spacing w:val="7"/>
              <w:sz w:val="19"/>
              <w:szCs w:val="19"/>
              <w:highlight w:val="none"/>
            </w:rPr>
            <w:t>章</w:t>
          </w:r>
          <w:r>
            <w:rPr>
              <w:rFonts w:hint="eastAsia" w:ascii="宋体" w:hAnsi="宋体" w:eastAsia="宋体" w:cs="宋体"/>
              <w:color w:val="auto"/>
              <w:spacing w:val="91"/>
              <w:sz w:val="19"/>
              <w:szCs w:val="19"/>
              <w:highlight w:val="none"/>
            </w:rPr>
            <w:t xml:space="preserve"> </w:t>
          </w:r>
          <w:r>
            <w:rPr>
              <w:rFonts w:hint="eastAsia" w:ascii="宋体" w:hAnsi="宋体" w:eastAsia="宋体" w:cs="宋体"/>
              <w:color w:val="auto"/>
              <w:spacing w:val="7"/>
              <w:sz w:val="19"/>
              <w:szCs w:val="19"/>
              <w:highlight w:val="none"/>
            </w:rPr>
            <w:t>响应文件格式</w:t>
          </w:r>
          <w:r>
            <w:rPr>
              <w:rFonts w:hint="eastAsia" w:ascii="宋体" w:hAnsi="宋体" w:eastAsia="宋体" w:cs="宋体"/>
              <w:color w:val="auto"/>
              <w:spacing w:val="-49"/>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19</w:t>
          </w:r>
        </w:p>
        <w:p w14:paraId="5826EA57">
          <w:pPr>
            <w:pStyle w:val="9"/>
            <w:tabs>
              <w:tab w:val="right" w:leader="dot" w:pos="9677"/>
            </w:tabs>
            <w:spacing w:before="200" w:line="193" w:lineRule="auto"/>
            <w:ind w:firstLine="380" w:firstLineChars="200"/>
            <w:rPr>
              <w:rFonts w:hint="default" w:eastAsia="宋体" w:cs="宋体"/>
              <w:color w:val="auto"/>
              <w:sz w:val="19"/>
              <w:szCs w:val="19"/>
              <w:highlight w:val="none"/>
              <w:lang w:val="en-US" w:eastAsia="zh-CN"/>
            </w:rPr>
          </w:pPr>
          <w:r>
            <w:rPr>
              <w:rFonts w:hint="eastAsia" w:cs="宋体"/>
              <w:color w:val="auto"/>
              <w:sz w:val="19"/>
              <w:szCs w:val="19"/>
              <w:highlight w:val="none"/>
              <w:lang w:val="en-US" w:eastAsia="zh-CN"/>
            </w:rPr>
            <w:t>第一部分 开标一览表及资格证明文件</w:t>
          </w:r>
          <w:r>
            <w:rPr>
              <w:rFonts w:hint="eastAsia" w:ascii="宋体" w:hAnsi="宋体" w:eastAsia="宋体" w:cs="宋体"/>
              <w:color w:val="auto"/>
              <w:spacing w:val="-51"/>
              <w:sz w:val="19"/>
              <w:szCs w:val="19"/>
              <w:highlight w:val="none"/>
            </w:rPr>
            <w:t xml:space="preserve"> </w:t>
          </w:r>
          <w:r>
            <w:rPr>
              <w:rFonts w:hint="eastAsia" w:ascii="宋体" w:hAnsi="宋体" w:eastAsia="宋体" w:cs="宋体"/>
              <w:color w:val="auto"/>
              <w:sz w:val="19"/>
              <w:szCs w:val="19"/>
              <w:highlight w:val="none"/>
            </w:rPr>
            <w:tab/>
          </w:r>
          <w:r>
            <w:rPr>
              <w:rFonts w:hint="eastAsia" w:cs="宋体"/>
              <w:color w:val="auto"/>
              <w:sz w:val="19"/>
              <w:szCs w:val="19"/>
              <w:highlight w:val="none"/>
              <w:lang w:val="en-US" w:eastAsia="zh-CN"/>
            </w:rPr>
            <w:t>20</w:t>
          </w:r>
        </w:p>
        <w:p w14:paraId="4142E275">
          <w:pPr>
            <w:pStyle w:val="9"/>
            <w:tabs>
              <w:tab w:val="right" w:leader="dot" w:pos="9692"/>
            </w:tabs>
            <w:spacing w:before="202" w:line="193" w:lineRule="auto"/>
            <w:ind w:left="435"/>
            <w:rPr>
              <w:rFonts w:hint="default" w:ascii="宋体" w:hAnsi="宋体" w:eastAsia="宋体" w:cs="宋体"/>
              <w:color w:val="auto"/>
              <w:sz w:val="19"/>
              <w:szCs w:val="19"/>
              <w:highlight w:val="none"/>
              <w:lang w:val="en-US" w:eastAsia="zh-CN"/>
            </w:rPr>
          </w:pPr>
          <w:bookmarkStart w:id="14" w:name="bookmark29"/>
          <w:bookmarkEnd w:id="14"/>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"bookmark30"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6"/>
              <w:sz w:val="19"/>
              <w:szCs w:val="19"/>
              <w:highlight w:val="none"/>
            </w:rPr>
            <w:t>1、开标一览表</w:t>
          </w:r>
          <w:r>
            <w:rPr>
              <w:rFonts w:hint="eastAsia" w:ascii="宋体" w:hAnsi="宋体" w:eastAsia="宋体" w:cs="宋体"/>
              <w:color w:val="auto"/>
              <w:spacing w:val="-51"/>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20</w:t>
          </w:r>
        </w:p>
        <w:p w14:paraId="7EEF29DA">
          <w:pPr>
            <w:pStyle w:val="9"/>
            <w:tabs>
              <w:tab w:val="right" w:leader="dot" w:pos="9709"/>
            </w:tabs>
            <w:spacing w:before="202" w:line="193" w:lineRule="auto"/>
            <w:ind w:left="416"/>
            <w:rPr>
              <w:rFonts w:hint="default" w:ascii="宋体" w:hAnsi="宋体" w:eastAsia="宋体" w:cs="宋体"/>
              <w:color w:val="auto"/>
              <w:sz w:val="19"/>
              <w:szCs w:val="19"/>
              <w:highlight w:val="none"/>
              <w:lang w:val="en-US" w:eastAsia="zh-CN"/>
            </w:rPr>
          </w:pPr>
          <w:bookmarkStart w:id="15" w:name="bookmark31"/>
          <w:bookmarkEnd w:id="15"/>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"bookmark32"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1"/>
              <w:sz w:val="19"/>
              <w:szCs w:val="19"/>
              <w:highlight w:val="none"/>
            </w:rPr>
            <w:t>2、</w:t>
          </w:r>
          <w:r>
            <w:rPr>
              <w:rFonts w:hint="eastAsia" w:cs="宋体"/>
              <w:color w:val="auto"/>
              <w:spacing w:val="11"/>
              <w:sz w:val="19"/>
              <w:szCs w:val="19"/>
              <w:highlight w:val="none"/>
              <w:lang w:val="en-US" w:eastAsia="zh-CN"/>
            </w:rPr>
            <w:t>有效的营业执照</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21</w:t>
          </w:r>
        </w:p>
        <w:p w14:paraId="2CF1B5AB">
          <w:pPr>
            <w:pStyle w:val="9"/>
            <w:tabs>
              <w:tab w:val="right" w:leader="dot" w:pos="9712"/>
            </w:tabs>
            <w:spacing w:before="200" w:line="193" w:lineRule="auto"/>
            <w:ind w:left="420"/>
            <w:rPr>
              <w:rFonts w:hint="default" w:ascii="宋体" w:hAnsi="宋体" w:eastAsia="宋体" w:cs="宋体"/>
              <w:color w:val="auto"/>
              <w:sz w:val="19"/>
              <w:szCs w:val="19"/>
              <w:highlight w:val="none"/>
              <w:lang w:val="en-US" w:eastAsia="zh-CN"/>
            </w:rPr>
          </w:pPr>
          <w:bookmarkStart w:id="16" w:name="bookmark33"/>
          <w:bookmarkEnd w:id="16"/>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"bookmark34"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4"/>
              <w:sz w:val="19"/>
              <w:szCs w:val="19"/>
              <w:highlight w:val="none"/>
            </w:rPr>
            <w:t>3、法定代表人身份证明或法定代表人授权委托书</w:t>
          </w:r>
          <w:r>
            <w:rPr>
              <w:rFonts w:hint="eastAsia" w:ascii="宋体" w:hAnsi="宋体" w:eastAsia="宋体" w:cs="宋体"/>
              <w:color w:val="auto"/>
              <w:spacing w:val="-39"/>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21</w:t>
          </w:r>
        </w:p>
        <w:p w14:paraId="6C734549">
          <w:pPr>
            <w:pStyle w:val="9"/>
            <w:tabs>
              <w:tab w:val="right" w:leader="dot" w:pos="9725"/>
            </w:tabs>
            <w:spacing w:before="202" w:line="240" w:lineRule="auto"/>
            <w:ind w:left="421"/>
            <w:rPr>
              <w:rFonts w:hint="default" w:ascii="宋体" w:hAnsi="宋体" w:eastAsia="宋体" w:cs="宋体"/>
              <w:color w:val="auto"/>
              <w:sz w:val="19"/>
              <w:szCs w:val="19"/>
              <w:highlight w:val="none"/>
              <w:lang w:val="en-US" w:eastAsia="zh-CN"/>
            </w:rPr>
          </w:pPr>
          <w:bookmarkStart w:id="17" w:name="bookmark35"/>
          <w:bookmarkEnd w:id="17"/>
          <w:bookmarkStart w:id="18" w:name="bookmark37"/>
          <w:bookmarkEnd w:id="18"/>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"bookmark38" </w:instrText>
          </w:r>
          <w:r>
            <w:rPr>
              <w:rFonts w:hint="eastAsia" w:ascii="宋体" w:hAnsi="宋体" w:eastAsia="宋体" w:cs="宋体"/>
              <w:color w:val="auto"/>
              <w:highlight w:val="none"/>
            </w:rPr>
            <w:fldChar w:fldCharType="separate"/>
          </w:r>
          <w:r>
            <w:rPr>
              <w:rFonts w:hint="eastAsia" w:cs="宋体"/>
              <w:color w:val="auto"/>
              <w:spacing w:val="12"/>
              <w:sz w:val="19"/>
              <w:szCs w:val="19"/>
              <w:highlight w:val="none"/>
              <w:lang w:val="en-US" w:eastAsia="zh-CN"/>
            </w:rPr>
            <w:t>4</w:t>
          </w:r>
          <w:r>
            <w:rPr>
              <w:rFonts w:hint="eastAsia" w:ascii="宋体" w:hAnsi="宋体" w:eastAsia="宋体" w:cs="宋体"/>
              <w:color w:val="auto"/>
              <w:spacing w:val="12"/>
              <w:sz w:val="19"/>
              <w:szCs w:val="19"/>
              <w:highlight w:val="none"/>
            </w:rPr>
            <w:t>、</w:t>
          </w:r>
          <w:r>
            <w:rPr>
              <w:rFonts w:hint="eastAsia" w:cs="宋体"/>
              <w:color w:val="auto"/>
              <w:spacing w:val="12"/>
              <w:sz w:val="19"/>
              <w:szCs w:val="19"/>
              <w:highlight w:val="none"/>
              <w:lang w:eastAsia="zh-CN"/>
            </w:rPr>
            <w:t>2024年或2025年度任意一年财务审计报告（新成立未满一年的新公司提供近六个月内任意一个月的银行资信证明）；</w:t>
          </w:r>
          <w:r>
            <w:rPr>
              <w:rFonts w:hint="eastAsia" w:ascii="宋体" w:hAnsi="宋体" w:eastAsia="宋体" w:cs="宋体"/>
              <w:color w:val="auto"/>
              <w:spacing w:val="-48"/>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23</w:t>
          </w:r>
        </w:p>
        <w:p w14:paraId="52AC09FB">
          <w:pPr>
            <w:pStyle w:val="9"/>
            <w:tabs>
              <w:tab w:val="right" w:leader="dot" w:pos="9685"/>
            </w:tabs>
            <w:spacing w:before="200" w:line="193" w:lineRule="auto"/>
            <w:ind w:left="420"/>
            <w:rPr>
              <w:rFonts w:hint="default" w:ascii="宋体" w:hAnsi="宋体" w:eastAsia="宋体" w:cs="宋体"/>
              <w:color w:val="auto"/>
              <w:sz w:val="19"/>
              <w:szCs w:val="19"/>
              <w:highlight w:val="none"/>
              <w:lang w:val="en-US" w:eastAsia="zh-CN"/>
            </w:rPr>
          </w:pPr>
          <w:bookmarkStart w:id="19" w:name="bookmark39"/>
          <w:bookmarkEnd w:id="19"/>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"bookmark40" </w:instrText>
          </w:r>
          <w:r>
            <w:rPr>
              <w:rFonts w:hint="eastAsia" w:ascii="宋体" w:hAnsi="宋体" w:eastAsia="宋体" w:cs="宋体"/>
              <w:color w:val="auto"/>
              <w:highlight w:val="none"/>
            </w:rPr>
            <w:fldChar w:fldCharType="separate"/>
          </w:r>
          <w:r>
            <w:rPr>
              <w:rFonts w:hint="eastAsia" w:cs="宋体"/>
              <w:color w:val="auto"/>
              <w:spacing w:val="7"/>
              <w:sz w:val="19"/>
              <w:szCs w:val="19"/>
              <w:highlight w:val="none"/>
              <w:lang w:val="en-US" w:eastAsia="zh-CN"/>
            </w:rPr>
            <w:t>5</w:t>
          </w:r>
          <w:r>
            <w:rPr>
              <w:rFonts w:hint="eastAsia" w:ascii="宋体" w:hAnsi="宋体" w:eastAsia="宋体" w:cs="宋体"/>
              <w:color w:val="auto"/>
              <w:spacing w:val="7"/>
              <w:sz w:val="19"/>
              <w:szCs w:val="19"/>
              <w:highlight w:val="none"/>
            </w:rPr>
            <w:t>、提供依法缴纳近6个月任意1个月社会保险的证明</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23</w:t>
          </w:r>
        </w:p>
        <w:p w14:paraId="349D9CCA">
          <w:pPr>
            <w:pStyle w:val="9"/>
            <w:tabs>
              <w:tab w:val="right" w:leader="dot" w:pos="9727"/>
            </w:tabs>
            <w:spacing w:before="202" w:line="193" w:lineRule="auto"/>
            <w:ind w:left="419"/>
            <w:rPr>
              <w:rFonts w:hint="default" w:ascii="宋体" w:hAnsi="宋体" w:eastAsia="宋体" w:cs="宋体"/>
              <w:color w:val="auto"/>
              <w:sz w:val="19"/>
              <w:szCs w:val="19"/>
              <w:highlight w:val="none"/>
              <w:lang w:val="en-US" w:eastAsia="zh-CN"/>
            </w:rPr>
          </w:pPr>
          <w:bookmarkStart w:id="20" w:name="bookmark41"/>
          <w:bookmarkEnd w:id="20"/>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"bookmark42" </w:instrText>
          </w:r>
          <w:r>
            <w:rPr>
              <w:rFonts w:hint="eastAsia" w:ascii="宋体" w:hAnsi="宋体" w:eastAsia="宋体" w:cs="宋体"/>
              <w:color w:val="auto"/>
              <w:highlight w:val="none"/>
            </w:rPr>
            <w:fldChar w:fldCharType="separate"/>
          </w:r>
          <w:r>
            <w:rPr>
              <w:rFonts w:hint="eastAsia" w:cs="宋体"/>
              <w:color w:val="auto"/>
              <w:spacing w:val="7"/>
              <w:sz w:val="19"/>
              <w:szCs w:val="19"/>
              <w:highlight w:val="none"/>
              <w:lang w:val="en-US" w:eastAsia="zh-CN"/>
            </w:rPr>
            <w:t>6</w:t>
          </w:r>
          <w:r>
            <w:rPr>
              <w:rFonts w:hint="eastAsia" w:ascii="宋体" w:hAnsi="宋体" w:eastAsia="宋体" w:cs="宋体"/>
              <w:color w:val="auto"/>
              <w:spacing w:val="7"/>
              <w:sz w:val="19"/>
              <w:szCs w:val="19"/>
              <w:highlight w:val="none"/>
            </w:rPr>
            <w:t>、提供依法缴纳近6个月任意1个月税收证明</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23</w:t>
          </w:r>
        </w:p>
        <w:p w14:paraId="513351CB">
          <w:pPr>
            <w:pStyle w:val="9"/>
            <w:tabs>
              <w:tab w:val="right" w:leader="dot" w:pos="9712"/>
            </w:tabs>
            <w:spacing w:before="203" w:line="193" w:lineRule="auto"/>
            <w:ind w:left="424"/>
            <w:rPr>
              <w:rFonts w:hint="eastAsia" w:cs="宋体"/>
              <w:color w:val="auto"/>
              <w:sz w:val="19"/>
              <w:szCs w:val="19"/>
              <w:highlight w:val="none"/>
              <w:lang w:val="en-US" w:eastAsia="zh-CN"/>
            </w:rPr>
          </w:pPr>
          <w:bookmarkStart w:id="21" w:name="bookmark43"/>
          <w:bookmarkEnd w:id="21"/>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"bookmark44" </w:instrText>
          </w:r>
          <w:r>
            <w:rPr>
              <w:rFonts w:hint="eastAsia" w:ascii="宋体" w:hAnsi="宋体" w:eastAsia="宋体" w:cs="宋体"/>
              <w:color w:val="auto"/>
              <w:highlight w:val="none"/>
            </w:rPr>
            <w:fldChar w:fldCharType="separate"/>
          </w:r>
          <w:r>
            <w:rPr>
              <w:rFonts w:hint="eastAsia" w:cs="宋体"/>
              <w:color w:val="auto"/>
              <w:spacing w:val="14"/>
              <w:sz w:val="19"/>
              <w:szCs w:val="19"/>
              <w:highlight w:val="none"/>
              <w:lang w:val="en-US" w:eastAsia="zh-CN"/>
            </w:rPr>
            <w:t>7</w:t>
          </w:r>
          <w:r>
            <w:rPr>
              <w:rFonts w:hint="eastAsia" w:ascii="宋体" w:hAnsi="宋体" w:eastAsia="宋体" w:cs="宋体"/>
              <w:color w:val="auto"/>
              <w:spacing w:val="14"/>
              <w:sz w:val="19"/>
              <w:szCs w:val="19"/>
              <w:highlight w:val="none"/>
            </w:rPr>
            <w:t>、</w:t>
          </w:r>
          <w:r>
            <w:rPr>
              <w:rFonts w:hint="eastAsia" w:ascii="宋体" w:hAnsi="宋体" w:eastAsia="宋体" w:cs="宋体"/>
              <w:color w:val="auto"/>
              <w:spacing w:val="14"/>
              <w:sz w:val="19"/>
              <w:szCs w:val="19"/>
              <w:highlight w:val="none"/>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pacing w:val="14"/>
              <w:sz w:val="19"/>
              <w:szCs w:val="19"/>
              <w:highlight w:val="none"/>
              <w:lang w:eastAsia="zh-CN"/>
            </w:rPr>
            <w:t>（以招标代理机构或采购人查询为准）</w:t>
          </w:r>
          <w:r>
            <w:rPr>
              <w:rFonts w:hint="eastAsia" w:ascii="宋体" w:hAnsi="宋体" w:eastAsia="宋体" w:cs="宋体"/>
              <w:color w:val="auto"/>
              <w:spacing w:val="-43"/>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23</w:t>
          </w:r>
        </w:p>
        <w:p w14:paraId="6FEE69AC">
          <w:pPr>
            <w:pStyle w:val="9"/>
            <w:numPr>
              <w:ilvl w:val="0"/>
              <w:numId w:val="0"/>
            </w:numPr>
            <w:tabs>
              <w:tab w:val="right" w:leader="dot" w:pos="9712"/>
            </w:tabs>
            <w:spacing w:before="203" w:line="193" w:lineRule="auto"/>
            <w:ind w:left="420" w:leftChars="0" w:firstLine="0" w:firstLineChars="0"/>
            <w:rPr>
              <w:rFonts w:hint="eastAsia" w:cs="宋体"/>
              <w:color w:val="auto"/>
              <w:sz w:val="19"/>
              <w:szCs w:val="19"/>
              <w:highlight w:val="none"/>
              <w:lang w:val="en-US" w:eastAsia="zh-CN"/>
            </w:rPr>
          </w:pPr>
          <w:r>
            <w:rPr>
              <w:rFonts w:hint="eastAsia" w:cs="宋体"/>
              <w:snapToGrid w:val="0"/>
              <w:color w:val="auto"/>
              <w:kern w:val="0"/>
              <w:sz w:val="19"/>
              <w:szCs w:val="19"/>
              <w:highlight w:val="none"/>
              <w:lang w:val="en-US" w:eastAsia="zh-CN" w:bidi="ar-SA"/>
            </w:rPr>
            <w:t>8</w:t>
          </w:r>
          <w:r>
            <w:rPr>
              <w:rFonts w:hint="eastAsia" w:ascii="宋体" w:hAnsi="宋体" w:eastAsia="宋体" w:cs="宋体"/>
              <w:snapToGrid w:val="0"/>
              <w:color w:val="auto"/>
              <w:kern w:val="0"/>
              <w:sz w:val="19"/>
              <w:szCs w:val="19"/>
              <w:highlight w:val="none"/>
              <w:lang w:val="en-US" w:eastAsia="zh-CN" w:bidi="ar-SA"/>
            </w:rPr>
            <w:t>、</w:t>
          </w:r>
          <w:r>
            <w:rPr>
              <w:rFonts w:hint="eastAsia" w:cs="宋体"/>
              <w:color w:val="auto"/>
              <w:sz w:val="19"/>
              <w:szCs w:val="19"/>
              <w:highlight w:val="none"/>
              <w:lang w:val="en-US" w:eastAsia="zh-CN"/>
            </w:rPr>
            <w:t>供应商提供针对本次项目《反商业贿赂承诺书》</w:t>
          </w:r>
          <w:r>
            <w:rPr>
              <w:rFonts w:hint="eastAsia" w:ascii="宋体" w:hAnsi="宋体" w:eastAsia="宋体" w:cs="宋体"/>
              <w:color w:val="auto"/>
              <w:spacing w:val="-43"/>
              <w:sz w:val="19"/>
              <w:szCs w:val="19"/>
              <w:highlight w:val="none"/>
            </w:rPr>
            <w:t xml:space="preserve"> </w:t>
          </w:r>
          <w:r>
            <w:rPr>
              <w:rFonts w:hint="eastAsia" w:ascii="宋体" w:hAnsi="宋体" w:eastAsia="宋体" w:cs="宋体"/>
              <w:color w:val="auto"/>
              <w:sz w:val="19"/>
              <w:szCs w:val="19"/>
              <w:highlight w:val="none"/>
            </w:rPr>
            <w:tab/>
          </w:r>
          <w:r>
            <w:rPr>
              <w:rFonts w:hint="eastAsia" w:cs="宋体"/>
              <w:color w:val="auto"/>
              <w:sz w:val="19"/>
              <w:szCs w:val="19"/>
              <w:highlight w:val="none"/>
              <w:lang w:val="en-US" w:eastAsia="zh-CN"/>
            </w:rPr>
            <w:t>24</w:t>
          </w:r>
        </w:p>
        <w:p w14:paraId="2AFD84FF">
          <w:pPr>
            <w:pStyle w:val="9"/>
            <w:numPr>
              <w:ilvl w:val="0"/>
              <w:numId w:val="0"/>
            </w:numPr>
            <w:tabs>
              <w:tab w:val="right" w:leader="dot" w:pos="9712"/>
            </w:tabs>
            <w:spacing w:before="203" w:line="193" w:lineRule="auto"/>
            <w:ind w:left="420" w:leftChars="0" w:firstLine="0" w:firstLineChars="0"/>
            <w:rPr>
              <w:rFonts w:hint="eastAsia" w:cs="宋体"/>
              <w:color w:val="auto"/>
              <w:sz w:val="19"/>
              <w:szCs w:val="19"/>
              <w:highlight w:val="none"/>
              <w:lang w:val="en-US" w:eastAsia="zh-CN"/>
            </w:rPr>
          </w:pPr>
          <w:r>
            <w:rPr>
              <w:rFonts w:hint="eastAsia" w:cs="宋体"/>
              <w:snapToGrid w:val="0"/>
              <w:color w:val="auto"/>
              <w:kern w:val="0"/>
              <w:sz w:val="19"/>
              <w:szCs w:val="19"/>
              <w:highlight w:val="none"/>
              <w:lang w:val="en-US" w:eastAsia="zh-CN" w:bidi="ar-SA"/>
            </w:rPr>
            <w:t>9</w:t>
          </w:r>
          <w:r>
            <w:rPr>
              <w:rFonts w:hint="eastAsia" w:ascii="宋体" w:hAnsi="宋体" w:eastAsia="宋体" w:cs="宋体"/>
              <w:snapToGrid w:val="0"/>
              <w:color w:val="auto"/>
              <w:kern w:val="0"/>
              <w:sz w:val="19"/>
              <w:szCs w:val="19"/>
              <w:highlight w:val="none"/>
              <w:lang w:val="en-US" w:eastAsia="zh-CN" w:bidi="ar-SA"/>
            </w:rPr>
            <w:t>、</w:t>
          </w:r>
          <w:r>
            <w:rPr>
              <w:rFonts w:hint="eastAsia" w:cs="宋体"/>
              <w:color w:val="auto"/>
              <w:sz w:val="19"/>
              <w:szCs w:val="19"/>
              <w:highlight w:val="none"/>
              <w:lang w:val="en-US" w:eastAsia="zh-CN"/>
            </w:rPr>
            <w:t>参加政府采购活动前三年内在经营活动中没有重大违法记录的书面声明；</w:t>
          </w:r>
          <w:r>
            <w:rPr>
              <w:rFonts w:hint="eastAsia" w:ascii="宋体" w:hAnsi="宋体" w:eastAsia="宋体" w:cs="宋体"/>
              <w:color w:val="auto"/>
              <w:spacing w:val="-43"/>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25</w:t>
          </w:r>
        </w:p>
        <w:p w14:paraId="2AC6EFC3">
          <w:pPr>
            <w:pStyle w:val="9"/>
            <w:numPr>
              <w:ilvl w:val="0"/>
              <w:numId w:val="0"/>
            </w:numPr>
            <w:tabs>
              <w:tab w:val="right" w:leader="dot" w:pos="9712"/>
            </w:tabs>
            <w:spacing w:before="203" w:line="193" w:lineRule="auto"/>
            <w:ind w:left="420" w:leftChars="0" w:firstLine="0" w:firstLineChars="0"/>
            <w:rPr>
              <w:rFonts w:hint="default" w:cs="宋体"/>
              <w:color w:val="auto"/>
              <w:sz w:val="19"/>
              <w:szCs w:val="19"/>
              <w:highlight w:val="none"/>
              <w:lang w:val="en-US" w:eastAsia="zh-CN"/>
            </w:rPr>
          </w:pPr>
          <w:r>
            <w:rPr>
              <w:rFonts w:hint="default" w:ascii="宋体" w:hAnsi="宋体" w:eastAsia="宋体" w:cs="宋体"/>
              <w:snapToGrid w:val="0"/>
              <w:color w:val="auto"/>
              <w:kern w:val="0"/>
              <w:sz w:val="19"/>
              <w:szCs w:val="19"/>
              <w:highlight w:val="none"/>
              <w:lang w:val="en-US" w:eastAsia="zh-CN" w:bidi="ar-SA"/>
            </w:rPr>
            <w:t>1</w:t>
          </w:r>
          <w:r>
            <w:rPr>
              <w:rFonts w:hint="eastAsia" w:cs="宋体"/>
              <w:snapToGrid w:val="0"/>
              <w:color w:val="auto"/>
              <w:kern w:val="0"/>
              <w:sz w:val="19"/>
              <w:szCs w:val="19"/>
              <w:highlight w:val="none"/>
              <w:lang w:val="en-US" w:eastAsia="zh-CN" w:bidi="ar-SA"/>
            </w:rPr>
            <w:t>0</w:t>
          </w:r>
          <w:r>
            <w:rPr>
              <w:rFonts w:hint="default" w:ascii="宋体" w:hAnsi="宋体" w:eastAsia="宋体" w:cs="宋体"/>
              <w:snapToGrid w:val="0"/>
              <w:color w:val="auto"/>
              <w:kern w:val="0"/>
              <w:sz w:val="19"/>
              <w:szCs w:val="19"/>
              <w:highlight w:val="none"/>
              <w:lang w:val="en-US" w:eastAsia="zh-CN" w:bidi="ar-SA"/>
            </w:rPr>
            <w:t>、</w:t>
          </w:r>
          <w:r>
            <w:rPr>
              <w:rFonts w:hint="default" w:cs="宋体"/>
              <w:color w:val="auto"/>
              <w:sz w:val="19"/>
              <w:szCs w:val="19"/>
              <w:highlight w:val="none"/>
              <w:lang w:val="en-US" w:eastAsia="zh-CN"/>
            </w:rPr>
            <w:t>提供缴纳投标保证金的有效凭证</w:t>
          </w:r>
          <w:r>
            <w:rPr>
              <w:rFonts w:hint="eastAsia" w:ascii="宋体" w:hAnsi="宋体" w:eastAsia="宋体" w:cs="宋体"/>
              <w:color w:val="auto"/>
              <w:spacing w:val="-43"/>
              <w:sz w:val="19"/>
              <w:szCs w:val="19"/>
              <w:highlight w:val="none"/>
            </w:rPr>
            <w:t xml:space="preserve"> </w:t>
          </w:r>
          <w:r>
            <w:rPr>
              <w:rFonts w:hint="eastAsia" w:ascii="宋体" w:hAnsi="宋体" w:eastAsia="宋体" w:cs="宋体"/>
              <w:color w:val="auto"/>
              <w:sz w:val="19"/>
              <w:szCs w:val="19"/>
              <w:highlight w:val="none"/>
            </w:rPr>
            <w:tab/>
          </w:r>
          <w:r>
            <w:rPr>
              <w:rFonts w:hint="eastAsia" w:cs="宋体"/>
              <w:color w:val="auto"/>
              <w:sz w:val="19"/>
              <w:szCs w:val="19"/>
              <w:highlight w:val="none"/>
              <w:lang w:val="en-US" w:eastAsia="zh-CN"/>
            </w:rPr>
            <w:t>25</w:t>
          </w:r>
        </w:p>
        <w:p w14:paraId="1E4E715F">
          <w:pPr>
            <w:pStyle w:val="9"/>
            <w:numPr>
              <w:ilvl w:val="0"/>
              <w:numId w:val="0"/>
            </w:numPr>
            <w:tabs>
              <w:tab w:val="right" w:leader="dot" w:pos="9712"/>
            </w:tabs>
            <w:spacing w:before="203" w:line="193" w:lineRule="auto"/>
            <w:ind w:left="420" w:leftChars="0" w:firstLine="0" w:firstLineChars="0"/>
            <w:rPr>
              <w:rFonts w:hint="default" w:cs="宋体"/>
              <w:color w:val="auto"/>
              <w:sz w:val="19"/>
              <w:szCs w:val="19"/>
              <w:highlight w:val="none"/>
              <w:lang w:val="en-US" w:eastAsia="zh-CN"/>
            </w:rPr>
          </w:pPr>
          <w:r>
            <w:rPr>
              <w:rFonts w:hint="default" w:ascii="宋体" w:hAnsi="宋体" w:eastAsia="宋体" w:cs="宋体"/>
              <w:snapToGrid w:val="0"/>
              <w:color w:val="auto"/>
              <w:kern w:val="0"/>
              <w:sz w:val="19"/>
              <w:szCs w:val="19"/>
              <w:highlight w:val="none"/>
              <w:lang w:val="en-US" w:eastAsia="zh-CN" w:bidi="ar-SA"/>
            </w:rPr>
            <w:t>1</w:t>
          </w:r>
          <w:r>
            <w:rPr>
              <w:rFonts w:hint="eastAsia" w:cs="宋体"/>
              <w:snapToGrid w:val="0"/>
              <w:color w:val="auto"/>
              <w:kern w:val="0"/>
              <w:sz w:val="19"/>
              <w:szCs w:val="19"/>
              <w:highlight w:val="none"/>
              <w:lang w:val="en-US" w:eastAsia="zh-CN" w:bidi="ar-SA"/>
            </w:rPr>
            <w:t>1</w:t>
          </w:r>
          <w:r>
            <w:rPr>
              <w:rFonts w:hint="default" w:ascii="宋体" w:hAnsi="宋体" w:eastAsia="宋体" w:cs="宋体"/>
              <w:snapToGrid w:val="0"/>
              <w:color w:val="auto"/>
              <w:kern w:val="0"/>
              <w:sz w:val="19"/>
              <w:szCs w:val="19"/>
              <w:highlight w:val="none"/>
              <w:lang w:val="en-US" w:eastAsia="zh-CN" w:bidi="ar-SA"/>
            </w:rPr>
            <w:t>、</w:t>
          </w:r>
          <w:r>
            <w:rPr>
              <w:rFonts w:hint="eastAsia" w:cs="宋体"/>
              <w:color w:val="auto"/>
              <w:sz w:val="19"/>
              <w:szCs w:val="19"/>
              <w:highlight w:val="none"/>
              <w:lang w:val="en-US" w:eastAsia="zh-CN"/>
            </w:rPr>
            <w:t>中小企业声明函</w:t>
          </w:r>
          <w:r>
            <w:rPr>
              <w:rFonts w:hint="eastAsia" w:ascii="宋体" w:hAnsi="宋体" w:eastAsia="宋体" w:cs="宋体"/>
              <w:color w:val="auto"/>
              <w:spacing w:val="-43"/>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25</w:t>
          </w:r>
        </w:p>
        <w:p w14:paraId="2ED96CD9">
          <w:pPr>
            <w:pStyle w:val="9"/>
            <w:numPr>
              <w:ilvl w:val="0"/>
              <w:numId w:val="0"/>
            </w:numPr>
            <w:tabs>
              <w:tab w:val="right" w:leader="dot" w:pos="9712"/>
            </w:tabs>
            <w:spacing w:before="203" w:line="193" w:lineRule="auto"/>
            <w:ind w:left="420" w:leftChars="0" w:firstLine="0" w:firstLineChars="0"/>
            <w:rPr>
              <w:rFonts w:hint="default" w:cs="宋体"/>
              <w:color w:val="auto"/>
              <w:sz w:val="19"/>
              <w:szCs w:val="19"/>
              <w:highlight w:val="none"/>
              <w:lang w:val="en-US" w:eastAsia="zh-CN"/>
            </w:rPr>
          </w:pPr>
          <w:r>
            <w:rPr>
              <w:rFonts w:hint="default" w:ascii="宋体" w:hAnsi="宋体" w:eastAsia="宋体" w:cs="宋体"/>
              <w:snapToGrid w:val="0"/>
              <w:color w:val="auto"/>
              <w:kern w:val="0"/>
              <w:sz w:val="19"/>
              <w:szCs w:val="19"/>
              <w:highlight w:val="none"/>
              <w:lang w:val="en-US" w:eastAsia="zh-CN" w:bidi="ar-SA"/>
            </w:rPr>
            <w:t>1</w:t>
          </w:r>
          <w:r>
            <w:rPr>
              <w:rFonts w:hint="eastAsia" w:cs="宋体"/>
              <w:snapToGrid w:val="0"/>
              <w:color w:val="auto"/>
              <w:kern w:val="0"/>
              <w:sz w:val="19"/>
              <w:szCs w:val="19"/>
              <w:highlight w:val="none"/>
              <w:lang w:val="en-US" w:eastAsia="zh-CN" w:bidi="ar-SA"/>
            </w:rPr>
            <w:t>2</w:t>
          </w:r>
          <w:r>
            <w:rPr>
              <w:rFonts w:hint="default" w:ascii="宋体" w:hAnsi="宋体" w:eastAsia="宋体" w:cs="宋体"/>
              <w:snapToGrid w:val="0"/>
              <w:color w:val="auto"/>
              <w:kern w:val="0"/>
              <w:sz w:val="19"/>
              <w:szCs w:val="19"/>
              <w:highlight w:val="none"/>
              <w:lang w:val="en-US" w:eastAsia="zh-CN" w:bidi="ar-SA"/>
            </w:rPr>
            <w:t>、</w:t>
          </w:r>
          <w:r>
            <w:rPr>
              <w:rFonts w:hint="default" w:cs="宋体"/>
              <w:color w:val="auto"/>
              <w:sz w:val="19"/>
              <w:szCs w:val="19"/>
              <w:highlight w:val="none"/>
              <w:lang w:val="en-US" w:eastAsia="zh-CN"/>
            </w:rPr>
            <w:t>供应商须知前附表要求的其他资格证明文件</w:t>
          </w:r>
          <w:r>
            <w:rPr>
              <w:rFonts w:hint="eastAsia" w:ascii="宋体" w:hAnsi="宋体" w:eastAsia="宋体" w:cs="宋体"/>
              <w:color w:val="auto"/>
              <w:spacing w:val="-43"/>
              <w:sz w:val="19"/>
              <w:szCs w:val="19"/>
              <w:highlight w:val="none"/>
            </w:rPr>
            <w:t xml:space="preserve"> </w:t>
          </w:r>
          <w:r>
            <w:rPr>
              <w:rFonts w:hint="eastAsia" w:ascii="宋体" w:hAnsi="宋体" w:eastAsia="宋体" w:cs="宋体"/>
              <w:color w:val="auto"/>
              <w:sz w:val="19"/>
              <w:szCs w:val="19"/>
              <w:highlight w:val="none"/>
            </w:rPr>
            <w:tab/>
          </w:r>
          <w:r>
            <w:rPr>
              <w:rFonts w:hint="eastAsia" w:cs="宋体"/>
              <w:color w:val="auto"/>
              <w:sz w:val="19"/>
              <w:szCs w:val="19"/>
              <w:highlight w:val="none"/>
              <w:lang w:val="en-US" w:eastAsia="zh-CN"/>
            </w:rPr>
            <w:t>25</w:t>
          </w:r>
        </w:p>
        <w:p w14:paraId="12804816">
          <w:pPr>
            <w:pStyle w:val="9"/>
            <w:numPr>
              <w:ilvl w:val="0"/>
              <w:numId w:val="0"/>
            </w:numPr>
            <w:tabs>
              <w:tab w:val="right" w:leader="dot" w:pos="9712"/>
            </w:tabs>
            <w:spacing w:before="203" w:line="193" w:lineRule="auto"/>
            <w:ind w:left="420" w:leftChars="0" w:firstLine="0" w:firstLineChars="0"/>
            <w:rPr>
              <w:rFonts w:hint="default" w:cs="宋体"/>
              <w:color w:val="auto"/>
              <w:sz w:val="19"/>
              <w:szCs w:val="19"/>
              <w:highlight w:val="none"/>
              <w:lang w:val="en-US" w:eastAsia="zh-CN"/>
            </w:rPr>
          </w:pPr>
          <w:r>
            <w:rPr>
              <w:rFonts w:hint="default" w:ascii="宋体" w:hAnsi="宋体" w:eastAsia="宋体" w:cs="宋体"/>
              <w:snapToGrid w:val="0"/>
              <w:color w:val="auto"/>
              <w:kern w:val="0"/>
              <w:sz w:val="19"/>
              <w:szCs w:val="19"/>
              <w:highlight w:val="none"/>
              <w:lang w:val="en-US" w:eastAsia="zh-CN" w:bidi="ar-SA"/>
            </w:rPr>
            <w:t>1</w:t>
          </w:r>
          <w:r>
            <w:rPr>
              <w:rFonts w:hint="eastAsia" w:cs="宋体"/>
              <w:snapToGrid w:val="0"/>
              <w:color w:val="auto"/>
              <w:kern w:val="0"/>
              <w:sz w:val="19"/>
              <w:szCs w:val="19"/>
              <w:highlight w:val="none"/>
              <w:lang w:val="en-US" w:eastAsia="zh-CN" w:bidi="ar-SA"/>
            </w:rPr>
            <w:t>3</w:t>
          </w:r>
          <w:r>
            <w:rPr>
              <w:rFonts w:hint="default" w:ascii="宋体" w:hAnsi="宋体" w:eastAsia="宋体" w:cs="宋体"/>
              <w:snapToGrid w:val="0"/>
              <w:color w:val="auto"/>
              <w:kern w:val="0"/>
              <w:sz w:val="19"/>
              <w:szCs w:val="19"/>
              <w:highlight w:val="none"/>
              <w:lang w:val="en-US" w:eastAsia="zh-CN" w:bidi="ar-SA"/>
            </w:rPr>
            <w:t>、</w:t>
          </w:r>
          <w:r>
            <w:rPr>
              <w:rFonts w:hint="default" w:cs="宋体"/>
              <w:color w:val="auto"/>
              <w:sz w:val="19"/>
              <w:szCs w:val="19"/>
              <w:highlight w:val="none"/>
              <w:lang w:val="en-US" w:eastAsia="zh-CN"/>
            </w:rPr>
            <w:t>供应商可提供有利于投标的其他资格证明材料</w:t>
          </w:r>
          <w:r>
            <w:rPr>
              <w:rFonts w:hint="eastAsia" w:ascii="宋体" w:hAnsi="宋体" w:eastAsia="宋体" w:cs="宋体"/>
              <w:color w:val="auto"/>
              <w:spacing w:val="-43"/>
              <w:sz w:val="19"/>
              <w:szCs w:val="19"/>
              <w:highlight w:val="none"/>
            </w:rPr>
            <w:t xml:space="preserve"> </w:t>
          </w:r>
          <w:r>
            <w:rPr>
              <w:rFonts w:hint="eastAsia" w:ascii="宋体" w:hAnsi="宋体" w:eastAsia="宋体" w:cs="宋体"/>
              <w:color w:val="auto"/>
              <w:sz w:val="19"/>
              <w:szCs w:val="19"/>
              <w:highlight w:val="none"/>
            </w:rPr>
            <w:tab/>
          </w:r>
          <w:r>
            <w:rPr>
              <w:rFonts w:hint="eastAsia" w:cs="宋体"/>
              <w:color w:val="auto"/>
              <w:sz w:val="19"/>
              <w:szCs w:val="19"/>
              <w:highlight w:val="none"/>
              <w:lang w:val="en-US" w:eastAsia="zh-CN"/>
            </w:rPr>
            <w:t>25</w:t>
          </w:r>
        </w:p>
        <w:p w14:paraId="4C90C34E">
          <w:pPr>
            <w:pStyle w:val="9"/>
            <w:numPr>
              <w:ilvl w:val="0"/>
              <w:numId w:val="1"/>
            </w:numPr>
            <w:tabs>
              <w:tab w:val="right" w:leader="dot" w:pos="9712"/>
            </w:tabs>
            <w:spacing w:before="203" w:line="193" w:lineRule="auto"/>
            <w:rPr>
              <w:rFonts w:hint="eastAsia" w:cs="宋体"/>
              <w:color w:val="auto"/>
              <w:sz w:val="19"/>
              <w:szCs w:val="19"/>
              <w:highlight w:val="none"/>
              <w:lang w:val="en-US" w:eastAsia="zh-CN"/>
            </w:rPr>
          </w:pPr>
          <w:r>
            <w:rPr>
              <w:rFonts w:hint="eastAsia" w:cs="宋体"/>
              <w:color w:val="auto"/>
              <w:sz w:val="19"/>
              <w:szCs w:val="19"/>
              <w:highlight w:val="none"/>
              <w:lang w:val="en-US" w:eastAsia="zh-CN"/>
            </w:rPr>
            <w:t>商务及技术文件</w:t>
          </w:r>
          <w:r>
            <w:rPr>
              <w:rFonts w:hint="eastAsia" w:ascii="宋体" w:hAnsi="宋体" w:eastAsia="宋体" w:cs="宋体"/>
              <w:color w:val="auto"/>
              <w:spacing w:val="-43"/>
              <w:sz w:val="19"/>
              <w:szCs w:val="19"/>
              <w:highlight w:val="none"/>
            </w:rPr>
            <w:t xml:space="preserve"> </w:t>
          </w:r>
          <w:r>
            <w:rPr>
              <w:rFonts w:hint="eastAsia" w:ascii="宋体" w:hAnsi="宋体" w:eastAsia="宋体" w:cs="宋体"/>
              <w:color w:val="auto"/>
              <w:sz w:val="19"/>
              <w:szCs w:val="19"/>
              <w:highlight w:val="none"/>
            </w:rPr>
            <w:tab/>
          </w:r>
          <w:r>
            <w:rPr>
              <w:rFonts w:hint="eastAsia" w:cs="宋体"/>
              <w:color w:val="auto"/>
              <w:sz w:val="19"/>
              <w:szCs w:val="19"/>
              <w:highlight w:val="none"/>
              <w:lang w:val="en-US" w:eastAsia="zh-CN"/>
            </w:rPr>
            <w:t>26</w:t>
          </w:r>
        </w:p>
        <w:p w14:paraId="399B9254">
          <w:pPr>
            <w:pStyle w:val="9"/>
            <w:numPr>
              <w:ilvl w:val="0"/>
              <w:numId w:val="2"/>
            </w:numPr>
            <w:tabs>
              <w:tab w:val="right" w:leader="dot" w:pos="9712"/>
            </w:tabs>
            <w:spacing w:before="203" w:line="193" w:lineRule="auto"/>
            <w:rPr>
              <w:rFonts w:hint="eastAsia" w:cs="宋体"/>
              <w:color w:val="auto"/>
              <w:sz w:val="19"/>
              <w:szCs w:val="19"/>
              <w:highlight w:val="none"/>
              <w:lang w:val="en-US" w:eastAsia="zh-CN"/>
            </w:rPr>
          </w:pPr>
          <w:r>
            <w:rPr>
              <w:rFonts w:hint="eastAsia" w:cs="宋体"/>
              <w:color w:val="auto"/>
              <w:sz w:val="19"/>
              <w:szCs w:val="19"/>
              <w:highlight w:val="none"/>
              <w:lang w:val="en-US" w:eastAsia="zh-CN"/>
            </w:rPr>
            <w:t>磋商书</w:t>
          </w:r>
          <w:r>
            <w:rPr>
              <w:rFonts w:hint="eastAsia" w:ascii="宋体" w:hAnsi="宋体" w:eastAsia="宋体" w:cs="宋体"/>
              <w:color w:val="auto"/>
              <w:sz w:val="19"/>
              <w:szCs w:val="19"/>
              <w:highlight w:val="none"/>
            </w:rPr>
            <w:tab/>
          </w:r>
          <w:r>
            <w:rPr>
              <w:rFonts w:hint="eastAsia" w:cs="宋体"/>
              <w:color w:val="auto"/>
              <w:sz w:val="19"/>
              <w:szCs w:val="19"/>
              <w:highlight w:val="none"/>
              <w:lang w:val="en-US" w:eastAsia="zh-CN"/>
            </w:rPr>
            <w:t>27</w:t>
          </w:r>
        </w:p>
        <w:p w14:paraId="4637D6FA">
          <w:pPr>
            <w:pStyle w:val="9"/>
            <w:numPr>
              <w:ilvl w:val="0"/>
              <w:numId w:val="2"/>
            </w:numPr>
            <w:tabs>
              <w:tab w:val="right" w:leader="dot" w:pos="9712"/>
            </w:tabs>
            <w:spacing w:before="203" w:line="193" w:lineRule="auto"/>
            <w:rPr>
              <w:rFonts w:hint="default" w:cs="宋体"/>
              <w:color w:val="auto"/>
              <w:sz w:val="19"/>
              <w:szCs w:val="19"/>
              <w:highlight w:val="none"/>
              <w:lang w:val="en-US" w:eastAsia="zh-CN"/>
            </w:rPr>
          </w:pPr>
          <w:r>
            <w:rPr>
              <w:rFonts w:hint="default" w:cs="宋体"/>
              <w:color w:val="auto"/>
              <w:sz w:val="19"/>
              <w:szCs w:val="19"/>
              <w:highlight w:val="none"/>
              <w:lang w:val="en-US" w:eastAsia="zh-CN"/>
            </w:rPr>
            <w:t>分项报价明细表</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28</w:t>
          </w:r>
        </w:p>
        <w:p w14:paraId="4A89F5F8">
          <w:pPr>
            <w:pStyle w:val="9"/>
            <w:numPr>
              <w:ilvl w:val="0"/>
              <w:numId w:val="2"/>
            </w:numPr>
            <w:tabs>
              <w:tab w:val="right" w:leader="dot" w:pos="9712"/>
            </w:tabs>
            <w:spacing w:before="203" w:line="193" w:lineRule="auto"/>
            <w:rPr>
              <w:rFonts w:hint="default" w:cs="宋体"/>
              <w:color w:val="auto"/>
              <w:sz w:val="19"/>
              <w:szCs w:val="19"/>
              <w:highlight w:val="none"/>
              <w:lang w:val="en-US" w:eastAsia="zh-CN"/>
            </w:rPr>
          </w:pPr>
          <w:r>
            <w:rPr>
              <w:rFonts w:hint="eastAsia" w:ascii="宋体" w:hAnsi="宋体" w:eastAsia="宋体" w:cs="宋体"/>
              <w:color w:val="auto"/>
              <w:sz w:val="19"/>
              <w:szCs w:val="19"/>
              <w:highlight w:val="none"/>
              <w:lang w:eastAsia="zh-CN"/>
            </w:rPr>
            <w:t>技术条款偏离表</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29</w:t>
          </w:r>
        </w:p>
        <w:p w14:paraId="4338D2D9">
          <w:pPr>
            <w:pStyle w:val="9"/>
            <w:numPr>
              <w:ilvl w:val="0"/>
              <w:numId w:val="2"/>
            </w:numPr>
            <w:tabs>
              <w:tab w:val="right" w:leader="dot" w:pos="9712"/>
            </w:tabs>
            <w:spacing w:before="203" w:line="193" w:lineRule="auto"/>
            <w:rPr>
              <w:rFonts w:hint="default" w:cs="宋体"/>
              <w:color w:val="auto"/>
              <w:sz w:val="19"/>
              <w:szCs w:val="19"/>
              <w:highlight w:val="none"/>
              <w:lang w:val="en-US" w:eastAsia="zh-CN"/>
            </w:rPr>
          </w:pPr>
          <w:r>
            <w:rPr>
              <w:rFonts w:hint="default" w:cs="宋体"/>
              <w:color w:val="auto"/>
              <w:sz w:val="19"/>
              <w:szCs w:val="19"/>
              <w:highlight w:val="none"/>
              <w:lang w:val="en-US" w:eastAsia="zh-CN"/>
            </w:rPr>
            <w:t>商务条款偏离表</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30</w:t>
          </w:r>
        </w:p>
        <w:p w14:paraId="3AC7ADB4">
          <w:pPr>
            <w:pStyle w:val="9"/>
            <w:numPr>
              <w:ilvl w:val="0"/>
              <w:numId w:val="2"/>
            </w:numPr>
            <w:tabs>
              <w:tab w:val="right" w:leader="dot" w:pos="9712"/>
            </w:tabs>
            <w:spacing w:before="203" w:line="193" w:lineRule="auto"/>
            <w:rPr>
              <w:rFonts w:hint="default" w:cs="宋体"/>
              <w:color w:val="auto"/>
              <w:sz w:val="19"/>
              <w:szCs w:val="19"/>
              <w:highlight w:val="none"/>
              <w:lang w:val="en-US" w:eastAsia="zh-CN"/>
            </w:rPr>
          </w:pPr>
          <w:r>
            <w:rPr>
              <w:rFonts w:hint="default" w:cs="宋体"/>
              <w:color w:val="auto"/>
              <w:sz w:val="19"/>
              <w:szCs w:val="19"/>
              <w:highlight w:val="none"/>
              <w:lang w:val="en-US" w:eastAsia="zh-CN"/>
            </w:rPr>
            <w:t>中小企业声明函</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31</w:t>
          </w:r>
        </w:p>
        <w:p w14:paraId="423E2172">
          <w:pPr>
            <w:pStyle w:val="9"/>
            <w:numPr>
              <w:ilvl w:val="0"/>
              <w:numId w:val="2"/>
            </w:numPr>
            <w:tabs>
              <w:tab w:val="right" w:leader="dot" w:pos="9712"/>
            </w:tabs>
            <w:spacing w:before="203" w:line="193" w:lineRule="auto"/>
            <w:rPr>
              <w:rFonts w:hint="default" w:cs="宋体"/>
              <w:color w:val="auto"/>
              <w:sz w:val="19"/>
              <w:szCs w:val="19"/>
              <w:highlight w:val="none"/>
              <w:lang w:val="en-US" w:eastAsia="zh-CN"/>
            </w:rPr>
          </w:pPr>
          <w:r>
            <w:rPr>
              <w:rFonts w:hint="default" w:cs="宋体"/>
              <w:color w:val="auto"/>
              <w:sz w:val="19"/>
              <w:szCs w:val="19"/>
              <w:highlight w:val="none"/>
              <w:lang w:val="en-US" w:eastAsia="zh-CN"/>
            </w:rPr>
            <w:t>供应商关联单位的说明</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36</w:t>
          </w:r>
        </w:p>
        <w:p w14:paraId="44453471">
          <w:pPr>
            <w:pStyle w:val="9"/>
            <w:numPr>
              <w:ilvl w:val="0"/>
              <w:numId w:val="2"/>
            </w:numPr>
            <w:tabs>
              <w:tab w:val="right" w:leader="dot" w:pos="9712"/>
            </w:tabs>
            <w:spacing w:before="203" w:line="193" w:lineRule="auto"/>
            <w:rPr>
              <w:rFonts w:hint="default" w:cs="宋体"/>
              <w:color w:val="auto"/>
              <w:sz w:val="19"/>
              <w:szCs w:val="19"/>
              <w:highlight w:val="none"/>
              <w:lang w:val="en-US" w:eastAsia="zh-CN"/>
            </w:rPr>
          </w:pPr>
          <w:r>
            <w:rPr>
              <w:rFonts w:hint="default" w:cs="宋体"/>
              <w:color w:val="auto"/>
              <w:sz w:val="19"/>
              <w:szCs w:val="19"/>
              <w:highlight w:val="none"/>
              <w:lang w:val="en-US" w:eastAsia="zh-CN"/>
            </w:rPr>
            <w:t>项目管理机构</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37</w:t>
          </w:r>
        </w:p>
        <w:p w14:paraId="503FBDD6">
          <w:pPr>
            <w:pStyle w:val="9"/>
            <w:numPr>
              <w:ilvl w:val="0"/>
              <w:numId w:val="2"/>
            </w:numPr>
            <w:tabs>
              <w:tab w:val="right" w:leader="dot" w:pos="9712"/>
            </w:tabs>
            <w:spacing w:before="203" w:line="193" w:lineRule="auto"/>
            <w:rPr>
              <w:rFonts w:hint="default" w:cs="宋体"/>
              <w:color w:val="auto"/>
              <w:sz w:val="19"/>
              <w:szCs w:val="19"/>
              <w:highlight w:val="none"/>
              <w:lang w:val="en-US" w:eastAsia="zh-CN"/>
            </w:rPr>
          </w:pPr>
          <w:r>
            <w:rPr>
              <w:rFonts w:hint="default" w:cs="宋体"/>
              <w:color w:val="auto"/>
              <w:sz w:val="19"/>
              <w:szCs w:val="19"/>
              <w:highlight w:val="none"/>
              <w:lang w:val="en-US" w:eastAsia="zh-CN"/>
            </w:rPr>
            <w:t>业绩一览表</w:t>
          </w:r>
          <w:r>
            <w:rPr>
              <w:rFonts w:hint="eastAsia" w:ascii="宋体" w:hAnsi="宋体" w:eastAsia="宋体" w:cs="宋体"/>
              <w:color w:val="auto"/>
              <w:sz w:val="19"/>
              <w:szCs w:val="19"/>
              <w:highlight w:val="none"/>
            </w:rPr>
            <w:tab/>
          </w:r>
          <w:r>
            <w:rPr>
              <w:rFonts w:hint="eastAsia" w:cs="宋体"/>
              <w:color w:val="auto"/>
              <w:sz w:val="19"/>
              <w:szCs w:val="19"/>
              <w:highlight w:val="none"/>
              <w:lang w:val="en-US" w:eastAsia="zh-CN"/>
            </w:rPr>
            <w:t>38</w:t>
          </w:r>
        </w:p>
        <w:p w14:paraId="0009A7FA">
          <w:pPr>
            <w:pStyle w:val="9"/>
            <w:numPr>
              <w:ilvl w:val="0"/>
              <w:numId w:val="2"/>
            </w:numPr>
            <w:tabs>
              <w:tab w:val="right" w:leader="dot" w:pos="9712"/>
            </w:tabs>
            <w:spacing w:before="203" w:line="193" w:lineRule="auto"/>
            <w:rPr>
              <w:rFonts w:hint="default" w:cs="宋体"/>
              <w:color w:val="auto"/>
              <w:sz w:val="19"/>
              <w:szCs w:val="19"/>
              <w:highlight w:val="none"/>
              <w:lang w:val="en-US" w:eastAsia="zh-CN"/>
            </w:rPr>
          </w:pPr>
          <w:r>
            <w:rPr>
              <w:rFonts w:hint="default" w:cs="宋体"/>
              <w:color w:val="auto"/>
              <w:sz w:val="19"/>
              <w:szCs w:val="19"/>
              <w:highlight w:val="none"/>
              <w:lang w:val="en-US" w:eastAsia="zh-CN"/>
            </w:rPr>
            <w:t>技术方案</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3</w:t>
          </w:r>
          <w:r>
            <w:rPr>
              <w:rFonts w:hint="eastAsia" w:cs="宋体"/>
              <w:color w:val="auto"/>
              <w:sz w:val="19"/>
              <w:szCs w:val="19"/>
              <w:highlight w:val="none"/>
              <w:lang w:val="en-US" w:eastAsia="zh-CN"/>
            </w:rPr>
            <w:t>9</w:t>
          </w:r>
        </w:p>
        <w:p w14:paraId="688C1CAB">
          <w:pPr>
            <w:pStyle w:val="9"/>
            <w:numPr>
              <w:ilvl w:val="0"/>
              <w:numId w:val="2"/>
            </w:numPr>
            <w:tabs>
              <w:tab w:val="right" w:leader="dot" w:pos="9712"/>
            </w:tabs>
            <w:spacing w:before="203" w:line="193" w:lineRule="auto"/>
            <w:rPr>
              <w:rFonts w:hint="default" w:cs="宋体"/>
              <w:color w:val="auto"/>
              <w:sz w:val="19"/>
              <w:szCs w:val="19"/>
              <w:highlight w:val="none"/>
              <w:lang w:val="en-US" w:eastAsia="zh-CN"/>
            </w:rPr>
          </w:pPr>
          <w:r>
            <w:rPr>
              <w:rFonts w:hint="default" w:cs="宋体"/>
              <w:color w:val="auto"/>
              <w:sz w:val="19"/>
              <w:szCs w:val="19"/>
              <w:highlight w:val="none"/>
              <w:lang w:val="en-US" w:eastAsia="zh-CN"/>
            </w:rPr>
            <w:t>投标人认为有利于投标的其他资料</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lang w:val="en-US" w:eastAsia="zh-CN"/>
            </w:rPr>
            <w:t>3</w:t>
          </w:r>
          <w:r>
            <w:rPr>
              <w:rFonts w:hint="eastAsia" w:cs="宋体"/>
              <w:color w:val="auto"/>
              <w:sz w:val="19"/>
              <w:szCs w:val="19"/>
              <w:highlight w:val="none"/>
              <w:lang w:val="en-US" w:eastAsia="zh-CN"/>
            </w:rPr>
            <w:t>9</w:t>
          </w:r>
        </w:p>
        <w:p w14:paraId="30E3E707">
          <w:pPr>
            <w:pStyle w:val="9"/>
            <w:tabs>
              <w:tab w:val="right" w:leader="dot" w:pos="9704"/>
            </w:tabs>
            <w:spacing w:before="199" w:line="193" w:lineRule="auto"/>
            <w:rPr>
              <w:rFonts w:hint="default" w:ascii="宋体" w:hAnsi="宋体" w:eastAsia="宋体" w:cs="宋体"/>
              <w:color w:val="auto"/>
              <w:sz w:val="19"/>
              <w:szCs w:val="19"/>
              <w:highlight w:val="none"/>
              <w:lang w:val="en-US" w:eastAsia="zh-CN"/>
            </w:rPr>
          </w:pPr>
          <w:bookmarkStart w:id="22" w:name="bookmark45"/>
          <w:bookmarkEnd w:id="22"/>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"bookmark46"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7"/>
              <w:sz w:val="19"/>
              <w:szCs w:val="19"/>
              <w:highlight w:val="none"/>
            </w:rPr>
            <w:t>第3章</w:t>
          </w:r>
          <w:r>
            <w:rPr>
              <w:rFonts w:hint="eastAsia" w:cs="宋体"/>
              <w:color w:val="auto"/>
              <w:spacing w:val="7"/>
              <w:sz w:val="19"/>
              <w:szCs w:val="19"/>
              <w:highlight w:val="none"/>
              <w:lang w:val="en-US" w:eastAsia="zh-CN"/>
            </w:rPr>
            <w:t xml:space="preserve"> </w:t>
          </w:r>
          <w:r>
            <w:rPr>
              <w:rFonts w:hint="eastAsia" w:ascii="宋体" w:hAnsi="宋体" w:eastAsia="宋体" w:cs="宋体"/>
              <w:color w:val="auto"/>
              <w:spacing w:val="7"/>
              <w:sz w:val="19"/>
              <w:szCs w:val="19"/>
              <w:highlight w:val="none"/>
            </w:rPr>
            <w:t>磋商邀请</w:t>
          </w:r>
          <w:r>
            <w:rPr>
              <w:rFonts w:hint="eastAsia" w:ascii="宋体" w:hAnsi="宋体" w:eastAsia="宋体" w:cs="宋体"/>
              <w:color w:val="auto"/>
              <w:spacing w:val="-48"/>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41</w:t>
          </w:r>
        </w:p>
        <w:p w14:paraId="11875E1A">
          <w:pPr>
            <w:pStyle w:val="9"/>
            <w:tabs>
              <w:tab w:val="right" w:leader="dot" w:pos="9692"/>
            </w:tabs>
            <w:spacing w:before="203" w:line="193" w:lineRule="auto"/>
            <w:rPr>
              <w:rFonts w:hint="default" w:ascii="宋体" w:hAnsi="宋体" w:eastAsia="宋体" w:cs="宋体"/>
              <w:color w:val="auto"/>
              <w:sz w:val="19"/>
              <w:szCs w:val="19"/>
              <w:highlight w:val="none"/>
              <w:lang w:val="en-US" w:eastAsia="zh-CN"/>
            </w:rPr>
          </w:pPr>
          <w:bookmarkStart w:id="23" w:name="bookmark47"/>
          <w:bookmarkEnd w:id="23"/>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"bookmark48"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3"/>
              <w:sz w:val="19"/>
              <w:szCs w:val="19"/>
              <w:highlight w:val="none"/>
            </w:rPr>
            <w:t>第4章</w:t>
          </w:r>
          <w:r>
            <w:rPr>
              <w:rFonts w:hint="eastAsia" w:cs="宋体"/>
              <w:color w:val="auto"/>
              <w:spacing w:val="13"/>
              <w:sz w:val="19"/>
              <w:szCs w:val="19"/>
              <w:highlight w:val="none"/>
              <w:lang w:val="en-US" w:eastAsia="zh-CN"/>
            </w:rPr>
            <w:t xml:space="preserve"> </w:t>
          </w:r>
          <w:r>
            <w:rPr>
              <w:rFonts w:hint="eastAsia" w:ascii="宋体" w:hAnsi="宋体" w:eastAsia="宋体" w:cs="宋体"/>
              <w:color w:val="auto"/>
              <w:spacing w:val="13"/>
              <w:sz w:val="19"/>
              <w:szCs w:val="19"/>
              <w:highlight w:val="none"/>
            </w:rPr>
            <w:t>供应商须知资料表</w:t>
          </w:r>
          <w:r>
            <w:rPr>
              <w:rFonts w:hint="eastAsia" w:ascii="宋体" w:hAnsi="宋体" w:eastAsia="宋体" w:cs="宋体"/>
              <w:color w:val="auto"/>
              <w:spacing w:val="-42"/>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44</w:t>
          </w:r>
        </w:p>
        <w:p w14:paraId="080B2377">
          <w:pPr>
            <w:pStyle w:val="9"/>
            <w:tabs>
              <w:tab w:val="right" w:leader="dot" w:pos="9727"/>
            </w:tabs>
            <w:spacing w:before="202" w:line="193" w:lineRule="auto"/>
            <w:rPr>
              <w:rFonts w:hint="default" w:ascii="宋体" w:hAnsi="宋体" w:eastAsia="宋体" w:cs="宋体"/>
              <w:color w:val="auto"/>
              <w:sz w:val="19"/>
              <w:szCs w:val="19"/>
              <w:highlight w:val="none"/>
              <w:lang w:val="en-US" w:eastAsia="zh-CN"/>
            </w:rPr>
          </w:pPr>
          <w:bookmarkStart w:id="24" w:name="bookmark49"/>
          <w:bookmarkEnd w:id="24"/>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"bookmark50"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5"/>
              <w:sz w:val="19"/>
              <w:szCs w:val="19"/>
              <w:highlight w:val="none"/>
            </w:rPr>
            <w:t>第5章</w:t>
          </w:r>
          <w:r>
            <w:rPr>
              <w:rFonts w:hint="eastAsia" w:cs="宋体"/>
              <w:color w:val="auto"/>
              <w:spacing w:val="5"/>
              <w:sz w:val="19"/>
              <w:szCs w:val="19"/>
              <w:highlight w:val="none"/>
              <w:lang w:val="en-US" w:eastAsia="zh-CN"/>
            </w:rPr>
            <w:t xml:space="preserve"> </w:t>
          </w:r>
          <w:r>
            <w:rPr>
              <w:rFonts w:hint="eastAsia" w:ascii="宋体" w:hAnsi="宋体" w:eastAsia="宋体" w:cs="宋体"/>
              <w:color w:val="auto"/>
              <w:spacing w:val="13"/>
              <w:sz w:val="19"/>
              <w:szCs w:val="19"/>
              <w:highlight w:val="none"/>
            </w:rPr>
            <w:t>服务需求一览表及项目要求</w:t>
          </w:r>
          <w:r>
            <w:rPr>
              <w:rFonts w:hint="eastAsia" w:ascii="宋体" w:hAnsi="宋体" w:eastAsia="宋体" w:cs="宋体"/>
              <w:color w:val="auto"/>
              <w:spacing w:val="-52"/>
              <w:sz w:val="19"/>
              <w:szCs w:val="19"/>
              <w:highlight w:val="none"/>
            </w:rPr>
            <w:t xml:space="preserve"> </w:t>
          </w:r>
          <w:r>
            <w:rPr>
              <w:rFonts w:hint="eastAsia" w:ascii="宋体" w:hAnsi="宋体" w:eastAsia="宋体" w:cs="宋体"/>
              <w:color w:val="auto"/>
              <w:sz w:val="19"/>
              <w:szCs w:val="19"/>
              <w:highlight w:val="none"/>
            </w:rPr>
            <w:tab/>
          </w:r>
          <w:r>
            <w:rPr>
              <w:rFonts w:hint="eastAsia" w:ascii="宋体" w:hAnsi="宋体" w:eastAsia="宋体" w:cs="宋体"/>
              <w:color w:val="auto"/>
              <w:sz w:val="19"/>
              <w:szCs w:val="19"/>
              <w:highlight w:val="none"/>
            </w:rPr>
            <w:fldChar w:fldCharType="end"/>
          </w:r>
          <w:r>
            <w:rPr>
              <w:rFonts w:hint="eastAsia" w:cs="宋体"/>
              <w:color w:val="auto"/>
              <w:sz w:val="19"/>
              <w:szCs w:val="19"/>
              <w:highlight w:val="none"/>
              <w:lang w:val="en-US" w:eastAsia="zh-CN"/>
            </w:rPr>
            <w:t>47</w:t>
          </w:r>
        </w:p>
        <w:p w14:paraId="50E737DC">
          <w:pPr>
            <w:pStyle w:val="9"/>
            <w:tabs>
              <w:tab w:val="right" w:leader="dot" w:pos="9692"/>
            </w:tabs>
            <w:spacing w:before="203" w:line="193" w:lineRule="auto"/>
            <w:rPr>
              <w:rFonts w:hint="default" w:ascii="宋体" w:hAnsi="宋体" w:eastAsia="宋体" w:cs="宋体"/>
              <w:color w:val="auto"/>
              <w:spacing w:val="13"/>
              <w:sz w:val="19"/>
              <w:szCs w:val="19"/>
              <w:highlight w:val="none"/>
              <w:lang w:val="en-US" w:eastAsia="zh-CN"/>
            </w:rPr>
          </w:pPr>
          <w:bookmarkStart w:id="25" w:name="bookmark51"/>
          <w:bookmarkEnd w:id="25"/>
          <w:r>
            <w:rPr>
              <w:rFonts w:hint="eastAsia" w:ascii="宋体" w:hAnsi="宋体" w:eastAsia="宋体" w:cs="宋体"/>
              <w:color w:val="auto"/>
              <w:spacing w:val="13"/>
              <w:sz w:val="19"/>
              <w:szCs w:val="19"/>
              <w:highlight w:val="none"/>
            </w:rPr>
            <w:fldChar w:fldCharType="begin"/>
          </w:r>
          <w:r>
            <w:rPr>
              <w:rFonts w:hint="eastAsia" w:ascii="宋体" w:hAnsi="宋体" w:eastAsia="宋体" w:cs="宋体"/>
              <w:color w:val="auto"/>
              <w:spacing w:val="13"/>
              <w:sz w:val="19"/>
              <w:szCs w:val="19"/>
              <w:highlight w:val="none"/>
            </w:rPr>
            <w:instrText xml:space="preserve"> HYPERLINK \l "bookmark52" </w:instrText>
          </w:r>
          <w:r>
            <w:rPr>
              <w:rFonts w:hint="eastAsia" w:ascii="宋体" w:hAnsi="宋体" w:eastAsia="宋体" w:cs="宋体"/>
              <w:color w:val="auto"/>
              <w:spacing w:val="13"/>
              <w:sz w:val="19"/>
              <w:szCs w:val="19"/>
              <w:highlight w:val="none"/>
            </w:rPr>
            <w:fldChar w:fldCharType="separate"/>
          </w:r>
          <w:r>
            <w:rPr>
              <w:rFonts w:hint="eastAsia" w:ascii="宋体" w:hAnsi="宋体" w:eastAsia="宋体" w:cs="宋体"/>
              <w:color w:val="auto"/>
              <w:spacing w:val="13"/>
              <w:sz w:val="19"/>
              <w:szCs w:val="19"/>
              <w:highlight w:val="none"/>
            </w:rPr>
            <w:t>第6章</w:t>
          </w:r>
          <w:r>
            <w:rPr>
              <w:rFonts w:hint="eastAsia" w:ascii="宋体" w:hAnsi="宋体" w:eastAsia="宋体" w:cs="宋体"/>
              <w:color w:val="auto"/>
              <w:spacing w:val="13"/>
              <w:sz w:val="19"/>
              <w:szCs w:val="19"/>
              <w:highlight w:val="none"/>
              <w:lang w:val="en-US" w:eastAsia="zh-CN"/>
            </w:rPr>
            <w:t xml:space="preserve"> </w:t>
          </w:r>
          <w:r>
            <w:rPr>
              <w:rFonts w:hint="eastAsia" w:ascii="宋体" w:hAnsi="宋体" w:eastAsia="宋体" w:cs="宋体"/>
              <w:color w:val="auto"/>
              <w:spacing w:val="13"/>
              <w:sz w:val="19"/>
              <w:szCs w:val="19"/>
              <w:highlight w:val="none"/>
            </w:rPr>
            <w:t xml:space="preserve">评标方法和标准 </w:t>
          </w:r>
          <w:r>
            <w:rPr>
              <w:rFonts w:hint="eastAsia" w:ascii="宋体" w:hAnsi="宋体" w:eastAsia="宋体" w:cs="宋体"/>
              <w:color w:val="auto"/>
              <w:spacing w:val="13"/>
              <w:sz w:val="19"/>
              <w:szCs w:val="19"/>
              <w:highlight w:val="none"/>
            </w:rPr>
            <w:tab/>
          </w:r>
          <w:r>
            <w:rPr>
              <w:rFonts w:hint="eastAsia" w:ascii="宋体" w:hAnsi="宋体" w:eastAsia="宋体" w:cs="宋体"/>
              <w:color w:val="auto"/>
              <w:spacing w:val="13"/>
              <w:sz w:val="19"/>
              <w:szCs w:val="19"/>
              <w:highlight w:val="none"/>
            </w:rPr>
            <w:fldChar w:fldCharType="end"/>
          </w:r>
          <w:r>
            <w:rPr>
              <w:rFonts w:hint="eastAsia" w:ascii="宋体" w:hAnsi="宋体" w:eastAsia="宋体" w:cs="宋体"/>
              <w:color w:val="auto"/>
              <w:spacing w:val="13"/>
              <w:sz w:val="19"/>
              <w:szCs w:val="19"/>
              <w:highlight w:val="none"/>
              <w:lang w:val="en-US" w:eastAsia="zh-CN"/>
            </w:rPr>
            <w:t>49</w:t>
          </w:r>
        </w:p>
        <w:p w14:paraId="269FE331">
          <w:pPr>
            <w:pStyle w:val="9"/>
            <w:tabs>
              <w:tab w:val="right" w:leader="dot" w:pos="9692"/>
            </w:tabs>
            <w:spacing w:before="203" w:line="193" w:lineRule="auto"/>
            <w:rPr>
              <w:rFonts w:hint="default" w:ascii="宋体" w:hAnsi="宋体" w:eastAsia="宋体" w:cs="宋体"/>
              <w:color w:val="auto"/>
              <w:highlight w:val="none"/>
              <w:lang w:val="en-US" w:eastAsia="zh-CN"/>
            </w:rPr>
          </w:pPr>
          <w:bookmarkStart w:id="26" w:name="bookmark53"/>
          <w:bookmarkEnd w:id="26"/>
          <w:r>
            <w:rPr>
              <w:rFonts w:hint="eastAsia" w:ascii="宋体" w:hAnsi="宋体" w:eastAsia="宋体" w:cs="宋体"/>
              <w:color w:val="auto"/>
              <w:spacing w:val="13"/>
              <w:sz w:val="19"/>
              <w:szCs w:val="19"/>
              <w:highlight w:val="none"/>
            </w:rPr>
            <w:fldChar w:fldCharType="begin"/>
          </w:r>
          <w:r>
            <w:rPr>
              <w:rFonts w:hint="eastAsia" w:ascii="宋体" w:hAnsi="宋体" w:eastAsia="宋体" w:cs="宋体"/>
              <w:color w:val="auto"/>
              <w:spacing w:val="13"/>
              <w:sz w:val="19"/>
              <w:szCs w:val="19"/>
              <w:highlight w:val="none"/>
            </w:rPr>
            <w:instrText xml:space="preserve"> HYPERLINK \l "bookmark54" </w:instrText>
          </w:r>
          <w:r>
            <w:rPr>
              <w:rFonts w:hint="eastAsia" w:ascii="宋体" w:hAnsi="宋体" w:eastAsia="宋体" w:cs="宋体"/>
              <w:color w:val="auto"/>
              <w:spacing w:val="13"/>
              <w:sz w:val="19"/>
              <w:szCs w:val="19"/>
              <w:highlight w:val="none"/>
            </w:rPr>
            <w:fldChar w:fldCharType="separate"/>
          </w:r>
          <w:r>
            <w:rPr>
              <w:rFonts w:hint="eastAsia" w:ascii="宋体" w:hAnsi="宋体" w:eastAsia="宋体" w:cs="宋体"/>
              <w:color w:val="auto"/>
              <w:spacing w:val="13"/>
              <w:sz w:val="19"/>
              <w:szCs w:val="19"/>
              <w:highlight w:val="none"/>
            </w:rPr>
            <w:t xml:space="preserve">第7章 政府采购合同 </w:t>
          </w:r>
          <w:r>
            <w:rPr>
              <w:rFonts w:hint="eastAsia" w:ascii="宋体" w:hAnsi="宋体" w:eastAsia="宋体" w:cs="宋体"/>
              <w:color w:val="auto"/>
              <w:spacing w:val="13"/>
              <w:sz w:val="19"/>
              <w:szCs w:val="19"/>
              <w:highlight w:val="none"/>
            </w:rPr>
            <w:tab/>
          </w:r>
          <w:r>
            <w:rPr>
              <w:rFonts w:hint="eastAsia" w:ascii="宋体" w:hAnsi="宋体" w:eastAsia="宋体" w:cs="宋体"/>
              <w:color w:val="auto"/>
              <w:spacing w:val="13"/>
              <w:sz w:val="19"/>
              <w:szCs w:val="19"/>
              <w:highlight w:val="none"/>
            </w:rPr>
            <w:fldChar w:fldCharType="end"/>
          </w:r>
          <w:r>
            <w:rPr>
              <w:rFonts w:hint="eastAsia" w:ascii="宋体" w:hAnsi="宋体" w:eastAsia="宋体" w:cs="宋体"/>
              <w:color w:val="auto"/>
              <w:spacing w:val="13"/>
              <w:sz w:val="19"/>
              <w:szCs w:val="19"/>
              <w:highlight w:val="none"/>
              <w:lang w:val="en-US" w:eastAsia="zh-CN"/>
            </w:rPr>
            <w:t>59</w:t>
          </w:r>
        </w:p>
        <w:p w14:paraId="010C8468">
          <w:pPr>
            <w:pStyle w:val="9"/>
            <w:tabs>
              <w:tab w:val="right" w:leader="dot" w:pos="9705"/>
            </w:tabs>
            <w:spacing w:before="203" w:line="227" w:lineRule="auto"/>
            <w:rPr>
              <w:rFonts w:hint="eastAsia" w:ascii="宋体" w:hAnsi="宋体" w:eastAsia="宋体" w:cs="宋体"/>
              <w:color w:val="auto"/>
              <w:sz w:val="19"/>
              <w:szCs w:val="19"/>
              <w:highlight w:val="none"/>
            </w:rPr>
          </w:pPr>
        </w:p>
      </w:sdtContent>
    </w:sdt>
    <w:p w14:paraId="23603C1D">
      <w:pPr>
        <w:spacing w:line="227" w:lineRule="auto"/>
        <w:rPr>
          <w:rFonts w:hint="eastAsia" w:ascii="宋体" w:hAnsi="宋体" w:eastAsia="宋体" w:cs="宋体"/>
          <w:color w:val="auto"/>
          <w:sz w:val="19"/>
          <w:szCs w:val="19"/>
          <w:highlight w:val="none"/>
        </w:rPr>
        <w:sectPr>
          <w:footerReference r:id="rId5" w:type="default"/>
          <w:pgSz w:w="11906" w:h="16840"/>
          <w:pgMar w:top="1400" w:right="1080" w:bottom="1058" w:left="1097" w:header="0" w:footer="888" w:gutter="0"/>
          <w:pgNumType w:fmt="decimal"/>
          <w:cols w:space="720" w:num="1"/>
        </w:sectPr>
      </w:pPr>
    </w:p>
    <w:p w14:paraId="629AEAFD">
      <w:pPr>
        <w:spacing w:before="129" w:line="229" w:lineRule="auto"/>
        <w:ind w:left="3167"/>
        <w:outlineLvl w:val="0"/>
        <w:rPr>
          <w:rFonts w:hint="eastAsia" w:ascii="宋体" w:hAnsi="宋体" w:eastAsia="宋体" w:cs="宋体"/>
          <w:color w:val="auto"/>
          <w:sz w:val="30"/>
          <w:szCs w:val="30"/>
          <w:highlight w:val="none"/>
        </w:rPr>
      </w:pPr>
      <w:bookmarkStart w:id="27" w:name="bookmark2"/>
      <w:bookmarkEnd w:id="27"/>
      <w:bookmarkStart w:id="28" w:name="bookmark4"/>
      <w:bookmarkEnd w:id="28"/>
      <w:r>
        <w:rPr>
          <w:rFonts w:hint="eastAsia" w:ascii="宋体" w:hAnsi="宋体" w:eastAsia="宋体" w:cs="宋体"/>
          <w:color w:val="auto"/>
          <w:spacing w:val="5"/>
          <w:sz w:val="30"/>
          <w:szCs w:val="30"/>
          <w:highlight w:val="none"/>
        </w:rPr>
        <w:t>第1章</w:t>
      </w:r>
      <w:r>
        <w:rPr>
          <w:rFonts w:hint="eastAsia" w:ascii="宋体" w:hAnsi="宋体" w:eastAsia="宋体" w:cs="宋体"/>
          <w:color w:val="auto"/>
          <w:spacing w:val="45"/>
          <w:sz w:val="30"/>
          <w:szCs w:val="30"/>
          <w:highlight w:val="none"/>
        </w:rPr>
        <w:t xml:space="preserve">  </w:t>
      </w:r>
      <w:r>
        <w:rPr>
          <w:rFonts w:hint="eastAsia" w:ascii="宋体" w:hAnsi="宋体" w:eastAsia="宋体" w:cs="宋体"/>
          <w:color w:val="auto"/>
          <w:spacing w:val="5"/>
          <w:sz w:val="30"/>
          <w:szCs w:val="30"/>
          <w:highlight w:val="none"/>
        </w:rPr>
        <w:t>供应商须知</w:t>
      </w:r>
    </w:p>
    <w:p w14:paraId="0C4C5A72">
      <w:pPr>
        <w:spacing w:before="267" w:line="224" w:lineRule="auto"/>
        <w:outlineLvl w:val="1"/>
        <w:rPr>
          <w:rFonts w:hint="eastAsia" w:ascii="宋体" w:hAnsi="宋体" w:eastAsia="宋体" w:cs="宋体"/>
          <w:color w:val="auto"/>
          <w:sz w:val="28"/>
          <w:szCs w:val="28"/>
          <w:highlight w:val="none"/>
        </w:rPr>
      </w:pPr>
      <w:bookmarkStart w:id="29" w:name="bookmark6"/>
      <w:bookmarkEnd w:id="29"/>
      <w:r>
        <w:rPr>
          <w:rFonts w:hint="eastAsia" w:ascii="宋体" w:hAnsi="宋体" w:eastAsia="宋体" w:cs="宋体"/>
          <w:color w:val="auto"/>
          <w:spacing w:val="-18"/>
          <w:sz w:val="28"/>
          <w:szCs w:val="28"/>
          <w:highlight w:val="none"/>
        </w:rPr>
        <w:t>一</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18"/>
          <w:sz w:val="28"/>
          <w:szCs w:val="28"/>
          <w:highlight w:val="none"/>
        </w:rPr>
        <w:t>总</w:t>
      </w:r>
      <w:r>
        <w:rPr>
          <w:rFonts w:hint="eastAsia" w:ascii="宋体" w:hAnsi="宋体" w:eastAsia="宋体" w:cs="宋体"/>
          <w:color w:val="auto"/>
          <w:spacing w:val="11"/>
          <w:sz w:val="28"/>
          <w:szCs w:val="28"/>
          <w:highlight w:val="none"/>
        </w:rPr>
        <w:t xml:space="preserve">  </w:t>
      </w:r>
      <w:r>
        <w:rPr>
          <w:rFonts w:hint="eastAsia" w:ascii="宋体" w:hAnsi="宋体" w:eastAsia="宋体" w:cs="宋体"/>
          <w:color w:val="auto"/>
          <w:spacing w:val="-18"/>
          <w:sz w:val="28"/>
          <w:szCs w:val="28"/>
          <w:highlight w:val="none"/>
        </w:rPr>
        <w:t>则</w:t>
      </w:r>
    </w:p>
    <w:p w14:paraId="7F9EE991">
      <w:pPr>
        <w:spacing w:before="76" w:line="222" w:lineRule="auto"/>
        <w:ind w:left="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1.采购人、采购代理机构及供应商</w:t>
      </w:r>
    </w:p>
    <w:p w14:paraId="3242630B">
      <w:pPr>
        <w:spacing w:before="31" w:line="225" w:lineRule="auto"/>
        <w:ind w:left="823" w:right="972" w:hanging="8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    采购人：是指依法开展政府采购活动的国家机关、事业单位、团体组织。</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本项目的采购人见</w:t>
      </w:r>
      <w:r>
        <w:rPr>
          <w:rFonts w:hint="eastAsia" w:ascii="宋体" w:hAnsi="宋体" w:eastAsia="宋体" w:cs="宋体"/>
          <w:b/>
          <w:bCs/>
          <w:color w:val="auto"/>
          <w:sz w:val="24"/>
          <w:szCs w:val="24"/>
          <w:highlight w:val="none"/>
          <w:u w:val="single" w:color="auto"/>
        </w:rPr>
        <w:t>供应商须知资料表</w:t>
      </w:r>
      <w:r>
        <w:rPr>
          <w:rFonts w:hint="eastAsia" w:ascii="宋体" w:hAnsi="宋体" w:eastAsia="宋体" w:cs="宋体"/>
          <w:color w:val="auto"/>
          <w:sz w:val="24"/>
          <w:szCs w:val="24"/>
          <w:highlight w:val="none"/>
          <w:u w:val="single" w:color="auto"/>
        </w:rPr>
        <w:t>。</w:t>
      </w:r>
    </w:p>
    <w:p w14:paraId="420527A4">
      <w:pPr>
        <w:spacing w:before="63" w:line="224" w:lineRule="auto"/>
        <w:ind w:left="891" w:right="201" w:hanging="88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    采购代理机构：是指集中采购机构或从事采购代理业务的社会中介机构。本项目</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3"/>
          <w:sz w:val="24"/>
          <w:szCs w:val="24"/>
          <w:highlight w:val="none"/>
        </w:rPr>
        <w:t>的采购代理机构见</w:t>
      </w:r>
      <w:r>
        <w:rPr>
          <w:rFonts w:hint="eastAsia" w:ascii="宋体" w:hAnsi="宋体" w:eastAsia="宋体" w:cs="宋体"/>
          <w:b/>
          <w:bCs/>
          <w:color w:val="auto"/>
          <w:spacing w:val="-3"/>
          <w:sz w:val="24"/>
          <w:szCs w:val="24"/>
          <w:highlight w:val="none"/>
          <w:u w:val="single" w:color="auto"/>
        </w:rPr>
        <w:t>供应商须知资料表</w:t>
      </w:r>
      <w:r>
        <w:rPr>
          <w:rFonts w:hint="eastAsia" w:ascii="宋体" w:hAnsi="宋体" w:eastAsia="宋体" w:cs="宋体"/>
          <w:color w:val="auto"/>
          <w:spacing w:val="-3"/>
          <w:sz w:val="24"/>
          <w:szCs w:val="24"/>
          <w:highlight w:val="none"/>
        </w:rPr>
        <w:t>。</w:t>
      </w:r>
    </w:p>
    <w:p w14:paraId="0EB9C881">
      <w:pPr>
        <w:spacing w:before="67" w:line="225" w:lineRule="auto"/>
        <w:ind w:left="902" w:right="122" w:hanging="9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    供应商：是指向采购人提供货物、工程或者服务的法人、非法人组织或者自然人</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。本项目的供应商及其磋商货物须满足以下条件：</w:t>
      </w:r>
    </w:p>
    <w:p w14:paraId="164894E4">
      <w:pPr>
        <w:spacing w:before="60" w:line="227" w:lineRule="auto"/>
        <w:ind w:left="818" w:right="122" w:hanging="81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1.3.1  在中华人民共和国境内注册，能够独立承担民事责任，有生产或供应能力的本国</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5"/>
          <w:sz w:val="24"/>
          <w:szCs w:val="24"/>
          <w:highlight w:val="none"/>
        </w:rPr>
        <w:t>供应商。</w:t>
      </w:r>
    </w:p>
    <w:p w14:paraId="5C16D2E9">
      <w:pPr>
        <w:spacing w:before="59" w:line="225" w:lineRule="auto"/>
        <w:ind w:left="860" w:right="122" w:hanging="86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1.3.2  具备《中华人民共和国政府采购法》第二十二条关于供应商条件的规定，遵守本</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项目采购人本级和上级财政部门政府采购的有</w:t>
      </w:r>
      <w:r>
        <w:rPr>
          <w:rFonts w:hint="eastAsia" w:ascii="宋体" w:hAnsi="宋体" w:eastAsia="宋体" w:cs="宋体"/>
          <w:color w:val="auto"/>
          <w:spacing w:val="3"/>
          <w:sz w:val="24"/>
          <w:szCs w:val="24"/>
          <w:highlight w:val="none"/>
        </w:rPr>
        <w:t>关规定。</w:t>
      </w:r>
    </w:p>
    <w:p w14:paraId="513ED4C2">
      <w:pPr>
        <w:spacing w:before="41" w:line="222"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1.3.3   以采购代理机构认可的方式获得了本项目的磋商文件。</w:t>
      </w:r>
    </w:p>
    <w:p w14:paraId="6A8CC720">
      <w:pPr>
        <w:spacing w:before="33" w:line="220" w:lineRule="auto"/>
        <w:ind w:left="2"/>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1.3.4  符合</w:t>
      </w:r>
      <w:r>
        <w:rPr>
          <w:rFonts w:hint="eastAsia" w:ascii="宋体" w:hAnsi="宋体" w:eastAsia="宋体" w:cs="宋体"/>
          <w:b/>
          <w:bCs/>
          <w:color w:val="auto"/>
          <w:spacing w:val="3"/>
          <w:sz w:val="24"/>
          <w:szCs w:val="24"/>
          <w:highlight w:val="none"/>
          <w:u w:val="single" w:color="auto"/>
        </w:rPr>
        <w:t>供应商须知资料表</w:t>
      </w:r>
      <w:r>
        <w:rPr>
          <w:rFonts w:hint="eastAsia" w:ascii="宋体" w:hAnsi="宋体" w:eastAsia="宋体" w:cs="宋体"/>
          <w:color w:val="auto"/>
          <w:spacing w:val="3"/>
          <w:sz w:val="24"/>
          <w:szCs w:val="24"/>
          <w:highlight w:val="none"/>
        </w:rPr>
        <w:t>中规定的其他要求。</w:t>
      </w:r>
    </w:p>
    <w:p w14:paraId="1C583625">
      <w:pPr>
        <w:spacing w:before="59" w:line="226" w:lineRule="auto"/>
        <w:ind w:left="874" w:right="160" w:hanging="87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1.3.5   若</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86"/>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供应商须知资料表</w:t>
      </w:r>
      <w:r>
        <w:rPr>
          <w:rFonts w:hint="eastAsia" w:ascii="宋体" w:hAnsi="宋体" w:eastAsia="宋体" w:cs="宋体"/>
          <w:color w:val="auto"/>
          <w:spacing w:val="5"/>
          <w:sz w:val="24"/>
          <w:szCs w:val="24"/>
          <w:highlight w:val="none"/>
        </w:rPr>
        <w:t>中写明允许采购进口产品，供应商应保证所投产品可履行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合法报通关手续进入中国关境内。</w:t>
      </w:r>
    </w:p>
    <w:p w14:paraId="3EC00F67">
      <w:pPr>
        <w:spacing w:before="68" w:line="228" w:lineRule="auto"/>
        <w:ind w:left="898" w:right="107" w:hanging="3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若</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86"/>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供应商须知资料表</w:t>
      </w:r>
      <w:r>
        <w:rPr>
          <w:rFonts w:hint="eastAsia" w:ascii="宋体" w:hAnsi="宋体" w:eastAsia="宋体" w:cs="宋体"/>
          <w:color w:val="auto"/>
          <w:spacing w:val="4"/>
          <w:sz w:val="24"/>
          <w:szCs w:val="24"/>
          <w:highlight w:val="none"/>
        </w:rPr>
        <w:t>中未写明允许采购进口产品，如供应商所投产品为进口产品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92"/>
          <w:sz w:val="24"/>
          <w:szCs w:val="24"/>
          <w:highlight w:val="none"/>
        </w:rPr>
        <w:t xml:space="preserve"> </w:t>
      </w:r>
      <w:r>
        <w:rPr>
          <w:rFonts w:hint="eastAsia" w:ascii="宋体" w:hAnsi="宋体" w:eastAsia="宋体" w:cs="宋体"/>
          <w:color w:val="auto"/>
          <w:spacing w:val="-7"/>
          <w:sz w:val="24"/>
          <w:szCs w:val="24"/>
          <w:highlight w:val="none"/>
        </w:rPr>
        <w:t>其磋商将被认定为</w:t>
      </w:r>
      <w:r>
        <w:rPr>
          <w:rFonts w:hint="eastAsia" w:ascii="宋体" w:hAnsi="宋体" w:eastAsia="宋体" w:cs="宋体"/>
          <w:b/>
          <w:bCs/>
          <w:color w:val="auto"/>
          <w:spacing w:val="-7"/>
          <w:sz w:val="24"/>
          <w:szCs w:val="24"/>
          <w:highlight w:val="none"/>
        </w:rPr>
        <w:t>磋商无效</w:t>
      </w:r>
      <w:r>
        <w:rPr>
          <w:rFonts w:hint="eastAsia" w:ascii="宋体" w:hAnsi="宋体" w:eastAsia="宋体" w:cs="宋体"/>
          <w:color w:val="auto"/>
          <w:spacing w:val="-7"/>
          <w:sz w:val="24"/>
          <w:szCs w:val="24"/>
          <w:highlight w:val="none"/>
        </w:rPr>
        <w:t>。</w:t>
      </w:r>
    </w:p>
    <w:p w14:paraId="56268C44">
      <w:pPr>
        <w:spacing w:before="30" w:line="222" w:lineRule="auto"/>
        <w:ind w:left="865" w:right="220" w:hanging="8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1.3.6  若</w:t>
      </w:r>
      <w:r>
        <w:rPr>
          <w:rFonts w:hint="eastAsia" w:ascii="宋体" w:hAnsi="宋体" w:eastAsia="宋体" w:cs="宋体"/>
          <w:b/>
          <w:bCs/>
          <w:color w:val="auto"/>
          <w:spacing w:val="2"/>
          <w:sz w:val="24"/>
          <w:szCs w:val="24"/>
          <w:highlight w:val="none"/>
          <w:u w:val="single" w:color="auto"/>
        </w:rPr>
        <w:t>供应商须知资料表</w:t>
      </w:r>
      <w:r>
        <w:rPr>
          <w:rFonts w:hint="eastAsia" w:ascii="宋体" w:hAnsi="宋体" w:eastAsia="宋体" w:cs="宋体"/>
          <w:color w:val="auto"/>
          <w:spacing w:val="2"/>
          <w:sz w:val="24"/>
          <w:szCs w:val="24"/>
          <w:highlight w:val="none"/>
        </w:rPr>
        <w:t>中写明专门面向中小企业采购的，如供应商为非中小企业，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rPr>
        <w:t>其磋商将被认定为磋商无效。</w:t>
      </w:r>
    </w:p>
    <w:p w14:paraId="33BB709A">
      <w:pPr>
        <w:spacing w:before="31" w:line="220"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    如</w:t>
      </w:r>
      <w:r>
        <w:rPr>
          <w:rFonts w:hint="eastAsia" w:ascii="宋体" w:hAnsi="宋体" w:eastAsia="宋体" w:cs="宋体"/>
          <w:b/>
          <w:bCs/>
          <w:color w:val="auto"/>
          <w:spacing w:val="5"/>
          <w:sz w:val="24"/>
          <w:szCs w:val="24"/>
          <w:highlight w:val="none"/>
          <w:u w:val="single" w:color="auto"/>
        </w:rPr>
        <w:t>供应商须知资料</w:t>
      </w:r>
      <w:r>
        <w:rPr>
          <w:rFonts w:hint="eastAsia" w:ascii="宋体" w:hAnsi="宋体" w:eastAsia="宋体" w:cs="宋体"/>
          <w:color w:val="auto"/>
          <w:spacing w:val="5"/>
          <w:sz w:val="24"/>
          <w:szCs w:val="24"/>
          <w:highlight w:val="none"/>
        </w:rPr>
        <w:t>表中允许联合体递</w:t>
      </w:r>
      <w:r>
        <w:rPr>
          <w:rFonts w:hint="eastAsia" w:ascii="宋体" w:hAnsi="宋体" w:eastAsia="宋体" w:cs="宋体"/>
          <w:color w:val="auto"/>
          <w:spacing w:val="4"/>
          <w:sz w:val="24"/>
          <w:szCs w:val="24"/>
          <w:highlight w:val="none"/>
        </w:rPr>
        <w:t>交响应文件，对联合体规定如下：</w:t>
      </w:r>
    </w:p>
    <w:p w14:paraId="570AA432">
      <w:pPr>
        <w:spacing w:before="41" w:line="222"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1.4.1  两个以上供应商可以组成一个磋商联合体，以一个供</w:t>
      </w:r>
      <w:r>
        <w:rPr>
          <w:rFonts w:hint="eastAsia" w:ascii="宋体" w:hAnsi="宋体" w:eastAsia="宋体" w:cs="宋体"/>
          <w:color w:val="auto"/>
          <w:spacing w:val="5"/>
          <w:sz w:val="24"/>
          <w:szCs w:val="24"/>
          <w:highlight w:val="none"/>
        </w:rPr>
        <w:t>应商的身份磋商。</w:t>
      </w:r>
    </w:p>
    <w:p w14:paraId="49CBDF6A">
      <w:pPr>
        <w:spacing w:before="30" w:line="221"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1.4.2  联合体各方均应符合《中华人民共和国政府采购法》第二十二条规定的</w:t>
      </w:r>
      <w:r>
        <w:rPr>
          <w:rFonts w:hint="eastAsia" w:ascii="宋体" w:hAnsi="宋体" w:eastAsia="宋体" w:cs="宋体"/>
          <w:color w:val="auto"/>
          <w:spacing w:val="5"/>
          <w:sz w:val="24"/>
          <w:szCs w:val="24"/>
          <w:highlight w:val="none"/>
        </w:rPr>
        <w:t>条件。</w:t>
      </w:r>
    </w:p>
    <w:p w14:paraId="1404335F">
      <w:pPr>
        <w:spacing w:before="47" w:line="229" w:lineRule="auto"/>
        <w:ind w:left="1045" w:right="141" w:hanging="104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1.4.3  采购人根据采购项目对供应商的特殊要求，联合体中</w:t>
      </w:r>
      <w:r>
        <w:rPr>
          <w:rFonts w:hint="eastAsia" w:ascii="宋体" w:hAnsi="宋体" w:eastAsia="宋体" w:cs="宋体"/>
          <w:color w:val="auto"/>
          <w:spacing w:val="4"/>
          <w:sz w:val="24"/>
          <w:szCs w:val="24"/>
          <w:highlight w:val="none"/>
        </w:rPr>
        <w:t>至少应当有一方符合相关规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定。</w:t>
      </w:r>
    </w:p>
    <w:p w14:paraId="5272A727">
      <w:pPr>
        <w:spacing w:before="16" w:line="221" w:lineRule="auto"/>
        <w:ind w:left="922" w:right="9" w:hanging="9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1.4.4  联合体各方应签订共同磋商协议，明确约定联合体各方承担的工作</w:t>
      </w:r>
      <w:r>
        <w:rPr>
          <w:rFonts w:hint="eastAsia" w:ascii="宋体" w:hAnsi="宋体" w:eastAsia="宋体" w:cs="宋体"/>
          <w:color w:val="auto"/>
          <w:spacing w:val="7"/>
          <w:sz w:val="24"/>
          <w:szCs w:val="24"/>
          <w:highlight w:val="none"/>
        </w:rPr>
        <w:t>和相应的责任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19"/>
          <w:sz w:val="24"/>
          <w:szCs w:val="24"/>
          <w:highlight w:val="none"/>
        </w:rPr>
        <w:t xml:space="preserve"> </w:t>
      </w:r>
      <w:r>
        <w:rPr>
          <w:rFonts w:hint="eastAsia" w:ascii="宋体" w:hAnsi="宋体" w:eastAsia="宋体" w:cs="宋体"/>
          <w:color w:val="auto"/>
          <w:spacing w:val="1"/>
          <w:sz w:val="24"/>
          <w:szCs w:val="24"/>
          <w:highlight w:val="none"/>
        </w:rPr>
        <w:t>并将共同磋商协议连同作为磋商文件第一部分的内容提交。</w:t>
      </w:r>
    </w:p>
    <w:p w14:paraId="7A5B6C45">
      <w:pPr>
        <w:spacing w:before="74" w:line="234" w:lineRule="auto"/>
        <w:ind w:left="834" w:hanging="83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1.4.5  大中型企业、其他自然人、法人或者非法人组织与小型、微型企业组成联合体共</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8"/>
          <w:sz w:val="24"/>
          <w:szCs w:val="24"/>
          <w:highlight w:val="none"/>
        </w:rPr>
        <w:t>同参加磋商，共同响应协议中应写明小型、微型企业的协议合同金额占到共同响</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应协议报价总金额的比例。</w:t>
      </w:r>
    </w:p>
    <w:p w14:paraId="0DE0DC5F">
      <w:pPr>
        <w:spacing w:before="25" w:line="223" w:lineRule="auto"/>
        <w:ind w:left="860" w:right="122" w:hanging="85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1.4.6  联合体中有同类资质的供应商按照联合体分工承担相同工作的，按照资质等级较</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3"/>
          <w:sz w:val="24"/>
          <w:szCs w:val="24"/>
          <w:highlight w:val="none"/>
        </w:rPr>
        <w:t>低的供应商确定联合体的资质等级。</w:t>
      </w:r>
    </w:p>
    <w:p w14:paraId="423E0608">
      <w:pPr>
        <w:spacing w:before="38" w:line="223" w:lineRule="auto"/>
        <w:ind w:left="878" w:right="122" w:hanging="87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1.4.7  以联合体形式参加政府采购活动的，联合体各方不得再单独参加或者与其他供应</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5"/>
          <w:sz w:val="24"/>
          <w:szCs w:val="24"/>
          <w:highlight w:val="none"/>
        </w:rPr>
        <w:t>商另外组成联合体参加本项目磋商，否则相关磋商将被认定为</w:t>
      </w:r>
      <w:r>
        <w:rPr>
          <w:rFonts w:hint="eastAsia" w:ascii="宋体" w:hAnsi="宋体" w:eastAsia="宋体" w:cs="宋体"/>
          <w:b/>
          <w:bCs/>
          <w:color w:val="auto"/>
          <w:spacing w:val="5"/>
          <w:sz w:val="24"/>
          <w:szCs w:val="24"/>
          <w:highlight w:val="none"/>
        </w:rPr>
        <w:t>磋商无效</w:t>
      </w:r>
      <w:r>
        <w:rPr>
          <w:rFonts w:hint="eastAsia" w:ascii="宋体" w:hAnsi="宋体" w:eastAsia="宋体" w:cs="宋体"/>
          <w:color w:val="auto"/>
          <w:spacing w:val="5"/>
          <w:sz w:val="24"/>
          <w:szCs w:val="24"/>
          <w:highlight w:val="none"/>
        </w:rPr>
        <w:t>。</w:t>
      </w:r>
    </w:p>
    <w:p w14:paraId="562EA225">
      <w:pPr>
        <w:spacing w:before="37" w:line="220" w:lineRule="auto"/>
        <w:ind w:left="2"/>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1.4.8  对联合体磋商的其他资格要求见</w:t>
      </w:r>
      <w:r>
        <w:rPr>
          <w:rFonts w:hint="eastAsia" w:ascii="宋体" w:hAnsi="宋体" w:eastAsia="宋体" w:cs="宋体"/>
          <w:b/>
          <w:bCs/>
          <w:color w:val="auto"/>
          <w:spacing w:val="3"/>
          <w:sz w:val="24"/>
          <w:szCs w:val="24"/>
          <w:highlight w:val="none"/>
          <w:u w:val="single" w:color="auto"/>
        </w:rPr>
        <w:t>供应商须知资料表</w:t>
      </w:r>
      <w:r>
        <w:rPr>
          <w:rFonts w:hint="eastAsia" w:ascii="宋体" w:hAnsi="宋体" w:eastAsia="宋体" w:cs="宋体"/>
          <w:color w:val="auto"/>
          <w:spacing w:val="3"/>
          <w:sz w:val="24"/>
          <w:szCs w:val="24"/>
          <w:highlight w:val="none"/>
        </w:rPr>
        <w:t>。</w:t>
      </w:r>
    </w:p>
    <w:p w14:paraId="22F0434E">
      <w:pPr>
        <w:spacing w:before="56" w:line="227" w:lineRule="auto"/>
        <w:ind w:left="865" w:right="129" w:hanging="86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1.5    单位负责人为同一人或者存在直接控股、管理关系的不同供应商，其相关磋商将被</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认定为</w:t>
      </w:r>
      <w:r>
        <w:rPr>
          <w:rFonts w:hint="eastAsia" w:ascii="宋体" w:hAnsi="宋体" w:eastAsia="宋体" w:cs="宋体"/>
          <w:b/>
          <w:bCs/>
          <w:color w:val="auto"/>
          <w:spacing w:val="-7"/>
          <w:sz w:val="24"/>
          <w:szCs w:val="24"/>
          <w:highlight w:val="none"/>
        </w:rPr>
        <w:t>磋商无效</w:t>
      </w:r>
      <w:r>
        <w:rPr>
          <w:rFonts w:hint="eastAsia" w:ascii="宋体" w:hAnsi="宋体" w:eastAsia="宋体" w:cs="宋体"/>
          <w:color w:val="auto"/>
          <w:spacing w:val="-7"/>
          <w:sz w:val="24"/>
          <w:szCs w:val="24"/>
          <w:highlight w:val="none"/>
        </w:rPr>
        <w:t>。</w:t>
      </w:r>
    </w:p>
    <w:p w14:paraId="6B23DB6F">
      <w:pPr>
        <w:spacing w:before="62" w:line="231" w:lineRule="auto"/>
        <w:ind w:left="878" w:right="150" w:hanging="87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    为本项目提供过整体设计、规范编制或者项目管理、监理、检测等服务的供应商</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17"/>
          <w:sz w:val="24"/>
          <w:szCs w:val="24"/>
          <w:highlight w:val="none"/>
        </w:rPr>
        <w:t xml:space="preserve"> </w:t>
      </w:r>
      <w:r>
        <w:rPr>
          <w:rFonts w:hint="eastAsia" w:ascii="宋体" w:hAnsi="宋体" w:eastAsia="宋体" w:cs="宋体"/>
          <w:color w:val="auto"/>
          <w:spacing w:val="1"/>
          <w:sz w:val="24"/>
          <w:szCs w:val="24"/>
          <w:highlight w:val="none"/>
        </w:rPr>
        <w:t>不得再参加本项目上述服务以外的其他采购活动</w:t>
      </w:r>
      <w:r>
        <w:rPr>
          <w:rFonts w:hint="eastAsia" w:ascii="宋体" w:hAnsi="宋体" w:eastAsia="宋体" w:cs="宋体"/>
          <w:color w:val="auto"/>
          <w:spacing w:val="4"/>
          <w:sz w:val="24"/>
          <w:szCs w:val="24"/>
          <w:highlight w:val="none"/>
        </w:rPr>
        <w:t>，否则其磋商将被认定为</w:t>
      </w:r>
      <w:r>
        <w:rPr>
          <w:rFonts w:hint="eastAsia" w:ascii="宋体" w:hAnsi="宋体" w:eastAsia="宋体" w:cs="宋体"/>
          <w:b/>
          <w:bCs/>
          <w:color w:val="auto"/>
          <w:spacing w:val="4"/>
          <w:sz w:val="24"/>
          <w:szCs w:val="24"/>
          <w:highlight w:val="none"/>
        </w:rPr>
        <w:t>磋商无效</w:t>
      </w:r>
      <w:r>
        <w:rPr>
          <w:rFonts w:hint="eastAsia" w:ascii="宋体" w:hAnsi="宋体" w:eastAsia="宋体" w:cs="宋体"/>
          <w:color w:val="auto"/>
          <w:spacing w:val="4"/>
          <w:sz w:val="24"/>
          <w:szCs w:val="24"/>
          <w:highlight w:val="none"/>
        </w:rPr>
        <w:t>。</w:t>
      </w:r>
    </w:p>
    <w:p w14:paraId="65EF31C4">
      <w:pPr>
        <w:spacing w:line="231" w:lineRule="auto"/>
        <w:rPr>
          <w:rFonts w:hint="eastAsia" w:ascii="宋体" w:hAnsi="宋体" w:eastAsia="宋体" w:cs="宋体"/>
          <w:color w:val="auto"/>
          <w:sz w:val="24"/>
          <w:szCs w:val="24"/>
          <w:highlight w:val="none"/>
        </w:rPr>
        <w:sectPr>
          <w:footerReference r:id="rId6" w:type="default"/>
          <w:pgSz w:w="11906" w:h="16840"/>
          <w:pgMar w:top="1431" w:right="1192" w:bottom="1058" w:left="1130" w:header="0" w:footer="888" w:gutter="0"/>
          <w:pgNumType w:fmt="decimal"/>
          <w:cols w:space="720" w:num="1"/>
        </w:sectPr>
      </w:pPr>
    </w:p>
    <w:p w14:paraId="5B5CA766">
      <w:pPr>
        <w:spacing w:before="65" w:line="219" w:lineRule="auto"/>
        <w:jc w:val="right"/>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1.7   供应商在磋商过程中不得向采购人提供或给予影响其正常决策行为</w:t>
      </w:r>
      <w:r>
        <w:rPr>
          <w:rFonts w:hint="eastAsia" w:ascii="宋体" w:hAnsi="宋体" w:eastAsia="宋体" w:cs="宋体"/>
          <w:color w:val="auto"/>
          <w:spacing w:val="10"/>
          <w:sz w:val="24"/>
          <w:szCs w:val="24"/>
          <w:highlight w:val="none"/>
        </w:rPr>
        <w:t>的任何有价值</w:t>
      </w:r>
    </w:p>
    <w:p w14:paraId="6F59932D">
      <w:pPr>
        <w:spacing w:before="24" w:line="221" w:lineRule="auto"/>
        <w:ind w:left="88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物品或服务。一经发现，其将被认定为</w:t>
      </w:r>
      <w:r>
        <w:rPr>
          <w:rFonts w:hint="eastAsia" w:ascii="宋体" w:hAnsi="宋体" w:eastAsia="宋体" w:cs="宋体"/>
          <w:b/>
          <w:bCs/>
          <w:color w:val="auto"/>
          <w:spacing w:val="4"/>
          <w:sz w:val="24"/>
          <w:szCs w:val="24"/>
          <w:highlight w:val="none"/>
        </w:rPr>
        <w:t>磋商无效</w:t>
      </w:r>
      <w:r>
        <w:rPr>
          <w:rFonts w:hint="eastAsia" w:ascii="宋体" w:hAnsi="宋体" w:eastAsia="宋体" w:cs="宋体"/>
          <w:color w:val="auto"/>
          <w:spacing w:val="4"/>
          <w:sz w:val="24"/>
          <w:szCs w:val="24"/>
          <w:highlight w:val="none"/>
        </w:rPr>
        <w:t>。</w:t>
      </w:r>
    </w:p>
    <w:p w14:paraId="2761E759">
      <w:pPr>
        <w:spacing w:before="41" w:line="222" w:lineRule="auto"/>
        <w:ind w:left="6"/>
        <w:outlineLvl w:val="1"/>
        <w:rPr>
          <w:rFonts w:hint="eastAsia" w:ascii="宋体" w:hAnsi="宋体" w:eastAsia="宋体" w:cs="宋体"/>
          <w:color w:val="auto"/>
          <w:sz w:val="24"/>
          <w:szCs w:val="24"/>
          <w:highlight w:val="none"/>
        </w:rPr>
      </w:pPr>
      <w:bookmarkStart w:id="30" w:name="bookmark8"/>
      <w:bookmarkEnd w:id="30"/>
      <w:r>
        <w:rPr>
          <w:rFonts w:hint="eastAsia" w:ascii="宋体" w:hAnsi="宋体" w:eastAsia="宋体" w:cs="宋体"/>
          <w:color w:val="auto"/>
          <w:sz w:val="24"/>
          <w:szCs w:val="24"/>
          <w:highlight w:val="none"/>
        </w:rPr>
        <w:t>2.资金来源</w:t>
      </w:r>
    </w:p>
    <w:p w14:paraId="76628C98">
      <w:pPr>
        <w:spacing w:before="60" w:line="222" w:lineRule="auto"/>
        <w:ind w:left="11"/>
        <w:outlineLvl w:val="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2.1    本项目的采购人已获得足以支付本次磋商后所签订的合同项下的资金(包括财政</w:t>
      </w:r>
    </w:p>
    <w:p w14:paraId="03F0C7DF">
      <w:pPr>
        <w:spacing w:before="15" w:line="220" w:lineRule="auto"/>
        <w:ind w:left="84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性资金和本项目采购中无法与财政性资金分割的非财政性资金) 。</w:t>
      </w:r>
    </w:p>
    <w:p w14:paraId="1E6D1DA4">
      <w:pPr>
        <w:spacing w:before="33" w:line="220"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2.2    项目预算金额和分项或分包最高限价</w:t>
      </w:r>
      <w:r>
        <w:rPr>
          <w:rFonts w:hint="eastAsia" w:ascii="宋体" w:hAnsi="宋体" w:eastAsia="宋体" w:cs="宋体"/>
          <w:b/>
          <w:bCs/>
          <w:color w:val="auto"/>
          <w:spacing w:val="5"/>
          <w:sz w:val="24"/>
          <w:szCs w:val="24"/>
          <w:highlight w:val="none"/>
          <w:u w:val="single" w:color="auto"/>
        </w:rPr>
        <w:t>见供应商须知资料表</w:t>
      </w:r>
      <w:r>
        <w:rPr>
          <w:rFonts w:hint="eastAsia" w:ascii="宋体" w:hAnsi="宋体" w:eastAsia="宋体" w:cs="宋体"/>
          <w:color w:val="auto"/>
          <w:spacing w:val="5"/>
          <w:sz w:val="24"/>
          <w:szCs w:val="24"/>
          <w:highlight w:val="none"/>
        </w:rPr>
        <w:t>。</w:t>
      </w:r>
    </w:p>
    <w:p w14:paraId="54BD59D4">
      <w:pPr>
        <w:spacing w:before="52" w:line="222" w:lineRule="auto"/>
        <w:ind w:left="11"/>
        <w:outlineLvl w:val="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2.3    供应商报价超过磋商文件规定的预算金额或者分项、分包最高限价的，其报价将</w:t>
      </w:r>
    </w:p>
    <w:p w14:paraId="3FFE27FF">
      <w:pPr>
        <w:spacing w:before="21" w:line="223" w:lineRule="auto"/>
        <w:ind w:left="87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被认定为</w:t>
      </w:r>
      <w:r>
        <w:rPr>
          <w:rFonts w:hint="eastAsia" w:ascii="宋体" w:hAnsi="宋体" w:eastAsia="宋体" w:cs="宋体"/>
          <w:b/>
          <w:bCs/>
          <w:color w:val="auto"/>
          <w:spacing w:val="-6"/>
          <w:sz w:val="24"/>
          <w:szCs w:val="24"/>
          <w:highlight w:val="none"/>
        </w:rPr>
        <w:t>磋商无效</w:t>
      </w:r>
      <w:r>
        <w:rPr>
          <w:rFonts w:hint="eastAsia" w:ascii="宋体" w:hAnsi="宋体" w:eastAsia="宋体" w:cs="宋体"/>
          <w:color w:val="auto"/>
          <w:spacing w:val="-6"/>
          <w:sz w:val="24"/>
          <w:szCs w:val="24"/>
          <w:highlight w:val="none"/>
        </w:rPr>
        <w:t>。</w:t>
      </w:r>
    </w:p>
    <w:p w14:paraId="15999D74">
      <w:pPr>
        <w:spacing w:before="37" w:line="223" w:lineRule="auto"/>
        <w:ind w:left="15"/>
        <w:outlineLvl w:val="1"/>
        <w:rPr>
          <w:rFonts w:hint="eastAsia" w:ascii="宋体" w:hAnsi="宋体" w:eastAsia="宋体" w:cs="宋体"/>
          <w:color w:val="auto"/>
          <w:sz w:val="24"/>
          <w:szCs w:val="24"/>
          <w:highlight w:val="none"/>
        </w:rPr>
      </w:pPr>
      <w:bookmarkStart w:id="31" w:name="bookmark10"/>
      <w:bookmarkEnd w:id="31"/>
      <w:r>
        <w:rPr>
          <w:rFonts w:hint="eastAsia" w:ascii="宋体" w:hAnsi="宋体" w:eastAsia="宋体" w:cs="宋体"/>
          <w:color w:val="auto"/>
          <w:spacing w:val="-1"/>
          <w:sz w:val="24"/>
          <w:szCs w:val="24"/>
          <w:highlight w:val="none"/>
        </w:rPr>
        <w:t>3.磋商费用</w:t>
      </w:r>
    </w:p>
    <w:p w14:paraId="39C39506">
      <w:pPr>
        <w:spacing w:before="22" w:line="220" w:lineRule="auto"/>
        <w:ind w:left="1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3.1    供应商应承担其参加本磋商活动自身所发生的费用。磋商文件所提供的资料，</w:t>
      </w:r>
    </w:p>
    <w:p w14:paraId="306E3245">
      <w:pPr>
        <w:spacing w:before="42" w:line="227" w:lineRule="auto"/>
        <w:ind w:left="913"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是采购人现有的能被供应商利用的资料，采购人对供应商做出的任何推论、理解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和结论均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5"/>
          <w:sz w:val="24"/>
          <w:szCs w:val="24"/>
          <w:highlight w:val="none"/>
        </w:rPr>
        <w:t>不负责任。</w:t>
      </w:r>
    </w:p>
    <w:p w14:paraId="6549B40F">
      <w:pPr>
        <w:spacing w:before="52" w:line="219" w:lineRule="auto"/>
        <w:ind w:left="1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3.2    供应商应保证并在响应文件中明确：在中华人</w:t>
      </w:r>
      <w:r>
        <w:rPr>
          <w:rFonts w:hint="eastAsia" w:ascii="宋体" w:hAnsi="宋体" w:eastAsia="宋体" w:cs="宋体"/>
          <w:color w:val="auto"/>
          <w:spacing w:val="9"/>
          <w:sz w:val="24"/>
          <w:szCs w:val="24"/>
          <w:highlight w:val="none"/>
        </w:rPr>
        <w:t>民共和国境内使用投标成果、服</w:t>
      </w:r>
    </w:p>
    <w:p w14:paraId="6BA902B8">
      <w:pPr>
        <w:spacing w:before="50" w:line="235" w:lineRule="auto"/>
        <w:ind w:left="918" w:right="26"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务或其任何一部分时，不会产生因第三方提出侵犯其专利权或其它知识产权而引</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起的法律和经济纠纷；如供应商不拥有相应的知识产权，则在报价中须包括合法</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获取该知识产权的相关费用；如因此导致采购人损失的，供应商须承担全部赔偿</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7"/>
          <w:sz w:val="24"/>
          <w:szCs w:val="24"/>
          <w:highlight w:val="none"/>
        </w:rPr>
        <w:t>责任。</w:t>
      </w:r>
    </w:p>
    <w:p w14:paraId="70E6FD3B">
      <w:pPr>
        <w:spacing w:before="56" w:line="222" w:lineRule="auto"/>
        <w:outlineLvl w:val="1"/>
        <w:rPr>
          <w:rFonts w:hint="eastAsia" w:ascii="宋体" w:hAnsi="宋体" w:eastAsia="宋体" w:cs="宋体"/>
          <w:color w:val="auto"/>
          <w:sz w:val="24"/>
          <w:szCs w:val="24"/>
          <w:highlight w:val="none"/>
        </w:rPr>
      </w:pPr>
      <w:bookmarkStart w:id="32" w:name="bookmark12"/>
      <w:bookmarkEnd w:id="32"/>
      <w:r>
        <w:rPr>
          <w:rFonts w:hint="eastAsia" w:ascii="宋体" w:hAnsi="宋体" w:eastAsia="宋体" w:cs="宋体"/>
          <w:color w:val="auto"/>
          <w:spacing w:val="1"/>
          <w:sz w:val="24"/>
          <w:szCs w:val="24"/>
          <w:highlight w:val="none"/>
        </w:rPr>
        <w:t>4.适用法律</w:t>
      </w:r>
    </w:p>
    <w:p w14:paraId="17453D68">
      <w:pPr>
        <w:spacing w:before="42" w:line="244" w:lineRule="auto"/>
        <w:ind w:left="913" w:right="38" w:hanging="55"/>
        <w:jc w:val="both"/>
        <w:rPr>
          <w:rFonts w:hint="eastAsia" w:ascii="宋体" w:hAnsi="宋体" w:eastAsia="宋体" w:cs="宋体"/>
          <w:color w:val="auto"/>
          <w:sz w:val="22"/>
          <w:szCs w:val="22"/>
          <w:highlight w:val="none"/>
        </w:rPr>
      </w:pPr>
      <w:r>
        <w:rPr>
          <w:rFonts w:hint="eastAsia" w:ascii="宋体" w:hAnsi="宋体" w:eastAsia="宋体" w:cs="宋体"/>
          <w:color w:val="auto"/>
          <w:spacing w:val="9"/>
          <w:sz w:val="24"/>
          <w:szCs w:val="24"/>
          <w:highlight w:val="none"/>
        </w:rPr>
        <w:t>本项目采购人、采购代理机构、供应商、磋商小组成员的相关行</w:t>
      </w:r>
      <w:r>
        <w:rPr>
          <w:rFonts w:hint="eastAsia" w:ascii="宋体" w:hAnsi="宋体" w:eastAsia="宋体" w:cs="宋体"/>
          <w:color w:val="auto"/>
          <w:spacing w:val="8"/>
          <w:sz w:val="24"/>
          <w:szCs w:val="24"/>
          <w:highlight w:val="none"/>
        </w:rPr>
        <w:t>为均受《中华人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民共和国政府采购法》</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6"/>
          <w:sz w:val="24"/>
          <w:szCs w:val="24"/>
          <w:highlight w:val="none"/>
        </w:rPr>
        <w:t>、《中华人民共和国政府采购法实施</w:t>
      </w:r>
      <w:r>
        <w:rPr>
          <w:rFonts w:hint="eastAsia" w:ascii="宋体" w:hAnsi="宋体" w:eastAsia="宋体" w:cs="宋体"/>
          <w:color w:val="auto"/>
          <w:spacing w:val="5"/>
          <w:sz w:val="24"/>
          <w:szCs w:val="24"/>
          <w:highlight w:val="none"/>
        </w:rPr>
        <w:t>条例》等有关法律法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 xml:space="preserve">规及本项目本级和上级财政部门政府采购有关规定的约束，其权利受到上述法律 </w:t>
      </w:r>
      <w:r>
        <w:rPr>
          <w:rFonts w:hint="eastAsia" w:ascii="宋体" w:hAnsi="宋体" w:eastAsia="宋体" w:cs="宋体"/>
          <w:color w:val="auto"/>
          <w:spacing w:val="-2"/>
          <w:sz w:val="24"/>
          <w:szCs w:val="24"/>
          <w:highlight w:val="none"/>
        </w:rPr>
        <w:t>法规的保护</w:t>
      </w:r>
      <w:r>
        <w:rPr>
          <w:rFonts w:hint="eastAsia" w:ascii="宋体" w:hAnsi="宋体" w:eastAsia="宋体" w:cs="宋体"/>
          <w:color w:val="auto"/>
          <w:spacing w:val="-2"/>
          <w:sz w:val="22"/>
          <w:szCs w:val="22"/>
          <w:highlight w:val="none"/>
        </w:rPr>
        <w:t>。</w:t>
      </w:r>
    </w:p>
    <w:p w14:paraId="7E7ED536">
      <w:pPr>
        <w:spacing w:line="402" w:lineRule="auto"/>
        <w:rPr>
          <w:rFonts w:hint="eastAsia" w:ascii="宋体" w:hAnsi="宋体" w:eastAsia="宋体" w:cs="宋体"/>
          <w:color w:val="auto"/>
          <w:sz w:val="21"/>
          <w:highlight w:val="none"/>
        </w:rPr>
      </w:pPr>
    </w:p>
    <w:p w14:paraId="4FDCEEC2">
      <w:pPr>
        <w:spacing w:before="91" w:line="223" w:lineRule="auto"/>
        <w:ind w:left="4275"/>
        <w:outlineLvl w:val="2"/>
        <w:rPr>
          <w:rFonts w:hint="eastAsia" w:ascii="宋体" w:hAnsi="宋体" w:eastAsia="宋体" w:cs="宋体"/>
          <w:color w:val="auto"/>
          <w:sz w:val="28"/>
          <w:szCs w:val="28"/>
          <w:highlight w:val="none"/>
        </w:rPr>
      </w:pPr>
      <w:bookmarkStart w:id="33" w:name="bookmark14"/>
      <w:bookmarkEnd w:id="33"/>
      <w:r>
        <w:rPr>
          <w:rFonts w:hint="eastAsia" w:ascii="宋体" w:hAnsi="宋体" w:eastAsia="宋体" w:cs="宋体"/>
          <w:color w:val="auto"/>
          <w:spacing w:val="-13"/>
          <w:sz w:val="28"/>
          <w:szCs w:val="28"/>
          <w:highlight w:val="none"/>
        </w:rPr>
        <w:t>二</w:t>
      </w: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pacing w:val="-13"/>
          <w:sz w:val="28"/>
          <w:szCs w:val="28"/>
          <w:highlight w:val="none"/>
        </w:rPr>
        <w:t>磋商文件</w:t>
      </w:r>
    </w:p>
    <w:p w14:paraId="1FA53A20">
      <w:pPr>
        <w:spacing w:line="442" w:lineRule="auto"/>
        <w:rPr>
          <w:rFonts w:hint="eastAsia" w:ascii="宋体" w:hAnsi="宋体" w:eastAsia="宋体" w:cs="宋体"/>
          <w:color w:val="auto"/>
          <w:sz w:val="21"/>
          <w:highlight w:val="none"/>
        </w:rPr>
      </w:pPr>
    </w:p>
    <w:p w14:paraId="38B59FFE">
      <w:pPr>
        <w:spacing w:before="79" w:line="222" w:lineRule="auto"/>
        <w:ind w:left="15"/>
        <w:outlineLvl w:val="1"/>
        <w:rPr>
          <w:rFonts w:hint="eastAsia" w:ascii="宋体" w:hAnsi="宋体" w:eastAsia="宋体" w:cs="宋体"/>
          <w:color w:val="auto"/>
          <w:sz w:val="24"/>
          <w:szCs w:val="24"/>
          <w:highlight w:val="none"/>
        </w:rPr>
      </w:pPr>
      <w:bookmarkStart w:id="34" w:name="bookmark16"/>
      <w:bookmarkEnd w:id="34"/>
      <w:r>
        <w:rPr>
          <w:rFonts w:hint="eastAsia" w:ascii="宋体" w:hAnsi="宋体" w:eastAsia="宋体" w:cs="宋体"/>
          <w:color w:val="auto"/>
          <w:spacing w:val="2"/>
          <w:sz w:val="24"/>
          <w:szCs w:val="24"/>
          <w:highlight w:val="none"/>
        </w:rPr>
        <w:t>5.磋商文件构成</w:t>
      </w:r>
    </w:p>
    <w:p w14:paraId="222D93F4">
      <w:pPr>
        <w:spacing w:before="28" w:line="222" w:lineRule="auto"/>
        <w:ind w:left="15"/>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5.1    磋商文件分为三册共</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2"/>
          <w:sz w:val="24"/>
          <w:szCs w:val="24"/>
          <w:highlight w:val="none"/>
        </w:rPr>
        <w:t>7</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章，内容如下：</w:t>
      </w:r>
    </w:p>
    <w:p w14:paraId="47CCD28E">
      <w:pPr>
        <w:spacing w:before="38" w:line="222" w:lineRule="auto"/>
        <w:ind w:left="935"/>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第一册</w:t>
      </w:r>
    </w:p>
    <w:p w14:paraId="73BEE9EF">
      <w:pPr>
        <w:spacing w:before="30" w:line="222" w:lineRule="auto"/>
        <w:ind w:left="935"/>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5"/>
          <w:sz w:val="24"/>
          <w:szCs w:val="24"/>
          <w:highlight w:val="none"/>
        </w:rPr>
        <w:t>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5"/>
          <w:sz w:val="24"/>
          <w:szCs w:val="24"/>
          <w:highlight w:val="none"/>
        </w:rPr>
        <w:t>章</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5"/>
          <w:sz w:val="24"/>
          <w:szCs w:val="24"/>
          <w:highlight w:val="none"/>
        </w:rPr>
        <w:t>供应商须知</w:t>
      </w:r>
    </w:p>
    <w:p w14:paraId="7C493760">
      <w:pPr>
        <w:spacing w:before="36" w:line="222" w:lineRule="auto"/>
        <w:ind w:left="93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3"/>
          <w:sz w:val="24"/>
          <w:szCs w:val="24"/>
          <w:highlight w:val="none"/>
        </w:rPr>
        <w:t>章</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3"/>
          <w:sz w:val="24"/>
          <w:szCs w:val="24"/>
          <w:highlight w:val="none"/>
        </w:rPr>
        <w:t>响应文件格式</w:t>
      </w:r>
    </w:p>
    <w:p w14:paraId="3FF1AA64">
      <w:pPr>
        <w:spacing w:before="35" w:line="222" w:lineRule="auto"/>
        <w:ind w:left="935"/>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第二册</w:t>
      </w:r>
    </w:p>
    <w:p w14:paraId="45151704">
      <w:pPr>
        <w:spacing w:before="33" w:line="220" w:lineRule="auto"/>
        <w:ind w:left="935"/>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第</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4"/>
          <w:sz w:val="24"/>
          <w:szCs w:val="24"/>
          <w:highlight w:val="none"/>
        </w:rPr>
        <w:t>3</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4"/>
          <w:sz w:val="24"/>
          <w:szCs w:val="24"/>
          <w:highlight w:val="none"/>
        </w:rPr>
        <w:t>章</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4"/>
          <w:sz w:val="24"/>
          <w:szCs w:val="24"/>
          <w:highlight w:val="none"/>
        </w:rPr>
        <w:t>磋商邀请</w:t>
      </w:r>
    </w:p>
    <w:p w14:paraId="1E717362">
      <w:pPr>
        <w:spacing w:before="35" w:line="220" w:lineRule="auto"/>
        <w:ind w:left="93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第 4</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8"/>
          <w:sz w:val="24"/>
          <w:szCs w:val="24"/>
          <w:highlight w:val="none"/>
        </w:rPr>
        <w:t>章</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供应商须知资料表</w:t>
      </w:r>
    </w:p>
    <w:p w14:paraId="0E0AE891">
      <w:pPr>
        <w:spacing w:before="36" w:line="221" w:lineRule="auto"/>
        <w:ind w:left="93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第 5</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4"/>
          <w:sz w:val="24"/>
          <w:szCs w:val="24"/>
          <w:highlight w:val="none"/>
        </w:rPr>
        <w:t>章</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采购需求</w:t>
      </w:r>
    </w:p>
    <w:p w14:paraId="0FF825DF">
      <w:pPr>
        <w:spacing w:before="37" w:line="222" w:lineRule="auto"/>
        <w:ind w:left="93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第 6</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5"/>
          <w:sz w:val="24"/>
          <w:szCs w:val="24"/>
          <w:highlight w:val="none"/>
        </w:rPr>
        <w:t>章</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
          <w:sz w:val="24"/>
          <w:szCs w:val="24"/>
          <w:highlight w:val="none"/>
        </w:rPr>
        <w:t>评标(磋商)方法和标准</w:t>
      </w:r>
    </w:p>
    <w:p w14:paraId="4655DB65">
      <w:pPr>
        <w:spacing w:before="33" w:line="222" w:lineRule="auto"/>
        <w:ind w:left="935"/>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第三册</w:t>
      </w:r>
    </w:p>
    <w:p w14:paraId="6BF11D8E">
      <w:pPr>
        <w:spacing w:before="35" w:line="222" w:lineRule="auto"/>
        <w:ind w:left="935"/>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第 7</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0"/>
          <w:sz w:val="24"/>
          <w:szCs w:val="24"/>
          <w:highlight w:val="none"/>
        </w:rPr>
        <w:t>章</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0"/>
          <w:sz w:val="24"/>
          <w:szCs w:val="24"/>
          <w:highlight w:val="none"/>
        </w:rPr>
        <w:t>政府采购合同格式</w:t>
      </w:r>
    </w:p>
    <w:p w14:paraId="4D34E672">
      <w:pPr>
        <w:spacing w:before="32" w:line="222" w:lineRule="auto"/>
        <w:ind w:left="15"/>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如本文件的前后内容不一致，以最后描述为准。</w:t>
      </w:r>
    </w:p>
    <w:p w14:paraId="33CF04ED">
      <w:pPr>
        <w:spacing w:before="62" w:line="230" w:lineRule="auto"/>
        <w:ind w:left="917" w:right="79" w:hanging="90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5.3    供应商应认真阅读磋商文件</w:t>
      </w:r>
      <w:r>
        <w:rPr>
          <w:rFonts w:hint="eastAsia" w:ascii="宋体" w:hAnsi="宋体" w:eastAsia="宋体" w:cs="宋体"/>
          <w:color w:val="auto"/>
          <w:spacing w:val="6"/>
          <w:sz w:val="24"/>
          <w:szCs w:val="24"/>
          <w:highlight w:val="none"/>
        </w:rPr>
        <w:t>所有的事项、格式、条款和技术规范等。如供应商没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有按照磋商文件要求提交全部资料，或者响应文件没有对磋商文件在各方面都做</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6"/>
          <w:sz w:val="24"/>
          <w:szCs w:val="24"/>
          <w:highlight w:val="none"/>
        </w:rPr>
        <w:t>出实质性响应，可能导致其响应文件被认定为磋</w:t>
      </w:r>
      <w:r>
        <w:rPr>
          <w:rFonts w:hint="eastAsia" w:ascii="宋体" w:hAnsi="宋体" w:eastAsia="宋体" w:cs="宋体"/>
          <w:color w:val="auto"/>
          <w:spacing w:val="5"/>
          <w:sz w:val="24"/>
          <w:szCs w:val="24"/>
          <w:highlight w:val="none"/>
        </w:rPr>
        <w:t>商无效。</w:t>
      </w:r>
    </w:p>
    <w:p w14:paraId="0F93AFDB">
      <w:pPr>
        <w:spacing w:line="230" w:lineRule="auto"/>
        <w:rPr>
          <w:rFonts w:hint="eastAsia" w:ascii="宋体" w:hAnsi="宋体" w:eastAsia="宋体" w:cs="宋体"/>
          <w:color w:val="auto"/>
          <w:sz w:val="24"/>
          <w:szCs w:val="24"/>
          <w:highlight w:val="none"/>
        </w:rPr>
        <w:sectPr>
          <w:footerReference r:id="rId7" w:type="default"/>
          <w:pgSz w:w="11906" w:h="16840"/>
          <w:pgMar w:top="1431" w:right="1204" w:bottom="1057" w:left="1094" w:header="0" w:footer="888" w:gutter="0"/>
          <w:pgNumType w:fmt="decimal"/>
          <w:cols w:space="720" w:num="1"/>
        </w:sectPr>
      </w:pPr>
    </w:p>
    <w:p w14:paraId="67D0324D">
      <w:pPr>
        <w:spacing w:before="58" w:line="222" w:lineRule="auto"/>
        <w:ind w:left="8"/>
        <w:outlineLvl w:val="2"/>
        <w:rPr>
          <w:rFonts w:hint="eastAsia" w:ascii="宋体" w:hAnsi="宋体" w:eastAsia="宋体" w:cs="宋体"/>
          <w:color w:val="auto"/>
          <w:sz w:val="24"/>
          <w:szCs w:val="24"/>
          <w:highlight w:val="none"/>
        </w:rPr>
      </w:pPr>
      <w:bookmarkStart w:id="35" w:name="bookmark18"/>
      <w:bookmarkEnd w:id="35"/>
      <w:r>
        <w:rPr>
          <w:rFonts w:hint="eastAsia" w:ascii="宋体" w:hAnsi="宋体" w:eastAsia="宋体" w:cs="宋体"/>
          <w:color w:val="auto"/>
          <w:spacing w:val="7"/>
          <w:sz w:val="24"/>
          <w:szCs w:val="24"/>
          <w:highlight w:val="none"/>
        </w:rPr>
        <w:t>6.磋商文件的澄清与修改</w:t>
      </w:r>
    </w:p>
    <w:p w14:paraId="5691B007">
      <w:pPr>
        <w:spacing w:before="38" w:line="236" w:lineRule="auto"/>
        <w:ind w:left="852" w:right="276" w:hanging="84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6.1    为了保证对磋商文件的澄清和修</w:t>
      </w:r>
      <w:r>
        <w:rPr>
          <w:rFonts w:hint="eastAsia" w:ascii="宋体" w:hAnsi="宋体" w:eastAsia="宋体" w:cs="宋体"/>
          <w:color w:val="auto"/>
          <w:spacing w:val="6"/>
          <w:sz w:val="24"/>
          <w:szCs w:val="24"/>
          <w:highlight w:val="none"/>
        </w:rPr>
        <w:t>改满足法律的时限要求，提交首次响应文件截止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之</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
          <w:sz w:val="24"/>
          <w:szCs w:val="24"/>
          <w:highlight w:val="none"/>
        </w:rPr>
        <w:t>日前，采购人、采购代理机构或者磋商小组可以对已发出的磋商文件进行必要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的澄清或者修改，澄清或者修改的内容作为磋商文件的组成部分。澄清或者修改</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7"/>
          <w:sz w:val="24"/>
          <w:szCs w:val="24"/>
          <w:highlight w:val="none"/>
        </w:rPr>
        <w:t>的内容可能影响响应文件编制的，采购人、采购代理机构应当在提交首次响应文</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件截止时间至少5日前，以书面形式通知所有</w:t>
      </w:r>
      <w:r>
        <w:rPr>
          <w:rFonts w:hint="eastAsia" w:ascii="宋体" w:hAnsi="宋体" w:eastAsia="宋体" w:cs="宋体"/>
          <w:color w:val="auto"/>
          <w:spacing w:val="-2"/>
          <w:sz w:val="24"/>
          <w:szCs w:val="24"/>
          <w:highlight w:val="none"/>
        </w:rPr>
        <w:t>获取磋商文件的供应商；不足5日的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3"/>
          <w:sz w:val="24"/>
          <w:szCs w:val="24"/>
          <w:highlight w:val="none"/>
        </w:rPr>
        <w:t>采购人、采购代理机构应当顺延提交首次响应文件截止时间。</w:t>
      </w:r>
    </w:p>
    <w:p w14:paraId="45C236A2">
      <w:pPr>
        <w:spacing w:before="49" w:line="223" w:lineRule="auto"/>
        <w:ind w:left="868" w:right="228" w:hanging="8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6.2    采购人可主动地或在解答供应商提出的澄清问题时对磋商文件澄清或修改。采购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代理机构将以发布澄清(更正)公告的方式，澄清或修改磋商文件，澄清或修改内</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容作为磋商文件的组成部分。</w:t>
      </w:r>
    </w:p>
    <w:p w14:paraId="68899E24">
      <w:pPr>
        <w:spacing w:before="40" w:line="226" w:lineRule="auto"/>
        <w:ind w:left="860" w:hanging="85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6.3    澄清或者修改的内容可能影响响应文件编制的，采购代理机构将以发布澄清(更正)</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8"/>
          <w:sz w:val="24"/>
          <w:szCs w:val="24"/>
          <w:highlight w:val="none"/>
        </w:rPr>
        <w:t>公告形式通知所有领取磋商文件的潜在供应商，并对其具有约束力。公告一</w:t>
      </w:r>
      <w:r>
        <w:rPr>
          <w:rFonts w:hint="eastAsia" w:ascii="宋体" w:hAnsi="宋体" w:eastAsia="宋体" w:cs="宋体"/>
          <w:color w:val="auto"/>
          <w:spacing w:val="7"/>
          <w:sz w:val="24"/>
          <w:szCs w:val="24"/>
          <w:highlight w:val="none"/>
        </w:rPr>
        <w:t>经发</w:t>
      </w:r>
    </w:p>
    <w:p w14:paraId="16396A4A">
      <w:pPr>
        <w:spacing w:before="41" w:line="219" w:lineRule="auto"/>
        <w:ind w:left="8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出即视为潜在供应商已知晓该澄清或修改内容。</w:t>
      </w:r>
    </w:p>
    <w:p w14:paraId="5A0416EC">
      <w:pPr>
        <w:spacing w:before="36" w:line="222" w:lineRule="auto"/>
        <w:ind w:left="1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7.磋商截止时间的顺延</w:t>
      </w:r>
    </w:p>
    <w:p w14:paraId="643A6817">
      <w:pPr>
        <w:spacing w:before="41" w:line="235" w:lineRule="auto"/>
        <w:ind w:left="912" w:right="297" w:firstLine="18"/>
        <w:rPr>
          <w:rFonts w:hint="eastAsia" w:ascii="宋体" w:hAnsi="宋体" w:eastAsia="宋体" w:cs="宋体"/>
          <w:color w:val="auto"/>
          <w:sz w:val="22"/>
          <w:szCs w:val="22"/>
          <w:highlight w:val="none"/>
        </w:rPr>
      </w:pPr>
      <w:r>
        <w:rPr>
          <w:rFonts w:hint="eastAsia" w:ascii="宋体" w:hAnsi="宋体" w:eastAsia="宋体" w:cs="宋体"/>
          <w:color w:val="auto"/>
          <w:spacing w:val="-2"/>
          <w:sz w:val="24"/>
          <w:szCs w:val="24"/>
          <w:highlight w:val="none"/>
        </w:rPr>
        <w:t>为使供应商准备递交响应文件时有足够的时间对磋商文件的澄清或者修改部分进行</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研究，采购人将依法决定是否顺延磋商截止时间</w:t>
      </w:r>
      <w:r>
        <w:rPr>
          <w:rFonts w:hint="eastAsia" w:ascii="宋体" w:hAnsi="宋体" w:eastAsia="宋体" w:cs="宋体"/>
          <w:color w:val="auto"/>
          <w:spacing w:val="-2"/>
          <w:sz w:val="22"/>
          <w:szCs w:val="22"/>
          <w:highlight w:val="none"/>
        </w:rPr>
        <w:t>。</w:t>
      </w:r>
    </w:p>
    <w:p w14:paraId="409083B0">
      <w:pPr>
        <w:spacing w:line="359" w:lineRule="auto"/>
        <w:rPr>
          <w:rFonts w:hint="eastAsia" w:ascii="宋体" w:hAnsi="宋体" w:eastAsia="宋体" w:cs="宋体"/>
          <w:color w:val="auto"/>
          <w:sz w:val="21"/>
          <w:highlight w:val="none"/>
        </w:rPr>
      </w:pPr>
    </w:p>
    <w:p w14:paraId="15C6C9E3">
      <w:pPr>
        <w:spacing w:before="91" w:line="222" w:lineRule="auto"/>
        <w:ind w:left="3842"/>
        <w:outlineLvl w:val="0"/>
        <w:rPr>
          <w:rFonts w:hint="eastAsia" w:ascii="宋体" w:hAnsi="宋体" w:eastAsia="宋体" w:cs="宋体"/>
          <w:color w:val="auto"/>
          <w:sz w:val="28"/>
          <w:szCs w:val="28"/>
          <w:highlight w:val="none"/>
        </w:rPr>
      </w:pPr>
      <w:bookmarkStart w:id="36" w:name="bookmark20"/>
      <w:bookmarkEnd w:id="36"/>
      <w:r>
        <w:rPr>
          <w:rFonts w:hint="eastAsia" w:ascii="宋体" w:hAnsi="宋体" w:eastAsia="宋体" w:cs="宋体"/>
          <w:color w:val="auto"/>
          <w:spacing w:val="-9"/>
          <w:sz w:val="28"/>
          <w:szCs w:val="28"/>
          <w:highlight w:val="none"/>
        </w:rPr>
        <w:t>三</w:t>
      </w:r>
      <w:r>
        <w:rPr>
          <w:rFonts w:hint="eastAsia" w:ascii="宋体" w:hAnsi="宋体" w:eastAsia="宋体" w:cs="宋体"/>
          <w:color w:val="auto"/>
          <w:spacing w:val="9"/>
          <w:sz w:val="28"/>
          <w:szCs w:val="28"/>
          <w:highlight w:val="none"/>
        </w:rPr>
        <w:t xml:space="preserve">   </w:t>
      </w:r>
      <w:r>
        <w:rPr>
          <w:rFonts w:hint="eastAsia" w:ascii="宋体" w:hAnsi="宋体" w:eastAsia="宋体" w:cs="宋体"/>
          <w:color w:val="auto"/>
          <w:spacing w:val="-9"/>
          <w:sz w:val="28"/>
          <w:szCs w:val="28"/>
          <w:highlight w:val="none"/>
        </w:rPr>
        <w:t>响应文件的编制</w:t>
      </w:r>
    </w:p>
    <w:p w14:paraId="567C16C5">
      <w:pPr>
        <w:spacing w:line="409" w:lineRule="auto"/>
        <w:rPr>
          <w:rFonts w:hint="eastAsia" w:ascii="宋体" w:hAnsi="宋体" w:eastAsia="宋体" w:cs="宋体"/>
          <w:color w:val="auto"/>
          <w:sz w:val="21"/>
          <w:highlight w:val="none"/>
        </w:rPr>
      </w:pPr>
    </w:p>
    <w:p w14:paraId="28A02C87">
      <w:pPr>
        <w:spacing w:before="78" w:line="221" w:lineRule="auto"/>
        <w:ind w:left="4"/>
        <w:outlineLvl w:val="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8.磋商范围及响应文件成交准和计量单位的使用</w:t>
      </w:r>
    </w:p>
    <w:p w14:paraId="7DAA1732">
      <w:pPr>
        <w:spacing w:before="64" w:line="224" w:lineRule="auto"/>
        <w:ind w:left="938" w:right="390" w:hanging="9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8.1    项目有分包的，供应商可对磋商文件其中某一个或几个分包服务内容进行响应，</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除非在</w:t>
      </w:r>
      <w:r>
        <w:rPr>
          <w:rFonts w:hint="eastAsia" w:ascii="宋体" w:hAnsi="宋体" w:eastAsia="宋体" w:cs="宋体"/>
          <w:b/>
          <w:bCs/>
          <w:color w:val="auto"/>
          <w:sz w:val="24"/>
          <w:szCs w:val="24"/>
          <w:highlight w:val="none"/>
          <w:u w:val="single" w:color="auto"/>
        </w:rPr>
        <w:t>供应商须知资料表</w:t>
      </w:r>
      <w:r>
        <w:rPr>
          <w:rFonts w:hint="eastAsia" w:ascii="宋体" w:hAnsi="宋体" w:eastAsia="宋体" w:cs="宋体"/>
          <w:color w:val="auto"/>
          <w:sz w:val="24"/>
          <w:szCs w:val="24"/>
          <w:highlight w:val="none"/>
        </w:rPr>
        <w:t>中另有规定。</w:t>
      </w:r>
    </w:p>
    <w:p w14:paraId="587DEF7B">
      <w:pPr>
        <w:spacing w:before="68" w:line="225" w:lineRule="auto"/>
        <w:ind w:left="930" w:right="280" w:hanging="9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8.2    供应商应当对所投分包磋商文件中“采</w:t>
      </w:r>
      <w:r>
        <w:rPr>
          <w:rFonts w:hint="eastAsia" w:ascii="宋体" w:hAnsi="宋体" w:eastAsia="宋体" w:cs="宋体"/>
          <w:color w:val="auto"/>
          <w:spacing w:val="4"/>
          <w:sz w:val="24"/>
          <w:szCs w:val="24"/>
          <w:highlight w:val="none"/>
        </w:rPr>
        <w:t>购需求</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”所列的所有内容进行响应，如仅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响应某一包中的部分内容，其磋商将被认定为磋商无效。</w:t>
      </w:r>
    </w:p>
    <w:p w14:paraId="56D60E6A">
      <w:pPr>
        <w:spacing w:before="64" w:line="225" w:lineRule="auto"/>
        <w:ind w:left="921" w:right="172" w:hanging="91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8.3    无论磋商文件第5章“采购需求”中</w:t>
      </w:r>
      <w:r>
        <w:rPr>
          <w:rFonts w:hint="eastAsia" w:ascii="宋体" w:hAnsi="宋体" w:eastAsia="宋体" w:cs="宋体"/>
          <w:color w:val="auto"/>
          <w:spacing w:val="4"/>
          <w:sz w:val="24"/>
          <w:szCs w:val="24"/>
          <w:highlight w:val="none"/>
        </w:rPr>
        <w:t>是否要求，供应商所投内容均应符合国家强制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性标准。</w:t>
      </w:r>
    </w:p>
    <w:p w14:paraId="79DD3A0A">
      <w:pPr>
        <w:spacing w:before="66" w:line="225" w:lineRule="auto"/>
        <w:ind w:left="934" w:right="177" w:hanging="93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8.4    除磋商文件中有特殊要求外，响应文件中所使用的计量单位，应采用中华人民共 </w:t>
      </w:r>
      <w:r>
        <w:rPr>
          <w:rFonts w:hint="eastAsia" w:ascii="宋体" w:hAnsi="宋体" w:eastAsia="宋体" w:cs="宋体"/>
          <w:color w:val="auto"/>
          <w:spacing w:val="-1"/>
          <w:sz w:val="24"/>
          <w:szCs w:val="24"/>
          <w:highlight w:val="none"/>
        </w:rPr>
        <w:t>和国法定计量单位。</w:t>
      </w:r>
    </w:p>
    <w:p w14:paraId="32C45755">
      <w:pPr>
        <w:spacing w:before="23" w:line="222" w:lineRule="auto"/>
        <w:ind w:left="4"/>
        <w:outlineLvl w:val="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9.响应文件构成</w:t>
      </w:r>
    </w:p>
    <w:p w14:paraId="189B8A5F">
      <w:pPr>
        <w:spacing w:before="48" w:line="233" w:lineRule="auto"/>
        <w:ind w:left="919" w:right="492" w:hanging="9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9.1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供应商须在响应文件递交截止时间前完成在系统上递交电子响应文件。供应商</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1"/>
          <w:sz w:val="24"/>
          <w:szCs w:val="24"/>
          <w:highlight w:val="none"/>
          <w:u w:val="single" w:color="auto"/>
        </w:rPr>
        <w:t>的</w:t>
      </w:r>
      <w:r>
        <w:rPr>
          <w:rFonts w:hint="eastAsia" w:ascii="宋体" w:hAnsi="宋体" w:eastAsia="宋体" w:cs="宋体"/>
          <w:color w:val="auto"/>
          <w:spacing w:val="66"/>
          <w:sz w:val="24"/>
          <w:szCs w:val="24"/>
          <w:highlight w:val="none"/>
          <w:u w:val="single" w:color="auto"/>
        </w:rPr>
        <w:t xml:space="preserve"> </w:t>
      </w:r>
      <w:r>
        <w:rPr>
          <w:rFonts w:hint="eastAsia" w:ascii="宋体" w:hAnsi="宋体" w:eastAsia="宋体" w:cs="宋体"/>
          <w:b/>
          <w:bCs/>
          <w:color w:val="auto"/>
          <w:spacing w:val="-1"/>
          <w:sz w:val="24"/>
          <w:szCs w:val="24"/>
          <w:highlight w:val="none"/>
          <w:u w:val="single" w:color="auto"/>
        </w:rPr>
        <w:t>电子响应文件是经过</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b/>
          <w:bCs/>
          <w:color w:val="auto"/>
          <w:spacing w:val="-1"/>
          <w:sz w:val="24"/>
          <w:szCs w:val="24"/>
          <w:highlight w:val="none"/>
          <w:u w:val="single" w:color="auto"/>
        </w:rPr>
        <w:t>CA</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b/>
          <w:bCs/>
          <w:color w:val="auto"/>
          <w:spacing w:val="-1"/>
          <w:sz w:val="24"/>
          <w:szCs w:val="24"/>
          <w:highlight w:val="none"/>
          <w:u w:val="single" w:color="auto"/>
        </w:rPr>
        <w:t>证书加密后上传提交的，任何单位或个人均无法在</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
          <w:sz w:val="24"/>
          <w:szCs w:val="24"/>
          <w:highlight w:val="none"/>
          <w:u w:val="single" w:color="auto"/>
        </w:rPr>
        <w:t>响应</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b/>
          <w:bCs/>
          <w:color w:val="auto"/>
          <w:spacing w:val="-1"/>
          <w:sz w:val="24"/>
          <w:szCs w:val="24"/>
          <w:highlight w:val="none"/>
          <w:u w:val="single" w:color="auto"/>
        </w:rPr>
        <w:t>文件递交截止(即开标时间)之前查看或篡改，不存在泄密风险。</w:t>
      </w:r>
      <w:r>
        <w:rPr>
          <w:rFonts w:hint="eastAsia" w:ascii="宋体" w:hAnsi="宋体" w:eastAsia="宋体" w:cs="宋体"/>
          <w:color w:val="auto"/>
          <w:spacing w:val="64"/>
          <w:sz w:val="24"/>
          <w:szCs w:val="24"/>
          <w:highlight w:val="none"/>
          <w:u w:val="single" w:color="auto"/>
        </w:rPr>
        <w:t xml:space="preserve"> </w:t>
      </w:r>
      <w:r>
        <w:rPr>
          <w:rFonts w:hint="eastAsia" w:ascii="宋体" w:hAnsi="宋体" w:eastAsia="宋体" w:cs="宋体"/>
          <w:b/>
          <w:bCs/>
          <w:color w:val="auto"/>
          <w:spacing w:val="-1"/>
          <w:sz w:val="24"/>
          <w:szCs w:val="24"/>
          <w:highlight w:val="none"/>
          <w:u w:val="single" w:color="auto"/>
        </w:rPr>
        <w:t>(严格按</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
          <w:sz w:val="24"/>
          <w:szCs w:val="24"/>
          <w:highlight w:val="none"/>
          <w:u w:val="single" w:color="auto"/>
        </w:rPr>
        <w:t>照政采云电子投标流程制作并上传电子响应文件)</w:t>
      </w:r>
      <w:r>
        <w:rPr>
          <w:rFonts w:hint="eastAsia" w:ascii="宋体" w:hAnsi="宋体" w:eastAsia="宋体" w:cs="宋体"/>
          <w:color w:val="auto"/>
          <w:spacing w:val="-3"/>
          <w:sz w:val="24"/>
          <w:szCs w:val="24"/>
          <w:highlight w:val="none"/>
        </w:rPr>
        <w:t>。</w:t>
      </w:r>
    </w:p>
    <w:p w14:paraId="514BC5BD">
      <w:pPr>
        <w:spacing w:before="56" w:line="224" w:lineRule="auto"/>
        <w:ind w:left="966" w:right="259" w:hanging="96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9.2    供应商应完整地按磋商文件提供的响应文件格式及要求编写响应文件，供应商应</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sz w:val="24"/>
          <w:szCs w:val="24"/>
          <w:highlight w:val="none"/>
        </w:rPr>
        <w:t>承担失误产生的任何后果。</w:t>
      </w:r>
    </w:p>
    <w:p w14:paraId="75F92A88">
      <w:pPr>
        <w:spacing w:before="37" w:line="222" w:lineRule="auto"/>
        <w:ind w:left="1027" w:right="19" w:hanging="102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9.3    上述文件应按照磋商文件规定的格式填写、签署和盖章</w:t>
      </w:r>
      <w:r>
        <w:rPr>
          <w:rFonts w:hint="eastAsia" w:ascii="宋体" w:hAnsi="宋体" w:eastAsia="宋体" w:cs="宋体"/>
          <w:color w:val="auto"/>
          <w:spacing w:val="5"/>
          <w:sz w:val="24"/>
          <w:szCs w:val="24"/>
          <w:highlight w:val="none"/>
          <w:lang w:eastAsia="zh-CN"/>
        </w:rPr>
        <w:t>。</w:t>
      </w:r>
    </w:p>
    <w:p w14:paraId="0B02A261">
      <w:pPr>
        <w:spacing w:before="11" w:line="220" w:lineRule="auto"/>
        <w:ind w:left="3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10.</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证明标的的合格性和符合磋商文件规定的响应文件</w:t>
      </w:r>
    </w:p>
    <w:p w14:paraId="373AA7AC">
      <w:pPr>
        <w:spacing w:before="63" w:line="227" w:lineRule="auto"/>
        <w:ind w:left="925" w:right="300" w:hanging="8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10.1   供应商应提交证明文件，证明其响应文件内容符合磋商文件规定。该证明文件是</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3"/>
          <w:sz w:val="24"/>
          <w:szCs w:val="24"/>
          <w:highlight w:val="none"/>
        </w:rPr>
        <w:t>响应文件的一部分。</w:t>
      </w:r>
    </w:p>
    <w:p w14:paraId="2DAEBBBF">
      <w:pPr>
        <w:spacing w:before="50" w:line="212" w:lineRule="auto"/>
        <w:ind w:left="5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10.2   上款所述的证明文件，可以</w:t>
      </w:r>
      <w:r>
        <w:rPr>
          <w:rFonts w:hint="eastAsia" w:ascii="宋体" w:hAnsi="宋体" w:eastAsia="宋体" w:cs="宋体"/>
          <w:color w:val="auto"/>
          <w:spacing w:val="6"/>
          <w:sz w:val="24"/>
          <w:szCs w:val="24"/>
          <w:highlight w:val="none"/>
        </w:rPr>
        <w:t>是文字资料、图纸和数据。</w:t>
      </w:r>
    </w:p>
    <w:p w14:paraId="45070DB9">
      <w:pPr>
        <w:spacing w:before="1" w:line="220" w:lineRule="auto"/>
        <w:ind w:left="3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10.2.1  服务需求的详细说明；</w:t>
      </w:r>
    </w:p>
    <w:p w14:paraId="23F3E0F1">
      <w:pPr>
        <w:spacing w:line="220" w:lineRule="auto"/>
        <w:rPr>
          <w:rFonts w:hint="eastAsia" w:ascii="宋体" w:hAnsi="宋体" w:eastAsia="宋体" w:cs="宋体"/>
          <w:color w:val="auto"/>
          <w:sz w:val="24"/>
          <w:szCs w:val="24"/>
          <w:highlight w:val="none"/>
        </w:rPr>
        <w:sectPr>
          <w:footerReference r:id="rId8" w:type="default"/>
          <w:pgSz w:w="11906" w:h="16840"/>
          <w:pgMar w:top="1431" w:right="1000" w:bottom="1056" w:left="1096" w:header="0" w:footer="889" w:gutter="0"/>
          <w:pgNumType w:fmt="decimal"/>
          <w:cols w:space="720" w:num="1"/>
        </w:sectPr>
      </w:pPr>
    </w:p>
    <w:p w14:paraId="011AAE5E">
      <w:pPr>
        <w:spacing w:before="69" w:line="225" w:lineRule="auto"/>
        <w:ind w:left="945" w:right="62" w:hanging="94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10.2.2  服务从买方开始使用至磋商文件规定的保质期内正常、连续地使用所必须的备件和</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专用工具清单，包括备件和专用工具的现行价格；</w:t>
      </w:r>
    </w:p>
    <w:p w14:paraId="63EEEC92">
      <w:pPr>
        <w:spacing w:before="33" w:line="225" w:lineRule="auto"/>
        <w:ind w:left="1000" w:right="62" w:hanging="9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10.2.3  对照磋商文件服务需求，逐条说明所提供工程和服务已对磋商文件的技术规格做出</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了实质性的响应，或申明与服务需求条文的偏差和例外。</w:t>
      </w:r>
    </w:p>
    <w:p w14:paraId="10A66E24">
      <w:pPr>
        <w:spacing w:before="57" w:line="219" w:lineRule="auto"/>
        <w:ind w:left="10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10.3  供应商应注意采购人在技术规格（参数）中指出的工艺、材料和设备的参照品牌</w:t>
      </w:r>
    </w:p>
    <w:p w14:paraId="2EEEBD03">
      <w:pPr>
        <w:spacing w:before="43" w:line="231" w:lineRule="auto"/>
        <w:ind w:left="845" w:right="141" w:firstLine="2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型号或分类号仅起说明作用，并没有任何限制性。供应商在磋商中可以选用替代 </w:t>
      </w:r>
      <w:r>
        <w:rPr>
          <w:rFonts w:hint="eastAsia" w:ascii="宋体" w:hAnsi="宋体" w:eastAsia="宋体" w:cs="宋体"/>
          <w:color w:val="auto"/>
          <w:spacing w:val="6"/>
          <w:sz w:val="24"/>
          <w:szCs w:val="24"/>
          <w:highlight w:val="none"/>
        </w:rPr>
        <w:t>牌号或分类号，但这些替代要实质上相当于技术规格的要求。采购</w:t>
      </w:r>
      <w:r>
        <w:rPr>
          <w:rFonts w:hint="eastAsia" w:ascii="宋体" w:hAnsi="宋体" w:eastAsia="宋体" w:cs="宋体"/>
          <w:color w:val="auto"/>
          <w:spacing w:val="5"/>
          <w:sz w:val="24"/>
          <w:szCs w:val="24"/>
          <w:highlight w:val="none"/>
        </w:rPr>
        <w:t>人、采购代理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机构承诺不以上述参照品牌型号或分类号作为评标（磋商）时判定</w:t>
      </w:r>
      <w:r>
        <w:rPr>
          <w:rFonts w:hint="eastAsia" w:ascii="宋体" w:hAnsi="宋体" w:eastAsia="宋体" w:cs="宋体"/>
          <w:color w:val="auto"/>
          <w:spacing w:val="5"/>
          <w:sz w:val="24"/>
          <w:szCs w:val="24"/>
          <w:highlight w:val="none"/>
        </w:rPr>
        <w:t>其响应是否有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效的标准。</w:t>
      </w:r>
    </w:p>
    <w:p w14:paraId="1498B75F">
      <w:pPr>
        <w:spacing w:before="21"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11.磋商报价</w:t>
      </w:r>
    </w:p>
    <w:p w14:paraId="5A6D70FA">
      <w:pPr>
        <w:spacing w:before="11" w:line="223" w:lineRule="auto"/>
        <w:ind w:left="881" w:right="79" w:hanging="86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11.1   所有响应文件均以人民币报价。供应商的磋商报价应遵守《中华人民共和国价格</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z w:val="24"/>
          <w:szCs w:val="24"/>
          <w:highlight w:val="none"/>
        </w:rPr>
        <w:t>法》。同时，根据《中华人民共和国政府采</w:t>
      </w:r>
      <w:r>
        <w:rPr>
          <w:rFonts w:hint="eastAsia" w:ascii="宋体" w:hAnsi="宋体" w:eastAsia="宋体" w:cs="宋体"/>
          <w:color w:val="auto"/>
          <w:spacing w:val="-1"/>
          <w:sz w:val="24"/>
          <w:szCs w:val="24"/>
          <w:highlight w:val="none"/>
        </w:rPr>
        <w:t>购法》第二条的规定，为保证公平竞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争，如有主体部分标的的赠与行为，其磋商将被认定为磋</w:t>
      </w:r>
      <w:r>
        <w:rPr>
          <w:rFonts w:hint="eastAsia" w:ascii="宋体" w:hAnsi="宋体" w:eastAsia="宋体" w:cs="宋体"/>
          <w:color w:val="auto"/>
          <w:spacing w:val="5"/>
          <w:sz w:val="24"/>
          <w:szCs w:val="24"/>
          <w:highlight w:val="none"/>
        </w:rPr>
        <w:t>商无效。</w:t>
      </w:r>
    </w:p>
    <w:p w14:paraId="712762C8">
      <w:pPr>
        <w:spacing w:before="5" w:line="222" w:lineRule="auto"/>
        <w:ind w:left="848" w:right="31" w:hanging="82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11.2   供应商应在标的分项报价表上标明磋商服务内容及相关服务的单价（如适用）和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3"/>
          <w:sz w:val="24"/>
          <w:szCs w:val="24"/>
          <w:highlight w:val="none"/>
        </w:rPr>
        <w:t>总价，并由法定代表人或其授权代表签署。</w:t>
      </w:r>
    </w:p>
    <w:p w14:paraId="25252292">
      <w:pPr>
        <w:spacing w:before="41" w:line="222" w:lineRule="auto"/>
        <w:ind w:left="1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11.3</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rPr>
        <w:t>采购人不接受具有附加条件的报价。</w:t>
      </w:r>
    </w:p>
    <w:p w14:paraId="28016759">
      <w:pPr>
        <w:spacing w:before="30" w:line="219" w:lineRule="auto"/>
        <w:ind w:left="1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11.4   供应商所报的各分项磋商报价在合同履行过程中是固定不变的，不得以任何理由</w:t>
      </w:r>
    </w:p>
    <w:p w14:paraId="4F03511D">
      <w:pPr>
        <w:spacing w:before="10" w:line="222" w:lineRule="auto"/>
        <w:ind w:left="89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予以变更。任何包含价格调整要求的粗上，将</w:t>
      </w:r>
      <w:r>
        <w:rPr>
          <w:rFonts w:hint="eastAsia" w:ascii="宋体" w:hAnsi="宋体" w:eastAsia="宋体" w:cs="宋体"/>
          <w:color w:val="auto"/>
          <w:spacing w:val="6"/>
          <w:sz w:val="24"/>
          <w:szCs w:val="24"/>
          <w:highlight w:val="none"/>
        </w:rPr>
        <w:t>磋商将被认定为磋商无效。</w:t>
      </w:r>
    </w:p>
    <w:p w14:paraId="708FF90B">
      <w:pPr>
        <w:spacing w:before="33" w:line="220" w:lineRule="auto"/>
        <w:ind w:left="1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11.5</w:t>
      </w:r>
      <w:r>
        <w:rPr>
          <w:rFonts w:hint="eastAsia" w:ascii="宋体" w:hAnsi="宋体" w:eastAsia="宋体" w:cs="宋体"/>
          <w:color w:val="auto"/>
          <w:spacing w:val="60"/>
          <w:sz w:val="24"/>
          <w:szCs w:val="24"/>
          <w:highlight w:val="none"/>
        </w:rPr>
        <w:t xml:space="preserve">  </w:t>
      </w:r>
      <w:r>
        <w:rPr>
          <w:rFonts w:hint="eastAsia" w:ascii="宋体" w:hAnsi="宋体" w:eastAsia="宋体" w:cs="宋体"/>
          <w:b/>
          <w:bCs/>
          <w:color w:val="auto"/>
          <w:spacing w:val="5"/>
          <w:sz w:val="24"/>
          <w:szCs w:val="24"/>
          <w:highlight w:val="none"/>
        </w:rPr>
        <w:t>竞争性磋商采用两次报价的方式：</w:t>
      </w:r>
    </w:p>
    <w:p w14:paraId="796BCE33">
      <w:pPr>
        <w:spacing w:before="36" w:line="219" w:lineRule="auto"/>
        <w:ind w:right="19"/>
        <w:jc w:val="right"/>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代理机构开启第二轮报价环节后，各供应商应尽快在政采云系统提交各自的二</w:t>
      </w:r>
    </w:p>
    <w:p w14:paraId="65800B7A">
      <w:pPr>
        <w:spacing w:before="10" w:line="223" w:lineRule="auto"/>
        <w:ind w:left="786" w:right="43" w:hanging="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轮报价，超过30分钟（自代理机构开启第二轮报价环节起计算）未提交二轮报</w:t>
      </w:r>
      <w:r>
        <w:rPr>
          <w:rFonts w:hint="eastAsia" w:ascii="宋体" w:hAnsi="宋体" w:eastAsia="宋体" w:cs="宋体"/>
          <w:b/>
          <w:bCs/>
          <w:color w:val="auto"/>
          <w:spacing w:val="5"/>
          <w:sz w:val="24"/>
          <w:szCs w:val="24"/>
          <w:highlight w:val="none"/>
        </w:rPr>
        <w:t>价的视为放弃投标</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5"/>
          <w:sz w:val="24"/>
          <w:szCs w:val="24"/>
          <w:highlight w:val="none"/>
        </w:rPr>
        <w:t>。</w:t>
      </w:r>
    </w:p>
    <w:p w14:paraId="6E404E61">
      <w:pPr>
        <w:spacing w:before="8" w:line="222" w:lineRule="auto"/>
        <w:ind w:left="923" w:right="45" w:firstLine="263"/>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特别提醒：整个开标环节需要供应商在系统确认的报价等环</w:t>
      </w:r>
      <w:r>
        <w:rPr>
          <w:rFonts w:hint="eastAsia" w:ascii="宋体" w:hAnsi="宋体" w:eastAsia="宋体" w:cs="宋体"/>
          <w:b/>
          <w:bCs/>
          <w:color w:val="auto"/>
          <w:spacing w:val="10"/>
          <w:sz w:val="24"/>
          <w:szCs w:val="24"/>
          <w:highlight w:val="none"/>
        </w:rPr>
        <w:t>节最长时限均为</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
          <w:sz w:val="24"/>
          <w:szCs w:val="24"/>
          <w:highlight w:val="none"/>
        </w:rPr>
        <w:t>30分钟</w:t>
      </w:r>
      <w:r>
        <w:rPr>
          <w:rFonts w:hint="eastAsia" w:ascii="宋体" w:hAnsi="宋体" w:eastAsia="宋体" w:cs="宋体"/>
          <w:color w:val="auto"/>
          <w:spacing w:val="-17"/>
          <w:sz w:val="24"/>
          <w:szCs w:val="24"/>
          <w:highlight w:val="none"/>
        </w:rPr>
        <w:t xml:space="preserve"> </w:t>
      </w:r>
      <w:r>
        <w:rPr>
          <w:rFonts w:hint="eastAsia" w:ascii="宋体" w:hAnsi="宋体" w:eastAsia="宋体" w:cs="宋体"/>
          <w:b/>
          <w:bCs/>
          <w:color w:val="auto"/>
          <w:spacing w:val="1"/>
          <w:sz w:val="24"/>
          <w:szCs w:val="24"/>
          <w:highlight w:val="none"/>
        </w:rPr>
        <w:t>。敬请注意</w:t>
      </w:r>
      <w:r>
        <w:rPr>
          <w:rFonts w:hint="eastAsia" w:ascii="宋体" w:hAnsi="宋体" w:eastAsia="宋体" w:cs="宋体"/>
          <w:b/>
          <w:bCs/>
          <w:color w:val="auto"/>
          <w:spacing w:val="7"/>
          <w:sz w:val="24"/>
          <w:szCs w:val="24"/>
          <w:highlight w:val="none"/>
        </w:rPr>
        <w:t>！！！</w:t>
      </w:r>
    </w:p>
    <w:p w14:paraId="3F1BACB1">
      <w:pPr>
        <w:spacing w:before="16" w:line="221"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12.磋商保证金</w:t>
      </w:r>
    </w:p>
    <w:p w14:paraId="5280B95B">
      <w:pPr>
        <w:spacing w:before="43" w:line="224" w:lineRule="auto"/>
        <w:ind w:left="789" w:right="124" w:hanging="78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12.1   供应商应提交</w:t>
      </w:r>
      <w:r>
        <w:rPr>
          <w:rFonts w:hint="eastAsia" w:ascii="宋体" w:hAnsi="宋体" w:eastAsia="宋体" w:cs="宋体"/>
          <w:b/>
          <w:bCs/>
          <w:color w:val="auto"/>
          <w:spacing w:val="5"/>
          <w:sz w:val="24"/>
          <w:szCs w:val="24"/>
          <w:highlight w:val="none"/>
          <w:u w:val="single" w:color="auto"/>
        </w:rPr>
        <w:t>供应商须知资料表</w:t>
      </w:r>
      <w:r>
        <w:rPr>
          <w:rFonts w:hint="eastAsia" w:ascii="宋体" w:hAnsi="宋体" w:eastAsia="宋体" w:cs="宋体"/>
          <w:color w:val="auto"/>
          <w:spacing w:val="5"/>
          <w:sz w:val="24"/>
          <w:szCs w:val="24"/>
          <w:highlight w:val="none"/>
        </w:rPr>
        <w:t>中规定的磋商保证金，并作为其响应文</w:t>
      </w:r>
      <w:r>
        <w:rPr>
          <w:rFonts w:hint="eastAsia" w:ascii="宋体" w:hAnsi="宋体" w:eastAsia="宋体" w:cs="宋体"/>
          <w:color w:val="auto"/>
          <w:spacing w:val="4"/>
          <w:sz w:val="24"/>
          <w:szCs w:val="24"/>
          <w:highlight w:val="none"/>
        </w:rPr>
        <w:t>件的一部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分。</w:t>
      </w:r>
    </w:p>
    <w:p w14:paraId="70E6F8B1">
      <w:pPr>
        <w:spacing w:before="31" w:line="219" w:lineRule="auto"/>
        <w:ind w:left="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12.2   供应商存在下列情形的，磋商保证金不予退还：</w:t>
      </w:r>
    </w:p>
    <w:p w14:paraId="1A981D08">
      <w:pPr>
        <w:spacing w:before="37" w:line="219" w:lineRule="auto"/>
        <w:ind w:left="85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(1)在磋商有效期内，撤销磋商的；</w:t>
      </w:r>
    </w:p>
    <w:p w14:paraId="4E3B0311">
      <w:pPr>
        <w:spacing w:before="39" w:line="222" w:lineRule="auto"/>
        <w:ind w:left="85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(2)成交后不按本须知第30条的规定与采购</w:t>
      </w:r>
      <w:r>
        <w:rPr>
          <w:rFonts w:hint="eastAsia" w:ascii="宋体" w:hAnsi="宋体" w:eastAsia="宋体" w:cs="宋体"/>
          <w:color w:val="auto"/>
          <w:spacing w:val="2"/>
          <w:sz w:val="24"/>
          <w:szCs w:val="24"/>
          <w:highlight w:val="none"/>
        </w:rPr>
        <w:t>人签订合同的；</w:t>
      </w:r>
    </w:p>
    <w:p w14:paraId="46C46289">
      <w:pPr>
        <w:spacing w:before="33" w:line="221" w:lineRule="auto"/>
        <w:ind w:left="8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(3)成交后不按本须知第31条的规定提</w:t>
      </w:r>
      <w:r>
        <w:rPr>
          <w:rFonts w:hint="eastAsia" w:ascii="宋体" w:hAnsi="宋体" w:eastAsia="宋体" w:cs="宋体"/>
          <w:color w:val="auto"/>
          <w:spacing w:val="2"/>
          <w:sz w:val="24"/>
          <w:szCs w:val="24"/>
          <w:highlight w:val="none"/>
        </w:rPr>
        <w:t>交履约保证金的；</w:t>
      </w:r>
    </w:p>
    <w:p w14:paraId="50229E37">
      <w:pPr>
        <w:spacing w:before="37" w:line="222" w:lineRule="auto"/>
        <w:ind w:left="8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(4)成交后不按本须知第32条的规定缴</w:t>
      </w:r>
      <w:r>
        <w:rPr>
          <w:rFonts w:hint="eastAsia" w:ascii="宋体" w:hAnsi="宋体" w:eastAsia="宋体" w:cs="宋体"/>
          <w:color w:val="auto"/>
          <w:spacing w:val="2"/>
          <w:sz w:val="24"/>
          <w:szCs w:val="24"/>
          <w:highlight w:val="none"/>
        </w:rPr>
        <w:t>纳成交服务费的；</w:t>
      </w:r>
    </w:p>
    <w:p w14:paraId="139DA60E">
      <w:pPr>
        <w:spacing w:before="33" w:line="219" w:lineRule="auto"/>
        <w:ind w:left="8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(5)存在其他违法违规行为的。</w:t>
      </w:r>
    </w:p>
    <w:p w14:paraId="0186930B">
      <w:pPr>
        <w:spacing w:before="58" w:line="225" w:lineRule="auto"/>
        <w:ind w:left="865" w:right="132" w:hanging="86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12.3   政府采购信用担保试点范围内的项目，接受符合财政部门规定的政府采购投标担</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保函原件。</w:t>
      </w:r>
    </w:p>
    <w:p w14:paraId="658E2B71">
      <w:pPr>
        <w:spacing w:before="65" w:line="227" w:lineRule="auto"/>
        <w:ind w:left="879" w:right="333" w:hanging="87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供应商未按本须知第12.1和12.3条规定提交磋商保证金的，其磋商资格将被认定</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7"/>
          <w:sz w:val="24"/>
          <w:szCs w:val="24"/>
          <w:highlight w:val="none"/>
        </w:rPr>
        <w:t>为磋商无效。</w:t>
      </w:r>
    </w:p>
    <w:p w14:paraId="5728362E">
      <w:pPr>
        <w:spacing w:before="35" w:line="222" w:lineRule="auto"/>
        <w:ind w:left="2"/>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12.4.1  采用电汇形式的，一般可以实时入账；</w:t>
      </w:r>
    </w:p>
    <w:p w14:paraId="781219F9">
      <w:pPr>
        <w:spacing w:before="61" w:line="237" w:lineRule="auto"/>
        <w:ind w:left="925" w:right="122" w:hanging="92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12.4.2  采用支票形式的，供应商则应充分考虑支票入账时间，以确保磋商保证金能按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时进入指定账户。根据银行信息交换和付款时间，支票从递交至实际</w:t>
      </w:r>
      <w:r>
        <w:rPr>
          <w:rFonts w:hint="eastAsia" w:ascii="宋体" w:hAnsi="宋体" w:eastAsia="宋体" w:cs="宋体"/>
          <w:color w:val="auto"/>
          <w:spacing w:val="8"/>
          <w:sz w:val="24"/>
          <w:szCs w:val="24"/>
          <w:highlight w:val="none"/>
        </w:rPr>
        <w:t>入账一般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需要4-5个工作日。如供应商未及时提交支票或支票不符合银行委</w:t>
      </w:r>
      <w:r>
        <w:rPr>
          <w:rFonts w:hint="eastAsia" w:ascii="宋体" w:hAnsi="宋体" w:eastAsia="宋体" w:cs="宋体"/>
          <w:color w:val="auto"/>
          <w:spacing w:val="5"/>
          <w:sz w:val="24"/>
          <w:szCs w:val="24"/>
          <w:highlight w:val="none"/>
        </w:rPr>
        <w:t>托收款要求(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如污损、折叠、胶装等)，导致磋商保证金不能按时进入指定账户的，将按照磋商文件的第22.2条相关规定处理。</w:t>
      </w:r>
    </w:p>
    <w:p w14:paraId="11AC4F5D">
      <w:pPr>
        <w:spacing w:before="74" w:line="225" w:lineRule="auto"/>
        <w:ind w:left="871" w:hanging="86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12.5   联合体递交响应文件的，可以由联合体中的一方或者共同提交磋商保证金。以一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方名义提交磋商保证金的，对联合体各方均具有约束力。</w:t>
      </w:r>
    </w:p>
    <w:p w14:paraId="7361B52F">
      <w:pPr>
        <w:spacing w:line="225" w:lineRule="auto"/>
        <w:rPr>
          <w:rFonts w:hint="eastAsia" w:ascii="宋体" w:hAnsi="宋体" w:eastAsia="宋体" w:cs="宋体"/>
          <w:color w:val="auto"/>
          <w:sz w:val="24"/>
          <w:szCs w:val="24"/>
          <w:highlight w:val="none"/>
        </w:rPr>
        <w:sectPr>
          <w:footerReference r:id="rId9" w:type="default"/>
          <w:pgSz w:w="11906" w:h="16840"/>
          <w:pgMar w:top="1431" w:right="1182" w:bottom="1058" w:left="1130" w:header="0" w:footer="889" w:gutter="0"/>
          <w:pgNumType w:fmt="decimal"/>
          <w:cols w:space="720" w:num="1"/>
        </w:sectPr>
      </w:pPr>
    </w:p>
    <w:p w14:paraId="00614170">
      <w:pPr>
        <w:spacing w:before="64" w:line="221" w:lineRule="auto"/>
        <w:ind w:left="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12.6</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磋商保证金的退还</w:t>
      </w:r>
    </w:p>
    <w:p w14:paraId="45C3D51A">
      <w:pPr>
        <w:spacing w:before="53" w:line="225" w:lineRule="auto"/>
        <w:ind w:left="984" w:right="340" w:hanging="9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12.6.1  成交人应在与采购人签订合同之日起5个工作日内，及时联系</w:t>
      </w:r>
      <w:r>
        <w:rPr>
          <w:rFonts w:hint="eastAsia" w:ascii="宋体" w:hAnsi="宋体" w:eastAsia="宋体" w:cs="宋体"/>
          <w:color w:val="auto"/>
          <w:sz w:val="24"/>
          <w:szCs w:val="24"/>
          <w:highlight w:val="none"/>
        </w:rPr>
        <w:t xml:space="preserve">保证金收受机构办 </w:t>
      </w:r>
      <w:r>
        <w:rPr>
          <w:rFonts w:hint="eastAsia" w:ascii="宋体" w:hAnsi="宋体" w:eastAsia="宋体" w:cs="宋体"/>
          <w:color w:val="auto"/>
          <w:spacing w:val="2"/>
          <w:sz w:val="24"/>
          <w:szCs w:val="24"/>
          <w:highlight w:val="none"/>
        </w:rPr>
        <w:t>理磋商保证金无息退还手续。</w:t>
      </w:r>
    </w:p>
    <w:p w14:paraId="095F1CE1">
      <w:pPr>
        <w:spacing w:before="67" w:line="229" w:lineRule="auto"/>
        <w:ind w:left="983" w:right="237" w:hanging="9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12.6.2  未成交供应商的磋商保证金将在成交通知书发出之日暨成交结果公告公布之日</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起5个工作日</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2"/>
          <w:sz w:val="24"/>
          <w:szCs w:val="24"/>
          <w:highlight w:val="none"/>
        </w:rPr>
        <w:t>内无息退还。供应商及时联系保证金收受机构办理退还磋</w:t>
      </w:r>
      <w:r>
        <w:rPr>
          <w:rFonts w:hint="eastAsia" w:ascii="宋体" w:hAnsi="宋体" w:eastAsia="宋体" w:cs="宋体"/>
          <w:color w:val="auto"/>
          <w:spacing w:val="1"/>
          <w:sz w:val="24"/>
          <w:szCs w:val="24"/>
          <w:highlight w:val="none"/>
        </w:rPr>
        <w:t>商保证金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手续。</w:t>
      </w:r>
    </w:p>
    <w:p w14:paraId="40ACE8F0">
      <w:pPr>
        <w:spacing w:before="36" w:line="221" w:lineRule="auto"/>
        <w:ind w:left="2"/>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12.6.3  政府采购磋商担保函不予退回。</w:t>
      </w:r>
    </w:p>
    <w:p w14:paraId="00B2CD42">
      <w:pPr>
        <w:spacing w:before="41" w:line="222"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12.7    因供应商自身原因导致无法及时退还的，采购人或采购代理机构将不承担相应责</w:t>
      </w:r>
    </w:p>
    <w:p w14:paraId="75FC44AD">
      <w:pPr>
        <w:spacing w:before="2" w:line="223" w:lineRule="auto"/>
        <w:ind w:left="99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任。</w:t>
      </w:r>
    </w:p>
    <w:p w14:paraId="31A978F8">
      <w:pPr>
        <w:spacing w:before="13"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13.磋商有效期</w:t>
      </w:r>
    </w:p>
    <w:p w14:paraId="3ADBDDB0">
      <w:pPr>
        <w:spacing w:before="19" w:line="222" w:lineRule="auto"/>
        <w:ind w:left="886" w:right="43" w:hanging="88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13.1   磋商应在</w:t>
      </w:r>
      <w:r>
        <w:rPr>
          <w:rFonts w:hint="eastAsia" w:ascii="宋体" w:hAnsi="宋体" w:eastAsia="宋体" w:cs="宋体"/>
          <w:b/>
          <w:bCs/>
          <w:color w:val="auto"/>
          <w:spacing w:val="7"/>
          <w:sz w:val="24"/>
          <w:szCs w:val="24"/>
          <w:highlight w:val="none"/>
          <w:u w:val="single" w:color="auto"/>
        </w:rPr>
        <w:t>供应商须知资料表</w:t>
      </w:r>
      <w:r>
        <w:rPr>
          <w:rFonts w:hint="eastAsia" w:ascii="宋体" w:hAnsi="宋体" w:eastAsia="宋体" w:cs="宋体"/>
          <w:color w:val="auto"/>
          <w:spacing w:val="7"/>
          <w:sz w:val="24"/>
          <w:szCs w:val="24"/>
          <w:highlight w:val="none"/>
        </w:rPr>
        <w:t>中规定时间内保持有效。磋商有效期不满足要求的响</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应，其磋商资格将被认定为磋商无效。</w:t>
      </w:r>
    </w:p>
    <w:p w14:paraId="3CE37642">
      <w:pPr>
        <w:spacing w:before="40" w:line="225" w:lineRule="auto"/>
        <w:ind w:left="855" w:right="84" w:hanging="85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13.2   为保证有充分时间签订合同，采购人或采购代理机构可根据实际情况，在原磋商</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5"/>
          <w:sz w:val="24"/>
          <w:szCs w:val="24"/>
          <w:highlight w:val="none"/>
        </w:rPr>
        <w:t>有效期截止之前，要求供应商延长响应文件的有效期。接受该要求的供应商将不</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会被要求和允许修正其磋商，且本须知中有关磋商保证金的要求须在延长的有效</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期内继续有效。供应商可以拒绝延长磋商有效期的要求，其磋商保证金将及时按</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5"/>
          <w:sz w:val="24"/>
          <w:szCs w:val="24"/>
          <w:highlight w:val="none"/>
        </w:rPr>
        <w:t>规定无息退还。上述要求和答复都应以书面形式</w:t>
      </w:r>
      <w:r>
        <w:rPr>
          <w:rFonts w:hint="eastAsia" w:ascii="宋体" w:hAnsi="宋体" w:eastAsia="宋体" w:cs="宋体"/>
          <w:color w:val="auto"/>
          <w:spacing w:val="4"/>
          <w:sz w:val="24"/>
          <w:szCs w:val="24"/>
          <w:highlight w:val="none"/>
        </w:rPr>
        <w:t>提交。</w:t>
      </w:r>
    </w:p>
    <w:p w14:paraId="41938965">
      <w:pPr>
        <w:spacing w:before="17"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14.响应文件的签署及规定</w:t>
      </w:r>
    </w:p>
    <w:p w14:paraId="04CD478F">
      <w:pPr>
        <w:spacing w:before="44" w:line="235" w:lineRule="auto"/>
        <w:ind w:left="796" w:right="38" w:hanging="797"/>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14.1   供应商应按供应商须知资料表中的规定，准备和递交响应文件正本</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13"/>
          <w:sz w:val="24"/>
          <w:szCs w:val="24"/>
          <w:highlight w:val="none"/>
        </w:rPr>
        <w:t>、副本</w:t>
      </w:r>
      <w:r>
        <w:rPr>
          <w:rFonts w:hint="eastAsia" w:ascii="宋体" w:hAnsi="宋体" w:eastAsia="宋体" w:cs="宋体"/>
          <w:color w:val="auto"/>
          <w:spacing w:val="12"/>
          <w:sz w:val="24"/>
          <w:szCs w:val="24"/>
          <w:highlight w:val="none"/>
        </w:rPr>
        <w:t>和电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子文档,每份响应文件封皮须清楚地标明“正本”或“副本”。若正本</w:t>
      </w:r>
      <w:r>
        <w:rPr>
          <w:rFonts w:hint="eastAsia" w:ascii="宋体" w:hAnsi="宋体" w:eastAsia="宋体" w:cs="宋体"/>
          <w:color w:val="auto"/>
          <w:spacing w:val="2"/>
          <w:sz w:val="24"/>
          <w:szCs w:val="24"/>
          <w:highlight w:val="none"/>
        </w:rPr>
        <w:t>和副</w:t>
      </w:r>
      <w:r>
        <w:rPr>
          <w:rFonts w:hint="eastAsia" w:ascii="宋体" w:hAnsi="宋体" w:eastAsia="宋体" w:cs="宋体"/>
          <w:color w:val="auto"/>
          <w:spacing w:val="-4"/>
          <w:sz w:val="24"/>
          <w:szCs w:val="24"/>
          <w:highlight w:val="none"/>
        </w:rPr>
        <w:t>本不符，以正本为准。</w:t>
      </w:r>
    </w:p>
    <w:p w14:paraId="48344955">
      <w:pPr>
        <w:spacing w:before="55" w:line="232" w:lineRule="auto"/>
        <w:ind w:left="798" w:right="35" w:hanging="798"/>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14.2   响应文件的正本需打印或用不褪色墨水书写</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3"/>
          <w:sz w:val="24"/>
          <w:szCs w:val="24"/>
          <w:highlight w:val="none"/>
        </w:rPr>
        <w:t>，并由投供应商的法定代表人或其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3"/>
          <w:sz w:val="24"/>
          <w:szCs w:val="24"/>
          <w:highlight w:val="none"/>
        </w:rPr>
        <w:t>委托代 理人按磋商文件规定在响应文件上签字并加盖单位印章</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3"/>
          <w:sz w:val="24"/>
          <w:szCs w:val="24"/>
          <w:highlight w:val="none"/>
        </w:rPr>
        <w:t>。委托代理人</w:t>
      </w:r>
    </w:p>
    <w:p w14:paraId="7B82BF7C">
      <w:pPr>
        <w:spacing w:before="34" w:line="237" w:lineRule="auto"/>
        <w:ind w:left="788" w:right="14"/>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须持有书面的“法定代表人授权委托书”，并将其附在响应文件中</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0"/>
          <w:sz w:val="24"/>
          <w:szCs w:val="24"/>
          <w:highlight w:val="none"/>
        </w:rPr>
        <w:t>。如对响</w:t>
      </w:r>
      <w:r>
        <w:rPr>
          <w:rFonts w:hint="eastAsia" w:ascii="宋体" w:hAnsi="宋体" w:eastAsia="宋体" w:cs="宋体"/>
          <w:color w:val="auto"/>
          <w:spacing w:val="14"/>
          <w:sz w:val="24"/>
          <w:szCs w:val="24"/>
          <w:highlight w:val="none"/>
        </w:rPr>
        <w:t>应文件进行了修改，则应由供应商的法定代表人或经委托代理人在</w:t>
      </w:r>
      <w:r>
        <w:rPr>
          <w:rFonts w:hint="eastAsia" w:ascii="宋体" w:hAnsi="宋体" w:eastAsia="宋体" w:cs="宋体"/>
          <w:color w:val="auto"/>
          <w:spacing w:val="13"/>
          <w:sz w:val="24"/>
          <w:szCs w:val="24"/>
          <w:highlight w:val="none"/>
        </w:rPr>
        <w:t>每一修改处</w:t>
      </w:r>
      <w:r>
        <w:rPr>
          <w:rFonts w:hint="eastAsia" w:ascii="宋体" w:hAnsi="宋体" w:eastAsia="宋体" w:cs="宋体"/>
          <w:color w:val="auto"/>
          <w:spacing w:val="9"/>
          <w:sz w:val="24"/>
          <w:szCs w:val="24"/>
          <w:highlight w:val="none"/>
        </w:rPr>
        <w:t>签字</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9"/>
          <w:sz w:val="24"/>
          <w:szCs w:val="24"/>
          <w:highlight w:val="none"/>
        </w:rPr>
        <w:t>。响应文件的副本可采用正本的复印件。</w:t>
      </w:r>
    </w:p>
    <w:p w14:paraId="5C00CEC8">
      <w:pPr>
        <w:spacing w:before="38" w:line="226" w:lineRule="auto"/>
        <w:ind w:left="525" w:right="124" w:hanging="525"/>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14.3   所有响应文件采用不可拆装的胶订方式装订，否则其磋商资格将被认定为磋商</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无效</w:t>
      </w:r>
      <w:r>
        <w:rPr>
          <w:rFonts w:hint="eastAsia" w:ascii="宋体" w:hAnsi="宋体" w:eastAsia="宋体" w:cs="宋体"/>
          <w:color w:val="auto"/>
          <w:spacing w:val="-3"/>
          <w:position w:val="1"/>
          <w:sz w:val="24"/>
          <w:szCs w:val="24"/>
          <w:highlight w:val="none"/>
        </w:rPr>
        <w:t>。</w:t>
      </w:r>
    </w:p>
    <w:p w14:paraId="38EC0422">
      <w:pPr>
        <w:spacing w:before="22"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14.4   响应文件因字迹潦草</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2"/>
          <w:sz w:val="24"/>
          <w:szCs w:val="24"/>
          <w:highlight w:val="none"/>
        </w:rPr>
        <w:t>、表达不清或装订不</w:t>
      </w:r>
      <w:r>
        <w:rPr>
          <w:rFonts w:hint="eastAsia" w:ascii="宋体" w:hAnsi="宋体" w:eastAsia="宋体" w:cs="宋体"/>
          <w:color w:val="auto"/>
          <w:spacing w:val="11"/>
          <w:sz w:val="24"/>
          <w:szCs w:val="24"/>
          <w:highlight w:val="none"/>
        </w:rPr>
        <w:t>当所引起的后果由供应商负责。</w:t>
      </w:r>
    </w:p>
    <w:p w14:paraId="6C9718B1">
      <w:pPr>
        <w:spacing w:before="72" w:line="223" w:lineRule="auto"/>
        <w:ind w:left="3697"/>
        <w:outlineLvl w:val="2"/>
        <w:rPr>
          <w:rFonts w:hint="eastAsia" w:ascii="宋体" w:hAnsi="宋体" w:eastAsia="宋体" w:cs="宋体"/>
          <w:color w:val="auto"/>
          <w:sz w:val="28"/>
          <w:szCs w:val="28"/>
          <w:highlight w:val="none"/>
        </w:rPr>
      </w:pPr>
      <w:bookmarkStart w:id="37" w:name="bookmark22"/>
      <w:bookmarkEnd w:id="37"/>
      <w:r>
        <w:rPr>
          <w:rFonts w:hint="eastAsia" w:ascii="宋体" w:hAnsi="宋体" w:eastAsia="宋体" w:cs="宋体"/>
          <w:color w:val="auto"/>
          <w:spacing w:val="-5"/>
          <w:sz w:val="28"/>
          <w:szCs w:val="28"/>
          <w:highlight w:val="none"/>
        </w:rPr>
        <w:t>四、响应文件的递交</w:t>
      </w:r>
    </w:p>
    <w:p w14:paraId="4A0DD365">
      <w:pPr>
        <w:spacing w:before="74"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15.响应文件的密封和标记</w:t>
      </w:r>
    </w:p>
    <w:p w14:paraId="63D3095B">
      <w:pPr>
        <w:spacing w:before="34" w:line="237" w:lineRule="auto"/>
        <w:ind w:left="268" w:right="14" w:hanging="268" w:hangingChars="10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15.1 供应商应完整地按磋商文件提供的响应文件格式及要求编写响应文件，供应商须在投标截止时间前完成在新疆政采云平台</w:t>
      </w:r>
      <w:r>
        <w:rPr>
          <w:rFonts w:hint="eastAsia" w:ascii="宋体" w:hAnsi="宋体" w:eastAsia="宋体" w:cs="宋体"/>
          <w:color w:val="auto"/>
          <w:spacing w:val="14"/>
          <w:sz w:val="24"/>
          <w:szCs w:val="24"/>
          <w:highlight w:val="none"/>
        </w:rPr>
        <w:fldChar w:fldCharType="begin"/>
      </w:r>
      <w:r>
        <w:rPr>
          <w:rFonts w:hint="eastAsia" w:ascii="宋体" w:hAnsi="宋体" w:eastAsia="宋体" w:cs="宋体"/>
          <w:color w:val="auto"/>
          <w:spacing w:val="14"/>
          <w:sz w:val="24"/>
          <w:szCs w:val="24"/>
          <w:highlight w:val="none"/>
        </w:rPr>
        <w:instrText xml:space="preserve"> HYPERLINK "https://www.zcygov.cn" </w:instrText>
      </w:r>
      <w:r>
        <w:rPr>
          <w:rFonts w:hint="eastAsia" w:ascii="宋体" w:hAnsi="宋体" w:eastAsia="宋体" w:cs="宋体"/>
          <w:color w:val="auto"/>
          <w:spacing w:val="14"/>
          <w:sz w:val="24"/>
          <w:szCs w:val="24"/>
          <w:highlight w:val="none"/>
        </w:rPr>
        <w:fldChar w:fldCharType="separate"/>
      </w:r>
      <w:r>
        <w:rPr>
          <w:rFonts w:hint="eastAsia" w:ascii="宋体" w:hAnsi="宋体" w:eastAsia="宋体" w:cs="宋体"/>
          <w:color w:val="auto"/>
          <w:spacing w:val="14"/>
          <w:sz w:val="24"/>
          <w:szCs w:val="24"/>
          <w:highlight w:val="none"/>
        </w:rPr>
        <w:t>https://www.zcygov.cn</w:t>
      </w:r>
      <w:r>
        <w:rPr>
          <w:rFonts w:hint="eastAsia" w:ascii="宋体" w:hAnsi="宋体" w:eastAsia="宋体" w:cs="宋体"/>
          <w:color w:val="auto"/>
          <w:spacing w:val="14"/>
          <w:sz w:val="24"/>
          <w:szCs w:val="24"/>
          <w:highlight w:val="none"/>
        </w:rPr>
        <w:fldChar w:fldCharType="end"/>
      </w:r>
      <w:r>
        <w:rPr>
          <w:rFonts w:hint="eastAsia" w:ascii="宋体" w:hAnsi="宋体" w:eastAsia="宋体" w:cs="宋体"/>
          <w:color w:val="auto"/>
          <w:spacing w:val="14"/>
          <w:sz w:val="24"/>
          <w:szCs w:val="24"/>
          <w:highlight w:val="none"/>
        </w:rPr>
        <w:t>系统上递交电子响应文件。供应商的电子响应文件是经过CA证书加密后上传提交的，任何单位或个人均无法在投标截止时间之前查看或篡改，不存在泄密风险。（严格按照政采云电子投标流程制作并上传电子响应文件）</w:t>
      </w:r>
    </w:p>
    <w:p w14:paraId="26F0894F">
      <w:pPr>
        <w:pStyle w:val="9"/>
        <w:spacing w:before="22" w:line="220" w:lineRule="auto"/>
        <w:ind w:left="464" w:right="127" w:hanging="464"/>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15.2</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2"/>
          <w:sz w:val="24"/>
          <w:szCs w:val="24"/>
          <w:highlight w:val="none"/>
        </w:rPr>
        <w:t>供应商因自身原因导致电子响应文件无法导入电子评标系统的</w:t>
      </w:r>
      <w:r>
        <w:rPr>
          <w:rFonts w:hint="eastAsia" w:ascii="宋体" w:hAnsi="宋体" w:eastAsia="宋体" w:cs="宋体"/>
          <w:b/>
          <w:bCs/>
          <w:color w:val="auto"/>
          <w:spacing w:val="-3"/>
          <w:sz w:val="24"/>
          <w:szCs w:val="24"/>
          <w:highlight w:val="none"/>
        </w:rPr>
        <w:t>，该响应文件视为无效</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7"/>
          <w:sz w:val="24"/>
          <w:szCs w:val="24"/>
          <w:highlight w:val="none"/>
        </w:rPr>
        <w:t>文件。</w:t>
      </w:r>
    </w:p>
    <w:p w14:paraId="3B226622">
      <w:pPr>
        <w:pStyle w:val="9"/>
        <w:spacing w:before="18" w:line="216" w:lineRule="auto"/>
        <w:ind w:left="5"/>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15.3电子响应文件具有法律效力,与其他形式的响应文件在内容和格式</w:t>
      </w:r>
      <w:r>
        <w:rPr>
          <w:rFonts w:hint="eastAsia" w:ascii="宋体" w:hAnsi="宋体" w:eastAsia="宋体" w:cs="宋体"/>
          <w:b/>
          <w:bCs/>
          <w:color w:val="auto"/>
          <w:spacing w:val="-4"/>
          <w:sz w:val="24"/>
          <w:szCs w:val="24"/>
          <w:highlight w:val="none"/>
        </w:rPr>
        <w:t>上等同，若响应文</w:t>
      </w:r>
    </w:p>
    <w:p w14:paraId="1F453F36">
      <w:pPr>
        <w:pStyle w:val="9"/>
        <w:spacing w:before="6" w:line="219" w:lineRule="auto"/>
        <w:ind w:left="46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件与磋商文件要求不一致，其内容影响成交结果时，责任由供应商自行承担。</w:t>
      </w:r>
    </w:p>
    <w:p w14:paraId="60FF8B48">
      <w:pPr>
        <w:spacing w:before="19"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16.磋商截止</w:t>
      </w:r>
    </w:p>
    <w:p w14:paraId="2DF92848">
      <w:pPr>
        <w:spacing w:before="17" w:line="224" w:lineRule="auto"/>
        <w:ind w:left="896" w:right="38" w:hanging="89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16.1   供应商应在</w:t>
      </w:r>
      <w:r>
        <w:rPr>
          <w:rFonts w:hint="eastAsia" w:ascii="宋体" w:hAnsi="宋体" w:eastAsia="宋体" w:cs="宋体"/>
          <w:b/>
          <w:bCs/>
          <w:color w:val="auto"/>
          <w:spacing w:val="8"/>
          <w:sz w:val="24"/>
          <w:szCs w:val="24"/>
          <w:highlight w:val="none"/>
          <w:u w:val="single" w:color="auto"/>
        </w:rPr>
        <w:t>供应商须知资料表</w:t>
      </w:r>
      <w:r>
        <w:rPr>
          <w:rFonts w:hint="eastAsia" w:ascii="宋体" w:hAnsi="宋体" w:eastAsia="宋体" w:cs="宋体"/>
          <w:b/>
          <w:bCs/>
          <w:color w:val="auto"/>
          <w:spacing w:val="7"/>
          <w:sz w:val="24"/>
          <w:szCs w:val="24"/>
          <w:highlight w:val="none"/>
          <w:u w:val="single" w:color="auto"/>
        </w:rPr>
        <w:t>中</w:t>
      </w:r>
      <w:r>
        <w:rPr>
          <w:rFonts w:hint="eastAsia" w:ascii="宋体" w:hAnsi="宋体" w:eastAsia="宋体" w:cs="宋体"/>
          <w:color w:val="auto"/>
          <w:spacing w:val="7"/>
          <w:sz w:val="24"/>
          <w:szCs w:val="24"/>
          <w:highlight w:val="none"/>
        </w:rPr>
        <w:t>规定的截止时间前，将响应文件递交到磋商公告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中规定的地点。</w:t>
      </w:r>
    </w:p>
    <w:p w14:paraId="13439644">
      <w:pPr>
        <w:spacing w:line="224" w:lineRule="auto"/>
        <w:rPr>
          <w:rFonts w:hint="eastAsia" w:ascii="宋体" w:hAnsi="宋体" w:eastAsia="宋体" w:cs="宋体"/>
          <w:color w:val="auto"/>
          <w:sz w:val="24"/>
          <w:szCs w:val="24"/>
          <w:highlight w:val="none"/>
        </w:rPr>
        <w:sectPr>
          <w:footerReference r:id="rId10" w:type="default"/>
          <w:pgSz w:w="11906" w:h="16840"/>
          <w:pgMar w:top="1431" w:right="1161" w:bottom="1056" w:left="1125" w:header="0" w:footer="888" w:gutter="0"/>
          <w:pgNumType w:fmt="decimal"/>
          <w:cols w:space="720" w:num="1"/>
        </w:sectPr>
      </w:pPr>
    </w:p>
    <w:p w14:paraId="3B9DF767">
      <w:pPr>
        <w:spacing w:before="49" w:line="219" w:lineRule="auto"/>
        <w:ind w:left="27"/>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16.2   采购人和采购代理机构有权按本须知的规定，</w:t>
      </w:r>
      <w:r>
        <w:rPr>
          <w:rFonts w:hint="eastAsia" w:ascii="宋体" w:hAnsi="宋体" w:eastAsia="宋体" w:cs="宋体"/>
          <w:color w:val="auto"/>
          <w:spacing w:val="4"/>
          <w:sz w:val="24"/>
          <w:szCs w:val="24"/>
          <w:highlight w:val="none"/>
        </w:rPr>
        <w:t>延迟磋商截止时间。在此情况下，</w:t>
      </w:r>
    </w:p>
    <w:p w14:paraId="4C95A8CA">
      <w:pPr>
        <w:spacing w:before="2" w:line="222" w:lineRule="auto"/>
        <w:ind w:left="23" w:right="79" w:hanging="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采购人、采购代理机构和供应商受响应文件递交截止时间制约的所有权利和义务均</w:t>
      </w:r>
      <w:r>
        <w:rPr>
          <w:rFonts w:hint="eastAsia" w:ascii="宋体" w:hAnsi="宋体" w:eastAsia="宋体" w:cs="宋体"/>
          <w:color w:val="auto"/>
          <w:spacing w:val="4"/>
          <w:sz w:val="24"/>
          <w:szCs w:val="24"/>
          <w:highlight w:val="none"/>
        </w:rPr>
        <w:t>应延长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至新的截止时间。</w:t>
      </w:r>
    </w:p>
    <w:p w14:paraId="159AB798">
      <w:pPr>
        <w:spacing w:before="47" w:line="222" w:lineRule="auto"/>
        <w:ind w:left="27"/>
        <w:outlineLvl w:val="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17.响应文件的接收、修改、撤回与解密</w:t>
      </w:r>
    </w:p>
    <w:p w14:paraId="50639355">
      <w:pPr>
        <w:spacing w:before="68" w:line="234" w:lineRule="auto"/>
        <w:ind w:left="624" w:right="53" w:hanging="60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17.1</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6"/>
          <w:sz w:val="24"/>
          <w:szCs w:val="24"/>
          <w:highlight w:val="none"/>
        </w:rPr>
        <w:t>在响应文件提交截止时间前，供应商须将电子响应文件成功完整上传到政采云平台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 xml:space="preserve">项目采购系统。时间以政采云平台项目采购系统服务器从中国科学院国家授时中心 </w:t>
      </w:r>
      <w:r>
        <w:rPr>
          <w:rFonts w:hint="eastAsia" w:ascii="宋体" w:hAnsi="宋体" w:eastAsia="宋体" w:cs="宋体"/>
          <w:color w:val="auto"/>
          <w:spacing w:val="9"/>
          <w:sz w:val="24"/>
          <w:szCs w:val="24"/>
          <w:highlight w:val="none"/>
        </w:rPr>
        <w:t>取得的北京时间为准，响应截止时间结束后，系统将不允许供应商上传响应文件，</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6"/>
          <w:sz w:val="24"/>
          <w:szCs w:val="24"/>
          <w:highlight w:val="none"/>
        </w:rPr>
        <w:t>已上传响应文件但未完成传输的文件系统将拒绝接收。</w:t>
      </w:r>
    </w:p>
    <w:p w14:paraId="675F1535">
      <w:pPr>
        <w:spacing w:before="63" w:line="222" w:lineRule="auto"/>
        <w:ind w:left="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17.2</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6"/>
          <w:sz w:val="24"/>
          <w:szCs w:val="24"/>
          <w:highlight w:val="none"/>
        </w:rPr>
        <w:t>代理机构对因不可抗力事件造成的响应文件的损坏</w:t>
      </w:r>
      <w:r>
        <w:rPr>
          <w:rFonts w:hint="eastAsia" w:ascii="宋体" w:hAnsi="宋体" w:eastAsia="宋体" w:cs="宋体"/>
          <w:color w:val="auto"/>
          <w:spacing w:val="5"/>
          <w:sz w:val="24"/>
          <w:szCs w:val="24"/>
          <w:highlight w:val="none"/>
        </w:rPr>
        <w:t>、丢失的，不承担责任。</w:t>
      </w:r>
    </w:p>
    <w:p w14:paraId="3F2063BB">
      <w:pPr>
        <w:spacing w:before="59" w:line="222" w:lineRule="auto"/>
        <w:ind w:left="1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17.3</w:t>
      </w:r>
      <w:r>
        <w:rPr>
          <w:rFonts w:hint="eastAsia" w:ascii="宋体" w:hAnsi="宋体" w:eastAsia="宋体" w:cs="宋体"/>
          <w:color w:val="auto"/>
          <w:spacing w:val="121"/>
          <w:sz w:val="24"/>
          <w:szCs w:val="24"/>
          <w:highlight w:val="none"/>
        </w:rPr>
        <w:t xml:space="preserve"> </w:t>
      </w:r>
      <w:r>
        <w:rPr>
          <w:rFonts w:hint="eastAsia" w:ascii="宋体" w:hAnsi="宋体" w:eastAsia="宋体" w:cs="宋体"/>
          <w:color w:val="auto"/>
          <w:spacing w:val="4"/>
          <w:sz w:val="24"/>
          <w:szCs w:val="24"/>
          <w:highlight w:val="none"/>
        </w:rPr>
        <w:t>出现下述情形之一，属于未成功提交响应文件，按磋商无效处理：</w:t>
      </w:r>
    </w:p>
    <w:p w14:paraId="1A7C959A">
      <w:pPr>
        <w:spacing w:before="57" w:line="222" w:lineRule="auto"/>
        <w:ind w:left="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1"/>
          <w:sz w:val="24"/>
          <w:szCs w:val="24"/>
          <w:highlight w:val="none"/>
        </w:rPr>
        <w:t>至提交响应文件截止时间，响应文件未完整上传的。</w:t>
      </w:r>
    </w:p>
    <w:p w14:paraId="61ECA896">
      <w:pPr>
        <w:spacing w:before="69" w:line="227" w:lineRule="auto"/>
        <w:ind w:left="556" w:right="170" w:hanging="48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5"/>
          <w:sz w:val="24"/>
          <w:szCs w:val="24"/>
          <w:highlight w:val="none"/>
        </w:rPr>
        <w:t>响应文件未按投标格式中注明需签字盖章的要求进行签名(含电子签名)和加盖电子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印章，或签名(含电子签名)或电子印章不完整的。</w:t>
      </w:r>
    </w:p>
    <w:p w14:paraId="34206297">
      <w:pPr>
        <w:spacing w:before="63" w:line="222" w:lineRule="auto"/>
        <w:ind w:left="6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2"/>
          <w:sz w:val="24"/>
          <w:szCs w:val="24"/>
          <w:highlight w:val="none"/>
        </w:rPr>
        <w:t>响应文件损坏或格式不正确的。</w:t>
      </w:r>
    </w:p>
    <w:p w14:paraId="24D6BBD6">
      <w:pPr>
        <w:spacing w:before="72" w:line="231" w:lineRule="auto"/>
        <w:ind w:left="652" w:right="305" w:hanging="63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17.4</w:t>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6"/>
          <w:sz w:val="24"/>
          <w:szCs w:val="24"/>
          <w:highlight w:val="none"/>
        </w:rPr>
        <w:t>在提交响应文件截止时间前，供应商可以修改或撤回未解密的电子响应文件，并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于提交响应文件截止时间前将修改后重新生成的电子响应文件上传至政采云平台</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项目采购系统，到达响应文件提交截止时间后，</w:t>
      </w:r>
      <w:r>
        <w:rPr>
          <w:rFonts w:hint="eastAsia" w:ascii="宋体" w:hAnsi="宋体" w:eastAsia="宋体" w:cs="宋体"/>
          <w:color w:val="auto"/>
          <w:spacing w:val="7"/>
          <w:sz w:val="24"/>
          <w:szCs w:val="24"/>
          <w:highlight w:val="none"/>
        </w:rPr>
        <w:t>将不允许修改或撤回。</w:t>
      </w:r>
    </w:p>
    <w:p w14:paraId="04072D09">
      <w:pPr>
        <w:spacing w:before="63" w:line="219" w:lineRule="auto"/>
        <w:ind w:left="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17.5</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6"/>
          <w:sz w:val="24"/>
          <w:szCs w:val="24"/>
          <w:highlight w:val="none"/>
        </w:rPr>
        <w:t>在提交响应文件截止时间后，供应商不得补充</w:t>
      </w:r>
      <w:r>
        <w:rPr>
          <w:rFonts w:hint="eastAsia" w:ascii="宋体" w:hAnsi="宋体" w:eastAsia="宋体" w:cs="宋体"/>
          <w:color w:val="auto"/>
          <w:spacing w:val="5"/>
          <w:sz w:val="24"/>
          <w:szCs w:val="24"/>
          <w:highlight w:val="none"/>
        </w:rPr>
        <w:t>、修改和更换响应文件。</w:t>
      </w:r>
    </w:p>
    <w:p w14:paraId="1F9742F4">
      <w:pPr>
        <w:spacing w:before="70" w:line="219" w:lineRule="auto"/>
        <w:ind w:left="1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17.6</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6"/>
          <w:sz w:val="24"/>
          <w:szCs w:val="24"/>
          <w:highlight w:val="none"/>
        </w:rPr>
        <w:t>到达开标时间后，供应商需使用上传响应文件的同一数字证书解密，供应商须在采</w:t>
      </w:r>
    </w:p>
    <w:p w14:paraId="60A77076">
      <w:pPr>
        <w:spacing w:before="12" w:line="222" w:lineRule="auto"/>
        <w:ind w:left="48" w:right="43" w:hanging="4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购代理机构规定的时间内完成响应文件解密(解密时</w:t>
      </w:r>
      <w:r>
        <w:rPr>
          <w:rFonts w:hint="eastAsia" w:ascii="宋体" w:hAnsi="宋体" w:eastAsia="宋体" w:cs="宋体"/>
          <w:color w:val="auto"/>
          <w:spacing w:val="4"/>
          <w:sz w:val="24"/>
          <w:szCs w:val="24"/>
          <w:highlight w:val="none"/>
        </w:rPr>
        <w:t>长为 30分钟)，供应商因非系统原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因导致的逾期未解密响应文件，将作磋商无效处理。</w:t>
      </w:r>
    </w:p>
    <w:p w14:paraId="0D727FC3">
      <w:pPr>
        <w:spacing w:line="324" w:lineRule="auto"/>
        <w:rPr>
          <w:rFonts w:hint="eastAsia" w:ascii="宋体" w:hAnsi="宋体" w:eastAsia="宋体" w:cs="宋体"/>
          <w:color w:val="auto"/>
          <w:sz w:val="21"/>
          <w:highlight w:val="none"/>
        </w:rPr>
      </w:pPr>
    </w:p>
    <w:p w14:paraId="601C6566">
      <w:pPr>
        <w:spacing w:before="92" w:line="223" w:lineRule="auto"/>
        <w:ind w:left="3110"/>
        <w:outlineLvl w:val="2"/>
        <w:rPr>
          <w:rFonts w:hint="eastAsia" w:ascii="宋体" w:hAnsi="宋体" w:eastAsia="宋体" w:cs="宋体"/>
          <w:color w:val="auto"/>
          <w:sz w:val="28"/>
          <w:szCs w:val="28"/>
          <w:highlight w:val="none"/>
        </w:rPr>
      </w:pPr>
      <w:bookmarkStart w:id="38" w:name="bookmark24"/>
      <w:bookmarkEnd w:id="38"/>
      <w:r>
        <w:rPr>
          <w:rFonts w:hint="eastAsia" w:ascii="宋体" w:hAnsi="宋体" w:eastAsia="宋体" w:cs="宋体"/>
          <w:b/>
          <w:bCs/>
          <w:color w:val="auto"/>
          <w:spacing w:val="-7"/>
          <w:sz w:val="28"/>
          <w:szCs w:val="28"/>
          <w:highlight w:val="none"/>
        </w:rPr>
        <w:t>五</w:t>
      </w:r>
      <w:r>
        <w:rPr>
          <w:rFonts w:hint="eastAsia" w:ascii="宋体" w:hAnsi="宋体" w:eastAsia="宋体" w:cs="宋体"/>
          <w:color w:val="auto"/>
          <w:spacing w:val="12"/>
          <w:sz w:val="28"/>
          <w:szCs w:val="28"/>
          <w:highlight w:val="none"/>
        </w:rPr>
        <w:t xml:space="preserve">  </w:t>
      </w:r>
      <w:r>
        <w:rPr>
          <w:rFonts w:hint="eastAsia" w:ascii="宋体" w:hAnsi="宋体" w:eastAsia="宋体" w:cs="宋体"/>
          <w:b/>
          <w:bCs/>
          <w:color w:val="auto"/>
          <w:spacing w:val="-7"/>
          <w:sz w:val="28"/>
          <w:szCs w:val="28"/>
          <w:highlight w:val="none"/>
        </w:rPr>
        <w:t>磋商开启及评审</w:t>
      </w:r>
    </w:p>
    <w:p w14:paraId="01B5162A">
      <w:pPr>
        <w:spacing w:before="9" w:line="222" w:lineRule="auto"/>
        <w:ind w:left="10"/>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18.开标</w:t>
      </w:r>
    </w:p>
    <w:p w14:paraId="1045A930">
      <w:pPr>
        <w:spacing w:before="53" w:line="227" w:lineRule="auto"/>
        <w:ind w:left="903" w:right="362" w:hanging="86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18.1   采购人和采购代理机构将按</w:t>
      </w:r>
      <w:r>
        <w:rPr>
          <w:rFonts w:hint="eastAsia" w:ascii="宋体" w:hAnsi="宋体" w:eastAsia="宋体" w:cs="宋体"/>
          <w:b/>
          <w:bCs/>
          <w:color w:val="auto"/>
          <w:spacing w:val="6"/>
          <w:sz w:val="24"/>
          <w:szCs w:val="24"/>
          <w:highlight w:val="none"/>
          <w:u w:val="single" w:color="auto"/>
        </w:rPr>
        <w:t>供应商须知资料表</w:t>
      </w:r>
      <w:r>
        <w:rPr>
          <w:rFonts w:hint="eastAsia" w:ascii="宋体" w:hAnsi="宋体" w:eastAsia="宋体" w:cs="宋体"/>
          <w:color w:val="auto"/>
          <w:spacing w:val="6"/>
          <w:sz w:val="24"/>
          <w:szCs w:val="24"/>
          <w:highlight w:val="none"/>
        </w:rPr>
        <w:t>中</w:t>
      </w:r>
      <w:r>
        <w:rPr>
          <w:rFonts w:hint="eastAsia" w:ascii="宋体" w:hAnsi="宋体" w:eastAsia="宋体" w:cs="宋体"/>
          <w:color w:val="auto"/>
          <w:spacing w:val="5"/>
          <w:sz w:val="24"/>
          <w:szCs w:val="24"/>
          <w:highlight w:val="none"/>
        </w:rPr>
        <w:t>规定的磋商开启时间和地点组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织公开磋商。</w:t>
      </w:r>
    </w:p>
    <w:p w14:paraId="2D79807A">
      <w:pPr>
        <w:spacing w:before="53" w:line="219" w:lineRule="auto"/>
        <w:ind w:left="85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在线签收响应文件供应商不足3家的，不得磋商开启。</w:t>
      </w:r>
    </w:p>
    <w:p w14:paraId="7AFE9820">
      <w:pPr>
        <w:spacing w:before="60" w:line="222" w:lineRule="auto"/>
        <w:ind w:left="3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18.2   供应商应当按照本采购文件载明的时间和模式等要求参加磋商会议。磋商</w:t>
      </w:r>
      <w:r>
        <w:rPr>
          <w:rFonts w:hint="eastAsia" w:ascii="宋体" w:hAnsi="宋体" w:eastAsia="宋体" w:cs="宋体"/>
          <w:color w:val="auto"/>
          <w:spacing w:val="5"/>
          <w:sz w:val="24"/>
          <w:szCs w:val="24"/>
          <w:highlight w:val="none"/>
        </w:rPr>
        <w:t>时，</w:t>
      </w:r>
    </w:p>
    <w:p w14:paraId="7EBBD8AD">
      <w:pPr>
        <w:spacing w:before="31" w:line="234" w:lineRule="auto"/>
        <w:ind w:left="896" w:right="228"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供应商应当使用上传本项目</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z w:val="24"/>
          <w:szCs w:val="24"/>
          <w:highlight w:val="none"/>
        </w:rPr>
        <w:t>(采购包)</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z w:val="24"/>
          <w:szCs w:val="24"/>
          <w:highlight w:val="none"/>
        </w:rPr>
        <w:t xml:space="preserve">电子响应文件时加密所用数字证书在开  </w:t>
      </w:r>
      <w:r>
        <w:rPr>
          <w:rFonts w:hint="eastAsia" w:ascii="宋体" w:hAnsi="宋体" w:eastAsia="宋体" w:cs="宋体"/>
          <w:color w:val="auto"/>
          <w:spacing w:val="6"/>
          <w:sz w:val="24"/>
          <w:szCs w:val="24"/>
          <w:highlight w:val="none"/>
        </w:rPr>
        <w:t>始解密后按照代理机构规定的时间内完成电子响应文件的解密，如遇不可抗力</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6"/>
          <w:sz w:val="24"/>
          <w:szCs w:val="24"/>
          <w:highlight w:val="none"/>
        </w:rPr>
        <w:t>等其他特殊情况，采购代理机构可视情况延长解密时间。供应商未携带数字证</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6"/>
          <w:sz w:val="24"/>
          <w:szCs w:val="24"/>
          <w:highlight w:val="none"/>
        </w:rPr>
        <w:t>书或其他非系统原因导致的在规定时间内未解密响应文件，</w:t>
      </w:r>
      <w:r>
        <w:rPr>
          <w:rFonts w:hint="eastAsia" w:ascii="宋体" w:hAnsi="宋体" w:eastAsia="宋体" w:cs="宋体"/>
          <w:b/>
          <w:bCs/>
          <w:color w:val="auto"/>
          <w:spacing w:val="6"/>
          <w:sz w:val="24"/>
          <w:szCs w:val="24"/>
          <w:highlight w:val="none"/>
          <w:u w:val="single" w:color="auto"/>
        </w:rPr>
        <w:t>逾期</w:t>
      </w:r>
      <w:r>
        <w:rPr>
          <w:rFonts w:hint="eastAsia" w:ascii="宋体" w:hAnsi="宋体" w:eastAsia="宋体" w:cs="宋体"/>
          <w:b/>
          <w:bCs/>
          <w:color w:val="auto"/>
          <w:spacing w:val="5"/>
          <w:sz w:val="24"/>
          <w:szCs w:val="24"/>
          <w:highlight w:val="none"/>
          <w:u w:val="single" w:color="auto"/>
        </w:rPr>
        <w:t>未解密的视为</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u w:val="single" w:color="auto"/>
        </w:rPr>
        <w:t>投标无效。</w:t>
      </w:r>
      <w:r>
        <w:rPr>
          <w:rFonts w:hint="eastAsia" w:ascii="宋体" w:hAnsi="宋体" w:eastAsia="宋体" w:cs="宋体"/>
          <w:color w:val="auto"/>
          <w:spacing w:val="3"/>
          <w:sz w:val="24"/>
          <w:szCs w:val="24"/>
          <w:highlight w:val="none"/>
        </w:rPr>
        <w:t xml:space="preserve"> (采用不见面电子开标，各供应商在参加开标以前须自行对使用电脑</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6"/>
          <w:sz w:val="24"/>
          <w:szCs w:val="24"/>
          <w:highlight w:val="none"/>
        </w:rPr>
        <w:t>的网络环境、驱动安装、客户端安装以及数字证书的有效性等进行检测，确保</w:t>
      </w:r>
      <w:r>
        <w:rPr>
          <w:rFonts w:hint="eastAsia" w:ascii="宋体" w:hAnsi="宋体" w:eastAsia="宋体" w:cs="宋体"/>
          <w:color w:val="auto"/>
          <w:spacing w:val="1"/>
          <w:sz w:val="24"/>
          <w:szCs w:val="24"/>
          <w:highlight w:val="none"/>
        </w:rPr>
        <w:t xml:space="preserve">  可以正常使用)</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1"/>
          <w:sz w:val="24"/>
          <w:szCs w:val="24"/>
          <w:highlight w:val="none"/>
        </w:rPr>
        <w:t>。</w:t>
      </w:r>
    </w:p>
    <w:p w14:paraId="6D9BD1F0">
      <w:pPr>
        <w:spacing w:before="66" w:line="226" w:lineRule="auto"/>
        <w:ind w:left="886" w:right="365" w:hanging="85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18.3   组织评审委员会以不记名投票的形式选定评审委员会主任，并宣读评标会纪律</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,对磋商小组进行通讯工具管制及宣读相关法律法规。</w:t>
      </w:r>
    </w:p>
    <w:p w14:paraId="11900EF5">
      <w:pPr>
        <w:spacing w:before="68" w:line="225" w:lineRule="auto"/>
        <w:ind w:left="783" w:right="230" w:hanging="75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18.4   由代理公司工作人员开启报价文件并由供</w:t>
      </w:r>
      <w:r>
        <w:rPr>
          <w:rFonts w:hint="eastAsia" w:ascii="宋体" w:hAnsi="宋体" w:eastAsia="宋体" w:cs="宋体"/>
          <w:color w:val="auto"/>
          <w:spacing w:val="3"/>
          <w:sz w:val="24"/>
          <w:szCs w:val="24"/>
          <w:highlight w:val="none"/>
        </w:rPr>
        <w:t>应商代表在线</w:t>
      </w:r>
      <w:r>
        <w:rPr>
          <w:rFonts w:hint="eastAsia" w:ascii="宋体" w:hAnsi="宋体" w:eastAsia="宋体" w:cs="宋体"/>
          <w:color w:val="auto"/>
          <w:sz w:val="24"/>
          <w:szCs w:val="24"/>
          <w:highlight w:val="none"/>
        </w:rPr>
        <w:t>CA</w:t>
      </w:r>
      <w:r>
        <w:rPr>
          <w:rFonts w:hint="eastAsia" w:ascii="宋体" w:hAnsi="宋体" w:eastAsia="宋体" w:cs="宋体"/>
          <w:color w:val="auto"/>
          <w:spacing w:val="3"/>
          <w:sz w:val="24"/>
          <w:szCs w:val="24"/>
          <w:highlight w:val="none"/>
        </w:rPr>
        <w:t>签字确认，报价确认时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段限制为10分钟，由评审委员会进行报价评审及政策价格认定。</w:t>
      </w:r>
    </w:p>
    <w:p w14:paraId="0AF8DA93">
      <w:pPr>
        <w:spacing w:before="66" w:line="225" w:lineRule="auto"/>
        <w:ind w:left="886" w:hanging="86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18.5  采购人或采购代理机构将对磋商开</w:t>
      </w:r>
      <w:r>
        <w:rPr>
          <w:rFonts w:hint="eastAsia" w:ascii="宋体" w:hAnsi="宋体" w:eastAsia="宋体" w:cs="宋体"/>
          <w:color w:val="auto"/>
          <w:spacing w:val="3"/>
          <w:sz w:val="24"/>
          <w:szCs w:val="24"/>
          <w:highlight w:val="none"/>
        </w:rPr>
        <w:t>启过程进行记录，由参加磋商开启的各供应商代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表和相关工作人员签字确认，并存档备查。</w:t>
      </w:r>
    </w:p>
    <w:p w14:paraId="4C84043C">
      <w:pPr>
        <w:spacing w:before="68" w:line="221" w:lineRule="auto"/>
        <w:ind w:left="779" w:right="240" w:hanging="74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18.6  供应商代表对磋商开启过程和磋商开启记录有疑义，以及认为采购人、</w:t>
      </w:r>
      <w:r>
        <w:rPr>
          <w:rFonts w:hint="eastAsia" w:ascii="宋体" w:hAnsi="宋体" w:eastAsia="宋体" w:cs="宋体"/>
          <w:color w:val="auto"/>
          <w:spacing w:val="3"/>
          <w:sz w:val="24"/>
          <w:szCs w:val="24"/>
          <w:highlight w:val="none"/>
        </w:rPr>
        <w:t>采购代理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机构相关工作人员有需要回避的情形的，应当场提出询问或者回避申请。</w:t>
      </w:r>
    </w:p>
    <w:p w14:paraId="48F10C00">
      <w:pPr>
        <w:spacing w:before="1" w:line="222" w:lineRule="auto"/>
        <w:ind w:left="27"/>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19.资格审查及组建磋商小组</w:t>
      </w:r>
    </w:p>
    <w:p w14:paraId="41CACA08">
      <w:pPr>
        <w:spacing w:line="222" w:lineRule="auto"/>
        <w:rPr>
          <w:rFonts w:hint="eastAsia" w:ascii="宋体" w:hAnsi="宋体" w:eastAsia="宋体" w:cs="宋体"/>
          <w:color w:val="auto"/>
          <w:sz w:val="24"/>
          <w:szCs w:val="24"/>
          <w:highlight w:val="none"/>
        </w:rPr>
        <w:sectPr>
          <w:footerReference r:id="rId11" w:type="default"/>
          <w:pgSz w:w="11906" w:h="16840"/>
          <w:pgMar w:top="1399" w:right="1139" w:bottom="1058" w:left="1115" w:header="0" w:footer="889" w:gutter="0"/>
          <w:pgNumType w:fmt="decimal"/>
          <w:cols w:space="720" w:num="1"/>
        </w:sectPr>
      </w:pPr>
    </w:p>
    <w:p w14:paraId="68ED537D">
      <w:pPr>
        <w:spacing w:before="47" w:line="245" w:lineRule="auto"/>
        <w:ind w:left="765" w:right="2" w:hanging="74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19.1  采购人或采购代理机构依据法律法规和磋商文件中规定的内容，对供应商的资格进</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6"/>
          <w:sz w:val="24"/>
          <w:szCs w:val="24"/>
          <w:highlight w:val="none"/>
        </w:rPr>
        <w:t>行审查。未通过资格审查的供应商不进入评审；进入评审的供应商不足三家的，不</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得评审。</w:t>
      </w:r>
    </w:p>
    <w:p w14:paraId="3A8FC841">
      <w:pPr>
        <w:spacing w:before="88" w:line="225" w:lineRule="auto"/>
        <w:ind w:left="793" w:right="374" w:hanging="75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19.2  采购人或采购代理机构将在开标前1个工作日至磋商截止后</w:t>
      </w:r>
      <w:r>
        <w:rPr>
          <w:rFonts w:hint="eastAsia" w:ascii="宋体" w:hAnsi="宋体" w:eastAsia="宋体" w:cs="宋体"/>
          <w:color w:val="auto"/>
          <w:spacing w:val="2"/>
          <w:sz w:val="24"/>
          <w:szCs w:val="24"/>
          <w:highlight w:val="none"/>
        </w:rPr>
        <w:t>1小时的期间内查询供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应 商的信用记录。供应商存在不良信用记录的，其磋商将</w:t>
      </w:r>
      <w:r>
        <w:rPr>
          <w:rFonts w:hint="eastAsia" w:ascii="宋体" w:hAnsi="宋体" w:eastAsia="宋体" w:cs="宋体"/>
          <w:color w:val="auto"/>
          <w:spacing w:val="5"/>
          <w:sz w:val="24"/>
          <w:szCs w:val="24"/>
          <w:highlight w:val="none"/>
        </w:rPr>
        <w:t>被认定为磋商无效。</w:t>
      </w:r>
    </w:p>
    <w:p w14:paraId="33083561">
      <w:pPr>
        <w:spacing w:before="76" w:line="234" w:lineRule="auto"/>
        <w:ind w:left="853" w:right="266" w:hanging="81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19.2.1</w:t>
      </w:r>
      <w:r>
        <w:rPr>
          <w:rFonts w:hint="eastAsia" w:ascii="宋体" w:hAnsi="宋体" w:eastAsia="宋体" w:cs="宋体"/>
          <w:color w:val="auto"/>
          <w:spacing w:val="79"/>
          <w:sz w:val="24"/>
          <w:szCs w:val="24"/>
          <w:highlight w:val="none"/>
        </w:rPr>
        <w:t xml:space="preserve"> </w:t>
      </w:r>
      <w:r>
        <w:rPr>
          <w:rFonts w:hint="eastAsia" w:ascii="宋体" w:hAnsi="宋体" w:eastAsia="宋体" w:cs="宋体"/>
          <w:color w:val="auto"/>
          <w:spacing w:val="4"/>
          <w:sz w:val="24"/>
          <w:szCs w:val="24"/>
          <w:highlight w:val="none"/>
        </w:rPr>
        <w:t>不良信用记录指：</w:t>
      </w:r>
      <w:r>
        <w:rPr>
          <w:rFonts w:hint="eastAsia" w:ascii="宋体" w:hAnsi="宋体" w:eastAsia="宋体" w:cs="宋体"/>
          <w:color w:val="auto"/>
          <w:spacing w:val="4"/>
          <w:sz w:val="24"/>
          <w:szCs w:val="24"/>
          <w:highlight w:val="none"/>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pacing w:val="4"/>
          <w:sz w:val="24"/>
          <w:szCs w:val="24"/>
          <w:highlight w:val="none"/>
          <w:lang w:eastAsia="zh-CN"/>
        </w:rPr>
        <w:t>（以招标代理机构或采购人查询为准）</w:t>
      </w:r>
      <w:r>
        <w:rPr>
          <w:rFonts w:hint="eastAsia" w:ascii="宋体" w:hAnsi="宋体" w:eastAsia="宋体" w:cs="宋体"/>
          <w:color w:val="auto"/>
          <w:sz w:val="24"/>
          <w:szCs w:val="24"/>
          <w:highlight w:val="none"/>
        </w:rPr>
        <w:t>。</w:t>
      </w:r>
    </w:p>
    <w:p w14:paraId="4EB4D29B">
      <w:pPr>
        <w:spacing w:before="84" w:line="228" w:lineRule="auto"/>
        <w:ind w:left="863" w:right="410" w:firstLine="6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以联合体形式参加磋商的，联合体任何成员存在以上不良信用记录的，联合体</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磋商将被认定为磋商无效。</w:t>
      </w:r>
    </w:p>
    <w:p w14:paraId="6A9151A6">
      <w:pPr>
        <w:spacing w:before="55" w:line="228" w:lineRule="auto"/>
        <w:ind w:left="852" w:right="582" w:hanging="81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19.2.2</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5"/>
          <w:sz w:val="24"/>
          <w:szCs w:val="24"/>
          <w:highlight w:val="none"/>
        </w:rPr>
        <w:t>查询及记录方式：采购人或采购代理机构经办人将查询网页打印、签字并存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档备查。供应商不良信用记录以采购人或</w:t>
      </w:r>
      <w:r>
        <w:rPr>
          <w:rFonts w:hint="eastAsia" w:ascii="宋体" w:hAnsi="宋体" w:eastAsia="宋体" w:cs="宋体"/>
          <w:color w:val="auto"/>
          <w:spacing w:val="6"/>
          <w:sz w:val="24"/>
          <w:szCs w:val="24"/>
          <w:highlight w:val="none"/>
        </w:rPr>
        <w:t>采购代理机构查询结果为准。</w:t>
      </w:r>
    </w:p>
    <w:p w14:paraId="4541AAB4">
      <w:pPr>
        <w:spacing w:before="62" w:line="234" w:lineRule="auto"/>
        <w:ind w:left="857" w:right="232" w:hanging="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在本磋商文件规定的查询时间之后，网站信</w:t>
      </w:r>
      <w:r>
        <w:rPr>
          <w:rFonts w:hint="eastAsia" w:ascii="宋体" w:hAnsi="宋体" w:eastAsia="宋体" w:cs="宋体"/>
          <w:color w:val="auto"/>
          <w:spacing w:val="3"/>
          <w:sz w:val="24"/>
          <w:szCs w:val="24"/>
          <w:highlight w:val="none"/>
        </w:rPr>
        <w:t>息发生的任何变更均不再作为评审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依据。供应商自行提供的与网站信息不一致的其他证明材料亦不作为资格审查</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0"/>
          <w:sz w:val="24"/>
          <w:szCs w:val="24"/>
          <w:highlight w:val="none"/>
        </w:rPr>
        <w:t>的依据。</w:t>
      </w:r>
    </w:p>
    <w:p w14:paraId="7D7E82F3">
      <w:pPr>
        <w:spacing w:before="50" w:line="220" w:lineRule="auto"/>
        <w:ind w:left="1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19.3   按照《中华人民共和国政府采购法》、《中华人民共和国政府采购法实施条例》</w:t>
      </w:r>
    </w:p>
    <w:p w14:paraId="72F0D639">
      <w:pPr>
        <w:pStyle w:val="9"/>
        <w:spacing w:before="1" w:line="219" w:lineRule="auto"/>
        <w:ind w:left="1007" w:right="47" w:firstLine="8"/>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及本项目本级和上级财政部门的有关规定依法组建的磋商小组，负责本项目评标</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工作。</w:t>
      </w:r>
      <w:r>
        <w:rPr>
          <w:rFonts w:hint="eastAsia" w:ascii="宋体" w:hAnsi="宋体" w:eastAsia="宋体" w:cs="宋体"/>
          <w:b/>
          <w:bCs/>
          <w:color w:val="auto"/>
          <w:spacing w:val="-1"/>
          <w:sz w:val="24"/>
          <w:szCs w:val="24"/>
          <w:highlight w:val="none"/>
        </w:rPr>
        <w:t>本项目评标委员会由</w:t>
      </w:r>
      <w:r>
        <w:rPr>
          <w:rFonts w:hint="eastAsia" w:cs="宋体"/>
          <w:b/>
          <w:bCs/>
          <w:color w:val="auto"/>
          <w:spacing w:val="-1"/>
          <w:sz w:val="24"/>
          <w:szCs w:val="24"/>
          <w:highlight w:val="none"/>
          <w:lang w:val="en-US" w:eastAsia="zh-CN"/>
        </w:rPr>
        <w:t>3</w:t>
      </w:r>
      <w:r>
        <w:rPr>
          <w:rFonts w:hint="eastAsia" w:ascii="宋体" w:hAnsi="宋体" w:eastAsia="宋体" w:cs="宋体"/>
          <w:b/>
          <w:bCs/>
          <w:color w:val="auto"/>
          <w:spacing w:val="-1"/>
          <w:sz w:val="24"/>
          <w:szCs w:val="24"/>
          <w:highlight w:val="none"/>
        </w:rPr>
        <w:t>人单数组成</w:t>
      </w:r>
      <w:r>
        <w:rPr>
          <w:rFonts w:hint="eastAsia" w:cs="宋体"/>
          <w:b/>
          <w:bCs/>
          <w:color w:val="auto"/>
          <w:spacing w:val="-1"/>
          <w:sz w:val="24"/>
          <w:szCs w:val="24"/>
          <w:highlight w:val="none"/>
          <w:lang w:val="en-US" w:eastAsia="zh-CN"/>
        </w:rPr>
        <w:t>，从</w:t>
      </w:r>
      <w:r>
        <w:rPr>
          <w:rFonts w:hint="eastAsia" w:ascii="宋体" w:hAnsi="宋体" w:eastAsia="宋体" w:cs="宋体"/>
          <w:b/>
          <w:bCs/>
          <w:color w:val="auto"/>
          <w:spacing w:val="-1"/>
          <w:sz w:val="24"/>
          <w:szCs w:val="24"/>
          <w:highlight w:val="none"/>
        </w:rPr>
        <w:t>政采云</w:t>
      </w:r>
      <w:r>
        <w:rPr>
          <w:rFonts w:hint="eastAsia" w:ascii="宋体" w:hAnsi="宋体" w:eastAsia="宋体" w:cs="宋体"/>
          <w:b/>
          <w:bCs/>
          <w:color w:val="auto"/>
          <w:spacing w:val="-6"/>
          <w:sz w:val="24"/>
          <w:szCs w:val="24"/>
          <w:highlight w:val="none"/>
        </w:rPr>
        <w:t>专家库</w:t>
      </w:r>
      <w:r>
        <w:rPr>
          <w:rFonts w:hint="eastAsia" w:cs="宋体"/>
          <w:b/>
          <w:bCs/>
          <w:color w:val="auto"/>
          <w:spacing w:val="-6"/>
          <w:sz w:val="24"/>
          <w:szCs w:val="24"/>
          <w:highlight w:val="none"/>
          <w:lang w:val="en-US" w:eastAsia="zh-CN"/>
        </w:rPr>
        <w:t>中</w:t>
      </w:r>
      <w:r>
        <w:rPr>
          <w:rFonts w:hint="eastAsia" w:ascii="宋体" w:hAnsi="宋体" w:eastAsia="宋体" w:cs="宋体"/>
          <w:b/>
          <w:bCs/>
          <w:color w:val="auto"/>
          <w:spacing w:val="-6"/>
          <w:sz w:val="24"/>
          <w:szCs w:val="24"/>
          <w:highlight w:val="none"/>
        </w:rPr>
        <w:t>随机抽取</w:t>
      </w:r>
      <w:r>
        <w:rPr>
          <w:rFonts w:hint="eastAsia" w:cs="宋体"/>
          <w:b/>
          <w:bCs/>
          <w:color w:val="auto"/>
          <w:spacing w:val="-6"/>
          <w:sz w:val="24"/>
          <w:szCs w:val="24"/>
          <w:highlight w:val="none"/>
          <w:lang w:val="en-US" w:eastAsia="zh-CN"/>
        </w:rPr>
        <w:t>3人</w:t>
      </w:r>
      <w:r>
        <w:rPr>
          <w:rFonts w:hint="eastAsia" w:ascii="宋体" w:hAnsi="宋体" w:eastAsia="宋体" w:cs="宋体"/>
          <w:b/>
          <w:bCs/>
          <w:color w:val="auto"/>
          <w:spacing w:val="-6"/>
          <w:sz w:val="24"/>
          <w:szCs w:val="24"/>
          <w:highlight w:val="none"/>
        </w:rPr>
        <w:t>。</w:t>
      </w:r>
    </w:p>
    <w:p w14:paraId="6B7A5B41">
      <w:pPr>
        <w:spacing w:before="50" w:line="22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20.响应文件的符合性审查与澄清</w:t>
      </w:r>
    </w:p>
    <w:p w14:paraId="68D1F6E1">
      <w:pPr>
        <w:spacing w:before="25" w:line="223" w:lineRule="auto"/>
        <w:ind w:left="901" w:right="357" w:hanging="8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20.1   符合性审查是指依据磋商文件的规</w:t>
      </w:r>
      <w:r>
        <w:rPr>
          <w:rFonts w:hint="eastAsia" w:ascii="宋体" w:hAnsi="宋体" w:eastAsia="宋体" w:cs="宋体"/>
          <w:color w:val="auto"/>
          <w:spacing w:val="6"/>
          <w:sz w:val="24"/>
          <w:szCs w:val="24"/>
          <w:highlight w:val="none"/>
        </w:rPr>
        <w:t>定，从响应文件的有效性和完整性对磋商文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件的响应程度进行审查，以确定是否对磋商文件的实质性要求做出响应。</w:t>
      </w:r>
    </w:p>
    <w:p w14:paraId="6ADDE601">
      <w:pPr>
        <w:spacing w:before="43" w:line="222"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响应文件的澄清</w:t>
      </w:r>
    </w:p>
    <w:p w14:paraId="45D4AA21">
      <w:pPr>
        <w:spacing w:before="66" w:line="235" w:lineRule="auto"/>
        <w:ind w:left="913" w:hanging="9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20.2.1</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8"/>
          <w:sz w:val="24"/>
          <w:szCs w:val="24"/>
          <w:highlight w:val="none"/>
        </w:rPr>
        <w:t>在评标期间，磋商小组将以书面方</w:t>
      </w:r>
      <w:r>
        <w:rPr>
          <w:rFonts w:hint="eastAsia" w:ascii="宋体" w:hAnsi="宋体" w:eastAsia="宋体" w:cs="宋体"/>
          <w:color w:val="auto"/>
          <w:spacing w:val="7"/>
          <w:sz w:val="24"/>
          <w:szCs w:val="24"/>
          <w:highlight w:val="none"/>
        </w:rPr>
        <w:t>式要求供应商对其响应文件中含义不明确、对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同类问题表述不一致或者有明显文字和计算错误的内容，以及磋商小组认为供应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 xml:space="preserve">商的报价明显低于其他通过符合性检查供应商的报价，有可能影响履约的情况作  </w:t>
      </w:r>
      <w:r>
        <w:rPr>
          <w:rFonts w:hint="eastAsia" w:ascii="宋体" w:hAnsi="宋体" w:eastAsia="宋体" w:cs="宋体"/>
          <w:color w:val="auto"/>
          <w:spacing w:val="6"/>
          <w:sz w:val="24"/>
          <w:szCs w:val="24"/>
          <w:highlight w:val="none"/>
        </w:rPr>
        <w:t>必要的澄清、说明或补正。供应商澄清、说明或补正应在磋商小组规定的时</w:t>
      </w:r>
      <w:r>
        <w:rPr>
          <w:rFonts w:hint="eastAsia" w:ascii="宋体" w:hAnsi="宋体" w:eastAsia="宋体" w:cs="宋体"/>
          <w:color w:val="auto"/>
          <w:spacing w:val="5"/>
          <w:sz w:val="24"/>
          <w:szCs w:val="24"/>
          <w:highlight w:val="none"/>
        </w:rPr>
        <w:t>间内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以书面方式进行，并不得超出响应文件范围或者改变响应文件的实质性内容。</w:t>
      </w:r>
    </w:p>
    <w:p w14:paraId="43D12D4A">
      <w:pPr>
        <w:spacing w:before="74" w:line="220" w:lineRule="auto"/>
        <w:ind w:left="4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20.2.2</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4"/>
          <w:sz w:val="24"/>
          <w:szCs w:val="24"/>
          <w:highlight w:val="none"/>
        </w:rPr>
        <w:t>供应商的澄清、说明或补正将作为响应文件的一部分。</w:t>
      </w:r>
    </w:p>
    <w:p w14:paraId="20B59643">
      <w:pPr>
        <w:spacing w:before="35" w:line="222" w:lineRule="auto"/>
        <w:ind w:left="4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20.3   响应文件报价出现前后不一致的，按照下列规定修正：</w:t>
      </w:r>
    </w:p>
    <w:p w14:paraId="7DB4BC7B">
      <w:pPr>
        <w:spacing w:before="54" w:line="226" w:lineRule="auto"/>
        <w:ind w:left="1115" w:right="530" w:hanging="15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(一)响应文件中开标一览表(报价表)内容与响应文</w:t>
      </w:r>
      <w:r>
        <w:rPr>
          <w:rFonts w:hint="eastAsia" w:ascii="宋体" w:hAnsi="宋体" w:eastAsia="宋体" w:cs="宋体"/>
          <w:color w:val="auto"/>
          <w:spacing w:val="-5"/>
          <w:sz w:val="24"/>
          <w:szCs w:val="24"/>
          <w:highlight w:val="none"/>
        </w:rPr>
        <w:t>件中相应内容不一致的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5"/>
          <w:sz w:val="24"/>
          <w:szCs w:val="24"/>
          <w:highlight w:val="none"/>
        </w:rPr>
        <w:t>以开标一览表(报价表)为准；</w:t>
      </w:r>
    </w:p>
    <w:p w14:paraId="386B368B">
      <w:pPr>
        <w:spacing w:before="40" w:line="222" w:lineRule="auto"/>
        <w:ind w:left="972"/>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(二)大写金额和小写金额不一致的，以大写金</w:t>
      </w:r>
      <w:r>
        <w:rPr>
          <w:rFonts w:hint="eastAsia" w:ascii="宋体" w:hAnsi="宋体" w:eastAsia="宋体" w:cs="宋体"/>
          <w:color w:val="auto"/>
          <w:spacing w:val="-1"/>
          <w:sz w:val="24"/>
          <w:szCs w:val="24"/>
          <w:highlight w:val="none"/>
        </w:rPr>
        <w:t>额为准；</w:t>
      </w:r>
    </w:p>
    <w:p w14:paraId="02C5DB15">
      <w:pPr>
        <w:spacing w:before="51" w:line="224" w:lineRule="auto"/>
        <w:ind w:left="1384" w:right="433" w:hanging="4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(三)单价金额小数点或者百分比有明显错位的</w:t>
      </w:r>
      <w:r>
        <w:rPr>
          <w:rFonts w:hint="eastAsia" w:ascii="宋体" w:hAnsi="宋体" w:eastAsia="宋体" w:cs="宋体"/>
          <w:color w:val="auto"/>
          <w:sz w:val="24"/>
          <w:szCs w:val="24"/>
          <w:highlight w:val="none"/>
        </w:rPr>
        <w:t>，以开标一览表的总价为准，</w:t>
      </w:r>
      <w:r>
        <w:rPr>
          <w:rFonts w:hint="eastAsia" w:ascii="宋体" w:hAnsi="宋体" w:eastAsia="宋体" w:cs="宋体"/>
          <w:color w:val="auto"/>
          <w:spacing w:val="-6"/>
          <w:sz w:val="24"/>
          <w:szCs w:val="24"/>
          <w:highlight w:val="none"/>
        </w:rPr>
        <w:t>并修改单价；</w:t>
      </w:r>
    </w:p>
    <w:p w14:paraId="3099891E">
      <w:pPr>
        <w:spacing w:before="45" w:line="221" w:lineRule="auto"/>
        <w:ind w:left="97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(四)总价金额与按单价汇总金额不一致的，以单价金额计算结果为准。</w:t>
      </w:r>
    </w:p>
    <w:p w14:paraId="6790B0FA">
      <w:pPr>
        <w:spacing w:before="69" w:line="234" w:lineRule="auto"/>
        <w:ind w:left="916" w:right="386" w:firstLine="64"/>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同时出现两种以上不一致的，按照前款规定的顺序修正。修正后的报价按照第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20.2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6"/>
          <w:sz w:val="24"/>
          <w:szCs w:val="24"/>
          <w:highlight w:val="none"/>
        </w:rPr>
        <w:t>条的规定经供应商确认后产生约束力，供应商不确认的，将被认定为其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磋商将被认定为磋商无效。</w:t>
      </w:r>
    </w:p>
    <w:p w14:paraId="67781EE6">
      <w:pPr>
        <w:spacing w:before="30" w:line="222" w:lineRule="auto"/>
        <w:ind w:left="91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对不同文字文本响应文件的解释发生异议的，以中文文本为准。</w:t>
      </w:r>
    </w:p>
    <w:p w14:paraId="779BA606">
      <w:pPr>
        <w:spacing w:line="222" w:lineRule="auto"/>
        <w:rPr>
          <w:rFonts w:hint="eastAsia" w:ascii="宋体" w:hAnsi="宋体" w:eastAsia="宋体" w:cs="宋体"/>
          <w:color w:val="auto"/>
          <w:sz w:val="24"/>
          <w:szCs w:val="24"/>
          <w:highlight w:val="none"/>
        </w:rPr>
        <w:sectPr>
          <w:footerReference r:id="rId12" w:type="default"/>
          <w:pgSz w:w="11906" w:h="16840"/>
          <w:pgMar w:top="1418" w:right="1147" w:bottom="1058" w:left="1110" w:header="0" w:footer="889" w:gutter="0"/>
          <w:pgNumType w:fmt="decimal"/>
          <w:cols w:space="720" w:num="1"/>
        </w:sectPr>
      </w:pPr>
    </w:p>
    <w:p w14:paraId="23427F60">
      <w:pPr>
        <w:spacing w:before="47" w:line="223" w:lineRule="auto"/>
        <w:ind w:left="903" w:right="69" w:hanging="85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 xml:space="preserve">20.4   供应商为提供服务所伴随响应文件的产品如被列入财政部与国家主管部门颁发 </w:t>
      </w:r>
      <w:r>
        <w:rPr>
          <w:rFonts w:hint="eastAsia" w:ascii="宋体" w:hAnsi="宋体" w:eastAsia="宋体" w:cs="宋体"/>
          <w:color w:val="auto"/>
          <w:spacing w:val="6"/>
          <w:sz w:val="24"/>
          <w:szCs w:val="24"/>
          <w:highlight w:val="none"/>
        </w:rPr>
        <w:t>的节能产品目录或环境标志产品 目录或无线局域网产品目</w:t>
      </w:r>
      <w:r>
        <w:rPr>
          <w:rFonts w:hint="eastAsia" w:ascii="宋体" w:hAnsi="宋体" w:eastAsia="宋体" w:cs="宋体"/>
          <w:color w:val="auto"/>
          <w:spacing w:val="5"/>
          <w:sz w:val="24"/>
          <w:szCs w:val="24"/>
          <w:highlight w:val="none"/>
        </w:rPr>
        <w:t>录，应提供相关证明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 在评审时予以优先采购</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具体优先采购办法见第六章评审方法和标准。</w:t>
      </w:r>
    </w:p>
    <w:p w14:paraId="1693C0A1">
      <w:pPr>
        <w:pStyle w:val="9"/>
        <w:spacing w:before="44" w:line="234" w:lineRule="auto"/>
        <w:ind w:left="930" w:right="285"/>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如采购人所采购产品为政府强制采购的节能产品，供应商所投产</w:t>
      </w:r>
      <w:r>
        <w:rPr>
          <w:rFonts w:hint="eastAsia" w:ascii="宋体" w:hAnsi="宋体" w:eastAsia="宋体" w:cs="宋体"/>
          <w:color w:val="auto"/>
          <w:spacing w:val="14"/>
          <w:sz w:val="24"/>
          <w:szCs w:val="24"/>
          <w:highlight w:val="none"/>
        </w:rPr>
        <w:t>品的品牌及</w:t>
      </w:r>
      <w:r>
        <w:rPr>
          <w:rFonts w:hint="eastAsia" w:ascii="宋体" w:hAnsi="宋体" w:eastAsia="宋体" w:cs="宋体"/>
          <w:color w:val="auto"/>
          <w:spacing w:val="9"/>
          <w:sz w:val="24"/>
          <w:szCs w:val="24"/>
          <w:highlight w:val="none"/>
        </w:rPr>
        <w:t>型号必须为清单中有效期内产品并提供证明文件，否则其磋商</w:t>
      </w:r>
      <w:r>
        <w:rPr>
          <w:rFonts w:hint="eastAsia" w:ascii="宋体" w:hAnsi="宋体" w:eastAsia="宋体" w:cs="宋体"/>
          <w:color w:val="auto"/>
          <w:spacing w:val="8"/>
          <w:sz w:val="24"/>
          <w:szCs w:val="24"/>
          <w:highlight w:val="none"/>
        </w:rPr>
        <w:t>将被认定为磋商</w:t>
      </w:r>
      <w:r>
        <w:rPr>
          <w:rFonts w:hint="eastAsia" w:ascii="宋体" w:hAnsi="宋体" w:eastAsia="宋体" w:cs="宋体"/>
          <w:color w:val="auto"/>
          <w:spacing w:val="-5"/>
          <w:sz w:val="24"/>
          <w:szCs w:val="24"/>
          <w:highlight w:val="none"/>
        </w:rPr>
        <w:t>无效。</w:t>
      </w:r>
      <w:r>
        <w:rPr>
          <w:rFonts w:hint="eastAsia" w:ascii="宋体" w:hAnsi="宋体" w:eastAsia="宋体" w:cs="宋体"/>
          <w:b/>
          <w:bCs/>
          <w:color w:val="auto"/>
          <w:spacing w:val="-5"/>
          <w:sz w:val="24"/>
          <w:szCs w:val="24"/>
          <w:highlight w:val="none"/>
        </w:rPr>
        <w:t>本项目不适用</w:t>
      </w:r>
      <w:r>
        <w:rPr>
          <w:rFonts w:hint="eastAsia" w:ascii="宋体" w:hAnsi="宋体" w:eastAsia="宋体" w:cs="宋体"/>
          <w:color w:val="auto"/>
          <w:spacing w:val="-5"/>
          <w:sz w:val="24"/>
          <w:szCs w:val="24"/>
          <w:highlight w:val="none"/>
        </w:rPr>
        <w:t>。</w:t>
      </w:r>
    </w:p>
    <w:p w14:paraId="035C1328">
      <w:pPr>
        <w:spacing w:before="34"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21.响应偏离</w:t>
      </w:r>
    </w:p>
    <w:p w14:paraId="240489B5">
      <w:pPr>
        <w:spacing w:before="13" w:line="222" w:lineRule="auto"/>
        <w:ind w:left="860" w:right="38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磋商小组不接受响应文件中不构成实质性偏离的不正规或不一致</w:t>
      </w:r>
      <w:r>
        <w:rPr>
          <w:rFonts w:hint="eastAsia" w:ascii="宋体" w:hAnsi="宋体" w:eastAsia="宋体" w:cs="宋体"/>
          <w:color w:val="auto"/>
          <w:spacing w:val="7"/>
          <w:sz w:val="24"/>
          <w:szCs w:val="24"/>
          <w:highlight w:val="none"/>
        </w:rPr>
        <w:t>，具体由磋商</w:t>
      </w:r>
      <w:r>
        <w:rPr>
          <w:rFonts w:hint="eastAsia" w:ascii="宋体" w:hAnsi="宋体" w:eastAsia="宋体" w:cs="宋体"/>
          <w:color w:val="auto"/>
          <w:sz w:val="24"/>
          <w:szCs w:val="24"/>
          <w:highlight w:val="none"/>
        </w:rPr>
        <w:t xml:space="preserve"> 小组进行判定</w:t>
      </w:r>
    </w:p>
    <w:p w14:paraId="587B6EEC">
      <w:pPr>
        <w:spacing w:before="18" w:line="223"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22.磋商无效</w:t>
      </w:r>
    </w:p>
    <w:p w14:paraId="4901A93E">
      <w:pPr>
        <w:spacing w:before="44" w:line="233" w:lineRule="auto"/>
        <w:ind w:left="835" w:hanging="83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22.1  在比较与评价之前，根据本须知的规</w:t>
      </w:r>
      <w:r>
        <w:rPr>
          <w:rFonts w:hint="eastAsia" w:ascii="宋体" w:hAnsi="宋体" w:eastAsia="宋体" w:cs="宋体"/>
          <w:color w:val="auto"/>
          <w:spacing w:val="7"/>
          <w:sz w:val="24"/>
          <w:szCs w:val="24"/>
          <w:highlight w:val="none"/>
        </w:rPr>
        <w:t>定，磋商小组成员要审查每份响应文件是否实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质上响应了磋商文件的要求。实质上响应的磋商应该是与磋商文件要求的全部条</w:t>
      </w:r>
    </w:p>
    <w:p w14:paraId="15E6F861">
      <w:pPr>
        <w:spacing w:before="29" w:line="237" w:lineRule="auto"/>
        <w:ind w:left="836" w:right="67" w:hanging="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款、条件和规格相符，没有重大偏离的磋商。对关键条款的偏离，将被认定为磋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商无效。供应商不得通过修正或撤销不符合要求的偏离从而使其响应成为实质上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响应。磋商小组决定磋商的响应性只根</w:t>
      </w:r>
      <w:r>
        <w:rPr>
          <w:rFonts w:hint="eastAsia" w:ascii="宋体" w:hAnsi="宋体" w:eastAsia="宋体" w:cs="宋体"/>
          <w:color w:val="auto"/>
          <w:spacing w:val="7"/>
          <w:sz w:val="24"/>
          <w:szCs w:val="24"/>
          <w:highlight w:val="none"/>
        </w:rPr>
        <w:t>据磋商文件要求、响应文件内容及财政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主管部门指定相关信息发布媒体。</w:t>
      </w:r>
    </w:p>
    <w:p w14:paraId="15AF354B">
      <w:pPr>
        <w:spacing w:before="38" w:line="222" w:lineRule="auto"/>
        <w:ind w:left="4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22.2   如发现下列情况之一的，其磋商将被认定为磋商无效：</w:t>
      </w:r>
    </w:p>
    <w:p w14:paraId="1379406C">
      <w:pPr>
        <w:spacing w:before="56" w:line="228" w:lineRule="auto"/>
        <w:ind w:left="1015" w:right="2044" w:firstLine="17"/>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(1)未按磋商文件规定的形式和金额等内容提交磋商保证金的</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(2)未按照磋商文件规定要求签署、盖章的；</w:t>
      </w:r>
    </w:p>
    <w:p w14:paraId="4C4F4FEB">
      <w:pPr>
        <w:spacing w:before="56" w:line="228" w:lineRule="auto"/>
        <w:ind w:left="1015" w:right="2044" w:firstLine="17"/>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(3)未满足磋商文件中技术条款的实质性要求；</w:t>
      </w:r>
    </w:p>
    <w:p w14:paraId="56531C8B">
      <w:pPr>
        <w:spacing w:before="56" w:line="228" w:lineRule="auto"/>
        <w:ind w:left="1015" w:right="2044" w:firstLine="17"/>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(4)与其他供应商串通磋商，或者与采购人串通磋商；</w:t>
      </w:r>
    </w:p>
    <w:p w14:paraId="7DE49348">
      <w:pPr>
        <w:spacing w:before="56" w:line="228" w:lineRule="auto"/>
        <w:ind w:left="1015" w:right="2044" w:firstLine="17"/>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(5)属于磋商文件规定的其他磋商无效情形；</w:t>
      </w:r>
    </w:p>
    <w:p w14:paraId="1DF4FA26">
      <w:pPr>
        <w:spacing w:before="56" w:line="228" w:lineRule="auto"/>
        <w:ind w:left="1015" w:right="2044" w:firstLine="17"/>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(6)磋商小组认为供应商的报价明显低于其他通过符合性检查供应商的报价,有可能影响履约的，且供应商未按照规定证明其报价合理性的；</w:t>
      </w:r>
    </w:p>
    <w:p w14:paraId="2705D20D">
      <w:pPr>
        <w:spacing w:before="56" w:line="228" w:lineRule="auto"/>
        <w:ind w:left="1015" w:right="2044" w:firstLine="17"/>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(7)响应文件含有采购人不能接受的附加条件的；</w:t>
      </w:r>
    </w:p>
    <w:p w14:paraId="61E1BB22">
      <w:pPr>
        <w:spacing w:before="56" w:line="228" w:lineRule="auto"/>
        <w:ind w:left="1015" w:right="2044" w:firstLine="17"/>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(8)不符合法规和磋商文件中规定的其他实质性要求的。</w:t>
      </w:r>
    </w:p>
    <w:p w14:paraId="237CBB80">
      <w:pPr>
        <w:spacing w:before="15"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23. 比较与评价</w:t>
      </w:r>
    </w:p>
    <w:p w14:paraId="33413220">
      <w:pPr>
        <w:spacing w:before="43" w:line="222" w:lineRule="auto"/>
        <w:ind w:left="848" w:right="287" w:hanging="80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23.1  经符合性审查合格的响应文件，磋商小组成员将根据磋商文件确定的评标方法和</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标准，对其技术部分和商务部分作进一步的比较和评价。</w:t>
      </w:r>
    </w:p>
    <w:p w14:paraId="5E0103C0">
      <w:pPr>
        <w:spacing w:before="43" w:line="222" w:lineRule="auto"/>
        <w:ind w:left="897" w:leftChars="427" w:right="287" w:firstLine="47" w:firstLineChars="1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竞争性磋商共有两次报价，二次报价为最终报价，磋商小组所有成员集中与单一供应商 分别进行磋商，并给予所有参加磋商的供应商平等的磋商机会，磋商小组要求所有实质性响应的供应商在规定时间内提交最后报价，最后报价是供应商响应文件的有效组成部分，经磋 商确定最终采购需求和提交最后报价的供应商后，由磋商小组采用综合评分法对提交最后报 价的供应商的响应文件和最后报价进行综合评分。磋商小组各成员应当独立对每个有效响应 的文件进行评价、打分，汇总每个供应商每项评分因素的得分。磋商小组各成员应当独立对每个有效响应的文件进行评价、打分，汇总每个供应商每项评分因素的得分。磋商小组应当 从质量和服务均能满足采购文件实质性响应要求的供应商中，按照综合评分由低到高的顺序 提出成交候选人，并编写评审报告，将结果通知所有参加磋商的未成交的供应商。</w:t>
      </w:r>
    </w:p>
    <w:p w14:paraId="4B6F0F73">
      <w:pPr>
        <w:spacing w:before="43" w:line="221" w:lineRule="auto"/>
        <w:ind w:left="886" w:right="309" w:hanging="8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23.2  评标严格按照磋商文件的要求和条件进行。根</w:t>
      </w:r>
      <w:r>
        <w:rPr>
          <w:rFonts w:hint="eastAsia" w:ascii="宋体" w:hAnsi="宋体" w:eastAsia="宋体" w:cs="宋体"/>
          <w:color w:val="auto"/>
          <w:spacing w:val="4"/>
          <w:sz w:val="24"/>
          <w:szCs w:val="24"/>
          <w:highlight w:val="none"/>
        </w:rPr>
        <w:t>据实际情况，在</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85"/>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供应商须知资料表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中 规定采用下列一种评审方法，详细评审标准见</w:t>
      </w:r>
      <w:r>
        <w:rPr>
          <w:rFonts w:hint="eastAsia" w:ascii="宋体" w:hAnsi="宋体" w:eastAsia="宋体" w:cs="宋体"/>
          <w:color w:val="auto"/>
          <w:spacing w:val="3"/>
          <w:sz w:val="24"/>
          <w:szCs w:val="24"/>
          <w:highlight w:val="none"/>
        </w:rPr>
        <w:t>磋商文件第六章。</w:t>
      </w:r>
    </w:p>
    <w:p w14:paraId="4C0A7DCD">
      <w:pPr>
        <w:spacing w:before="99" w:line="220" w:lineRule="auto"/>
        <w:ind w:left="73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本项目采用采购方式：竞争性磋商。评分方法：综合评分法。</w:t>
      </w:r>
    </w:p>
    <w:p w14:paraId="71180316">
      <w:pPr>
        <w:spacing w:before="155" w:line="220" w:lineRule="auto"/>
        <w:ind w:left="701"/>
        <w:outlineLvl w:val="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综合评分法，是指响应文件满足磋商文件全部实质性要求，且按照评审因素的量化</w:t>
      </w:r>
    </w:p>
    <w:p w14:paraId="5F631D1F">
      <w:pPr>
        <w:spacing w:before="102" w:line="222" w:lineRule="auto"/>
        <w:ind w:left="69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指标评审得分最高的供应商为成交候选人的评审</w:t>
      </w:r>
      <w:r>
        <w:rPr>
          <w:rFonts w:hint="eastAsia" w:ascii="宋体" w:hAnsi="宋体" w:eastAsia="宋体" w:cs="宋体"/>
          <w:color w:val="auto"/>
          <w:spacing w:val="3"/>
          <w:sz w:val="24"/>
          <w:szCs w:val="24"/>
          <w:highlight w:val="none"/>
        </w:rPr>
        <w:t>方法。</w:t>
      </w:r>
    </w:p>
    <w:p w14:paraId="4296D8F9">
      <w:pPr>
        <w:spacing w:before="108" w:line="226" w:lineRule="auto"/>
        <w:ind w:left="947" w:right="86" w:hanging="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（1）最低评标价法，是指投标文件满足</w:t>
      </w:r>
      <w:r>
        <w:rPr>
          <w:rFonts w:hint="eastAsia" w:ascii="宋体" w:hAnsi="宋体" w:eastAsia="宋体" w:cs="宋体"/>
          <w:color w:val="auto"/>
          <w:spacing w:val="-2"/>
          <w:sz w:val="24"/>
          <w:szCs w:val="24"/>
          <w:highlight w:val="none"/>
          <w:lang w:eastAsia="zh-CN"/>
        </w:rPr>
        <w:t>磋商文件</w:t>
      </w:r>
      <w:r>
        <w:rPr>
          <w:rFonts w:hint="eastAsia" w:ascii="宋体" w:hAnsi="宋体" w:eastAsia="宋体" w:cs="宋体"/>
          <w:color w:val="auto"/>
          <w:spacing w:val="-2"/>
          <w:sz w:val="24"/>
          <w:szCs w:val="24"/>
          <w:highlight w:val="none"/>
        </w:rPr>
        <w:t>全部实质性要求，且投标报价最低的供</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应商为成交候选人的评标方法。</w:t>
      </w:r>
    </w:p>
    <w:p w14:paraId="774BB033">
      <w:pPr>
        <w:spacing w:before="34" w:line="226" w:lineRule="auto"/>
        <w:ind w:left="947" w:right="86" w:hanging="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（2）综合评分法，是指投标文件满足</w:t>
      </w:r>
      <w:r>
        <w:rPr>
          <w:rFonts w:hint="eastAsia" w:ascii="宋体" w:hAnsi="宋体" w:eastAsia="宋体" w:cs="宋体"/>
          <w:color w:val="auto"/>
          <w:spacing w:val="-2"/>
          <w:sz w:val="24"/>
          <w:szCs w:val="24"/>
          <w:highlight w:val="none"/>
          <w:lang w:eastAsia="zh-CN"/>
        </w:rPr>
        <w:t>磋商文件</w:t>
      </w:r>
      <w:r>
        <w:rPr>
          <w:rFonts w:hint="eastAsia" w:ascii="宋体" w:hAnsi="宋体" w:eastAsia="宋体" w:cs="宋体"/>
          <w:color w:val="auto"/>
          <w:spacing w:val="-2"/>
          <w:sz w:val="24"/>
          <w:szCs w:val="24"/>
          <w:highlight w:val="none"/>
        </w:rPr>
        <w:t>全部实质性要求，且按照评审因素的量化</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指标评审得分最高的供应商为成交候选人的评标方法。</w:t>
      </w:r>
    </w:p>
    <w:p w14:paraId="3B736468">
      <w:pPr>
        <w:spacing w:before="108" w:line="226" w:lineRule="auto"/>
        <w:ind w:left="947" w:right="86" w:hanging="47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23.3 </w:t>
      </w:r>
      <w:r>
        <w:rPr>
          <w:rFonts w:hint="eastAsia" w:ascii="宋体" w:hAnsi="宋体" w:eastAsia="宋体" w:cs="宋体"/>
          <w:color w:val="auto"/>
          <w:sz w:val="24"/>
          <w:szCs w:val="24"/>
          <w:highlight w:val="none"/>
          <w:lang w:eastAsia="zh-CN"/>
        </w:rPr>
        <w:t>对于未预留份额的项目，按照《政府采购促进中小企业发展管理办法》（财库〔2020〕46 号）的规定，供应商在其响应文件中提供《中小企业声明函》，且承担全部服务的企业为小型或者微型企业的，对其最后报价给予</w:t>
      </w:r>
      <w:r>
        <w:rPr>
          <w:rFonts w:hint="eastAsia" w:ascii="宋体" w:hAnsi="宋体" w:eastAsia="宋体" w:cs="宋体"/>
          <w:color w:val="auto"/>
          <w:sz w:val="24"/>
          <w:szCs w:val="24"/>
          <w:highlight w:val="none"/>
          <w:u w:val="single"/>
          <w:lang w:eastAsia="zh-CN"/>
        </w:rPr>
        <w:t xml:space="preserve"> 10 </w:t>
      </w:r>
      <w:r>
        <w:rPr>
          <w:rFonts w:hint="eastAsia" w:ascii="宋体" w:hAnsi="宋体" w:eastAsia="宋体" w:cs="宋体"/>
          <w:color w:val="auto"/>
          <w:sz w:val="24"/>
          <w:szCs w:val="24"/>
          <w:highlight w:val="none"/>
          <w:lang w:eastAsia="zh-CN"/>
        </w:rPr>
        <w:t>%的扣除</w:t>
      </w:r>
      <w:r>
        <w:rPr>
          <w:rFonts w:hint="eastAsia" w:ascii="宋体" w:hAnsi="宋体" w:eastAsia="宋体" w:cs="宋体"/>
          <w:color w:val="auto"/>
          <w:spacing w:val="-2"/>
          <w:sz w:val="24"/>
          <w:szCs w:val="24"/>
          <w:highlight w:val="none"/>
        </w:rPr>
        <w:t>。</w:t>
      </w:r>
    </w:p>
    <w:p w14:paraId="72393910">
      <w:pPr>
        <w:spacing w:before="25"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24.废标</w:t>
      </w:r>
    </w:p>
    <w:p w14:paraId="631370F3">
      <w:pPr>
        <w:spacing w:before="44" w:line="222" w:lineRule="auto"/>
        <w:ind w:left="96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出现下列情形之一，将导致项目废标：</w:t>
      </w:r>
    </w:p>
    <w:p w14:paraId="7C657CD8">
      <w:pPr>
        <w:spacing w:before="46" w:line="220" w:lineRule="auto"/>
        <w:ind w:left="9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6"/>
          <w:sz w:val="24"/>
          <w:szCs w:val="24"/>
          <w:highlight w:val="none"/>
        </w:rPr>
        <w:t>符合专业条件的供应商或者对磋商文件做实质性响应的</w:t>
      </w:r>
      <w:r>
        <w:rPr>
          <w:rFonts w:hint="eastAsia" w:ascii="宋体" w:hAnsi="宋体" w:eastAsia="宋体" w:cs="宋体"/>
          <w:color w:val="auto"/>
          <w:spacing w:val="5"/>
          <w:sz w:val="24"/>
          <w:szCs w:val="24"/>
          <w:highlight w:val="none"/>
        </w:rPr>
        <w:t>供应商不足三家；</w:t>
      </w:r>
    </w:p>
    <w:p w14:paraId="6B7100DE">
      <w:pPr>
        <w:spacing w:before="55" w:line="221" w:lineRule="auto"/>
        <w:ind w:left="92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  出现影响采购公正的违法</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3"/>
          <w:sz w:val="24"/>
          <w:szCs w:val="24"/>
          <w:highlight w:val="none"/>
        </w:rPr>
        <w:t>、违规行为的；</w:t>
      </w:r>
    </w:p>
    <w:p w14:paraId="58AD9E80">
      <w:pPr>
        <w:spacing w:before="53" w:line="222" w:lineRule="auto"/>
        <w:ind w:left="92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4"/>
          <w:sz w:val="24"/>
          <w:szCs w:val="24"/>
          <w:highlight w:val="none"/>
        </w:rPr>
        <w:t>供应商的报价均超过了采购预算，采购人不能支付的；</w:t>
      </w:r>
    </w:p>
    <w:p w14:paraId="299EE60C">
      <w:pPr>
        <w:spacing w:before="35" w:line="222" w:lineRule="auto"/>
        <w:ind w:left="9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因重大变故，采购任务取消的。</w:t>
      </w:r>
    </w:p>
    <w:p w14:paraId="0D2D2EFB">
      <w:pPr>
        <w:spacing w:before="12" w:line="221"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25.保密原则</w:t>
      </w:r>
    </w:p>
    <w:p w14:paraId="43584314">
      <w:pPr>
        <w:spacing w:before="16" w:line="219"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25.1</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评标将在严格保密的情况下进行。</w:t>
      </w:r>
    </w:p>
    <w:p w14:paraId="3F0F08DF">
      <w:pPr>
        <w:spacing w:before="43" w:line="224" w:lineRule="auto"/>
        <w:ind w:left="875" w:right="228" w:hanging="875"/>
        <w:rPr>
          <w:rFonts w:hint="eastAsia" w:ascii="宋体" w:hAnsi="宋体" w:eastAsia="宋体" w:cs="宋体"/>
          <w:color w:val="auto"/>
          <w:sz w:val="22"/>
          <w:szCs w:val="22"/>
          <w:highlight w:val="none"/>
        </w:rPr>
      </w:pPr>
      <w:r>
        <w:rPr>
          <w:rFonts w:hint="eastAsia" w:ascii="宋体" w:hAnsi="宋体" w:eastAsia="宋体" w:cs="宋体"/>
          <w:color w:val="auto"/>
          <w:spacing w:val="7"/>
          <w:sz w:val="24"/>
          <w:szCs w:val="24"/>
          <w:highlight w:val="none"/>
        </w:rPr>
        <w:t>25.2   政府采购评审专家应当遵守评审工作</w:t>
      </w:r>
      <w:r>
        <w:rPr>
          <w:rFonts w:hint="eastAsia" w:ascii="宋体" w:hAnsi="宋体" w:eastAsia="宋体" w:cs="宋体"/>
          <w:color w:val="auto"/>
          <w:spacing w:val="6"/>
          <w:sz w:val="24"/>
          <w:szCs w:val="24"/>
          <w:highlight w:val="none"/>
        </w:rPr>
        <w:t>纪律，不得泄露评审文件、评审情况和评审</w:t>
      </w:r>
      <w:r>
        <w:rPr>
          <w:rFonts w:hint="eastAsia" w:ascii="宋体" w:hAnsi="宋体" w:eastAsia="宋体" w:cs="宋体"/>
          <w:color w:val="auto"/>
          <w:spacing w:val="-6"/>
          <w:sz w:val="24"/>
          <w:szCs w:val="24"/>
          <w:highlight w:val="none"/>
        </w:rPr>
        <w:t>中获悉的商业秘密</w:t>
      </w:r>
      <w:r>
        <w:rPr>
          <w:rFonts w:hint="eastAsia" w:ascii="宋体" w:hAnsi="宋体" w:eastAsia="宋体" w:cs="宋体"/>
          <w:color w:val="auto"/>
          <w:spacing w:val="-6"/>
          <w:sz w:val="22"/>
          <w:szCs w:val="22"/>
          <w:highlight w:val="none"/>
        </w:rPr>
        <w:t>。</w:t>
      </w:r>
    </w:p>
    <w:p w14:paraId="504DDE3B">
      <w:pPr>
        <w:spacing w:line="296" w:lineRule="auto"/>
        <w:rPr>
          <w:rFonts w:hint="eastAsia" w:ascii="宋体" w:hAnsi="宋体" w:eastAsia="宋体" w:cs="宋体"/>
          <w:color w:val="auto"/>
          <w:sz w:val="21"/>
          <w:highlight w:val="none"/>
        </w:rPr>
      </w:pPr>
    </w:p>
    <w:p w14:paraId="364114DF">
      <w:pPr>
        <w:spacing w:before="91" w:line="224" w:lineRule="auto"/>
        <w:ind w:left="4377"/>
        <w:outlineLvl w:val="2"/>
        <w:rPr>
          <w:rFonts w:hint="eastAsia" w:ascii="宋体" w:hAnsi="宋体" w:eastAsia="宋体" w:cs="宋体"/>
          <w:color w:val="auto"/>
          <w:sz w:val="28"/>
          <w:szCs w:val="28"/>
          <w:highlight w:val="none"/>
        </w:rPr>
      </w:pPr>
      <w:bookmarkStart w:id="39" w:name="bookmark26"/>
      <w:bookmarkEnd w:id="39"/>
      <w:r>
        <w:rPr>
          <w:rFonts w:hint="eastAsia" w:ascii="宋体" w:hAnsi="宋体" w:eastAsia="宋体" w:cs="宋体"/>
          <w:color w:val="auto"/>
          <w:spacing w:val="-10"/>
          <w:sz w:val="28"/>
          <w:szCs w:val="28"/>
          <w:highlight w:val="none"/>
        </w:rPr>
        <w:t>六</w:t>
      </w:r>
      <w:r>
        <w:rPr>
          <w:rFonts w:hint="eastAsia" w:ascii="宋体" w:hAnsi="宋体" w:eastAsia="宋体" w:cs="宋体"/>
          <w:color w:val="auto"/>
          <w:spacing w:val="21"/>
          <w:sz w:val="28"/>
          <w:szCs w:val="28"/>
          <w:highlight w:val="none"/>
        </w:rPr>
        <w:t xml:space="preserve">   </w:t>
      </w:r>
      <w:r>
        <w:rPr>
          <w:rFonts w:hint="eastAsia" w:ascii="宋体" w:hAnsi="宋体" w:eastAsia="宋体" w:cs="宋体"/>
          <w:color w:val="auto"/>
          <w:spacing w:val="-10"/>
          <w:sz w:val="28"/>
          <w:szCs w:val="28"/>
          <w:highlight w:val="none"/>
        </w:rPr>
        <w:t>确定成交</w:t>
      </w:r>
    </w:p>
    <w:p w14:paraId="7D8117CC">
      <w:pPr>
        <w:spacing w:before="302"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26.成交候选人的确定原则及标准</w:t>
      </w:r>
    </w:p>
    <w:p w14:paraId="4FA70193">
      <w:pPr>
        <w:spacing w:before="48" w:line="233" w:lineRule="auto"/>
        <w:ind w:left="927" w:right="112" w:firstLine="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除第 28 条规定外，对实质上响应磋商文件的供应商按下列方法进行排序</w:t>
      </w:r>
      <w:r>
        <w:rPr>
          <w:rFonts w:hint="eastAsia" w:ascii="宋体" w:hAnsi="宋体" w:eastAsia="宋体" w:cs="宋体"/>
          <w:color w:val="auto"/>
          <w:sz w:val="24"/>
          <w:szCs w:val="24"/>
          <w:highlight w:val="none"/>
        </w:rPr>
        <w:t xml:space="preserve">，确定成 </w:t>
      </w:r>
      <w:r>
        <w:rPr>
          <w:rFonts w:hint="eastAsia" w:ascii="宋体" w:hAnsi="宋体" w:eastAsia="宋体" w:cs="宋体"/>
          <w:color w:val="auto"/>
          <w:spacing w:val="6"/>
          <w:sz w:val="24"/>
          <w:szCs w:val="24"/>
          <w:highlight w:val="none"/>
        </w:rPr>
        <w:t>交候选人：</w:t>
      </w:r>
      <w:r>
        <w:rPr>
          <w:rFonts w:hint="eastAsia" w:ascii="宋体" w:hAnsi="宋体" w:eastAsia="宋体" w:cs="宋体"/>
          <w:b/>
          <w:bCs/>
          <w:color w:val="auto"/>
          <w:spacing w:val="6"/>
          <w:sz w:val="24"/>
          <w:szCs w:val="24"/>
          <w:highlight w:val="none"/>
        </w:rPr>
        <w:t>采用综合评分法的，评标结果按评审后得分由高到低顺序排列。评审</w:t>
      </w:r>
      <w:r>
        <w:rPr>
          <w:rFonts w:hint="eastAsia" w:ascii="宋体" w:hAnsi="宋体" w:eastAsia="宋体" w:cs="宋体"/>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得分相同的，按修正和扣除后的磋商报价由低到</w:t>
      </w:r>
      <w:r>
        <w:rPr>
          <w:rFonts w:hint="eastAsia" w:ascii="宋体" w:hAnsi="宋体" w:eastAsia="宋体" w:cs="宋体"/>
          <w:b/>
          <w:bCs/>
          <w:color w:val="auto"/>
          <w:spacing w:val="4"/>
          <w:sz w:val="24"/>
          <w:szCs w:val="24"/>
          <w:highlight w:val="none"/>
        </w:rPr>
        <w:t>高顺序排列。得分与磋商报价</w:t>
      </w:r>
      <w:r>
        <w:rPr>
          <w:rFonts w:hint="eastAsia" w:ascii="宋体" w:hAnsi="宋体" w:eastAsia="宋体" w:cs="宋体"/>
          <w:b/>
          <w:bCs/>
          <w:color w:val="auto"/>
          <w:spacing w:val="-1"/>
          <w:sz w:val="24"/>
          <w:szCs w:val="24"/>
          <w:highlight w:val="none"/>
        </w:rPr>
        <w:t>均相同的处理方式详见磋商文件第</w:t>
      </w:r>
      <w:r>
        <w:rPr>
          <w:rFonts w:hint="eastAsia" w:ascii="宋体" w:hAnsi="宋体" w:eastAsia="宋体" w:cs="宋体"/>
          <w:color w:val="auto"/>
          <w:spacing w:val="-1"/>
          <w:sz w:val="24"/>
          <w:szCs w:val="24"/>
          <w:highlight w:val="none"/>
        </w:rPr>
        <w:t xml:space="preserve"> </w:t>
      </w:r>
      <w:r>
        <w:rPr>
          <w:rFonts w:hint="eastAsia" w:ascii="宋体" w:hAnsi="宋体" w:eastAsia="宋体" w:cs="宋体"/>
          <w:b/>
          <w:bCs/>
          <w:color w:val="auto"/>
          <w:spacing w:val="-1"/>
          <w:sz w:val="24"/>
          <w:szCs w:val="24"/>
          <w:highlight w:val="none"/>
        </w:rPr>
        <w:t>6</w:t>
      </w:r>
      <w:r>
        <w:rPr>
          <w:rFonts w:hint="eastAsia" w:ascii="宋体" w:hAnsi="宋体" w:eastAsia="宋体" w:cs="宋体"/>
          <w:color w:val="auto"/>
          <w:spacing w:val="-1"/>
          <w:sz w:val="24"/>
          <w:szCs w:val="24"/>
          <w:highlight w:val="none"/>
        </w:rPr>
        <w:t xml:space="preserve"> </w:t>
      </w:r>
      <w:r>
        <w:rPr>
          <w:rFonts w:hint="eastAsia" w:ascii="宋体" w:hAnsi="宋体" w:eastAsia="宋体" w:cs="宋体"/>
          <w:b/>
          <w:bCs/>
          <w:color w:val="auto"/>
          <w:spacing w:val="-1"/>
          <w:sz w:val="24"/>
          <w:szCs w:val="24"/>
          <w:highlight w:val="none"/>
        </w:rPr>
        <w:t>章</w:t>
      </w:r>
      <w:r>
        <w:rPr>
          <w:rFonts w:hint="eastAsia" w:ascii="宋体" w:hAnsi="宋体" w:eastAsia="宋体" w:cs="宋体"/>
          <w:color w:val="auto"/>
          <w:spacing w:val="-1"/>
          <w:sz w:val="24"/>
          <w:szCs w:val="24"/>
          <w:highlight w:val="none"/>
        </w:rPr>
        <w:t>。</w:t>
      </w:r>
    </w:p>
    <w:p w14:paraId="1E647E20">
      <w:pPr>
        <w:spacing w:before="32"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27.确定成交候选人和成交人</w:t>
      </w:r>
    </w:p>
    <w:p w14:paraId="69969C7D">
      <w:pPr>
        <w:spacing w:before="45" w:line="233" w:lineRule="auto"/>
        <w:ind w:left="921" w:right="189" w:hanging="18"/>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磋商小组将根据评标标准，按</w:t>
      </w:r>
      <w:r>
        <w:rPr>
          <w:rFonts w:hint="eastAsia" w:ascii="宋体" w:hAnsi="宋体" w:eastAsia="宋体" w:cs="宋体"/>
          <w:color w:val="auto"/>
          <w:spacing w:val="5"/>
          <w:sz w:val="24"/>
          <w:szCs w:val="24"/>
          <w:highlight w:val="none"/>
          <w:u w:val="single" w:color="auto"/>
        </w:rPr>
        <w:t>供应商须知资料表</w:t>
      </w:r>
      <w:r>
        <w:rPr>
          <w:rFonts w:hint="eastAsia" w:ascii="宋体" w:hAnsi="宋体" w:eastAsia="宋体" w:cs="宋体"/>
          <w:color w:val="auto"/>
          <w:spacing w:val="5"/>
          <w:sz w:val="24"/>
          <w:szCs w:val="24"/>
          <w:highlight w:val="none"/>
        </w:rPr>
        <w:t>中规定数量推荐成交候选人；</w:t>
      </w:r>
      <w:r>
        <w:rPr>
          <w:rFonts w:hint="eastAsia" w:ascii="宋体" w:hAnsi="宋体" w:eastAsia="宋体" w:cs="宋体"/>
          <w:b/>
          <w:bCs/>
          <w:color w:val="auto"/>
          <w:spacing w:val="5"/>
          <w:sz w:val="24"/>
          <w:szCs w:val="24"/>
          <w:highlight w:val="none"/>
          <w:u w:val="single" w:color="auto"/>
        </w:rPr>
        <w:t>磋</w:t>
      </w:r>
      <w:r>
        <w:rPr>
          <w:rFonts w:hint="eastAsia" w:ascii="宋体" w:hAnsi="宋体" w:eastAsia="宋体" w:cs="宋体"/>
          <w:b/>
          <w:bCs/>
          <w:color w:val="auto"/>
          <w:spacing w:val="1"/>
          <w:sz w:val="24"/>
          <w:szCs w:val="24"/>
          <w:highlight w:val="none"/>
          <w:u w:val="single" w:color="auto"/>
        </w:rPr>
        <w:t>商小组应当根据综合评分情况，按照评审得分</w:t>
      </w:r>
      <w:r>
        <w:rPr>
          <w:rFonts w:hint="eastAsia" w:ascii="宋体" w:hAnsi="宋体" w:eastAsia="宋体" w:cs="宋体"/>
          <w:b/>
          <w:bCs/>
          <w:color w:val="auto"/>
          <w:sz w:val="24"/>
          <w:szCs w:val="24"/>
          <w:highlight w:val="none"/>
          <w:u w:val="single" w:color="auto"/>
        </w:rPr>
        <w:t>由高到低顺序推荐3名成交候选供应</w:t>
      </w:r>
      <w:r>
        <w:rPr>
          <w:rFonts w:hint="eastAsia" w:ascii="宋体" w:hAnsi="宋体" w:eastAsia="宋体" w:cs="宋体"/>
          <w:b/>
          <w:bCs/>
          <w:color w:val="auto"/>
          <w:spacing w:val="3"/>
          <w:sz w:val="24"/>
          <w:szCs w:val="24"/>
          <w:highlight w:val="none"/>
          <w:u w:val="single" w:color="auto"/>
        </w:rPr>
        <w:t>商</w:t>
      </w:r>
      <w:r>
        <w:rPr>
          <w:rFonts w:hint="eastAsia" w:ascii="宋体" w:hAnsi="宋体" w:eastAsia="宋体" w:cs="宋体"/>
          <w:color w:val="auto"/>
          <w:spacing w:val="3"/>
          <w:sz w:val="24"/>
          <w:szCs w:val="24"/>
          <w:highlight w:val="none"/>
        </w:rPr>
        <w:t>或根据采购人的委托，直接确定成交人。</w:t>
      </w:r>
    </w:p>
    <w:p w14:paraId="0D922EB9">
      <w:pPr>
        <w:spacing w:before="39" w:line="222"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28.采购任务取消</w:t>
      </w:r>
    </w:p>
    <w:p w14:paraId="710C53D7">
      <w:pPr>
        <w:spacing w:before="48" w:line="230" w:lineRule="auto"/>
        <w:ind w:left="910" w:right="312" w:firstLine="6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因重大变故采购任务取消时，采购人有权拒绝任何供应商成交，且对受影响的</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供应商不承担任何责任。</w:t>
      </w:r>
    </w:p>
    <w:p w14:paraId="69ADD790">
      <w:pPr>
        <w:spacing w:before="31" w:line="224" w:lineRule="auto"/>
        <w:ind w:left="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29.成交通知书</w:t>
      </w:r>
    </w:p>
    <w:p w14:paraId="56ADA0D8">
      <w:pPr>
        <w:spacing w:before="16" w:line="222" w:lineRule="auto"/>
        <w:ind w:left="930" w:right="283" w:hanging="93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29.1   在磋商有效期内，成交人确定后，采购人或者采购代理机构发布成交公告，同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时以书面形式向成交人发出成交通知书；</w:t>
      </w:r>
    </w:p>
    <w:p w14:paraId="2864B1A6">
      <w:pPr>
        <w:spacing w:before="35" w:line="222"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29.2</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3"/>
          <w:sz w:val="24"/>
          <w:szCs w:val="24"/>
          <w:highlight w:val="none"/>
        </w:rPr>
        <w:t>成交通知书是合同的组成部分；</w:t>
      </w:r>
    </w:p>
    <w:p w14:paraId="2AE7118A">
      <w:pPr>
        <w:spacing w:before="17" w:line="224" w:lineRule="auto"/>
        <w:ind w:left="9"/>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30.签订合同</w:t>
      </w:r>
    </w:p>
    <w:p w14:paraId="7DF8E3CC">
      <w:pPr>
        <w:spacing w:before="9" w:line="222"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30.1   成交人应当自发出成交通知书之日起30日内，与采购人签订合同。</w:t>
      </w:r>
    </w:p>
    <w:p w14:paraId="42BCCFB8">
      <w:pPr>
        <w:spacing w:before="33" w:line="222"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30.2   磋商文件、成交人的响应文件及其澄清文件等，均为签订合同的依据。</w:t>
      </w:r>
    </w:p>
    <w:p w14:paraId="14F70DF7">
      <w:pPr>
        <w:spacing w:before="40" w:line="223" w:lineRule="auto"/>
        <w:ind w:left="818" w:right="288" w:hanging="81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30.3   成交人拒绝与采购人签订合同的，采购人可以按照评审报告推荐的成交候选人</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名单排序，确定下一成交候选人为成交人，也可以重新开展</w:t>
      </w:r>
      <w:r>
        <w:rPr>
          <w:rFonts w:hint="eastAsia" w:ascii="宋体" w:hAnsi="宋体" w:eastAsia="宋体" w:cs="宋体"/>
          <w:color w:val="auto"/>
          <w:spacing w:val="5"/>
          <w:sz w:val="24"/>
          <w:szCs w:val="24"/>
          <w:highlight w:val="none"/>
        </w:rPr>
        <w:t>政府采购活动。</w:t>
      </w:r>
    </w:p>
    <w:p w14:paraId="2AC93310">
      <w:pPr>
        <w:spacing w:before="40" w:line="221" w:lineRule="auto"/>
        <w:ind w:left="809" w:hanging="8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30.4  当出现法规规定的</w:t>
      </w:r>
      <w:r>
        <w:rPr>
          <w:rFonts w:hint="eastAsia" w:ascii="宋体" w:hAnsi="宋体" w:eastAsia="宋体" w:cs="宋体"/>
          <w:b/>
          <w:bCs/>
          <w:color w:val="auto"/>
          <w:spacing w:val="4"/>
          <w:sz w:val="24"/>
          <w:szCs w:val="24"/>
          <w:highlight w:val="none"/>
        </w:rPr>
        <w:t>成交无效或成交结果无效</w:t>
      </w:r>
      <w:r>
        <w:rPr>
          <w:rFonts w:hint="eastAsia" w:ascii="宋体" w:hAnsi="宋体" w:eastAsia="宋体" w:cs="宋体"/>
          <w:color w:val="auto"/>
          <w:spacing w:val="4"/>
          <w:sz w:val="24"/>
          <w:szCs w:val="24"/>
          <w:highlight w:val="none"/>
        </w:rPr>
        <w:t>情形时，采购人可与排名下一</w:t>
      </w:r>
      <w:r>
        <w:rPr>
          <w:rFonts w:hint="eastAsia" w:ascii="宋体" w:hAnsi="宋体" w:eastAsia="宋体" w:cs="宋体"/>
          <w:color w:val="auto"/>
          <w:spacing w:val="3"/>
          <w:sz w:val="24"/>
          <w:szCs w:val="24"/>
          <w:highlight w:val="none"/>
        </w:rPr>
        <w:t>位的成交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候选人另行签订合同，或依法重新开展采购活动。</w:t>
      </w:r>
    </w:p>
    <w:p w14:paraId="0FF74752">
      <w:pPr>
        <w:spacing w:before="20" w:line="221" w:lineRule="auto"/>
        <w:ind w:left="9"/>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31.履约保证金</w:t>
      </w:r>
    </w:p>
    <w:p w14:paraId="1658E2D7">
      <w:pPr>
        <w:spacing w:before="17" w:line="223" w:lineRule="auto"/>
        <w:ind w:left="919" w:right="304" w:hanging="9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31.1   成交人应按照</w:t>
      </w:r>
      <w:r>
        <w:rPr>
          <w:rFonts w:hint="eastAsia" w:ascii="宋体" w:hAnsi="宋体" w:eastAsia="宋体" w:cs="宋体"/>
          <w:color w:val="auto"/>
          <w:spacing w:val="9"/>
          <w:sz w:val="24"/>
          <w:szCs w:val="24"/>
          <w:highlight w:val="none"/>
          <w:u w:val="single" w:color="auto"/>
        </w:rPr>
        <w:t>供应商须知资料表</w:t>
      </w:r>
      <w:r>
        <w:rPr>
          <w:rFonts w:hint="eastAsia" w:ascii="宋体" w:hAnsi="宋体" w:eastAsia="宋体" w:cs="宋体"/>
          <w:color w:val="auto"/>
          <w:spacing w:val="9"/>
          <w:sz w:val="24"/>
          <w:szCs w:val="24"/>
          <w:highlight w:val="none"/>
        </w:rPr>
        <w:t>规定向采购人缴纳履约保证金(如采用保</w:t>
      </w:r>
      <w:r>
        <w:rPr>
          <w:rFonts w:hint="eastAsia" w:ascii="宋体" w:hAnsi="宋体" w:eastAsia="宋体" w:cs="宋体"/>
          <w:color w:val="auto"/>
          <w:spacing w:val="8"/>
          <w:sz w:val="24"/>
          <w:szCs w:val="24"/>
          <w:highlight w:val="none"/>
        </w:rPr>
        <w:t>函形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式,格式见本章附件1) 。</w:t>
      </w:r>
    </w:p>
    <w:p w14:paraId="4D05AC2A">
      <w:pPr>
        <w:spacing w:before="40" w:line="222" w:lineRule="auto"/>
        <w:ind w:left="859" w:right="292" w:hanging="85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31.2   政府采购利用担保试点范围内的项目，除31.1规定的情形外，成交人也可以按</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照财政部门的规定，向采购人提供合格的履约担保函(格式见本章附件2</w:t>
      </w:r>
      <w:r>
        <w:rPr>
          <w:rFonts w:hint="eastAsia" w:ascii="宋体" w:hAnsi="宋体" w:eastAsia="宋体" w:cs="宋体"/>
          <w:color w:val="auto"/>
          <w:spacing w:val="-2"/>
          <w:sz w:val="24"/>
          <w:szCs w:val="24"/>
          <w:highlight w:val="none"/>
        </w:rPr>
        <w:t>) 。</w:t>
      </w:r>
    </w:p>
    <w:p w14:paraId="4B1005B9">
      <w:pPr>
        <w:spacing w:before="43" w:line="224" w:lineRule="auto"/>
        <w:ind w:left="896" w:right="208" w:hanging="89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31.3   如果成交人没有按照上述履约保证金的规定执行，将视为放弃成交资格，成交</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4"/>
          <w:sz w:val="24"/>
          <w:szCs w:val="24"/>
          <w:highlight w:val="none"/>
        </w:rPr>
        <w:t>人的磋商保证金将不予退还。在此情况下，采购人可确定下一候选</w:t>
      </w:r>
      <w:r>
        <w:rPr>
          <w:rFonts w:hint="eastAsia" w:ascii="宋体" w:hAnsi="宋体" w:eastAsia="宋体" w:cs="宋体"/>
          <w:color w:val="auto"/>
          <w:spacing w:val="3"/>
          <w:sz w:val="24"/>
          <w:szCs w:val="24"/>
          <w:highlight w:val="none"/>
        </w:rPr>
        <w:t>人为成交人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,也可以重新开展采购活动。</w:t>
      </w:r>
    </w:p>
    <w:p w14:paraId="7B2FAB9A">
      <w:pPr>
        <w:spacing w:before="16" w:line="222" w:lineRule="auto"/>
        <w:ind w:left="9"/>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32.成交服务费</w:t>
      </w:r>
    </w:p>
    <w:p w14:paraId="5E29E146">
      <w:pPr>
        <w:spacing w:before="45" w:line="220" w:lineRule="auto"/>
        <w:ind w:left="13"/>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成交人须按照</w:t>
      </w:r>
      <w:r>
        <w:rPr>
          <w:rFonts w:hint="eastAsia" w:ascii="宋体" w:hAnsi="宋体" w:eastAsia="宋体" w:cs="宋体"/>
          <w:color w:val="auto"/>
          <w:spacing w:val="3"/>
          <w:sz w:val="24"/>
          <w:szCs w:val="24"/>
          <w:highlight w:val="none"/>
          <w:u w:val="single" w:color="auto"/>
        </w:rPr>
        <w:t>供应商须知资料表</w:t>
      </w:r>
      <w:r>
        <w:rPr>
          <w:rFonts w:hint="eastAsia" w:ascii="宋体" w:hAnsi="宋体" w:eastAsia="宋体" w:cs="宋体"/>
          <w:color w:val="auto"/>
          <w:spacing w:val="3"/>
          <w:sz w:val="24"/>
          <w:szCs w:val="24"/>
          <w:highlight w:val="none"/>
        </w:rPr>
        <w:t>规定， 向采购代理机构支</w:t>
      </w:r>
      <w:r>
        <w:rPr>
          <w:rFonts w:hint="eastAsia" w:ascii="宋体" w:hAnsi="宋体" w:eastAsia="宋体" w:cs="宋体"/>
          <w:color w:val="auto"/>
          <w:spacing w:val="2"/>
          <w:sz w:val="24"/>
          <w:szCs w:val="24"/>
          <w:highlight w:val="none"/>
        </w:rPr>
        <w:t>付成交服务费。</w:t>
      </w:r>
    </w:p>
    <w:p w14:paraId="47FD0794">
      <w:pPr>
        <w:spacing w:before="49" w:line="221" w:lineRule="auto"/>
        <w:ind w:left="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33.政府采购信用担保</w:t>
      </w:r>
    </w:p>
    <w:p w14:paraId="0B9452D2">
      <w:pPr>
        <w:spacing w:before="16" w:line="220"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33.1   本项目是否属于信用担保试点范围见</w:t>
      </w:r>
      <w:r>
        <w:rPr>
          <w:rFonts w:hint="eastAsia" w:ascii="宋体" w:hAnsi="宋体" w:eastAsia="宋体" w:cs="宋体"/>
          <w:color w:val="auto"/>
          <w:spacing w:val="6"/>
          <w:sz w:val="24"/>
          <w:szCs w:val="24"/>
          <w:highlight w:val="none"/>
          <w:u w:val="single" w:color="auto"/>
        </w:rPr>
        <w:t>供应商须知资料表</w:t>
      </w:r>
      <w:r>
        <w:rPr>
          <w:rFonts w:hint="eastAsia" w:ascii="宋体" w:hAnsi="宋体" w:eastAsia="宋体" w:cs="宋体"/>
          <w:color w:val="auto"/>
          <w:spacing w:val="6"/>
          <w:sz w:val="24"/>
          <w:szCs w:val="24"/>
          <w:highlight w:val="none"/>
        </w:rPr>
        <w:t>。</w:t>
      </w:r>
    </w:p>
    <w:p w14:paraId="54837E5F">
      <w:pPr>
        <w:spacing w:before="57" w:line="223" w:lineRule="auto"/>
        <w:ind w:left="838" w:right="96" w:hanging="83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33.2   如属于政府采购信用担保试点范围内，中小型企业供应商可以自由按照财政部门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的规定，采用磋商担保、履约担保和融资担保。</w:t>
      </w:r>
    </w:p>
    <w:p w14:paraId="1C9B0F69">
      <w:pPr>
        <w:spacing w:before="34" w:line="221"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33.2.1</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5"/>
          <w:sz w:val="24"/>
          <w:szCs w:val="24"/>
          <w:highlight w:val="none"/>
        </w:rPr>
        <w:t>供应商递交的磋商担保函和履约担保函应符合本磋商文件的规定。</w:t>
      </w:r>
    </w:p>
    <w:p w14:paraId="6CA47ED6">
      <w:pPr>
        <w:spacing w:before="37" w:line="221"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33.2.2</w:t>
      </w:r>
      <w:r>
        <w:rPr>
          <w:rFonts w:hint="eastAsia" w:ascii="宋体" w:hAnsi="宋体" w:eastAsia="宋体" w:cs="宋体"/>
          <w:color w:val="auto"/>
          <w:spacing w:val="96"/>
          <w:sz w:val="24"/>
          <w:szCs w:val="24"/>
          <w:highlight w:val="none"/>
        </w:rPr>
        <w:t xml:space="preserve"> </w:t>
      </w:r>
      <w:r>
        <w:rPr>
          <w:rFonts w:hint="eastAsia" w:ascii="宋体" w:hAnsi="宋体" w:eastAsia="宋体" w:cs="宋体"/>
          <w:color w:val="auto"/>
          <w:spacing w:val="4"/>
          <w:sz w:val="24"/>
          <w:szCs w:val="24"/>
          <w:highlight w:val="none"/>
        </w:rPr>
        <w:t>成交人可以采取融资担保的形式为政府采购项目履约进行融资。</w:t>
      </w:r>
    </w:p>
    <w:p w14:paraId="67016B00">
      <w:pPr>
        <w:spacing w:before="32" w:line="220"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33.2.3</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4"/>
          <w:sz w:val="24"/>
          <w:szCs w:val="24"/>
          <w:highlight w:val="none"/>
        </w:rPr>
        <w:t>合格的政府采购专业信用担保机构见</w:t>
      </w:r>
      <w:r>
        <w:rPr>
          <w:rFonts w:hint="eastAsia" w:ascii="宋体" w:hAnsi="宋体" w:eastAsia="宋体" w:cs="宋体"/>
          <w:color w:val="auto"/>
          <w:spacing w:val="4"/>
          <w:sz w:val="24"/>
          <w:szCs w:val="24"/>
          <w:highlight w:val="none"/>
          <w:u w:val="single" w:color="auto"/>
        </w:rPr>
        <w:t>供应商须知资料表</w:t>
      </w:r>
      <w:r>
        <w:rPr>
          <w:rFonts w:hint="eastAsia" w:ascii="宋体" w:hAnsi="宋体" w:eastAsia="宋体" w:cs="宋体"/>
          <w:color w:val="auto"/>
          <w:spacing w:val="4"/>
          <w:sz w:val="24"/>
          <w:szCs w:val="24"/>
          <w:highlight w:val="none"/>
        </w:rPr>
        <w:t>。</w:t>
      </w:r>
    </w:p>
    <w:p w14:paraId="6E547AB6">
      <w:pPr>
        <w:spacing w:before="19" w:line="222" w:lineRule="auto"/>
        <w:ind w:left="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34.廉洁自律规定</w:t>
      </w:r>
    </w:p>
    <w:p w14:paraId="3F3DEAE9">
      <w:pPr>
        <w:spacing w:before="17" w:line="220" w:lineRule="auto"/>
        <w:ind w:left="921" w:right="43" w:hanging="9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34.1   采购代理机构工作人员不得</w:t>
      </w:r>
      <w:r>
        <w:rPr>
          <w:rFonts w:hint="eastAsia" w:ascii="宋体" w:hAnsi="宋体" w:eastAsia="宋体" w:cs="宋体"/>
          <w:color w:val="auto"/>
          <w:spacing w:val="6"/>
          <w:sz w:val="24"/>
          <w:szCs w:val="24"/>
          <w:highlight w:val="none"/>
        </w:rPr>
        <w:t>以不正当手段获取政府采购代理业务，不得与采购人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、供应商恶意串通操纵政府采购活动。</w:t>
      </w:r>
    </w:p>
    <w:p w14:paraId="5E246B5C">
      <w:pPr>
        <w:spacing w:before="45" w:line="225" w:lineRule="auto"/>
        <w:ind w:left="890" w:right="16" w:hanging="88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34.2   采购代理机构工作人员不得接受</w:t>
      </w:r>
      <w:r>
        <w:rPr>
          <w:rFonts w:hint="eastAsia" w:ascii="宋体" w:hAnsi="宋体" w:eastAsia="宋体" w:cs="宋体"/>
          <w:color w:val="auto"/>
          <w:spacing w:val="6"/>
          <w:sz w:val="24"/>
          <w:szCs w:val="24"/>
          <w:highlight w:val="none"/>
        </w:rPr>
        <w:t>采购人或者供应商组织的宴请、旅游、娱乐，不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得收受礼品、现金、有价证券等，不得向采购人或者供应商报销应当由个人承担</w:t>
      </w:r>
    </w:p>
    <w:p w14:paraId="41F8D5BF">
      <w:pPr>
        <w:spacing w:before="6" w:line="224" w:lineRule="auto"/>
        <w:ind w:left="904"/>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的费用。</w:t>
      </w:r>
    </w:p>
    <w:p w14:paraId="78E51EEA">
      <w:pPr>
        <w:spacing w:before="29" w:line="223" w:lineRule="auto"/>
        <w:ind w:left="886" w:right="40" w:hanging="88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34.3   为强化采购代理机构内部监督机</w:t>
      </w:r>
      <w:r>
        <w:rPr>
          <w:rFonts w:hint="eastAsia" w:ascii="宋体" w:hAnsi="宋体" w:eastAsia="宋体" w:cs="宋体"/>
          <w:color w:val="auto"/>
          <w:spacing w:val="6"/>
          <w:sz w:val="24"/>
          <w:szCs w:val="24"/>
          <w:highlight w:val="none"/>
        </w:rPr>
        <w:t>制，供应商可按</w:t>
      </w:r>
      <w:r>
        <w:rPr>
          <w:rFonts w:hint="eastAsia" w:ascii="宋体" w:hAnsi="宋体" w:eastAsia="宋体" w:cs="宋体"/>
          <w:color w:val="auto"/>
          <w:spacing w:val="6"/>
          <w:sz w:val="24"/>
          <w:szCs w:val="24"/>
          <w:highlight w:val="none"/>
          <w:u w:val="single" w:color="auto"/>
        </w:rPr>
        <w:t>供应商须知资料表中的</w:t>
      </w:r>
      <w:r>
        <w:rPr>
          <w:rFonts w:hint="eastAsia" w:ascii="宋体" w:hAnsi="宋体" w:eastAsia="宋体" w:cs="宋体"/>
          <w:color w:val="auto"/>
          <w:spacing w:val="6"/>
          <w:sz w:val="24"/>
          <w:szCs w:val="24"/>
          <w:highlight w:val="none"/>
        </w:rPr>
        <w:t>监督电话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和信箱，反映采购代理机构的廉洁自律等问题。</w:t>
      </w:r>
    </w:p>
    <w:p w14:paraId="18823DCD">
      <w:pPr>
        <w:spacing w:before="18" w:line="224" w:lineRule="auto"/>
        <w:ind w:left="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35.人员回避</w:t>
      </w:r>
    </w:p>
    <w:p w14:paraId="1CDB84B7">
      <w:pPr>
        <w:spacing w:before="35" w:line="227" w:lineRule="auto"/>
        <w:ind w:left="933" w:right="186" w:hanging="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供应商认为采购人员及其相关人员有法律法规所列与其他供应商有利害关系的，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rPr>
        <w:t>可以向采购人或采购代理机构书面提出回避申请</w:t>
      </w:r>
      <w:r>
        <w:rPr>
          <w:rFonts w:hint="eastAsia" w:ascii="宋体" w:hAnsi="宋体" w:eastAsia="宋体" w:cs="宋体"/>
          <w:color w:val="auto"/>
          <w:spacing w:val="5"/>
          <w:sz w:val="24"/>
          <w:szCs w:val="24"/>
          <w:highlight w:val="none"/>
        </w:rPr>
        <w:t>，并说明理由。</w:t>
      </w:r>
    </w:p>
    <w:p w14:paraId="5FE0E88A">
      <w:pPr>
        <w:spacing w:before="41" w:line="223" w:lineRule="auto"/>
        <w:ind w:left="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36.质疑与接收</w:t>
      </w:r>
    </w:p>
    <w:p w14:paraId="62D798FF">
      <w:pPr>
        <w:spacing w:before="48" w:line="222" w:lineRule="auto"/>
        <w:ind w:left="504" w:hanging="504" w:hangingChars="200"/>
        <w:rPr>
          <w:rFonts w:hint="eastAsia" w:ascii="宋体" w:hAnsi="宋体" w:eastAsia="宋体" w:cs="宋体"/>
          <w:color w:val="auto"/>
          <w:spacing w:val="-3"/>
          <w:sz w:val="24"/>
          <w:szCs w:val="24"/>
          <w:highlight w:val="none"/>
        </w:rPr>
      </w:pPr>
      <w:r>
        <w:rPr>
          <w:rFonts w:hint="eastAsia" w:ascii="宋体" w:hAnsi="宋体" w:eastAsia="宋体" w:cs="宋体"/>
          <w:color w:val="auto"/>
          <w:spacing w:val="6"/>
          <w:sz w:val="24"/>
          <w:szCs w:val="24"/>
          <w:highlight w:val="none"/>
        </w:rPr>
        <w:t>36.1  供应商认为磋商文件、磋商过程和成交结果使自己的权益受到损害的，可以根据</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《中华人民共和国政府采购法》、《中华人民共和国政府采购法实施条例》和《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政府采购质疑和投诉办法》的有关规定，依法向采购人或其委托的采购代理机构</w:t>
      </w:r>
      <w:r>
        <w:rPr>
          <w:rFonts w:hint="eastAsia" w:ascii="宋体" w:hAnsi="宋体" w:eastAsia="宋体" w:cs="宋体"/>
          <w:color w:val="auto"/>
          <w:spacing w:val="-3"/>
          <w:sz w:val="24"/>
          <w:szCs w:val="24"/>
          <w:highlight w:val="none"/>
        </w:rPr>
        <w:t>提出质疑。</w:t>
      </w:r>
    </w:p>
    <w:p w14:paraId="43943D23">
      <w:pPr>
        <w:spacing w:before="48" w:line="222" w:lineRule="auto"/>
        <w:ind w:left="504" w:hanging="500" w:hanging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36.2  质疑供应商应按照财政部制定的《</w:t>
      </w:r>
      <w:r>
        <w:rPr>
          <w:rFonts w:hint="eastAsia" w:ascii="宋体" w:hAnsi="宋体" w:eastAsia="宋体" w:cs="宋体"/>
          <w:color w:val="auto"/>
          <w:spacing w:val="4"/>
          <w:sz w:val="24"/>
          <w:szCs w:val="24"/>
          <w:highlight w:val="none"/>
        </w:rPr>
        <w:t>政府采购质疑函范本》格式(可从财政部官方</w:t>
      </w:r>
    </w:p>
    <w:p w14:paraId="77A5A1B8">
      <w:pPr>
        <w:spacing w:before="15" w:line="227" w:lineRule="auto"/>
        <w:ind w:left="900" w:right="88" w:firstLine="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网站下载) 和《政府采购质疑和投诉办法》的要求</w:t>
      </w:r>
      <w:r>
        <w:rPr>
          <w:rFonts w:hint="eastAsia" w:ascii="宋体" w:hAnsi="宋体" w:eastAsia="宋体" w:cs="宋体"/>
          <w:color w:val="auto"/>
          <w:sz w:val="24"/>
          <w:szCs w:val="24"/>
          <w:highlight w:val="none"/>
        </w:rPr>
        <w:t xml:space="preserve">，在法定质疑期内以纸质形式提 </w:t>
      </w:r>
      <w:r>
        <w:rPr>
          <w:rFonts w:hint="eastAsia" w:ascii="宋体" w:hAnsi="宋体" w:eastAsia="宋体" w:cs="宋体"/>
          <w:color w:val="auto"/>
          <w:spacing w:val="3"/>
          <w:sz w:val="24"/>
          <w:szCs w:val="24"/>
          <w:highlight w:val="none"/>
        </w:rPr>
        <w:t>出质疑，针对同一采购程序环节的质疑应一次</w:t>
      </w:r>
      <w:r>
        <w:rPr>
          <w:rFonts w:hint="eastAsia" w:ascii="宋体" w:hAnsi="宋体" w:eastAsia="宋体" w:cs="宋体"/>
          <w:color w:val="auto"/>
          <w:spacing w:val="2"/>
          <w:sz w:val="24"/>
          <w:szCs w:val="24"/>
          <w:highlight w:val="none"/>
        </w:rPr>
        <w:t>性提出。</w:t>
      </w:r>
    </w:p>
    <w:p w14:paraId="46DF532E">
      <w:pPr>
        <w:spacing w:before="78" w:line="228" w:lineRule="auto"/>
        <w:ind w:left="858" w:right="182" w:hanging="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超出法定质疑期的、重复提出的、分次提出的或内容、形式不符合《政府采购质</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疑和投诉办法》的，质疑供应商将依法承担不利后果。</w:t>
      </w:r>
    </w:p>
    <w:p w14:paraId="28AEC010">
      <w:pPr>
        <w:spacing w:before="26" w:line="22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36.3  采购代理机构质疑函接收部门、联系电话和通讯地址,见</w:t>
      </w:r>
      <w:r>
        <w:rPr>
          <w:rFonts w:hint="eastAsia" w:ascii="宋体" w:hAnsi="宋体" w:eastAsia="宋体" w:cs="宋体"/>
          <w:color w:val="auto"/>
          <w:spacing w:val="7"/>
          <w:sz w:val="24"/>
          <w:szCs w:val="24"/>
          <w:highlight w:val="none"/>
          <w:u w:val="single" w:color="auto"/>
        </w:rPr>
        <w:t>供应商须知资料表。</w:t>
      </w:r>
    </w:p>
    <w:p w14:paraId="4A69BD48">
      <w:pPr>
        <w:spacing w:before="50" w:line="225"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36.4、质疑的提出</w:t>
      </w:r>
    </w:p>
    <w:p w14:paraId="39B06D58">
      <w:pPr>
        <w:spacing w:before="9" w:line="222" w:lineRule="auto"/>
        <w:ind w:left="948" w:right="93" w:hanging="9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36.5  本采购文件中所称质疑及答复，</w:t>
      </w:r>
      <w:r>
        <w:rPr>
          <w:rFonts w:hint="eastAsia" w:ascii="宋体" w:hAnsi="宋体" w:eastAsia="宋体" w:cs="宋体"/>
          <w:color w:val="auto"/>
          <w:spacing w:val="6"/>
          <w:sz w:val="24"/>
          <w:szCs w:val="24"/>
          <w:highlight w:val="none"/>
        </w:rPr>
        <w:t>是指参加本次采购活动的供应商对政府采购活动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中的采购文件、采购过程和成交结果向采购方提出质疑，采购方答复质疑的行为</w:t>
      </w:r>
    </w:p>
    <w:p w14:paraId="410ED72B">
      <w:pPr>
        <w:spacing w:before="47" w:line="224" w:lineRule="auto"/>
        <w:ind w:left="889" w:right="141" w:hanging="88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36.6   供应商认为采购文件、采购过程</w:t>
      </w:r>
      <w:r>
        <w:rPr>
          <w:rFonts w:hint="eastAsia" w:ascii="宋体" w:hAnsi="宋体" w:eastAsia="宋体" w:cs="宋体"/>
          <w:color w:val="auto"/>
          <w:spacing w:val="6"/>
          <w:sz w:val="24"/>
          <w:szCs w:val="24"/>
          <w:highlight w:val="none"/>
        </w:rPr>
        <w:t>和成交结果使自己的权益受到损害的，可以在知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道或者应知其权益受到损害之日起7个工作日内，以书面形式向采购方提出质疑。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供应商应知其权益受到损害之日，是指：</w:t>
      </w:r>
    </w:p>
    <w:p w14:paraId="4A5F360D">
      <w:pPr>
        <w:spacing w:before="27" w:line="226" w:lineRule="auto"/>
        <w:ind w:left="913" w:right="151" w:hanging="11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w:t>
      </w:r>
      <w:r>
        <w:rPr>
          <w:rFonts w:hint="eastAsia" w:ascii="宋体" w:hAnsi="宋体" w:eastAsia="宋体" w:cs="宋体"/>
          <w:color w:val="auto"/>
          <w:spacing w:val="75"/>
          <w:sz w:val="24"/>
          <w:szCs w:val="24"/>
          <w:highlight w:val="none"/>
        </w:rPr>
        <w:t xml:space="preserve"> </w:t>
      </w:r>
      <w:r>
        <w:rPr>
          <w:rFonts w:hint="eastAsia" w:ascii="宋体" w:hAnsi="宋体" w:eastAsia="宋体" w:cs="宋体"/>
          <w:color w:val="auto"/>
          <w:spacing w:val="3"/>
          <w:sz w:val="24"/>
          <w:szCs w:val="24"/>
          <w:highlight w:val="none"/>
        </w:rPr>
        <w:t>对可以质疑的采购文件提出质疑的，为收到采购文件之日或者采购文件公告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期限届满之日；</w:t>
      </w:r>
    </w:p>
    <w:p w14:paraId="6F9EEAB8">
      <w:pPr>
        <w:spacing w:before="35" w:line="220" w:lineRule="auto"/>
        <w:ind w:left="8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pacing w:val="2"/>
          <w:sz w:val="24"/>
          <w:szCs w:val="24"/>
          <w:highlight w:val="none"/>
        </w:rPr>
        <w:t>对采购过程提出质疑的，为各采购程序环节结束之日；</w:t>
      </w:r>
    </w:p>
    <w:p w14:paraId="629D40EF">
      <w:pPr>
        <w:spacing w:before="43" w:line="222" w:lineRule="auto"/>
        <w:ind w:left="8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(三)</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对成交结果提出质疑的，为成交结果公告期限</w:t>
      </w:r>
      <w:r>
        <w:rPr>
          <w:rFonts w:hint="eastAsia" w:ascii="宋体" w:hAnsi="宋体" w:eastAsia="宋体" w:cs="宋体"/>
          <w:color w:val="auto"/>
          <w:spacing w:val="2"/>
          <w:sz w:val="24"/>
          <w:szCs w:val="24"/>
          <w:highlight w:val="none"/>
        </w:rPr>
        <w:t>届满之日。</w:t>
      </w:r>
    </w:p>
    <w:p w14:paraId="5F5F8D2F">
      <w:pPr>
        <w:spacing w:before="39" w:line="223" w:lineRule="auto"/>
        <w:ind w:left="891" w:right="144" w:hanging="89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36.7   对可以质疑的采购文件提出</w:t>
      </w:r>
      <w:r>
        <w:rPr>
          <w:rFonts w:hint="eastAsia" w:ascii="宋体" w:hAnsi="宋体" w:eastAsia="宋体" w:cs="宋体"/>
          <w:color w:val="auto"/>
          <w:spacing w:val="6"/>
          <w:sz w:val="24"/>
          <w:szCs w:val="24"/>
          <w:highlight w:val="none"/>
        </w:rPr>
        <w:t>质疑的，质疑人为参与本项目的报价方或潜在报价方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。可质疑的文件为采购公告以及采购文件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(包括属于其组成部分</w:t>
      </w:r>
      <w:r>
        <w:rPr>
          <w:rFonts w:hint="eastAsia" w:ascii="宋体" w:hAnsi="宋体" w:eastAsia="宋体" w:cs="宋体"/>
          <w:color w:val="auto"/>
          <w:spacing w:val="2"/>
          <w:sz w:val="24"/>
          <w:szCs w:val="24"/>
          <w:highlight w:val="none"/>
        </w:rPr>
        <w:t>的澄清、修改、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补充文件和评审标准、合同文本等) 。</w:t>
      </w:r>
    </w:p>
    <w:p w14:paraId="5C3CA7EF">
      <w:pPr>
        <w:spacing w:before="49" w:line="223" w:lineRule="auto"/>
        <w:ind w:left="896" w:right="38" w:hanging="89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36.8   对采购过程和成交结果提出质疑的，质疑人为直接参与本项目的报价方。采</w:t>
      </w:r>
      <w:r>
        <w:rPr>
          <w:rFonts w:hint="eastAsia" w:ascii="宋体" w:hAnsi="宋体" w:eastAsia="宋体" w:cs="宋体"/>
          <w:color w:val="auto"/>
          <w:spacing w:val="8"/>
          <w:sz w:val="24"/>
          <w:szCs w:val="24"/>
          <w:highlight w:val="none"/>
        </w:rPr>
        <w:t>购过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程,即从采购项目信息公告发布起到成交结果公告止，包括采购文件的发出、提交</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5"/>
          <w:sz w:val="24"/>
          <w:szCs w:val="24"/>
          <w:highlight w:val="none"/>
        </w:rPr>
        <w:t>响应文件、响应文件开启、评审等各个采购程序环节。</w:t>
      </w:r>
    </w:p>
    <w:p w14:paraId="7F355DE3">
      <w:pPr>
        <w:spacing w:before="7" w:line="221"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36.9</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提出质疑应当符合下列条件：</w:t>
      </w:r>
    </w:p>
    <w:p w14:paraId="378C6A44">
      <w:pPr>
        <w:spacing w:before="32" w:line="221" w:lineRule="auto"/>
        <w:ind w:left="8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(一)</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4"/>
          <w:sz w:val="24"/>
          <w:szCs w:val="24"/>
          <w:highlight w:val="none"/>
        </w:rPr>
        <w:t>质疑主体应当符合有关规定；</w:t>
      </w:r>
    </w:p>
    <w:p w14:paraId="77DC87B2">
      <w:pPr>
        <w:spacing w:before="35" w:line="219" w:lineRule="auto"/>
        <w:ind w:left="8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(二)</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1"/>
          <w:sz w:val="24"/>
          <w:szCs w:val="24"/>
          <w:highlight w:val="none"/>
        </w:rPr>
        <w:t>在质疑法定期限内提出；</w:t>
      </w:r>
    </w:p>
    <w:p w14:paraId="2A22A841">
      <w:pPr>
        <w:spacing w:before="39" w:line="221" w:lineRule="auto"/>
        <w:ind w:right="19"/>
        <w:jc w:val="righ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(三)</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6"/>
          <w:sz w:val="24"/>
          <w:szCs w:val="24"/>
          <w:highlight w:val="none"/>
        </w:rPr>
        <w:t>属于可以提出质疑的政府采购事项受理范围和本项目采购人的管辖权范围；</w:t>
      </w:r>
    </w:p>
    <w:p w14:paraId="2D9B203D">
      <w:pPr>
        <w:spacing w:before="34" w:line="222" w:lineRule="auto"/>
        <w:ind w:left="800"/>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(四)</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1"/>
          <w:sz w:val="24"/>
          <w:szCs w:val="24"/>
          <w:highlight w:val="none"/>
        </w:rPr>
        <w:t>政府采购法律、法规、规章规定的其他条件。</w:t>
      </w:r>
    </w:p>
    <w:p w14:paraId="6B4A6FC0">
      <w:pPr>
        <w:spacing w:before="38" w:line="223" w:lineRule="auto"/>
        <w:ind w:left="819" w:hanging="81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37    提出质疑应当具有明确的请求和提供必要的证明材料。明确的请求,即质疑人在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质疑函中提出的，要求采购方对其予以支持的主</w:t>
      </w:r>
      <w:r>
        <w:rPr>
          <w:rFonts w:hint="eastAsia" w:ascii="宋体" w:hAnsi="宋体" w:eastAsia="宋体" w:cs="宋体"/>
          <w:color w:val="auto"/>
          <w:sz w:val="24"/>
          <w:szCs w:val="24"/>
          <w:highlight w:val="none"/>
        </w:rPr>
        <w:t>张。必要的证明材料,即能够证</w:t>
      </w:r>
      <w:r>
        <w:rPr>
          <w:rFonts w:hint="eastAsia" w:ascii="宋体" w:hAnsi="宋体" w:eastAsia="宋体" w:cs="宋体"/>
          <w:color w:val="auto"/>
          <w:spacing w:val="6"/>
          <w:sz w:val="24"/>
          <w:szCs w:val="24"/>
          <w:highlight w:val="none"/>
        </w:rPr>
        <w:t>明质疑人的质疑请求成立的必要材料，包括相关证据、依据和其他有关材料。</w:t>
      </w:r>
    </w:p>
    <w:p w14:paraId="527773B7">
      <w:pPr>
        <w:spacing w:before="42" w:line="221" w:lineRule="auto"/>
        <w:ind w:left="838" w:right="16" w:hanging="838"/>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37.1  质疑人所提供的证明材料应当具有真实性、合法性以及与质疑事项的关联性和证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明力，否则不能作为认定该质疑事项成立的依据。</w:t>
      </w:r>
    </w:p>
    <w:p w14:paraId="5CA35B68">
      <w:pPr>
        <w:spacing w:before="43"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37.2  质疑人提出质疑时应当提交质疑函。质疑函包括下列内容：</w:t>
      </w:r>
    </w:p>
    <w:p w14:paraId="123041C0">
      <w:pPr>
        <w:spacing w:before="32" w:line="221" w:lineRule="auto"/>
        <w:ind w:left="83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(一)</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1"/>
          <w:sz w:val="24"/>
          <w:szCs w:val="24"/>
          <w:highlight w:val="none"/>
        </w:rPr>
        <w:t>提出质疑的质疑人的名称</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、地址</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、邮编</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、联系人及联系电话等；</w:t>
      </w:r>
    </w:p>
    <w:p w14:paraId="5DDDFBCB">
      <w:pPr>
        <w:spacing w:before="37" w:line="221" w:lineRule="auto"/>
        <w:ind w:left="839"/>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(二)</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13"/>
          <w:sz w:val="24"/>
          <w:szCs w:val="24"/>
          <w:highlight w:val="none"/>
        </w:rPr>
        <w:t>质疑项 目的名称</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3"/>
          <w:sz w:val="24"/>
          <w:szCs w:val="24"/>
          <w:highlight w:val="none"/>
        </w:rPr>
        <w:t>、编号；</w:t>
      </w:r>
    </w:p>
    <w:p w14:paraId="7C32EE10">
      <w:pPr>
        <w:spacing w:before="37" w:line="222" w:lineRule="auto"/>
        <w:ind w:left="83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0"/>
          <w:sz w:val="24"/>
          <w:szCs w:val="24"/>
          <w:highlight w:val="none"/>
        </w:rPr>
        <w:t>质疑事项；</w:t>
      </w:r>
    </w:p>
    <w:p w14:paraId="324BE7E8">
      <w:pPr>
        <w:spacing w:before="33" w:line="220" w:lineRule="auto"/>
        <w:ind w:left="83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(四)</w:t>
      </w:r>
      <w:r>
        <w:rPr>
          <w:rFonts w:hint="eastAsia" w:ascii="宋体" w:hAnsi="宋体" w:eastAsia="宋体" w:cs="宋体"/>
          <w:color w:val="auto"/>
          <w:spacing w:val="82"/>
          <w:sz w:val="24"/>
          <w:szCs w:val="24"/>
          <w:highlight w:val="none"/>
        </w:rPr>
        <w:t xml:space="preserve"> </w:t>
      </w:r>
      <w:r>
        <w:rPr>
          <w:rFonts w:hint="eastAsia" w:ascii="宋体" w:hAnsi="宋体" w:eastAsia="宋体" w:cs="宋体"/>
          <w:color w:val="auto"/>
          <w:spacing w:val="-2"/>
          <w:sz w:val="24"/>
          <w:szCs w:val="24"/>
          <w:highlight w:val="none"/>
        </w:rPr>
        <w:t>事实依据和证明材料；</w:t>
      </w:r>
    </w:p>
    <w:p w14:paraId="75190A32">
      <w:pPr>
        <w:spacing w:before="41" w:line="222" w:lineRule="auto"/>
        <w:ind w:left="83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0"/>
          <w:sz w:val="24"/>
          <w:szCs w:val="24"/>
          <w:highlight w:val="none"/>
        </w:rPr>
        <w:t>法律依据；</w:t>
      </w:r>
    </w:p>
    <w:p w14:paraId="310C8CC2">
      <w:pPr>
        <w:spacing w:before="35" w:line="223" w:lineRule="auto"/>
        <w:ind w:left="839"/>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(六)</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6"/>
          <w:sz w:val="24"/>
          <w:szCs w:val="24"/>
          <w:highlight w:val="none"/>
        </w:rPr>
        <w:t>提出质疑的日期。</w:t>
      </w:r>
    </w:p>
    <w:p w14:paraId="684AA8CB">
      <w:pPr>
        <w:spacing w:before="42" w:line="221" w:lineRule="auto"/>
        <w:ind w:left="853" w:leftChars="406" w:right="16" w:firstLine="0" w:firstLineChars="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557EE25D">
      <w:pPr>
        <w:spacing w:before="49" w:line="222" w:lineRule="auto"/>
        <w:ind w:left="768" w:hanging="768" w:hangingChars="300"/>
        <w:outlineLvl w:val="1"/>
        <w:rPr>
          <w:rFonts w:hint="eastAsia" w:ascii="宋体" w:hAnsi="宋体" w:eastAsia="宋体" w:cs="宋体"/>
          <w:color w:val="auto"/>
          <w:spacing w:val="5"/>
          <w:sz w:val="24"/>
          <w:szCs w:val="24"/>
          <w:highlight w:val="none"/>
        </w:rPr>
      </w:pPr>
      <w:r>
        <w:rPr>
          <w:rFonts w:hint="eastAsia" w:ascii="宋体" w:hAnsi="宋体" w:eastAsia="宋体" w:cs="宋体"/>
          <w:color w:val="auto"/>
          <w:spacing w:val="8"/>
          <w:sz w:val="24"/>
          <w:szCs w:val="24"/>
          <w:highlight w:val="none"/>
        </w:rPr>
        <w:t>37.3</w:t>
      </w:r>
      <w:r>
        <w:rPr>
          <w:rFonts w:hint="eastAsia" w:ascii="宋体" w:hAnsi="宋体" w:eastAsia="宋体" w:cs="宋体"/>
          <w:color w:val="auto"/>
          <w:spacing w:val="100"/>
          <w:sz w:val="24"/>
          <w:szCs w:val="24"/>
          <w:highlight w:val="none"/>
        </w:rPr>
        <w:t xml:space="preserve"> </w:t>
      </w:r>
      <w:r>
        <w:rPr>
          <w:rFonts w:hint="eastAsia" w:ascii="宋体" w:hAnsi="宋体" w:eastAsia="宋体" w:cs="宋体"/>
          <w:color w:val="auto"/>
          <w:spacing w:val="8"/>
          <w:sz w:val="24"/>
          <w:szCs w:val="24"/>
          <w:highlight w:val="none"/>
        </w:rPr>
        <w:t>质疑人可以委托代理人进行质疑</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。代理人应当提交授权委托书。授权委托书应当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载明委托代理的具体权限</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
          <w:sz w:val="24"/>
          <w:szCs w:val="24"/>
          <w:highlight w:val="none"/>
        </w:rPr>
        <w:t>、期限和相关事项。</w:t>
      </w:r>
    </w:p>
    <w:p w14:paraId="157D4868">
      <w:pPr>
        <w:spacing w:before="49" w:line="222"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37.4</w:t>
      </w:r>
      <w:r>
        <w:rPr>
          <w:rFonts w:hint="eastAsia" w:ascii="宋体" w:hAnsi="宋体" w:eastAsia="宋体" w:cs="宋体"/>
          <w:color w:val="auto"/>
          <w:spacing w:val="93"/>
          <w:sz w:val="24"/>
          <w:szCs w:val="24"/>
          <w:highlight w:val="none"/>
        </w:rPr>
        <w:t xml:space="preserve"> </w:t>
      </w:r>
      <w:r>
        <w:rPr>
          <w:rFonts w:hint="eastAsia" w:ascii="宋体" w:hAnsi="宋体" w:eastAsia="宋体" w:cs="宋体"/>
          <w:color w:val="auto"/>
          <w:spacing w:val="3"/>
          <w:sz w:val="24"/>
          <w:szCs w:val="24"/>
          <w:highlight w:val="none"/>
        </w:rPr>
        <w:t>质疑的审查和受理</w:t>
      </w:r>
    </w:p>
    <w:p w14:paraId="3CA2D7B6">
      <w:pPr>
        <w:spacing w:before="34" w:line="223" w:lineRule="auto"/>
        <w:ind w:left="691" w:right="153" w:firstLine="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采购方在收到质疑函后应当及时审查是否符合质疑受理条件，对符合质疑受理条</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5"/>
          <w:sz w:val="24"/>
          <w:szCs w:val="24"/>
          <w:highlight w:val="none"/>
        </w:rPr>
        <w:t>件的，及时予以受理。</w:t>
      </w:r>
    </w:p>
    <w:p w14:paraId="1532F2B5">
      <w:pPr>
        <w:spacing w:before="34"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37.5</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9"/>
          <w:sz w:val="24"/>
          <w:szCs w:val="24"/>
          <w:highlight w:val="none"/>
        </w:rPr>
        <w:t>对不符合质疑受理条件的，分别按照下列不同</w:t>
      </w:r>
      <w:r>
        <w:rPr>
          <w:rFonts w:hint="eastAsia" w:ascii="宋体" w:hAnsi="宋体" w:eastAsia="宋体" w:cs="宋体"/>
          <w:color w:val="auto"/>
          <w:spacing w:val="8"/>
          <w:sz w:val="24"/>
          <w:szCs w:val="24"/>
          <w:highlight w:val="none"/>
        </w:rPr>
        <w:t>情形予以处理：</w:t>
      </w:r>
    </w:p>
    <w:p w14:paraId="0DB3AF12">
      <w:pPr>
        <w:spacing w:before="40" w:line="224" w:lineRule="auto"/>
        <w:ind w:left="813" w:right="33" w:hanging="26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（一）质疑函内容不符合规定的，告知质疑人进行修改并重新提出质疑</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。修改后质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疑事项仍不具体</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、不明确或者最终递交质疑函的时间超过质疑法定期限的，不予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受理；</w:t>
      </w:r>
    </w:p>
    <w:p w14:paraId="18B41F13">
      <w:pPr>
        <w:spacing w:before="32" w:line="221" w:lineRule="auto"/>
        <w:ind w:left="5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（二）质疑主体不符合有关规定的，告知质疑人不予受理；</w:t>
      </w:r>
    </w:p>
    <w:p w14:paraId="4A0E8639">
      <w:pPr>
        <w:spacing w:before="40" w:line="222" w:lineRule="auto"/>
        <w:ind w:left="55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（三）超过质疑法定期限提出质疑的，告知质疑人不予受理；</w:t>
      </w:r>
    </w:p>
    <w:p w14:paraId="15A7D862">
      <w:pPr>
        <w:spacing w:before="35" w:line="222" w:lineRule="auto"/>
        <w:ind w:left="5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（四）对不属于可以提出质疑的政府采购事项提出质疑的，告知质疑人不予受理；</w:t>
      </w:r>
    </w:p>
    <w:p w14:paraId="040D9D42">
      <w:pPr>
        <w:spacing w:before="35" w:line="229" w:lineRule="auto"/>
        <w:ind w:left="842" w:right="28" w:hanging="273"/>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（五）质疑不属于本项目采购方管辖的，告知质疑人向有管辖权的采购人提出质疑</w:t>
      </w:r>
      <w:r>
        <w:rPr>
          <w:rFonts w:hint="eastAsia" w:ascii="宋体" w:hAnsi="宋体" w:eastAsia="宋体" w:cs="宋体"/>
          <w:color w:val="auto"/>
          <w:sz w:val="24"/>
          <w:szCs w:val="24"/>
          <w:highlight w:val="none"/>
        </w:rPr>
        <w:t>;</w:t>
      </w:r>
    </w:p>
    <w:p w14:paraId="71CC67E7">
      <w:pPr>
        <w:spacing w:before="21" w:line="221" w:lineRule="auto"/>
        <w:ind w:left="550"/>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（六）质疑不符合其他条件的，告知质疑人不予受理。</w:t>
      </w:r>
    </w:p>
    <w:p w14:paraId="04EC7CDC">
      <w:pPr>
        <w:spacing w:before="37" w:line="223"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37.6</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3"/>
          <w:sz w:val="24"/>
          <w:szCs w:val="24"/>
          <w:highlight w:val="none"/>
        </w:rPr>
        <w:t>质疑的处理和答复</w:t>
      </w:r>
    </w:p>
    <w:p w14:paraId="3D65676A">
      <w:pPr>
        <w:spacing w:before="34" w:line="221" w:lineRule="auto"/>
        <w:ind w:left="819" w:right="48" w:hanging="81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 xml:space="preserve">37.7  采购方受理质疑后，将及时把质疑函发送给被质疑人，并要求其在一定限期内提 </w:t>
      </w:r>
      <w:r>
        <w:rPr>
          <w:rFonts w:hint="eastAsia" w:ascii="宋体" w:hAnsi="宋体" w:eastAsia="宋体" w:cs="宋体"/>
          <w:color w:val="auto"/>
          <w:spacing w:val="1"/>
          <w:sz w:val="24"/>
          <w:szCs w:val="24"/>
          <w:highlight w:val="none"/>
        </w:rPr>
        <w:t>交书面答复，同时提供有关证据</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、依据和相关材</w:t>
      </w:r>
      <w:r>
        <w:rPr>
          <w:rFonts w:hint="eastAsia" w:ascii="宋体" w:hAnsi="宋体" w:eastAsia="宋体" w:cs="宋体"/>
          <w:color w:val="auto"/>
          <w:sz w:val="24"/>
          <w:szCs w:val="24"/>
          <w:highlight w:val="none"/>
        </w:rPr>
        <w:t>料。</w:t>
      </w:r>
    </w:p>
    <w:p w14:paraId="2ABAD1CD">
      <w:pPr>
        <w:spacing w:before="53" w:line="221" w:lineRule="auto"/>
        <w:ind w:left="785" w:right="31" w:hanging="78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37.8  对于质疑事项中涉及的问题较多</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
          <w:sz w:val="24"/>
          <w:szCs w:val="24"/>
          <w:highlight w:val="none"/>
        </w:rPr>
        <w:t>、情况比较复杂的，为了全面查清事实</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、取得充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分的证据，采购方认为有必要时，可以进行调查取证或者组织质证。</w:t>
      </w:r>
    </w:p>
    <w:p w14:paraId="7A5F57FD">
      <w:pPr>
        <w:spacing w:before="49" w:line="222"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 xml:space="preserve">37.9 </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对评审过程、成交结果提出质疑的，采购方可以组织原评审委员会协助答复质疑</w:t>
      </w:r>
    </w:p>
    <w:p w14:paraId="4FE1F817">
      <w:pPr>
        <w:spacing w:before="37" w:line="220" w:lineRule="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38.   质疑处理过程中，质疑人书面申请撤回质疑的，将终止</w:t>
      </w:r>
      <w:r>
        <w:rPr>
          <w:rFonts w:hint="eastAsia" w:ascii="宋体" w:hAnsi="宋体" w:eastAsia="宋体" w:cs="宋体"/>
          <w:color w:val="auto"/>
          <w:spacing w:val="11"/>
          <w:sz w:val="24"/>
          <w:szCs w:val="24"/>
          <w:highlight w:val="none"/>
        </w:rPr>
        <w:t>质疑处理程序。</w:t>
      </w:r>
    </w:p>
    <w:p w14:paraId="57095B2A">
      <w:pPr>
        <w:spacing w:before="44" w:line="224" w:lineRule="auto"/>
        <w:ind w:left="813" w:right="31" w:hanging="81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38.1  质疑人拒绝配合采购方依法对质疑进行调查处</w:t>
      </w:r>
      <w:r>
        <w:rPr>
          <w:rFonts w:hint="eastAsia" w:ascii="宋体" w:hAnsi="宋体" w:eastAsia="宋体" w:cs="宋体"/>
          <w:color w:val="auto"/>
          <w:spacing w:val="8"/>
          <w:sz w:val="24"/>
          <w:szCs w:val="24"/>
          <w:highlight w:val="none"/>
        </w:rPr>
        <w:t>理的，采购方将按质疑人自动撤回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质疑处理；被质疑人拒绝配合采购方依法对质疑进行调查处理的，采购方将视同</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其认可质疑事项。</w:t>
      </w:r>
    </w:p>
    <w:p w14:paraId="247B53BC">
      <w:pPr>
        <w:spacing w:before="30"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38.2</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采购方将在正式受理质疑后7个工作日</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2"/>
          <w:sz w:val="24"/>
          <w:szCs w:val="24"/>
          <w:highlight w:val="none"/>
        </w:rPr>
        <w:t>内作出答复。</w:t>
      </w:r>
    </w:p>
    <w:p w14:paraId="598E4A32">
      <w:pPr>
        <w:spacing w:before="42" w:line="222"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38.3</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质疑答复应当包括下列内容：</w:t>
      </w:r>
    </w:p>
    <w:p w14:paraId="6FB5C8EF">
      <w:pPr>
        <w:spacing w:before="34" w:line="221" w:lineRule="auto"/>
        <w:ind w:left="77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（一）质疑人的姓名或者名称；</w:t>
      </w:r>
    </w:p>
    <w:p w14:paraId="06C0AE7A">
      <w:pPr>
        <w:spacing w:before="37" w:line="221" w:lineRule="auto"/>
        <w:ind w:left="77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 ）收到质疑函的日期</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6"/>
          <w:sz w:val="24"/>
          <w:szCs w:val="24"/>
          <w:highlight w:val="none"/>
        </w:rPr>
        <w:t>、质疑项目名称及编号；</w:t>
      </w:r>
    </w:p>
    <w:p w14:paraId="04FFBE76">
      <w:pPr>
        <w:spacing w:before="36" w:line="236" w:lineRule="auto"/>
        <w:ind w:left="778" w:right="19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（三）质疑事项</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、质疑答复的具体内容、事实依据和法律依据；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（四）告知质疑供应商依法投诉的权利；</w:t>
      </w:r>
    </w:p>
    <w:p w14:paraId="3B585E5E">
      <w:pPr>
        <w:spacing w:before="33" w:line="221" w:lineRule="auto"/>
        <w:ind w:left="77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（五）质疑答复人名称；</w:t>
      </w:r>
    </w:p>
    <w:p w14:paraId="46BC53B0">
      <w:pPr>
        <w:pStyle w:val="9"/>
        <w:spacing w:before="17" w:line="223" w:lineRule="auto"/>
        <w:ind w:left="782"/>
        <w:rPr>
          <w:rFonts w:hint="eastAsia" w:ascii="宋体" w:hAnsi="宋体" w:eastAsia="宋体" w:cs="宋体"/>
          <w:color w:val="auto"/>
          <w:sz w:val="22"/>
          <w:szCs w:val="22"/>
          <w:highlight w:val="none"/>
        </w:rPr>
      </w:pPr>
      <w:r>
        <w:rPr>
          <w:rFonts w:hint="eastAsia" w:ascii="宋体" w:hAnsi="宋体" w:eastAsia="宋体" w:cs="宋体"/>
          <w:color w:val="auto"/>
          <w:spacing w:val="-2"/>
          <w:sz w:val="24"/>
          <w:szCs w:val="24"/>
          <w:highlight w:val="none"/>
        </w:rPr>
        <w:t>（六）答复质疑的日期</w:t>
      </w:r>
      <w:r>
        <w:rPr>
          <w:rFonts w:hint="eastAsia" w:ascii="宋体" w:hAnsi="宋体" w:eastAsia="宋体" w:cs="宋体"/>
          <w:color w:val="auto"/>
          <w:spacing w:val="-2"/>
          <w:sz w:val="22"/>
          <w:szCs w:val="22"/>
          <w:highlight w:val="none"/>
        </w:rPr>
        <w:t>。</w:t>
      </w:r>
    </w:p>
    <w:p w14:paraId="5D3D3FA8">
      <w:pPr>
        <w:spacing w:line="223" w:lineRule="auto"/>
        <w:rPr>
          <w:rFonts w:hint="eastAsia" w:ascii="宋体" w:hAnsi="宋体" w:eastAsia="宋体" w:cs="宋体"/>
          <w:color w:val="auto"/>
          <w:sz w:val="22"/>
          <w:szCs w:val="22"/>
          <w:highlight w:val="none"/>
        </w:rPr>
        <w:sectPr>
          <w:footerReference r:id="rId13" w:type="default"/>
          <w:pgSz w:w="11906" w:h="16840"/>
          <w:pgMar w:top="1399" w:right="1120" w:bottom="1058" w:left="1112" w:header="0" w:footer="888" w:gutter="0"/>
          <w:pgNumType w:fmt="decimal"/>
          <w:cols w:space="720" w:num="1"/>
        </w:sectPr>
      </w:pPr>
    </w:p>
    <w:p w14:paraId="3202A948">
      <w:pPr>
        <w:spacing w:before="49" w:line="222" w:lineRule="auto"/>
        <w:ind w:left="425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质疑函范本</w:t>
      </w:r>
    </w:p>
    <w:p w14:paraId="3B7BF2D8">
      <w:pPr>
        <w:spacing w:before="178" w:line="222" w:lineRule="auto"/>
        <w:ind w:left="56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一</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、质疑供应商基本信息</w:t>
      </w:r>
    </w:p>
    <w:p w14:paraId="4331400E">
      <w:pPr>
        <w:spacing w:before="45" w:line="310" w:lineRule="auto"/>
        <w:ind w:left="550" w:right="2349" w:firstLine="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质疑供应商：</w:t>
      </w:r>
      <w:r>
        <w:rPr>
          <w:rFonts w:hint="eastAsia" w:ascii="宋体" w:hAnsi="宋体" w:eastAsia="宋体" w:cs="宋体"/>
          <w:color w:val="auto"/>
          <w:position w:val="-2"/>
          <w:sz w:val="24"/>
          <w:szCs w:val="24"/>
          <w:highlight w:val="none"/>
        </w:rPr>
        <w:drawing>
          <wp:inline distT="0" distB="0" distL="0" distR="0">
            <wp:extent cx="32766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3276600" cy="7619"/>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地址：</w:t>
      </w:r>
      <w:r>
        <w:rPr>
          <w:rFonts w:hint="eastAsia" w:ascii="宋体" w:hAnsi="宋体" w:eastAsia="宋体" w:cs="宋体"/>
          <w:color w:val="auto"/>
          <w:position w:val="-3"/>
          <w:sz w:val="24"/>
          <w:szCs w:val="24"/>
          <w:highlight w:val="none"/>
        </w:rPr>
        <w:drawing>
          <wp:inline distT="0" distB="0" distL="0" distR="0">
            <wp:extent cx="2101215"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6"/>
                    <a:stretch>
                      <a:fillRect/>
                    </a:stretch>
                  </pic:blipFill>
                  <pic:spPr>
                    <a:xfrm>
                      <a:off x="0" y="0"/>
                      <a:ext cx="2101595" cy="7619"/>
                    </a:xfrm>
                    <a:prstGeom prst="rect">
                      <a:avLst/>
                    </a:prstGeom>
                  </pic:spPr>
                </pic:pic>
              </a:graphicData>
            </a:graphic>
          </wp:inline>
        </w:drawing>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8"/>
          <w:sz w:val="24"/>
          <w:szCs w:val="24"/>
          <w:highlight w:val="none"/>
        </w:rPr>
        <w:t>邮编：</w:t>
      </w:r>
      <w:r>
        <w:rPr>
          <w:rFonts w:hint="eastAsia" w:ascii="宋体" w:hAnsi="宋体" w:eastAsia="宋体" w:cs="宋体"/>
          <w:color w:val="auto"/>
          <w:position w:val="-3"/>
          <w:sz w:val="24"/>
          <w:szCs w:val="24"/>
          <w:highlight w:val="none"/>
        </w:rPr>
        <w:drawing>
          <wp:inline distT="0" distB="0" distL="0" distR="0">
            <wp:extent cx="12192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7"/>
                    <a:stretch>
                      <a:fillRect/>
                    </a:stretch>
                  </pic:blipFill>
                  <pic:spPr>
                    <a:xfrm>
                      <a:off x="0" y="0"/>
                      <a:ext cx="1219200" cy="7619"/>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联系人：</w:t>
      </w:r>
      <w:r>
        <w:rPr>
          <w:rFonts w:hint="eastAsia" w:ascii="宋体" w:hAnsi="宋体" w:eastAsia="宋体" w:cs="宋体"/>
          <w:color w:val="auto"/>
          <w:position w:val="-3"/>
          <w:sz w:val="24"/>
          <w:szCs w:val="24"/>
          <w:highlight w:val="none"/>
        </w:rPr>
        <w:drawing>
          <wp:inline distT="0" distB="0" distL="0" distR="0">
            <wp:extent cx="1804035"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8"/>
                    <a:stretch>
                      <a:fillRect/>
                    </a:stretch>
                  </pic:blipFill>
                  <pic:spPr>
                    <a:xfrm>
                      <a:off x="0" y="0"/>
                      <a:ext cx="1804415" cy="7619"/>
                    </a:xfrm>
                    <a:prstGeom prst="rect">
                      <a:avLst/>
                    </a:prstGeom>
                  </pic:spPr>
                </pic:pic>
              </a:graphicData>
            </a:graphic>
          </wp:inline>
        </w:drawing>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8"/>
          <w:sz w:val="24"/>
          <w:szCs w:val="24"/>
          <w:highlight w:val="none"/>
        </w:rPr>
        <w:t>联系电话：</w:t>
      </w:r>
      <w:r>
        <w:rPr>
          <w:rFonts w:hint="eastAsia" w:ascii="宋体" w:hAnsi="宋体" w:eastAsia="宋体" w:cs="宋体"/>
          <w:color w:val="auto"/>
          <w:position w:val="-3"/>
          <w:sz w:val="24"/>
          <w:szCs w:val="24"/>
          <w:highlight w:val="none"/>
        </w:rPr>
        <w:drawing>
          <wp:inline distT="0" distB="0" distL="0" distR="0">
            <wp:extent cx="1143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9"/>
                    <a:stretch>
                      <a:fillRect/>
                    </a:stretch>
                  </pic:blipFill>
                  <pic:spPr>
                    <a:xfrm>
                      <a:off x="0" y="0"/>
                      <a:ext cx="1143000" cy="7619"/>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授权代表：</w:t>
      </w:r>
      <w:r>
        <w:rPr>
          <w:rFonts w:hint="eastAsia" w:ascii="宋体" w:hAnsi="宋体" w:eastAsia="宋体" w:cs="宋体"/>
          <w:color w:val="auto"/>
          <w:position w:val="-3"/>
          <w:sz w:val="24"/>
          <w:szCs w:val="24"/>
          <w:highlight w:val="none"/>
        </w:rPr>
        <w:drawing>
          <wp:inline distT="0" distB="0" distL="0" distR="0">
            <wp:extent cx="34290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0"/>
                    <a:stretch>
                      <a:fillRect/>
                    </a:stretch>
                  </pic:blipFill>
                  <pic:spPr>
                    <a:xfrm>
                      <a:off x="0" y="0"/>
                      <a:ext cx="3429000" cy="7619"/>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联系电话：</w:t>
      </w:r>
      <w:r>
        <w:rPr>
          <w:rFonts w:hint="eastAsia" w:ascii="宋体" w:hAnsi="宋体" w:eastAsia="宋体" w:cs="宋体"/>
          <w:color w:val="auto"/>
          <w:position w:val="-3"/>
          <w:sz w:val="24"/>
          <w:szCs w:val="24"/>
          <w:highlight w:val="none"/>
        </w:rPr>
        <w:drawing>
          <wp:inline distT="0" distB="0" distL="0" distR="0">
            <wp:extent cx="35052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1"/>
                    <a:stretch>
                      <a:fillRect/>
                    </a:stretch>
                  </pic:blipFill>
                  <pic:spPr>
                    <a:xfrm>
                      <a:off x="0" y="0"/>
                      <a:ext cx="3505200" cy="7619"/>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地址：</w:t>
      </w:r>
      <w:r>
        <w:rPr>
          <w:rFonts w:hint="eastAsia" w:ascii="宋体" w:hAnsi="宋体" w:eastAsia="宋体" w:cs="宋体"/>
          <w:color w:val="auto"/>
          <w:position w:val="-3"/>
          <w:sz w:val="24"/>
          <w:szCs w:val="24"/>
          <w:highlight w:val="none"/>
        </w:rPr>
        <w:drawing>
          <wp:inline distT="0" distB="0" distL="0" distR="0">
            <wp:extent cx="202374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2"/>
                    <a:stretch>
                      <a:fillRect/>
                    </a:stretch>
                  </pic:blipFill>
                  <pic:spPr>
                    <a:xfrm>
                      <a:off x="0" y="0"/>
                      <a:ext cx="2023872" cy="7619"/>
                    </a:xfrm>
                    <a:prstGeom prst="rect">
                      <a:avLst/>
                    </a:prstGeom>
                  </pic:spPr>
                </pic:pic>
              </a:graphicData>
            </a:graphic>
          </wp:inline>
        </w:drawing>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0"/>
          <w:sz w:val="24"/>
          <w:szCs w:val="24"/>
          <w:highlight w:val="none"/>
        </w:rPr>
        <w:t>邮编：</w:t>
      </w:r>
      <w:r>
        <w:rPr>
          <w:rFonts w:hint="eastAsia" w:ascii="宋体" w:hAnsi="宋体" w:eastAsia="宋体" w:cs="宋体"/>
          <w:color w:val="auto"/>
          <w:position w:val="-3"/>
          <w:sz w:val="24"/>
          <w:szCs w:val="24"/>
          <w:highlight w:val="none"/>
        </w:rPr>
        <w:drawing>
          <wp:inline distT="0" distB="0" distL="0" distR="0">
            <wp:extent cx="13716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3"/>
                    <a:stretch>
                      <a:fillRect/>
                    </a:stretch>
                  </pic:blipFill>
                  <pic:spPr>
                    <a:xfrm>
                      <a:off x="0" y="0"/>
                      <a:ext cx="1371600" cy="7619"/>
                    </a:xfrm>
                    <a:prstGeom prst="rect">
                      <a:avLst/>
                    </a:prstGeom>
                  </pic:spPr>
                </pic:pic>
              </a:graphicData>
            </a:graphic>
          </wp:inline>
        </w:drawing>
      </w:r>
    </w:p>
    <w:p w14:paraId="1F331AA5">
      <w:pPr>
        <w:spacing w:before="59" w:line="222" w:lineRule="auto"/>
        <w:ind w:left="572"/>
        <w:outlineLvl w:val="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6"/>
          <w:sz w:val="24"/>
          <w:szCs w:val="24"/>
          <w:highlight w:val="none"/>
        </w:rPr>
        <w:t>、质疑项目基本情况</w:t>
      </w:r>
    </w:p>
    <w:p w14:paraId="5D7EE293">
      <w:pPr>
        <w:spacing w:before="95" w:line="308" w:lineRule="auto"/>
        <w:ind w:left="557" w:right="2241" w:firstLine="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质疑项目的名称：</w:t>
      </w:r>
      <w:r>
        <w:rPr>
          <w:rFonts w:hint="eastAsia" w:ascii="宋体" w:hAnsi="宋体" w:eastAsia="宋体" w:cs="宋体"/>
          <w:color w:val="auto"/>
          <w:position w:val="-3"/>
          <w:sz w:val="24"/>
          <w:szCs w:val="24"/>
          <w:highlight w:val="none"/>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4"/>
                    <a:stretch>
                      <a:fillRect/>
                    </a:stretch>
                  </pic:blipFill>
                  <pic:spPr>
                    <a:xfrm>
                      <a:off x="0" y="0"/>
                      <a:ext cx="3124200" cy="7619"/>
                    </a:xfrm>
                    <a:prstGeom prst="rect">
                      <a:avLst/>
                    </a:prstGeom>
                  </pic:spPr>
                </pic:pic>
              </a:graphicData>
            </a:graphic>
          </wp:inline>
        </w:drawing>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2"/>
          <w:sz w:val="24"/>
          <w:szCs w:val="24"/>
          <w:highlight w:val="none"/>
        </w:rPr>
        <w:t>质疑项目的编号：</w:t>
      </w:r>
      <w:r>
        <w:rPr>
          <w:rFonts w:hint="eastAsia" w:ascii="宋体" w:hAnsi="宋体" w:eastAsia="宋体" w:cs="宋体"/>
          <w:color w:val="auto"/>
          <w:position w:val="-3"/>
          <w:sz w:val="24"/>
          <w:szCs w:val="24"/>
          <w:highlight w:val="none"/>
        </w:rPr>
        <w:drawing>
          <wp:inline distT="0" distB="0" distL="0" distR="0">
            <wp:extent cx="127381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5"/>
                    <a:stretch>
                      <a:fillRect/>
                    </a:stretch>
                  </pic:blipFill>
                  <pic:spPr>
                    <a:xfrm>
                      <a:off x="0" y="0"/>
                      <a:ext cx="1274063" cy="7619"/>
                    </a:xfrm>
                    <a:prstGeom prst="rect">
                      <a:avLst/>
                    </a:prstGeom>
                  </pic:spPr>
                </pic:pic>
              </a:graphicData>
            </a:graphic>
          </wp:inline>
        </w:drawing>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12"/>
          <w:sz w:val="24"/>
          <w:szCs w:val="24"/>
          <w:highlight w:val="none"/>
        </w:rPr>
        <w:t>包号：</w:t>
      </w:r>
      <w:r>
        <w:rPr>
          <w:rFonts w:hint="eastAsia" w:ascii="宋体" w:hAnsi="宋体" w:eastAsia="宋体" w:cs="宋体"/>
          <w:color w:val="auto"/>
          <w:position w:val="-3"/>
          <w:sz w:val="24"/>
          <w:szCs w:val="24"/>
          <w:highlight w:val="none"/>
        </w:rPr>
        <w:drawing>
          <wp:inline distT="0" distB="0" distL="0" distR="0">
            <wp:extent cx="14478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6"/>
                    <a:stretch>
                      <a:fillRect/>
                    </a:stretch>
                  </pic:blipFill>
                  <pic:spPr>
                    <a:xfrm>
                      <a:off x="0" y="0"/>
                      <a:ext cx="1447800" cy="7619"/>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采购人名称：</w:t>
      </w:r>
      <w:r>
        <w:rPr>
          <w:rFonts w:hint="eastAsia" w:ascii="宋体" w:hAnsi="宋体" w:eastAsia="宋体" w:cs="宋体"/>
          <w:color w:val="auto"/>
          <w:position w:val="-3"/>
          <w:sz w:val="24"/>
          <w:szCs w:val="24"/>
          <w:highlight w:val="none"/>
        </w:rPr>
        <w:drawing>
          <wp:inline distT="0" distB="0" distL="0" distR="0">
            <wp:extent cx="33528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7"/>
                    <a:stretch>
                      <a:fillRect/>
                    </a:stretch>
                  </pic:blipFill>
                  <pic:spPr>
                    <a:xfrm>
                      <a:off x="0" y="0"/>
                      <a:ext cx="3352800" cy="7619"/>
                    </a:xfrm>
                    <a:prstGeom prst="rect">
                      <a:avLst/>
                    </a:prstGeom>
                  </pic:spPr>
                </pic:pic>
              </a:graphicData>
            </a:graphic>
          </wp:inline>
        </w:drawing>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2"/>
          <w:sz w:val="24"/>
          <w:szCs w:val="24"/>
          <w:highlight w:val="none"/>
        </w:rPr>
        <w:t>采购文件获取</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2"/>
          <w:sz w:val="24"/>
          <w:szCs w:val="24"/>
          <w:highlight w:val="none"/>
        </w:rPr>
        <w:t>日期：</w:t>
      </w:r>
      <w:r>
        <w:rPr>
          <w:rFonts w:hint="eastAsia" w:ascii="宋体" w:hAnsi="宋体" w:eastAsia="宋体" w:cs="宋体"/>
          <w:color w:val="auto"/>
          <w:position w:val="-3"/>
          <w:sz w:val="24"/>
          <w:szCs w:val="24"/>
          <w:highlight w:val="none"/>
        </w:rPr>
        <w:drawing>
          <wp:inline distT="0" distB="0" distL="0" distR="0">
            <wp:extent cx="2895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8"/>
                    <a:stretch>
                      <a:fillRect/>
                    </a:stretch>
                  </pic:blipFill>
                  <pic:spPr>
                    <a:xfrm>
                      <a:off x="0" y="0"/>
                      <a:ext cx="2895600" cy="7619"/>
                    </a:xfrm>
                    <a:prstGeom prst="rect">
                      <a:avLst/>
                    </a:prstGeom>
                  </pic:spPr>
                </pic:pic>
              </a:graphicData>
            </a:graphic>
          </wp:inline>
        </w:drawing>
      </w:r>
    </w:p>
    <w:p w14:paraId="02530478">
      <w:pPr>
        <w:spacing w:before="49" w:line="222" w:lineRule="auto"/>
        <w:ind w:left="569"/>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三、质疑事项具体内容</w:t>
      </w:r>
    </w:p>
    <w:p w14:paraId="1DC15BBC">
      <w:pPr>
        <w:spacing w:before="104" w:line="298" w:lineRule="auto"/>
        <w:ind w:left="555" w:right="2438" w:firstLine="10"/>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质疑事项</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8"/>
          <w:sz w:val="24"/>
          <w:szCs w:val="24"/>
          <w:highlight w:val="none"/>
        </w:rPr>
        <w:t>1：</w:t>
      </w:r>
      <w:r>
        <w:rPr>
          <w:rFonts w:hint="eastAsia" w:ascii="宋体" w:hAnsi="宋体" w:eastAsia="宋体" w:cs="宋体"/>
          <w:color w:val="auto"/>
          <w:position w:val="-3"/>
          <w:sz w:val="24"/>
          <w:szCs w:val="24"/>
          <w:highlight w:val="none"/>
        </w:rPr>
        <w:drawing>
          <wp:inline distT="0" distB="0" distL="0" distR="0">
            <wp:extent cx="33528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9"/>
                    <a:stretch>
                      <a:fillRect/>
                    </a:stretch>
                  </pic:blipFill>
                  <pic:spPr>
                    <a:xfrm>
                      <a:off x="0" y="0"/>
                      <a:ext cx="3352800" cy="7620"/>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事实依据：</w:t>
      </w:r>
      <w:r>
        <w:rPr>
          <w:rFonts w:hint="eastAsia" w:ascii="宋体" w:hAnsi="宋体" w:eastAsia="宋体" w:cs="宋体"/>
          <w:color w:val="auto"/>
          <w:position w:val="-3"/>
          <w:sz w:val="24"/>
          <w:szCs w:val="24"/>
          <w:highlight w:val="none"/>
        </w:rPr>
        <w:drawing>
          <wp:inline distT="0" distB="0" distL="0" distR="0">
            <wp:extent cx="34290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0"/>
                    <a:stretch>
                      <a:fillRect/>
                    </a:stretch>
                  </pic:blipFill>
                  <pic:spPr>
                    <a:xfrm>
                      <a:off x="0" y="0"/>
                      <a:ext cx="3429000" cy="7620"/>
                    </a:xfrm>
                    <a:prstGeom prst="rect">
                      <a:avLst/>
                    </a:prstGeom>
                  </pic:spPr>
                </pic:pic>
              </a:graphicData>
            </a:graphic>
          </wp:inline>
        </w:drawing>
      </w:r>
    </w:p>
    <w:p w14:paraId="3E0CEA1F">
      <w:pPr>
        <w:tabs>
          <w:tab w:val="left" w:pos="6752"/>
        </w:tabs>
        <w:spacing w:before="97"/>
        <w:ind w:left="512"/>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u w:val="single" w:color="auto"/>
        </w:rPr>
        <w:tab/>
      </w:r>
    </w:p>
    <w:p w14:paraId="2B954B62">
      <w:pPr>
        <w:spacing w:before="107" w:line="219" w:lineRule="auto"/>
        <w:ind w:left="57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法律依据：</w:t>
      </w:r>
      <w:r>
        <w:rPr>
          <w:rFonts w:hint="eastAsia" w:ascii="宋体" w:hAnsi="宋体" w:eastAsia="宋体" w:cs="宋体"/>
          <w:color w:val="auto"/>
          <w:position w:val="-3"/>
          <w:sz w:val="24"/>
          <w:szCs w:val="24"/>
          <w:highlight w:val="none"/>
        </w:rPr>
        <w:drawing>
          <wp:inline distT="0" distB="0" distL="0" distR="0">
            <wp:extent cx="3429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1"/>
                    <a:stretch>
                      <a:fillRect/>
                    </a:stretch>
                  </pic:blipFill>
                  <pic:spPr>
                    <a:xfrm>
                      <a:off x="0" y="0"/>
                      <a:ext cx="3429000" cy="7620"/>
                    </a:xfrm>
                    <a:prstGeom prst="rect">
                      <a:avLst/>
                    </a:prstGeom>
                  </pic:spPr>
                </pic:pic>
              </a:graphicData>
            </a:graphic>
          </wp:inline>
        </w:drawing>
      </w:r>
    </w:p>
    <w:p w14:paraId="23B09D1C">
      <w:pPr>
        <w:tabs>
          <w:tab w:val="left" w:pos="6872"/>
        </w:tabs>
        <w:spacing w:before="176"/>
        <w:ind w:left="512"/>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u w:val="single" w:color="auto"/>
        </w:rPr>
        <w:tab/>
      </w:r>
    </w:p>
    <w:p w14:paraId="28D8F4F8">
      <w:pPr>
        <w:spacing w:before="104" w:line="311" w:lineRule="auto"/>
        <w:ind w:left="587" w:right="7941" w:hanging="2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质疑事项</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2"/>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3"/>
          <w:sz w:val="24"/>
          <w:szCs w:val="24"/>
          <w:highlight w:val="none"/>
        </w:rPr>
        <w:t>……</w:t>
      </w:r>
    </w:p>
    <w:p w14:paraId="570AC385">
      <w:pPr>
        <w:spacing w:line="220" w:lineRule="auto"/>
        <w:ind w:left="633"/>
        <w:outlineLvl w:val="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四</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6"/>
          <w:sz w:val="24"/>
          <w:szCs w:val="24"/>
          <w:highlight w:val="none"/>
        </w:rPr>
        <w:t>、与质疑事项相关的质疑请求</w:t>
      </w:r>
    </w:p>
    <w:p w14:paraId="702FA7A9">
      <w:pPr>
        <w:spacing w:before="122" w:line="301" w:lineRule="auto"/>
        <w:ind w:left="564" w:right="2407" w:hanging="1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请求：</w:t>
      </w:r>
      <w:r>
        <w:rPr>
          <w:rFonts w:hint="eastAsia" w:ascii="宋体" w:hAnsi="宋体" w:eastAsia="宋体" w:cs="宋体"/>
          <w:color w:val="auto"/>
          <w:position w:val="-3"/>
          <w:sz w:val="24"/>
          <w:szCs w:val="24"/>
          <w:highlight w:val="none"/>
        </w:rPr>
        <w:drawing>
          <wp:inline distT="0" distB="0" distL="0" distR="0">
            <wp:extent cx="38100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2"/>
                    <a:stretch>
                      <a:fillRect/>
                    </a:stretch>
                  </pic:blipFill>
                  <pic:spPr>
                    <a:xfrm>
                      <a:off x="0" y="0"/>
                      <a:ext cx="3810000" cy="7620"/>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签字(签章)：</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0"/>
          <w:sz w:val="24"/>
          <w:szCs w:val="24"/>
          <w:highlight w:val="none"/>
        </w:rPr>
        <w:t>公章：</w:t>
      </w:r>
    </w:p>
    <w:p w14:paraId="6C2730B2">
      <w:pPr>
        <w:spacing w:before="43" w:line="223" w:lineRule="auto"/>
        <w:ind w:left="697"/>
        <w:rPr>
          <w:rFonts w:hint="eastAsia" w:ascii="宋体" w:hAnsi="宋体" w:eastAsia="宋体" w:cs="宋体"/>
          <w:color w:val="auto"/>
          <w:sz w:val="24"/>
          <w:szCs w:val="24"/>
          <w:highlight w:val="none"/>
        </w:rPr>
      </w:pPr>
      <w:r>
        <w:rPr>
          <w:rFonts w:hint="eastAsia" w:ascii="宋体" w:hAnsi="宋体" w:eastAsia="宋体" w:cs="宋体"/>
          <w:color w:val="auto"/>
          <w:spacing w:val="-31"/>
          <w:sz w:val="24"/>
          <w:szCs w:val="24"/>
          <w:highlight w:val="none"/>
        </w:rPr>
        <w:t>日期：</w:t>
      </w:r>
    </w:p>
    <w:p w14:paraId="03B894D5">
      <w:pPr>
        <w:spacing w:before="55" w:line="221" w:lineRule="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质疑函制作说明：</w:t>
      </w:r>
    </w:p>
    <w:p w14:paraId="4EB390B5">
      <w:pPr>
        <w:spacing w:before="59" w:line="221" w:lineRule="auto"/>
        <w:ind w:left="505"/>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1.供应商提出质疑时</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pacing w:val="12"/>
          <w:sz w:val="22"/>
          <w:szCs w:val="22"/>
          <w:highlight w:val="none"/>
        </w:rPr>
        <w:t>，应提交质疑函和必要的证明材料。</w:t>
      </w:r>
    </w:p>
    <w:p w14:paraId="1C26B8C9">
      <w:pPr>
        <w:spacing w:before="74" w:line="222" w:lineRule="auto"/>
        <w:ind w:left="489"/>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2.质疑供应商若委托代理人进行质疑的</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11"/>
          <w:sz w:val="22"/>
          <w:szCs w:val="22"/>
          <w:highlight w:val="none"/>
        </w:rPr>
        <w:t>，质疑函应按要求列明“</w:t>
      </w:r>
      <w:r>
        <w:rPr>
          <w:rFonts w:hint="eastAsia" w:ascii="宋体" w:hAnsi="宋体" w:eastAsia="宋体" w:cs="宋体"/>
          <w:color w:val="auto"/>
          <w:spacing w:val="-82"/>
          <w:sz w:val="22"/>
          <w:szCs w:val="22"/>
          <w:highlight w:val="none"/>
        </w:rPr>
        <w:t xml:space="preserve"> </w:t>
      </w:r>
      <w:r>
        <w:rPr>
          <w:rFonts w:hint="eastAsia" w:ascii="宋体" w:hAnsi="宋体" w:eastAsia="宋体" w:cs="宋体"/>
          <w:color w:val="auto"/>
          <w:spacing w:val="11"/>
          <w:sz w:val="22"/>
          <w:szCs w:val="22"/>
          <w:highlight w:val="none"/>
        </w:rPr>
        <w:t>授权代表</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11"/>
          <w:sz w:val="22"/>
          <w:szCs w:val="22"/>
          <w:highlight w:val="none"/>
        </w:rPr>
        <w:t>”的有关内容</w:t>
      </w:r>
    </w:p>
    <w:p w14:paraId="67B0D715">
      <w:pPr>
        <w:spacing w:before="58" w:line="234" w:lineRule="auto"/>
        <w:ind w:left="20"/>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2"/>
          <w:sz w:val="22"/>
          <w:szCs w:val="22"/>
          <w:highlight w:val="none"/>
        </w:rPr>
        <w:t>并在附件中提交由质疑供应商签署的授权委托书。授权委托书应载明代理人的姓名或者名称</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、代理事项</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pacing w:val="7"/>
          <w:sz w:val="22"/>
          <w:szCs w:val="22"/>
          <w:highlight w:val="none"/>
        </w:rPr>
        <w:t>、具体权限</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spacing w:val="7"/>
          <w:sz w:val="22"/>
          <w:szCs w:val="22"/>
          <w:highlight w:val="none"/>
        </w:rPr>
        <w:t>、期限和相关事项。</w:t>
      </w:r>
    </w:p>
    <w:p w14:paraId="3AAF8FCD">
      <w:pPr>
        <w:spacing w:before="64" w:line="232" w:lineRule="auto"/>
        <w:ind w:left="452" w:right="1443" w:firstLine="17"/>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3.质疑供应商若对项</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11"/>
          <w:sz w:val="22"/>
          <w:szCs w:val="22"/>
          <w:highlight w:val="none"/>
        </w:rPr>
        <w:t>目的某一分包进行质疑</w:t>
      </w:r>
      <w:r>
        <w:rPr>
          <w:rFonts w:hint="eastAsia" w:ascii="宋体" w:hAnsi="宋体" w:eastAsia="宋体" w:cs="宋体"/>
          <w:color w:val="auto"/>
          <w:spacing w:val="-66"/>
          <w:sz w:val="22"/>
          <w:szCs w:val="22"/>
          <w:highlight w:val="none"/>
        </w:rPr>
        <w:t xml:space="preserve"> </w:t>
      </w:r>
      <w:r>
        <w:rPr>
          <w:rFonts w:hint="eastAsia" w:ascii="宋体" w:hAnsi="宋体" w:eastAsia="宋体" w:cs="宋体"/>
          <w:color w:val="auto"/>
          <w:spacing w:val="11"/>
          <w:sz w:val="22"/>
          <w:szCs w:val="22"/>
          <w:highlight w:val="none"/>
        </w:rPr>
        <w:t>，质疑函中应列明具体</w:t>
      </w:r>
      <w:r>
        <w:rPr>
          <w:rFonts w:hint="eastAsia" w:ascii="宋体" w:hAnsi="宋体" w:eastAsia="宋体" w:cs="宋体"/>
          <w:color w:val="auto"/>
          <w:spacing w:val="10"/>
          <w:sz w:val="22"/>
          <w:szCs w:val="22"/>
          <w:highlight w:val="none"/>
        </w:rPr>
        <w:t>分包号。</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1"/>
          <w:sz w:val="22"/>
          <w:szCs w:val="22"/>
          <w:highlight w:val="none"/>
        </w:rPr>
        <w:t>4.质疑函的质疑事项应具体</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1"/>
          <w:sz w:val="22"/>
          <w:szCs w:val="22"/>
          <w:highlight w:val="none"/>
        </w:rPr>
        <w:t>、 明确</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spacing w:val="11"/>
          <w:sz w:val="22"/>
          <w:szCs w:val="22"/>
          <w:highlight w:val="none"/>
        </w:rPr>
        <w:t>，并有必要的事</w:t>
      </w:r>
      <w:r>
        <w:rPr>
          <w:rFonts w:hint="eastAsia" w:ascii="宋体" w:hAnsi="宋体" w:eastAsia="宋体" w:cs="宋体"/>
          <w:color w:val="auto"/>
          <w:spacing w:val="10"/>
          <w:sz w:val="22"/>
          <w:szCs w:val="22"/>
          <w:highlight w:val="none"/>
        </w:rPr>
        <w:t>实依据和法律依据。</w:t>
      </w:r>
    </w:p>
    <w:p w14:paraId="6CC41C67">
      <w:pPr>
        <w:spacing w:before="54" w:line="221" w:lineRule="auto"/>
        <w:ind w:left="465"/>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5.质疑函的质疑请求应与质疑事项相关。</w:t>
      </w:r>
    </w:p>
    <w:p w14:paraId="74B46D3C">
      <w:pPr>
        <w:spacing w:before="56" w:line="222" w:lineRule="auto"/>
        <w:ind w:left="462"/>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6.质疑供应商为</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12"/>
          <w:sz w:val="22"/>
          <w:szCs w:val="22"/>
          <w:highlight w:val="none"/>
        </w:rPr>
        <w:t>自然人的</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12"/>
          <w:sz w:val="22"/>
          <w:szCs w:val="22"/>
          <w:highlight w:val="none"/>
        </w:rPr>
        <w:t>，质疑函应由本人签字</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pacing w:val="12"/>
          <w:sz w:val="22"/>
          <w:szCs w:val="22"/>
          <w:highlight w:val="none"/>
        </w:rPr>
        <w:t>；质疑供应商为法人或者其他组织的，</w:t>
      </w:r>
    </w:p>
    <w:p w14:paraId="5860CA27">
      <w:pPr>
        <w:spacing w:before="26" w:line="221" w:lineRule="auto"/>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质疑函应由法定代表人</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13"/>
          <w:sz w:val="22"/>
          <w:szCs w:val="22"/>
          <w:highlight w:val="none"/>
        </w:rPr>
        <w:t>、主要负责人</w:t>
      </w:r>
      <w:r>
        <w:rPr>
          <w:rFonts w:hint="eastAsia" w:ascii="宋体" w:hAnsi="宋体" w:eastAsia="宋体" w:cs="宋体"/>
          <w:color w:val="auto"/>
          <w:spacing w:val="-61"/>
          <w:sz w:val="22"/>
          <w:szCs w:val="22"/>
          <w:highlight w:val="none"/>
        </w:rPr>
        <w:t xml:space="preserve"> </w:t>
      </w:r>
      <w:r>
        <w:rPr>
          <w:rFonts w:hint="eastAsia" w:ascii="宋体" w:hAnsi="宋体" w:eastAsia="宋体" w:cs="宋体"/>
          <w:color w:val="auto"/>
          <w:spacing w:val="13"/>
          <w:sz w:val="22"/>
          <w:szCs w:val="22"/>
          <w:highlight w:val="none"/>
        </w:rPr>
        <w:t>，或者其</w:t>
      </w:r>
      <w:r>
        <w:rPr>
          <w:rFonts w:hint="eastAsia" w:ascii="宋体" w:hAnsi="宋体" w:eastAsia="宋体" w:cs="宋体"/>
          <w:color w:val="auto"/>
          <w:spacing w:val="12"/>
          <w:sz w:val="22"/>
          <w:szCs w:val="22"/>
          <w:highlight w:val="none"/>
        </w:rPr>
        <w:t>授权代表签字或者盖章</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2"/>
          <w:sz w:val="22"/>
          <w:szCs w:val="22"/>
          <w:highlight w:val="none"/>
        </w:rPr>
        <w:t>，并加盖公章。</w:t>
      </w:r>
    </w:p>
    <w:p w14:paraId="1670A276">
      <w:pPr>
        <w:spacing w:line="221" w:lineRule="auto"/>
        <w:rPr>
          <w:rFonts w:hint="eastAsia" w:ascii="宋体" w:hAnsi="宋体" w:eastAsia="宋体" w:cs="宋体"/>
          <w:color w:val="auto"/>
          <w:sz w:val="22"/>
          <w:szCs w:val="22"/>
          <w:highlight w:val="none"/>
        </w:rPr>
        <w:sectPr>
          <w:footerReference r:id="rId14" w:type="default"/>
          <w:pgSz w:w="11906" w:h="16840"/>
          <w:pgMar w:top="1399" w:right="1127" w:bottom="1058" w:left="1119" w:header="0" w:footer="889" w:gutter="0"/>
          <w:pgNumType w:fmt="decimal"/>
          <w:cols w:space="720" w:num="1"/>
        </w:sectPr>
      </w:pPr>
    </w:p>
    <w:p w14:paraId="26CEB543">
      <w:pPr>
        <w:spacing w:before="223" w:line="317" w:lineRule="auto"/>
        <w:ind w:left="3961" w:right="2621" w:hanging="800"/>
        <w:rPr>
          <w:rFonts w:hint="eastAsia" w:ascii="宋体" w:hAnsi="宋体" w:eastAsia="宋体" w:cs="宋体"/>
          <w:color w:val="auto"/>
          <w:sz w:val="22"/>
          <w:szCs w:val="22"/>
          <w:highlight w:val="none"/>
        </w:rPr>
      </w:pPr>
      <w:r>
        <w:rPr>
          <w:rFonts w:hint="eastAsia" w:ascii="宋体" w:hAnsi="宋体" w:eastAsia="宋体" w:cs="宋体"/>
          <w:color w:val="auto"/>
          <w:spacing w:val="-12"/>
          <w:sz w:val="28"/>
          <w:szCs w:val="28"/>
          <w:highlight w:val="none"/>
        </w:rPr>
        <w:t>附件1：履约保证金保函</w:t>
      </w:r>
      <w:r>
        <w:rPr>
          <w:rFonts w:hint="eastAsia" w:ascii="宋体" w:hAnsi="宋体" w:eastAsia="宋体" w:cs="宋体"/>
          <w:color w:val="auto"/>
          <w:spacing w:val="106"/>
          <w:sz w:val="28"/>
          <w:szCs w:val="28"/>
          <w:highlight w:val="none"/>
        </w:rPr>
        <w:t xml:space="preserve"> </w:t>
      </w:r>
      <w:r>
        <w:rPr>
          <w:rFonts w:hint="eastAsia" w:ascii="宋体" w:hAnsi="宋体" w:eastAsia="宋体" w:cs="宋体"/>
          <w:color w:val="auto"/>
          <w:spacing w:val="-12"/>
          <w:sz w:val="28"/>
          <w:szCs w:val="28"/>
          <w:highlight w:val="none"/>
        </w:rPr>
        <w:t>(格式)</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3"/>
          <w:sz w:val="22"/>
          <w:szCs w:val="22"/>
          <w:highlight w:val="none"/>
        </w:rPr>
        <w:t>(本项</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3"/>
          <w:sz w:val="22"/>
          <w:szCs w:val="22"/>
          <w:highlight w:val="none"/>
        </w:rPr>
        <w:t>目不适用)</w:t>
      </w:r>
    </w:p>
    <w:p w14:paraId="1150ED2A">
      <w:pPr>
        <w:spacing w:before="260" w:line="214"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111"/>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i/>
          <w:iCs/>
          <w:color w:val="auto"/>
          <w:spacing w:val="-7"/>
          <w:sz w:val="26"/>
          <w:szCs w:val="26"/>
          <w:highlight w:val="none"/>
          <w:u w:val="single" w:color="auto"/>
        </w:rPr>
        <w:t>买方名称</w:t>
      </w:r>
      <w:r>
        <w:rPr>
          <w:rFonts w:hint="eastAsia" w:ascii="宋体" w:hAnsi="宋体" w:eastAsia="宋体" w:cs="宋体"/>
          <w:color w:val="auto"/>
          <w:spacing w:val="-7"/>
          <w:sz w:val="24"/>
          <w:szCs w:val="24"/>
          <w:highlight w:val="none"/>
        </w:rPr>
        <w:t>)</w:t>
      </w:r>
    </w:p>
    <w:p w14:paraId="42843718">
      <w:pPr>
        <w:tabs>
          <w:tab w:val="left" w:pos="5012"/>
        </w:tabs>
        <w:spacing w:before="24" w:line="221" w:lineRule="auto"/>
        <w:ind w:left="3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1"/>
          <w:sz w:val="24"/>
          <w:szCs w:val="24"/>
          <w:highlight w:val="none"/>
        </w:rPr>
        <w:t>号合同履约保函</w:t>
      </w:r>
    </w:p>
    <w:p w14:paraId="731B90F4">
      <w:pPr>
        <w:spacing w:line="335" w:lineRule="auto"/>
        <w:rPr>
          <w:rFonts w:hint="eastAsia" w:ascii="宋体" w:hAnsi="宋体" w:eastAsia="宋体" w:cs="宋体"/>
          <w:color w:val="auto"/>
          <w:sz w:val="21"/>
          <w:highlight w:val="none"/>
        </w:rPr>
      </w:pPr>
    </w:p>
    <w:p w14:paraId="4CF382E5">
      <w:pPr>
        <w:spacing w:before="84" w:line="211"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本保函作为贵方与  (</w:t>
      </w:r>
      <w:r>
        <w:rPr>
          <w:rFonts w:hint="eastAsia" w:ascii="宋体" w:hAnsi="宋体" w:eastAsia="宋体" w:cs="宋体"/>
          <w:i/>
          <w:iCs/>
          <w:color w:val="auto"/>
          <w:spacing w:val="-10"/>
          <w:sz w:val="26"/>
          <w:szCs w:val="26"/>
          <w:highlight w:val="none"/>
          <w:u w:val="single" w:color="auto"/>
        </w:rPr>
        <w:t>卖方名称</w:t>
      </w:r>
      <w:r>
        <w:rPr>
          <w:rFonts w:hint="eastAsia" w:ascii="宋体" w:hAnsi="宋体" w:eastAsia="宋体" w:cs="宋体"/>
          <w:color w:val="auto"/>
          <w:spacing w:val="-10"/>
          <w:sz w:val="24"/>
          <w:szCs w:val="24"/>
          <w:highlight w:val="none"/>
        </w:rPr>
        <w:t>)  (</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1"/>
          <w:sz w:val="24"/>
          <w:szCs w:val="24"/>
          <w:highlight w:val="none"/>
        </w:rPr>
        <w:t>以</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1"/>
          <w:sz w:val="24"/>
          <w:szCs w:val="24"/>
          <w:highlight w:val="none"/>
        </w:rPr>
        <w:t>下简称卖方)于</w:t>
      </w:r>
      <w:r>
        <w:rPr>
          <w:rFonts w:hint="eastAsia" w:ascii="宋体" w:hAnsi="宋体" w:eastAsia="宋体" w:cs="宋体"/>
          <w:color w:val="auto"/>
          <w:spacing w:val="-118"/>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11"/>
          <w:sz w:val="24"/>
          <w:szCs w:val="24"/>
          <w:highlight w:val="none"/>
        </w:rPr>
        <w:t>年</w:t>
      </w:r>
      <w:r>
        <w:rPr>
          <w:rFonts w:hint="eastAsia" w:ascii="宋体" w:hAnsi="宋体" w:eastAsia="宋体" w:cs="宋体"/>
          <w:color w:val="auto"/>
          <w:spacing w:val="-11"/>
          <w:sz w:val="24"/>
          <w:szCs w:val="24"/>
          <w:highlight w:val="none"/>
          <w:u w:val="single" w:color="auto"/>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月  日就</w:t>
      </w:r>
      <w:r>
        <w:rPr>
          <w:rFonts w:hint="eastAsia" w:ascii="宋体" w:hAnsi="宋体" w:eastAsia="宋体" w:cs="宋体"/>
          <w:color w:val="auto"/>
          <w:spacing w:val="-110"/>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9"/>
          <w:sz w:val="24"/>
          <w:szCs w:val="24"/>
          <w:highlight w:val="none"/>
        </w:rPr>
        <w:t>项目(以下简称项目)项下提供(</w:t>
      </w:r>
      <w:r>
        <w:rPr>
          <w:rFonts w:hint="eastAsia" w:ascii="宋体" w:hAnsi="宋体" w:eastAsia="宋体" w:cs="宋体"/>
          <w:i/>
          <w:iCs/>
          <w:color w:val="auto"/>
          <w:spacing w:val="-9"/>
          <w:sz w:val="26"/>
          <w:szCs w:val="26"/>
          <w:highlight w:val="none"/>
          <w:u w:val="single" w:color="auto"/>
        </w:rPr>
        <w:t>服务/货物名称</w:t>
      </w:r>
      <w:r>
        <w:rPr>
          <w:rFonts w:hint="eastAsia" w:ascii="宋体" w:hAnsi="宋体" w:eastAsia="宋体" w:cs="宋体"/>
          <w:color w:val="auto"/>
          <w:spacing w:val="-9"/>
          <w:sz w:val="24"/>
          <w:szCs w:val="24"/>
          <w:highlight w:val="none"/>
        </w:rPr>
        <w:t>)  (以下简称</w:t>
      </w:r>
      <w:r>
        <w:rPr>
          <w:rFonts w:hint="eastAsia" w:ascii="宋体" w:hAnsi="宋体" w:eastAsia="宋体" w:cs="宋体"/>
          <w:color w:val="auto"/>
          <w:sz w:val="24"/>
          <w:szCs w:val="24"/>
          <w:highlight w:val="none"/>
        </w:rPr>
        <w:t xml:space="preserve">  服务/货 物)签订的(</w:t>
      </w:r>
      <w:r>
        <w:rPr>
          <w:rFonts w:hint="eastAsia" w:ascii="宋体" w:hAnsi="宋体" w:eastAsia="宋体" w:cs="宋体"/>
          <w:i/>
          <w:iCs/>
          <w:color w:val="auto"/>
          <w:sz w:val="26"/>
          <w:szCs w:val="26"/>
          <w:highlight w:val="none"/>
          <w:u w:val="single" w:color="auto"/>
        </w:rPr>
        <w:t>合同号</w:t>
      </w:r>
      <w:r>
        <w:rPr>
          <w:rFonts w:hint="eastAsia" w:ascii="宋体" w:hAnsi="宋体" w:eastAsia="宋体" w:cs="宋体"/>
          <w:color w:val="auto"/>
          <w:sz w:val="24"/>
          <w:szCs w:val="24"/>
          <w:highlight w:val="none"/>
        </w:rPr>
        <w:t>)号合同的</w:t>
      </w:r>
      <w:r>
        <w:rPr>
          <w:rFonts w:hint="eastAsia" w:ascii="宋体" w:hAnsi="宋体" w:eastAsia="宋体" w:cs="宋体"/>
          <w:color w:val="auto"/>
          <w:spacing w:val="-1"/>
          <w:sz w:val="24"/>
          <w:szCs w:val="24"/>
          <w:highlight w:val="none"/>
        </w:rPr>
        <w:t>履约保函。</w:t>
      </w:r>
    </w:p>
    <w:p w14:paraId="4AA9B454">
      <w:pPr>
        <w:spacing w:before="16" w:line="216" w:lineRule="auto"/>
        <w:ind w:left="9" w:right="43" w:firstLine="64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i/>
          <w:iCs/>
          <w:color w:val="auto"/>
          <w:spacing w:val="-9"/>
          <w:sz w:val="26"/>
          <w:szCs w:val="26"/>
          <w:highlight w:val="none"/>
          <w:u w:val="single" w:color="auto"/>
        </w:rPr>
        <w:t>出具保函的银行名称</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9"/>
          <w:sz w:val="24"/>
          <w:szCs w:val="24"/>
          <w:highlight w:val="none"/>
        </w:rPr>
        <w:t>(以下简称银行)无条件地、不可撤销地具结保证本行、其继承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人</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和</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4"/>
          <w:sz w:val="24"/>
          <w:szCs w:val="24"/>
          <w:highlight w:val="none"/>
        </w:rPr>
        <w:t>受让人无追索地向贵方以(</w:t>
      </w:r>
      <w:r>
        <w:rPr>
          <w:rFonts w:hint="eastAsia" w:ascii="宋体" w:hAnsi="宋体" w:eastAsia="宋体" w:cs="宋体"/>
          <w:i/>
          <w:iCs/>
          <w:color w:val="auto"/>
          <w:spacing w:val="4"/>
          <w:sz w:val="26"/>
          <w:szCs w:val="26"/>
          <w:highlight w:val="none"/>
          <w:u w:val="single" w:color="auto"/>
        </w:rPr>
        <w:t>货币名称</w:t>
      </w:r>
      <w:r>
        <w:rPr>
          <w:rFonts w:hint="eastAsia" w:ascii="宋体" w:hAnsi="宋体" w:eastAsia="宋体" w:cs="宋体"/>
          <w:color w:val="auto"/>
          <w:spacing w:val="4"/>
          <w:sz w:val="24"/>
          <w:szCs w:val="24"/>
          <w:highlight w:val="none"/>
        </w:rPr>
        <w:t>)支付总额</w:t>
      </w:r>
      <w:r>
        <w:rPr>
          <w:rFonts w:hint="eastAsia" w:ascii="宋体" w:hAnsi="宋体" w:eastAsia="宋体" w:cs="宋体"/>
          <w:color w:val="auto"/>
          <w:spacing w:val="3"/>
          <w:sz w:val="24"/>
          <w:szCs w:val="24"/>
          <w:highlight w:val="none"/>
        </w:rPr>
        <w:t>不超过(</w:t>
      </w:r>
      <w:r>
        <w:rPr>
          <w:rFonts w:hint="eastAsia" w:ascii="宋体" w:hAnsi="宋体" w:eastAsia="宋体" w:cs="宋体"/>
          <w:i/>
          <w:iCs/>
          <w:color w:val="auto"/>
          <w:spacing w:val="3"/>
          <w:sz w:val="26"/>
          <w:szCs w:val="26"/>
          <w:highlight w:val="none"/>
          <w:u w:val="single" w:color="auto"/>
        </w:rPr>
        <w:t>货币数量</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3"/>
          <w:sz w:val="24"/>
          <w:szCs w:val="24"/>
          <w:highlight w:val="none"/>
        </w:rPr>
        <w:t>即相当于合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同价格</w:t>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112"/>
          <w:sz w:val="24"/>
          <w:szCs w:val="24"/>
          <w:highlight w:val="none"/>
        </w:rPr>
        <w:t xml:space="preserve"> </w:t>
      </w:r>
      <w:r>
        <w:rPr>
          <w:rFonts w:hint="eastAsia" w:ascii="宋体" w:hAnsi="宋体" w:eastAsia="宋体" w:cs="宋体"/>
          <w:color w:val="auto"/>
          <w:spacing w:val="-2"/>
          <w:sz w:val="24"/>
          <w:szCs w:val="24"/>
          <w:highlight w:val="none"/>
        </w:rPr>
        <w:t>%,并以此约定如下:</w:t>
      </w:r>
    </w:p>
    <w:p w14:paraId="6FF623F3">
      <w:pPr>
        <w:spacing w:before="46"/>
        <w:ind w:left="545" w:right="24" w:firstLine="31"/>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1.只要贵方确定卖方未能忠实地履行所有合同文件的规定和双方此后一致</w:t>
      </w:r>
      <w:r>
        <w:rPr>
          <w:rFonts w:hint="eastAsia" w:ascii="宋体" w:hAnsi="宋体" w:eastAsia="宋体" w:cs="宋体"/>
          <w:color w:val="auto"/>
          <w:spacing w:val="120"/>
          <w:sz w:val="24"/>
          <w:szCs w:val="24"/>
          <w:highlight w:val="none"/>
        </w:rPr>
        <w:t xml:space="preserve"> </w:t>
      </w:r>
      <w:r>
        <w:rPr>
          <w:rFonts w:hint="eastAsia" w:ascii="宋体" w:hAnsi="宋体" w:eastAsia="宋体" w:cs="宋体"/>
          <w:color w:val="auto"/>
          <w:spacing w:val="4"/>
          <w:sz w:val="24"/>
          <w:szCs w:val="24"/>
          <w:highlight w:val="none"/>
        </w:rPr>
        <w:t>同意的修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改、</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7"/>
          <w:sz w:val="24"/>
          <w:szCs w:val="24"/>
          <w:highlight w:val="none"/>
        </w:rPr>
        <w:t>补充和变动,包括更改和/或修补贵方认为</w:t>
      </w:r>
      <w:r>
        <w:rPr>
          <w:rFonts w:hint="eastAsia" w:ascii="宋体" w:hAnsi="宋体" w:eastAsia="宋体" w:cs="宋体"/>
          <w:color w:val="auto"/>
          <w:spacing w:val="6"/>
          <w:sz w:val="24"/>
          <w:szCs w:val="24"/>
          <w:highlight w:val="none"/>
        </w:rPr>
        <w:t>有缺陷的服务/货物(以下简称违约),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无论卖方 有任何反对,本行将凭贵方关于卖方违约说明的书面</w:t>
      </w:r>
      <w:r>
        <w:rPr>
          <w:rFonts w:hint="eastAsia" w:ascii="宋体" w:hAnsi="宋体" w:eastAsia="宋体" w:cs="宋体"/>
          <w:color w:val="auto"/>
          <w:spacing w:val="7"/>
          <w:sz w:val="24"/>
          <w:szCs w:val="24"/>
          <w:highlight w:val="none"/>
        </w:rPr>
        <w:t>通知,立即按贵方提出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的累计总额不</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超过上述金额的款项和按贵方</w:t>
      </w:r>
      <w:r>
        <w:rPr>
          <w:rFonts w:hint="eastAsia" w:ascii="宋体" w:hAnsi="宋体" w:eastAsia="宋体" w:cs="宋体"/>
          <w:color w:val="auto"/>
          <w:spacing w:val="6"/>
          <w:sz w:val="24"/>
          <w:szCs w:val="24"/>
          <w:highlight w:val="none"/>
        </w:rPr>
        <w:t>通知规定的方式付给贵方。</w:t>
      </w:r>
    </w:p>
    <w:p w14:paraId="6BB2C4BE">
      <w:pPr>
        <w:spacing w:before="52" w:line="221"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2.本保函项下的任何支付应为免税和净值。对于现有或将来的税收</w:t>
      </w:r>
      <w:r>
        <w:rPr>
          <w:rFonts w:hint="eastAsia" w:ascii="宋体" w:hAnsi="宋体" w:eastAsia="宋体" w:cs="宋体"/>
          <w:color w:val="auto"/>
          <w:spacing w:val="7"/>
          <w:sz w:val="24"/>
          <w:szCs w:val="24"/>
          <w:highlight w:val="none"/>
        </w:rPr>
        <w:t>、关税、收费、</w:t>
      </w:r>
    </w:p>
    <w:p w14:paraId="1EC47C21">
      <w:pPr>
        <w:spacing w:before="63" w:line="230" w:lineRule="auto"/>
        <w:ind w:left="568" w:right="26" w:hanging="1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费用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7"/>
          <w:sz w:val="24"/>
          <w:szCs w:val="24"/>
          <w:highlight w:val="none"/>
        </w:rPr>
        <w:t>扣减或预提税款，不论这些款项是何种性质和由谁征收，都不应从</w:t>
      </w:r>
      <w:r>
        <w:rPr>
          <w:rFonts w:hint="eastAsia" w:ascii="宋体" w:hAnsi="宋体" w:eastAsia="宋体" w:cs="宋体"/>
          <w:color w:val="auto"/>
          <w:spacing w:val="6"/>
          <w:sz w:val="24"/>
          <w:szCs w:val="24"/>
          <w:highlight w:val="none"/>
        </w:rPr>
        <w:t>本保函项下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的支付中</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9"/>
          <w:sz w:val="24"/>
          <w:szCs w:val="24"/>
          <w:highlight w:val="none"/>
        </w:rPr>
        <w:t>扣除。</w:t>
      </w:r>
    </w:p>
    <w:p w14:paraId="4D0C0F55">
      <w:pPr>
        <w:spacing w:before="66" w:line="234" w:lineRule="auto"/>
        <w:ind w:left="540" w:right="21" w:hanging="5"/>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3.本保函的条款构成本行无条件的、不可撤</w:t>
      </w:r>
      <w:r>
        <w:rPr>
          <w:rFonts w:hint="eastAsia" w:ascii="宋体" w:hAnsi="宋体" w:eastAsia="宋体" w:cs="宋体"/>
          <w:color w:val="auto"/>
          <w:spacing w:val="11"/>
          <w:sz w:val="24"/>
          <w:szCs w:val="24"/>
          <w:highlight w:val="none"/>
        </w:rPr>
        <w:t>销的直接责任。对即将履行的合同条款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的任 何变更 、贵方在时间上的宽限、或由贵方采取的如果没有本款可能免</w:t>
      </w:r>
      <w:r>
        <w:rPr>
          <w:rFonts w:hint="eastAsia" w:ascii="宋体" w:hAnsi="宋体" w:eastAsia="宋体" w:cs="宋体"/>
          <w:color w:val="auto"/>
          <w:spacing w:val="4"/>
          <w:sz w:val="24"/>
          <w:szCs w:val="24"/>
          <w:highlight w:val="none"/>
        </w:rPr>
        <w:t>除本行责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任的任何</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6"/>
          <w:sz w:val="24"/>
          <w:szCs w:val="24"/>
          <w:highlight w:val="none"/>
        </w:rPr>
        <w:t>其它行为，均不能解除或免除本行在本保函项下的责任。</w:t>
      </w:r>
    </w:p>
    <w:p w14:paraId="42F9FFBC">
      <w:pPr>
        <w:spacing w:before="53" w:line="219" w:lineRule="auto"/>
        <w:ind w:left="52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4.本保函在本合同规定的保证期期满前完全有效。</w:t>
      </w:r>
    </w:p>
    <w:p w14:paraId="5448EBB7">
      <w:pPr>
        <w:spacing w:before="289" w:line="224" w:lineRule="auto"/>
        <w:ind w:left="540"/>
        <w:outlineLvl w:val="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谨启</w:t>
      </w:r>
    </w:p>
    <w:p w14:paraId="72FF7B23">
      <w:pPr>
        <w:tabs>
          <w:tab w:val="left" w:pos="6447"/>
          <w:tab w:val="left" w:pos="6454"/>
        </w:tabs>
        <w:spacing w:before="58" w:line="232" w:lineRule="auto"/>
        <w:ind w:left="553" w:right="3082" w:firstLine="54"/>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出具保函银行名称：</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签字人姓名和职务：</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签字人签名：</w:t>
      </w:r>
      <w:r>
        <w:rPr>
          <w:rFonts w:hint="eastAsia" w:ascii="宋体" w:hAnsi="宋体" w:eastAsia="宋体" w:cs="宋体"/>
          <w:color w:val="auto"/>
          <w:sz w:val="24"/>
          <w:szCs w:val="24"/>
          <w:highlight w:val="none"/>
          <w:u w:val="single" w:color="auto"/>
        </w:rPr>
        <w:t xml:space="preserve">                                      </w:t>
      </w:r>
    </w:p>
    <w:p w14:paraId="67A5F8B5">
      <w:pPr>
        <w:spacing w:before="33" w:line="222" w:lineRule="auto"/>
        <w:ind w:left="55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公章：</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rPr>
        <w:t xml:space="preserve">     </w:t>
      </w:r>
    </w:p>
    <w:p w14:paraId="6C97F819">
      <w:pPr>
        <w:spacing w:line="222" w:lineRule="auto"/>
        <w:rPr>
          <w:rFonts w:hint="eastAsia" w:ascii="宋体" w:hAnsi="宋体" w:eastAsia="宋体" w:cs="宋体"/>
          <w:color w:val="auto"/>
          <w:sz w:val="24"/>
          <w:szCs w:val="24"/>
          <w:highlight w:val="none"/>
        </w:rPr>
        <w:sectPr>
          <w:footerReference r:id="rId15" w:type="default"/>
          <w:pgSz w:w="11906" w:h="16840"/>
          <w:pgMar w:top="1431" w:right="1165" w:bottom="1058" w:left="1109" w:header="0" w:footer="889" w:gutter="0"/>
          <w:pgNumType w:fmt="decimal"/>
          <w:cols w:space="720" w:num="1"/>
        </w:sectPr>
      </w:pPr>
    </w:p>
    <w:p w14:paraId="21E13620">
      <w:pPr>
        <w:spacing w:before="223" w:line="222" w:lineRule="auto"/>
        <w:ind w:left="3762"/>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附件2：履约担保函格式</w:t>
      </w:r>
    </w:p>
    <w:p w14:paraId="5FB3BDE4">
      <w:pPr>
        <w:spacing w:before="280" w:line="222" w:lineRule="auto"/>
        <w:ind w:left="2891"/>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(采用政府采购信用担保形式时使用)</w:t>
      </w:r>
    </w:p>
    <w:p w14:paraId="2692264E">
      <w:pPr>
        <w:spacing w:before="164" w:line="223" w:lineRule="auto"/>
        <w:ind w:left="424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(本项</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3"/>
          <w:sz w:val="22"/>
          <w:szCs w:val="22"/>
          <w:highlight w:val="none"/>
        </w:rPr>
        <w:t>目不适用)</w:t>
      </w:r>
    </w:p>
    <w:p w14:paraId="2424DA51">
      <w:pPr>
        <w:spacing w:line="251" w:lineRule="auto"/>
        <w:rPr>
          <w:rFonts w:hint="eastAsia" w:ascii="宋体" w:hAnsi="宋体" w:eastAsia="宋体" w:cs="宋体"/>
          <w:color w:val="auto"/>
          <w:sz w:val="21"/>
          <w:highlight w:val="none"/>
        </w:rPr>
      </w:pPr>
    </w:p>
    <w:p w14:paraId="66FD0A2C">
      <w:pPr>
        <w:spacing w:line="251" w:lineRule="auto"/>
        <w:rPr>
          <w:rFonts w:hint="eastAsia" w:ascii="宋体" w:hAnsi="宋体" w:eastAsia="宋体" w:cs="宋体"/>
          <w:color w:val="auto"/>
          <w:sz w:val="21"/>
          <w:highlight w:val="none"/>
        </w:rPr>
      </w:pPr>
    </w:p>
    <w:p w14:paraId="67E8C723">
      <w:pPr>
        <w:spacing w:before="78" w:line="221" w:lineRule="auto"/>
        <w:ind w:left="37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政府采购履约担保函</w:t>
      </w:r>
    </w:p>
    <w:p w14:paraId="2359CEE0">
      <w:pPr>
        <w:spacing w:before="39" w:line="224" w:lineRule="auto"/>
        <w:ind w:left="616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编号：</w:t>
      </w:r>
    </w:p>
    <w:p w14:paraId="5CA69826">
      <w:pPr>
        <w:spacing w:line="337" w:lineRule="auto"/>
        <w:rPr>
          <w:rFonts w:hint="eastAsia" w:ascii="宋体" w:hAnsi="宋体" w:eastAsia="宋体" w:cs="宋体"/>
          <w:color w:val="auto"/>
          <w:sz w:val="21"/>
          <w:highlight w:val="none"/>
        </w:rPr>
      </w:pPr>
    </w:p>
    <w:p w14:paraId="5FED0C8C">
      <w:pPr>
        <w:tabs>
          <w:tab w:val="left" w:pos="2291"/>
        </w:tabs>
        <w:spacing w:before="78" w:line="22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1"/>
          <w:sz w:val="24"/>
          <w:szCs w:val="24"/>
          <w:highlight w:val="none"/>
        </w:rPr>
        <w:t>(采购人) ：</w:t>
      </w:r>
    </w:p>
    <w:p w14:paraId="250BF4F7">
      <w:pPr>
        <w:spacing w:line="361" w:lineRule="auto"/>
        <w:rPr>
          <w:rFonts w:hint="eastAsia" w:ascii="宋体" w:hAnsi="宋体" w:eastAsia="宋体" w:cs="宋体"/>
          <w:color w:val="auto"/>
          <w:sz w:val="21"/>
          <w:highlight w:val="none"/>
        </w:rPr>
      </w:pPr>
    </w:p>
    <w:p w14:paraId="655BEB6A">
      <w:pPr>
        <w:spacing w:before="79" w:line="238" w:lineRule="auto"/>
        <w:ind w:left="29" w:firstLine="49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鉴于你方与</w:t>
      </w:r>
      <w:r>
        <w:rPr>
          <w:rFonts w:hint="eastAsia" w:ascii="宋体" w:hAnsi="宋体" w:eastAsia="宋体" w:cs="宋体"/>
          <w:color w:val="auto"/>
          <w:spacing w:val="-96"/>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8"/>
          <w:sz w:val="24"/>
          <w:szCs w:val="24"/>
          <w:highlight w:val="none"/>
        </w:rPr>
        <w:t xml:space="preserve"> (以下简称供应商)于</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11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8"/>
          <w:sz w:val="24"/>
          <w:szCs w:val="24"/>
          <w:highlight w:val="none"/>
        </w:rPr>
        <w:t>日签定编号为的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3"/>
          <w:sz w:val="24"/>
          <w:szCs w:val="24"/>
          <w:highlight w:val="none"/>
        </w:rPr>
        <w:t>政府采购合同》 (以下简称主合同)</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，且依据该合同的约定，供应商应在</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 xml:space="preserve">年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103"/>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日前向你方交纳履约保证金，且可以履约担保函</w:t>
      </w:r>
      <w:r>
        <w:rPr>
          <w:rFonts w:hint="eastAsia" w:ascii="宋体" w:hAnsi="宋体" w:eastAsia="宋体" w:cs="宋体"/>
          <w:color w:val="auto"/>
          <w:spacing w:val="1"/>
          <w:sz w:val="24"/>
          <w:szCs w:val="24"/>
          <w:highlight w:val="none"/>
        </w:rPr>
        <w:t>的形式交纳履约保证金。应供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应商的申请，我方以保证的方式向你方提供如下履约保证</w:t>
      </w:r>
      <w:r>
        <w:rPr>
          <w:rFonts w:hint="eastAsia" w:ascii="宋体" w:hAnsi="宋体" w:eastAsia="宋体" w:cs="宋体"/>
          <w:color w:val="auto"/>
          <w:spacing w:val="6"/>
          <w:sz w:val="24"/>
          <w:szCs w:val="24"/>
          <w:highlight w:val="none"/>
        </w:rPr>
        <w:t>金担保：</w:t>
      </w:r>
    </w:p>
    <w:p w14:paraId="514085DA">
      <w:pPr>
        <w:spacing w:before="57" w:line="221" w:lineRule="auto"/>
        <w:ind w:left="530"/>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一、保证责任的情形及保证金额</w:t>
      </w:r>
    </w:p>
    <w:p w14:paraId="12D12504">
      <w:pPr>
        <w:spacing w:before="3" w:line="219" w:lineRule="auto"/>
        <w:ind w:left="6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74"/>
          <w:sz w:val="24"/>
          <w:szCs w:val="24"/>
          <w:highlight w:val="none"/>
        </w:rPr>
        <w:t xml:space="preserve"> </w:t>
      </w:r>
      <w:r>
        <w:rPr>
          <w:rFonts w:hint="eastAsia" w:ascii="宋体" w:hAnsi="宋体" w:eastAsia="宋体" w:cs="宋体"/>
          <w:color w:val="auto"/>
          <w:spacing w:val="-1"/>
          <w:sz w:val="24"/>
          <w:szCs w:val="24"/>
          <w:highlight w:val="none"/>
        </w:rPr>
        <w:t>一)</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在供应商出现下列情形之一时，我方承担保证责任：</w:t>
      </w:r>
    </w:p>
    <w:p w14:paraId="30BEA05F">
      <w:pPr>
        <w:spacing w:before="68" w:line="228" w:lineRule="auto"/>
        <w:ind w:left="99" w:right="206" w:firstLine="45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3"/>
          <w:sz w:val="24"/>
          <w:szCs w:val="24"/>
          <w:highlight w:val="none"/>
        </w:rPr>
        <w:t>．将中标项目转让给他人，或者在响应文件中未说明，且未经采购招标机构人同意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93"/>
          <w:sz w:val="24"/>
          <w:szCs w:val="24"/>
          <w:highlight w:val="none"/>
        </w:rPr>
        <w:t xml:space="preserve"> </w:t>
      </w:r>
      <w:r>
        <w:rPr>
          <w:rFonts w:hint="eastAsia" w:ascii="宋体" w:hAnsi="宋体" w:eastAsia="宋体" w:cs="宋体"/>
          <w:color w:val="auto"/>
          <w:spacing w:val="-7"/>
          <w:sz w:val="24"/>
          <w:szCs w:val="24"/>
          <w:highlight w:val="none"/>
        </w:rPr>
        <w:t>将中标项目分包给他人的；</w:t>
      </w:r>
    </w:p>
    <w:p w14:paraId="232872E9">
      <w:pPr>
        <w:spacing w:before="36" w:line="221" w:lineRule="auto"/>
        <w:ind w:left="51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2．主合同约定的应当缴纳履约保证金的情形:</w:t>
      </w:r>
    </w:p>
    <w:p w14:paraId="2F2FB3B7">
      <w:pPr>
        <w:spacing w:before="32" w:line="230" w:lineRule="auto"/>
        <w:ind w:left="600" w:right="103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3"/>
          <w:sz w:val="24"/>
          <w:szCs w:val="24"/>
          <w:highlight w:val="none"/>
        </w:rPr>
        <w:t>未按主合同约定的质量、数量和期限供应货物/提供服务</w:t>
      </w:r>
      <w:r>
        <w:rPr>
          <w:rFonts w:hint="eastAsia" w:ascii="宋体" w:hAnsi="宋体" w:eastAsia="宋体" w:cs="宋体"/>
          <w:color w:val="auto"/>
          <w:spacing w:val="2"/>
          <w:sz w:val="24"/>
          <w:szCs w:val="24"/>
          <w:highlight w:val="none"/>
        </w:rPr>
        <w:t>/完成工程的；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8"/>
          <w:sz w:val="24"/>
          <w:szCs w:val="24"/>
          <w:highlight w:val="none"/>
        </w:rPr>
        <w:t>(2)</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8"/>
          <w:sz w:val="24"/>
          <w:szCs w:val="24"/>
          <w:highlight w:val="none"/>
        </w:rPr>
        <w:t>。</w:t>
      </w:r>
    </w:p>
    <w:p w14:paraId="72D3D13F">
      <w:pPr>
        <w:spacing w:before="59" w:line="228" w:lineRule="auto"/>
        <w:ind w:left="115" w:right="83" w:firstLine="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(二)我方的保证范围是主合同约定的合同价款总额的</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%数额为</w:t>
      </w:r>
      <w:r>
        <w:rPr>
          <w:rFonts w:hint="eastAsia" w:ascii="宋体" w:hAnsi="宋体" w:eastAsia="宋体" w:cs="宋体"/>
          <w:color w:val="auto"/>
          <w:spacing w:val="-111"/>
          <w:sz w:val="24"/>
          <w:szCs w:val="24"/>
          <w:highlight w:val="none"/>
        </w:rPr>
        <w:t xml:space="preserve">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元</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sz w:val="24"/>
          <w:szCs w:val="24"/>
          <w:highlight w:val="none"/>
        </w:rPr>
        <w:t>(大</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1"/>
          <w:sz w:val="24"/>
          <w:szCs w:val="24"/>
          <w:highlight w:val="none"/>
        </w:rPr>
        <w:t>写</w:t>
      </w:r>
      <w:r>
        <w:rPr>
          <w:rFonts w:hint="eastAsia" w:ascii="宋体" w:hAnsi="宋体" w:eastAsia="宋体" w:cs="宋体"/>
          <w:color w:val="auto"/>
          <w:spacing w:val="-11"/>
          <w:sz w:val="24"/>
          <w:szCs w:val="24"/>
          <w:highlight w:val="none"/>
          <w:u w:val="single" w:color="auto"/>
        </w:rPr>
        <w:t xml:space="preserve">            </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1"/>
          <w:sz w:val="24"/>
          <w:szCs w:val="24"/>
          <w:highlight w:val="none"/>
        </w:rPr>
        <w:t>，币种为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1"/>
          <w:sz w:val="24"/>
          <w:szCs w:val="24"/>
          <w:highlight w:val="none"/>
        </w:rPr>
        <w:t>。   (即主合同履约保证金金额)</w:t>
      </w:r>
    </w:p>
    <w:p w14:paraId="458B8EE5">
      <w:pPr>
        <w:spacing w:before="36" w:line="221" w:lineRule="auto"/>
        <w:ind w:left="539"/>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二、保证的方式及保证期间</w:t>
      </w:r>
    </w:p>
    <w:p w14:paraId="05455C9B">
      <w:pPr>
        <w:spacing w:before="16" w:line="220" w:lineRule="auto"/>
        <w:ind w:left="5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我方保证的方式为：连带责任保证。</w:t>
      </w:r>
    </w:p>
    <w:p w14:paraId="139FCE8C">
      <w:pPr>
        <w:spacing w:before="65" w:line="228" w:lineRule="auto"/>
        <w:ind w:left="41" w:right="203" w:firstLine="4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我方保证的期间为： 自本合同生效之 日起至供应商按照主合同约定的</w:t>
      </w:r>
      <w:r>
        <w:rPr>
          <w:rFonts w:hint="eastAsia" w:ascii="宋体" w:hAnsi="宋体" w:eastAsia="宋体" w:cs="宋体"/>
          <w:color w:val="auto"/>
          <w:spacing w:val="-1"/>
          <w:sz w:val="24"/>
          <w:szCs w:val="24"/>
          <w:highlight w:val="none"/>
        </w:rPr>
        <w:t>供货/完工期限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9"/>
          <w:sz w:val="24"/>
          <w:szCs w:val="24"/>
          <w:highlight w:val="none"/>
        </w:rPr>
        <w:t>届满</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9"/>
          <w:sz w:val="24"/>
          <w:szCs w:val="24"/>
          <w:highlight w:val="none"/>
        </w:rPr>
        <w:t>后</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9"/>
          <w:sz w:val="24"/>
          <w:szCs w:val="24"/>
          <w:highlight w:val="none"/>
        </w:rPr>
        <w:t>日</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9"/>
          <w:sz w:val="24"/>
          <w:szCs w:val="24"/>
          <w:highlight w:val="none"/>
        </w:rPr>
        <w:t>内。</w:t>
      </w:r>
    </w:p>
    <w:p w14:paraId="5BEBF349">
      <w:pPr>
        <w:spacing w:before="52" w:line="219"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如果供应商未按主合同约定向贵方供应货物/提供服务/完成</w:t>
      </w:r>
      <w:r>
        <w:rPr>
          <w:rFonts w:hint="eastAsia" w:ascii="宋体" w:hAnsi="宋体" w:eastAsia="宋体" w:cs="宋体"/>
          <w:color w:val="auto"/>
          <w:spacing w:val="3"/>
          <w:sz w:val="24"/>
          <w:szCs w:val="24"/>
          <w:highlight w:val="none"/>
        </w:rPr>
        <w:t>工程的，</w:t>
      </w:r>
      <w:r>
        <w:rPr>
          <w:rFonts w:hint="eastAsia" w:ascii="宋体" w:hAnsi="宋体" w:eastAsia="宋体" w:cs="宋体"/>
          <w:color w:val="auto"/>
          <w:spacing w:val="114"/>
          <w:sz w:val="24"/>
          <w:szCs w:val="24"/>
          <w:highlight w:val="none"/>
        </w:rPr>
        <w:t xml:space="preserve"> </w:t>
      </w:r>
      <w:r>
        <w:rPr>
          <w:rFonts w:hint="eastAsia" w:ascii="宋体" w:hAnsi="宋体" w:eastAsia="宋体" w:cs="宋体"/>
          <w:color w:val="auto"/>
          <w:spacing w:val="3"/>
          <w:sz w:val="24"/>
          <w:szCs w:val="24"/>
          <w:highlight w:val="none"/>
        </w:rPr>
        <w:t>由我方在保证</w:t>
      </w:r>
    </w:p>
    <w:p w14:paraId="76A417C6">
      <w:pPr>
        <w:spacing w:before="25" w:line="222" w:lineRule="auto"/>
        <w:ind w:left="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金额内向你方支付上述款项。</w:t>
      </w:r>
    </w:p>
    <w:p w14:paraId="6050E93D">
      <w:pPr>
        <w:spacing w:before="30" w:line="221" w:lineRule="auto"/>
        <w:ind w:left="533"/>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三、承担保证责任的程序</w:t>
      </w:r>
    </w:p>
    <w:p w14:paraId="2E0A5ECD">
      <w:pPr>
        <w:spacing w:before="50" w:line="233" w:lineRule="auto"/>
        <w:ind w:left="49" w:right="203" w:firstLine="50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z w:val="24"/>
          <w:szCs w:val="24"/>
          <w:highlight w:val="none"/>
        </w:rPr>
        <w:t xml:space="preserve">．你方要求我方承担保证责任的，应在本保函保证期间内 向我方发出书面索赔通知 </w:t>
      </w:r>
      <w:r>
        <w:rPr>
          <w:rFonts w:hint="eastAsia" w:ascii="宋体" w:hAnsi="宋体" w:eastAsia="宋体" w:cs="宋体"/>
          <w:color w:val="auto"/>
          <w:spacing w:val="9"/>
          <w:sz w:val="24"/>
          <w:szCs w:val="24"/>
          <w:highlight w:val="none"/>
        </w:rPr>
        <w:t>。索赔通知应写明要求索赔的金额，支付款项应到达的帐号。并附有证明供应商违约事</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6"/>
          <w:sz w:val="24"/>
          <w:szCs w:val="24"/>
          <w:highlight w:val="none"/>
        </w:rPr>
        <w:t>实的证明</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6"/>
          <w:sz w:val="24"/>
          <w:szCs w:val="24"/>
          <w:highlight w:val="none"/>
        </w:rPr>
        <w:t>材料。</w:t>
      </w:r>
    </w:p>
    <w:p w14:paraId="2455E8AA">
      <w:pPr>
        <w:spacing w:before="65" w:line="233" w:lineRule="auto"/>
        <w:ind w:left="39" w:right="201" w:firstLine="48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如果你方与供应商因货物质量问题产生争议，你方还需同时提供</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部门出具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的质量检测报告，或经诉讼  (仲裁)</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5"/>
          <w:sz w:val="24"/>
          <w:szCs w:val="24"/>
          <w:highlight w:val="none"/>
        </w:rPr>
        <w:t>程序裁决后的裁决书、</w:t>
      </w:r>
      <w:r>
        <w:rPr>
          <w:rFonts w:hint="eastAsia" w:ascii="宋体" w:hAnsi="宋体" w:eastAsia="宋体" w:cs="宋体"/>
          <w:color w:val="auto"/>
          <w:spacing w:val="4"/>
          <w:sz w:val="24"/>
          <w:szCs w:val="24"/>
          <w:highlight w:val="none"/>
        </w:rPr>
        <w:t>调解书，本保证人即按照检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测结果或</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rPr>
        <w:t>裁决书、调解书决定是否承担保证责任。</w:t>
      </w:r>
    </w:p>
    <w:p w14:paraId="3D6F2676">
      <w:pPr>
        <w:spacing w:before="55" w:line="228" w:lineRule="auto"/>
        <w:ind w:left="52" w:right="187" w:firstLine="4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我方收到你方的书面索赔通知及相应证</w:t>
      </w:r>
      <w:r>
        <w:rPr>
          <w:rFonts w:hint="eastAsia" w:ascii="宋体" w:hAnsi="宋体" w:eastAsia="宋体" w:cs="宋体"/>
          <w:color w:val="auto"/>
          <w:spacing w:val="-1"/>
          <w:sz w:val="24"/>
          <w:szCs w:val="24"/>
          <w:highlight w:val="none"/>
        </w:rPr>
        <w:t>明材料，在</w:t>
      </w:r>
      <w:r>
        <w:rPr>
          <w:rFonts w:hint="eastAsia" w:ascii="宋体" w:hAnsi="宋体" w:eastAsia="宋体" w:cs="宋体"/>
          <w:color w:val="auto"/>
          <w:spacing w:val="-111"/>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1"/>
          <w:sz w:val="24"/>
          <w:szCs w:val="24"/>
          <w:highlight w:val="none"/>
        </w:rPr>
        <w:t>工作日</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内进行核定后按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照本保函的承诺承担保证责任。</w:t>
      </w:r>
    </w:p>
    <w:p w14:paraId="364A9855">
      <w:pPr>
        <w:spacing w:before="34" w:line="221" w:lineRule="auto"/>
        <w:ind w:left="59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四、保证责任的终止</w:t>
      </w:r>
    </w:p>
    <w:p w14:paraId="7F8719E5">
      <w:pPr>
        <w:spacing w:before="62" w:line="234" w:lineRule="auto"/>
        <w:ind w:left="43" w:right="201" w:firstLine="5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3"/>
          <w:sz w:val="24"/>
          <w:szCs w:val="24"/>
          <w:highlight w:val="none"/>
        </w:rPr>
        <w:t>．保证期间届满你方未向我方书面主张保证责任的， 自保证期间届满次 日起，我方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保证 责任自动终止。保证期间届满前，主合同约定的货物\工程\服务全部验收合格的，</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
          <w:sz w:val="24"/>
          <w:szCs w:val="24"/>
          <w:highlight w:val="none"/>
        </w:rPr>
        <w:t>自验收合格</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日起，我方保证责任自动终止。</w:t>
      </w:r>
    </w:p>
    <w:p w14:paraId="7788F84C">
      <w:pPr>
        <w:spacing w:line="234" w:lineRule="auto"/>
        <w:rPr>
          <w:rFonts w:hint="eastAsia" w:ascii="宋体" w:hAnsi="宋体" w:eastAsia="宋体" w:cs="宋体"/>
          <w:color w:val="auto"/>
          <w:sz w:val="24"/>
          <w:szCs w:val="24"/>
          <w:highlight w:val="none"/>
        </w:rPr>
        <w:sectPr>
          <w:footerReference r:id="rId16" w:type="default"/>
          <w:pgSz w:w="11906" w:h="16840"/>
          <w:pgMar w:top="1431" w:right="1086" w:bottom="1058" w:left="1080" w:header="0" w:footer="888" w:gutter="0"/>
          <w:pgNumType w:fmt="decimal"/>
          <w:cols w:space="720" w:num="1"/>
        </w:sectPr>
      </w:pPr>
    </w:p>
    <w:p w14:paraId="43FDD80D">
      <w:pPr>
        <w:spacing w:before="71" w:line="228" w:lineRule="auto"/>
        <w:ind w:left="18" w:right="86"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2．我方按照本保函向你方履行了保证责任后， 自我方向</w:t>
      </w:r>
      <w:r>
        <w:rPr>
          <w:rFonts w:hint="eastAsia" w:ascii="宋体" w:hAnsi="宋体" w:eastAsia="宋体" w:cs="宋体"/>
          <w:color w:val="auto"/>
          <w:sz w:val="24"/>
          <w:szCs w:val="24"/>
          <w:highlight w:val="none"/>
        </w:rPr>
        <w:t xml:space="preserve">你方支付款项  (支付款项从 </w:t>
      </w:r>
      <w:r>
        <w:rPr>
          <w:rFonts w:hint="eastAsia" w:ascii="宋体" w:hAnsi="宋体" w:eastAsia="宋体" w:cs="宋体"/>
          <w:color w:val="auto"/>
          <w:spacing w:val="-5"/>
          <w:sz w:val="24"/>
          <w:szCs w:val="24"/>
          <w:highlight w:val="none"/>
        </w:rPr>
        <w:t>我方账户划出)</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5"/>
          <w:sz w:val="24"/>
          <w:szCs w:val="24"/>
          <w:highlight w:val="none"/>
        </w:rPr>
        <w:t>之 日起，保证责任即终止。</w:t>
      </w:r>
    </w:p>
    <w:p w14:paraId="31C315C1">
      <w:pPr>
        <w:spacing w:before="103" w:line="229" w:lineRule="auto"/>
        <w:ind w:left="9" w:right="113" w:firstLine="49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3．按照法律法规的规定或出现应终止我方保证责任的其它情形的，我方在本保函项</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z w:val="24"/>
          <w:szCs w:val="24"/>
          <w:highlight w:val="none"/>
        </w:rPr>
        <w:t>下的保证责任亦终止。</w:t>
      </w:r>
    </w:p>
    <w:p w14:paraId="3C8BA91D">
      <w:pPr>
        <w:spacing w:before="60" w:line="233" w:lineRule="auto"/>
        <w:ind w:right="120" w:firstLine="461"/>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 ．你方与供应商修改主合同，加重我方保证责任的，我方对加重部分不承担保证责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任，但该等修改事先经我方书面同意的除外；你方与供应商修改主合同履行期限，我方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7"/>
          <w:sz w:val="24"/>
          <w:szCs w:val="24"/>
          <w:highlight w:val="none"/>
        </w:rPr>
        <w:t>保证期间 仍依修改前的履行期限计算，但该等修改事先经我方书面同意的除外。</w:t>
      </w:r>
    </w:p>
    <w:p w14:paraId="7E8D0970">
      <w:pPr>
        <w:spacing w:before="39" w:line="223" w:lineRule="auto"/>
        <w:ind w:left="493"/>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五、免责条款</w:t>
      </w:r>
    </w:p>
    <w:p w14:paraId="2044AA47">
      <w:pPr>
        <w:spacing w:before="29" w:line="221" w:lineRule="auto"/>
        <w:ind w:left="5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 因你方违反主合同约定致使供应商不能履行义</w:t>
      </w:r>
      <w:r>
        <w:rPr>
          <w:rFonts w:hint="eastAsia" w:ascii="宋体" w:hAnsi="宋体" w:eastAsia="宋体" w:cs="宋体"/>
          <w:color w:val="auto"/>
          <w:spacing w:val="-1"/>
          <w:sz w:val="24"/>
          <w:szCs w:val="24"/>
          <w:highlight w:val="none"/>
        </w:rPr>
        <w:t>务的，我方不承担保证责任。</w:t>
      </w:r>
    </w:p>
    <w:p w14:paraId="1C3EA2B9">
      <w:pPr>
        <w:spacing w:before="40" w:line="228" w:lineRule="auto"/>
        <w:ind w:left="7" w:right="141" w:firstLine="46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2．依照法律法规的规定或你方与供应商的另行约定，全部或者部分免除供应商应缴</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纳的保证金义务的，我方亦免除相应的保证责任。</w:t>
      </w:r>
    </w:p>
    <w:p w14:paraId="76B180C9">
      <w:pPr>
        <w:spacing w:before="37" w:line="221"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 因不可抗力造成供应商不能履行供货义务的，我方不承担保证责任。</w:t>
      </w:r>
    </w:p>
    <w:p w14:paraId="62A0391B">
      <w:pPr>
        <w:spacing w:before="20" w:line="222" w:lineRule="auto"/>
        <w:ind w:left="48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六、争议的解决</w:t>
      </w:r>
    </w:p>
    <w:p w14:paraId="3B692B6A">
      <w:pPr>
        <w:spacing w:before="58" w:line="228" w:lineRule="auto"/>
        <w:ind w:left="27" w:firstLine="5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因本保函发生的纠纷， 由你我双方协商解决，协商不成的，通</w:t>
      </w:r>
      <w:r>
        <w:rPr>
          <w:rFonts w:hint="eastAsia" w:ascii="宋体" w:hAnsi="宋体" w:eastAsia="宋体" w:cs="宋体"/>
          <w:color w:val="auto"/>
          <w:spacing w:val="1"/>
          <w:sz w:val="24"/>
          <w:szCs w:val="24"/>
          <w:highlight w:val="none"/>
        </w:rPr>
        <w:t>过诉讼程序解决，诉讼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管辖地法院为</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8"/>
          <w:sz w:val="24"/>
          <w:szCs w:val="24"/>
          <w:highlight w:val="none"/>
        </w:rPr>
        <w:t>法院。</w:t>
      </w:r>
    </w:p>
    <w:p w14:paraId="6B636103">
      <w:pPr>
        <w:spacing w:before="39" w:line="221" w:lineRule="auto"/>
        <w:ind w:left="489"/>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七、保函的生效</w:t>
      </w:r>
    </w:p>
    <w:p w14:paraId="48A56E2C">
      <w:pPr>
        <w:spacing w:before="23" w:line="221"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本保函自我方加盖公章之</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日起生效。</w:t>
      </w:r>
    </w:p>
    <w:p w14:paraId="20A8B830">
      <w:pPr>
        <w:spacing w:line="247" w:lineRule="auto"/>
        <w:rPr>
          <w:rFonts w:hint="eastAsia" w:ascii="宋体" w:hAnsi="宋体" w:eastAsia="宋体" w:cs="宋体"/>
          <w:color w:val="auto"/>
          <w:sz w:val="21"/>
          <w:highlight w:val="none"/>
        </w:rPr>
      </w:pPr>
    </w:p>
    <w:p w14:paraId="27EABA9B">
      <w:pPr>
        <w:spacing w:line="248" w:lineRule="auto"/>
        <w:rPr>
          <w:rFonts w:hint="eastAsia" w:ascii="宋体" w:hAnsi="宋体" w:eastAsia="宋体" w:cs="宋体"/>
          <w:color w:val="auto"/>
          <w:sz w:val="21"/>
          <w:highlight w:val="none"/>
        </w:rPr>
      </w:pPr>
    </w:p>
    <w:p w14:paraId="640E0079">
      <w:pPr>
        <w:spacing w:line="248" w:lineRule="auto"/>
        <w:rPr>
          <w:rFonts w:hint="eastAsia" w:ascii="宋体" w:hAnsi="宋体" w:eastAsia="宋体" w:cs="宋体"/>
          <w:color w:val="auto"/>
          <w:sz w:val="21"/>
          <w:highlight w:val="none"/>
        </w:rPr>
      </w:pPr>
    </w:p>
    <w:p w14:paraId="33C6E589">
      <w:pPr>
        <w:spacing w:before="78" w:line="221" w:lineRule="auto"/>
        <w:ind w:left="5403"/>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保证人：</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7"/>
          <w:sz w:val="24"/>
          <w:szCs w:val="24"/>
          <w:highlight w:val="none"/>
        </w:rPr>
        <w:t>(公章)</w:t>
      </w:r>
    </w:p>
    <w:p w14:paraId="7DF7CAA1">
      <w:pPr>
        <w:spacing w:line="348" w:lineRule="auto"/>
        <w:rPr>
          <w:rFonts w:hint="eastAsia" w:ascii="宋体" w:hAnsi="宋体" w:eastAsia="宋体" w:cs="宋体"/>
          <w:color w:val="auto"/>
          <w:sz w:val="21"/>
          <w:highlight w:val="none"/>
        </w:rPr>
      </w:pPr>
    </w:p>
    <w:p w14:paraId="1F0C47F4">
      <w:pPr>
        <w:spacing w:before="79" w:line="222" w:lineRule="auto"/>
        <w:ind w:left="6132"/>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年</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0"/>
          <w:sz w:val="24"/>
          <w:szCs w:val="24"/>
          <w:highlight w:val="none"/>
        </w:rPr>
        <w:t>月        日</w:t>
      </w:r>
    </w:p>
    <w:p w14:paraId="0138753F">
      <w:pPr>
        <w:spacing w:line="222" w:lineRule="auto"/>
        <w:rPr>
          <w:rFonts w:hint="eastAsia" w:ascii="宋体" w:hAnsi="宋体" w:eastAsia="宋体" w:cs="宋体"/>
          <w:color w:val="auto"/>
          <w:sz w:val="24"/>
          <w:szCs w:val="24"/>
          <w:highlight w:val="none"/>
        </w:rPr>
        <w:sectPr>
          <w:footerReference r:id="rId17" w:type="default"/>
          <w:pgSz w:w="11906" w:h="16840"/>
          <w:pgMar w:top="1431" w:right="1180" w:bottom="1058" w:left="1110" w:header="0" w:footer="889" w:gutter="0"/>
          <w:pgNumType w:fmt="decimal"/>
          <w:cols w:space="720" w:num="1"/>
        </w:sectPr>
      </w:pPr>
    </w:p>
    <w:p w14:paraId="3617F520">
      <w:pPr>
        <w:spacing w:before="126" w:line="229" w:lineRule="auto"/>
        <w:ind w:left="3746"/>
        <w:outlineLvl w:val="0"/>
        <w:rPr>
          <w:rFonts w:hint="eastAsia" w:ascii="宋体" w:hAnsi="宋体" w:eastAsia="宋体" w:cs="宋体"/>
          <w:color w:val="auto"/>
          <w:sz w:val="30"/>
          <w:szCs w:val="30"/>
          <w:highlight w:val="none"/>
        </w:rPr>
      </w:pPr>
      <w:bookmarkStart w:id="40" w:name="bookmark28"/>
      <w:bookmarkEnd w:id="40"/>
      <w:r>
        <w:rPr>
          <w:rFonts w:hint="eastAsia" w:ascii="宋体" w:hAnsi="宋体" w:eastAsia="宋体" w:cs="宋体"/>
          <w:color w:val="auto"/>
          <w:spacing w:val="6"/>
          <w:sz w:val="30"/>
          <w:szCs w:val="30"/>
          <w:highlight w:val="none"/>
        </w:rPr>
        <w:t>第2章</w:t>
      </w:r>
      <w:r>
        <w:rPr>
          <w:rFonts w:hint="eastAsia" w:ascii="宋体" w:hAnsi="宋体" w:eastAsia="宋体" w:cs="宋体"/>
          <w:color w:val="auto"/>
          <w:spacing w:val="57"/>
          <w:sz w:val="30"/>
          <w:szCs w:val="30"/>
          <w:highlight w:val="none"/>
        </w:rPr>
        <w:t xml:space="preserve">  </w:t>
      </w:r>
      <w:r>
        <w:rPr>
          <w:rFonts w:hint="eastAsia" w:ascii="宋体" w:hAnsi="宋体" w:eastAsia="宋体" w:cs="宋体"/>
          <w:color w:val="auto"/>
          <w:spacing w:val="6"/>
          <w:sz w:val="30"/>
          <w:szCs w:val="30"/>
          <w:highlight w:val="none"/>
        </w:rPr>
        <w:t>响应文件格式</w:t>
      </w:r>
    </w:p>
    <w:p w14:paraId="4B5D6E02">
      <w:pPr>
        <w:spacing w:line="296" w:lineRule="auto"/>
        <w:rPr>
          <w:rFonts w:hint="eastAsia" w:ascii="宋体" w:hAnsi="宋体" w:eastAsia="宋体" w:cs="宋体"/>
          <w:color w:val="auto"/>
          <w:sz w:val="21"/>
          <w:highlight w:val="none"/>
        </w:rPr>
      </w:pPr>
    </w:p>
    <w:p w14:paraId="49AEDC96">
      <w:pPr>
        <w:numPr>
          <w:ilvl w:val="0"/>
          <w:numId w:val="3"/>
        </w:numPr>
        <w:spacing w:before="0" w:line="240" w:lineRule="atLeast"/>
        <w:jc w:val="center"/>
        <w:outlineLvl w:val="2"/>
        <w:rPr>
          <w:rFonts w:hint="eastAsia" w:ascii="宋体" w:hAnsi="宋体" w:eastAsia="宋体" w:cs="宋体"/>
          <w:color w:val="auto"/>
          <w:sz w:val="28"/>
          <w:szCs w:val="22"/>
          <w:highlight w:val="none"/>
        </w:rPr>
      </w:pPr>
      <w:bookmarkStart w:id="41" w:name="bookmark30"/>
      <w:bookmarkEnd w:id="41"/>
      <w:bookmarkStart w:id="42" w:name="_Toc30554"/>
      <w:bookmarkStart w:id="43" w:name="_Toc19175"/>
      <w:r>
        <w:rPr>
          <w:rFonts w:hint="eastAsia" w:ascii="宋体" w:hAnsi="宋体" w:eastAsia="宋体" w:cs="宋体"/>
          <w:color w:val="auto"/>
          <w:sz w:val="28"/>
          <w:szCs w:val="22"/>
          <w:highlight w:val="none"/>
          <w:lang w:val="en-US" w:eastAsia="zh-CN"/>
        </w:rPr>
        <w:t xml:space="preserve"> 开标一览表</w:t>
      </w:r>
      <w:r>
        <w:rPr>
          <w:rFonts w:hint="eastAsia" w:ascii="宋体" w:hAnsi="宋体" w:eastAsia="宋体" w:cs="宋体"/>
          <w:color w:val="auto"/>
          <w:sz w:val="28"/>
          <w:szCs w:val="22"/>
          <w:highlight w:val="none"/>
        </w:rPr>
        <w:t>及资格证明文件</w:t>
      </w:r>
      <w:bookmarkEnd w:id="42"/>
      <w:bookmarkEnd w:id="43"/>
    </w:p>
    <w:p w14:paraId="16C69AED">
      <w:pPr>
        <w:numPr>
          <w:ilvl w:val="0"/>
          <w:numId w:val="0"/>
        </w:numPr>
        <w:spacing w:before="0" w:line="240" w:lineRule="atLeast"/>
        <w:jc w:val="both"/>
        <w:outlineLvl w:val="2"/>
        <w:rPr>
          <w:rFonts w:hint="eastAsia" w:ascii="宋体" w:hAnsi="宋体" w:eastAsia="宋体" w:cs="宋体"/>
          <w:color w:val="auto"/>
          <w:sz w:val="28"/>
          <w:szCs w:val="22"/>
          <w:highlight w:val="none"/>
        </w:rPr>
      </w:pPr>
    </w:p>
    <w:p w14:paraId="54D91B92">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bidi="ar-SA"/>
        </w:rPr>
        <w:t>（1）</w:t>
      </w:r>
      <w:r>
        <w:rPr>
          <w:rFonts w:hint="eastAsia" w:ascii="宋体" w:hAnsi="宋体" w:eastAsia="宋体" w:cs="宋体"/>
          <w:color w:val="auto"/>
          <w:sz w:val="22"/>
          <w:szCs w:val="22"/>
          <w:highlight w:val="none"/>
          <w:lang w:val="en-US" w:eastAsia="zh-CN"/>
        </w:rPr>
        <w:t>开标一览表；</w:t>
      </w:r>
    </w:p>
    <w:p w14:paraId="66EA487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en-US" w:bidi="ar-SA"/>
        </w:rPr>
        <w:t>（2）</w:t>
      </w:r>
      <w:r>
        <w:rPr>
          <w:rFonts w:hint="eastAsia" w:ascii="宋体" w:hAnsi="宋体" w:eastAsia="宋体" w:cs="宋体"/>
          <w:color w:val="auto"/>
          <w:sz w:val="22"/>
          <w:szCs w:val="22"/>
          <w:highlight w:val="none"/>
        </w:rPr>
        <w:t>具备有效的营业执照；</w:t>
      </w:r>
      <w:r>
        <w:rPr>
          <w:rFonts w:hint="eastAsia" w:ascii="宋体" w:hAnsi="宋体" w:eastAsia="宋体" w:cs="宋体"/>
          <w:color w:val="auto"/>
          <w:sz w:val="22"/>
          <w:szCs w:val="22"/>
          <w:highlight w:val="none"/>
          <w:lang w:val="en-US" w:eastAsia="zh-CN"/>
        </w:rPr>
        <w:t xml:space="preserve"> </w:t>
      </w:r>
    </w:p>
    <w:p w14:paraId="45175B7D">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）法定代表人身份证明或法定代表人授权委托书；</w:t>
      </w:r>
    </w:p>
    <w:p w14:paraId="6FA0783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798" w:leftChars="312" w:hanging="143" w:hangingChars="6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年或20</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年度任意一年财务审计报告（新成立未满一年的新公司提供近</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个月内任意一个月的银行资信证明）</w:t>
      </w:r>
      <w:r>
        <w:rPr>
          <w:rFonts w:hint="eastAsia" w:ascii="宋体" w:hAnsi="宋体" w:eastAsia="宋体" w:cs="宋体"/>
          <w:color w:val="auto"/>
          <w:sz w:val="22"/>
          <w:szCs w:val="22"/>
          <w:highlight w:val="none"/>
          <w:lang w:val="en-US" w:eastAsia="zh-CN"/>
        </w:rPr>
        <w:t>。</w:t>
      </w:r>
    </w:p>
    <w:p w14:paraId="210321E3">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798" w:leftChars="312" w:hanging="143" w:hangingChars="65"/>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en-US" w:bidi="ar-SA"/>
        </w:rPr>
        <w:t>（</w:t>
      </w:r>
      <w:r>
        <w:rPr>
          <w:rFonts w:hint="eastAsia" w:ascii="宋体" w:hAnsi="宋体" w:eastAsia="宋体" w:cs="宋体"/>
          <w:snapToGrid w:val="0"/>
          <w:color w:val="auto"/>
          <w:kern w:val="0"/>
          <w:sz w:val="22"/>
          <w:szCs w:val="22"/>
          <w:highlight w:val="none"/>
          <w:lang w:val="en-US" w:eastAsia="zh-CN" w:bidi="ar-SA"/>
        </w:rPr>
        <w:t>5</w:t>
      </w:r>
      <w:r>
        <w:rPr>
          <w:rFonts w:hint="eastAsia" w:ascii="宋体" w:hAnsi="宋体" w:eastAsia="宋体" w:cs="宋体"/>
          <w:snapToGrid w:val="0"/>
          <w:color w:val="auto"/>
          <w:kern w:val="0"/>
          <w:sz w:val="22"/>
          <w:szCs w:val="22"/>
          <w:highlight w:val="none"/>
          <w:lang w:val="en-US" w:eastAsia="en-US" w:bidi="ar-SA"/>
        </w:rPr>
        <w:t>）</w:t>
      </w:r>
      <w:r>
        <w:rPr>
          <w:rFonts w:hint="eastAsia" w:ascii="宋体" w:hAnsi="宋体" w:eastAsia="宋体" w:cs="宋体"/>
          <w:color w:val="auto"/>
          <w:sz w:val="22"/>
          <w:szCs w:val="22"/>
          <w:highlight w:val="none"/>
        </w:rPr>
        <w:t>提供依法缴纳近6个月任意1个月社会保险的证明；</w:t>
      </w:r>
    </w:p>
    <w:p w14:paraId="61E4282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）提供依法缴纳近6个月任意1个月税收证明；</w:t>
      </w:r>
    </w:p>
    <w:p w14:paraId="640C0A94">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z w:val="22"/>
          <w:szCs w:val="22"/>
          <w:highlight w:val="none"/>
        </w:rPr>
        <w:t>（以招标代理机构或采购人查询为准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C03B14F">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）供应商提供针对本次项目《反商业贿赂承诺书》；</w:t>
      </w:r>
    </w:p>
    <w:p w14:paraId="6E665753">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）参加政府采购活动前三年内在经营活动中没有重大违法记录的书面声明；</w:t>
      </w:r>
    </w:p>
    <w:p w14:paraId="08A5B680">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）提供缴纳</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保证</w:t>
      </w:r>
      <w:r>
        <w:rPr>
          <w:rFonts w:hint="eastAsia" w:ascii="宋体" w:hAnsi="宋体" w:eastAsia="宋体" w:cs="宋体"/>
          <w:color w:val="auto"/>
          <w:sz w:val="22"/>
          <w:szCs w:val="22"/>
          <w:highlight w:val="none"/>
          <w:lang w:val="en-US" w:eastAsia="zh-CN"/>
        </w:rPr>
        <w:t>金</w:t>
      </w:r>
      <w:r>
        <w:rPr>
          <w:rFonts w:hint="eastAsia" w:ascii="宋体" w:hAnsi="宋体" w:eastAsia="宋体" w:cs="宋体"/>
          <w:color w:val="auto"/>
          <w:sz w:val="22"/>
          <w:szCs w:val="22"/>
          <w:highlight w:val="none"/>
        </w:rPr>
        <w:t>的有效凭证</w:t>
      </w:r>
    </w:p>
    <w:p w14:paraId="5B8C750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中小企业声明函</w:t>
      </w:r>
    </w:p>
    <w:p w14:paraId="2EA58609">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）供应商须知</w:t>
      </w:r>
      <w:r>
        <w:rPr>
          <w:rFonts w:hint="eastAsia" w:ascii="宋体" w:hAnsi="宋体" w:eastAsia="宋体" w:cs="宋体"/>
          <w:color w:val="auto"/>
          <w:sz w:val="22"/>
          <w:szCs w:val="22"/>
          <w:highlight w:val="none"/>
          <w:lang w:val="en-US" w:eastAsia="zh-CN"/>
        </w:rPr>
        <w:t>前附表</w:t>
      </w:r>
      <w:r>
        <w:rPr>
          <w:rFonts w:hint="eastAsia" w:ascii="宋体" w:hAnsi="宋体" w:eastAsia="宋体" w:cs="宋体"/>
          <w:color w:val="auto"/>
          <w:sz w:val="22"/>
          <w:szCs w:val="22"/>
          <w:highlight w:val="none"/>
          <w:lang w:eastAsia="zh-CN"/>
        </w:rPr>
        <w:t>要求的其他资格证明文件</w:t>
      </w:r>
    </w:p>
    <w:p w14:paraId="20D22C5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供应商可提供有利于</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的其他资格证明材料</w:t>
      </w:r>
    </w:p>
    <w:p w14:paraId="354BEC61">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32"/>
          <w:szCs w:val="24"/>
          <w:highlight w:val="none"/>
          <w:lang w:eastAsia="zh-CN"/>
        </w:rPr>
      </w:pPr>
      <w:r>
        <w:rPr>
          <w:rFonts w:hint="eastAsia" w:ascii="宋体" w:hAnsi="宋体" w:eastAsia="宋体" w:cs="宋体"/>
          <w:color w:val="auto"/>
          <w:sz w:val="22"/>
          <w:szCs w:val="22"/>
          <w:highlight w:val="none"/>
        </w:rPr>
        <w:t>注：若为零申报企业，需提供国家税务总局电子税务局“申报结果查询截图”，税务局代收的社保缴费证明不可作为本项目的完税证明（“税种”不可为养老保险、医疗保险、失业保险、工伤保险和生育保险）</w:t>
      </w:r>
    </w:p>
    <w:p w14:paraId="38366247">
      <w:pPr>
        <w:spacing w:before="106" w:line="222" w:lineRule="auto"/>
        <w:ind w:left="4297"/>
        <w:outlineLvl w:val="1"/>
        <w:rPr>
          <w:rFonts w:hint="eastAsia" w:ascii="宋体" w:hAnsi="宋体" w:eastAsia="宋体" w:cs="宋体"/>
          <w:color w:val="auto"/>
          <w:spacing w:val="-3"/>
          <w:sz w:val="24"/>
          <w:szCs w:val="24"/>
          <w:highlight w:val="none"/>
        </w:rPr>
      </w:pPr>
    </w:p>
    <w:p w14:paraId="0B99EAFC">
      <w:pPr>
        <w:spacing w:before="106" w:line="222" w:lineRule="auto"/>
        <w:ind w:left="4297"/>
        <w:outlineLvl w:val="1"/>
        <w:rPr>
          <w:rFonts w:hint="eastAsia" w:ascii="宋体" w:hAnsi="宋体" w:eastAsia="宋体" w:cs="宋体"/>
          <w:color w:val="auto"/>
          <w:spacing w:val="-3"/>
          <w:sz w:val="24"/>
          <w:szCs w:val="24"/>
          <w:highlight w:val="none"/>
        </w:rPr>
      </w:pPr>
    </w:p>
    <w:p w14:paraId="3E1D4BBA">
      <w:pPr>
        <w:pStyle w:val="6"/>
        <w:rPr>
          <w:rFonts w:hint="eastAsia"/>
          <w:color w:val="auto"/>
          <w:highlight w:val="none"/>
        </w:rPr>
      </w:pPr>
    </w:p>
    <w:p w14:paraId="4D392AB5">
      <w:pPr>
        <w:spacing w:before="106" w:line="222" w:lineRule="auto"/>
        <w:ind w:left="4297"/>
        <w:outlineLvl w:val="1"/>
        <w:rPr>
          <w:rFonts w:hint="eastAsia" w:ascii="宋体" w:hAnsi="宋体" w:eastAsia="宋体" w:cs="宋体"/>
          <w:color w:val="auto"/>
          <w:spacing w:val="-3"/>
          <w:sz w:val="24"/>
          <w:szCs w:val="24"/>
          <w:highlight w:val="none"/>
        </w:rPr>
      </w:pPr>
    </w:p>
    <w:p w14:paraId="15B70EA3">
      <w:pPr>
        <w:spacing w:before="106" w:line="222" w:lineRule="auto"/>
        <w:ind w:left="4297"/>
        <w:outlineLvl w:val="1"/>
        <w:rPr>
          <w:rFonts w:hint="eastAsia" w:ascii="宋体" w:hAnsi="宋体" w:eastAsia="宋体" w:cs="宋体"/>
          <w:color w:val="auto"/>
          <w:spacing w:val="-3"/>
          <w:sz w:val="24"/>
          <w:szCs w:val="24"/>
          <w:highlight w:val="none"/>
        </w:rPr>
      </w:pPr>
    </w:p>
    <w:p w14:paraId="49EBFBFC">
      <w:pPr>
        <w:spacing w:before="106" w:line="222" w:lineRule="auto"/>
        <w:ind w:left="4297"/>
        <w:outlineLvl w:val="1"/>
        <w:rPr>
          <w:rFonts w:hint="eastAsia" w:ascii="宋体" w:hAnsi="宋体" w:eastAsia="宋体" w:cs="宋体"/>
          <w:color w:val="auto"/>
          <w:spacing w:val="-3"/>
          <w:sz w:val="24"/>
          <w:szCs w:val="24"/>
          <w:highlight w:val="none"/>
        </w:rPr>
      </w:pPr>
    </w:p>
    <w:p w14:paraId="2270AC48">
      <w:pPr>
        <w:spacing w:before="106" w:line="222" w:lineRule="auto"/>
        <w:ind w:left="4297"/>
        <w:outlineLvl w:val="1"/>
        <w:rPr>
          <w:rFonts w:hint="eastAsia" w:ascii="宋体" w:hAnsi="宋体" w:eastAsia="宋体" w:cs="宋体"/>
          <w:color w:val="auto"/>
          <w:spacing w:val="-3"/>
          <w:sz w:val="24"/>
          <w:szCs w:val="24"/>
          <w:highlight w:val="none"/>
        </w:rPr>
      </w:pPr>
    </w:p>
    <w:p w14:paraId="11235B27">
      <w:pPr>
        <w:spacing w:before="106" w:line="222" w:lineRule="auto"/>
        <w:ind w:left="4297"/>
        <w:outlineLvl w:val="1"/>
        <w:rPr>
          <w:rFonts w:hint="eastAsia" w:ascii="宋体" w:hAnsi="宋体" w:eastAsia="宋体" w:cs="宋体"/>
          <w:color w:val="auto"/>
          <w:spacing w:val="-3"/>
          <w:sz w:val="24"/>
          <w:szCs w:val="24"/>
          <w:highlight w:val="none"/>
        </w:rPr>
      </w:pPr>
    </w:p>
    <w:p w14:paraId="71A5FFE9">
      <w:pPr>
        <w:pStyle w:val="9"/>
        <w:rPr>
          <w:rFonts w:hint="eastAsia" w:ascii="宋体" w:hAnsi="宋体" w:eastAsia="宋体" w:cs="宋体"/>
          <w:color w:val="auto"/>
          <w:spacing w:val="-3"/>
          <w:sz w:val="24"/>
          <w:szCs w:val="24"/>
          <w:highlight w:val="none"/>
        </w:rPr>
      </w:pPr>
    </w:p>
    <w:p w14:paraId="3D8C85FD">
      <w:pPr>
        <w:pStyle w:val="9"/>
        <w:rPr>
          <w:rFonts w:hint="eastAsia" w:ascii="宋体" w:hAnsi="宋体" w:eastAsia="宋体" w:cs="宋体"/>
          <w:color w:val="auto"/>
          <w:spacing w:val="-3"/>
          <w:sz w:val="24"/>
          <w:szCs w:val="24"/>
          <w:highlight w:val="none"/>
        </w:rPr>
      </w:pPr>
    </w:p>
    <w:p w14:paraId="4340A50F">
      <w:pPr>
        <w:spacing w:before="106" w:line="222" w:lineRule="auto"/>
        <w:ind w:left="429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1、开标一览表</w:t>
      </w:r>
    </w:p>
    <w:p w14:paraId="06392624">
      <w:pPr>
        <w:spacing w:line="264" w:lineRule="auto"/>
        <w:rPr>
          <w:rFonts w:hint="eastAsia" w:ascii="宋体" w:hAnsi="宋体" w:eastAsia="宋体" w:cs="宋体"/>
          <w:color w:val="auto"/>
          <w:sz w:val="21"/>
          <w:highlight w:val="none"/>
        </w:rPr>
      </w:pPr>
    </w:p>
    <w:p w14:paraId="29A5F00B">
      <w:pPr>
        <w:spacing w:line="264" w:lineRule="auto"/>
        <w:rPr>
          <w:rFonts w:hint="eastAsia" w:ascii="宋体" w:hAnsi="宋体" w:eastAsia="宋体" w:cs="宋体"/>
          <w:color w:val="auto"/>
          <w:sz w:val="21"/>
          <w:highlight w:val="none"/>
        </w:rPr>
      </w:pPr>
    </w:p>
    <w:p w14:paraId="1782FDA2">
      <w:pPr>
        <w:tabs>
          <w:tab w:val="left" w:pos="1800"/>
          <w:tab w:val="left" w:pos="5580"/>
        </w:tabs>
        <w:spacing w:line="240" w:lineRule="atLeast"/>
        <w:ind w:left="1080" w:leftChars="257" w:right="-867" w:rightChars="-413" w:hanging="540"/>
        <w:rPr>
          <w:rFonts w:hint="eastAsia" w:ascii="宋体" w:hAnsi="宋体" w:eastAsia="宋体" w:cs="宋体"/>
          <w:color w:val="auto"/>
          <w:sz w:val="24"/>
          <w:highlight w:val="none"/>
        </w:rPr>
      </w:pPr>
      <w:bookmarkStart w:id="44" w:name="bookmark32"/>
      <w:bookmarkEnd w:id="44"/>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项目</w:t>
      </w:r>
      <w:r>
        <w:rPr>
          <w:rFonts w:hint="eastAsia" w:ascii="宋体" w:hAnsi="宋体" w:eastAsia="宋体" w:cs="宋体"/>
          <w:color w:val="auto"/>
          <w:sz w:val="24"/>
          <w:highlight w:val="none"/>
        </w:rPr>
        <w:t xml:space="preserve">编号：                     </w:t>
      </w:r>
    </w:p>
    <w:p w14:paraId="20E996C0">
      <w:pPr>
        <w:tabs>
          <w:tab w:val="left" w:pos="1800"/>
          <w:tab w:val="left" w:pos="5580"/>
        </w:tabs>
        <w:spacing w:line="240" w:lineRule="atLeast"/>
        <w:ind w:left="1080" w:leftChars="257" w:right="-867" w:rightChars="-413" w:hanging="540"/>
        <w:rPr>
          <w:rFonts w:hint="eastAsia" w:ascii="宋体" w:hAnsi="宋体" w:eastAsia="宋体" w:cs="宋体"/>
          <w:color w:val="auto"/>
          <w:sz w:val="24"/>
          <w:highlight w:val="none"/>
        </w:rPr>
      </w:pPr>
    </w:p>
    <w:p w14:paraId="4E9827A0">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color w:val="auto"/>
          <w:sz w:val="24"/>
          <w:highlight w:val="none"/>
        </w:rPr>
        <w:t>元</w:t>
      </w:r>
      <w:r>
        <w:rPr>
          <w:rFonts w:hint="eastAsia" w:ascii="宋体" w:hAnsi="宋体" w:eastAsia="宋体" w:cs="宋体"/>
          <w:b/>
          <w:color w:val="auto"/>
          <w:sz w:val="24"/>
          <w:highlight w:val="none"/>
          <w:lang w:val="en-US" w:eastAsia="zh-CN"/>
        </w:rPr>
        <w:t xml:space="preserve">               </w:t>
      </w:r>
    </w:p>
    <w:tbl>
      <w:tblPr>
        <w:tblStyle w:val="19"/>
        <w:tblpPr w:leftFromText="180" w:rightFromText="180" w:vertAnchor="text" w:horzAnchor="page" w:tblpX="1230" w:tblpY="75"/>
        <w:tblOverlap w:val="never"/>
        <w:tblW w:w="9933" w:type="dxa"/>
        <w:tblInd w:w="0" w:type="dxa"/>
        <w:tblLayout w:type="fixed"/>
        <w:tblCellMar>
          <w:top w:w="0" w:type="dxa"/>
          <w:left w:w="0" w:type="dxa"/>
          <w:bottom w:w="0" w:type="dxa"/>
          <w:right w:w="0" w:type="dxa"/>
        </w:tblCellMar>
      </w:tblPr>
      <w:tblGrid>
        <w:gridCol w:w="1637"/>
        <w:gridCol w:w="1952"/>
        <w:gridCol w:w="1953"/>
        <w:gridCol w:w="1189"/>
        <w:gridCol w:w="2058"/>
        <w:gridCol w:w="1144"/>
      </w:tblGrid>
      <w:tr w14:paraId="4494E4C3">
        <w:tblPrEx>
          <w:tblCellMar>
            <w:top w:w="0" w:type="dxa"/>
            <w:left w:w="0" w:type="dxa"/>
            <w:bottom w:w="0" w:type="dxa"/>
            <w:right w:w="0" w:type="dxa"/>
          </w:tblCellMar>
        </w:tblPrEx>
        <w:trPr>
          <w:trHeight w:val="90" w:hRule="atLeast"/>
        </w:trPr>
        <w:tc>
          <w:tcPr>
            <w:tcW w:w="1637" w:type="dxa"/>
            <w:tcBorders>
              <w:top w:val="single" w:color="auto" w:sz="4" w:space="0"/>
              <w:left w:val="single" w:color="auto" w:sz="4" w:space="0"/>
              <w:bottom w:val="single" w:color="auto" w:sz="8" w:space="0"/>
              <w:right w:val="single" w:color="auto" w:sz="4" w:space="0"/>
            </w:tcBorders>
            <w:noWrap w:val="0"/>
            <w:vAlign w:val="center"/>
          </w:tcPr>
          <w:p w14:paraId="030E5DC1">
            <w:pPr>
              <w:spacing w:line="240" w:lineRule="atLeast"/>
              <w:ind w:right="-199" w:firstLine="240" w:firstLineChars="1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名称</w:t>
            </w:r>
          </w:p>
        </w:tc>
        <w:tc>
          <w:tcPr>
            <w:tcW w:w="1952" w:type="dxa"/>
            <w:tcBorders>
              <w:top w:val="single" w:color="auto" w:sz="4" w:space="0"/>
              <w:left w:val="single" w:color="auto" w:sz="8" w:space="0"/>
              <w:bottom w:val="single" w:color="auto" w:sz="8" w:space="0"/>
              <w:right w:val="single" w:color="auto" w:sz="4" w:space="0"/>
            </w:tcBorders>
            <w:noWrap w:val="0"/>
            <w:vAlign w:val="center"/>
          </w:tcPr>
          <w:p w14:paraId="05DC026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p>
        </w:tc>
        <w:tc>
          <w:tcPr>
            <w:tcW w:w="1953" w:type="dxa"/>
            <w:tcBorders>
              <w:top w:val="single" w:color="auto" w:sz="8" w:space="0"/>
              <w:left w:val="nil"/>
              <w:bottom w:val="single" w:color="auto" w:sz="8" w:space="0"/>
              <w:right w:val="single" w:color="auto" w:sz="4" w:space="0"/>
            </w:tcBorders>
            <w:noWrap w:val="0"/>
            <w:vAlign w:val="center"/>
          </w:tcPr>
          <w:p w14:paraId="01303E0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w:t>
            </w:r>
          </w:p>
        </w:tc>
        <w:tc>
          <w:tcPr>
            <w:tcW w:w="1189" w:type="dxa"/>
            <w:tcBorders>
              <w:top w:val="single" w:color="auto" w:sz="8" w:space="0"/>
              <w:left w:val="nil"/>
              <w:bottom w:val="single" w:color="auto" w:sz="8" w:space="0"/>
              <w:right w:val="single" w:color="auto" w:sz="4" w:space="0"/>
            </w:tcBorders>
            <w:noWrap w:val="0"/>
            <w:vAlign w:val="center"/>
          </w:tcPr>
          <w:p w14:paraId="671B388C">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服务期</w:t>
            </w:r>
          </w:p>
        </w:tc>
        <w:tc>
          <w:tcPr>
            <w:tcW w:w="2058" w:type="dxa"/>
            <w:tcBorders>
              <w:top w:val="single" w:color="auto" w:sz="8" w:space="0"/>
              <w:left w:val="nil"/>
              <w:bottom w:val="single" w:color="auto" w:sz="8" w:space="0"/>
              <w:right w:val="single" w:color="auto" w:sz="4" w:space="0"/>
            </w:tcBorders>
            <w:noWrap w:val="0"/>
            <w:vAlign w:val="center"/>
          </w:tcPr>
          <w:p w14:paraId="74E36B61">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项目负责人</w:t>
            </w:r>
          </w:p>
        </w:tc>
        <w:tc>
          <w:tcPr>
            <w:tcW w:w="1144" w:type="dxa"/>
            <w:tcBorders>
              <w:top w:val="single" w:color="auto" w:sz="8" w:space="0"/>
              <w:left w:val="single" w:color="auto" w:sz="4" w:space="0"/>
              <w:bottom w:val="single" w:color="auto" w:sz="8" w:space="0"/>
              <w:right w:val="single" w:color="auto" w:sz="8" w:space="0"/>
            </w:tcBorders>
            <w:noWrap w:val="0"/>
            <w:vAlign w:val="center"/>
          </w:tcPr>
          <w:p w14:paraId="58FB195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C3DDAA9">
        <w:tblPrEx>
          <w:tblCellMar>
            <w:top w:w="0" w:type="dxa"/>
            <w:left w:w="0" w:type="dxa"/>
            <w:bottom w:w="0" w:type="dxa"/>
            <w:right w:w="0" w:type="dxa"/>
          </w:tblCellMar>
        </w:tblPrEx>
        <w:trPr>
          <w:cantSplit/>
          <w:trHeight w:val="1773" w:hRule="atLeast"/>
        </w:trPr>
        <w:tc>
          <w:tcPr>
            <w:tcW w:w="1637" w:type="dxa"/>
            <w:tcBorders>
              <w:top w:val="single" w:color="auto" w:sz="8" w:space="0"/>
              <w:left w:val="single" w:color="auto" w:sz="4" w:space="0"/>
              <w:bottom w:val="single" w:color="auto" w:sz="8" w:space="0"/>
              <w:right w:val="single" w:color="auto" w:sz="4" w:space="0"/>
            </w:tcBorders>
            <w:noWrap w:val="0"/>
            <w:vAlign w:val="center"/>
          </w:tcPr>
          <w:p w14:paraId="7F5769D5">
            <w:pPr>
              <w:keepNext w:val="0"/>
              <w:keepLines w:val="0"/>
              <w:widowControl/>
              <w:suppressLineNumbers w:val="0"/>
              <w:jc w:val="center"/>
              <w:textAlignment w:val="center"/>
              <w:rPr>
                <w:rFonts w:hint="eastAsia" w:ascii="宋体" w:hAnsi="宋体" w:eastAsia="宋体" w:cs="宋体"/>
                <w:color w:val="auto"/>
                <w:sz w:val="24"/>
                <w:highlight w:val="none"/>
              </w:rPr>
            </w:pPr>
          </w:p>
          <w:p w14:paraId="5A646990">
            <w:pPr>
              <w:pStyle w:val="3"/>
              <w:outlineLvl w:val="9"/>
              <w:rPr>
                <w:rFonts w:hint="eastAsia" w:ascii="宋体" w:hAnsi="宋体" w:eastAsia="宋体" w:cs="宋体"/>
                <w:color w:val="auto"/>
                <w:sz w:val="24"/>
                <w:highlight w:val="none"/>
              </w:rPr>
            </w:pPr>
          </w:p>
          <w:p w14:paraId="6477361F">
            <w:pPr>
              <w:pStyle w:val="6"/>
              <w:rPr>
                <w:rFonts w:hint="eastAsia" w:ascii="宋体" w:hAnsi="宋体" w:eastAsia="宋体" w:cs="宋体"/>
                <w:color w:val="auto"/>
                <w:sz w:val="24"/>
                <w:highlight w:val="none"/>
              </w:rPr>
            </w:pPr>
          </w:p>
          <w:p w14:paraId="16AB5EA0">
            <w:pPr>
              <w:pStyle w:val="8"/>
              <w:rPr>
                <w:rFonts w:hint="eastAsia" w:ascii="宋体" w:hAnsi="宋体" w:eastAsia="宋体" w:cs="宋体"/>
                <w:color w:val="auto"/>
                <w:sz w:val="24"/>
                <w:highlight w:val="none"/>
              </w:rPr>
            </w:pPr>
          </w:p>
          <w:p w14:paraId="0E7166E2">
            <w:pPr>
              <w:rPr>
                <w:rFonts w:hint="eastAsia" w:ascii="宋体" w:hAnsi="宋体" w:eastAsia="宋体" w:cs="宋体"/>
                <w:color w:val="auto"/>
                <w:sz w:val="24"/>
                <w:highlight w:val="none"/>
              </w:rPr>
            </w:pPr>
          </w:p>
          <w:p w14:paraId="5B350DBF">
            <w:pPr>
              <w:pStyle w:val="3"/>
              <w:outlineLvl w:val="9"/>
              <w:rPr>
                <w:rFonts w:hint="eastAsia" w:ascii="宋体" w:hAnsi="宋体" w:eastAsia="宋体" w:cs="宋体"/>
                <w:color w:val="auto"/>
                <w:highlight w:val="none"/>
              </w:rPr>
            </w:pPr>
          </w:p>
        </w:tc>
        <w:tc>
          <w:tcPr>
            <w:tcW w:w="1952" w:type="dxa"/>
            <w:tcBorders>
              <w:top w:val="single" w:color="auto" w:sz="8" w:space="0"/>
              <w:left w:val="single" w:color="auto" w:sz="8" w:space="0"/>
              <w:bottom w:val="single" w:color="auto" w:sz="8" w:space="0"/>
              <w:right w:val="single" w:color="auto" w:sz="4" w:space="0"/>
            </w:tcBorders>
            <w:noWrap w:val="0"/>
            <w:vAlign w:val="center"/>
          </w:tcPr>
          <w:p w14:paraId="6D73D5D9">
            <w:pPr>
              <w:spacing w:line="240" w:lineRule="atLeas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14:paraId="2B20F16B">
            <w:pPr>
              <w:spacing w:line="240" w:lineRule="atLeast"/>
              <w:jc w:val="left"/>
              <w:rPr>
                <w:rFonts w:hint="eastAsia" w:ascii="宋体" w:hAnsi="宋体" w:eastAsia="宋体" w:cs="宋体"/>
                <w:color w:val="auto"/>
                <w:sz w:val="24"/>
                <w:highlight w:val="none"/>
              </w:rPr>
            </w:pPr>
          </w:p>
          <w:p w14:paraId="5DADA184">
            <w:pPr>
              <w:spacing w:line="240" w:lineRule="atLeas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953" w:type="dxa"/>
            <w:tcBorders>
              <w:top w:val="single" w:color="auto" w:sz="8" w:space="0"/>
              <w:left w:val="nil"/>
              <w:bottom w:val="single" w:color="auto" w:sz="4" w:space="0"/>
              <w:right w:val="single" w:color="auto" w:sz="4" w:space="0"/>
            </w:tcBorders>
            <w:noWrap w:val="0"/>
            <w:vAlign w:val="center"/>
          </w:tcPr>
          <w:p w14:paraId="2CD51FE2">
            <w:pPr>
              <w:spacing w:line="240" w:lineRule="atLeast"/>
              <w:ind w:firstLine="720" w:firstLineChars="300"/>
              <w:jc w:val="both"/>
              <w:rPr>
                <w:rFonts w:hint="eastAsia" w:ascii="宋体" w:hAnsi="宋体" w:eastAsia="宋体" w:cs="宋体"/>
                <w:color w:val="auto"/>
                <w:sz w:val="24"/>
                <w:highlight w:val="none"/>
                <w:lang w:val="en-US" w:eastAsia="zh-CN"/>
              </w:rPr>
            </w:pPr>
          </w:p>
        </w:tc>
        <w:tc>
          <w:tcPr>
            <w:tcW w:w="1189" w:type="dxa"/>
            <w:tcBorders>
              <w:top w:val="single" w:color="auto" w:sz="8" w:space="0"/>
              <w:left w:val="nil"/>
              <w:bottom w:val="single" w:color="auto" w:sz="4" w:space="0"/>
              <w:right w:val="single" w:color="auto" w:sz="4" w:space="0"/>
            </w:tcBorders>
            <w:noWrap w:val="0"/>
            <w:vAlign w:val="center"/>
          </w:tcPr>
          <w:p w14:paraId="1D95F37C">
            <w:pPr>
              <w:spacing w:line="240" w:lineRule="atLeast"/>
              <w:ind w:left="1080" w:leftChars="257" w:hanging="540"/>
              <w:jc w:val="center"/>
              <w:rPr>
                <w:rFonts w:hint="eastAsia" w:ascii="宋体" w:hAnsi="宋体" w:eastAsia="宋体" w:cs="宋体"/>
                <w:color w:val="auto"/>
                <w:sz w:val="24"/>
                <w:highlight w:val="none"/>
              </w:rPr>
            </w:pPr>
          </w:p>
        </w:tc>
        <w:tc>
          <w:tcPr>
            <w:tcW w:w="2058" w:type="dxa"/>
            <w:tcBorders>
              <w:top w:val="single" w:color="auto" w:sz="8" w:space="0"/>
              <w:left w:val="nil"/>
              <w:bottom w:val="single" w:color="auto" w:sz="4" w:space="0"/>
              <w:right w:val="single" w:color="auto" w:sz="4" w:space="0"/>
            </w:tcBorders>
            <w:noWrap w:val="0"/>
            <w:vAlign w:val="center"/>
          </w:tcPr>
          <w:p w14:paraId="20B39E94">
            <w:pPr>
              <w:spacing w:line="240" w:lineRule="atLeast"/>
              <w:ind w:left="1080" w:leftChars="257" w:hanging="540"/>
              <w:jc w:val="center"/>
              <w:rPr>
                <w:rFonts w:hint="eastAsia" w:ascii="宋体" w:hAnsi="宋体" w:eastAsia="宋体" w:cs="宋体"/>
                <w:color w:val="auto"/>
                <w:sz w:val="24"/>
                <w:highlight w:val="none"/>
              </w:rPr>
            </w:pPr>
          </w:p>
        </w:tc>
        <w:tc>
          <w:tcPr>
            <w:tcW w:w="1144" w:type="dxa"/>
            <w:tcBorders>
              <w:top w:val="single" w:color="auto" w:sz="8" w:space="0"/>
              <w:left w:val="single" w:color="auto" w:sz="4" w:space="0"/>
              <w:bottom w:val="single" w:color="auto" w:sz="4" w:space="0"/>
              <w:right w:val="single" w:color="auto" w:sz="8" w:space="0"/>
            </w:tcBorders>
            <w:noWrap w:val="0"/>
            <w:vAlign w:val="center"/>
          </w:tcPr>
          <w:p w14:paraId="32692BBB">
            <w:pPr>
              <w:spacing w:line="240" w:lineRule="atLeast"/>
              <w:ind w:left="1080" w:leftChars="257" w:hanging="540"/>
              <w:jc w:val="center"/>
              <w:rPr>
                <w:rFonts w:hint="eastAsia" w:ascii="宋体" w:hAnsi="宋体" w:eastAsia="宋体" w:cs="宋体"/>
                <w:color w:val="auto"/>
                <w:sz w:val="24"/>
                <w:highlight w:val="none"/>
              </w:rPr>
            </w:pPr>
          </w:p>
        </w:tc>
      </w:tr>
    </w:tbl>
    <w:p w14:paraId="70412901">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p>
    <w:p w14:paraId="6AA42ACF">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p>
    <w:p w14:paraId="5CE7319F">
      <w:pPr>
        <w:pStyle w:val="11"/>
        <w:tabs>
          <w:tab w:val="left" w:pos="5580"/>
        </w:tabs>
        <w:spacing w:line="360" w:lineRule="auto"/>
        <w:ind w:left="1258" w:leftChars="599" w:firstLine="2020" w:firstLineChars="84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名称（单位盖章）：</w:t>
      </w:r>
      <w:r>
        <w:rPr>
          <w:rFonts w:hint="eastAsia" w:ascii="宋体" w:hAnsi="宋体" w:eastAsia="宋体" w:cs="宋体"/>
          <w:color w:val="auto"/>
          <w:sz w:val="24"/>
          <w:highlight w:val="none"/>
          <w:u w:val="single"/>
        </w:rPr>
        <w:t xml:space="preserve">                       </w:t>
      </w:r>
    </w:p>
    <w:p w14:paraId="7CC62F4B">
      <w:pPr>
        <w:pStyle w:val="11"/>
        <w:tabs>
          <w:tab w:val="left" w:pos="5580"/>
        </w:tabs>
        <w:spacing w:line="360" w:lineRule="auto"/>
        <w:ind w:left="1258" w:leftChars="599" w:firstLine="2020" w:firstLineChars="842"/>
        <w:rPr>
          <w:rFonts w:hint="eastAsia" w:ascii="宋体" w:hAnsi="宋体" w:eastAsia="宋体" w:cs="宋体"/>
          <w:color w:val="auto"/>
          <w:sz w:val="24"/>
          <w:highlight w:val="none"/>
        </w:rPr>
      </w:pPr>
    </w:p>
    <w:p w14:paraId="71080AD0">
      <w:pPr>
        <w:pStyle w:val="11"/>
        <w:tabs>
          <w:tab w:val="left" w:pos="5580"/>
        </w:tabs>
        <w:spacing w:line="360" w:lineRule="auto"/>
        <w:ind w:left="1258" w:leftChars="599" w:firstLine="2020" w:firstLineChars="842"/>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0427BF31">
      <w:pPr>
        <w:pStyle w:val="11"/>
        <w:tabs>
          <w:tab w:val="left" w:pos="5580"/>
        </w:tabs>
        <w:spacing w:line="240" w:lineRule="atLeast"/>
        <w:ind w:left="1080" w:leftChars="257" w:hanging="540"/>
        <w:rPr>
          <w:rFonts w:hint="eastAsia" w:ascii="宋体" w:hAnsi="宋体" w:eastAsia="宋体" w:cs="宋体"/>
          <w:color w:val="auto"/>
          <w:sz w:val="24"/>
          <w:highlight w:val="none"/>
        </w:rPr>
      </w:pPr>
    </w:p>
    <w:p w14:paraId="28CABF46">
      <w:pPr>
        <w:pStyle w:val="11"/>
        <w:tabs>
          <w:tab w:val="left" w:pos="5580"/>
        </w:tabs>
        <w:spacing w:line="360" w:lineRule="auto"/>
        <w:ind w:left="1396" w:leftChars="257" w:hanging="856" w:hangingChars="357"/>
        <w:rPr>
          <w:rFonts w:hint="eastAsia" w:ascii="宋体" w:hAnsi="宋体" w:eastAsia="宋体" w:cs="宋体"/>
          <w:color w:val="auto"/>
          <w:sz w:val="24"/>
          <w:highlight w:val="none"/>
        </w:rPr>
      </w:pPr>
    </w:p>
    <w:p w14:paraId="3343FEC3">
      <w:pPr>
        <w:pStyle w:val="11"/>
        <w:tabs>
          <w:tab w:val="left" w:pos="5580"/>
        </w:tabs>
        <w:spacing w:line="360" w:lineRule="auto"/>
        <w:ind w:left="1396" w:leftChars="257" w:hanging="856" w:hangingChars="3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szCs w:val="24"/>
          <w:highlight w:val="none"/>
        </w:rPr>
        <w:t>1、此表中，</w:t>
      </w: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r>
        <w:rPr>
          <w:rFonts w:hint="eastAsia" w:ascii="宋体" w:hAnsi="宋体" w:eastAsia="宋体" w:cs="宋体"/>
          <w:color w:val="auto"/>
          <w:sz w:val="24"/>
          <w:szCs w:val="24"/>
          <w:highlight w:val="none"/>
        </w:rPr>
        <w:t>为单价的合计，</w:t>
      </w: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r>
        <w:rPr>
          <w:rFonts w:hint="eastAsia" w:ascii="宋体" w:hAnsi="宋体" w:eastAsia="宋体" w:cs="宋体"/>
          <w:color w:val="auto"/>
          <w:sz w:val="24"/>
          <w:szCs w:val="24"/>
          <w:highlight w:val="none"/>
        </w:rPr>
        <w:t>应和分项报价表的总价相一致</w:t>
      </w:r>
      <w:r>
        <w:rPr>
          <w:rFonts w:hint="eastAsia" w:ascii="宋体" w:hAnsi="宋体" w:eastAsia="宋体" w:cs="宋体"/>
          <w:color w:val="auto"/>
          <w:sz w:val="24"/>
          <w:szCs w:val="24"/>
          <w:highlight w:val="none"/>
          <w:lang w:val="en-US" w:eastAsia="zh-CN"/>
        </w:rPr>
        <w:t>。</w:t>
      </w:r>
    </w:p>
    <w:p w14:paraId="4EF06C62">
      <w:pPr>
        <w:pStyle w:val="11"/>
        <w:tabs>
          <w:tab w:val="left" w:pos="5580"/>
        </w:tabs>
        <w:spacing w:line="360" w:lineRule="auto"/>
        <w:ind w:left="1390" w:leftChars="485" w:hanging="372" w:hangingChars="155"/>
        <w:rPr>
          <w:rFonts w:hint="eastAsia" w:ascii="宋体" w:hAnsi="宋体" w:eastAsia="宋体" w:cs="宋体"/>
          <w:color w:val="auto"/>
          <w:spacing w:val="1"/>
          <w:sz w:val="24"/>
          <w:szCs w:val="24"/>
          <w:highlight w:val="none"/>
        </w:rPr>
        <w:sectPr>
          <w:footerReference r:id="rId18" w:type="default"/>
          <w:pgSz w:w="11906" w:h="16840"/>
          <w:pgMar w:top="1431" w:right="1161" w:bottom="1036" w:left="1080" w:header="0" w:footer="867" w:gutter="0"/>
          <w:pgNumType w:fmt="decimal"/>
          <w:cols w:space="720" w:num="1"/>
        </w:sectPr>
      </w:pPr>
      <w:r>
        <w:rPr>
          <w:rFonts w:hint="eastAsia" w:ascii="宋体" w:hAnsi="宋体" w:eastAsia="宋体" w:cs="宋体"/>
          <w:color w:val="auto"/>
          <w:sz w:val="24"/>
          <w:szCs w:val="24"/>
          <w:highlight w:val="none"/>
          <w:lang w:val="en-US" w:eastAsia="zh-CN"/>
        </w:rPr>
        <w:t>2、供应</w:t>
      </w:r>
      <w:r>
        <w:rPr>
          <w:rFonts w:hint="eastAsia" w:ascii="宋体" w:hAnsi="宋体" w:eastAsia="宋体" w:cs="宋体"/>
          <w:color w:val="auto"/>
          <w:sz w:val="24"/>
          <w:szCs w:val="24"/>
          <w:highlight w:val="none"/>
        </w:rPr>
        <w:t>商报价时</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包含税费等一切与本次项目相关的费用</w:t>
      </w:r>
    </w:p>
    <w:p w14:paraId="58FBF224">
      <w:pPr>
        <w:pStyle w:val="4"/>
        <w:spacing w:before="0" w:line="240" w:lineRule="atLeast"/>
        <w:ind w:left="0" w:leftChars="0" w:firstLine="0" w:firstLineChars="0"/>
        <w:jc w:val="both"/>
        <w:rPr>
          <w:rFonts w:hint="default" w:ascii="宋体" w:hAnsi="宋体" w:eastAsia="宋体" w:cs="宋体"/>
          <w:b/>
          <w:bCs/>
          <w:color w:val="auto"/>
          <w:sz w:val="28"/>
          <w:szCs w:val="28"/>
          <w:highlight w:val="none"/>
          <w:lang w:val="en-US"/>
        </w:rPr>
      </w:pPr>
      <w:bookmarkStart w:id="45" w:name="_Toc28988"/>
      <w:r>
        <w:rPr>
          <w:rFonts w:hint="eastAsia" w:ascii="宋体" w:hAnsi="宋体" w:eastAsia="宋体" w:cs="宋体"/>
          <w:b/>
          <w:bCs/>
          <w:color w:val="auto"/>
          <w:sz w:val="24"/>
          <w:szCs w:val="24"/>
          <w:highlight w:val="none"/>
          <w:lang w:val="en-US" w:eastAsia="zh-CN"/>
        </w:rPr>
        <w:t>2、具备有效的营业执照</w:t>
      </w:r>
      <w:bookmarkEnd w:id="45"/>
      <w:r>
        <w:rPr>
          <w:rFonts w:hint="eastAsia" w:ascii="宋体" w:hAnsi="宋体" w:eastAsia="宋体" w:cs="宋体"/>
          <w:b/>
          <w:bCs/>
          <w:color w:val="auto"/>
          <w:sz w:val="24"/>
          <w:szCs w:val="24"/>
          <w:highlight w:val="none"/>
          <w:lang w:val="en-US" w:eastAsia="zh-CN"/>
        </w:rPr>
        <w:t>；</w:t>
      </w:r>
    </w:p>
    <w:p w14:paraId="44C8732D">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p>
    <w:p w14:paraId="645F38DF">
      <w:pPr>
        <w:keepNext w:val="0"/>
        <w:keepLines w:val="0"/>
        <w:pageBreakBefore w:val="0"/>
        <w:widowControl w:val="0"/>
        <w:numPr>
          <w:ilvl w:val="0"/>
          <w:numId w:val="4"/>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pPr>
      <w:bookmarkStart w:id="46" w:name="_Toc21689"/>
      <w:r>
        <w:rPr>
          <w:rFonts w:hint="eastAsia" w:ascii="宋体" w:hAnsi="宋体" w:eastAsia="宋体" w:cs="宋体"/>
          <w:b/>
          <w:bCs/>
          <w:color w:val="auto"/>
          <w:sz w:val="24"/>
          <w:szCs w:val="24"/>
          <w:highlight w:val="none"/>
        </w:rPr>
        <w:t>法定代表人身份证明或法定代表人授权委托书</w:t>
      </w:r>
      <w:r>
        <w:rPr>
          <w:rFonts w:hint="eastAsia" w:ascii="宋体" w:hAnsi="宋体" w:eastAsia="宋体" w:cs="宋体"/>
          <w:color w:val="auto"/>
          <w:sz w:val="24"/>
          <w:szCs w:val="24"/>
          <w:highlight w:val="none"/>
        </w:rPr>
        <w:t>；</w:t>
      </w:r>
      <w:bookmarkEnd w:id="46"/>
    </w:p>
    <w:p w14:paraId="3E3B6087">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p>
    <w:p w14:paraId="77C91ACA">
      <w:pPr>
        <w:pStyle w:val="16"/>
        <w:numPr>
          <w:ilvl w:val="0"/>
          <w:numId w:val="0"/>
        </w:numPr>
        <w:ind w:firstLine="2800" w:firstLineChars="1000"/>
        <w:rPr>
          <w:rFonts w:hint="eastAsia" w:ascii="宋体" w:hAnsi="宋体" w:eastAsia="宋体" w:cs="宋体"/>
          <w:b w:val="0"/>
          <w:bCs w:val="0"/>
          <w:color w:val="auto"/>
          <w:kern w:val="0"/>
          <w:sz w:val="32"/>
          <w:szCs w:val="32"/>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 xml:space="preserve">法定代表人身份证明 </w:t>
      </w:r>
    </w:p>
    <w:p w14:paraId="54762643">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506A465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同志，现任我单位</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职务，为法定代表人，特此证明。</w:t>
      </w:r>
    </w:p>
    <w:p w14:paraId="2F08DD21">
      <w:pPr>
        <w:spacing w:line="36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签发日期：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单位：</w:t>
      </w:r>
      <w:r>
        <w:rPr>
          <w:rFonts w:hint="eastAsia" w:ascii="宋体" w:hAnsi="宋体" w:eastAsia="宋体" w:cs="宋体"/>
          <w:b w:val="0"/>
          <w:bCs w:val="0"/>
          <w:color w:val="auto"/>
          <w:sz w:val="24"/>
          <w:szCs w:val="24"/>
          <w:highlight w:val="none"/>
          <w:u w:val="single"/>
        </w:rPr>
        <w:t xml:space="preserve">           </w:t>
      </w:r>
    </w:p>
    <w:p w14:paraId="4CE9F62D">
      <w:pPr>
        <w:spacing w:line="36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w:t>
      </w:r>
    </w:p>
    <w:p w14:paraId="4F3AEF6F">
      <w:pPr>
        <w:spacing w:line="360" w:lineRule="auto"/>
        <w:ind w:firstLine="720" w:firstLineChars="3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性别：</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年龄：</w:t>
      </w:r>
      <w:r>
        <w:rPr>
          <w:rFonts w:hint="eastAsia" w:ascii="宋体" w:hAnsi="宋体" w:eastAsia="宋体" w:cs="宋体"/>
          <w:b w:val="0"/>
          <w:bCs w:val="0"/>
          <w:color w:val="auto"/>
          <w:sz w:val="24"/>
          <w:szCs w:val="24"/>
          <w:highlight w:val="none"/>
          <w:u w:val="single"/>
        </w:rPr>
        <w:t xml:space="preserve">        </w:t>
      </w:r>
    </w:p>
    <w:p w14:paraId="35EA439F">
      <w:pPr>
        <w:spacing w:line="360" w:lineRule="auto"/>
        <w:ind w:firstLine="720" w:firstLineChars="3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身份证号码：</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联系电话：</w:t>
      </w:r>
      <w:r>
        <w:rPr>
          <w:rFonts w:hint="eastAsia" w:ascii="宋体" w:hAnsi="宋体" w:eastAsia="宋体" w:cs="宋体"/>
          <w:b w:val="0"/>
          <w:bCs w:val="0"/>
          <w:color w:val="auto"/>
          <w:sz w:val="24"/>
          <w:szCs w:val="24"/>
          <w:highlight w:val="none"/>
          <w:u w:val="single"/>
        </w:rPr>
        <w:t xml:space="preserve">           </w:t>
      </w:r>
    </w:p>
    <w:p w14:paraId="235964A4">
      <w:pPr>
        <w:spacing w:line="360" w:lineRule="auto"/>
        <w:ind w:firstLine="720" w:firstLineChars="3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营业执照号码：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经济性质：</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14:paraId="0BADC0F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w:t>
      </w:r>
    </w:p>
    <w:p w14:paraId="05F2AB16">
      <w:pPr>
        <w:spacing w:line="36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附法定代表人身份证复印件</w:t>
      </w:r>
    </w:p>
    <w:p w14:paraId="096C96BF">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42887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428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AB89365">
                            <w:pPr>
                              <w:jc w:val="center"/>
                              <w:rPr>
                                <w:rFonts w:hAnsi="宋体"/>
                                <w:szCs w:val="21"/>
                              </w:rPr>
                            </w:pPr>
                          </w:p>
                          <w:p w14:paraId="73D67F33">
                            <w:pPr>
                              <w:jc w:val="center"/>
                              <w:rPr>
                                <w:rFonts w:hAnsi="宋体"/>
                                <w:szCs w:val="21"/>
                              </w:rPr>
                            </w:pPr>
                          </w:p>
                          <w:p w14:paraId="1A049566">
                            <w:pPr>
                              <w:jc w:val="center"/>
                              <w:rPr>
                                <w:rFonts w:hAnsi="宋体"/>
                                <w:szCs w:val="21"/>
                              </w:rPr>
                            </w:pPr>
                          </w:p>
                          <w:p w14:paraId="1FC647C9">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24.75pt;width:191.25pt;z-index:251659264;mso-width-relative:page;mso-height-relative:page;" fillcolor="#FFFFFF" filled="t" stroked="t" coordsize="21600,21600" o:gfxdata="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o3/SvWAAAACAEAAA8AAAAAAAAAAQAgAAAAIgAAAGRycy9kb3ducmV2LnhtbFBLAQIU&#10;ABQAAAAIAIdO4kBQvYV2LgIAAF4EAAAOAAAAAAAAAAEAIAAAACUBAABkcnMvZTJvRG9jLnhtbFBL&#10;BQYAAAAABgAGAFkBAADFBQAAAAA=&#10;">
                <v:fill on="t" focussize="0,0"/>
                <v:stroke color="#000000" joinstyle="miter"/>
                <v:imagedata o:title=""/>
                <o:lock v:ext="edit" aspectratio="f"/>
                <v:textbox>
                  <w:txbxContent>
                    <w:p w14:paraId="7AB89365">
                      <w:pPr>
                        <w:jc w:val="center"/>
                        <w:rPr>
                          <w:rFonts w:hAnsi="宋体"/>
                          <w:szCs w:val="21"/>
                        </w:rPr>
                      </w:pPr>
                    </w:p>
                    <w:p w14:paraId="73D67F33">
                      <w:pPr>
                        <w:jc w:val="center"/>
                        <w:rPr>
                          <w:rFonts w:hAnsi="宋体"/>
                          <w:szCs w:val="21"/>
                        </w:rPr>
                      </w:pPr>
                    </w:p>
                    <w:p w14:paraId="1A049566">
                      <w:pPr>
                        <w:jc w:val="center"/>
                        <w:rPr>
                          <w:rFonts w:hAnsi="宋体"/>
                          <w:szCs w:val="21"/>
                        </w:rPr>
                      </w:pPr>
                    </w:p>
                    <w:p w14:paraId="1FC647C9">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v:textbox>
              </v:shape>
            </w:pict>
          </mc:Fallback>
        </mc:AlternateContent>
      </w:r>
      <w:r>
        <w:rPr>
          <w:rFonts w:hint="eastAsia" w:ascii="宋体" w:hAnsi="宋体" w:cs="宋体"/>
          <w:color w:val="auto"/>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9" name="圆角矩形 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831AD96">
                            <w:pPr>
                              <w:jc w:val="center"/>
                              <w:rPr>
                                <w:rFonts w:hAnsi="宋体"/>
                                <w:szCs w:val="21"/>
                              </w:rPr>
                            </w:pPr>
                            <w:r>
                              <w:rPr>
                                <w:rFonts w:hint="eastAsia" w:hAnsi="宋体"/>
                                <w:szCs w:val="21"/>
                              </w:rPr>
                              <w:t xml:space="preserve">  </w:t>
                            </w:r>
                          </w:p>
                          <w:p w14:paraId="1A2D0E16">
                            <w:pPr>
                              <w:jc w:val="center"/>
                              <w:rPr>
                                <w:rFonts w:hAnsi="宋体"/>
                                <w:szCs w:val="21"/>
                              </w:rPr>
                            </w:pPr>
                          </w:p>
                          <w:p w14:paraId="0F13E5C4">
                            <w:pPr>
                              <w:jc w:val="center"/>
                              <w:rPr>
                                <w:rFonts w:hAnsi="宋体"/>
                                <w:szCs w:val="21"/>
                              </w:rPr>
                            </w:pPr>
                          </w:p>
                          <w:p w14:paraId="53E19B88">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70055212"/>
                          <w:p w14:paraId="1B1916B9">
                            <w:pPr>
                              <w:pStyle w:val="6"/>
                            </w:pPr>
                          </w:p>
                          <w:p w14:paraId="21596795">
                            <w:pPr>
                              <w:pStyle w:val="6"/>
                            </w:pPr>
                          </w:p>
                          <w:p w14:paraId="56EA96BC">
                            <w:pPr>
                              <w:pStyle w:val="6"/>
                            </w:pPr>
                          </w:p>
                          <w:p w14:paraId="76A83197">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PL2Nf2gAAAAkBAAAPAAAAAAAAAAEAIAAAACIAAABkcnMvZG93bnJldi54bWxQSwEC&#10;FAAUAAAACACHTuJAdeljPCsCAABmBAAADgAAAAAAAAABACAAAAApAQAAZHJzL2Uyb0RvYy54bWxQ&#10;SwUGAAAAAAYABgBZAQAAxgUAAAAA&#10;">
                <v:fill on="t" focussize="0,0"/>
                <v:stroke weight="1.25pt" color="#808080" joinstyle="round"/>
                <v:imagedata o:title=""/>
                <o:lock v:ext="edit" aspectratio="f"/>
                <v:textbox>
                  <w:txbxContent>
                    <w:p w14:paraId="7831AD96">
                      <w:pPr>
                        <w:jc w:val="center"/>
                        <w:rPr>
                          <w:rFonts w:hAnsi="宋体"/>
                          <w:szCs w:val="21"/>
                        </w:rPr>
                      </w:pPr>
                      <w:r>
                        <w:rPr>
                          <w:rFonts w:hint="eastAsia" w:hAnsi="宋体"/>
                          <w:szCs w:val="21"/>
                        </w:rPr>
                        <w:t xml:space="preserve">  </w:t>
                      </w:r>
                    </w:p>
                    <w:p w14:paraId="1A2D0E16">
                      <w:pPr>
                        <w:jc w:val="center"/>
                        <w:rPr>
                          <w:rFonts w:hAnsi="宋体"/>
                          <w:szCs w:val="21"/>
                        </w:rPr>
                      </w:pPr>
                    </w:p>
                    <w:p w14:paraId="0F13E5C4">
                      <w:pPr>
                        <w:jc w:val="center"/>
                        <w:rPr>
                          <w:rFonts w:hAnsi="宋体"/>
                          <w:szCs w:val="21"/>
                        </w:rPr>
                      </w:pPr>
                    </w:p>
                    <w:p w14:paraId="53E19B88">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70055212"/>
                    <w:p w14:paraId="1B1916B9">
                      <w:pPr>
                        <w:pStyle w:val="6"/>
                      </w:pPr>
                    </w:p>
                    <w:p w14:paraId="21596795">
                      <w:pPr>
                        <w:pStyle w:val="6"/>
                      </w:pPr>
                    </w:p>
                    <w:p w14:paraId="56EA96BC">
                      <w:pPr>
                        <w:pStyle w:val="6"/>
                      </w:pPr>
                    </w:p>
                    <w:p w14:paraId="76A83197">
                      <w:pPr>
                        <w:pStyle w:val="6"/>
                      </w:pPr>
                    </w:p>
                  </w:txbxContent>
                </v:textbox>
              </v:roundrect>
            </w:pict>
          </mc:Fallback>
        </mc:AlternateContent>
      </w:r>
    </w:p>
    <w:p w14:paraId="5CB0C316">
      <w:pPr>
        <w:spacing w:line="360" w:lineRule="auto"/>
        <w:rPr>
          <w:rFonts w:hint="eastAsia" w:ascii="宋体" w:hAnsi="宋体" w:cs="宋体"/>
          <w:color w:val="auto"/>
          <w:sz w:val="24"/>
          <w:szCs w:val="20"/>
          <w:highlight w:val="none"/>
        </w:rPr>
      </w:pPr>
    </w:p>
    <w:p w14:paraId="0F9856CB">
      <w:pPr>
        <w:spacing w:line="360" w:lineRule="auto"/>
        <w:rPr>
          <w:rFonts w:hint="eastAsia" w:ascii="宋体" w:hAnsi="宋体" w:cs="宋体"/>
          <w:color w:val="auto"/>
          <w:sz w:val="24"/>
          <w:szCs w:val="20"/>
          <w:highlight w:val="none"/>
        </w:rPr>
      </w:pPr>
    </w:p>
    <w:p w14:paraId="18853710">
      <w:pPr>
        <w:autoSpaceDE w:val="0"/>
        <w:autoSpaceDN w:val="0"/>
        <w:adjustRightInd w:val="0"/>
        <w:spacing w:line="360" w:lineRule="auto"/>
        <w:ind w:right="246"/>
        <w:rPr>
          <w:rFonts w:hint="eastAsia" w:ascii="宋体" w:hAnsi="宋体" w:cs="宋体"/>
          <w:color w:val="auto"/>
          <w:sz w:val="24"/>
          <w:szCs w:val="20"/>
          <w:highlight w:val="none"/>
        </w:rPr>
      </w:pPr>
    </w:p>
    <w:p w14:paraId="7B7DEEEF">
      <w:pPr>
        <w:autoSpaceDE w:val="0"/>
        <w:autoSpaceDN w:val="0"/>
        <w:adjustRightInd w:val="0"/>
        <w:spacing w:line="360" w:lineRule="auto"/>
        <w:ind w:right="246" w:firstLine="784" w:firstLineChars="327"/>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供应商（盖章）：                              </w:t>
      </w:r>
    </w:p>
    <w:p w14:paraId="32A40EF5">
      <w:pPr>
        <w:adjustRightInd w:val="0"/>
        <w:snapToGrid w:val="0"/>
        <w:spacing w:line="360" w:lineRule="auto"/>
        <w:ind w:firstLine="784" w:firstLineChars="327"/>
        <w:rPr>
          <w:rFonts w:hint="eastAsia" w:ascii="宋体" w:hAnsi="宋体" w:cs="宋体"/>
          <w:color w:val="auto"/>
          <w:sz w:val="24"/>
          <w:szCs w:val="20"/>
          <w:highlight w:val="none"/>
        </w:rPr>
      </w:pPr>
    </w:p>
    <w:p w14:paraId="6162CDE5">
      <w:pPr>
        <w:pStyle w:val="6"/>
        <w:rPr>
          <w:rFonts w:hint="eastAsia" w:hAnsi="宋体" w:cs="宋体"/>
          <w:color w:val="auto"/>
          <w:highlight w:val="none"/>
        </w:rPr>
      </w:pPr>
    </w:p>
    <w:p w14:paraId="4E4C47F6">
      <w:pPr>
        <w:adjustRightInd w:val="0"/>
        <w:snapToGrid w:val="0"/>
        <w:spacing w:line="360" w:lineRule="auto"/>
        <w:ind w:firstLine="5582" w:firstLineChars="2326"/>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供应商（盖章）：                              </w:t>
      </w:r>
    </w:p>
    <w:p w14:paraId="396B9B78">
      <w:pPr>
        <w:adjustRightInd w:val="0"/>
        <w:snapToGrid w:val="0"/>
        <w:spacing w:line="360" w:lineRule="auto"/>
        <w:ind w:firstLine="784" w:firstLineChars="327"/>
        <w:rPr>
          <w:rFonts w:hint="eastAsia" w:ascii="宋体" w:hAnsi="宋体" w:cs="宋体"/>
          <w:color w:val="auto"/>
          <w:sz w:val="24"/>
          <w:szCs w:val="20"/>
          <w:highlight w:val="none"/>
        </w:rPr>
      </w:pPr>
    </w:p>
    <w:p w14:paraId="27EE3785">
      <w:pPr>
        <w:adjustRightInd w:val="0"/>
        <w:snapToGrid w:val="0"/>
        <w:spacing w:line="360" w:lineRule="auto"/>
        <w:ind w:firstLine="4862" w:firstLineChars="2026"/>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 xml:space="preserve">：                    </w:t>
      </w:r>
    </w:p>
    <w:p w14:paraId="18C4CA76">
      <w:pPr>
        <w:adjustRightInd w:val="0"/>
        <w:snapToGrid w:val="0"/>
        <w:spacing w:line="360" w:lineRule="auto"/>
        <w:ind w:firstLine="784" w:firstLineChars="327"/>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8C14792">
      <w:pPr>
        <w:pStyle w:val="16"/>
        <w:numPr>
          <w:ilvl w:val="0"/>
          <w:numId w:val="0"/>
        </w:numPr>
        <w:ind w:firstLine="5520" w:firstLineChars="2300"/>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color w:val="auto"/>
          <w:sz w:val="24"/>
          <w:szCs w:val="20"/>
          <w:highlight w:val="none"/>
        </w:rPr>
        <w:t xml:space="preserve">日期：  年   月   日  </w:t>
      </w:r>
    </w:p>
    <w:p w14:paraId="7CF6017A">
      <w:pPr>
        <w:pStyle w:val="11"/>
        <w:keepNext w:val="0"/>
        <w:keepLines w:val="0"/>
        <w:pageBreakBefore w:val="0"/>
        <w:widowControl w:val="0"/>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auto"/>
          <w:sz w:val="24"/>
          <w:highlight w:val="none"/>
        </w:rPr>
      </w:pPr>
      <w:r>
        <w:rPr>
          <w:rFonts w:hint="eastAsia" w:hAnsi="宋体" w:cs="宋体"/>
          <w:color w:val="auto"/>
          <w:sz w:val="24"/>
          <w:highlight w:val="none"/>
          <w:lang w:val="en-US" w:eastAsia="zh-CN"/>
        </w:rPr>
        <w:t>说明：</w:t>
      </w:r>
      <w:r>
        <w:rPr>
          <w:rFonts w:hint="eastAsia" w:hAnsi="宋体" w:cs="宋体"/>
          <w:color w:val="auto"/>
          <w:sz w:val="24"/>
          <w:highlight w:val="none"/>
        </w:rPr>
        <w:t>1、法定代表人为企业或事业单位、或国家机关、或社会团体的主要行政负责人。</w:t>
      </w:r>
    </w:p>
    <w:p w14:paraId="3A4F1432">
      <w:pPr>
        <w:pStyle w:val="11"/>
        <w:keepNext w:val="0"/>
        <w:keepLines w:val="0"/>
        <w:pageBreakBefore w:val="0"/>
        <w:widowControl w:val="0"/>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auto"/>
          <w:sz w:val="24"/>
          <w:highlight w:val="none"/>
        </w:rPr>
      </w:pPr>
      <w:r>
        <w:rPr>
          <w:rFonts w:hint="eastAsia" w:hAnsi="宋体" w:cs="宋体"/>
          <w:color w:val="auto"/>
          <w:sz w:val="24"/>
          <w:highlight w:val="none"/>
        </w:rPr>
        <w:t>2、内容必须填写真实、清楚、涂改无效，不得转让</w:t>
      </w:r>
    </w:p>
    <w:p w14:paraId="22B15C9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sectPr>
          <w:footerReference r:id="rId19" w:type="default"/>
          <w:pgSz w:w="11906" w:h="16840"/>
          <w:pgMar w:top="1431" w:right="1073" w:bottom="964" w:left="1098" w:header="0" w:footer="795" w:gutter="0"/>
          <w:pgNumType w:fmt="decimal"/>
          <w:cols w:space="720" w:num="1"/>
        </w:sectPr>
      </w:pPr>
    </w:p>
    <w:p w14:paraId="13C20F4D">
      <w:pPr>
        <w:spacing w:line="240" w:lineRule="auto"/>
        <w:jc w:val="center"/>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法人授权委托书</w:t>
      </w:r>
    </w:p>
    <w:p w14:paraId="0A15AC4C">
      <w:pPr>
        <w:pStyle w:val="16"/>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b w:val="0"/>
          <w:bCs w:val="0"/>
          <w:color w:val="auto"/>
          <w:kern w:val="0"/>
          <w:sz w:val="24"/>
          <w:szCs w:val="24"/>
          <w:highlight w:val="none"/>
          <w:lang w:val="en-US" w:eastAsia="zh-CN" w:bidi="ar-SA"/>
        </w:rPr>
      </w:pPr>
      <w:bookmarkStart w:id="47" w:name="_Toc1083"/>
      <w:bookmarkStart w:id="48" w:name="_Toc22472"/>
      <w:bookmarkStart w:id="49" w:name="_Toc515647807"/>
      <w:bookmarkStart w:id="50" w:name="_Toc23503"/>
    </w:p>
    <w:p w14:paraId="6B0FC580">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本授权书声明：注册于</w:t>
      </w:r>
      <w:r>
        <w:rPr>
          <w:rFonts w:hint="eastAsia" w:ascii="宋体" w:hAnsi="宋体" w:eastAsia="宋体" w:cs="宋体"/>
          <w:b w:val="0"/>
          <w:bCs w:val="0"/>
          <w:color w:val="auto"/>
          <w:kern w:val="0"/>
          <w:sz w:val="24"/>
          <w:szCs w:val="24"/>
          <w:highlight w:val="none"/>
          <w:u w:val="single"/>
          <w:lang w:val="en-US" w:eastAsia="zh-CN" w:bidi="ar-SA"/>
        </w:rPr>
        <w:t xml:space="preserve">（国家或地区的名称） </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 xml:space="preserve">  （供应商）  </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（法人代表姓名、职务）</w:t>
      </w:r>
      <w:r>
        <w:rPr>
          <w:rFonts w:hint="eastAsia" w:ascii="宋体" w:hAnsi="宋体" w:eastAsia="宋体" w:cs="宋体"/>
          <w:b w:val="0"/>
          <w:bCs w:val="0"/>
          <w:color w:val="auto"/>
          <w:kern w:val="0"/>
          <w:sz w:val="24"/>
          <w:szCs w:val="24"/>
          <w:highlight w:val="none"/>
          <w:lang w:val="en-US" w:eastAsia="zh-CN" w:bidi="ar-SA"/>
        </w:rPr>
        <w:t>代表我单位授权</w:t>
      </w:r>
      <w:r>
        <w:rPr>
          <w:rFonts w:hint="eastAsia" w:ascii="宋体" w:hAnsi="宋体" w:eastAsia="宋体" w:cs="宋体"/>
          <w:b w:val="0"/>
          <w:bCs w:val="0"/>
          <w:color w:val="auto"/>
          <w:kern w:val="0"/>
          <w:sz w:val="24"/>
          <w:szCs w:val="24"/>
          <w:highlight w:val="none"/>
          <w:u w:val="single"/>
          <w:lang w:val="en-US" w:eastAsia="zh-CN" w:bidi="ar-SA"/>
        </w:rPr>
        <w:t>（单位名称）</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（被授权人的姓名、职务）</w:t>
      </w:r>
      <w:r>
        <w:rPr>
          <w:rFonts w:hint="eastAsia" w:ascii="宋体" w:hAnsi="宋体" w:eastAsia="宋体" w:cs="宋体"/>
          <w:b w:val="0"/>
          <w:bCs w:val="0"/>
          <w:color w:val="auto"/>
          <w:kern w:val="0"/>
          <w:sz w:val="24"/>
          <w:szCs w:val="24"/>
          <w:highlight w:val="none"/>
          <w:lang w:val="en-US" w:eastAsia="zh-CN" w:bidi="ar-SA"/>
        </w:rPr>
        <w:t>为我单位的合法代理人，就</w:t>
      </w:r>
      <w:r>
        <w:rPr>
          <w:rFonts w:hint="eastAsia" w:ascii="宋体" w:hAnsi="宋体" w:eastAsia="宋体" w:cs="宋体"/>
          <w:b w:val="0"/>
          <w:bCs w:val="0"/>
          <w:color w:val="auto"/>
          <w:kern w:val="0"/>
          <w:sz w:val="24"/>
          <w:szCs w:val="24"/>
          <w:highlight w:val="none"/>
          <w:u w:val="single"/>
          <w:lang w:val="en-US" w:eastAsia="zh-CN" w:bidi="ar-SA"/>
        </w:rPr>
        <w:t>（项目名称及项目编号）</w:t>
      </w:r>
      <w:r>
        <w:rPr>
          <w:rFonts w:hint="eastAsia" w:ascii="宋体" w:hAnsi="宋体" w:cs="宋体"/>
          <w:b w:val="0"/>
          <w:bCs w:val="0"/>
          <w:color w:val="auto"/>
          <w:kern w:val="0"/>
          <w:sz w:val="24"/>
          <w:szCs w:val="24"/>
          <w:highlight w:val="none"/>
          <w:u w:val="single"/>
          <w:lang w:val="en-US" w:eastAsia="zh-CN" w:bidi="ar-SA"/>
        </w:rPr>
        <w:t>投标</w:t>
      </w:r>
      <w:r>
        <w:rPr>
          <w:rFonts w:hint="eastAsia" w:ascii="宋体" w:hAnsi="宋体" w:eastAsia="宋体" w:cs="宋体"/>
          <w:b w:val="0"/>
          <w:bCs w:val="0"/>
          <w:color w:val="auto"/>
          <w:kern w:val="0"/>
          <w:sz w:val="24"/>
          <w:szCs w:val="24"/>
          <w:highlight w:val="none"/>
          <w:lang w:val="en-US" w:eastAsia="zh-CN" w:bidi="ar-SA"/>
        </w:rPr>
        <w:t>，以我单位名义处理一切与之有关的事务。</w:t>
      </w:r>
    </w:p>
    <w:p w14:paraId="55B89942">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日签字生效,特此声明。</w:t>
      </w:r>
    </w:p>
    <w:p w14:paraId="53B52EC0">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 name="圆角矩形 3"/>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E6AA7F6">
                            <w:pPr>
                              <w:jc w:val="both"/>
                              <w:rPr>
                                <w:rFonts w:hint="eastAsia" w:hAnsi="宋体"/>
                              </w:rPr>
                            </w:pPr>
                          </w:p>
                          <w:p w14:paraId="631A5114">
                            <w:pPr>
                              <w:jc w:val="both"/>
                              <w:rPr>
                                <w:rFonts w:hint="eastAsia" w:hAnsi="宋体"/>
                              </w:rPr>
                            </w:pPr>
                          </w:p>
                          <w:p w14:paraId="54EA86A5">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276BA4CD"/>
                        </w:txbxContent>
                      </wps:txbx>
                      <wps:bodyPr upright="1"/>
                    </wps:wsp>
                  </a:graphicData>
                </a:graphic>
              </wp:anchor>
            </w:drawing>
          </mc:Choice>
          <mc:Fallback>
            <w:pict>
              <v:roundrect id="_x0000_s1026" o:spid="_x0000_s1026" o:spt="2" style="position:absolute;left:0pt;margin-left:209.1pt;margin-top:4.5pt;height:100.15pt;width:210.15pt;z-index:251662336;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9e41+JAIAAFgEAAAOAAAAAAAAAAEAIAAAACkBAABkcnMvZTJvRG9jLnhtbFBLBQYAAAAA&#10;BgAGAFkBAAC/BQAAAAA=&#10;">
                <v:fill on="t" focussize="0,0"/>
                <v:stroke weight="1.25pt" color="#808080" joinstyle="round"/>
                <v:imagedata o:title=""/>
                <o:lock v:ext="edit" aspectratio="f"/>
                <v:textbox>
                  <w:txbxContent>
                    <w:p w14:paraId="2E6AA7F6">
                      <w:pPr>
                        <w:jc w:val="both"/>
                        <w:rPr>
                          <w:rFonts w:hint="eastAsia" w:hAnsi="宋体"/>
                        </w:rPr>
                      </w:pPr>
                    </w:p>
                    <w:p w14:paraId="631A5114">
                      <w:pPr>
                        <w:jc w:val="both"/>
                        <w:rPr>
                          <w:rFonts w:hint="eastAsia" w:hAnsi="宋体"/>
                        </w:rPr>
                      </w:pPr>
                    </w:p>
                    <w:p w14:paraId="54EA86A5">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276BA4CD"/>
                  </w:txbxContent>
                </v:textbox>
              </v:roundrect>
            </w:pict>
          </mc:Fallback>
        </mc:AlternateContent>
      </w:r>
      <w:r>
        <w:rPr>
          <w:rFonts w:hint="default" w:ascii="宋体" w:hAnsi="宋体" w:eastAsia="宋体" w:cs="宋体"/>
          <w:color w:val="auto"/>
          <w:sz w:val="24"/>
          <w:highlight w:val="none"/>
          <w:lang w:val="en-US"/>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20FA050">
                            <w:pPr>
                              <w:jc w:val="center"/>
                              <w:rPr>
                                <w:rFonts w:hint="eastAsia" w:hAnsi="宋体"/>
                              </w:rPr>
                            </w:pPr>
                          </w:p>
                          <w:p w14:paraId="069350C7">
                            <w:pPr>
                              <w:jc w:val="center"/>
                              <w:rPr>
                                <w:rFonts w:hint="eastAsia" w:hAnsi="宋体"/>
                              </w:rPr>
                            </w:pPr>
                          </w:p>
                          <w:p w14:paraId="544207C9">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9.15pt;margin-top:3.6pt;height:100.85pt;width:203.65pt;z-index:251661312;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14:paraId="420FA050">
                      <w:pPr>
                        <w:jc w:val="center"/>
                        <w:rPr>
                          <w:rFonts w:hint="eastAsia" w:hAnsi="宋体"/>
                        </w:rPr>
                      </w:pPr>
                    </w:p>
                    <w:p w14:paraId="069350C7">
                      <w:pPr>
                        <w:jc w:val="center"/>
                        <w:rPr>
                          <w:rFonts w:hint="eastAsia" w:hAnsi="宋体"/>
                        </w:rPr>
                      </w:pPr>
                    </w:p>
                    <w:p w14:paraId="544207C9">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r>
        <w:rPr>
          <w:rFonts w:hint="eastAsia" w:ascii="宋体" w:hAnsi="宋体" w:eastAsia="宋体" w:cs="宋体"/>
          <w:color w:val="auto"/>
          <w:sz w:val="24"/>
          <w:highlight w:val="none"/>
          <w:lang w:val="en-US" w:eastAsia="zh-CN"/>
        </w:rPr>
        <w:t xml:space="preserve">  </w:t>
      </w:r>
    </w:p>
    <w:p w14:paraId="2EE8B360">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5F1F7D5">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2EA7993F">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2FBED0E">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735B036">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6B6AC2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63F4DC7E">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1F76CD81">
      <w:pPr>
        <w:pStyle w:val="11"/>
        <w:tabs>
          <w:tab w:val="left" w:pos="5580"/>
        </w:tabs>
        <w:spacing w:line="240" w:lineRule="atLeast"/>
        <w:ind w:firstLine="42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5" name="圆角矩形 5"/>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1FAB7C55">
                            <w:pPr>
                              <w:jc w:val="center"/>
                              <w:rPr>
                                <w:rFonts w:hint="eastAsia" w:hAnsi="宋体"/>
                              </w:rPr>
                            </w:pPr>
                          </w:p>
                          <w:p w14:paraId="03175607">
                            <w:pPr>
                              <w:jc w:val="center"/>
                              <w:rPr>
                                <w:rFonts w:hint="eastAsia" w:hAnsi="宋体"/>
                              </w:rPr>
                            </w:pPr>
                          </w:p>
                          <w:p w14:paraId="4F7002A2">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0EEBBC84"/>
                        </w:txbxContent>
                      </wps:txbx>
                      <wps:bodyPr upright="1"/>
                    </wps:wsp>
                  </a:graphicData>
                </a:graphic>
              </wp:anchor>
            </w:drawing>
          </mc:Choice>
          <mc:Fallback>
            <w:pict>
              <v:roundrect id="_x0000_s1026" o:spid="_x0000_s1026" o:spt="2" style="position:absolute;left:0pt;margin-left:214.25pt;margin-top:3.7pt;height:101.05pt;width:210.6pt;z-index:251664384;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FoaBdsAAAAJAQAADwAAAAAAAAABACAAAAAiAAAAZHJzL2Rvd25yZXYueG1sUEsBAhQAFAAA&#10;AAgAh07iQKBEIb0lAgAAWAQAAA4AAAAAAAAAAQAgAAAAKgEAAGRycy9lMm9Eb2MueG1sUEsFBgAA&#10;AAAGAAYAWQEAAMEFAAAAAA==&#10;">
                <v:fill on="t" focussize="0,0"/>
                <v:stroke weight="1.25pt" color="#808080" joinstyle="round"/>
                <v:imagedata o:title=""/>
                <o:lock v:ext="edit" aspectratio="f"/>
                <v:textbox>
                  <w:txbxContent>
                    <w:p w14:paraId="1FAB7C55">
                      <w:pPr>
                        <w:jc w:val="center"/>
                        <w:rPr>
                          <w:rFonts w:hint="eastAsia" w:hAnsi="宋体"/>
                        </w:rPr>
                      </w:pPr>
                    </w:p>
                    <w:p w14:paraId="03175607">
                      <w:pPr>
                        <w:jc w:val="center"/>
                        <w:rPr>
                          <w:rFonts w:hint="eastAsia" w:hAnsi="宋体"/>
                        </w:rPr>
                      </w:pPr>
                    </w:p>
                    <w:p w14:paraId="4F7002A2">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0EEBBC84"/>
                  </w:txbxContent>
                </v:textbox>
              </v:round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04082B30">
                            <w:pPr>
                              <w:jc w:val="both"/>
                              <w:rPr>
                                <w:rFonts w:hint="eastAsia" w:hAnsi="宋体"/>
                              </w:rPr>
                            </w:pPr>
                          </w:p>
                          <w:p w14:paraId="0A7DC970">
                            <w:pPr>
                              <w:jc w:val="both"/>
                              <w:rPr>
                                <w:rFonts w:hint="eastAsia" w:hAnsi="宋体"/>
                              </w:rPr>
                            </w:pPr>
                          </w:p>
                          <w:p w14:paraId="516227B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75A8E0CE"/>
                        </w:txbxContent>
                      </wps:txbx>
                      <wps:bodyPr upright="1"/>
                    </wps:wsp>
                  </a:graphicData>
                </a:graphic>
              </wp:anchor>
            </w:drawing>
          </mc:Choice>
          <mc:Fallback>
            <w:pict>
              <v:roundrect id="_x0000_s1026" o:spid="_x0000_s1026" o:spt="2" style="position:absolute;left:0pt;margin-left:-10.25pt;margin-top:4.25pt;height:99.8pt;width:204.25pt;z-index:251663360;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14:paraId="04082B30">
                      <w:pPr>
                        <w:jc w:val="both"/>
                        <w:rPr>
                          <w:rFonts w:hint="eastAsia" w:hAnsi="宋体"/>
                        </w:rPr>
                      </w:pPr>
                    </w:p>
                    <w:p w14:paraId="0A7DC970">
                      <w:pPr>
                        <w:jc w:val="both"/>
                        <w:rPr>
                          <w:rFonts w:hint="eastAsia" w:hAnsi="宋体"/>
                        </w:rPr>
                      </w:pPr>
                    </w:p>
                    <w:p w14:paraId="516227B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75A8E0CE"/>
                  </w:txbxContent>
                </v:textbox>
              </v:roundrect>
            </w:pict>
          </mc:Fallback>
        </mc:AlternateContent>
      </w:r>
    </w:p>
    <w:p w14:paraId="23C61FA9">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4C36722A">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B3292A3">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0510AA">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E9964E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62A49B">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9E1165F">
      <w:pPr>
        <w:pStyle w:val="11"/>
        <w:tabs>
          <w:tab w:val="left" w:pos="5580"/>
        </w:tabs>
        <w:spacing w:line="240" w:lineRule="atLeast"/>
        <w:rPr>
          <w:rFonts w:hint="eastAsia" w:ascii="宋体" w:hAnsi="宋体" w:eastAsia="宋体" w:cs="宋体"/>
          <w:color w:val="auto"/>
          <w:sz w:val="24"/>
          <w:highlight w:val="none"/>
          <w:lang w:val="en-US" w:eastAsia="zh-CN"/>
        </w:rPr>
      </w:pPr>
    </w:p>
    <w:p w14:paraId="4A1D8B2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u w:val="single"/>
        </w:rPr>
        <w:t xml:space="preserve">                          </w:t>
      </w:r>
    </w:p>
    <w:p w14:paraId="4A39A50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3B075A14">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color="EEECE1"/>
        </w:rPr>
        <w:t>身份证号码</w:t>
      </w:r>
      <w:r>
        <w:rPr>
          <w:rFonts w:hint="eastAsia" w:ascii="宋体" w:hAnsi="宋体" w:eastAsia="宋体" w:cs="宋体"/>
          <w:color w:val="auto"/>
          <w:sz w:val="24"/>
          <w:highlight w:val="none"/>
        </w:rPr>
        <w:t>：_________________________________</w:t>
      </w:r>
    </w:p>
    <w:p w14:paraId="0B11B292">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rPr>
        <w:t xml:space="preserve">                    </w:t>
      </w:r>
    </w:p>
    <w:p w14:paraId="53A301F7">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p>
    <w:p w14:paraId="4678EE1F">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详细通讯地址：</w:t>
      </w:r>
      <w:r>
        <w:rPr>
          <w:rFonts w:hint="eastAsia" w:ascii="宋体" w:hAnsi="宋体" w:eastAsia="宋体" w:cs="宋体"/>
          <w:color w:val="auto"/>
          <w:sz w:val="24"/>
          <w:highlight w:val="none"/>
          <w:u w:val="single"/>
        </w:rPr>
        <w:t xml:space="preserve">                               </w:t>
      </w:r>
    </w:p>
    <w:p w14:paraId="32066AE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 ：</w:t>
      </w:r>
      <w:r>
        <w:rPr>
          <w:rFonts w:hint="eastAsia" w:ascii="宋体" w:hAnsi="宋体" w:eastAsia="宋体" w:cs="宋体"/>
          <w:color w:val="auto"/>
          <w:sz w:val="24"/>
          <w:highlight w:val="none"/>
          <w:u w:val="single"/>
        </w:rPr>
        <w:t xml:space="preserve">                               </w:t>
      </w:r>
    </w:p>
    <w:p w14:paraId="7787623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567BB5D6">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600BBF73">
      <w:pPr>
        <w:pStyle w:val="11"/>
        <w:tabs>
          <w:tab w:val="left" w:pos="5580"/>
        </w:tabs>
        <w:spacing w:line="240" w:lineRule="atLeast"/>
        <w:rPr>
          <w:rFonts w:hint="eastAsia" w:ascii="宋体" w:hAnsi="宋体" w:eastAsia="宋体" w:cs="宋体"/>
          <w:b/>
          <w:color w:val="auto"/>
          <w:kern w:val="0"/>
          <w:sz w:val="24"/>
          <w:highlight w:val="none"/>
        </w:rPr>
      </w:pPr>
    </w:p>
    <w:p w14:paraId="0BA2495A">
      <w:pPr>
        <w:jc w:val="center"/>
        <w:rPr>
          <w:rFonts w:hint="eastAsia" w:ascii="宋体" w:hAnsi="宋体" w:eastAsia="宋体" w:cs="宋体"/>
          <w:b/>
          <w:color w:val="auto"/>
          <w:kern w:val="0"/>
          <w:sz w:val="28"/>
          <w:szCs w:val="21"/>
          <w:highlight w:val="none"/>
          <w:lang w:val="en-US" w:eastAsia="zh-CN" w:bidi="ar-SA"/>
        </w:rPr>
        <w:sectPr>
          <w:pgSz w:w="11906" w:h="16838"/>
          <w:pgMar w:top="1440" w:right="1797" w:bottom="1440" w:left="1797" w:header="851" w:footer="992" w:gutter="0"/>
          <w:pgNumType w:fmt="decimal"/>
          <w:cols w:space="720" w:num="1"/>
          <w:docGrid w:type="linesAndChars" w:linePitch="312" w:charSpace="0"/>
        </w:sectPr>
      </w:pPr>
    </w:p>
    <w:bookmarkEnd w:id="47"/>
    <w:bookmarkEnd w:id="48"/>
    <w:bookmarkEnd w:id="49"/>
    <w:bookmarkEnd w:id="50"/>
    <w:p w14:paraId="15C6CC3A">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p>
    <w:p w14:paraId="2CD7C63F">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6" w:firstLineChars="235"/>
        <w:textAlignment w:val="auto"/>
        <w:rPr>
          <w:rFonts w:hint="eastAsia" w:ascii="宋体" w:hAnsi="宋体" w:eastAsia="宋体" w:cs="宋体"/>
          <w:b/>
          <w:bCs/>
          <w:color w:val="auto"/>
          <w:sz w:val="24"/>
          <w:szCs w:val="24"/>
          <w:highlight w:val="none"/>
          <w:lang w:val="en-US" w:eastAsia="zh-CN"/>
        </w:rPr>
      </w:pPr>
    </w:p>
    <w:p w14:paraId="05F1930F">
      <w:pPr>
        <w:pStyle w:val="15"/>
        <w:rPr>
          <w:rFonts w:hint="eastAsia" w:ascii="宋体" w:hAnsi="宋体" w:eastAsia="宋体" w:cs="宋体"/>
          <w:b/>
          <w:bCs/>
          <w:color w:val="auto"/>
          <w:sz w:val="24"/>
          <w:szCs w:val="24"/>
          <w:highlight w:val="none"/>
          <w:lang w:val="en-US" w:eastAsia="zh-CN"/>
        </w:rPr>
      </w:pPr>
    </w:p>
    <w:p w14:paraId="5534A2EA">
      <w:pPr>
        <w:pStyle w:val="15"/>
        <w:rPr>
          <w:rFonts w:hint="eastAsia" w:ascii="宋体" w:hAnsi="宋体" w:eastAsia="宋体" w:cs="宋体"/>
          <w:b/>
          <w:bCs/>
          <w:color w:val="auto"/>
          <w:sz w:val="24"/>
          <w:szCs w:val="24"/>
          <w:highlight w:val="none"/>
          <w:lang w:val="en-US" w:eastAsia="zh-CN"/>
        </w:rPr>
      </w:pPr>
    </w:p>
    <w:p w14:paraId="3F0FE0A2">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1" w:name="_Toc30527"/>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2024年或2025年度任意一年财务审计报告（新成立未满一年的新公司提供近六个月内任意一个月的银行资信证明）</w:t>
      </w:r>
      <w:r>
        <w:rPr>
          <w:rFonts w:hint="eastAsia" w:ascii="宋体" w:hAnsi="宋体" w:eastAsia="宋体" w:cs="宋体"/>
          <w:b/>
          <w:bCs/>
          <w:color w:val="auto"/>
          <w:sz w:val="24"/>
          <w:szCs w:val="24"/>
          <w:highlight w:val="none"/>
        </w:rPr>
        <w:t>；</w:t>
      </w:r>
      <w:bookmarkEnd w:id="51"/>
    </w:p>
    <w:p w14:paraId="4C64784F">
      <w:pPr>
        <w:pStyle w:val="9"/>
        <w:tabs>
          <w:tab w:val="left" w:pos="567"/>
        </w:tabs>
        <w:rPr>
          <w:rFonts w:hint="eastAsia" w:ascii="宋体" w:hAnsi="宋体" w:eastAsia="宋体" w:cs="宋体"/>
          <w:b/>
          <w:bCs/>
          <w:color w:val="auto"/>
          <w:sz w:val="24"/>
          <w:szCs w:val="24"/>
          <w:highlight w:val="none"/>
        </w:rPr>
      </w:pPr>
    </w:p>
    <w:p w14:paraId="606B09A6">
      <w:pPr>
        <w:rPr>
          <w:rFonts w:hint="eastAsia"/>
          <w:color w:val="auto"/>
          <w:highlight w:val="none"/>
        </w:rPr>
      </w:pPr>
    </w:p>
    <w:p w14:paraId="38FBFF18">
      <w:pPr>
        <w:pStyle w:val="15"/>
        <w:ind w:left="0" w:leftChars="0" w:firstLine="0" w:firstLineChars="0"/>
        <w:rPr>
          <w:rFonts w:hint="eastAsia"/>
          <w:color w:val="auto"/>
          <w:highlight w:val="none"/>
        </w:rPr>
      </w:pPr>
    </w:p>
    <w:p w14:paraId="37F468BC">
      <w:pPr>
        <w:pStyle w:val="15"/>
        <w:rPr>
          <w:rFonts w:hint="eastAsia"/>
          <w:color w:val="auto"/>
          <w:highlight w:val="none"/>
        </w:rPr>
      </w:pPr>
    </w:p>
    <w:p w14:paraId="2CE21DB7">
      <w:pPr>
        <w:rPr>
          <w:rFonts w:hint="eastAsia"/>
          <w:color w:val="auto"/>
          <w:highlight w:val="none"/>
        </w:rPr>
      </w:pPr>
    </w:p>
    <w:p w14:paraId="02A14CE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2" w:name="_Toc23239"/>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提供依法缴纳近6个月任意1个月社会保险的证明；</w:t>
      </w:r>
      <w:bookmarkEnd w:id="52"/>
    </w:p>
    <w:p w14:paraId="3A4C120C">
      <w:pPr>
        <w:pStyle w:val="9"/>
        <w:tabs>
          <w:tab w:val="left" w:pos="567"/>
        </w:tabs>
        <w:rPr>
          <w:rFonts w:hint="eastAsia" w:ascii="宋体" w:hAnsi="宋体" w:eastAsia="宋体" w:cs="宋体"/>
          <w:b/>
          <w:bCs/>
          <w:color w:val="auto"/>
          <w:sz w:val="24"/>
          <w:szCs w:val="24"/>
          <w:highlight w:val="none"/>
        </w:rPr>
      </w:pPr>
    </w:p>
    <w:p w14:paraId="1E413C92">
      <w:pPr>
        <w:rPr>
          <w:rFonts w:hint="eastAsia"/>
          <w:color w:val="auto"/>
          <w:highlight w:val="none"/>
        </w:rPr>
      </w:pPr>
    </w:p>
    <w:p w14:paraId="64148843">
      <w:pPr>
        <w:pStyle w:val="9"/>
        <w:tabs>
          <w:tab w:val="left" w:pos="567"/>
        </w:tabs>
        <w:rPr>
          <w:rFonts w:hint="eastAsia"/>
          <w:color w:val="auto"/>
          <w:highlight w:val="none"/>
          <w:lang w:eastAsia="zh-CN"/>
        </w:rPr>
      </w:pPr>
    </w:p>
    <w:p w14:paraId="298ECFAF">
      <w:pPr>
        <w:pStyle w:val="9"/>
        <w:tabs>
          <w:tab w:val="left" w:pos="567"/>
        </w:tabs>
        <w:rPr>
          <w:rFonts w:hint="eastAsia"/>
          <w:color w:val="auto"/>
          <w:highlight w:val="none"/>
          <w:lang w:eastAsia="zh-CN"/>
        </w:rPr>
      </w:pPr>
    </w:p>
    <w:p w14:paraId="57A399E4">
      <w:pPr>
        <w:pStyle w:val="9"/>
        <w:tabs>
          <w:tab w:val="left" w:pos="567"/>
        </w:tabs>
        <w:rPr>
          <w:rFonts w:hint="eastAsia"/>
          <w:color w:val="auto"/>
          <w:highlight w:val="none"/>
          <w:lang w:eastAsia="zh-CN"/>
        </w:rPr>
      </w:pPr>
    </w:p>
    <w:p w14:paraId="4CD31A4E">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3" w:name="_Toc30425"/>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提供依法缴纳近6个月任意1个月税收证明；</w:t>
      </w:r>
      <w:bookmarkEnd w:id="53"/>
    </w:p>
    <w:p w14:paraId="05C22C0C">
      <w:pPr>
        <w:pStyle w:val="9"/>
        <w:widowControl w:val="0"/>
        <w:numPr>
          <w:ilvl w:val="0"/>
          <w:numId w:val="0"/>
        </w:numPr>
        <w:tabs>
          <w:tab w:val="left" w:pos="567"/>
        </w:tabs>
        <w:spacing w:before="120" w:line="22" w:lineRule="atLeast"/>
        <w:ind w:firstLine="480" w:firstLineChars="200"/>
        <w:jc w:val="both"/>
        <w:rPr>
          <w:rFonts w:hint="eastAsia"/>
          <w:color w:val="auto"/>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若为零申报企业，需提供国家税务总局电子税务局“申报结果查询截图”，税务局代收的社保缴费证明不可作为本项目的完税证明（“税种”不可为养老保险、医疗保险、失业保险、工伤保险和生育保险）</w:t>
      </w:r>
    </w:p>
    <w:p w14:paraId="28715B6F">
      <w:pPr>
        <w:rPr>
          <w:rFonts w:hint="eastAsia"/>
          <w:color w:val="auto"/>
          <w:highlight w:val="none"/>
        </w:rPr>
      </w:pPr>
    </w:p>
    <w:p w14:paraId="3DAB9455">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p>
    <w:p w14:paraId="2246D859">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p>
    <w:p w14:paraId="3DF02CDB">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p>
    <w:p w14:paraId="52BE20F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4" w:name="_Toc21013"/>
      <w:r>
        <w:rPr>
          <w:rFonts w:hint="eastAsia" w:ascii="宋体" w:hAnsi="宋体" w:eastAsia="宋体" w:cs="宋体"/>
          <w:b/>
          <w:bCs/>
          <w:color w:val="auto"/>
          <w:sz w:val="24"/>
          <w:szCs w:val="24"/>
          <w:highlight w:val="none"/>
          <w:lang w:val="en-US" w:eastAsia="zh-CN"/>
        </w:rPr>
        <w:t>7、</w:t>
      </w:r>
      <w:bookmarkEnd w:id="54"/>
      <w:r>
        <w:rPr>
          <w:rFonts w:hint="eastAsia" w:ascii="宋体" w:hAnsi="宋体" w:eastAsia="宋体" w:cs="宋体"/>
          <w:b/>
          <w:bCs/>
          <w:color w:val="auto"/>
          <w:sz w:val="24"/>
          <w:szCs w:val="24"/>
          <w:highlight w:val="none"/>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b/>
          <w:bCs/>
          <w:color w:val="auto"/>
          <w:sz w:val="24"/>
          <w:szCs w:val="24"/>
          <w:highlight w:val="none"/>
          <w:lang w:eastAsia="zh-CN"/>
        </w:rPr>
        <w:t>（以招标代理机构或采购人查询为准）</w:t>
      </w:r>
      <w:r>
        <w:rPr>
          <w:rFonts w:hint="eastAsia" w:ascii="宋体" w:hAnsi="宋体" w:cs="宋体"/>
          <w:b/>
          <w:bCs/>
          <w:color w:val="auto"/>
          <w:sz w:val="24"/>
          <w:szCs w:val="24"/>
          <w:highlight w:val="none"/>
          <w:lang w:eastAsia="zh-CN"/>
        </w:rPr>
        <w:t>；</w:t>
      </w:r>
    </w:p>
    <w:p w14:paraId="365DAD78">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sectPr>
          <w:pgSz w:w="11906" w:h="16840"/>
          <w:pgMar w:top="1431" w:right="1073" w:bottom="964" w:left="1098" w:header="0" w:footer="795" w:gutter="0"/>
          <w:pgNumType w:fmt="decimal"/>
          <w:cols w:space="720" w:num="1"/>
        </w:sectPr>
      </w:pPr>
    </w:p>
    <w:p w14:paraId="61251356">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482" w:firstLineChars="200"/>
        <w:textAlignment w:val="auto"/>
        <w:outlineLvl w:val="3"/>
        <w:rPr>
          <w:rFonts w:hint="eastAsia"/>
          <w:color w:val="auto"/>
          <w:highlight w:val="none"/>
        </w:rPr>
      </w:pPr>
      <w:bookmarkStart w:id="55" w:name="_Toc26556"/>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供应商提供针对本次项目《反商业贿赂承诺书》；</w:t>
      </w:r>
      <w:bookmarkEnd w:id="55"/>
    </w:p>
    <w:p w14:paraId="413E71D9">
      <w:pPr>
        <w:pStyle w:val="16"/>
        <w:jc w:val="center"/>
        <w:rPr>
          <w:rFonts w:hint="eastAsia" w:ascii="宋体" w:hAnsi="宋体" w:eastAsia="宋体" w:cs="宋体"/>
          <w:b w:val="0"/>
          <w:bCs w:val="0"/>
          <w:color w:val="auto"/>
          <w:kern w:val="0"/>
          <w:sz w:val="24"/>
          <w:szCs w:val="24"/>
          <w:highlight w:val="none"/>
          <w:lang w:val="en-US" w:eastAsia="zh-CN"/>
        </w:rPr>
      </w:pPr>
    </w:p>
    <w:p w14:paraId="2AC99187">
      <w:pPr>
        <w:pStyle w:val="16"/>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反商业贿赂承诺书</w:t>
      </w:r>
    </w:p>
    <w:p w14:paraId="28FB3356">
      <w:pPr>
        <w:pStyle w:val="16"/>
        <w:jc w:val="both"/>
        <w:rPr>
          <w:rFonts w:hint="eastAsia" w:ascii="宋体" w:hAnsi="宋体" w:eastAsia="宋体" w:cs="宋体"/>
          <w:b w:val="0"/>
          <w:bCs w:val="0"/>
          <w:color w:val="auto"/>
          <w:kern w:val="0"/>
          <w:sz w:val="24"/>
          <w:szCs w:val="24"/>
          <w:highlight w:val="none"/>
          <w:lang w:val="en-US" w:eastAsia="zh-CN"/>
        </w:rPr>
      </w:pPr>
    </w:p>
    <w:p w14:paraId="39445A59">
      <w:pPr>
        <w:pStyle w:val="16"/>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我单位承诺：</w:t>
      </w:r>
    </w:p>
    <w:p w14:paraId="541CFA5C">
      <w:pPr>
        <w:pStyle w:val="16"/>
        <w:ind w:firstLine="482" w:firstLineChars="200"/>
        <w:jc w:val="left"/>
        <w:rPr>
          <w:rFonts w:hint="eastAsia" w:ascii="宋体" w:hAnsi="宋体" w:eastAsia="宋体" w:cs="宋体"/>
          <w:b w:val="0"/>
          <w:bCs w:val="0"/>
          <w:color w:val="auto"/>
          <w:kern w:val="0"/>
          <w:sz w:val="24"/>
          <w:szCs w:val="24"/>
          <w:highlight w:val="none"/>
          <w:lang w:val="en-US" w:eastAsia="zh-CN"/>
        </w:rPr>
      </w:pPr>
    </w:p>
    <w:p w14:paraId="13C28ACE">
      <w:pPr>
        <w:pStyle w:val="1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在参加</w:t>
      </w:r>
      <w:r>
        <w:rPr>
          <w:rFonts w:hint="eastAsia" w:ascii="宋体" w:hAnsi="宋体" w:eastAsia="宋体" w:cs="宋体"/>
          <w:b w:val="0"/>
          <w:bCs w:val="0"/>
          <w:color w:val="auto"/>
          <w:kern w:val="0"/>
          <w:sz w:val="24"/>
          <w:szCs w:val="24"/>
          <w:highlight w:val="none"/>
          <w:u w:val="single"/>
          <w:lang w:val="en-US" w:eastAsia="zh-CN"/>
        </w:rPr>
        <w:t>（项目名称及编号）</w:t>
      </w:r>
      <w:r>
        <w:rPr>
          <w:rFonts w:hint="eastAsia" w:ascii="宋体" w:hAnsi="宋体" w:eastAsia="宋体" w:cs="宋体"/>
          <w:b w:val="0"/>
          <w:bCs w:val="0"/>
          <w:color w:val="auto"/>
          <w:kern w:val="0"/>
          <w:sz w:val="24"/>
          <w:szCs w:val="24"/>
          <w:highlight w:val="none"/>
          <w:lang w:val="en-US" w:eastAsia="zh-CN"/>
        </w:rPr>
        <w:t>时，我单位保证做到：</w:t>
      </w:r>
    </w:p>
    <w:p w14:paraId="708EB93A">
      <w:pPr>
        <w:pStyle w:val="16"/>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一、公平竞争参加本次招标活动。</w:t>
      </w:r>
    </w:p>
    <w:p w14:paraId="77AEF35F">
      <w:pPr>
        <w:pStyle w:val="16"/>
        <w:keepNext w:val="0"/>
        <w:keepLines w:val="0"/>
        <w:pageBreakBefore w:val="0"/>
        <w:widowControl w:val="0"/>
        <w:kinsoku/>
        <w:wordWrap/>
        <w:overflowPunct/>
        <w:topLinePunct w:val="0"/>
        <w:autoSpaceDE/>
        <w:autoSpaceDN/>
        <w:bidi w:val="0"/>
        <w:adjustRightInd/>
        <w:snapToGrid w:val="0"/>
        <w:spacing w:line="360" w:lineRule="auto"/>
        <w:ind w:left="280" w:hanging="241" w:hanging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140F3041">
      <w:pPr>
        <w:pStyle w:val="16"/>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三、若出现上述行为，我单位及参与</w:t>
      </w:r>
      <w:r>
        <w:rPr>
          <w:rFonts w:hint="eastAsia" w:ascii="宋体" w:hAnsi="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lang w:val="en-US" w:eastAsia="zh-CN"/>
        </w:rPr>
        <w:t>的工作人员愿意接受按照国家法律法规等有关规定给予的处罚。</w:t>
      </w:r>
    </w:p>
    <w:p w14:paraId="519B07C0">
      <w:pPr>
        <w:pStyle w:val="16"/>
        <w:jc w:val="left"/>
        <w:rPr>
          <w:rFonts w:hint="eastAsia" w:ascii="宋体" w:hAnsi="宋体" w:eastAsia="宋体" w:cs="宋体"/>
          <w:b w:val="0"/>
          <w:bCs w:val="0"/>
          <w:color w:val="auto"/>
          <w:kern w:val="0"/>
          <w:sz w:val="28"/>
          <w:szCs w:val="28"/>
          <w:highlight w:val="none"/>
          <w:lang w:val="en-US" w:eastAsia="zh-CN"/>
        </w:rPr>
      </w:pPr>
    </w:p>
    <w:p w14:paraId="4658EDDB">
      <w:pPr>
        <w:pStyle w:val="16"/>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供应商名称： （盖章）</w:t>
      </w:r>
    </w:p>
    <w:p w14:paraId="14A7CD0F">
      <w:pPr>
        <w:pStyle w:val="16"/>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p>
    <w:p w14:paraId="4755A19B">
      <w:pPr>
        <w:pStyle w:val="16"/>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法定代表人或授权委托人： （签字或盖章）</w:t>
      </w:r>
    </w:p>
    <w:p w14:paraId="39FFE7F2">
      <w:pPr>
        <w:pStyle w:val="16"/>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p>
    <w:p w14:paraId="56602A1E">
      <w:pP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日期：     年   月   日</w:t>
      </w:r>
    </w:p>
    <w:p w14:paraId="5176F31A">
      <w:pPr>
        <w:pStyle w:val="9"/>
        <w:tabs>
          <w:tab w:val="left" w:pos="567"/>
        </w:tabs>
        <w:rPr>
          <w:rFonts w:hint="eastAsia" w:ascii="宋体" w:hAnsi="宋体" w:eastAsia="宋体" w:cs="宋体"/>
          <w:b w:val="0"/>
          <w:bCs w:val="0"/>
          <w:color w:val="auto"/>
          <w:kern w:val="0"/>
          <w:sz w:val="24"/>
          <w:szCs w:val="24"/>
          <w:highlight w:val="none"/>
          <w:lang w:val="en-US" w:eastAsia="zh-CN"/>
        </w:rPr>
      </w:pPr>
    </w:p>
    <w:p w14:paraId="0CB05DC2">
      <w:pPr>
        <w:rPr>
          <w:rFonts w:hint="eastAsia" w:ascii="宋体" w:hAnsi="宋体" w:eastAsia="宋体" w:cs="宋体"/>
          <w:b w:val="0"/>
          <w:bCs w:val="0"/>
          <w:color w:val="auto"/>
          <w:kern w:val="0"/>
          <w:sz w:val="24"/>
          <w:szCs w:val="24"/>
          <w:highlight w:val="none"/>
          <w:lang w:val="en-US" w:eastAsia="zh-CN"/>
        </w:rPr>
      </w:pPr>
    </w:p>
    <w:p w14:paraId="6ECA55FC">
      <w:pPr>
        <w:pStyle w:val="9"/>
        <w:tabs>
          <w:tab w:val="left" w:pos="567"/>
        </w:tabs>
        <w:rPr>
          <w:rFonts w:hint="eastAsia" w:ascii="宋体" w:hAnsi="宋体" w:eastAsia="宋体" w:cs="宋体"/>
          <w:b w:val="0"/>
          <w:bCs w:val="0"/>
          <w:color w:val="auto"/>
          <w:kern w:val="0"/>
          <w:sz w:val="24"/>
          <w:szCs w:val="24"/>
          <w:highlight w:val="none"/>
          <w:lang w:val="en-US" w:eastAsia="zh-CN"/>
        </w:rPr>
      </w:pPr>
    </w:p>
    <w:p w14:paraId="7F9798E8">
      <w:pPr>
        <w:rPr>
          <w:rFonts w:hint="eastAsia" w:ascii="宋体" w:hAnsi="宋体" w:eastAsia="宋体" w:cs="宋体"/>
          <w:b w:val="0"/>
          <w:bCs w:val="0"/>
          <w:color w:val="auto"/>
          <w:kern w:val="0"/>
          <w:sz w:val="24"/>
          <w:szCs w:val="24"/>
          <w:highlight w:val="none"/>
          <w:lang w:val="en-US" w:eastAsia="zh-CN"/>
        </w:rPr>
      </w:pPr>
    </w:p>
    <w:p w14:paraId="7068E26F">
      <w:pPr>
        <w:pStyle w:val="9"/>
        <w:tabs>
          <w:tab w:val="left" w:pos="567"/>
        </w:tabs>
        <w:rPr>
          <w:rFonts w:hint="eastAsia" w:ascii="宋体" w:hAnsi="宋体" w:eastAsia="宋体" w:cs="宋体"/>
          <w:b w:val="0"/>
          <w:bCs w:val="0"/>
          <w:color w:val="auto"/>
          <w:kern w:val="0"/>
          <w:sz w:val="24"/>
          <w:szCs w:val="24"/>
          <w:highlight w:val="none"/>
          <w:lang w:val="en-US" w:eastAsia="zh-CN"/>
        </w:rPr>
      </w:pPr>
    </w:p>
    <w:p w14:paraId="3509C0D9">
      <w:pPr>
        <w:rPr>
          <w:rFonts w:hint="eastAsia" w:ascii="宋体" w:hAnsi="宋体" w:eastAsia="宋体" w:cs="宋体"/>
          <w:b w:val="0"/>
          <w:bCs w:val="0"/>
          <w:color w:val="auto"/>
          <w:kern w:val="0"/>
          <w:sz w:val="24"/>
          <w:szCs w:val="24"/>
          <w:highlight w:val="none"/>
          <w:lang w:val="en-US" w:eastAsia="zh-CN"/>
        </w:rPr>
      </w:pPr>
    </w:p>
    <w:p w14:paraId="4D6755B1">
      <w:pPr>
        <w:pStyle w:val="9"/>
        <w:tabs>
          <w:tab w:val="left" w:pos="567"/>
        </w:tabs>
        <w:rPr>
          <w:rFonts w:hint="eastAsia" w:ascii="宋体" w:hAnsi="宋体" w:eastAsia="宋体" w:cs="宋体"/>
          <w:b w:val="0"/>
          <w:bCs w:val="0"/>
          <w:color w:val="auto"/>
          <w:kern w:val="0"/>
          <w:sz w:val="24"/>
          <w:szCs w:val="24"/>
          <w:highlight w:val="none"/>
          <w:lang w:val="en-US" w:eastAsia="zh-CN"/>
        </w:rPr>
      </w:pPr>
    </w:p>
    <w:p w14:paraId="6E459FC6">
      <w:pPr>
        <w:rPr>
          <w:rFonts w:hint="eastAsia" w:ascii="宋体" w:hAnsi="宋体" w:eastAsia="宋体" w:cs="宋体"/>
          <w:b w:val="0"/>
          <w:bCs w:val="0"/>
          <w:color w:val="auto"/>
          <w:kern w:val="0"/>
          <w:sz w:val="24"/>
          <w:szCs w:val="24"/>
          <w:highlight w:val="none"/>
          <w:lang w:val="en-US" w:eastAsia="zh-CN"/>
        </w:rPr>
      </w:pPr>
    </w:p>
    <w:p w14:paraId="03CED43A">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cs="宋体"/>
          <w:b/>
          <w:bCs/>
          <w:color w:val="auto"/>
          <w:sz w:val="24"/>
          <w:szCs w:val="24"/>
          <w:highlight w:val="none"/>
        </w:rPr>
      </w:pPr>
      <w:bookmarkStart w:id="56" w:name="_Toc20388"/>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参加政府采购活动前三年内在经营活动中没有重大违法记录的书面声明；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lang w:eastAsia="zh-CN"/>
        </w:rPr>
        <w:t>）</w:t>
      </w:r>
      <w:bookmarkEnd w:id="56"/>
    </w:p>
    <w:p w14:paraId="05746E68">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pPr>
    </w:p>
    <w:p w14:paraId="50AB688B">
      <w:pPr>
        <w:spacing w:before="171" w:line="222" w:lineRule="auto"/>
        <w:ind w:left="3391"/>
        <w:outlineLvl w:val="1"/>
        <w:rPr>
          <w:rFonts w:hint="eastAsia" w:ascii="宋体" w:hAnsi="宋体" w:eastAsia="宋体" w:cs="宋体"/>
          <w:color w:val="auto"/>
          <w:spacing w:val="-9"/>
          <w:sz w:val="24"/>
          <w:szCs w:val="24"/>
          <w:highlight w:val="none"/>
        </w:rPr>
      </w:pPr>
      <w:bookmarkStart w:id="57" w:name="bookmark38"/>
      <w:bookmarkEnd w:id="57"/>
    </w:p>
    <w:p w14:paraId="31FA65F8">
      <w:pPr>
        <w:spacing w:before="171" w:line="222" w:lineRule="auto"/>
        <w:ind w:left="3391"/>
        <w:outlineLvl w:val="1"/>
        <w:rPr>
          <w:rFonts w:hint="eastAsia" w:ascii="宋体" w:hAnsi="宋体" w:eastAsia="宋体" w:cs="宋体"/>
          <w:color w:val="auto"/>
          <w:spacing w:val="-9"/>
          <w:sz w:val="24"/>
          <w:szCs w:val="24"/>
          <w:highlight w:val="none"/>
        </w:rPr>
      </w:pPr>
    </w:p>
    <w:p w14:paraId="0AF691D6">
      <w:pPr>
        <w:spacing w:before="171" w:line="222" w:lineRule="auto"/>
        <w:ind w:left="3391"/>
        <w:outlineLvl w:val="1"/>
        <w:rPr>
          <w:rFonts w:hint="eastAsia" w:ascii="宋体" w:hAnsi="宋体" w:eastAsia="宋体" w:cs="宋体"/>
          <w:color w:val="auto"/>
          <w:spacing w:val="-9"/>
          <w:sz w:val="24"/>
          <w:szCs w:val="24"/>
          <w:highlight w:val="none"/>
        </w:rPr>
      </w:pPr>
    </w:p>
    <w:p w14:paraId="55171F32">
      <w:pPr>
        <w:spacing w:before="171" w:line="222" w:lineRule="auto"/>
        <w:ind w:left="3391"/>
        <w:outlineLvl w:val="1"/>
        <w:rPr>
          <w:rFonts w:hint="eastAsia" w:ascii="宋体" w:hAnsi="宋体" w:eastAsia="宋体" w:cs="宋体"/>
          <w:color w:val="auto"/>
          <w:spacing w:val="-9"/>
          <w:sz w:val="24"/>
          <w:szCs w:val="24"/>
          <w:highlight w:val="none"/>
        </w:rPr>
      </w:pPr>
    </w:p>
    <w:p w14:paraId="4D4D83B0">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1446" w:firstLineChars="600"/>
        <w:textAlignment w:val="auto"/>
        <w:outlineLvl w:val="3"/>
        <w:rPr>
          <w:rFonts w:hint="eastAsia" w:ascii="宋体" w:hAnsi="宋体" w:eastAsia="宋体" w:cs="宋体"/>
          <w:b/>
          <w:bCs/>
          <w:color w:val="auto"/>
          <w:sz w:val="24"/>
          <w:szCs w:val="24"/>
          <w:highlight w:val="none"/>
        </w:rPr>
      </w:pPr>
      <w:bookmarkStart w:id="58" w:name="_Toc127"/>
      <w:r>
        <w:rPr>
          <w:rFonts w:hint="eastAsia" w:ascii="宋体" w:hAnsi="宋体" w:eastAsia="宋体" w:cs="宋体"/>
          <w:b/>
          <w:bCs/>
          <w:color w:val="auto"/>
          <w:sz w:val="24"/>
          <w:szCs w:val="24"/>
          <w:highlight w:val="none"/>
          <w:lang w:val="en-US" w:eastAsia="zh-CN"/>
        </w:rPr>
        <w:t>10、提供缴纳投标保证金的有效凭证</w:t>
      </w:r>
      <w:r>
        <w:rPr>
          <w:rFonts w:hint="eastAsia" w:ascii="宋体" w:hAnsi="宋体" w:eastAsia="宋体" w:cs="宋体"/>
          <w:b/>
          <w:bCs/>
          <w:color w:val="auto"/>
          <w:sz w:val="24"/>
          <w:szCs w:val="24"/>
          <w:highlight w:val="none"/>
          <w:lang w:eastAsia="zh-CN"/>
        </w:rPr>
        <w:t>；</w:t>
      </w:r>
      <w:bookmarkEnd w:id="58"/>
    </w:p>
    <w:p w14:paraId="71EEEDAF">
      <w:pPr>
        <w:pStyle w:val="9"/>
        <w:tabs>
          <w:tab w:val="left" w:pos="5863"/>
        </w:tabs>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保证金收据复印件及投标保证金缴纳证明或电子保函的缴纳凭证复印件，须按照</w:t>
      </w:r>
      <w:r>
        <w:rPr>
          <w:rFonts w:hint="eastAsia" w:cs="宋体"/>
          <w:color w:val="auto"/>
          <w:sz w:val="24"/>
          <w:szCs w:val="24"/>
          <w:highlight w:val="none"/>
          <w:lang w:eastAsia="zh-CN"/>
        </w:rPr>
        <w:t>磋商文件</w:t>
      </w:r>
      <w:r>
        <w:rPr>
          <w:rFonts w:hint="eastAsia" w:ascii="宋体" w:hAnsi="宋体" w:eastAsia="宋体" w:cs="宋体"/>
          <w:color w:val="auto"/>
          <w:sz w:val="24"/>
          <w:szCs w:val="24"/>
          <w:highlight w:val="none"/>
          <w:lang w:eastAsia="zh-CN"/>
        </w:rPr>
        <w:t>要求加盖本单位相应印章</w:t>
      </w:r>
    </w:p>
    <w:p w14:paraId="3C6559D4">
      <w:pPr>
        <w:pStyle w:val="9"/>
        <w:numPr>
          <w:ilvl w:val="0"/>
          <w:numId w:val="0"/>
        </w:numPr>
        <w:tabs>
          <w:tab w:val="left" w:pos="5863"/>
        </w:tabs>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使用银行保函等其他投标担保函的，应将保函正本扫描件装订在本部分，须按照</w:t>
      </w:r>
      <w:r>
        <w:rPr>
          <w:rFonts w:hint="eastAsia" w:cs="宋体"/>
          <w:color w:val="auto"/>
          <w:sz w:val="24"/>
          <w:szCs w:val="24"/>
          <w:highlight w:val="none"/>
          <w:lang w:eastAsia="zh-CN"/>
        </w:rPr>
        <w:t>磋商文件</w:t>
      </w:r>
      <w:r>
        <w:rPr>
          <w:rFonts w:hint="eastAsia" w:ascii="宋体" w:hAnsi="宋体" w:eastAsia="宋体" w:cs="宋体"/>
          <w:color w:val="auto"/>
          <w:sz w:val="24"/>
          <w:szCs w:val="24"/>
          <w:highlight w:val="none"/>
          <w:lang w:eastAsia="zh-CN"/>
        </w:rPr>
        <w:t>要求加盖本单位相应印章；</w:t>
      </w:r>
    </w:p>
    <w:p w14:paraId="55AAB190">
      <w:pPr>
        <w:pStyle w:val="9"/>
        <w:numPr>
          <w:ilvl w:val="0"/>
          <w:numId w:val="0"/>
        </w:numPr>
        <w:tabs>
          <w:tab w:val="left" w:pos="5863"/>
        </w:tabs>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附《银行开户许可证》或《基本存款账户信息》扫描件；扫描件上应加盖本单位公章。</w:t>
      </w:r>
    </w:p>
    <w:p w14:paraId="64D9FBFA">
      <w:pPr>
        <w:rPr>
          <w:rFonts w:hint="eastAsia"/>
          <w:color w:val="auto"/>
          <w:highlight w:val="none"/>
        </w:rPr>
      </w:pPr>
    </w:p>
    <w:p w14:paraId="21D0B3CF">
      <w:pPr>
        <w:pStyle w:val="9"/>
        <w:tabs>
          <w:tab w:val="left" w:pos="567"/>
        </w:tabs>
        <w:rPr>
          <w:rFonts w:hint="eastAsia"/>
          <w:color w:val="auto"/>
          <w:highlight w:val="none"/>
        </w:rPr>
      </w:pPr>
    </w:p>
    <w:p w14:paraId="0EEE4806">
      <w:pPr>
        <w:pStyle w:val="9"/>
        <w:tabs>
          <w:tab w:val="left" w:pos="567"/>
        </w:tabs>
        <w:rPr>
          <w:rFonts w:hint="eastAsia"/>
          <w:color w:val="auto"/>
          <w:highlight w:val="none"/>
        </w:rPr>
      </w:pPr>
    </w:p>
    <w:p w14:paraId="7CE587D0">
      <w:pPr>
        <w:pStyle w:val="9"/>
        <w:tabs>
          <w:tab w:val="left" w:pos="567"/>
        </w:tabs>
        <w:rPr>
          <w:rFonts w:hint="eastAsia"/>
          <w:color w:val="auto"/>
          <w:highlight w:val="none"/>
        </w:rPr>
      </w:pPr>
    </w:p>
    <w:p w14:paraId="2C57EDAC">
      <w:pPr>
        <w:pStyle w:val="9"/>
        <w:tabs>
          <w:tab w:val="left" w:pos="567"/>
        </w:tabs>
        <w:rPr>
          <w:rFonts w:hint="eastAsia"/>
          <w:color w:val="auto"/>
          <w:highlight w:val="none"/>
        </w:rPr>
      </w:pPr>
    </w:p>
    <w:p w14:paraId="1CC95409">
      <w:pPr>
        <w:pStyle w:val="9"/>
        <w:tabs>
          <w:tab w:val="left" w:pos="567"/>
        </w:tabs>
        <w:rPr>
          <w:rFonts w:hint="eastAsia"/>
          <w:color w:val="auto"/>
          <w:highlight w:val="none"/>
        </w:rPr>
      </w:pPr>
    </w:p>
    <w:p w14:paraId="0C1FF9FD">
      <w:pPr>
        <w:pStyle w:val="9"/>
        <w:tabs>
          <w:tab w:val="left" w:pos="567"/>
        </w:tabs>
        <w:rPr>
          <w:rFonts w:hint="eastAsia"/>
          <w:color w:val="auto"/>
          <w:highlight w:val="none"/>
        </w:rPr>
      </w:pPr>
    </w:p>
    <w:p w14:paraId="6D6A7481">
      <w:pPr>
        <w:pStyle w:val="9"/>
        <w:tabs>
          <w:tab w:val="left" w:pos="567"/>
        </w:tabs>
        <w:rPr>
          <w:rFonts w:hint="eastAsia"/>
          <w:color w:val="auto"/>
          <w:highlight w:val="none"/>
        </w:rPr>
      </w:pPr>
    </w:p>
    <w:p w14:paraId="226EF93F">
      <w:pPr>
        <w:pStyle w:val="9"/>
        <w:tabs>
          <w:tab w:val="left" w:pos="567"/>
        </w:tabs>
        <w:rPr>
          <w:rFonts w:hint="eastAsia"/>
          <w:color w:val="auto"/>
          <w:highlight w:val="none"/>
        </w:rPr>
      </w:pPr>
    </w:p>
    <w:p w14:paraId="1455A9CA">
      <w:pPr>
        <w:pStyle w:val="9"/>
        <w:tabs>
          <w:tab w:val="left" w:pos="567"/>
        </w:tabs>
        <w:rPr>
          <w:rFonts w:hint="eastAsia"/>
          <w:color w:val="auto"/>
          <w:highlight w:val="none"/>
        </w:rPr>
      </w:pPr>
    </w:p>
    <w:p w14:paraId="41455CAC">
      <w:pPr>
        <w:pStyle w:val="9"/>
        <w:tabs>
          <w:tab w:val="left" w:pos="567"/>
        </w:tabs>
        <w:rPr>
          <w:rFonts w:hint="eastAsia"/>
          <w:color w:val="auto"/>
          <w:highlight w:val="none"/>
        </w:rPr>
      </w:pPr>
    </w:p>
    <w:p w14:paraId="39ADEE6D">
      <w:pPr>
        <w:pStyle w:val="9"/>
        <w:tabs>
          <w:tab w:val="left" w:pos="567"/>
        </w:tabs>
        <w:rPr>
          <w:rFonts w:hint="eastAsia"/>
          <w:color w:val="auto"/>
          <w:highlight w:val="none"/>
        </w:rPr>
      </w:pPr>
    </w:p>
    <w:p w14:paraId="2E26D823">
      <w:pPr>
        <w:pStyle w:val="9"/>
        <w:tabs>
          <w:tab w:val="left" w:pos="567"/>
        </w:tabs>
        <w:rPr>
          <w:rFonts w:hint="eastAsia"/>
          <w:color w:val="auto"/>
          <w:highlight w:val="none"/>
        </w:rPr>
      </w:pPr>
    </w:p>
    <w:p w14:paraId="7F9E1A78">
      <w:pPr>
        <w:pStyle w:val="9"/>
        <w:tabs>
          <w:tab w:val="left" w:pos="567"/>
        </w:tabs>
        <w:rPr>
          <w:rFonts w:hint="eastAsia"/>
          <w:color w:val="auto"/>
          <w:highlight w:val="none"/>
        </w:rPr>
      </w:pPr>
    </w:p>
    <w:p w14:paraId="5C2B72B5">
      <w:pPr>
        <w:pStyle w:val="9"/>
        <w:tabs>
          <w:tab w:val="left" w:pos="567"/>
        </w:tabs>
        <w:rPr>
          <w:rFonts w:hint="eastAsia"/>
          <w:color w:val="auto"/>
          <w:highlight w:val="none"/>
        </w:rPr>
      </w:pPr>
    </w:p>
    <w:p w14:paraId="08C9C8BB">
      <w:pPr>
        <w:pStyle w:val="9"/>
        <w:tabs>
          <w:tab w:val="left" w:pos="567"/>
        </w:tabs>
        <w:rPr>
          <w:rFonts w:hint="eastAsia"/>
          <w:color w:val="auto"/>
          <w:highlight w:val="none"/>
        </w:rPr>
      </w:pPr>
    </w:p>
    <w:p w14:paraId="561FCBA3">
      <w:pPr>
        <w:pStyle w:val="9"/>
        <w:tabs>
          <w:tab w:val="left" w:pos="567"/>
        </w:tabs>
        <w:rPr>
          <w:rFonts w:hint="eastAsia"/>
          <w:color w:val="auto"/>
          <w:highlight w:val="none"/>
        </w:rPr>
      </w:pPr>
    </w:p>
    <w:p w14:paraId="1C3A3C76">
      <w:pPr>
        <w:pStyle w:val="9"/>
        <w:tabs>
          <w:tab w:val="left" w:pos="567"/>
        </w:tabs>
        <w:rPr>
          <w:rFonts w:hint="eastAsia"/>
          <w:color w:val="auto"/>
          <w:highlight w:val="none"/>
        </w:rPr>
      </w:pPr>
    </w:p>
    <w:p w14:paraId="3487F11A">
      <w:pPr>
        <w:pStyle w:val="9"/>
        <w:tabs>
          <w:tab w:val="left" w:pos="567"/>
        </w:tabs>
        <w:rPr>
          <w:rFonts w:hint="eastAsia"/>
          <w:color w:val="auto"/>
          <w:highlight w:val="none"/>
        </w:rPr>
      </w:pPr>
    </w:p>
    <w:p w14:paraId="1D9FF85D">
      <w:pPr>
        <w:pStyle w:val="9"/>
        <w:tabs>
          <w:tab w:val="left" w:pos="567"/>
        </w:tabs>
        <w:rPr>
          <w:rFonts w:hint="eastAsia"/>
          <w:color w:val="auto"/>
          <w:highlight w:val="none"/>
        </w:rPr>
      </w:pPr>
    </w:p>
    <w:p w14:paraId="3916D054">
      <w:pPr>
        <w:pStyle w:val="9"/>
        <w:tabs>
          <w:tab w:val="left" w:pos="567"/>
        </w:tabs>
        <w:rPr>
          <w:rFonts w:hint="eastAsia"/>
          <w:color w:val="auto"/>
          <w:highlight w:val="none"/>
        </w:rPr>
      </w:pPr>
    </w:p>
    <w:p w14:paraId="5B065634">
      <w:pPr>
        <w:pStyle w:val="9"/>
        <w:tabs>
          <w:tab w:val="left" w:pos="567"/>
        </w:tabs>
        <w:rPr>
          <w:rFonts w:hint="eastAsia"/>
          <w:color w:val="auto"/>
          <w:highlight w:val="none"/>
        </w:rPr>
      </w:pPr>
    </w:p>
    <w:p w14:paraId="27180E63">
      <w:pPr>
        <w:pStyle w:val="9"/>
        <w:tabs>
          <w:tab w:val="left" w:pos="567"/>
        </w:tabs>
        <w:rPr>
          <w:rFonts w:hint="eastAsia"/>
          <w:color w:val="auto"/>
          <w:highlight w:val="none"/>
        </w:rPr>
      </w:pPr>
    </w:p>
    <w:p w14:paraId="39F702F4">
      <w:pPr>
        <w:pStyle w:val="9"/>
        <w:tabs>
          <w:tab w:val="left" w:pos="567"/>
        </w:tabs>
        <w:rPr>
          <w:rFonts w:hint="eastAsia"/>
          <w:color w:val="auto"/>
          <w:highlight w:val="none"/>
        </w:rPr>
      </w:pPr>
    </w:p>
    <w:p w14:paraId="6FBA466D">
      <w:pPr>
        <w:pStyle w:val="9"/>
        <w:tabs>
          <w:tab w:val="left" w:pos="567"/>
        </w:tabs>
        <w:rPr>
          <w:rFonts w:hint="eastAsia"/>
          <w:color w:val="auto"/>
          <w:highlight w:val="none"/>
        </w:rPr>
      </w:pPr>
    </w:p>
    <w:p w14:paraId="3ED87C72">
      <w:pPr>
        <w:pStyle w:val="9"/>
        <w:tabs>
          <w:tab w:val="left" w:pos="567"/>
        </w:tabs>
        <w:rPr>
          <w:rFonts w:hint="eastAsia"/>
          <w:color w:val="auto"/>
          <w:highlight w:val="none"/>
        </w:rPr>
      </w:pPr>
    </w:p>
    <w:p w14:paraId="795D82A1">
      <w:pPr>
        <w:pStyle w:val="9"/>
        <w:tabs>
          <w:tab w:val="left" w:pos="567"/>
        </w:tabs>
        <w:rPr>
          <w:rFonts w:hint="eastAsia"/>
          <w:color w:val="auto"/>
          <w:highlight w:val="none"/>
        </w:rPr>
      </w:pPr>
    </w:p>
    <w:p w14:paraId="2BA2F9A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6" w:firstLineChars="235"/>
        <w:textAlignment w:val="auto"/>
        <w:rPr>
          <w:rFonts w:hint="eastAsia" w:ascii="宋体" w:hAnsi="宋体" w:eastAsia="宋体" w:cs="宋体"/>
          <w:b/>
          <w:bCs/>
          <w:color w:val="auto"/>
          <w:sz w:val="24"/>
          <w:szCs w:val="24"/>
          <w:highlight w:val="none"/>
          <w:lang w:val="en-US" w:eastAsia="zh-CN"/>
        </w:rPr>
      </w:pPr>
    </w:p>
    <w:p w14:paraId="4BEE514D">
      <w:pPr>
        <w:pStyle w:val="9"/>
        <w:tabs>
          <w:tab w:val="left" w:pos="567"/>
        </w:tabs>
        <w:rPr>
          <w:rFonts w:hint="eastAsia" w:ascii="宋体" w:hAnsi="宋体" w:eastAsia="宋体" w:cs="宋体"/>
          <w:b/>
          <w:bCs/>
          <w:color w:val="auto"/>
          <w:sz w:val="24"/>
          <w:szCs w:val="24"/>
          <w:highlight w:val="none"/>
          <w:lang w:val="en-US" w:eastAsia="zh-CN"/>
        </w:rPr>
      </w:pPr>
    </w:p>
    <w:p w14:paraId="2194F7D2">
      <w:pPr>
        <w:pStyle w:val="4"/>
        <w:spacing w:before="0" w:line="240" w:lineRule="atLeast"/>
        <w:ind w:firstLine="254" w:firstLineChars="91"/>
        <w:jc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 xml:space="preserve"> 中小企业声明函（</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w:t>
      </w:r>
    </w:p>
    <w:p w14:paraId="66C63FB7">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pPr>
      <w:r>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t> </w:t>
      </w:r>
    </w:p>
    <w:p w14:paraId="5F966E99">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pPr>
    </w:p>
    <w:p w14:paraId="249C0C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highlight w:val="none"/>
          <w:u w:val="single"/>
          <w:lang w:val="en-US" w:eastAsia="zh-CN"/>
        </w:rPr>
        <w:t xml:space="preserve">   （单位名称）  </w:t>
      </w:r>
      <w:r>
        <w:rPr>
          <w:rFonts w:hint="eastAsia" w:ascii="宋体" w:hAnsi="宋体" w:eastAsia="宋体" w:cs="宋体"/>
          <w:color w:val="auto"/>
          <w:sz w:val="24"/>
          <w:szCs w:val="32"/>
          <w:highlight w:val="none"/>
          <w:lang w:val="en-US" w:eastAsia="zh-CN"/>
        </w:rPr>
        <w:t>的</w:t>
      </w:r>
      <w:r>
        <w:rPr>
          <w:rFonts w:hint="eastAsia" w:ascii="宋体" w:hAnsi="宋体" w:eastAsia="宋体" w:cs="宋体"/>
          <w:color w:val="auto"/>
          <w:sz w:val="24"/>
          <w:szCs w:val="32"/>
          <w:highlight w:val="none"/>
          <w:u w:val="single"/>
          <w:lang w:val="en-US" w:eastAsia="zh-CN"/>
        </w:rPr>
        <w:t xml:space="preserve">   （项目名称）  </w:t>
      </w:r>
      <w:r>
        <w:rPr>
          <w:rFonts w:hint="eastAsia" w:ascii="宋体" w:hAnsi="宋体" w:eastAsia="宋体" w:cs="宋体"/>
          <w:color w:val="auto"/>
          <w:sz w:val="24"/>
          <w:szCs w:val="32"/>
          <w:highlight w:val="none"/>
          <w:lang w:val="en-US" w:eastAsia="zh-CN"/>
        </w:rPr>
        <w:t>采购活动，服务全部由符合政策要求的中小企业承接。相关企业（含联合体中的中小企业、签订分包意向协议的中小企业）的具体情况如下：</w:t>
      </w:r>
    </w:p>
    <w:p w14:paraId="7AADF6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p>
    <w:p w14:paraId="696D5D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w:t>
      </w:r>
      <w:r>
        <w:rPr>
          <w:rFonts w:ascii="宋体" w:hAnsi="宋体" w:eastAsia="宋体" w:cs="宋体"/>
          <w:color w:val="auto"/>
          <w:sz w:val="24"/>
          <w:szCs w:val="24"/>
          <w:highlight w:val="none"/>
        </w:rPr>
        <w:t>承建</w:t>
      </w:r>
      <w:r>
        <w:rPr>
          <w:rFonts w:hint="eastAsia" w:ascii="宋体" w:hAnsi="宋体" w:eastAsia="宋体" w:cs="宋体"/>
          <w:color w:val="auto"/>
          <w:sz w:val="24"/>
          <w:szCs w:val="24"/>
          <w:highlight w:val="none"/>
        </w:rPr>
        <w:t>（承接）</w:t>
      </w:r>
      <w:r>
        <w:rPr>
          <w:rFonts w:ascii="宋体" w:hAnsi="宋体" w:eastAsia="宋体" w:cs="宋体"/>
          <w:color w:val="auto"/>
          <w:sz w:val="24"/>
          <w:szCs w:val="24"/>
          <w:highlight w:val="none"/>
        </w:rPr>
        <w:t>企业</w:t>
      </w:r>
      <w:r>
        <w:rPr>
          <w:rFonts w:hint="eastAsia" w:ascii="宋体" w:hAnsi="宋体" w:eastAsia="宋体" w:cs="宋体"/>
          <w:color w:val="auto"/>
          <w:sz w:val="24"/>
          <w:szCs w:val="32"/>
          <w:highlight w:val="none"/>
          <w:lang w:val="en-US" w:eastAsia="zh-CN"/>
        </w:rPr>
        <w:t>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348964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p>
    <w:p w14:paraId="304653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w:t>
      </w:r>
      <w:r>
        <w:rPr>
          <w:rFonts w:ascii="宋体" w:hAnsi="宋体" w:eastAsia="宋体" w:cs="宋体"/>
          <w:color w:val="auto"/>
          <w:sz w:val="24"/>
          <w:szCs w:val="24"/>
          <w:highlight w:val="none"/>
        </w:rPr>
        <w:t>承建</w:t>
      </w:r>
      <w:r>
        <w:rPr>
          <w:rFonts w:hint="eastAsia" w:ascii="宋体" w:hAnsi="宋体" w:eastAsia="宋体" w:cs="宋体"/>
          <w:color w:val="auto"/>
          <w:sz w:val="24"/>
          <w:szCs w:val="24"/>
          <w:highlight w:val="none"/>
        </w:rPr>
        <w:t>（承接）</w:t>
      </w:r>
      <w:r>
        <w:rPr>
          <w:rFonts w:ascii="宋体" w:hAnsi="宋体" w:eastAsia="宋体" w:cs="宋体"/>
          <w:color w:val="auto"/>
          <w:sz w:val="24"/>
          <w:szCs w:val="24"/>
          <w:highlight w:val="none"/>
        </w:rPr>
        <w:t>企业</w:t>
      </w:r>
      <w:r>
        <w:rPr>
          <w:rFonts w:hint="eastAsia" w:ascii="宋体" w:hAnsi="宋体" w:eastAsia="宋体" w:cs="宋体"/>
          <w:color w:val="auto"/>
          <w:sz w:val="24"/>
          <w:szCs w:val="32"/>
          <w:highlight w:val="none"/>
          <w:lang w:val="en-US" w:eastAsia="zh-CN"/>
        </w:rPr>
        <w:t>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2D1A2F5E">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w:t>
      </w:r>
    </w:p>
    <w:p w14:paraId="0EC764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以上企业，不属于大企业的分支机构，不存在控股股东为大企业的情形，也不存在与大企业的负责人为同一人的情形。</w:t>
      </w:r>
    </w:p>
    <w:p w14:paraId="167457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本企业对上述声明内容的真实性负责。如有虚假，将依法承担相应责任。</w:t>
      </w:r>
    </w:p>
    <w:p w14:paraId="6B4888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lang w:val="en-US" w:eastAsia="zh-CN"/>
        </w:rPr>
      </w:pPr>
    </w:p>
    <w:p w14:paraId="55806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                                      企业名称（盖章）： </w:t>
      </w:r>
    </w:p>
    <w:p w14:paraId="6B81889D">
      <w:pPr>
        <w:pStyle w:val="18"/>
        <w:rPr>
          <w:rFonts w:hint="default"/>
          <w:color w:val="auto"/>
          <w:highlight w:val="none"/>
          <w:lang w:val="en-US" w:eastAsia="zh-CN"/>
        </w:rPr>
      </w:pPr>
      <w:r>
        <w:rPr>
          <w:rFonts w:hint="eastAsia" w:ascii="宋体" w:hAnsi="宋体" w:eastAsia="宋体" w:cs="宋体"/>
          <w:color w:val="auto"/>
          <w:sz w:val="24"/>
          <w:szCs w:val="32"/>
          <w:highlight w:val="none"/>
          <w:lang w:val="en-US" w:eastAsia="zh-CN"/>
        </w:rPr>
        <w:t xml:space="preserve"> </w:t>
      </w:r>
    </w:p>
    <w:p w14:paraId="2E60427E">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auto"/>
          <w:spacing w:val="0"/>
          <w:sz w:val="24"/>
          <w:szCs w:val="24"/>
          <w:highlight w:val="none"/>
        </w:rPr>
      </w:pPr>
      <w:r>
        <w:rPr>
          <w:rFonts w:hint="eastAsia" w:ascii="宋体" w:hAnsi="宋体" w:eastAsia="宋体" w:cs="宋体"/>
          <w:color w:val="auto"/>
          <w:sz w:val="24"/>
          <w:szCs w:val="32"/>
          <w:highlight w:val="none"/>
          <w:lang w:val="en-US" w:eastAsia="zh-CN"/>
        </w:rPr>
        <w:t>日期：</w:t>
      </w:r>
    </w:p>
    <w:p w14:paraId="1AA27AEC">
      <w:pPr>
        <w:keepNext w:val="0"/>
        <w:keepLines w:val="0"/>
        <w:widowControl/>
        <w:suppressLineNumbers w:val="0"/>
        <w:shd w:val="clear" w:color="auto" w:fill="FFFFFF"/>
        <w:spacing w:before="100" w:beforeAutospacing="1" w:after="100" w:afterAutospacing="1" w:line="348" w:lineRule="atLeast"/>
        <w:ind w:left="0" w:right="0" w:firstLine="0"/>
        <w:jc w:val="left"/>
        <w:rPr>
          <w:rFonts w:hint="default" w:ascii="Arial" w:hAnsi="Arial" w:cs="Arial"/>
          <w:i w:val="0"/>
          <w:iCs w:val="0"/>
          <w:caps w:val="0"/>
          <w:color w:val="auto"/>
          <w:spacing w:val="0"/>
          <w:sz w:val="16"/>
          <w:szCs w:val="16"/>
          <w:highlight w:val="none"/>
        </w:rPr>
      </w:pPr>
      <w:r>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t> </w:t>
      </w:r>
    </w:p>
    <w:p w14:paraId="27080794">
      <w:pPr>
        <w:widowControl/>
        <w:spacing w:before="100" w:beforeAutospacing="1" w:after="100" w:afterAutospacing="1" w:line="330" w:lineRule="atLeast"/>
        <w:ind w:firstLine="3133" w:firstLineChars="1300"/>
        <w:jc w:val="left"/>
        <w:rPr>
          <w:rFonts w:hint="eastAsia" w:ascii="宋体" w:hAnsi="宋体" w:eastAsia="宋体" w:cs="宋体"/>
          <w:color w:val="auto"/>
          <w:kern w:val="0"/>
          <w:sz w:val="24"/>
          <w:szCs w:val="24"/>
          <w:highlight w:val="none"/>
        </w:rPr>
      </w:pPr>
    </w:p>
    <w:p w14:paraId="247E3761">
      <w:pPr>
        <w:widowControl/>
        <w:spacing w:before="100" w:beforeAutospacing="1" w:after="100" w:afterAutospacing="1" w:line="330" w:lineRule="atLeast"/>
        <w:ind w:firstLine="3133" w:firstLineChars="1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52A103AD">
      <w:pPr>
        <w:spacing w:line="240" w:lineRule="atLeast"/>
        <w:ind w:left="1082" w:leftChars="257" w:hanging="540"/>
        <w:jc w:val="center"/>
        <w:rPr>
          <w:rFonts w:hint="eastAsia" w:ascii="宋体" w:hAnsi="宋体" w:eastAsia="宋体" w:cs="宋体"/>
          <w:b/>
          <w:bCs/>
          <w:color w:val="auto"/>
          <w:sz w:val="28"/>
          <w:szCs w:val="28"/>
          <w:highlight w:val="none"/>
        </w:rPr>
      </w:pPr>
      <w:bookmarkStart w:id="59" w:name="_Toc27274"/>
    </w:p>
    <w:p w14:paraId="625D6248">
      <w:pPr>
        <w:spacing w:line="240" w:lineRule="atLeast"/>
        <w:ind w:left="1082" w:leftChars="257" w:hanging="540"/>
        <w:jc w:val="center"/>
        <w:rPr>
          <w:rFonts w:hint="eastAsia" w:ascii="宋体" w:hAnsi="宋体" w:eastAsia="宋体" w:cs="宋体"/>
          <w:b/>
          <w:bCs/>
          <w:color w:val="auto"/>
          <w:sz w:val="28"/>
          <w:szCs w:val="28"/>
          <w:highlight w:val="none"/>
        </w:rPr>
      </w:pPr>
    </w:p>
    <w:bookmarkEnd w:id="59"/>
    <w:p w14:paraId="440746BF">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11114A7F">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0EAC7854">
      <w:pPr>
        <w:pStyle w:val="9"/>
        <w:tabs>
          <w:tab w:val="left" w:pos="567"/>
        </w:tabs>
        <w:rPr>
          <w:rFonts w:hint="eastAsia"/>
          <w:color w:val="auto"/>
          <w:highlight w:val="none"/>
        </w:rPr>
      </w:pPr>
    </w:p>
    <w:tbl>
      <w:tblPr>
        <w:tblStyle w:val="19"/>
        <w:tblW w:w="9378" w:type="dxa"/>
        <w:jc w:val="center"/>
        <w:tblLayout w:type="fixed"/>
        <w:tblCellMar>
          <w:top w:w="0" w:type="dxa"/>
          <w:left w:w="108" w:type="dxa"/>
          <w:bottom w:w="0" w:type="dxa"/>
          <w:right w:w="108" w:type="dxa"/>
        </w:tblCellMar>
      </w:tblPr>
      <w:tblGrid>
        <w:gridCol w:w="1457"/>
        <w:gridCol w:w="1946"/>
        <w:gridCol w:w="1293"/>
        <w:gridCol w:w="1903"/>
        <w:gridCol w:w="1692"/>
        <w:gridCol w:w="1087"/>
      </w:tblGrid>
      <w:tr w14:paraId="2BA39EFD">
        <w:tblPrEx>
          <w:tblCellMar>
            <w:top w:w="0" w:type="dxa"/>
            <w:left w:w="108" w:type="dxa"/>
            <w:bottom w:w="0" w:type="dxa"/>
            <w:right w:w="108" w:type="dxa"/>
          </w:tblCellMar>
        </w:tblPrEx>
        <w:trPr>
          <w:trHeight w:val="451"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68F91EF2">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946" w:type="dxa"/>
            <w:tcBorders>
              <w:top w:val="single" w:color="auto" w:sz="4" w:space="0"/>
              <w:left w:val="nil"/>
              <w:bottom w:val="single" w:color="auto" w:sz="4" w:space="0"/>
              <w:right w:val="single" w:color="auto" w:sz="4" w:space="0"/>
            </w:tcBorders>
            <w:noWrap w:val="0"/>
            <w:vAlign w:val="center"/>
          </w:tcPr>
          <w:p w14:paraId="08BD99F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293" w:type="dxa"/>
            <w:tcBorders>
              <w:top w:val="single" w:color="auto" w:sz="4" w:space="0"/>
              <w:left w:val="nil"/>
              <w:bottom w:val="single" w:color="auto" w:sz="4" w:space="0"/>
              <w:right w:val="single" w:color="auto" w:sz="4" w:space="0"/>
            </w:tcBorders>
            <w:noWrap w:val="0"/>
            <w:vAlign w:val="center"/>
          </w:tcPr>
          <w:p w14:paraId="25D8A1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5F19D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186A383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23FB0E2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22BC53AB">
        <w:tblPrEx>
          <w:tblCellMar>
            <w:top w:w="0" w:type="dxa"/>
            <w:left w:w="108" w:type="dxa"/>
            <w:bottom w:w="0" w:type="dxa"/>
            <w:right w:w="108" w:type="dxa"/>
          </w:tblCellMar>
        </w:tblPrEx>
        <w:trPr>
          <w:trHeight w:val="199" w:hRule="atLeast"/>
          <w:jc w:val="center"/>
        </w:trPr>
        <w:tc>
          <w:tcPr>
            <w:tcW w:w="1457" w:type="dxa"/>
            <w:tcBorders>
              <w:top w:val="nil"/>
              <w:left w:val="single" w:color="auto" w:sz="4" w:space="0"/>
              <w:bottom w:val="single" w:color="auto" w:sz="4" w:space="0"/>
              <w:right w:val="single" w:color="auto" w:sz="4" w:space="0"/>
            </w:tcBorders>
            <w:noWrap w:val="0"/>
            <w:vAlign w:val="center"/>
          </w:tcPr>
          <w:p w14:paraId="6AAD9E0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946" w:type="dxa"/>
            <w:tcBorders>
              <w:top w:val="nil"/>
              <w:left w:val="nil"/>
              <w:bottom w:val="single" w:color="auto" w:sz="4" w:space="0"/>
              <w:right w:val="single" w:color="auto" w:sz="4" w:space="0"/>
            </w:tcBorders>
            <w:noWrap w:val="0"/>
            <w:vAlign w:val="center"/>
          </w:tcPr>
          <w:p w14:paraId="5C6A5B18">
            <w:pPr>
              <w:widowControl/>
              <w:snapToGrid w:val="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2E6860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36E2A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FF8CC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5BD405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053FA1DE">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7A7522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946" w:type="dxa"/>
            <w:tcBorders>
              <w:top w:val="nil"/>
              <w:left w:val="nil"/>
              <w:bottom w:val="single" w:color="auto" w:sz="4" w:space="0"/>
              <w:right w:val="single" w:color="auto" w:sz="4" w:space="0"/>
            </w:tcBorders>
            <w:noWrap w:val="0"/>
            <w:vAlign w:val="center"/>
          </w:tcPr>
          <w:p w14:paraId="4F8D012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CB246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7AC2E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60CF9BA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FF9FA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B402DCC">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48023CB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70D73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4C6DAA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A7B6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C2C69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7EF5B2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E0EB6DB">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7228A5E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946" w:type="dxa"/>
            <w:tcBorders>
              <w:top w:val="nil"/>
              <w:left w:val="nil"/>
              <w:bottom w:val="single" w:color="auto" w:sz="4" w:space="0"/>
              <w:right w:val="single" w:color="auto" w:sz="4" w:space="0"/>
            </w:tcBorders>
            <w:noWrap w:val="0"/>
            <w:vAlign w:val="center"/>
          </w:tcPr>
          <w:p w14:paraId="3D33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C794D9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6C3AD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678BB2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640931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A5669DD">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3FA17D0">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8FBA7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2E929B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635D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491A89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C1BBE9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29CF2D03">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BF305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946" w:type="dxa"/>
            <w:tcBorders>
              <w:top w:val="nil"/>
              <w:left w:val="nil"/>
              <w:bottom w:val="single" w:color="auto" w:sz="4" w:space="0"/>
              <w:right w:val="single" w:color="auto" w:sz="4" w:space="0"/>
            </w:tcBorders>
            <w:noWrap w:val="0"/>
            <w:vAlign w:val="center"/>
          </w:tcPr>
          <w:p w14:paraId="734D85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12AC80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87050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C0AEB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055218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313874FB">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E874C68">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1D6BF6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73AB4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F9A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043A0A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12944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141E72FE">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57B7955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946" w:type="dxa"/>
            <w:tcBorders>
              <w:top w:val="nil"/>
              <w:left w:val="nil"/>
              <w:bottom w:val="single" w:color="auto" w:sz="4" w:space="0"/>
              <w:right w:val="single" w:color="auto" w:sz="4" w:space="0"/>
            </w:tcBorders>
            <w:noWrap w:val="0"/>
            <w:vAlign w:val="center"/>
          </w:tcPr>
          <w:p w14:paraId="2C1666C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3C1120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7B4F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2E83F3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5F87BF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96BA6A0">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50D0655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47FA0D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CC4CD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8CA8C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D00D43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643F4D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16B380A">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6010D8B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946" w:type="dxa"/>
            <w:tcBorders>
              <w:top w:val="nil"/>
              <w:left w:val="nil"/>
              <w:bottom w:val="single" w:color="auto" w:sz="4" w:space="0"/>
              <w:right w:val="single" w:color="auto" w:sz="4" w:space="0"/>
            </w:tcBorders>
            <w:noWrap w:val="0"/>
            <w:vAlign w:val="center"/>
          </w:tcPr>
          <w:p w14:paraId="75E7E9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91784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7A9D6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2AE2F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06781C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6B5E378">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B5488E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7DBF291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420F9F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848B0E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5B5D02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BBA38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02E6ED06">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0FE7F6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946" w:type="dxa"/>
            <w:tcBorders>
              <w:top w:val="nil"/>
              <w:left w:val="nil"/>
              <w:bottom w:val="single" w:color="auto" w:sz="4" w:space="0"/>
              <w:right w:val="single" w:color="auto" w:sz="4" w:space="0"/>
            </w:tcBorders>
            <w:noWrap w:val="0"/>
            <w:vAlign w:val="center"/>
          </w:tcPr>
          <w:p w14:paraId="36932FD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0E221A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0681F3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742333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2317E5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6AC9E6D2">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5D59C79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3754ED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6997E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725B2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2B7A351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5BA563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E88EFA6">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08D4546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946" w:type="dxa"/>
            <w:tcBorders>
              <w:top w:val="nil"/>
              <w:left w:val="nil"/>
              <w:bottom w:val="single" w:color="auto" w:sz="4" w:space="0"/>
              <w:right w:val="single" w:color="auto" w:sz="4" w:space="0"/>
            </w:tcBorders>
            <w:noWrap w:val="0"/>
            <w:vAlign w:val="center"/>
          </w:tcPr>
          <w:p w14:paraId="2A5771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7A12B0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C24D6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21D8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E0F05F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C29D52C">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661EDDEF">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138D1D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443FE1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FAA0B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497C5B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05BAB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C55E86B">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674253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946" w:type="dxa"/>
            <w:tcBorders>
              <w:top w:val="nil"/>
              <w:left w:val="nil"/>
              <w:bottom w:val="single" w:color="auto" w:sz="4" w:space="0"/>
              <w:right w:val="single" w:color="auto" w:sz="4" w:space="0"/>
            </w:tcBorders>
            <w:noWrap w:val="0"/>
            <w:vAlign w:val="center"/>
          </w:tcPr>
          <w:p w14:paraId="36E66C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3CD9D8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0155C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4012F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20AAC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E177AF6">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DEC8CC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23E7B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2E8B8C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1718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78880E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73800F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2BE1B4C">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ED031B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946" w:type="dxa"/>
            <w:tcBorders>
              <w:top w:val="nil"/>
              <w:left w:val="nil"/>
              <w:bottom w:val="single" w:color="auto" w:sz="4" w:space="0"/>
              <w:right w:val="single" w:color="auto" w:sz="4" w:space="0"/>
            </w:tcBorders>
            <w:noWrap w:val="0"/>
            <w:vAlign w:val="center"/>
          </w:tcPr>
          <w:p w14:paraId="21119C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763A4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06563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B9A5E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FCD63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E621CCD">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18A4A57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19D8C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58801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8BC22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F7AAE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D3F05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D0092F1">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414DEC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946" w:type="dxa"/>
            <w:tcBorders>
              <w:top w:val="nil"/>
              <w:left w:val="nil"/>
              <w:bottom w:val="single" w:color="auto" w:sz="4" w:space="0"/>
              <w:right w:val="single" w:color="auto" w:sz="4" w:space="0"/>
            </w:tcBorders>
            <w:noWrap w:val="0"/>
            <w:vAlign w:val="center"/>
          </w:tcPr>
          <w:p w14:paraId="2C6BC71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B13290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730EA4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0BCC1B3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D50D75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F59D3B1">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DE58ED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5E9E5EF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7E087C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525E0C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7303ACF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15CE75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439229C5">
        <w:tblPrEx>
          <w:tblCellMar>
            <w:top w:w="0" w:type="dxa"/>
            <w:left w:w="108" w:type="dxa"/>
            <w:bottom w:w="0" w:type="dxa"/>
            <w:right w:w="108" w:type="dxa"/>
          </w:tblCellMar>
        </w:tblPrEx>
        <w:trPr>
          <w:trHeight w:val="394"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3DA20B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946" w:type="dxa"/>
            <w:tcBorders>
              <w:top w:val="nil"/>
              <w:left w:val="nil"/>
              <w:bottom w:val="single" w:color="auto" w:sz="4" w:space="0"/>
              <w:right w:val="single" w:color="auto" w:sz="4" w:space="0"/>
            </w:tcBorders>
            <w:noWrap w:val="0"/>
            <w:vAlign w:val="center"/>
          </w:tcPr>
          <w:p w14:paraId="33F4027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81E2A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6DF8C9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84CA1E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D4B798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F0D9315">
        <w:tblPrEx>
          <w:tblCellMar>
            <w:top w:w="0" w:type="dxa"/>
            <w:left w:w="108" w:type="dxa"/>
            <w:bottom w:w="0" w:type="dxa"/>
            <w:right w:w="108" w:type="dxa"/>
          </w:tblCellMar>
        </w:tblPrEx>
        <w:trPr>
          <w:trHeight w:val="377"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837C71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020E773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3E9F8E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CC35ED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7EFB368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749CB17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35A20FE0">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06BE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946" w:type="dxa"/>
            <w:tcBorders>
              <w:top w:val="nil"/>
              <w:left w:val="nil"/>
              <w:bottom w:val="single" w:color="auto" w:sz="4" w:space="0"/>
              <w:right w:val="single" w:color="auto" w:sz="4" w:space="0"/>
            </w:tcBorders>
            <w:noWrap w:val="0"/>
            <w:vAlign w:val="center"/>
          </w:tcPr>
          <w:p w14:paraId="4B14E2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171705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4852E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1A6A71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45EE50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4B0B2E43">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28804292">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086FAC5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13DF4A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1D08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57376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CC4F02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0FD2E1A0">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8DA57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946" w:type="dxa"/>
            <w:tcBorders>
              <w:top w:val="nil"/>
              <w:left w:val="nil"/>
              <w:bottom w:val="single" w:color="auto" w:sz="4" w:space="0"/>
              <w:right w:val="single" w:color="auto" w:sz="4" w:space="0"/>
            </w:tcBorders>
            <w:noWrap w:val="0"/>
            <w:vAlign w:val="center"/>
          </w:tcPr>
          <w:p w14:paraId="5309A3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BFD39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39819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EDDD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254F3F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1E30D74">
        <w:tblPrEx>
          <w:tblCellMar>
            <w:top w:w="0" w:type="dxa"/>
            <w:left w:w="108" w:type="dxa"/>
            <w:bottom w:w="0" w:type="dxa"/>
            <w:right w:w="108" w:type="dxa"/>
          </w:tblCellMar>
        </w:tblPrEx>
        <w:trPr>
          <w:trHeight w:val="90"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1E0DBEC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327B748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5B9F96F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56C79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1CB52E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6D4620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68567259">
        <w:tblPrEx>
          <w:tblCellMar>
            <w:top w:w="0" w:type="dxa"/>
            <w:left w:w="108" w:type="dxa"/>
            <w:bottom w:w="0" w:type="dxa"/>
            <w:right w:w="108" w:type="dxa"/>
          </w:tblCellMar>
        </w:tblPrEx>
        <w:trPr>
          <w:trHeight w:val="242"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421429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946" w:type="dxa"/>
            <w:tcBorders>
              <w:top w:val="nil"/>
              <w:left w:val="nil"/>
              <w:bottom w:val="single" w:color="auto" w:sz="4" w:space="0"/>
              <w:right w:val="single" w:color="auto" w:sz="4" w:space="0"/>
            </w:tcBorders>
            <w:noWrap w:val="0"/>
            <w:vAlign w:val="center"/>
          </w:tcPr>
          <w:p w14:paraId="4920FD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128E0F6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544D7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D8854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E32A2A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39FB952">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3A3FCA9">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4C76BD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4972E6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AA41D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299290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657B67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59D6DB9">
        <w:tblPrEx>
          <w:tblCellMar>
            <w:top w:w="0" w:type="dxa"/>
            <w:left w:w="108" w:type="dxa"/>
            <w:bottom w:w="0" w:type="dxa"/>
            <w:right w:w="108" w:type="dxa"/>
          </w:tblCellMar>
        </w:tblPrEx>
        <w:trPr>
          <w:trHeight w:val="199" w:hRule="atLeast"/>
          <w:jc w:val="center"/>
        </w:trPr>
        <w:tc>
          <w:tcPr>
            <w:tcW w:w="1457" w:type="dxa"/>
            <w:tcBorders>
              <w:top w:val="nil"/>
              <w:left w:val="single" w:color="auto" w:sz="4" w:space="0"/>
              <w:bottom w:val="single" w:color="auto" w:sz="4" w:space="0"/>
              <w:right w:val="single" w:color="auto" w:sz="4" w:space="0"/>
            </w:tcBorders>
            <w:noWrap w:val="0"/>
            <w:vAlign w:val="center"/>
          </w:tcPr>
          <w:p w14:paraId="13C8DD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946" w:type="dxa"/>
            <w:tcBorders>
              <w:top w:val="nil"/>
              <w:left w:val="nil"/>
              <w:bottom w:val="single" w:color="auto" w:sz="4" w:space="0"/>
              <w:right w:val="single" w:color="auto" w:sz="4" w:space="0"/>
            </w:tcBorders>
            <w:noWrap w:val="0"/>
            <w:vAlign w:val="center"/>
          </w:tcPr>
          <w:p w14:paraId="191932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A6C6B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62BDC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F40CC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12B7E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3566286">
      <w:pPr>
        <w:spacing w:line="360" w:lineRule="auto"/>
        <w:rPr>
          <w:rFonts w:hint="eastAsia" w:ascii="宋体" w:hAnsi="宋体" w:eastAsia="宋体" w:cs="宋体"/>
          <w:color w:val="auto"/>
          <w:sz w:val="24"/>
          <w:szCs w:val="24"/>
          <w:highlight w:val="none"/>
        </w:rPr>
      </w:pPr>
    </w:p>
    <w:p w14:paraId="189933CA">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6EADE26D">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10F91F0A">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4F56FDBE">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227606B">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76BBCD4D">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00FE9FE">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77DDA7D0">
      <w:pPr>
        <w:snapToGrid w:val="0"/>
        <w:spacing w:line="336" w:lineRule="auto"/>
        <w:ind w:firstLine="482" w:firstLineChars="200"/>
        <w:contextualSpacing/>
        <w:jc w:val="left"/>
        <w:textAlignment w:val="center"/>
        <w:rPr>
          <w:rFonts w:hint="eastAsia"/>
          <w:color w:val="auto"/>
          <w:highlight w:val="none"/>
        </w:rPr>
        <w:sectPr>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3400EC4F">
      <w:pPr>
        <w:widowControl/>
        <w:spacing w:before="100" w:beforeAutospacing="1" w:after="100" w:afterAutospacing="1" w:line="330" w:lineRule="atLeast"/>
        <w:jc w:val="center"/>
        <w:outlineLvl w:val="3"/>
        <w:rPr>
          <w:rFonts w:hint="eastAsia" w:ascii="宋体" w:hAnsi="宋体" w:eastAsia="宋体" w:cs="宋体"/>
          <w:color w:val="auto"/>
          <w:kern w:val="0"/>
          <w:sz w:val="32"/>
          <w:szCs w:val="40"/>
          <w:highlight w:val="none"/>
          <w:lang w:val="en-US" w:eastAsia="zh-CN"/>
        </w:rPr>
      </w:pPr>
      <w:r>
        <w:rPr>
          <w:rFonts w:hint="eastAsia" w:ascii="宋体" w:hAnsi="宋体" w:eastAsia="宋体" w:cs="宋体"/>
          <w:color w:val="auto"/>
          <w:kern w:val="0"/>
          <w:sz w:val="28"/>
          <w:szCs w:val="36"/>
          <w:highlight w:val="none"/>
          <w:lang w:val="en-US" w:eastAsia="zh-CN"/>
        </w:rPr>
        <w:t>11-2</w:t>
      </w:r>
      <w:r>
        <w:rPr>
          <w:rFonts w:hint="eastAsia" w:ascii="宋体" w:hAnsi="宋体" w:eastAsia="宋体" w:cs="宋体"/>
          <w:color w:val="auto"/>
          <w:kern w:val="0"/>
          <w:sz w:val="28"/>
          <w:szCs w:val="36"/>
          <w:highlight w:val="none"/>
        </w:rPr>
        <w:t xml:space="preserve">  残疾人福利性单位声明函（可选）</w:t>
      </w:r>
    </w:p>
    <w:p w14:paraId="14DCD9E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p>
    <w:p w14:paraId="34D75FC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w:t>
      </w:r>
      <w:r>
        <w:rPr>
          <w:rFonts w:hint="eastAsia" w:ascii="宋体" w:hAnsi="宋体" w:eastAsia="宋体" w:cs="宋体"/>
          <w:color w:val="auto"/>
          <w:kern w:val="0"/>
          <w:sz w:val="24"/>
          <w:szCs w:val="32"/>
          <w:highlight w:val="none"/>
        </w:rPr>
        <w:t>单位的______项目采购活动提供本单位制造的货物，或者提供其他残疾人福利性单位制造的货物（不包括使用非残疾人福利性单位注册商标的货物）。</w:t>
      </w:r>
    </w:p>
    <w:p w14:paraId="5D1C297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24517C34">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283E3096">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6410A15A">
      <w:pPr>
        <w:widowControl/>
        <w:spacing w:before="100" w:beforeAutospacing="1" w:after="100" w:afterAutospacing="1" w:line="330" w:lineRule="atLeast"/>
        <w:ind w:firstLine="2400" w:firstLineChars="10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42D2787F">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74AE743F">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2FE832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38FC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0B26AFC">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34F12EC4">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1AB5C3BD">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5AD35352">
      <w:pPr>
        <w:pStyle w:val="36"/>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606207EE">
      <w:pPr>
        <w:pStyle w:val="36"/>
        <w:jc w:val="center"/>
        <w:outlineLvl w:val="3"/>
        <w:rPr>
          <w:rFonts w:hint="eastAsia" w:ascii="宋体" w:hAnsi="宋体" w:eastAsia="宋体" w:cs="宋体"/>
          <w:color w:val="auto"/>
          <w:kern w:val="0"/>
          <w:sz w:val="32"/>
          <w:szCs w:val="40"/>
          <w:highlight w:val="none"/>
          <w:lang w:val="en-US" w:eastAsia="zh-CN" w:bidi="ar-SA"/>
        </w:rPr>
      </w:pPr>
      <w:r>
        <w:rPr>
          <w:rFonts w:hint="eastAsia" w:hAnsi="宋体" w:cs="宋体"/>
          <w:color w:val="auto"/>
          <w:kern w:val="0"/>
          <w:sz w:val="32"/>
          <w:szCs w:val="40"/>
          <w:highlight w:val="none"/>
          <w:lang w:val="en-US" w:eastAsia="zh-CN" w:bidi="ar-SA"/>
        </w:rPr>
        <w:t>11</w:t>
      </w:r>
      <w:r>
        <w:rPr>
          <w:rFonts w:hint="eastAsia" w:ascii="宋体" w:hAnsi="宋体" w:eastAsia="宋体" w:cs="宋体"/>
          <w:color w:val="auto"/>
          <w:kern w:val="0"/>
          <w:sz w:val="32"/>
          <w:szCs w:val="40"/>
          <w:highlight w:val="none"/>
          <w:lang w:val="en-US" w:eastAsia="zh-CN" w:bidi="ar-SA"/>
        </w:rPr>
        <w:t>-3   监狱企业证明（可选）</w:t>
      </w:r>
    </w:p>
    <w:p w14:paraId="5963A07A">
      <w:pPr>
        <w:pStyle w:val="36"/>
        <w:rPr>
          <w:rFonts w:hint="eastAsia" w:ascii="宋体" w:hAnsi="宋体" w:eastAsia="宋体" w:cs="宋体"/>
          <w:b/>
          <w:color w:val="auto"/>
          <w:szCs w:val="20"/>
          <w:highlight w:val="none"/>
        </w:rPr>
      </w:pPr>
    </w:p>
    <w:p w14:paraId="1CEF5C7B">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p>
    <w:p w14:paraId="21578344">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注：1.监狱企业参加政府采购活动时，应当提供由省级以上监狱管理局、戒毒管理局（含新疆生产建设兵团）出具的属于监狱企业的证明文件，并加盖单位公章。</w:t>
      </w:r>
    </w:p>
    <w:p w14:paraId="2D91CEC6">
      <w:pPr>
        <w:pStyle w:val="3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p w14:paraId="773484C5">
      <w:pPr>
        <w:rPr>
          <w:rFonts w:hint="eastAsia" w:ascii="宋体" w:hAnsi="宋体" w:eastAsia="宋体" w:cs="宋体"/>
          <w:b/>
          <w:bCs/>
          <w:color w:val="auto"/>
          <w:sz w:val="24"/>
          <w:szCs w:val="24"/>
          <w:highlight w:val="none"/>
          <w:lang w:val="en-US" w:eastAsia="zh-CN"/>
        </w:rPr>
      </w:pPr>
    </w:p>
    <w:p w14:paraId="4CF0FB9C">
      <w:pPr>
        <w:pStyle w:val="9"/>
        <w:tabs>
          <w:tab w:val="left" w:pos="567"/>
        </w:tabs>
        <w:rPr>
          <w:rFonts w:hint="eastAsia"/>
          <w:color w:val="auto"/>
          <w:highlight w:val="none"/>
          <w:lang w:val="en-US" w:eastAsia="zh-CN"/>
        </w:rPr>
      </w:pPr>
    </w:p>
    <w:p w14:paraId="39C8D6FF">
      <w:pPr>
        <w:rPr>
          <w:rFonts w:hint="eastAsia"/>
          <w:color w:val="auto"/>
          <w:highlight w:val="none"/>
          <w:lang w:val="en-US" w:eastAsia="zh-CN"/>
        </w:rPr>
      </w:pPr>
    </w:p>
    <w:p w14:paraId="16994123">
      <w:pPr>
        <w:rPr>
          <w:rFonts w:hint="eastAsia"/>
          <w:color w:val="auto"/>
          <w:highlight w:val="none"/>
          <w:lang w:val="en-US" w:eastAsia="zh-CN"/>
        </w:rPr>
      </w:pPr>
    </w:p>
    <w:p w14:paraId="0658193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0" w:leftChars="0" w:firstLine="566" w:firstLineChars="235"/>
        <w:textAlignment w:val="auto"/>
        <w:outlineLvl w:val="3"/>
        <w:rPr>
          <w:rFonts w:hint="eastAsia" w:ascii="宋体" w:hAnsi="宋体" w:eastAsia="宋体" w:cs="宋体"/>
          <w:b/>
          <w:bCs/>
          <w:color w:val="auto"/>
          <w:sz w:val="24"/>
          <w:szCs w:val="24"/>
          <w:highlight w:val="none"/>
        </w:rPr>
      </w:pPr>
      <w:bookmarkStart w:id="60" w:name="_Toc19110"/>
      <w:r>
        <w:rPr>
          <w:rFonts w:hint="eastAsia" w:ascii="宋体" w:hAnsi="宋体" w:eastAsia="宋体" w:cs="宋体"/>
          <w:b/>
          <w:bCs/>
          <w:snapToGrid w:val="0"/>
          <w:color w:val="auto"/>
          <w:kern w:val="0"/>
          <w:sz w:val="24"/>
          <w:szCs w:val="24"/>
          <w:highlight w:val="none"/>
          <w:lang w:val="en-US" w:eastAsia="en-US" w:bidi="ar-SA"/>
        </w:rPr>
        <w:t>1</w:t>
      </w:r>
      <w:r>
        <w:rPr>
          <w:rFonts w:hint="eastAsia" w:ascii="宋体" w:hAnsi="宋体" w:eastAsia="宋体" w:cs="宋体"/>
          <w:b/>
          <w:bCs/>
          <w:snapToGrid w:val="0"/>
          <w:color w:val="auto"/>
          <w:kern w:val="0"/>
          <w:sz w:val="24"/>
          <w:szCs w:val="24"/>
          <w:highlight w:val="none"/>
          <w:lang w:val="en-US" w:eastAsia="zh-CN" w:bidi="ar-SA"/>
        </w:rPr>
        <w:t>2</w:t>
      </w:r>
      <w:r>
        <w:rPr>
          <w:rFonts w:hint="eastAsia" w:ascii="宋体" w:hAnsi="宋体" w:eastAsia="宋体" w:cs="宋体"/>
          <w:b/>
          <w:bCs/>
          <w:snapToGrid w:val="0"/>
          <w:color w:val="auto"/>
          <w:kern w:val="0"/>
          <w:sz w:val="24"/>
          <w:szCs w:val="24"/>
          <w:highlight w:val="none"/>
          <w:lang w:val="en-US" w:eastAsia="en-US" w:bidi="ar-SA"/>
        </w:rPr>
        <w:t>、</w:t>
      </w:r>
      <w:r>
        <w:rPr>
          <w:rFonts w:hint="eastAsia" w:ascii="宋体" w:hAnsi="宋体" w:eastAsia="宋体" w:cs="宋体"/>
          <w:b/>
          <w:bCs/>
          <w:color w:val="auto"/>
          <w:sz w:val="24"/>
          <w:szCs w:val="24"/>
          <w:highlight w:val="none"/>
          <w:lang w:val="en-US" w:eastAsia="zh-CN"/>
        </w:rPr>
        <w:t>供应商须知前附表要求的其他资格证明文件</w:t>
      </w:r>
      <w:r>
        <w:rPr>
          <w:rFonts w:hint="eastAsia" w:ascii="宋体" w:hAnsi="宋体" w:eastAsia="宋体" w:cs="宋体"/>
          <w:b/>
          <w:bCs/>
          <w:color w:val="auto"/>
          <w:sz w:val="24"/>
          <w:szCs w:val="24"/>
          <w:highlight w:val="none"/>
        </w:rPr>
        <w:t>；</w:t>
      </w:r>
      <w:bookmarkEnd w:id="60"/>
    </w:p>
    <w:p w14:paraId="31E3DA86">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Chars="235"/>
        <w:textAlignment w:val="auto"/>
        <w:outlineLvl w:val="9"/>
        <w:rPr>
          <w:rFonts w:hint="eastAsia" w:ascii="宋体" w:hAnsi="宋体" w:eastAsia="宋体" w:cs="宋体"/>
          <w:b/>
          <w:bCs/>
          <w:color w:val="auto"/>
          <w:sz w:val="24"/>
          <w:szCs w:val="24"/>
          <w:highlight w:val="none"/>
          <w:lang w:eastAsia="zh-CN"/>
        </w:rPr>
      </w:pPr>
    </w:p>
    <w:p w14:paraId="363ED5D2">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4A121E38">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6A47D707">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36095BBC">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05CCFEEF">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3D9E51F7">
      <w:pPr>
        <w:pStyle w:val="9"/>
        <w:tabs>
          <w:tab w:val="left" w:pos="567"/>
        </w:tabs>
        <w:rPr>
          <w:rFonts w:hint="eastAsia"/>
          <w:color w:val="auto"/>
          <w:highlight w:val="none"/>
          <w:lang w:val="en-US" w:eastAsia="zh-CN"/>
        </w:rPr>
      </w:pPr>
    </w:p>
    <w:p w14:paraId="6024506F">
      <w:pPr>
        <w:pageBreakBefore w:val="0"/>
        <w:widowControl w:val="0"/>
        <w:numPr>
          <w:ilvl w:val="0"/>
          <w:numId w:val="0"/>
        </w:numPr>
        <w:kinsoku/>
        <w:wordWrap/>
        <w:overflowPunct/>
        <w:topLinePunct w:val="0"/>
        <w:bidi w:val="0"/>
        <w:snapToGrid/>
        <w:spacing w:line="360" w:lineRule="auto"/>
        <w:ind w:firstLine="482" w:firstLineChars="200"/>
        <w:textAlignment w:val="auto"/>
        <w:outlineLvl w:val="3"/>
        <w:rPr>
          <w:rFonts w:hint="default" w:ascii="宋体" w:hAnsi="宋体" w:eastAsia="宋体" w:cs="宋体"/>
          <w:color w:val="auto"/>
          <w:sz w:val="24"/>
          <w:szCs w:val="24"/>
          <w:highlight w:val="none"/>
          <w:lang w:val="en-US" w:eastAsia="zh-CN"/>
        </w:rPr>
      </w:pPr>
      <w:bookmarkStart w:id="61" w:name="_Toc21181"/>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供应商可提供有利于</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的其他资格证明材料</w:t>
      </w:r>
      <w:bookmarkEnd w:id="61"/>
    </w:p>
    <w:p w14:paraId="4D123416">
      <w:pPr>
        <w:spacing w:before="181"/>
        <w:rPr>
          <w:rFonts w:hint="eastAsia" w:ascii="宋体" w:hAnsi="宋体" w:eastAsia="宋体" w:cs="宋体"/>
          <w:color w:val="auto"/>
          <w:highlight w:val="none"/>
        </w:rPr>
        <w:sectPr>
          <w:footerReference r:id="rId20" w:type="default"/>
          <w:pgSz w:w="11906" w:h="16840"/>
          <w:pgMar w:top="1431" w:right="1541" w:bottom="1025" w:left="1252" w:header="0" w:footer="856" w:gutter="0"/>
          <w:pgNumType w:fmt="decimal"/>
          <w:cols w:space="720" w:num="1"/>
        </w:sectPr>
      </w:pPr>
    </w:p>
    <w:p w14:paraId="25AD4AB5">
      <w:pPr>
        <w:pStyle w:val="3"/>
        <w:numPr>
          <w:ilvl w:val="0"/>
          <w:numId w:val="0"/>
        </w:numPr>
        <w:spacing w:before="0" w:line="240" w:lineRule="atLeast"/>
        <w:ind w:left="1080" w:leftChars="257" w:hanging="540" w:firstLineChars="0"/>
        <w:outlineLvl w:val="2"/>
        <w:rPr>
          <w:rFonts w:hint="eastAsia" w:ascii="宋体" w:hAnsi="宋体" w:eastAsia="宋体" w:cs="宋体"/>
          <w:color w:val="auto"/>
          <w:sz w:val="24"/>
          <w:highlight w:val="none"/>
          <w:u w:val="none"/>
        </w:rPr>
      </w:pPr>
      <w:bookmarkStart w:id="62" w:name="_Toc515647816"/>
      <w:bookmarkStart w:id="63" w:name="_Toc22967"/>
      <w:bookmarkStart w:id="64" w:name="_Toc11180"/>
      <w:bookmarkStart w:id="65" w:name="_Toc30317"/>
      <w:r>
        <w:rPr>
          <w:rFonts w:hint="eastAsia" w:ascii="宋体" w:hAnsi="宋体" w:eastAsia="宋体" w:cs="宋体"/>
          <w:b/>
          <w:snapToGrid w:val="0"/>
          <w:color w:val="auto"/>
          <w:kern w:val="0"/>
          <w:sz w:val="24"/>
          <w:szCs w:val="20"/>
          <w:highlight w:val="none"/>
          <w:u w:val="none"/>
          <w:lang w:val="en-US" w:eastAsia="en-US" w:bidi="ar-SA"/>
        </w:rPr>
        <w:t>第二部分</w:t>
      </w:r>
      <w:r>
        <w:rPr>
          <w:rFonts w:hint="eastAsia" w:ascii="宋体" w:hAnsi="宋体" w:eastAsia="宋体" w:cs="宋体"/>
          <w:color w:val="auto"/>
          <w:sz w:val="24"/>
          <w:highlight w:val="none"/>
          <w:u w:val="none"/>
        </w:rPr>
        <w:t xml:space="preserve"> </w:t>
      </w:r>
      <w:bookmarkStart w:id="66" w:name="_Toc22885"/>
      <w:bookmarkStart w:id="67" w:name="_Toc20682"/>
      <w:r>
        <w:rPr>
          <w:rFonts w:hint="eastAsia" w:ascii="宋体" w:hAnsi="宋体" w:eastAsia="宋体" w:cs="宋体"/>
          <w:color w:val="auto"/>
          <w:sz w:val="24"/>
          <w:highlight w:val="none"/>
          <w:u w:val="none"/>
        </w:rPr>
        <w:t>商务及技术文件</w:t>
      </w:r>
      <w:bookmarkEnd w:id="62"/>
      <w:bookmarkEnd w:id="63"/>
      <w:bookmarkEnd w:id="64"/>
      <w:bookmarkEnd w:id="65"/>
      <w:bookmarkEnd w:id="66"/>
      <w:bookmarkEnd w:id="67"/>
    </w:p>
    <w:p w14:paraId="0EF9BE62">
      <w:pPr>
        <w:rPr>
          <w:rFonts w:hint="eastAsia"/>
          <w:color w:val="auto"/>
          <w:highlight w:val="none"/>
        </w:rPr>
      </w:pPr>
    </w:p>
    <w:p w14:paraId="3A527647">
      <w:pPr>
        <w:numPr>
          <w:ilvl w:val="0"/>
          <w:numId w:val="0"/>
        </w:numPr>
        <w:rPr>
          <w:rFonts w:hint="eastAsia"/>
          <w:color w:val="auto"/>
          <w:highlight w:val="none"/>
        </w:rPr>
      </w:pPr>
    </w:p>
    <w:p w14:paraId="0CEB197E">
      <w:pPr>
        <w:pStyle w:val="11"/>
        <w:tabs>
          <w:tab w:val="left" w:pos="5580"/>
        </w:tabs>
        <w:spacing w:line="360" w:lineRule="auto"/>
        <w:ind w:left="1260" w:leftChars="344" w:hanging="538"/>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hAnsi="宋体" w:eastAsia="宋体" w:cs="宋体"/>
          <w:color w:val="auto"/>
          <w:sz w:val="24"/>
          <w:szCs w:val="24"/>
          <w:highlight w:val="none"/>
          <w:lang w:val="en-US" w:eastAsia="zh-CN"/>
        </w:rPr>
        <w:t>磋商书</w:t>
      </w:r>
    </w:p>
    <w:p w14:paraId="5A9539CD">
      <w:pPr>
        <w:pStyle w:val="11"/>
        <w:tabs>
          <w:tab w:val="left" w:pos="5580"/>
        </w:tabs>
        <w:spacing w:line="360" w:lineRule="auto"/>
        <w:ind w:left="1260" w:leftChars="344" w:hanging="5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、分项报价</w:t>
      </w:r>
      <w:r>
        <w:rPr>
          <w:rFonts w:hint="eastAsia" w:hAnsi="宋体" w:cs="宋体"/>
          <w:color w:val="auto"/>
          <w:sz w:val="24"/>
          <w:szCs w:val="24"/>
          <w:highlight w:val="none"/>
          <w:lang w:val="en-US" w:eastAsia="zh-CN"/>
        </w:rPr>
        <w:t>明细</w:t>
      </w:r>
      <w:r>
        <w:rPr>
          <w:rFonts w:hint="eastAsia" w:ascii="宋体" w:hAnsi="宋体" w:eastAsia="宋体" w:cs="宋体"/>
          <w:color w:val="auto"/>
          <w:sz w:val="24"/>
          <w:szCs w:val="24"/>
          <w:highlight w:val="none"/>
        </w:rPr>
        <w:t>表</w:t>
      </w:r>
    </w:p>
    <w:p w14:paraId="26D5CF9F">
      <w:pPr>
        <w:pStyle w:val="11"/>
        <w:tabs>
          <w:tab w:val="left" w:pos="5580"/>
        </w:tabs>
        <w:spacing w:line="360" w:lineRule="auto"/>
        <w:ind w:left="1260" w:leftChars="344" w:hanging="538"/>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、技术</w:t>
      </w:r>
      <w:r>
        <w:rPr>
          <w:rFonts w:hint="eastAsia"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rPr>
        <w:t>偏离表</w:t>
      </w:r>
    </w:p>
    <w:p w14:paraId="45391DDD">
      <w:pPr>
        <w:pStyle w:val="11"/>
        <w:tabs>
          <w:tab w:val="left" w:pos="5580"/>
        </w:tabs>
        <w:spacing w:line="360" w:lineRule="auto"/>
        <w:ind w:left="1260" w:leftChars="344" w:hanging="538"/>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、商务条款偏离表</w:t>
      </w:r>
    </w:p>
    <w:p w14:paraId="12779A1D">
      <w:pPr>
        <w:pStyle w:val="11"/>
        <w:tabs>
          <w:tab w:val="left" w:pos="5580"/>
        </w:tabs>
        <w:spacing w:line="360" w:lineRule="auto"/>
        <w:ind w:firstLine="720" w:firstLineChars="3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中小企业声明函（</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p w14:paraId="20CF5057">
      <w:pPr>
        <w:pStyle w:val="11"/>
        <w:tabs>
          <w:tab w:val="left" w:pos="5580"/>
        </w:tabs>
        <w:spacing w:line="360" w:lineRule="auto"/>
        <w:ind w:firstLine="720" w:firstLineChars="3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《残疾人福利性单位声明函》</w:t>
      </w:r>
    </w:p>
    <w:p w14:paraId="439413D1">
      <w:pPr>
        <w:pStyle w:val="11"/>
        <w:tabs>
          <w:tab w:val="left" w:pos="5580"/>
        </w:tabs>
        <w:spacing w:line="360" w:lineRule="auto"/>
        <w:ind w:firstLine="720" w:firstLineChars="300"/>
        <w:rPr>
          <w:rFonts w:hint="default" w:eastAsia="宋体"/>
          <w:color w:val="auto"/>
          <w:highlight w:val="none"/>
          <w:lang w:val="en-US" w:eastAsia="zh-CN"/>
        </w:rPr>
      </w:pPr>
      <w:r>
        <w:rPr>
          <w:rFonts w:hint="eastAsia" w:hAnsi="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-3</w:t>
      </w:r>
      <w:r>
        <w:rPr>
          <w:rFonts w:hint="eastAsia" w:hAnsi="宋体" w:cs="宋体"/>
          <w:color w:val="auto"/>
          <w:sz w:val="24"/>
          <w:szCs w:val="24"/>
          <w:highlight w:val="none"/>
          <w:lang w:val="en-US" w:eastAsia="zh-CN"/>
        </w:rPr>
        <w:t xml:space="preserve"> 监狱企业证明</w:t>
      </w:r>
    </w:p>
    <w:p w14:paraId="1F8C4AB0">
      <w:pPr>
        <w:pStyle w:val="11"/>
        <w:tabs>
          <w:tab w:val="left" w:pos="5580"/>
        </w:tabs>
        <w:spacing w:line="360" w:lineRule="auto"/>
        <w:ind w:left="1260" w:leftChars="344" w:hanging="538"/>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关联单位的说明（格式自拟）</w:t>
      </w:r>
    </w:p>
    <w:p w14:paraId="19664DCE">
      <w:pPr>
        <w:pStyle w:val="11"/>
        <w:tabs>
          <w:tab w:val="left" w:pos="5580"/>
        </w:tabs>
        <w:spacing w:line="360" w:lineRule="auto"/>
        <w:ind w:left="1260" w:leftChars="344" w:hanging="5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7、项目管理机构</w:t>
      </w:r>
    </w:p>
    <w:p w14:paraId="622DE791">
      <w:pPr>
        <w:pStyle w:val="11"/>
        <w:tabs>
          <w:tab w:val="left" w:pos="5580"/>
        </w:tabs>
        <w:spacing w:line="360" w:lineRule="auto"/>
        <w:ind w:left="1260" w:leftChars="344" w:hanging="538"/>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8、业绩一览表</w:t>
      </w:r>
    </w:p>
    <w:p w14:paraId="17B172D7">
      <w:pPr>
        <w:pStyle w:val="11"/>
        <w:tabs>
          <w:tab w:val="left" w:pos="5580"/>
        </w:tabs>
        <w:spacing w:line="360" w:lineRule="auto"/>
        <w:ind w:firstLine="720" w:firstLineChars="3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9、技术方案</w:t>
      </w:r>
    </w:p>
    <w:p w14:paraId="002450B8">
      <w:pPr>
        <w:pStyle w:val="12"/>
        <w:jc w:val="both"/>
        <w:rPr>
          <w:rFonts w:hint="default"/>
          <w:color w:val="auto"/>
          <w:highlight w:val="none"/>
          <w:lang w:val="en-US" w:eastAsia="zh-CN"/>
        </w:rPr>
      </w:pPr>
      <w:r>
        <w:rPr>
          <w:rFonts w:hint="eastAsia" w:hAnsi="宋体" w:cs="宋体"/>
          <w:color w:val="auto"/>
          <w:sz w:val="24"/>
          <w:szCs w:val="24"/>
          <w:highlight w:val="none"/>
          <w:lang w:val="en-US" w:eastAsia="zh-CN"/>
        </w:rPr>
        <w:t xml:space="preserve">             10、投标人认为有利于投标的其他资料</w:t>
      </w:r>
    </w:p>
    <w:p w14:paraId="14194EEB">
      <w:pPr>
        <w:spacing w:before="181"/>
        <w:rPr>
          <w:rFonts w:hint="eastAsia" w:ascii="宋体" w:hAnsi="宋体" w:eastAsia="宋体" w:cs="宋体"/>
          <w:color w:val="auto"/>
          <w:highlight w:val="none"/>
        </w:rPr>
        <w:sectPr>
          <w:pgSz w:w="11906" w:h="16840"/>
          <w:pgMar w:top="1431" w:right="1541" w:bottom="1025" w:left="1252" w:header="0" w:footer="856" w:gutter="0"/>
          <w:pgNumType w:fmt="decimal"/>
          <w:cols w:space="720" w:num="1"/>
        </w:sectPr>
      </w:pPr>
    </w:p>
    <w:p w14:paraId="71030FBC">
      <w:pPr>
        <w:pStyle w:val="4"/>
        <w:pageBreakBefore w:val="0"/>
        <w:widowControl w:val="0"/>
        <w:kinsoku/>
        <w:wordWrap/>
        <w:overflowPunct/>
        <w:topLinePunct w:val="0"/>
        <w:bidi w:val="0"/>
        <w:snapToGrid/>
        <w:spacing w:before="0" w:line="240" w:lineRule="auto"/>
        <w:ind w:left="1082" w:leftChars="257" w:hanging="540"/>
        <w:textAlignment w:val="auto"/>
        <w:outlineLvl w:val="3"/>
        <w:rPr>
          <w:rFonts w:hint="default" w:ascii="宋体" w:hAnsi="宋体" w:eastAsia="宋体" w:cs="宋体"/>
          <w:color w:val="auto"/>
          <w:sz w:val="28"/>
          <w:szCs w:val="21"/>
          <w:highlight w:val="none"/>
          <w:lang w:val="en-US"/>
        </w:rPr>
      </w:pPr>
      <w:bookmarkStart w:id="68" w:name="_Toc14915"/>
      <w:bookmarkStart w:id="69" w:name="_Toc8525"/>
      <w:bookmarkStart w:id="70" w:name="_Toc30168"/>
      <w:bookmarkStart w:id="71" w:name="_Toc2041"/>
      <w:bookmarkStart w:id="72" w:name="_Toc515647817"/>
      <w:r>
        <w:rPr>
          <w:rFonts w:hint="eastAsia" w:ascii="宋体" w:hAnsi="宋体" w:eastAsia="宋体" w:cs="宋体"/>
          <w:color w:val="auto"/>
          <w:sz w:val="28"/>
          <w:szCs w:val="21"/>
          <w:highlight w:val="none"/>
        </w:rPr>
        <w:t>1</w:t>
      </w:r>
      <w:bookmarkStart w:id="73" w:name="_Hlt520355504"/>
      <w:bookmarkEnd w:id="73"/>
      <w:r>
        <w:rPr>
          <w:rFonts w:hint="eastAsia" w:ascii="宋体" w:hAnsi="宋体" w:eastAsia="宋体" w:cs="宋体"/>
          <w:color w:val="auto"/>
          <w:sz w:val="28"/>
          <w:szCs w:val="21"/>
          <w:highlight w:val="none"/>
          <w:lang w:eastAsia="zh-CN"/>
        </w:rPr>
        <w:t>、</w:t>
      </w:r>
      <w:bookmarkEnd w:id="68"/>
      <w:bookmarkEnd w:id="69"/>
      <w:bookmarkEnd w:id="70"/>
      <w:bookmarkEnd w:id="71"/>
      <w:bookmarkEnd w:id="72"/>
      <w:r>
        <w:rPr>
          <w:rFonts w:hint="eastAsia" w:ascii="宋体" w:hAnsi="宋体" w:eastAsia="宋体" w:cs="宋体"/>
          <w:color w:val="auto"/>
          <w:sz w:val="28"/>
          <w:szCs w:val="21"/>
          <w:highlight w:val="none"/>
          <w:lang w:val="en-US" w:eastAsia="zh-CN"/>
        </w:rPr>
        <w:t>磋商书</w:t>
      </w:r>
    </w:p>
    <w:p w14:paraId="35D6F6F6">
      <w:pPr>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ascii="宋体" w:hAnsi="宋体"/>
          <w:color w:val="auto"/>
          <w:sz w:val="24"/>
          <w:highlight w:val="none"/>
        </w:rPr>
      </w:pPr>
    </w:p>
    <w:p w14:paraId="7CA680E2">
      <w:pPr>
        <w:pageBreakBefore w:val="0"/>
        <w:widowControl w:val="0"/>
        <w:tabs>
          <w:tab w:val="left" w:pos="5580"/>
        </w:tabs>
        <w:kinsoku/>
        <w:wordWrap/>
        <w:overflowPunct/>
        <w:topLinePunct w:val="0"/>
        <w:bidi w:val="0"/>
        <w:snapToGrid/>
        <w:spacing w:line="240" w:lineRule="auto"/>
        <w:ind w:left="1080" w:hanging="1080"/>
        <w:textAlignment w:val="auto"/>
        <w:rPr>
          <w:rFonts w:hint="eastAsia" w:ascii="宋体" w:hAnsi="宋体"/>
          <w:b w:val="0"/>
          <w:bCs w:val="0"/>
          <w:i w:val="0"/>
          <w:iCs w:val="0"/>
          <w:color w:val="auto"/>
          <w:sz w:val="24"/>
          <w:highlight w:val="none"/>
        </w:rPr>
      </w:pPr>
      <w:r>
        <w:rPr>
          <w:rFonts w:hint="eastAsia" w:ascii="宋体" w:hAnsi="宋体"/>
          <w:b w:val="0"/>
          <w:bCs w:val="0"/>
          <w:i w:val="0"/>
          <w:iCs w:val="0"/>
          <w:color w:val="auto"/>
          <w:sz w:val="24"/>
          <w:highlight w:val="none"/>
        </w:rPr>
        <w:t>致：</w:t>
      </w:r>
      <w:r>
        <w:rPr>
          <w:rFonts w:hint="eastAsia" w:ascii="宋体" w:hAnsi="宋体"/>
          <w:b w:val="0"/>
          <w:bCs w:val="0"/>
          <w:i w:val="0"/>
          <w:iCs w:val="0"/>
          <w:color w:val="auto"/>
          <w:sz w:val="24"/>
          <w:highlight w:val="none"/>
          <w:u w:val="single"/>
        </w:rPr>
        <w:t>采购代理机构</w:t>
      </w:r>
    </w:p>
    <w:p w14:paraId="3905AA2C">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p>
    <w:p w14:paraId="3C198761">
      <w:pPr>
        <w:pStyle w:val="11"/>
        <w:pageBreakBefore w:val="0"/>
        <w:widowControl w:val="0"/>
        <w:tabs>
          <w:tab w:val="left" w:pos="5580"/>
        </w:tabs>
        <w:kinsoku/>
        <w:wordWrap/>
        <w:overflowPunct/>
        <w:topLinePunct w:val="0"/>
        <w:bidi w:val="0"/>
        <w:snapToGrid/>
        <w:spacing w:line="240" w:lineRule="auto"/>
        <w:ind w:left="2" w:leftChars="1" w:firstLine="482" w:firstLineChars="20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根据贵方</w:t>
      </w:r>
      <w:r>
        <w:rPr>
          <w:rFonts w:hint="eastAsia" w:hAnsi="宋体" w:cs="宋体"/>
          <w:b w:val="0"/>
          <w:bCs w:val="0"/>
          <w:i w:val="0"/>
          <w:iCs w:val="0"/>
          <w:color w:val="auto"/>
          <w:sz w:val="24"/>
          <w:highlight w:val="none"/>
          <w:u w:val="single"/>
        </w:rPr>
        <w:t>(项目名称</w:t>
      </w:r>
      <w:r>
        <w:rPr>
          <w:rFonts w:hint="eastAsia" w:hAnsi="宋体" w:eastAsia="宋体" w:cs="宋体"/>
          <w:b w:val="0"/>
          <w:bCs w:val="0"/>
          <w:i w:val="0"/>
          <w:iCs w:val="0"/>
          <w:color w:val="auto"/>
          <w:sz w:val="24"/>
          <w:highlight w:val="none"/>
          <w:u w:val="single"/>
          <w:lang w:val="en-US" w:eastAsia="zh-CN"/>
        </w:rPr>
        <w:t>及包号</w:t>
      </w:r>
      <w:r>
        <w:rPr>
          <w:rFonts w:hint="eastAsia" w:hAnsi="宋体" w:cs="宋体"/>
          <w:b w:val="0"/>
          <w:bCs w:val="0"/>
          <w:i w:val="0"/>
          <w:iCs w:val="0"/>
          <w:color w:val="auto"/>
          <w:sz w:val="24"/>
          <w:highlight w:val="none"/>
          <w:u w:val="single"/>
        </w:rPr>
        <w:t>)</w:t>
      </w:r>
      <w:r>
        <w:rPr>
          <w:rFonts w:hint="eastAsia" w:hAnsi="宋体" w:cs="宋体"/>
          <w:b w:val="0"/>
          <w:bCs w:val="0"/>
          <w:i w:val="0"/>
          <w:iCs w:val="0"/>
          <w:color w:val="auto"/>
          <w:sz w:val="24"/>
          <w:highlight w:val="none"/>
        </w:rPr>
        <w:t>项目的</w:t>
      </w:r>
      <w:r>
        <w:rPr>
          <w:rFonts w:hint="eastAsia" w:hAnsi="宋体" w:cs="宋体"/>
          <w:b w:val="0"/>
          <w:bCs w:val="0"/>
          <w:i w:val="0"/>
          <w:iCs w:val="0"/>
          <w:color w:val="auto"/>
          <w:sz w:val="24"/>
          <w:highlight w:val="none"/>
          <w:lang w:val="en-US" w:eastAsia="zh-CN"/>
        </w:rPr>
        <w:t>磋商邀请</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single"/>
          <w:lang w:val="en-US" w:eastAsia="zh-CN"/>
        </w:rPr>
        <w:t>项目</w:t>
      </w:r>
      <w:r>
        <w:rPr>
          <w:rFonts w:hint="eastAsia" w:hAnsi="宋体" w:cs="宋体"/>
          <w:b w:val="0"/>
          <w:bCs w:val="0"/>
          <w:i w:val="0"/>
          <w:iCs w:val="0"/>
          <w:color w:val="auto"/>
          <w:sz w:val="24"/>
          <w:highlight w:val="none"/>
          <w:u w:val="single"/>
        </w:rPr>
        <w:t>编号</w:t>
      </w:r>
      <w:r>
        <w:rPr>
          <w:rFonts w:hint="eastAsia" w:hAnsi="宋体" w:cs="宋体"/>
          <w:b w:val="0"/>
          <w:bCs w:val="0"/>
          <w:i w:val="0"/>
          <w:iCs w:val="0"/>
          <w:color w:val="auto"/>
          <w:sz w:val="24"/>
          <w:highlight w:val="none"/>
        </w:rPr>
        <w:t>),签字代表(</w:t>
      </w:r>
      <w:r>
        <w:rPr>
          <w:rFonts w:hint="eastAsia" w:hAnsi="宋体" w:cs="宋体"/>
          <w:b w:val="0"/>
          <w:bCs w:val="0"/>
          <w:i w:val="0"/>
          <w:iCs w:val="0"/>
          <w:color w:val="auto"/>
          <w:sz w:val="24"/>
          <w:highlight w:val="none"/>
          <w:u w:val="single"/>
        </w:rPr>
        <w:t>姓名、职务</w:t>
      </w:r>
      <w:r>
        <w:rPr>
          <w:rFonts w:hint="eastAsia" w:hAnsi="宋体" w:cs="宋体"/>
          <w:b w:val="0"/>
          <w:bCs w:val="0"/>
          <w:i w:val="0"/>
          <w:iCs w:val="0"/>
          <w:color w:val="auto"/>
          <w:sz w:val="24"/>
          <w:highlight w:val="none"/>
        </w:rPr>
        <w:t>)经正式授权并代表</w:t>
      </w: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single"/>
        </w:rPr>
        <w:t>名称、地址</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lang w:val="en-US" w:eastAsia="zh-CN"/>
        </w:rPr>
        <w:t>上传响应文件</w:t>
      </w:r>
      <w:r>
        <w:rPr>
          <w:rFonts w:hint="eastAsia" w:hAnsi="宋体" w:cs="宋体"/>
          <w:b w:val="0"/>
          <w:bCs w:val="0"/>
          <w:i w:val="0"/>
          <w:iCs w:val="0"/>
          <w:color w:val="auto"/>
          <w:sz w:val="24"/>
          <w:highlight w:val="none"/>
        </w:rPr>
        <w:t>，并以</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形式出具的金额为人民币</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rPr>
        <w:t>元的</w:t>
      </w:r>
      <w:r>
        <w:rPr>
          <w:rFonts w:hint="eastAsia" w:hAnsi="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保证金。</w:t>
      </w:r>
    </w:p>
    <w:p w14:paraId="622E116D">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据此，签字代表宣布同意如下：</w:t>
      </w:r>
    </w:p>
    <w:p w14:paraId="1E9FE845">
      <w:pPr>
        <w:pStyle w:val="11"/>
        <w:pageBreakBefore w:val="0"/>
        <w:widowControl w:val="0"/>
        <w:tabs>
          <w:tab w:val="left" w:pos="720"/>
          <w:tab w:val="left" w:pos="900"/>
        </w:tabs>
        <w:kinsoku/>
        <w:wordWrap/>
        <w:overflowPunct/>
        <w:topLinePunct w:val="0"/>
        <w:bidi w:val="0"/>
        <w:snapToGrid/>
        <w:spacing w:line="240" w:lineRule="auto"/>
        <w:ind w:left="771" w:leftChars="257" w:hanging="229"/>
        <w:textAlignment w:val="auto"/>
        <w:rPr>
          <w:rFonts w:hint="eastAsia" w:hAnsi="宋体" w:eastAsia="宋体" w:cs="宋体"/>
          <w:b w:val="0"/>
          <w:bCs w:val="0"/>
          <w:i w:val="0"/>
          <w:iCs w:val="0"/>
          <w:color w:val="auto"/>
          <w:sz w:val="24"/>
          <w:highlight w:val="none"/>
          <w:u w:val="none"/>
          <w:lang w:eastAsia="zh-CN"/>
        </w:rPr>
      </w:pP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none"/>
        </w:rPr>
        <w:t>1）</w:t>
      </w:r>
      <w:r>
        <w:rPr>
          <w:rFonts w:hint="eastAsia" w:hAnsi="宋体" w:cs="宋体"/>
          <w:b w:val="0"/>
          <w:bCs w:val="0"/>
          <w:i w:val="0"/>
          <w:iCs w:val="0"/>
          <w:color w:val="auto"/>
          <w:sz w:val="24"/>
          <w:highlight w:val="none"/>
          <w:u w:val="none"/>
          <w:lang w:val="en-US" w:eastAsia="zh-CN"/>
        </w:rPr>
        <w:t>附开标一览表</w:t>
      </w:r>
      <w:r>
        <w:rPr>
          <w:rFonts w:hint="eastAsia" w:hAnsi="宋体" w:cs="宋体"/>
          <w:b w:val="0"/>
          <w:bCs w:val="0"/>
          <w:i w:val="0"/>
          <w:iCs w:val="0"/>
          <w:color w:val="auto"/>
          <w:sz w:val="24"/>
          <w:highlight w:val="none"/>
          <w:u w:val="none"/>
        </w:rPr>
        <w:t>中规定的应提供</w:t>
      </w:r>
      <w:r>
        <w:rPr>
          <w:rFonts w:hint="eastAsia" w:hAnsi="宋体" w:cs="宋体"/>
          <w:b w:val="0"/>
          <w:bCs w:val="0"/>
          <w:i w:val="0"/>
          <w:iCs w:val="0"/>
          <w:color w:val="auto"/>
          <w:sz w:val="24"/>
          <w:highlight w:val="none"/>
          <w:u w:val="none"/>
          <w:lang w:val="en-US" w:eastAsia="zh-CN"/>
        </w:rPr>
        <w:t>服务</w:t>
      </w:r>
      <w:r>
        <w:rPr>
          <w:rFonts w:hint="eastAsia" w:hAnsi="宋体" w:cs="宋体"/>
          <w:b w:val="0"/>
          <w:bCs w:val="0"/>
          <w:i w:val="0"/>
          <w:iCs w:val="0"/>
          <w:color w:val="auto"/>
          <w:sz w:val="24"/>
          <w:highlight w:val="none"/>
          <w:u w:val="none"/>
        </w:rPr>
        <w:t>的</w:t>
      </w:r>
      <w:r>
        <w:rPr>
          <w:rFonts w:hint="eastAsia" w:hAnsi="宋体" w:cs="宋体"/>
          <w:b w:val="0"/>
          <w:bCs w:val="0"/>
          <w:i w:val="0"/>
          <w:iCs w:val="0"/>
          <w:color w:val="auto"/>
          <w:sz w:val="24"/>
          <w:highlight w:val="none"/>
          <w:u w:val="none"/>
          <w:lang w:val="en-US" w:eastAsia="zh-CN"/>
        </w:rPr>
        <w:t>投标</w:t>
      </w:r>
      <w:r>
        <w:rPr>
          <w:rFonts w:hint="eastAsia" w:hAnsi="宋体" w:cs="宋体"/>
          <w:b w:val="0"/>
          <w:bCs w:val="0"/>
          <w:i w:val="0"/>
          <w:iCs w:val="0"/>
          <w:color w:val="auto"/>
          <w:sz w:val="24"/>
          <w:highlight w:val="none"/>
          <w:u w:val="none"/>
        </w:rPr>
        <w:t>总价详</w:t>
      </w:r>
      <w:r>
        <w:rPr>
          <w:rFonts w:hint="eastAsia" w:hAnsi="宋体" w:cs="宋体"/>
          <w:b w:val="0"/>
          <w:bCs w:val="0"/>
          <w:i w:val="0"/>
          <w:iCs w:val="0"/>
          <w:color w:val="auto"/>
          <w:sz w:val="24"/>
          <w:highlight w:val="none"/>
          <w:u w:val="none"/>
          <w:lang w:val="en-US" w:eastAsia="zh-CN"/>
        </w:rPr>
        <w:t>见开标一览</w:t>
      </w:r>
      <w:r>
        <w:rPr>
          <w:rFonts w:hint="eastAsia" w:hAnsi="宋体" w:cs="宋体"/>
          <w:b w:val="0"/>
          <w:bCs w:val="0"/>
          <w:i w:val="0"/>
          <w:iCs w:val="0"/>
          <w:color w:val="auto"/>
          <w:sz w:val="24"/>
          <w:highlight w:val="none"/>
          <w:u w:val="none"/>
        </w:rPr>
        <w:t>表，</w:t>
      </w:r>
      <w:r>
        <w:rPr>
          <w:rFonts w:hint="eastAsia" w:hAnsi="宋体" w:eastAsia="宋体" w:cs="宋体"/>
          <w:b w:val="0"/>
          <w:bCs w:val="0"/>
          <w:i w:val="0"/>
          <w:iCs w:val="0"/>
          <w:color w:val="auto"/>
          <w:sz w:val="24"/>
          <w:highlight w:val="none"/>
          <w:u w:val="none"/>
          <w:lang w:val="en-US" w:eastAsia="zh-CN"/>
        </w:rPr>
        <w:t>价格</w:t>
      </w:r>
      <w:r>
        <w:rPr>
          <w:rFonts w:hint="eastAsia" w:hAnsi="宋体" w:cs="宋体"/>
          <w:b w:val="0"/>
          <w:bCs w:val="0"/>
          <w:i w:val="0"/>
          <w:iCs w:val="0"/>
          <w:color w:val="auto"/>
          <w:sz w:val="24"/>
          <w:highlight w:val="none"/>
          <w:u w:val="none"/>
        </w:rPr>
        <w:t>为</w:t>
      </w:r>
      <w:r>
        <w:rPr>
          <w:rFonts w:hint="eastAsia" w:hAnsi="宋体" w:cs="宋体"/>
          <w:b w:val="0"/>
          <w:bCs w:val="0"/>
          <w:i w:val="0"/>
          <w:iCs w:val="0"/>
          <w:color w:val="auto"/>
          <w:sz w:val="24"/>
          <w:highlight w:val="none"/>
          <w:u w:val="single"/>
        </w:rPr>
        <w:t xml:space="preserve">　　  </w:t>
      </w:r>
      <w:r>
        <w:rPr>
          <w:rFonts w:hint="eastAsia" w:hAnsi="宋体" w:eastAsia="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none"/>
        </w:rPr>
        <w:t>（用文字和数字表示）</w:t>
      </w:r>
      <w:r>
        <w:rPr>
          <w:rFonts w:hint="eastAsia" w:hAnsi="宋体" w:cs="宋体"/>
          <w:b w:val="0"/>
          <w:bCs w:val="0"/>
          <w:i w:val="0"/>
          <w:iCs w:val="0"/>
          <w:color w:val="auto"/>
          <w:sz w:val="24"/>
          <w:highlight w:val="none"/>
          <w:u w:val="none"/>
          <w:lang w:eastAsia="zh-CN"/>
        </w:rPr>
        <w:t>。</w:t>
      </w:r>
    </w:p>
    <w:p w14:paraId="66EAECE5">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（2）</w:t>
      </w:r>
      <w:r>
        <w:rPr>
          <w:rFonts w:hint="eastAsia" w:hAnsi="宋体" w:cs="宋体"/>
          <w:b w:val="0"/>
          <w:bCs w:val="0"/>
          <w:i w:val="0"/>
          <w:iCs w:val="0"/>
          <w:color w:val="auto"/>
          <w:sz w:val="24"/>
          <w:highlight w:val="none"/>
          <w:lang w:val="en-US" w:eastAsia="zh-CN"/>
        </w:rPr>
        <w:t>本投标</w:t>
      </w:r>
      <w:r>
        <w:rPr>
          <w:rFonts w:hint="eastAsia" w:hAnsi="宋体" w:cs="宋体"/>
          <w:b w:val="0"/>
          <w:bCs w:val="0"/>
          <w:i w:val="0"/>
          <w:iCs w:val="0"/>
          <w:color w:val="auto"/>
          <w:sz w:val="24"/>
          <w:highlight w:val="none"/>
        </w:rPr>
        <w:t>有效期为自</w:t>
      </w:r>
      <w:r>
        <w:rPr>
          <w:rFonts w:hint="eastAsia" w:hAnsi="宋体" w:eastAsia="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截止之日起</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个日历日。</w:t>
      </w:r>
    </w:p>
    <w:p w14:paraId="00E54690">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（3）联合体中的大中型企业和其他自然人、法人或者非法人组织，与联合体中的小型、微型企业之间</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存在、不存在）投资关系（如果是联合体的话）。</w:t>
      </w:r>
    </w:p>
    <w:p w14:paraId="5CD5D8A4">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（4）已详细审查全部</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，包括所有补充通知（如果有的话），完全理解并同意放弃对这方面有不明、误解和质疑的权力。</w:t>
      </w:r>
    </w:p>
    <w:p w14:paraId="37D22CD1">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（5）在规定的</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rPr>
        <w:t>时间后，遵守</w:t>
      </w:r>
      <w:r>
        <w:rPr>
          <w:rFonts w:hint="eastAsia" w:hAnsi="宋体" w:eastAsia="宋体" w:cs="宋体"/>
          <w:b w:val="0"/>
          <w:bCs w:val="0"/>
          <w:i w:val="0"/>
          <w:iCs w:val="0"/>
          <w:color w:val="auto"/>
          <w:sz w:val="24"/>
          <w:highlight w:val="none"/>
          <w:lang w:val="en-US" w:eastAsia="zh-CN"/>
        </w:rPr>
        <w:t>磋商文件</w:t>
      </w:r>
      <w:r>
        <w:rPr>
          <w:rFonts w:hint="eastAsia" w:hAnsi="宋体" w:cs="宋体"/>
          <w:b w:val="0"/>
          <w:bCs w:val="0"/>
          <w:i w:val="0"/>
          <w:iCs w:val="0"/>
          <w:color w:val="auto"/>
          <w:sz w:val="24"/>
          <w:highlight w:val="none"/>
        </w:rPr>
        <w:t>中有关保证金的规定。</w:t>
      </w:r>
    </w:p>
    <w:p w14:paraId="4DCBA3A6">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（6）我方不是为本项目提供整体设计、规范编制或者项目管理、监理、检测等服务的供应商，我方不是采购代理机构的附属机构。</w:t>
      </w:r>
    </w:p>
    <w:p w14:paraId="55B094D2">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（7）在领取</w:t>
      </w:r>
      <w:r>
        <w:rPr>
          <w:rFonts w:hint="eastAsia" w:hAnsi="宋体" w:eastAsia="宋体" w:cs="宋体"/>
          <w:b w:val="0"/>
          <w:bCs w:val="0"/>
          <w:i w:val="0"/>
          <w:iCs w:val="0"/>
          <w:color w:val="auto"/>
          <w:sz w:val="24"/>
          <w:highlight w:val="none"/>
          <w:lang w:val="en-US" w:eastAsia="zh-CN"/>
        </w:rPr>
        <w:t>中标</w:t>
      </w:r>
      <w:r>
        <w:rPr>
          <w:rFonts w:hint="eastAsia" w:hAnsi="宋体" w:cs="宋体"/>
          <w:b w:val="0"/>
          <w:bCs w:val="0"/>
          <w:i w:val="0"/>
          <w:iCs w:val="0"/>
          <w:color w:val="auto"/>
          <w:sz w:val="24"/>
          <w:highlight w:val="none"/>
          <w:lang w:eastAsia="zh-CN"/>
        </w:rPr>
        <w:t>通知书</w:t>
      </w:r>
      <w:r>
        <w:rPr>
          <w:rFonts w:hint="eastAsia" w:hAnsi="宋体" w:cs="宋体"/>
          <w:b w:val="0"/>
          <w:bCs w:val="0"/>
          <w:i w:val="0"/>
          <w:iCs w:val="0"/>
          <w:color w:val="auto"/>
          <w:sz w:val="24"/>
          <w:highlight w:val="none"/>
        </w:rPr>
        <w:t>的同时按</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规定的形式，向贵方一次性支付</w:t>
      </w:r>
      <w:r>
        <w:rPr>
          <w:rFonts w:hint="eastAsia" w:hAnsi="宋体" w:cs="宋体"/>
          <w:b w:val="0"/>
          <w:bCs w:val="0"/>
          <w:i w:val="0"/>
          <w:iCs w:val="0"/>
          <w:color w:val="auto"/>
          <w:sz w:val="24"/>
          <w:highlight w:val="none"/>
          <w:lang w:val="en-US" w:eastAsia="zh-CN"/>
        </w:rPr>
        <w:t>代理</w:t>
      </w:r>
      <w:r>
        <w:rPr>
          <w:rFonts w:hint="eastAsia" w:hAnsi="宋体" w:cs="宋体"/>
          <w:b w:val="0"/>
          <w:bCs w:val="0"/>
          <w:i w:val="0"/>
          <w:iCs w:val="0"/>
          <w:color w:val="auto"/>
          <w:sz w:val="24"/>
          <w:highlight w:val="none"/>
        </w:rPr>
        <w:t>服务费。</w:t>
      </w:r>
    </w:p>
    <w:p w14:paraId="1A5A37DC">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（8）按照贵方可能要求，提供与其</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rPr>
        <w:t>有关的一切数据或资料，完全理解贵方不一定接受最低价的</w:t>
      </w:r>
      <w:r>
        <w:rPr>
          <w:rFonts w:hint="eastAsia" w:hAnsi="宋体" w:cs="宋体"/>
          <w:b w:val="0"/>
          <w:bCs w:val="0"/>
          <w:i w:val="0"/>
          <w:iCs w:val="0"/>
          <w:color w:val="auto"/>
          <w:sz w:val="24"/>
          <w:highlight w:val="none"/>
          <w:lang w:val="en-US" w:eastAsia="zh-CN"/>
        </w:rPr>
        <w:t>响应文件</w:t>
      </w:r>
      <w:r>
        <w:rPr>
          <w:rFonts w:hint="eastAsia" w:hAnsi="宋体" w:cs="宋体"/>
          <w:b w:val="0"/>
          <w:bCs w:val="0"/>
          <w:i w:val="0"/>
          <w:iCs w:val="0"/>
          <w:color w:val="auto"/>
          <w:sz w:val="24"/>
          <w:highlight w:val="none"/>
        </w:rPr>
        <w:t>或收到的任何</w:t>
      </w:r>
      <w:r>
        <w:rPr>
          <w:rFonts w:hint="eastAsia" w:hAnsi="宋体" w:eastAsia="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w:t>
      </w:r>
    </w:p>
    <w:p w14:paraId="59E0EDF3">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（9）按照</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的规定履行合同责任和义务。</w:t>
      </w:r>
    </w:p>
    <w:p w14:paraId="2D64602C">
      <w:pPr>
        <w:pStyle w:val="11"/>
        <w:pageBreakBefore w:val="0"/>
        <w:widowControl w:val="0"/>
        <w:tabs>
          <w:tab w:val="left" w:pos="5580"/>
        </w:tabs>
        <w:kinsoku/>
        <w:wordWrap/>
        <w:overflowPunct/>
        <w:topLinePunct w:val="0"/>
        <w:bidi w:val="0"/>
        <w:snapToGrid/>
        <w:spacing w:line="240" w:lineRule="auto"/>
        <w:ind w:left="359" w:leftChars="68" w:hanging="216" w:hangingChars="9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 xml:space="preserve">  与本</w:t>
      </w:r>
      <w:r>
        <w:rPr>
          <w:rFonts w:hint="eastAsia" w:hAnsi="宋体" w:eastAsia="宋体" w:cs="宋体"/>
          <w:b w:val="0"/>
          <w:bCs w:val="0"/>
          <w:i w:val="0"/>
          <w:iCs w:val="0"/>
          <w:color w:val="auto"/>
          <w:sz w:val="24"/>
          <w:highlight w:val="none"/>
          <w:lang w:val="en-US" w:eastAsia="zh-CN"/>
        </w:rPr>
        <w:t>招标</w:t>
      </w:r>
      <w:r>
        <w:rPr>
          <w:rFonts w:hint="eastAsia" w:hAnsi="宋体" w:cs="宋体"/>
          <w:b w:val="0"/>
          <w:bCs w:val="0"/>
          <w:i w:val="0"/>
          <w:iCs w:val="0"/>
          <w:color w:val="auto"/>
          <w:sz w:val="24"/>
          <w:highlight w:val="none"/>
        </w:rPr>
        <w:t>有关的一切正式往来信函请寄：</w:t>
      </w:r>
    </w:p>
    <w:p w14:paraId="158BB117">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地址</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 xml:space="preserve">     传真</w:t>
      </w:r>
      <w:r>
        <w:rPr>
          <w:rFonts w:hint="eastAsia" w:hAnsi="宋体" w:cs="宋体"/>
          <w:b w:val="0"/>
          <w:bCs w:val="0"/>
          <w:i w:val="0"/>
          <w:iCs w:val="0"/>
          <w:color w:val="auto"/>
          <w:sz w:val="24"/>
          <w:highlight w:val="none"/>
          <w:u w:val="single"/>
        </w:rPr>
        <w:t xml:space="preserve">                             </w:t>
      </w:r>
    </w:p>
    <w:p w14:paraId="3A33481A">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u w:val="single"/>
        </w:rPr>
      </w:pPr>
      <w:r>
        <w:rPr>
          <w:rFonts w:hint="eastAsia" w:hAnsi="宋体" w:cs="宋体"/>
          <w:b w:val="0"/>
          <w:bCs w:val="0"/>
          <w:i w:val="0"/>
          <w:iCs w:val="0"/>
          <w:color w:val="auto"/>
          <w:sz w:val="24"/>
          <w:highlight w:val="none"/>
        </w:rPr>
        <w:t>电话</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 xml:space="preserve">     电子函件</w:t>
      </w:r>
      <w:r>
        <w:rPr>
          <w:rFonts w:hint="eastAsia" w:hAnsi="宋体" w:cs="宋体"/>
          <w:b w:val="0"/>
          <w:bCs w:val="0"/>
          <w:i w:val="0"/>
          <w:iCs w:val="0"/>
          <w:color w:val="auto"/>
          <w:sz w:val="24"/>
          <w:highlight w:val="none"/>
          <w:u w:val="single"/>
        </w:rPr>
        <w:t xml:space="preserve">                         </w:t>
      </w:r>
    </w:p>
    <w:p w14:paraId="0A6EBEFE">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eastAsia="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rPr>
        <w:t>法定代表人或其委托代理人</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lang w:val="en-US" w:eastAsia="zh-CN"/>
        </w:rPr>
        <w:t>签/章</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lang w:val="en-US" w:eastAsia="zh-CN"/>
        </w:rPr>
        <w:t>：</w:t>
      </w:r>
      <w:r>
        <w:rPr>
          <w:rFonts w:hint="eastAsia" w:hAnsi="宋体" w:cs="宋体"/>
          <w:b w:val="0"/>
          <w:bCs w:val="0"/>
          <w:i w:val="0"/>
          <w:iCs w:val="0"/>
          <w:color w:val="auto"/>
          <w:sz w:val="24"/>
          <w:highlight w:val="none"/>
          <w:u w:val="single"/>
          <w:lang w:val="en-US" w:eastAsia="zh-CN"/>
        </w:rPr>
        <w:t xml:space="preserve">                </w:t>
      </w:r>
    </w:p>
    <w:p w14:paraId="4CB10E20">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名称（</w:t>
      </w:r>
      <w:r>
        <w:rPr>
          <w:rFonts w:hint="eastAsia" w:hAnsi="宋体" w:cs="宋体"/>
          <w:b w:val="0"/>
          <w:bCs w:val="0"/>
          <w:i w:val="0"/>
          <w:iCs w:val="0"/>
          <w:color w:val="auto"/>
          <w:sz w:val="24"/>
          <w:highlight w:val="none"/>
          <w:lang w:val="en-US" w:eastAsia="zh-CN"/>
        </w:rPr>
        <w:t>公章</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u w:val="single"/>
          <w:lang w:val="en-US" w:eastAsia="zh-CN"/>
        </w:rPr>
        <w:t xml:space="preserve">                     </w:t>
      </w:r>
    </w:p>
    <w:p w14:paraId="47463D25">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开户银行（全称）</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single"/>
        </w:rPr>
        <w:t xml:space="preserve"> </w:t>
      </w:r>
    </w:p>
    <w:p w14:paraId="6D7821A8">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银行帐号</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single"/>
        </w:rPr>
        <w:t>　</w:t>
      </w:r>
    </w:p>
    <w:p w14:paraId="4E636D04">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eastAsia="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rPr>
        <w:t>日期</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u w:val="single"/>
          <w:lang w:val="en-US" w:eastAsia="zh-CN"/>
        </w:rPr>
        <w:t xml:space="preserve">                          </w:t>
      </w:r>
    </w:p>
    <w:p w14:paraId="2C3A6775">
      <w:pPr>
        <w:spacing w:before="0" w:line="240" w:lineRule="atLeast"/>
        <w:jc w:val="center"/>
        <w:outlineLvl w:val="9"/>
        <w:rPr>
          <w:rFonts w:hint="eastAsia" w:ascii="宋体" w:hAnsi="宋体" w:eastAsia="宋体" w:cs="宋体"/>
          <w:color w:val="auto"/>
          <w:sz w:val="24"/>
          <w:highlight w:val="none"/>
        </w:rPr>
      </w:pPr>
    </w:p>
    <w:p w14:paraId="0873C764">
      <w:pPr>
        <w:spacing w:before="0" w:line="240" w:lineRule="atLeast"/>
        <w:jc w:val="center"/>
        <w:outlineLvl w:val="9"/>
        <w:rPr>
          <w:rFonts w:hint="eastAsia" w:ascii="宋体" w:hAnsi="宋体" w:eastAsia="宋体" w:cs="宋体"/>
          <w:color w:val="auto"/>
          <w:sz w:val="24"/>
          <w:highlight w:val="none"/>
        </w:rPr>
      </w:pPr>
    </w:p>
    <w:p w14:paraId="12E40D60">
      <w:pPr>
        <w:spacing w:before="0" w:line="240" w:lineRule="atLeast"/>
        <w:jc w:val="both"/>
        <w:outlineLvl w:val="9"/>
        <w:rPr>
          <w:rFonts w:hint="eastAsia" w:ascii="宋体" w:hAnsi="宋体" w:eastAsia="宋体" w:cs="宋体"/>
          <w:color w:val="auto"/>
          <w:sz w:val="24"/>
          <w:highlight w:val="none"/>
        </w:rPr>
      </w:pPr>
    </w:p>
    <w:p w14:paraId="6430CC7F">
      <w:pPr>
        <w:pStyle w:val="15"/>
        <w:rPr>
          <w:rFonts w:hint="eastAsia" w:ascii="宋体" w:hAnsi="宋体" w:eastAsia="宋体" w:cs="宋体"/>
          <w:color w:val="auto"/>
          <w:sz w:val="24"/>
          <w:highlight w:val="none"/>
        </w:rPr>
      </w:pPr>
    </w:p>
    <w:p w14:paraId="34A49FDF">
      <w:pPr>
        <w:pStyle w:val="15"/>
        <w:rPr>
          <w:rFonts w:hint="eastAsia" w:ascii="宋体" w:hAnsi="宋体" w:eastAsia="宋体" w:cs="宋体"/>
          <w:color w:val="auto"/>
          <w:sz w:val="24"/>
          <w:highlight w:val="none"/>
        </w:rPr>
      </w:pPr>
    </w:p>
    <w:p w14:paraId="2B4B44E4">
      <w:pPr>
        <w:pStyle w:val="15"/>
        <w:rPr>
          <w:rFonts w:hint="eastAsia" w:ascii="宋体" w:hAnsi="宋体" w:eastAsia="宋体" w:cs="宋体"/>
          <w:color w:val="auto"/>
          <w:sz w:val="24"/>
          <w:highlight w:val="none"/>
        </w:rPr>
      </w:pPr>
    </w:p>
    <w:p w14:paraId="2A570D03">
      <w:pPr>
        <w:pStyle w:val="15"/>
        <w:rPr>
          <w:rFonts w:hint="eastAsia" w:ascii="宋体" w:hAnsi="宋体" w:eastAsia="宋体" w:cs="宋体"/>
          <w:color w:val="auto"/>
          <w:sz w:val="24"/>
          <w:highlight w:val="none"/>
        </w:rPr>
      </w:pPr>
    </w:p>
    <w:p w14:paraId="022D4888">
      <w:pPr>
        <w:pStyle w:val="15"/>
        <w:rPr>
          <w:rFonts w:hint="eastAsia" w:ascii="宋体" w:hAnsi="宋体" w:eastAsia="宋体" w:cs="宋体"/>
          <w:color w:val="auto"/>
          <w:sz w:val="24"/>
          <w:highlight w:val="none"/>
        </w:rPr>
      </w:pPr>
    </w:p>
    <w:p w14:paraId="6AC27C09">
      <w:pPr>
        <w:pStyle w:val="15"/>
        <w:rPr>
          <w:rFonts w:hint="eastAsia" w:ascii="宋体" w:hAnsi="宋体" w:eastAsia="宋体" w:cs="宋体"/>
          <w:color w:val="auto"/>
          <w:sz w:val="24"/>
          <w:highlight w:val="none"/>
        </w:rPr>
      </w:pPr>
    </w:p>
    <w:p w14:paraId="1DCA39D4">
      <w:pPr>
        <w:pStyle w:val="15"/>
        <w:rPr>
          <w:rFonts w:hint="eastAsia" w:ascii="宋体" w:hAnsi="宋体" w:eastAsia="宋体" w:cs="宋体"/>
          <w:color w:val="auto"/>
          <w:sz w:val="24"/>
          <w:highlight w:val="none"/>
        </w:rPr>
      </w:pPr>
    </w:p>
    <w:p w14:paraId="230237A3">
      <w:pPr>
        <w:pStyle w:val="15"/>
        <w:rPr>
          <w:rFonts w:hint="eastAsia" w:ascii="宋体" w:hAnsi="宋体" w:eastAsia="宋体" w:cs="宋体"/>
          <w:color w:val="auto"/>
          <w:sz w:val="24"/>
          <w:highlight w:val="none"/>
        </w:rPr>
      </w:pPr>
    </w:p>
    <w:p w14:paraId="08B77A0A">
      <w:pPr>
        <w:pStyle w:val="15"/>
        <w:ind w:left="0" w:leftChars="0" w:firstLine="0" w:firstLineChars="0"/>
        <w:rPr>
          <w:rFonts w:hint="eastAsia" w:ascii="宋体" w:hAnsi="宋体" w:eastAsia="宋体" w:cs="宋体"/>
          <w:color w:val="auto"/>
          <w:sz w:val="24"/>
          <w:highlight w:val="none"/>
        </w:rPr>
        <w:sectPr>
          <w:headerReference r:id="rId21" w:type="default"/>
          <w:footerReference r:id="rId22" w:type="default"/>
          <w:pgSz w:w="11905" w:h="16838"/>
          <w:pgMar w:top="1474" w:right="1814" w:bottom="1474" w:left="1814" w:header="850" w:footer="992" w:gutter="0"/>
          <w:pgNumType w:fmt="decimal"/>
          <w:cols w:space="0" w:num="1"/>
          <w:rtlGutter w:val="0"/>
          <w:docGrid w:type="linesAndChars" w:linePitch="316" w:charSpace="409"/>
        </w:sectPr>
      </w:pPr>
    </w:p>
    <w:p w14:paraId="6C5A093E">
      <w:pPr>
        <w:numPr>
          <w:ilvl w:val="0"/>
          <w:numId w:val="0"/>
        </w:numPr>
        <w:jc w:val="center"/>
        <w:outlineLvl w:val="3"/>
        <w:rPr>
          <w:rFonts w:hint="eastAsia" w:ascii="宋体" w:hAnsi="宋体" w:eastAsia="宋体" w:cs="宋体"/>
          <w:color w:val="auto"/>
          <w:sz w:val="28"/>
          <w:szCs w:val="28"/>
          <w:highlight w:val="none"/>
          <w:lang w:eastAsia="zh-CN"/>
        </w:rPr>
      </w:pPr>
      <w:r>
        <w:rPr>
          <w:rFonts w:hint="eastAsia" w:ascii="宋体" w:hAnsi="宋体" w:eastAsia="宋体" w:cs="宋体"/>
          <w:snapToGrid w:val="0"/>
          <w:color w:val="auto"/>
          <w:kern w:val="0"/>
          <w:sz w:val="28"/>
          <w:szCs w:val="28"/>
          <w:highlight w:val="none"/>
          <w:lang w:val="en-US" w:eastAsia="en-US" w:bidi="ar-SA"/>
        </w:rPr>
        <w:t>2、</w:t>
      </w:r>
      <w:r>
        <w:rPr>
          <w:rFonts w:hint="eastAsia" w:ascii="宋体" w:hAnsi="宋体" w:eastAsia="宋体" w:cs="宋体"/>
          <w:color w:val="auto"/>
          <w:sz w:val="28"/>
          <w:szCs w:val="28"/>
          <w:highlight w:val="none"/>
        </w:rPr>
        <w:t>分项报价明细表</w:t>
      </w:r>
    </w:p>
    <w:p w14:paraId="7AB70677">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p>
    <w:p w14:paraId="2EDF8471">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536077DB">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color w:val="auto"/>
          <w:highlight w:val="none"/>
        </w:rPr>
      </w:pPr>
      <w:r>
        <w:rPr>
          <w:rFonts w:hint="eastAsia" w:ascii="宋体" w:hAnsi="宋体"/>
          <w:color w:val="auto"/>
          <w:sz w:val="24"/>
          <w:highlight w:val="none"/>
        </w:rPr>
        <w:t>报价单位：人民币</w:t>
      </w:r>
      <w:r>
        <w:rPr>
          <w:rFonts w:hint="eastAsia" w:ascii="宋体" w:hAnsi="宋体"/>
          <w:color w:val="auto"/>
          <w:sz w:val="24"/>
          <w:highlight w:val="none"/>
          <w:lang w:val="en-US" w:eastAsia="zh-CN"/>
        </w:rPr>
        <w:t xml:space="preserve"> </w:t>
      </w:r>
      <w:r>
        <w:rPr>
          <w:rFonts w:hint="eastAsia" w:ascii="宋体" w:hAnsi="宋体"/>
          <w:b/>
          <w:color w:val="auto"/>
          <w:sz w:val="24"/>
          <w:highlight w:val="none"/>
        </w:rPr>
        <w:t>元</w:t>
      </w:r>
      <w:r>
        <w:rPr>
          <w:rFonts w:hint="eastAsia" w:ascii="宋体" w:hAnsi="宋体" w:eastAsia="宋体"/>
          <w:b/>
          <w:color w:val="auto"/>
          <w:sz w:val="24"/>
          <w:highlight w:val="none"/>
          <w:lang w:val="en-US" w:eastAsia="zh-CN"/>
        </w:rPr>
        <w:t xml:space="preserve">                </w:t>
      </w:r>
      <w:r>
        <w:rPr>
          <w:rFonts w:hint="eastAsia" w:ascii="宋体" w:hAnsi="宋体" w:eastAsia="宋体"/>
          <w:b w:val="0"/>
          <w:bCs/>
          <w:color w:val="auto"/>
          <w:sz w:val="24"/>
          <w:highlight w:val="none"/>
          <w:lang w:val="en-US" w:eastAsia="zh-CN"/>
        </w:rPr>
        <w:t>包 号</w:t>
      </w:r>
      <w:r>
        <w:rPr>
          <w:rFonts w:hint="eastAsia" w:ascii="宋体" w:hAnsi="宋体" w:eastAsia="宋体"/>
          <w:b/>
          <w:color w:val="auto"/>
          <w:sz w:val="24"/>
          <w:highlight w:val="none"/>
          <w:lang w:val="en-US" w:eastAsia="zh-CN"/>
        </w:rPr>
        <w:t>：</w:t>
      </w:r>
    </w:p>
    <w:tbl>
      <w:tblPr>
        <w:tblStyle w:val="34"/>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3244"/>
        <w:gridCol w:w="2372"/>
        <w:gridCol w:w="2009"/>
      </w:tblGrid>
      <w:tr w14:paraId="7178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95" w:type="dxa"/>
            <w:vAlign w:val="top"/>
          </w:tcPr>
          <w:p w14:paraId="749580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244" w:type="dxa"/>
            <w:vAlign w:val="top"/>
          </w:tcPr>
          <w:p w14:paraId="3B105C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w:t>
            </w:r>
          </w:p>
        </w:tc>
        <w:tc>
          <w:tcPr>
            <w:tcW w:w="2372" w:type="dxa"/>
            <w:vAlign w:val="top"/>
          </w:tcPr>
          <w:p w14:paraId="6204CB6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报价</w:t>
            </w:r>
          </w:p>
        </w:tc>
        <w:tc>
          <w:tcPr>
            <w:tcW w:w="2009" w:type="dxa"/>
            <w:vAlign w:val="top"/>
          </w:tcPr>
          <w:p w14:paraId="2CCE6B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D37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7851E9F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244" w:type="dxa"/>
            <w:vAlign w:val="top"/>
          </w:tcPr>
          <w:p w14:paraId="4184E9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372" w:type="dxa"/>
            <w:vAlign w:val="top"/>
          </w:tcPr>
          <w:p w14:paraId="2558F3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009" w:type="dxa"/>
            <w:vAlign w:val="top"/>
          </w:tcPr>
          <w:p w14:paraId="50DB6C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r>
      <w:tr w14:paraId="0F55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95" w:type="dxa"/>
            <w:vAlign w:val="top"/>
          </w:tcPr>
          <w:p w14:paraId="5BAD02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244" w:type="dxa"/>
            <w:vAlign w:val="top"/>
          </w:tcPr>
          <w:p w14:paraId="10B2E2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372" w:type="dxa"/>
            <w:vAlign w:val="top"/>
          </w:tcPr>
          <w:p w14:paraId="50384E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009" w:type="dxa"/>
            <w:vAlign w:val="top"/>
          </w:tcPr>
          <w:p w14:paraId="17D1A4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r>
      <w:tr w14:paraId="04734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2660A65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244" w:type="dxa"/>
            <w:vAlign w:val="top"/>
          </w:tcPr>
          <w:p w14:paraId="652FB43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372" w:type="dxa"/>
            <w:vAlign w:val="top"/>
          </w:tcPr>
          <w:p w14:paraId="367F90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009" w:type="dxa"/>
            <w:vAlign w:val="top"/>
          </w:tcPr>
          <w:p w14:paraId="59FCB6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r>
      <w:tr w14:paraId="7B4A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47406B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244" w:type="dxa"/>
            <w:vAlign w:val="top"/>
          </w:tcPr>
          <w:p w14:paraId="211CFA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372" w:type="dxa"/>
            <w:vAlign w:val="top"/>
          </w:tcPr>
          <w:p w14:paraId="460F8BC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009" w:type="dxa"/>
            <w:vAlign w:val="top"/>
          </w:tcPr>
          <w:p w14:paraId="4071AD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r>
      <w:tr w14:paraId="2064B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696A93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244" w:type="dxa"/>
            <w:vAlign w:val="top"/>
          </w:tcPr>
          <w:p w14:paraId="3615D6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372" w:type="dxa"/>
            <w:vAlign w:val="top"/>
          </w:tcPr>
          <w:p w14:paraId="689CB7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c>
          <w:tcPr>
            <w:tcW w:w="2009" w:type="dxa"/>
            <w:vAlign w:val="top"/>
          </w:tcPr>
          <w:p w14:paraId="720C4A6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highlight w:val="none"/>
              </w:rPr>
            </w:pPr>
          </w:p>
        </w:tc>
      </w:tr>
      <w:tr w14:paraId="2D991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720" w:type="dxa"/>
            <w:gridSpan w:val="4"/>
            <w:vAlign w:val="top"/>
          </w:tcPr>
          <w:p w14:paraId="29800F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总价：</w:t>
            </w:r>
          </w:p>
        </w:tc>
      </w:tr>
    </w:tbl>
    <w:p w14:paraId="17B7FC62">
      <w:pPr>
        <w:rPr>
          <w:color w:val="auto"/>
          <w:highlight w:val="none"/>
        </w:rPr>
      </w:pPr>
    </w:p>
    <w:p w14:paraId="456CF922">
      <w:pPr>
        <w:pStyle w:val="11"/>
        <w:tabs>
          <w:tab w:val="left" w:pos="5370"/>
        </w:tabs>
        <w:spacing w:line="240" w:lineRule="atLeast"/>
        <w:rPr>
          <w:rFonts w:hint="eastAsia" w:ascii="宋体" w:hAnsi="宋体" w:eastAsia="宋体" w:cs="宋体"/>
          <w:color w:val="auto"/>
          <w:sz w:val="24"/>
          <w:szCs w:val="24"/>
          <w:highlight w:val="none"/>
          <w:lang w:eastAsia="zh-CN"/>
        </w:rPr>
      </w:pPr>
    </w:p>
    <w:p w14:paraId="00721712">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50C99C9B">
      <w:pPr>
        <w:pStyle w:val="11"/>
        <w:spacing w:line="240" w:lineRule="atLeast"/>
        <w:ind w:left="1258" w:leftChars="599" w:firstLine="103" w:firstLineChars="43"/>
        <w:rPr>
          <w:rFonts w:hint="eastAsia" w:ascii="宋体" w:hAnsi="宋体" w:eastAsia="宋体" w:cs="宋体"/>
          <w:color w:val="auto"/>
          <w:sz w:val="24"/>
          <w:szCs w:val="24"/>
          <w:highlight w:val="none"/>
        </w:rPr>
      </w:pPr>
    </w:p>
    <w:p w14:paraId="53823E2F">
      <w:pPr>
        <w:pStyle w:val="11"/>
        <w:tabs>
          <w:tab w:val="left" w:pos="5580"/>
        </w:tabs>
        <w:spacing w:line="240" w:lineRule="atLeast"/>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9841174">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color w:val="auto"/>
          <w:highlight w:val="none"/>
        </w:rPr>
      </w:pPr>
    </w:p>
    <w:p w14:paraId="14E10070">
      <w:pPr>
        <w:pStyle w:val="15"/>
        <w:rPr>
          <w:color w:val="auto"/>
          <w:highlight w:val="none"/>
        </w:rPr>
      </w:pPr>
    </w:p>
    <w:p w14:paraId="41ED143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color w:val="auto"/>
          <w:highlight w:val="none"/>
        </w:rPr>
      </w:pPr>
      <w:r>
        <w:rPr>
          <w:color w:val="auto"/>
          <w:highlight w:val="none"/>
        </w:rPr>
        <w:t>注:</w:t>
      </w:r>
      <w:r>
        <w:rPr>
          <w:rFonts w:hint="eastAsia" w:eastAsia="宋体"/>
          <w:color w:val="auto"/>
          <w:highlight w:val="none"/>
          <w:lang w:val="en-US" w:eastAsia="zh-CN"/>
        </w:rPr>
        <w:t xml:space="preserve">  </w:t>
      </w:r>
      <w:r>
        <w:rPr>
          <w:color w:val="auto"/>
          <w:highlight w:val="none"/>
        </w:rPr>
        <w:t>1. 如果按分项报价计算的结果与总价不一致,以分项报价为准修正总价。</w:t>
      </w:r>
    </w:p>
    <w:p w14:paraId="26BAC8D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outlineLvl w:val="9"/>
        <w:rPr>
          <w:color w:val="auto"/>
          <w:highlight w:val="none"/>
        </w:rPr>
      </w:pPr>
      <w:r>
        <w:rPr>
          <w:color w:val="auto"/>
          <w:highlight w:val="none"/>
        </w:rPr>
        <w:t>2. 上述各项的详细分项报价，可另页描述。</w:t>
      </w:r>
    </w:p>
    <w:p w14:paraId="3F738D6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color w:val="auto"/>
          <w:highlight w:val="none"/>
        </w:rPr>
        <w:sectPr>
          <w:footerReference r:id="rId23" w:type="default"/>
          <w:pgSz w:w="11906" w:h="16838"/>
          <w:pgMar w:top="1440" w:right="1800" w:bottom="1440" w:left="1800" w:header="0" w:footer="1229" w:gutter="0"/>
          <w:pgNumType w:fmt="decimal"/>
          <w:cols w:space="720" w:num="1"/>
        </w:sectPr>
      </w:pPr>
      <w:r>
        <w:rPr>
          <w:color w:val="auto"/>
          <w:highlight w:val="none"/>
        </w:rPr>
        <w:t>3. 如果开标一览表（报价表）内容与投标文件中明细表内容不一致的， 以开标一览表（报价表）内容为准。</w:t>
      </w:r>
    </w:p>
    <w:p w14:paraId="7ADE85A6">
      <w:pPr>
        <w:pStyle w:val="11"/>
        <w:spacing w:line="240" w:lineRule="atLeast"/>
        <w:rPr>
          <w:rFonts w:hint="eastAsia" w:ascii="宋体" w:hAnsi="宋体" w:eastAsia="宋体" w:cs="宋体"/>
          <w:color w:val="auto"/>
          <w:sz w:val="24"/>
          <w:szCs w:val="24"/>
          <w:highlight w:val="none"/>
        </w:rPr>
      </w:pPr>
    </w:p>
    <w:p w14:paraId="3BBEBD6A">
      <w:pPr>
        <w:pStyle w:val="11"/>
        <w:spacing w:line="240" w:lineRule="atLeast"/>
        <w:jc w:val="center"/>
        <w:outlineLvl w:val="3"/>
        <w:rPr>
          <w:rFonts w:hint="eastAsia" w:hAnsi="宋体" w:eastAsia="宋体" w:cs="宋体"/>
          <w:color w:val="auto"/>
          <w:sz w:val="24"/>
          <w:szCs w:val="24"/>
          <w:highlight w:val="none"/>
          <w:lang w:eastAsia="zh-CN"/>
        </w:rPr>
      </w:pPr>
      <w:bookmarkStart w:id="74" w:name="_Toc17015"/>
      <w:r>
        <w:rPr>
          <w:rFonts w:hint="eastAsia" w:hAnsi="宋体" w:cs="宋体"/>
          <w:b/>
          <w:bCs/>
          <w:color w:val="auto"/>
          <w:sz w:val="28"/>
          <w:szCs w:val="28"/>
          <w:highlight w:val="none"/>
          <w:lang w:eastAsia="zh-CN"/>
        </w:rPr>
        <w:t>3、</w:t>
      </w:r>
      <w:bookmarkEnd w:id="74"/>
      <w:r>
        <w:rPr>
          <w:rFonts w:hint="eastAsia" w:hAnsi="宋体" w:cs="宋体"/>
          <w:b/>
          <w:bCs/>
          <w:color w:val="auto"/>
          <w:sz w:val="28"/>
          <w:szCs w:val="28"/>
          <w:highlight w:val="none"/>
          <w:lang w:eastAsia="zh-CN"/>
        </w:rPr>
        <w:t>技术条款偏离表</w:t>
      </w:r>
    </w:p>
    <w:p w14:paraId="1F755610">
      <w:pPr>
        <w:pStyle w:val="11"/>
        <w:spacing w:line="240" w:lineRule="atLeast"/>
        <w:rPr>
          <w:rFonts w:hint="eastAsia" w:hAnsi="宋体" w:eastAsia="宋体" w:cs="宋体"/>
          <w:color w:val="auto"/>
          <w:sz w:val="24"/>
          <w:szCs w:val="24"/>
          <w:highlight w:val="none"/>
          <w:lang w:eastAsia="zh-CN"/>
        </w:rPr>
      </w:pPr>
    </w:p>
    <w:p w14:paraId="73737362">
      <w:pPr>
        <w:tabs>
          <w:tab w:val="left" w:pos="1800"/>
          <w:tab w:val="left" w:pos="5580"/>
        </w:tabs>
        <w:spacing w:line="360" w:lineRule="auto"/>
        <w:ind w:left="1081" w:leftChars="257" w:right="-871" w:rightChars="-413" w:hanging="539"/>
        <w:rPr>
          <w:rFonts w:hint="eastAsia" w:ascii="宋体" w:hAnsi="宋体" w:eastAsia="宋体" w:cs="宋体"/>
          <w:color w:val="auto"/>
          <w:sz w:val="24"/>
          <w:szCs w:val="24"/>
          <w:highlight w:val="none"/>
          <w:lang w:eastAsia="zh-CN"/>
        </w:rPr>
      </w:pPr>
      <w:r>
        <w:rPr>
          <w:rFonts w:hint="eastAsia" w:ascii="宋体" w:hAnsi="宋体"/>
          <w:color w:val="auto"/>
          <w:sz w:val="24"/>
          <w:highlight w:val="none"/>
          <w:lang w:eastAsia="zh-CN"/>
        </w:rPr>
        <w:t xml:space="preserve">项目名称：　                    </w:t>
      </w:r>
      <w:r>
        <w:rPr>
          <w:rFonts w:hint="eastAsia" w:ascii="宋体" w:hAnsi="宋体" w:eastAsia="宋体"/>
          <w:color w:val="auto"/>
          <w:sz w:val="24"/>
          <w:highlight w:val="none"/>
          <w:lang w:eastAsia="zh-CN"/>
        </w:rPr>
        <w:t xml:space="preserve">  </w:t>
      </w:r>
      <w:r>
        <w:rPr>
          <w:rFonts w:hint="eastAsia" w:ascii="宋体" w:hAnsi="宋体"/>
          <w:color w:val="auto"/>
          <w:sz w:val="24"/>
          <w:highlight w:val="none"/>
          <w:lang w:eastAsia="zh-CN"/>
        </w:rPr>
        <w:t xml:space="preserve">项目编号：                    </w:t>
      </w:r>
      <w:r>
        <w:rPr>
          <w:rFonts w:hint="eastAsia" w:ascii="宋体" w:hAnsi="宋体" w:eastAsia="宋体"/>
          <w:b/>
          <w:color w:val="auto"/>
          <w:sz w:val="24"/>
          <w:highlight w:val="none"/>
          <w:lang w:eastAsia="zh-CN"/>
        </w:rPr>
        <w:t xml:space="preserve">         </w:t>
      </w:r>
      <w:r>
        <w:rPr>
          <w:rFonts w:hint="eastAsia" w:ascii="宋体" w:hAnsi="宋体" w:eastAsia="宋体" w:cs="宋体"/>
          <w:color w:val="auto"/>
          <w:sz w:val="24"/>
          <w:szCs w:val="24"/>
          <w:highlight w:val="none"/>
          <w:lang w:eastAsia="zh-CN"/>
        </w:rPr>
        <w:t xml:space="preserve">          </w:t>
      </w:r>
    </w:p>
    <w:tbl>
      <w:tblPr>
        <w:tblStyle w:val="1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508"/>
        <w:gridCol w:w="2386"/>
        <w:gridCol w:w="1341"/>
        <w:gridCol w:w="1341"/>
      </w:tblGrid>
      <w:tr w14:paraId="0F95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vAlign w:val="center"/>
          </w:tcPr>
          <w:p w14:paraId="2F1E730F">
            <w:pPr>
              <w:pStyle w:val="11"/>
              <w:spacing w:line="240" w:lineRule="atLeast"/>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序号</w:t>
            </w:r>
          </w:p>
        </w:tc>
        <w:tc>
          <w:tcPr>
            <w:tcW w:w="2508" w:type="dxa"/>
            <w:vAlign w:val="center"/>
          </w:tcPr>
          <w:p w14:paraId="726A1BF3">
            <w:pPr>
              <w:pStyle w:val="11"/>
              <w:spacing w:line="240" w:lineRule="atLeast"/>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lang w:val="en-US" w:eastAsia="zh-CN"/>
              </w:rPr>
              <w:t>磋商</w:t>
            </w:r>
            <w:r>
              <w:rPr>
                <w:rFonts w:hint="eastAsia" w:hAnsi="宋体" w:eastAsia="宋体" w:cs="宋体"/>
                <w:color w:val="auto"/>
                <w:sz w:val="24"/>
                <w:szCs w:val="24"/>
                <w:highlight w:val="none"/>
                <w:lang w:eastAsia="zh-CN"/>
              </w:rPr>
              <w:t>文件</w:t>
            </w:r>
            <w:r>
              <w:rPr>
                <w:rFonts w:hint="eastAsia" w:hAnsi="宋体" w:eastAsia="宋体" w:cs="宋体"/>
                <w:color w:val="auto"/>
                <w:sz w:val="24"/>
                <w:szCs w:val="24"/>
                <w:highlight w:val="none"/>
              </w:rPr>
              <w:t>的</w:t>
            </w:r>
            <w:r>
              <w:rPr>
                <w:rFonts w:hint="eastAsia" w:hAnsi="宋体" w:eastAsia="宋体" w:cs="宋体"/>
                <w:color w:val="auto"/>
                <w:sz w:val="24"/>
                <w:szCs w:val="24"/>
                <w:highlight w:val="none"/>
                <w:lang w:eastAsia="zh-CN"/>
              </w:rPr>
              <w:t>技术</w:t>
            </w:r>
            <w:r>
              <w:rPr>
                <w:rFonts w:hint="eastAsia" w:hAnsi="宋体" w:eastAsia="宋体" w:cs="宋体"/>
                <w:color w:val="auto"/>
                <w:sz w:val="24"/>
                <w:szCs w:val="24"/>
                <w:highlight w:val="none"/>
              </w:rPr>
              <w:t>条款</w:t>
            </w:r>
          </w:p>
        </w:tc>
        <w:tc>
          <w:tcPr>
            <w:tcW w:w="2386" w:type="dxa"/>
            <w:vAlign w:val="center"/>
          </w:tcPr>
          <w:p w14:paraId="6BBF3D60">
            <w:pPr>
              <w:pStyle w:val="11"/>
              <w:spacing w:line="240" w:lineRule="atLeast"/>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lang w:val="en-US" w:eastAsia="zh-CN"/>
              </w:rPr>
              <w:t>响应</w:t>
            </w:r>
            <w:r>
              <w:rPr>
                <w:rFonts w:hint="eastAsia" w:hAnsi="宋体" w:eastAsia="宋体" w:cs="宋体"/>
                <w:color w:val="auto"/>
                <w:sz w:val="24"/>
                <w:szCs w:val="24"/>
                <w:highlight w:val="none"/>
                <w:lang w:eastAsia="zh-CN"/>
              </w:rPr>
              <w:t>文件</w:t>
            </w:r>
            <w:r>
              <w:rPr>
                <w:rFonts w:hint="eastAsia" w:hAnsi="宋体" w:eastAsia="宋体" w:cs="宋体"/>
                <w:color w:val="auto"/>
                <w:sz w:val="24"/>
                <w:szCs w:val="24"/>
                <w:highlight w:val="none"/>
              </w:rPr>
              <w:t>的</w:t>
            </w:r>
            <w:r>
              <w:rPr>
                <w:rFonts w:hint="eastAsia" w:hAnsi="宋体" w:eastAsia="宋体" w:cs="宋体"/>
                <w:color w:val="auto"/>
                <w:sz w:val="24"/>
                <w:szCs w:val="24"/>
                <w:highlight w:val="none"/>
                <w:lang w:eastAsia="zh-CN"/>
              </w:rPr>
              <w:t>技术</w:t>
            </w:r>
            <w:r>
              <w:rPr>
                <w:rFonts w:hint="eastAsia" w:hAnsi="宋体" w:eastAsia="宋体" w:cs="宋体"/>
                <w:color w:val="auto"/>
                <w:sz w:val="24"/>
                <w:szCs w:val="24"/>
                <w:highlight w:val="none"/>
              </w:rPr>
              <w:t>条款</w:t>
            </w:r>
          </w:p>
        </w:tc>
        <w:tc>
          <w:tcPr>
            <w:tcW w:w="1341" w:type="dxa"/>
            <w:vAlign w:val="center"/>
          </w:tcPr>
          <w:p w14:paraId="22A26EB5">
            <w:pPr>
              <w:pStyle w:val="11"/>
              <w:spacing w:line="240" w:lineRule="atLeast"/>
              <w:jc w:val="center"/>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有无偏离</w:t>
            </w:r>
          </w:p>
        </w:tc>
        <w:tc>
          <w:tcPr>
            <w:tcW w:w="1341" w:type="dxa"/>
            <w:vAlign w:val="center"/>
          </w:tcPr>
          <w:p w14:paraId="4519ED2D">
            <w:pPr>
              <w:pStyle w:val="11"/>
              <w:spacing w:line="240" w:lineRule="atLeast"/>
              <w:jc w:val="center"/>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备注</w:t>
            </w:r>
          </w:p>
        </w:tc>
      </w:tr>
      <w:tr w14:paraId="6685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3FC0750">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16E73E96">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4058B791">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2686FC8F">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3EE7C5C7">
            <w:pPr>
              <w:pStyle w:val="11"/>
              <w:spacing w:line="240" w:lineRule="atLeast"/>
              <w:ind w:left="1082" w:leftChars="257" w:hanging="540"/>
              <w:rPr>
                <w:rFonts w:hint="eastAsia" w:hAnsi="宋体" w:eastAsia="宋体" w:cs="宋体"/>
                <w:color w:val="auto"/>
                <w:sz w:val="24"/>
                <w:szCs w:val="24"/>
                <w:highlight w:val="none"/>
              </w:rPr>
            </w:pPr>
          </w:p>
        </w:tc>
      </w:tr>
      <w:tr w14:paraId="0FBD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7839892C">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71613D2E">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3A7502C0">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35F74F1A">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48CABC73">
            <w:pPr>
              <w:pStyle w:val="11"/>
              <w:spacing w:line="240" w:lineRule="atLeast"/>
              <w:ind w:left="1082" w:leftChars="257" w:hanging="540"/>
              <w:rPr>
                <w:rFonts w:hint="eastAsia" w:hAnsi="宋体" w:eastAsia="宋体" w:cs="宋体"/>
                <w:color w:val="auto"/>
                <w:sz w:val="24"/>
                <w:szCs w:val="24"/>
                <w:highlight w:val="none"/>
              </w:rPr>
            </w:pPr>
          </w:p>
        </w:tc>
      </w:tr>
      <w:tr w14:paraId="4DE6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1400" w:type="dxa"/>
          </w:tcPr>
          <w:p w14:paraId="4E5576BD">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3ABD4C30">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0B209CCA">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7D2BB291">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5B98C833">
            <w:pPr>
              <w:pStyle w:val="11"/>
              <w:spacing w:line="240" w:lineRule="atLeast"/>
              <w:ind w:left="1082" w:leftChars="257" w:hanging="540"/>
              <w:rPr>
                <w:rFonts w:hint="eastAsia" w:hAnsi="宋体" w:eastAsia="宋体" w:cs="宋体"/>
                <w:color w:val="auto"/>
                <w:sz w:val="24"/>
                <w:szCs w:val="24"/>
                <w:highlight w:val="none"/>
              </w:rPr>
            </w:pPr>
          </w:p>
        </w:tc>
      </w:tr>
      <w:tr w14:paraId="2D3F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76491BAC">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350AC8BA">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79C348D4">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53CDF53C">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72354C74">
            <w:pPr>
              <w:pStyle w:val="11"/>
              <w:spacing w:line="240" w:lineRule="atLeast"/>
              <w:ind w:left="1082" w:leftChars="257" w:hanging="540"/>
              <w:rPr>
                <w:rFonts w:hint="eastAsia" w:hAnsi="宋体" w:eastAsia="宋体" w:cs="宋体"/>
                <w:color w:val="auto"/>
                <w:sz w:val="24"/>
                <w:szCs w:val="24"/>
                <w:highlight w:val="none"/>
              </w:rPr>
            </w:pPr>
          </w:p>
        </w:tc>
      </w:tr>
      <w:tr w14:paraId="59D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56E227E2">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34B7264E">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71455793">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0C3D890F">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699F0B85">
            <w:pPr>
              <w:pStyle w:val="11"/>
              <w:spacing w:line="240" w:lineRule="atLeast"/>
              <w:ind w:left="1082" w:leftChars="257" w:hanging="540"/>
              <w:rPr>
                <w:rFonts w:hint="eastAsia" w:hAnsi="宋体" w:eastAsia="宋体" w:cs="宋体"/>
                <w:color w:val="auto"/>
                <w:sz w:val="24"/>
                <w:szCs w:val="24"/>
                <w:highlight w:val="none"/>
              </w:rPr>
            </w:pPr>
          </w:p>
        </w:tc>
      </w:tr>
      <w:tr w14:paraId="616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68255A99">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464C2BD2">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7339E224">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0EA56A87">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42E98BF8">
            <w:pPr>
              <w:pStyle w:val="11"/>
              <w:spacing w:line="240" w:lineRule="atLeast"/>
              <w:ind w:left="1082" w:leftChars="257" w:hanging="540"/>
              <w:rPr>
                <w:rFonts w:hint="eastAsia" w:hAnsi="宋体" w:eastAsia="宋体" w:cs="宋体"/>
                <w:color w:val="auto"/>
                <w:sz w:val="24"/>
                <w:szCs w:val="24"/>
                <w:highlight w:val="none"/>
              </w:rPr>
            </w:pPr>
          </w:p>
        </w:tc>
      </w:tr>
      <w:tr w14:paraId="71EE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14AD070">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533C876A">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5423C83F">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7BC5F173">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05C769BE">
            <w:pPr>
              <w:pStyle w:val="11"/>
              <w:spacing w:line="240" w:lineRule="atLeast"/>
              <w:ind w:left="1082" w:leftChars="257" w:hanging="540"/>
              <w:rPr>
                <w:rFonts w:hint="eastAsia" w:hAnsi="宋体" w:eastAsia="宋体" w:cs="宋体"/>
                <w:color w:val="auto"/>
                <w:sz w:val="24"/>
                <w:szCs w:val="24"/>
                <w:highlight w:val="none"/>
              </w:rPr>
            </w:pPr>
          </w:p>
        </w:tc>
      </w:tr>
      <w:tr w14:paraId="5A52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08C6ADA">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73734B09">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29128BE3">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478D416E">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09D2A48A">
            <w:pPr>
              <w:pStyle w:val="11"/>
              <w:spacing w:line="240" w:lineRule="atLeast"/>
              <w:ind w:left="1082" w:leftChars="257" w:hanging="540"/>
              <w:rPr>
                <w:rFonts w:hint="eastAsia" w:hAnsi="宋体" w:eastAsia="宋体" w:cs="宋体"/>
                <w:color w:val="auto"/>
                <w:sz w:val="24"/>
                <w:szCs w:val="24"/>
                <w:highlight w:val="none"/>
              </w:rPr>
            </w:pPr>
          </w:p>
        </w:tc>
      </w:tr>
      <w:tr w14:paraId="0DCB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469585CA">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6A4EE81C">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702B6518">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4BD22B46">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4F5D7CF2">
            <w:pPr>
              <w:pStyle w:val="11"/>
              <w:spacing w:line="240" w:lineRule="atLeast"/>
              <w:ind w:left="1082" w:leftChars="257" w:hanging="540"/>
              <w:rPr>
                <w:rFonts w:hint="eastAsia" w:hAnsi="宋体" w:eastAsia="宋体" w:cs="宋体"/>
                <w:color w:val="auto"/>
                <w:sz w:val="24"/>
                <w:szCs w:val="24"/>
                <w:highlight w:val="none"/>
              </w:rPr>
            </w:pPr>
          </w:p>
        </w:tc>
      </w:tr>
      <w:tr w14:paraId="58F1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1400" w:type="dxa"/>
          </w:tcPr>
          <w:p w14:paraId="331E65A2">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65E126DB">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099C7E7F">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53AD86EE">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21668106">
            <w:pPr>
              <w:pStyle w:val="11"/>
              <w:spacing w:line="240" w:lineRule="atLeast"/>
              <w:ind w:left="1082" w:leftChars="257" w:hanging="540"/>
              <w:rPr>
                <w:rFonts w:hint="eastAsia" w:hAnsi="宋体" w:eastAsia="宋体" w:cs="宋体"/>
                <w:color w:val="auto"/>
                <w:sz w:val="24"/>
                <w:szCs w:val="24"/>
                <w:highlight w:val="none"/>
              </w:rPr>
            </w:pPr>
          </w:p>
        </w:tc>
      </w:tr>
      <w:tr w14:paraId="2B2F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7C6A9861">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50DD0626">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4A41AD94">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54ACF56F">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51DC7C6E">
            <w:pPr>
              <w:pStyle w:val="11"/>
              <w:spacing w:line="240" w:lineRule="atLeast"/>
              <w:ind w:left="1082" w:leftChars="257" w:hanging="540"/>
              <w:rPr>
                <w:rFonts w:hint="eastAsia" w:hAnsi="宋体" w:eastAsia="宋体" w:cs="宋体"/>
                <w:color w:val="auto"/>
                <w:sz w:val="24"/>
                <w:szCs w:val="24"/>
                <w:highlight w:val="none"/>
              </w:rPr>
            </w:pPr>
          </w:p>
        </w:tc>
      </w:tr>
      <w:tr w14:paraId="6394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4E7F532D">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6B5FEAD2">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59C0607D">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44429252">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2C15B187">
            <w:pPr>
              <w:pStyle w:val="11"/>
              <w:spacing w:line="240" w:lineRule="atLeast"/>
              <w:ind w:left="1082" w:leftChars="257" w:hanging="540"/>
              <w:rPr>
                <w:rFonts w:hint="eastAsia" w:hAnsi="宋体" w:eastAsia="宋体" w:cs="宋体"/>
                <w:color w:val="auto"/>
                <w:sz w:val="24"/>
                <w:szCs w:val="24"/>
                <w:highlight w:val="none"/>
              </w:rPr>
            </w:pPr>
          </w:p>
        </w:tc>
      </w:tr>
      <w:tr w14:paraId="493F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5C0B59B3">
            <w:pPr>
              <w:pStyle w:val="11"/>
              <w:spacing w:line="240" w:lineRule="atLeast"/>
              <w:ind w:left="1082" w:leftChars="257" w:hanging="540"/>
              <w:rPr>
                <w:rFonts w:hint="eastAsia" w:hAnsi="宋体" w:eastAsia="宋体" w:cs="宋体"/>
                <w:color w:val="auto"/>
                <w:sz w:val="24"/>
                <w:szCs w:val="24"/>
                <w:highlight w:val="none"/>
              </w:rPr>
            </w:pPr>
          </w:p>
        </w:tc>
        <w:tc>
          <w:tcPr>
            <w:tcW w:w="2508" w:type="dxa"/>
          </w:tcPr>
          <w:p w14:paraId="6B89331E">
            <w:pPr>
              <w:pStyle w:val="11"/>
              <w:spacing w:line="240" w:lineRule="atLeast"/>
              <w:ind w:left="1082" w:leftChars="257" w:hanging="540"/>
              <w:rPr>
                <w:rFonts w:hint="eastAsia" w:hAnsi="宋体" w:eastAsia="宋体" w:cs="宋体"/>
                <w:color w:val="auto"/>
                <w:sz w:val="24"/>
                <w:szCs w:val="24"/>
                <w:highlight w:val="none"/>
              </w:rPr>
            </w:pPr>
          </w:p>
        </w:tc>
        <w:tc>
          <w:tcPr>
            <w:tcW w:w="2386" w:type="dxa"/>
          </w:tcPr>
          <w:p w14:paraId="097AE8F5">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4B47B793">
            <w:pPr>
              <w:pStyle w:val="11"/>
              <w:spacing w:line="240" w:lineRule="atLeast"/>
              <w:ind w:left="1082" w:leftChars="257" w:hanging="540"/>
              <w:rPr>
                <w:rFonts w:hint="eastAsia" w:hAnsi="宋体" w:eastAsia="宋体" w:cs="宋体"/>
                <w:color w:val="auto"/>
                <w:sz w:val="24"/>
                <w:szCs w:val="24"/>
                <w:highlight w:val="none"/>
              </w:rPr>
            </w:pPr>
          </w:p>
        </w:tc>
        <w:tc>
          <w:tcPr>
            <w:tcW w:w="1341" w:type="dxa"/>
          </w:tcPr>
          <w:p w14:paraId="32897C48">
            <w:pPr>
              <w:pStyle w:val="11"/>
              <w:spacing w:line="240" w:lineRule="atLeast"/>
              <w:ind w:left="1082" w:leftChars="257" w:hanging="540"/>
              <w:rPr>
                <w:rFonts w:hint="eastAsia" w:hAnsi="宋体" w:eastAsia="宋体" w:cs="宋体"/>
                <w:color w:val="auto"/>
                <w:sz w:val="24"/>
                <w:szCs w:val="24"/>
                <w:highlight w:val="none"/>
              </w:rPr>
            </w:pPr>
          </w:p>
        </w:tc>
      </w:tr>
    </w:tbl>
    <w:p w14:paraId="3B5D9F04">
      <w:pPr>
        <w:pStyle w:val="11"/>
        <w:spacing w:line="240" w:lineRule="atLeast"/>
        <w:ind w:left="1082" w:leftChars="257" w:hanging="540"/>
        <w:rPr>
          <w:rFonts w:hint="eastAsia" w:hAnsi="宋体" w:eastAsia="宋体" w:cs="宋体"/>
          <w:color w:val="auto"/>
          <w:sz w:val="24"/>
          <w:szCs w:val="24"/>
          <w:highlight w:val="none"/>
        </w:rPr>
      </w:pPr>
    </w:p>
    <w:p w14:paraId="11AA1DCB">
      <w:pPr>
        <w:pStyle w:val="11"/>
        <w:spacing w:line="240" w:lineRule="atLeast"/>
        <w:ind w:left="1082" w:leftChars="257" w:hanging="540"/>
        <w:rPr>
          <w:rFonts w:hint="eastAsia" w:hAnsi="宋体" w:eastAsia="宋体" w:cs="宋体"/>
          <w:color w:val="auto"/>
          <w:sz w:val="24"/>
          <w:szCs w:val="24"/>
          <w:highlight w:val="none"/>
        </w:rPr>
      </w:pPr>
    </w:p>
    <w:p w14:paraId="4645B735">
      <w:pPr>
        <w:pStyle w:val="11"/>
        <w:tabs>
          <w:tab w:val="left" w:pos="5370"/>
        </w:tabs>
        <w:spacing w:line="240" w:lineRule="atLeast"/>
        <w:rPr>
          <w:rFonts w:hint="eastAsia" w:hAnsi="宋体" w:eastAsia="宋体" w:cs="宋体"/>
          <w:color w:val="auto"/>
          <w:sz w:val="24"/>
          <w:szCs w:val="24"/>
          <w:highlight w:val="none"/>
          <w:lang w:eastAsia="zh-CN"/>
        </w:rPr>
      </w:pPr>
    </w:p>
    <w:p w14:paraId="7B924A83">
      <w:pPr>
        <w:pStyle w:val="11"/>
        <w:tabs>
          <w:tab w:val="left" w:pos="5370"/>
        </w:tabs>
        <w:spacing w:line="240" w:lineRule="atLeast"/>
        <w:ind w:left="1082" w:leftChars="257" w:hanging="540"/>
        <w:jc w:val="right"/>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w:t>供应商(盖单位章):</w:t>
      </w:r>
      <w:r>
        <w:rPr>
          <w:rFonts w:hint="eastAsia" w:hAnsi="宋体" w:eastAsia="宋体" w:cs="宋体"/>
          <w:color w:val="auto"/>
          <w:sz w:val="24"/>
          <w:szCs w:val="24"/>
          <w:highlight w:val="none"/>
          <w:u w:val="single"/>
        </w:rPr>
        <w:tab/>
      </w:r>
    </w:p>
    <w:p w14:paraId="364170C3">
      <w:pPr>
        <w:pStyle w:val="11"/>
        <w:spacing w:line="240" w:lineRule="atLeast"/>
        <w:ind w:left="1263" w:leftChars="599" w:firstLine="103" w:firstLineChars="43"/>
        <w:rPr>
          <w:rFonts w:hint="eastAsia" w:hAnsi="宋体" w:eastAsia="宋体" w:cs="宋体"/>
          <w:color w:val="auto"/>
          <w:sz w:val="24"/>
          <w:szCs w:val="24"/>
          <w:highlight w:val="none"/>
        </w:rPr>
      </w:pPr>
    </w:p>
    <w:p w14:paraId="078FB558">
      <w:pPr>
        <w:pStyle w:val="11"/>
        <w:tabs>
          <w:tab w:val="left" w:pos="5580"/>
        </w:tabs>
        <w:spacing w:line="240" w:lineRule="atLeast"/>
        <w:ind w:firstLine="2169" w:firstLineChars="900"/>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法定代表人或其委托代理人（签字或盖章）:</w:t>
      </w:r>
      <w:r>
        <w:rPr>
          <w:rFonts w:hint="eastAsia" w:hAnsi="宋体" w:eastAsia="宋体" w:cs="宋体"/>
          <w:color w:val="auto"/>
          <w:sz w:val="24"/>
          <w:szCs w:val="24"/>
          <w:highlight w:val="none"/>
          <w:u w:val="single"/>
          <w:lang w:eastAsia="zh-CN"/>
        </w:rPr>
        <w:t xml:space="preserve"> </w:t>
      </w:r>
      <w:r>
        <w:rPr>
          <w:rFonts w:hint="eastAsia" w:hAnsi="宋体" w:eastAsia="宋体" w:cs="宋体"/>
          <w:color w:val="auto"/>
          <w:sz w:val="24"/>
          <w:szCs w:val="24"/>
          <w:highlight w:val="none"/>
          <w:u w:val="single"/>
          <w:lang w:eastAsia="zh-CN"/>
        </w:rPr>
        <w:tab/>
      </w:r>
      <w:r>
        <w:rPr>
          <w:rFonts w:hint="eastAsia" w:hAnsi="宋体" w:eastAsia="宋体" w:cs="宋体"/>
          <w:color w:val="auto"/>
          <w:sz w:val="24"/>
          <w:szCs w:val="24"/>
          <w:highlight w:val="none"/>
          <w:u w:val="single"/>
          <w:lang w:eastAsia="zh-CN"/>
        </w:rPr>
        <w:t xml:space="preserve">          </w:t>
      </w:r>
    </w:p>
    <w:p w14:paraId="2F2CB5E7">
      <w:pPr>
        <w:rPr>
          <w:color w:val="auto"/>
          <w:highlight w:val="none"/>
          <w:lang w:eastAsia="zh-CN"/>
        </w:rPr>
      </w:pPr>
    </w:p>
    <w:p w14:paraId="7FC96D78">
      <w:pPr>
        <w:pStyle w:val="11"/>
        <w:tabs>
          <w:tab w:val="left" w:pos="5580"/>
        </w:tabs>
        <w:spacing w:line="240" w:lineRule="atLeast"/>
        <w:ind w:firstLine="2169" w:firstLineChars="900"/>
        <w:rPr>
          <w:rFonts w:hint="eastAsia" w:ascii="宋体" w:hAnsi="宋体" w:eastAsia="宋体" w:cs="宋体"/>
          <w:color w:val="auto"/>
          <w:sz w:val="24"/>
          <w:szCs w:val="24"/>
          <w:highlight w:val="none"/>
          <w:u w:val="single"/>
        </w:rPr>
      </w:pPr>
    </w:p>
    <w:p w14:paraId="79FDA5F0">
      <w:pPr>
        <w:pStyle w:val="17"/>
        <w:rPr>
          <w:rFonts w:hint="eastAsia" w:ascii="宋体" w:hAnsi="宋体" w:eastAsia="宋体" w:cs="宋体"/>
          <w:color w:val="auto"/>
          <w:sz w:val="24"/>
          <w:szCs w:val="24"/>
          <w:highlight w:val="none"/>
          <w:u w:val="single"/>
        </w:rPr>
      </w:pPr>
    </w:p>
    <w:p w14:paraId="7D3D129E">
      <w:pPr>
        <w:rPr>
          <w:rFonts w:hint="eastAsia" w:ascii="宋体" w:hAnsi="宋体" w:eastAsia="宋体" w:cs="宋体"/>
          <w:color w:val="auto"/>
          <w:sz w:val="24"/>
          <w:szCs w:val="24"/>
          <w:highlight w:val="none"/>
          <w:u w:val="single"/>
        </w:rPr>
      </w:pPr>
    </w:p>
    <w:p w14:paraId="600FEFFD">
      <w:pPr>
        <w:rPr>
          <w:rFonts w:hint="eastAsia" w:ascii="宋体" w:hAnsi="宋体" w:eastAsia="宋体" w:cs="宋体"/>
          <w:color w:val="auto"/>
          <w:sz w:val="24"/>
          <w:szCs w:val="24"/>
          <w:highlight w:val="none"/>
          <w:u w:val="single"/>
        </w:rPr>
      </w:pPr>
    </w:p>
    <w:p w14:paraId="1FA0F78C">
      <w:pPr>
        <w:pStyle w:val="11"/>
        <w:tabs>
          <w:tab w:val="left" w:pos="5580"/>
        </w:tabs>
        <w:spacing w:line="240" w:lineRule="atLeast"/>
        <w:ind w:firstLine="2169" w:firstLineChars="900"/>
        <w:rPr>
          <w:rFonts w:hint="eastAsia" w:ascii="宋体" w:hAnsi="宋体" w:eastAsia="宋体" w:cs="宋体"/>
          <w:color w:val="auto"/>
          <w:sz w:val="24"/>
          <w:szCs w:val="24"/>
          <w:highlight w:val="none"/>
          <w:u w:val="single"/>
        </w:rPr>
      </w:pPr>
    </w:p>
    <w:p w14:paraId="537459A7">
      <w:pPr>
        <w:bidi w:val="0"/>
        <w:rPr>
          <w:rFonts w:hint="eastAsia"/>
          <w:color w:val="auto"/>
          <w:highlight w:val="none"/>
          <w:lang w:val="en-US" w:eastAsia="zh-CN"/>
        </w:rPr>
      </w:pPr>
    </w:p>
    <w:p w14:paraId="0B30292A">
      <w:pPr>
        <w:bidi w:val="0"/>
        <w:rPr>
          <w:rFonts w:hint="eastAsia"/>
          <w:color w:val="auto"/>
          <w:highlight w:val="none"/>
          <w:lang w:val="en-US" w:eastAsia="zh-CN"/>
        </w:rPr>
      </w:pPr>
    </w:p>
    <w:p w14:paraId="64A3C9D7">
      <w:pPr>
        <w:pStyle w:val="9"/>
        <w:tabs>
          <w:tab w:val="left" w:pos="567"/>
        </w:tabs>
        <w:rPr>
          <w:rFonts w:hint="eastAsia"/>
          <w:color w:val="auto"/>
          <w:highlight w:val="none"/>
          <w:lang w:val="en-US" w:eastAsia="zh-CN"/>
        </w:rPr>
      </w:pPr>
    </w:p>
    <w:p w14:paraId="0FF72910">
      <w:pPr>
        <w:pStyle w:val="9"/>
        <w:tabs>
          <w:tab w:val="left" w:pos="567"/>
        </w:tabs>
        <w:rPr>
          <w:rFonts w:hint="eastAsia"/>
          <w:color w:val="auto"/>
          <w:highlight w:val="none"/>
          <w:lang w:val="en-US" w:eastAsia="zh-CN"/>
        </w:rPr>
      </w:pPr>
    </w:p>
    <w:p w14:paraId="21836687">
      <w:pPr>
        <w:pStyle w:val="4"/>
        <w:spacing w:before="0" w:line="240" w:lineRule="atLeast"/>
        <w:ind w:firstLine="2810" w:firstLineChars="1000"/>
        <w:jc w:val="both"/>
        <w:outlineLvl w:val="3"/>
        <w:rPr>
          <w:rFonts w:hint="eastAsia" w:ascii="宋体" w:hAnsi="宋体" w:eastAsia="宋体" w:cs="宋体"/>
          <w:b/>
          <w:bCs/>
          <w:color w:val="auto"/>
          <w:sz w:val="28"/>
          <w:szCs w:val="28"/>
          <w:highlight w:val="none"/>
        </w:rPr>
      </w:pPr>
      <w:bookmarkStart w:id="75" w:name="_Toc7408"/>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商务条款偏离表</w:t>
      </w:r>
      <w:bookmarkEnd w:id="75"/>
    </w:p>
    <w:p w14:paraId="62B9B5C8">
      <w:pPr>
        <w:pStyle w:val="11"/>
        <w:spacing w:line="240" w:lineRule="atLeast"/>
        <w:ind w:left="1082" w:leftChars="257" w:hanging="540"/>
        <w:rPr>
          <w:rFonts w:hint="eastAsia" w:ascii="宋体" w:hAnsi="宋体" w:eastAsia="宋体" w:cs="宋体"/>
          <w:color w:val="auto"/>
          <w:sz w:val="24"/>
          <w:szCs w:val="24"/>
          <w:highlight w:val="none"/>
        </w:rPr>
      </w:pPr>
    </w:p>
    <w:p w14:paraId="7923F00D">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2B85AF40">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color w:val="auto"/>
          <w:highlight w:val="none"/>
        </w:rPr>
      </w:pPr>
      <w:r>
        <w:rPr>
          <w:rFonts w:hint="eastAsia" w:ascii="宋体" w:hAnsi="宋体" w:eastAsia="宋体"/>
          <w:b/>
          <w:color w:val="auto"/>
          <w:sz w:val="24"/>
          <w:highlight w:val="none"/>
          <w:lang w:val="en-US" w:eastAsia="zh-CN"/>
        </w:rPr>
        <w:t xml:space="preserve">   </w:t>
      </w:r>
      <w:r>
        <w:rPr>
          <w:rFonts w:hint="eastAsia" w:ascii="宋体" w:hAnsi="宋体" w:eastAsia="宋体"/>
          <w:b w:val="0"/>
          <w:bCs/>
          <w:color w:val="auto"/>
          <w:sz w:val="24"/>
          <w:highlight w:val="none"/>
          <w:lang w:val="en-US" w:eastAsia="zh-CN"/>
        </w:rPr>
        <w:t>包 号</w:t>
      </w:r>
      <w:r>
        <w:rPr>
          <w:rFonts w:hint="eastAsia" w:ascii="宋体" w:hAnsi="宋体" w:eastAsia="宋体"/>
          <w:b/>
          <w:color w:val="auto"/>
          <w:sz w:val="24"/>
          <w:highlight w:val="none"/>
          <w:lang w:val="en-US" w:eastAsia="zh-CN"/>
        </w:rPr>
        <w:t>：</w:t>
      </w:r>
      <w:r>
        <w:rPr>
          <w:rFonts w:hint="eastAsia" w:ascii="宋体" w:hAnsi="宋体" w:eastAsia="宋体" w:cs="宋体"/>
          <w:color w:val="auto"/>
          <w:sz w:val="24"/>
          <w:szCs w:val="24"/>
          <w:highlight w:val="none"/>
        </w:rPr>
        <w:t xml:space="preserve">            </w:t>
      </w:r>
    </w:p>
    <w:tbl>
      <w:tblPr>
        <w:tblStyle w:val="19"/>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378"/>
        <w:gridCol w:w="2429"/>
        <w:gridCol w:w="1326"/>
        <w:gridCol w:w="1133"/>
      </w:tblGrid>
      <w:tr w14:paraId="4205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B9FEBAB">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78" w:type="dxa"/>
            <w:noWrap w:val="0"/>
            <w:vAlign w:val="top"/>
          </w:tcPr>
          <w:p w14:paraId="3B8807D9">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的商务条款</w:t>
            </w:r>
          </w:p>
        </w:tc>
        <w:tc>
          <w:tcPr>
            <w:tcW w:w="2429" w:type="dxa"/>
            <w:noWrap w:val="0"/>
            <w:vAlign w:val="top"/>
          </w:tcPr>
          <w:p w14:paraId="16A0D36A">
            <w:pPr>
              <w:pStyle w:val="11"/>
              <w:keepNext w:val="0"/>
              <w:keepLines w:val="0"/>
              <w:suppressLineNumbers w:val="0"/>
              <w:spacing w:beforeAutospacing="0" w:afterAutospacing="0" w:line="240" w:lineRule="atLeas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的商务条款</w:t>
            </w:r>
          </w:p>
        </w:tc>
        <w:tc>
          <w:tcPr>
            <w:tcW w:w="1326" w:type="dxa"/>
            <w:noWrap w:val="0"/>
            <w:vAlign w:val="top"/>
          </w:tcPr>
          <w:p w14:paraId="30041410">
            <w:pPr>
              <w:pStyle w:val="11"/>
              <w:keepNext w:val="0"/>
              <w:keepLines w:val="0"/>
              <w:suppressLineNumbers w:val="0"/>
              <w:spacing w:beforeAutospacing="0" w:afterAutospacing="0" w:line="240" w:lineRule="atLeast"/>
              <w:jc w:val="center"/>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有无偏离</w:t>
            </w:r>
          </w:p>
        </w:tc>
        <w:tc>
          <w:tcPr>
            <w:tcW w:w="1133" w:type="dxa"/>
            <w:noWrap w:val="0"/>
            <w:vAlign w:val="top"/>
          </w:tcPr>
          <w:p w14:paraId="34F68762">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0CC3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29F91B6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22D73FD4">
            <w:pPr>
              <w:pStyle w:val="11"/>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highlight w:val="none"/>
              </w:rPr>
            </w:pPr>
          </w:p>
        </w:tc>
        <w:tc>
          <w:tcPr>
            <w:tcW w:w="2429" w:type="dxa"/>
            <w:noWrap w:val="0"/>
            <w:vAlign w:val="top"/>
          </w:tcPr>
          <w:p w14:paraId="1FDCBF5C">
            <w:pPr>
              <w:pStyle w:val="11"/>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highlight w:val="none"/>
              </w:rPr>
            </w:pPr>
          </w:p>
        </w:tc>
        <w:tc>
          <w:tcPr>
            <w:tcW w:w="1326" w:type="dxa"/>
            <w:noWrap w:val="0"/>
            <w:vAlign w:val="top"/>
          </w:tcPr>
          <w:p w14:paraId="6AF2AFD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73022CA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44B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5C668D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5F59BF6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49D23C4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6075F04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24F2BB8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1633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B628AA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68CFB06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3303101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42493CA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72CDFB7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438E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4E63B1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29B4A37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3243E6D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05B3A76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0E8FB62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7390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0BC190E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35684B0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397F650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2AB07A5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4771096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4842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A25D0A0">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54226E8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5BBA345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03BDE75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69BB852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599F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C71E03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3AD84ED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26A9F0B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6FD621CC">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7BF68E7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7A7D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47A2E6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31EF5E3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6BD5906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5FB8BF8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600C08D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371C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1443EA0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47A0D69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4CD7EC4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5DB1829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38CF826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4440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9318E0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0ECEED1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51D9A9B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41C1730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1BEEA99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76A0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75E4041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3278A6D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3CC8D90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77D46FE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6723C9D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44F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555F997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454F4F7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35D6FBA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552F24A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46BDFA0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740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6D362B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2B11869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1ED3678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3013953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4A24663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140E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CAB8D1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6E3F391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4EFD02D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18AAFBE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3D81C2F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5A3E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11314D4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7104833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575DDCA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1F8BFF1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0E71EDF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148A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1006" w:type="dxa"/>
            <w:noWrap w:val="0"/>
            <w:vAlign w:val="top"/>
          </w:tcPr>
          <w:p w14:paraId="33A27A6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7FAB195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2E272EF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7380657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3A0E6AB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r w14:paraId="602D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A10574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378" w:type="dxa"/>
            <w:noWrap w:val="0"/>
            <w:vAlign w:val="top"/>
          </w:tcPr>
          <w:p w14:paraId="30AB3F0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2429" w:type="dxa"/>
            <w:noWrap w:val="0"/>
            <w:vAlign w:val="top"/>
          </w:tcPr>
          <w:p w14:paraId="7D8AC6EC">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326" w:type="dxa"/>
            <w:noWrap w:val="0"/>
            <w:vAlign w:val="top"/>
          </w:tcPr>
          <w:p w14:paraId="699C468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c>
          <w:tcPr>
            <w:tcW w:w="1133" w:type="dxa"/>
            <w:noWrap w:val="0"/>
            <w:vAlign w:val="top"/>
          </w:tcPr>
          <w:p w14:paraId="76CFEA8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highlight w:val="none"/>
              </w:rPr>
            </w:pPr>
          </w:p>
        </w:tc>
      </w:tr>
    </w:tbl>
    <w:p w14:paraId="62CBB2D0">
      <w:pPr>
        <w:pStyle w:val="11"/>
        <w:tabs>
          <w:tab w:val="left" w:pos="5370"/>
        </w:tabs>
        <w:spacing w:line="240" w:lineRule="atLeast"/>
        <w:ind w:left="1082" w:leftChars="257" w:hanging="540"/>
        <w:rPr>
          <w:rFonts w:hint="eastAsia" w:ascii="宋体" w:hAnsi="宋体" w:eastAsia="宋体" w:cs="宋体"/>
          <w:color w:val="auto"/>
          <w:sz w:val="24"/>
          <w:szCs w:val="24"/>
          <w:highlight w:val="none"/>
          <w:lang w:eastAsia="zh-CN"/>
        </w:rPr>
      </w:pPr>
    </w:p>
    <w:p w14:paraId="541D8106">
      <w:pPr>
        <w:pStyle w:val="11"/>
        <w:tabs>
          <w:tab w:val="left" w:pos="5370"/>
        </w:tabs>
        <w:spacing w:line="240" w:lineRule="atLeast"/>
        <w:ind w:left="1082" w:leftChars="257" w:hanging="540"/>
        <w:rPr>
          <w:rFonts w:hint="eastAsia" w:ascii="宋体" w:hAnsi="宋体" w:eastAsia="宋体" w:cs="宋体"/>
          <w:color w:val="auto"/>
          <w:sz w:val="24"/>
          <w:szCs w:val="24"/>
          <w:highlight w:val="none"/>
          <w:lang w:eastAsia="zh-CN"/>
        </w:rPr>
      </w:pPr>
    </w:p>
    <w:p w14:paraId="411260B5">
      <w:pPr>
        <w:pStyle w:val="11"/>
        <w:tabs>
          <w:tab w:val="left" w:pos="5370"/>
        </w:tabs>
        <w:spacing w:line="240" w:lineRule="atLeast"/>
        <w:ind w:left="1263" w:leftChars="599" w:firstLine="4438" w:firstLineChars="18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(盖单位章):</w:t>
      </w:r>
      <w:r>
        <w:rPr>
          <w:rFonts w:hint="eastAsia" w:ascii="宋体" w:hAnsi="宋体" w:eastAsia="宋体" w:cs="宋体"/>
          <w:color w:val="auto"/>
          <w:sz w:val="24"/>
          <w:szCs w:val="24"/>
          <w:highlight w:val="none"/>
          <w:u w:val="single"/>
        </w:rPr>
        <w:tab/>
      </w:r>
    </w:p>
    <w:p w14:paraId="0C136789">
      <w:pPr>
        <w:pStyle w:val="11"/>
        <w:spacing w:line="240" w:lineRule="atLeast"/>
        <w:ind w:left="1082" w:leftChars="257" w:hanging="540"/>
        <w:rPr>
          <w:rFonts w:hint="eastAsia" w:ascii="宋体" w:hAnsi="宋体" w:eastAsia="宋体" w:cs="宋体"/>
          <w:color w:val="auto"/>
          <w:sz w:val="24"/>
          <w:szCs w:val="24"/>
          <w:highlight w:val="none"/>
        </w:rPr>
      </w:pPr>
    </w:p>
    <w:p w14:paraId="26CE87AA">
      <w:pPr>
        <w:pStyle w:val="11"/>
        <w:spacing w:line="240" w:lineRule="atLeast"/>
        <w:ind w:left="1263" w:leftChars="599" w:firstLine="344" w:firstLineChars="1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44E2884E">
      <w:pPr>
        <w:spacing w:before="181"/>
        <w:rPr>
          <w:rFonts w:hint="eastAsia" w:ascii="宋体" w:hAnsi="宋体" w:eastAsia="宋体" w:cs="宋体"/>
          <w:color w:val="auto"/>
          <w:sz w:val="28"/>
          <w:szCs w:val="28"/>
          <w:highlight w:val="none"/>
          <w:u w:val="single"/>
        </w:rPr>
      </w:pPr>
    </w:p>
    <w:p w14:paraId="38B60FD6">
      <w:pPr>
        <w:spacing w:before="181"/>
        <w:rPr>
          <w:rFonts w:hint="eastAsia" w:ascii="宋体" w:hAnsi="宋体" w:eastAsia="宋体" w:cs="宋体"/>
          <w:color w:val="auto"/>
          <w:sz w:val="28"/>
          <w:szCs w:val="28"/>
          <w:highlight w:val="none"/>
          <w:u w:val="single"/>
        </w:rPr>
      </w:pPr>
    </w:p>
    <w:p w14:paraId="6EAEDF5E">
      <w:pPr>
        <w:pStyle w:val="6"/>
        <w:rPr>
          <w:rFonts w:hint="eastAsia" w:ascii="宋体" w:hAnsi="宋体" w:eastAsia="宋体" w:cs="宋体"/>
          <w:color w:val="auto"/>
          <w:sz w:val="28"/>
          <w:szCs w:val="28"/>
          <w:highlight w:val="none"/>
          <w:u w:val="single"/>
        </w:rPr>
      </w:pPr>
    </w:p>
    <w:p w14:paraId="456348D8">
      <w:pPr>
        <w:rPr>
          <w:rFonts w:hint="eastAsia"/>
          <w:color w:val="auto"/>
          <w:highlight w:val="none"/>
        </w:rPr>
      </w:pPr>
    </w:p>
    <w:p w14:paraId="2FD90EEC">
      <w:pPr>
        <w:pStyle w:val="4"/>
        <w:spacing w:before="0" w:line="240" w:lineRule="atLeast"/>
        <w:ind w:firstLine="254" w:firstLineChars="91"/>
        <w:jc w:val="center"/>
        <w:rPr>
          <w:rFonts w:hint="eastAsia" w:ascii="宋体" w:hAnsi="宋体" w:eastAsia="宋体" w:cs="宋体"/>
          <w:b/>
          <w:bCs/>
          <w:color w:val="auto"/>
          <w:kern w:val="0"/>
          <w:sz w:val="28"/>
          <w:szCs w:val="28"/>
          <w:highlight w:val="none"/>
        </w:rPr>
      </w:pPr>
      <w:bookmarkStart w:id="76" w:name="_Toc24702"/>
      <w:bookmarkStart w:id="77" w:name="_Toc12665"/>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 xml:space="preserve">-1  </w:t>
      </w:r>
      <w:bookmarkEnd w:id="76"/>
      <w:r>
        <w:rPr>
          <w:rFonts w:hint="eastAsia" w:ascii="宋体" w:hAnsi="宋体" w:eastAsia="宋体" w:cs="宋体"/>
          <w:b/>
          <w:bCs/>
          <w:color w:val="auto"/>
          <w:sz w:val="28"/>
          <w:szCs w:val="28"/>
          <w:highlight w:val="none"/>
        </w:rPr>
        <w:t>中小企业声明函（</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w:t>
      </w:r>
      <w:bookmarkEnd w:id="77"/>
    </w:p>
    <w:p w14:paraId="7D3837E7">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pPr>
      <w:r>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t> </w:t>
      </w:r>
    </w:p>
    <w:p w14:paraId="112F746A">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pPr>
    </w:p>
    <w:p w14:paraId="623F78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highlight w:val="none"/>
          <w:u w:val="single"/>
          <w:lang w:val="en-US" w:eastAsia="zh-CN"/>
        </w:rPr>
        <w:t xml:space="preserve">   （单位名称）  </w:t>
      </w:r>
      <w:r>
        <w:rPr>
          <w:rFonts w:hint="eastAsia" w:ascii="宋体" w:hAnsi="宋体" w:eastAsia="宋体" w:cs="宋体"/>
          <w:color w:val="auto"/>
          <w:sz w:val="24"/>
          <w:szCs w:val="32"/>
          <w:highlight w:val="none"/>
          <w:lang w:val="en-US" w:eastAsia="zh-CN"/>
        </w:rPr>
        <w:t>的</w:t>
      </w:r>
      <w:r>
        <w:rPr>
          <w:rFonts w:hint="eastAsia" w:ascii="宋体" w:hAnsi="宋体" w:eastAsia="宋体" w:cs="宋体"/>
          <w:color w:val="auto"/>
          <w:sz w:val="24"/>
          <w:szCs w:val="32"/>
          <w:highlight w:val="none"/>
          <w:u w:val="single"/>
          <w:lang w:val="en-US" w:eastAsia="zh-CN"/>
        </w:rPr>
        <w:t xml:space="preserve">   （项目名称）  </w:t>
      </w:r>
      <w:r>
        <w:rPr>
          <w:rFonts w:hint="eastAsia" w:ascii="宋体" w:hAnsi="宋体" w:eastAsia="宋体" w:cs="宋体"/>
          <w:color w:val="auto"/>
          <w:sz w:val="24"/>
          <w:szCs w:val="32"/>
          <w:highlight w:val="none"/>
          <w:lang w:val="en-US" w:eastAsia="zh-CN"/>
        </w:rPr>
        <w:t>采购活动，服务全部由符合政策要求的中小企业承接。相关企业（含联合体中的中小企业、签订分包意向协议的中小企业）的具体情况如下：</w:t>
      </w:r>
    </w:p>
    <w:p w14:paraId="18B914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p>
    <w:p w14:paraId="0E1ECC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w:t>
      </w:r>
      <w:r>
        <w:rPr>
          <w:rFonts w:ascii="宋体" w:hAnsi="宋体" w:eastAsia="宋体" w:cs="宋体"/>
          <w:color w:val="auto"/>
          <w:sz w:val="24"/>
          <w:szCs w:val="24"/>
          <w:highlight w:val="none"/>
        </w:rPr>
        <w:t>承建</w:t>
      </w:r>
      <w:r>
        <w:rPr>
          <w:rFonts w:hint="eastAsia" w:ascii="宋体" w:hAnsi="宋体" w:eastAsia="宋体" w:cs="宋体"/>
          <w:color w:val="auto"/>
          <w:sz w:val="24"/>
          <w:szCs w:val="24"/>
          <w:highlight w:val="none"/>
        </w:rPr>
        <w:t>（承接）</w:t>
      </w:r>
      <w:r>
        <w:rPr>
          <w:rFonts w:ascii="宋体" w:hAnsi="宋体" w:eastAsia="宋体" w:cs="宋体"/>
          <w:color w:val="auto"/>
          <w:sz w:val="24"/>
          <w:szCs w:val="24"/>
          <w:highlight w:val="none"/>
        </w:rPr>
        <w:t>企业</w:t>
      </w:r>
      <w:r>
        <w:rPr>
          <w:rFonts w:hint="eastAsia" w:ascii="宋体" w:hAnsi="宋体" w:eastAsia="宋体" w:cs="宋体"/>
          <w:color w:val="auto"/>
          <w:sz w:val="24"/>
          <w:szCs w:val="32"/>
          <w:highlight w:val="none"/>
          <w:lang w:val="en-US" w:eastAsia="zh-CN"/>
        </w:rPr>
        <w:t>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03414B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p>
    <w:p w14:paraId="1416EB3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w:t>
      </w:r>
      <w:r>
        <w:rPr>
          <w:rFonts w:ascii="宋体" w:hAnsi="宋体" w:eastAsia="宋体" w:cs="宋体"/>
          <w:color w:val="auto"/>
          <w:sz w:val="24"/>
          <w:szCs w:val="24"/>
          <w:highlight w:val="none"/>
        </w:rPr>
        <w:t>承建</w:t>
      </w:r>
      <w:r>
        <w:rPr>
          <w:rFonts w:hint="eastAsia" w:ascii="宋体" w:hAnsi="宋体" w:eastAsia="宋体" w:cs="宋体"/>
          <w:color w:val="auto"/>
          <w:sz w:val="24"/>
          <w:szCs w:val="24"/>
          <w:highlight w:val="none"/>
        </w:rPr>
        <w:t>（承接）</w:t>
      </w:r>
      <w:r>
        <w:rPr>
          <w:rFonts w:ascii="宋体" w:hAnsi="宋体" w:eastAsia="宋体" w:cs="宋体"/>
          <w:color w:val="auto"/>
          <w:sz w:val="24"/>
          <w:szCs w:val="24"/>
          <w:highlight w:val="none"/>
        </w:rPr>
        <w:t>企业</w:t>
      </w:r>
      <w:r>
        <w:rPr>
          <w:rFonts w:hint="eastAsia" w:ascii="宋体" w:hAnsi="宋体" w:eastAsia="宋体" w:cs="宋体"/>
          <w:color w:val="auto"/>
          <w:sz w:val="24"/>
          <w:szCs w:val="32"/>
          <w:highlight w:val="none"/>
          <w:lang w:val="en-US" w:eastAsia="zh-CN"/>
        </w:rPr>
        <w:t>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0E49E2FD">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w:t>
      </w:r>
    </w:p>
    <w:p w14:paraId="7CC30C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以上企业，不属于大企业的分支机构，不存在控股股东为大企业的情形，也不存在与大企业的负责人为同一人的情形。</w:t>
      </w:r>
    </w:p>
    <w:p w14:paraId="062BAE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本企业对上述声明内容的真实性负责。如有虚假，将依法承担相应责任。</w:t>
      </w:r>
    </w:p>
    <w:p w14:paraId="7ECD1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lang w:val="en-US" w:eastAsia="zh-CN"/>
        </w:rPr>
      </w:pPr>
    </w:p>
    <w:p w14:paraId="443B1D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                                      企业名称（盖章）： </w:t>
      </w:r>
    </w:p>
    <w:p w14:paraId="4342DC2D">
      <w:pPr>
        <w:pStyle w:val="18"/>
        <w:rPr>
          <w:rFonts w:hint="default"/>
          <w:color w:val="auto"/>
          <w:highlight w:val="none"/>
          <w:lang w:val="en-US" w:eastAsia="zh-CN"/>
        </w:rPr>
      </w:pPr>
      <w:r>
        <w:rPr>
          <w:rFonts w:hint="eastAsia" w:ascii="宋体" w:hAnsi="宋体" w:eastAsia="宋体" w:cs="宋体"/>
          <w:color w:val="auto"/>
          <w:sz w:val="24"/>
          <w:szCs w:val="32"/>
          <w:highlight w:val="none"/>
          <w:lang w:val="en-US" w:eastAsia="zh-CN"/>
        </w:rPr>
        <w:t xml:space="preserve"> </w:t>
      </w:r>
    </w:p>
    <w:p w14:paraId="267FFBAE">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auto"/>
          <w:spacing w:val="0"/>
          <w:sz w:val="24"/>
          <w:szCs w:val="24"/>
          <w:highlight w:val="none"/>
        </w:rPr>
      </w:pPr>
      <w:r>
        <w:rPr>
          <w:rFonts w:hint="eastAsia" w:ascii="宋体" w:hAnsi="宋体" w:eastAsia="宋体" w:cs="宋体"/>
          <w:color w:val="auto"/>
          <w:sz w:val="24"/>
          <w:szCs w:val="32"/>
          <w:highlight w:val="none"/>
          <w:lang w:val="en-US" w:eastAsia="zh-CN"/>
        </w:rPr>
        <w:t>日期：</w:t>
      </w:r>
    </w:p>
    <w:p w14:paraId="42EFB49C">
      <w:pPr>
        <w:keepNext w:val="0"/>
        <w:keepLines w:val="0"/>
        <w:widowControl/>
        <w:suppressLineNumbers w:val="0"/>
        <w:shd w:val="clear" w:color="auto" w:fill="FFFFFF"/>
        <w:spacing w:before="100" w:beforeAutospacing="1" w:after="100" w:afterAutospacing="1" w:line="348" w:lineRule="atLeast"/>
        <w:ind w:left="0" w:right="0" w:firstLine="0"/>
        <w:jc w:val="left"/>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pPr>
      <w:r>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t> </w:t>
      </w:r>
    </w:p>
    <w:p w14:paraId="1A3172DC">
      <w:pPr>
        <w:keepNext w:val="0"/>
        <w:keepLines w:val="0"/>
        <w:widowControl/>
        <w:suppressLineNumbers w:val="0"/>
        <w:shd w:val="clear" w:color="auto" w:fill="FFFFFF"/>
        <w:spacing w:before="100" w:beforeAutospacing="1" w:after="100" w:afterAutospacing="1" w:line="348" w:lineRule="atLeast"/>
        <w:ind w:left="0" w:right="0" w:firstLine="0"/>
        <w:jc w:val="left"/>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pPr>
    </w:p>
    <w:p w14:paraId="3FC9A7B0">
      <w:pPr>
        <w:pStyle w:val="6"/>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pPr>
    </w:p>
    <w:p w14:paraId="7BED0E70">
      <w:pPr>
        <w:rPr>
          <w:rFonts w:hint="eastAsia" w:ascii="宋体" w:hAnsi="宋体" w:eastAsia="宋体" w:cs="宋体"/>
          <w:i w:val="0"/>
          <w:iCs w:val="0"/>
          <w:caps w:val="0"/>
          <w:color w:val="auto"/>
          <w:spacing w:val="0"/>
          <w:kern w:val="0"/>
          <w:sz w:val="19"/>
          <w:szCs w:val="19"/>
          <w:highlight w:val="none"/>
          <w:shd w:val="clear" w:color="auto" w:fill="FFFFFF"/>
          <w:lang w:val="en-US" w:eastAsia="zh-CN" w:bidi="ar"/>
        </w:rPr>
      </w:pPr>
    </w:p>
    <w:p w14:paraId="5044F3D2">
      <w:pPr>
        <w:pStyle w:val="6"/>
        <w:rPr>
          <w:rFonts w:hint="eastAsia"/>
          <w:color w:val="auto"/>
          <w:highlight w:val="none"/>
          <w:lang w:val="en-US" w:eastAsia="zh-CN"/>
        </w:rPr>
      </w:pPr>
    </w:p>
    <w:p w14:paraId="164C4D48">
      <w:pPr>
        <w:jc w:val="left"/>
        <w:rPr>
          <w:rFonts w:hint="eastAsia" w:ascii="宋体" w:hAnsi="宋体" w:eastAsia="宋体" w:cs="宋体"/>
          <w:b/>
          <w:bCs/>
          <w:color w:val="auto"/>
          <w:kern w:val="0"/>
          <w:sz w:val="24"/>
          <w:szCs w:val="24"/>
          <w:highlight w:val="none"/>
        </w:rPr>
      </w:pPr>
      <w:bookmarkStart w:id="78" w:name="_Toc216582815"/>
      <w:bookmarkStart w:id="79" w:name="_Toc20897"/>
      <w:bookmarkStart w:id="80" w:name="_Toc10388"/>
      <w:bookmarkStart w:id="81" w:name="_Toc1881"/>
      <w:bookmarkStart w:id="82" w:name="_Toc515647818"/>
      <w:r>
        <w:rPr>
          <w:rFonts w:hint="eastAsia" w:ascii="宋体" w:hAnsi="宋体" w:eastAsia="宋体" w:cs="宋体"/>
          <w:b/>
          <w:bCs/>
          <w:color w:val="auto"/>
          <w:kern w:val="0"/>
          <w:sz w:val="24"/>
          <w:szCs w:val="24"/>
          <w:highlight w:val="none"/>
        </w:rPr>
        <w:t>附：</w:t>
      </w:r>
    </w:p>
    <w:p w14:paraId="4CB4DD46">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0061E2C9">
      <w:pPr>
        <w:pStyle w:val="9"/>
        <w:tabs>
          <w:tab w:val="left" w:pos="567"/>
        </w:tabs>
        <w:rPr>
          <w:rFonts w:hint="eastAsia"/>
          <w:color w:val="auto"/>
          <w:highlight w:val="none"/>
        </w:rPr>
      </w:pPr>
    </w:p>
    <w:tbl>
      <w:tblPr>
        <w:tblStyle w:val="19"/>
        <w:tblW w:w="9378" w:type="dxa"/>
        <w:jc w:val="center"/>
        <w:tblLayout w:type="fixed"/>
        <w:tblCellMar>
          <w:top w:w="0" w:type="dxa"/>
          <w:left w:w="108" w:type="dxa"/>
          <w:bottom w:w="0" w:type="dxa"/>
          <w:right w:w="108" w:type="dxa"/>
        </w:tblCellMar>
      </w:tblPr>
      <w:tblGrid>
        <w:gridCol w:w="1363"/>
        <w:gridCol w:w="1867"/>
        <w:gridCol w:w="1466"/>
        <w:gridCol w:w="1903"/>
        <w:gridCol w:w="1692"/>
        <w:gridCol w:w="1087"/>
      </w:tblGrid>
      <w:tr w14:paraId="020D45C7">
        <w:tblPrEx>
          <w:tblCellMar>
            <w:top w:w="0" w:type="dxa"/>
            <w:left w:w="108" w:type="dxa"/>
            <w:bottom w:w="0" w:type="dxa"/>
            <w:right w:w="108" w:type="dxa"/>
          </w:tblCellMar>
        </w:tblPrEx>
        <w:trPr>
          <w:trHeight w:val="451"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44049BD8">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867" w:type="dxa"/>
            <w:tcBorders>
              <w:top w:val="single" w:color="auto" w:sz="4" w:space="0"/>
              <w:left w:val="nil"/>
              <w:bottom w:val="single" w:color="auto" w:sz="4" w:space="0"/>
              <w:right w:val="single" w:color="auto" w:sz="4" w:space="0"/>
            </w:tcBorders>
            <w:noWrap w:val="0"/>
            <w:vAlign w:val="center"/>
          </w:tcPr>
          <w:p w14:paraId="68043D7D">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0CC6EB4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1572CC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061F934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3CA15AA9">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3CBCE36D">
        <w:tblPrEx>
          <w:tblCellMar>
            <w:top w:w="0" w:type="dxa"/>
            <w:left w:w="108" w:type="dxa"/>
            <w:bottom w:w="0" w:type="dxa"/>
            <w:right w:w="108" w:type="dxa"/>
          </w:tblCellMar>
        </w:tblPrEx>
        <w:trPr>
          <w:trHeight w:val="199" w:hRule="atLeast"/>
          <w:jc w:val="center"/>
        </w:trPr>
        <w:tc>
          <w:tcPr>
            <w:tcW w:w="1363" w:type="dxa"/>
            <w:tcBorders>
              <w:top w:val="nil"/>
              <w:left w:val="single" w:color="auto" w:sz="4" w:space="0"/>
              <w:bottom w:val="single" w:color="auto" w:sz="4" w:space="0"/>
              <w:right w:val="single" w:color="auto" w:sz="4" w:space="0"/>
            </w:tcBorders>
            <w:noWrap w:val="0"/>
            <w:vAlign w:val="center"/>
          </w:tcPr>
          <w:p w14:paraId="5ADA2AA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867" w:type="dxa"/>
            <w:tcBorders>
              <w:top w:val="nil"/>
              <w:left w:val="nil"/>
              <w:bottom w:val="single" w:color="auto" w:sz="4" w:space="0"/>
              <w:right w:val="single" w:color="auto" w:sz="4" w:space="0"/>
            </w:tcBorders>
            <w:noWrap w:val="0"/>
            <w:vAlign w:val="center"/>
          </w:tcPr>
          <w:p w14:paraId="0F1CF03A">
            <w:pPr>
              <w:widowControl/>
              <w:snapToGrid w:val="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FF1D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2DD7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271F5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65CAD3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D20827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746F543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867" w:type="dxa"/>
            <w:tcBorders>
              <w:top w:val="nil"/>
              <w:left w:val="nil"/>
              <w:bottom w:val="single" w:color="auto" w:sz="4" w:space="0"/>
              <w:right w:val="single" w:color="auto" w:sz="4" w:space="0"/>
            </w:tcBorders>
            <w:noWrap w:val="0"/>
            <w:vAlign w:val="center"/>
          </w:tcPr>
          <w:p w14:paraId="47A1EA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44D70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87B37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3C1B9E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4F635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2043A1A">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375439D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6D03D9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3224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890D6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69223A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57F108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88BAAF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1CD5CCF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867" w:type="dxa"/>
            <w:tcBorders>
              <w:top w:val="nil"/>
              <w:left w:val="nil"/>
              <w:bottom w:val="single" w:color="auto" w:sz="4" w:space="0"/>
              <w:right w:val="single" w:color="auto" w:sz="4" w:space="0"/>
            </w:tcBorders>
            <w:noWrap w:val="0"/>
            <w:vAlign w:val="center"/>
          </w:tcPr>
          <w:p w14:paraId="1A60B7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9EC3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F6DB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485AA1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6B74BC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A8EA8E8">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18F7FE4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F7D27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F88D3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8F22E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227BD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ABD16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6CFF99F1">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33F1E17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867" w:type="dxa"/>
            <w:tcBorders>
              <w:top w:val="nil"/>
              <w:left w:val="nil"/>
              <w:bottom w:val="single" w:color="auto" w:sz="4" w:space="0"/>
              <w:right w:val="single" w:color="auto" w:sz="4" w:space="0"/>
            </w:tcBorders>
            <w:noWrap w:val="0"/>
            <w:vAlign w:val="center"/>
          </w:tcPr>
          <w:p w14:paraId="1401493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84C4D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5EE4D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7BA60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601E3A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1815254F">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C60E37E">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3AA5AF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753F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F0BD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7A238B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212CFE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77C2FFCD">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3538A2E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867" w:type="dxa"/>
            <w:tcBorders>
              <w:top w:val="nil"/>
              <w:left w:val="nil"/>
              <w:bottom w:val="single" w:color="auto" w:sz="4" w:space="0"/>
              <w:right w:val="single" w:color="auto" w:sz="4" w:space="0"/>
            </w:tcBorders>
            <w:noWrap w:val="0"/>
            <w:vAlign w:val="center"/>
          </w:tcPr>
          <w:p w14:paraId="5B775B0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FB1B9F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312AF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4CAA94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099C51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E1EADF9">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4BD7FE4C">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2FC15A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DA3015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3B9C3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549DF0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3BB955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0EB5C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50291D4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867" w:type="dxa"/>
            <w:tcBorders>
              <w:top w:val="nil"/>
              <w:left w:val="nil"/>
              <w:bottom w:val="single" w:color="auto" w:sz="4" w:space="0"/>
              <w:right w:val="single" w:color="auto" w:sz="4" w:space="0"/>
            </w:tcBorders>
            <w:noWrap w:val="0"/>
            <w:vAlign w:val="center"/>
          </w:tcPr>
          <w:p w14:paraId="49AD39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64E57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5683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29ECC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2A9AA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60A0006">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7F9CC950">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7C1F7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9F5298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95D95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69370B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E635D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7736D05A">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2D8CF44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867" w:type="dxa"/>
            <w:tcBorders>
              <w:top w:val="nil"/>
              <w:left w:val="nil"/>
              <w:bottom w:val="single" w:color="auto" w:sz="4" w:space="0"/>
              <w:right w:val="single" w:color="auto" w:sz="4" w:space="0"/>
            </w:tcBorders>
            <w:noWrap w:val="0"/>
            <w:vAlign w:val="center"/>
          </w:tcPr>
          <w:p w14:paraId="1633E3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6710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ACE0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1DF816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74C324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391CF567">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2301911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92580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7C9A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2601F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76FCA1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6242199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7AAAC3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08E2341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867" w:type="dxa"/>
            <w:tcBorders>
              <w:top w:val="nil"/>
              <w:left w:val="nil"/>
              <w:bottom w:val="single" w:color="auto" w:sz="4" w:space="0"/>
              <w:right w:val="single" w:color="auto" w:sz="4" w:space="0"/>
            </w:tcBorders>
            <w:noWrap w:val="0"/>
            <w:vAlign w:val="center"/>
          </w:tcPr>
          <w:p w14:paraId="7F9A195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DD3E6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33495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324DAAA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5D1B55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611570">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3AA0627A">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6B5222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06741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7F652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23296E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BF0B6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65AFB0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7B70B8F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867" w:type="dxa"/>
            <w:tcBorders>
              <w:top w:val="nil"/>
              <w:left w:val="nil"/>
              <w:bottom w:val="single" w:color="auto" w:sz="4" w:space="0"/>
              <w:right w:val="single" w:color="auto" w:sz="4" w:space="0"/>
            </w:tcBorders>
            <w:noWrap w:val="0"/>
            <w:vAlign w:val="center"/>
          </w:tcPr>
          <w:p w14:paraId="27F0989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FDB35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5BB1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68E45D6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A152E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E9DE5D3">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5910063A">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56535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F9D97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D2A189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0B1E9B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2300BC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775E97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4D234DF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867" w:type="dxa"/>
            <w:tcBorders>
              <w:top w:val="nil"/>
              <w:left w:val="nil"/>
              <w:bottom w:val="single" w:color="auto" w:sz="4" w:space="0"/>
              <w:right w:val="single" w:color="auto" w:sz="4" w:space="0"/>
            </w:tcBorders>
            <w:noWrap w:val="0"/>
            <w:vAlign w:val="center"/>
          </w:tcPr>
          <w:p w14:paraId="0A9AF7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50B8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71AF7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22A6F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31AE11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171BE6C">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772AA70">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B6F99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66910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E480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41FC976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90F51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81638F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6A59C82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867" w:type="dxa"/>
            <w:tcBorders>
              <w:top w:val="nil"/>
              <w:left w:val="nil"/>
              <w:bottom w:val="single" w:color="auto" w:sz="4" w:space="0"/>
              <w:right w:val="single" w:color="auto" w:sz="4" w:space="0"/>
            </w:tcBorders>
            <w:noWrap w:val="0"/>
            <w:vAlign w:val="center"/>
          </w:tcPr>
          <w:p w14:paraId="4E245C1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4B242B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ADB8AA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2FD97D0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9F9413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3A11CBC0">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577EB793">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E47EFE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408F44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B8191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4E013AF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4BC58E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6ADD08D2">
        <w:tblPrEx>
          <w:tblCellMar>
            <w:top w:w="0" w:type="dxa"/>
            <w:left w:w="108" w:type="dxa"/>
            <w:bottom w:w="0" w:type="dxa"/>
            <w:right w:w="108" w:type="dxa"/>
          </w:tblCellMar>
        </w:tblPrEx>
        <w:trPr>
          <w:trHeight w:val="394"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63183E5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867" w:type="dxa"/>
            <w:tcBorders>
              <w:top w:val="nil"/>
              <w:left w:val="nil"/>
              <w:bottom w:val="single" w:color="auto" w:sz="4" w:space="0"/>
              <w:right w:val="single" w:color="auto" w:sz="4" w:space="0"/>
            </w:tcBorders>
            <w:noWrap w:val="0"/>
            <w:vAlign w:val="center"/>
          </w:tcPr>
          <w:p w14:paraId="404E72B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804C03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EC4E4D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655CC9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92627B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5D068DD4">
        <w:tblPrEx>
          <w:tblCellMar>
            <w:top w:w="0" w:type="dxa"/>
            <w:left w:w="108" w:type="dxa"/>
            <w:bottom w:w="0" w:type="dxa"/>
            <w:right w:w="108" w:type="dxa"/>
          </w:tblCellMar>
        </w:tblPrEx>
        <w:trPr>
          <w:trHeight w:val="377"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A26001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349A4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E981D2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0CA5D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3D916F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15812C9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0624D965">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241FB80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867" w:type="dxa"/>
            <w:tcBorders>
              <w:top w:val="nil"/>
              <w:left w:val="nil"/>
              <w:bottom w:val="single" w:color="auto" w:sz="4" w:space="0"/>
              <w:right w:val="single" w:color="auto" w:sz="4" w:space="0"/>
            </w:tcBorders>
            <w:noWrap w:val="0"/>
            <w:vAlign w:val="center"/>
          </w:tcPr>
          <w:p w14:paraId="5FDCD2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AFA4A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0ADB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32ABF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230608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CCF15B4">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1130A2F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4DB8D2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794E2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BD84E0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8B10C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7A0AC2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0F7BDAA9">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5FE879C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867" w:type="dxa"/>
            <w:tcBorders>
              <w:top w:val="nil"/>
              <w:left w:val="nil"/>
              <w:bottom w:val="single" w:color="auto" w:sz="4" w:space="0"/>
              <w:right w:val="single" w:color="auto" w:sz="4" w:space="0"/>
            </w:tcBorders>
            <w:noWrap w:val="0"/>
            <w:vAlign w:val="center"/>
          </w:tcPr>
          <w:p w14:paraId="1AF297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E95C2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DF50D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B2CB2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65EBC0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AB29F66">
        <w:tblPrEx>
          <w:tblCellMar>
            <w:top w:w="0" w:type="dxa"/>
            <w:left w:w="108" w:type="dxa"/>
            <w:bottom w:w="0" w:type="dxa"/>
            <w:right w:w="108" w:type="dxa"/>
          </w:tblCellMar>
        </w:tblPrEx>
        <w:trPr>
          <w:trHeight w:val="90"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97ED4A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AB46F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B5ADB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FA3C5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7B98BD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1A22AD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7104CDD">
        <w:tblPrEx>
          <w:tblCellMar>
            <w:top w:w="0" w:type="dxa"/>
            <w:left w:w="108" w:type="dxa"/>
            <w:bottom w:w="0" w:type="dxa"/>
            <w:right w:w="108" w:type="dxa"/>
          </w:tblCellMar>
        </w:tblPrEx>
        <w:trPr>
          <w:trHeight w:val="242"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03D8C86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867" w:type="dxa"/>
            <w:tcBorders>
              <w:top w:val="nil"/>
              <w:left w:val="nil"/>
              <w:bottom w:val="single" w:color="auto" w:sz="4" w:space="0"/>
              <w:right w:val="single" w:color="auto" w:sz="4" w:space="0"/>
            </w:tcBorders>
            <w:noWrap w:val="0"/>
            <w:vAlign w:val="center"/>
          </w:tcPr>
          <w:p w14:paraId="1E8AE6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6D0D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77C52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E91B7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A9CAD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D1C703A">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4EE37654">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396D80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BBDC05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C316E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542619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45184C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8CA545B">
        <w:tblPrEx>
          <w:tblCellMar>
            <w:top w:w="0" w:type="dxa"/>
            <w:left w:w="108" w:type="dxa"/>
            <w:bottom w:w="0" w:type="dxa"/>
            <w:right w:w="108" w:type="dxa"/>
          </w:tblCellMar>
        </w:tblPrEx>
        <w:trPr>
          <w:trHeight w:val="199" w:hRule="atLeast"/>
          <w:jc w:val="center"/>
        </w:trPr>
        <w:tc>
          <w:tcPr>
            <w:tcW w:w="1363" w:type="dxa"/>
            <w:tcBorders>
              <w:top w:val="nil"/>
              <w:left w:val="single" w:color="auto" w:sz="4" w:space="0"/>
              <w:bottom w:val="single" w:color="auto" w:sz="4" w:space="0"/>
              <w:right w:val="single" w:color="auto" w:sz="4" w:space="0"/>
            </w:tcBorders>
            <w:noWrap w:val="0"/>
            <w:vAlign w:val="center"/>
          </w:tcPr>
          <w:p w14:paraId="220B111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867" w:type="dxa"/>
            <w:tcBorders>
              <w:top w:val="nil"/>
              <w:left w:val="nil"/>
              <w:bottom w:val="single" w:color="auto" w:sz="4" w:space="0"/>
              <w:right w:val="single" w:color="auto" w:sz="4" w:space="0"/>
            </w:tcBorders>
            <w:noWrap w:val="0"/>
            <w:vAlign w:val="center"/>
          </w:tcPr>
          <w:p w14:paraId="300C9E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800146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44360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B15E5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EAE85D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5B80F0BC">
      <w:pPr>
        <w:spacing w:line="360" w:lineRule="auto"/>
        <w:rPr>
          <w:rFonts w:hint="eastAsia" w:ascii="宋体" w:hAnsi="宋体" w:eastAsia="宋体" w:cs="宋体"/>
          <w:color w:val="auto"/>
          <w:sz w:val="24"/>
          <w:szCs w:val="24"/>
          <w:highlight w:val="none"/>
        </w:rPr>
      </w:pPr>
    </w:p>
    <w:p w14:paraId="22805B77">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82FC635">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所称中小企业，是指在中华人民共和国境内依法设立，依据国务院批准的</w:t>
      </w:r>
    </w:p>
    <w:p w14:paraId="04F72A90">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w:t>
      </w:r>
    </w:p>
    <w:p w14:paraId="255EBB61">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275E7938">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6BEE0546">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1DD87CA">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8E4D3E1">
      <w:pPr>
        <w:snapToGrid w:val="0"/>
        <w:spacing w:line="336" w:lineRule="auto"/>
        <w:ind w:firstLine="482" w:firstLineChars="200"/>
        <w:contextualSpacing/>
        <w:jc w:val="left"/>
        <w:textAlignment w:val="center"/>
        <w:rPr>
          <w:rFonts w:hint="eastAsia"/>
          <w:color w:val="auto"/>
          <w:highlight w:val="none"/>
        </w:rPr>
        <w:sectPr>
          <w:footerReference r:id="rId24" w:type="default"/>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0E45A377">
      <w:pPr>
        <w:widowControl/>
        <w:spacing w:before="100" w:beforeAutospacing="1" w:after="100" w:afterAutospacing="1" w:line="330" w:lineRule="atLeast"/>
        <w:jc w:val="center"/>
        <w:outlineLvl w:val="3"/>
        <w:rPr>
          <w:rFonts w:hint="eastAsia" w:ascii="宋体" w:hAnsi="宋体" w:eastAsia="宋体" w:cs="宋体"/>
          <w:color w:val="auto"/>
          <w:kern w:val="0"/>
          <w:sz w:val="32"/>
          <w:szCs w:val="40"/>
          <w:highlight w:val="none"/>
          <w:lang w:val="en-US" w:eastAsia="zh-CN"/>
        </w:rPr>
      </w:pPr>
      <w:bookmarkStart w:id="83" w:name="_Toc6453"/>
      <w:r>
        <w:rPr>
          <w:rFonts w:hint="eastAsia" w:ascii="宋体" w:hAnsi="宋体" w:eastAsia="宋体" w:cs="宋体"/>
          <w:color w:val="auto"/>
          <w:kern w:val="0"/>
          <w:sz w:val="28"/>
          <w:szCs w:val="36"/>
          <w:highlight w:val="none"/>
          <w:lang w:val="en-US" w:eastAsia="zh-CN"/>
        </w:rPr>
        <w:t>5</w:t>
      </w:r>
      <w:r>
        <w:rPr>
          <w:rFonts w:hint="eastAsia" w:ascii="宋体" w:hAnsi="宋体" w:eastAsia="宋体" w:cs="宋体"/>
          <w:color w:val="auto"/>
          <w:kern w:val="0"/>
          <w:sz w:val="28"/>
          <w:szCs w:val="36"/>
          <w:highlight w:val="none"/>
        </w:rPr>
        <w:t>-2  残疾人福利性单位声明函</w:t>
      </w:r>
      <w:bookmarkEnd w:id="83"/>
    </w:p>
    <w:p w14:paraId="12D4E4A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p>
    <w:p w14:paraId="759839B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w:t>
      </w:r>
      <w:r>
        <w:rPr>
          <w:rFonts w:hint="eastAsia" w:ascii="宋体" w:hAnsi="宋体" w:eastAsia="宋体" w:cs="宋体"/>
          <w:color w:val="auto"/>
          <w:kern w:val="0"/>
          <w:sz w:val="24"/>
          <w:szCs w:val="32"/>
          <w:highlight w:val="none"/>
        </w:rPr>
        <w:t>单位的______项目采购活动提供本单位制造的货物，或者提供其他残疾人福利性单位制造的货物（不包括使用非残疾人福利性单位注册商标的货物）。</w:t>
      </w:r>
    </w:p>
    <w:p w14:paraId="01E9B2A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08703C65">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150EF617">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4AF1C3D7">
      <w:pPr>
        <w:widowControl/>
        <w:spacing w:before="100" w:beforeAutospacing="1" w:after="100" w:afterAutospacing="1" w:line="330" w:lineRule="atLeast"/>
        <w:ind w:firstLine="2400" w:firstLineChars="10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0E56A877">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6E940890">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04C132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D21BE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1EEB189F">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7BDBF53E">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42BCC191">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0164BDE9">
      <w:pPr>
        <w:pStyle w:val="36"/>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67D54B73">
      <w:pPr>
        <w:pStyle w:val="36"/>
        <w:jc w:val="center"/>
        <w:outlineLvl w:val="3"/>
        <w:rPr>
          <w:rFonts w:hint="eastAsia" w:ascii="宋体" w:hAnsi="宋体" w:eastAsia="宋体" w:cs="宋体"/>
          <w:color w:val="auto"/>
          <w:kern w:val="0"/>
          <w:sz w:val="32"/>
          <w:szCs w:val="40"/>
          <w:highlight w:val="none"/>
          <w:lang w:val="en-US" w:eastAsia="zh-CN" w:bidi="ar-SA"/>
        </w:rPr>
      </w:pPr>
      <w:bookmarkStart w:id="84" w:name="_Toc32359"/>
      <w:r>
        <w:rPr>
          <w:rFonts w:hint="eastAsia" w:hAnsi="宋体" w:cs="宋体"/>
          <w:color w:val="auto"/>
          <w:kern w:val="0"/>
          <w:sz w:val="32"/>
          <w:szCs w:val="40"/>
          <w:highlight w:val="none"/>
          <w:lang w:val="en-US" w:eastAsia="zh-CN" w:bidi="ar-SA"/>
        </w:rPr>
        <w:t>5</w:t>
      </w:r>
      <w:r>
        <w:rPr>
          <w:rFonts w:hint="eastAsia" w:ascii="宋体" w:hAnsi="宋体" w:eastAsia="宋体" w:cs="宋体"/>
          <w:color w:val="auto"/>
          <w:kern w:val="0"/>
          <w:sz w:val="32"/>
          <w:szCs w:val="40"/>
          <w:highlight w:val="none"/>
          <w:lang w:val="en-US" w:eastAsia="zh-CN" w:bidi="ar-SA"/>
        </w:rPr>
        <w:t>-3   监狱企业证明</w:t>
      </w:r>
      <w:bookmarkEnd w:id="84"/>
    </w:p>
    <w:p w14:paraId="10050F4C">
      <w:pPr>
        <w:pStyle w:val="36"/>
        <w:rPr>
          <w:rFonts w:hint="eastAsia" w:ascii="宋体" w:hAnsi="宋体" w:eastAsia="宋体" w:cs="宋体"/>
          <w:b/>
          <w:color w:val="auto"/>
          <w:szCs w:val="20"/>
          <w:highlight w:val="none"/>
        </w:rPr>
      </w:pPr>
    </w:p>
    <w:p w14:paraId="37AF9D59">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p>
    <w:p w14:paraId="48E1C11B">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注：1.监狱企业参加政府采购活动时，应当提供由省级以上监狱管理局、戒毒管理局（含新疆生产建设兵团）出具的属于监狱企业的证明文件，并加盖单位公章。</w:t>
      </w:r>
    </w:p>
    <w:p w14:paraId="019F1087">
      <w:pPr>
        <w:pStyle w:val="3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bookmarkEnd w:id="78"/>
    <w:bookmarkEnd w:id="79"/>
    <w:bookmarkEnd w:id="80"/>
    <w:bookmarkEnd w:id="81"/>
    <w:bookmarkEnd w:id="82"/>
    <w:p w14:paraId="6C774987">
      <w:pPr>
        <w:pStyle w:val="11"/>
        <w:rPr>
          <w:rFonts w:hint="eastAsia" w:ascii="宋体" w:hAnsi="宋体" w:eastAsia="宋体"/>
          <w:b/>
          <w:color w:val="auto"/>
          <w:kern w:val="0"/>
          <w:sz w:val="24"/>
          <w:szCs w:val="20"/>
          <w:highlight w:val="none"/>
          <w:lang w:eastAsia="zh-CN"/>
        </w:rPr>
      </w:pPr>
    </w:p>
    <w:p w14:paraId="7F3ED466">
      <w:pPr>
        <w:pStyle w:val="12"/>
        <w:rPr>
          <w:rFonts w:hint="eastAsia" w:ascii="宋体" w:hAnsi="宋体" w:eastAsia="宋体"/>
          <w:b/>
          <w:color w:val="auto"/>
          <w:kern w:val="0"/>
          <w:sz w:val="24"/>
          <w:szCs w:val="20"/>
          <w:highlight w:val="none"/>
          <w:lang w:eastAsia="zh-CN"/>
        </w:rPr>
      </w:pPr>
    </w:p>
    <w:p w14:paraId="6A78CC98">
      <w:pPr>
        <w:rPr>
          <w:rFonts w:hint="eastAsia" w:ascii="宋体" w:hAnsi="宋体" w:eastAsia="宋体"/>
          <w:b/>
          <w:color w:val="auto"/>
          <w:kern w:val="0"/>
          <w:sz w:val="24"/>
          <w:szCs w:val="20"/>
          <w:highlight w:val="none"/>
          <w:lang w:eastAsia="zh-CN"/>
        </w:rPr>
      </w:pPr>
    </w:p>
    <w:p w14:paraId="63C3AC55">
      <w:pPr>
        <w:pStyle w:val="9"/>
        <w:tabs>
          <w:tab w:val="left" w:pos="567"/>
        </w:tabs>
        <w:rPr>
          <w:rFonts w:hint="eastAsia"/>
          <w:color w:val="auto"/>
          <w:highlight w:val="none"/>
          <w:lang w:eastAsia="zh-CN"/>
        </w:rPr>
      </w:pPr>
    </w:p>
    <w:p w14:paraId="51E5B218">
      <w:pPr>
        <w:rPr>
          <w:rFonts w:hint="eastAsia" w:ascii="宋体" w:hAnsi="宋体"/>
          <w:b/>
          <w:color w:val="auto"/>
          <w:kern w:val="0"/>
          <w:sz w:val="24"/>
          <w:szCs w:val="20"/>
          <w:highlight w:val="none"/>
        </w:rPr>
      </w:pPr>
    </w:p>
    <w:p w14:paraId="3C9707A4">
      <w:pPr>
        <w:pStyle w:val="11"/>
        <w:rPr>
          <w:rFonts w:hint="eastAsia" w:ascii="宋体" w:hAnsi="宋体"/>
          <w:b/>
          <w:color w:val="auto"/>
          <w:kern w:val="0"/>
          <w:sz w:val="24"/>
          <w:szCs w:val="20"/>
          <w:highlight w:val="none"/>
        </w:rPr>
      </w:pPr>
    </w:p>
    <w:p w14:paraId="6F62F80D">
      <w:pPr>
        <w:rPr>
          <w:rFonts w:hint="eastAsia" w:ascii="宋体" w:hAnsi="宋体"/>
          <w:b/>
          <w:color w:val="auto"/>
          <w:kern w:val="0"/>
          <w:sz w:val="24"/>
          <w:szCs w:val="20"/>
          <w:highlight w:val="none"/>
        </w:rPr>
      </w:pPr>
    </w:p>
    <w:p w14:paraId="07D315FC">
      <w:pPr>
        <w:pStyle w:val="11"/>
        <w:rPr>
          <w:rFonts w:hint="eastAsia" w:ascii="宋体" w:hAnsi="宋体"/>
          <w:b/>
          <w:color w:val="auto"/>
          <w:kern w:val="0"/>
          <w:sz w:val="24"/>
          <w:szCs w:val="20"/>
          <w:highlight w:val="none"/>
        </w:rPr>
      </w:pPr>
    </w:p>
    <w:p w14:paraId="2E37DCDD">
      <w:pPr>
        <w:rPr>
          <w:rFonts w:hint="eastAsia" w:ascii="宋体" w:hAnsi="宋体"/>
          <w:b/>
          <w:color w:val="auto"/>
          <w:kern w:val="0"/>
          <w:sz w:val="24"/>
          <w:szCs w:val="20"/>
          <w:highlight w:val="none"/>
        </w:rPr>
      </w:pPr>
    </w:p>
    <w:p w14:paraId="5BCF6394">
      <w:pPr>
        <w:pStyle w:val="11"/>
        <w:rPr>
          <w:rFonts w:hint="eastAsia" w:ascii="宋体" w:hAnsi="宋体"/>
          <w:b/>
          <w:color w:val="auto"/>
          <w:kern w:val="0"/>
          <w:sz w:val="24"/>
          <w:szCs w:val="20"/>
          <w:highlight w:val="none"/>
        </w:rPr>
      </w:pPr>
    </w:p>
    <w:p w14:paraId="2ABFAAE7">
      <w:pPr>
        <w:rPr>
          <w:rFonts w:hint="eastAsia" w:ascii="宋体" w:hAnsi="宋体"/>
          <w:b/>
          <w:color w:val="auto"/>
          <w:kern w:val="0"/>
          <w:sz w:val="24"/>
          <w:szCs w:val="20"/>
          <w:highlight w:val="none"/>
        </w:rPr>
      </w:pPr>
    </w:p>
    <w:p w14:paraId="5F6F2F65">
      <w:pPr>
        <w:pStyle w:val="11"/>
        <w:rPr>
          <w:rFonts w:hint="eastAsia" w:ascii="宋体" w:hAnsi="宋体"/>
          <w:b/>
          <w:color w:val="auto"/>
          <w:kern w:val="0"/>
          <w:sz w:val="24"/>
          <w:szCs w:val="20"/>
          <w:highlight w:val="none"/>
        </w:rPr>
      </w:pPr>
    </w:p>
    <w:p w14:paraId="4EAE02FE">
      <w:pPr>
        <w:rPr>
          <w:rFonts w:hint="eastAsia" w:ascii="宋体" w:hAnsi="宋体"/>
          <w:b/>
          <w:color w:val="auto"/>
          <w:kern w:val="0"/>
          <w:sz w:val="24"/>
          <w:szCs w:val="20"/>
          <w:highlight w:val="none"/>
        </w:rPr>
      </w:pPr>
    </w:p>
    <w:p w14:paraId="13D2789E">
      <w:pPr>
        <w:pStyle w:val="11"/>
        <w:rPr>
          <w:rFonts w:hint="eastAsia" w:ascii="宋体" w:hAnsi="宋体"/>
          <w:b/>
          <w:color w:val="auto"/>
          <w:kern w:val="0"/>
          <w:sz w:val="24"/>
          <w:szCs w:val="20"/>
          <w:highlight w:val="none"/>
        </w:rPr>
      </w:pPr>
    </w:p>
    <w:p w14:paraId="4F76C69B">
      <w:pPr>
        <w:rPr>
          <w:rFonts w:hint="eastAsia" w:ascii="宋体" w:hAnsi="宋体"/>
          <w:b/>
          <w:color w:val="auto"/>
          <w:kern w:val="0"/>
          <w:sz w:val="24"/>
          <w:szCs w:val="20"/>
          <w:highlight w:val="none"/>
        </w:rPr>
      </w:pPr>
    </w:p>
    <w:p w14:paraId="5161A0AA">
      <w:pPr>
        <w:pStyle w:val="11"/>
        <w:rPr>
          <w:rFonts w:hint="eastAsia" w:ascii="宋体" w:hAnsi="宋体"/>
          <w:b/>
          <w:color w:val="auto"/>
          <w:kern w:val="0"/>
          <w:sz w:val="24"/>
          <w:szCs w:val="20"/>
          <w:highlight w:val="none"/>
        </w:rPr>
      </w:pPr>
    </w:p>
    <w:p w14:paraId="6B6F72D7">
      <w:pPr>
        <w:rPr>
          <w:rFonts w:hint="eastAsia" w:ascii="宋体" w:hAnsi="宋体"/>
          <w:b/>
          <w:color w:val="auto"/>
          <w:kern w:val="0"/>
          <w:sz w:val="24"/>
          <w:szCs w:val="20"/>
          <w:highlight w:val="none"/>
        </w:rPr>
      </w:pPr>
    </w:p>
    <w:p w14:paraId="1BAD10FE">
      <w:pPr>
        <w:pStyle w:val="11"/>
        <w:rPr>
          <w:rFonts w:hint="eastAsia" w:ascii="宋体" w:hAnsi="宋体"/>
          <w:b/>
          <w:color w:val="auto"/>
          <w:kern w:val="0"/>
          <w:sz w:val="24"/>
          <w:szCs w:val="20"/>
          <w:highlight w:val="none"/>
        </w:rPr>
      </w:pPr>
    </w:p>
    <w:p w14:paraId="1A4ECA0B">
      <w:pPr>
        <w:rPr>
          <w:rFonts w:hint="eastAsia" w:ascii="宋体" w:hAnsi="宋体"/>
          <w:b/>
          <w:color w:val="auto"/>
          <w:kern w:val="0"/>
          <w:sz w:val="24"/>
          <w:szCs w:val="20"/>
          <w:highlight w:val="none"/>
        </w:rPr>
      </w:pPr>
    </w:p>
    <w:p w14:paraId="3634D6A2">
      <w:pPr>
        <w:pStyle w:val="11"/>
        <w:rPr>
          <w:rFonts w:hint="eastAsia" w:ascii="宋体" w:hAnsi="宋体"/>
          <w:b/>
          <w:color w:val="auto"/>
          <w:kern w:val="0"/>
          <w:sz w:val="24"/>
          <w:szCs w:val="20"/>
          <w:highlight w:val="none"/>
        </w:rPr>
      </w:pPr>
    </w:p>
    <w:p w14:paraId="6867B311">
      <w:pPr>
        <w:rPr>
          <w:rFonts w:hint="eastAsia" w:ascii="宋体" w:hAnsi="宋体"/>
          <w:b/>
          <w:color w:val="auto"/>
          <w:kern w:val="0"/>
          <w:sz w:val="24"/>
          <w:szCs w:val="20"/>
          <w:highlight w:val="none"/>
        </w:rPr>
      </w:pPr>
    </w:p>
    <w:p w14:paraId="7442C3B3">
      <w:pPr>
        <w:pStyle w:val="11"/>
        <w:rPr>
          <w:rFonts w:hint="eastAsia" w:ascii="宋体" w:hAnsi="宋体"/>
          <w:b/>
          <w:color w:val="auto"/>
          <w:kern w:val="0"/>
          <w:sz w:val="24"/>
          <w:szCs w:val="20"/>
          <w:highlight w:val="none"/>
        </w:rPr>
      </w:pPr>
    </w:p>
    <w:p w14:paraId="1339850F">
      <w:pPr>
        <w:rPr>
          <w:rFonts w:hint="eastAsia" w:ascii="宋体" w:hAnsi="宋体"/>
          <w:b/>
          <w:color w:val="auto"/>
          <w:kern w:val="0"/>
          <w:sz w:val="24"/>
          <w:szCs w:val="20"/>
          <w:highlight w:val="none"/>
        </w:rPr>
      </w:pPr>
    </w:p>
    <w:p w14:paraId="38B44EC6">
      <w:pPr>
        <w:pStyle w:val="11"/>
        <w:rPr>
          <w:rFonts w:hint="eastAsia" w:ascii="宋体" w:hAnsi="宋体"/>
          <w:b/>
          <w:color w:val="auto"/>
          <w:kern w:val="0"/>
          <w:sz w:val="24"/>
          <w:szCs w:val="20"/>
          <w:highlight w:val="none"/>
        </w:rPr>
      </w:pPr>
    </w:p>
    <w:p w14:paraId="6B809F91">
      <w:pPr>
        <w:rPr>
          <w:rFonts w:hint="eastAsia" w:ascii="宋体" w:hAnsi="宋体"/>
          <w:b/>
          <w:color w:val="auto"/>
          <w:kern w:val="0"/>
          <w:sz w:val="24"/>
          <w:szCs w:val="20"/>
          <w:highlight w:val="none"/>
        </w:rPr>
      </w:pPr>
    </w:p>
    <w:p w14:paraId="13946AC5">
      <w:pPr>
        <w:pStyle w:val="11"/>
        <w:rPr>
          <w:rFonts w:hint="eastAsia" w:ascii="宋体" w:hAnsi="宋体"/>
          <w:b/>
          <w:color w:val="auto"/>
          <w:kern w:val="0"/>
          <w:sz w:val="24"/>
          <w:szCs w:val="20"/>
          <w:highlight w:val="none"/>
        </w:rPr>
      </w:pPr>
    </w:p>
    <w:p w14:paraId="111043B2">
      <w:pPr>
        <w:rPr>
          <w:rFonts w:hint="eastAsia" w:ascii="宋体" w:hAnsi="宋体"/>
          <w:b/>
          <w:color w:val="auto"/>
          <w:kern w:val="0"/>
          <w:sz w:val="24"/>
          <w:szCs w:val="20"/>
          <w:highlight w:val="none"/>
        </w:rPr>
      </w:pPr>
    </w:p>
    <w:p w14:paraId="49B2A94C">
      <w:pPr>
        <w:pStyle w:val="15"/>
        <w:rPr>
          <w:rFonts w:hint="eastAsia" w:ascii="宋体" w:hAnsi="宋体"/>
          <w:b/>
          <w:color w:val="auto"/>
          <w:kern w:val="0"/>
          <w:sz w:val="24"/>
          <w:szCs w:val="20"/>
          <w:highlight w:val="none"/>
        </w:rPr>
      </w:pPr>
    </w:p>
    <w:p w14:paraId="7425B1D8">
      <w:pPr>
        <w:pStyle w:val="15"/>
        <w:rPr>
          <w:rFonts w:hint="eastAsia" w:ascii="宋体" w:hAnsi="宋体"/>
          <w:b/>
          <w:color w:val="auto"/>
          <w:kern w:val="0"/>
          <w:sz w:val="24"/>
          <w:szCs w:val="20"/>
          <w:highlight w:val="none"/>
        </w:rPr>
      </w:pPr>
    </w:p>
    <w:p w14:paraId="70919D27">
      <w:pPr>
        <w:pStyle w:val="15"/>
        <w:rPr>
          <w:rFonts w:hint="eastAsia" w:ascii="宋体" w:hAnsi="宋体"/>
          <w:b/>
          <w:color w:val="auto"/>
          <w:kern w:val="0"/>
          <w:sz w:val="24"/>
          <w:szCs w:val="20"/>
          <w:highlight w:val="none"/>
        </w:rPr>
      </w:pPr>
    </w:p>
    <w:p w14:paraId="23844027">
      <w:pPr>
        <w:pStyle w:val="15"/>
        <w:rPr>
          <w:rFonts w:hint="eastAsia" w:ascii="宋体" w:hAnsi="宋体"/>
          <w:b/>
          <w:color w:val="auto"/>
          <w:kern w:val="0"/>
          <w:sz w:val="24"/>
          <w:szCs w:val="20"/>
          <w:highlight w:val="none"/>
        </w:rPr>
      </w:pPr>
    </w:p>
    <w:p w14:paraId="77AC22C8">
      <w:pPr>
        <w:pStyle w:val="15"/>
        <w:rPr>
          <w:rFonts w:hint="eastAsia" w:ascii="宋体" w:hAnsi="宋体"/>
          <w:b/>
          <w:color w:val="auto"/>
          <w:kern w:val="0"/>
          <w:sz w:val="24"/>
          <w:szCs w:val="20"/>
          <w:highlight w:val="none"/>
        </w:rPr>
      </w:pPr>
    </w:p>
    <w:p w14:paraId="1FE40FC1">
      <w:pPr>
        <w:pStyle w:val="15"/>
        <w:rPr>
          <w:rFonts w:hint="eastAsia" w:ascii="宋体" w:hAnsi="宋体"/>
          <w:b/>
          <w:color w:val="auto"/>
          <w:kern w:val="0"/>
          <w:sz w:val="24"/>
          <w:szCs w:val="20"/>
          <w:highlight w:val="none"/>
        </w:rPr>
      </w:pPr>
    </w:p>
    <w:p w14:paraId="1CCACF96">
      <w:pPr>
        <w:pStyle w:val="11"/>
        <w:rPr>
          <w:rFonts w:hint="eastAsia"/>
          <w:color w:val="auto"/>
          <w:highlight w:val="none"/>
        </w:rPr>
      </w:pPr>
    </w:p>
    <w:p w14:paraId="13E289AB">
      <w:pPr>
        <w:spacing w:line="240" w:lineRule="atLeast"/>
        <w:ind w:left="1080" w:leftChars="257" w:hanging="540"/>
        <w:jc w:val="center"/>
        <w:rPr>
          <w:rFonts w:hint="eastAsia" w:ascii="宋体" w:hAnsi="宋体"/>
          <w:b/>
          <w:color w:val="auto"/>
          <w:kern w:val="0"/>
          <w:sz w:val="24"/>
          <w:szCs w:val="20"/>
          <w:highlight w:val="none"/>
        </w:rPr>
      </w:pPr>
    </w:p>
    <w:p w14:paraId="1FC54FBF">
      <w:pPr>
        <w:spacing w:line="240" w:lineRule="atLeast"/>
        <w:ind w:left="1080" w:leftChars="257" w:hanging="540"/>
        <w:jc w:val="center"/>
        <w:outlineLvl w:val="3"/>
        <w:rPr>
          <w:rFonts w:hint="eastAsia" w:ascii="宋体" w:hAnsi="宋体" w:eastAsia="宋体" w:cs="宋体"/>
          <w:b/>
          <w:bCs/>
          <w:color w:val="auto"/>
          <w:sz w:val="28"/>
          <w:szCs w:val="28"/>
          <w:highlight w:val="none"/>
        </w:rPr>
      </w:pPr>
      <w:bookmarkStart w:id="85" w:name="_Toc10002"/>
      <w:bookmarkStart w:id="86" w:name="_Toc30795"/>
      <w:bookmarkStart w:id="87" w:name="_Toc28099"/>
      <w:bookmarkStart w:id="88" w:name="_Toc5196"/>
      <w:bookmarkStart w:id="89" w:name="_Toc515647827"/>
      <w:r>
        <w:rPr>
          <w:rFonts w:hint="eastAsia" w:ascii="宋体" w:hAnsi="宋体" w:cs="宋体"/>
          <w:b w:val="0"/>
          <w:bCs w:val="0"/>
          <w:color w:val="auto"/>
          <w:sz w:val="28"/>
          <w:szCs w:val="28"/>
          <w:highlight w:val="none"/>
          <w:lang w:val="en-US" w:eastAsia="zh-CN"/>
        </w:rPr>
        <w:t>6</w:t>
      </w:r>
      <w:r>
        <w:rPr>
          <w:rFonts w:hint="eastAsia" w:ascii="宋体" w:hAnsi="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关联单位的说明</w:t>
      </w:r>
      <w:bookmarkEnd w:id="85"/>
      <w:bookmarkEnd w:id="86"/>
      <w:bookmarkEnd w:id="87"/>
      <w:bookmarkEnd w:id="88"/>
      <w:bookmarkEnd w:id="89"/>
    </w:p>
    <w:p w14:paraId="0CD0F350">
      <w:pPr>
        <w:pStyle w:val="6"/>
        <w:jc w:val="center"/>
        <w:rPr>
          <w:rFonts w:hint="eastAsia" w:hAnsi="宋体"/>
          <w:color w:val="auto"/>
          <w:highlight w:val="none"/>
        </w:rPr>
      </w:pPr>
    </w:p>
    <w:p w14:paraId="1C9EB884">
      <w:pPr>
        <w:pStyle w:val="6"/>
        <w:ind w:firstLine="480" w:firstLineChars="200"/>
        <w:rPr>
          <w:rFonts w:hint="eastAsia" w:hAnsi="宋体"/>
          <w:color w:val="auto"/>
          <w:highlight w:val="none"/>
        </w:rPr>
      </w:pPr>
      <w:r>
        <w:rPr>
          <w:rFonts w:hint="eastAsia" w:hAnsi="宋体"/>
          <w:color w:val="auto"/>
          <w:highlight w:val="none"/>
        </w:rPr>
        <w:t>说明：</w:t>
      </w:r>
      <w:r>
        <w:rPr>
          <w:rFonts w:hint="eastAsia" w:hAnsi="宋体"/>
          <w:color w:val="auto"/>
          <w:highlight w:val="none"/>
          <w:lang w:eastAsia="zh-CN"/>
        </w:rPr>
        <w:t>供应商</w:t>
      </w:r>
      <w:r>
        <w:rPr>
          <w:rFonts w:hint="eastAsia" w:hAnsi="宋体"/>
          <w:color w:val="auto"/>
          <w:highlight w:val="none"/>
        </w:rPr>
        <w:t>应当如实披露与本单位存在下列关联关系的单位名称：</w:t>
      </w:r>
    </w:p>
    <w:p w14:paraId="4C90CABB">
      <w:pPr>
        <w:pStyle w:val="6"/>
        <w:numPr>
          <w:ilvl w:val="0"/>
          <w:numId w:val="5"/>
        </w:numPr>
        <w:ind w:left="-60" w:leftChars="0" w:firstLine="480" w:firstLineChars="0"/>
        <w:rPr>
          <w:rFonts w:hint="eastAsia" w:hAnsi="宋体"/>
          <w:color w:val="auto"/>
          <w:highlight w:val="none"/>
        </w:rPr>
      </w:pPr>
      <w:r>
        <w:rPr>
          <w:rFonts w:hint="eastAsia" w:hAnsi="宋体"/>
          <w:color w:val="auto"/>
          <w:highlight w:val="none"/>
        </w:rPr>
        <w:t>与</w:t>
      </w:r>
      <w:r>
        <w:rPr>
          <w:rFonts w:hint="eastAsia" w:hAnsi="宋体"/>
          <w:color w:val="auto"/>
          <w:highlight w:val="none"/>
          <w:lang w:eastAsia="zh-CN"/>
        </w:rPr>
        <w:t>供应商</w:t>
      </w:r>
      <w:r>
        <w:rPr>
          <w:rFonts w:hint="eastAsia" w:hAnsi="宋体"/>
          <w:color w:val="auto"/>
          <w:highlight w:val="none"/>
        </w:rPr>
        <w:t>单位负责人为同一人的其他单位；</w:t>
      </w:r>
    </w:p>
    <w:p w14:paraId="64E1E3DB">
      <w:pPr>
        <w:pStyle w:val="6"/>
        <w:numPr>
          <w:ilvl w:val="0"/>
          <w:numId w:val="0"/>
        </w:numPr>
        <w:ind w:firstLine="480" w:firstLineChars="200"/>
        <w:rPr>
          <w:rFonts w:hint="eastAsia" w:hAnsi="宋体"/>
          <w:color w:val="auto"/>
          <w:highlight w:val="none"/>
        </w:rPr>
      </w:pPr>
      <w:r>
        <w:rPr>
          <w:rFonts w:hint="eastAsia" w:hAnsi="宋体"/>
          <w:color w:val="auto"/>
          <w:highlight w:val="none"/>
        </w:rPr>
        <w:t>（2）与</w:t>
      </w:r>
      <w:r>
        <w:rPr>
          <w:rFonts w:hint="eastAsia" w:hAnsi="宋体"/>
          <w:color w:val="auto"/>
          <w:highlight w:val="none"/>
          <w:lang w:eastAsia="zh-CN"/>
        </w:rPr>
        <w:t>供应商</w:t>
      </w:r>
      <w:r>
        <w:rPr>
          <w:rFonts w:hint="eastAsia" w:hAnsi="宋体"/>
          <w:color w:val="auto"/>
          <w:highlight w:val="none"/>
        </w:rPr>
        <w:t>存在直接控股、管理关系的其他单位。</w:t>
      </w:r>
    </w:p>
    <w:p w14:paraId="7B0C8A5B">
      <w:pPr>
        <w:widowControl w:val="0"/>
        <w:numPr>
          <w:ilvl w:val="0"/>
          <w:numId w:val="0"/>
        </w:numPr>
        <w:jc w:val="both"/>
        <w:rPr>
          <w:rFonts w:hint="eastAsia"/>
          <w:color w:val="auto"/>
          <w:highlight w:val="none"/>
        </w:rPr>
      </w:pPr>
    </w:p>
    <w:p w14:paraId="4C8FF07B">
      <w:pPr>
        <w:pStyle w:val="11"/>
        <w:rPr>
          <w:rFonts w:hint="eastAsia"/>
          <w:color w:val="auto"/>
          <w:highlight w:val="none"/>
        </w:rPr>
      </w:pPr>
    </w:p>
    <w:p w14:paraId="5BD263BB">
      <w:pPr>
        <w:rPr>
          <w:rFonts w:hint="eastAsia"/>
          <w:color w:val="auto"/>
          <w:highlight w:val="none"/>
        </w:rPr>
      </w:pPr>
    </w:p>
    <w:p w14:paraId="08CFE7CF">
      <w:pPr>
        <w:pStyle w:val="11"/>
        <w:rPr>
          <w:rFonts w:hint="eastAsia"/>
          <w:color w:val="auto"/>
          <w:highlight w:val="none"/>
        </w:rPr>
      </w:pPr>
    </w:p>
    <w:p w14:paraId="0DFC5FB8">
      <w:pPr>
        <w:rPr>
          <w:rFonts w:hint="eastAsia"/>
          <w:color w:val="auto"/>
          <w:highlight w:val="none"/>
        </w:rPr>
      </w:pPr>
    </w:p>
    <w:p w14:paraId="3C7200EA">
      <w:pPr>
        <w:pStyle w:val="11"/>
        <w:rPr>
          <w:rFonts w:hint="eastAsia"/>
          <w:color w:val="auto"/>
          <w:highlight w:val="none"/>
        </w:rPr>
      </w:pPr>
    </w:p>
    <w:p w14:paraId="51D65096">
      <w:pPr>
        <w:rPr>
          <w:rFonts w:hint="eastAsia"/>
          <w:color w:val="auto"/>
          <w:highlight w:val="none"/>
        </w:rPr>
      </w:pPr>
    </w:p>
    <w:p w14:paraId="1C6C2249">
      <w:pPr>
        <w:pStyle w:val="11"/>
        <w:rPr>
          <w:rFonts w:hint="eastAsia"/>
          <w:color w:val="auto"/>
          <w:highlight w:val="none"/>
        </w:rPr>
      </w:pPr>
    </w:p>
    <w:p w14:paraId="5A58DCDC">
      <w:pPr>
        <w:rPr>
          <w:rFonts w:hint="eastAsia"/>
          <w:color w:val="auto"/>
          <w:highlight w:val="none"/>
        </w:rPr>
      </w:pPr>
    </w:p>
    <w:p w14:paraId="0CE20DB8">
      <w:pPr>
        <w:pStyle w:val="11"/>
        <w:rPr>
          <w:rFonts w:hint="eastAsia"/>
          <w:color w:val="auto"/>
          <w:highlight w:val="none"/>
        </w:rPr>
      </w:pPr>
    </w:p>
    <w:p w14:paraId="5A507231">
      <w:pPr>
        <w:rPr>
          <w:rFonts w:hint="eastAsia"/>
          <w:color w:val="auto"/>
          <w:highlight w:val="none"/>
        </w:rPr>
      </w:pPr>
    </w:p>
    <w:p w14:paraId="6D9FCC85">
      <w:pPr>
        <w:pStyle w:val="11"/>
        <w:rPr>
          <w:rFonts w:hint="eastAsia"/>
          <w:color w:val="auto"/>
          <w:highlight w:val="none"/>
        </w:rPr>
      </w:pPr>
    </w:p>
    <w:p w14:paraId="7FA7197A">
      <w:pPr>
        <w:pStyle w:val="12"/>
        <w:rPr>
          <w:rFonts w:hint="eastAsia"/>
          <w:color w:val="auto"/>
          <w:highlight w:val="none"/>
        </w:rPr>
      </w:pPr>
    </w:p>
    <w:p w14:paraId="3B370CF4">
      <w:pPr>
        <w:rPr>
          <w:rFonts w:hint="eastAsia"/>
          <w:color w:val="auto"/>
          <w:highlight w:val="none"/>
        </w:rPr>
      </w:pPr>
    </w:p>
    <w:p w14:paraId="5C323DAC">
      <w:pPr>
        <w:pStyle w:val="9"/>
        <w:tabs>
          <w:tab w:val="left" w:pos="567"/>
        </w:tabs>
        <w:rPr>
          <w:rFonts w:hint="eastAsia"/>
          <w:color w:val="auto"/>
          <w:highlight w:val="none"/>
        </w:rPr>
      </w:pPr>
    </w:p>
    <w:p w14:paraId="61319EE9">
      <w:pPr>
        <w:pStyle w:val="9"/>
        <w:tabs>
          <w:tab w:val="left" w:pos="567"/>
        </w:tabs>
        <w:rPr>
          <w:rFonts w:hint="eastAsia"/>
          <w:color w:val="auto"/>
          <w:highlight w:val="none"/>
        </w:rPr>
      </w:pPr>
    </w:p>
    <w:p w14:paraId="4F50AA71">
      <w:pPr>
        <w:pStyle w:val="9"/>
        <w:tabs>
          <w:tab w:val="left" w:pos="567"/>
        </w:tabs>
        <w:rPr>
          <w:rFonts w:hint="eastAsia"/>
          <w:color w:val="auto"/>
          <w:highlight w:val="none"/>
        </w:rPr>
      </w:pPr>
    </w:p>
    <w:p w14:paraId="369E59C0">
      <w:pPr>
        <w:pStyle w:val="9"/>
        <w:tabs>
          <w:tab w:val="left" w:pos="567"/>
        </w:tabs>
        <w:rPr>
          <w:rFonts w:hint="eastAsia"/>
          <w:color w:val="auto"/>
          <w:highlight w:val="none"/>
        </w:rPr>
      </w:pPr>
    </w:p>
    <w:p w14:paraId="13BCD093">
      <w:pPr>
        <w:pStyle w:val="9"/>
        <w:tabs>
          <w:tab w:val="left" w:pos="567"/>
        </w:tabs>
        <w:rPr>
          <w:rFonts w:hint="eastAsia"/>
          <w:color w:val="auto"/>
          <w:highlight w:val="none"/>
        </w:rPr>
      </w:pPr>
    </w:p>
    <w:p w14:paraId="63638657">
      <w:pPr>
        <w:pStyle w:val="9"/>
        <w:tabs>
          <w:tab w:val="left" w:pos="567"/>
        </w:tabs>
        <w:rPr>
          <w:rFonts w:hint="eastAsia"/>
          <w:color w:val="auto"/>
          <w:highlight w:val="none"/>
        </w:rPr>
      </w:pPr>
    </w:p>
    <w:p w14:paraId="74ED6CE3">
      <w:pPr>
        <w:pStyle w:val="9"/>
        <w:tabs>
          <w:tab w:val="left" w:pos="567"/>
        </w:tabs>
        <w:rPr>
          <w:rFonts w:hint="eastAsia"/>
          <w:color w:val="auto"/>
          <w:highlight w:val="none"/>
        </w:rPr>
      </w:pPr>
    </w:p>
    <w:p w14:paraId="111F2F08">
      <w:pPr>
        <w:pStyle w:val="9"/>
        <w:tabs>
          <w:tab w:val="left" w:pos="567"/>
        </w:tabs>
        <w:rPr>
          <w:rFonts w:hint="eastAsia"/>
          <w:color w:val="auto"/>
          <w:highlight w:val="none"/>
        </w:rPr>
      </w:pPr>
    </w:p>
    <w:p w14:paraId="742B0A11">
      <w:pPr>
        <w:pStyle w:val="9"/>
        <w:tabs>
          <w:tab w:val="left" w:pos="567"/>
        </w:tabs>
        <w:rPr>
          <w:rFonts w:hint="eastAsia"/>
          <w:color w:val="auto"/>
          <w:highlight w:val="none"/>
        </w:rPr>
      </w:pPr>
    </w:p>
    <w:p w14:paraId="67B67ABF">
      <w:pPr>
        <w:pStyle w:val="9"/>
        <w:tabs>
          <w:tab w:val="left" w:pos="567"/>
        </w:tabs>
        <w:rPr>
          <w:rFonts w:hint="eastAsia"/>
          <w:color w:val="auto"/>
          <w:highlight w:val="none"/>
        </w:rPr>
      </w:pPr>
    </w:p>
    <w:p w14:paraId="5D769DD2">
      <w:pPr>
        <w:pStyle w:val="9"/>
        <w:tabs>
          <w:tab w:val="left" w:pos="567"/>
        </w:tabs>
        <w:rPr>
          <w:rFonts w:hint="eastAsia"/>
          <w:color w:val="auto"/>
          <w:highlight w:val="none"/>
        </w:rPr>
      </w:pPr>
    </w:p>
    <w:p w14:paraId="13B173A4">
      <w:pPr>
        <w:pStyle w:val="9"/>
        <w:tabs>
          <w:tab w:val="left" w:pos="567"/>
        </w:tabs>
        <w:rPr>
          <w:rFonts w:hint="eastAsia"/>
          <w:color w:val="auto"/>
          <w:highlight w:val="none"/>
        </w:rPr>
      </w:pPr>
    </w:p>
    <w:p w14:paraId="5223064D">
      <w:pPr>
        <w:pStyle w:val="9"/>
        <w:tabs>
          <w:tab w:val="left" w:pos="567"/>
        </w:tabs>
        <w:rPr>
          <w:rFonts w:hint="eastAsia"/>
          <w:color w:val="auto"/>
          <w:highlight w:val="none"/>
        </w:rPr>
      </w:pPr>
    </w:p>
    <w:p w14:paraId="44F4A66F">
      <w:pPr>
        <w:pStyle w:val="9"/>
        <w:tabs>
          <w:tab w:val="left" w:pos="567"/>
        </w:tabs>
        <w:rPr>
          <w:rFonts w:hint="eastAsia"/>
          <w:color w:val="auto"/>
          <w:highlight w:val="none"/>
        </w:rPr>
      </w:pPr>
    </w:p>
    <w:p w14:paraId="7976E7C0">
      <w:pPr>
        <w:pStyle w:val="9"/>
        <w:tabs>
          <w:tab w:val="left" w:pos="567"/>
        </w:tabs>
        <w:rPr>
          <w:rFonts w:hint="eastAsia"/>
          <w:color w:val="auto"/>
          <w:highlight w:val="none"/>
        </w:rPr>
      </w:pPr>
    </w:p>
    <w:p w14:paraId="5D341DB3">
      <w:pPr>
        <w:pStyle w:val="9"/>
        <w:tabs>
          <w:tab w:val="left" w:pos="567"/>
        </w:tabs>
        <w:rPr>
          <w:rFonts w:hint="eastAsia"/>
          <w:color w:val="auto"/>
          <w:highlight w:val="none"/>
        </w:rPr>
      </w:pPr>
    </w:p>
    <w:p w14:paraId="50EE6FA6">
      <w:pPr>
        <w:pStyle w:val="9"/>
        <w:tabs>
          <w:tab w:val="left" w:pos="567"/>
        </w:tabs>
        <w:rPr>
          <w:rFonts w:hint="eastAsia"/>
          <w:color w:val="auto"/>
          <w:highlight w:val="none"/>
        </w:rPr>
      </w:pPr>
    </w:p>
    <w:p w14:paraId="1E817611">
      <w:pPr>
        <w:pStyle w:val="9"/>
        <w:tabs>
          <w:tab w:val="left" w:pos="567"/>
        </w:tabs>
        <w:rPr>
          <w:rFonts w:hint="eastAsia"/>
          <w:color w:val="auto"/>
          <w:highlight w:val="none"/>
        </w:rPr>
      </w:pPr>
    </w:p>
    <w:p w14:paraId="48FFE14F">
      <w:pPr>
        <w:pStyle w:val="9"/>
        <w:tabs>
          <w:tab w:val="left" w:pos="567"/>
        </w:tabs>
        <w:rPr>
          <w:rFonts w:hint="eastAsia"/>
          <w:color w:val="auto"/>
          <w:highlight w:val="none"/>
        </w:rPr>
      </w:pPr>
    </w:p>
    <w:p w14:paraId="7B212CF1">
      <w:pPr>
        <w:pStyle w:val="9"/>
        <w:tabs>
          <w:tab w:val="left" w:pos="567"/>
        </w:tabs>
        <w:rPr>
          <w:rFonts w:hint="eastAsia"/>
          <w:color w:val="auto"/>
          <w:highlight w:val="none"/>
        </w:rPr>
      </w:pPr>
    </w:p>
    <w:p w14:paraId="02FE6469">
      <w:pPr>
        <w:pStyle w:val="9"/>
        <w:tabs>
          <w:tab w:val="left" w:pos="567"/>
        </w:tabs>
        <w:rPr>
          <w:rFonts w:hint="eastAsia"/>
          <w:color w:val="auto"/>
          <w:highlight w:val="none"/>
        </w:rPr>
      </w:pPr>
    </w:p>
    <w:p w14:paraId="68A41C90">
      <w:pPr>
        <w:pStyle w:val="9"/>
        <w:tabs>
          <w:tab w:val="left" w:pos="567"/>
        </w:tabs>
        <w:rPr>
          <w:rFonts w:hint="eastAsia"/>
          <w:color w:val="auto"/>
          <w:highlight w:val="none"/>
        </w:rPr>
      </w:pPr>
    </w:p>
    <w:p w14:paraId="1B67EEA8">
      <w:pPr>
        <w:pStyle w:val="9"/>
        <w:tabs>
          <w:tab w:val="left" w:pos="567"/>
        </w:tabs>
        <w:rPr>
          <w:rFonts w:hint="eastAsia"/>
          <w:color w:val="auto"/>
          <w:highlight w:val="none"/>
        </w:rPr>
      </w:pPr>
    </w:p>
    <w:p w14:paraId="726C1EAB">
      <w:pPr>
        <w:pStyle w:val="6"/>
        <w:ind w:firstLine="0"/>
        <w:rPr>
          <w:rFonts w:hint="eastAsia" w:hAnsi="宋体"/>
          <w:color w:val="auto"/>
          <w:highlight w:val="none"/>
        </w:rPr>
      </w:pPr>
      <w:bookmarkStart w:id="90" w:name="_Toc515647828"/>
      <w:bookmarkStart w:id="91" w:name="_Toc7414"/>
      <w:bookmarkStart w:id="92" w:name="_Toc14039"/>
      <w:bookmarkStart w:id="93" w:name="_Toc17333"/>
    </w:p>
    <w:p w14:paraId="0FC350BB">
      <w:pPr>
        <w:pStyle w:val="6"/>
        <w:ind w:firstLine="0"/>
        <w:rPr>
          <w:rFonts w:hint="eastAsia" w:hAnsi="宋体"/>
          <w:color w:val="auto"/>
          <w:highlight w:val="none"/>
        </w:rPr>
      </w:pPr>
    </w:p>
    <w:bookmarkEnd w:id="90"/>
    <w:bookmarkEnd w:id="91"/>
    <w:bookmarkEnd w:id="92"/>
    <w:bookmarkEnd w:id="93"/>
    <w:p w14:paraId="3380802B">
      <w:pPr>
        <w:numPr>
          <w:ilvl w:val="0"/>
          <w:numId w:val="0"/>
        </w:numPr>
        <w:spacing w:line="240" w:lineRule="atLeast"/>
        <w:ind w:leftChars="1298" w:firstLine="840" w:firstLineChars="300"/>
        <w:jc w:val="both"/>
        <w:outlineLvl w:val="3"/>
        <w:rPr>
          <w:rFonts w:hint="eastAsia" w:ascii="宋体" w:hAnsi="宋体" w:eastAsia="宋体" w:cs="宋体"/>
          <w:b w:val="0"/>
          <w:bCs w:val="0"/>
          <w:color w:val="auto"/>
          <w:sz w:val="28"/>
          <w:szCs w:val="28"/>
          <w:highlight w:val="none"/>
          <w:lang w:val="en-US" w:eastAsia="zh-CN"/>
        </w:rPr>
      </w:pPr>
      <w:bookmarkStart w:id="94" w:name="_Toc29213"/>
      <w:r>
        <w:rPr>
          <w:rFonts w:hint="eastAsia" w:ascii="宋体" w:hAnsi="宋体" w:eastAsia="宋体" w:cs="宋体"/>
          <w:b w:val="0"/>
          <w:bCs w:val="0"/>
          <w:color w:val="auto"/>
          <w:sz w:val="28"/>
          <w:szCs w:val="28"/>
          <w:highlight w:val="none"/>
          <w:lang w:val="en-US" w:eastAsia="zh-CN"/>
        </w:rPr>
        <w:t>7、项目管理机构</w:t>
      </w:r>
      <w:bookmarkEnd w:id="94"/>
    </w:p>
    <w:p w14:paraId="08E3E7E7">
      <w:pPr>
        <w:pStyle w:val="15"/>
        <w:numPr>
          <w:ilvl w:val="0"/>
          <w:numId w:val="0"/>
        </w:numPr>
        <w:rPr>
          <w:rFonts w:hint="eastAsia"/>
          <w:color w:val="auto"/>
          <w:highlight w:val="none"/>
          <w:lang w:val="en-US" w:eastAsia="zh-CN"/>
        </w:rPr>
      </w:pP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1864"/>
        <w:gridCol w:w="1865"/>
        <w:gridCol w:w="1865"/>
        <w:gridCol w:w="1865"/>
      </w:tblGrid>
      <w:tr w14:paraId="3B3A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00" w:type="pct"/>
            <w:noWrap w:val="0"/>
            <w:vAlign w:val="center"/>
          </w:tcPr>
          <w:p w14:paraId="4AB8AFD6">
            <w:pPr>
              <w:spacing w:line="440" w:lineRule="exact"/>
              <w:jc w:val="center"/>
              <w:rPr>
                <w:rFonts w:ascii="宋体" w:hAnsi="宋体"/>
                <w:color w:val="auto"/>
                <w:szCs w:val="21"/>
                <w:highlight w:val="none"/>
              </w:rPr>
            </w:pPr>
            <w:r>
              <w:rPr>
                <w:rFonts w:ascii="宋体" w:hAnsi="宋体"/>
                <w:color w:val="auto"/>
                <w:szCs w:val="21"/>
                <w:highlight w:val="none"/>
              </w:rPr>
              <w:t>职务</w:t>
            </w:r>
          </w:p>
        </w:tc>
        <w:tc>
          <w:tcPr>
            <w:tcW w:w="1000" w:type="pct"/>
            <w:noWrap w:val="0"/>
            <w:vAlign w:val="center"/>
          </w:tcPr>
          <w:p w14:paraId="6D1D9BC0">
            <w:pPr>
              <w:spacing w:line="440" w:lineRule="exact"/>
              <w:jc w:val="center"/>
              <w:rPr>
                <w:rFonts w:ascii="宋体" w:hAnsi="宋体"/>
                <w:color w:val="auto"/>
                <w:szCs w:val="21"/>
                <w:highlight w:val="none"/>
              </w:rPr>
            </w:pPr>
            <w:r>
              <w:rPr>
                <w:rFonts w:ascii="宋体" w:hAnsi="宋体"/>
                <w:color w:val="auto"/>
                <w:szCs w:val="21"/>
                <w:highlight w:val="none"/>
              </w:rPr>
              <w:t>姓名</w:t>
            </w:r>
          </w:p>
        </w:tc>
        <w:tc>
          <w:tcPr>
            <w:tcW w:w="1000" w:type="pct"/>
            <w:noWrap w:val="0"/>
            <w:vAlign w:val="center"/>
          </w:tcPr>
          <w:p w14:paraId="2303FD0E">
            <w:pPr>
              <w:spacing w:line="440" w:lineRule="exact"/>
              <w:jc w:val="center"/>
              <w:rPr>
                <w:rFonts w:hint="default" w:ascii="宋体" w:hAnsi="宋体" w:eastAsia="宋体"/>
                <w:color w:val="auto"/>
                <w:szCs w:val="21"/>
                <w:highlight w:val="none"/>
                <w:lang w:val="en-US" w:eastAsia="zh-CN"/>
              </w:rPr>
            </w:pPr>
            <w:r>
              <w:rPr>
                <w:rFonts w:ascii="宋体" w:hAnsi="宋体"/>
                <w:color w:val="auto"/>
                <w:szCs w:val="21"/>
                <w:highlight w:val="none"/>
              </w:rPr>
              <w:t>职称</w:t>
            </w:r>
            <w:r>
              <w:rPr>
                <w:rFonts w:hint="eastAsia" w:ascii="宋体" w:hAnsi="宋体" w:eastAsia="宋体"/>
                <w:color w:val="auto"/>
                <w:szCs w:val="21"/>
                <w:highlight w:val="none"/>
                <w:lang w:val="en-US" w:eastAsia="zh-CN"/>
              </w:rPr>
              <w:t>或学位</w:t>
            </w:r>
          </w:p>
        </w:tc>
        <w:tc>
          <w:tcPr>
            <w:tcW w:w="1000" w:type="pct"/>
            <w:noWrap w:val="0"/>
            <w:vAlign w:val="center"/>
          </w:tcPr>
          <w:p w14:paraId="32C9364D">
            <w:pPr>
              <w:spacing w:line="440" w:lineRule="exact"/>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专业</w:t>
            </w:r>
          </w:p>
        </w:tc>
        <w:tc>
          <w:tcPr>
            <w:tcW w:w="1000" w:type="pct"/>
            <w:noWrap w:val="0"/>
            <w:vAlign w:val="center"/>
          </w:tcPr>
          <w:p w14:paraId="1B19A6DE">
            <w:pPr>
              <w:spacing w:line="440" w:lineRule="exact"/>
              <w:jc w:val="center"/>
              <w:rPr>
                <w:rFonts w:ascii="宋体" w:hAnsi="宋体"/>
                <w:color w:val="auto"/>
                <w:szCs w:val="21"/>
                <w:highlight w:val="none"/>
              </w:rPr>
            </w:pPr>
            <w:r>
              <w:rPr>
                <w:rFonts w:ascii="宋体" w:hAnsi="宋体"/>
                <w:color w:val="auto"/>
                <w:szCs w:val="21"/>
                <w:highlight w:val="none"/>
              </w:rPr>
              <w:t>备注</w:t>
            </w:r>
          </w:p>
        </w:tc>
      </w:tr>
      <w:tr w14:paraId="0E41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noWrap w:val="0"/>
            <w:vAlign w:val="center"/>
          </w:tcPr>
          <w:p w14:paraId="7A97C212">
            <w:pPr>
              <w:spacing w:line="440" w:lineRule="exact"/>
              <w:jc w:val="center"/>
              <w:rPr>
                <w:rFonts w:hint="eastAsia" w:ascii="宋体" w:hAnsi="宋体"/>
                <w:color w:val="auto"/>
                <w:szCs w:val="21"/>
                <w:highlight w:val="none"/>
              </w:rPr>
            </w:pPr>
          </w:p>
        </w:tc>
        <w:tc>
          <w:tcPr>
            <w:tcW w:w="1000" w:type="pct"/>
            <w:noWrap w:val="0"/>
            <w:vAlign w:val="center"/>
          </w:tcPr>
          <w:p w14:paraId="1FBB44A7">
            <w:pPr>
              <w:spacing w:line="440" w:lineRule="exact"/>
              <w:jc w:val="center"/>
              <w:rPr>
                <w:rFonts w:ascii="宋体" w:hAnsi="宋体"/>
                <w:color w:val="auto"/>
                <w:szCs w:val="21"/>
                <w:highlight w:val="none"/>
              </w:rPr>
            </w:pPr>
          </w:p>
        </w:tc>
        <w:tc>
          <w:tcPr>
            <w:tcW w:w="1000" w:type="pct"/>
            <w:noWrap w:val="0"/>
            <w:vAlign w:val="center"/>
          </w:tcPr>
          <w:p w14:paraId="715D9EB4">
            <w:pPr>
              <w:spacing w:line="440" w:lineRule="exact"/>
              <w:jc w:val="center"/>
              <w:rPr>
                <w:rFonts w:ascii="宋体" w:hAnsi="宋体"/>
                <w:color w:val="auto"/>
                <w:szCs w:val="21"/>
                <w:highlight w:val="none"/>
              </w:rPr>
            </w:pPr>
          </w:p>
        </w:tc>
        <w:tc>
          <w:tcPr>
            <w:tcW w:w="1000" w:type="pct"/>
            <w:noWrap w:val="0"/>
            <w:vAlign w:val="center"/>
          </w:tcPr>
          <w:p w14:paraId="14CA80B1">
            <w:pPr>
              <w:spacing w:line="440" w:lineRule="exact"/>
              <w:jc w:val="center"/>
              <w:rPr>
                <w:rFonts w:ascii="宋体" w:hAnsi="宋体"/>
                <w:color w:val="auto"/>
                <w:szCs w:val="21"/>
                <w:highlight w:val="none"/>
              </w:rPr>
            </w:pPr>
          </w:p>
        </w:tc>
        <w:tc>
          <w:tcPr>
            <w:tcW w:w="1000" w:type="pct"/>
            <w:noWrap w:val="0"/>
            <w:vAlign w:val="center"/>
          </w:tcPr>
          <w:p w14:paraId="018CC4DB">
            <w:pPr>
              <w:spacing w:line="440" w:lineRule="exact"/>
              <w:jc w:val="center"/>
              <w:rPr>
                <w:rFonts w:ascii="宋体" w:hAnsi="宋体"/>
                <w:color w:val="auto"/>
                <w:szCs w:val="21"/>
                <w:highlight w:val="none"/>
              </w:rPr>
            </w:pPr>
          </w:p>
        </w:tc>
      </w:tr>
      <w:tr w14:paraId="0CA3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noWrap w:val="0"/>
            <w:vAlign w:val="center"/>
          </w:tcPr>
          <w:p w14:paraId="26C41027">
            <w:pPr>
              <w:jc w:val="center"/>
              <w:rPr>
                <w:rFonts w:hint="eastAsia" w:ascii="宋体" w:hAnsi="宋体"/>
                <w:bCs/>
                <w:color w:val="auto"/>
                <w:szCs w:val="21"/>
                <w:highlight w:val="none"/>
              </w:rPr>
            </w:pPr>
          </w:p>
        </w:tc>
        <w:tc>
          <w:tcPr>
            <w:tcW w:w="1000" w:type="pct"/>
            <w:noWrap w:val="0"/>
            <w:vAlign w:val="top"/>
          </w:tcPr>
          <w:p w14:paraId="6EDF5978">
            <w:pPr>
              <w:spacing w:line="440" w:lineRule="exact"/>
              <w:jc w:val="center"/>
              <w:rPr>
                <w:rFonts w:hint="eastAsia" w:ascii="宋体" w:hAnsi="宋体"/>
                <w:color w:val="auto"/>
                <w:szCs w:val="21"/>
                <w:highlight w:val="none"/>
              </w:rPr>
            </w:pPr>
          </w:p>
        </w:tc>
        <w:tc>
          <w:tcPr>
            <w:tcW w:w="1000" w:type="pct"/>
            <w:noWrap w:val="0"/>
            <w:vAlign w:val="top"/>
          </w:tcPr>
          <w:p w14:paraId="1C0723D1">
            <w:pPr>
              <w:spacing w:line="440" w:lineRule="exact"/>
              <w:jc w:val="center"/>
              <w:rPr>
                <w:rFonts w:ascii="宋体" w:hAnsi="宋体"/>
                <w:color w:val="auto"/>
                <w:szCs w:val="21"/>
                <w:highlight w:val="none"/>
              </w:rPr>
            </w:pPr>
          </w:p>
        </w:tc>
        <w:tc>
          <w:tcPr>
            <w:tcW w:w="1000" w:type="pct"/>
            <w:noWrap w:val="0"/>
            <w:vAlign w:val="top"/>
          </w:tcPr>
          <w:p w14:paraId="2B525D5B">
            <w:pPr>
              <w:spacing w:line="440" w:lineRule="exact"/>
              <w:jc w:val="center"/>
              <w:rPr>
                <w:rFonts w:ascii="宋体" w:hAnsi="宋体"/>
                <w:color w:val="auto"/>
                <w:szCs w:val="21"/>
                <w:highlight w:val="none"/>
              </w:rPr>
            </w:pPr>
          </w:p>
        </w:tc>
        <w:tc>
          <w:tcPr>
            <w:tcW w:w="1000" w:type="pct"/>
            <w:noWrap w:val="0"/>
            <w:vAlign w:val="top"/>
          </w:tcPr>
          <w:p w14:paraId="1B46AAFC">
            <w:pPr>
              <w:spacing w:line="440" w:lineRule="exact"/>
              <w:jc w:val="center"/>
              <w:rPr>
                <w:rFonts w:ascii="宋体" w:hAnsi="宋体"/>
                <w:color w:val="auto"/>
                <w:szCs w:val="21"/>
                <w:highlight w:val="none"/>
              </w:rPr>
            </w:pPr>
          </w:p>
        </w:tc>
      </w:tr>
      <w:tr w14:paraId="738A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noWrap w:val="0"/>
            <w:vAlign w:val="center"/>
          </w:tcPr>
          <w:p w14:paraId="301FA7F6">
            <w:pPr>
              <w:jc w:val="center"/>
              <w:rPr>
                <w:rFonts w:hint="eastAsia" w:ascii="宋体" w:hAnsi="宋体"/>
                <w:bCs/>
                <w:color w:val="auto"/>
                <w:szCs w:val="21"/>
                <w:highlight w:val="none"/>
              </w:rPr>
            </w:pPr>
          </w:p>
        </w:tc>
        <w:tc>
          <w:tcPr>
            <w:tcW w:w="1000" w:type="pct"/>
            <w:noWrap w:val="0"/>
            <w:vAlign w:val="top"/>
          </w:tcPr>
          <w:p w14:paraId="39423142">
            <w:pPr>
              <w:spacing w:line="440" w:lineRule="exact"/>
              <w:jc w:val="center"/>
              <w:rPr>
                <w:rFonts w:ascii="宋体" w:hAnsi="宋体"/>
                <w:color w:val="auto"/>
                <w:szCs w:val="21"/>
                <w:highlight w:val="none"/>
              </w:rPr>
            </w:pPr>
          </w:p>
        </w:tc>
        <w:tc>
          <w:tcPr>
            <w:tcW w:w="1000" w:type="pct"/>
            <w:noWrap w:val="0"/>
            <w:vAlign w:val="top"/>
          </w:tcPr>
          <w:p w14:paraId="047ECA40">
            <w:pPr>
              <w:spacing w:line="440" w:lineRule="exact"/>
              <w:jc w:val="center"/>
              <w:rPr>
                <w:rFonts w:ascii="宋体" w:hAnsi="宋体"/>
                <w:color w:val="auto"/>
                <w:szCs w:val="21"/>
                <w:highlight w:val="none"/>
              </w:rPr>
            </w:pPr>
          </w:p>
        </w:tc>
        <w:tc>
          <w:tcPr>
            <w:tcW w:w="1000" w:type="pct"/>
            <w:noWrap w:val="0"/>
            <w:vAlign w:val="top"/>
          </w:tcPr>
          <w:p w14:paraId="3C85E248">
            <w:pPr>
              <w:spacing w:line="440" w:lineRule="exact"/>
              <w:jc w:val="center"/>
              <w:rPr>
                <w:rFonts w:ascii="宋体" w:hAnsi="宋体"/>
                <w:color w:val="auto"/>
                <w:szCs w:val="21"/>
                <w:highlight w:val="none"/>
              </w:rPr>
            </w:pPr>
          </w:p>
        </w:tc>
        <w:tc>
          <w:tcPr>
            <w:tcW w:w="1000" w:type="pct"/>
            <w:noWrap w:val="0"/>
            <w:vAlign w:val="top"/>
          </w:tcPr>
          <w:p w14:paraId="745C6748">
            <w:pPr>
              <w:spacing w:line="440" w:lineRule="exact"/>
              <w:jc w:val="center"/>
              <w:rPr>
                <w:rFonts w:ascii="宋体" w:hAnsi="宋体"/>
                <w:color w:val="auto"/>
                <w:szCs w:val="21"/>
                <w:highlight w:val="none"/>
              </w:rPr>
            </w:pPr>
          </w:p>
        </w:tc>
      </w:tr>
      <w:tr w14:paraId="62B0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noWrap w:val="0"/>
            <w:vAlign w:val="center"/>
          </w:tcPr>
          <w:p w14:paraId="17CCF1D6">
            <w:pPr>
              <w:jc w:val="center"/>
              <w:rPr>
                <w:rFonts w:hint="eastAsia" w:ascii="宋体" w:hAnsi="宋体"/>
                <w:bCs/>
                <w:color w:val="auto"/>
                <w:szCs w:val="21"/>
                <w:highlight w:val="none"/>
              </w:rPr>
            </w:pPr>
          </w:p>
        </w:tc>
        <w:tc>
          <w:tcPr>
            <w:tcW w:w="1000" w:type="pct"/>
            <w:noWrap w:val="0"/>
            <w:vAlign w:val="top"/>
          </w:tcPr>
          <w:p w14:paraId="75F5CE14">
            <w:pPr>
              <w:spacing w:line="440" w:lineRule="exact"/>
              <w:jc w:val="center"/>
              <w:rPr>
                <w:rFonts w:ascii="宋体" w:hAnsi="宋体"/>
                <w:color w:val="auto"/>
                <w:szCs w:val="21"/>
                <w:highlight w:val="none"/>
              </w:rPr>
            </w:pPr>
          </w:p>
        </w:tc>
        <w:tc>
          <w:tcPr>
            <w:tcW w:w="1000" w:type="pct"/>
            <w:noWrap w:val="0"/>
            <w:vAlign w:val="top"/>
          </w:tcPr>
          <w:p w14:paraId="789282E3">
            <w:pPr>
              <w:spacing w:line="440" w:lineRule="exact"/>
              <w:jc w:val="center"/>
              <w:rPr>
                <w:rFonts w:ascii="宋体" w:hAnsi="宋体"/>
                <w:color w:val="auto"/>
                <w:szCs w:val="21"/>
                <w:highlight w:val="none"/>
              </w:rPr>
            </w:pPr>
          </w:p>
        </w:tc>
        <w:tc>
          <w:tcPr>
            <w:tcW w:w="1000" w:type="pct"/>
            <w:noWrap w:val="0"/>
            <w:vAlign w:val="top"/>
          </w:tcPr>
          <w:p w14:paraId="2D564C19">
            <w:pPr>
              <w:spacing w:line="440" w:lineRule="exact"/>
              <w:jc w:val="center"/>
              <w:rPr>
                <w:rFonts w:ascii="宋体" w:hAnsi="宋体"/>
                <w:color w:val="auto"/>
                <w:szCs w:val="21"/>
                <w:highlight w:val="none"/>
              </w:rPr>
            </w:pPr>
          </w:p>
        </w:tc>
        <w:tc>
          <w:tcPr>
            <w:tcW w:w="1000" w:type="pct"/>
            <w:noWrap w:val="0"/>
            <w:vAlign w:val="top"/>
          </w:tcPr>
          <w:p w14:paraId="6B931C76">
            <w:pPr>
              <w:spacing w:line="440" w:lineRule="exact"/>
              <w:jc w:val="center"/>
              <w:rPr>
                <w:rFonts w:ascii="宋体" w:hAnsi="宋体"/>
                <w:color w:val="auto"/>
                <w:szCs w:val="21"/>
                <w:highlight w:val="none"/>
              </w:rPr>
            </w:pPr>
          </w:p>
        </w:tc>
      </w:tr>
      <w:tr w14:paraId="7EAD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noWrap w:val="0"/>
            <w:vAlign w:val="center"/>
          </w:tcPr>
          <w:p w14:paraId="60C32343">
            <w:pPr>
              <w:jc w:val="center"/>
              <w:rPr>
                <w:rFonts w:hint="eastAsia" w:ascii="宋体" w:hAnsi="宋体" w:eastAsia="宋体"/>
                <w:bCs/>
                <w:color w:val="auto"/>
                <w:szCs w:val="21"/>
                <w:highlight w:val="none"/>
                <w:lang w:val="en-US" w:eastAsia="zh-CN"/>
              </w:rPr>
            </w:pPr>
          </w:p>
        </w:tc>
        <w:tc>
          <w:tcPr>
            <w:tcW w:w="1000" w:type="pct"/>
            <w:noWrap w:val="0"/>
            <w:vAlign w:val="top"/>
          </w:tcPr>
          <w:p w14:paraId="15C7884F">
            <w:pPr>
              <w:spacing w:line="440" w:lineRule="exact"/>
              <w:jc w:val="center"/>
              <w:rPr>
                <w:rFonts w:ascii="宋体" w:hAnsi="宋体"/>
                <w:color w:val="auto"/>
                <w:szCs w:val="21"/>
                <w:highlight w:val="none"/>
              </w:rPr>
            </w:pPr>
          </w:p>
        </w:tc>
        <w:tc>
          <w:tcPr>
            <w:tcW w:w="1000" w:type="pct"/>
            <w:noWrap w:val="0"/>
            <w:vAlign w:val="top"/>
          </w:tcPr>
          <w:p w14:paraId="2215D0E6">
            <w:pPr>
              <w:spacing w:line="440" w:lineRule="exact"/>
              <w:jc w:val="center"/>
              <w:rPr>
                <w:rFonts w:ascii="宋体" w:hAnsi="宋体"/>
                <w:color w:val="auto"/>
                <w:szCs w:val="21"/>
                <w:highlight w:val="none"/>
              </w:rPr>
            </w:pPr>
          </w:p>
        </w:tc>
        <w:tc>
          <w:tcPr>
            <w:tcW w:w="1000" w:type="pct"/>
            <w:noWrap w:val="0"/>
            <w:vAlign w:val="top"/>
          </w:tcPr>
          <w:p w14:paraId="6A4FD0A7">
            <w:pPr>
              <w:spacing w:line="440" w:lineRule="exact"/>
              <w:jc w:val="center"/>
              <w:rPr>
                <w:rFonts w:ascii="宋体" w:hAnsi="宋体"/>
                <w:color w:val="auto"/>
                <w:szCs w:val="21"/>
                <w:highlight w:val="none"/>
              </w:rPr>
            </w:pPr>
          </w:p>
        </w:tc>
        <w:tc>
          <w:tcPr>
            <w:tcW w:w="1000" w:type="pct"/>
            <w:noWrap w:val="0"/>
            <w:vAlign w:val="top"/>
          </w:tcPr>
          <w:p w14:paraId="572B747B">
            <w:pPr>
              <w:spacing w:line="440" w:lineRule="exact"/>
              <w:jc w:val="center"/>
              <w:rPr>
                <w:rFonts w:ascii="宋体" w:hAnsi="宋体"/>
                <w:color w:val="auto"/>
                <w:szCs w:val="21"/>
                <w:highlight w:val="none"/>
              </w:rPr>
            </w:pPr>
          </w:p>
        </w:tc>
      </w:tr>
      <w:tr w14:paraId="4252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noWrap w:val="0"/>
            <w:vAlign w:val="top"/>
          </w:tcPr>
          <w:p w14:paraId="2DEE4009">
            <w:pPr>
              <w:spacing w:line="440" w:lineRule="exact"/>
              <w:jc w:val="center"/>
              <w:rPr>
                <w:rFonts w:ascii="宋体" w:hAnsi="宋体"/>
                <w:color w:val="auto"/>
                <w:szCs w:val="21"/>
                <w:highlight w:val="none"/>
              </w:rPr>
            </w:pPr>
          </w:p>
        </w:tc>
        <w:tc>
          <w:tcPr>
            <w:tcW w:w="1000" w:type="pct"/>
            <w:noWrap w:val="0"/>
            <w:vAlign w:val="top"/>
          </w:tcPr>
          <w:p w14:paraId="3DABA49E">
            <w:pPr>
              <w:spacing w:line="440" w:lineRule="exact"/>
              <w:jc w:val="center"/>
              <w:rPr>
                <w:rFonts w:ascii="宋体" w:hAnsi="宋体"/>
                <w:color w:val="auto"/>
                <w:szCs w:val="21"/>
                <w:highlight w:val="none"/>
              </w:rPr>
            </w:pPr>
          </w:p>
        </w:tc>
        <w:tc>
          <w:tcPr>
            <w:tcW w:w="1000" w:type="pct"/>
            <w:noWrap w:val="0"/>
            <w:vAlign w:val="top"/>
          </w:tcPr>
          <w:p w14:paraId="20B46588">
            <w:pPr>
              <w:spacing w:line="440" w:lineRule="exact"/>
              <w:jc w:val="center"/>
              <w:rPr>
                <w:rFonts w:ascii="宋体" w:hAnsi="宋体"/>
                <w:color w:val="auto"/>
                <w:szCs w:val="21"/>
                <w:highlight w:val="none"/>
              </w:rPr>
            </w:pPr>
          </w:p>
        </w:tc>
        <w:tc>
          <w:tcPr>
            <w:tcW w:w="1000" w:type="pct"/>
            <w:noWrap w:val="0"/>
            <w:vAlign w:val="top"/>
          </w:tcPr>
          <w:p w14:paraId="299DEF9B">
            <w:pPr>
              <w:spacing w:line="440" w:lineRule="exact"/>
              <w:jc w:val="center"/>
              <w:rPr>
                <w:rFonts w:ascii="宋体" w:hAnsi="宋体"/>
                <w:color w:val="auto"/>
                <w:szCs w:val="21"/>
                <w:highlight w:val="none"/>
              </w:rPr>
            </w:pPr>
          </w:p>
        </w:tc>
        <w:tc>
          <w:tcPr>
            <w:tcW w:w="1000" w:type="pct"/>
            <w:noWrap w:val="0"/>
            <w:vAlign w:val="top"/>
          </w:tcPr>
          <w:p w14:paraId="03D6A7CF">
            <w:pPr>
              <w:spacing w:line="440" w:lineRule="exact"/>
              <w:jc w:val="center"/>
              <w:rPr>
                <w:rFonts w:ascii="宋体" w:hAnsi="宋体"/>
                <w:color w:val="auto"/>
                <w:szCs w:val="21"/>
                <w:highlight w:val="none"/>
              </w:rPr>
            </w:pPr>
          </w:p>
        </w:tc>
      </w:tr>
      <w:tr w14:paraId="39A9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00" w:type="pct"/>
            <w:noWrap w:val="0"/>
            <w:vAlign w:val="top"/>
          </w:tcPr>
          <w:p w14:paraId="71B23B1F">
            <w:pPr>
              <w:spacing w:line="440" w:lineRule="exact"/>
              <w:jc w:val="center"/>
              <w:rPr>
                <w:rFonts w:hint="eastAsia" w:ascii="宋体" w:hAnsi="宋体" w:eastAsia="宋体"/>
                <w:bCs/>
                <w:color w:val="auto"/>
                <w:szCs w:val="21"/>
                <w:highlight w:val="none"/>
                <w:lang w:val="en-US" w:eastAsia="zh-CN"/>
              </w:rPr>
            </w:pPr>
          </w:p>
        </w:tc>
        <w:tc>
          <w:tcPr>
            <w:tcW w:w="1000" w:type="pct"/>
            <w:noWrap w:val="0"/>
            <w:vAlign w:val="top"/>
          </w:tcPr>
          <w:p w14:paraId="7B46DF00">
            <w:pPr>
              <w:spacing w:line="440" w:lineRule="exact"/>
              <w:jc w:val="center"/>
              <w:rPr>
                <w:rFonts w:ascii="宋体" w:hAnsi="宋体"/>
                <w:color w:val="auto"/>
                <w:szCs w:val="21"/>
                <w:highlight w:val="none"/>
              </w:rPr>
            </w:pPr>
          </w:p>
        </w:tc>
        <w:tc>
          <w:tcPr>
            <w:tcW w:w="1000" w:type="pct"/>
            <w:noWrap w:val="0"/>
            <w:vAlign w:val="top"/>
          </w:tcPr>
          <w:p w14:paraId="2E3A906D">
            <w:pPr>
              <w:spacing w:line="440" w:lineRule="exact"/>
              <w:jc w:val="center"/>
              <w:rPr>
                <w:rFonts w:ascii="宋体" w:hAnsi="宋体"/>
                <w:color w:val="auto"/>
                <w:szCs w:val="21"/>
                <w:highlight w:val="none"/>
              </w:rPr>
            </w:pPr>
          </w:p>
        </w:tc>
        <w:tc>
          <w:tcPr>
            <w:tcW w:w="1000" w:type="pct"/>
            <w:noWrap w:val="0"/>
            <w:vAlign w:val="top"/>
          </w:tcPr>
          <w:p w14:paraId="0DD654BC">
            <w:pPr>
              <w:spacing w:line="440" w:lineRule="exact"/>
              <w:jc w:val="center"/>
              <w:rPr>
                <w:rFonts w:ascii="宋体" w:hAnsi="宋体"/>
                <w:color w:val="auto"/>
                <w:szCs w:val="21"/>
                <w:highlight w:val="none"/>
              </w:rPr>
            </w:pPr>
          </w:p>
        </w:tc>
        <w:tc>
          <w:tcPr>
            <w:tcW w:w="1000" w:type="pct"/>
            <w:noWrap w:val="0"/>
            <w:vAlign w:val="top"/>
          </w:tcPr>
          <w:p w14:paraId="210789B8">
            <w:pPr>
              <w:spacing w:line="440" w:lineRule="exact"/>
              <w:jc w:val="center"/>
              <w:rPr>
                <w:rFonts w:ascii="宋体" w:hAnsi="宋体"/>
                <w:color w:val="auto"/>
                <w:szCs w:val="21"/>
                <w:highlight w:val="none"/>
              </w:rPr>
            </w:pPr>
          </w:p>
        </w:tc>
      </w:tr>
      <w:tr w14:paraId="52DF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noWrap w:val="0"/>
            <w:vAlign w:val="top"/>
          </w:tcPr>
          <w:p w14:paraId="27D8B3C5">
            <w:pPr>
              <w:spacing w:line="440" w:lineRule="exact"/>
              <w:jc w:val="center"/>
              <w:rPr>
                <w:rFonts w:ascii="宋体" w:hAnsi="宋体"/>
                <w:color w:val="auto"/>
                <w:szCs w:val="21"/>
                <w:highlight w:val="none"/>
              </w:rPr>
            </w:pPr>
          </w:p>
        </w:tc>
        <w:tc>
          <w:tcPr>
            <w:tcW w:w="1000" w:type="pct"/>
            <w:noWrap w:val="0"/>
            <w:vAlign w:val="top"/>
          </w:tcPr>
          <w:p w14:paraId="2D5A10F7">
            <w:pPr>
              <w:spacing w:line="440" w:lineRule="exact"/>
              <w:jc w:val="center"/>
              <w:rPr>
                <w:rFonts w:ascii="宋体" w:hAnsi="宋体"/>
                <w:color w:val="auto"/>
                <w:szCs w:val="21"/>
                <w:highlight w:val="none"/>
              </w:rPr>
            </w:pPr>
          </w:p>
        </w:tc>
        <w:tc>
          <w:tcPr>
            <w:tcW w:w="1000" w:type="pct"/>
            <w:noWrap w:val="0"/>
            <w:vAlign w:val="top"/>
          </w:tcPr>
          <w:p w14:paraId="3D544497">
            <w:pPr>
              <w:spacing w:line="440" w:lineRule="exact"/>
              <w:jc w:val="center"/>
              <w:rPr>
                <w:rFonts w:ascii="宋体" w:hAnsi="宋体"/>
                <w:color w:val="auto"/>
                <w:szCs w:val="21"/>
                <w:highlight w:val="none"/>
              </w:rPr>
            </w:pPr>
          </w:p>
        </w:tc>
        <w:tc>
          <w:tcPr>
            <w:tcW w:w="1000" w:type="pct"/>
            <w:noWrap w:val="0"/>
            <w:vAlign w:val="top"/>
          </w:tcPr>
          <w:p w14:paraId="5004CF88">
            <w:pPr>
              <w:spacing w:line="440" w:lineRule="exact"/>
              <w:jc w:val="center"/>
              <w:rPr>
                <w:rFonts w:ascii="宋体" w:hAnsi="宋体"/>
                <w:color w:val="auto"/>
                <w:szCs w:val="21"/>
                <w:highlight w:val="none"/>
              </w:rPr>
            </w:pPr>
          </w:p>
        </w:tc>
        <w:tc>
          <w:tcPr>
            <w:tcW w:w="1000" w:type="pct"/>
            <w:noWrap w:val="0"/>
            <w:vAlign w:val="top"/>
          </w:tcPr>
          <w:p w14:paraId="62C30BB5">
            <w:pPr>
              <w:spacing w:line="440" w:lineRule="exact"/>
              <w:jc w:val="center"/>
              <w:rPr>
                <w:rFonts w:ascii="宋体" w:hAnsi="宋体"/>
                <w:color w:val="auto"/>
                <w:szCs w:val="21"/>
                <w:highlight w:val="none"/>
              </w:rPr>
            </w:pPr>
          </w:p>
        </w:tc>
      </w:tr>
      <w:tr w14:paraId="7E84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noWrap w:val="0"/>
            <w:vAlign w:val="top"/>
          </w:tcPr>
          <w:p w14:paraId="64264E7D">
            <w:pPr>
              <w:spacing w:line="440" w:lineRule="exact"/>
              <w:jc w:val="center"/>
              <w:rPr>
                <w:rFonts w:ascii="宋体" w:hAnsi="宋体"/>
                <w:color w:val="auto"/>
                <w:szCs w:val="21"/>
                <w:highlight w:val="none"/>
              </w:rPr>
            </w:pPr>
          </w:p>
        </w:tc>
        <w:tc>
          <w:tcPr>
            <w:tcW w:w="1000" w:type="pct"/>
            <w:noWrap w:val="0"/>
            <w:vAlign w:val="top"/>
          </w:tcPr>
          <w:p w14:paraId="511AABBD">
            <w:pPr>
              <w:spacing w:line="440" w:lineRule="exact"/>
              <w:jc w:val="center"/>
              <w:rPr>
                <w:rFonts w:ascii="宋体" w:hAnsi="宋体"/>
                <w:color w:val="auto"/>
                <w:szCs w:val="21"/>
                <w:highlight w:val="none"/>
              </w:rPr>
            </w:pPr>
          </w:p>
        </w:tc>
        <w:tc>
          <w:tcPr>
            <w:tcW w:w="1000" w:type="pct"/>
            <w:noWrap w:val="0"/>
            <w:vAlign w:val="top"/>
          </w:tcPr>
          <w:p w14:paraId="5102A420">
            <w:pPr>
              <w:spacing w:line="440" w:lineRule="exact"/>
              <w:jc w:val="center"/>
              <w:rPr>
                <w:rFonts w:ascii="宋体" w:hAnsi="宋体"/>
                <w:color w:val="auto"/>
                <w:szCs w:val="21"/>
                <w:highlight w:val="none"/>
              </w:rPr>
            </w:pPr>
          </w:p>
        </w:tc>
        <w:tc>
          <w:tcPr>
            <w:tcW w:w="1000" w:type="pct"/>
            <w:noWrap w:val="0"/>
            <w:vAlign w:val="top"/>
          </w:tcPr>
          <w:p w14:paraId="11DC567C">
            <w:pPr>
              <w:spacing w:line="440" w:lineRule="exact"/>
              <w:jc w:val="center"/>
              <w:rPr>
                <w:rFonts w:ascii="宋体" w:hAnsi="宋体"/>
                <w:color w:val="auto"/>
                <w:szCs w:val="21"/>
                <w:highlight w:val="none"/>
              </w:rPr>
            </w:pPr>
          </w:p>
        </w:tc>
        <w:tc>
          <w:tcPr>
            <w:tcW w:w="1000" w:type="pct"/>
            <w:noWrap w:val="0"/>
            <w:vAlign w:val="top"/>
          </w:tcPr>
          <w:p w14:paraId="32AF900D">
            <w:pPr>
              <w:spacing w:line="440" w:lineRule="exact"/>
              <w:jc w:val="center"/>
              <w:rPr>
                <w:rFonts w:ascii="宋体" w:hAnsi="宋体"/>
                <w:color w:val="auto"/>
                <w:szCs w:val="21"/>
                <w:highlight w:val="none"/>
              </w:rPr>
            </w:pPr>
          </w:p>
        </w:tc>
      </w:tr>
    </w:tbl>
    <w:p w14:paraId="2D5F1AE0">
      <w:pPr>
        <w:spacing w:line="440" w:lineRule="exact"/>
        <w:ind w:left="210" w:leftChars="100"/>
        <w:rPr>
          <w:rFonts w:hint="eastAsia" w:ascii="宋体" w:hAnsi="宋体"/>
          <w:color w:val="auto"/>
          <w:szCs w:val="21"/>
          <w:highlight w:val="none"/>
        </w:rPr>
      </w:pPr>
      <w:r>
        <w:rPr>
          <w:rFonts w:hint="eastAsia" w:ascii="宋体" w:hAnsi="宋体"/>
          <w:color w:val="auto"/>
          <w:szCs w:val="21"/>
          <w:highlight w:val="none"/>
        </w:rPr>
        <w:t>注：1、本</w:t>
      </w:r>
      <w:r>
        <w:rPr>
          <w:rFonts w:hint="eastAsia" w:ascii="宋体" w:hAnsi="宋体" w:eastAsia="宋体"/>
          <w:color w:val="auto"/>
          <w:szCs w:val="21"/>
          <w:highlight w:val="none"/>
          <w:lang w:val="en-US" w:eastAsia="zh-CN"/>
        </w:rPr>
        <w:t>项目</w:t>
      </w:r>
      <w:r>
        <w:rPr>
          <w:rFonts w:hint="eastAsia" w:ascii="宋体" w:hAnsi="宋体"/>
          <w:color w:val="auto"/>
          <w:szCs w:val="21"/>
          <w:highlight w:val="none"/>
        </w:rPr>
        <w:t>一旦我单位</w:t>
      </w:r>
      <w:r>
        <w:rPr>
          <w:rFonts w:hint="eastAsia" w:ascii="宋体" w:hAnsi="宋体"/>
          <w:color w:val="auto"/>
          <w:szCs w:val="21"/>
          <w:highlight w:val="none"/>
          <w:lang w:val="en-US" w:eastAsia="zh-CN"/>
        </w:rPr>
        <w:t>承担承接</w:t>
      </w:r>
      <w:r>
        <w:rPr>
          <w:rFonts w:hint="eastAsia" w:ascii="宋体" w:hAnsi="宋体"/>
          <w:color w:val="auto"/>
          <w:szCs w:val="21"/>
          <w:highlight w:val="none"/>
        </w:rPr>
        <w:t>，将配备上述项目管理人员。上述填报内容真实，如不真实，将按照有关规定接受处理。</w:t>
      </w:r>
    </w:p>
    <w:p w14:paraId="2EDC3517">
      <w:pPr>
        <w:numPr>
          <w:ilvl w:val="0"/>
          <w:numId w:val="6"/>
        </w:numPr>
        <w:spacing w:line="440" w:lineRule="exact"/>
        <w:ind w:leftChars="0"/>
        <w:outlineLvl w:val="9"/>
        <w:rPr>
          <w:rFonts w:hint="eastAsia" w:ascii="宋体" w:hAnsi="宋体" w:eastAsia="宋体"/>
          <w:color w:val="auto"/>
          <w:szCs w:val="21"/>
          <w:highlight w:val="none"/>
          <w:lang w:val="en-US" w:eastAsia="zh-CN"/>
        </w:rPr>
      </w:pPr>
      <w:r>
        <w:rPr>
          <w:rFonts w:ascii="宋体" w:hAnsi="宋体"/>
          <w:color w:val="auto"/>
          <w:szCs w:val="21"/>
          <w:highlight w:val="none"/>
        </w:rPr>
        <w:br w:type="page"/>
      </w:r>
    </w:p>
    <w:p w14:paraId="566D5634">
      <w:pPr>
        <w:numPr>
          <w:ilvl w:val="0"/>
          <w:numId w:val="0"/>
        </w:numPr>
        <w:spacing w:line="440" w:lineRule="exact"/>
        <w:ind w:leftChars="0" w:firstLine="3640" w:firstLineChars="1300"/>
        <w:outlineLvl w:val="3"/>
        <w:rPr>
          <w:rFonts w:hint="eastAsia" w:ascii="宋体" w:hAnsi="宋体" w:cs="宋体"/>
          <w:b w:val="0"/>
          <w:bCs w:val="0"/>
          <w:color w:val="auto"/>
          <w:sz w:val="28"/>
          <w:szCs w:val="28"/>
          <w:highlight w:val="none"/>
          <w:lang w:val="en-US" w:eastAsia="zh-CN"/>
        </w:rPr>
        <w:sectPr>
          <w:pgSz w:w="11906" w:h="16840"/>
          <w:pgMar w:top="1431" w:right="1541" w:bottom="1025" w:left="1252" w:header="0" w:footer="856" w:gutter="0"/>
          <w:pgNumType w:fmt="decimal"/>
          <w:cols w:space="720" w:num="1"/>
        </w:sectPr>
      </w:pPr>
    </w:p>
    <w:p w14:paraId="791EC5D0">
      <w:pPr>
        <w:pStyle w:val="36"/>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val="0"/>
          <w:bCs/>
          <w:color w:val="auto"/>
          <w:sz w:val="28"/>
          <w:szCs w:val="28"/>
          <w:highlight w:val="none"/>
        </w:rPr>
      </w:pPr>
      <w:r>
        <w:rPr>
          <w:rFonts w:hint="eastAsia" w:hAnsi="宋体" w:cs="宋体"/>
          <w:color w:val="auto"/>
          <w:kern w:val="0"/>
          <w:sz w:val="28"/>
          <w:szCs w:val="28"/>
          <w:highlight w:val="none"/>
          <w:lang w:val="en-US" w:eastAsia="zh-CN" w:bidi="ar-SA"/>
        </w:rPr>
        <w:t>8.</w:t>
      </w:r>
      <w:r>
        <w:rPr>
          <w:rFonts w:hint="eastAsia" w:ascii="宋体" w:hAnsi="宋体" w:eastAsia="宋体" w:cs="宋体"/>
          <w:b w:val="0"/>
          <w:bCs/>
          <w:color w:val="auto"/>
          <w:sz w:val="28"/>
          <w:szCs w:val="28"/>
          <w:highlight w:val="none"/>
        </w:rPr>
        <w:t>业绩一览表</w:t>
      </w:r>
    </w:p>
    <w:p w14:paraId="49899AFE">
      <w:pPr>
        <w:topLinePunct/>
        <w:autoSpaceDE w:val="0"/>
        <w:autoSpaceDN w:val="0"/>
        <w:adjustRightInd w:val="0"/>
        <w:snapToGrid w:val="0"/>
        <w:spacing w:after="0" w:line="240" w:lineRule="auto"/>
        <w:jc w:val="center"/>
        <w:rPr>
          <w:rFonts w:hint="eastAsia" w:ascii="宋体" w:hAnsi="宋体" w:eastAsia="宋体" w:cs="宋体"/>
          <w:color w:val="auto"/>
          <w:highlight w:val="none"/>
        </w:rPr>
      </w:pPr>
    </w:p>
    <w:tbl>
      <w:tblPr>
        <w:tblStyle w:val="19"/>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90"/>
        <w:gridCol w:w="730"/>
        <w:gridCol w:w="700"/>
        <w:gridCol w:w="880"/>
        <w:gridCol w:w="1150"/>
        <w:gridCol w:w="1170"/>
        <w:gridCol w:w="1050"/>
        <w:gridCol w:w="1203"/>
      </w:tblGrid>
      <w:tr w14:paraId="115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6407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490" w:type="dxa"/>
            <w:tcBorders>
              <w:top w:val="single" w:color="auto" w:sz="4" w:space="0"/>
              <w:left w:val="single" w:color="auto" w:sz="4" w:space="0"/>
              <w:bottom w:val="single" w:color="auto" w:sz="4" w:space="0"/>
              <w:right w:val="single" w:color="auto" w:sz="4" w:space="0"/>
            </w:tcBorders>
            <w:noWrap/>
            <w:vAlign w:val="center"/>
          </w:tcPr>
          <w:p w14:paraId="46FA92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2E03FE3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730" w:type="dxa"/>
            <w:tcBorders>
              <w:top w:val="single" w:color="auto" w:sz="4" w:space="0"/>
              <w:left w:val="single" w:color="auto" w:sz="4" w:space="0"/>
              <w:bottom w:val="single" w:color="auto" w:sz="4" w:space="0"/>
              <w:right w:val="single" w:color="auto" w:sz="4" w:space="0"/>
            </w:tcBorders>
            <w:noWrap/>
            <w:vAlign w:val="center"/>
          </w:tcPr>
          <w:p w14:paraId="558A8A1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5072CD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w:t>
            </w:r>
          </w:p>
        </w:tc>
        <w:tc>
          <w:tcPr>
            <w:tcW w:w="700" w:type="dxa"/>
            <w:tcBorders>
              <w:top w:val="single" w:color="auto" w:sz="4" w:space="0"/>
              <w:left w:val="single" w:color="auto" w:sz="4" w:space="0"/>
              <w:bottom w:val="single" w:color="auto" w:sz="4" w:space="0"/>
              <w:right w:val="single" w:color="auto" w:sz="4" w:space="0"/>
            </w:tcBorders>
            <w:noWrap/>
            <w:vAlign w:val="center"/>
          </w:tcPr>
          <w:p w14:paraId="0D8620F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合同时间</w:t>
            </w:r>
          </w:p>
        </w:tc>
        <w:tc>
          <w:tcPr>
            <w:tcW w:w="880" w:type="dxa"/>
            <w:tcBorders>
              <w:top w:val="single" w:color="auto" w:sz="4" w:space="0"/>
              <w:left w:val="single" w:color="auto" w:sz="4" w:space="0"/>
              <w:bottom w:val="single" w:color="auto" w:sz="4" w:space="0"/>
              <w:right w:val="single" w:color="auto" w:sz="4" w:space="0"/>
            </w:tcBorders>
            <w:noWrap/>
            <w:vAlign w:val="center"/>
          </w:tcPr>
          <w:p w14:paraId="0719362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7C8B049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w:t>
            </w:r>
          </w:p>
        </w:tc>
        <w:tc>
          <w:tcPr>
            <w:tcW w:w="1150" w:type="dxa"/>
            <w:tcBorders>
              <w:top w:val="single" w:color="auto" w:sz="4" w:space="0"/>
              <w:left w:val="single" w:color="auto" w:sz="4" w:space="0"/>
              <w:bottom w:val="single" w:color="auto" w:sz="4" w:space="0"/>
              <w:right w:val="single" w:color="auto" w:sz="4" w:space="0"/>
            </w:tcBorders>
            <w:noWrap/>
            <w:vAlign w:val="center"/>
          </w:tcPr>
          <w:p w14:paraId="4BC5996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合同主要</w:t>
            </w:r>
          </w:p>
          <w:p w14:paraId="2EA7168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内容</w:t>
            </w:r>
          </w:p>
        </w:tc>
        <w:tc>
          <w:tcPr>
            <w:tcW w:w="1170" w:type="dxa"/>
            <w:tcBorders>
              <w:top w:val="single" w:color="auto" w:sz="4" w:space="0"/>
              <w:left w:val="single" w:color="auto" w:sz="4" w:space="0"/>
              <w:bottom w:val="single" w:color="auto" w:sz="4" w:space="0"/>
              <w:right w:val="single" w:color="auto" w:sz="4" w:space="0"/>
            </w:tcBorders>
            <w:noWrap/>
            <w:vAlign w:val="center"/>
          </w:tcPr>
          <w:p w14:paraId="682CF4F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  户</w:t>
            </w:r>
          </w:p>
          <w:p w14:paraId="2CE9F03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联系人</w:t>
            </w:r>
          </w:p>
        </w:tc>
        <w:tc>
          <w:tcPr>
            <w:tcW w:w="1050" w:type="dxa"/>
            <w:tcBorders>
              <w:top w:val="single" w:color="auto" w:sz="4" w:space="0"/>
              <w:left w:val="single" w:color="auto" w:sz="4" w:space="0"/>
              <w:bottom w:val="single" w:color="auto" w:sz="4" w:space="0"/>
              <w:right w:val="single" w:color="auto" w:sz="4" w:space="0"/>
            </w:tcBorders>
            <w:noWrap/>
            <w:vAlign w:val="center"/>
          </w:tcPr>
          <w:p w14:paraId="67124D0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用户联</w:t>
            </w:r>
          </w:p>
          <w:p w14:paraId="1C32F24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系电话</w:t>
            </w:r>
          </w:p>
        </w:tc>
        <w:tc>
          <w:tcPr>
            <w:tcW w:w="1203" w:type="dxa"/>
            <w:tcBorders>
              <w:top w:val="single" w:color="auto" w:sz="4" w:space="0"/>
              <w:left w:val="single" w:color="auto" w:sz="4" w:space="0"/>
              <w:bottom w:val="single" w:color="auto" w:sz="4" w:space="0"/>
              <w:right w:val="single" w:color="auto" w:sz="4" w:space="0"/>
            </w:tcBorders>
            <w:noWrap/>
            <w:vAlign w:val="center"/>
          </w:tcPr>
          <w:p w14:paraId="5E2ED99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644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72D712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490" w:type="dxa"/>
            <w:tcBorders>
              <w:top w:val="single" w:color="auto" w:sz="4" w:space="0"/>
              <w:left w:val="single" w:color="auto" w:sz="4" w:space="0"/>
              <w:bottom w:val="single" w:color="auto" w:sz="4" w:space="0"/>
              <w:right w:val="single" w:color="auto" w:sz="4" w:space="0"/>
            </w:tcBorders>
            <w:noWrap/>
            <w:vAlign w:val="center"/>
          </w:tcPr>
          <w:p w14:paraId="70E21C0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4A30A9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0E93DB3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6A1A764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02379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A4DCF3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5FBCC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367D8F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304D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F1CE26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490" w:type="dxa"/>
            <w:tcBorders>
              <w:top w:val="single" w:color="auto" w:sz="4" w:space="0"/>
              <w:left w:val="single" w:color="auto" w:sz="4" w:space="0"/>
              <w:bottom w:val="single" w:color="auto" w:sz="4" w:space="0"/>
              <w:right w:val="single" w:color="auto" w:sz="4" w:space="0"/>
            </w:tcBorders>
            <w:noWrap/>
            <w:vAlign w:val="center"/>
          </w:tcPr>
          <w:p w14:paraId="14CA5C7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F1BB30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7AF1B8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39AADFD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7C96784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5D8A7CB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2AA016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55325DF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7EE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EE35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490" w:type="dxa"/>
            <w:tcBorders>
              <w:top w:val="single" w:color="auto" w:sz="4" w:space="0"/>
              <w:left w:val="single" w:color="auto" w:sz="4" w:space="0"/>
              <w:bottom w:val="single" w:color="auto" w:sz="4" w:space="0"/>
              <w:right w:val="single" w:color="auto" w:sz="4" w:space="0"/>
            </w:tcBorders>
            <w:noWrap/>
            <w:vAlign w:val="center"/>
          </w:tcPr>
          <w:p w14:paraId="767645B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FFA97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1FB5428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0CB61B7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1F5747A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1036FC5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947E2B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274566E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6EE5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45B695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1490" w:type="dxa"/>
            <w:tcBorders>
              <w:top w:val="single" w:color="auto" w:sz="4" w:space="0"/>
              <w:left w:val="single" w:color="auto" w:sz="4" w:space="0"/>
              <w:bottom w:val="single" w:color="auto" w:sz="4" w:space="0"/>
              <w:right w:val="single" w:color="auto" w:sz="4" w:space="0"/>
            </w:tcBorders>
            <w:noWrap/>
            <w:vAlign w:val="center"/>
          </w:tcPr>
          <w:p w14:paraId="4E8154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71FFBF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30B09FD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7445D7A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2B60D2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3CC058E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2F325A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78398A1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E8D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827134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1490" w:type="dxa"/>
            <w:tcBorders>
              <w:top w:val="single" w:color="auto" w:sz="4" w:space="0"/>
              <w:left w:val="single" w:color="auto" w:sz="4" w:space="0"/>
              <w:bottom w:val="single" w:color="auto" w:sz="4" w:space="0"/>
              <w:right w:val="single" w:color="auto" w:sz="4" w:space="0"/>
            </w:tcBorders>
            <w:noWrap/>
            <w:vAlign w:val="center"/>
          </w:tcPr>
          <w:p w14:paraId="21BB815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40105A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E0C39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5398770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20AF59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CE9DD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4F6F5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4E3309C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049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B76D16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c>
          <w:tcPr>
            <w:tcW w:w="1490" w:type="dxa"/>
            <w:tcBorders>
              <w:top w:val="single" w:color="auto" w:sz="4" w:space="0"/>
              <w:left w:val="single" w:color="auto" w:sz="4" w:space="0"/>
              <w:bottom w:val="single" w:color="auto" w:sz="4" w:space="0"/>
              <w:right w:val="single" w:color="auto" w:sz="4" w:space="0"/>
            </w:tcBorders>
            <w:noWrap/>
            <w:vAlign w:val="center"/>
          </w:tcPr>
          <w:p w14:paraId="0E08334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4E46F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68F9BD6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243894E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FF7DD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7CEF75D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654364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05C6BF5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bl>
    <w:p w14:paraId="018AF7BF">
      <w:pPr>
        <w:spacing w:line="440" w:lineRule="exact"/>
        <w:outlineLvl w:val="3"/>
        <w:rPr>
          <w:rFonts w:hint="eastAsia" w:ascii="宋体" w:hAnsi="宋体" w:eastAsia="宋体" w:cs="宋体"/>
          <w:color w:val="auto"/>
          <w:szCs w:val="21"/>
          <w:highlight w:val="none"/>
          <w:lang w:eastAsia="zh-CN"/>
        </w:rPr>
      </w:pPr>
    </w:p>
    <w:p w14:paraId="4C90C1B8">
      <w:pPr>
        <w:numPr>
          <w:ilvl w:val="0"/>
          <w:numId w:val="0"/>
        </w:numPr>
        <w:spacing w:line="440" w:lineRule="exact"/>
        <w:ind w:leftChars="0" w:firstLine="3640" w:firstLineChars="1300"/>
        <w:outlineLvl w:val="3"/>
        <w:rPr>
          <w:rFonts w:hint="eastAsia" w:ascii="宋体" w:hAnsi="宋体" w:cs="宋体"/>
          <w:b w:val="0"/>
          <w:bCs w:val="0"/>
          <w:color w:val="auto"/>
          <w:sz w:val="28"/>
          <w:szCs w:val="28"/>
          <w:highlight w:val="none"/>
          <w:lang w:val="en-US" w:eastAsia="zh-CN"/>
        </w:rPr>
        <w:sectPr>
          <w:pgSz w:w="11906" w:h="16840"/>
          <w:pgMar w:top="1431" w:right="1541" w:bottom="1025" w:left="1252" w:header="0" w:footer="856" w:gutter="0"/>
          <w:pgNumType w:fmt="decimal"/>
          <w:cols w:space="720" w:num="1"/>
        </w:sectPr>
      </w:pPr>
    </w:p>
    <w:p w14:paraId="32152900">
      <w:pPr>
        <w:numPr>
          <w:ilvl w:val="0"/>
          <w:numId w:val="0"/>
        </w:numPr>
        <w:spacing w:line="440" w:lineRule="exact"/>
        <w:ind w:leftChars="0" w:firstLine="3640" w:firstLineChars="1300"/>
        <w:outlineLvl w:val="3"/>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9、技术方案</w:t>
      </w:r>
    </w:p>
    <w:p w14:paraId="354DA5FE">
      <w:pPr>
        <w:spacing w:line="240" w:lineRule="atLeast"/>
        <w:jc w:val="both"/>
        <w:rPr>
          <w:rFonts w:hint="eastAsia" w:ascii="宋体" w:hAnsi="宋体" w:eastAsia="宋体" w:cs="宋体"/>
          <w:b/>
          <w:bCs/>
          <w:color w:val="auto"/>
          <w:sz w:val="28"/>
          <w:szCs w:val="28"/>
          <w:highlight w:val="none"/>
          <w:lang w:val="en-US" w:eastAsia="zh-CN"/>
        </w:rPr>
      </w:pPr>
    </w:p>
    <w:p w14:paraId="1BCB3F3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 xml:space="preserve"> 投标人按照第6章评标办法列出的评分标准自行编制技术方案</w:t>
      </w:r>
    </w:p>
    <w:p w14:paraId="34FBB64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highlight w:val="none"/>
          <w:lang w:val="en-US" w:eastAsia="zh-CN" w:bidi="ar"/>
        </w:rPr>
      </w:pPr>
    </w:p>
    <w:p w14:paraId="272DF8A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highlight w:val="none"/>
          <w:lang w:val="en-US" w:eastAsia="zh-CN" w:bidi="ar"/>
        </w:rPr>
      </w:pPr>
    </w:p>
    <w:p w14:paraId="57CFF440">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highlight w:val="none"/>
          <w:lang w:val="en-US" w:eastAsia="zh-CN" w:bidi="ar"/>
        </w:rPr>
      </w:pPr>
    </w:p>
    <w:p w14:paraId="37C9945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highlight w:val="none"/>
          <w:lang w:val="en-US" w:eastAsia="zh-CN" w:bidi="ar"/>
        </w:rPr>
      </w:pPr>
    </w:p>
    <w:p w14:paraId="1A1138A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highlight w:val="none"/>
          <w:lang w:val="en-US" w:eastAsia="zh-CN" w:bidi="ar"/>
        </w:rPr>
      </w:pPr>
    </w:p>
    <w:p w14:paraId="7482710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highlight w:val="none"/>
          <w:lang w:val="en-US" w:eastAsia="zh-CN" w:bidi="ar"/>
        </w:rPr>
      </w:pPr>
    </w:p>
    <w:p w14:paraId="43E7BF1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32"/>
          <w:szCs w:val="32"/>
          <w:highlight w:val="none"/>
          <w:lang w:val="en-US" w:eastAsia="zh-CN" w:bidi="ar"/>
        </w:rPr>
      </w:pPr>
    </w:p>
    <w:p w14:paraId="7F0BFEB4">
      <w:pPr>
        <w:numPr>
          <w:ilvl w:val="0"/>
          <w:numId w:val="0"/>
        </w:numPr>
        <w:spacing w:line="440" w:lineRule="exact"/>
        <w:ind w:firstLine="1960" w:firstLineChars="700"/>
        <w:jc w:val="both"/>
        <w:rPr>
          <w:rFonts w:hint="eastAsia" w:ascii="宋体" w:hAnsi="宋体" w:eastAsia="宋体"/>
          <w:color w:val="auto"/>
          <w:sz w:val="28"/>
          <w:szCs w:val="28"/>
          <w:highlight w:val="none"/>
          <w:lang w:val="en-US" w:eastAsia="zh-CN"/>
        </w:rPr>
      </w:pPr>
    </w:p>
    <w:p w14:paraId="0D2DFB57">
      <w:pPr>
        <w:numPr>
          <w:ilvl w:val="0"/>
          <w:numId w:val="0"/>
        </w:numPr>
        <w:spacing w:line="440" w:lineRule="exact"/>
        <w:ind w:firstLine="1960" w:firstLineChars="700"/>
        <w:jc w:val="both"/>
        <w:rPr>
          <w:rFonts w:hint="eastAsia" w:ascii="宋体" w:hAnsi="宋体" w:eastAsia="宋体"/>
          <w:color w:val="auto"/>
          <w:sz w:val="28"/>
          <w:szCs w:val="28"/>
          <w:highlight w:val="none"/>
          <w:lang w:val="en-US" w:eastAsia="zh-CN"/>
        </w:rPr>
      </w:pPr>
    </w:p>
    <w:p w14:paraId="225AC253">
      <w:pPr>
        <w:numPr>
          <w:ilvl w:val="0"/>
          <w:numId w:val="0"/>
        </w:numPr>
        <w:spacing w:line="440" w:lineRule="exact"/>
        <w:ind w:firstLine="1960" w:firstLineChars="700"/>
        <w:jc w:val="both"/>
        <w:outlineLvl w:val="3"/>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10、投标人认为有利于投标的其他资料</w:t>
      </w:r>
    </w:p>
    <w:p w14:paraId="477086BC">
      <w:pPr>
        <w:pStyle w:val="15"/>
        <w:numPr>
          <w:ilvl w:val="0"/>
          <w:numId w:val="0"/>
        </w:numPr>
        <w:ind w:leftChars="-200"/>
        <w:rPr>
          <w:rFonts w:hint="default"/>
          <w:color w:val="auto"/>
          <w:highlight w:val="none"/>
          <w:lang w:val="en-US" w:eastAsia="zh-CN"/>
        </w:rPr>
      </w:pPr>
    </w:p>
    <w:p w14:paraId="3A2AA9D3">
      <w:pPr>
        <w:spacing w:before="181"/>
        <w:rPr>
          <w:rFonts w:hint="eastAsia" w:ascii="宋体" w:hAnsi="宋体" w:eastAsia="宋体" w:cs="宋体"/>
          <w:color w:val="auto"/>
          <w:sz w:val="28"/>
          <w:szCs w:val="28"/>
          <w:highlight w:val="none"/>
          <w:u w:val="single"/>
        </w:rPr>
      </w:pPr>
    </w:p>
    <w:p w14:paraId="6A36A5BE">
      <w:pPr>
        <w:spacing w:before="181"/>
        <w:rPr>
          <w:rFonts w:hint="eastAsia" w:ascii="宋体" w:hAnsi="宋体" w:eastAsia="宋体" w:cs="宋体"/>
          <w:color w:val="auto"/>
          <w:sz w:val="28"/>
          <w:szCs w:val="28"/>
          <w:highlight w:val="none"/>
          <w:u w:val="single"/>
        </w:rPr>
      </w:pPr>
    </w:p>
    <w:p w14:paraId="4A6AE620">
      <w:pPr>
        <w:spacing w:before="181"/>
        <w:rPr>
          <w:rFonts w:hint="eastAsia" w:ascii="宋体" w:hAnsi="宋体" w:eastAsia="宋体" w:cs="宋体"/>
          <w:color w:val="auto"/>
          <w:sz w:val="28"/>
          <w:szCs w:val="28"/>
          <w:highlight w:val="none"/>
          <w:u w:val="single"/>
        </w:rPr>
      </w:pPr>
    </w:p>
    <w:p w14:paraId="66611BD3">
      <w:pPr>
        <w:spacing w:before="181"/>
        <w:rPr>
          <w:rFonts w:hint="eastAsia" w:ascii="宋体" w:hAnsi="宋体" w:eastAsia="宋体" w:cs="宋体"/>
          <w:color w:val="auto"/>
          <w:sz w:val="28"/>
          <w:szCs w:val="28"/>
          <w:highlight w:val="none"/>
          <w:u w:val="single"/>
        </w:rPr>
      </w:pPr>
    </w:p>
    <w:p w14:paraId="0C3B8380">
      <w:pPr>
        <w:spacing w:before="181"/>
        <w:rPr>
          <w:rFonts w:hint="eastAsia" w:ascii="宋体" w:hAnsi="宋体" w:eastAsia="宋体" w:cs="宋体"/>
          <w:color w:val="auto"/>
          <w:sz w:val="28"/>
          <w:szCs w:val="28"/>
          <w:highlight w:val="none"/>
          <w:u w:val="single"/>
        </w:rPr>
      </w:pPr>
    </w:p>
    <w:p w14:paraId="1E44DEC0">
      <w:pPr>
        <w:spacing w:before="181"/>
        <w:rPr>
          <w:rFonts w:hint="eastAsia" w:ascii="宋体" w:hAnsi="宋体" w:eastAsia="宋体" w:cs="宋体"/>
          <w:color w:val="auto"/>
          <w:sz w:val="28"/>
          <w:szCs w:val="28"/>
          <w:highlight w:val="none"/>
          <w:u w:val="single"/>
        </w:rPr>
      </w:pPr>
    </w:p>
    <w:p w14:paraId="48B875D5">
      <w:pPr>
        <w:spacing w:before="181"/>
        <w:rPr>
          <w:rFonts w:hint="eastAsia" w:ascii="宋体" w:hAnsi="宋体" w:eastAsia="宋体" w:cs="宋体"/>
          <w:color w:val="auto"/>
          <w:sz w:val="28"/>
          <w:szCs w:val="28"/>
          <w:highlight w:val="none"/>
          <w:u w:val="single"/>
        </w:rPr>
      </w:pPr>
    </w:p>
    <w:p w14:paraId="32E138C6">
      <w:pPr>
        <w:spacing w:before="181"/>
        <w:rPr>
          <w:rFonts w:hint="eastAsia" w:ascii="宋体" w:hAnsi="宋体" w:eastAsia="宋体" w:cs="宋体"/>
          <w:color w:val="auto"/>
          <w:sz w:val="28"/>
          <w:szCs w:val="28"/>
          <w:highlight w:val="none"/>
          <w:u w:val="single"/>
        </w:rPr>
      </w:pPr>
    </w:p>
    <w:p w14:paraId="316418D8">
      <w:pPr>
        <w:spacing w:before="181"/>
        <w:rPr>
          <w:rFonts w:hint="eastAsia" w:ascii="宋体" w:hAnsi="宋体" w:eastAsia="宋体" w:cs="宋体"/>
          <w:color w:val="auto"/>
          <w:sz w:val="28"/>
          <w:szCs w:val="28"/>
          <w:highlight w:val="none"/>
          <w:u w:val="single"/>
        </w:rPr>
      </w:pPr>
    </w:p>
    <w:p w14:paraId="41B27F46">
      <w:pPr>
        <w:spacing w:before="181"/>
        <w:rPr>
          <w:rFonts w:hint="eastAsia" w:ascii="宋体" w:hAnsi="宋体" w:eastAsia="宋体" w:cs="宋体"/>
          <w:color w:val="auto"/>
          <w:sz w:val="28"/>
          <w:szCs w:val="28"/>
          <w:highlight w:val="none"/>
          <w:u w:val="single"/>
        </w:rPr>
      </w:pPr>
    </w:p>
    <w:p w14:paraId="6853905B">
      <w:pPr>
        <w:spacing w:before="181"/>
        <w:rPr>
          <w:rFonts w:hint="eastAsia" w:ascii="宋体" w:hAnsi="宋体" w:eastAsia="宋体" w:cs="宋体"/>
          <w:color w:val="auto"/>
          <w:sz w:val="28"/>
          <w:szCs w:val="28"/>
          <w:highlight w:val="none"/>
          <w:u w:val="single"/>
        </w:rPr>
      </w:pPr>
    </w:p>
    <w:p w14:paraId="6A179802">
      <w:pPr>
        <w:spacing w:before="181"/>
        <w:rPr>
          <w:rFonts w:hint="eastAsia" w:ascii="宋体" w:hAnsi="宋体" w:eastAsia="宋体" w:cs="宋体"/>
          <w:color w:val="auto"/>
          <w:sz w:val="28"/>
          <w:szCs w:val="28"/>
          <w:highlight w:val="none"/>
          <w:u w:val="single"/>
        </w:rPr>
      </w:pPr>
    </w:p>
    <w:p w14:paraId="1C452D90">
      <w:pPr>
        <w:spacing w:before="181"/>
        <w:rPr>
          <w:rFonts w:hint="eastAsia" w:ascii="宋体" w:hAnsi="宋体" w:eastAsia="宋体" w:cs="宋体"/>
          <w:color w:val="auto"/>
          <w:sz w:val="28"/>
          <w:szCs w:val="28"/>
          <w:highlight w:val="none"/>
          <w:u w:val="single"/>
        </w:rPr>
      </w:pPr>
    </w:p>
    <w:p w14:paraId="3D7EFDE8">
      <w:pPr>
        <w:spacing w:before="181"/>
        <w:rPr>
          <w:rFonts w:hint="eastAsia" w:ascii="宋体" w:hAnsi="宋体" w:eastAsia="宋体" w:cs="宋体"/>
          <w:color w:val="auto"/>
          <w:sz w:val="28"/>
          <w:szCs w:val="28"/>
          <w:highlight w:val="none"/>
          <w:u w:val="single"/>
        </w:rPr>
      </w:pPr>
    </w:p>
    <w:p w14:paraId="2E70A918">
      <w:pPr>
        <w:spacing w:before="181"/>
        <w:rPr>
          <w:rFonts w:hint="eastAsia" w:ascii="宋体" w:hAnsi="宋体" w:eastAsia="宋体" w:cs="宋体"/>
          <w:color w:val="auto"/>
          <w:sz w:val="28"/>
          <w:szCs w:val="28"/>
          <w:highlight w:val="none"/>
          <w:u w:val="single"/>
        </w:rPr>
      </w:pPr>
    </w:p>
    <w:p w14:paraId="6079DB94">
      <w:pPr>
        <w:spacing w:line="240" w:lineRule="atLeast"/>
        <w:ind w:left="1080" w:leftChars="257" w:hanging="540"/>
        <w:jc w:val="center"/>
        <w:outlineLvl w:val="3"/>
        <w:rPr>
          <w:rFonts w:hint="eastAsia" w:ascii="宋体" w:hAnsi="宋体" w:eastAsia="宋体" w:cs="宋体"/>
          <w:b/>
          <w:color w:val="auto"/>
          <w:kern w:val="0"/>
          <w:sz w:val="24"/>
          <w:szCs w:val="20"/>
          <w:highlight w:val="none"/>
          <w:lang w:val="en-US" w:eastAsia="zh-CN" w:bidi="ar-SA"/>
        </w:rPr>
      </w:pPr>
      <w:bookmarkStart w:id="95" w:name="_Toc17013"/>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lang w:val="en-US" w:eastAsia="zh-CN"/>
        </w:rPr>
        <w:t>响应文件格式范本</w:t>
      </w:r>
      <w:bookmarkEnd w:id="95"/>
    </w:p>
    <w:tbl>
      <w:tblPr>
        <w:tblStyle w:val="34"/>
        <w:tblW w:w="9055" w:type="dxa"/>
        <w:tblInd w:w="51" w:type="dxa"/>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Layout w:type="fixed"/>
        <w:tblCellMar>
          <w:top w:w="0" w:type="dxa"/>
          <w:left w:w="0" w:type="dxa"/>
          <w:bottom w:w="0" w:type="dxa"/>
          <w:right w:w="0" w:type="dxa"/>
        </w:tblCellMar>
      </w:tblPr>
      <w:tblGrid>
        <w:gridCol w:w="9055"/>
      </w:tblGrid>
      <w:tr w14:paraId="71EF4363">
        <w:tblPrEx>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CellMar>
            <w:top w:w="0" w:type="dxa"/>
            <w:left w:w="0" w:type="dxa"/>
            <w:bottom w:w="0" w:type="dxa"/>
            <w:right w:w="0" w:type="dxa"/>
          </w:tblCellMar>
        </w:tblPrEx>
        <w:trPr>
          <w:trHeight w:val="12125" w:hRule="atLeast"/>
        </w:trPr>
        <w:tc>
          <w:tcPr>
            <w:tcW w:w="9055" w:type="dxa"/>
            <w:shd w:val="clear" w:color="auto" w:fill="FBFDEA"/>
            <w:vAlign w:val="top"/>
          </w:tcPr>
          <w:p w14:paraId="66ED52C1">
            <w:pPr>
              <w:spacing w:before="18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br w:type="page"/>
            </w:r>
          </w:p>
          <w:p w14:paraId="7E944C31">
            <w:pPr>
              <w:spacing w:before="181"/>
              <w:rPr>
                <w:rFonts w:hint="eastAsia" w:ascii="宋体" w:hAnsi="宋体" w:eastAsia="宋体" w:cs="宋体"/>
                <w:color w:val="auto"/>
                <w:sz w:val="28"/>
                <w:szCs w:val="28"/>
                <w:highlight w:val="none"/>
                <w:u w:val="single"/>
              </w:rPr>
            </w:pPr>
          </w:p>
          <w:p w14:paraId="78776225">
            <w:pPr>
              <w:pStyle w:val="35"/>
              <w:spacing w:line="262" w:lineRule="auto"/>
              <w:rPr>
                <w:rFonts w:hint="eastAsia" w:ascii="宋体" w:hAnsi="宋体" w:eastAsia="宋体" w:cs="宋体"/>
                <w:color w:val="auto"/>
                <w:highlight w:val="none"/>
              </w:rPr>
            </w:pPr>
          </w:p>
          <w:p w14:paraId="511061AB">
            <w:pPr>
              <w:pStyle w:val="35"/>
              <w:spacing w:line="262" w:lineRule="auto"/>
              <w:rPr>
                <w:rFonts w:hint="eastAsia" w:ascii="宋体" w:hAnsi="宋体" w:eastAsia="宋体" w:cs="宋体"/>
                <w:color w:val="auto"/>
                <w:highlight w:val="none"/>
              </w:rPr>
            </w:pPr>
          </w:p>
          <w:p w14:paraId="473CC17E">
            <w:pPr>
              <w:pStyle w:val="35"/>
              <w:spacing w:line="262" w:lineRule="auto"/>
              <w:rPr>
                <w:rFonts w:hint="eastAsia" w:ascii="宋体" w:hAnsi="宋体" w:eastAsia="宋体" w:cs="宋体"/>
                <w:color w:val="auto"/>
                <w:highlight w:val="none"/>
              </w:rPr>
            </w:pPr>
          </w:p>
          <w:p w14:paraId="21F6F728">
            <w:pPr>
              <w:pStyle w:val="35"/>
              <w:spacing w:line="262" w:lineRule="auto"/>
              <w:rPr>
                <w:rFonts w:hint="eastAsia" w:ascii="宋体" w:hAnsi="宋体" w:eastAsia="宋体" w:cs="宋体"/>
                <w:color w:val="auto"/>
                <w:highlight w:val="none"/>
              </w:rPr>
            </w:pPr>
          </w:p>
          <w:p w14:paraId="2895C40D">
            <w:pPr>
              <w:pStyle w:val="35"/>
              <w:spacing w:line="262" w:lineRule="auto"/>
              <w:rPr>
                <w:rFonts w:hint="eastAsia" w:ascii="宋体" w:hAnsi="宋体" w:eastAsia="宋体" w:cs="宋体"/>
                <w:color w:val="auto"/>
                <w:highlight w:val="none"/>
              </w:rPr>
            </w:pPr>
          </w:p>
          <w:p w14:paraId="14956FD9">
            <w:pPr>
              <w:pStyle w:val="35"/>
              <w:spacing w:line="263" w:lineRule="auto"/>
              <w:rPr>
                <w:rFonts w:hint="eastAsia" w:ascii="宋体" w:hAnsi="宋体" w:eastAsia="宋体" w:cs="宋体"/>
                <w:color w:val="auto"/>
                <w:highlight w:val="none"/>
              </w:rPr>
            </w:pPr>
          </w:p>
          <w:p w14:paraId="09121826">
            <w:pPr>
              <w:pStyle w:val="35"/>
              <w:spacing w:line="263" w:lineRule="auto"/>
              <w:rPr>
                <w:rFonts w:hint="eastAsia" w:ascii="宋体" w:hAnsi="宋体" w:eastAsia="宋体" w:cs="宋体"/>
                <w:color w:val="auto"/>
                <w:highlight w:val="none"/>
              </w:rPr>
            </w:pPr>
          </w:p>
          <w:p w14:paraId="443241B7">
            <w:pPr>
              <w:pStyle w:val="35"/>
              <w:spacing w:line="263" w:lineRule="auto"/>
              <w:rPr>
                <w:rFonts w:hint="eastAsia" w:ascii="宋体" w:hAnsi="宋体" w:eastAsia="宋体" w:cs="宋体"/>
                <w:color w:val="auto"/>
                <w:highlight w:val="none"/>
              </w:rPr>
            </w:pPr>
          </w:p>
          <w:p w14:paraId="2BE34F12">
            <w:pPr>
              <w:pStyle w:val="35"/>
              <w:spacing w:line="263" w:lineRule="auto"/>
              <w:rPr>
                <w:rFonts w:hint="eastAsia" w:ascii="宋体" w:hAnsi="宋体" w:eastAsia="宋体" w:cs="宋体"/>
                <w:color w:val="auto"/>
                <w:highlight w:val="none"/>
              </w:rPr>
            </w:pPr>
          </w:p>
          <w:p w14:paraId="6E9F2C2F">
            <w:pPr>
              <w:pStyle w:val="35"/>
              <w:spacing w:before="91" w:line="221" w:lineRule="auto"/>
              <w:ind w:left="2643"/>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 xml:space="preserve">***** *** *** *** *** </w:t>
            </w:r>
            <w:r>
              <w:rPr>
                <w:rFonts w:hint="eastAsia" w:ascii="宋体" w:hAnsi="宋体" w:eastAsia="宋体" w:cs="宋体"/>
                <w:b/>
                <w:bCs/>
                <w:color w:val="auto"/>
                <w:spacing w:val="-2"/>
                <w:sz w:val="28"/>
                <w:szCs w:val="28"/>
                <w:highlight w:val="none"/>
              </w:rPr>
              <w:t>项目***</w:t>
            </w:r>
          </w:p>
          <w:p w14:paraId="51F37459">
            <w:pPr>
              <w:pStyle w:val="35"/>
              <w:spacing w:line="288" w:lineRule="auto"/>
              <w:rPr>
                <w:rFonts w:hint="eastAsia" w:ascii="宋体" w:hAnsi="宋体" w:eastAsia="宋体" w:cs="宋体"/>
                <w:color w:val="auto"/>
                <w:highlight w:val="none"/>
              </w:rPr>
            </w:pPr>
          </w:p>
          <w:p w14:paraId="5F16B71C">
            <w:pPr>
              <w:pStyle w:val="35"/>
              <w:spacing w:line="289" w:lineRule="auto"/>
              <w:rPr>
                <w:rFonts w:hint="eastAsia" w:ascii="宋体" w:hAnsi="宋体" w:eastAsia="宋体" w:cs="宋体"/>
                <w:color w:val="auto"/>
                <w:highlight w:val="none"/>
              </w:rPr>
            </w:pPr>
          </w:p>
          <w:p w14:paraId="004B8B69">
            <w:pPr>
              <w:spacing w:before="62" w:line="228" w:lineRule="auto"/>
              <w:ind w:left="3282"/>
              <w:rPr>
                <w:rFonts w:hint="eastAsia" w:ascii="宋体" w:hAnsi="宋体" w:eastAsia="宋体" w:cs="宋体"/>
                <w:color w:val="auto"/>
                <w:sz w:val="19"/>
                <w:szCs w:val="19"/>
                <w:highlight w:val="none"/>
              </w:rPr>
            </w:pPr>
            <w:r>
              <w:rPr>
                <w:rFonts w:hint="eastAsia" w:ascii="宋体" w:hAnsi="宋体" w:eastAsia="宋体" w:cs="宋体"/>
                <w:b/>
                <w:bCs/>
                <w:color w:val="auto"/>
                <w:spacing w:val="1"/>
                <w:sz w:val="19"/>
                <w:szCs w:val="19"/>
                <w:highlight w:val="none"/>
              </w:rPr>
              <w:t>编号</w:t>
            </w:r>
            <w:r>
              <w:rPr>
                <w:rFonts w:hint="eastAsia" w:ascii="宋体" w:hAnsi="宋体" w:eastAsia="宋体" w:cs="宋体"/>
                <w:color w:val="auto"/>
                <w:spacing w:val="29"/>
                <w:sz w:val="19"/>
                <w:szCs w:val="19"/>
                <w:highlight w:val="none"/>
              </w:rPr>
              <w:t xml:space="preserve"> </w:t>
            </w:r>
            <w:r>
              <w:rPr>
                <w:rFonts w:hint="eastAsia" w:ascii="宋体" w:hAnsi="宋体" w:eastAsia="宋体" w:cs="宋体"/>
                <w:b/>
                <w:bCs/>
                <w:color w:val="auto"/>
                <w:spacing w:val="1"/>
                <w:sz w:val="19"/>
                <w:szCs w:val="19"/>
                <w:highlight w:val="none"/>
              </w:rPr>
              <w:t>*</w:t>
            </w:r>
            <w:r>
              <w:rPr>
                <w:rFonts w:hint="eastAsia" w:ascii="宋体" w:hAnsi="宋体" w:eastAsia="宋体" w:cs="宋体"/>
                <w:color w:val="auto"/>
                <w:spacing w:val="17"/>
                <w:sz w:val="19"/>
                <w:szCs w:val="19"/>
                <w:highlight w:val="none"/>
              </w:rPr>
              <w:t xml:space="preserve"> </w:t>
            </w:r>
            <w:r>
              <w:rPr>
                <w:rFonts w:hint="eastAsia" w:ascii="宋体" w:hAnsi="宋体" w:eastAsia="宋体" w:cs="宋体"/>
                <w:b/>
                <w:bCs/>
                <w:color w:val="auto"/>
                <w:spacing w:val="1"/>
                <w:sz w:val="19"/>
                <w:szCs w:val="19"/>
                <w:highlight w:val="none"/>
              </w:rPr>
              <w:t>*</w:t>
            </w:r>
            <w:r>
              <w:rPr>
                <w:rFonts w:hint="eastAsia" w:ascii="宋体" w:hAnsi="宋体" w:eastAsia="宋体" w:cs="宋体"/>
                <w:color w:val="auto"/>
                <w:spacing w:val="14"/>
                <w:sz w:val="19"/>
                <w:szCs w:val="19"/>
                <w:highlight w:val="none"/>
              </w:rPr>
              <w:t xml:space="preserve"> </w:t>
            </w:r>
            <w:r>
              <w:rPr>
                <w:rFonts w:hint="eastAsia" w:ascii="宋体" w:hAnsi="宋体" w:eastAsia="宋体" w:cs="宋体"/>
                <w:b/>
                <w:bCs/>
                <w:color w:val="auto"/>
                <w:spacing w:val="1"/>
                <w:sz w:val="19"/>
                <w:szCs w:val="19"/>
                <w:highlight w:val="none"/>
              </w:rPr>
              <w:t>*</w:t>
            </w:r>
          </w:p>
          <w:p w14:paraId="227C1C98">
            <w:pPr>
              <w:pStyle w:val="35"/>
              <w:spacing w:line="284" w:lineRule="auto"/>
              <w:rPr>
                <w:rFonts w:hint="eastAsia" w:ascii="宋体" w:hAnsi="宋体" w:eastAsia="宋体" w:cs="宋体"/>
                <w:color w:val="auto"/>
                <w:highlight w:val="none"/>
              </w:rPr>
            </w:pPr>
          </w:p>
          <w:p w14:paraId="674AEA69">
            <w:pPr>
              <w:pStyle w:val="35"/>
              <w:spacing w:line="284" w:lineRule="auto"/>
              <w:rPr>
                <w:rFonts w:hint="eastAsia" w:ascii="宋体" w:hAnsi="宋体" w:eastAsia="宋体" w:cs="宋体"/>
                <w:color w:val="auto"/>
                <w:highlight w:val="none"/>
              </w:rPr>
            </w:pPr>
          </w:p>
          <w:p w14:paraId="1C4FD418">
            <w:pPr>
              <w:pStyle w:val="35"/>
              <w:spacing w:line="285" w:lineRule="auto"/>
              <w:rPr>
                <w:rFonts w:hint="eastAsia" w:ascii="宋体" w:hAnsi="宋体" w:eastAsia="宋体" w:cs="宋体"/>
                <w:color w:val="auto"/>
                <w:highlight w:val="none"/>
              </w:rPr>
            </w:pPr>
          </w:p>
          <w:p w14:paraId="63D7F107">
            <w:pPr>
              <w:pStyle w:val="35"/>
              <w:spacing w:line="285" w:lineRule="auto"/>
              <w:rPr>
                <w:rFonts w:hint="eastAsia" w:ascii="宋体" w:hAnsi="宋体" w:eastAsia="宋体" w:cs="宋体"/>
                <w:color w:val="auto"/>
                <w:highlight w:val="none"/>
              </w:rPr>
            </w:pPr>
          </w:p>
          <w:p w14:paraId="4ED79E4E">
            <w:pPr>
              <w:spacing w:before="149" w:line="223" w:lineRule="auto"/>
              <w:ind w:left="3327"/>
              <w:rPr>
                <w:rFonts w:hint="eastAsia" w:ascii="宋体" w:hAnsi="宋体" w:eastAsia="宋体" w:cs="宋体"/>
                <w:color w:val="auto"/>
                <w:sz w:val="46"/>
                <w:szCs w:val="46"/>
                <w:highlight w:val="none"/>
              </w:rPr>
            </w:pPr>
            <w:r>
              <w:rPr>
                <w:rFonts w:hint="eastAsia" w:ascii="宋体" w:hAnsi="宋体" w:eastAsia="宋体" w:cs="宋体"/>
                <w:b/>
                <w:bCs/>
                <w:color w:val="auto"/>
                <w:spacing w:val="-19"/>
                <w:sz w:val="46"/>
                <w:szCs w:val="46"/>
                <w:highlight w:val="none"/>
              </w:rPr>
              <w:t>响</w:t>
            </w:r>
            <w:r>
              <w:rPr>
                <w:rFonts w:hint="eastAsia" w:ascii="宋体" w:hAnsi="宋体" w:eastAsia="宋体" w:cs="宋体"/>
                <w:color w:val="auto"/>
                <w:spacing w:val="-74"/>
                <w:sz w:val="46"/>
                <w:szCs w:val="46"/>
                <w:highlight w:val="none"/>
              </w:rPr>
              <w:t xml:space="preserve"> </w:t>
            </w:r>
            <w:r>
              <w:rPr>
                <w:rFonts w:hint="eastAsia" w:ascii="宋体" w:hAnsi="宋体" w:eastAsia="宋体" w:cs="宋体"/>
                <w:b/>
                <w:bCs/>
                <w:color w:val="auto"/>
                <w:spacing w:val="-19"/>
                <w:sz w:val="46"/>
                <w:szCs w:val="46"/>
                <w:highlight w:val="none"/>
              </w:rPr>
              <w:t>应</w:t>
            </w:r>
            <w:r>
              <w:rPr>
                <w:rFonts w:hint="eastAsia" w:ascii="宋体" w:hAnsi="宋体" w:eastAsia="宋体" w:cs="宋体"/>
                <w:color w:val="auto"/>
                <w:spacing w:val="-69"/>
                <w:sz w:val="46"/>
                <w:szCs w:val="46"/>
                <w:highlight w:val="none"/>
              </w:rPr>
              <w:t xml:space="preserve"> </w:t>
            </w:r>
            <w:r>
              <w:rPr>
                <w:rFonts w:hint="eastAsia" w:ascii="宋体" w:hAnsi="宋体" w:eastAsia="宋体" w:cs="宋体"/>
                <w:b/>
                <w:bCs/>
                <w:color w:val="auto"/>
                <w:spacing w:val="-19"/>
                <w:sz w:val="46"/>
                <w:szCs w:val="46"/>
                <w:highlight w:val="none"/>
              </w:rPr>
              <w:t>文</w:t>
            </w:r>
            <w:r>
              <w:rPr>
                <w:rFonts w:hint="eastAsia" w:ascii="宋体" w:hAnsi="宋体" w:eastAsia="宋体" w:cs="宋体"/>
                <w:color w:val="auto"/>
                <w:spacing w:val="-78"/>
                <w:sz w:val="46"/>
                <w:szCs w:val="46"/>
                <w:highlight w:val="none"/>
              </w:rPr>
              <w:t xml:space="preserve"> </w:t>
            </w:r>
            <w:r>
              <w:rPr>
                <w:rFonts w:hint="eastAsia" w:ascii="宋体" w:hAnsi="宋体" w:eastAsia="宋体" w:cs="宋体"/>
                <w:b/>
                <w:bCs/>
                <w:color w:val="auto"/>
                <w:spacing w:val="-19"/>
                <w:sz w:val="46"/>
                <w:szCs w:val="46"/>
                <w:highlight w:val="none"/>
              </w:rPr>
              <w:t>件</w:t>
            </w:r>
          </w:p>
          <w:p w14:paraId="593A70F0">
            <w:pPr>
              <w:pStyle w:val="35"/>
              <w:spacing w:line="263" w:lineRule="auto"/>
              <w:rPr>
                <w:rFonts w:hint="eastAsia" w:ascii="宋体" w:hAnsi="宋体" w:eastAsia="宋体" w:cs="宋体"/>
                <w:color w:val="auto"/>
                <w:highlight w:val="none"/>
              </w:rPr>
            </w:pPr>
          </w:p>
          <w:p w14:paraId="69EA0CDA">
            <w:pPr>
              <w:pStyle w:val="35"/>
              <w:spacing w:line="263" w:lineRule="auto"/>
              <w:rPr>
                <w:rFonts w:hint="eastAsia" w:ascii="宋体" w:hAnsi="宋体" w:eastAsia="宋体" w:cs="宋体"/>
                <w:color w:val="auto"/>
                <w:highlight w:val="none"/>
              </w:rPr>
            </w:pPr>
          </w:p>
          <w:p w14:paraId="09618DD6">
            <w:pPr>
              <w:pStyle w:val="35"/>
              <w:spacing w:line="263" w:lineRule="auto"/>
              <w:rPr>
                <w:rFonts w:hint="eastAsia" w:ascii="宋体" w:hAnsi="宋体" w:eastAsia="宋体" w:cs="宋体"/>
                <w:color w:val="auto"/>
                <w:highlight w:val="none"/>
              </w:rPr>
            </w:pPr>
          </w:p>
          <w:p w14:paraId="7C66471F">
            <w:pPr>
              <w:pStyle w:val="35"/>
              <w:spacing w:line="263" w:lineRule="auto"/>
              <w:rPr>
                <w:rFonts w:hint="eastAsia" w:ascii="宋体" w:hAnsi="宋体" w:eastAsia="宋体" w:cs="宋体"/>
                <w:color w:val="auto"/>
                <w:highlight w:val="none"/>
              </w:rPr>
            </w:pPr>
          </w:p>
          <w:p w14:paraId="6A8EFF81">
            <w:pPr>
              <w:spacing w:before="62" w:line="354" w:lineRule="auto"/>
              <w:ind w:left="1152" w:right="2031" w:hanging="5"/>
              <w:rPr>
                <w:rFonts w:hint="eastAsia" w:ascii="宋体" w:hAnsi="宋体" w:eastAsia="宋体" w:cs="宋体"/>
                <w:color w:val="auto"/>
                <w:sz w:val="19"/>
                <w:szCs w:val="19"/>
                <w:highlight w:val="none"/>
              </w:rPr>
            </w:pPr>
            <w:r>
              <w:rPr>
                <w:rFonts w:hint="eastAsia" w:ascii="宋体" w:hAnsi="宋体" w:eastAsia="宋体" w:cs="宋体"/>
                <w:color w:val="auto"/>
                <w:spacing w:val="16"/>
                <w:sz w:val="19"/>
                <w:szCs w:val="19"/>
                <w:highlight w:val="none"/>
              </w:rPr>
              <w:t>供应商</w:t>
            </w:r>
            <w:r>
              <w:rPr>
                <w:rFonts w:hint="eastAsia" w:ascii="宋体" w:hAnsi="宋体" w:eastAsia="宋体" w:cs="宋体"/>
                <w:color w:val="auto"/>
                <w:spacing w:val="-2"/>
                <w:sz w:val="19"/>
                <w:szCs w:val="19"/>
                <w:highlight w:val="none"/>
              </w:rPr>
              <w:t>：</w:t>
            </w:r>
            <w:r>
              <w:rPr>
                <w:rFonts w:hint="eastAsia" w:ascii="宋体" w:hAnsi="宋体" w:eastAsia="宋体" w:cs="宋体"/>
                <w:color w:val="auto"/>
                <w:spacing w:val="1"/>
                <w:sz w:val="19"/>
                <w:szCs w:val="19"/>
                <w:highlight w:val="none"/>
                <w:u w:val="single" w:color="auto"/>
              </w:rPr>
              <w:t xml:space="preserve">                      </w:t>
            </w:r>
            <w:r>
              <w:rPr>
                <w:rFonts w:hint="eastAsia" w:ascii="宋体" w:hAnsi="宋体" w:eastAsia="宋体" w:cs="宋体"/>
                <w:color w:val="auto"/>
                <w:sz w:val="19"/>
                <w:szCs w:val="19"/>
                <w:highlight w:val="none"/>
                <w:u w:val="single" w:color="auto"/>
              </w:rPr>
              <w:t xml:space="preserve">                     </w:t>
            </w:r>
            <w:r>
              <w:rPr>
                <w:rFonts w:hint="eastAsia" w:ascii="宋体" w:hAnsi="宋体" w:eastAsia="宋体" w:cs="宋体"/>
                <w:color w:val="auto"/>
                <w:spacing w:val="-2"/>
                <w:sz w:val="19"/>
                <w:szCs w:val="19"/>
                <w:highlight w:val="none"/>
              </w:rPr>
              <w:t>（</w:t>
            </w:r>
            <w:r>
              <w:rPr>
                <w:rFonts w:hint="eastAsia" w:ascii="宋体" w:hAnsi="宋体" w:eastAsia="宋体" w:cs="宋体"/>
                <w:color w:val="auto"/>
                <w:spacing w:val="16"/>
                <w:sz w:val="19"/>
                <w:szCs w:val="19"/>
                <w:highlight w:val="none"/>
              </w:rPr>
              <w:t>公章）</w:t>
            </w:r>
            <w:r>
              <w:rPr>
                <w:rFonts w:hint="eastAsia" w:ascii="宋体" w:hAnsi="宋体" w:eastAsia="宋体" w:cs="宋体"/>
                <w:color w:val="auto"/>
                <w:spacing w:val="1"/>
                <w:sz w:val="19"/>
                <w:szCs w:val="19"/>
                <w:highlight w:val="none"/>
              </w:rPr>
              <w:t xml:space="preserve"> </w:t>
            </w:r>
            <w:r>
              <w:rPr>
                <w:rFonts w:hint="eastAsia" w:ascii="宋体" w:hAnsi="宋体" w:eastAsia="宋体" w:cs="宋体"/>
                <w:color w:val="auto"/>
                <w:spacing w:val="3"/>
                <w:sz w:val="19"/>
                <w:szCs w:val="19"/>
                <w:highlight w:val="none"/>
              </w:rPr>
              <w:t>项目名称：</w:t>
            </w:r>
            <w:r>
              <w:rPr>
                <w:rFonts w:hint="eastAsia" w:ascii="宋体" w:hAnsi="宋体" w:eastAsia="宋体" w:cs="宋体"/>
                <w:color w:val="auto"/>
                <w:sz w:val="19"/>
                <w:szCs w:val="19"/>
                <w:highlight w:val="none"/>
                <w:u w:val="single" w:color="auto"/>
              </w:rPr>
              <w:t xml:space="preserve">                                              </w:t>
            </w:r>
          </w:p>
          <w:p w14:paraId="44BF19F1">
            <w:pPr>
              <w:spacing w:before="53" w:line="385" w:lineRule="auto"/>
              <w:ind w:left="1148" w:right="2661" w:firstLine="4"/>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6"/>
                <w:sz w:val="19"/>
                <w:szCs w:val="19"/>
                <w:highlight w:val="none"/>
              </w:rPr>
              <w:t>项目编号：</w:t>
            </w:r>
            <w:r>
              <w:rPr>
                <w:rFonts w:hint="eastAsia" w:ascii="宋体" w:hAnsi="宋体" w:eastAsia="宋体" w:cs="宋体"/>
                <w:color w:val="auto"/>
                <w:spacing w:val="1"/>
                <w:sz w:val="19"/>
                <w:szCs w:val="19"/>
                <w:highlight w:val="none"/>
                <w:u w:val="single" w:color="auto"/>
              </w:rPr>
              <w:t xml:space="preserve">                   </w:t>
            </w:r>
            <w:r>
              <w:rPr>
                <w:rFonts w:hint="eastAsia" w:ascii="宋体" w:hAnsi="宋体" w:eastAsia="宋体" w:cs="宋体"/>
                <w:color w:val="auto"/>
                <w:sz w:val="19"/>
                <w:szCs w:val="19"/>
                <w:highlight w:val="none"/>
                <w:u w:val="single" w:color="auto"/>
              </w:rPr>
              <w:t xml:space="preserve">                          </w:t>
            </w:r>
            <w:r>
              <w:rPr>
                <w:rFonts w:hint="eastAsia" w:ascii="宋体" w:hAnsi="宋体" w:eastAsia="宋体" w:cs="宋体"/>
                <w:color w:val="auto"/>
                <w:spacing w:val="1"/>
                <w:sz w:val="19"/>
                <w:szCs w:val="19"/>
                <w:highlight w:val="none"/>
              </w:rPr>
              <w:t xml:space="preserve"> </w:t>
            </w:r>
            <w:r>
              <w:rPr>
                <w:rFonts w:hint="eastAsia" w:ascii="宋体" w:hAnsi="宋体" w:eastAsia="宋体" w:cs="宋体"/>
                <w:color w:val="auto"/>
                <w:spacing w:val="-6"/>
                <w:sz w:val="19"/>
                <w:szCs w:val="19"/>
                <w:highlight w:val="none"/>
              </w:rPr>
              <w:t>联</w:t>
            </w:r>
            <w:r>
              <w:rPr>
                <w:rFonts w:hint="eastAsia" w:ascii="宋体" w:hAnsi="宋体" w:eastAsia="宋体" w:cs="宋体"/>
                <w:color w:val="auto"/>
                <w:spacing w:val="-19"/>
                <w:sz w:val="19"/>
                <w:szCs w:val="19"/>
                <w:highlight w:val="none"/>
              </w:rPr>
              <w:t xml:space="preserve"> </w:t>
            </w:r>
            <w:r>
              <w:rPr>
                <w:rFonts w:hint="eastAsia" w:ascii="宋体" w:hAnsi="宋体" w:eastAsia="宋体" w:cs="宋体"/>
                <w:color w:val="auto"/>
                <w:spacing w:val="-6"/>
                <w:sz w:val="19"/>
                <w:szCs w:val="19"/>
                <w:highlight w:val="none"/>
              </w:rPr>
              <w:t>系</w:t>
            </w:r>
            <w:r>
              <w:rPr>
                <w:rFonts w:hint="eastAsia" w:ascii="宋体" w:hAnsi="宋体" w:eastAsia="宋体" w:cs="宋体"/>
                <w:color w:val="auto"/>
                <w:spacing w:val="-23"/>
                <w:sz w:val="19"/>
                <w:szCs w:val="19"/>
                <w:highlight w:val="none"/>
              </w:rPr>
              <w:t xml:space="preserve"> </w:t>
            </w:r>
            <w:r>
              <w:rPr>
                <w:rFonts w:hint="eastAsia" w:ascii="宋体" w:hAnsi="宋体" w:eastAsia="宋体" w:cs="宋体"/>
                <w:color w:val="auto"/>
                <w:spacing w:val="-6"/>
                <w:sz w:val="19"/>
                <w:szCs w:val="19"/>
                <w:highlight w:val="none"/>
              </w:rPr>
              <w:t>人</w:t>
            </w:r>
            <w:r>
              <w:rPr>
                <w:rFonts w:hint="eastAsia" w:ascii="宋体" w:hAnsi="宋体" w:eastAsia="宋体" w:cs="宋体"/>
                <w:color w:val="auto"/>
                <w:spacing w:val="-48"/>
                <w:sz w:val="19"/>
                <w:szCs w:val="19"/>
                <w:highlight w:val="none"/>
              </w:rPr>
              <w:t xml:space="preserve"> </w:t>
            </w:r>
            <w:r>
              <w:rPr>
                <w:rFonts w:hint="eastAsia" w:ascii="宋体" w:hAnsi="宋体" w:eastAsia="宋体" w:cs="宋体"/>
                <w:color w:val="auto"/>
                <w:spacing w:val="-6"/>
                <w:sz w:val="19"/>
                <w:szCs w:val="19"/>
                <w:highlight w:val="none"/>
              </w:rPr>
              <w:t>：</w:t>
            </w:r>
            <w:r>
              <w:rPr>
                <w:rFonts w:hint="eastAsia" w:ascii="宋体" w:hAnsi="宋体" w:eastAsia="宋体" w:cs="宋体"/>
                <w:color w:val="auto"/>
                <w:sz w:val="19"/>
                <w:szCs w:val="19"/>
                <w:highlight w:val="none"/>
                <w:u w:val="single" w:color="auto"/>
              </w:rPr>
              <w:t xml:space="preserve">                           </w:t>
            </w:r>
            <w:r>
              <w:rPr>
                <w:rFonts w:hint="eastAsia" w:ascii="宋体" w:hAnsi="宋体" w:eastAsia="宋体" w:cs="宋体"/>
                <w:color w:val="auto"/>
                <w:sz w:val="19"/>
                <w:szCs w:val="19"/>
                <w:highlight w:val="none"/>
                <w:u w:val="single" w:color="auto"/>
                <w:lang w:eastAsia="zh-CN"/>
              </w:rPr>
              <w:t>（</w:t>
            </w:r>
            <w:r>
              <w:rPr>
                <w:rFonts w:hint="eastAsia" w:ascii="宋体" w:hAnsi="宋体" w:eastAsia="宋体" w:cs="宋体"/>
                <w:color w:val="auto"/>
                <w:sz w:val="19"/>
                <w:szCs w:val="19"/>
                <w:highlight w:val="none"/>
                <w:u w:val="single" w:color="auto"/>
                <w:lang w:val="en-US" w:eastAsia="zh-CN"/>
              </w:rPr>
              <w:t>法人签字并盖章</w:t>
            </w:r>
            <w:r>
              <w:rPr>
                <w:rFonts w:hint="eastAsia" w:ascii="宋体" w:hAnsi="宋体" w:eastAsia="宋体" w:cs="宋体"/>
                <w:color w:val="auto"/>
                <w:sz w:val="19"/>
                <w:szCs w:val="19"/>
                <w:highlight w:val="none"/>
                <w:u w:val="single" w:color="auto"/>
                <w:lang w:eastAsia="zh-CN"/>
              </w:rPr>
              <w:t>）</w:t>
            </w:r>
          </w:p>
          <w:p w14:paraId="71989FBA">
            <w:pPr>
              <w:spacing w:before="24" w:line="230" w:lineRule="auto"/>
              <w:ind w:left="1170"/>
              <w:rPr>
                <w:rFonts w:hint="eastAsia" w:ascii="宋体" w:hAnsi="宋体" w:eastAsia="宋体" w:cs="宋体"/>
                <w:color w:val="auto"/>
                <w:sz w:val="19"/>
                <w:szCs w:val="19"/>
                <w:highlight w:val="none"/>
              </w:rPr>
            </w:pPr>
            <w:r>
              <w:rPr>
                <w:rFonts w:hint="eastAsia" w:ascii="宋体" w:hAnsi="宋体" w:eastAsia="宋体" w:cs="宋体"/>
                <w:color w:val="auto"/>
                <w:spacing w:val="-2"/>
                <w:sz w:val="19"/>
                <w:szCs w:val="19"/>
                <w:highlight w:val="none"/>
              </w:rPr>
              <w:t>电</w:t>
            </w:r>
            <w:r>
              <w:rPr>
                <w:rFonts w:hint="eastAsia" w:ascii="宋体" w:hAnsi="宋体" w:eastAsia="宋体" w:cs="宋体"/>
                <w:color w:val="auto"/>
                <w:spacing w:val="11"/>
                <w:sz w:val="19"/>
                <w:szCs w:val="19"/>
                <w:highlight w:val="none"/>
              </w:rPr>
              <w:t xml:space="preserve">    </w:t>
            </w:r>
            <w:r>
              <w:rPr>
                <w:rFonts w:hint="eastAsia" w:ascii="宋体" w:hAnsi="宋体" w:eastAsia="宋体" w:cs="宋体"/>
                <w:color w:val="auto"/>
                <w:spacing w:val="-2"/>
                <w:sz w:val="19"/>
                <w:szCs w:val="19"/>
                <w:highlight w:val="none"/>
              </w:rPr>
              <w:t>话：</w:t>
            </w:r>
            <w:r>
              <w:rPr>
                <w:rFonts w:hint="eastAsia" w:ascii="宋体" w:hAnsi="宋体" w:eastAsia="宋体" w:cs="宋体"/>
                <w:color w:val="auto"/>
                <w:spacing w:val="-2"/>
                <w:sz w:val="19"/>
                <w:szCs w:val="19"/>
                <w:highlight w:val="none"/>
                <w:u w:val="single" w:color="auto"/>
              </w:rPr>
              <w:t xml:space="preserve">                                    </w:t>
            </w:r>
            <w:r>
              <w:rPr>
                <w:rFonts w:hint="eastAsia" w:ascii="宋体" w:hAnsi="宋体" w:eastAsia="宋体" w:cs="宋体"/>
                <w:color w:val="auto"/>
                <w:spacing w:val="-3"/>
                <w:sz w:val="19"/>
                <w:szCs w:val="19"/>
                <w:highlight w:val="none"/>
                <w:u w:val="single" w:color="auto"/>
              </w:rPr>
              <w:t xml:space="preserve">          </w:t>
            </w:r>
          </w:p>
          <w:p w14:paraId="71A83FFC">
            <w:pPr>
              <w:spacing w:before="171" w:line="237" w:lineRule="auto"/>
              <w:ind w:left="1147"/>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地</w:t>
            </w:r>
            <w:r>
              <w:rPr>
                <w:rFonts w:hint="eastAsia" w:ascii="宋体" w:hAnsi="宋体" w:eastAsia="宋体" w:cs="宋体"/>
                <w:color w:val="auto"/>
                <w:spacing w:val="12"/>
                <w:sz w:val="19"/>
                <w:szCs w:val="19"/>
                <w:highlight w:val="none"/>
              </w:rPr>
              <w:t xml:space="preserve">    </w:t>
            </w:r>
            <w:r>
              <w:rPr>
                <w:rFonts w:hint="eastAsia" w:ascii="宋体" w:hAnsi="宋体" w:eastAsia="宋体" w:cs="宋体"/>
                <w:color w:val="auto"/>
                <w:spacing w:val="-7"/>
                <w:sz w:val="19"/>
                <w:szCs w:val="19"/>
                <w:highlight w:val="none"/>
              </w:rPr>
              <w:t>址</w:t>
            </w:r>
            <w:r>
              <w:rPr>
                <w:rFonts w:hint="eastAsia" w:ascii="宋体" w:hAnsi="宋体" w:eastAsia="宋体" w:cs="宋体"/>
                <w:color w:val="auto"/>
                <w:spacing w:val="31"/>
                <w:sz w:val="19"/>
                <w:szCs w:val="19"/>
                <w:highlight w:val="none"/>
              </w:rPr>
              <w:t xml:space="preserve">  </w:t>
            </w:r>
            <w:r>
              <w:rPr>
                <w:rFonts w:hint="eastAsia" w:ascii="宋体" w:hAnsi="宋体" w:eastAsia="宋体" w:cs="宋体"/>
                <w:color w:val="auto"/>
                <w:spacing w:val="-7"/>
                <w:sz w:val="19"/>
                <w:szCs w:val="19"/>
                <w:highlight w:val="none"/>
              </w:rPr>
              <w:t>：</w:t>
            </w:r>
            <w:r>
              <w:rPr>
                <w:rFonts w:hint="eastAsia" w:ascii="宋体" w:hAnsi="宋体" w:eastAsia="宋体" w:cs="宋体"/>
                <w:color w:val="auto"/>
                <w:spacing w:val="12"/>
                <w:sz w:val="19"/>
                <w:szCs w:val="19"/>
                <w:highlight w:val="none"/>
              </w:rPr>
              <w:t xml:space="preserve">  </w:t>
            </w:r>
            <w:r>
              <w:rPr>
                <w:rFonts w:hint="eastAsia" w:ascii="宋体" w:hAnsi="宋体" w:eastAsia="宋体" w:cs="宋体"/>
                <w:color w:val="auto"/>
                <w:sz w:val="19"/>
                <w:szCs w:val="19"/>
                <w:highlight w:val="none"/>
                <w:u w:val="single" w:color="auto"/>
              </w:rPr>
              <w:t xml:space="preserve">                                         </w:t>
            </w:r>
          </w:p>
        </w:tc>
      </w:tr>
    </w:tbl>
    <w:p w14:paraId="76F49851">
      <w:pPr>
        <w:rPr>
          <w:rFonts w:hint="eastAsia" w:ascii="宋体" w:hAnsi="宋体" w:eastAsia="宋体" w:cs="宋体"/>
          <w:color w:val="auto"/>
          <w:sz w:val="21"/>
          <w:highlight w:val="none"/>
        </w:rPr>
      </w:pPr>
    </w:p>
    <w:p w14:paraId="4C3EDB81">
      <w:pPr>
        <w:rPr>
          <w:rFonts w:hint="eastAsia" w:ascii="宋体" w:hAnsi="宋体" w:eastAsia="宋体" w:cs="宋体"/>
          <w:color w:val="auto"/>
          <w:sz w:val="21"/>
          <w:szCs w:val="21"/>
          <w:highlight w:val="none"/>
        </w:rPr>
        <w:sectPr>
          <w:pgSz w:w="11906" w:h="16840"/>
          <w:pgMar w:top="1431" w:right="1541" w:bottom="1025" w:left="1252" w:header="0" w:footer="856" w:gutter="0"/>
          <w:pgNumType w:fmt="decimal"/>
          <w:cols w:space="720" w:num="1"/>
        </w:sectPr>
      </w:pPr>
    </w:p>
    <w:p w14:paraId="0A0C9C8F">
      <w:pPr>
        <w:spacing w:line="282" w:lineRule="auto"/>
        <w:rPr>
          <w:rFonts w:hint="eastAsia" w:ascii="宋体" w:hAnsi="宋体" w:eastAsia="宋体" w:cs="宋体"/>
          <w:color w:val="auto"/>
          <w:sz w:val="21"/>
          <w:highlight w:val="none"/>
        </w:rPr>
      </w:pPr>
    </w:p>
    <w:p w14:paraId="65C7697D">
      <w:pPr>
        <w:spacing w:line="282" w:lineRule="auto"/>
        <w:rPr>
          <w:rFonts w:hint="eastAsia" w:ascii="宋体" w:hAnsi="宋体" w:eastAsia="宋体" w:cs="宋体"/>
          <w:color w:val="auto"/>
          <w:sz w:val="21"/>
          <w:highlight w:val="none"/>
        </w:rPr>
      </w:pPr>
    </w:p>
    <w:p w14:paraId="69FD39B5">
      <w:pPr>
        <w:spacing w:line="282" w:lineRule="auto"/>
        <w:rPr>
          <w:rFonts w:hint="eastAsia" w:ascii="宋体" w:hAnsi="宋体" w:eastAsia="宋体" w:cs="宋体"/>
          <w:color w:val="auto"/>
          <w:sz w:val="21"/>
          <w:highlight w:val="none"/>
        </w:rPr>
      </w:pPr>
    </w:p>
    <w:p w14:paraId="4ED05DD8">
      <w:pPr>
        <w:spacing w:line="255" w:lineRule="auto"/>
        <w:rPr>
          <w:rFonts w:hint="eastAsia" w:ascii="宋体" w:hAnsi="宋体" w:eastAsia="宋体" w:cs="宋体"/>
          <w:color w:val="auto"/>
          <w:sz w:val="21"/>
          <w:highlight w:val="none"/>
        </w:rPr>
      </w:pPr>
    </w:p>
    <w:p w14:paraId="32115C21">
      <w:pPr>
        <w:spacing w:line="255" w:lineRule="auto"/>
        <w:rPr>
          <w:rFonts w:hint="eastAsia" w:ascii="宋体" w:hAnsi="宋体" w:eastAsia="宋体" w:cs="宋体"/>
          <w:color w:val="auto"/>
          <w:sz w:val="21"/>
          <w:highlight w:val="none"/>
        </w:rPr>
      </w:pPr>
    </w:p>
    <w:p w14:paraId="45330AD4">
      <w:pPr>
        <w:spacing w:line="255" w:lineRule="auto"/>
        <w:rPr>
          <w:rFonts w:hint="eastAsia" w:ascii="宋体" w:hAnsi="宋体" w:eastAsia="宋体" w:cs="宋体"/>
          <w:color w:val="auto"/>
          <w:sz w:val="21"/>
          <w:highlight w:val="none"/>
        </w:rPr>
      </w:pPr>
    </w:p>
    <w:p w14:paraId="11995774">
      <w:pPr>
        <w:spacing w:line="255" w:lineRule="auto"/>
        <w:rPr>
          <w:rFonts w:hint="eastAsia" w:ascii="宋体" w:hAnsi="宋体" w:eastAsia="宋体" w:cs="宋体"/>
          <w:color w:val="auto"/>
          <w:sz w:val="21"/>
          <w:highlight w:val="none"/>
        </w:rPr>
      </w:pPr>
    </w:p>
    <w:p w14:paraId="55269149">
      <w:pPr>
        <w:spacing w:line="255" w:lineRule="auto"/>
        <w:rPr>
          <w:rFonts w:hint="eastAsia" w:ascii="宋体" w:hAnsi="宋体" w:eastAsia="宋体" w:cs="宋体"/>
          <w:color w:val="auto"/>
          <w:sz w:val="21"/>
          <w:highlight w:val="none"/>
        </w:rPr>
      </w:pPr>
    </w:p>
    <w:p w14:paraId="1F0FFC88">
      <w:pPr>
        <w:spacing w:line="255" w:lineRule="auto"/>
        <w:rPr>
          <w:rFonts w:hint="eastAsia" w:ascii="宋体" w:hAnsi="宋体" w:eastAsia="宋体" w:cs="宋体"/>
          <w:color w:val="auto"/>
          <w:sz w:val="21"/>
          <w:highlight w:val="none"/>
        </w:rPr>
      </w:pPr>
    </w:p>
    <w:p w14:paraId="12C0FD77">
      <w:pPr>
        <w:spacing w:line="255" w:lineRule="auto"/>
        <w:rPr>
          <w:rFonts w:hint="eastAsia" w:ascii="宋体" w:hAnsi="宋体" w:eastAsia="宋体" w:cs="宋体"/>
          <w:color w:val="auto"/>
          <w:sz w:val="21"/>
          <w:highlight w:val="none"/>
        </w:rPr>
      </w:pPr>
    </w:p>
    <w:p w14:paraId="44471999">
      <w:pPr>
        <w:spacing w:line="255" w:lineRule="auto"/>
        <w:rPr>
          <w:rFonts w:hint="eastAsia" w:ascii="宋体" w:hAnsi="宋体" w:eastAsia="宋体" w:cs="宋体"/>
          <w:color w:val="auto"/>
          <w:sz w:val="21"/>
          <w:highlight w:val="none"/>
        </w:rPr>
      </w:pPr>
    </w:p>
    <w:p w14:paraId="43E6B68C">
      <w:pPr>
        <w:spacing w:line="255" w:lineRule="auto"/>
        <w:rPr>
          <w:rFonts w:hint="eastAsia" w:ascii="宋体" w:hAnsi="宋体" w:eastAsia="宋体" w:cs="宋体"/>
          <w:color w:val="auto"/>
          <w:sz w:val="21"/>
          <w:highlight w:val="none"/>
        </w:rPr>
      </w:pPr>
    </w:p>
    <w:p w14:paraId="6243939D">
      <w:pPr>
        <w:spacing w:line="255" w:lineRule="auto"/>
        <w:rPr>
          <w:rFonts w:hint="eastAsia" w:ascii="宋体" w:hAnsi="宋体" w:eastAsia="宋体" w:cs="宋体"/>
          <w:color w:val="auto"/>
          <w:sz w:val="21"/>
          <w:highlight w:val="none"/>
        </w:rPr>
      </w:pPr>
    </w:p>
    <w:p w14:paraId="263C5DBE">
      <w:pPr>
        <w:spacing w:line="255" w:lineRule="auto"/>
        <w:rPr>
          <w:rFonts w:hint="eastAsia" w:ascii="宋体" w:hAnsi="宋体" w:eastAsia="宋体" w:cs="宋体"/>
          <w:color w:val="auto"/>
          <w:sz w:val="21"/>
          <w:highlight w:val="none"/>
        </w:rPr>
      </w:pPr>
    </w:p>
    <w:p w14:paraId="5B02A0C7">
      <w:pPr>
        <w:spacing w:line="255" w:lineRule="auto"/>
        <w:rPr>
          <w:rFonts w:hint="eastAsia" w:ascii="宋体" w:hAnsi="宋体" w:eastAsia="宋体" w:cs="宋体"/>
          <w:color w:val="auto"/>
          <w:sz w:val="21"/>
          <w:highlight w:val="none"/>
        </w:rPr>
      </w:pPr>
    </w:p>
    <w:p w14:paraId="5EBB89A7">
      <w:pPr>
        <w:spacing w:before="149" w:line="223" w:lineRule="auto"/>
        <w:ind w:left="3729"/>
        <w:outlineLvl w:val="0"/>
        <w:rPr>
          <w:rFonts w:hint="eastAsia" w:ascii="宋体" w:hAnsi="宋体" w:eastAsia="宋体" w:cs="宋体"/>
          <w:color w:val="auto"/>
          <w:sz w:val="46"/>
          <w:szCs w:val="46"/>
          <w:highlight w:val="none"/>
        </w:rPr>
      </w:pPr>
      <w:r>
        <w:rPr>
          <w:rFonts w:hint="eastAsia" w:ascii="宋体" w:hAnsi="宋体" w:eastAsia="宋体" w:cs="宋体"/>
          <w:color w:val="auto"/>
          <w:spacing w:val="-6"/>
          <w:sz w:val="46"/>
          <w:szCs w:val="46"/>
          <w:highlight w:val="none"/>
        </w:rPr>
        <w:t>第二册</w:t>
      </w:r>
    </w:p>
    <w:p w14:paraId="0A2319F7">
      <w:pPr>
        <w:spacing w:line="223" w:lineRule="auto"/>
        <w:rPr>
          <w:rFonts w:hint="eastAsia" w:ascii="宋体" w:hAnsi="宋体" w:eastAsia="宋体" w:cs="宋体"/>
          <w:color w:val="auto"/>
          <w:sz w:val="46"/>
          <w:szCs w:val="46"/>
          <w:highlight w:val="none"/>
        </w:rPr>
        <w:sectPr>
          <w:footerReference r:id="rId25" w:type="default"/>
          <w:pgSz w:w="11906" w:h="16840"/>
          <w:pgMar w:top="1431" w:right="1326" w:bottom="1036" w:left="1413" w:header="0" w:footer="867" w:gutter="0"/>
          <w:pgNumType w:fmt="decimal"/>
          <w:cols w:space="720" w:num="1"/>
        </w:sectPr>
      </w:pPr>
    </w:p>
    <w:p w14:paraId="566713D8">
      <w:pPr>
        <w:spacing w:before="175" w:line="221" w:lineRule="auto"/>
        <w:ind w:left="2726"/>
        <w:outlineLvl w:val="0"/>
        <w:rPr>
          <w:rFonts w:hint="eastAsia" w:ascii="宋体" w:hAnsi="宋体" w:eastAsia="宋体" w:cs="宋体"/>
          <w:color w:val="auto"/>
          <w:sz w:val="52"/>
          <w:szCs w:val="52"/>
          <w:highlight w:val="none"/>
        </w:rPr>
      </w:pPr>
      <w:bookmarkStart w:id="96" w:name="bookmark46"/>
      <w:bookmarkEnd w:id="96"/>
      <w:bookmarkStart w:id="97" w:name="bookmark48"/>
      <w:bookmarkEnd w:id="97"/>
      <w:r>
        <w:rPr>
          <w:rFonts w:hint="eastAsia" w:ascii="宋体" w:hAnsi="宋体" w:eastAsia="宋体" w:cs="宋体"/>
          <w:b/>
          <w:bCs/>
          <w:color w:val="auto"/>
          <w:spacing w:val="-12"/>
          <w:sz w:val="52"/>
          <w:szCs w:val="52"/>
          <w:highlight w:val="none"/>
        </w:rPr>
        <w:t>第3章</w:t>
      </w:r>
      <w:r>
        <w:rPr>
          <w:rFonts w:hint="eastAsia" w:ascii="宋体" w:hAnsi="宋体" w:eastAsia="宋体" w:cs="宋体"/>
          <w:color w:val="auto"/>
          <w:spacing w:val="84"/>
          <w:sz w:val="52"/>
          <w:szCs w:val="52"/>
          <w:highlight w:val="none"/>
        </w:rPr>
        <w:t xml:space="preserve"> </w:t>
      </w:r>
      <w:r>
        <w:rPr>
          <w:rFonts w:hint="eastAsia" w:ascii="宋体" w:hAnsi="宋体" w:eastAsia="宋体" w:cs="宋体"/>
          <w:b/>
          <w:bCs/>
          <w:color w:val="auto"/>
          <w:spacing w:val="-12"/>
          <w:sz w:val="52"/>
          <w:szCs w:val="52"/>
          <w:highlight w:val="none"/>
        </w:rPr>
        <w:t>磋商邀请</w:t>
      </w:r>
    </w:p>
    <w:p w14:paraId="2D3380B5">
      <w:pPr>
        <w:spacing w:before="167" w:line="219" w:lineRule="auto"/>
        <w:ind w:firstLine="627" w:firstLineChars="200"/>
        <w:jc w:val="center"/>
        <w:outlineLvl w:val="0"/>
        <w:rPr>
          <w:rFonts w:hint="eastAsia" w:ascii="宋体" w:hAnsi="宋体" w:eastAsia="宋体" w:cs="宋体"/>
          <w:color w:val="auto"/>
          <w:spacing w:val="-4"/>
          <w:sz w:val="24"/>
          <w:szCs w:val="24"/>
          <w:highlight w:val="none"/>
          <w:lang w:eastAsia="zh-CN"/>
        </w:rPr>
      </w:pPr>
      <w:r>
        <w:rPr>
          <w:rFonts w:hint="eastAsia" w:ascii="宋体" w:hAnsi="宋体" w:eastAsia="宋体" w:cs="宋体"/>
          <w:b/>
          <w:bCs/>
          <w:color w:val="auto"/>
          <w:spacing w:val="-4"/>
          <w:sz w:val="32"/>
          <w:szCs w:val="32"/>
          <w:highlight w:val="none"/>
          <w:lang w:eastAsia="zh-CN"/>
        </w:rPr>
        <w:t>莎车县特色农业发展（农业绿色生物科技推广）项目</w:t>
      </w:r>
    </w:p>
    <w:p w14:paraId="20C111A4">
      <w:pPr>
        <w:spacing w:before="37" w:line="229" w:lineRule="auto"/>
        <w:ind w:left="4130" w:right="936" w:hanging="3056"/>
        <w:jc w:val="center"/>
        <w:outlineLvl w:val="1"/>
        <w:rPr>
          <w:rFonts w:hint="eastAsia" w:ascii="宋体" w:hAnsi="宋体" w:eastAsia="宋体" w:cs="宋体"/>
          <w:color w:val="auto"/>
          <w:sz w:val="30"/>
          <w:szCs w:val="30"/>
          <w:highlight w:val="none"/>
        </w:rPr>
      </w:pPr>
      <w:r>
        <w:rPr>
          <w:rFonts w:hint="eastAsia" w:ascii="宋体" w:hAnsi="宋体" w:eastAsia="宋体" w:cs="宋体"/>
          <w:b/>
          <w:bCs/>
          <w:color w:val="auto"/>
          <w:spacing w:val="12"/>
          <w:sz w:val="30"/>
          <w:szCs w:val="30"/>
          <w:highlight w:val="none"/>
        </w:rPr>
        <w:t>竞</w:t>
      </w:r>
      <w:r>
        <w:rPr>
          <w:rFonts w:hint="eastAsia" w:ascii="宋体" w:hAnsi="宋体" w:eastAsia="宋体" w:cs="宋体"/>
          <w:b/>
          <w:bCs/>
          <w:color w:val="auto"/>
          <w:spacing w:val="6"/>
          <w:sz w:val="30"/>
          <w:szCs w:val="30"/>
          <w:highlight w:val="none"/>
        </w:rPr>
        <w:t>争性磋商公告</w:t>
      </w:r>
    </w:p>
    <w:tbl>
      <w:tblPr>
        <w:tblStyle w:val="34"/>
        <w:tblW w:w="991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8"/>
      </w:tblGrid>
      <w:tr w14:paraId="05670C9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918" w:type="dxa"/>
            <w:vAlign w:val="top"/>
          </w:tcPr>
          <w:p w14:paraId="36C31E2A">
            <w:pPr>
              <w:spacing w:before="139" w:line="222"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项目概况</w:t>
            </w:r>
          </w:p>
          <w:p w14:paraId="16EF8355">
            <w:pPr>
              <w:spacing w:before="167" w:line="219" w:lineRule="auto"/>
              <w:ind w:firstLine="460" w:firstLineChars="200"/>
              <w:outlineLvl w:val="0"/>
              <w:rPr>
                <w:rFonts w:hint="eastAsia" w:ascii="宋体" w:hAnsi="宋体" w:eastAsia="宋体" w:cs="宋体"/>
                <w:color w:val="auto"/>
                <w:sz w:val="28"/>
                <w:szCs w:val="28"/>
                <w:highlight w:val="none"/>
              </w:rPr>
            </w:pPr>
            <w:r>
              <w:rPr>
                <w:rFonts w:hint="eastAsia" w:ascii="宋体" w:hAnsi="宋体" w:eastAsia="宋体" w:cs="宋体"/>
                <w:color w:val="auto"/>
                <w:spacing w:val="-5"/>
                <w:sz w:val="24"/>
                <w:szCs w:val="24"/>
                <w:highlight w:val="none"/>
                <w:lang w:eastAsia="zh-CN"/>
              </w:rPr>
              <w:t>莎车县特色农业发展（农业绿色生物科技推广）项目</w:t>
            </w:r>
            <w:r>
              <w:rPr>
                <w:rFonts w:hint="eastAsia" w:ascii="宋体" w:hAnsi="宋体" w:eastAsia="宋体" w:cs="宋体"/>
                <w:color w:val="auto"/>
                <w:spacing w:val="-5"/>
                <w:sz w:val="24"/>
                <w:szCs w:val="24"/>
                <w:highlight w:val="none"/>
              </w:rPr>
              <w:t>的潜在投标</w:t>
            </w:r>
            <w:r>
              <w:rPr>
                <w:rFonts w:hint="eastAsia" w:ascii="宋体" w:hAnsi="宋体" w:eastAsia="宋体" w:cs="宋体"/>
                <w:color w:val="auto"/>
                <w:spacing w:val="-6"/>
                <w:sz w:val="24"/>
                <w:szCs w:val="24"/>
                <w:highlight w:val="none"/>
              </w:rPr>
              <w:t>人应在登录新疆政府采</w:t>
            </w:r>
            <w:r>
              <w:rPr>
                <w:rFonts w:hint="eastAsia" w:ascii="宋体" w:hAnsi="宋体" w:eastAsia="宋体" w:cs="宋体"/>
                <w:color w:val="auto"/>
                <w:spacing w:val="-4"/>
                <w:sz w:val="24"/>
                <w:szCs w:val="24"/>
                <w:highlight w:val="none"/>
              </w:rPr>
              <w:t>购网政采云线上获取磋商文件，并于202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年0</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08</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rPr>
              <w:t>时</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0分（北京时间）</w:t>
            </w:r>
            <w:r>
              <w:rPr>
                <w:rFonts w:hint="eastAsia" w:ascii="宋体" w:hAnsi="宋体" w:eastAsia="宋体" w:cs="宋体"/>
                <w:color w:val="auto"/>
                <w:spacing w:val="-5"/>
                <w:sz w:val="24"/>
                <w:szCs w:val="24"/>
                <w:highlight w:val="none"/>
              </w:rPr>
              <w:t>前提交响应文件</w:t>
            </w:r>
            <w:r>
              <w:rPr>
                <w:rFonts w:hint="eastAsia" w:ascii="宋体" w:hAnsi="宋体" w:eastAsia="宋体" w:cs="宋体"/>
                <w:color w:val="auto"/>
                <w:position w:val="2"/>
                <w:sz w:val="28"/>
                <w:szCs w:val="28"/>
                <w:highlight w:val="none"/>
              </w:rPr>
              <w:t>。</w:t>
            </w:r>
          </w:p>
        </w:tc>
      </w:tr>
    </w:tbl>
    <w:p w14:paraId="1B1523A2">
      <w:pPr>
        <w:keepNext w:val="0"/>
        <w:keepLines w:val="0"/>
        <w:pageBreakBefore w:val="0"/>
        <w:widowControl/>
        <w:kinsoku w:val="0"/>
        <w:wordWrap/>
        <w:overflowPunct/>
        <w:topLinePunct w:val="0"/>
        <w:autoSpaceDE w:val="0"/>
        <w:autoSpaceDN w:val="0"/>
        <w:bidi w:val="0"/>
        <w:adjustRightInd w:val="0"/>
        <w:snapToGrid w:val="0"/>
        <w:spacing w:before="115" w:line="360" w:lineRule="exact"/>
        <w:ind w:left="129"/>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一、项目基本情况</w:t>
      </w:r>
    </w:p>
    <w:p w14:paraId="6BE8CF7D">
      <w:pPr>
        <w:pStyle w:val="9"/>
        <w:keepNext w:val="0"/>
        <w:keepLines w:val="0"/>
        <w:pageBreakBefore w:val="0"/>
        <w:widowControl/>
        <w:kinsoku w:val="0"/>
        <w:wordWrap/>
        <w:overflowPunct/>
        <w:topLinePunct w:val="0"/>
        <w:autoSpaceDE w:val="0"/>
        <w:autoSpaceDN w:val="0"/>
        <w:bidi w:val="0"/>
        <w:adjustRightInd w:val="0"/>
        <w:snapToGrid w:val="0"/>
        <w:spacing w:before="93" w:line="360" w:lineRule="exact"/>
        <w:ind w:left="375"/>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项目编号：</w:t>
      </w:r>
      <w:r>
        <w:rPr>
          <w:rFonts w:hint="eastAsia" w:cs="宋体"/>
          <w:color w:val="auto"/>
          <w:spacing w:val="-1"/>
          <w:sz w:val="24"/>
          <w:szCs w:val="24"/>
          <w:highlight w:val="none"/>
          <w:lang w:eastAsia="zh-CN"/>
        </w:rPr>
        <w:t>FYHCG(2026)006</w:t>
      </w:r>
    </w:p>
    <w:p w14:paraId="4051B2B8">
      <w:pPr>
        <w:keepNext w:val="0"/>
        <w:keepLines w:val="0"/>
        <w:pageBreakBefore w:val="0"/>
        <w:widowControl/>
        <w:kinsoku w:val="0"/>
        <w:wordWrap/>
        <w:overflowPunct/>
        <w:topLinePunct w:val="0"/>
        <w:autoSpaceDE w:val="0"/>
        <w:autoSpaceDN w:val="0"/>
        <w:bidi w:val="0"/>
        <w:adjustRightInd w:val="0"/>
        <w:snapToGrid w:val="0"/>
        <w:spacing w:before="112" w:line="360" w:lineRule="exact"/>
        <w:ind w:left="375"/>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项目名称：</w:t>
      </w:r>
      <w:r>
        <w:rPr>
          <w:rFonts w:hint="eastAsia" w:ascii="宋体" w:hAnsi="宋体" w:eastAsia="宋体" w:cs="宋体"/>
          <w:color w:val="auto"/>
          <w:spacing w:val="-3"/>
          <w:sz w:val="24"/>
          <w:szCs w:val="24"/>
          <w:highlight w:val="none"/>
          <w:lang w:eastAsia="zh-CN"/>
        </w:rPr>
        <w:t>莎车县特色农业发展（农业绿色生物科技推广）项目</w:t>
      </w:r>
    </w:p>
    <w:p w14:paraId="0A0D4ECB">
      <w:pPr>
        <w:keepNext w:val="0"/>
        <w:keepLines w:val="0"/>
        <w:pageBreakBefore w:val="0"/>
        <w:widowControl/>
        <w:kinsoku w:val="0"/>
        <w:wordWrap/>
        <w:overflowPunct/>
        <w:topLinePunct w:val="0"/>
        <w:autoSpaceDE w:val="0"/>
        <w:autoSpaceDN w:val="0"/>
        <w:bidi w:val="0"/>
        <w:adjustRightInd w:val="0"/>
        <w:snapToGrid w:val="0"/>
        <w:spacing w:before="160" w:line="360" w:lineRule="exact"/>
        <w:ind w:left="376"/>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采购方式：竞争性磋商</w:t>
      </w:r>
    </w:p>
    <w:p w14:paraId="3F54A39E">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64" w:right="45" w:rightChars="0" w:firstLine="1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预算金额（元</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3"/>
          <w:sz w:val="24"/>
          <w:szCs w:val="24"/>
          <w:highlight w:val="none"/>
          <w:lang w:val="en-US" w:eastAsia="zh-CN"/>
        </w:rPr>
        <w:t>600000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w:t>
      </w:r>
    </w:p>
    <w:p w14:paraId="53BA1E0F">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64" w:right="45" w:rightChars="0" w:firstLine="1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采购需求：</w:t>
      </w:r>
    </w:p>
    <w:p w14:paraId="4CF4C7D5">
      <w:pPr>
        <w:spacing w:before="167" w:line="219" w:lineRule="auto"/>
        <w:ind w:firstLine="230" w:firstLineChars="100"/>
        <w:outlineLvl w:val="0"/>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标项名称：莎车县特色农业发展（农业绿色生物科技推广）项目</w:t>
      </w:r>
    </w:p>
    <w:p w14:paraId="23A001AE">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数量：1</w:t>
      </w:r>
    </w:p>
    <w:p w14:paraId="432F8C4E">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3"/>
          <w:sz w:val="24"/>
          <w:szCs w:val="24"/>
          <w:highlight w:val="none"/>
          <w:lang w:val="en-US" w:eastAsia="zh-CN"/>
        </w:rPr>
        <w:t>600000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63B48BF7">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单位：项</w:t>
      </w:r>
    </w:p>
    <w:p w14:paraId="0C2BB789">
      <w:pPr>
        <w:keepNext w:val="0"/>
        <w:keepLines w:val="0"/>
        <w:pageBreakBefore w:val="0"/>
        <w:widowControl/>
        <w:kinsoku w:val="0"/>
        <w:wordWrap/>
        <w:overflowPunct/>
        <w:topLinePunct w:val="0"/>
        <w:autoSpaceDE w:val="0"/>
        <w:autoSpaceDN w:val="0"/>
        <w:bidi w:val="0"/>
        <w:adjustRightInd w:val="0"/>
        <w:snapToGrid w:val="0"/>
        <w:spacing w:before="28" w:line="360" w:lineRule="exact"/>
        <w:ind w:right="-442" w:rightChars="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简要规格描述：</w:t>
      </w:r>
      <w:r>
        <w:rPr>
          <w:rFonts w:hint="eastAsia" w:ascii="宋体" w:hAnsi="宋体" w:eastAsia="宋体" w:cs="宋体"/>
          <w:color w:val="auto"/>
          <w:spacing w:val="-3"/>
          <w:sz w:val="24"/>
          <w:szCs w:val="24"/>
          <w:highlight w:val="none"/>
          <w:lang w:val="en-US" w:eastAsia="zh-CN"/>
        </w:rPr>
        <w:t>技术培训及推广服务。</w:t>
      </w:r>
    </w:p>
    <w:p w14:paraId="7DCE5250">
      <w:pPr>
        <w:keepNext w:val="0"/>
        <w:keepLines w:val="0"/>
        <w:pageBreakBefore w:val="0"/>
        <w:widowControl/>
        <w:kinsoku w:val="0"/>
        <w:wordWrap/>
        <w:overflowPunct/>
        <w:topLinePunct w:val="0"/>
        <w:autoSpaceDE w:val="0"/>
        <w:autoSpaceDN w:val="0"/>
        <w:bidi w:val="0"/>
        <w:adjustRightInd w:val="0"/>
        <w:snapToGrid w:val="0"/>
        <w:spacing w:before="41" w:line="360" w:lineRule="exact"/>
        <w:ind w:left="376"/>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7"/>
          <w:sz w:val="24"/>
          <w:szCs w:val="24"/>
          <w:highlight w:val="none"/>
        </w:rPr>
        <w:t>备注：</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 xml:space="preserve"> </w:t>
      </w:r>
    </w:p>
    <w:p w14:paraId="4D888A5E">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4"/>
          <w:sz w:val="24"/>
          <w:szCs w:val="24"/>
          <w:highlight w:val="none"/>
        </w:rPr>
        <w:t>合同履行期限：</w:t>
      </w:r>
      <w:r>
        <w:rPr>
          <w:rFonts w:hint="eastAsia" w:ascii="宋体" w:hAnsi="宋体" w:eastAsia="宋体" w:cs="宋体"/>
          <w:color w:val="auto"/>
          <w:spacing w:val="-4"/>
          <w:sz w:val="24"/>
          <w:szCs w:val="24"/>
          <w:highlight w:val="none"/>
          <w:lang w:val="en-US" w:eastAsia="zh-CN"/>
        </w:rPr>
        <w:t>2026年12月30日前完成技术培训及推广服务。</w:t>
      </w:r>
    </w:p>
    <w:p w14:paraId="31B426B2">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本项目（否）接受联合体投标。</w:t>
      </w:r>
    </w:p>
    <w:p w14:paraId="4BC6360F">
      <w:pPr>
        <w:keepNext w:val="0"/>
        <w:keepLines w:val="0"/>
        <w:pageBreakBefore w:val="0"/>
        <w:widowControl/>
        <w:kinsoku w:val="0"/>
        <w:wordWrap/>
        <w:overflowPunct/>
        <w:topLinePunct w:val="0"/>
        <w:autoSpaceDE w:val="0"/>
        <w:autoSpaceDN w:val="0"/>
        <w:bidi w:val="0"/>
        <w:adjustRightInd w:val="0"/>
        <w:snapToGrid w:val="0"/>
        <w:spacing w:before="29" w:line="360" w:lineRule="exact"/>
        <w:ind w:left="137"/>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4"/>
          <w:sz w:val="24"/>
          <w:szCs w:val="24"/>
          <w:highlight w:val="none"/>
        </w:rPr>
        <w:t>二、</w:t>
      </w:r>
      <w:r>
        <w:rPr>
          <w:rFonts w:hint="eastAsia" w:ascii="宋体" w:hAnsi="宋体" w:eastAsia="宋体" w:cs="宋体"/>
          <w:color w:val="auto"/>
          <w:spacing w:val="-24"/>
          <w:sz w:val="24"/>
          <w:szCs w:val="24"/>
          <w:highlight w:val="none"/>
        </w:rPr>
        <w:t xml:space="preserve"> </w:t>
      </w:r>
      <w:r>
        <w:rPr>
          <w:rFonts w:hint="eastAsia" w:ascii="宋体" w:hAnsi="宋体" w:eastAsia="宋体" w:cs="宋体"/>
          <w:b/>
          <w:bCs/>
          <w:color w:val="auto"/>
          <w:spacing w:val="-14"/>
          <w:sz w:val="24"/>
          <w:szCs w:val="24"/>
          <w:highlight w:val="none"/>
        </w:rPr>
        <w:t>申请人的资格要求：</w:t>
      </w:r>
    </w:p>
    <w:p w14:paraId="0E8A0F85">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8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1.满足《中华人民共和国政府采购法》第二十二条规定；</w:t>
      </w:r>
    </w:p>
    <w:p w14:paraId="1CEC0D7E">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80"/>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2.落实政府采购政策需满足的资格要求：</w:t>
      </w:r>
      <w:r>
        <w:rPr>
          <w:rFonts w:hint="eastAsia" w:ascii="宋体" w:hAnsi="宋体" w:eastAsia="宋体" w:cs="宋体"/>
          <w:color w:val="auto"/>
          <w:spacing w:val="-2"/>
          <w:sz w:val="24"/>
          <w:szCs w:val="24"/>
          <w:highlight w:val="none"/>
          <w:lang w:val="en-US" w:eastAsia="zh-CN"/>
        </w:rPr>
        <w:t>专门面向中小微企业</w:t>
      </w:r>
      <w:r>
        <w:rPr>
          <w:rFonts w:hint="eastAsia" w:ascii="宋体" w:hAnsi="宋体" w:eastAsia="宋体" w:cs="宋体"/>
          <w:color w:val="auto"/>
          <w:spacing w:val="-2"/>
          <w:sz w:val="24"/>
          <w:szCs w:val="24"/>
          <w:highlight w:val="none"/>
          <w:lang w:eastAsia="zh-CN"/>
        </w:rPr>
        <w:t>；</w:t>
      </w:r>
    </w:p>
    <w:p w14:paraId="27C67261">
      <w:pPr>
        <w:keepNext w:val="0"/>
        <w:keepLines w:val="0"/>
        <w:pageBreakBefore w:val="0"/>
        <w:widowControl/>
        <w:kinsoku w:val="0"/>
        <w:wordWrap/>
        <w:overflowPunct/>
        <w:topLinePunct w:val="0"/>
        <w:autoSpaceDE w:val="0"/>
        <w:autoSpaceDN w:val="0"/>
        <w:bidi w:val="0"/>
        <w:adjustRightInd w:val="0"/>
        <w:snapToGrid w:val="0"/>
        <w:spacing w:before="92" w:line="360" w:lineRule="exact"/>
        <w:ind w:left="267"/>
        <w:textAlignment w:val="baseline"/>
        <w:outlineLvl w:val="2"/>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3.本项目的特定资格要求：</w:t>
      </w:r>
      <w:r>
        <w:rPr>
          <w:rFonts w:hint="eastAsia" w:ascii="宋体" w:hAnsi="宋体" w:eastAsia="宋体" w:cs="宋体"/>
          <w:color w:val="auto"/>
          <w:spacing w:val="-3"/>
          <w:sz w:val="24"/>
          <w:szCs w:val="24"/>
          <w:highlight w:val="none"/>
          <w:lang w:val="en-US" w:eastAsia="zh-CN"/>
        </w:rPr>
        <w:t>无；</w:t>
      </w:r>
    </w:p>
    <w:p w14:paraId="4B60A352">
      <w:pPr>
        <w:keepNext w:val="0"/>
        <w:keepLines w:val="0"/>
        <w:pageBreakBefore w:val="0"/>
        <w:widowControl/>
        <w:kinsoku w:val="0"/>
        <w:wordWrap/>
        <w:overflowPunct/>
        <w:topLinePunct w:val="0"/>
        <w:autoSpaceDE w:val="0"/>
        <w:autoSpaceDN w:val="0"/>
        <w:bidi w:val="0"/>
        <w:adjustRightInd w:val="0"/>
        <w:snapToGrid w:val="0"/>
        <w:spacing w:before="92" w:line="360" w:lineRule="exact"/>
        <w:ind w:left="267"/>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本项目（否）接受联合体投标。</w:t>
      </w:r>
    </w:p>
    <w:p w14:paraId="74C1DBCA">
      <w:pPr>
        <w:numPr>
          <w:ilvl w:val="0"/>
          <w:numId w:val="0"/>
        </w:numPr>
        <w:spacing w:before="50" w:line="257" w:lineRule="auto"/>
        <w:ind w:left="31" w:leftChars="0" w:right="624" w:rightChars="0" w:firstLine="569" w:firstLineChars="0"/>
        <w:rPr>
          <w:rFonts w:hint="eastAsia" w:ascii="宋体" w:hAnsi="宋体" w:eastAsia="宋体" w:cs="宋体"/>
          <w:b/>
          <w:bCs/>
          <w:color w:val="auto"/>
          <w:spacing w:val="-7"/>
          <w:sz w:val="24"/>
          <w:szCs w:val="24"/>
          <w:highlight w:val="none"/>
        </w:rPr>
      </w:pPr>
      <w:r>
        <w:rPr>
          <w:rFonts w:hint="eastAsia" w:ascii="宋体" w:hAnsi="宋体" w:eastAsia="宋体" w:cs="宋体"/>
          <w:b/>
          <w:bCs/>
          <w:snapToGrid w:val="0"/>
          <w:color w:val="auto"/>
          <w:spacing w:val="-7"/>
          <w:kern w:val="0"/>
          <w:sz w:val="24"/>
          <w:szCs w:val="24"/>
          <w:highlight w:val="none"/>
          <w:lang w:val="en-US" w:eastAsia="en-US" w:bidi="ar-SA"/>
        </w:rPr>
        <w:t>三、</w:t>
      </w:r>
      <w:r>
        <w:rPr>
          <w:rFonts w:hint="eastAsia" w:ascii="宋体" w:hAnsi="宋体" w:eastAsia="宋体" w:cs="宋体"/>
          <w:b/>
          <w:bCs/>
          <w:color w:val="auto"/>
          <w:spacing w:val="-7"/>
          <w:sz w:val="24"/>
          <w:szCs w:val="24"/>
          <w:highlight w:val="none"/>
        </w:rPr>
        <w:t>获取采购文件</w:t>
      </w:r>
    </w:p>
    <w:p w14:paraId="0D2B8D32">
      <w:pPr>
        <w:numPr>
          <w:ilvl w:val="0"/>
          <w:numId w:val="0"/>
        </w:numPr>
        <w:spacing w:before="50" w:line="240" w:lineRule="auto"/>
        <w:ind w:left="600" w:leftChars="0" w:right="624" w:rightChars="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u w:val="none"/>
        </w:rPr>
        <w:t>时间：202</w:t>
      </w:r>
      <w:r>
        <w:rPr>
          <w:rFonts w:hint="eastAsia" w:ascii="宋体" w:hAnsi="宋体" w:eastAsia="宋体" w:cs="宋体"/>
          <w:color w:val="auto"/>
          <w:spacing w:val="-5"/>
          <w:sz w:val="24"/>
          <w:szCs w:val="24"/>
          <w:highlight w:val="none"/>
          <w:u w:val="none"/>
          <w:lang w:val="en-US" w:eastAsia="zh-CN"/>
        </w:rPr>
        <w:t>6</w:t>
      </w:r>
      <w:r>
        <w:rPr>
          <w:rFonts w:hint="eastAsia" w:ascii="宋体" w:hAnsi="宋体" w:eastAsia="宋体" w:cs="宋体"/>
          <w:color w:val="auto"/>
          <w:spacing w:val="-5"/>
          <w:sz w:val="24"/>
          <w:szCs w:val="24"/>
          <w:highlight w:val="none"/>
          <w:u w:val="none"/>
        </w:rPr>
        <w:t xml:space="preserve"> 年</w:t>
      </w:r>
      <w:r>
        <w:rPr>
          <w:rFonts w:hint="eastAsia" w:ascii="宋体" w:hAnsi="宋体" w:eastAsia="宋体" w:cs="宋体"/>
          <w:color w:val="auto"/>
          <w:spacing w:val="-5"/>
          <w:sz w:val="24"/>
          <w:szCs w:val="24"/>
          <w:highlight w:val="none"/>
          <w:u w:val="none"/>
          <w:lang w:val="en-US" w:eastAsia="zh-CN"/>
        </w:rPr>
        <w:t xml:space="preserve"> </w:t>
      </w:r>
      <w:r>
        <w:rPr>
          <w:rFonts w:hint="eastAsia" w:ascii="宋体" w:hAnsi="宋体" w:eastAsia="宋体" w:cs="宋体"/>
          <w:color w:val="auto"/>
          <w:spacing w:val="-5"/>
          <w:sz w:val="24"/>
          <w:szCs w:val="24"/>
          <w:highlight w:val="none"/>
          <w:u w:val="none"/>
        </w:rPr>
        <w:t>0</w:t>
      </w:r>
      <w:r>
        <w:rPr>
          <w:rFonts w:hint="eastAsia" w:ascii="宋体" w:hAnsi="宋体" w:eastAsia="宋体" w:cs="宋体"/>
          <w:color w:val="auto"/>
          <w:spacing w:val="-5"/>
          <w:sz w:val="24"/>
          <w:szCs w:val="24"/>
          <w:highlight w:val="none"/>
          <w:u w:val="none"/>
          <w:lang w:val="en-US" w:eastAsia="zh-CN"/>
        </w:rPr>
        <w:t xml:space="preserve">5 </w:t>
      </w:r>
      <w:r>
        <w:rPr>
          <w:rFonts w:hint="eastAsia" w:ascii="宋体" w:hAnsi="宋体" w:eastAsia="宋体" w:cs="宋体"/>
          <w:color w:val="auto"/>
          <w:spacing w:val="-5"/>
          <w:sz w:val="24"/>
          <w:szCs w:val="24"/>
          <w:highlight w:val="none"/>
          <w:u w:val="none"/>
        </w:rPr>
        <w:t>月</w:t>
      </w:r>
      <w:r>
        <w:rPr>
          <w:rFonts w:hint="eastAsia" w:ascii="宋体" w:hAnsi="宋体" w:eastAsia="宋体" w:cs="宋体"/>
          <w:color w:val="auto"/>
          <w:spacing w:val="-5"/>
          <w:sz w:val="24"/>
          <w:szCs w:val="24"/>
          <w:highlight w:val="none"/>
          <w:u w:val="none"/>
          <w:lang w:val="en-US" w:eastAsia="zh-CN"/>
        </w:rPr>
        <w:t>27</w:t>
      </w:r>
      <w:r>
        <w:rPr>
          <w:rFonts w:hint="eastAsia" w:ascii="宋体" w:hAnsi="宋体" w:eastAsia="宋体" w:cs="宋体"/>
          <w:color w:val="auto"/>
          <w:spacing w:val="-5"/>
          <w:sz w:val="24"/>
          <w:szCs w:val="24"/>
          <w:highlight w:val="none"/>
          <w:u w:val="none"/>
        </w:rPr>
        <w:t>日至 202</w:t>
      </w:r>
      <w:r>
        <w:rPr>
          <w:rFonts w:hint="eastAsia" w:ascii="宋体" w:hAnsi="宋体" w:eastAsia="宋体" w:cs="宋体"/>
          <w:color w:val="auto"/>
          <w:spacing w:val="-5"/>
          <w:sz w:val="24"/>
          <w:szCs w:val="24"/>
          <w:highlight w:val="none"/>
          <w:u w:val="none"/>
          <w:lang w:val="en-US" w:eastAsia="zh-CN"/>
        </w:rPr>
        <w:t>6</w:t>
      </w:r>
      <w:r>
        <w:rPr>
          <w:rFonts w:hint="eastAsia" w:ascii="宋体" w:hAnsi="宋体" w:eastAsia="宋体" w:cs="宋体"/>
          <w:color w:val="auto"/>
          <w:spacing w:val="-5"/>
          <w:sz w:val="24"/>
          <w:szCs w:val="24"/>
          <w:highlight w:val="none"/>
          <w:u w:val="none"/>
        </w:rPr>
        <w:t xml:space="preserve"> 年 0</w:t>
      </w:r>
      <w:r>
        <w:rPr>
          <w:rFonts w:hint="eastAsia" w:ascii="宋体" w:hAnsi="宋体" w:eastAsia="宋体" w:cs="宋体"/>
          <w:color w:val="auto"/>
          <w:spacing w:val="-5"/>
          <w:sz w:val="24"/>
          <w:szCs w:val="24"/>
          <w:highlight w:val="none"/>
          <w:u w:val="none"/>
          <w:lang w:val="en-US" w:eastAsia="zh-CN"/>
        </w:rPr>
        <w:t>6</w:t>
      </w:r>
      <w:r>
        <w:rPr>
          <w:rFonts w:hint="eastAsia" w:ascii="宋体" w:hAnsi="宋体" w:eastAsia="宋体" w:cs="宋体"/>
          <w:color w:val="auto"/>
          <w:spacing w:val="-5"/>
          <w:sz w:val="24"/>
          <w:szCs w:val="24"/>
          <w:highlight w:val="none"/>
          <w:u w:val="none"/>
        </w:rPr>
        <w:t>月</w:t>
      </w:r>
      <w:r>
        <w:rPr>
          <w:rFonts w:hint="eastAsia" w:ascii="宋体" w:hAnsi="宋体" w:eastAsia="宋体" w:cs="宋体"/>
          <w:color w:val="auto"/>
          <w:spacing w:val="-5"/>
          <w:sz w:val="24"/>
          <w:szCs w:val="24"/>
          <w:highlight w:val="none"/>
          <w:u w:val="none"/>
          <w:lang w:val="en-US" w:eastAsia="zh-CN"/>
        </w:rPr>
        <w:t xml:space="preserve"> 07</w:t>
      </w:r>
      <w:r>
        <w:rPr>
          <w:rFonts w:hint="eastAsia" w:ascii="宋体" w:hAnsi="宋体" w:eastAsia="宋体" w:cs="宋体"/>
          <w:color w:val="auto"/>
          <w:spacing w:val="-5"/>
          <w:sz w:val="24"/>
          <w:szCs w:val="24"/>
          <w:highlight w:val="none"/>
          <w:u w:val="none"/>
        </w:rPr>
        <w:t>日</w:t>
      </w:r>
      <w:r>
        <w:rPr>
          <w:rFonts w:hint="eastAsia" w:ascii="宋体" w:hAnsi="宋体" w:eastAsia="宋体" w:cs="宋体"/>
          <w:color w:val="auto"/>
          <w:spacing w:val="-10"/>
          <w:sz w:val="24"/>
          <w:szCs w:val="24"/>
          <w:highlight w:val="none"/>
        </w:rPr>
        <w:t>，每天上午00:00至12:00，下午12:00至 23 :59（北京时间，法定节假日除外）</w:t>
      </w:r>
      <w:r>
        <w:rPr>
          <w:rFonts w:hint="eastAsia" w:ascii="宋体" w:hAnsi="宋体" w:eastAsia="宋体" w:cs="宋体"/>
          <w:color w:val="auto"/>
          <w:spacing w:val="-5"/>
          <w:sz w:val="24"/>
          <w:szCs w:val="24"/>
          <w:highlight w:val="none"/>
        </w:rPr>
        <w:t>。</w:t>
      </w:r>
    </w:p>
    <w:p w14:paraId="57DA4550">
      <w:pPr>
        <w:spacing w:before="60" w:line="215" w:lineRule="auto"/>
        <w:ind w:left="5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地点：政采云平台（www.zcygov.cn）线上获取。</w:t>
      </w:r>
    </w:p>
    <w:p w14:paraId="57E9E8F0">
      <w:pPr>
        <w:spacing w:before="126" w:line="258" w:lineRule="auto"/>
        <w:ind w:left="10" w:right="181" w:firstLine="5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方式：供应商登录政采云平台</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https://www.zcygov.cn/在线申请获取采购文件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进入 “项目采购</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”应用，在获取采购文件菜单中选择项目，</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申请获取采购文件）</w:t>
      </w:r>
    </w:p>
    <w:p w14:paraId="3CB10C51">
      <w:pPr>
        <w:spacing w:before="65" w:line="221" w:lineRule="auto"/>
        <w:ind w:left="6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售价：0.00</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元</w:t>
      </w:r>
    </w:p>
    <w:p w14:paraId="38A9A34C">
      <w:pPr>
        <w:spacing w:before="97" w:line="222" w:lineRule="auto"/>
        <w:ind w:left="84"/>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四、</w:t>
      </w:r>
      <w:r>
        <w:rPr>
          <w:rFonts w:hint="eastAsia" w:ascii="宋体" w:hAnsi="宋体" w:eastAsia="宋体" w:cs="宋体"/>
          <w:b/>
          <w:bCs/>
          <w:color w:val="auto"/>
          <w:spacing w:val="-12"/>
          <w:sz w:val="24"/>
          <w:szCs w:val="24"/>
          <w:highlight w:val="none"/>
        </w:rPr>
        <w:t>响应文件提交</w:t>
      </w:r>
    </w:p>
    <w:p w14:paraId="6361E207">
      <w:pPr>
        <w:spacing w:before="119" w:line="222" w:lineRule="auto"/>
        <w:ind w:left="51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截止时间：202</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年0</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lang w:val="en-US" w:eastAsia="zh-CN"/>
        </w:rPr>
        <w:t>08</w:t>
      </w:r>
      <w:r>
        <w:rPr>
          <w:rFonts w:hint="eastAsia" w:ascii="宋体" w:hAnsi="宋体" w:eastAsia="宋体" w:cs="宋体"/>
          <w:color w:val="auto"/>
          <w:spacing w:val="-7"/>
          <w:sz w:val="24"/>
          <w:szCs w:val="24"/>
          <w:highlight w:val="none"/>
        </w:rPr>
        <w:t xml:space="preserve">日 </w:t>
      </w:r>
      <w:r>
        <w:rPr>
          <w:rFonts w:hint="eastAsia" w:ascii="宋体" w:hAnsi="宋体" w:eastAsia="宋体" w:cs="宋体"/>
          <w:color w:val="auto"/>
          <w:spacing w:val="-7"/>
          <w:sz w:val="24"/>
          <w:szCs w:val="24"/>
          <w:highlight w:val="none"/>
          <w:lang w:val="en-US" w:eastAsia="zh-CN"/>
        </w:rPr>
        <w:t>11</w:t>
      </w:r>
      <w:r>
        <w:rPr>
          <w:rFonts w:hint="eastAsia" w:ascii="宋体" w:hAnsi="宋体" w:eastAsia="宋体" w:cs="宋体"/>
          <w:color w:val="auto"/>
          <w:spacing w:val="-7"/>
          <w:sz w:val="24"/>
          <w:szCs w:val="24"/>
          <w:highlight w:val="none"/>
        </w:rPr>
        <w:t>时</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0分</w:t>
      </w:r>
    </w:p>
    <w:p w14:paraId="40705E06">
      <w:pPr>
        <w:spacing w:before="167" w:line="220"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地点：请登录政采云投标客户端投标</w:t>
      </w:r>
    </w:p>
    <w:p w14:paraId="22F0B9C6">
      <w:pPr>
        <w:spacing w:before="98" w:line="222" w:lineRule="auto"/>
        <w:ind w:left="3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五</w:t>
      </w:r>
      <w:r>
        <w:rPr>
          <w:rFonts w:hint="eastAsia" w:ascii="宋体" w:hAnsi="宋体" w:eastAsia="宋体" w:cs="宋体"/>
          <w:b/>
          <w:bCs/>
          <w:color w:val="auto"/>
          <w:spacing w:val="-7"/>
          <w:sz w:val="24"/>
          <w:szCs w:val="24"/>
          <w:highlight w:val="none"/>
        </w:rPr>
        <w:t>、响应文件开启</w:t>
      </w:r>
    </w:p>
    <w:p w14:paraId="75F9A625">
      <w:pPr>
        <w:spacing w:before="91" w:line="222" w:lineRule="auto"/>
        <w:ind w:left="50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开启时间：</w:t>
      </w:r>
      <w:r>
        <w:rPr>
          <w:rFonts w:hint="eastAsia" w:ascii="宋体" w:hAnsi="宋体" w:eastAsia="宋体" w:cs="宋体"/>
          <w:color w:val="auto"/>
          <w:spacing w:val="-7"/>
          <w:sz w:val="24"/>
          <w:szCs w:val="24"/>
          <w:highlight w:val="none"/>
        </w:rPr>
        <w:t>202</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年0</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lang w:val="en-US" w:eastAsia="zh-CN"/>
        </w:rPr>
        <w:t>08</w:t>
      </w:r>
      <w:r>
        <w:rPr>
          <w:rFonts w:hint="eastAsia" w:ascii="宋体" w:hAnsi="宋体" w:eastAsia="宋体" w:cs="宋体"/>
          <w:color w:val="auto"/>
          <w:spacing w:val="-7"/>
          <w:sz w:val="24"/>
          <w:szCs w:val="24"/>
          <w:highlight w:val="none"/>
        </w:rPr>
        <w:t>日 1</w:t>
      </w: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时</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0分</w:t>
      </w:r>
    </w:p>
    <w:p w14:paraId="07DDFD28">
      <w:pPr>
        <w:spacing w:before="104" w:line="263" w:lineRule="auto"/>
        <w:ind w:left="267" w:firstLine="2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地点：投标人登录政采云平台https://www.zcygov.cn/，进入</w:t>
      </w:r>
      <w:r>
        <w:rPr>
          <w:rFonts w:hint="eastAsia" w:ascii="宋体" w:hAnsi="宋体" w:eastAsia="宋体" w:cs="宋体"/>
          <w:color w:val="auto"/>
          <w:spacing w:val="-8"/>
          <w:sz w:val="24"/>
          <w:szCs w:val="24"/>
          <w:highlight w:val="none"/>
        </w:rPr>
        <w:t>“项目采购-开标评标-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右边选择对应项目点击“进入项目”进入开标大厅</w:t>
      </w:r>
    </w:p>
    <w:p w14:paraId="758493DB">
      <w:pPr>
        <w:spacing w:before="130" w:line="222" w:lineRule="auto"/>
        <w:ind w:left="50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六</w:t>
      </w:r>
      <w:r>
        <w:rPr>
          <w:rFonts w:hint="eastAsia" w:ascii="宋体" w:hAnsi="宋体" w:eastAsia="宋体" w:cs="宋体"/>
          <w:b/>
          <w:bCs/>
          <w:color w:val="auto"/>
          <w:spacing w:val="-7"/>
          <w:sz w:val="24"/>
          <w:szCs w:val="24"/>
          <w:highlight w:val="none"/>
        </w:rPr>
        <w:t>、公告期限</w:t>
      </w:r>
    </w:p>
    <w:p w14:paraId="1F5943F0">
      <w:pPr>
        <w:spacing w:before="88" w:line="22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自本公告发布之日起</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12"/>
          <w:sz w:val="24"/>
          <w:szCs w:val="24"/>
          <w:highlight w:val="none"/>
        </w:rPr>
        <w:t>3</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2"/>
          <w:sz w:val="24"/>
          <w:szCs w:val="24"/>
          <w:highlight w:val="none"/>
        </w:rPr>
        <w:t>个工作日。</w:t>
      </w:r>
    </w:p>
    <w:p w14:paraId="5E34F5F0">
      <w:pPr>
        <w:spacing w:before="95" w:line="222" w:lineRule="auto"/>
        <w:ind w:left="505"/>
        <w:outlineLvl w:val="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七、</w:t>
      </w:r>
      <w:r>
        <w:rPr>
          <w:rFonts w:hint="eastAsia" w:ascii="宋体" w:hAnsi="宋体" w:eastAsia="宋体" w:cs="宋体"/>
          <w:b/>
          <w:bCs/>
          <w:color w:val="auto"/>
          <w:spacing w:val="-7"/>
          <w:sz w:val="24"/>
          <w:szCs w:val="24"/>
          <w:highlight w:val="none"/>
        </w:rPr>
        <w:t>其他补充事宜</w:t>
      </w:r>
    </w:p>
    <w:p w14:paraId="6B0930C4">
      <w:pPr>
        <w:spacing w:before="82" w:line="221"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1.本项目实行网上投标，采用电子投标文件。</w:t>
      </w:r>
    </w:p>
    <w:p w14:paraId="0A9A420C">
      <w:pPr>
        <w:spacing w:before="29" w:line="237" w:lineRule="auto"/>
        <w:ind w:left="476" w:right="93" w:firstLine="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2.各供应商应在开标前确保成为正式注册入库供应商，</w:t>
      </w:r>
      <w:r>
        <w:rPr>
          <w:rFonts w:hint="eastAsia" w:ascii="宋体" w:hAnsi="宋体" w:eastAsia="宋体" w:cs="宋体"/>
          <w:color w:val="auto"/>
          <w:spacing w:val="-1"/>
          <w:sz w:val="24"/>
          <w:szCs w:val="24"/>
          <w:highlight w:val="none"/>
        </w:rPr>
        <w:t>并完成CA数字证书(符合国</w:t>
      </w:r>
      <w:r>
        <w:rPr>
          <w:rFonts w:hint="eastAsia" w:ascii="宋体" w:hAnsi="宋体" w:eastAsia="宋体" w:cs="宋体"/>
          <w:color w:val="auto"/>
          <w:sz w:val="24"/>
          <w:szCs w:val="24"/>
          <w:highlight w:val="none"/>
        </w:rPr>
        <w:t xml:space="preserve"> 密标准)申领。因未注册入库、未办理CA数字证书等原因造成无</w:t>
      </w:r>
      <w:r>
        <w:rPr>
          <w:rFonts w:hint="eastAsia" w:ascii="宋体" w:hAnsi="宋体" w:eastAsia="宋体" w:cs="宋体"/>
          <w:color w:val="auto"/>
          <w:spacing w:val="-1"/>
          <w:sz w:val="24"/>
          <w:szCs w:val="24"/>
          <w:highlight w:val="none"/>
        </w:rPr>
        <w:t>法投标或投标失败</w:t>
      </w:r>
      <w:r>
        <w:rPr>
          <w:rFonts w:hint="eastAsia" w:ascii="宋体" w:hAnsi="宋体" w:eastAsia="宋体" w:cs="宋体"/>
          <w:color w:val="auto"/>
          <w:sz w:val="24"/>
          <w:szCs w:val="24"/>
          <w:highlight w:val="none"/>
        </w:rPr>
        <w:t xml:space="preserve"> 等后果由供应商自行承担。如需咨询，请联系新疆CA服务热线40009</w:t>
      </w:r>
      <w:r>
        <w:rPr>
          <w:rFonts w:hint="eastAsia" w:ascii="宋体" w:hAnsi="宋体" w:eastAsia="宋体" w:cs="宋体"/>
          <w:color w:val="auto"/>
          <w:spacing w:val="-1"/>
          <w:sz w:val="24"/>
          <w:szCs w:val="24"/>
          <w:highlight w:val="none"/>
        </w:rPr>
        <w:t>21999；翔晟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CA服务热线025-66085508。</w:t>
      </w:r>
    </w:p>
    <w:p w14:paraId="3238F197">
      <w:pPr>
        <w:spacing w:before="26" w:line="235" w:lineRule="auto"/>
        <w:ind w:left="485" w:right="213" w:hanging="2"/>
        <w:jc w:val="both"/>
        <w:rPr>
          <w:rFonts w:hint="eastAsia" w:ascii="宋体" w:hAnsi="宋体" w:eastAsia="宋体" w:cs="宋体"/>
          <w:color w:val="auto"/>
          <w:sz w:val="20"/>
          <w:szCs w:val="20"/>
          <w:highlight w:val="none"/>
        </w:rPr>
      </w:pPr>
      <w:r>
        <w:rPr>
          <w:rFonts w:hint="eastAsia" w:ascii="宋体" w:hAnsi="宋体" w:eastAsia="宋体" w:cs="宋体"/>
          <w:color w:val="auto"/>
          <w:sz w:val="24"/>
          <w:szCs w:val="24"/>
          <w:highlight w:val="none"/>
        </w:rPr>
        <w:t>3.供应商将政采云电子交易客户端下载、安装完</w:t>
      </w:r>
      <w:r>
        <w:rPr>
          <w:rFonts w:hint="eastAsia" w:ascii="宋体" w:hAnsi="宋体" w:eastAsia="宋体" w:cs="宋体"/>
          <w:color w:val="auto"/>
          <w:spacing w:val="-1"/>
          <w:sz w:val="24"/>
          <w:szCs w:val="24"/>
          <w:highlight w:val="none"/>
        </w:rPr>
        <w:t>成后，可通过账号密码或CA登录</w:t>
      </w:r>
      <w:r>
        <w:rPr>
          <w:rFonts w:hint="eastAsia" w:ascii="宋体" w:hAnsi="宋体" w:eastAsia="宋体" w:cs="宋体"/>
          <w:color w:val="auto"/>
          <w:sz w:val="24"/>
          <w:szCs w:val="24"/>
          <w:highlight w:val="none"/>
        </w:rPr>
        <w:t>客户端进行投标文件的制作。在使用政采云投</w:t>
      </w:r>
      <w:r>
        <w:rPr>
          <w:rFonts w:hint="eastAsia" w:ascii="宋体" w:hAnsi="宋体" w:eastAsia="宋体" w:cs="宋体"/>
          <w:color w:val="auto"/>
          <w:spacing w:val="-1"/>
          <w:sz w:val="24"/>
          <w:szCs w:val="24"/>
          <w:highlight w:val="none"/>
        </w:rPr>
        <w:t>标客户端时，建议使用WIN7及以上</w:t>
      </w:r>
      <w:r>
        <w:rPr>
          <w:rFonts w:hint="eastAsia" w:ascii="宋体" w:hAnsi="宋体" w:eastAsia="宋体" w:cs="宋体"/>
          <w:color w:val="auto"/>
          <w:spacing w:val="-4"/>
          <w:sz w:val="24"/>
          <w:szCs w:val="24"/>
          <w:highlight w:val="none"/>
        </w:rPr>
        <w:t>操作系统</w:t>
      </w:r>
      <w:r>
        <w:rPr>
          <w:rFonts w:hint="eastAsia" w:ascii="宋体" w:hAnsi="宋体" w:eastAsia="宋体" w:cs="宋体"/>
          <w:color w:val="auto"/>
          <w:spacing w:val="-4"/>
          <w:sz w:val="20"/>
          <w:szCs w:val="20"/>
          <w:highlight w:val="none"/>
        </w:rPr>
        <w:t>。</w:t>
      </w:r>
    </w:p>
    <w:p w14:paraId="36480DA8">
      <w:pPr>
        <w:spacing w:line="317" w:lineRule="auto"/>
        <w:rPr>
          <w:rFonts w:hint="eastAsia" w:ascii="宋体" w:hAnsi="宋体" w:eastAsia="宋体" w:cs="宋体"/>
          <w:color w:val="auto"/>
          <w:sz w:val="21"/>
          <w:highlight w:val="none"/>
        </w:rPr>
      </w:pPr>
    </w:p>
    <w:p w14:paraId="10C66247">
      <w:pPr>
        <w:spacing w:before="79" w:line="223" w:lineRule="auto"/>
        <w:ind w:left="12"/>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特别提示：</w:t>
      </w:r>
    </w:p>
    <w:p w14:paraId="54D119E1">
      <w:pPr>
        <w:spacing w:before="106" w:line="262" w:lineRule="auto"/>
        <w:ind w:left="14" w:right="331" w:firstLine="21"/>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1、采购限额标准以上，200万元以下的货物和</w:t>
      </w:r>
      <w:r>
        <w:rPr>
          <w:rFonts w:hint="eastAsia" w:ascii="宋体" w:hAnsi="宋体" w:eastAsia="宋体" w:cs="宋体"/>
          <w:b/>
          <w:bCs/>
          <w:color w:val="auto"/>
          <w:spacing w:val="-10"/>
          <w:sz w:val="24"/>
          <w:szCs w:val="24"/>
          <w:highlight w:val="none"/>
        </w:rPr>
        <w:t>服务采购项目、400万元以下的工程采购</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8"/>
          <w:sz w:val="24"/>
          <w:szCs w:val="24"/>
          <w:highlight w:val="none"/>
        </w:rPr>
        <w:t>项目，</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8"/>
          <w:sz w:val="24"/>
          <w:szCs w:val="24"/>
          <w:highlight w:val="none"/>
        </w:rPr>
        <w:t>适宜由中小企业提供的，采购人应当专门面向中小企业采购。</w:t>
      </w:r>
    </w:p>
    <w:p w14:paraId="5C0EF61E">
      <w:pPr>
        <w:spacing w:before="79" w:line="273" w:lineRule="auto"/>
        <w:ind w:left="27" w:right="179" w:hanging="21"/>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2、超过200万元的货物和服务采购项目、超过400万元的工程采购项目中适宜由中</w:t>
      </w:r>
      <w:r>
        <w:rPr>
          <w:rFonts w:hint="eastAsia" w:ascii="宋体" w:hAnsi="宋体" w:eastAsia="宋体" w:cs="宋体"/>
          <w:b/>
          <w:bCs/>
          <w:color w:val="auto"/>
          <w:spacing w:val="-6"/>
          <w:sz w:val="24"/>
          <w:szCs w:val="24"/>
          <w:highlight w:val="none"/>
        </w:rPr>
        <w:t>小企</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4"/>
          <w:sz w:val="24"/>
          <w:szCs w:val="24"/>
          <w:highlight w:val="none"/>
        </w:rPr>
        <w:t>业提供</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4"/>
          <w:sz w:val="24"/>
          <w:szCs w:val="24"/>
          <w:highlight w:val="none"/>
        </w:rPr>
        <w:t>的，预留该部分采购项目预算总额的30%以上专门面向中小企业采购，其中预</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2"/>
          <w:sz w:val="24"/>
          <w:szCs w:val="24"/>
          <w:highlight w:val="none"/>
        </w:rPr>
        <w:t>留给小微企业的</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pacing w:val="-12"/>
          <w:sz w:val="24"/>
          <w:szCs w:val="24"/>
          <w:highlight w:val="none"/>
        </w:rPr>
        <w:t>比例不低于60%。</w:t>
      </w:r>
    </w:p>
    <w:p w14:paraId="353CCCE2">
      <w:pPr>
        <w:spacing w:before="74" w:line="271" w:lineRule="auto"/>
        <w:ind w:left="15" w:right="67" w:hanging="5"/>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3、对于未预留份额专门面向中小企业的采购项目，以及预留份额项目中的非预留部分</w:t>
      </w:r>
      <w:r>
        <w:rPr>
          <w:rFonts w:hint="eastAsia" w:ascii="宋体" w:hAnsi="宋体" w:eastAsia="宋体" w:cs="宋体"/>
          <w:color w:val="auto"/>
          <w:spacing w:val="1"/>
          <w:sz w:val="24"/>
          <w:szCs w:val="24"/>
          <w:highlight w:val="none"/>
        </w:rPr>
        <w:t xml:space="preserve">   </w:t>
      </w:r>
      <w:r>
        <w:rPr>
          <w:rFonts w:hint="eastAsia" w:ascii="宋体" w:hAnsi="宋体" w:eastAsia="宋体" w:cs="宋体"/>
          <w:b/>
          <w:bCs/>
          <w:color w:val="auto"/>
          <w:spacing w:val="-9"/>
          <w:sz w:val="24"/>
          <w:szCs w:val="24"/>
          <w:highlight w:val="none"/>
        </w:rPr>
        <w:t>采购包,采购人、采购代理机构应当对符合规定的小微企业</w:t>
      </w:r>
      <w:r>
        <w:rPr>
          <w:rFonts w:hint="eastAsia" w:ascii="宋体" w:hAnsi="宋体" w:eastAsia="宋体" w:cs="宋体"/>
          <w:b/>
          <w:bCs/>
          <w:color w:val="auto"/>
          <w:spacing w:val="-10"/>
          <w:sz w:val="24"/>
          <w:szCs w:val="24"/>
          <w:highlight w:val="none"/>
        </w:rPr>
        <w:t>报价给予10%~20%（工程</w:t>
      </w:r>
      <w:r>
        <w:rPr>
          <w:rFonts w:hint="eastAsia" w:ascii="宋体" w:hAnsi="宋体" w:eastAsia="宋体" w:cs="宋体"/>
          <w:b/>
          <w:bCs/>
          <w:color w:val="auto"/>
          <w:spacing w:val="-8"/>
          <w:sz w:val="24"/>
          <w:szCs w:val="24"/>
          <w:highlight w:val="none"/>
        </w:rPr>
        <w:t>项目为3%~5%）的扣除，用扣除后的价格参加评审</w:t>
      </w:r>
      <w:r>
        <w:rPr>
          <w:rFonts w:hint="eastAsia" w:ascii="宋体" w:hAnsi="宋体" w:eastAsia="宋体" w:cs="宋体"/>
          <w:b/>
          <w:bCs/>
          <w:color w:val="auto"/>
          <w:spacing w:val="-9"/>
          <w:sz w:val="24"/>
          <w:szCs w:val="24"/>
          <w:highlight w:val="none"/>
        </w:rPr>
        <w:t>。适用招标投标法的政府采购工程建设</w:t>
      </w:r>
      <w:r>
        <w:rPr>
          <w:rFonts w:hint="eastAsia" w:ascii="宋体" w:hAnsi="宋体" w:eastAsia="宋体" w:cs="宋体"/>
          <w:b/>
          <w:bCs/>
          <w:color w:val="auto"/>
          <w:spacing w:val="-8"/>
          <w:sz w:val="24"/>
          <w:szCs w:val="24"/>
          <w:highlight w:val="none"/>
        </w:rPr>
        <w:t>项目，采用综合评估法</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8"/>
          <w:sz w:val="24"/>
          <w:szCs w:val="24"/>
          <w:highlight w:val="none"/>
        </w:rPr>
        <w:t>但未采用低价优先法计算价格分的，评标时应当在采用原报价</w:t>
      </w:r>
      <w:r>
        <w:rPr>
          <w:rFonts w:hint="eastAsia" w:ascii="宋体" w:hAnsi="宋体" w:eastAsia="宋体" w:cs="宋体"/>
          <w:b/>
          <w:bCs/>
          <w:color w:val="auto"/>
          <w:spacing w:val="-9"/>
          <w:sz w:val="24"/>
          <w:szCs w:val="24"/>
          <w:highlight w:val="none"/>
        </w:rPr>
        <w:t>进行评分的基础上增加其价格得分的3%~5%作为其价格分。</w:t>
      </w:r>
    </w:p>
    <w:p w14:paraId="0ADCB603">
      <w:pPr>
        <w:spacing w:before="47" w:line="260" w:lineRule="auto"/>
        <w:ind w:left="14" w:right="326" w:firstLine="2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4、接受大中型企业与小微企业组成联合体或者允许大中型企业向一家或者多家小微企</w:t>
      </w:r>
      <w:r>
        <w:rPr>
          <w:rFonts w:hint="eastAsia" w:ascii="宋体" w:hAnsi="宋体" w:eastAsia="宋体" w:cs="宋体"/>
          <w:color w:val="auto"/>
          <w:spacing w:val="9"/>
          <w:sz w:val="24"/>
          <w:szCs w:val="24"/>
          <w:highlight w:val="none"/>
        </w:rPr>
        <w:t xml:space="preserve"> </w:t>
      </w:r>
      <w:r>
        <w:rPr>
          <w:rFonts w:hint="eastAsia" w:ascii="宋体" w:hAnsi="宋体" w:eastAsia="宋体" w:cs="宋体"/>
          <w:b/>
          <w:bCs/>
          <w:color w:val="auto"/>
          <w:spacing w:val="-9"/>
          <w:sz w:val="24"/>
          <w:szCs w:val="24"/>
          <w:highlight w:val="none"/>
        </w:rPr>
        <w:t>业分包</w:t>
      </w:r>
      <w:r>
        <w:rPr>
          <w:rFonts w:hint="eastAsia" w:ascii="宋体" w:hAnsi="宋体" w:eastAsia="宋体" w:cs="宋体"/>
          <w:color w:val="auto"/>
          <w:spacing w:val="47"/>
          <w:sz w:val="24"/>
          <w:szCs w:val="24"/>
          <w:highlight w:val="none"/>
        </w:rPr>
        <w:t xml:space="preserve"> </w:t>
      </w:r>
      <w:r>
        <w:rPr>
          <w:rFonts w:hint="eastAsia" w:ascii="宋体" w:hAnsi="宋体" w:eastAsia="宋体" w:cs="宋体"/>
          <w:b/>
          <w:bCs/>
          <w:color w:val="auto"/>
          <w:spacing w:val="-9"/>
          <w:sz w:val="24"/>
          <w:szCs w:val="24"/>
          <w:highlight w:val="none"/>
        </w:rPr>
        <w:t>的采购项目，对于联合协议或者分包意向协议约定小微企业的合同份额占到合</w:t>
      </w:r>
      <w:r>
        <w:rPr>
          <w:rFonts w:hint="eastAsia" w:ascii="宋体" w:hAnsi="宋体" w:eastAsia="宋体" w:cs="宋体"/>
          <w:b/>
          <w:bCs/>
          <w:color w:val="auto"/>
          <w:spacing w:val="-8"/>
          <w:sz w:val="24"/>
          <w:szCs w:val="24"/>
          <w:highlight w:val="none"/>
        </w:rPr>
        <w:t>同总金额30%以上的，采购人、采购代理机构</w:t>
      </w:r>
      <w:r>
        <w:rPr>
          <w:rFonts w:hint="eastAsia" w:ascii="宋体" w:hAnsi="宋体" w:eastAsia="宋体" w:cs="宋体"/>
          <w:b/>
          <w:bCs/>
          <w:color w:val="auto"/>
          <w:spacing w:val="-9"/>
          <w:sz w:val="24"/>
          <w:szCs w:val="24"/>
          <w:highlight w:val="none"/>
        </w:rPr>
        <w:t>应当对联合体或者大中型企业的报价给</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8"/>
          <w:sz w:val="24"/>
          <w:szCs w:val="24"/>
          <w:highlight w:val="none"/>
        </w:rPr>
        <w:t>予4%~6%（工程项目为1%~2%）的扣除，用扣除后的价格参加评审。适用招标投标法的</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8"/>
          <w:sz w:val="24"/>
          <w:szCs w:val="24"/>
          <w:highlight w:val="none"/>
        </w:rPr>
        <w:t>政府采购工程建设项目，采用综合评估法但未采用低价优先法计算价</w:t>
      </w:r>
      <w:r>
        <w:rPr>
          <w:rFonts w:hint="eastAsia" w:ascii="宋体" w:hAnsi="宋体" w:eastAsia="宋体" w:cs="宋体"/>
          <w:b/>
          <w:bCs/>
          <w:color w:val="auto"/>
          <w:spacing w:val="-9"/>
          <w:sz w:val="24"/>
          <w:szCs w:val="24"/>
          <w:highlight w:val="none"/>
        </w:rPr>
        <w:t>格分的，评标时</w:t>
      </w:r>
      <w:r>
        <w:rPr>
          <w:rFonts w:hint="eastAsia" w:ascii="宋体" w:hAnsi="宋体" w:eastAsia="宋体" w:cs="宋体"/>
          <w:b/>
          <w:bCs/>
          <w:color w:val="auto"/>
          <w:spacing w:val="-8"/>
          <w:sz w:val="24"/>
          <w:szCs w:val="24"/>
          <w:highlight w:val="none"/>
        </w:rPr>
        <w:t>应当在采用原报价进行评分的基础上增加其价格得分的1%~2%作为其价格分。</w:t>
      </w:r>
    </w:p>
    <w:p w14:paraId="15378470">
      <w:pPr>
        <w:spacing w:before="135" w:line="219" w:lineRule="auto"/>
        <w:ind w:left="15"/>
        <w:outlineLvl w:val="1"/>
        <w:rPr>
          <w:rFonts w:hint="eastAsia" w:ascii="宋体" w:hAnsi="宋体" w:eastAsia="宋体" w:cs="宋体"/>
          <w:color w:val="auto"/>
          <w:sz w:val="20"/>
          <w:szCs w:val="20"/>
          <w:highlight w:val="none"/>
        </w:rPr>
      </w:pPr>
      <w:r>
        <w:rPr>
          <w:rFonts w:hint="eastAsia" w:ascii="宋体" w:hAnsi="宋体" w:eastAsia="宋体" w:cs="宋体"/>
          <w:color w:val="auto"/>
          <w:spacing w:val="7"/>
          <w:sz w:val="24"/>
          <w:szCs w:val="24"/>
          <w:highlight w:val="none"/>
        </w:rPr>
        <w:t>八、</w:t>
      </w:r>
      <w:r>
        <w:rPr>
          <w:rFonts w:hint="eastAsia" w:ascii="宋体" w:hAnsi="宋体" w:eastAsia="宋体" w:cs="宋体"/>
          <w:b/>
          <w:bCs/>
          <w:color w:val="auto"/>
          <w:spacing w:val="7"/>
          <w:sz w:val="20"/>
          <w:szCs w:val="20"/>
          <w:highlight w:val="none"/>
        </w:rPr>
        <w:t>凡对本次招标提出询问，请按以下方式联系</w:t>
      </w:r>
    </w:p>
    <w:p w14:paraId="42CC0FA9">
      <w:pPr>
        <w:spacing w:before="125" w:line="222" w:lineRule="auto"/>
        <w:ind w:left="1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9"/>
          <w:sz w:val="24"/>
          <w:szCs w:val="24"/>
          <w:highlight w:val="none"/>
        </w:rPr>
        <w:t>采购人信息</w:t>
      </w:r>
    </w:p>
    <w:p w14:paraId="7DD36EC5">
      <w:pPr>
        <w:spacing w:before="107" w:line="277" w:lineRule="auto"/>
        <w:ind w:left="9" w:right="5324" w:hanging="4"/>
        <w:rPr>
          <w:rFonts w:hint="eastAsia" w:ascii="宋体" w:hAnsi="宋体" w:eastAsia="宋体" w:cs="宋体"/>
          <w:color w:val="auto"/>
          <w:spacing w:val="13"/>
          <w:sz w:val="24"/>
          <w:szCs w:val="24"/>
          <w:highlight w:val="none"/>
        </w:rPr>
      </w:pPr>
      <w:r>
        <w:rPr>
          <w:rFonts w:hint="eastAsia" w:ascii="宋体" w:hAnsi="宋体" w:eastAsia="宋体" w:cs="宋体"/>
          <w:color w:val="auto"/>
          <w:spacing w:val="-3"/>
          <w:sz w:val="24"/>
          <w:szCs w:val="24"/>
          <w:highlight w:val="none"/>
        </w:rPr>
        <w:t>名 称：</w:t>
      </w:r>
      <w:r>
        <w:rPr>
          <w:rFonts w:hint="eastAsia" w:ascii="宋体" w:hAnsi="宋体" w:eastAsia="宋体" w:cs="宋体"/>
          <w:color w:val="auto"/>
          <w:spacing w:val="-3"/>
          <w:sz w:val="24"/>
          <w:szCs w:val="24"/>
          <w:highlight w:val="none"/>
          <w:lang w:eastAsia="zh-CN"/>
        </w:rPr>
        <w:t>莎车县农业农村局</w:t>
      </w:r>
      <w:r>
        <w:rPr>
          <w:rFonts w:hint="eastAsia" w:ascii="宋体" w:hAnsi="宋体" w:eastAsia="宋体" w:cs="宋体"/>
          <w:color w:val="auto"/>
          <w:spacing w:val="13"/>
          <w:sz w:val="24"/>
          <w:szCs w:val="24"/>
          <w:highlight w:val="none"/>
        </w:rPr>
        <w:t xml:space="preserve"> </w:t>
      </w:r>
    </w:p>
    <w:p w14:paraId="48D5E155">
      <w:pPr>
        <w:spacing w:before="107" w:line="277" w:lineRule="auto"/>
        <w:ind w:left="9" w:right="5324" w:hanging="4"/>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rPr>
        <w:t>地</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6"/>
          <w:sz w:val="24"/>
          <w:szCs w:val="24"/>
          <w:highlight w:val="none"/>
        </w:rPr>
        <w:t>址：</w:t>
      </w:r>
      <w:r>
        <w:rPr>
          <w:rFonts w:hint="eastAsia" w:ascii="宋体" w:hAnsi="宋体" w:eastAsia="宋体" w:cs="宋体"/>
          <w:color w:val="auto"/>
          <w:spacing w:val="-6"/>
          <w:sz w:val="24"/>
          <w:szCs w:val="24"/>
          <w:highlight w:val="none"/>
          <w:lang w:val="en-US" w:eastAsia="zh-CN"/>
        </w:rPr>
        <w:t>莎车县</w:t>
      </w:r>
    </w:p>
    <w:p w14:paraId="093BA349">
      <w:pPr>
        <w:spacing w:before="35" w:line="223" w:lineRule="auto"/>
        <w:ind w:left="3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联系方式：</w:t>
      </w:r>
      <w:r>
        <w:rPr>
          <w:rFonts w:hint="eastAsia" w:ascii="宋体" w:hAnsi="宋体" w:eastAsia="宋体" w:cs="宋体"/>
          <w:color w:val="auto"/>
          <w:spacing w:val="-2"/>
          <w:sz w:val="24"/>
          <w:szCs w:val="24"/>
          <w:highlight w:val="none"/>
          <w:lang w:eastAsia="zh-CN"/>
        </w:rPr>
        <w:t>18388070529</w:t>
      </w:r>
    </w:p>
    <w:p w14:paraId="1ABDF08E">
      <w:pPr>
        <w:spacing w:before="106" w:line="222"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2.采购代理机构信息</w:t>
      </w:r>
    </w:p>
    <w:p w14:paraId="30C196AA">
      <w:pPr>
        <w:spacing w:before="88" w:line="221"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名 称：</w:t>
      </w:r>
      <w:r>
        <w:rPr>
          <w:rFonts w:hint="eastAsia" w:ascii="宋体" w:hAnsi="宋体" w:eastAsia="宋体" w:cs="宋体"/>
          <w:color w:val="auto"/>
          <w:spacing w:val="-2"/>
          <w:sz w:val="24"/>
          <w:szCs w:val="24"/>
          <w:highlight w:val="none"/>
          <w:lang w:eastAsia="zh-CN"/>
        </w:rPr>
        <w:t>新疆方元晖工程项目管理有限公司</w:t>
      </w:r>
    </w:p>
    <w:p w14:paraId="02E5C07B">
      <w:pPr>
        <w:spacing w:before="88" w:line="223" w:lineRule="auto"/>
        <w:ind w:left="1"/>
        <w:outlineLvl w:val="2"/>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地 址：</w:t>
      </w:r>
      <w:r>
        <w:rPr>
          <w:rFonts w:hint="eastAsia" w:ascii="宋体" w:hAnsi="宋体" w:eastAsia="宋体" w:cs="宋体"/>
          <w:b w:val="0"/>
          <w:i w:val="0"/>
          <w:caps w:val="0"/>
          <w:color w:val="auto"/>
          <w:spacing w:val="0"/>
          <w:w w:val="100"/>
          <w:sz w:val="24"/>
          <w:szCs w:val="24"/>
          <w:highlight w:val="none"/>
        </w:rPr>
        <w:t>新疆喀什地区喀什市西域大道街道西环路社区33号徽商大厦A栋9层903.904室</w:t>
      </w:r>
    </w:p>
    <w:p w14:paraId="0914875C">
      <w:pPr>
        <w:spacing w:before="88" w:line="223" w:lineRule="auto"/>
        <w:ind w:left="1"/>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3.项目联系方式</w:t>
      </w:r>
    </w:p>
    <w:p w14:paraId="7CAB123F">
      <w:pPr>
        <w:spacing w:before="90" w:line="279" w:lineRule="auto"/>
        <w:ind w:left="59" w:right="6760" w:hanging="4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项目联系人：</w:t>
      </w:r>
      <w:r>
        <w:rPr>
          <w:rFonts w:hint="eastAsia" w:ascii="宋体" w:hAnsi="宋体" w:eastAsia="宋体" w:cs="宋体"/>
          <w:color w:val="auto"/>
          <w:spacing w:val="-5"/>
          <w:sz w:val="24"/>
          <w:szCs w:val="24"/>
          <w:highlight w:val="none"/>
          <w:lang w:eastAsia="zh-CN"/>
        </w:rPr>
        <w:t>陈聪</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电 话：</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7"/>
          <w:sz w:val="24"/>
          <w:szCs w:val="24"/>
          <w:highlight w:val="none"/>
          <w:lang w:eastAsia="zh-CN"/>
        </w:rPr>
        <w:t>16698774668</w:t>
      </w:r>
    </w:p>
    <w:p w14:paraId="31AA1C53">
      <w:pPr>
        <w:spacing w:line="279" w:lineRule="auto"/>
        <w:rPr>
          <w:rFonts w:hint="eastAsia" w:ascii="宋体" w:hAnsi="宋体" w:eastAsia="宋体" w:cs="宋体"/>
          <w:color w:val="auto"/>
          <w:sz w:val="24"/>
          <w:szCs w:val="24"/>
          <w:highlight w:val="none"/>
        </w:rPr>
        <w:sectPr>
          <w:footerReference r:id="rId26" w:type="default"/>
          <w:pgSz w:w="11906" w:h="16840"/>
          <w:pgMar w:top="1418" w:right="1785" w:bottom="1036" w:left="1103" w:header="0" w:footer="867" w:gutter="0"/>
          <w:pgNumType w:fmt="decimal"/>
          <w:cols w:space="720" w:num="1"/>
        </w:sectPr>
      </w:pPr>
    </w:p>
    <w:p w14:paraId="719D881A">
      <w:pPr>
        <w:spacing w:before="124" w:line="220" w:lineRule="auto"/>
        <w:ind w:left="2929"/>
        <w:outlineLvl w:val="0"/>
        <w:rPr>
          <w:rFonts w:hint="eastAsia" w:ascii="宋体" w:hAnsi="宋体" w:eastAsia="宋体" w:cs="宋体"/>
          <w:color w:val="auto"/>
          <w:sz w:val="21"/>
          <w:highlight w:val="none"/>
        </w:rPr>
      </w:pPr>
      <w:r>
        <w:rPr>
          <w:rFonts w:hint="eastAsia" w:ascii="宋体" w:hAnsi="宋体" w:eastAsia="宋体" w:cs="宋体"/>
          <w:b/>
          <w:bCs/>
          <w:color w:val="auto"/>
          <w:spacing w:val="2"/>
          <w:sz w:val="30"/>
          <w:szCs w:val="30"/>
          <w:highlight w:val="none"/>
        </w:rPr>
        <w:t>第4章</w:t>
      </w:r>
      <w:r>
        <w:rPr>
          <w:rFonts w:hint="eastAsia" w:ascii="宋体" w:hAnsi="宋体" w:eastAsia="宋体" w:cs="宋体"/>
          <w:color w:val="auto"/>
          <w:spacing w:val="87"/>
          <w:sz w:val="30"/>
          <w:szCs w:val="30"/>
          <w:highlight w:val="none"/>
        </w:rPr>
        <w:t xml:space="preserve"> </w:t>
      </w:r>
      <w:r>
        <w:rPr>
          <w:rFonts w:hint="eastAsia" w:ascii="宋体" w:hAnsi="宋体" w:eastAsia="宋体" w:cs="宋体"/>
          <w:b/>
          <w:bCs/>
          <w:color w:val="auto"/>
          <w:spacing w:val="2"/>
          <w:sz w:val="30"/>
          <w:szCs w:val="30"/>
          <w:highlight w:val="none"/>
        </w:rPr>
        <w:t>供应商须知资料表</w:t>
      </w:r>
    </w:p>
    <w:p w14:paraId="04A411A0">
      <w:pPr>
        <w:spacing w:before="78" w:line="220" w:lineRule="auto"/>
        <w:ind w:left="85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本表是本招标项目的具体资料，是对供应商须知的具体补充和修改，如有矛盾，</w:t>
      </w:r>
    </w:p>
    <w:p w14:paraId="1FB1A50D">
      <w:pPr>
        <w:spacing w:before="6" w:line="209"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应</w:t>
      </w:r>
      <w:r>
        <w:rPr>
          <w:rFonts w:hint="eastAsia" w:ascii="宋体" w:hAnsi="宋体" w:eastAsia="宋体" w:cs="宋体"/>
          <w:b/>
          <w:bCs/>
          <w:color w:val="auto"/>
          <w:spacing w:val="-5"/>
          <w:sz w:val="24"/>
          <w:szCs w:val="24"/>
          <w:highlight w:val="none"/>
        </w:rPr>
        <w:t>以本资料表为准</w:t>
      </w:r>
      <w:r>
        <w:rPr>
          <w:rFonts w:hint="eastAsia" w:ascii="宋体" w:hAnsi="宋体" w:eastAsia="宋体" w:cs="宋体"/>
          <w:color w:val="auto"/>
          <w:spacing w:val="-5"/>
          <w:sz w:val="24"/>
          <w:szCs w:val="24"/>
          <w:highlight w:val="none"/>
        </w:rPr>
        <w:t>。</w:t>
      </w:r>
    </w:p>
    <w:tbl>
      <w:tblPr>
        <w:tblStyle w:val="34"/>
        <w:tblW w:w="992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8568"/>
      </w:tblGrid>
      <w:tr w14:paraId="1364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58" w:type="dxa"/>
            <w:tcBorders>
              <w:left w:val="single" w:color="000000" w:sz="6" w:space="0"/>
            </w:tcBorders>
            <w:vAlign w:val="top"/>
          </w:tcPr>
          <w:p w14:paraId="36D8EBF0">
            <w:pPr>
              <w:spacing w:before="179" w:line="223" w:lineRule="auto"/>
              <w:ind w:left="35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条款号</w:t>
            </w:r>
          </w:p>
        </w:tc>
        <w:tc>
          <w:tcPr>
            <w:tcW w:w="8568" w:type="dxa"/>
            <w:tcBorders>
              <w:right w:val="single" w:color="000000" w:sz="6" w:space="0"/>
            </w:tcBorders>
            <w:vAlign w:val="top"/>
          </w:tcPr>
          <w:p w14:paraId="6D4625BD">
            <w:pPr>
              <w:spacing w:before="180" w:line="222" w:lineRule="auto"/>
              <w:ind w:left="3687"/>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rPr>
              <w:t>内</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容</w:t>
            </w:r>
          </w:p>
        </w:tc>
      </w:tr>
      <w:tr w14:paraId="7508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1358" w:type="dxa"/>
            <w:tcBorders>
              <w:left w:val="single" w:color="000000" w:sz="6" w:space="0"/>
            </w:tcBorders>
            <w:vAlign w:val="top"/>
          </w:tcPr>
          <w:p w14:paraId="6838383F">
            <w:pPr>
              <w:pStyle w:val="35"/>
              <w:spacing w:line="358" w:lineRule="auto"/>
              <w:rPr>
                <w:rFonts w:hint="eastAsia" w:ascii="宋体" w:hAnsi="宋体" w:eastAsia="宋体" w:cs="宋体"/>
                <w:color w:val="auto"/>
                <w:highlight w:val="none"/>
              </w:rPr>
            </w:pPr>
          </w:p>
          <w:p w14:paraId="53CD4B37">
            <w:pPr>
              <w:pStyle w:val="35"/>
              <w:spacing w:line="358" w:lineRule="auto"/>
              <w:rPr>
                <w:rFonts w:hint="eastAsia" w:ascii="宋体" w:hAnsi="宋体" w:eastAsia="宋体" w:cs="宋体"/>
                <w:color w:val="auto"/>
                <w:highlight w:val="none"/>
              </w:rPr>
            </w:pPr>
          </w:p>
          <w:p w14:paraId="0368E289">
            <w:pPr>
              <w:spacing w:before="78" w:line="181" w:lineRule="auto"/>
              <w:ind w:left="56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1.1</w:t>
            </w:r>
          </w:p>
        </w:tc>
        <w:tc>
          <w:tcPr>
            <w:tcW w:w="8568" w:type="dxa"/>
            <w:tcBorders>
              <w:right w:val="single" w:color="000000" w:sz="6" w:space="0"/>
            </w:tcBorders>
            <w:vAlign w:val="top"/>
          </w:tcPr>
          <w:p w14:paraId="24C2BB18">
            <w:pPr>
              <w:spacing w:before="103" w:line="222" w:lineRule="auto"/>
              <w:ind w:left="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采购人：</w:t>
            </w:r>
            <w:r>
              <w:rPr>
                <w:rFonts w:hint="eastAsia" w:ascii="宋体" w:hAnsi="宋体" w:eastAsia="宋体" w:cs="宋体"/>
                <w:color w:val="auto"/>
                <w:spacing w:val="1"/>
                <w:sz w:val="24"/>
                <w:szCs w:val="24"/>
                <w:highlight w:val="none"/>
                <w:lang w:eastAsia="zh-CN"/>
              </w:rPr>
              <w:t>莎车县农业农村局</w:t>
            </w:r>
          </w:p>
          <w:p w14:paraId="0A8034CA">
            <w:pPr>
              <w:spacing w:before="85" w:line="222" w:lineRule="auto"/>
              <w:ind w:left="45"/>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地</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2"/>
                <w:sz w:val="24"/>
                <w:szCs w:val="24"/>
                <w:highlight w:val="none"/>
              </w:rPr>
              <w:t>址：</w:t>
            </w:r>
            <w:r>
              <w:rPr>
                <w:rFonts w:hint="eastAsia" w:ascii="宋体" w:hAnsi="宋体" w:eastAsia="宋体" w:cs="宋体"/>
                <w:color w:val="auto"/>
                <w:spacing w:val="1"/>
                <w:sz w:val="24"/>
                <w:szCs w:val="24"/>
                <w:highlight w:val="none"/>
                <w:lang w:val="en-US" w:eastAsia="zh-CN"/>
              </w:rPr>
              <w:t>莎车县</w:t>
            </w:r>
          </w:p>
          <w:p w14:paraId="47A7611B">
            <w:pPr>
              <w:spacing w:before="87" w:line="223" w:lineRule="auto"/>
              <w:ind w:left="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pacing w:val="-1"/>
                <w:sz w:val="24"/>
                <w:szCs w:val="24"/>
                <w:highlight w:val="none"/>
                <w:lang w:val="en-US" w:eastAsia="zh-CN"/>
              </w:rPr>
              <w:t>李正明</w:t>
            </w:r>
          </w:p>
          <w:p w14:paraId="1BC08D28">
            <w:pPr>
              <w:spacing w:before="84" w:line="203" w:lineRule="auto"/>
              <w:ind w:left="4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18388070529</w:t>
            </w:r>
          </w:p>
        </w:tc>
      </w:tr>
      <w:tr w14:paraId="4BFF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1358" w:type="dxa"/>
            <w:tcBorders>
              <w:left w:val="single" w:color="000000" w:sz="6" w:space="0"/>
            </w:tcBorders>
            <w:vAlign w:val="top"/>
          </w:tcPr>
          <w:p w14:paraId="07AA5759">
            <w:pPr>
              <w:pStyle w:val="35"/>
              <w:spacing w:line="306" w:lineRule="auto"/>
              <w:rPr>
                <w:rFonts w:hint="eastAsia" w:ascii="宋体" w:hAnsi="宋体" w:eastAsia="宋体" w:cs="宋体"/>
                <w:color w:val="auto"/>
                <w:highlight w:val="none"/>
              </w:rPr>
            </w:pPr>
          </w:p>
          <w:p w14:paraId="2902E862">
            <w:pPr>
              <w:pStyle w:val="35"/>
              <w:spacing w:line="306" w:lineRule="auto"/>
              <w:rPr>
                <w:rFonts w:hint="eastAsia" w:ascii="宋体" w:hAnsi="宋体" w:eastAsia="宋体" w:cs="宋体"/>
                <w:color w:val="auto"/>
                <w:highlight w:val="none"/>
              </w:rPr>
            </w:pPr>
          </w:p>
          <w:p w14:paraId="358AAFB5">
            <w:pPr>
              <w:pStyle w:val="35"/>
              <w:spacing w:line="307" w:lineRule="auto"/>
              <w:rPr>
                <w:rFonts w:hint="eastAsia" w:ascii="宋体" w:hAnsi="宋体" w:eastAsia="宋体" w:cs="宋体"/>
                <w:color w:val="auto"/>
                <w:highlight w:val="none"/>
              </w:rPr>
            </w:pPr>
          </w:p>
          <w:p w14:paraId="1DC87F68">
            <w:pPr>
              <w:spacing w:before="78" w:line="181" w:lineRule="auto"/>
              <w:ind w:left="56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1.2</w:t>
            </w:r>
          </w:p>
        </w:tc>
        <w:tc>
          <w:tcPr>
            <w:tcW w:w="8568" w:type="dxa"/>
            <w:tcBorders>
              <w:right w:val="single" w:color="000000" w:sz="6" w:space="0"/>
            </w:tcBorders>
            <w:vAlign w:val="top"/>
          </w:tcPr>
          <w:p w14:paraId="3EFD4449">
            <w:pPr>
              <w:spacing w:before="106" w:line="222" w:lineRule="auto"/>
              <w:ind w:left="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采购代理机构：</w:t>
            </w:r>
            <w:r>
              <w:rPr>
                <w:rFonts w:hint="eastAsia" w:ascii="宋体" w:hAnsi="宋体" w:eastAsia="宋体" w:cs="宋体"/>
                <w:color w:val="auto"/>
                <w:spacing w:val="1"/>
                <w:sz w:val="24"/>
                <w:szCs w:val="24"/>
                <w:highlight w:val="none"/>
                <w:lang w:eastAsia="zh-CN"/>
              </w:rPr>
              <w:t>新疆方元晖工程项目管理有限公司</w:t>
            </w:r>
          </w:p>
          <w:p w14:paraId="200BB173">
            <w:pPr>
              <w:spacing w:before="85" w:line="222" w:lineRule="auto"/>
              <w:ind w:left="4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地址：</w:t>
            </w:r>
            <w:r>
              <w:rPr>
                <w:rFonts w:hint="eastAsia" w:ascii="宋体" w:hAnsi="宋体" w:eastAsia="宋体" w:cs="宋体"/>
                <w:b w:val="0"/>
                <w:i w:val="0"/>
                <w:caps w:val="0"/>
                <w:color w:val="auto"/>
                <w:spacing w:val="0"/>
                <w:w w:val="100"/>
                <w:sz w:val="24"/>
                <w:szCs w:val="24"/>
                <w:highlight w:val="none"/>
              </w:rPr>
              <w:t>新疆喀什地区喀什市西域大道街道西环路社区33号徽商大厦A栋9层903.904室</w:t>
            </w:r>
          </w:p>
          <w:p w14:paraId="59632BED">
            <w:pPr>
              <w:spacing w:before="87" w:line="223" w:lineRule="auto"/>
              <w:ind w:left="4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pacing w:val="-1"/>
                <w:sz w:val="24"/>
                <w:szCs w:val="24"/>
                <w:highlight w:val="none"/>
                <w:lang w:eastAsia="zh-CN"/>
              </w:rPr>
              <w:t>陈聪</w:t>
            </w:r>
          </w:p>
          <w:p w14:paraId="7B7DDB1F">
            <w:pPr>
              <w:spacing w:before="84" w:line="201" w:lineRule="auto"/>
              <w:ind w:left="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电话：</w:t>
            </w:r>
            <w:r>
              <w:rPr>
                <w:rFonts w:hint="eastAsia" w:ascii="宋体" w:hAnsi="宋体" w:eastAsia="宋体" w:cs="宋体"/>
                <w:color w:val="auto"/>
                <w:spacing w:val="-2"/>
                <w:sz w:val="24"/>
                <w:szCs w:val="24"/>
                <w:highlight w:val="none"/>
                <w:lang w:eastAsia="zh-CN"/>
              </w:rPr>
              <w:t>16698774668</w:t>
            </w:r>
          </w:p>
        </w:tc>
      </w:tr>
      <w:tr w14:paraId="1DA81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0" w:hRule="atLeast"/>
        </w:trPr>
        <w:tc>
          <w:tcPr>
            <w:tcW w:w="1358" w:type="dxa"/>
            <w:tcBorders>
              <w:left w:val="single" w:color="000000" w:sz="6" w:space="0"/>
            </w:tcBorders>
            <w:vAlign w:val="top"/>
          </w:tcPr>
          <w:p w14:paraId="2EE89454">
            <w:pPr>
              <w:pStyle w:val="35"/>
              <w:spacing w:line="246" w:lineRule="auto"/>
              <w:rPr>
                <w:rFonts w:hint="eastAsia" w:ascii="宋体" w:hAnsi="宋体" w:eastAsia="宋体" w:cs="宋体"/>
                <w:color w:val="auto"/>
                <w:highlight w:val="none"/>
              </w:rPr>
            </w:pPr>
          </w:p>
          <w:p w14:paraId="3130C8F1">
            <w:pPr>
              <w:pStyle w:val="35"/>
              <w:spacing w:line="246" w:lineRule="auto"/>
              <w:rPr>
                <w:rFonts w:hint="eastAsia" w:ascii="宋体" w:hAnsi="宋体" w:eastAsia="宋体" w:cs="宋体"/>
                <w:color w:val="auto"/>
                <w:highlight w:val="none"/>
              </w:rPr>
            </w:pPr>
          </w:p>
          <w:p w14:paraId="01B82A2D">
            <w:pPr>
              <w:pStyle w:val="35"/>
              <w:spacing w:line="246" w:lineRule="auto"/>
              <w:rPr>
                <w:rFonts w:hint="eastAsia" w:ascii="宋体" w:hAnsi="宋体" w:eastAsia="宋体" w:cs="宋体"/>
                <w:color w:val="auto"/>
                <w:highlight w:val="none"/>
              </w:rPr>
            </w:pPr>
          </w:p>
          <w:p w14:paraId="7F9D0A18">
            <w:pPr>
              <w:pStyle w:val="35"/>
              <w:spacing w:line="246" w:lineRule="auto"/>
              <w:rPr>
                <w:rFonts w:hint="eastAsia" w:ascii="宋体" w:hAnsi="宋体" w:eastAsia="宋体" w:cs="宋体"/>
                <w:color w:val="auto"/>
                <w:highlight w:val="none"/>
              </w:rPr>
            </w:pPr>
          </w:p>
          <w:p w14:paraId="20F8976A">
            <w:pPr>
              <w:pStyle w:val="35"/>
              <w:spacing w:line="246" w:lineRule="auto"/>
              <w:rPr>
                <w:rFonts w:hint="eastAsia" w:ascii="宋体" w:hAnsi="宋体" w:eastAsia="宋体" w:cs="宋体"/>
                <w:color w:val="auto"/>
                <w:highlight w:val="none"/>
              </w:rPr>
            </w:pPr>
          </w:p>
          <w:p w14:paraId="1D57809D">
            <w:pPr>
              <w:pStyle w:val="35"/>
              <w:spacing w:line="246" w:lineRule="auto"/>
              <w:rPr>
                <w:rFonts w:hint="eastAsia" w:ascii="宋体" w:hAnsi="宋体" w:eastAsia="宋体" w:cs="宋体"/>
                <w:color w:val="auto"/>
                <w:highlight w:val="none"/>
              </w:rPr>
            </w:pPr>
          </w:p>
          <w:p w14:paraId="15D54758">
            <w:pPr>
              <w:pStyle w:val="35"/>
              <w:spacing w:line="246" w:lineRule="auto"/>
              <w:rPr>
                <w:rFonts w:hint="eastAsia" w:ascii="宋体" w:hAnsi="宋体" w:eastAsia="宋体" w:cs="宋体"/>
                <w:color w:val="auto"/>
                <w:highlight w:val="none"/>
              </w:rPr>
            </w:pPr>
          </w:p>
          <w:p w14:paraId="4DE8E641">
            <w:pPr>
              <w:pStyle w:val="35"/>
              <w:spacing w:line="246" w:lineRule="auto"/>
              <w:rPr>
                <w:rFonts w:hint="eastAsia" w:ascii="宋体" w:hAnsi="宋体" w:eastAsia="宋体" w:cs="宋体"/>
                <w:color w:val="auto"/>
                <w:highlight w:val="none"/>
              </w:rPr>
            </w:pPr>
          </w:p>
          <w:p w14:paraId="16E3DDDF">
            <w:pPr>
              <w:pStyle w:val="35"/>
              <w:spacing w:line="246" w:lineRule="auto"/>
              <w:rPr>
                <w:rFonts w:hint="eastAsia" w:ascii="宋体" w:hAnsi="宋体" w:eastAsia="宋体" w:cs="宋体"/>
                <w:color w:val="auto"/>
                <w:highlight w:val="none"/>
              </w:rPr>
            </w:pPr>
          </w:p>
          <w:p w14:paraId="1442B134">
            <w:pPr>
              <w:pStyle w:val="35"/>
              <w:spacing w:line="246" w:lineRule="auto"/>
              <w:rPr>
                <w:rFonts w:hint="eastAsia" w:ascii="宋体" w:hAnsi="宋体" w:eastAsia="宋体" w:cs="宋体"/>
                <w:color w:val="auto"/>
                <w:highlight w:val="none"/>
              </w:rPr>
            </w:pPr>
          </w:p>
          <w:p w14:paraId="5354B3E9">
            <w:pPr>
              <w:pStyle w:val="35"/>
              <w:spacing w:line="246" w:lineRule="auto"/>
              <w:rPr>
                <w:rFonts w:hint="eastAsia" w:ascii="宋体" w:hAnsi="宋体" w:eastAsia="宋体" w:cs="宋体"/>
                <w:color w:val="auto"/>
                <w:highlight w:val="none"/>
              </w:rPr>
            </w:pPr>
          </w:p>
          <w:p w14:paraId="09279C0F">
            <w:pPr>
              <w:pStyle w:val="35"/>
              <w:spacing w:line="246" w:lineRule="auto"/>
              <w:rPr>
                <w:rFonts w:hint="eastAsia" w:ascii="宋体" w:hAnsi="宋体" w:eastAsia="宋体" w:cs="宋体"/>
                <w:color w:val="auto"/>
                <w:highlight w:val="none"/>
              </w:rPr>
            </w:pPr>
          </w:p>
          <w:p w14:paraId="26582DBC">
            <w:pPr>
              <w:pStyle w:val="35"/>
              <w:spacing w:line="246" w:lineRule="auto"/>
              <w:rPr>
                <w:rFonts w:hint="eastAsia" w:ascii="宋体" w:hAnsi="宋体" w:eastAsia="宋体" w:cs="宋体"/>
                <w:color w:val="auto"/>
                <w:highlight w:val="none"/>
              </w:rPr>
            </w:pPr>
          </w:p>
          <w:p w14:paraId="7F16B67F">
            <w:pPr>
              <w:pStyle w:val="35"/>
              <w:spacing w:line="246" w:lineRule="auto"/>
              <w:rPr>
                <w:rFonts w:hint="eastAsia" w:ascii="宋体" w:hAnsi="宋体" w:eastAsia="宋体" w:cs="宋体"/>
                <w:color w:val="auto"/>
                <w:highlight w:val="none"/>
              </w:rPr>
            </w:pPr>
          </w:p>
          <w:p w14:paraId="7BB5B052">
            <w:pPr>
              <w:pStyle w:val="35"/>
              <w:spacing w:line="246" w:lineRule="auto"/>
              <w:rPr>
                <w:rFonts w:hint="eastAsia" w:ascii="宋体" w:hAnsi="宋体" w:eastAsia="宋体" w:cs="宋体"/>
                <w:color w:val="auto"/>
                <w:highlight w:val="none"/>
              </w:rPr>
            </w:pPr>
          </w:p>
          <w:p w14:paraId="73241BC2">
            <w:pPr>
              <w:pStyle w:val="35"/>
              <w:spacing w:line="246" w:lineRule="auto"/>
              <w:rPr>
                <w:rFonts w:hint="eastAsia" w:ascii="宋体" w:hAnsi="宋体" w:eastAsia="宋体" w:cs="宋体"/>
                <w:color w:val="auto"/>
                <w:highlight w:val="none"/>
              </w:rPr>
            </w:pPr>
          </w:p>
          <w:p w14:paraId="635E7DED">
            <w:pPr>
              <w:pStyle w:val="35"/>
              <w:spacing w:line="247" w:lineRule="auto"/>
              <w:rPr>
                <w:rFonts w:hint="eastAsia" w:ascii="宋体" w:hAnsi="宋体" w:eastAsia="宋体" w:cs="宋体"/>
                <w:color w:val="auto"/>
                <w:highlight w:val="none"/>
              </w:rPr>
            </w:pPr>
          </w:p>
          <w:p w14:paraId="20043E86">
            <w:pPr>
              <w:pStyle w:val="35"/>
              <w:spacing w:line="247" w:lineRule="auto"/>
              <w:rPr>
                <w:rFonts w:hint="eastAsia" w:ascii="宋体" w:hAnsi="宋体" w:eastAsia="宋体" w:cs="宋体"/>
                <w:color w:val="auto"/>
                <w:highlight w:val="none"/>
              </w:rPr>
            </w:pPr>
          </w:p>
          <w:p w14:paraId="2F6C4618">
            <w:pPr>
              <w:pStyle w:val="35"/>
              <w:spacing w:line="247" w:lineRule="auto"/>
              <w:rPr>
                <w:rFonts w:hint="eastAsia" w:ascii="宋体" w:hAnsi="宋体" w:eastAsia="宋体" w:cs="宋体"/>
                <w:color w:val="auto"/>
                <w:highlight w:val="none"/>
              </w:rPr>
            </w:pPr>
          </w:p>
          <w:p w14:paraId="7E04CEE6">
            <w:pPr>
              <w:pStyle w:val="35"/>
              <w:spacing w:line="247" w:lineRule="auto"/>
              <w:rPr>
                <w:rFonts w:hint="eastAsia" w:ascii="宋体" w:hAnsi="宋体" w:eastAsia="宋体" w:cs="宋体"/>
                <w:color w:val="auto"/>
                <w:highlight w:val="none"/>
              </w:rPr>
            </w:pPr>
          </w:p>
          <w:p w14:paraId="58315A7C">
            <w:pPr>
              <w:pStyle w:val="35"/>
              <w:spacing w:line="247" w:lineRule="auto"/>
              <w:rPr>
                <w:rFonts w:hint="eastAsia" w:ascii="宋体" w:hAnsi="宋体" w:eastAsia="宋体" w:cs="宋体"/>
                <w:color w:val="auto"/>
                <w:highlight w:val="none"/>
              </w:rPr>
            </w:pPr>
          </w:p>
          <w:p w14:paraId="78C41161">
            <w:pPr>
              <w:spacing w:before="78" w:line="181" w:lineRule="auto"/>
              <w:ind w:left="44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1.3.4</w:t>
            </w:r>
          </w:p>
        </w:tc>
        <w:tc>
          <w:tcPr>
            <w:tcW w:w="8568" w:type="dxa"/>
            <w:tcBorders>
              <w:right w:val="single" w:color="000000" w:sz="6" w:space="0"/>
            </w:tcBorders>
            <w:vAlign w:val="top"/>
          </w:tcPr>
          <w:p w14:paraId="489416EE">
            <w:pPr>
              <w:spacing w:before="157" w:line="222" w:lineRule="auto"/>
              <w:ind w:left="7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合格供应商的其他资格要求：</w:t>
            </w:r>
          </w:p>
          <w:p w14:paraId="4BA95591">
            <w:pPr>
              <w:keepNext w:val="0"/>
              <w:keepLines w:val="0"/>
              <w:pageBreakBefore w:val="0"/>
              <w:widowControl/>
              <w:wordWrap/>
              <w:overflowPunct/>
              <w:topLinePunct w:val="0"/>
              <w:bidi w:val="0"/>
              <w:spacing w:before="16" w:line="360" w:lineRule="auto"/>
              <w:ind w:left="4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5"/>
                <w:sz w:val="24"/>
                <w:szCs w:val="24"/>
                <w:highlight w:val="none"/>
              </w:rPr>
              <w:t>1.满足《中华人民共和国政府采购法》第二十二条规定；</w:t>
            </w:r>
          </w:p>
          <w:p w14:paraId="4460128D">
            <w:pPr>
              <w:keepNext w:val="0"/>
              <w:keepLines w:val="0"/>
              <w:pageBreakBefore w:val="0"/>
              <w:widowControl/>
              <w:wordWrap/>
              <w:overflowPunct/>
              <w:topLinePunct w:val="0"/>
              <w:bidi w:val="0"/>
              <w:spacing w:before="29" w:line="360" w:lineRule="auto"/>
              <w:ind w:left="2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6"/>
                <w:sz w:val="24"/>
                <w:szCs w:val="24"/>
                <w:highlight w:val="none"/>
              </w:rPr>
              <w:t>2.具备有效的营业执照</w:t>
            </w:r>
            <w:r>
              <w:rPr>
                <w:rFonts w:hint="eastAsia" w:ascii="宋体" w:hAnsi="宋体" w:eastAsia="宋体" w:cs="宋体"/>
                <w:b w:val="0"/>
                <w:bCs w:val="0"/>
                <w:color w:val="auto"/>
                <w:spacing w:val="18"/>
                <w:sz w:val="24"/>
                <w:szCs w:val="24"/>
                <w:highlight w:val="none"/>
              </w:rPr>
              <w:t>；</w:t>
            </w:r>
          </w:p>
          <w:p w14:paraId="45514762">
            <w:pPr>
              <w:keepNext w:val="0"/>
              <w:keepLines w:val="0"/>
              <w:pageBreakBefore w:val="0"/>
              <w:widowControl/>
              <w:wordWrap/>
              <w:overflowPunct/>
              <w:topLinePunct w:val="0"/>
              <w:bidi w:val="0"/>
              <w:spacing w:before="27" w:line="360" w:lineRule="auto"/>
              <w:ind w:left="23" w:right="23" w:hanging="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8"/>
                <w:sz w:val="24"/>
                <w:szCs w:val="24"/>
                <w:highlight w:val="none"/>
                <w:lang w:val="en-US" w:eastAsia="zh-CN"/>
              </w:rPr>
              <w:t>3</w:t>
            </w:r>
            <w:r>
              <w:rPr>
                <w:rFonts w:hint="eastAsia" w:ascii="宋体" w:hAnsi="宋体" w:eastAsia="宋体" w:cs="宋体"/>
                <w:b w:val="0"/>
                <w:bCs w:val="0"/>
                <w:color w:val="auto"/>
                <w:spacing w:val="8"/>
                <w:sz w:val="24"/>
                <w:szCs w:val="24"/>
                <w:highlight w:val="none"/>
              </w:rPr>
              <w:t>.法人本人投标的需提供法定代表人身份证明书；被授权</w:t>
            </w:r>
            <w:r>
              <w:rPr>
                <w:rFonts w:hint="eastAsia" w:ascii="宋体" w:hAnsi="宋体" w:eastAsia="宋体" w:cs="宋体"/>
                <w:b w:val="0"/>
                <w:bCs w:val="0"/>
                <w:color w:val="auto"/>
                <w:spacing w:val="7"/>
                <w:sz w:val="24"/>
                <w:szCs w:val="24"/>
                <w:highlight w:val="none"/>
              </w:rPr>
              <w:t>委托人需</w:t>
            </w:r>
            <w:r>
              <w:rPr>
                <w:rFonts w:hint="eastAsia" w:ascii="宋体" w:hAnsi="宋体" w:eastAsia="宋体" w:cs="宋体"/>
                <w:b w:val="0"/>
                <w:bCs w:val="0"/>
                <w:color w:val="auto"/>
                <w:spacing w:val="6"/>
                <w:sz w:val="24"/>
                <w:szCs w:val="24"/>
                <w:highlight w:val="none"/>
              </w:rPr>
              <w:t>提供法人授权委托书；</w:t>
            </w:r>
          </w:p>
          <w:p w14:paraId="3894D2A9">
            <w:pPr>
              <w:keepNext w:val="0"/>
              <w:keepLines w:val="0"/>
              <w:pageBreakBefore w:val="0"/>
              <w:widowControl/>
              <w:wordWrap/>
              <w:overflowPunct/>
              <w:topLinePunct w:val="0"/>
              <w:bidi w:val="0"/>
              <w:spacing w:before="26" w:line="360" w:lineRule="auto"/>
              <w:ind w:left="21" w:right="23" w:firstLine="3"/>
              <w:rPr>
                <w:rFonts w:hint="default" w:ascii="宋体" w:hAnsi="宋体" w:eastAsia="宋体" w:cs="宋体"/>
                <w:b w:val="0"/>
                <w:bCs w:val="0"/>
                <w:color w:val="auto"/>
                <w:spacing w:val="7"/>
                <w:sz w:val="24"/>
                <w:szCs w:val="24"/>
                <w:highlight w:val="none"/>
                <w:lang w:val="en-US" w:eastAsia="zh-CN"/>
              </w:rPr>
            </w:pPr>
            <w:r>
              <w:rPr>
                <w:rFonts w:hint="eastAsia" w:ascii="宋体" w:hAnsi="宋体" w:eastAsia="宋体" w:cs="宋体"/>
                <w:b w:val="0"/>
                <w:bCs w:val="0"/>
                <w:color w:val="auto"/>
                <w:spacing w:val="7"/>
                <w:sz w:val="24"/>
                <w:szCs w:val="24"/>
                <w:highlight w:val="none"/>
                <w:lang w:val="en-US" w:eastAsia="zh-CN"/>
              </w:rPr>
              <w:t>4</w:t>
            </w:r>
            <w:r>
              <w:rPr>
                <w:rFonts w:hint="eastAsia" w:ascii="宋体" w:hAnsi="宋体" w:eastAsia="宋体" w:cs="宋体"/>
                <w:b w:val="0"/>
                <w:bCs w:val="0"/>
                <w:color w:val="auto"/>
                <w:spacing w:val="7"/>
                <w:sz w:val="24"/>
                <w:szCs w:val="24"/>
                <w:highlight w:val="none"/>
              </w:rPr>
              <w:t>.</w:t>
            </w:r>
            <w:r>
              <w:rPr>
                <w:rFonts w:hint="eastAsia" w:ascii="宋体" w:hAnsi="宋体" w:eastAsia="宋体" w:cs="宋体"/>
                <w:b w:val="0"/>
                <w:bCs w:val="0"/>
                <w:color w:val="auto"/>
                <w:spacing w:val="7"/>
                <w:sz w:val="24"/>
                <w:szCs w:val="24"/>
                <w:highlight w:val="none"/>
                <w:lang w:eastAsia="zh-CN"/>
              </w:rPr>
              <w:t>2024年或2025年度任意一年财务审计报告（新成立未满一年的新公司提供近六个月内任意一个月的银行资信证明）；</w:t>
            </w:r>
          </w:p>
          <w:p w14:paraId="7EC4D587">
            <w:pPr>
              <w:keepNext w:val="0"/>
              <w:keepLines w:val="0"/>
              <w:pageBreakBefore w:val="0"/>
              <w:widowControl/>
              <w:wordWrap/>
              <w:overflowPunct/>
              <w:topLinePunct w:val="0"/>
              <w:bidi w:val="0"/>
              <w:spacing w:before="26" w:line="360" w:lineRule="auto"/>
              <w:ind w:left="21" w:right="23" w:firstLine="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8"/>
                <w:sz w:val="24"/>
                <w:szCs w:val="24"/>
                <w:highlight w:val="none"/>
                <w:lang w:val="en-US" w:eastAsia="zh-CN"/>
              </w:rPr>
              <w:t>5</w:t>
            </w:r>
            <w:r>
              <w:rPr>
                <w:rFonts w:hint="eastAsia" w:ascii="宋体" w:hAnsi="宋体" w:eastAsia="宋体" w:cs="宋体"/>
                <w:b w:val="0"/>
                <w:bCs w:val="0"/>
                <w:color w:val="auto"/>
                <w:spacing w:val="8"/>
                <w:sz w:val="24"/>
                <w:szCs w:val="24"/>
                <w:highlight w:val="none"/>
              </w:rPr>
              <w:t>.依法缴纳近</w:t>
            </w:r>
            <w:r>
              <w:rPr>
                <w:rFonts w:hint="eastAsia" w:ascii="宋体" w:hAnsi="宋体" w:eastAsia="宋体" w:cs="宋体"/>
                <w:b w:val="0"/>
                <w:bCs w:val="0"/>
                <w:color w:val="auto"/>
                <w:spacing w:val="8"/>
                <w:sz w:val="24"/>
                <w:szCs w:val="24"/>
                <w:highlight w:val="none"/>
                <w:lang w:val="en-US" w:eastAsia="zh-CN"/>
              </w:rPr>
              <w:t>六</w:t>
            </w:r>
            <w:r>
              <w:rPr>
                <w:rFonts w:hint="eastAsia" w:ascii="宋体" w:hAnsi="宋体" w:eastAsia="宋体" w:cs="宋体"/>
                <w:b w:val="0"/>
                <w:bCs w:val="0"/>
                <w:color w:val="auto"/>
                <w:spacing w:val="8"/>
                <w:sz w:val="24"/>
                <w:szCs w:val="24"/>
                <w:highlight w:val="none"/>
              </w:rPr>
              <w:t>个月中任意一个月的社会保险社保</w:t>
            </w:r>
            <w:r>
              <w:rPr>
                <w:rFonts w:hint="eastAsia" w:ascii="宋体" w:hAnsi="宋体" w:eastAsia="宋体" w:cs="宋体"/>
                <w:b w:val="0"/>
                <w:bCs w:val="0"/>
                <w:color w:val="auto"/>
                <w:spacing w:val="7"/>
                <w:sz w:val="24"/>
                <w:szCs w:val="24"/>
                <w:highlight w:val="none"/>
              </w:rPr>
              <w:t>缴纳凭证；依法缴纳近</w:t>
            </w:r>
            <w:r>
              <w:rPr>
                <w:rFonts w:hint="eastAsia" w:ascii="宋体" w:hAnsi="宋体" w:eastAsia="宋体" w:cs="宋体"/>
                <w:b w:val="0"/>
                <w:bCs w:val="0"/>
                <w:color w:val="auto"/>
                <w:spacing w:val="7"/>
                <w:sz w:val="24"/>
                <w:szCs w:val="24"/>
                <w:highlight w:val="none"/>
                <w:lang w:val="en-US" w:eastAsia="zh-CN"/>
              </w:rPr>
              <w:t>六</w:t>
            </w:r>
            <w:r>
              <w:rPr>
                <w:rFonts w:hint="eastAsia" w:ascii="宋体" w:hAnsi="宋体" w:eastAsia="宋体" w:cs="宋体"/>
                <w:b w:val="0"/>
                <w:bCs w:val="0"/>
                <w:color w:val="auto"/>
                <w:spacing w:val="7"/>
                <w:sz w:val="24"/>
                <w:szCs w:val="24"/>
                <w:highlight w:val="none"/>
              </w:rPr>
              <w:t>个月中任意一个月的税收良好记录证明；</w:t>
            </w:r>
          </w:p>
          <w:p w14:paraId="07FBBA18">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highlight w:val="none"/>
              </w:rPr>
            </w:pPr>
            <w:r>
              <w:rPr>
                <w:rFonts w:hint="eastAsia" w:ascii="宋体" w:hAnsi="宋体" w:eastAsia="宋体" w:cs="宋体"/>
                <w:b w:val="0"/>
                <w:bCs w:val="0"/>
                <w:color w:val="auto"/>
                <w:spacing w:val="1"/>
                <w:sz w:val="24"/>
                <w:szCs w:val="24"/>
                <w:highlight w:val="none"/>
                <w:lang w:val="en-US" w:eastAsia="zh-CN"/>
              </w:rPr>
              <w:t>6</w:t>
            </w:r>
            <w:r>
              <w:rPr>
                <w:rFonts w:hint="eastAsia" w:ascii="宋体" w:hAnsi="宋体" w:eastAsia="宋体" w:cs="宋体"/>
                <w:b w:val="0"/>
                <w:bCs w:val="0"/>
                <w:color w:val="auto"/>
                <w:spacing w:val="8"/>
                <w:sz w:val="24"/>
                <w:szCs w:val="24"/>
                <w:highlight w:val="none"/>
              </w:rPr>
              <w:t>.</w:t>
            </w:r>
            <w:r>
              <w:rPr>
                <w:rFonts w:hint="eastAsia" w:ascii="宋体" w:hAnsi="宋体" w:eastAsia="宋体" w:cs="宋体"/>
                <w:b w:val="0"/>
                <w:bCs w:val="0"/>
                <w:color w:val="auto"/>
                <w:spacing w:val="8"/>
                <w:sz w:val="24"/>
                <w:szCs w:val="24"/>
                <w:highlight w:val="none"/>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b w:val="0"/>
                <w:bCs w:val="0"/>
                <w:color w:val="auto"/>
                <w:spacing w:val="8"/>
                <w:sz w:val="24"/>
                <w:szCs w:val="24"/>
                <w:highlight w:val="none"/>
                <w:lang w:eastAsia="zh-CN"/>
              </w:rPr>
              <w:t>（以招标代理机构或采购人查询为准）；</w:t>
            </w:r>
          </w:p>
          <w:p w14:paraId="41BB60BB">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 w:val="0"/>
                <w:bCs w:val="0"/>
                <w:color w:val="auto"/>
                <w:spacing w:val="8"/>
                <w:sz w:val="24"/>
                <w:szCs w:val="24"/>
                <w:highlight w:val="none"/>
                <w:lang w:val="en-US" w:eastAsia="zh-CN"/>
              </w:rPr>
              <w:t>.提供针对本次项目《反商业贿赂承诺书》；</w:t>
            </w:r>
          </w:p>
          <w:p w14:paraId="5763CD5D">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8.提供本单位在参加政府采购活动中前三年内无重大违法记录的承诺声明函；</w:t>
            </w:r>
          </w:p>
          <w:p w14:paraId="6991DD2E">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9.中小企业声明函；</w:t>
            </w:r>
          </w:p>
          <w:p w14:paraId="082C53F8">
            <w:pPr>
              <w:keepNext w:val="0"/>
              <w:keepLines w:val="0"/>
              <w:pageBreakBefore w:val="0"/>
              <w:widowControl/>
              <w:wordWrap/>
              <w:overflowPunct/>
              <w:topLinePunct w:val="0"/>
              <w:bidi w:val="0"/>
              <w:spacing w:before="24" w:line="360" w:lineRule="auto"/>
              <w:ind w:left="22" w:firstLine="6"/>
              <w:jc w:val="both"/>
              <w:rPr>
                <w:rFonts w:hint="default" w:ascii="宋体" w:hAnsi="宋体" w:eastAsia="宋体" w:cs="宋体"/>
                <w:b w:val="0"/>
                <w:bCs w:val="0"/>
                <w:color w:val="auto"/>
                <w:spacing w:val="8"/>
                <w:sz w:val="21"/>
                <w:szCs w:val="21"/>
                <w:highlight w:val="none"/>
                <w:lang w:val="en-US" w:eastAsia="zh-CN"/>
              </w:rPr>
            </w:pPr>
            <w:r>
              <w:rPr>
                <w:rFonts w:hint="eastAsia" w:ascii="宋体" w:hAnsi="宋体" w:eastAsia="宋体" w:cs="宋体"/>
                <w:b w:val="0"/>
                <w:bCs w:val="0"/>
                <w:color w:val="auto"/>
                <w:spacing w:val="8"/>
                <w:sz w:val="24"/>
                <w:szCs w:val="24"/>
                <w:highlight w:val="none"/>
                <w:lang w:val="en-US" w:eastAsia="zh-CN"/>
              </w:rPr>
              <w:t>10.投标保证金缴纳凭证或投标保函；</w:t>
            </w:r>
          </w:p>
        </w:tc>
      </w:tr>
    </w:tbl>
    <w:p w14:paraId="2CE938A4">
      <w:pPr>
        <w:rPr>
          <w:rFonts w:hint="eastAsia" w:ascii="宋体" w:hAnsi="宋体" w:eastAsia="宋体" w:cs="宋体"/>
          <w:color w:val="auto"/>
          <w:sz w:val="21"/>
          <w:highlight w:val="none"/>
        </w:rPr>
      </w:pPr>
    </w:p>
    <w:p w14:paraId="04D14665">
      <w:pPr>
        <w:pStyle w:val="6"/>
        <w:rPr>
          <w:rFonts w:hint="eastAsia"/>
          <w:color w:val="auto"/>
          <w:highlight w:val="none"/>
        </w:rPr>
      </w:pPr>
    </w:p>
    <w:p w14:paraId="3F5F9BD3">
      <w:pPr>
        <w:spacing w:line="89" w:lineRule="auto"/>
        <w:rPr>
          <w:rFonts w:hint="eastAsia" w:ascii="宋体" w:hAnsi="宋体" w:eastAsia="宋体" w:cs="宋体"/>
          <w:color w:val="auto"/>
          <w:sz w:val="2"/>
          <w:highlight w:val="none"/>
        </w:rPr>
      </w:pPr>
    </w:p>
    <w:tbl>
      <w:tblPr>
        <w:tblStyle w:val="34"/>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1252"/>
        <w:gridCol w:w="8414"/>
        <w:gridCol w:w="133"/>
      </w:tblGrid>
      <w:tr w14:paraId="51459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4" w:type="dxa"/>
          <w:trHeight w:val="426" w:hRule="atLeast"/>
        </w:trPr>
        <w:tc>
          <w:tcPr>
            <w:tcW w:w="1252" w:type="dxa"/>
            <w:tcBorders>
              <w:left w:val="single" w:color="000000" w:sz="6" w:space="0"/>
            </w:tcBorders>
            <w:vAlign w:val="top"/>
          </w:tcPr>
          <w:p w14:paraId="0378D518">
            <w:pPr>
              <w:spacing w:before="176" w:line="181"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1.3.5</w:t>
            </w:r>
          </w:p>
        </w:tc>
        <w:tc>
          <w:tcPr>
            <w:tcW w:w="8547" w:type="dxa"/>
            <w:gridSpan w:val="2"/>
            <w:tcBorders>
              <w:right w:val="single" w:color="000000" w:sz="6" w:space="0"/>
            </w:tcBorders>
            <w:vAlign w:val="top"/>
          </w:tcPr>
          <w:p w14:paraId="78D7D837">
            <w:pPr>
              <w:spacing w:before="136" w:line="215" w:lineRule="auto"/>
              <w:ind w:left="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是否允许采购进口产品：</w:t>
            </w:r>
            <w:r>
              <w:rPr>
                <w:rFonts w:hint="eastAsia" w:ascii="宋体" w:hAnsi="宋体" w:eastAsia="宋体" w:cs="宋体"/>
                <w:color w:val="auto"/>
                <w:spacing w:val="-2"/>
                <w:sz w:val="24"/>
                <w:szCs w:val="24"/>
                <w:highlight w:val="none"/>
                <w:u w:val="single" w:color="auto"/>
              </w:rPr>
              <w:t>否</w:t>
            </w:r>
            <w:r>
              <w:rPr>
                <w:rFonts w:hint="eastAsia" w:ascii="宋体" w:hAnsi="宋体" w:eastAsia="宋体" w:cs="宋体"/>
                <w:color w:val="auto"/>
                <w:spacing w:val="-2"/>
                <w:sz w:val="24"/>
                <w:szCs w:val="24"/>
                <w:highlight w:val="none"/>
              </w:rPr>
              <w:t xml:space="preserve">  (是、否)</w:t>
            </w:r>
          </w:p>
        </w:tc>
      </w:tr>
      <w:tr w14:paraId="6417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279" w:hRule="atLeast"/>
        </w:trPr>
        <w:tc>
          <w:tcPr>
            <w:tcW w:w="1252" w:type="dxa"/>
            <w:tcBorders>
              <w:left w:val="single" w:color="000000" w:sz="6" w:space="0"/>
            </w:tcBorders>
            <w:vAlign w:val="top"/>
          </w:tcPr>
          <w:p w14:paraId="0A216091">
            <w:pPr>
              <w:spacing w:before="175" w:line="181"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1.3.6</w:t>
            </w:r>
          </w:p>
        </w:tc>
        <w:tc>
          <w:tcPr>
            <w:tcW w:w="8547" w:type="dxa"/>
            <w:gridSpan w:val="2"/>
            <w:tcBorders>
              <w:right w:val="single" w:color="000000" w:sz="6" w:space="0"/>
            </w:tcBorders>
            <w:vAlign w:val="top"/>
          </w:tcPr>
          <w:p w14:paraId="44188476">
            <w:pPr>
              <w:spacing w:before="136" w:line="223" w:lineRule="auto"/>
              <w:ind w:left="76" w:right="155" w:hanging="25"/>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是否为专门面向中小企业采购：</w:t>
            </w:r>
            <w:r>
              <w:rPr>
                <w:rFonts w:hint="eastAsia" w:ascii="宋体" w:hAnsi="宋体" w:eastAsia="宋体" w:cs="宋体"/>
                <w:b/>
                <w:bCs/>
                <w:color w:val="auto"/>
                <w:spacing w:val="6"/>
                <w:sz w:val="24"/>
                <w:szCs w:val="24"/>
                <w:highlight w:val="none"/>
                <w:u w:val="single" w:color="auto"/>
                <w:lang w:val="en-US" w:eastAsia="zh-CN"/>
              </w:rPr>
              <w:t>是</w:t>
            </w:r>
            <w:r>
              <w:rPr>
                <w:rFonts w:hint="eastAsia" w:ascii="宋体" w:hAnsi="宋体" w:eastAsia="宋体" w:cs="宋体"/>
                <w:color w:val="auto"/>
                <w:spacing w:val="6"/>
                <w:sz w:val="24"/>
                <w:szCs w:val="24"/>
                <w:highlight w:val="none"/>
              </w:rPr>
              <w:t>(是、否)</w:t>
            </w:r>
          </w:p>
          <w:p w14:paraId="71188FA7">
            <w:pPr>
              <w:spacing w:before="136" w:line="223" w:lineRule="auto"/>
              <w:ind w:left="76" w:right="155" w:hanging="25"/>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潜在投标企业属于中小微企业的，请在投标文件中提供“中小企业声明函”，如果未提供或提供虚假的“中小微企业声明函”，投标企业将承担由此造成的一切不利于后果。</w:t>
            </w:r>
          </w:p>
          <w:p w14:paraId="330216D5">
            <w:pPr>
              <w:spacing w:before="136" w:line="223" w:lineRule="auto"/>
              <w:ind w:left="76" w:right="155" w:hanging="2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本项目所属行业：其他未列明行业</w:t>
            </w:r>
          </w:p>
        </w:tc>
      </w:tr>
      <w:tr w14:paraId="52990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192A7335">
            <w:pPr>
              <w:spacing w:before="177" w:line="181"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1.4</w:t>
            </w:r>
          </w:p>
        </w:tc>
        <w:tc>
          <w:tcPr>
            <w:tcW w:w="8547" w:type="dxa"/>
            <w:gridSpan w:val="2"/>
            <w:tcBorders>
              <w:right w:val="single" w:color="000000" w:sz="6" w:space="0"/>
            </w:tcBorders>
            <w:vAlign w:val="top"/>
          </w:tcPr>
          <w:p w14:paraId="27602400">
            <w:pPr>
              <w:spacing w:before="137" w:line="214" w:lineRule="auto"/>
              <w:ind w:left="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是否允许联合体投标：否  (是、否)</w:t>
            </w:r>
          </w:p>
        </w:tc>
      </w:tr>
      <w:tr w14:paraId="21238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8" w:hRule="atLeast"/>
        </w:trPr>
        <w:tc>
          <w:tcPr>
            <w:tcW w:w="1252" w:type="dxa"/>
            <w:tcBorders>
              <w:left w:val="single" w:color="000000" w:sz="6" w:space="0"/>
            </w:tcBorders>
            <w:vAlign w:val="top"/>
          </w:tcPr>
          <w:p w14:paraId="039E8060">
            <w:pPr>
              <w:spacing w:before="186" w:line="178"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1.4.8</w:t>
            </w:r>
          </w:p>
        </w:tc>
        <w:tc>
          <w:tcPr>
            <w:tcW w:w="8547" w:type="dxa"/>
            <w:gridSpan w:val="2"/>
            <w:tcBorders>
              <w:right w:val="single" w:color="000000" w:sz="6" w:space="0"/>
            </w:tcBorders>
            <w:vAlign w:val="top"/>
          </w:tcPr>
          <w:p w14:paraId="2C6CF913">
            <w:pPr>
              <w:spacing w:before="143" w:line="211" w:lineRule="auto"/>
              <w:ind w:left="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联合体的其他资格要求：无</w:t>
            </w:r>
          </w:p>
        </w:tc>
      </w:tr>
      <w:tr w14:paraId="075B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6" w:hRule="atLeast"/>
        </w:trPr>
        <w:tc>
          <w:tcPr>
            <w:tcW w:w="1252" w:type="dxa"/>
            <w:vAlign w:val="top"/>
          </w:tcPr>
          <w:p w14:paraId="3F6E160D">
            <w:pPr>
              <w:spacing w:before="119" w:line="180" w:lineRule="auto"/>
              <w:ind w:left="51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2.2</w:t>
            </w:r>
          </w:p>
        </w:tc>
        <w:tc>
          <w:tcPr>
            <w:tcW w:w="8547" w:type="dxa"/>
            <w:gridSpan w:val="2"/>
            <w:vAlign w:val="top"/>
          </w:tcPr>
          <w:p w14:paraId="4C5003AF">
            <w:pPr>
              <w:spacing w:before="79" w:line="222" w:lineRule="auto"/>
              <w:ind w:left="35" w:right="127" w:hanging="10"/>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pacing w:val="5"/>
                <w:sz w:val="24"/>
                <w:szCs w:val="24"/>
                <w:highlight w:val="none"/>
              </w:rPr>
              <w:t>最高限价：</w:t>
            </w:r>
            <w:r>
              <w:rPr>
                <w:rFonts w:hint="eastAsia" w:ascii="宋体" w:hAnsi="宋体" w:eastAsia="宋体" w:cs="宋体"/>
                <w:b/>
                <w:bCs/>
                <w:color w:val="auto"/>
                <w:spacing w:val="5"/>
                <w:sz w:val="24"/>
                <w:szCs w:val="24"/>
                <w:highlight w:val="none"/>
                <w:lang w:val="en-US" w:eastAsia="zh-CN"/>
              </w:rPr>
              <w:t>600000.00</w:t>
            </w:r>
            <w:r>
              <w:rPr>
                <w:rFonts w:hint="eastAsia" w:ascii="宋体" w:hAnsi="宋体" w:eastAsia="宋体" w:cs="宋体"/>
                <w:b/>
                <w:bCs/>
                <w:color w:val="auto"/>
                <w:spacing w:val="5"/>
                <w:sz w:val="24"/>
                <w:szCs w:val="24"/>
                <w:highlight w:val="none"/>
              </w:rPr>
              <w:t>元</w:t>
            </w:r>
            <w:r>
              <w:rPr>
                <w:rFonts w:hint="eastAsia" w:ascii="宋体" w:hAnsi="宋体" w:eastAsia="宋体" w:cs="宋体"/>
                <w:b/>
                <w:bCs/>
                <w:color w:val="auto"/>
                <w:spacing w:val="1"/>
                <w:sz w:val="24"/>
                <w:szCs w:val="24"/>
                <w:highlight w:val="none"/>
                <w:lang w:val="en-US" w:eastAsia="zh-CN"/>
              </w:rPr>
              <w:t>。</w:t>
            </w:r>
          </w:p>
        </w:tc>
      </w:tr>
      <w:tr w14:paraId="038C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2865" w:hRule="atLeast"/>
        </w:trPr>
        <w:tc>
          <w:tcPr>
            <w:tcW w:w="1252" w:type="dxa"/>
            <w:tcBorders>
              <w:left w:val="single" w:color="000000" w:sz="6" w:space="0"/>
            </w:tcBorders>
            <w:vAlign w:val="top"/>
          </w:tcPr>
          <w:p w14:paraId="43D6C86D">
            <w:pPr>
              <w:pStyle w:val="35"/>
              <w:spacing w:line="246" w:lineRule="auto"/>
              <w:rPr>
                <w:rFonts w:hint="eastAsia" w:ascii="宋体" w:hAnsi="宋体" w:eastAsia="宋体" w:cs="宋体"/>
                <w:color w:val="auto"/>
                <w:highlight w:val="none"/>
              </w:rPr>
            </w:pPr>
          </w:p>
          <w:p w14:paraId="56EDD43A">
            <w:pPr>
              <w:pStyle w:val="35"/>
              <w:spacing w:line="246" w:lineRule="auto"/>
              <w:rPr>
                <w:rFonts w:hint="eastAsia" w:ascii="宋体" w:hAnsi="宋体" w:eastAsia="宋体" w:cs="宋体"/>
                <w:color w:val="auto"/>
                <w:highlight w:val="none"/>
              </w:rPr>
            </w:pPr>
          </w:p>
          <w:p w14:paraId="5D206F07">
            <w:pPr>
              <w:pStyle w:val="35"/>
              <w:spacing w:line="246" w:lineRule="auto"/>
              <w:rPr>
                <w:rFonts w:hint="eastAsia" w:ascii="宋体" w:hAnsi="宋体" w:eastAsia="宋体" w:cs="宋体"/>
                <w:color w:val="auto"/>
                <w:highlight w:val="none"/>
              </w:rPr>
            </w:pPr>
          </w:p>
          <w:p w14:paraId="65A5D402">
            <w:pPr>
              <w:pStyle w:val="35"/>
              <w:spacing w:line="246" w:lineRule="auto"/>
              <w:rPr>
                <w:rFonts w:hint="eastAsia" w:ascii="宋体" w:hAnsi="宋体" w:eastAsia="宋体" w:cs="宋体"/>
                <w:color w:val="auto"/>
                <w:highlight w:val="none"/>
              </w:rPr>
            </w:pPr>
          </w:p>
          <w:p w14:paraId="32BD0B5A">
            <w:pPr>
              <w:spacing w:before="78" w:line="181" w:lineRule="auto"/>
              <w:ind w:left="619"/>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12</w:t>
            </w:r>
          </w:p>
        </w:tc>
        <w:tc>
          <w:tcPr>
            <w:tcW w:w="8547" w:type="dxa"/>
            <w:gridSpan w:val="2"/>
            <w:tcBorders>
              <w:right w:val="single" w:color="000000" w:sz="6" w:space="0"/>
            </w:tcBorders>
            <w:vAlign w:val="top"/>
          </w:tcPr>
          <w:p w14:paraId="5F27D70D">
            <w:pPr>
              <w:kinsoku/>
              <w:autoSpaceDE/>
              <w:autoSpaceDN/>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投标保证金形式：</w:t>
            </w:r>
            <w:r>
              <w:rPr>
                <w:rFonts w:hint="eastAsia" w:ascii="宋体" w:hAnsi="宋体" w:eastAsia="宋体" w:cs="宋体"/>
                <w:color w:val="auto"/>
                <w:sz w:val="24"/>
                <w:szCs w:val="24"/>
                <w:highlight w:val="none"/>
                <w:lang w:eastAsia="zh-CN"/>
              </w:rPr>
              <w:t>☑保函 ☑电汇 ☑对公转账</w:t>
            </w:r>
          </w:p>
          <w:p w14:paraId="1671E7A4">
            <w:pPr>
              <w:spacing w:line="360" w:lineRule="auto"/>
              <w:ind w:left="24"/>
              <w:jc w:val="both"/>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eastAsia="zh-CN"/>
              </w:rPr>
              <w:t>投标保证金数额：</w:t>
            </w:r>
            <w:r>
              <w:rPr>
                <w:rFonts w:hint="eastAsia" w:ascii="宋体" w:hAnsi="宋体" w:eastAsia="宋体" w:cs="宋体"/>
                <w:color w:val="auto"/>
                <w:spacing w:val="3"/>
                <w:sz w:val="24"/>
                <w:szCs w:val="24"/>
                <w:highlight w:val="none"/>
                <w:lang w:val="en-US" w:eastAsia="zh-CN"/>
              </w:rPr>
              <w:t>10000</w:t>
            </w:r>
            <w:r>
              <w:rPr>
                <w:rFonts w:hint="eastAsia" w:ascii="宋体" w:hAnsi="宋体" w:eastAsia="宋体" w:cs="宋体"/>
                <w:color w:val="auto"/>
                <w:spacing w:val="3"/>
                <w:sz w:val="24"/>
                <w:szCs w:val="24"/>
                <w:highlight w:val="none"/>
                <w:lang w:eastAsia="zh-CN"/>
              </w:rPr>
              <w:t>元。</w:t>
            </w:r>
          </w:p>
          <w:p w14:paraId="2AD030DB">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账户名称：新疆方元晖工程项目管理有限公司</w:t>
            </w:r>
          </w:p>
          <w:p w14:paraId="0FEF16D5">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帐号：3012341409200115562</w:t>
            </w:r>
          </w:p>
          <w:p w14:paraId="624B919D">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开户银行：中国工商银行股份有限公司喀什托克扎克路支行</w:t>
            </w:r>
          </w:p>
          <w:p w14:paraId="081E22A2">
            <w:pPr>
              <w:tabs>
                <w:tab w:val="left" w:pos="5460"/>
              </w:tabs>
              <w:spacing w:before="30" w:line="360" w:lineRule="auto"/>
              <w:ind w:left="27" w:right="306" w:firstLine="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（电汇时请在汇款备注栏注明项目名称及包号（如有），并注明是投标保证金。</w:t>
            </w:r>
            <w:r>
              <w:rPr>
                <w:rFonts w:hint="eastAsia" w:ascii="宋体" w:hAnsi="宋体" w:eastAsia="宋体" w:cs="宋体"/>
                <w:color w:val="auto"/>
                <w:sz w:val="24"/>
                <w:szCs w:val="24"/>
                <w:highlight w:val="none"/>
              </w:rPr>
              <w:t>）</w:t>
            </w:r>
          </w:p>
          <w:p w14:paraId="0723583A">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缴纳保证金截止时间：递交响应文件截止时间前。</w:t>
            </w:r>
          </w:p>
          <w:p w14:paraId="71FC6576">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投标保证金缴纳要求：</w:t>
            </w:r>
          </w:p>
          <w:p w14:paraId="46F58308">
            <w:pPr>
              <w:spacing w:before="30" w:line="360" w:lineRule="auto"/>
              <w:ind w:left="27" w:right="8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1、电汇或转账时请在汇款备注栏：标项名称+投标保证金；如填写字数有要求可简写标项名称，由于未按要求注明信息而导致的一切后果由投标人自行承担。</w:t>
            </w:r>
          </w:p>
          <w:p w14:paraId="070A89AD">
            <w:pPr>
              <w:spacing w:before="30" w:line="360" w:lineRule="auto"/>
              <w:ind w:left="27" w:right="8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若采用电汇、转账、支票、汇票、本票等形式，投标保证金须于投标截止前转入以上指定账户（资格审查以指定账户实际收到为准），投标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投标人未按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文件要求提交投标保证金的，投标无效。</w:t>
            </w:r>
          </w:p>
          <w:p w14:paraId="596A9BEC">
            <w:pPr>
              <w:spacing w:before="30" w:line="360" w:lineRule="auto"/>
              <w:ind w:left="27" w:right="8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3.中标人应在与采购人签订合同之日起5个工作日内，保证金收受机构根据中标人提供的打款凭证及时办理投标保证金无息退还手续。</w:t>
            </w:r>
          </w:p>
          <w:p w14:paraId="713DED4C">
            <w:pPr>
              <w:spacing w:line="240" w:lineRule="auto"/>
              <w:ind w:left="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4.未中标投标人的投标保证金将在中标通知书发出之日暨中标结果公告公布之日起5个工作日内退还，保证金收受机构根据未中标人提供的打款凭证及时办理退还投标保证金手续</w:t>
            </w:r>
            <w:r>
              <w:rPr>
                <w:rFonts w:hint="eastAsia" w:ascii="宋体" w:hAnsi="宋体" w:eastAsia="宋体" w:cs="宋体"/>
                <w:color w:val="auto"/>
                <w:sz w:val="21"/>
                <w:szCs w:val="21"/>
                <w:highlight w:val="none"/>
                <w:lang w:eastAsia="zh-CN"/>
              </w:rPr>
              <w:t>。</w:t>
            </w:r>
          </w:p>
        </w:tc>
      </w:tr>
      <w:tr w14:paraId="3550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1B49875B">
            <w:pPr>
              <w:spacing w:before="163" w:line="181"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13.1</w:t>
            </w:r>
          </w:p>
        </w:tc>
        <w:tc>
          <w:tcPr>
            <w:tcW w:w="8547" w:type="dxa"/>
            <w:gridSpan w:val="2"/>
            <w:tcBorders>
              <w:right w:val="single" w:color="000000" w:sz="6" w:space="0"/>
            </w:tcBorders>
            <w:vAlign w:val="top"/>
          </w:tcPr>
          <w:p w14:paraId="606F42BE">
            <w:pPr>
              <w:spacing w:before="127" w:line="222" w:lineRule="auto"/>
              <w:ind w:left="44"/>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投标有效期：</w:t>
            </w:r>
            <w:r>
              <w:rPr>
                <w:rFonts w:hint="eastAsia" w:ascii="宋体" w:hAnsi="宋体" w:eastAsia="宋体" w:cs="宋体"/>
                <w:color w:val="auto"/>
                <w:spacing w:val="-17"/>
                <w:sz w:val="24"/>
                <w:szCs w:val="24"/>
                <w:highlight w:val="none"/>
                <w:u w:val="single" w:color="auto"/>
              </w:rPr>
              <w:t>90</w:t>
            </w:r>
            <w:r>
              <w:rPr>
                <w:rFonts w:hint="eastAsia" w:ascii="宋体" w:hAnsi="宋体" w:eastAsia="宋体" w:cs="宋体"/>
                <w:color w:val="auto"/>
                <w:spacing w:val="-23"/>
                <w:sz w:val="24"/>
                <w:szCs w:val="24"/>
                <w:highlight w:val="none"/>
                <w:u w:val="single" w:color="auto"/>
              </w:rPr>
              <w:t xml:space="preserve"> </w:t>
            </w:r>
            <w:r>
              <w:rPr>
                <w:rFonts w:hint="eastAsia" w:ascii="宋体" w:hAnsi="宋体" w:eastAsia="宋体" w:cs="宋体"/>
                <w:color w:val="auto"/>
                <w:spacing w:val="-17"/>
                <w:sz w:val="24"/>
                <w:szCs w:val="24"/>
                <w:highlight w:val="none"/>
              </w:rPr>
              <w:t>日历日</w:t>
            </w:r>
          </w:p>
        </w:tc>
      </w:tr>
      <w:tr w14:paraId="6EE6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0" w:hRule="atLeast"/>
        </w:trPr>
        <w:tc>
          <w:tcPr>
            <w:tcW w:w="1252" w:type="dxa"/>
            <w:tcBorders>
              <w:left w:val="single" w:color="000000" w:sz="6" w:space="0"/>
            </w:tcBorders>
            <w:vAlign w:val="top"/>
          </w:tcPr>
          <w:p w14:paraId="5DEBEC68">
            <w:pPr>
              <w:pStyle w:val="35"/>
              <w:spacing w:line="263" w:lineRule="auto"/>
              <w:rPr>
                <w:rFonts w:hint="eastAsia" w:ascii="宋体" w:hAnsi="宋体" w:eastAsia="宋体" w:cs="宋体"/>
                <w:color w:val="auto"/>
                <w:highlight w:val="none"/>
              </w:rPr>
            </w:pPr>
          </w:p>
          <w:p w14:paraId="0C792CB5">
            <w:pPr>
              <w:spacing w:before="78" w:line="181"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14.1</w:t>
            </w:r>
          </w:p>
        </w:tc>
        <w:tc>
          <w:tcPr>
            <w:tcW w:w="8547" w:type="dxa"/>
            <w:gridSpan w:val="2"/>
            <w:tcBorders>
              <w:right w:val="single" w:color="000000" w:sz="6" w:space="0"/>
            </w:tcBorders>
            <w:vAlign w:val="top"/>
          </w:tcPr>
          <w:p w14:paraId="6BBADDB4">
            <w:pPr>
              <w:spacing w:before="23" w:line="222" w:lineRule="auto"/>
              <w:ind w:left="15" w:right="33" w:hang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本项目实行全流程电子化“不见面 ”网上开标，请各潜在投标人自行下载学习（新疆政府采购网下载专区）</w:t>
            </w:r>
          </w:p>
          <w:p w14:paraId="3F02CF8F">
            <w:pPr>
              <w:spacing w:before="23" w:line="222" w:lineRule="auto"/>
              <w:ind w:left="15" w:right="33" w:hang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注：投标截止时间前按要求在政采云上传电子版投标文件。</w:t>
            </w:r>
          </w:p>
        </w:tc>
      </w:tr>
      <w:tr w14:paraId="7FD1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798" w:hRule="atLeast"/>
        </w:trPr>
        <w:tc>
          <w:tcPr>
            <w:tcW w:w="1252" w:type="dxa"/>
            <w:tcBorders>
              <w:left w:val="single" w:color="000000" w:sz="6" w:space="0"/>
            </w:tcBorders>
            <w:vAlign w:val="top"/>
          </w:tcPr>
          <w:p w14:paraId="38EEA966">
            <w:pPr>
              <w:keepNext/>
              <w:keepLines w:val="0"/>
              <w:pageBreakBefore w:val="0"/>
              <w:widowControl w:val="0"/>
              <w:kinsoku w:val="0"/>
              <w:wordWrap/>
              <w:overflowPunct/>
              <w:topLinePunct w:val="0"/>
              <w:autoSpaceDE w:val="0"/>
              <w:autoSpaceDN w:val="0"/>
              <w:bidi w:val="0"/>
              <w:adjustRightInd w:val="0"/>
              <w:snapToGrid w:val="0"/>
              <w:spacing w:before="141" w:line="181" w:lineRule="auto"/>
              <w:ind w:left="43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16．1</w:t>
            </w:r>
          </w:p>
        </w:tc>
        <w:tc>
          <w:tcPr>
            <w:tcW w:w="8547" w:type="dxa"/>
            <w:gridSpan w:val="2"/>
            <w:tcBorders>
              <w:right w:val="single" w:color="000000" w:sz="6" w:space="0"/>
            </w:tcBorders>
            <w:vAlign w:val="top"/>
          </w:tcPr>
          <w:p w14:paraId="4E21E983">
            <w:pPr>
              <w:keepNext/>
              <w:keepLines w:val="0"/>
              <w:pageBreakBefore w:val="0"/>
              <w:widowControl w:val="0"/>
              <w:kinsoku w:val="0"/>
              <w:wordWrap/>
              <w:overflowPunct/>
              <w:topLinePunct w:val="0"/>
              <w:autoSpaceDE w:val="0"/>
              <w:autoSpaceDN w:val="0"/>
              <w:bidi w:val="0"/>
              <w:adjustRightInd w:val="0"/>
              <w:snapToGrid w:val="0"/>
              <w:spacing w:before="159" w:line="222" w:lineRule="auto"/>
              <w:ind w:left="4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磋商截止时间：202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年0</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08</w:t>
            </w:r>
            <w:r>
              <w:rPr>
                <w:rFonts w:hint="eastAsia" w:ascii="宋体" w:hAnsi="宋体" w:eastAsia="宋体" w:cs="宋体"/>
                <w:color w:val="auto"/>
                <w:spacing w:val="-4"/>
                <w:sz w:val="24"/>
                <w:szCs w:val="24"/>
                <w:highlight w:val="none"/>
              </w:rPr>
              <w:t>日1</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时</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0分（北京时间)</w:t>
            </w:r>
          </w:p>
          <w:p w14:paraId="0DB1F7D5">
            <w:pPr>
              <w:keepNext/>
              <w:keepLines w:val="0"/>
              <w:pageBreakBefore w:val="0"/>
              <w:widowControl w:val="0"/>
              <w:kinsoku w:val="0"/>
              <w:wordWrap/>
              <w:overflowPunct/>
              <w:topLinePunct w:val="0"/>
              <w:autoSpaceDE w:val="0"/>
              <w:autoSpaceDN w:val="0"/>
              <w:bidi w:val="0"/>
              <w:adjustRightInd w:val="0"/>
              <w:snapToGrid w:val="0"/>
              <w:spacing w:before="108" w:line="178" w:lineRule="auto"/>
              <w:ind w:left="5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递交地点：政采云平台（http://w</w:t>
            </w:r>
            <w:r>
              <w:rPr>
                <w:rFonts w:hint="eastAsia" w:ascii="宋体" w:hAnsi="宋体" w:eastAsia="宋体" w:cs="宋体"/>
                <w:color w:val="auto"/>
                <w:spacing w:val="-2"/>
                <w:sz w:val="24"/>
                <w:szCs w:val="24"/>
                <w:highlight w:val="none"/>
              </w:rPr>
              <w:t>ww.zcygov.cn/</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）在线投标</w:t>
            </w:r>
          </w:p>
        </w:tc>
      </w:tr>
      <w:tr w14:paraId="68B7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001" w:hRule="atLeast"/>
        </w:trPr>
        <w:tc>
          <w:tcPr>
            <w:tcW w:w="1252" w:type="dxa"/>
            <w:vAlign w:val="top"/>
          </w:tcPr>
          <w:p w14:paraId="3BFE6C46">
            <w:pPr>
              <w:keepNext w:val="0"/>
              <w:keepLines/>
              <w:pageBreakBefore w:val="0"/>
              <w:widowControl w:val="0"/>
              <w:kinsoku w:val="0"/>
              <w:wordWrap/>
              <w:overflowPunct w:val="0"/>
              <w:topLinePunct w:val="0"/>
              <w:autoSpaceDE w:val="0"/>
              <w:autoSpaceDN w:val="0"/>
              <w:bidi w:val="0"/>
              <w:adjustRightInd w:val="0"/>
              <w:snapToGrid w:val="0"/>
              <w:spacing w:before="301" w:line="181" w:lineRule="auto"/>
              <w:ind w:left="49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18.1</w:t>
            </w:r>
          </w:p>
        </w:tc>
        <w:tc>
          <w:tcPr>
            <w:tcW w:w="8414" w:type="dxa"/>
            <w:vAlign w:val="top"/>
          </w:tcPr>
          <w:p w14:paraId="330C5593">
            <w:pPr>
              <w:keepNext w:val="0"/>
              <w:keepLines/>
              <w:pageBreakBefore w:val="0"/>
              <w:widowControl w:val="0"/>
              <w:kinsoku w:val="0"/>
              <w:wordWrap/>
              <w:overflowPunct w:val="0"/>
              <w:topLinePunct w:val="0"/>
              <w:autoSpaceDE w:val="0"/>
              <w:autoSpaceDN w:val="0"/>
              <w:bidi w:val="0"/>
              <w:adjustRightInd w:val="0"/>
              <w:snapToGrid w:val="0"/>
              <w:spacing w:before="193" w:line="240" w:lineRule="auto"/>
              <w:ind w:left="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磋商开启时间：</w:t>
            </w:r>
            <w:r>
              <w:rPr>
                <w:rFonts w:hint="eastAsia" w:ascii="宋体" w:hAnsi="宋体" w:eastAsia="宋体" w:cs="宋体"/>
                <w:color w:val="auto"/>
                <w:spacing w:val="-4"/>
                <w:sz w:val="24"/>
                <w:szCs w:val="24"/>
                <w:highlight w:val="none"/>
              </w:rPr>
              <w:t>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年0</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08</w:t>
            </w:r>
            <w:r>
              <w:rPr>
                <w:rFonts w:hint="eastAsia" w:ascii="宋体" w:hAnsi="宋体" w:eastAsia="宋体" w:cs="宋体"/>
                <w:color w:val="auto"/>
                <w:spacing w:val="-4"/>
                <w:sz w:val="24"/>
                <w:szCs w:val="24"/>
                <w:highlight w:val="none"/>
              </w:rPr>
              <w:t>日1</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时</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0分</w:t>
            </w:r>
            <w:r>
              <w:rPr>
                <w:rFonts w:hint="eastAsia" w:ascii="宋体" w:hAnsi="宋体" w:eastAsia="宋体" w:cs="宋体"/>
                <w:color w:val="auto"/>
                <w:spacing w:val="-3"/>
                <w:sz w:val="24"/>
                <w:szCs w:val="24"/>
                <w:highlight w:val="none"/>
              </w:rPr>
              <w:t>（北京时间)</w:t>
            </w:r>
          </w:p>
          <w:p w14:paraId="2937DE9D">
            <w:pPr>
              <w:keepNext w:val="0"/>
              <w:keepLines/>
              <w:pageBreakBefore w:val="0"/>
              <w:widowControl w:val="0"/>
              <w:kinsoku w:val="0"/>
              <w:wordWrap/>
              <w:overflowPunct w:val="0"/>
              <w:topLinePunct w:val="0"/>
              <w:autoSpaceDE w:val="0"/>
              <w:autoSpaceDN w:val="0"/>
              <w:bidi w:val="0"/>
              <w:adjustRightInd w:val="0"/>
              <w:snapToGrid w:val="0"/>
              <w:spacing w:before="169" w:line="240" w:lineRule="auto"/>
              <w:ind w:left="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磋商开启地点：政采云平台（http://www.zcygo</w:t>
            </w:r>
            <w:r>
              <w:rPr>
                <w:rFonts w:hint="eastAsia" w:ascii="宋体" w:hAnsi="宋体" w:eastAsia="宋体" w:cs="宋体"/>
                <w:color w:val="auto"/>
                <w:spacing w:val="-2"/>
                <w:sz w:val="24"/>
                <w:szCs w:val="24"/>
                <w:highlight w:val="none"/>
              </w:rPr>
              <w:t>v.cn/</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）不见面开标</w:t>
            </w:r>
          </w:p>
        </w:tc>
        <w:tc>
          <w:tcPr>
            <w:tcW w:w="133" w:type="dxa"/>
            <w:tcBorders>
              <w:top w:val="nil"/>
              <w:left w:val="nil"/>
              <w:bottom w:val="nil"/>
              <w:right w:val="nil"/>
            </w:tcBorders>
            <w:vAlign w:val="top"/>
          </w:tcPr>
          <w:p w14:paraId="6AB16EE5">
            <w:pPr>
              <w:pStyle w:val="35"/>
              <w:keepNext w:val="0"/>
              <w:keepLines/>
              <w:pageBreakBefore w:val="0"/>
              <w:widowControl w:val="0"/>
              <w:kinsoku w:val="0"/>
              <w:wordWrap/>
              <w:overflowPunct w:val="0"/>
              <w:topLinePunct w:val="0"/>
              <w:autoSpaceDE w:val="0"/>
              <w:autoSpaceDN w:val="0"/>
              <w:bidi w:val="0"/>
              <w:adjustRightInd w:val="0"/>
              <w:snapToGrid w:val="0"/>
              <w:textAlignment w:val="baseline"/>
              <w:rPr>
                <w:rFonts w:hint="eastAsia" w:ascii="宋体" w:hAnsi="宋体" w:eastAsia="宋体" w:cs="宋体"/>
                <w:color w:val="auto"/>
                <w:highlight w:val="none"/>
              </w:rPr>
            </w:pPr>
          </w:p>
        </w:tc>
      </w:tr>
      <w:tr w14:paraId="3C553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4073BC5D">
            <w:pPr>
              <w:keepNext w:val="0"/>
              <w:keepLines/>
              <w:pageBreakBefore w:val="0"/>
              <w:widowControl w:val="0"/>
              <w:kinsoku w:val="0"/>
              <w:wordWrap/>
              <w:overflowPunct w:val="0"/>
              <w:topLinePunct w:val="0"/>
              <w:autoSpaceDE w:val="0"/>
              <w:autoSpaceDN w:val="0"/>
              <w:bidi w:val="0"/>
              <w:adjustRightInd w:val="0"/>
              <w:snapToGrid w:val="0"/>
              <w:spacing w:before="78" w:line="180" w:lineRule="auto"/>
              <w:ind w:left="45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23.2</w:t>
            </w:r>
          </w:p>
        </w:tc>
        <w:tc>
          <w:tcPr>
            <w:tcW w:w="8547" w:type="dxa"/>
            <w:gridSpan w:val="2"/>
            <w:tcBorders>
              <w:left w:val="single" w:color="auto" w:sz="4" w:space="0"/>
              <w:bottom w:val="single" w:color="000000" w:sz="4" w:space="0"/>
            </w:tcBorders>
            <w:vAlign w:val="top"/>
          </w:tcPr>
          <w:p w14:paraId="65B9C21F">
            <w:pPr>
              <w:keepNext w:val="0"/>
              <w:keepLines/>
              <w:pageBreakBefore w:val="0"/>
              <w:widowControl w:val="0"/>
              <w:kinsoku w:val="0"/>
              <w:wordWrap/>
              <w:overflowPunct w:val="0"/>
              <w:topLinePunct w:val="0"/>
              <w:autoSpaceDE w:val="0"/>
              <w:autoSpaceDN w:val="0"/>
              <w:bidi w:val="0"/>
              <w:adjustRightInd w:val="0"/>
              <w:snapToGrid w:val="0"/>
              <w:spacing w:before="128" w:line="233" w:lineRule="auto"/>
              <w:ind w:left="50" w:right="17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评标方法：综合评分法</w:t>
            </w:r>
          </w:p>
        </w:tc>
      </w:tr>
      <w:tr w14:paraId="1901C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12B6EDD6">
            <w:pPr>
              <w:keepNext/>
              <w:keepLines w:val="0"/>
              <w:pageBreakBefore w:val="0"/>
              <w:widowControl w:val="0"/>
              <w:kinsoku w:val="0"/>
              <w:wordWrap/>
              <w:overflowPunct/>
              <w:topLinePunct w:val="0"/>
              <w:autoSpaceDE w:val="0"/>
              <w:autoSpaceDN w:val="0"/>
              <w:bidi w:val="0"/>
              <w:adjustRightInd w:val="0"/>
              <w:snapToGrid w:val="0"/>
              <w:spacing w:before="113" w:line="172" w:lineRule="auto"/>
              <w:ind w:left="5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27</w:t>
            </w:r>
          </w:p>
        </w:tc>
        <w:tc>
          <w:tcPr>
            <w:tcW w:w="8547" w:type="dxa"/>
            <w:gridSpan w:val="2"/>
            <w:tcBorders>
              <w:left w:val="single" w:color="auto" w:sz="4" w:space="0"/>
            </w:tcBorders>
            <w:vAlign w:val="top"/>
          </w:tcPr>
          <w:p w14:paraId="52EB4C36">
            <w:pPr>
              <w:keepNext/>
              <w:keepLines w:val="0"/>
              <w:pageBreakBefore w:val="0"/>
              <w:widowControl w:val="0"/>
              <w:kinsoku w:val="0"/>
              <w:wordWrap/>
              <w:overflowPunct/>
              <w:topLinePunct w:val="0"/>
              <w:autoSpaceDE w:val="0"/>
              <w:autoSpaceDN w:val="0"/>
              <w:bidi w:val="0"/>
              <w:adjustRightInd w:val="0"/>
              <w:snapToGrid w:val="0"/>
              <w:spacing w:before="74" w:line="202" w:lineRule="auto"/>
              <w:ind w:left="5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推荐中标候选供应商的数量：3 名</w:t>
            </w:r>
          </w:p>
        </w:tc>
      </w:tr>
      <w:tr w14:paraId="5E18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1183BBBE">
            <w:pPr>
              <w:keepNext/>
              <w:keepLines w:val="0"/>
              <w:pageBreakBefore w:val="0"/>
              <w:widowControl w:val="0"/>
              <w:kinsoku w:val="0"/>
              <w:wordWrap/>
              <w:overflowPunct/>
              <w:topLinePunct w:val="0"/>
              <w:autoSpaceDE w:val="0"/>
              <w:autoSpaceDN w:val="0"/>
              <w:bidi w:val="0"/>
              <w:adjustRightInd w:val="0"/>
              <w:snapToGrid w:val="0"/>
              <w:spacing w:before="114" w:line="162" w:lineRule="auto"/>
              <w:ind w:left="5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27</w:t>
            </w:r>
          </w:p>
        </w:tc>
        <w:tc>
          <w:tcPr>
            <w:tcW w:w="8547" w:type="dxa"/>
            <w:gridSpan w:val="2"/>
            <w:tcBorders>
              <w:left w:val="single" w:color="auto" w:sz="4" w:space="0"/>
            </w:tcBorders>
            <w:vAlign w:val="top"/>
          </w:tcPr>
          <w:p w14:paraId="79A0531B">
            <w:pPr>
              <w:keepNext/>
              <w:keepLines w:val="0"/>
              <w:pageBreakBefore w:val="0"/>
              <w:widowControl w:val="0"/>
              <w:kinsoku w:val="0"/>
              <w:wordWrap/>
              <w:overflowPunct/>
              <w:topLinePunct w:val="0"/>
              <w:autoSpaceDE w:val="0"/>
              <w:autoSpaceDN w:val="0"/>
              <w:bidi w:val="0"/>
              <w:adjustRightInd w:val="0"/>
              <w:snapToGrid w:val="0"/>
              <w:spacing w:before="50" w:line="195" w:lineRule="auto"/>
              <w:ind w:left="51"/>
              <w:textAlignment w:val="baseline"/>
              <w:rPr>
                <w:rFonts w:hint="eastAsia" w:ascii="宋体" w:hAnsi="宋体" w:eastAsia="宋体" w:cs="宋体"/>
                <w:color w:val="auto"/>
                <w:sz w:val="26"/>
                <w:szCs w:val="26"/>
                <w:highlight w:val="none"/>
              </w:rPr>
            </w:pPr>
            <w:r>
              <w:rPr>
                <w:rFonts w:hint="eastAsia" w:ascii="宋体" w:hAnsi="宋体" w:eastAsia="宋体" w:cs="宋体"/>
                <w:color w:val="auto"/>
                <w:spacing w:val="4"/>
                <w:sz w:val="24"/>
                <w:szCs w:val="24"/>
                <w:highlight w:val="none"/>
              </w:rPr>
              <w:t xml:space="preserve">采购人是否委托磋商小组直接确定中标人：否   </w:t>
            </w:r>
            <w:r>
              <w:rPr>
                <w:rFonts w:hint="eastAsia" w:ascii="宋体" w:hAnsi="宋体" w:eastAsia="宋体" w:cs="宋体"/>
                <w:i/>
                <w:iCs/>
                <w:color w:val="auto"/>
                <w:spacing w:val="4"/>
                <w:sz w:val="26"/>
                <w:szCs w:val="26"/>
                <w:highlight w:val="none"/>
              </w:rPr>
              <w:t>(是、否)</w:t>
            </w:r>
          </w:p>
        </w:tc>
      </w:tr>
      <w:tr w14:paraId="3EFA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256" w:type="dxa"/>
            <w:gridSpan w:val="2"/>
            <w:tcBorders>
              <w:top w:val="single" w:color="auto" w:sz="4" w:space="0"/>
            </w:tcBorders>
            <w:vAlign w:val="top"/>
          </w:tcPr>
          <w:p w14:paraId="175440D9">
            <w:pPr>
              <w:pStyle w:val="35"/>
              <w:keepNext/>
              <w:keepLines w:val="0"/>
              <w:pageBreakBefore w:val="0"/>
              <w:widowControl w:val="0"/>
              <w:kinsoku w:val="0"/>
              <w:wordWrap/>
              <w:overflowPunct/>
              <w:topLinePunct w:val="0"/>
              <w:autoSpaceDE w:val="0"/>
              <w:autoSpaceDN w:val="0"/>
              <w:bidi w:val="0"/>
              <w:adjustRightInd w:val="0"/>
              <w:snapToGrid w:val="0"/>
              <w:spacing w:line="429" w:lineRule="auto"/>
              <w:textAlignment w:val="baseline"/>
              <w:rPr>
                <w:rFonts w:hint="eastAsia" w:ascii="宋体" w:hAnsi="宋体" w:eastAsia="宋体" w:cs="宋体"/>
                <w:color w:val="auto"/>
                <w:highlight w:val="none"/>
              </w:rPr>
            </w:pPr>
          </w:p>
          <w:p w14:paraId="10A7FD37">
            <w:pPr>
              <w:keepNext/>
              <w:keepLines w:val="0"/>
              <w:pageBreakBefore w:val="0"/>
              <w:widowControl w:val="0"/>
              <w:kinsoku w:val="0"/>
              <w:wordWrap/>
              <w:overflowPunct/>
              <w:topLinePunct w:val="0"/>
              <w:autoSpaceDE w:val="0"/>
              <w:autoSpaceDN w:val="0"/>
              <w:bidi w:val="0"/>
              <w:adjustRightInd w:val="0"/>
              <w:snapToGrid w:val="0"/>
              <w:spacing w:before="78" w:line="181" w:lineRule="auto"/>
              <w:ind w:left="45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31.1</w:t>
            </w:r>
          </w:p>
        </w:tc>
        <w:tc>
          <w:tcPr>
            <w:tcW w:w="8547" w:type="dxa"/>
            <w:gridSpan w:val="2"/>
            <w:vAlign w:val="top"/>
          </w:tcPr>
          <w:p w14:paraId="24387BBC">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sz w:val="24"/>
                <w:szCs w:val="24"/>
                <w:highlight w:val="none"/>
                <w:lang w:val="en-US" w:eastAsia="zh-CN"/>
              </w:rPr>
              <w:t>合同总价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50D6CB3C">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履约保证金形式：转账、电汇、保函</w:t>
            </w:r>
          </w:p>
          <w:p w14:paraId="60101BD0">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w:t>
            </w:r>
            <w:r>
              <w:rPr>
                <w:rFonts w:hint="eastAsia" w:ascii="宋体" w:hAnsi="宋体" w:eastAsia="宋体" w:cs="宋体"/>
                <w:color w:val="auto"/>
                <w:sz w:val="24"/>
                <w:szCs w:val="24"/>
                <w:highlight w:val="none"/>
                <w:lang w:val="en-US" w:eastAsia="zh-CN"/>
              </w:rPr>
              <w:t>签订合同后缴纳（具体以合同约定为准）</w:t>
            </w:r>
          </w:p>
          <w:p w14:paraId="61175DA7">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服务验收合格后无息返还（双方也可以通过协商另行约定其他退还时间和方式及用途）。</w:t>
            </w:r>
          </w:p>
        </w:tc>
      </w:tr>
      <w:tr w14:paraId="03704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56" w:type="dxa"/>
            <w:gridSpan w:val="2"/>
            <w:vAlign w:val="top"/>
          </w:tcPr>
          <w:p w14:paraId="3017D8A4">
            <w:pPr>
              <w:pStyle w:val="35"/>
              <w:spacing w:line="323" w:lineRule="auto"/>
              <w:rPr>
                <w:rFonts w:hint="eastAsia" w:ascii="宋体" w:hAnsi="宋体" w:eastAsia="宋体" w:cs="宋体"/>
                <w:color w:val="auto"/>
                <w:highlight w:val="none"/>
              </w:rPr>
            </w:pPr>
          </w:p>
          <w:p w14:paraId="4C31B0D7">
            <w:pPr>
              <w:pStyle w:val="35"/>
              <w:spacing w:line="324" w:lineRule="auto"/>
              <w:rPr>
                <w:rFonts w:hint="eastAsia" w:ascii="宋体" w:hAnsi="宋体" w:eastAsia="宋体" w:cs="宋体"/>
                <w:color w:val="auto"/>
                <w:highlight w:val="none"/>
              </w:rPr>
            </w:pPr>
          </w:p>
          <w:p w14:paraId="3EC6AA60">
            <w:pPr>
              <w:spacing w:before="78" w:line="180" w:lineRule="auto"/>
              <w:ind w:left="57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32</w:t>
            </w:r>
          </w:p>
        </w:tc>
        <w:tc>
          <w:tcPr>
            <w:tcW w:w="8547" w:type="dxa"/>
            <w:gridSpan w:val="2"/>
            <w:vAlign w:val="top"/>
          </w:tcPr>
          <w:p w14:paraId="326B29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招标代理服务费：</w:t>
            </w:r>
            <w:r>
              <w:rPr>
                <w:rFonts w:hint="eastAsia" w:ascii="宋体" w:hAnsi="宋体" w:eastAsia="宋体" w:cs="宋体"/>
                <w:bCs/>
                <w:color w:val="auto"/>
                <w:sz w:val="24"/>
                <w:szCs w:val="24"/>
                <w:highlight w:val="none"/>
                <w:lang w:eastAsia="zh-CN"/>
              </w:rPr>
              <w:t>根据（发改价格[2015]299号文件）采购代理机构依据招标代理协议等相关文件收取，</w:t>
            </w:r>
            <w:r>
              <w:rPr>
                <w:rFonts w:hint="eastAsia" w:ascii="宋体" w:hAnsi="宋体" w:eastAsia="宋体" w:cs="宋体"/>
                <w:bCs/>
                <w:color w:val="auto"/>
                <w:sz w:val="24"/>
                <w:szCs w:val="24"/>
                <w:highlight w:val="none"/>
                <w:lang w:val="en-US" w:eastAsia="zh-CN"/>
              </w:rPr>
              <w:t>50-100</w:t>
            </w:r>
            <w:r>
              <w:rPr>
                <w:rFonts w:hint="eastAsia" w:ascii="宋体" w:hAnsi="宋体" w:eastAsia="宋体" w:cs="宋体"/>
                <w:bCs/>
                <w:color w:val="auto"/>
                <w:sz w:val="24"/>
                <w:szCs w:val="24"/>
                <w:highlight w:val="none"/>
                <w:lang w:eastAsia="zh-CN"/>
              </w:rPr>
              <w:t>万</w:t>
            </w:r>
            <w:r>
              <w:rPr>
                <w:rFonts w:hint="eastAsia" w:ascii="宋体" w:hAnsi="宋体" w:eastAsia="宋体" w:cs="宋体"/>
                <w:bCs/>
                <w:color w:val="auto"/>
                <w:sz w:val="24"/>
                <w:szCs w:val="24"/>
                <w:highlight w:val="none"/>
                <w:lang w:val="en-US" w:eastAsia="zh-CN"/>
              </w:rPr>
              <w:t>之间</w:t>
            </w:r>
            <w:r>
              <w:rPr>
                <w:rFonts w:hint="eastAsia" w:ascii="宋体" w:hAnsi="宋体" w:eastAsia="宋体" w:cs="宋体"/>
                <w:bCs/>
                <w:color w:val="auto"/>
                <w:sz w:val="24"/>
                <w:szCs w:val="24"/>
                <w:highlight w:val="none"/>
                <w:lang w:eastAsia="zh-CN"/>
              </w:rPr>
              <w:t>按1.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%收取，</w:t>
            </w:r>
            <w:r>
              <w:rPr>
                <w:rFonts w:hint="eastAsia" w:ascii="宋体" w:hAnsi="宋体" w:eastAsia="宋体" w:cs="宋体"/>
                <w:bCs/>
                <w:color w:val="auto"/>
                <w:sz w:val="24"/>
                <w:szCs w:val="24"/>
                <w:highlight w:val="none"/>
              </w:rPr>
              <w:t>由中标单位支付</w:t>
            </w:r>
            <w:r>
              <w:rPr>
                <w:rFonts w:hint="eastAsia" w:ascii="宋体" w:hAnsi="宋体" w:eastAsia="宋体" w:cs="宋体"/>
                <w:bCs/>
                <w:color w:val="auto"/>
                <w:sz w:val="24"/>
                <w:szCs w:val="24"/>
                <w:highlight w:val="none"/>
                <w:lang w:eastAsia="zh-CN"/>
              </w:rPr>
              <w:t>。</w:t>
            </w:r>
          </w:p>
          <w:p w14:paraId="6BC285B9">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支付形式：</w:t>
            </w:r>
            <w:r>
              <w:rPr>
                <w:rFonts w:hint="eastAsia" w:ascii="宋体" w:hAnsi="宋体" w:eastAsia="宋体" w:cs="宋体"/>
                <w:bCs/>
                <w:color w:val="auto"/>
                <w:sz w:val="24"/>
                <w:szCs w:val="24"/>
                <w:highlight w:val="none"/>
                <w:u w:val="single"/>
              </w:rPr>
              <w:t xml:space="preserve">  对公转账  </w:t>
            </w:r>
          </w:p>
          <w:p w14:paraId="1574A890">
            <w:pPr>
              <w:spacing w:before="17" w:line="201" w:lineRule="auto"/>
              <w:ind w:left="4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支付时间：</w:t>
            </w:r>
            <w:r>
              <w:rPr>
                <w:rFonts w:hint="eastAsia" w:ascii="宋体" w:hAnsi="宋体" w:eastAsia="宋体" w:cs="宋体"/>
                <w:bCs/>
                <w:color w:val="auto"/>
                <w:sz w:val="24"/>
                <w:szCs w:val="24"/>
                <w:highlight w:val="none"/>
                <w:u w:val="single"/>
              </w:rPr>
              <w:t xml:space="preserve">  领取成交通知书时</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一次性支付</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429F5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56" w:type="dxa"/>
            <w:gridSpan w:val="2"/>
            <w:vAlign w:val="top"/>
          </w:tcPr>
          <w:p w14:paraId="75D678AE">
            <w:pPr>
              <w:spacing w:before="78" w:line="180" w:lineRule="auto"/>
              <w:ind w:left="575"/>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33</w:t>
            </w:r>
          </w:p>
        </w:tc>
        <w:tc>
          <w:tcPr>
            <w:tcW w:w="8547" w:type="dxa"/>
            <w:gridSpan w:val="2"/>
            <w:vAlign w:val="top"/>
          </w:tcPr>
          <w:p w14:paraId="3D87D9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p w14:paraId="5C4BD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莎车县宏远融资担保有限责任公司</w:t>
            </w:r>
          </w:p>
          <w:p w14:paraId="7F2250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联系人：王升           联系电话：18699899296</w:t>
            </w:r>
          </w:p>
          <w:p w14:paraId="47F63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地址：莎车县新城16号</w:t>
            </w:r>
          </w:p>
          <w:p w14:paraId="2864DF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邮箱：</w:t>
            </w:r>
            <w:r>
              <w:rPr>
                <w:rFonts w:hint="eastAsia" w:ascii="宋体" w:hAnsi="宋体" w:eastAsia="宋体" w:cs="宋体"/>
                <w:bCs/>
                <w:color w:val="auto"/>
                <w:sz w:val="24"/>
                <w:szCs w:val="24"/>
                <w:highlight w:val="none"/>
                <w:lang w:val="en-US" w:eastAsia="zh-CN"/>
              </w:rPr>
              <w:t>245462334@qq.com</w:t>
            </w:r>
          </w:p>
          <w:p w14:paraId="462F33E3">
            <w:pPr>
              <w:spacing w:before="17" w:line="201" w:lineRule="auto"/>
              <w:ind w:left="4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以上担保机构只是给各投标单位多一项选择，最终选择哪个合法的担保机构，不影响正常项目投标</w:t>
            </w:r>
            <w:r>
              <w:rPr>
                <w:rFonts w:hint="eastAsia" w:ascii="宋体" w:hAnsi="宋体" w:eastAsia="宋体" w:cs="宋体"/>
                <w:bCs/>
                <w:color w:val="auto"/>
                <w:sz w:val="24"/>
                <w:szCs w:val="24"/>
                <w:highlight w:val="none"/>
                <w:lang w:eastAsia="zh-CN"/>
              </w:rPr>
              <w:t>）</w:t>
            </w:r>
          </w:p>
        </w:tc>
      </w:tr>
      <w:tr w14:paraId="2C96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56" w:type="dxa"/>
            <w:gridSpan w:val="2"/>
            <w:vAlign w:val="top"/>
          </w:tcPr>
          <w:p w14:paraId="77BFD1B5">
            <w:pPr>
              <w:spacing w:before="78" w:line="180" w:lineRule="auto"/>
              <w:ind w:left="575"/>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34</w:t>
            </w:r>
          </w:p>
        </w:tc>
        <w:tc>
          <w:tcPr>
            <w:tcW w:w="8547" w:type="dxa"/>
            <w:gridSpan w:val="2"/>
            <w:vAlign w:val="top"/>
          </w:tcPr>
          <w:p w14:paraId="66A7848E">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采购单位质疑函接收部门：</w:t>
            </w:r>
          </w:p>
          <w:p w14:paraId="124F0367">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采购人：莎车县农业农村局</w:t>
            </w:r>
          </w:p>
          <w:p w14:paraId="508D0019">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联系人：李正明</w:t>
            </w:r>
          </w:p>
          <w:p w14:paraId="25853066">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联系电话：18388070529</w:t>
            </w:r>
          </w:p>
          <w:p w14:paraId="4B7FEAC5">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采购代理机构质疑函接收部门：新疆方元晖工程项目管理有限公司</w:t>
            </w:r>
          </w:p>
          <w:p w14:paraId="3AA81249">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联系电话：16698774668</w:t>
            </w:r>
          </w:p>
          <w:p w14:paraId="57DB2D01">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地址：新疆喀什地区喀什市西域大道街道西环路社区33号徽商大厦A栋9层903.904室</w:t>
            </w:r>
          </w:p>
          <w:p w14:paraId="4C8FF1B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监督机构：莎车县财政局政府采购管理办公室 </w:t>
            </w:r>
          </w:p>
          <w:p w14:paraId="7452EF7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地 址：莎车县城南综合办公大楼112室 </w:t>
            </w:r>
          </w:p>
          <w:p w14:paraId="4DBF3909">
            <w:pPr>
              <w:spacing w:before="17" w:line="240" w:lineRule="auto"/>
              <w:ind w:left="42"/>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监督投诉电话：0998-</w:t>
            </w:r>
            <w:r>
              <w:rPr>
                <w:rFonts w:hint="eastAsia" w:ascii="宋体" w:hAnsi="宋体" w:eastAsia="宋体" w:cs="宋体"/>
                <w:color w:val="auto"/>
                <w:sz w:val="24"/>
                <w:szCs w:val="24"/>
                <w:highlight w:val="none"/>
                <w:lang w:val="en-US" w:eastAsia="zh-CN"/>
              </w:rPr>
              <w:t>6610527</w:t>
            </w:r>
          </w:p>
        </w:tc>
      </w:tr>
      <w:tr w14:paraId="7A4E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803" w:type="dxa"/>
            <w:gridSpan w:val="4"/>
            <w:vAlign w:val="top"/>
          </w:tcPr>
          <w:p w14:paraId="55CCE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其他需要补充的内容：</w:t>
            </w:r>
          </w:p>
          <w:p w14:paraId="2F157D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异常低价审查：</w:t>
            </w:r>
          </w:p>
          <w:p w14:paraId="65381E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default" w:ascii="宋体" w:hAnsi="宋体" w:cs="宋体"/>
                <w:color w:val="auto"/>
                <w:sz w:val="24"/>
                <w:szCs w:val="24"/>
                <w:highlight w:val="none"/>
                <w:lang w:val="en-US" w:eastAsia="zh-CN"/>
              </w:rPr>
              <w:t>政府采购评审中出现下列情形之一的，评审委员会应当启动异常低价投标（响应）审查程序：</w:t>
            </w:r>
          </w:p>
          <w:p w14:paraId="2ECBAC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F64E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4AEC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3.投标（响应）报价低于采购项目最高限价45%的，即投标（响应）报价&lt;采购项目最高限价×45%；</w:t>
            </w:r>
          </w:p>
          <w:p w14:paraId="18ACD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4.评审委员会基于专业判断，认为供应商报价过低，有可能影响产品质量或者不能诚信履约的其他情形。</w:t>
            </w:r>
          </w:p>
          <w:p w14:paraId="4F511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采购人可以结合具体项目实际情况，提高上述第1项至第3项中启动异常低价投标（响应）审查的数值标准，但是最高不得超过65%。</w:t>
            </w:r>
          </w:p>
          <w:p w14:paraId="4E5C5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相关法律法规对供应商报价有规定的，从其规定。</w:t>
            </w:r>
          </w:p>
          <w:p w14:paraId="6E5035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0FD0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39146B">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bl>
    <w:p w14:paraId="6717D564">
      <w:pPr>
        <w:rPr>
          <w:rFonts w:hint="eastAsia" w:ascii="宋体" w:hAnsi="宋体" w:eastAsia="宋体" w:cs="宋体"/>
          <w:color w:val="auto"/>
          <w:sz w:val="21"/>
          <w:highlight w:val="none"/>
        </w:rPr>
      </w:pPr>
    </w:p>
    <w:p w14:paraId="7B828FA6">
      <w:pPr>
        <w:rPr>
          <w:rFonts w:hint="eastAsia" w:ascii="宋体" w:hAnsi="宋体" w:eastAsia="宋体" w:cs="宋体"/>
          <w:color w:val="auto"/>
          <w:sz w:val="21"/>
          <w:highlight w:val="none"/>
        </w:rPr>
      </w:pPr>
    </w:p>
    <w:p w14:paraId="2E08AEEF">
      <w:pPr>
        <w:numPr>
          <w:ilvl w:val="0"/>
          <w:numId w:val="7"/>
        </w:numPr>
        <w:spacing w:before="17" w:line="240" w:lineRule="auto"/>
        <w:ind w:left="42"/>
        <w:jc w:val="center"/>
        <w:rPr>
          <w:rFonts w:hint="eastAsia" w:ascii="宋体" w:hAnsi="宋体" w:eastAsia="宋体" w:cs="宋体"/>
          <w:color w:val="auto"/>
          <w:sz w:val="30"/>
          <w:szCs w:val="30"/>
          <w:highlight w:val="none"/>
        </w:rPr>
      </w:pPr>
      <w:bookmarkStart w:id="98" w:name="bookmark50"/>
      <w:bookmarkEnd w:id="98"/>
      <w:r>
        <w:rPr>
          <w:rFonts w:hint="eastAsia" w:ascii="宋体" w:hAnsi="宋体" w:eastAsia="宋体" w:cs="宋体"/>
          <w:color w:val="auto"/>
          <w:sz w:val="30"/>
          <w:szCs w:val="30"/>
          <w:highlight w:val="none"/>
        </w:rPr>
        <w:t>服务需求一览表及项目要求</w:t>
      </w:r>
    </w:p>
    <w:p w14:paraId="251DEDE4">
      <w:pPr>
        <w:pStyle w:val="9"/>
        <w:numPr>
          <w:ilvl w:val="0"/>
          <w:numId w:val="8"/>
        </w:numPr>
        <w:spacing w:before="135"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采购内容基本情况</w:t>
      </w:r>
    </w:p>
    <w:p w14:paraId="16C7F745">
      <w:pPr>
        <w:pStyle w:val="9"/>
        <w:numPr>
          <w:ilvl w:val="0"/>
          <w:numId w:val="0"/>
        </w:numPr>
        <w:spacing w:before="135" w:line="360" w:lineRule="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一、服务需求：</w:t>
      </w:r>
      <w:r>
        <w:rPr>
          <w:rFonts w:hint="eastAsia" w:cs="宋体"/>
          <w:b w:val="0"/>
          <w:bCs w:val="0"/>
          <w:color w:val="auto"/>
          <w:sz w:val="24"/>
          <w:szCs w:val="24"/>
          <w:highlight w:val="none"/>
          <w:lang w:val="en-US" w:eastAsia="zh-CN"/>
        </w:rPr>
        <w:t>技术培训及推广服务。</w:t>
      </w:r>
    </w:p>
    <w:p w14:paraId="28C7FC92">
      <w:pPr>
        <w:pStyle w:val="9"/>
        <w:numPr>
          <w:ilvl w:val="0"/>
          <w:numId w:val="0"/>
        </w:numPr>
        <w:spacing w:before="135" w:line="360" w:lineRule="auto"/>
        <w:rPr>
          <w:rFonts w:hint="default" w:ascii="Arial" w:hAnsi="Arial" w:eastAsia="宋体" w:cs="Arial"/>
          <w:snapToGrid w:val="0"/>
          <w:color w:val="auto"/>
          <w:kern w:val="0"/>
          <w:sz w:val="28"/>
          <w:szCs w:val="28"/>
          <w:highlight w:val="none"/>
          <w:lang w:val="en-US" w:eastAsia="zh-CN" w:bidi="ar-SA"/>
        </w:rPr>
      </w:pPr>
      <w:r>
        <w:rPr>
          <w:rFonts w:hint="eastAsia" w:ascii="Arial" w:hAnsi="Arial" w:eastAsia="宋体" w:cs="Arial"/>
          <w:snapToGrid w:val="0"/>
          <w:color w:val="auto"/>
          <w:kern w:val="0"/>
          <w:sz w:val="28"/>
          <w:szCs w:val="28"/>
          <w:highlight w:val="none"/>
          <w:lang w:val="en-US" w:eastAsia="zh-CN" w:bidi="ar-SA"/>
        </w:rPr>
        <w:t>二、服务要求</w:t>
      </w:r>
    </w:p>
    <w:p w14:paraId="6BF87C3E">
      <w:pPr>
        <w:pStyle w:val="9"/>
        <w:numPr>
          <w:ilvl w:val="0"/>
          <w:numId w:val="0"/>
        </w:numPr>
        <w:spacing w:before="135" w:line="360" w:lineRule="auto"/>
        <w:ind w:firstLine="241" w:firstLineChars="100"/>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商务要求：</w:t>
      </w:r>
    </w:p>
    <w:p w14:paraId="0BD658F8">
      <w:pPr>
        <w:pStyle w:val="9"/>
        <w:numPr>
          <w:ilvl w:val="0"/>
          <w:numId w:val="0"/>
        </w:numPr>
        <w:spacing w:before="135" w:line="360" w:lineRule="auto"/>
        <w:ind w:left="0" w:leftChars="0" w:firstLine="210" w:firstLineChars="100"/>
        <w:rPr>
          <w:rFonts w:hint="eastAsia" w:cs="宋体"/>
          <w:color w:val="auto"/>
          <w:sz w:val="24"/>
          <w:szCs w:val="24"/>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snapToGrid w:val="0"/>
          <w:color w:val="auto"/>
          <w:kern w:val="0"/>
          <w:sz w:val="24"/>
          <w:szCs w:val="24"/>
          <w:highlight w:val="none"/>
          <w:lang w:val="en-US" w:eastAsia="zh-CN" w:bidi="ar-SA"/>
        </w:rPr>
        <w:t>1.</w:t>
      </w:r>
      <w:r>
        <w:rPr>
          <w:rFonts w:hint="eastAsia" w:cs="宋体"/>
          <w:color w:val="auto"/>
          <w:sz w:val="24"/>
          <w:szCs w:val="24"/>
          <w:highlight w:val="none"/>
          <w:lang w:val="en-US" w:eastAsia="zh-CN"/>
        </w:rPr>
        <w:t>服务期</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2026年12月30日前完成技术培训及推广服务</w:t>
      </w:r>
      <w:r>
        <w:rPr>
          <w:rFonts w:hint="eastAsia" w:cs="宋体"/>
          <w:color w:val="auto"/>
          <w:sz w:val="24"/>
          <w:szCs w:val="24"/>
          <w:highlight w:val="none"/>
          <w:lang w:val="en-US" w:eastAsia="zh-CN"/>
        </w:rPr>
        <w:t>；</w:t>
      </w:r>
    </w:p>
    <w:p w14:paraId="1E2CFFE9">
      <w:pPr>
        <w:pStyle w:val="9"/>
        <w:numPr>
          <w:ilvl w:val="0"/>
          <w:numId w:val="0"/>
        </w:numPr>
        <w:spacing w:before="135" w:line="360" w:lineRule="auto"/>
        <w:ind w:leftChars="100"/>
        <w:rPr>
          <w:rFonts w:ascii="宋体" w:hAnsi="宋体" w:eastAsia="宋体" w:cs="宋体"/>
          <w:color w:val="auto"/>
          <w:sz w:val="24"/>
          <w:szCs w:val="24"/>
          <w:highlight w:val="none"/>
        </w:rPr>
      </w:pPr>
      <w:r>
        <w:rPr>
          <w:rFonts w:hint="eastAsia" w:cs="宋体"/>
          <w:color w:val="auto"/>
          <w:sz w:val="24"/>
          <w:szCs w:val="24"/>
          <w:highlight w:val="none"/>
          <w:lang w:val="en-US" w:eastAsia="zh-CN"/>
        </w:rPr>
        <w:t>2.服务</w:t>
      </w:r>
      <w:r>
        <w:rPr>
          <w:rFonts w:ascii="宋体" w:hAnsi="宋体" w:eastAsia="宋体" w:cs="宋体"/>
          <w:color w:val="auto"/>
          <w:sz w:val="24"/>
          <w:szCs w:val="24"/>
          <w:highlight w:val="none"/>
        </w:rPr>
        <w:t>地点：</w:t>
      </w:r>
      <w:r>
        <w:rPr>
          <w:rFonts w:hint="eastAsia" w:cs="宋体"/>
          <w:color w:val="auto"/>
          <w:sz w:val="24"/>
          <w:szCs w:val="24"/>
          <w:highlight w:val="none"/>
          <w:lang w:val="en-US" w:eastAsia="zh-CN"/>
        </w:rPr>
        <w:t>莎车县农业农村局</w:t>
      </w:r>
      <w:r>
        <w:rPr>
          <w:rFonts w:ascii="宋体" w:hAnsi="宋体" w:eastAsia="宋体" w:cs="宋体"/>
          <w:color w:val="auto"/>
          <w:sz w:val="24"/>
          <w:szCs w:val="24"/>
          <w:highlight w:val="none"/>
        </w:rPr>
        <w:t>指定地点。</w:t>
      </w:r>
    </w:p>
    <w:p w14:paraId="7B309317">
      <w:pPr>
        <w:pStyle w:val="9"/>
        <w:numPr>
          <w:ilvl w:val="0"/>
          <w:numId w:val="0"/>
        </w:numPr>
        <w:spacing w:before="135" w:line="360" w:lineRule="auto"/>
        <w:ind w:leftChars="0" w:firstLine="210" w:firstLineChars="100"/>
        <w:rPr>
          <w:rFonts w:ascii="宋体" w:hAnsi="宋体" w:eastAsia="宋体" w:cs="宋体"/>
          <w:color w:val="auto"/>
          <w:sz w:val="24"/>
          <w:szCs w:val="24"/>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cs="宋体"/>
          <w:color w:val="auto"/>
          <w:sz w:val="24"/>
          <w:szCs w:val="24"/>
          <w:highlight w:val="none"/>
          <w:lang w:val="en-US" w:eastAsia="zh-CN"/>
        </w:rPr>
        <w:t>3.付款方式：：合同签订后支付50%，</w:t>
      </w:r>
      <w:r>
        <w:rPr>
          <w:rFonts w:hint="eastAsia" w:ascii="宋体" w:hAnsi="宋体" w:eastAsia="宋体" w:cs="宋体"/>
          <w:color w:val="auto"/>
          <w:sz w:val="24"/>
          <w:szCs w:val="24"/>
          <w:highlight w:val="none"/>
          <w:lang w:val="en-US" w:eastAsia="zh-CN"/>
        </w:rPr>
        <w:t>技术培训及推广服务</w:t>
      </w:r>
      <w:r>
        <w:rPr>
          <w:rFonts w:hint="eastAsia" w:cs="宋体"/>
          <w:color w:val="auto"/>
          <w:sz w:val="24"/>
          <w:szCs w:val="24"/>
          <w:highlight w:val="none"/>
          <w:lang w:val="en-US" w:eastAsia="zh-CN"/>
        </w:rPr>
        <w:t xml:space="preserve">完成后支付剩余的50%。     </w:t>
      </w:r>
    </w:p>
    <w:p w14:paraId="6605DB91">
      <w:pPr>
        <w:pStyle w:val="9"/>
        <w:numPr>
          <w:ilvl w:val="0"/>
          <w:numId w:val="0"/>
        </w:numPr>
        <w:spacing w:before="135" w:line="360" w:lineRule="auto"/>
        <w:rPr>
          <w:rFonts w:ascii="宋体" w:hAnsi="宋体" w:eastAsia="宋体" w:cs="宋体"/>
          <w:b/>
          <w:bCs/>
          <w:color w:val="auto"/>
          <w:sz w:val="24"/>
          <w:szCs w:val="24"/>
          <w:highlight w:val="none"/>
        </w:rPr>
      </w:pPr>
      <w:r>
        <w:rPr>
          <w:rFonts w:hint="eastAsia" w:cs="宋体"/>
          <w:b/>
          <w:bCs/>
          <w:color w:val="auto"/>
          <w:sz w:val="24"/>
          <w:szCs w:val="24"/>
          <w:highlight w:val="none"/>
          <w:lang w:val="en-US" w:eastAsia="zh-CN"/>
        </w:rPr>
        <w:t>服务技术要求：</w:t>
      </w:r>
      <w:r>
        <w:rPr>
          <w:rFonts w:ascii="宋体" w:hAnsi="宋体" w:eastAsia="宋体" w:cs="宋体"/>
          <w:b/>
          <w:bCs/>
          <w:color w:val="auto"/>
          <w:sz w:val="24"/>
          <w:szCs w:val="24"/>
          <w:highlight w:val="none"/>
        </w:rPr>
        <w:t xml:space="preserve"> </w:t>
      </w:r>
    </w:p>
    <w:p w14:paraId="659F7703">
      <w:pPr>
        <w:pStyle w:val="9"/>
        <w:numPr>
          <w:ilvl w:val="0"/>
          <w:numId w:val="0"/>
        </w:numPr>
        <w:spacing w:before="135" w:line="360" w:lineRule="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一、蛋白营养液技术培训或观摩会</w:t>
      </w:r>
    </w:p>
    <w:p w14:paraId="795043CA">
      <w:pPr>
        <w:pStyle w:val="9"/>
        <w:numPr>
          <w:ilvl w:val="0"/>
          <w:numId w:val="0"/>
        </w:numPr>
        <w:spacing w:before="135" w:line="360" w:lineRule="auto"/>
        <w:ind w:firstLine="480" w:firstLineChars="200"/>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聘请授课讲师，按照理论培训和现场实际操作相结合的方式集中授课，组织学员到相关示范地块和相关龙头企业等进行现场观摩学习，包括授课费、资料费、交通费、食宿费、培训场地租费、宣传横幅等；培训场地不低于10个乡镇，培训场次不低于15场，参会农户不低于20人/场、乡</w:t>
      </w:r>
      <w:r>
        <w:rPr>
          <w:rFonts w:hint="eastAsia" w:cs="宋体"/>
          <w:b w:val="0"/>
          <w:bCs w:val="0"/>
          <w:color w:val="auto"/>
          <w:sz w:val="24"/>
          <w:szCs w:val="24"/>
          <w:highlight w:val="none"/>
          <w:lang w:val="en-US" w:eastAsia="zh-CN"/>
        </w:rPr>
        <w:t>村</w:t>
      </w:r>
      <w:r>
        <w:rPr>
          <w:rFonts w:hint="default" w:cs="宋体"/>
          <w:b w:val="0"/>
          <w:bCs w:val="0"/>
          <w:color w:val="auto"/>
          <w:sz w:val="24"/>
          <w:szCs w:val="24"/>
          <w:highlight w:val="none"/>
          <w:lang w:val="en-US" w:eastAsia="zh-CN"/>
        </w:rPr>
        <w:t>农技人员不低于2人/场次。</w:t>
      </w:r>
    </w:p>
    <w:p w14:paraId="6381A26D">
      <w:pPr>
        <w:pStyle w:val="9"/>
        <w:numPr>
          <w:ilvl w:val="0"/>
          <w:numId w:val="0"/>
        </w:numPr>
        <w:spacing w:before="135" w:line="360" w:lineRule="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二、测试作物专业对比示范测产报告</w:t>
      </w:r>
    </w:p>
    <w:p w14:paraId="61166818">
      <w:pPr>
        <w:pStyle w:val="9"/>
        <w:numPr>
          <w:ilvl w:val="0"/>
          <w:numId w:val="0"/>
        </w:numPr>
        <w:spacing w:before="135" w:line="360" w:lineRule="auto"/>
        <w:ind w:firstLine="480" w:firstLineChars="200"/>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1.粮食作物专家实收测产：实收测产需包含4个及以上典型项目的小麦、玉米等粮食作物，邀请专家实收测产；实收面积不低于3亩/测试组</w:t>
      </w:r>
      <w:r>
        <w:rPr>
          <w:rFonts w:hint="eastAsia" w:cs="宋体"/>
          <w:b w:val="0"/>
          <w:bCs w:val="0"/>
          <w:color w:val="auto"/>
          <w:sz w:val="24"/>
          <w:szCs w:val="24"/>
          <w:highlight w:val="none"/>
          <w:lang w:val="en-US" w:eastAsia="zh-CN"/>
        </w:rPr>
        <w:t>，</w:t>
      </w:r>
      <w:r>
        <w:rPr>
          <w:rFonts w:hint="default" w:cs="宋体"/>
          <w:b w:val="0"/>
          <w:bCs w:val="0"/>
          <w:color w:val="auto"/>
          <w:sz w:val="24"/>
          <w:szCs w:val="24"/>
          <w:highlight w:val="none"/>
          <w:lang w:val="en-US" w:eastAsia="zh-CN"/>
        </w:rPr>
        <w:t>并出具专业实收测产报告。其中盐碱地改良冬小麦项目，不低于1个项目，并需测定土壤参数。蛋白营养液施用前后、及与对比地块的土壤改良参数分析，需包含8个及以上分析参数（有机质、ph、总盐含量、EC、速效N、速效P、速效K、土壤容重等）。</w:t>
      </w:r>
    </w:p>
    <w:p w14:paraId="0B320AF9">
      <w:pPr>
        <w:pStyle w:val="9"/>
        <w:numPr>
          <w:ilvl w:val="0"/>
          <w:numId w:val="0"/>
        </w:numPr>
        <w:spacing w:before="135" w:line="360" w:lineRule="auto"/>
        <w:ind w:firstLine="480" w:firstLineChars="200"/>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2.粮食作物农业机构认证理论测产盖章报告：参与理论测产的粮食作物项目不低于10个。按照专业取样测定方法测定核心参数及理论亩产量及蛋白营养液施用后的产量增幅分析报告。测定参数包含：茎粗、株高、叶绿素含量、穗粒数、千粒重、穗长、亩穗数、含水量、折水后亩产量。并包含施用蛋白营养液不低于1次后的过程数据分析至少1次。</w:t>
      </w:r>
    </w:p>
    <w:p w14:paraId="4350C042">
      <w:pPr>
        <w:pStyle w:val="9"/>
        <w:numPr>
          <w:ilvl w:val="0"/>
          <w:numId w:val="0"/>
        </w:numPr>
        <w:spacing w:before="135" w:line="360" w:lineRule="auto"/>
        <w:ind w:firstLine="480" w:firstLineChars="200"/>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3.棉花类专家实收测产：实收测产需包含2个及以上典型项目。专家邀请及报告与粮食作物项目要求一致。</w:t>
      </w:r>
    </w:p>
    <w:p w14:paraId="0D847BCC">
      <w:pPr>
        <w:pStyle w:val="9"/>
        <w:numPr>
          <w:ilvl w:val="0"/>
          <w:numId w:val="0"/>
        </w:numPr>
        <w:spacing w:before="135" w:line="360" w:lineRule="auto"/>
        <w:ind w:firstLine="480" w:firstLineChars="200"/>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4.棉花农业机构认证理论测产：理论测产需包含6个以上项目，测定参数（每亩株数、单株结铃数、单铃重、衣份值、籽棉产量、皮棉产量），及品质参数测定（马克隆值）。</w:t>
      </w:r>
    </w:p>
    <w:p w14:paraId="444B744A">
      <w:pPr>
        <w:pStyle w:val="9"/>
        <w:numPr>
          <w:ilvl w:val="0"/>
          <w:numId w:val="0"/>
        </w:numPr>
        <w:spacing w:before="135" w:line="360" w:lineRule="auto"/>
        <w:ind w:firstLine="480" w:firstLineChars="200"/>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5.除粮棉作物外作物的农业机构认证盖章报告，不低于30个项目。需覆盖15个以上作物类型，其中林果不低于8个，设施蔬菜不低于10个，大田辣椒不低于1个。报告内容需包含：各项目的基地基本信息，施肥方案、用肥过程记录，测定过程数据及最终产量数据的记录及对比分析（其中过程数据测定不低于1次）。报告的参数测定包含：产量数据（亩产量、挂果数、单果重等）、商品性及品质数据（糖度、果型特性等）、植株生长参数（植株茎粗、叶片大小、叶绿素、根系等）。对其中4个以上不同作物项目进行品质参数测定，测定参数不低于6个，主要包含：蛋白质、氨基酸、膳食纤维、Vc、其他核心营养参数等。</w:t>
      </w:r>
    </w:p>
    <w:p w14:paraId="3A0BDE01">
      <w:pPr>
        <w:pStyle w:val="9"/>
        <w:numPr>
          <w:ilvl w:val="0"/>
          <w:numId w:val="0"/>
        </w:numPr>
        <w:spacing w:before="135" w:line="360" w:lineRule="auto"/>
        <w:rPr>
          <w:rFonts w:hint="default" w:cs="宋体"/>
          <w:b w:val="0"/>
          <w:bCs w:val="0"/>
          <w:color w:val="auto"/>
          <w:sz w:val="24"/>
          <w:szCs w:val="24"/>
          <w:lang w:val="en-US" w:eastAsia="zh-CN"/>
        </w:rPr>
      </w:pPr>
      <w:r>
        <w:rPr>
          <w:rFonts w:hint="default" w:cs="宋体"/>
          <w:b w:val="0"/>
          <w:bCs w:val="0"/>
          <w:color w:val="auto"/>
          <w:sz w:val="24"/>
          <w:szCs w:val="24"/>
          <w:lang w:val="en-US" w:eastAsia="zh-CN"/>
        </w:rPr>
        <w:t>三、农业机构认证盖章报告</w:t>
      </w:r>
    </w:p>
    <w:p w14:paraId="3AC864F6">
      <w:pPr>
        <w:pStyle w:val="9"/>
        <w:numPr>
          <w:ilvl w:val="0"/>
          <w:numId w:val="0"/>
        </w:numPr>
        <w:spacing w:before="135" w:line="360" w:lineRule="auto"/>
        <w:rPr>
          <w:rFonts w:hint="eastAsia" w:cs="宋体"/>
          <w:b w:val="0"/>
          <w:bCs w:val="0"/>
          <w:color w:val="auto"/>
          <w:sz w:val="24"/>
          <w:szCs w:val="24"/>
          <w:lang w:val="en-US" w:eastAsia="zh-CN"/>
        </w:rPr>
      </w:pPr>
      <w:r>
        <w:rPr>
          <w:rFonts w:hint="eastAsia" w:cs="宋体"/>
          <w:b w:val="0"/>
          <w:bCs w:val="0"/>
          <w:color w:val="auto"/>
          <w:sz w:val="24"/>
          <w:szCs w:val="24"/>
          <w:lang w:val="en-US" w:eastAsia="zh-CN"/>
        </w:rPr>
        <w:t>1、效果认定报告：由具有</w:t>
      </w:r>
      <w:r>
        <w:rPr>
          <w:rFonts w:hint="default" w:cs="宋体"/>
          <w:b w:val="0"/>
          <w:bCs w:val="0"/>
          <w:color w:val="auto"/>
          <w:sz w:val="24"/>
          <w:szCs w:val="24"/>
          <w:lang w:val="en-US" w:eastAsia="zh-CN"/>
        </w:rPr>
        <w:t>相关资质</w:t>
      </w:r>
      <w:r>
        <w:rPr>
          <w:rFonts w:hint="eastAsia" w:cs="宋体"/>
          <w:b w:val="0"/>
          <w:bCs w:val="0"/>
          <w:color w:val="auto"/>
          <w:sz w:val="24"/>
          <w:szCs w:val="24"/>
          <w:lang w:val="en-US" w:eastAsia="zh-CN"/>
        </w:rPr>
        <w:t>的第三方出具；</w:t>
      </w:r>
    </w:p>
    <w:p w14:paraId="0AB9251E">
      <w:pPr>
        <w:pStyle w:val="9"/>
        <w:numPr>
          <w:ilvl w:val="0"/>
          <w:numId w:val="0"/>
        </w:numPr>
        <w:spacing w:before="135" w:line="360" w:lineRule="auto"/>
        <w:rPr>
          <w:rFonts w:hint="default" w:cs="宋体"/>
          <w:b w:val="0"/>
          <w:bCs w:val="0"/>
          <w:color w:val="auto"/>
          <w:sz w:val="24"/>
          <w:szCs w:val="24"/>
          <w:lang w:val="en-US" w:eastAsia="zh-CN"/>
        </w:rPr>
      </w:pPr>
      <w:r>
        <w:rPr>
          <w:rFonts w:hint="eastAsia" w:cs="宋体"/>
          <w:b w:val="0"/>
          <w:bCs w:val="0"/>
          <w:color w:val="auto"/>
          <w:sz w:val="24"/>
          <w:szCs w:val="24"/>
          <w:lang w:val="en-US" w:eastAsia="zh-CN"/>
        </w:rPr>
        <w:t>2、</w:t>
      </w:r>
      <w:r>
        <w:rPr>
          <w:rFonts w:hint="default" w:cs="宋体"/>
          <w:b w:val="0"/>
          <w:bCs w:val="0"/>
          <w:color w:val="auto"/>
          <w:sz w:val="24"/>
          <w:szCs w:val="24"/>
          <w:lang w:val="en-US" w:eastAsia="zh-CN"/>
        </w:rPr>
        <w:t>作物品质及土壤分析报告</w:t>
      </w:r>
      <w:r>
        <w:rPr>
          <w:rFonts w:hint="eastAsia" w:cs="宋体"/>
          <w:b w:val="0"/>
          <w:bCs w:val="0"/>
          <w:color w:val="auto"/>
          <w:sz w:val="24"/>
          <w:szCs w:val="24"/>
          <w:lang w:val="en-US" w:eastAsia="zh-CN"/>
        </w:rPr>
        <w:t>：须有具备CMA资质的</w:t>
      </w:r>
      <w:r>
        <w:rPr>
          <w:rFonts w:hint="default" w:cs="宋体"/>
          <w:b w:val="0"/>
          <w:bCs w:val="0"/>
          <w:color w:val="auto"/>
          <w:sz w:val="24"/>
          <w:szCs w:val="24"/>
          <w:lang w:val="en-US" w:eastAsia="zh-CN"/>
        </w:rPr>
        <w:t>第三方</w:t>
      </w:r>
      <w:r>
        <w:rPr>
          <w:rFonts w:hint="eastAsia" w:cs="宋体"/>
          <w:b w:val="0"/>
          <w:bCs w:val="0"/>
          <w:color w:val="auto"/>
          <w:sz w:val="24"/>
          <w:szCs w:val="24"/>
          <w:lang w:val="en-US" w:eastAsia="zh-CN"/>
        </w:rPr>
        <w:t>机构出具</w:t>
      </w:r>
      <w:r>
        <w:rPr>
          <w:rFonts w:hint="default" w:cs="宋体"/>
          <w:b w:val="0"/>
          <w:bCs w:val="0"/>
          <w:color w:val="auto"/>
          <w:sz w:val="24"/>
          <w:szCs w:val="24"/>
          <w:lang w:val="en-US" w:eastAsia="zh-CN"/>
        </w:rPr>
        <w:t>。</w:t>
      </w:r>
      <w:bookmarkStart w:id="119" w:name="_GoBack"/>
      <w:bookmarkEnd w:id="119"/>
    </w:p>
    <w:p w14:paraId="4E43EB70">
      <w:pPr>
        <w:pStyle w:val="9"/>
        <w:numPr>
          <w:ilvl w:val="0"/>
          <w:numId w:val="0"/>
        </w:numPr>
        <w:spacing w:before="135" w:line="360" w:lineRule="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四、专利申请</w:t>
      </w:r>
    </w:p>
    <w:p w14:paraId="697F89DF">
      <w:pPr>
        <w:pStyle w:val="9"/>
        <w:numPr>
          <w:ilvl w:val="0"/>
          <w:numId w:val="0"/>
        </w:numPr>
        <w:spacing w:before="135" w:line="360" w:lineRule="auto"/>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根据项目报告内容提交</w:t>
      </w:r>
      <w:r>
        <w:rPr>
          <w:rFonts w:hint="default" w:cs="宋体"/>
          <w:b w:val="0"/>
          <w:bCs w:val="0"/>
          <w:color w:val="auto"/>
          <w:sz w:val="24"/>
          <w:szCs w:val="24"/>
          <w:highlight w:val="none"/>
          <w:lang w:val="en-US" w:eastAsia="zh-CN"/>
        </w:rPr>
        <w:t>申请专利不低于3项，专利</w:t>
      </w:r>
      <w:r>
        <w:rPr>
          <w:rFonts w:hint="eastAsia" w:cs="宋体"/>
          <w:b w:val="0"/>
          <w:bCs w:val="0"/>
          <w:color w:val="auto"/>
          <w:sz w:val="24"/>
          <w:szCs w:val="24"/>
          <w:highlight w:val="none"/>
          <w:lang w:val="en-US" w:eastAsia="zh-CN"/>
        </w:rPr>
        <w:t>权归</w:t>
      </w:r>
      <w:r>
        <w:rPr>
          <w:rFonts w:hint="default" w:cs="宋体"/>
          <w:b w:val="0"/>
          <w:bCs w:val="0"/>
          <w:color w:val="auto"/>
          <w:sz w:val="24"/>
          <w:szCs w:val="24"/>
          <w:highlight w:val="none"/>
          <w:lang w:val="en-US" w:eastAsia="zh-CN"/>
        </w:rPr>
        <w:t>属</w:t>
      </w:r>
      <w:r>
        <w:rPr>
          <w:rFonts w:hint="eastAsia" w:cs="宋体"/>
          <w:b w:val="0"/>
          <w:bCs w:val="0"/>
          <w:color w:val="auto"/>
          <w:sz w:val="24"/>
          <w:szCs w:val="24"/>
          <w:highlight w:val="none"/>
          <w:lang w:val="en-US" w:eastAsia="zh-CN"/>
        </w:rPr>
        <w:t>方为</w:t>
      </w:r>
      <w:r>
        <w:rPr>
          <w:rFonts w:hint="default" w:cs="宋体"/>
          <w:b w:val="0"/>
          <w:bCs w:val="0"/>
          <w:color w:val="auto"/>
          <w:sz w:val="24"/>
          <w:szCs w:val="24"/>
          <w:highlight w:val="none"/>
          <w:lang w:val="en-US" w:eastAsia="zh-CN"/>
        </w:rPr>
        <w:t>蛋白营养液产品供应厂家。</w:t>
      </w:r>
    </w:p>
    <w:p w14:paraId="6E693CEB">
      <w:pPr>
        <w:pStyle w:val="9"/>
        <w:numPr>
          <w:ilvl w:val="0"/>
          <w:numId w:val="0"/>
        </w:numPr>
        <w:spacing w:before="135" w:line="360" w:lineRule="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五、文章撰写</w:t>
      </w:r>
    </w:p>
    <w:p w14:paraId="3839844F">
      <w:pPr>
        <w:pStyle w:val="9"/>
        <w:numPr>
          <w:ilvl w:val="0"/>
          <w:numId w:val="0"/>
        </w:numPr>
        <w:spacing w:before="135" w:line="360" w:lineRule="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撰写不低于1篇蛋白营养液使用效果分析报告并发表在国内期刊。</w:t>
      </w:r>
    </w:p>
    <w:p w14:paraId="5743913D">
      <w:pPr>
        <w:pStyle w:val="9"/>
        <w:numPr>
          <w:ilvl w:val="0"/>
          <w:numId w:val="0"/>
        </w:numPr>
        <w:spacing w:before="135" w:line="360" w:lineRule="auto"/>
        <w:rPr>
          <w:rFonts w:hint="default" w:cs="宋体"/>
          <w:b w:val="0"/>
          <w:bCs w:val="0"/>
          <w:color w:val="auto"/>
          <w:sz w:val="24"/>
          <w:szCs w:val="24"/>
          <w:highlight w:val="none"/>
          <w:lang w:val="en-US" w:eastAsia="zh-CN"/>
        </w:rPr>
      </w:pPr>
      <w:r>
        <w:rPr>
          <w:rFonts w:hint="eastAsia" w:ascii="宋体" w:hAnsi="宋体" w:eastAsia="宋体" w:cs="宋体"/>
          <w:b w:val="0"/>
          <w:bCs w:val="0"/>
          <w:snapToGrid w:val="0"/>
          <w:color w:val="auto"/>
          <w:kern w:val="0"/>
          <w:sz w:val="24"/>
          <w:szCs w:val="24"/>
          <w:lang w:val="en-US" w:eastAsia="zh-CN" w:bidi="ar-SA"/>
        </w:rPr>
        <w:t>六、</w:t>
      </w:r>
      <w:r>
        <w:rPr>
          <w:rFonts w:hint="default" w:cs="宋体"/>
          <w:b w:val="0"/>
          <w:bCs w:val="0"/>
          <w:color w:val="auto"/>
          <w:sz w:val="24"/>
          <w:szCs w:val="24"/>
          <w:lang w:val="en-US" w:eastAsia="zh-CN"/>
        </w:rPr>
        <w:t>新闻媒体采访并发表相关媒体报道5场次以上。</w:t>
      </w:r>
    </w:p>
    <w:p w14:paraId="7C660F06">
      <w:pPr>
        <w:pStyle w:val="9"/>
        <w:numPr>
          <w:ilvl w:val="0"/>
          <w:numId w:val="0"/>
        </w:numPr>
        <w:kinsoku w:val="0"/>
        <w:autoSpaceDE w:val="0"/>
        <w:autoSpaceDN w:val="0"/>
        <w:adjustRightInd w:val="0"/>
        <w:snapToGrid w:val="0"/>
        <w:spacing w:before="135" w:line="360" w:lineRule="auto"/>
        <w:jc w:val="left"/>
        <w:textAlignment w:val="baseline"/>
        <w:rPr>
          <w:rFonts w:hint="default" w:cs="宋体"/>
          <w:b w:val="0"/>
          <w:bCs w:val="0"/>
          <w:color w:val="auto"/>
          <w:sz w:val="24"/>
          <w:szCs w:val="24"/>
          <w:highlight w:val="none"/>
          <w:lang w:val="en-US" w:eastAsia="zh-CN"/>
        </w:rPr>
      </w:pPr>
    </w:p>
    <w:p w14:paraId="5BE8DC95">
      <w:pPr>
        <w:pStyle w:val="9"/>
        <w:numPr>
          <w:ilvl w:val="0"/>
          <w:numId w:val="0"/>
        </w:numPr>
        <w:kinsoku w:val="0"/>
        <w:autoSpaceDE w:val="0"/>
        <w:autoSpaceDN w:val="0"/>
        <w:adjustRightInd w:val="0"/>
        <w:snapToGrid w:val="0"/>
        <w:spacing w:before="135" w:line="360" w:lineRule="auto"/>
        <w:jc w:val="left"/>
        <w:textAlignment w:val="baseline"/>
        <w:rPr>
          <w:rFonts w:hint="default" w:cs="宋体"/>
          <w:b w:val="0"/>
          <w:bCs w:val="0"/>
          <w:color w:val="auto"/>
          <w:sz w:val="24"/>
          <w:szCs w:val="24"/>
          <w:highlight w:val="none"/>
          <w:lang w:val="en-US" w:eastAsia="zh-CN"/>
        </w:rPr>
      </w:pPr>
      <w:r>
        <w:rPr>
          <w:rFonts w:hint="eastAsia" w:ascii="宋体" w:hAnsi="宋体" w:eastAsia="宋体" w:cs="宋体"/>
          <w:b/>
          <w:bCs w:val="0"/>
          <w:color w:val="auto"/>
          <w:kern w:val="44"/>
          <w:sz w:val="21"/>
          <w:szCs w:val="13"/>
          <w:highlight w:val="none"/>
          <w:lang w:val="en-US" w:eastAsia="zh-CN" w:bidi="ar-SA"/>
        </w:rPr>
        <w:t>注：标注★内容为实质性</w:t>
      </w:r>
      <w:r>
        <w:rPr>
          <w:rFonts w:hint="eastAsia" w:hAnsi="宋体" w:eastAsia="宋体" w:cs="宋体"/>
          <w:b/>
          <w:bCs w:val="0"/>
          <w:color w:val="auto"/>
          <w:kern w:val="44"/>
          <w:sz w:val="21"/>
          <w:szCs w:val="13"/>
          <w:highlight w:val="none"/>
          <w:lang w:val="en-US" w:eastAsia="zh-CN" w:bidi="ar-SA"/>
        </w:rPr>
        <w:t>条款</w:t>
      </w:r>
    </w:p>
    <w:p w14:paraId="0B8316BD">
      <w:pPr>
        <w:pStyle w:val="9"/>
        <w:numPr>
          <w:ilvl w:val="0"/>
          <w:numId w:val="0"/>
        </w:numPr>
        <w:spacing w:before="135" w:line="360" w:lineRule="auto"/>
        <w:ind w:firstLine="240" w:firstLineChars="100"/>
        <w:rPr>
          <w:rFonts w:ascii="宋体" w:hAnsi="宋体" w:eastAsia="宋体" w:cs="宋体"/>
          <w:color w:val="auto"/>
          <w:sz w:val="24"/>
          <w:szCs w:val="24"/>
          <w:highlight w:val="none"/>
        </w:rPr>
      </w:pPr>
    </w:p>
    <w:p w14:paraId="0831DA48">
      <w:pPr>
        <w:pStyle w:val="9"/>
        <w:numPr>
          <w:ilvl w:val="0"/>
          <w:numId w:val="0"/>
        </w:numPr>
        <w:spacing w:before="135" w:line="360" w:lineRule="auto"/>
        <w:ind w:firstLine="480" w:firstLineChars="200"/>
        <w:rPr>
          <w:rFonts w:hint="eastAsia" w:ascii="宋体" w:hAnsi="宋体" w:eastAsia="宋体" w:cs="宋体"/>
          <w:color w:val="auto"/>
          <w:sz w:val="24"/>
          <w:szCs w:val="24"/>
          <w:highlight w:val="none"/>
          <w:lang w:val="en-US" w:eastAsia="zh-CN"/>
        </w:rPr>
      </w:pPr>
    </w:p>
    <w:p w14:paraId="54473F78">
      <w:pPr>
        <w:pStyle w:val="9"/>
        <w:numPr>
          <w:ilvl w:val="0"/>
          <w:numId w:val="0"/>
        </w:numPr>
        <w:spacing w:before="135" w:line="360" w:lineRule="auto"/>
        <w:ind w:firstLine="480" w:firstLineChars="200"/>
        <w:rPr>
          <w:rFonts w:hint="eastAsia" w:ascii="宋体" w:hAnsi="宋体" w:eastAsia="宋体" w:cs="宋体"/>
          <w:color w:val="auto"/>
          <w:sz w:val="24"/>
          <w:szCs w:val="24"/>
          <w:highlight w:val="none"/>
          <w:lang w:val="en-US" w:eastAsia="zh-CN"/>
        </w:rPr>
      </w:pPr>
    </w:p>
    <w:p w14:paraId="62A1ECEC">
      <w:pPr>
        <w:pStyle w:val="9"/>
        <w:numPr>
          <w:ilvl w:val="0"/>
          <w:numId w:val="0"/>
        </w:numPr>
        <w:spacing w:before="135" w:line="360" w:lineRule="auto"/>
        <w:ind w:firstLine="480" w:firstLineChars="200"/>
        <w:rPr>
          <w:rFonts w:hint="eastAsia" w:ascii="宋体" w:hAnsi="宋体" w:eastAsia="宋体" w:cs="宋体"/>
          <w:color w:val="auto"/>
          <w:sz w:val="24"/>
          <w:szCs w:val="24"/>
          <w:highlight w:val="none"/>
          <w:lang w:val="en-US" w:eastAsia="zh-CN"/>
        </w:rPr>
      </w:pPr>
    </w:p>
    <w:p w14:paraId="1DCAC246">
      <w:pPr>
        <w:pStyle w:val="9"/>
        <w:numPr>
          <w:ilvl w:val="0"/>
          <w:numId w:val="0"/>
        </w:numPr>
        <w:spacing w:before="135" w:line="360" w:lineRule="auto"/>
        <w:rPr>
          <w:rFonts w:hint="eastAsia" w:ascii="宋体" w:hAnsi="宋体" w:eastAsia="宋体" w:cs="宋体"/>
          <w:color w:val="auto"/>
          <w:sz w:val="24"/>
          <w:szCs w:val="24"/>
          <w:highlight w:val="none"/>
          <w:lang w:val="en-US" w:eastAsia="zh-CN"/>
        </w:rPr>
      </w:pPr>
    </w:p>
    <w:p w14:paraId="301A1953">
      <w:pPr>
        <w:pStyle w:val="9"/>
        <w:numPr>
          <w:ilvl w:val="0"/>
          <w:numId w:val="0"/>
        </w:numPr>
        <w:spacing w:before="135" w:line="360" w:lineRule="auto"/>
        <w:rPr>
          <w:rFonts w:hint="eastAsia" w:ascii="宋体" w:hAnsi="宋体" w:eastAsia="宋体" w:cs="宋体"/>
          <w:color w:val="auto"/>
          <w:sz w:val="24"/>
          <w:szCs w:val="24"/>
          <w:highlight w:val="none"/>
          <w:lang w:val="en-US" w:eastAsia="zh-CN"/>
        </w:rPr>
      </w:pPr>
    </w:p>
    <w:p w14:paraId="57E4B2BD">
      <w:pPr>
        <w:pStyle w:val="9"/>
        <w:numPr>
          <w:ilvl w:val="0"/>
          <w:numId w:val="0"/>
        </w:numPr>
        <w:spacing w:before="135" w:line="360" w:lineRule="auto"/>
        <w:rPr>
          <w:rFonts w:hint="eastAsia" w:ascii="宋体" w:hAnsi="宋体" w:eastAsia="宋体" w:cs="宋体"/>
          <w:color w:val="auto"/>
          <w:sz w:val="24"/>
          <w:szCs w:val="24"/>
          <w:highlight w:val="none"/>
          <w:lang w:val="en-US" w:eastAsia="zh-CN"/>
        </w:rPr>
      </w:pPr>
    </w:p>
    <w:p w14:paraId="502E30B0">
      <w:pPr>
        <w:spacing w:before="126" w:line="222" w:lineRule="auto"/>
        <w:ind w:left="2479" w:firstLine="922" w:firstLineChars="300"/>
        <w:jc w:val="both"/>
        <w:outlineLvl w:val="0"/>
        <w:rPr>
          <w:rFonts w:hint="eastAsia" w:ascii="宋体" w:hAnsi="宋体" w:eastAsia="宋体" w:cs="宋体"/>
          <w:color w:val="auto"/>
          <w:sz w:val="30"/>
          <w:szCs w:val="30"/>
          <w:highlight w:val="none"/>
        </w:rPr>
      </w:pPr>
      <w:bookmarkStart w:id="99" w:name="bookmark52"/>
      <w:bookmarkEnd w:id="99"/>
      <w:r>
        <w:rPr>
          <w:rFonts w:hint="eastAsia" w:ascii="宋体" w:hAnsi="宋体" w:eastAsia="宋体" w:cs="宋体"/>
          <w:b/>
          <w:bCs/>
          <w:color w:val="auto"/>
          <w:spacing w:val="3"/>
          <w:sz w:val="30"/>
          <w:szCs w:val="30"/>
          <w:highlight w:val="none"/>
        </w:rPr>
        <w:t>第6章</w:t>
      </w:r>
      <w:r>
        <w:rPr>
          <w:rFonts w:hint="eastAsia" w:ascii="宋体" w:hAnsi="宋体" w:eastAsia="宋体" w:cs="宋体"/>
          <w:color w:val="auto"/>
          <w:spacing w:val="57"/>
          <w:sz w:val="30"/>
          <w:szCs w:val="30"/>
          <w:highlight w:val="none"/>
        </w:rPr>
        <w:t xml:space="preserve">  </w:t>
      </w:r>
      <w:r>
        <w:rPr>
          <w:rFonts w:hint="eastAsia" w:ascii="宋体" w:hAnsi="宋体" w:eastAsia="宋体" w:cs="宋体"/>
          <w:b/>
          <w:bCs/>
          <w:color w:val="auto"/>
          <w:spacing w:val="3"/>
          <w:sz w:val="30"/>
          <w:szCs w:val="30"/>
          <w:highlight w:val="none"/>
        </w:rPr>
        <w:t>评标方法和标准</w:t>
      </w:r>
    </w:p>
    <w:p w14:paraId="700E5138">
      <w:pPr>
        <w:spacing w:line="260" w:lineRule="auto"/>
        <w:rPr>
          <w:rFonts w:hint="eastAsia" w:ascii="宋体" w:hAnsi="宋体" w:eastAsia="宋体" w:cs="宋体"/>
          <w:color w:val="auto"/>
          <w:sz w:val="21"/>
          <w:highlight w:val="none"/>
        </w:rPr>
      </w:pPr>
    </w:p>
    <w:p w14:paraId="45BF8C6E">
      <w:pPr>
        <w:numPr>
          <w:ilvl w:val="0"/>
          <w:numId w:val="9"/>
        </w:numPr>
        <w:spacing w:before="45" w:line="223" w:lineRule="auto"/>
        <w:ind w:left="82"/>
        <w:outlineLvl w:val="2"/>
        <w:rPr>
          <w:rFonts w:hint="eastAsia" w:ascii="宋体" w:hAnsi="宋体" w:eastAsia="宋体" w:cs="宋体"/>
          <w:color w:val="auto"/>
          <w:spacing w:val="41"/>
          <w:sz w:val="24"/>
          <w:szCs w:val="24"/>
          <w:highlight w:val="none"/>
        </w:rPr>
      </w:pPr>
      <w:r>
        <w:rPr>
          <w:rFonts w:hint="eastAsia" w:ascii="宋体" w:hAnsi="宋体" w:eastAsia="宋体" w:cs="宋体"/>
          <w:b/>
          <w:bCs/>
          <w:color w:val="auto"/>
          <w:spacing w:val="-20"/>
          <w:sz w:val="24"/>
          <w:szCs w:val="24"/>
          <w:highlight w:val="none"/>
        </w:rPr>
        <w:t>总则</w:t>
      </w:r>
      <w:r>
        <w:rPr>
          <w:rFonts w:hint="eastAsia" w:ascii="宋体" w:hAnsi="宋体" w:eastAsia="宋体" w:cs="宋体"/>
          <w:color w:val="auto"/>
          <w:spacing w:val="41"/>
          <w:sz w:val="24"/>
          <w:szCs w:val="24"/>
          <w:highlight w:val="none"/>
        </w:rPr>
        <w:t xml:space="preserve"> </w:t>
      </w:r>
    </w:p>
    <w:p w14:paraId="110CF042">
      <w:pPr>
        <w:numPr>
          <w:ilvl w:val="0"/>
          <w:numId w:val="0"/>
        </w:numPr>
        <w:spacing w:before="45" w:line="223" w:lineRule="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20"/>
          <w:sz w:val="24"/>
          <w:szCs w:val="24"/>
          <w:highlight w:val="none"/>
        </w:rPr>
        <w:t>1.磋商小组</w:t>
      </w:r>
    </w:p>
    <w:p w14:paraId="2E85C952">
      <w:pPr>
        <w:spacing w:before="5" w:line="222" w:lineRule="auto"/>
        <w:ind w:firstLine="448"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8"/>
          <w:sz w:val="24"/>
          <w:szCs w:val="24"/>
          <w:highlight w:val="none"/>
        </w:rPr>
        <w:t>评标由依法组建的磋商小组成员负责。</w:t>
      </w:r>
    </w:p>
    <w:p w14:paraId="4831370B">
      <w:pPr>
        <w:spacing w:before="30" w:line="233" w:lineRule="auto"/>
        <w:ind w:left="456" w:right="3338" w:hanging="1"/>
        <w:rPr>
          <w:rFonts w:hint="eastAsia" w:ascii="宋体" w:hAnsi="宋体" w:eastAsia="宋体" w:cs="宋体"/>
          <w:b w:val="0"/>
          <w:bCs w:val="0"/>
          <w:color w:val="auto"/>
          <w:spacing w:val="-10"/>
          <w:sz w:val="24"/>
          <w:szCs w:val="24"/>
          <w:highlight w:val="none"/>
          <w:lang w:eastAsia="zh-CN"/>
        </w:rPr>
      </w:pPr>
      <w:r>
        <w:rPr>
          <w:rFonts w:hint="eastAsia" w:ascii="宋体" w:hAnsi="宋体" w:eastAsia="宋体" w:cs="宋体"/>
          <w:b w:val="0"/>
          <w:bCs w:val="0"/>
          <w:color w:val="auto"/>
          <w:spacing w:val="-10"/>
          <w:sz w:val="24"/>
          <w:szCs w:val="24"/>
          <w:highlight w:val="none"/>
        </w:rPr>
        <w:t>磋商小组构成：</w:t>
      </w:r>
      <w:r>
        <w:rPr>
          <w:rFonts w:hint="eastAsia" w:ascii="宋体" w:hAnsi="宋体" w:eastAsia="宋体" w:cs="宋体"/>
          <w:b w:val="0"/>
          <w:bCs w:val="0"/>
          <w:color w:val="auto"/>
          <w:spacing w:val="-10"/>
          <w:sz w:val="24"/>
          <w:szCs w:val="24"/>
          <w:highlight w:val="none"/>
          <w:lang w:val="en-US" w:eastAsia="zh-CN"/>
        </w:rPr>
        <w:t>3</w:t>
      </w:r>
      <w:r>
        <w:rPr>
          <w:rFonts w:hint="eastAsia" w:ascii="宋体" w:hAnsi="宋体" w:eastAsia="宋体" w:cs="宋体"/>
          <w:b w:val="0"/>
          <w:bCs w:val="0"/>
          <w:color w:val="auto"/>
          <w:spacing w:val="-10"/>
          <w:sz w:val="24"/>
          <w:szCs w:val="24"/>
          <w:highlight w:val="none"/>
        </w:rPr>
        <w:t>人</w:t>
      </w:r>
      <w:r>
        <w:rPr>
          <w:rFonts w:hint="eastAsia" w:ascii="宋体" w:hAnsi="宋体" w:eastAsia="宋体" w:cs="宋体"/>
          <w:b w:val="0"/>
          <w:bCs w:val="0"/>
          <w:color w:val="auto"/>
          <w:spacing w:val="-10"/>
          <w:sz w:val="24"/>
          <w:szCs w:val="24"/>
          <w:highlight w:val="none"/>
          <w:lang w:eastAsia="zh-CN"/>
        </w:rPr>
        <w:t>。</w:t>
      </w:r>
    </w:p>
    <w:p w14:paraId="6FFB4B12">
      <w:pPr>
        <w:spacing w:before="30" w:line="22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2.评标方法</w:t>
      </w:r>
    </w:p>
    <w:p w14:paraId="0E0BD954">
      <w:pPr>
        <w:spacing w:line="220" w:lineRule="auto"/>
        <w:ind w:left="436"/>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2.1</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8"/>
          <w:sz w:val="24"/>
          <w:szCs w:val="24"/>
          <w:highlight w:val="none"/>
        </w:rPr>
        <w:t>本项目评标方法为：竞争性磋商</w:t>
      </w:r>
      <w:r>
        <w:rPr>
          <w:rFonts w:hint="eastAsia" w:ascii="宋体" w:hAnsi="宋体" w:eastAsia="宋体" w:cs="宋体"/>
          <w:color w:val="auto"/>
          <w:spacing w:val="112"/>
          <w:sz w:val="24"/>
          <w:szCs w:val="24"/>
          <w:highlight w:val="none"/>
        </w:rPr>
        <w:t xml:space="preserve"> </w:t>
      </w:r>
      <w:r>
        <w:rPr>
          <w:rFonts w:hint="eastAsia" w:ascii="宋体" w:hAnsi="宋体" w:eastAsia="宋体" w:cs="宋体"/>
          <w:b/>
          <w:bCs/>
          <w:color w:val="auto"/>
          <w:spacing w:val="-8"/>
          <w:sz w:val="24"/>
          <w:szCs w:val="24"/>
          <w:highlight w:val="none"/>
        </w:rPr>
        <w:t>(综合评分法)</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8"/>
          <w:sz w:val="24"/>
          <w:szCs w:val="24"/>
          <w:highlight w:val="none"/>
        </w:rPr>
        <w:t>。</w:t>
      </w:r>
    </w:p>
    <w:p w14:paraId="127D2129">
      <w:pPr>
        <w:spacing w:before="45" w:line="226" w:lineRule="auto"/>
        <w:ind w:left="19" w:right="93" w:firstLine="41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2.1.1 综合评分法</w:t>
      </w:r>
      <w:r>
        <w:rPr>
          <w:rFonts w:hint="eastAsia" w:ascii="宋体" w:hAnsi="宋体" w:eastAsia="宋体" w:cs="宋体"/>
          <w:color w:val="auto"/>
          <w:spacing w:val="101"/>
          <w:sz w:val="24"/>
          <w:szCs w:val="24"/>
          <w:highlight w:val="none"/>
        </w:rPr>
        <w:t xml:space="preserve"> </w:t>
      </w:r>
      <w:r>
        <w:rPr>
          <w:rFonts w:hint="eastAsia" w:ascii="宋体" w:hAnsi="宋体" w:eastAsia="宋体" w:cs="宋体"/>
          <w:color w:val="auto"/>
          <w:spacing w:val="-5"/>
          <w:sz w:val="24"/>
          <w:szCs w:val="24"/>
          <w:highlight w:val="none"/>
        </w:rPr>
        <w:t>(本项目采用两次报价且第二次报价不得高于第一次报价，供应商提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交最后的报价后，磋商小组对所有满足实质</w:t>
      </w:r>
      <w:r>
        <w:rPr>
          <w:rFonts w:hint="eastAsia" w:ascii="宋体" w:hAnsi="宋体" w:eastAsia="宋体" w:cs="宋体"/>
          <w:color w:val="auto"/>
          <w:spacing w:val="-4"/>
          <w:sz w:val="24"/>
          <w:szCs w:val="24"/>
          <w:highlight w:val="none"/>
        </w:rPr>
        <w:t>性要求且提交最后报价的供应商的响应文件按评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审因素评审得分，最终汇总得分由高到低排序推荐第一、第二、第三中标候选人) 。</w:t>
      </w:r>
    </w:p>
    <w:p w14:paraId="1633469B">
      <w:pPr>
        <w:spacing w:before="28" w:line="226" w:lineRule="auto"/>
        <w:ind w:left="6" w:firstLine="440"/>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评标因素的设定包括投标报价、技术水平等有关内容。资格条件不得作为评标因素。最低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投标报价不是确定中标候选人的唯一标准，磋商小组根据供应商企业实力、实施方案、投标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报价等综合因素标准确定中标候选人。</w:t>
      </w:r>
    </w:p>
    <w:p w14:paraId="10C5D9B3">
      <w:pPr>
        <w:spacing w:before="28" w:line="225" w:lineRule="auto"/>
        <w:ind w:left="15" w:right="107"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2.1.2 评标时，磋商小组各成员应当独立对每个供应商的响应文</w:t>
      </w:r>
      <w:r>
        <w:rPr>
          <w:rFonts w:hint="eastAsia" w:ascii="宋体" w:hAnsi="宋体" w:eastAsia="宋体" w:cs="宋体"/>
          <w:color w:val="auto"/>
          <w:spacing w:val="-3"/>
          <w:sz w:val="24"/>
          <w:szCs w:val="24"/>
          <w:highlight w:val="none"/>
        </w:rPr>
        <w:t>件进行评价，并汇总每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个供应商的得分。</w:t>
      </w:r>
    </w:p>
    <w:p w14:paraId="47B87536">
      <w:pPr>
        <w:spacing w:before="4" w:line="222" w:lineRule="auto"/>
        <w:ind w:left="43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2.1.3 评标过程中，不得去掉报价中的最高报</w:t>
      </w:r>
      <w:r>
        <w:rPr>
          <w:rFonts w:hint="eastAsia" w:ascii="宋体" w:hAnsi="宋体" w:eastAsia="宋体" w:cs="宋体"/>
          <w:color w:val="auto"/>
          <w:spacing w:val="-4"/>
          <w:sz w:val="24"/>
          <w:szCs w:val="24"/>
          <w:highlight w:val="none"/>
        </w:rPr>
        <w:t>价和最低报价。</w:t>
      </w:r>
    </w:p>
    <w:p w14:paraId="51F16BBE">
      <w:pPr>
        <w:spacing w:before="34" w:line="226" w:lineRule="auto"/>
        <w:ind w:left="4" w:right="107" w:firstLine="43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2.1.4</w:t>
      </w:r>
      <w:r>
        <w:rPr>
          <w:rFonts w:hint="eastAsia" w:ascii="宋体" w:hAnsi="宋体" w:eastAsia="宋体" w:cs="宋体"/>
          <w:color w:val="auto"/>
          <w:spacing w:val="74"/>
          <w:sz w:val="24"/>
          <w:szCs w:val="24"/>
          <w:highlight w:val="none"/>
        </w:rPr>
        <w:t xml:space="preserve"> </w:t>
      </w:r>
      <w:r>
        <w:rPr>
          <w:rFonts w:hint="eastAsia" w:ascii="宋体" w:hAnsi="宋体" w:eastAsia="宋体" w:cs="宋体"/>
          <w:color w:val="auto"/>
          <w:spacing w:val="-4"/>
          <w:sz w:val="24"/>
          <w:szCs w:val="24"/>
          <w:highlight w:val="none"/>
        </w:rPr>
        <w:t>因落实政府采购政策进行价格或投标报价得分调整的，按法律法规</w:t>
      </w:r>
      <w:r>
        <w:rPr>
          <w:rFonts w:hint="eastAsia" w:ascii="宋体" w:hAnsi="宋体" w:eastAsia="宋体" w:cs="宋体"/>
          <w:color w:val="auto"/>
          <w:spacing w:val="-5"/>
          <w:sz w:val="24"/>
          <w:szCs w:val="24"/>
          <w:highlight w:val="none"/>
        </w:rPr>
        <w:t>规定内容进行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调整。</w:t>
      </w:r>
    </w:p>
    <w:p w14:paraId="16A9E8FB">
      <w:pPr>
        <w:spacing w:before="21" w:line="227" w:lineRule="auto"/>
        <w:ind w:left="16" w:right="16" w:firstLine="4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2.2 评标结果按评标后得分由高到低顺序排列，</w:t>
      </w:r>
      <w:r>
        <w:rPr>
          <w:rFonts w:hint="eastAsia" w:ascii="宋体" w:hAnsi="宋体" w:eastAsia="宋体" w:cs="宋体"/>
          <w:color w:val="auto"/>
          <w:spacing w:val="-2"/>
          <w:sz w:val="24"/>
          <w:szCs w:val="24"/>
          <w:highlight w:val="none"/>
          <w:u w:val="single" w:color="auto"/>
        </w:rPr>
        <w:t>评审得分相同的，按修正和扣除后的磋</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u w:val="single" w:color="auto"/>
        </w:rPr>
        <w:t>商报价由低到高顺序排列。得分与磋商报价</w:t>
      </w:r>
      <w:r>
        <w:rPr>
          <w:rFonts w:hint="eastAsia" w:ascii="宋体" w:hAnsi="宋体" w:eastAsia="宋体" w:cs="宋体"/>
          <w:color w:val="auto"/>
          <w:spacing w:val="-2"/>
          <w:sz w:val="24"/>
          <w:szCs w:val="24"/>
          <w:highlight w:val="none"/>
          <w:u w:val="single" w:color="auto"/>
        </w:rPr>
        <w:t>均相同的，按响应文件满足磋商文件全部实质性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u w:val="single" w:color="auto"/>
        </w:rPr>
        <w:t>要求，且按照评标因素的量化指标评标得分最高的供应商为排名第一的中标候选人</w:t>
      </w:r>
      <w:r>
        <w:rPr>
          <w:rFonts w:hint="eastAsia" w:ascii="宋体" w:hAnsi="宋体" w:eastAsia="宋体" w:cs="宋体"/>
          <w:color w:val="auto"/>
          <w:spacing w:val="-2"/>
          <w:sz w:val="24"/>
          <w:szCs w:val="24"/>
          <w:highlight w:val="none"/>
        </w:rPr>
        <w:t>。</w:t>
      </w:r>
    </w:p>
    <w:p w14:paraId="19383304">
      <w:pPr>
        <w:spacing w:before="20" w:line="222"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3.评标原则和评标纪律</w:t>
      </w:r>
    </w:p>
    <w:p w14:paraId="0C2150F1">
      <w:pPr>
        <w:spacing w:before="25" w:line="225" w:lineRule="auto"/>
        <w:ind w:left="7" w:right="115" w:firstLine="43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 磋商小组成员应当按照客观、公正、公平的原则，根据磋商文件规定的评标程序、</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评标方法和评标标准进行独立评标。磋商小组成员发现磋商文</w:t>
      </w:r>
      <w:r>
        <w:rPr>
          <w:rFonts w:hint="eastAsia" w:ascii="宋体" w:hAnsi="宋体" w:eastAsia="宋体" w:cs="宋体"/>
          <w:color w:val="auto"/>
          <w:spacing w:val="-4"/>
          <w:sz w:val="24"/>
          <w:szCs w:val="24"/>
          <w:highlight w:val="none"/>
        </w:rPr>
        <w:t>件存在歧义、重大缺陷导致</w:t>
      </w:r>
    </w:p>
    <w:p w14:paraId="015F5E6C">
      <w:pPr>
        <w:spacing w:before="16" w:line="229" w:lineRule="auto"/>
        <w:ind w:left="7" w:right="6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评标工作无法进行，或者磋商文件内容违反国</w:t>
      </w:r>
      <w:r>
        <w:rPr>
          <w:rFonts w:hint="eastAsia" w:ascii="宋体" w:hAnsi="宋体" w:eastAsia="宋体" w:cs="宋体"/>
          <w:color w:val="auto"/>
          <w:spacing w:val="-3"/>
          <w:sz w:val="24"/>
          <w:szCs w:val="24"/>
          <w:highlight w:val="none"/>
        </w:rPr>
        <w:t>家有关强制性规定的，应当停止评标工作，与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采购人或者采购代理机构沟通并作书面记录。采</w:t>
      </w:r>
      <w:r>
        <w:rPr>
          <w:rFonts w:hint="eastAsia" w:ascii="宋体" w:hAnsi="宋体" w:eastAsia="宋体" w:cs="宋体"/>
          <w:color w:val="auto"/>
          <w:spacing w:val="-3"/>
          <w:sz w:val="24"/>
          <w:szCs w:val="24"/>
          <w:highlight w:val="none"/>
        </w:rPr>
        <w:t>购人或者采购代理机构确认后，应当修改磋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商文件，重新组织采购活动。</w:t>
      </w:r>
    </w:p>
    <w:p w14:paraId="73499026">
      <w:pPr>
        <w:spacing w:before="23" w:line="225" w:lineRule="auto"/>
        <w:ind w:left="45" w:right="81" w:firstLine="39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 评标委员会成员应当在评标报告上签字，对自</w:t>
      </w:r>
      <w:r>
        <w:rPr>
          <w:rFonts w:hint="eastAsia" w:ascii="宋体" w:hAnsi="宋体" w:eastAsia="宋体" w:cs="宋体"/>
          <w:color w:val="auto"/>
          <w:spacing w:val="-3"/>
          <w:sz w:val="24"/>
          <w:szCs w:val="24"/>
          <w:highlight w:val="none"/>
        </w:rPr>
        <w:t>己的评标意见承担法律责任。评标委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员会成员对需要共同认定的事项存在争议的，应当按照少数服从多数的原则作出结论。持不</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3"/>
          <w:sz w:val="24"/>
          <w:szCs w:val="24"/>
          <w:highlight w:val="none"/>
        </w:rPr>
        <w:t>同意见的评标委员会成员应当在评标报告上签署不同意见及理由，否则</w:t>
      </w:r>
      <w:r>
        <w:rPr>
          <w:rFonts w:hint="eastAsia" w:ascii="宋体" w:hAnsi="宋体" w:eastAsia="宋体" w:cs="宋体"/>
          <w:color w:val="auto"/>
          <w:spacing w:val="-4"/>
          <w:sz w:val="24"/>
          <w:szCs w:val="24"/>
          <w:highlight w:val="none"/>
        </w:rPr>
        <w:t>视为同意评标报告</w:t>
      </w:r>
    </w:p>
    <w:p w14:paraId="300F8F2C">
      <w:pPr>
        <w:spacing w:before="173" w:line="115" w:lineRule="exact"/>
        <w:ind w:left="44"/>
        <w:rPr>
          <w:rFonts w:hint="eastAsia" w:ascii="宋体" w:hAnsi="宋体" w:eastAsia="宋体" w:cs="宋体"/>
          <w:color w:val="auto"/>
          <w:sz w:val="24"/>
          <w:szCs w:val="24"/>
          <w:highlight w:val="none"/>
        </w:rPr>
      </w:pPr>
      <w:r>
        <w:rPr>
          <w:rFonts w:hint="eastAsia" w:ascii="宋体" w:hAnsi="宋体" w:eastAsia="宋体" w:cs="宋体"/>
          <w:color w:val="auto"/>
          <w:position w:val="2"/>
          <w:sz w:val="24"/>
          <w:szCs w:val="24"/>
          <w:highlight w:val="none"/>
        </w:rPr>
        <w:t>。</w:t>
      </w:r>
    </w:p>
    <w:p w14:paraId="131AD9DF">
      <w:pPr>
        <w:spacing w:before="20" w:line="222" w:lineRule="auto"/>
        <w:ind w:left="44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3.3 评标纪律</w:t>
      </w:r>
    </w:p>
    <w:p w14:paraId="3365A70F">
      <w:pPr>
        <w:spacing w:before="43" w:line="228" w:lineRule="auto"/>
        <w:ind w:left="5" w:right="64" w:firstLine="43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3.3.1 采购人委派代表参加评标委员会的，应当向采购</w:t>
      </w:r>
      <w:r>
        <w:rPr>
          <w:rFonts w:hint="eastAsia" w:ascii="宋体" w:hAnsi="宋体" w:eastAsia="宋体" w:cs="宋体"/>
          <w:color w:val="auto"/>
          <w:spacing w:val="-3"/>
          <w:sz w:val="24"/>
          <w:szCs w:val="24"/>
          <w:highlight w:val="none"/>
        </w:rPr>
        <w:t>代理机构出具授权函。除授权代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表外，采购人可以委派纪检监察等相关人员进入评</w:t>
      </w:r>
      <w:r>
        <w:rPr>
          <w:rFonts w:hint="eastAsia" w:ascii="宋体" w:hAnsi="宋体" w:eastAsia="宋体" w:cs="宋体"/>
          <w:color w:val="auto"/>
          <w:spacing w:val="-3"/>
          <w:sz w:val="24"/>
          <w:szCs w:val="24"/>
          <w:highlight w:val="none"/>
        </w:rPr>
        <w:t>标现场，对评标工作实施监督，但不得超</w:t>
      </w:r>
      <w:r>
        <w:rPr>
          <w:rFonts w:hint="eastAsia" w:ascii="宋体" w:hAnsi="宋体" w:eastAsia="宋体" w:cs="宋体"/>
          <w:color w:val="auto"/>
          <w:sz w:val="24"/>
          <w:szCs w:val="24"/>
          <w:highlight w:val="none"/>
        </w:rPr>
        <w:t xml:space="preserve"> 过2人。采购人需要在评标前介绍项目背景和技术</w:t>
      </w:r>
      <w:r>
        <w:rPr>
          <w:rFonts w:hint="eastAsia" w:ascii="宋体" w:hAnsi="宋体" w:eastAsia="宋体" w:cs="宋体"/>
          <w:color w:val="auto"/>
          <w:spacing w:val="-1"/>
          <w:sz w:val="24"/>
          <w:szCs w:val="24"/>
          <w:highlight w:val="none"/>
        </w:rPr>
        <w:t>需求的，应当事先提交书面介绍材料，介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绍内容不得存在歧视性、倾向性意见，不得超出采</w:t>
      </w:r>
      <w:r>
        <w:rPr>
          <w:rFonts w:hint="eastAsia" w:ascii="宋体" w:hAnsi="宋体" w:eastAsia="宋体" w:cs="宋体"/>
          <w:color w:val="auto"/>
          <w:spacing w:val="-3"/>
          <w:sz w:val="24"/>
          <w:szCs w:val="24"/>
          <w:highlight w:val="none"/>
        </w:rPr>
        <w:t>购文件所述范围，书面介绍材料作为采购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项目文件随其他文件一并存档。评标委员会应当推选组</w:t>
      </w:r>
      <w:r>
        <w:rPr>
          <w:rFonts w:hint="eastAsia" w:ascii="宋体" w:hAnsi="宋体" w:eastAsia="宋体" w:cs="宋体"/>
          <w:color w:val="auto"/>
          <w:spacing w:val="-3"/>
          <w:sz w:val="24"/>
          <w:szCs w:val="24"/>
          <w:highlight w:val="none"/>
        </w:rPr>
        <w:t>长，但采购人代表不得担任组长。</w:t>
      </w:r>
    </w:p>
    <w:p w14:paraId="7BB8A13A">
      <w:pPr>
        <w:spacing w:before="37" w:line="225" w:lineRule="auto"/>
        <w:ind w:left="7" w:right="102" w:firstLine="43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3.3.2 评标委员会成员要严格遵守评标时间，主动出具身份</w:t>
      </w:r>
      <w:r>
        <w:rPr>
          <w:rFonts w:hint="eastAsia" w:ascii="宋体" w:hAnsi="宋体" w:eastAsia="宋体" w:cs="宋体"/>
          <w:color w:val="auto"/>
          <w:spacing w:val="-3"/>
          <w:sz w:val="24"/>
          <w:szCs w:val="24"/>
          <w:highlight w:val="none"/>
        </w:rPr>
        <w:t>证明，遵守评标工作纪律和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评标回避的相关规定。在评标工作开始前，将手机等通</w:t>
      </w:r>
      <w:r>
        <w:rPr>
          <w:rFonts w:hint="eastAsia" w:ascii="宋体" w:hAnsi="宋体" w:eastAsia="宋体" w:cs="宋体"/>
          <w:color w:val="auto"/>
          <w:spacing w:val="-3"/>
          <w:sz w:val="24"/>
          <w:szCs w:val="24"/>
          <w:highlight w:val="none"/>
        </w:rPr>
        <w:t>讯工具或相关电子设备交由采购人</w:t>
      </w:r>
    </w:p>
    <w:p w14:paraId="79AFA927">
      <w:pPr>
        <w:spacing w:before="59" w:line="231" w:lineRule="auto"/>
        <w:ind w:left="12" w:right="48" w:firstLine="17"/>
        <w:rPr>
          <w:rFonts w:hint="eastAsia" w:ascii="宋体" w:hAnsi="宋体" w:eastAsia="宋体" w:cs="宋体"/>
          <w:color w:val="auto"/>
          <w:spacing w:val="-9"/>
          <w:sz w:val="24"/>
          <w:szCs w:val="24"/>
          <w:highlight w:val="none"/>
        </w:rPr>
      </w:pPr>
      <w:r>
        <w:rPr>
          <w:rFonts w:hint="eastAsia" w:ascii="宋体" w:hAnsi="宋体" w:eastAsia="宋体" w:cs="宋体"/>
          <w:color w:val="auto"/>
          <w:spacing w:val="-2"/>
          <w:sz w:val="24"/>
          <w:szCs w:val="24"/>
          <w:highlight w:val="none"/>
        </w:rPr>
        <w:t>或采购代理机构统一保管，拒不上交的，采</w:t>
      </w:r>
      <w:r>
        <w:rPr>
          <w:rFonts w:hint="eastAsia" w:ascii="宋体" w:hAnsi="宋体" w:eastAsia="宋体" w:cs="宋体"/>
          <w:color w:val="auto"/>
          <w:spacing w:val="-3"/>
          <w:sz w:val="24"/>
          <w:szCs w:val="24"/>
          <w:highlight w:val="none"/>
        </w:rPr>
        <w:t>购人或采购代理机构可以拒绝其参加评标工作并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向财政部门报告。</w:t>
      </w:r>
    </w:p>
    <w:p w14:paraId="024CF0FC">
      <w:pPr>
        <w:spacing w:before="59" w:line="231" w:lineRule="auto"/>
        <w:ind w:left="12" w:right="48" w:firstLine="488" w:firstLineChars="2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3.3.3 评标委员会成员和评标工作有关人员不得干</w:t>
      </w:r>
      <w:r>
        <w:rPr>
          <w:rFonts w:hint="eastAsia" w:ascii="宋体" w:hAnsi="宋体" w:eastAsia="宋体" w:cs="宋体"/>
          <w:color w:val="auto"/>
          <w:spacing w:val="-3"/>
          <w:sz w:val="24"/>
          <w:szCs w:val="24"/>
          <w:highlight w:val="none"/>
        </w:rPr>
        <w:t>预或者影响正常评标工作，不得明示或者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暗示其倾向性、引导性意见，不得修改或细化采购文件确定的评标程序、评标方法、评标因</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素和评标标准，不得接受供应商主动提出的澄清和解释</w:t>
      </w:r>
      <w:r>
        <w:rPr>
          <w:rFonts w:hint="eastAsia" w:ascii="宋体" w:hAnsi="宋体" w:eastAsia="宋体" w:cs="宋体"/>
          <w:color w:val="auto"/>
          <w:spacing w:val="-3"/>
          <w:sz w:val="24"/>
          <w:szCs w:val="24"/>
          <w:highlight w:val="none"/>
        </w:rPr>
        <w:t>，不得征询采购人代表的倾向性意见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01"/>
          <w:sz w:val="24"/>
          <w:szCs w:val="24"/>
          <w:highlight w:val="none"/>
        </w:rPr>
        <w:t xml:space="preserve"> </w:t>
      </w:r>
      <w:r>
        <w:rPr>
          <w:rFonts w:hint="eastAsia" w:ascii="宋体" w:hAnsi="宋体" w:eastAsia="宋体" w:cs="宋体"/>
          <w:color w:val="auto"/>
          <w:spacing w:val="-6"/>
          <w:sz w:val="24"/>
          <w:szCs w:val="24"/>
          <w:highlight w:val="none"/>
        </w:rPr>
        <w:t>不得协商评分，不得记录、复制或带走任何评标资料。评标结果汇总完成后，采购人、采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购代理机构和评标委员会均不得修改评标结果或者要求重新评标，但资格性检查认定错误、分</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2"/>
          <w:sz w:val="24"/>
          <w:szCs w:val="24"/>
          <w:highlight w:val="none"/>
        </w:rPr>
        <w:t>值汇总计算错误、分项评分超出评分标准范围、客观分</w:t>
      </w:r>
      <w:r>
        <w:rPr>
          <w:rFonts w:hint="eastAsia" w:ascii="宋体" w:hAnsi="宋体" w:eastAsia="宋体" w:cs="宋体"/>
          <w:color w:val="auto"/>
          <w:spacing w:val="-3"/>
          <w:sz w:val="24"/>
          <w:szCs w:val="24"/>
          <w:highlight w:val="none"/>
        </w:rPr>
        <w:t>评分不一致、经评标委员会一致认定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评分畸高、畸低的情形除外。出现上述除外情形的，评标委员会应当现场修改评标结果，并</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在评标报告中明确记载。</w:t>
      </w:r>
    </w:p>
    <w:p w14:paraId="595BDD4A">
      <w:pPr>
        <w:spacing w:before="35" w:line="226" w:lineRule="auto"/>
        <w:ind w:left="17" w:right="107" w:firstLine="43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3.3.4 评标委员会成员不得私自泄露评标内容。评标过程应严</w:t>
      </w:r>
      <w:r>
        <w:rPr>
          <w:rFonts w:hint="eastAsia" w:ascii="宋体" w:hAnsi="宋体" w:eastAsia="宋体" w:cs="宋体"/>
          <w:color w:val="auto"/>
          <w:spacing w:val="-3"/>
          <w:sz w:val="24"/>
          <w:szCs w:val="24"/>
          <w:highlight w:val="none"/>
        </w:rPr>
        <w:t>格遵守保密制度。开标后,</w:t>
      </w:r>
      <w:r>
        <w:rPr>
          <w:rFonts w:hint="eastAsia" w:ascii="宋体" w:hAnsi="宋体" w:eastAsia="宋体" w:cs="宋体"/>
          <w:color w:val="auto"/>
          <w:sz w:val="24"/>
          <w:szCs w:val="24"/>
          <w:highlight w:val="none"/>
        </w:rPr>
        <w:t xml:space="preserve"> 直到授予中标人合同止，凡是属于审查、澄清、评价</w:t>
      </w:r>
      <w:r>
        <w:rPr>
          <w:rFonts w:hint="eastAsia" w:ascii="宋体" w:hAnsi="宋体" w:eastAsia="宋体" w:cs="宋体"/>
          <w:color w:val="auto"/>
          <w:spacing w:val="-1"/>
          <w:sz w:val="24"/>
          <w:szCs w:val="24"/>
          <w:highlight w:val="none"/>
        </w:rPr>
        <w:t>和比较的有关资料以及授标建议等均不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得向供应商或其他无关的人员透露。</w:t>
      </w:r>
    </w:p>
    <w:p w14:paraId="5FA13552">
      <w:pPr>
        <w:spacing w:before="22" w:line="228" w:lineRule="auto"/>
        <w:ind w:left="14" w:right="189" w:firstLine="43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3.3.5 采购人、采购代理机构要加强评标现场管理，与评标</w:t>
      </w:r>
      <w:r>
        <w:rPr>
          <w:rFonts w:hint="eastAsia" w:ascii="宋体" w:hAnsi="宋体" w:eastAsia="宋体" w:cs="宋体"/>
          <w:color w:val="auto"/>
          <w:spacing w:val="-3"/>
          <w:sz w:val="24"/>
          <w:szCs w:val="24"/>
          <w:highlight w:val="none"/>
        </w:rPr>
        <w:t>工作无关的人员不得进入评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标现场。各级财政部门对评标活动相关各方违反评标工</w:t>
      </w:r>
      <w:r>
        <w:rPr>
          <w:rFonts w:hint="eastAsia" w:ascii="宋体" w:hAnsi="宋体" w:eastAsia="宋体" w:cs="宋体"/>
          <w:color w:val="auto"/>
          <w:spacing w:val="-3"/>
          <w:sz w:val="24"/>
          <w:szCs w:val="24"/>
          <w:highlight w:val="none"/>
        </w:rPr>
        <w:t>作纪律及要求的行为，将依法严肃处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理。</w:t>
      </w:r>
    </w:p>
    <w:p w14:paraId="6CD0DC9D">
      <w:pPr>
        <w:spacing w:before="1" w:line="220" w:lineRule="auto"/>
        <w:ind w:left="45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3.4 评标委员会成员应当履行的义务</w:t>
      </w:r>
    </w:p>
    <w:p w14:paraId="1FF5B412">
      <w:pPr>
        <w:spacing w:before="37" w:line="224" w:lineRule="auto"/>
        <w:ind w:left="22" w:right="228" w:firstLine="43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3.4.1 评标委员会成员应根据政府采购法律法规和采购文件</w:t>
      </w:r>
      <w:r>
        <w:rPr>
          <w:rFonts w:hint="eastAsia" w:ascii="宋体" w:hAnsi="宋体" w:eastAsia="宋体" w:cs="宋体"/>
          <w:color w:val="auto"/>
          <w:spacing w:val="-3"/>
          <w:sz w:val="24"/>
          <w:szCs w:val="24"/>
          <w:highlight w:val="none"/>
        </w:rPr>
        <w:t>所载明的评标方法、标准进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行评标，遵纪守法，客观、公正、廉洁地履行职责。</w:t>
      </w:r>
    </w:p>
    <w:p w14:paraId="7D119136">
      <w:pPr>
        <w:spacing w:before="28" w:line="227" w:lineRule="auto"/>
        <w:ind w:left="10" w:right="192" w:firstLine="44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3.4.2 评标委员会成员应熟悉和理解采购文件，认真阅读所</w:t>
      </w:r>
      <w:r>
        <w:rPr>
          <w:rFonts w:hint="eastAsia" w:ascii="宋体" w:hAnsi="宋体" w:eastAsia="宋体" w:cs="宋体"/>
          <w:color w:val="auto"/>
          <w:spacing w:val="-3"/>
          <w:sz w:val="24"/>
          <w:szCs w:val="24"/>
          <w:highlight w:val="none"/>
        </w:rPr>
        <w:t>有供应商的响应文件，对所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有响应文件逐一进行资格性、符合性检查，按采购文件规定</w:t>
      </w:r>
      <w:r>
        <w:rPr>
          <w:rFonts w:hint="eastAsia" w:ascii="宋体" w:hAnsi="宋体" w:eastAsia="宋体" w:cs="宋体"/>
          <w:color w:val="auto"/>
          <w:spacing w:val="-3"/>
          <w:sz w:val="24"/>
          <w:szCs w:val="24"/>
          <w:highlight w:val="none"/>
        </w:rPr>
        <w:t>的评标方法和标准，进行比较和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评价；</w:t>
      </w:r>
    </w:p>
    <w:p w14:paraId="0AA2D221">
      <w:pPr>
        <w:spacing w:before="23" w:line="225" w:lineRule="auto"/>
        <w:ind w:left="44" w:right="228" w:firstLine="4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3.4.3 对供应商的价格分等客观评分项的评分应当一致，对</w:t>
      </w:r>
      <w:r>
        <w:rPr>
          <w:rFonts w:hint="eastAsia" w:ascii="宋体" w:hAnsi="宋体" w:eastAsia="宋体" w:cs="宋体"/>
          <w:color w:val="auto"/>
          <w:spacing w:val="-3"/>
          <w:sz w:val="24"/>
          <w:szCs w:val="24"/>
          <w:highlight w:val="none"/>
        </w:rPr>
        <w:t>其他需要借助专业知识评判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的主观评分项，应当严格按照评分细则公正评分。</w:t>
      </w:r>
    </w:p>
    <w:p w14:paraId="5BA85AF9">
      <w:pPr>
        <w:spacing w:before="16" w:line="219" w:lineRule="auto"/>
        <w:ind w:left="45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在磋商过程中，磋商小组可以根据磋商文件和磋商情况实质性变动采购需求中的技术、</w:t>
      </w:r>
    </w:p>
    <w:p w14:paraId="6DA5CFCF">
      <w:pPr>
        <w:spacing w:before="26" w:line="231"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服务要求以及合同草案条款，但不得变动磋商文件中的</w:t>
      </w:r>
      <w:r>
        <w:rPr>
          <w:rFonts w:hint="eastAsia" w:ascii="宋体" w:hAnsi="宋体" w:eastAsia="宋体" w:cs="宋体"/>
          <w:color w:val="auto"/>
          <w:spacing w:val="-3"/>
          <w:sz w:val="24"/>
          <w:szCs w:val="24"/>
          <w:highlight w:val="none"/>
        </w:rPr>
        <w:t>其他内容。实质性变动的内容，须经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采购人代表确认。对磋商文件作出的实质性变动是磋商文件的有效组成部分，磋商小组应当</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及时以书面形式同时通知所有参加磋商的供应商。供</w:t>
      </w:r>
      <w:r>
        <w:rPr>
          <w:rFonts w:hint="eastAsia" w:ascii="宋体" w:hAnsi="宋体" w:eastAsia="宋体" w:cs="宋体"/>
          <w:color w:val="auto"/>
          <w:spacing w:val="-3"/>
          <w:sz w:val="24"/>
          <w:szCs w:val="24"/>
          <w:highlight w:val="none"/>
        </w:rPr>
        <w:t>应商应当按照磋商文件的变动情况和磋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商小组的要求重新提交响应文件，并由其法定代表人</w:t>
      </w:r>
      <w:r>
        <w:rPr>
          <w:rFonts w:hint="eastAsia" w:ascii="宋体" w:hAnsi="宋体" w:eastAsia="宋体" w:cs="宋体"/>
          <w:color w:val="auto"/>
          <w:spacing w:val="-3"/>
          <w:sz w:val="24"/>
          <w:szCs w:val="24"/>
          <w:highlight w:val="none"/>
        </w:rPr>
        <w:t>或授权代表签字或者加盖公章。由授权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代表签字的，应当附法定代表人授权书。供应商为自</w:t>
      </w:r>
      <w:r>
        <w:rPr>
          <w:rFonts w:hint="eastAsia" w:ascii="宋体" w:hAnsi="宋体" w:eastAsia="宋体" w:cs="宋体"/>
          <w:color w:val="auto"/>
          <w:spacing w:val="-3"/>
          <w:sz w:val="24"/>
          <w:szCs w:val="24"/>
          <w:highlight w:val="none"/>
        </w:rPr>
        <w:t>然人的，应当由本人签字并附身份证明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。已提交响应文件的供应商，在提交最后报价之前，可以根据磋商情况退出磋商。采购人、采</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7"/>
          <w:sz w:val="24"/>
          <w:szCs w:val="24"/>
          <w:highlight w:val="none"/>
        </w:rPr>
        <w:t>购代理机构应当退还退出磋商的供应商的磋商保证金。</w:t>
      </w:r>
    </w:p>
    <w:p w14:paraId="1FC382FE">
      <w:pPr>
        <w:spacing w:before="33" w:line="226" w:lineRule="auto"/>
        <w:ind w:left="27" w:right="110" w:firstLine="4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3.4.4 评标委员会如需要供应商对响应文件有关事项作出澄清</w:t>
      </w:r>
      <w:r>
        <w:rPr>
          <w:rFonts w:hint="eastAsia" w:ascii="宋体" w:hAnsi="宋体" w:eastAsia="宋体" w:cs="宋体"/>
          <w:color w:val="auto"/>
          <w:spacing w:val="-3"/>
          <w:sz w:val="24"/>
          <w:szCs w:val="24"/>
          <w:highlight w:val="none"/>
        </w:rPr>
        <w:t>的，应当给予供应商 必要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的反馈时间，但澄清事项不得超出响应文件的范围，不得实质性改变响应文件的内容，不得</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通过澄清等方式对供应商实行差别对待。</w:t>
      </w:r>
    </w:p>
    <w:p w14:paraId="22A5CC3A">
      <w:pPr>
        <w:spacing w:before="29" w:line="225" w:lineRule="auto"/>
        <w:ind w:left="22" w:right="110" w:firstLine="43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3.4.5 评标委员会应对评分汇总情况进行复核，特别是对排名</w:t>
      </w:r>
      <w:r>
        <w:rPr>
          <w:rFonts w:hint="eastAsia" w:ascii="宋体" w:hAnsi="宋体" w:eastAsia="宋体" w:cs="宋体"/>
          <w:color w:val="auto"/>
          <w:spacing w:val="-3"/>
          <w:sz w:val="24"/>
          <w:szCs w:val="24"/>
          <w:highlight w:val="none"/>
        </w:rPr>
        <w:t>第一的、报价最低的 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或相应文件被认定为无效的情形进行重点复核，</w:t>
      </w:r>
      <w:r>
        <w:rPr>
          <w:rFonts w:hint="eastAsia" w:ascii="宋体" w:hAnsi="宋体" w:eastAsia="宋体" w:cs="宋体"/>
          <w:color w:val="auto"/>
          <w:spacing w:val="-3"/>
          <w:sz w:val="24"/>
          <w:szCs w:val="24"/>
          <w:highlight w:val="none"/>
        </w:rPr>
        <w:t>并根据评标结果推荐中标候选人，或者根据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采购人委托协议规定直接确定中标人，起草并签署评标报告。</w:t>
      </w:r>
    </w:p>
    <w:p w14:paraId="63C8C347">
      <w:pPr>
        <w:spacing w:before="30" w:line="223" w:lineRule="auto"/>
        <w:ind w:left="36" w:right="227" w:firstLine="4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3.4.6 评标委员会应在采购项目招标失败时，出具磋商文件</w:t>
      </w:r>
      <w:r>
        <w:rPr>
          <w:rFonts w:hint="eastAsia" w:ascii="宋体" w:hAnsi="宋体" w:eastAsia="宋体" w:cs="宋体"/>
          <w:color w:val="auto"/>
          <w:spacing w:val="-3"/>
          <w:sz w:val="24"/>
          <w:szCs w:val="24"/>
          <w:highlight w:val="none"/>
        </w:rPr>
        <w:t>是否存在不合理条款的论证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意见，并协助采购人、采购代理机构、财政部门答复质疑或处理投诉事项。</w:t>
      </w:r>
    </w:p>
    <w:p w14:paraId="370192CF">
      <w:pPr>
        <w:spacing w:before="4" w:line="221" w:lineRule="auto"/>
        <w:ind w:left="45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3.4.7 评标委员会应对评标过程和结果以及供应商的商业秘密保密。</w:t>
      </w:r>
    </w:p>
    <w:p w14:paraId="6147A4D4">
      <w:pPr>
        <w:spacing w:before="18" w:line="222" w:lineRule="auto"/>
        <w:ind w:left="93"/>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(二)</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1"/>
          <w:sz w:val="24"/>
          <w:szCs w:val="24"/>
          <w:highlight w:val="none"/>
        </w:rPr>
        <w:t>评标程序</w:t>
      </w:r>
    </w:p>
    <w:p w14:paraId="4B4EC56A">
      <w:pPr>
        <w:spacing w:before="27"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4．响应文件的初步评标</w:t>
      </w:r>
    </w:p>
    <w:p w14:paraId="452A8B69">
      <w:pPr>
        <w:spacing w:line="220"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4.1 初步评标分为资格性检查和符合性</w:t>
      </w:r>
      <w:r>
        <w:rPr>
          <w:rFonts w:hint="eastAsia" w:ascii="宋体" w:hAnsi="宋体" w:eastAsia="宋体" w:cs="宋体"/>
          <w:color w:val="auto"/>
          <w:spacing w:val="-4"/>
          <w:sz w:val="24"/>
          <w:szCs w:val="24"/>
          <w:highlight w:val="none"/>
        </w:rPr>
        <w:t>检查。</w:t>
      </w:r>
    </w:p>
    <w:p w14:paraId="25637A51">
      <w:pPr>
        <w:spacing w:before="16" w:line="220"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4.1.1</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9"/>
          <w:sz w:val="24"/>
          <w:szCs w:val="24"/>
          <w:highlight w:val="none"/>
        </w:rPr>
        <w:t>资格性检查</w:t>
      </w:r>
    </w:p>
    <w:p w14:paraId="16720D19">
      <w:pPr>
        <w:spacing w:before="3" w:line="220" w:lineRule="auto"/>
        <w:ind w:left="462" w:right="22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根据法律法规和磋商文件的规定，对响应文件中的资格证明文件、磋商保证金等进行审</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2"/>
          <w:sz w:val="24"/>
          <w:szCs w:val="24"/>
          <w:highlight w:val="none"/>
        </w:rPr>
        <w:t>查，以确定投标供应商是否具备投标资格。审查事项如下：</w:t>
      </w:r>
    </w:p>
    <w:p w14:paraId="3942CC96">
      <w:pPr>
        <w:spacing w:line="220" w:lineRule="auto"/>
        <w:rPr>
          <w:rFonts w:hint="eastAsia" w:ascii="宋体" w:hAnsi="宋体" w:eastAsia="宋体" w:cs="宋体"/>
          <w:color w:val="auto"/>
          <w:sz w:val="24"/>
          <w:szCs w:val="24"/>
          <w:highlight w:val="none"/>
        </w:rPr>
        <w:sectPr>
          <w:footerReference r:id="rId27" w:type="default"/>
          <w:pgSz w:w="11906" w:h="16840"/>
          <w:pgMar w:top="1431" w:right="1079" w:bottom="895" w:left="1116" w:header="0" w:footer="725" w:gutter="0"/>
          <w:pgNumType w:fmt="decimal"/>
          <w:cols w:space="720" w:num="1"/>
        </w:sectPr>
      </w:pPr>
    </w:p>
    <w:p w14:paraId="5CEAD33F">
      <w:pPr>
        <w:spacing w:before="49" w:line="222" w:lineRule="auto"/>
        <w:ind w:left="4167"/>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资格审查表</w:t>
      </w:r>
    </w:p>
    <w:p w14:paraId="01529E1C">
      <w:pPr>
        <w:spacing w:line="111" w:lineRule="exact"/>
        <w:rPr>
          <w:rFonts w:hint="eastAsia" w:ascii="宋体" w:hAnsi="宋体" w:eastAsia="宋体" w:cs="宋体"/>
          <w:color w:val="auto"/>
          <w:highlight w:val="none"/>
        </w:rPr>
      </w:pPr>
    </w:p>
    <w:tbl>
      <w:tblPr>
        <w:tblStyle w:val="34"/>
        <w:tblW w:w="985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7623"/>
        <w:gridCol w:w="608"/>
        <w:gridCol w:w="850"/>
      </w:tblGrid>
      <w:tr w14:paraId="71AF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5" w:hRule="atLeast"/>
        </w:trPr>
        <w:tc>
          <w:tcPr>
            <w:tcW w:w="778" w:type="dxa"/>
            <w:vMerge w:val="restart"/>
            <w:tcBorders>
              <w:left w:val="single" w:color="000000" w:sz="6" w:space="0"/>
              <w:bottom w:val="nil"/>
            </w:tcBorders>
            <w:vAlign w:val="top"/>
          </w:tcPr>
          <w:p w14:paraId="7AD5FD89">
            <w:pPr>
              <w:pStyle w:val="35"/>
              <w:spacing w:line="256" w:lineRule="auto"/>
              <w:rPr>
                <w:rFonts w:hint="eastAsia" w:ascii="宋体" w:hAnsi="宋体" w:eastAsia="宋体" w:cs="宋体"/>
                <w:color w:val="auto"/>
                <w:highlight w:val="none"/>
              </w:rPr>
            </w:pPr>
          </w:p>
          <w:p w14:paraId="7C6B4277">
            <w:pPr>
              <w:pStyle w:val="35"/>
              <w:spacing w:line="256" w:lineRule="auto"/>
              <w:rPr>
                <w:rFonts w:hint="eastAsia" w:ascii="宋体" w:hAnsi="宋体" w:eastAsia="宋体" w:cs="宋体"/>
                <w:color w:val="auto"/>
                <w:highlight w:val="none"/>
              </w:rPr>
            </w:pPr>
          </w:p>
          <w:p w14:paraId="254B794D">
            <w:pPr>
              <w:spacing w:before="78" w:line="222" w:lineRule="auto"/>
              <w:ind w:lef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序号</w:t>
            </w:r>
          </w:p>
        </w:tc>
        <w:tc>
          <w:tcPr>
            <w:tcW w:w="7623" w:type="dxa"/>
            <w:vMerge w:val="restart"/>
            <w:tcBorders>
              <w:bottom w:val="nil"/>
            </w:tcBorders>
            <w:vAlign w:val="top"/>
          </w:tcPr>
          <w:p w14:paraId="718ED865">
            <w:pPr>
              <w:pStyle w:val="35"/>
              <w:spacing w:line="256" w:lineRule="auto"/>
              <w:rPr>
                <w:rFonts w:hint="eastAsia" w:ascii="宋体" w:hAnsi="宋体" w:eastAsia="宋体" w:cs="宋体"/>
                <w:color w:val="auto"/>
                <w:highlight w:val="none"/>
              </w:rPr>
            </w:pPr>
          </w:p>
          <w:p w14:paraId="7E61D2E1">
            <w:pPr>
              <w:pStyle w:val="35"/>
              <w:spacing w:line="256" w:lineRule="auto"/>
              <w:rPr>
                <w:rFonts w:hint="eastAsia" w:ascii="宋体" w:hAnsi="宋体" w:eastAsia="宋体" w:cs="宋体"/>
                <w:color w:val="auto"/>
                <w:highlight w:val="none"/>
              </w:rPr>
            </w:pPr>
          </w:p>
          <w:p w14:paraId="110A8B9A">
            <w:pPr>
              <w:spacing w:before="78" w:line="222" w:lineRule="auto"/>
              <w:ind w:left="317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评审内容</w:t>
            </w:r>
          </w:p>
        </w:tc>
        <w:tc>
          <w:tcPr>
            <w:tcW w:w="1458" w:type="dxa"/>
            <w:gridSpan w:val="2"/>
            <w:tcBorders>
              <w:right w:val="single" w:color="000000" w:sz="6" w:space="0"/>
            </w:tcBorders>
            <w:vAlign w:val="top"/>
          </w:tcPr>
          <w:p w14:paraId="635B4C93">
            <w:pPr>
              <w:spacing w:before="135" w:line="233" w:lineRule="auto"/>
              <w:ind w:left="520" w:right="412" w:hanging="22"/>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9"/>
                <w:sz w:val="24"/>
                <w:szCs w:val="24"/>
                <w:highlight w:val="none"/>
              </w:rPr>
              <w:t>意见</w:t>
            </w:r>
          </w:p>
        </w:tc>
      </w:tr>
      <w:tr w14:paraId="3B96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778" w:type="dxa"/>
            <w:vMerge w:val="continue"/>
            <w:tcBorders>
              <w:top w:val="nil"/>
              <w:left w:val="single" w:color="000000" w:sz="6" w:space="0"/>
            </w:tcBorders>
            <w:vAlign w:val="top"/>
          </w:tcPr>
          <w:p w14:paraId="59EFD262">
            <w:pPr>
              <w:pStyle w:val="35"/>
              <w:rPr>
                <w:rFonts w:hint="eastAsia" w:ascii="宋体" w:hAnsi="宋体" w:eastAsia="宋体" w:cs="宋体"/>
                <w:color w:val="auto"/>
                <w:highlight w:val="none"/>
              </w:rPr>
            </w:pPr>
          </w:p>
        </w:tc>
        <w:tc>
          <w:tcPr>
            <w:tcW w:w="7623" w:type="dxa"/>
            <w:vMerge w:val="continue"/>
            <w:tcBorders>
              <w:top w:val="nil"/>
            </w:tcBorders>
            <w:vAlign w:val="top"/>
          </w:tcPr>
          <w:p w14:paraId="70AC1E06">
            <w:pPr>
              <w:pStyle w:val="35"/>
              <w:rPr>
                <w:rFonts w:hint="eastAsia" w:ascii="宋体" w:hAnsi="宋体" w:eastAsia="宋体" w:cs="宋体"/>
                <w:color w:val="auto"/>
                <w:highlight w:val="none"/>
              </w:rPr>
            </w:pPr>
          </w:p>
        </w:tc>
        <w:tc>
          <w:tcPr>
            <w:tcW w:w="608" w:type="dxa"/>
            <w:vAlign w:val="top"/>
          </w:tcPr>
          <w:p w14:paraId="180F5AEC">
            <w:pPr>
              <w:spacing w:before="83" w:line="210" w:lineRule="auto"/>
              <w:ind w:left="2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850" w:type="dxa"/>
            <w:tcBorders>
              <w:right w:val="single" w:color="000000" w:sz="6" w:space="0"/>
            </w:tcBorders>
            <w:vAlign w:val="top"/>
          </w:tcPr>
          <w:p w14:paraId="657376DF">
            <w:pPr>
              <w:spacing w:before="83" w:line="210" w:lineRule="auto"/>
              <w:ind w:left="3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0098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78" w:type="dxa"/>
            <w:tcBorders>
              <w:left w:val="single" w:color="000000" w:sz="6" w:space="0"/>
            </w:tcBorders>
            <w:vAlign w:val="top"/>
          </w:tcPr>
          <w:p w14:paraId="37CDB4CE">
            <w:pPr>
              <w:spacing w:before="211" w:line="181"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623" w:type="dxa"/>
            <w:vAlign w:val="top"/>
          </w:tcPr>
          <w:p w14:paraId="0A91F1F7">
            <w:pPr>
              <w:spacing w:before="171" w:line="222" w:lineRule="auto"/>
              <w:rPr>
                <w:rFonts w:hint="eastAsia" w:ascii="宋体" w:hAnsi="宋体" w:eastAsia="宋体" w:cs="宋体"/>
                <w:color w:val="auto"/>
                <w:sz w:val="24"/>
                <w:szCs w:val="24"/>
                <w:highlight w:val="none"/>
                <w:lang w:eastAsia="zh-CN"/>
              </w:rPr>
            </w:pPr>
            <w:bookmarkStart w:id="100" w:name="_Toc16589"/>
            <w:r>
              <w:rPr>
                <w:rFonts w:hint="eastAsia" w:ascii="宋体" w:hAnsi="宋体" w:eastAsia="宋体" w:cs="宋体"/>
                <w:color w:val="auto"/>
                <w:spacing w:val="3"/>
                <w:sz w:val="24"/>
                <w:szCs w:val="24"/>
                <w:highlight w:val="none"/>
                <w:lang w:eastAsia="zh-CN"/>
              </w:rPr>
              <w:t>具备有效的营业执照</w:t>
            </w:r>
            <w:bookmarkEnd w:id="100"/>
            <w:r>
              <w:rPr>
                <w:rFonts w:hint="eastAsia" w:ascii="宋体" w:hAnsi="宋体" w:eastAsia="宋体" w:cs="宋体"/>
                <w:color w:val="auto"/>
                <w:spacing w:val="3"/>
                <w:sz w:val="24"/>
                <w:szCs w:val="24"/>
                <w:highlight w:val="none"/>
                <w:lang w:eastAsia="zh-CN"/>
              </w:rPr>
              <w:t>；</w:t>
            </w:r>
          </w:p>
        </w:tc>
        <w:tc>
          <w:tcPr>
            <w:tcW w:w="608" w:type="dxa"/>
            <w:vAlign w:val="top"/>
          </w:tcPr>
          <w:p w14:paraId="431454C3">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3DE7A197">
            <w:pPr>
              <w:pStyle w:val="35"/>
              <w:rPr>
                <w:rFonts w:hint="eastAsia" w:ascii="宋体" w:hAnsi="宋体" w:eastAsia="宋体" w:cs="宋体"/>
                <w:color w:val="auto"/>
                <w:highlight w:val="none"/>
              </w:rPr>
            </w:pPr>
          </w:p>
        </w:tc>
      </w:tr>
      <w:tr w14:paraId="5ED5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78" w:type="dxa"/>
            <w:tcBorders>
              <w:left w:val="single" w:color="000000" w:sz="6" w:space="0"/>
            </w:tcBorders>
            <w:shd w:val="clear" w:color="auto" w:fill="auto"/>
            <w:vAlign w:val="top"/>
          </w:tcPr>
          <w:p w14:paraId="648350CC">
            <w:pPr>
              <w:spacing w:before="184" w:line="245" w:lineRule="auto"/>
              <w:ind w:right="86"/>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2</w:t>
            </w:r>
          </w:p>
        </w:tc>
        <w:tc>
          <w:tcPr>
            <w:tcW w:w="7623" w:type="dxa"/>
            <w:vAlign w:val="top"/>
          </w:tcPr>
          <w:p w14:paraId="7AA2C247">
            <w:pPr>
              <w:spacing w:before="184" w:line="245" w:lineRule="auto"/>
              <w:ind w:right="8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法人本人投标的需提供法定代表人身份证明书；被授权委托人需提供法人授权委托书；</w:t>
            </w:r>
          </w:p>
        </w:tc>
        <w:tc>
          <w:tcPr>
            <w:tcW w:w="608" w:type="dxa"/>
            <w:vAlign w:val="top"/>
          </w:tcPr>
          <w:p w14:paraId="57AA18C9">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1CE5540C">
            <w:pPr>
              <w:pStyle w:val="35"/>
              <w:rPr>
                <w:rFonts w:hint="eastAsia" w:ascii="宋体" w:hAnsi="宋体" w:eastAsia="宋体" w:cs="宋体"/>
                <w:color w:val="auto"/>
                <w:highlight w:val="none"/>
              </w:rPr>
            </w:pPr>
          </w:p>
        </w:tc>
      </w:tr>
      <w:tr w14:paraId="1C4C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78" w:type="dxa"/>
            <w:tcBorders>
              <w:left w:val="single" w:color="000000" w:sz="6" w:space="0"/>
            </w:tcBorders>
            <w:shd w:val="clear" w:color="auto" w:fill="auto"/>
            <w:vAlign w:val="top"/>
          </w:tcPr>
          <w:p w14:paraId="6DDF39D4">
            <w:pPr>
              <w:spacing w:before="310" w:line="18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623" w:type="dxa"/>
            <w:vAlign w:val="top"/>
          </w:tcPr>
          <w:p w14:paraId="2A52D112">
            <w:pPr>
              <w:spacing w:before="124" w:line="268" w:lineRule="auto"/>
              <w:ind w:left="14" w:hanging="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2024年或2025年度任意一年财务审计报告（新成立未满一年的新公司提供近六个月内任意一个月的银行资信证明）；</w:t>
            </w:r>
          </w:p>
        </w:tc>
        <w:tc>
          <w:tcPr>
            <w:tcW w:w="608" w:type="dxa"/>
            <w:vAlign w:val="top"/>
          </w:tcPr>
          <w:p w14:paraId="31BD4063">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12D9E415">
            <w:pPr>
              <w:pStyle w:val="35"/>
              <w:rPr>
                <w:rFonts w:hint="eastAsia" w:ascii="宋体" w:hAnsi="宋体" w:eastAsia="宋体" w:cs="宋体"/>
                <w:color w:val="auto"/>
                <w:highlight w:val="none"/>
              </w:rPr>
            </w:pPr>
          </w:p>
        </w:tc>
      </w:tr>
      <w:tr w14:paraId="15EF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78" w:type="dxa"/>
            <w:tcBorders>
              <w:left w:val="single" w:color="000000" w:sz="6" w:space="0"/>
            </w:tcBorders>
            <w:shd w:val="clear" w:color="auto" w:fill="auto"/>
            <w:vAlign w:val="top"/>
          </w:tcPr>
          <w:p w14:paraId="0BC5D25D">
            <w:pPr>
              <w:spacing w:before="192" w:line="179"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623" w:type="dxa"/>
            <w:vAlign w:val="top"/>
          </w:tcPr>
          <w:p w14:paraId="07C7501E">
            <w:pPr>
              <w:spacing w:before="142" w:line="222" w:lineRule="auto"/>
              <w:ind w:left="1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提供依法缴纳近</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个月中任意一个月的社会保险社保缴纳凭证；依法缴纳近</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个月中任意一个月的税收良好记录证明</w:t>
            </w:r>
          </w:p>
        </w:tc>
        <w:tc>
          <w:tcPr>
            <w:tcW w:w="608" w:type="dxa"/>
            <w:vAlign w:val="top"/>
          </w:tcPr>
          <w:p w14:paraId="449CFCF1">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262B1032">
            <w:pPr>
              <w:pStyle w:val="35"/>
              <w:rPr>
                <w:rFonts w:hint="eastAsia" w:ascii="宋体" w:hAnsi="宋体" w:eastAsia="宋体" w:cs="宋体"/>
                <w:color w:val="auto"/>
                <w:highlight w:val="none"/>
              </w:rPr>
            </w:pPr>
          </w:p>
        </w:tc>
      </w:tr>
      <w:tr w14:paraId="78D1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78" w:type="dxa"/>
            <w:tcBorders>
              <w:left w:val="single" w:color="000000" w:sz="6" w:space="0"/>
            </w:tcBorders>
            <w:shd w:val="clear" w:color="auto" w:fill="auto"/>
            <w:vAlign w:val="top"/>
          </w:tcPr>
          <w:p w14:paraId="602424BF">
            <w:pPr>
              <w:spacing w:before="189" w:line="18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623" w:type="dxa"/>
            <w:vAlign w:val="top"/>
          </w:tcPr>
          <w:p w14:paraId="1445B1F5">
            <w:pPr>
              <w:spacing w:before="184" w:line="245" w:lineRule="auto"/>
              <w:ind w:right="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以招标代理机构或采购人查询为准）；</w:t>
            </w:r>
          </w:p>
        </w:tc>
        <w:tc>
          <w:tcPr>
            <w:tcW w:w="608" w:type="dxa"/>
            <w:vAlign w:val="top"/>
          </w:tcPr>
          <w:p w14:paraId="18E44BD2">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1D0D7634">
            <w:pPr>
              <w:pStyle w:val="35"/>
              <w:rPr>
                <w:rFonts w:hint="eastAsia" w:ascii="宋体" w:hAnsi="宋体" w:eastAsia="宋体" w:cs="宋体"/>
                <w:color w:val="auto"/>
                <w:highlight w:val="none"/>
              </w:rPr>
            </w:pPr>
          </w:p>
        </w:tc>
      </w:tr>
      <w:tr w14:paraId="0156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78" w:type="dxa"/>
            <w:tcBorders>
              <w:left w:val="single" w:color="000000" w:sz="6" w:space="0"/>
            </w:tcBorders>
            <w:shd w:val="clear" w:color="auto" w:fill="auto"/>
            <w:vAlign w:val="top"/>
          </w:tcPr>
          <w:p w14:paraId="7FF6CF30">
            <w:pPr>
              <w:spacing w:before="275" w:line="179"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623" w:type="dxa"/>
            <w:vAlign w:val="top"/>
          </w:tcPr>
          <w:p w14:paraId="0573CA4F">
            <w:pPr>
              <w:spacing w:before="150" w:line="222" w:lineRule="auto"/>
              <w:ind w:left="127"/>
              <w:rPr>
                <w:rFonts w:hint="eastAsia" w:ascii="宋体" w:hAnsi="宋体" w:eastAsia="宋体" w:cs="宋体"/>
                <w:color w:val="auto"/>
                <w:sz w:val="24"/>
                <w:szCs w:val="24"/>
                <w:highlight w:val="none"/>
              </w:rPr>
            </w:pPr>
            <w:bookmarkStart w:id="101" w:name="_Toc16884"/>
            <w:r>
              <w:rPr>
                <w:rFonts w:hint="eastAsia" w:ascii="宋体" w:hAnsi="宋体" w:eastAsia="宋体" w:cs="宋体"/>
                <w:color w:val="auto"/>
                <w:sz w:val="24"/>
                <w:szCs w:val="24"/>
                <w:highlight w:val="none"/>
              </w:rPr>
              <w:t>提供《反商业贿赂承诺书》</w:t>
            </w:r>
            <w:bookmarkEnd w:id="101"/>
          </w:p>
        </w:tc>
        <w:tc>
          <w:tcPr>
            <w:tcW w:w="608" w:type="dxa"/>
            <w:vAlign w:val="top"/>
          </w:tcPr>
          <w:p w14:paraId="575D7248">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36C2F523">
            <w:pPr>
              <w:pStyle w:val="35"/>
              <w:rPr>
                <w:rFonts w:hint="eastAsia" w:ascii="宋体" w:hAnsi="宋体" w:eastAsia="宋体" w:cs="宋体"/>
                <w:color w:val="auto"/>
                <w:highlight w:val="none"/>
              </w:rPr>
            </w:pPr>
          </w:p>
        </w:tc>
      </w:tr>
      <w:tr w14:paraId="018D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78" w:type="dxa"/>
            <w:tcBorders>
              <w:left w:val="single" w:color="000000" w:sz="6" w:space="0"/>
            </w:tcBorders>
            <w:shd w:val="clear" w:color="auto" w:fill="auto"/>
            <w:vAlign w:val="top"/>
          </w:tcPr>
          <w:p w14:paraId="1720DA66">
            <w:pPr>
              <w:pStyle w:val="35"/>
              <w:spacing w:line="256" w:lineRule="auto"/>
              <w:jc w:val="center"/>
              <w:rPr>
                <w:rFonts w:hint="eastAsia" w:ascii="宋体" w:hAnsi="宋体" w:eastAsia="宋体" w:cs="宋体"/>
                <w:color w:val="auto"/>
                <w:highlight w:val="none"/>
              </w:rPr>
            </w:pPr>
          </w:p>
          <w:p w14:paraId="29938D64">
            <w:pPr>
              <w:spacing w:before="78" w:line="18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623" w:type="dxa"/>
            <w:vAlign w:val="top"/>
          </w:tcPr>
          <w:p w14:paraId="358E4CD0">
            <w:pPr>
              <w:spacing w:before="89" w:line="214" w:lineRule="auto"/>
              <w:ind w:left="144" w:right="307" w:hanging="1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参加政府采购活动前</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rPr>
              <w:t>年内在经营活动中没有重大违法记录的</w:t>
            </w:r>
            <w:r>
              <w:rPr>
                <w:rFonts w:hint="eastAsia" w:ascii="宋体" w:hAnsi="宋体" w:eastAsia="宋体" w:cs="宋体"/>
                <w:color w:val="auto"/>
                <w:spacing w:val="-7"/>
                <w:sz w:val="24"/>
                <w:szCs w:val="24"/>
                <w:highlight w:val="none"/>
              </w:rPr>
              <w:t>书面声明；</w:t>
            </w:r>
          </w:p>
        </w:tc>
        <w:tc>
          <w:tcPr>
            <w:tcW w:w="608" w:type="dxa"/>
            <w:vAlign w:val="top"/>
          </w:tcPr>
          <w:p w14:paraId="2360CD6D">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3F9C9E4F">
            <w:pPr>
              <w:pStyle w:val="35"/>
              <w:rPr>
                <w:rFonts w:hint="eastAsia" w:ascii="宋体" w:hAnsi="宋体" w:eastAsia="宋体" w:cs="宋体"/>
                <w:color w:val="auto"/>
                <w:highlight w:val="none"/>
              </w:rPr>
            </w:pPr>
          </w:p>
        </w:tc>
      </w:tr>
      <w:tr w14:paraId="748C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78" w:type="dxa"/>
            <w:tcBorders>
              <w:left w:val="single" w:color="000000" w:sz="6" w:space="0"/>
            </w:tcBorders>
            <w:shd w:val="clear" w:color="auto" w:fill="auto"/>
            <w:vAlign w:val="top"/>
          </w:tcPr>
          <w:p w14:paraId="0E6AFB7F">
            <w:pPr>
              <w:spacing w:before="78" w:line="1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623" w:type="dxa"/>
            <w:vAlign w:val="top"/>
          </w:tcPr>
          <w:p w14:paraId="085FB1AD">
            <w:pPr>
              <w:spacing w:before="89" w:line="214" w:lineRule="auto"/>
              <w:ind w:left="144" w:right="307" w:hanging="1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供应商应为中小微企业，提供中小企业声明函</w:t>
            </w:r>
          </w:p>
        </w:tc>
        <w:tc>
          <w:tcPr>
            <w:tcW w:w="608" w:type="dxa"/>
            <w:vAlign w:val="top"/>
          </w:tcPr>
          <w:p w14:paraId="712BE324">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378DFD0D">
            <w:pPr>
              <w:pStyle w:val="35"/>
              <w:rPr>
                <w:rFonts w:hint="eastAsia" w:ascii="宋体" w:hAnsi="宋体" w:eastAsia="宋体" w:cs="宋体"/>
                <w:color w:val="auto"/>
                <w:highlight w:val="none"/>
              </w:rPr>
            </w:pPr>
          </w:p>
        </w:tc>
      </w:tr>
      <w:tr w14:paraId="79B2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78" w:type="dxa"/>
            <w:tcBorders>
              <w:left w:val="single" w:color="000000" w:sz="6" w:space="0"/>
            </w:tcBorders>
            <w:shd w:val="clear" w:color="auto" w:fill="auto"/>
            <w:vAlign w:val="top"/>
          </w:tcPr>
          <w:p w14:paraId="5A9499FF">
            <w:pPr>
              <w:spacing w:before="214" w:line="181" w:lineRule="auto"/>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623" w:type="dxa"/>
            <w:vAlign w:val="top"/>
          </w:tcPr>
          <w:p w14:paraId="39D5F2E7">
            <w:pPr>
              <w:spacing w:before="96" w:line="276" w:lineRule="auto"/>
              <w:ind w:left="132" w:right="120" w:hanging="31"/>
              <w:rPr>
                <w:rFonts w:hint="eastAsia" w:ascii="宋体" w:hAnsi="宋体" w:eastAsia="宋体" w:cs="宋体"/>
                <w:color w:val="auto"/>
                <w:sz w:val="24"/>
                <w:szCs w:val="24"/>
                <w:highlight w:val="none"/>
                <w:lang w:eastAsia="zh-CN"/>
              </w:rPr>
            </w:pPr>
            <w:bookmarkStart w:id="102" w:name="_Toc26648"/>
            <w:r>
              <w:rPr>
                <w:rFonts w:hint="eastAsia" w:ascii="宋体" w:hAnsi="宋体" w:eastAsia="宋体" w:cs="宋体"/>
                <w:color w:val="auto"/>
                <w:sz w:val="24"/>
                <w:szCs w:val="24"/>
                <w:highlight w:val="none"/>
                <w:lang w:eastAsia="zh-CN"/>
              </w:rPr>
              <w:t>投标保证金缴纳凭证或投标保函</w:t>
            </w:r>
            <w:bookmarkEnd w:id="102"/>
          </w:p>
        </w:tc>
        <w:tc>
          <w:tcPr>
            <w:tcW w:w="608" w:type="dxa"/>
            <w:vAlign w:val="top"/>
          </w:tcPr>
          <w:p w14:paraId="0B1C65C0">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64BAD28E">
            <w:pPr>
              <w:pStyle w:val="35"/>
              <w:rPr>
                <w:rFonts w:hint="eastAsia" w:ascii="宋体" w:hAnsi="宋体" w:eastAsia="宋体" w:cs="宋体"/>
                <w:color w:val="auto"/>
                <w:highlight w:val="none"/>
              </w:rPr>
            </w:pPr>
          </w:p>
        </w:tc>
      </w:tr>
      <w:tr w14:paraId="62A40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401" w:type="dxa"/>
            <w:gridSpan w:val="2"/>
            <w:tcBorders>
              <w:left w:val="single" w:color="000000" w:sz="6" w:space="0"/>
            </w:tcBorders>
            <w:vAlign w:val="top"/>
          </w:tcPr>
          <w:p w14:paraId="57A147D7">
            <w:pPr>
              <w:spacing w:before="200" w:line="222" w:lineRule="auto"/>
              <w:ind w:left="16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结论：是否通过评审</w:t>
            </w:r>
          </w:p>
        </w:tc>
        <w:tc>
          <w:tcPr>
            <w:tcW w:w="608" w:type="dxa"/>
            <w:vAlign w:val="top"/>
          </w:tcPr>
          <w:p w14:paraId="19E0307E">
            <w:pPr>
              <w:pStyle w:val="35"/>
              <w:rPr>
                <w:rFonts w:hint="eastAsia" w:ascii="宋体" w:hAnsi="宋体" w:eastAsia="宋体" w:cs="宋体"/>
                <w:color w:val="auto"/>
                <w:highlight w:val="none"/>
              </w:rPr>
            </w:pPr>
          </w:p>
        </w:tc>
        <w:tc>
          <w:tcPr>
            <w:tcW w:w="850" w:type="dxa"/>
            <w:tcBorders>
              <w:right w:val="single" w:color="000000" w:sz="6" w:space="0"/>
            </w:tcBorders>
            <w:vAlign w:val="top"/>
          </w:tcPr>
          <w:p w14:paraId="12E3A9AF">
            <w:pPr>
              <w:pStyle w:val="35"/>
              <w:rPr>
                <w:rFonts w:hint="eastAsia" w:ascii="宋体" w:hAnsi="宋体" w:eastAsia="宋体" w:cs="宋体"/>
                <w:color w:val="auto"/>
                <w:highlight w:val="none"/>
              </w:rPr>
            </w:pPr>
          </w:p>
        </w:tc>
      </w:tr>
    </w:tbl>
    <w:p w14:paraId="305FB64B">
      <w:pPr>
        <w:spacing w:before="71" w:line="225" w:lineRule="auto"/>
        <w:ind w:left="31"/>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说明：</w:t>
      </w:r>
    </w:p>
    <w:p w14:paraId="5D327BB1">
      <w:pPr>
        <w:spacing w:before="85" w:line="223" w:lineRule="auto"/>
        <w:ind w:left="33"/>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（1）上述各项中用“ √</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pacing w:val="-4"/>
          <w:sz w:val="22"/>
          <w:szCs w:val="22"/>
          <w:highlight w:val="none"/>
        </w:rPr>
        <w:t>”表示通过，“</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4"/>
          <w:sz w:val="22"/>
          <w:szCs w:val="22"/>
          <w:highlight w:val="none"/>
        </w:rPr>
        <w:t>”表示不通过；</w:t>
      </w:r>
    </w:p>
    <w:p w14:paraId="750BE8A5">
      <w:pPr>
        <w:spacing w:before="94" w:line="228" w:lineRule="auto"/>
        <w:ind w:left="36" w:hanging="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（2）上述各项中如有一项为“</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2"/>
          <w:sz w:val="22"/>
          <w:szCs w:val="22"/>
          <w:highlight w:val="none"/>
        </w:rPr>
        <w:t>”，则结论为“</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pacing w:val="2"/>
          <w:sz w:val="22"/>
          <w:szCs w:val="22"/>
          <w:highlight w:val="none"/>
        </w:rPr>
        <w:t>”，表示该磋商文件中存在重大偏差，不能</w:t>
      </w:r>
      <w:r>
        <w:rPr>
          <w:rFonts w:hint="eastAsia" w:ascii="宋体" w:hAnsi="宋体" w:eastAsia="宋体" w:cs="宋体"/>
          <w:color w:val="auto"/>
          <w:spacing w:val="9"/>
          <w:sz w:val="22"/>
          <w:szCs w:val="22"/>
          <w:highlight w:val="none"/>
        </w:rPr>
        <w:t>通过初步评审；评委对某一分项评审认为不合</w:t>
      </w:r>
      <w:r>
        <w:rPr>
          <w:rFonts w:hint="eastAsia" w:ascii="宋体" w:hAnsi="宋体" w:eastAsia="宋体" w:cs="宋体"/>
          <w:color w:val="auto"/>
          <w:spacing w:val="8"/>
          <w:sz w:val="22"/>
          <w:szCs w:val="22"/>
          <w:highlight w:val="none"/>
        </w:rPr>
        <w:t>格时，必须要写明原因。</w:t>
      </w:r>
    </w:p>
    <w:p w14:paraId="356490A8">
      <w:pPr>
        <w:spacing w:before="90" w:line="223" w:lineRule="auto"/>
        <w:ind w:left="33"/>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（3）磋商文件最终合格与否，</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7"/>
          <w:sz w:val="22"/>
          <w:szCs w:val="22"/>
          <w:highlight w:val="none"/>
        </w:rPr>
        <w:t>以所有评委的评审意见</w:t>
      </w:r>
      <w:r>
        <w:rPr>
          <w:rFonts w:hint="eastAsia" w:ascii="宋体" w:hAnsi="宋体" w:eastAsia="宋体" w:cs="宋体"/>
          <w:color w:val="auto"/>
          <w:spacing w:val="6"/>
          <w:sz w:val="22"/>
          <w:szCs w:val="22"/>
          <w:highlight w:val="none"/>
        </w:rPr>
        <w:t>中少数服从多数为原则定论。</w:t>
      </w:r>
    </w:p>
    <w:p w14:paraId="561409C0">
      <w:pPr>
        <w:spacing w:before="85" w:line="220" w:lineRule="auto"/>
        <w:ind w:left="14"/>
        <w:rPr>
          <w:rFonts w:hint="eastAsia" w:ascii="宋体" w:hAnsi="宋体" w:eastAsia="宋体" w:cs="宋体"/>
          <w:b/>
          <w:bCs/>
          <w:color w:val="auto"/>
          <w:spacing w:val="-7"/>
          <w:sz w:val="24"/>
          <w:szCs w:val="24"/>
          <w:highlight w:val="none"/>
        </w:rPr>
      </w:pPr>
    </w:p>
    <w:p w14:paraId="32B6A964">
      <w:pPr>
        <w:spacing w:before="85" w:line="220" w:lineRule="auto"/>
        <w:ind w:left="14"/>
        <w:rPr>
          <w:rFonts w:hint="eastAsia" w:ascii="宋体" w:hAnsi="宋体" w:eastAsia="宋体" w:cs="宋体"/>
          <w:b/>
          <w:bCs/>
          <w:color w:val="auto"/>
          <w:spacing w:val="-7"/>
          <w:sz w:val="24"/>
          <w:szCs w:val="24"/>
          <w:highlight w:val="none"/>
        </w:rPr>
      </w:pPr>
    </w:p>
    <w:p w14:paraId="770288DD">
      <w:pPr>
        <w:spacing w:before="85" w:line="220" w:lineRule="auto"/>
        <w:ind w:left="14"/>
        <w:rPr>
          <w:rFonts w:hint="eastAsia" w:ascii="宋体" w:hAnsi="宋体" w:eastAsia="宋体" w:cs="宋体"/>
          <w:b/>
          <w:bCs/>
          <w:color w:val="auto"/>
          <w:spacing w:val="-7"/>
          <w:sz w:val="24"/>
          <w:szCs w:val="24"/>
          <w:highlight w:val="none"/>
        </w:rPr>
      </w:pPr>
    </w:p>
    <w:p w14:paraId="14033C25">
      <w:pPr>
        <w:spacing w:before="85" w:line="220" w:lineRule="auto"/>
        <w:ind w:left="14"/>
        <w:rPr>
          <w:rFonts w:hint="eastAsia" w:ascii="宋体" w:hAnsi="宋体" w:eastAsia="宋体" w:cs="宋体"/>
          <w:b/>
          <w:bCs/>
          <w:color w:val="auto"/>
          <w:spacing w:val="-7"/>
          <w:sz w:val="24"/>
          <w:szCs w:val="24"/>
          <w:highlight w:val="none"/>
        </w:rPr>
      </w:pPr>
    </w:p>
    <w:p w14:paraId="60C78756">
      <w:pPr>
        <w:spacing w:before="85" w:line="220" w:lineRule="auto"/>
        <w:ind w:left="14"/>
        <w:rPr>
          <w:rFonts w:hint="eastAsia" w:ascii="宋体" w:hAnsi="宋体" w:eastAsia="宋体" w:cs="宋体"/>
          <w:b/>
          <w:bCs/>
          <w:color w:val="auto"/>
          <w:spacing w:val="-7"/>
          <w:sz w:val="24"/>
          <w:szCs w:val="24"/>
          <w:highlight w:val="none"/>
        </w:rPr>
      </w:pPr>
    </w:p>
    <w:p w14:paraId="6ADA230F">
      <w:pPr>
        <w:spacing w:before="85" w:line="220" w:lineRule="auto"/>
        <w:ind w:left="14"/>
        <w:rPr>
          <w:rFonts w:hint="eastAsia" w:ascii="宋体" w:hAnsi="宋体" w:eastAsia="宋体" w:cs="宋体"/>
          <w:b/>
          <w:bCs/>
          <w:color w:val="auto"/>
          <w:spacing w:val="-7"/>
          <w:sz w:val="24"/>
          <w:szCs w:val="24"/>
          <w:highlight w:val="none"/>
        </w:rPr>
      </w:pPr>
    </w:p>
    <w:p w14:paraId="758FA4DF">
      <w:pPr>
        <w:spacing w:before="85" w:line="220" w:lineRule="auto"/>
        <w:ind w:left="14"/>
        <w:rPr>
          <w:rFonts w:hint="eastAsia" w:ascii="宋体" w:hAnsi="宋体" w:eastAsia="宋体" w:cs="宋体"/>
          <w:b/>
          <w:bCs/>
          <w:color w:val="auto"/>
          <w:spacing w:val="-7"/>
          <w:sz w:val="24"/>
          <w:szCs w:val="24"/>
          <w:highlight w:val="none"/>
        </w:rPr>
      </w:pPr>
    </w:p>
    <w:p w14:paraId="289A58BC">
      <w:pPr>
        <w:spacing w:before="85" w:line="220" w:lineRule="auto"/>
        <w:ind w:left="14"/>
        <w:rPr>
          <w:rFonts w:hint="eastAsia" w:ascii="宋体" w:hAnsi="宋体" w:eastAsia="宋体" w:cs="宋体"/>
          <w:b/>
          <w:bCs/>
          <w:color w:val="auto"/>
          <w:spacing w:val="-7"/>
          <w:sz w:val="24"/>
          <w:szCs w:val="24"/>
          <w:highlight w:val="none"/>
        </w:rPr>
      </w:pPr>
    </w:p>
    <w:p w14:paraId="4A93AA94">
      <w:pPr>
        <w:spacing w:before="85" w:line="220" w:lineRule="auto"/>
        <w:ind w:left="14"/>
        <w:rPr>
          <w:rFonts w:hint="eastAsia" w:ascii="宋体" w:hAnsi="宋体" w:eastAsia="宋体" w:cs="宋体"/>
          <w:b/>
          <w:bCs/>
          <w:color w:val="auto"/>
          <w:spacing w:val="-7"/>
          <w:sz w:val="24"/>
          <w:szCs w:val="24"/>
          <w:highlight w:val="none"/>
        </w:rPr>
      </w:pPr>
    </w:p>
    <w:p w14:paraId="4AC46E33">
      <w:pPr>
        <w:pStyle w:val="9"/>
        <w:spacing w:before="101" w:line="225" w:lineRule="auto"/>
        <w:ind w:left="3725"/>
        <w:outlineLvl w:val="9"/>
        <w:rPr>
          <w:color w:val="auto"/>
          <w:highlight w:val="none"/>
        </w:rPr>
      </w:pPr>
      <w:r>
        <w:rPr>
          <w:b/>
          <w:bCs/>
          <w:color w:val="auto"/>
          <w:spacing w:val="4"/>
          <w:sz w:val="31"/>
          <w:szCs w:val="31"/>
          <w:highlight w:val="none"/>
        </w:rPr>
        <w:t>符合性检查</w:t>
      </w:r>
    </w:p>
    <w:p w14:paraId="4002EFE1">
      <w:pPr>
        <w:spacing w:before="25"/>
        <w:rPr>
          <w:color w:val="auto"/>
          <w:highlight w:val="none"/>
        </w:rPr>
      </w:pPr>
    </w:p>
    <w:tbl>
      <w:tblPr>
        <w:tblStyle w:val="34"/>
        <w:tblW w:w="8780"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598"/>
        <w:gridCol w:w="6086"/>
        <w:gridCol w:w="683"/>
        <w:gridCol w:w="581"/>
      </w:tblGrid>
      <w:tr w14:paraId="6CA6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832" w:type="dxa"/>
            <w:tcBorders>
              <w:top w:val="single" w:color="000000" w:sz="2" w:space="0"/>
              <w:left w:val="single" w:color="000000" w:sz="2" w:space="0"/>
            </w:tcBorders>
            <w:vAlign w:val="top"/>
          </w:tcPr>
          <w:p w14:paraId="0A6DA29B">
            <w:pPr>
              <w:spacing w:before="320" w:line="226" w:lineRule="auto"/>
              <w:ind w:left="124"/>
              <w:outlineLvl w:val="0"/>
              <w:rPr>
                <w:rFonts w:ascii="宋体" w:hAnsi="宋体" w:eastAsia="宋体" w:cs="宋体"/>
                <w:color w:val="auto"/>
                <w:sz w:val="29"/>
                <w:szCs w:val="29"/>
                <w:highlight w:val="none"/>
              </w:rPr>
            </w:pPr>
            <w:bookmarkStart w:id="103" w:name="_Toc17001"/>
            <w:r>
              <w:rPr>
                <w:rFonts w:ascii="宋体" w:hAnsi="宋体" w:eastAsia="宋体" w:cs="宋体"/>
                <w:b/>
                <w:bCs/>
                <w:color w:val="auto"/>
                <w:spacing w:val="-2"/>
                <w:sz w:val="29"/>
                <w:szCs w:val="29"/>
                <w:highlight w:val="none"/>
              </w:rPr>
              <w:t>项目</w:t>
            </w:r>
            <w:bookmarkEnd w:id="103"/>
          </w:p>
        </w:tc>
        <w:tc>
          <w:tcPr>
            <w:tcW w:w="6684" w:type="dxa"/>
            <w:gridSpan w:val="2"/>
            <w:tcBorders>
              <w:top w:val="single" w:color="000000" w:sz="2" w:space="0"/>
            </w:tcBorders>
            <w:vAlign w:val="top"/>
          </w:tcPr>
          <w:p w14:paraId="029559A8">
            <w:pPr>
              <w:spacing w:before="319" w:line="226" w:lineRule="auto"/>
              <w:ind w:left="2746"/>
              <w:outlineLvl w:val="0"/>
              <w:rPr>
                <w:rFonts w:ascii="宋体" w:hAnsi="宋体" w:eastAsia="宋体" w:cs="宋体"/>
                <w:color w:val="auto"/>
                <w:sz w:val="29"/>
                <w:szCs w:val="29"/>
                <w:highlight w:val="none"/>
              </w:rPr>
            </w:pPr>
            <w:bookmarkStart w:id="104" w:name="_Toc6760"/>
            <w:r>
              <w:rPr>
                <w:rFonts w:ascii="宋体" w:hAnsi="宋体" w:eastAsia="宋体" w:cs="宋体"/>
                <w:b/>
                <w:bCs/>
                <w:color w:val="auto"/>
                <w:spacing w:val="4"/>
                <w:sz w:val="29"/>
                <w:szCs w:val="29"/>
                <w:highlight w:val="none"/>
              </w:rPr>
              <w:t>评审内容</w:t>
            </w:r>
            <w:bookmarkEnd w:id="104"/>
          </w:p>
        </w:tc>
        <w:tc>
          <w:tcPr>
            <w:tcW w:w="1264" w:type="dxa"/>
            <w:gridSpan w:val="2"/>
            <w:tcBorders>
              <w:top w:val="single" w:color="000000" w:sz="2" w:space="0"/>
              <w:right w:val="single" w:color="000000" w:sz="2" w:space="0"/>
            </w:tcBorders>
            <w:vAlign w:val="top"/>
          </w:tcPr>
          <w:p w14:paraId="19784860">
            <w:pPr>
              <w:spacing w:before="99" w:line="226" w:lineRule="auto"/>
              <w:ind w:left="337"/>
              <w:outlineLvl w:val="0"/>
              <w:rPr>
                <w:rFonts w:ascii="宋体" w:hAnsi="宋体" w:eastAsia="宋体" w:cs="宋体"/>
                <w:color w:val="auto"/>
                <w:sz w:val="29"/>
                <w:szCs w:val="29"/>
                <w:highlight w:val="none"/>
              </w:rPr>
            </w:pPr>
            <w:bookmarkStart w:id="105" w:name="_Toc25681"/>
            <w:r>
              <w:rPr>
                <w:rFonts w:ascii="宋体" w:hAnsi="宋体" w:eastAsia="宋体" w:cs="宋体"/>
                <w:b/>
                <w:bCs/>
                <w:color w:val="auto"/>
                <w:spacing w:val="1"/>
                <w:sz w:val="29"/>
                <w:szCs w:val="29"/>
                <w:highlight w:val="none"/>
              </w:rPr>
              <w:t>评审</w:t>
            </w:r>
            <w:bookmarkEnd w:id="105"/>
          </w:p>
          <w:p w14:paraId="1B817154">
            <w:pPr>
              <w:spacing w:before="83" w:line="218" w:lineRule="auto"/>
              <w:ind w:left="346"/>
              <w:outlineLvl w:val="0"/>
              <w:rPr>
                <w:rFonts w:ascii="宋体" w:hAnsi="宋体" w:eastAsia="宋体" w:cs="宋体"/>
                <w:color w:val="auto"/>
                <w:sz w:val="29"/>
                <w:szCs w:val="29"/>
                <w:highlight w:val="none"/>
              </w:rPr>
            </w:pPr>
            <w:bookmarkStart w:id="106" w:name="_Toc21844"/>
            <w:r>
              <w:rPr>
                <w:rFonts w:ascii="宋体" w:hAnsi="宋体" w:eastAsia="宋体" w:cs="宋体"/>
                <w:b/>
                <w:bCs/>
                <w:color w:val="auto"/>
                <w:spacing w:val="-3"/>
                <w:sz w:val="29"/>
                <w:szCs w:val="29"/>
                <w:highlight w:val="none"/>
              </w:rPr>
              <w:t>意见</w:t>
            </w:r>
            <w:bookmarkEnd w:id="106"/>
          </w:p>
        </w:tc>
      </w:tr>
      <w:tr w14:paraId="1ABB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tcBorders>
              <w:left w:val="single" w:color="000000" w:sz="2" w:space="0"/>
              <w:bottom w:val="single" w:color="000000" w:sz="2" w:space="0"/>
            </w:tcBorders>
            <w:vAlign w:val="top"/>
          </w:tcPr>
          <w:p w14:paraId="07B36728">
            <w:pPr>
              <w:pStyle w:val="35"/>
              <w:rPr>
                <w:color w:val="auto"/>
                <w:highlight w:val="none"/>
              </w:rPr>
            </w:pPr>
          </w:p>
        </w:tc>
        <w:tc>
          <w:tcPr>
            <w:tcW w:w="6684" w:type="dxa"/>
            <w:gridSpan w:val="2"/>
            <w:tcBorders>
              <w:bottom w:val="single" w:color="000000" w:sz="2" w:space="0"/>
            </w:tcBorders>
            <w:vAlign w:val="top"/>
          </w:tcPr>
          <w:p w14:paraId="5ADB0F18">
            <w:pPr>
              <w:pStyle w:val="35"/>
              <w:rPr>
                <w:color w:val="auto"/>
                <w:highlight w:val="none"/>
              </w:rPr>
            </w:pPr>
          </w:p>
        </w:tc>
        <w:tc>
          <w:tcPr>
            <w:tcW w:w="683" w:type="dxa"/>
            <w:vAlign w:val="top"/>
          </w:tcPr>
          <w:p w14:paraId="1A0BB3D1">
            <w:pPr>
              <w:spacing w:before="171" w:line="231" w:lineRule="auto"/>
              <w:ind w:left="244"/>
              <w:outlineLvl w:val="0"/>
              <w:rPr>
                <w:rFonts w:ascii="宋体" w:hAnsi="宋体" w:eastAsia="宋体" w:cs="宋体"/>
                <w:color w:val="auto"/>
                <w:sz w:val="20"/>
                <w:szCs w:val="20"/>
                <w:highlight w:val="none"/>
              </w:rPr>
            </w:pPr>
            <w:bookmarkStart w:id="107" w:name="_Toc2246"/>
            <w:r>
              <w:rPr>
                <w:rFonts w:ascii="宋体" w:hAnsi="宋体" w:eastAsia="宋体" w:cs="宋体"/>
                <w:b/>
                <w:bCs/>
                <w:color w:val="auto"/>
                <w:spacing w:val="-3"/>
                <w:sz w:val="20"/>
                <w:szCs w:val="20"/>
                <w:highlight w:val="none"/>
              </w:rPr>
              <w:t>是</w:t>
            </w:r>
            <w:bookmarkEnd w:id="107"/>
          </w:p>
        </w:tc>
        <w:tc>
          <w:tcPr>
            <w:tcW w:w="581" w:type="dxa"/>
            <w:tcBorders>
              <w:right w:val="single" w:color="000000" w:sz="2" w:space="0"/>
            </w:tcBorders>
            <w:vAlign w:val="top"/>
          </w:tcPr>
          <w:p w14:paraId="3961CA23">
            <w:pPr>
              <w:spacing w:before="171" w:line="228" w:lineRule="auto"/>
              <w:ind w:left="195"/>
              <w:outlineLvl w:val="0"/>
              <w:rPr>
                <w:rFonts w:ascii="宋体" w:hAnsi="宋体" w:eastAsia="宋体" w:cs="宋体"/>
                <w:color w:val="auto"/>
                <w:sz w:val="20"/>
                <w:szCs w:val="20"/>
                <w:highlight w:val="none"/>
              </w:rPr>
            </w:pPr>
            <w:bookmarkStart w:id="108" w:name="_Toc17140"/>
            <w:r>
              <w:rPr>
                <w:rFonts w:ascii="宋体" w:hAnsi="宋体" w:eastAsia="宋体" w:cs="宋体"/>
                <w:b/>
                <w:bCs/>
                <w:color w:val="auto"/>
                <w:spacing w:val="-3"/>
                <w:sz w:val="20"/>
                <w:szCs w:val="20"/>
                <w:highlight w:val="none"/>
              </w:rPr>
              <w:t>否</w:t>
            </w:r>
            <w:bookmarkEnd w:id="108"/>
          </w:p>
        </w:tc>
      </w:tr>
      <w:tr w14:paraId="2ACA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32" w:type="dxa"/>
            <w:vMerge w:val="restart"/>
            <w:tcBorders>
              <w:top w:val="single" w:color="000000" w:sz="2" w:space="0"/>
              <w:left w:val="single" w:color="000000" w:sz="2" w:space="0"/>
              <w:bottom w:val="nil"/>
              <w:right w:val="single" w:color="000000" w:sz="2" w:space="0"/>
            </w:tcBorders>
            <w:textDirection w:val="tbRlV"/>
            <w:vAlign w:val="top"/>
          </w:tcPr>
          <w:p w14:paraId="3B837254">
            <w:pPr>
              <w:spacing w:before="308" w:line="216" w:lineRule="auto"/>
              <w:ind w:left="200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审</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查</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标</w:t>
            </w:r>
            <w:r>
              <w:rPr>
                <w:rFonts w:ascii="宋体" w:hAnsi="宋体" w:eastAsia="宋体" w:cs="宋体"/>
                <w:color w:val="auto"/>
                <w:spacing w:val="15"/>
                <w:sz w:val="20"/>
                <w:szCs w:val="20"/>
                <w:highlight w:val="none"/>
              </w:rPr>
              <w:t xml:space="preserve">  </w:t>
            </w:r>
            <w:r>
              <w:rPr>
                <w:rFonts w:ascii="宋体" w:hAnsi="宋体" w:eastAsia="宋体" w:cs="宋体"/>
                <w:color w:val="auto"/>
                <w:spacing w:val="8"/>
                <w:sz w:val="20"/>
                <w:szCs w:val="20"/>
                <w:highlight w:val="none"/>
              </w:rPr>
              <w:t>准</w:t>
            </w:r>
          </w:p>
        </w:tc>
        <w:tc>
          <w:tcPr>
            <w:tcW w:w="598" w:type="dxa"/>
            <w:tcBorders>
              <w:top w:val="single" w:color="000000" w:sz="2" w:space="0"/>
              <w:left w:val="single" w:color="000000" w:sz="2" w:space="0"/>
              <w:right w:val="single" w:color="000000" w:sz="2" w:space="0"/>
            </w:tcBorders>
            <w:vAlign w:val="top"/>
          </w:tcPr>
          <w:p w14:paraId="4068325A">
            <w:pPr>
              <w:spacing w:before="204" w:line="189" w:lineRule="auto"/>
              <w:ind w:left="266"/>
              <w:rPr>
                <w:rFonts w:ascii="宋体" w:hAnsi="宋体" w:eastAsia="宋体" w:cs="宋体"/>
                <w:color w:val="auto"/>
                <w:sz w:val="20"/>
                <w:szCs w:val="20"/>
                <w:highlight w:val="none"/>
              </w:rPr>
            </w:pPr>
            <w:r>
              <w:rPr>
                <w:rFonts w:ascii="宋体" w:hAnsi="宋体" w:eastAsia="宋体" w:cs="宋体"/>
                <w:color w:val="auto"/>
                <w:sz w:val="20"/>
                <w:szCs w:val="20"/>
                <w:highlight w:val="none"/>
              </w:rPr>
              <w:t>1</w:t>
            </w:r>
          </w:p>
        </w:tc>
        <w:tc>
          <w:tcPr>
            <w:tcW w:w="6086" w:type="dxa"/>
            <w:tcBorders>
              <w:top w:val="single" w:color="000000" w:sz="2" w:space="0"/>
              <w:left w:val="single" w:color="000000" w:sz="2" w:space="0"/>
              <w:right w:val="single" w:color="000000" w:sz="2" w:space="0"/>
            </w:tcBorders>
            <w:vAlign w:val="top"/>
          </w:tcPr>
          <w:p w14:paraId="1BC57251">
            <w:pPr>
              <w:spacing w:before="172" w:line="226" w:lineRule="auto"/>
              <w:ind w:left="113"/>
              <w:outlineLvl w:val="0"/>
              <w:rPr>
                <w:rFonts w:ascii="宋体" w:hAnsi="宋体" w:eastAsia="宋体" w:cs="宋体"/>
                <w:color w:val="auto"/>
                <w:sz w:val="20"/>
                <w:szCs w:val="20"/>
                <w:highlight w:val="none"/>
              </w:rPr>
            </w:pPr>
            <w:bookmarkStart w:id="109" w:name="_Toc7947"/>
            <w:r>
              <w:rPr>
                <w:rFonts w:ascii="宋体" w:hAnsi="宋体" w:eastAsia="宋体" w:cs="宋体"/>
                <w:color w:val="auto"/>
                <w:spacing w:val="7"/>
                <w:sz w:val="20"/>
                <w:szCs w:val="20"/>
                <w:highlight w:val="none"/>
              </w:rPr>
              <w:t>投标报价高于设定的采购预算价的；</w:t>
            </w:r>
            <w:bookmarkEnd w:id="109"/>
          </w:p>
        </w:tc>
        <w:tc>
          <w:tcPr>
            <w:tcW w:w="683" w:type="dxa"/>
            <w:tcBorders>
              <w:left w:val="single" w:color="000000" w:sz="2" w:space="0"/>
              <w:right w:val="single" w:color="000000" w:sz="2" w:space="0"/>
            </w:tcBorders>
            <w:vAlign w:val="top"/>
          </w:tcPr>
          <w:p w14:paraId="7E1F4CB8">
            <w:pPr>
              <w:pStyle w:val="35"/>
              <w:rPr>
                <w:color w:val="auto"/>
                <w:highlight w:val="none"/>
              </w:rPr>
            </w:pPr>
          </w:p>
        </w:tc>
        <w:tc>
          <w:tcPr>
            <w:tcW w:w="581" w:type="dxa"/>
            <w:tcBorders>
              <w:left w:val="single" w:color="000000" w:sz="2" w:space="0"/>
              <w:right w:val="single" w:color="000000" w:sz="2" w:space="0"/>
            </w:tcBorders>
            <w:vAlign w:val="top"/>
          </w:tcPr>
          <w:p w14:paraId="51A72581">
            <w:pPr>
              <w:pStyle w:val="35"/>
              <w:rPr>
                <w:color w:val="auto"/>
                <w:highlight w:val="none"/>
              </w:rPr>
            </w:pPr>
          </w:p>
        </w:tc>
      </w:tr>
      <w:tr w14:paraId="0C8E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vMerge w:val="continue"/>
            <w:tcBorders>
              <w:top w:val="nil"/>
              <w:left w:val="single" w:color="000000" w:sz="2" w:space="0"/>
              <w:bottom w:val="nil"/>
              <w:right w:val="single" w:color="000000" w:sz="2" w:space="0"/>
            </w:tcBorders>
            <w:textDirection w:val="tbRlV"/>
            <w:vAlign w:val="top"/>
          </w:tcPr>
          <w:p w14:paraId="0A5FF186">
            <w:pPr>
              <w:pStyle w:val="35"/>
              <w:rPr>
                <w:color w:val="auto"/>
                <w:highlight w:val="none"/>
              </w:rPr>
            </w:pPr>
          </w:p>
        </w:tc>
        <w:tc>
          <w:tcPr>
            <w:tcW w:w="598" w:type="dxa"/>
            <w:tcBorders>
              <w:left w:val="single" w:color="000000" w:sz="2" w:space="0"/>
              <w:bottom w:val="single" w:color="000000" w:sz="2" w:space="0"/>
              <w:right w:val="single" w:color="000000" w:sz="2" w:space="0"/>
            </w:tcBorders>
            <w:vAlign w:val="top"/>
          </w:tcPr>
          <w:p w14:paraId="0BBFCC3B">
            <w:pPr>
              <w:spacing w:before="204" w:line="189" w:lineRule="auto"/>
              <w:ind w:left="253"/>
              <w:rPr>
                <w:rFonts w:ascii="宋体" w:hAnsi="宋体" w:eastAsia="宋体" w:cs="宋体"/>
                <w:color w:val="auto"/>
                <w:sz w:val="20"/>
                <w:szCs w:val="20"/>
                <w:highlight w:val="none"/>
              </w:rPr>
            </w:pPr>
            <w:r>
              <w:rPr>
                <w:rFonts w:ascii="宋体" w:hAnsi="宋体" w:eastAsia="宋体" w:cs="宋体"/>
                <w:color w:val="auto"/>
                <w:sz w:val="20"/>
                <w:szCs w:val="20"/>
                <w:highlight w:val="none"/>
              </w:rPr>
              <w:t>2</w:t>
            </w:r>
          </w:p>
        </w:tc>
        <w:tc>
          <w:tcPr>
            <w:tcW w:w="6086" w:type="dxa"/>
            <w:tcBorders>
              <w:left w:val="single" w:color="000000" w:sz="2" w:space="0"/>
              <w:bottom w:val="single" w:color="000000" w:sz="2" w:space="0"/>
              <w:right w:val="single" w:color="000000" w:sz="2" w:space="0"/>
            </w:tcBorders>
            <w:vAlign w:val="top"/>
          </w:tcPr>
          <w:p w14:paraId="1B30AA8F">
            <w:pPr>
              <w:spacing w:before="172" w:line="226" w:lineRule="auto"/>
              <w:ind w:left="113"/>
              <w:outlineLvl w:val="0"/>
              <w:rPr>
                <w:rFonts w:ascii="宋体" w:hAnsi="宋体" w:eastAsia="宋体" w:cs="宋体"/>
                <w:color w:val="auto"/>
                <w:sz w:val="20"/>
                <w:szCs w:val="20"/>
                <w:highlight w:val="none"/>
              </w:rPr>
            </w:pPr>
            <w:bookmarkStart w:id="110" w:name="_Toc4685"/>
            <w:r>
              <w:rPr>
                <w:rFonts w:ascii="宋体" w:hAnsi="宋体" w:eastAsia="宋体" w:cs="宋体"/>
                <w:color w:val="auto"/>
                <w:spacing w:val="9"/>
                <w:sz w:val="20"/>
                <w:szCs w:val="20"/>
                <w:highlight w:val="none"/>
              </w:rPr>
              <w:t>投标人对同一招标项目作出两个以上报价未明确效力的；</w:t>
            </w:r>
            <w:bookmarkEnd w:id="110"/>
          </w:p>
        </w:tc>
        <w:tc>
          <w:tcPr>
            <w:tcW w:w="683" w:type="dxa"/>
            <w:tcBorders>
              <w:left w:val="single" w:color="000000" w:sz="2" w:space="0"/>
              <w:right w:val="single" w:color="000000" w:sz="2" w:space="0"/>
            </w:tcBorders>
            <w:vAlign w:val="top"/>
          </w:tcPr>
          <w:p w14:paraId="7DDC9AB1">
            <w:pPr>
              <w:pStyle w:val="35"/>
              <w:rPr>
                <w:color w:val="auto"/>
                <w:highlight w:val="none"/>
              </w:rPr>
            </w:pPr>
          </w:p>
        </w:tc>
        <w:tc>
          <w:tcPr>
            <w:tcW w:w="581" w:type="dxa"/>
            <w:tcBorders>
              <w:left w:val="single" w:color="000000" w:sz="2" w:space="0"/>
              <w:right w:val="single" w:color="000000" w:sz="2" w:space="0"/>
            </w:tcBorders>
            <w:vAlign w:val="top"/>
          </w:tcPr>
          <w:p w14:paraId="5DF7D17B">
            <w:pPr>
              <w:pStyle w:val="35"/>
              <w:rPr>
                <w:color w:val="auto"/>
                <w:highlight w:val="none"/>
              </w:rPr>
            </w:pPr>
          </w:p>
        </w:tc>
      </w:tr>
      <w:tr w14:paraId="69AEA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32" w:type="dxa"/>
            <w:vMerge w:val="continue"/>
            <w:tcBorders>
              <w:top w:val="nil"/>
              <w:left w:val="single" w:color="000000" w:sz="2" w:space="0"/>
              <w:bottom w:val="nil"/>
              <w:right w:val="single" w:color="000000" w:sz="2" w:space="0"/>
            </w:tcBorders>
            <w:textDirection w:val="tbRlV"/>
            <w:vAlign w:val="top"/>
          </w:tcPr>
          <w:p w14:paraId="5BAF14D9">
            <w:pPr>
              <w:pStyle w:val="35"/>
              <w:rPr>
                <w:color w:val="auto"/>
                <w:highlight w:val="none"/>
              </w:rPr>
            </w:pPr>
          </w:p>
        </w:tc>
        <w:tc>
          <w:tcPr>
            <w:tcW w:w="598" w:type="dxa"/>
            <w:tcBorders>
              <w:top w:val="single" w:color="000000" w:sz="2" w:space="0"/>
              <w:left w:val="single" w:color="000000" w:sz="2" w:space="0"/>
              <w:bottom w:val="single" w:color="000000" w:sz="2" w:space="0"/>
              <w:right w:val="single" w:color="000000" w:sz="2" w:space="0"/>
            </w:tcBorders>
            <w:vAlign w:val="top"/>
          </w:tcPr>
          <w:p w14:paraId="5DC576DD">
            <w:pPr>
              <w:pStyle w:val="35"/>
              <w:spacing w:line="359" w:lineRule="auto"/>
              <w:rPr>
                <w:color w:val="auto"/>
                <w:highlight w:val="none"/>
              </w:rPr>
            </w:pPr>
          </w:p>
          <w:p w14:paraId="54FBEAF5">
            <w:pPr>
              <w:spacing w:before="65" w:line="189" w:lineRule="auto"/>
              <w:ind w:left="255"/>
              <w:rPr>
                <w:rFonts w:ascii="宋体" w:hAnsi="宋体" w:eastAsia="宋体" w:cs="宋体"/>
                <w:color w:val="auto"/>
                <w:sz w:val="20"/>
                <w:szCs w:val="20"/>
                <w:highlight w:val="none"/>
              </w:rPr>
            </w:pPr>
            <w:r>
              <w:rPr>
                <w:rFonts w:ascii="宋体" w:hAnsi="宋体" w:eastAsia="宋体" w:cs="宋体"/>
                <w:color w:val="auto"/>
                <w:sz w:val="20"/>
                <w:szCs w:val="20"/>
                <w:highlight w:val="none"/>
              </w:rPr>
              <w:t>3</w:t>
            </w:r>
          </w:p>
        </w:tc>
        <w:tc>
          <w:tcPr>
            <w:tcW w:w="6086" w:type="dxa"/>
            <w:tcBorders>
              <w:top w:val="single" w:color="000000" w:sz="2" w:space="0"/>
              <w:left w:val="single" w:color="000000" w:sz="2" w:space="0"/>
              <w:bottom w:val="single" w:color="000000" w:sz="2" w:space="0"/>
              <w:right w:val="single" w:color="000000" w:sz="2" w:space="0"/>
            </w:tcBorders>
            <w:vAlign w:val="top"/>
          </w:tcPr>
          <w:p w14:paraId="5C8D674D">
            <w:pPr>
              <w:spacing w:before="172" w:line="228" w:lineRule="auto"/>
              <w:ind w:left="114"/>
              <w:outlineLvl w:val="0"/>
              <w:rPr>
                <w:rFonts w:ascii="宋体" w:hAnsi="宋体" w:eastAsia="宋体" w:cs="宋体"/>
                <w:color w:val="auto"/>
                <w:sz w:val="20"/>
                <w:szCs w:val="20"/>
                <w:highlight w:val="none"/>
              </w:rPr>
            </w:pPr>
            <w:bookmarkStart w:id="111" w:name="_Toc27556"/>
            <w:r>
              <w:rPr>
                <w:rFonts w:ascii="宋体" w:hAnsi="宋体" w:eastAsia="宋体" w:cs="宋体"/>
                <w:color w:val="auto"/>
                <w:spacing w:val="9"/>
                <w:sz w:val="20"/>
                <w:szCs w:val="20"/>
                <w:highlight w:val="none"/>
              </w:rPr>
              <w:t>未按</w:t>
            </w:r>
            <w:r>
              <w:rPr>
                <w:rFonts w:hint="eastAsia" w:ascii="宋体" w:hAnsi="宋体" w:eastAsia="宋体" w:cs="宋体"/>
                <w:color w:val="auto"/>
                <w:spacing w:val="9"/>
                <w:sz w:val="20"/>
                <w:szCs w:val="20"/>
                <w:highlight w:val="none"/>
                <w:lang w:eastAsia="zh-CN"/>
              </w:rPr>
              <w:t>磋商文件</w:t>
            </w:r>
            <w:r>
              <w:rPr>
                <w:rFonts w:ascii="宋体" w:hAnsi="宋体" w:eastAsia="宋体" w:cs="宋体"/>
                <w:color w:val="auto"/>
                <w:spacing w:val="9"/>
                <w:sz w:val="20"/>
                <w:szCs w:val="20"/>
                <w:highlight w:val="none"/>
              </w:rPr>
              <w:t>规定的格式填写，内容不全或关键字迹模糊、无法</w:t>
            </w:r>
            <w:r>
              <w:rPr>
                <w:rFonts w:ascii="宋体" w:hAnsi="宋体" w:eastAsia="宋体" w:cs="宋体"/>
                <w:color w:val="auto"/>
                <w:spacing w:val="-2"/>
                <w:sz w:val="20"/>
                <w:szCs w:val="20"/>
                <w:highlight w:val="none"/>
              </w:rPr>
              <w:t>辨认的；</w:t>
            </w:r>
            <w:bookmarkEnd w:id="111"/>
          </w:p>
        </w:tc>
        <w:tc>
          <w:tcPr>
            <w:tcW w:w="683" w:type="dxa"/>
            <w:tcBorders>
              <w:left w:val="single" w:color="000000" w:sz="2" w:space="0"/>
            </w:tcBorders>
            <w:vAlign w:val="top"/>
          </w:tcPr>
          <w:p w14:paraId="1FE95D9F">
            <w:pPr>
              <w:pStyle w:val="35"/>
              <w:rPr>
                <w:color w:val="auto"/>
                <w:highlight w:val="none"/>
              </w:rPr>
            </w:pPr>
          </w:p>
        </w:tc>
        <w:tc>
          <w:tcPr>
            <w:tcW w:w="581" w:type="dxa"/>
            <w:tcBorders>
              <w:right w:val="single" w:color="000000" w:sz="2" w:space="0"/>
            </w:tcBorders>
            <w:vAlign w:val="top"/>
          </w:tcPr>
          <w:p w14:paraId="29A12BED">
            <w:pPr>
              <w:pStyle w:val="35"/>
              <w:rPr>
                <w:color w:val="auto"/>
                <w:highlight w:val="none"/>
              </w:rPr>
            </w:pPr>
          </w:p>
        </w:tc>
      </w:tr>
      <w:tr w14:paraId="22E2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bottom w:val="nil"/>
              <w:right w:val="single" w:color="000000" w:sz="2" w:space="0"/>
            </w:tcBorders>
            <w:textDirection w:val="tbRlV"/>
            <w:vAlign w:val="top"/>
          </w:tcPr>
          <w:p w14:paraId="11C150B6">
            <w:pPr>
              <w:pStyle w:val="35"/>
              <w:rPr>
                <w:color w:val="auto"/>
                <w:highlight w:val="none"/>
              </w:rPr>
            </w:pPr>
          </w:p>
        </w:tc>
        <w:tc>
          <w:tcPr>
            <w:tcW w:w="598" w:type="dxa"/>
            <w:tcBorders>
              <w:left w:val="single" w:color="000000" w:sz="2" w:space="0"/>
            </w:tcBorders>
            <w:vAlign w:val="top"/>
          </w:tcPr>
          <w:p w14:paraId="7744FC56">
            <w:pPr>
              <w:spacing w:before="207" w:line="187" w:lineRule="auto"/>
              <w:ind w:left="255"/>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4</w:t>
            </w:r>
          </w:p>
        </w:tc>
        <w:tc>
          <w:tcPr>
            <w:tcW w:w="6086" w:type="dxa"/>
            <w:tcBorders>
              <w:right w:val="single" w:color="000000" w:sz="2" w:space="0"/>
            </w:tcBorders>
            <w:vAlign w:val="top"/>
          </w:tcPr>
          <w:p w14:paraId="5F8FD3CA">
            <w:pPr>
              <w:spacing w:before="172" w:line="227" w:lineRule="auto"/>
              <w:ind w:left="107"/>
              <w:outlineLvl w:val="0"/>
              <w:rPr>
                <w:rFonts w:ascii="宋体" w:hAnsi="宋体" w:eastAsia="宋体" w:cs="宋体"/>
                <w:color w:val="auto"/>
                <w:sz w:val="20"/>
                <w:szCs w:val="20"/>
                <w:highlight w:val="none"/>
              </w:rPr>
            </w:pPr>
            <w:bookmarkStart w:id="112" w:name="_Toc10556"/>
            <w:r>
              <w:rPr>
                <w:rFonts w:ascii="宋体" w:hAnsi="宋体" w:eastAsia="宋体" w:cs="宋体"/>
                <w:color w:val="auto"/>
                <w:spacing w:val="8"/>
                <w:sz w:val="20"/>
                <w:szCs w:val="20"/>
                <w:highlight w:val="none"/>
              </w:rPr>
              <w:t>评标委员会共同确定有实质上不响应</w:t>
            </w:r>
            <w:r>
              <w:rPr>
                <w:rFonts w:hint="eastAsia" w:ascii="宋体" w:hAnsi="宋体" w:eastAsia="宋体" w:cs="宋体"/>
                <w:color w:val="auto"/>
                <w:spacing w:val="8"/>
                <w:sz w:val="20"/>
                <w:szCs w:val="20"/>
                <w:highlight w:val="none"/>
                <w:lang w:eastAsia="zh-CN"/>
              </w:rPr>
              <w:t>磋商文件</w:t>
            </w:r>
            <w:r>
              <w:rPr>
                <w:rFonts w:ascii="宋体" w:hAnsi="宋体" w:eastAsia="宋体" w:cs="宋体"/>
                <w:color w:val="auto"/>
                <w:spacing w:val="8"/>
                <w:sz w:val="20"/>
                <w:szCs w:val="20"/>
                <w:highlight w:val="none"/>
              </w:rPr>
              <w:t>要求的；</w:t>
            </w:r>
            <w:bookmarkEnd w:id="112"/>
          </w:p>
        </w:tc>
        <w:tc>
          <w:tcPr>
            <w:tcW w:w="683" w:type="dxa"/>
            <w:tcBorders>
              <w:left w:val="single" w:color="000000" w:sz="2" w:space="0"/>
            </w:tcBorders>
            <w:vAlign w:val="top"/>
          </w:tcPr>
          <w:p w14:paraId="2B5CF706">
            <w:pPr>
              <w:pStyle w:val="35"/>
              <w:rPr>
                <w:color w:val="auto"/>
                <w:highlight w:val="none"/>
              </w:rPr>
            </w:pPr>
          </w:p>
        </w:tc>
        <w:tc>
          <w:tcPr>
            <w:tcW w:w="581" w:type="dxa"/>
            <w:tcBorders>
              <w:right w:val="single" w:color="000000" w:sz="2" w:space="0"/>
            </w:tcBorders>
            <w:vAlign w:val="top"/>
          </w:tcPr>
          <w:p w14:paraId="16EFE6F0">
            <w:pPr>
              <w:pStyle w:val="35"/>
              <w:rPr>
                <w:color w:val="auto"/>
                <w:highlight w:val="none"/>
              </w:rPr>
            </w:pPr>
          </w:p>
        </w:tc>
      </w:tr>
      <w:tr w14:paraId="3DAE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32" w:type="dxa"/>
            <w:vMerge w:val="continue"/>
            <w:tcBorders>
              <w:top w:val="nil"/>
              <w:left w:val="single" w:color="000000" w:sz="2" w:space="0"/>
              <w:bottom w:val="nil"/>
              <w:right w:val="single" w:color="000000" w:sz="2" w:space="0"/>
            </w:tcBorders>
            <w:textDirection w:val="tbRlV"/>
            <w:vAlign w:val="top"/>
          </w:tcPr>
          <w:p w14:paraId="0FF093A5">
            <w:pPr>
              <w:pStyle w:val="35"/>
              <w:rPr>
                <w:color w:val="auto"/>
                <w:highlight w:val="none"/>
              </w:rPr>
            </w:pPr>
          </w:p>
        </w:tc>
        <w:tc>
          <w:tcPr>
            <w:tcW w:w="598" w:type="dxa"/>
            <w:tcBorders>
              <w:left w:val="single" w:color="000000" w:sz="2" w:space="0"/>
              <w:bottom w:val="single" w:color="000000" w:sz="2" w:space="0"/>
            </w:tcBorders>
            <w:vAlign w:val="top"/>
          </w:tcPr>
          <w:p w14:paraId="4E95E4F9">
            <w:pPr>
              <w:pStyle w:val="35"/>
              <w:spacing w:line="357" w:lineRule="auto"/>
              <w:rPr>
                <w:color w:val="auto"/>
                <w:highlight w:val="none"/>
              </w:rPr>
            </w:pPr>
          </w:p>
          <w:p w14:paraId="28A473C8">
            <w:pPr>
              <w:spacing w:before="65" w:line="189" w:lineRule="auto"/>
              <w:ind w:left="252"/>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5</w:t>
            </w:r>
          </w:p>
        </w:tc>
        <w:tc>
          <w:tcPr>
            <w:tcW w:w="6086" w:type="dxa"/>
            <w:tcBorders>
              <w:bottom w:val="single" w:color="000000" w:sz="2" w:space="0"/>
              <w:right w:val="single" w:color="000000" w:sz="2" w:space="0"/>
            </w:tcBorders>
            <w:vAlign w:val="top"/>
          </w:tcPr>
          <w:p w14:paraId="74B5FD26">
            <w:pPr>
              <w:spacing w:before="174" w:line="322" w:lineRule="auto"/>
              <w:ind w:left="109" w:right="104" w:firstLine="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 xml:space="preserve">投标文件没有投标单位法定代表人或其授权代表签字（章）和加 </w:t>
            </w:r>
            <w:r>
              <w:rPr>
                <w:rFonts w:ascii="宋体" w:hAnsi="宋体" w:eastAsia="宋体" w:cs="宋体"/>
                <w:color w:val="auto"/>
                <w:spacing w:val="7"/>
                <w:sz w:val="20"/>
                <w:szCs w:val="20"/>
                <w:highlight w:val="none"/>
              </w:rPr>
              <w:t>盖投标单位公章的；</w:t>
            </w:r>
          </w:p>
        </w:tc>
        <w:tc>
          <w:tcPr>
            <w:tcW w:w="683" w:type="dxa"/>
            <w:tcBorders>
              <w:left w:val="single" w:color="000000" w:sz="2" w:space="0"/>
              <w:bottom w:val="single" w:color="000000" w:sz="2" w:space="0"/>
            </w:tcBorders>
            <w:vAlign w:val="top"/>
          </w:tcPr>
          <w:p w14:paraId="7844EE24">
            <w:pPr>
              <w:pStyle w:val="35"/>
              <w:rPr>
                <w:color w:val="auto"/>
                <w:highlight w:val="none"/>
              </w:rPr>
            </w:pPr>
          </w:p>
        </w:tc>
        <w:tc>
          <w:tcPr>
            <w:tcW w:w="581" w:type="dxa"/>
            <w:tcBorders>
              <w:bottom w:val="single" w:color="000000" w:sz="2" w:space="0"/>
              <w:right w:val="single" w:color="000000" w:sz="2" w:space="0"/>
            </w:tcBorders>
            <w:vAlign w:val="top"/>
          </w:tcPr>
          <w:p w14:paraId="7CB80C72">
            <w:pPr>
              <w:pStyle w:val="35"/>
              <w:rPr>
                <w:color w:val="auto"/>
                <w:highlight w:val="none"/>
              </w:rPr>
            </w:pPr>
          </w:p>
        </w:tc>
      </w:tr>
      <w:tr w14:paraId="4D50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32" w:type="dxa"/>
            <w:vMerge w:val="continue"/>
            <w:tcBorders>
              <w:top w:val="nil"/>
              <w:left w:val="single" w:color="000000" w:sz="2" w:space="0"/>
              <w:bottom w:val="nil"/>
              <w:right w:val="single" w:color="000000" w:sz="2" w:space="0"/>
            </w:tcBorders>
            <w:textDirection w:val="tbRlV"/>
            <w:vAlign w:val="top"/>
          </w:tcPr>
          <w:p w14:paraId="76A023BD">
            <w:pPr>
              <w:pStyle w:val="35"/>
              <w:rPr>
                <w:color w:val="auto"/>
                <w:highlight w:val="none"/>
              </w:rPr>
            </w:pPr>
          </w:p>
        </w:tc>
        <w:tc>
          <w:tcPr>
            <w:tcW w:w="598" w:type="dxa"/>
            <w:tcBorders>
              <w:top w:val="single" w:color="000000" w:sz="2" w:space="0"/>
              <w:left w:val="single" w:color="000000" w:sz="2" w:space="0"/>
              <w:right w:val="single" w:color="000000" w:sz="2" w:space="0"/>
            </w:tcBorders>
            <w:vAlign w:val="top"/>
          </w:tcPr>
          <w:p w14:paraId="0B51C402">
            <w:pPr>
              <w:spacing w:before="226" w:line="187" w:lineRule="auto"/>
              <w:ind w:left="255"/>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6</w:t>
            </w:r>
          </w:p>
        </w:tc>
        <w:tc>
          <w:tcPr>
            <w:tcW w:w="6086" w:type="dxa"/>
            <w:tcBorders>
              <w:top w:val="single" w:color="000000" w:sz="2" w:space="0"/>
              <w:left w:val="single" w:color="000000" w:sz="2" w:space="0"/>
              <w:right w:val="single" w:color="000000" w:sz="2" w:space="0"/>
            </w:tcBorders>
            <w:vAlign w:val="top"/>
          </w:tcPr>
          <w:p w14:paraId="05925A78">
            <w:pPr>
              <w:spacing w:before="182" w:line="227" w:lineRule="auto"/>
              <w:ind w:left="113"/>
              <w:outlineLvl w:val="0"/>
              <w:rPr>
                <w:rFonts w:ascii="宋体" w:hAnsi="宋体" w:eastAsia="宋体" w:cs="宋体"/>
                <w:color w:val="auto"/>
                <w:sz w:val="20"/>
                <w:szCs w:val="20"/>
                <w:highlight w:val="none"/>
              </w:rPr>
            </w:pPr>
            <w:bookmarkStart w:id="113" w:name="_Toc10960"/>
            <w:r>
              <w:rPr>
                <w:rFonts w:ascii="宋体" w:hAnsi="宋体" w:eastAsia="宋体" w:cs="宋体"/>
                <w:color w:val="auto"/>
                <w:spacing w:val="9"/>
                <w:sz w:val="20"/>
                <w:szCs w:val="20"/>
                <w:highlight w:val="none"/>
              </w:rPr>
              <w:t>投标的政府采购项目完成期限超过</w:t>
            </w:r>
            <w:r>
              <w:rPr>
                <w:rFonts w:hint="eastAsia" w:ascii="宋体" w:hAnsi="宋体" w:eastAsia="宋体" w:cs="宋体"/>
                <w:color w:val="auto"/>
                <w:spacing w:val="9"/>
                <w:sz w:val="20"/>
                <w:szCs w:val="20"/>
                <w:highlight w:val="none"/>
                <w:lang w:eastAsia="zh-CN"/>
              </w:rPr>
              <w:t>磋商文件</w:t>
            </w:r>
            <w:r>
              <w:rPr>
                <w:rFonts w:ascii="宋体" w:hAnsi="宋体" w:eastAsia="宋体" w:cs="宋体"/>
                <w:color w:val="auto"/>
                <w:spacing w:val="9"/>
                <w:sz w:val="20"/>
                <w:szCs w:val="20"/>
                <w:highlight w:val="none"/>
              </w:rPr>
              <w:t>规定期限的；</w:t>
            </w:r>
            <w:bookmarkEnd w:id="113"/>
          </w:p>
        </w:tc>
        <w:tc>
          <w:tcPr>
            <w:tcW w:w="683" w:type="dxa"/>
            <w:tcBorders>
              <w:top w:val="single" w:color="000000" w:sz="2" w:space="0"/>
              <w:left w:val="single" w:color="000000" w:sz="2" w:space="0"/>
              <w:right w:val="single" w:color="000000" w:sz="2" w:space="0"/>
            </w:tcBorders>
            <w:vAlign w:val="top"/>
          </w:tcPr>
          <w:p w14:paraId="254217A1">
            <w:pPr>
              <w:pStyle w:val="35"/>
              <w:rPr>
                <w:color w:val="auto"/>
                <w:highlight w:val="none"/>
              </w:rPr>
            </w:pPr>
          </w:p>
        </w:tc>
        <w:tc>
          <w:tcPr>
            <w:tcW w:w="581" w:type="dxa"/>
            <w:tcBorders>
              <w:top w:val="single" w:color="000000" w:sz="2" w:space="0"/>
              <w:left w:val="single" w:color="000000" w:sz="2" w:space="0"/>
              <w:right w:val="single" w:color="000000" w:sz="2" w:space="0"/>
            </w:tcBorders>
            <w:vAlign w:val="top"/>
          </w:tcPr>
          <w:p w14:paraId="5891E352">
            <w:pPr>
              <w:pStyle w:val="35"/>
              <w:rPr>
                <w:color w:val="auto"/>
                <w:highlight w:val="none"/>
              </w:rPr>
            </w:pPr>
          </w:p>
        </w:tc>
      </w:tr>
      <w:tr w14:paraId="23C68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bottom w:val="nil"/>
              <w:right w:val="single" w:color="000000" w:sz="2" w:space="0"/>
            </w:tcBorders>
            <w:textDirection w:val="tbRlV"/>
            <w:vAlign w:val="top"/>
          </w:tcPr>
          <w:p w14:paraId="596B89F7">
            <w:pPr>
              <w:pStyle w:val="35"/>
              <w:rPr>
                <w:color w:val="auto"/>
                <w:highlight w:val="none"/>
              </w:rPr>
            </w:pPr>
          </w:p>
        </w:tc>
        <w:tc>
          <w:tcPr>
            <w:tcW w:w="598" w:type="dxa"/>
            <w:tcBorders>
              <w:left w:val="single" w:color="000000" w:sz="2" w:space="0"/>
            </w:tcBorders>
            <w:vAlign w:val="top"/>
          </w:tcPr>
          <w:p w14:paraId="25CACE68">
            <w:pPr>
              <w:spacing w:before="207" w:line="189" w:lineRule="auto"/>
              <w:ind w:left="251"/>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7</w:t>
            </w:r>
          </w:p>
        </w:tc>
        <w:tc>
          <w:tcPr>
            <w:tcW w:w="6086" w:type="dxa"/>
            <w:tcBorders>
              <w:right w:val="single" w:color="000000" w:sz="2" w:space="0"/>
            </w:tcBorders>
            <w:vAlign w:val="top"/>
          </w:tcPr>
          <w:p w14:paraId="3C422169">
            <w:pPr>
              <w:spacing w:before="174" w:line="227" w:lineRule="auto"/>
              <w:ind w:left="111"/>
              <w:outlineLvl w:val="0"/>
              <w:rPr>
                <w:rFonts w:ascii="宋体" w:hAnsi="宋体" w:eastAsia="宋体" w:cs="宋体"/>
                <w:color w:val="auto"/>
                <w:sz w:val="20"/>
                <w:szCs w:val="20"/>
                <w:highlight w:val="none"/>
              </w:rPr>
            </w:pPr>
            <w:bookmarkStart w:id="114" w:name="_Toc29039"/>
            <w:r>
              <w:rPr>
                <w:rFonts w:ascii="宋体" w:hAnsi="宋体" w:eastAsia="宋体" w:cs="宋体"/>
                <w:color w:val="auto"/>
                <w:spacing w:val="8"/>
                <w:sz w:val="20"/>
                <w:szCs w:val="20"/>
                <w:highlight w:val="none"/>
              </w:rPr>
              <w:t>投标文件附有采购人不能接受条件的；</w:t>
            </w:r>
            <w:bookmarkEnd w:id="114"/>
          </w:p>
        </w:tc>
        <w:tc>
          <w:tcPr>
            <w:tcW w:w="683" w:type="dxa"/>
            <w:tcBorders>
              <w:left w:val="single" w:color="000000" w:sz="2" w:space="0"/>
            </w:tcBorders>
            <w:vAlign w:val="top"/>
          </w:tcPr>
          <w:p w14:paraId="67802716">
            <w:pPr>
              <w:pStyle w:val="35"/>
              <w:rPr>
                <w:color w:val="auto"/>
                <w:highlight w:val="none"/>
              </w:rPr>
            </w:pPr>
          </w:p>
        </w:tc>
        <w:tc>
          <w:tcPr>
            <w:tcW w:w="581" w:type="dxa"/>
            <w:tcBorders>
              <w:right w:val="single" w:color="000000" w:sz="2" w:space="0"/>
            </w:tcBorders>
            <w:vAlign w:val="top"/>
          </w:tcPr>
          <w:p w14:paraId="4065DD96">
            <w:pPr>
              <w:pStyle w:val="35"/>
              <w:rPr>
                <w:color w:val="auto"/>
                <w:highlight w:val="none"/>
              </w:rPr>
            </w:pPr>
          </w:p>
        </w:tc>
      </w:tr>
      <w:tr w14:paraId="542B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right w:val="single" w:color="000000" w:sz="2" w:space="0"/>
            </w:tcBorders>
            <w:textDirection w:val="tbRlV"/>
            <w:vAlign w:val="top"/>
          </w:tcPr>
          <w:p w14:paraId="716340FC">
            <w:pPr>
              <w:pStyle w:val="35"/>
              <w:rPr>
                <w:color w:val="auto"/>
                <w:highlight w:val="none"/>
              </w:rPr>
            </w:pPr>
          </w:p>
        </w:tc>
        <w:tc>
          <w:tcPr>
            <w:tcW w:w="598" w:type="dxa"/>
            <w:tcBorders>
              <w:left w:val="single" w:color="000000" w:sz="2" w:space="0"/>
            </w:tcBorders>
            <w:vAlign w:val="top"/>
          </w:tcPr>
          <w:p w14:paraId="4A9E694E">
            <w:pPr>
              <w:spacing w:before="206" w:line="189" w:lineRule="auto"/>
              <w:ind w:left="251"/>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8</w:t>
            </w:r>
          </w:p>
        </w:tc>
        <w:tc>
          <w:tcPr>
            <w:tcW w:w="6086" w:type="dxa"/>
            <w:tcBorders>
              <w:right w:val="single" w:color="000000" w:sz="2" w:space="0"/>
            </w:tcBorders>
            <w:vAlign w:val="top"/>
          </w:tcPr>
          <w:p w14:paraId="6C31FFAF">
            <w:pPr>
              <w:spacing w:before="172" w:line="228" w:lineRule="auto"/>
              <w:ind w:left="112"/>
              <w:outlineLvl w:val="0"/>
              <w:rPr>
                <w:rFonts w:ascii="宋体" w:hAnsi="宋体" w:eastAsia="宋体" w:cs="宋体"/>
                <w:color w:val="auto"/>
                <w:sz w:val="20"/>
                <w:szCs w:val="20"/>
                <w:highlight w:val="none"/>
              </w:rPr>
            </w:pPr>
            <w:bookmarkStart w:id="115" w:name="_Toc3117"/>
            <w:r>
              <w:rPr>
                <w:rFonts w:ascii="宋体" w:hAnsi="宋体" w:eastAsia="宋体" w:cs="宋体"/>
                <w:color w:val="auto"/>
                <w:spacing w:val="8"/>
                <w:sz w:val="20"/>
                <w:szCs w:val="20"/>
                <w:highlight w:val="none"/>
              </w:rPr>
              <w:t>不满足</w:t>
            </w:r>
            <w:r>
              <w:rPr>
                <w:rFonts w:hint="eastAsia" w:ascii="宋体" w:hAnsi="宋体" w:eastAsia="宋体" w:cs="宋体"/>
                <w:color w:val="auto"/>
                <w:spacing w:val="8"/>
                <w:sz w:val="20"/>
                <w:szCs w:val="20"/>
                <w:highlight w:val="none"/>
                <w:lang w:eastAsia="zh-CN"/>
              </w:rPr>
              <w:t>磋商文件</w:t>
            </w:r>
            <w:r>
              <w:rPr>
                <w:rFonts w:ascii="宋体" w:hAnsi="宋体" w:eastAsia="宋体" w:cs="宋体"/>
                <w:color w:val="auto"/>
                <w:spacing w:val="8"/>
                <w:sz w:val="20"/>
                <w:szCs w:val="20"/>
                <w:highlight w:val="none"/>
              </w:rPr>
              <w:t>实质性要求的其他情形.....</w:t>
            </w:r>
            <w:bookmarkEnd w:id="115"/>
          </w:p>
        </w:tc>
        <w:tc>
          <w:tcPr>
            <w:tcW w:w="683" w:type="dxa"/>
            <w:tcBorders>
              <w:left w:val="single" w:color="000000" w:sz="2" w:space="0"/>
            </w:tcBorders>
            <w:vAlign w:val="top"/>
          </w:tcPr>
          <w:p w14:paraId="3E3DF6AB">
            <w:pPr>
              <w:pStyle w:val="35"/>
              <w:rPr>
                <w:color w:val="auto"/>
                <w:highlight w:val="none"/>
              </w:rPr>
            </w:pPr>
          </w:p>
        </w:tc>
        <w:tc>
          <w:tcPr>
            <w:tcW w:w="581" w:type="dxa"/>
            <w:tcBorders>
              <w:right w:val="single" w:color="000000" w:sz="2" w:space="0"/>
            </w:tcBorders>
            <w:vAlign w:val="top"/>
          </w:tcPr>
          <w:p w14:paraId="3D99FAFF">
            <w:pPr>
              <w:pStyle w:val="35"/>
              <w:rPr>
                <w:color w:val="auto"/>
                <w:highlight w:val="none"/>
              </w:rPr>
            </w:pPr>
          </w:p>
        </w:tc>
      </w:tr>
      <w:tr w14:paraId="33890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32" w:type="dxa"/>
            <w:tcBorders>
              <w:left w:val="single" w:color="000000" w:sz="2" w:space="0"/>
              <w:bottom w:val="single" w:color="000000" w:sz="2" w:space="0"/>
              <w:right w:val="single" w:color="000000" w:sz="2" w:space="0"/>
            </w:tcBorders>
            <w:vAlign w:val="top"/>
          </w:tcPr>
          <w:p w14:paraId="2B8C9E8C">
            <w:pPr>
              <w:pStyle w:val="35"/>
              <w:rPr>
                <w:color w:val="auto"/>
                <w:highlight w:val="none"/>
              </w:rPr>
            </w:pPr>
          </w:p>
        </w:tc>
        <w:tc>
          <w:tcPr>
            <w:tcW w:w="6684" w:type="dxa"/>
            <w:gridSpan w:val="2"/>
            <w:tcBorders>
              <w:left w:val="single" w:color="000000" w:sz="2" w:space="0"/>
              <w:bottom w:val="single" w:color="000000" w:sz="2" w:space="0"/>
              <w:right w:val="single" w:color="000000" w:sz="2" w:space="0"/>
            </w:tcBorders>
            <w:vAlign w:val="top"/>
          </w:tcPr>
          <w:p w14:paraId="58D80094">
            <w:pPr>
              <w:spacing w:before="174" w:line="228" w:lineRule="auto"/>
              <w:ind w:left="116"/>
              <w:outlineLvl w:val="0"/>
              <w:rPr>
                <w:rFonts w:ascii="宋体" w:hAnsi="宋体" w:eastAsia="宋体" w:cs="宋体"/>
                <w:color w:val="auto"/>
                <w:sz w:val="20"/>
                <w:szCs w:val="20"/>
                <w:highlight w:val="none"/>
              </w:rPr>
            </w:pPr>
            <w:bookmarkStart w:id="116" w:name="_Toc15892"/>
            <w:r>
              <w:rPr>
                <w:rFonts w:ascii="宋体" w:hAnsi="宋体" w:eastAsia="宋体" w:cs="宋体"/>
                <w:color w:val="auto"/>
                <w:spacing w:val="8"/>
                <w:sz w:val="20"/>
                <w:szCs w:val="20"/>
                <w:highlight w:val="none"/>
              </w:rPr>
              <w:t>结论：是否通过评审（须填写通过或不通过）</w:t>
            </w:r>
            <w:bookmarkEnd w:id="116"/>
          </w:p>
          <w:p w14:paraId="0A4DC29A">
            <w:pPr>
              <w:spacing w:before="191" w:line="228" w:lineRule="auto"/>
              <w:ind w:left="111"/>
              <w:outlineLvl w:val="0"/>
              <w:rPr>
                <w:rFonts w:ascii="宋体" w:hAnsi="宋体" w:eastAsia="宋体" w:cs="宋体"/>
                <w:color w:val="auto"/>
                <w:sz w:val="20"/>
                <w:szCs w:val="20"/>
                <w:highlight w:val="none"/>
              </w:rPr>
            </w:pPr>
            <w:bookmarkStart w:id="117" w:name="_Toc30767"/>
            <w:r>
              <w:rPr>
                <w:rFonts w:ascii="宋体" w:hAnsi="宋体" w:eastAsia="宋体" w:cs="宋体"/>
                <w:color w:val="auto"/>
                <w:spacing w:val="7"/>
                <w:sz w:val="20"/>
                <w:szCs w:val="20"/>
                <w:highlight w:val="none"/>
              </w:rPr>
              <w:t>注：如有一项不合格，作废标处理。</w:t>
            </w:r>
            <w:bookmarkEnd w:id="117"/>
          </w:p>
        </w:tc>
        <w:tc>
          <w:tcPr>
            <w:tcW w:w="1264" w:type="dxa"/>
            <w:gridSpan w:val="2"/>
            <w:tcBorders>
              <w:left w:val="single" w:color="000000" w:sz="2" w:space="0"/>
              <w:bottom w:val="single" w:color="000000" w:sz="2" w:space="0"/>
              <w:right w:val="single" w:color="000000" w:sz="2" w:space="0"/>
            </w:tcBorders>
            <w:vAlign w:val="top"/>
          </w:tcPr>
          <w:p w14:paraId="539AF0F6">
            <w:pPr>
              <w:pStyle w:val="35"/>
              <w:rPr>
                <w:color w:val="auto"/>
                <w:highlight w:val="none"/>
              </w:rPr>
            </w:pPr>
          </w:p>
        </w:tc>
      </w:tr>
    </w:tbl>
    <w:p w14:paraId="21265444">
      <w:pPr>
        <w:spacing w:before="49" w:line="220" w:lineRule="auto"/>
        <w:ind w:left="66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4.2 有下列情形之一时,评标委员会应予废标,并将理由通知所有供应商：</w:t>
      </w:r>
    </w:p>
    <w:p w14:paraId="1AA2CD3E">
      <w:pPr>
        <w:spacing w:before="47"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(1)符合专业条件的供应商或者对磋商文件作实质性响应的供应商不足三家</w:t>
      </w:r>
      <w:r>
        <w:rPr>
          <w:rFonts w:hint="eastAsia" w:ascii="宋体" w:hAnsi="宋体" w:eastAsia="宋体" w:cs="宋体"/>
          <w:color w:val="auto"/>
          <w:spacing w:val="4"/>
          <w:sz w:val="24"/>
          <w:szCs w:val="24"/>
          <w:highlight w:val="none"/>
        </w:rPr>
        <w:t>的；</w:t>
      </w:r>
    </w:p>
    <w:p w14:paraId="07D846E4">
      <w:pPr>
        <w:spacing w:before="28" w:line="221" w:lineRule="auto"/>
        <w:ind w:left="66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(2)出现影响磋商公正的违法、违规行为的；</w:t>
      </w:r>
    </w:p>
    <w:p w14:paraId="59B01B60">
      <w:pPr>
        <w:spacing w:before="60" w:line="222" w:lineRule="auto"/>
        <w:ind w:left="66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(3)供应商的报价均超过了采购预算,采购人不能支付的；</w:t>
      </w:r>
    </w:p>
    <w:p w14:paraId="03262DC3">
      <w:pPr>
        <w:spacing w:before="59" w:line="222" w:lineRule="auto"/>
        <w:ind w:left="66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(4)因重大变故，采购任务取消的。</w:t>
      </w:r>
    </w:p>
    <w:p w14:paraId="15315252">
      <w:pPr>
        <w:spacing w:before="73" w:line="228" w:lineRule="auto"/>
        <w:ind w:left="566" w:firstLine="4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 如发现有二份及以上响应文件的相互之间有相同或高度相似之处，且无合理解释的</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8"/>
          <w:sz w:val="24"/>
          <w:szCs w:val="24"/>
          <w:highlight w:val="none"/>
        </w:rPr>
        <w:t>经评标委员会半数以上成员认定有串通投标嫌疑的，其响应文件按无效标处理，予以废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除，不再对其进行评审，也不影响磋商工作继续评标。</w:t>
      </w:r>
    </w:p>
    <w:p w14:paraId="69BC7164">
      <w:pPr>
        <w:spacing w:before="96" w:line="224" w:lineRule="auto"/>
        <w:ind w:left="246" w:leftChars="117" w:right="184" w:firstLine="205" w:firstLineChars="8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4.3 废标后，除采购任务取消情形外，招标采购单位应当重新组织招标</w:t>
      </w:r>
      <w:r>
        <w:rPr>
          <w:rFonts w:hint="eastAsia" w:ascii="宋体" w:hAnsi="宋体" w:eastAsia="宋体" w:cs="宋体"/>
          <w:color w:val="auto"/>
          <w:spacing w:val="-3"/>
          <w:sz w:val="24"/>
          <w:szCs w:val="24"/>
          <w:highlight w:val="none"/>
        </w:rPr>
        <w:t>。需要采取其他采购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方式的，应当在采购活动开始前获得设区的市、 自治州以上人民政府财政部门的批准。</w:t>
      </w:r>
    </w:p>
    <w:p w14:paraId="6318424D">
      <w:pPr>
        <w:spacing w:before="68" w:line="222"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5．澄清有关问题</w:t>
      </w:r>
    </w:p>
    <w:p w14:paraId="6008953C">
      <w:pPr>
        <w:spacing w:before="47" w:line="228" w:lineRule="auto"/>
        <w:ind w:left="34" w:right="232" w:firstLine="4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5.1 对于响应文件中含义不明确、同类问题表述不</w:t>
      </w:r>
      <w:r>
        <w:rPr>
          <w:rFonts w:hint="eastAsia" w:ascii="宋体" w:hAnsi="宋体" w:eastAsia="宋体" w:cs="宋体"/>
          <w:color w:val="auto"/>
          <w:spacing w:val="-3"/>
          <w:sz w:val="24"/>
          <w:szCs w:val="24"/>
          <w:highlight w:val="none"/>
        </w:rPr>
        <w:t>一致或者有明显文字和计算错误的内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容，评标委员会应当以书面形式要求供应商作出必要的澄清、说明或者补正。</w:t>
      </w:r>
    </w:p>
    <w:p w14:paraId="15751FCC">
      <w:pPr>
        <w:spacing w:before="66" w:line="233" w:lineRule="auto"/>
        <w:ind w:left="10" w:right="64" w:firstLine="44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供应商的澄清、说明或者补正应当采用书面形式，并加</w:t>
      </w:r>
      <w:r>
        <w:rPr>
          <w:rFonts w:hint="eastAsia" w:ascii="宋体" w:hAnsi="宋体" w:eastAsia="宋体" w:cs="宋体"/>
          <w:color w:val="auto"/>
          <w:spacing w:val="-2"/>
          <w:sz w:val="24"/>
          <w:szCs w:val="24"/>
          <w:highlight w:val="none"/>
        </w:rPr>
        <w:t>盖公章，或者由法定代表人 或其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授权的代表签字。供应商的澄清、说明或者补正不得超出响应文件的范</w:t>
      </w:r>
      <w:r>
        <w:rPr>
          <w:rFonts w:hint="eastAsia" w:ascii="宋体" w:hAnsi="宋体" w:eastAsia="宋体" w:cs="宋体"/>
          <w:color w:val="auto"/>
          <w:spacing w:val="-3"/>
          <w:sz w:val="24"/>
          <w:szCs w:val="24"/>
          <w:highlight w:val="none"/>
        </w:rPr>
        <w:t>围或者改变 响应文件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的实质性内容。</w:t>
      </w:r>
    </w:p>
    <w:p w14:paraId="531D9D28">
      <w:pPr>
        <w:spacing w:before="26" w:line="221" w:lineRule="auto"/>
        <w:ind w:left="44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5.2 供应商不得对下列内容进行澄清或补充：</w:t>
      </w:r>
    </w:p>
    <w:p w14:paraId="4E687FD5">
      <w:pPr>
        <w:spacing w:before="32" w:line="220" w:lineRule="auto"/>
        <w:ind w:left="55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(1)投标报价、质量标准、合同履行期限等实质性内容。</w:t>
      </w:r>
    </w:p>
    <w:p w14:paraId="0A5A21EE">
      <w:pPr>
        <w:spacing w:before="40" w:line="220" w:lineRule="auto"/>
        <w:ind w:left="55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(2)不满足供应商须知规定的实质性要求的响应文件内容。</w:t>
      </w:r>
    </w:p>
    <w:p w14:paraId="22445EA5">
      <w:pPr>
        <w:spacing w:before="33" w:line="222" w:lineRule="auto"/>
        <w:ind w:left="44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5.3 响应文件报价出现前后不一致的，除磋商文件另有规定外，按照下列规</w:t>
      </w:r>
      <w:r>
        <w:rPr>
          <w:rFonts w:hint="eastAsia" w:ascii="宋体" w:hAnsi="宋体" w:eastAsia="宋体" w:cs="宋体"/>
          <w:color w:val="auto"/>
          <w:spacing w:val="-7"/>
          <w:sz w:val="24"/>
          <w:szCs w:val="24"/>
          <w:highlight w:val="none"/>
        </w:rPr>
        <w:t>定修正：</w:t>
      </w:r>
    </w:p>
    <w:p w14:paraId="6CF84E09">
      <w:pPr>
        <w:spacing w:before="73" w:line="229" w:lineRule="auto"/>
        <w:ind w:left="18" w:right="132" w:firstLine="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响应文件中开标一览表(报价表)内容与响应文件中相应内容不一致的，以开标</w:t>
      </w:r>
      <w:r>
        <w:rPr>
          <w:rFonts w:hint="eastAsia" w:ascii="宋体" w:hAnsi="宋体" w:eastAsia="宋体" w:cs="宋体"/>
          <w:color w:val="auto"/>
          <w:spacing w:val="-15"/>
          <w:sz w:val="24"/>
          <w:szCs w:val="24"/>
          <w:highlight w:val="none"/>
        </w:rPr>
        <w:t>一览表(报价表)为准；</w:t>
      </w:r>
    </w:p>
    <w:p w14:paraId="42E89F38">
      <w:pPr>
        <w:spacing w:before="21" w:line="222" w:lineRule="auto"/>
        <w:ind w:left="52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3"/>
          <w:sz w:val="24"/>
          <w:szCs w:val="24"/>
          <w:highlight w:val="none"/>
        </w:rPr>
        <w:t>大写金额和小写金额不一致的，以大写金额为准；</w:t>
      </w:r>
    </w:p>
    <w:p w14:paraId="5E4DFD67">
      <w:pPr>
        <w:spacing w:before="69" w:line="229" w:lineRule="auto"/>
        <w:ind w:left="18" w:right="276" w:firstLine="50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单价金额小数点或者百分比有明显错位的</w:t>
      </w:r>
      <w:r>
        <w:rPr>
          <w:rFonts w:hint="eastAsia" w:ascii="宋体" w:hAnsi="宋体" w:eastAsia="宋体" w:cs="宋体"/>
          <w:color w:val="auto"/>
          <w:sz w:val="24"/>
          <w:szCs w:val="24"/>
          <w:highlight w:val="none"/>
        </w:rPr>
        <w:t xml:space="preserve">，以开标一览表的总价为准，并修改单 </w:t>
      </w:r>
      <w:r>
        <w:rPr>
          <w:rFonts w:hint="eastAsia" w:ascii="宋体" w:hAnsi="宋体" w:eastAsia="宋体" w:cs="宋体"/>
          <w:color w:val="auto"/>
          <w:spacing w:val="-9"/>
          <w:sz w:val="24"/>
          <w:szCs w:val="24"/>
          <w:highlight w:val="none"/>
        </w:rPr>
        <w:t>价；</w:t>
      </w:r>
    </w:p>
    <w:p w14:paraId="33728595">
      <w:pPr>
        <w:spacing w:before="18" w:line="221" w:lineRule="auto"/>
        <w:ind w:left="52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3"/>
          <w:sz w:val="24"/>
          <w:szCs w:val="24"/>
          <w:highlight w:val="none"/>
        </w:rPr>
        <w:t>总价金额与按单价汇总金额不一致的，以单价金额计算结果为准。</w:t>
      </w:r>
    </w:p>
    <w:p w14:paraId="674D9495">
      <w:pPr>
        <w:spacing w:before="71" w:line="227" w:lineRule="auto"/>
        <w:ind w:left="9" w:right="84" w:firstLine="51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同时出现两种以上不一致的，按照前款规定的顺序修正。修正后的报价按照本</w:t>
      </w:r>
      <w:r>
        <w:rPr>
          <w:rFonts w:hint="eastAsia" w:ascii="宋体" w:hAnsi="宋体" w:eastAsia="宋体" w:cs="宋体"/>
          <w:color w:val="auto"/>
          <w:spacing w:val="-10"/>
          <w:sz w:val="24"/>
          <w:szCs w:val="24"/>
          <w:highlight w:val="none"/>
        </w:rPr>
        <w:t>章 5.1 款的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规定经供应商确认后产生约束力，供应商不确认或拒绝修正的，其磋商无效。</w:t>
      </w:r>
    </w:p>
    <w:p w14:paraId="750B8D20">
      <w:pPr>
        <w:spacing w:before="63" w:line="229" w:lineRule="auto"/>
        <w:ind w:left="14" w:right="38" w:firstLine="4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5.4 供应商按照评标委员会要求提供的有效书面澄清材料，是响应文</w:t>
      </w:r>
      <w:r>
        <w:rPr>
          <w:rFonts w:hint="eastAsia" w:ascii="宋体" w:hAnsi="宋体" w:eastAsia="宋体" w:cs="宋体"/>
          <w:color w:val="auto"/>
          <w:spacing w:val="-7"/>
          <w:sz w:val="24"/>
          <w:szCs w:val="24"/>
          <w:highlight w:val="none"/>
        </w:rPr>
        <w:t>件的补充材料， 成为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其响应文件的组成部分。</w:t>
      </w:r>
    </w:p>
    <w:p w14:paraId="0BA19126">
      <w:pPr>
        <w:spacing w:before="66" w:line="236" w:lineRule="auto"/>
        <w:ind w:left="13" w:right="204" w:firstLine="433"/>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5"/>
          <w:sz w:val="24"/>
          <w:szCs w:val="24"/>
          <w:highlight w:val="none"/>
        </w:rPr>
        <w:t xml:space="preserve">5.5 </w:t>
      </w:r>
      <w:r>
        <w:rPr>
          <w:rFonts w:hint="eastAsia" w:ascii="宋体" w:hAnsi="宋体" w:eastAsia="宋体" w:cs="宋体"/>
          <w:b w:val="0"/>
          <w:bCs w:val="0"/>
          <w:color w:val="auto"/>
          <w:spacing w:val="-5"/>
          <w:sz w:val="24"/>
          <w:szCs w:val="24"/>
          <w:highlight w:val="none"/>
        </w:rPr>
        <w:t>评标委员会认为供应商的报价明显低于其他通过符合性审</w:t>
      </w:r>
      <w:r>
        <w:rPr>
          <w:rFonts w:hint="eastAsia" w:ascii="宋体" w:hAnsi="宋体" w:eastAsia="宋体" w:cs="宋体"/>
          <w:b w:val="0"/>
          <w:bCs w:val="0"/>
          <w:color w:val="auto"/>
          <w:spacing w:val="-6"/>
          <w:sz w:val="24"/>
          <w:szCs w:val="24"/>
          <w:highlight w:val="none"/>
        </w:rPr>
        <w:t>查供应商的报价，有可能</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pacing w:val="-6"/>
          <w:sz w:val="24"/>
          <w:szCs w:val="24"/>
          <w:highlight w:val="none"/>
        </w:rPr>
        <w:t>影响产品质量或者不能诚信履约的，应当要求其在评标现场合理的时间内提供书面说明，必</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pacing w:val="-5"/>
          <w:sz w:val="24"/>
          <w:szCs w:val="24"/>
          <w:highlight w:val="none"/>
        </w:rPr>
        <w:t>要时提交相关证明材料；供应商规定的时间内不能证明</w:t>
      </w:r>
      <w:r>
        <w:rPr>
          <w:rFonts w:hint="eastAsia" w:ascii="宋体" w:hAnsi="宋体" w:eastAsia="宋体" w:cs="宋体"/>
          <w:b w:val="0"/>
          <w:bCs w:val="0"/>
          <w:color w:val="auto"/>
          <w:spacing w:val="-6"/>
          <w:sz w:val="24"/>
          <w:szCs w:val="24"/>
          <w:highlight w:val="none"/>
        </w:rPr>
        <w:t>其报价合理性的，评标委员会应当</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pacing w:val="-7"/>
          <w:sz w:val="24"/>
          <w:szCs w:val="24"/>
          <w:highlight w:val="none"/>
        </w:rPr>
        <w:t>将其作为无效投标处理。</w:t>
      </w:r>
    </w:p>
    <w:p w14:paraId="28632EB5">
      <w:pPr>
        <w:spacing w:before="49"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6．详细评标</w:t>
      </w:r>
    </w:p>
    <w:p w14:paraId="3FA21475">
      <w:pPr>
        <w:spacing w:before="52" w:line="228" w:lineRule="auto"/>
        <w:ind w:left="23" w:right="235" w:firstLine="4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6.1 评标委员会应按照磋商文件中规定的评标方法、标准和评</w:t>
      </w:r>
      <w:r>
        <w:rPr>
          <w:rFonts w:hint="eastAsia" w:ascii="宋体" w:hAnsi="宋体" w:eastAsia="宋体" w:cs="宋体"/>
          <w:color w:val="auto"/>
          <w:spacing w:val="-3"/>
          <w:sz w:val="24"/>
          <w:szCs w:val="24"/>
          <w:highlight w:val="none"/>
        </w:rPr>
        <w:t>标因素，对资格性检查和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符合性检查合格的响应文件进行商务和技术评估，综合比较与评价。</w:t>
      </w:r>
    </w:p>
    <w:p w14:paraId="551A10C1">
      <w:pPr>
        <w:spacing w:before="63" w:line="228" w:lineRule="auto"/>
        <w:ind w:left="28" w:right="156" w:firstLine="4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6.2 评标时，评标委员会各成员应当独立对每个供应商的响应文件进行评价</w:t>
      </w:r>
      <w:r>
        <w:rPr>
          <w:rFonts w:hint="eastAsia" w:ascii="宋体" w:hAnsi="宋体" w:eastAsia="宋体" w:cs="宋体"/>
          <w:color w:val="auto"/>
          <w:spacing w:val="-7"/>
          <w:sz w:val="24"/>
          <w:szCs w:val="24"/>
          <w:highlight w:val="none"/>
        </w:rPr>
        <w:t>、评分，然后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汇总每个供应商每项评分因素的得分。</w:t>
      </w:r>
    </w:p>
    <w:p w14:paraId="12E9E3FF">
      <w:pPr>
        <w:spacing w:before="57" w:line="228" w:lineRule="auto"/>
        <w:ind w:left="14" w:right="278" w:firstLine="42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6.3 供应商在评标过程中，所进行的试图影响评标结果</w:t>
      </w:r>
      <w:r>
        <w:rPr>
          <w:rFonts w:hint="eastAsia" w:ascii="宋体" w:hAnsi="宋体" w:eastAsia="宋体" w:cs="宋体"/>
          <w:color w:val="auto"/>
          <w:spacing w:val="-4"/>
          <w:sz w:val="24"/>
          <w:szCs w:val="24"/>
          <w:highlight w:val="none"/>
        </w:rPr>
        <w:t>的不符合招标规则的活动，可能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导致其被取消中标资格。</w:t>
      </w:r>
    </w:p>
    <w:p w14:paraId="6C498838">
      <w:pPr>
        <w:spacing w:before="24" w:line="222"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6.4 评分标准：具体见三、评标标准</w:t>
      </w:r>
    </w:p>
    <w:p w14:paraId="40509D78">
      <w:pPr>
        <w:spacing w:before="52" w:line="221" w:lineRule="auto"/>
        <w:ind w:left="1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7．推荐中标候选人名单</w:t>
      </w:r>
    </w:p>
    <w:p w14:paraId="26442F6C">
      <w:pPr>
        <w:spacing w:before="54" w:line="220" w:lineRule="auto"/>
        <w:ind w:left="473" w:right="156" w:hanging="1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 评标结果按评标后得分由高到低顺序排列。</w:t>
      </w:r>
      <w:r>
        <w:rPr>
          <w:rFonts w:hint="eastAsia" w:ascii="宋体" w:hAnsi="宋体" w:eastAsia="宋体" w:cs="宋体"/>
          <w:color w:val="auto"/>
          <w:spacing w:val="-2"/>
          <w:sz w:val="24"/>
          <w:szCs w:val="24"/>
          <w:highlight w:val="none"/>
          <w:u w:val="single" w:color="auto"/>
        </w:rPr>
        <w:t>评审得分</w:t>
      </w:r>
      <w:r>
        <w:rPr>
          <w:rFonts w:hint="eastAsia" w:ascii="宋体" w:hAnsi="宋体" w:eastAsia="宋体" w:cs="宋体"/>
          <w:color w:val="auto"/>
          <w:spacing w:val="-3"/>
          <w:sz w:val="24"/>
          <w:szCs w:val="24"/>
          <w:highlight w:val="none"/>
          <w:u w:val="single" w:color="auto"/>
        </w:rPr>
        <w:t>相同的，按修正和扣除后的磋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u w:val="single" w:color="auto"/>
        </w:rPr>
        <w:t>商报价由低到高顺序排列。得分与磋商报价均相同的，按响应文件满足磋商文件全部实</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u w:val="single" w:color="auto"/>
        </w:rPr>
        <w:t>质性要求，且按照评标因素的量化指标评标得分最高的供应商为排名第一的中标候选人</w:t>
      </w:r>
    </w:p>
    <w:p w14:paraId="67017981">
      <w:pPr>
        <w:spacing w:before="159" w:line="116" w:lineRule="exact"/>
        <w:ind w:left="486"/>
        <w:rPr>
          <w:rFonts w:hint="eastAsia" w:ascii="宋体" w:hAnsi="宋体" w:eastAsia="宋体" w:cs="宋体"/>
          <w:color w:val="auto"/>
          <w:sz w:val="24"/>
          <w:szCs w:val="24"/>
          <w:highlight w:val="none"/>
        </w:rPr>
      </w:pPr>
      <w:r>
        <w:rPr>
          <w:rFonts w:hint="eastAsia" w:ascii="宋体" w:hAnsi="宋体" w:eastAsia="宋体" w:cs="宋体"/>
          <w:color w:val="auto"/>
          <w:position w:val="2"/>
          <w:sz w:val="24"/>
          <w:szCs w:val="24"/>
          <w:highlight w:val="none"/>
        </w:rPr>
        <w:t>。</w:t>
      </w:r>
    </w:p>
    <w:p w14:paraId="65E0CB35">
      <w:pPr>
        <w:spacing w:before="12" w:line="222" w:lineRule="auto"/>
        <w:ind w:left="45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7.2 评标结果汇总完成后，除下列情形外，任何</w:t>
      </w:r>
      <w:r>
        <w:rPr>
          <w:rFonts w:hint="eastAsia" w:ascii="宋体" w:hAnsi="宋体" w:eastAsia="宋体" w:cs="宋体"/>
          <w:color w:val="auto"/>
          <w:spacing w:val="-4"/>
          <w:sz w:val="24"/>
          <w:szCs w:val="24"/>
          <w:highlight w:val="none"/>
        </w:rPr>
        <w:t>人不得修改评标结果：</w:t>
      </w:r>
    </w:p>
    <w:p w14:paraId="2E077E9E">
      <w:pPr>
        <w:spacing w:before="29" w:line="222" w:lineRule="auto"/>
        <w:ind w:left="56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(1)分值汇总计算错误的；</w:t>
      </w:r>
    </w:p>
    <w:p w14:paraId="31831D18">
      <w:pPr>
        <w:spacing w:before="36" w:line="222" w:lineRule="auto"/>
        <w:ind w:left="56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(2)分项评分超出评分标准范围的；</w:t>
      </w:r>
    </w:p>
    <w:p w14:paraId="2A2C397E">
      <w:pPr>
        <w:spacing w:before="31" w:line="222" w:lineRule="auto"/>
        <w:ind w:left="56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(3)评标委员会成员对客观评标因素评分不一致的；</w:t>
      </w:r>
    </w:p>
    <w:p w14:paraId="6FF67B10">
      <w:pPr>
        <w:spacing w:before="35" w:line="222" w:lineRule="auto"/>
        <w:ind w:left="5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(4)经评标委员会认定评分畸高、畸低的。</w:t>
      </w:r>
    </w:p>
    <w:p w14:paraId="5A44C86C">
      <w:pPr>
        <w:spacing w:before="70" w:line="243" w:lineRule="auto"/>
        <w:ind w:left="48" w:firstLine="40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评标报告签署前，经复核发现存在以上情形之一的，评标委员会应当当场修</w:t>
      </w:r>
      <w:r>
        <w:rPr>
          <w:rFonts w:hint="eastAsia" w:ascii="宋体" w:hAnsi="宋体" w:eastAsia="宋体" w:cs="宋体"/>
          <w:color w:val="auto"/>
          <w:spacing w:val="-1"/>
          <w:sz w:val="24"/>
          <w:szCs w:val="24"/>
          <w:highlight w:val="none"/>
        </w:rPr>
        <w:t>改评标 结果</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1"/>
          <w:sz w:val="24"/>
          <w:szCs w:val="24"/>
          <w:highlight w:val="none"/>
        </w:rPr>
        <w:t>并在评标报告中记载；评标报告签署后，采购人或者采购代理机构发现存在以上情形之一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的，应当组织原评标委员会进行重新评标，重新评标改变评标结果的，书面报告本级财政部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6"/>
          <w:sz w:val="24"/>
          <w:szCs w:val="24"/>
          <w:highlight w:val="none"/>
        </w:rPr>
        <w:t>门。</w:t>
      </w:r>
    </w:p>
    <w:p w14:paraId="22F29869">
      <w:pPr>
        <w:spacing w:before="64" w:line="225" w:lineRule="auto"/>
        <w:ind w:right="76" w:firstLine="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供应商对上述(1)～(4)提出质疑的，采购人或者采购代理机构可以组织原评标委员会进</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行重新评标，重新评标改变评标结果的，应当书面报告本级财政部门。</w:t>
      </w:r>
    </w:p>
    <w:p w14:paraId="5E717D81">
      <w:pPr>
        <w:spacing w:before="45" w:line="229" w:lineRule="auto"/>
        <w:ind w:left="17" w:right="247" w:firstLine="43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7.3 评标委员会根据全体评标成员签字的原始评标记录</w:t>
      </w:r>
      <w:r>
        <w:rPr>
          <w:rFonts w:hint="eastAsia" w:ascii="宋体" w:hAnsi="宋体" w:eastAsia="宋体" w:cs="宋体"/>
          <w:color w:val="auto"/>
          <w:spacing w:val="-4"/>
          <w:sz w:val="24"/>
          <w:szCs w:val="24"/>
          <w:highlight w:val="none"/>
        </w:rPr>
        <w:t>和评标结果编写评标报告。评标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报告应当包括以下内容：</w:t>
      </w:r>
    </w:p>
    <w:p w14:paraId="0D6800EC">
      <w:pPr>
        <w:spacing w:before="16" w:line="221" w:lineRule="auto"/>
        <w:ind w:left="53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 磋商公告刊登的媒体名称、开标日期和地点；</w:t>
      </w:r>
    </w:p>
    <w:p w14:paraId="5D6A7F5C">
      <w:pPr>
        <w:spacing w:before="34" w:line="221" w:lineRule="auto"/>
        <w:ind w:left="53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供应商名单和评标委员会成员名单；</w:t>
      </w:r>
    </w:p>
    <w:p w14:paraId="5E823CCA">
      <w:pPr>
        <w:spacing w:before="38" w:line="222" w:lineRule="auto"/>
        <w:ind w:left="53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评标方法和标准；</w:t>
      </w:r>
    </w:p>
    <w:p w14:paraId="4DEE754B">
      <w:pPr>
        <w:spacing w:before="34" w:line="221" w:lineRule="auto"/>
        <w:ind w:left="53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开标记录和评标情况及说明，包括无效供应商名单及原因；</w:t>
      </w:r>
    </w:p>
    <w:p w14:paraId="3019583B">
      <w:pPr>
        <w:spacing w:before="37" w:line="221" w:lineRule="auto"/>
        <w:ind w:left="53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 评标结果，确定的中标候选人名单或者经采购人委托直接确定的中标人；</w:t>
      </w:r>
    </w:p>
    <w:p w14:paraId="19E82181">
      <w:pPr>
        <w:spacing w:before="68" w:line="228" w:lineRule="auto"/>
        <w:ind w:left="18" w:right="336" w:firstLine="5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 其他需要说明的情况，包括评标过程中</w:t>
      </w:r>
      <w:r>
        <w:rPr>
          <w:rFonts w:hint="eastAsia" w:ascii="宋体" w:hAnsi="宋体" w:eastAsia="宋体" w:cs="宋体"/>
          <w:color w:val="auto"/>
          <w:spacing w:val="-2"/>
          <w:sz w:val="24"/>
          <w:szCs w:val="24"/>
          <w:highlight w:val="none"/>
        </w:rPr>
        <w:t>供应商根据评标委员会要求进行的澄清、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说明或者补正，评标委员会成员的更换等。</w:t>
      </w:r>
    </w:p>
    <w:p w14:paraId="75D39ACF">
      <w:pPr>
        <w:spacing w:before="68" w:line="233" w:lineRule="auto"/>
        <w:ind w:left="17" w:right="52" w:firstLine="4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评审报告应当由磋商小组全体人员签字认可。磋</w:t>
      </w:r>
      <w:r>
        <w:rPr>
          <w:rFonts w:hint="eastAsia" w:ascii="宋体" w:hAnsi="宋体" w:eastAsia="宋体" w:cs="宋体"/>
          <w:color w:val="auto"/>
          <w:spacing w:val="-3"/>
          <w:sz w:val="24"/>
          <w:szCs w:val="24"/>
          <w:highlight w:val="none"/>
        </w:rPr>
        <w:t>商小组成员对评审报告有异议的，磋商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小组按照少数服从多数的原则推荐成交候选供应商，采</w:t>
      </w:r>
      <w:r>
        <w:rPr>
          <w:rFonts w:hint="eastAsia" w:ascii="宋体" w:hAnsi="宋体" w:eastAsia="宋体" w:cs="宋体"/>
          <w:color w:val="auto"/>
          <w:spacing w:val="-3"/>
          <w:sz w:val="24"/>
          <w:szCs w:val="24"/>
          <w:highlight w:val="none"/>
        </w:rPr>
        <w:t>购程序继续进行。对评审报 告有异议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的磋商小组成员，应当在报告上签署不同意见并说明理由，</w:t>
      </w:r>
      <w:r>
        <w:rPr>
          <w:rFonts w:hint="eastAsia" w:ascii="宋体" w:hAnsi="宋体" w:eastAsia="宋体" w:cs="宋体"/>
          <w:color w:val="auto"/>
          <w:spacing w:val="-3"/>
          <w:sz w:val="24"/>
          <w:szCs w:val="24"/>
          <w:highlight w:val="none"/>
        </w:rPr>
        <w:t>由磋商小组书面记录相关情况。</w:t>
      </w:r>
    </w:p>
    <w:p w14:paraId="3813F6C8">
      <w:pPr>
        <w:spacing w:before="44" w:line="219"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磋商小组成员拒绝在报告上签字又不书面说明其不同意见和</w:t>
      </w:r>
      <w:r>
        <w:rPr>
          <w:rFonts w:hint="eastAsia" w:ascii="宋体" w:hAnsi="宋体" w:eastAsia="宋体" w:cs="宋体"/>
          <w:color w:val="auto"/>
          <w:spacing w:val="-3"/>
          <w:sz w:val="24"/>
          <w:szCs w:val="24"/>
          <w:highlight w:val="none"/>
        </w:rPr>
        <w:t>理由的，视为同意评审报告。</w:t>
      </w:r>
    </w:p>
    <w:p w14:paraId="2B487FD5">
      <w:pPr>
        <w:spacing w:before="20" w:line="220" w:lineRule="auto"/>
        <w:ind w:left="459"/>
        <w:outlineLvl w:val="1"/>
        <w:rPr>
          <w:rFonts w:hint="eastAsia" w:ascii="宋体" w:hAnsi="宋体" w:eastAsia="宋体" w:cs="宋体"/>
          <w:color w:val="auto"/>
          <w:sz w:val="22"/>
          <w:szCs w:val="22"/>
          <w:highlight w:val="none"/>
        </w:rPr>
      </w:pPr>
      <w:r>
        <w:rPr>
          <w:rFonts w:hint="eastAsia" w:ascii="宋体" w:hAnsi="宋体" w:eastAsia="宋体" w:cs="宋体"/>
          <w:color w:val="auto"/>
          <w:spacing w:val="-3"/>
          <w:sz w:val="24"/>
          <w:szCs w:val="24"/>
          <w:highlight w:val="none"/>
        </w:rPr>
        <w:t>7.4 本次招标采购推荐的中标候选人数</w:t>
      </w:r>
      <w:r>
        <w:rPr>
          <w:rFonts w:hint="eastAsia" w:ascii="宋体" w:hAnsi="宋体" w:eastAsia="宋体" w:cs="宋体"/>
          <w:color w:val="auto"/>
          <w:spacing w:val="-4"/>
          <w:sz w:val="24"/>
          <w:szCs w:val="24"/>
          <w:highlight w:val="none"/>
        </w:rPr>
        <w:t>量见投标须知资料表</w:t>
      </w:r>
      <w:r>
        <w:rPr>
          <w:rFonts w:hint="eastAsia" w:ascii="宋体" w:hAnsi="宋体" w:eastAsia="宋体" w:cs="宋体"/>
          <w:color w:val="auto"/>
          <w:spacing w:val="-4"/>
          <w:sz w:val="22"/>
          <w:szCs w:val="22"/>
          <w:highlight w:val="none"/>
        </w:rPr>
        <w:t>。</w:t>
      </w:r>
    </w:p>
    <w:p w14:paraId="5155140C">
      <w:pPr>
        <w:spacing w:line="220" w:lineRule="auto"/>
        <w:rPr>
          <w:rFonts w:hint="eastAsia" w:ascii="宋体" w:hAnsi="宋体" w:eastAsia="宋体" w:cs="宋体"/>
          <w:color w:val="auto"/>
          <w:sz w:val="22"/>
          <w:szCs w:val="22"/>
          <w:highlight w:val="none"/>
        </w:rPr>
        <w:sectPr>
          <w:footerReference r:id="rId28" w:type="default"/>
          <w:pgSz w:w="11906" w:h="16840"/>
          <w:pgMar w:top="1431" w:right="1115" w:bottom="892" w:left="1097" w:header="0" w:footer="723" w:gutter="0"/>
          <w:pgNumType w:fmt="decimal"/>
          <w:cols w:space="720" w:num="1"/>
        </w:sectPr>
      </w:pPr>
    </w:p>
    <w:p w14:paraId="32CC2CB0">
      <w:pPr>
        <w:spacing w:before="203" w:line="229" w:lineRule="auto"/>
        <w:ind w:left="1952"/>
        <w:outlineLvl w:val="1"/>
        <w:rPr>
          <w:rFonts w:hint="eastAsia" w:ascii="宋体" w:hAnsi="宋体" w:eastAsia="宋体" w:cs="宋体"/>
          <w:color w:val="auto"/>
          <w:sz w:val="30"/>
          <w:szCs w:val="30"/>
          <w:highlight w:val="none"/>
        </w:rPr>
      </w:pPr>
      <w:r>
        <w:rPr>
          <w:rFonts w:hint="eastAsia" w:ascii="宋体" w:hAnsi="宋体" w:eastAsia="宋体" w:cs="宋体"/>
          <w:b/>
          <w:bCs/>
          <w:color w:val="auto"/>
          <w:spacing w:val="11"/>
          <w:sz w:val="30"/>
          <w:szCs w:val="30"/>
          <w:highlight w:val="none"/>
        </w:rPr>
        <w:t>二、评标中的落实政府采购政策具体办法</w:t>
      </w:r>
    </w:p>
    <w:p w14:paraId="58C84E74">
      <w:pPr>
        <w:spacing w:line="409" w:lineRule="auto"/>
        <w:rPr>
          <w:rFonts w:hint="eastAsia" w:ascii="宋体" w:hAnsi="宋体" w:eastAsia="宋体" w:cs="宋体"/>
          <w:color w:val="auto"/>
          <w:sz w:val="21"/>
          <w:highlight w:val="none"/>
        </w:rPr>
      </w:pPr>
    </w:p>
    <w:p w14:paraId="15E730C0">
      <w:pPr>
        <w:spacing w:before="124" w:line="276" w:lineRule="auto"/>
        <w:ind w:left="244" w:leftChars="116" w:right="16" w:firstLine="214" w:firstLineChars="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z w:val="24"/>
          <w:szCs w:val="24"/>
          <w:highlight w:val="none"/>
          <w:lang w:eastAsia="zh-CN"/>
        </w:rPr>
        <w:t>对于未预留份额的项目，按照《政府采购促进中小企业发展管理办法》（财库〔2020〕46 号）的规定，供应商在其响应文件中提供《中小企业声明函》，且承担全部服务的企业为小型或者微型企业的，对其最后报价给予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%的扣除</w:t>
      </w:r>
      <w:r>
        <w:rPr>
          <w:rFonts w:hint="eastAsia" w:ascii="宋体" w:hAnsi="宋体" w:eastAsia="宋体" w:cs="宋体"/>
          <w:color w:val="auto"/>
          <w:spacing w:val="-5"/>
          <w:sz w:val="24"/>
          <w:szCs w:val="24"/>
          <w:highlight w:val="none"/>
        </w:rPr>
        <w:t>。</w:t>
      </w:r>
    </w:p>
    <w:p w14:paraId="158A4C7A">
      <w:pPr>
        <w:spacing w:before="81" w:line="277" w:lineRule="auto"/>
        <w:ind w:right="138" w:firstLine="47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2.联合协议中约定，小型、微型企业和监狱企业的协议合同金额占到联合体协议合同总</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2"/>
          <w:sz w:val="24"/>
          <w:szCs w:val="24"/>
          <w:highlight w:val="none"/>
        </w:rPr>
        <w:t>金额</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40%以上的，可给予联合体</w:t>
      </w:r>
      <w:r>
        <w:rPr>
          <w:rFonts w:hint="eastAsia" w:ascii="宋体" w:hAnsi="宋体" w:eastAsia="宋体" w:cs="宋体"/>
          <w:color w:val="auto"/>
          <w:spacing w:val="-2"/>
          <w:sz w:val="24"/>
          <w:szCs w:val="24"/>
          <w:highlight w:val="none"/>
          <w:u w:val="single" w:color="auto"/>
        </w:rPr>
        <w:t xml:space="preserve">  /  </w:t>
      </w:r>
      <w:r>
        <w:rPr>
          <w:rFonts w:hint="eastAsia" w:ascii="宋体" w:hAnsi="宋体" w:eastAsia="宋体" w:cs="宋体"/>
          <w:color w:val="auto"/>
          <w:spacing w:val="-2"/>
          <w:sz w:val="24"/>
          <w:szCs w:val="24"/>
          <w:highlight w:val="none"/>
        </w:rPr>
        <w:t>%的价格扣除。</w:t>
      </w:r>
    </w:p>
    <w:p w14:paraId="299C0DCE">
      <w:pPr>
        <w:spacing w:before="76" w:line="290" w:lineRule="auto"/>
        <w:ind w:right="138" w:firstLine="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联合体各方均为小型、微型企业和监狱企业的，联合体视同为小型、微型企业和监狱企</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8"/>
          <w:sz w:val="24"/>
          <w:szCs w:val="24"/>
          <w:highlight w:val="none"/>
        </w:rPr>
        <w:t>业。</w:t>
      </w:r>
    </w:p>
    <w:p w14:paraId="62FCF9C5">
      <w:pPr>
        <w:spacing w:before="49" w:line="289" w:lineRule="auto"/>
        <w:ind w:left="5" w:firstLine="46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3.投标人所投产品如被列入财政部与国家主管部门颁发的节能产品目录或环境标志产品</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z w:val="24"/>
          <w:szCs w:val="24"/>
          <w:highlight w:val="none"/>
        </w:rPr>
        <w:t>目录或无线局域网产品目录，应提供相关证明</w:t>
      </w:r>
      <w:r>
        <w:rPr>
          <w:rFonts w:hint="eastAsia" w:ascii="宋体" w:hAnsi="宋体" w:eastAsia="宋体" w:cs="宋体"/>
          <w:color w:val="auto"/>
          <w:spacing w:val="-1"/>
          <w:sz w:val="24"/>
          <w:szCs w:val="24"/>
          <w:highlight w:val="none"/>
        </w:rPr>
        <w:t>，在评标时予以优先采购，具体优惠措施为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9"/>
          <w:sz w:val="24"/>
          <w:szCs w:val="24"/>
          <w:highlight w:val="none"/>
          <w:u w:val="single" w:color="auto"/>
        </w:rPr>
        <w:t>无</w:t>
      </w:r>
      <w:r>
        <w:rPr>
          <w:rFonts w:hint="eastAsia" w:ascii="宋体" w:hAnsi="宋体" w:eastAsia="宋体" w:cs="宋体"/>
          <w:color w:val="auto"/>
          <w:sz w:val="24"/>
          <w:szCs w:val="24"/>
          <w:highlight w:val="none"/>
          <w:u w:val="single" w:color="auto"/>
        </w:rPr>
        <w:t xml:space="preserve">        </w:t>
      </w:r>
    </w:p>
    <w:p w14:paraId="42B00F40">
      <w:pPr>
        <w:spacing w:before="67" w:line="276" w:lineRule="auto"/>
        <w:ind w:left="18" w:right="138" w:firstLine="4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4.如采购人所采购产品为政府强制采购的节能产品</w:t>
      </w:r>
      <w:r>
        <w:rPr>
          <w:rFonts w:hint="eastAsia" w:ascii="宋体" w:hAnsi="宋体" w:eastAsia="宋体" w:cs="宋体"/>
          <w:color w:val="auto"/>
          <w:spacing w:val="-1"/>
          <w:sz w:val="24"/>
          <w:szCs w:val="24"/>
          <w:highlight w:val="none"/>
        </w:rPr>
        <w:t>，投标人所投产品的品牌及型号必须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为清单中有效期内产品并提供证明文件，否则其投标将被认定为</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1A65F2FD">
      <w:pPr>
        <w:spacing w:before="63" w:line="220" w:lineRule="auto"/>
        <w:ind w:left="47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5.对创新产品或创新性企业的优惠措施为</w:t>
      </w:r>
      <w:r>
        <w:rPr>
          <w:rFonts w:hint="eastAsia" w:ascii="宋体" w:hAnsi="宋体" w:eastAsia="宋体" w:cs="宋体"/>
          <w:color w:val="auto"/>
          <w:spacing w:val="-2"/>
          <w:sz w:val="24"/>
          <w:szCs w:val="24"/>
          <w:highlight w:val="none"/>
          <w:u w:val="single" w:color="auto"/>
        </w:rPr>
        <w:t>：          无</w:t>
      </w:r>
      <w:r>
        <w:rPr>
          <w:rFonts w:hint="eastAsia" w:ascii="宋体" w:hAnsi="宋体" w:eastAsia="宋体" w:cs="宋体"/>
          <w:color w:val="auto"/>
          <w:spacing w:val="1"/>
          <w:sz w:val="24"/>
          <w:szCs w:val="24"/>
          <w:highlight w:val="none"/>
          <w:u w:val="single" w:color="auto"/>
        </w:rPr>
        <w:t xml:space="preserve">              </w:t>
      </w:r>
    </w:p>
    <w:p w14:paraId="10BD27ED">
      <w:pPr>
        <w:spacing w:before="112" w:line="220" w:lineRule="auto"/>
        <w:ind w:left="470"/>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6.中标候选人并列式时的处理方式：</w:t>
      </w:r>
    </w:p>
    <w:p w14:paraId="66F50572">
      <w:pPr>
        <w:spacing w:line="295" w:lineRule="auto"/>
        <w:rPr>
          <w:rFonts w:hint="eastAsia" w:ascii="宋体" w:hAnsi="宋体" w:eastAsia="宋体" w:cs="宋体"/>
          <w:color w:val="auto"/>
          <w:sz w:val="21"/>
          <w:highlight w:val="none"/>
        </w:rPr>
      </w:pPr>
    </w:p>
    <w:p w14:paraId="741D1D3D">
      <w:pPr>
        <w:spacing w:before="79" w:line="222" w:lineRule="auto"/>
        <w:ind w:left="725"/>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如采用综合评标法，则：评标结果按评审后</w:t>
      </w:r>
      <w:r>
        <w:rPr>
          <w:rFonts w:hint="eastAsia" w:ascii="宋体" w:hAnsi="宋体" w:eastAsia="宋体" w:cs="宋体"/>
          <w:color w:val="auto"/>
          <w:spacing w:val="-2"/>
          <w:sz w:val="24"/>
          <w:szCs w:val="24"/>
          <w:highlight w:val="none"/>
        </w:rPr>
        <w:t>得分由高到低顺序排列。评审得分相同的</w:t>
      </w:r>
    </w:p>
    <w:p w14:paraId="6187EDC5">
      <w:pPr>
        <w:spacing w:before="232" w:line="368" w:lineRule="auto"/>
        <w:ind w:right="131" w:firstLine="36"/>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4"/>
          <w:sz w:val="24"/>
          <w:szCs w:val="24"/>
          <w:highlight w:val="none"/>
        </w:rPr>
        <w:t>按修正和扣除后的磋商报价由低到高顺序排列。得分与磋商报价均相同的，按响应文件满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足磋商文件全部实质性要求，且按照评标因素的量化指标评标得分最高的供应商为排名第一</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5"/>
          <w:sz w:val="24"/>
          <w:szCs w:val="24"/>
          <w:highlight w:val="none"/>
        </w:rPr>
        <w:t>的中标候选人。</w:t>
      </w:r>
    </w:p>
    <w:p w14:paraId="0E4DD4E1">
      <w:pPr>
        <w:spacing w:line="368" w:lineRule="auto"/>
        <w:rPr>
          <w:rFonts w:hint="eastAsia" w:ascii="宋体" w:hAnsi="宋体" w:eastAsia="宋体" w:cs="宋体"/>
          <w:color w:val="auto"/>
          <w:sz w:val="24"/>
          <w:szCs w:val="24"/>
          <w:highlight w:val="none"/>
        </w:rPr>
        <w:sectPr>
          <w:footerReference r:id="rId29" w:type="default"/>
          <w:pgSz w:w="11906" w:h="16840"/>
          <w:pgMar w:top="1431" w:right="1090" w:bottom="892" w:left="1109" w:header="0" w:footer="723" w:gutter="0"/>
          <w:pgNumType w:fmt="decimal"/>
          <w:cols w:space="720" w:num="1"/>
        </w:sectPr>
      </w:pPr>
    </w:p>
    <w:p w14:paraId="0E646B4D">
      <w:pPr>
        <w:spacing w:before="162"/>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评分办法（综合评分法）及评分标准</w:t>
      </w:r>
    </w:p>
    <w:tbl>
      <w:tblPr>
        <w:tblStyle w:val="34"/>
        <w:tblpPr w:leftFromText="180" w:rightFromText="180" w:vertAnchor="text" w:horzAnchor="page" w:tblpX="669" w:tblpY="270"/>
        <w:tblOverlap w:val="never"/>
        <w:tblW w:w="109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030"/>
        <w:gridCol w:w="960"/>
        <w:gridCol w:w="751"/>
        <w:gridCol w:w="7270"/>
      </w:tblGrid>
      <w:tr w14:paraId="46C2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30" w:type="dxa"/>
            <w:vAlign w:val="center"/>
          </w:tcPr>
          <w:p w14:paraId="55D683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color w:val="auto"/>
                <w:highlight w:val="none"/>
              </w:rPr>
              <w:t>评分项目</w:t>
            </w:r>
          </w:p>
        </w:tc>
        <w:tc>
          <w:tcPr>
            <w:tcW w:w="1990" w:type="dxa"/>
            <w:gridSpan w:val="2"/>
            <w:vAlign w:val="center"/>
          </w:tcPr>
          <w:p w14:paraId="4339DF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color w:val="auto"/>
                <w:highlight w:val="none"/>
              </w:rPr>
              <w:t>评审项目</w:t>
            </w:r>
          </w:p>
        </w:tc>
        <w:tc>
          <w:tcPr>
            <w:tcW w:w="751" w:type="dxa"/>
            <w:vAlign w:val="center"/>
          </w:tcPr>
          <w:p w14:paraId="6346717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color w:val="auto"/>
                <w:highlight w:val="none"/>
              </w:rPr>
              <w:t>分值</w:t>
            </w:r>
          </w:p>
        </w:tc>
        <w:tc>
          <w:tcPr>
            <w:tcW w:w="7270" w:type="dxa"/>
            <w:vAlign w:val="center"/>
          </w:tcPr>
          <w:p w14:paraId="529013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color w:val="auto"/>
                <w:highlight w:val="none"/>
              </w:rPr>
              <w:t>评标要点及说明</w:t>
            </w:r>
          </w:p>
        </w:tc>
      </w:tr>
      <w:tr w14:paraId="12CBD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1" w:hRule="atLeast"/>
        </w:trPr>
        <w:tc>
          <w:tcPr>
            <w:tcW w:w="930" w:type="dxa"/>
            <w:vAlign w:val="center"/>
          </w:tcPr>
          <w:p w14:paraId="22FE1D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color w:val="auto"/>
                <w:highlight w:val="none"/>
              </w:rPr>
              <w:t>报价部分</w:t>
            </w:r>
          </w:p>
          <w:p w14:paraId="025C9C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p>
        </w:tc>
        <w:tc>
          <w:tcPr>
            <w:tcW w:w="1990" w:type="dxa"/>
            <w:gridSpan w:val="2"/>
            <w:vAlign w:val="center"/>
          </w:tcPr>
          <w:p w14:paraId="0A2F9A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color w:val="auto"/>
                <w:highlight w:val="none"/>
              </w:rPr>
              <w:t>投标报价</w:t>
            </w:r>
          </w:p>
        </w:tc>
        <w:tc>
          <w:tcPr>
            <w:tcW w:w="751" w:type="dxa"/>
            <w:vAlign w:val="center"/>
          </w:tcPr>
          <w:p w14:paraId="37DD840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rFonts w:hint="eastAsia"/>
                <w:color w:val="auto"/>
                <w:highlight w:val="none"/>
                <w:lang w:val="en-US" w:eastAsia="zh-CN"/>
              </w:rPr>
              <w:t>1</w:t>
            </w:r>
            <w:r>
              <w:rPr>
                <w:color w:val="auto"/>
                <w:highlight w:val="none"/>
              </w:rPr>
              <w:t>0分</w:t>
            </w:r>
          </w:p>
        </w:tc>
        <w:tc>
          <w:tcPr>
            <w:tcW w:w="7270" w:type="dxa"/>
            <w:vAlign w:val="top"/>
          </w:tcPr>
          <w:p w14:paraId="60EEEB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r>
              <w:rPr>
                <w:color w:val="auto"/>
                <w:highlight w:val="none"/>
              </w:rPr>
              <w:t>价格分应当采用低价优先法计算，即满足</w:t>
            </w:r>
            <w:r>
              <w:rPr>
                <w:rFonts w:hint="eastAsia" w:eastAsia="宋体"/>
                <w:color w:val="auto"/>
                <w:highlight w:val="none"/>
                <w:lang w:eastAsia="zh-CN"/>
              </w:rPr>
              <w:t>磋商文件</w:t>
            </w:r>
            <w:r>
              <w:rPr>
                <w:color w:val="auto"/>
                <w:highlight w:val="none"/>
              </w:rPr>
              <w:t>要求且投标价格最低的投标报价为评标基准价，其价格分为满分。</w:t>
            </w:r>
          </w:p>
          <w:p w14:paraId="11A708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r>
              <w:rPr>
                <w:color w:val="auto"/>
                <w:highlight w:val="none"/>
              </w:rPr>
              <w:t>其他供应商的价格分统一按照下列公式计算：投标报价得分=（评标基准价/投标报价）×100×权重</w:t>
            </w:r>
          </w:p>
          <w:p w14:paraId="71860A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r>
              <w:rPr>
                <w:color w:val="auto"/>
                <w:highlight w:val="none"/>
              </w:rPr>
              <w:t>备注：投标报价得分四舍五入后，小数点后保留两位有效数。</w:t>
            </w:r>
          </w:p>
        </w:tc>
      </w:tr>
      <w:tr w14:paraId="46FA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trPr>
        <w:tc>
          <w:tcPr>
            <w:tcW w:w="930" w:type="dxa"/>
            <w:vMerge w:val="restart"/>
            <w:tcBorders>
              <w:bottom w:val="nil"/>
            </w:tcBorders>
            <w:vAlign w:val="center"/>
          </w:tcPr>
          <w:p w14:paraId="18C5DB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4B4501E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118328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3E7880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33F394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57C9EB8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2D3F560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7B4283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7B2CAD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253FEC6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42E08B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254FBCB8">
            <w:pPr>
              <w:pStyle w:val="15"/>
              <w:rPr>
                <w:rFonts w:hint="eastAsia" w:eastAsia="宋体"/>
                <w:color w:val="auto"/>
                <w:highlight w:val="none"/>
                <w:lang w:val="en-US" w:eastAsia="zh-CN"/>
              </w:rPr>
            </w:pPr>
          </w:p>
          <w:p w14:paraId="6EC4D787">
            <w:pPr>
              <w:pStyle w:val="15"/>
              <w:rPr>
                <w:rFonts w:hint="eastAsia" w:eastAsia="宋体"/>
                <w:color w:val="auto"/>
                <w:highlight w:val="none"/>
                <w:lang w:val="en-US" w:eastAsia="zh-CN"/>
              </w:rPr>
            </w:pPr>
          </w:p>
          <w:p w14:paraId="715C0117">
            <w:pPr>
              <w:pStyle w:val="15"/>
              <w:rPr>
                <w:rFonts w:hint="eastAsia" w:eastAsia="宋体"/>
                <w:color w:val="auto"/>
                <w:highlight w:val="none"/>
                <w:lang w:val="en-US" w:eastAsia="zh-CN"/>
              </w:rPr>
            </w:pPr>
          </w:p>
          <w:p w14:paraId="1B2468DC">
            <w:pPr>
              <w:pStyle w:val="15"/>
              <w:rPr>
                <w:rFonts w:hint="eastAsia" w:eastAsia="宋体"/>
                <w:color w:val="auto"/>
                <w:highlight w:val="none"/>
                <w:lang w:val="en-US" w:eastAsia="zh-CN"/>
              </w:rPr>
            </w:pPr>
          </w:p>
          <w:p w14:paraId="6D8B7CF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39D2918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2808BA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highlight w:val="none"/>
                <w:lang w:val="en-US" w:eastAsia="zh-CN"/>
              </w:rPr>
            </w:pPr>
            <w:r>
              <w:rPr>
                <w:rFonts w:hint="eastAsia" w:eastAsia="宋体"/>
                <w:color w:val="auto"/>
                <w:highlight w:val="none"/>
                <w:lang w:val="en-US" w:eastAsia="zh-CN"/>
              </w:rPr>
              <w:t>商务和技术部分</w:t>
            </w:r>
          </w:p>
        </w:tc>
        <w:tc>
          <w:tcPr>
            <w:tcW w:w="1030" w:type="dxa"/>
            <w:vMerge w:val="restart"/>
            <w:vAlign w:val="center"/>
          </w:tcPr>
          <w:p w14:paraId="1CE3149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highlight w:val="none"/>
                <w:lang w:val="en-US" w:eastAsia="zh-CN"/>
              </w:rPr>
            </w:pPr>
            <w:r>
              <w:rPr>
                <w:rFonts w:hint="eastAsia" w:eastAsia="宋体"/>
                <w:color w:val="auto"/>
                <w:highlight w:val="none"/>
                <w:lang w:val="en-US" w:eastAsia="zh-CN"/>
              </w:rPr>
              <w:t>商务部分</w:t>
            </w:r>
          </w:p>
        </w:tc>
        <w:tc>
          <w:tcPr>
            <w:tcW w:w="960" w:type="dxa"/>
            <w:vAlign w:val="center"/>
          </w:tcPr>
          <w:p w14:paraId="39DD3B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rFonts w:hint="eastAsia" w:eastAsia="宋体"/>
                <w:color w:val="auto"/>
                <w:highlight w:val="none"/>
                <w:lang w:val="en-US" w:eastAsia="zh-CN"/>
              </w:rPr>
              <w:t>项目团队实力</w:t>
            </w:r>
          </w:p>
        </w:tc>
        <w:tc>
          <w:tcPr>
            <w:tcW w:w="751" w:type="dxa"/>
            <w:vAlign w:val="center"/>
          </w:tcPr>
          <w:p w14:paraId="5060C5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rFonts w:hint="eastAsia" w:eastAsia="宋体"/>
                <w:color w:val="auto"/>
                <w:highlight w:val="none"/>
                <w:lang w:val="en-US" w:eastAsia="zh-CN"/>
              </w:rPr>
              <w:t>22</w:t>
            </w:r>
            <w:r>
              <w:rPr>
                <w:color w:val="auto"/>
                <w:highlight w:val="none"/>
              </w:rPr>
              <w:t>分</w:t>
            </w:r>
          </w:p>
        </w:tc>
        <w:tc>
          <w:tcPr>
            <w:tcW w:w="7270" w:type="dxa"/>
            <w:vAlign w:val="top"/>
          </w:tcPr>
          <w:p w14:paraId="5DA623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color w:val="auto"/>
                <w:highlight w:val="none"/>
              </w:rPr>
            </w:pPr>
            <w:r>
              <w:rPr>
                <w:color w:val="auto"/>
                <w:highlight w:val="none"/>
              </w:rPr>
              <w:t>供应商拟派的项目成员</w:t>
            </w:r>
          </w:p>
          <w:p w14:paraId="685800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color w:val="auto"/>
                <w:highlight w:val="none"/>
              </w:rPr>
            </w:pPr>
            <w:r>
              <w:rPr>
                <w:rFonts w:hint="eastAsia"/>
                <w:color w:val="auto"/>
                <w:highlight w:val="none"/>
                <w:lang w:val="en-US" w:eastAsia="zh-CN"/>
              </w:rPr>
              <w:t xml:space="preserve">（1）项目负责人：具有农学、植物学、生态学等其中任一相关专业硕士及以上学位的或具有农业相关专业高级及以上技术职称的得2分。 </w:t>
            </w:r>
          </w:p>
          <w:p w14:paraId="7C6768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color w:val="auto"/>
                <w:highlight w:val="none"/>
                <w:lang w:val="en-US" w:eastAsia="zh-CN"/>
              </w:rPr>
            </w:pPr>
            <w:r>
              <w:rPr>
                <w:rFonts w:hint="eastAsia"/>
                <w:color w:val="auto"/>
                <w:highlight w:val="none"/>
                <w:lang w:val="en-US" w:eastAsia="zh-CN"/>
              </w:rPr>
              <w:t>（2）授课讲师成员中具有作物学、植物学、植物保护等其中任一硕士及以上学位或具有农业相关专业高级及以上技术职称的，每有 1 人得2分，满分 18分。</w:t>
            </w:r>
          </w:p>
          <w:p w14:paraId="0D617A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color w:val="auto"/>
                <w:highlight w:val="none"/>
                <w:lang w:val="en-US" w:eastAsia="zh-CN"/>
              </w:rPr>
            </w:pPr>
            <w:r>
              <w:rPr>
                <w:rFonts w:hint="eastAsia"/>
                <w:color w:val="auto"/>
                <w:highlight w:val="none"/>
                <w:lang w:val="en-US" w:eastAsia="zh-CN"/>
              </w:rPr>
              <w:t>（3）测产专家成员中具有农业相关专业高级及以上技术职称不低于3人，在此基础上每增加1人，得1分，满分2分。</w:t>
            </w:r>
          </w:p>
          <w:p w14:paraId="07F54A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default" w:eastAsia="宋体"/>
                <w:color w:val="auto"/>
                <w:highlight w:val="none"/>
                <w:lang w:val="en-US" w:eastAsia="zh-CN"/>
              </w:rPr>
            </w:pPr>
            <w:r>
              <w:rPr>
                <w:color w:val="auto"/>
                <w:highlight w:val="none"/>
              </w:rPr>
              <w:t>注：</w:t>
            </w:r>
            <w:r>
              <w:rPr>
                <w:color w:val="auto"/>
                <w:highlight w:val="none"/>
                <w:lang w:val="en-US" w:eastAsia="zh-CN"/>
              </w:rPr>
              <w:t>需提供相关证明材料，未提供</w:t>
            </w:r>
            <w:r>
              <w:rPr>
                <w:rFonts w:hint="eastAsia"/>
                <w:color w:val="auto"/>
                <w:highlight w:val="none"/>
                <w:lang w:val="en-US" w:eastAsia="zh-CN"/>
              </w:rPr>
              <w:t>或提供不全不得分；证明材料包括职称证或学位证、身份证、劳动（务）合同或聘用协议，上述人员不重复计分。</w:t>
            </w:r>
          </w:p>
        </w:tc>
      </w:tr>
      <w:tr w14:paraId="344D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930" w:type="dxa"/>
            <w:vMerge w:val="continue"/>
            <w:vAlign w:val="center"/>
          </w:tcPr>
          <w:p w14:paraId="7CEA85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p>
        </w:tc>
        <w:tc>
          <w:tcPr>
            <w:tcW w:w="1030" w:type="dxa"/>
            <w:vMerge w:val="continue"/>
            <w:vAlign w:val="center"/>
          </w:tcPr>
          <w:p w14:paraId="7C2CD10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tc>
        <w:tc>
          <w:tcPr>
            <w:tcW w:w="960" w:type="dxa"/>
            <w:vAlign w:val="center"/>
          </w:tcPr>
          <w:p w14:paraId="5445C98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r>
              <w:rPr>
                <w:rFonts w:hint="eastAsia" w:eastAsia="宋体"/>
                <w:color w:val="auto"/>
                <w:highlight w:val="none"/>
                <w:lang w:val="en-US" w:eastAsia="zh-CN"/>
              </w:rPr>
              <w:t>承诺</w:t>
            </w:r>
          </w:p>
        </w:tc>
        <w:tc>
          <w:tcPr>
            <w:tcW w:w="751" w:type="dxa"/>
            <w:vAlign w:val="center"/>
          </w:tcPr>
          <w:p w14:paraId="21820282">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rFonts w:hint="default" w:eastAsia="宋体"/>
                <w:color w:val="auto"/>
                <w:highlight w:val="none"/>
                <w:lang w:val="en-US" w:eastAsia="zh-CN"/>
              </w:rPr>
            </w:pPr>
            <w:r>
              <w:rPr>
                <w:rFonts w:hint="eastAsia" w:eastAsia="宋体"/>
                <w:color w:val="auto"/>
                <w:highlight w:val="none"/>
                <w:lang w:val="en-US" w:eastAsia="zh-CN"/>
              </w:rPr>
              <w:t>4分</w:t>
            </w:r>
          </w:p>
        </w:tc>
        <w:tc>
          <w:tcPr>
            <w:tcW w:w="7270" w:type="dxa"/>
            <w:vAlign w:val="top"/>
          </w:tcPr>
          <w:p w14:paraId="2C1FFC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color w:val="auto"/>
                <w:highlight w:val="none"/>
              </w:rPr>
            </w:pPr>
            <w:r>
              <w:rPr>
                <w:rFonts w:hint="eastAsia" w:ascii="Arial" w:hAnsi="Arial" w:eastAsia="Arial" w:cs="Arial"/>
                <w:snapToGrid w:val="0"/>
                <w:color w:val="auto"/>
                <w:kern w:val="0"/>
                <w:sz w:val="21"/>
                <w:szCs w:val="21"/>
                <w:highlight w:val="none"/>
                <w:lang w:val="en-US" w:eastAsia="en-US" w:bidi="ar-SA"/>
              </w:rPr>
              <w:t>1、</w:t>
            </w:r>
            <w:r>
              <w:rPr>
                <w:rFonts w:hint="eastAsia"/>
                <w:color w:val="auto"/>
                <w:highlight w:val="none"/>
              </w:rPr>
              <w:t>承诺服从采购人协调与指导的得</w:t>
            </w:r>
            <w:r>
              <w:rPr>
                <w:rFonts w:hint="eastAsia" w:eastAsia="宋体"/>
                <w:color w:val="auto"/>
                <w:highlight w:val="none"/>
                <w:lang w:val="en-US" w:eastAsia="zh-CN"/>
              </w:rPr>
              <w:t>2</w:t>
            </w:r>
            <w:r>
              <w:rPr>
                <w:rFonts w:hint="eastAsia"/>
                <w:color w:val="auto"/>
                <w:highlight w:val="none"/>
              </w:rPr>
              <w:t xml:space="preserve">分，没有不得分。 </w:t>
            </w:r>
          </w:p>
          <w:p w14:paraId="2E4CBD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eastAsia="宋体"/>
                <w:color w:val="auto"/>
                <w:highlight w:val="none"/>
                <w:lang w:val="en-US" w:eastAsia="zh-CN"/>
              </w:rPr>
            </w:pPr>
            <w:r>
              <w:rPr>
                <w:rFonts w:hint="eastAsia" w:ascii="Arial" w:hAnsi="Arial" w:eastAsia="Arial" w:cs="Arial"/>
                <w:snapToGrid w:val="0"/>
                <w:color w:val="auto"/>
                <w:kern w:val="0"/>
                <w:sz w:val="21"/>
                <w:szCs w:val="21"/>
                <w:highlight w:val="none"/>
                <w:lang w:val="en-US" w:eastAsia="en-US" w:bidi="ar-SA"/>
              </w:rPr>
              <w:t>2、</w:t>
            </w:r>
            <w:r>
              <w:rPr>
                <w:rFonts w:hint="eastAsia"/>
                <w:color w:val="auto"/>
                <w:highlight w:val="none"/>
              </w:rPr>
              <w:t>承诺在实施过程中未经采购人同意不更换项目负责人及项目组人员的得</w:t>
            </w:r>
            <w:r>
              <w:rPr>
                <w:rFonts w:hint="eastAsia" w:eastAsia="宋体"/>
                <w:color w:val="auto"/>
                <w:highlight w:val="none"/>
                <w:lang w:val="en-US" w:eastAsia="zh-CN"/>
              </w:rPr>
              <w:t>2</w:t>
            </w:r>
            <w:r>
              <w:rPr>
                <w:rFonts w:hint="eastAsia"/>
                <w:color w:val="auto"/>
                <w:highlight w:val="none"/>
              </w:rPr>
              <w:t xml:space="preserve">分，没有不得分。 </w:t>
            </w:r>
          </w:p>
        </w:tc>
      </w:tr>
      <w:tr w14:paraId="5B8FF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30" w:type="dxa"/>
            <w:vMerge w:val="continue"/>
            <w:vAlign w:val="center"/>
          </w:tcPr>
          <w:p w14:paraId="613144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p>
        </w:tc>
        <w:tc>
          <w:tcPr>
            <w:tcW w:w="1030" w:type="dxa"/>
            <w:vMerge w:val="continue"/>
            <w:vAlign w:val="center"/>
          </w:tcPr>
          <w:p w14:paraId="1D6633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tc>
        <w:tc>
          <w:tcPr>
            <w:tcW w:w="960" w:type="dxa"/>
            <w:vAlign w:val="center"/>
          </w:tcPr>
          <w:p w14:paraId="2485361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r>
              <w:rPr>
                <w:rFonts w:hint="eastAsia" w:eastAsia="宋体"/>
                <w:color w:val="auto"/>
                <w:highlight w:val="none"/>
                <w:lang w:eastAsia="zh-CN"/>
              </w:rPr>
              <w:t>业绩</w:t>
            </w:r>
          </w:p>
        </w:tc>
        <w:tc>
          <w:tcPr>
            <w:tcW w:w="751" w:type="dxa"/>
            <w:vAlign w:val="center"/>
          </w:tcPr>
          <w:p w14:paraId="04D4DA0A">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rFonts w:hint="default" w:eastAsia="宋体"/>
                <w:color w:val="auto"/>
                <w:highlight w:val="none"/>
                <w:lang w:val="en-US" w:eastAsia="zh-CN"/>
              </w:rPr>
            </w:pPr>
            <w:r>
              <w:rPr>
                <w:rFonts w:hint="eastAsia" w:eastAsia="宋体"/>
                <w:color w:val="auto"/>
                <w:highlight w:val="none"/>
                <w:lang w:val="en-US" w:eastAsia="zh-CN"/>
              </w:rPr>
              <w:t>2分</w:t>
            </w:r>
          </w:p>
        </w:tc>
        <w:tc>
          <w:tcPr>
            <w:tcW w:w="7270" w:type="dxa"/>
            <w:vAlign w:val="top"/>
          </w:tcPr>
          <w:p w14:paraId="01FA81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color w:val="auto"/>
                <w:highlight w:val="none"/>
                <w:lang w:val="en-US" w:eastAsia="zh-CN"/>
              </w:rPr>
            </w:pPr>
            <w:r>
              <w:rPr>
                <w:rFonts w:hint="eastAsia"/>
                <w:color w:val="auto"/>
                <w:highlight w:val="none"/>
                <w:lang w:val="en-US" w:eastAsia="zh-CN"/>
              </w:rPr>
              <w:t>提供近三年内类似项目的业绩合同；提供一个得2分；未提供不得分。</w:t>
            </w:r>
          </w:p>
        </w:tc>
      </w:tr>
      <w:tr w14:paraId="67EF9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0" w:type="dxa"/>
            <w:vMerge w:val="continue"/>
            <w:tcBorders>
              <w:top w:val="nil"/>
              <w:bottom w:val="nil"/>
            </w:tcBorders>
            <w:vAlign w:val="center"/>
          </w:tcPr>
          <w:p w14:paraId="346F1E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p>
        </w:tc>
        <w:tc>
          <w:tcPr>
            <w:tcW w:w="1030" w:type="dxa"/>
            <w:vMerge w:val="restart"/>
            <w:vAlign w:val="center"/>
          </w:tcPr>
          <w:p w14:paraId="6DC7E1F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05450C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705FE7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1F9810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55180EE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51597D7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40FC788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0869EB4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21C4EE3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405A5B7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143833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02C8ECD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039F322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3C229A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317D26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7D7FD8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p>
          <w:p w14:paraId="4480BD8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highlight w:val="none"/>
                <w:lang w:val="en-US" w:eastAsia="zh-CN"/>
              </w:rPr>
            </w:pPr>
            <w:r>
              <w:rPr>
                <w:rFonts w:hint="eastAsia" w:eastAsia="宋体"/>
                <w:color w:val="auto"/>
                <w:highlight w:val="none"/>
                <w:lang w:val="en-US" w:eastAsia="zh-CN"/>
              </w:rPr>
              <w:t>技术部分</w:t>
            </w:r>
          </w:p>
        </w:tc>
        <w:tc>
          <w:tcPr>
            <w:tcW w:w="960" w:type="dxa"/>
            <w:vAlign w:val="center"/>
          </w:tcPr>
          <w:p w14:paraId="6E9F9D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highlight w:val="none"/>
                <w:lang w:val="en-US" w:eastAsia="zh-CN"/>
              </w:rPr>
            </w:pPr>
            <w:r>
              <w:rPr>
                <w:rFonts w:hint="eastAsia" w:eastAsia="宋体"/>
                <w:color w:val="auto"/>
                <w:highlight w:val="none"/>
                <w:lang w:val="en-US" w:eastAsia="zh-CN"/>
              </w:rPr>
              <w:t>实施方案</w:t>
            </w:r>
          </w:p>
        </w:tc>
        <w:tc>
          <w:tcPr>
            <w:tcW w:w="751" w:type="dxa"/>
            <w:vAlign w:val="center"/>
          </w:tcPr>
          <w:p w14:paraId="14C138C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rFonts w:hint="eastAsia" w:eastAsia="宋体"/>
                <w:color w:val="auto"/>
                <w:highlight w:val="none"/>
                <w:lang w:val="en-US" w:eastAsia="zh-CN"/>
              </w:rPr>
              <w:t>25</w:t>
            </w:r>
            <w:r>
              <w:rPr>
                <w:color w:val="auto"/>
                <w:highlight w:val="none"/>
              </w:rPr>
              <w:t>分</w:t>
            </w:r>
          </w:p>
        </w:tc>
        <w:tc>
          <w:tcPr>
            <w:tcW w:w="7270" w:type="dxa"/>
            <w:vAlign w:val="top"/>
          </w:tcPr>
          <w:p w14:paraId="3E3DDE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highlight w:val="none"/>
                <w:lang w:val="en-US" w:eastAsia="zh-CN"/>
              </w:rPr>
            </w:pPr>
            <w:r>
              <w:rPr>
                <w:rFonts w:hint="eastAsia"/>
                <w:color w:val="auto"/>
                <w:highlight w:val="none"/>
              </w:rPr>
              <w:t>供应商应结合本项目实际情况及特点,制定针对本项目的</w:t>
            </w:r>
            <w:r>
              <w:rPr>
                <w:rFonts w:hint="eastAsia" w:eastAsia="宋体"/>
                <w:color w:val="auto"/>
                <w:highlight w:val="none"/>
                <w:lang w:val="en-US" w:eastAsia="zh-CN"/>
              </w:rPr>
              <w:t>实施</w:t>
            </w:r>
            <w:r>
              <w:rPr>
                <w:rFonts w:hint="eastAsia"/>
                <w:color w:val="auto"/>
                <w:highlight w:val="none"/>
              </w:rPr>
              <w:t>方案，</w:t>
            </w:r>
            <w:r>
              <w:rPr>
                <w:rFonts w:hint="eastAsia" w:eastAsia="宋体"/>
                <w:color w:val="auto"/>
                <w:highlight w:val="none"/>
                <w:lang w:val="en-US" w:eastAsia="zh-CN"/>
              </w:rPr>
              <w:t>实施</w:t>
            </w:r>
            <w:r>
              <w:rPr>
                <w:rFonts w:hint="eastAsia"/>
                <w:color w:val="auto"/>
                <w:highlight w:val="none"/>
              </w:rPr>
              <w:t>方案包括但不限于：</w:t>
            </w:r>
            <w:r>
              <w:rPr>
                <w:rFonts w:hint="eastAsia"/>
                <w:color w:val="auto"/>
                <w:highlight w:val="none"/>
                <w:lang w:val="en-US" w:eastAsia="zh-CN"/>
              </w:rPr>
              <w:t>①项目理解及总体工作思路 ②任务目标 ③工作流程④工作方案⑤重、难点分析</w:t>
            </w:r>
            <w:r>
              <w:rPr>
                <w:rFonts w:hint="eastAsia" w:eastAsia="宋体"/>
                <w:color w:val="auto"/>
                <w:highlight w:val="none"/>
                <w:lang w:eastAsia="zh-CN"/>
              </w:rPr>
              <w:t>；</w:t>
            </w:r>
            <w:r>
              <w:rPr>
                <w:rFonts w:hint="default" w:eastAsia="宋体"/>
                <w:color w:val="auto"/>
                <w:highlight w:val="none"/>
                <w:lang w:val="en-US" w:eastAsia="zh-CN"/>
              </w:rPr>
              <w:t>内</w:t>
            </w:r>
            <w:r>
              <w:rPr>
                <w:rFonts w:hint="default"/>
                <w:color w:val="auto"/>
                <w:highlight w:val="none"/>
                <w:lang w:val="en-US" w:eastAsia="zh-CN"/>
              </w:rPr>
              <w:t xml:space="preserve">容完全满足本项目需求的得 </w:t>
            </w:r>
            <w:r>
              <w:rPr>
                <w:rFonts w:hint="eastAsia"/>
                <w:color w:val="auto"/>
                <w:highlight w:val="none"/>
                <w:lang w:val="en-US" w:eastAsia="zh-CN"/>
              </w:rPr>
              <w:t>25</w:t>
            </w:r>
            <w:r>
              <w:rPr>
                <w:rFonts w:hint="default"/>
                <w:color w:val="auto"/>
                <w:highlight w:val="none"/>
                <w:lang w:val="en-US" w:eastAsia="zh-CN"/>
              </w:rPr>
              <w:t xml:space="preserve">分，每缺少一项的扣 </w:t>
            </w:r>
            <w:r>
              <w:rPr>
                <w:rFonts w:hint="eastAsia"/>
                <w:color w:val="auto"/>
                <w:highlight w:val="none"/>
                <w:lang w:val="en-US" w:eastAsia="zh-CN"/>
              </w:rPr>
              <w:t>5</w:t>
            </w:r>
            <w:r>
              <w:rPr>
                <w:rFonts w:hint="default"/>
                <w:color w:val="auto"/>
                <w:highlight w:val="none"/>
                <w:lang w:val="en-US" w:eastAsia="zh-CN"/>
              </w:rPr>
              <w:t xml:space="preserve"> 分，每项内容中有缺陷的每处扣 </w:t>
            </w:r>
            <w:r>
              <w:rPr>
                <w:rFonts w:hint="eastAsia"/>
                <w:color w:val="auto"/>
                <w:highlight w:val="none"/>
                <w:lang w:val="en-US" w:eastAsia="zh-CN"/>
              </w:rPr>
              <w:t>2.5</w:t>
            </w:r>
            <w:r>
              <w:rPr>
                <w:rFonts w:hint="default"/>
                <w:color w:val="auto"/>
                <w:highlight w:val="none"/>
                <w:lang w:val="en-US" w:eastAsia="zh-CN"/>
              </w:rPr>
              <w:t xml:space="preserve"> 分，扣完为止（未提供的不计分）。</w:t>
            </w:r>
          </w:p>
          <w:p w14:paraId="792021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宋体"/>
                <w:color w:val="auto"/>
                <w:highlight w:val="none"/>
                <w:lang w:val="en-US" w:eastAsia="zh-CN"/>
              </w:rPr>
            </w:pPr>
            <w:r>
              <w:rPr>
                <w:rFonts w:hint="default"/>
                <w:color w:val="auto"/>
                <w:highlight w:val="none"/>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0DF6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930" w:type="dxa"/>
            <w:vMerge w:val="continue"/>
            <w:tcBorders>
              <w:top w:val="nil"/>
              <w:bottom w:val="nil"/>
            </w:tcBorders>
            <w:vAlign w:val="center"/>
          </w:tcPr>
          <w:p w14:paraId="4D1DD70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p>
        </w:tc>
        <w:tc>
          <w:tcPr>
            <w:tcW w:w="1030" w:type="dxa"/>
            <w:vMerge w:val="continue"/>
            <w:vAlign w:val="center"/>
          </w:tcPr>
          <w:p w14:paraId="2952AC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lang w:val="en-US" w:eastAsia="en-US"/>
              </w:rPr>
            </w:pPr>
          </w:p>
        </w:tc>
        <w:tc>
          <w:tcPr>
            <w:tcW w:w="960" w:type="dxa"/>
            <w:vAlign w:val="center"/>
          </w:tcPr>
          <w:p w14:paraId="6B2069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Arial" w:hAnsi="Arial" w:eastAsia="Arial" w:cs="Arial"/>
                <w:snapToGrid w:val="0"/>
                <w:color w:val="auto"/>
                <w:kern w:val="0"/>
                <w:sz w:val="21"/>
                <w:szCs w:val="21"/>
                <w:highlight w:val="none"/>
                <w:lang w:val="en-US" w:eastAsia="en-US" w:bidi="ar-SA"/>
              </w:rPr>
            </w:pPr>
            <w:r>
              <w:rPr>
                <w:rFonts w:hint="eastAsia"/>
                <w:color w:val="auto"/>
                <w:highlight w:val="none"/>
              </w:rPr>
              <w:t>质量保证措施</w:t>
            </w:r>
          </w:p>
        </w:tc>
        <w:tc>
          <w:tcPr>
            <w:tcW w:w="751" w:type="dxa"/>
            <w:vAlign w:val="center"/>
          </w:tcPr>
          <w:p w14:paraId="606A3C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rFonts w:hint="eastAsia" w:eastAsia="宋体"/>
                <w:color w:val="auto"/>
                <w:highlight w:val="none"/>
                <w:lang w:val="en-US" w:eastAsia="zh-CN"/>
              </w:rPr>
              <w:t>10</w:t>
            </w:r>
            <w:r>
              <w:rPr>
                <w:color w:val="auto"/>
                <w:highlight w:val="none"/>
              </w:rPr>
              <w:t>分</w:t>
            </w:r>
          </w:p>
        </w:tc>
        <w:tc>
          <w:tcPr>
            <w:tcW w:w="7270" w:type="dxa"/>
            <w:vAlign w:val="top"/>
          </w:tcPr>
          <w:p w14:paraId="319FFC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highlight w:val="none"/>
                <w:lang w:val="en-US" w:eastAsia="zh-CN"/>
              </w:rPr>
            </w:pPr>
            <w:r>
              <w:rPr>
                <w:rFonts w:hint="eastAsia"/>
                <w:color w:val="auto"/>
                <w:highlight w:val="none"/>
              </w:rPr>
              <w:t>供应商应结合本项目实际情况及特点，提供质量保证措施，包括但不限于：①</w:t>
            </w:r>
            <w:r>
              <w:rPr>
                <w:rFonts w:hint="eastAsia"/>
                <w:color w:val="auto"/>
                <w:highlight w:val="none"/>
                <w:lang w:val="en-US" w:eastAsia="zh-CN"/>
              </w:rPr>
              <w:t>人员素质保障措施、②服务质量保障措施、 ③方案执行保障措施、④各种突发状况下的应急措施、⑤预案保障措施等；内容完全满足本</w:t>
            </w:r>
            <w:r>
              <w:rPr>
                <w:rFonts w:hint="default"/>
                <w:color w:val="auto"/>
                <w:highlight w:val="none"/>
                <w:lang w:val="en-US" w:eastAsia="zh-CN"/>
              </w:rPr>
              <w:t xml:space="preserve">项目需求的得 </w:t>
            </w:r>
            <w:r>
              <w:rPr>
                <w:rFonts w:hint="eastAsia"/>
                <w:color w:val="auto"/>
                <w:highlight w:val="none"/>
                <w:lang w:val="en-US" w:eastAsia="zh-CN"/>
              </w:rPr>
              <w:t>10</w:t>
            </w:r>
            <w:r>
              <w:rPr>
                <w:rFonts w:hint="default"/>
                <w:color w:val="auto"/>
                <w:highlight w:val="none"/>
                <w:lang w:val="en-US" w:eastAsia="zh-CN"/>
              </w:rPr>
              <w:t xml:space="preserve"> 分，每缺少一项的扣 </w:t>
            </w:r>
            <w:r>
              <w:rPr>
                <w:rFonts w:hint="eastAsia"/>
                <w:color w:val="auto"/>
                <w:highlight w:val="none"/>
                <w:lang w:val="en-US" w:eastAsia="zh-CN"/>
              </w:rPr>
              <w:t>2</w:t>
            </w:r>
            <w:r>
              <w:rPr>
                <w:rFonts w:hint="default"/>
                <w:color w:val="auto"/>
                <w:highlight w:val="none"/>
                <w:lang w:val="en-US" w:eastAsia="zh-CN"/>
              </w:rPr>
              <w:t xml:space="preserve"> 分，每项内容中有缺陷的每处扣 1 分，扣完为止（未提供的不计分）。</w:t>
            </w:r>
          </w:p>
          <w:p w14:paraId="28266706">
            <w:pPr>
              <w:pStyle w:val="15"/>
              <w:spacing w:line="360" w:lineRule="auto"/>
              <w:ind w:left="0" w:leftChars="0" w:firstLine="0" w:firstLineChars="0"/>
              <w:rPr>
                <w:color w:val="auto"/>
                <w:highlight w:val="none"/>
              </w:rPr>
            </w:pPr>
            <w:r>
              <w:rPr>
                <w:rFonts w:hint="default"/>
                <w:color w:val="auto"/>
                <w:highlight w:val="none"/>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194B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930" w:type="dxa"/>
            <w:vMerge w:val="continue"/>
            <w:tcBorders>
              <w:top w:val="nil"/>
              <w:bottom w:val="nil"/>
            </w:tcBorders>
            <w:vAlign w:val="center"/>
          </w:tcPr>
          <w:p w14:paraId="539FB6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p>
        </w:tc>
        <w:tc>
          <w:tcPr>
            <w:tcW w:w="1030" w:type="dxa"/>
            <w:vMerge w:val="continue"/>
            <w:vAlign w:val="center"/>
          </w:tcPr>
          <w:p w14:paraId="3BCC71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p>
        </w:tc>
        <w:tc>
          <w:tcPr>
            <w:tcW w:w="960" w:type="dxa"/>
            <w:shd w:val="clear" w:color="auto" w:fill="auto"/>
            <w:vAlign w:val="top"/>
          </w:tcPr>
          <w:p w14:paraId="3DD7CF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highlight w:val="none"/>
              </w:rPr>
            </w:pPr>
          </w:p>
          <w:p w14:paraId="70BDE3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highlight w:val="none"/>
              </w:rPr>
            </w:pPr>
          </w:p>
          <w:p w14:paraId="32B3C3B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Arial" w:hAnsi="Arial" w:eastAsia="Arial" w:cs="Arial"/>
                <w:snapToGrid w:val="0"/>
                <w:color w:val="auto"/>
                <w:kern w:val="0"/>
                <w:sz w:val="21"/>
                <w:szCs w:val="21"/>
                <w:highlight w:val="none"/>
                <w:lang w:val="en-US" w:eastAsia="en-US" w:bidi="ar-SA"/>
              </w:rPr>
            </w:pPr>
            <w:r>
              <w:rPr>
                <w:rFonts w:hint="eastAsia"/>
                <w:color w:val="auto"/>
                <w:highlight w:val="none"/>
                <w:lang w:val="en-US" w:eastAsia="zh-CN"/>
              </w:rPr>
              <w:t>培训方案</w:t>
            </w:r>
          </w:p>
        </w:tc>
        <w:tc>
          <w:tcPr>
            <w:tcW w:w="751" w:type="dxa"/>
            <w:shd w:val="clear" w:color="auto" w:fill="auto"/>
            <w:vAlign w:val="top"/>
          </w:tcPr>
          <w:p w14:paraId="097274E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highlight w:val="none"/>
                <w:lang w:val="en-US" w:eastAsia="zh-CN"/>
              </w:rPr>
            </w:pPr>
          </w:p>
          <w:p w14:paraId="139854F9">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highlight w:val="none"/>
                <w:lang w:val="en-US" w:eastAsia="zh-CN"/>
              </w:rPr>
            </w:pPr>
          </w:p>
          <w:p w14:paraId="66A2F50C">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highlight w:val="none"/>
                <w:lang w:val="en-US" w:eastAsia="zh-CN"/>
              </w:rPr>
            </w:pPr>
          </w:p>
          <w:p w14:paraId="71A734C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Arial" w:hAnsi="Arial" w:eastAsia="宋体" w:cs="Arial"/>
                <w:snapToGrid w:val="0"/>
                <w:color w:val="auto"/>
                <w:kern w:val="0"/>
                <w:sz w:val="21"/>
                <w:szCs w:val="21"/>
                <w:highlight w:val="none"/>
                <w:lang w:val="en-US" w:eastAsia="zh-CN" w:bidi="ar-SA"/>
              </w:rPr>
            </w:pPr>
            <w:r>
              <w:rPr>
                <w:rFonts w:hint="eastAsia" w:eastAsia="宋体"/>
                <w:color w:val="auto"/>
                <w:highlight w:val="none"/>
                <w:lang w:val="en-US" w:eastAsia="zh-CN"/>
              </w:rPr>
              <w:t>9分</w:t>
            </w:r>
          </w:p>
        </w:tc>
        <w:tc>
          <w:tcPr>
            <w:tcW w:w="7270" w:type="dxa"/>
            <w:shd w:val="clear" w:color="auto" w:fill="auto"/>
            <w:vAlign w:val="top"/>
          </w:tcPr>
          <w:p w14:paraId="1CA84F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r>
              <w:rPr>
                <w:rFonts w:hint="eastAsia" w:eastAsia="宋体"/>
                <w:color w:val="auto"/>
                <w:highlight w:val="none"/>
                <w:lang w:val="en-US" w:eastAsia="zh-CN"/>
              </w:rPr>
              <w:t>供应商应结合本项目实际情况及特点，提供培训授课方案；</w:t>
            </w:r>
          </w:p>
          <w:p w14:paraId="5709D3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highlight w:val="none"/>
                <w:lang w:val="en-US" w:eastAsia="zh-CN"/>
              </w:rPr>
            </w:pPr>
            <w:r>
              <w:rPr>
                <w:rFonts w:hint="eastAsia"/>
                <w:color w:val="auto"/>
                <w:highlight w:val="none"/>
              </w:rPr>
              <w:t>①</w:t>
            </w:r>
            <w:r>
              <w:rPr>
                <w:rFonts w:hint="eastAsia" w:cs="Arial"/>
                <w:snapToGrid w:val="0"/>
                <w:color w:val="auto"/>
                <w:kern w:val="0"/>
                <w:sz w:val="21"/>
                <w:szCs w:val="21"/>
                <w:highlight w:val="none"/>
                <w:lang w:val="en-US" w:eastAsia="zh-CN" w:bidi="ar-SA"/>
              </w:rPr>
              <w:t>培训内容、</w:t>
            </w:r>
            <w:r>
              <w:rPr>
                <w:rFonts w:hint="eastAsia"/>
                <w:color w:val="auto"/>
                <w:highlight w:val="none"/>
              </w:rPr>
              <w:t>②培训方式</w:t>
            </w:r>
            <w:r>
              <w:rPr>
                <w:rFonts w:hint="eastAsia" w:eastAsia="宋体"/>
                <w:color w:val="auto"/>
                <w:highlight w:val="none"/>
                <w:lang w:eastAsia="zh-CN"/>
              </w:rPr>
              <w:t>、</w:t>
            </w:r>
            <w:r>
              <w:rPr>
                <w:rFonts w:hint="eastAsia"/>
                <w:color w:val="auto"/>
                <w:highlight w:val="none"/>
              </w:rPr>
              <w:t>③</w:t>
            </w:r>
            <w:r>
              <w:rPr>
                <w:rFonts w:hint="eastAsia" w:eastAsia="宋体"/>
                <w:color w:val="auto"/>
                <w:highlight w:val="none"/>
                <w:lang w:eastAsia="zh-CN"/>
              </w:rPr>
              <w:t>培训计划；</w:t>
            </w:r>
            <w:r>
              <w:rPr>
                <w:rFonts w:hint="eastAsia" w:eastAsia="宋体"/>
                <w:color w:val="auto"/>
                <w:highlight w:val="none"/>
                <w:lang w:val="en-US" w:eastAsia="zh-CN"/>
              </w:rPr>
              <w:t>供应商</w:t>
            </w:r>
            <w:r>
              <w:rPr>
                <w:rFonts w:hint="eastAsia" w:eastAsia="宋体"/>
                <w:color w:val="auto"/>
                <w:highlight w:val="none"/>
                <w:lang w:eastAsia="zh-CN"/>
              </w:rPr>
              <w:t>提供完整的项目培训方案，条理清晰，安排合理，符合项目实际的，</w:t>
            </w:r>
            <w:r>
              <w:rPr>
                <w:rFonts w:hint="eastAsia"/>
                <w:color w:val="auto"/>
                <w:highlight w:val="none"/>
                <w:lang w:val="en-US" w:eastAsia="zh-CN"/>
              </w:rPr>
              <w:t>内容完全满足本</w:t>
            </w:r>
            <w:r>
              <w:rPr>
                <w:rFonts w:hint="default"/>
                <w:color w:val="auto"/>
                <w:highlight w:val="none"/>
                <w:lang w:val="en-US" w:eastAsia="zh-CN"/>
              </w:rPr>
              <w:t xml:space="preserve">项目需求的得 </w:t>
            </w:r>
            <w:r>
              <w:rPr>
                <w:rFonts w:hint="eastAsia"/>
                <w:color w:val="auto"/>
                <w:highlight w:val="none"/>
                <w:lang w:val="en-US" w:eastAsia="zh-CN"/>
              </w:rPr>
              <w:t>9</w:t>
            </w:r>
            <w:r>
              <w:rPr>
                <w:rFonts w:hint="default"/>
                <w:color w:val="auto"/>
                <w:highlight w:val="none"/>
                <w:lang w:val="en-US" w:eastAsia="zh-CN"/>
              </w:rPr>
              <w:t xml:space="preserve">分，每缺少一项的扣 </w:t>
            </w:r>
            <w:r>
              <w:rPr>
                <w:rFonts w:hint="eastAsia"/>
                <w:color w:val="auto"/>
                <w:highlight w:val="none"/>
                <w:lang w:val="en-US" w:eastAsia="zh-CN"/>
              </w:rPr>
              <w:t>3</w:t>
            </w:r>
            <w:r>
              <w:rPr>
                <w:rFonts w:hint="default"/>
                <w:color w:val="auto"/>
                <w:highlight w:val="none"/>
                <w:lang w:val="en-US" w:eastAsia="zh-CN"/>
              </w:rPr>
              <w:t xml:space="preserve"> 分，每项内容中有缺陷的每处扣 1 </w:t>
            </w:r>
            <w:r>
              <w:rPr>
                <w:rFonts w:hint="eastAsia"/>
                <w:color w:val="auto"/>
                <w:highlight w:val="none"/>
                <w:lang w:val="en-US" w:eastAsia="zh-CN"/>
              </w:rPr>
              <w:t>.5</w:t>
            </w:r>
            <w:r>
              <w:rPr>
                <w:rFonts w:hint="default"/>
                <w:color w:val="auto"/>
                <w:highlight w:val="none"/>
                <w:lang w:val="en-US" w:eastAsia="zh-CN"/>
              </w:rPr>
              <w:t>分，扣完为止（未提供的不计分）。</w:t>
            </w:r>
          </w:p>
          <w:p w14:paraId="517314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highlight w:val="none"/>
                <w:lang w:val="en-US" w:eastAsia="zh-CN"/>
              </w:rPr>
            </w:pPr>
            <w:r>
              <w:rPr>
                <w:rFonts w:hint="default"/>
                <w:color w:val="auto"/>
                <w:highlight w:val="none"/>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736E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930" w:type="dxa"/>
            <w:vMerge w:val="continue"/>
            <w:tcBorders>
              <w:top w:val="nil"/>
              <w:bottom w:val="nil"/>
            </w:tcBorders>
            <w:vAlign w:val="top"/>
          </w:tcPr>
          <w:p w14:paraId="0639D4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p>
        </w:tc>
        <w:tc>
          <w:tcPr>
            <w:tcW w:w="1030" w:type="dxa"/>
            <w:vMerge w:val="continue"/>
            <w:vAlign w:val="top"/>
          </w:tcPr>
          <w:p w14:paraId="04A3E7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p>
        </w:tc>
        <w:tc>
          <w:tcPr>
            <w:tcW w:w="960" w:type="dxa"/>
            <w:shd w:val="clear" w:color="auto" w:fill="auto"/>
            <w:vAlign w:val="center"/>
          </w:tcPr>
          <w:p w14:paraId="52A2239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Arial" w:hAnsi="Arial" w:eastAsia="Arial" w:cs="Arial"/>
                <w:snapToGrid w:val="0"/>
                <w:color w:val="auto"/>
                <w:kern w:val="0"/>
                <w:sz w:val="21"/>
                <w:szCs w:val="21"/>
                <w:highlight w:val="none"/>
                <w:lang w:val="en-US" w:eastAsia="en-US" w:bidi="ar-SA"/>
              </w:rPr>
            </w:pPr>
            <w:r>
              <w:rPr>
                <w:rFonts w:hint="eastAsia"/>
                <w:color w:val="auto"/>
                <w:highlight w:val="none"/>
              </w:rPr>
              <w:t>进度安排</w:t>
            </w:r>
          </w:p>
        </w:tc>
        <w:tc>
          <w:tcPr>
            <w:tcW w:w="751" w:type="dxa"/>
            <w:shd w:val="clear" w:color="auto" w:fill="auto"/>
            <w:vAlign w:val="center"/>
          </w:tcPr>
          <w:p w14:paraId="247BC81B">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rFonts w:hint="default" w:ascii="Arial" w:hAnsi="Arial" w:eastAsia="Arial" w:cs="Arial"/>
                <w:snapToGrid w:val="0"/>
                <w:color w:val="auto"/>
                <w:kern w:val="0"/>
                <w:sz w:val="21"/>
                <w:szCs w:val="21"/>
                <w:highlight w:val="none"/>
                <w:lang w:val="en-US" w:eastAsia="zh-CN" w:bidi="ar-SA"/>
              </w:rPr>
            </w:pPr>
            <w:r>
              <w:rPr>
                <w:rFonts w:hint="eastAsia"/>
                <w:color w:val="auto"/>
                <w:highlight w:val="none"/>
                <w:lang w:val="en-US" w:eastAsia="zh-CN"/>
              </w:rPr>
              <w:t>9</w:t>
            </w:r>
            <w:r>
              <w:rPr>
                <w:color w:val="auto"/>
                <w:highlight w:val="none"/>
              </w:rPr>
              <w:t>分</w:t>
            </w:r>
          </w:p>
        </w:tc>
        <w:tc>
          <w:tcPr>
            <w:tcW w:w="7270" w:type="dxa"/>
            <w:shd w:val="clear" w:color="auto" w:fill="auto"/>
            <w:vAlign w:val="top"/>
          </w:tcPr>
          <w:p w14:paraId="0585ED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eastAsia="zh-CN"/>
              </w:rPr>
            </w:pPr>
            <w:r>
              <w:rPr>
                <w:rFonts w:hint="eastAsia"/>
                <w:color w:val="auto"/>
                <w:highlight w:val="none"/>
              </w:rPr>
              <w:t>供应商应结合本项目实际情况及特点，提供工作进度计划安排，包括但不限于：①项目的总体计划安排；②各子项任务的衔接；③保证工作进度计划措施等内容。评标委员会对以上内容进行评审</w:t>
            </w:r>
            <w:r>
              <w:rPr>
                <w:rFonts w:hint="eastAsia" w:eastAsia="宋体"/>
                <w:color w:val="auto"/>
                <w:highlight w:val="none"/>
                <w:lang w:eastAsia="zh-CN"/>
              </w:rPr>
              <w:t>：</w:t>
            </w:r>
          </w:p>
          <w:p w14:paraId="7E6363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highlight w:val="none"/>
                <w:lang w:val="en-US" w:eastAsia="zh-CN"/>
              </w:rPr>
            </w:pPr>
            <w:r>
              <w:rPr>
                <w:rFonts w:hint="eastAsia"/>
                <w:color w:val="auto"/>
                <w:highlight w:val="none"/>
                <w:lang w:val="en-US" w:eastAsia="zh-CN"/>
              </w:rPr>
              <w:t>内容完全满足本</w:t>
            </w:r>
            <w:r>
              <w:rPr>
                <w:rFonts w:hint="default"/>
                <w:color w:val="auto"/>
                <w:highlight w:val="none"/>
                <w:lang w:val="en-US" w:eastAsia="zh-CN"/>
              </w:rPr>
              <w:t xml:space="preserve">项目需求的得 </w:t>
            </w:r>
            <w:r>
              <w:rPr>
                <w:rFonts w:hint="eastAsia"/>
                <w:color w:val="auto"/>
                <w:highlight w:val="none"/>
                <w:lang w:val="en-US" w:eastAsia="zh-CN"/>
              </w:rPr>
              <w:t>9</w:t>
            </w:r>
            <w:r>
              <w:rPr>
                <w:rFonts w:hint="default"/>
                <w:color w:val="auto"/>
                <w:highlight w:val="none"/>
                <w:lang w:val="en-US" w:eastAsia="zh-CN"/>
              </w:rPr>
              <w:t xml:space="preserve">分，每缺少一项的扣 </w:t>
            </w:r>
            <w:r>
              <w:rPr>
                <w:rFonts w:hint="eastAsia"/>
                <w:color w:val="auto"/>
                <w:highlight w:val="none"/>
                <w:lang w:val="en-US" w:eastAsia="zh-CN"/>
              </w:rPr>
              <w:t>3</w:t>
            </w:r>
            <w:r>
              <w:rPr>
                <w:rFonts w:hint="default"/>
                <w:color w:val="auto"/>
                <w:highlight w:val="none"/>
                <w:lang w:val="en-US" w:eastAsia="zh-CN"/>
              </w:rPr>
              <w:t xml:space="preserve"> 分，每项内容中有缺陷的每处扣 1 </w:t>
            </w:r>
            <w:r>
              <w:rPr>
                <w:rFonts w:hint="eastAsia"/>
                <w:color w:val="auto"/>
                <w:highlight w:val="none"/>
                <w:lang w:val="en-US" w:eastAsia="zh-CN"/>
              </w:rPr>
              <w:t>.5</w:t>
            </w:r>
            <w:r>
              <w:rPr>
                <w:rFonts w:hint="default"/>
                <w:color w:val="auto"/>
                <w:highlight w:val="none"/>
                <w:lang w:val="en-US" w:eastAsia="zh-CN"/>
              </w:rPr>
              <w:t>分，扣完为止（未提供的不计分）。</w:t>
            </w:r>
          </w:p>
          <w:p w14:paraId="0A719C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Arial" w:hAnsi="Arial" w:eastAsia="Arial" w:cs="Arial"/>
                <w:snapToGrid w:val="0"/>
                <w:color w:val="auto"/>
                <w:kern w:val="0"/>
                <w:sz w:val="21"/>
                <w:szCs w:val="21"/>
                <w:highlight w:val="none"/>
                <w:lang w:val="en-US" w:eastAsia="zh-CN" w:bidi="ar-SA"/>
              </w:rPr>
            </w:pPr>
            <w:r>
              <w:rPr>
                <w:rFonts w:hint="default"/>
                <w:color w:val="auto"/>
                <w:highlight w:val="none"/>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6122F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930" w:type="dxa"/>
            <w:vMerge w:val="continue"/>
            <w:tcBorders>
              <w:top w:val="nil"/>
              <w:bottom w:val="nil"/>
            </w:tcBorders>
            <w:vAlign w:val="top"/>
          </w:tcPr>
          <w:p w14:paraId="0DA1DB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p>
        </w:tc>
        <w:tc>
          <w:tcPr>
            <w:tcW w:w="1030" w:type="dxa"/>
            <w:vMerge w:val="continue"/>
            <w:vAlign w:val="top"/>
          </w:tcPr>
          <w:p w14:paraId="2325A3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p>
        </w:tc>
        <w:tc>
          <w:tcPr>
            <w:tcW w:w="960" w:type="dxa"/>
            <w:vAlign w:val="top"/>
          </w:tcPr>
          <w:p w14:paraId="2C674B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p>
          <w:p w14:paraId="621FD1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p>
          <w:p w14:paraId="06965F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p>
          <w:p w14:paraId="773925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服务承诺</w:t>
            </w:r>
          </w:p>
        </w:tc>
        <w:tc>
          <w:tcPr>
            <w:tcW w:w="751" w:type="dxa"/>
            <w:vAlign w:val="top"/>
          </w:tcPr>
          <w:p w14:paraId="4D004C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p>
          <w:p w14:paraId="5622A7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highlight w:val="none"/>
                <w:lang w:val="en-US" w:eastAsia="zh-CN"/>
              </w:rPr>
            </w:pPr>
          </w:p>
          <w:p w14:paraId="13E29B3C">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highlight w:val="none"/>
                <w:lang w:val="en-US" w:eastAsia="zh-CN"/>
              </w:rPr>
            </w:pPr>
          </w:p>
          <w:p w14:paraId="682556E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rFonts w:hint="eastAsia" w:eastAsia="宋体"/>
                <w:color w:val="auto"/>
                <w:highlight w:val="none"/>
                <w:lang w:val="en-US" w:eastAsia="zh-CN"/>
              </w:rPr>
              <w:t>9</w:t>
            </w:r>
            <w:r>
              <w:rPr>
                <w:color w:val="auto"/>
                <w:highlight w:val="none"/>
              </w:rPr>
              <w:t>分</w:t>
            </w:r>
          </w:p>
        </w:tc>
        <w:tc>
          <w:tcPr>
            <w:tcW w:w="7270" w:type="dxa"/>
            <w:vAlign w:val="top"/>
          </w:tcPr>
          <w:p w14:paraId="49533D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highlight w:val="none"/>
                <w:lang w:val="en-US" w:eastAsia="zh-CN"/>
              </w:rPr>
            </w:pPr>
            <w:r>
              <w:rPr>
                <w:rFonts w:hint="eastAsia"/>
                <w:color w:val="auto"/>
                <w:highlight w:val="none"/>
                <w:lang w:val="en-US" w:eastAsia="zh-CN"/>
              </w:rPr>
              <w:t>对供应商提供的服务承诺进行综合评定，提供的此项内容描述能最大限度的满足项目需求，有详尽的后续服务内容、提供的服务承诺等内容；</w:t>
            </w:r>
          </w:p>
          <w:p w14:paraId="05D5C3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highlight w:val="none"/>
                <w:lang w:val="en-US" w:eastAsia="zh-CN"/>
              </w:rPr>
            </w:pPr>
            <w:r>
              <w:rPr>
                <w:rFonts w:hint="eastAsia"/>
                <w:color w:val="auto"/>
                <w:highlight w:val="none"/>
                <w:lang w:val="en-US" w:eastAsia="zh-CN"/>
              </w:rPr>
              <w:t>①后续服务工作安排 ②服务承诺 ③保障措施进行综合评审： 内容完全满足本项目需求的得 9分，每缺少一项的扣3分，每项内容中有</w:t>
            </w:r>
            <w:r>
              <w:rPr>
                <w:rFonts w:hint="default"/>
                <w:color w:val="auto"/>
                <w:highlight w:val="none"/>
                <w:lang w:val="en-US" w:eastAsia="zh-CN"/>
              </w:rPr>
              <w:t>缺陷</w:t>
            </w:r>
            <w:r>
              <w:rPr>
                <w:rFonts w:hint="eastAsia"/>
                <w:color w:val="auto"/>
                <w:highlight w:val="none"/>
                <w:lang w:val="en-US" w:eastAsia="zh-CN"/>
              </w:rPr>
              <w:t>的每处扣 1.5分，扣完为止（未提供的不计分）。</w:t>
            </w:r>
          </w:p>
          <w:p w14:paraId="5F1DDF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highlight w:val="none"/>
                <w:lang w:val="en-US" w:eastAsia="zh-CN"/>
              </w:rPr>
            </w:pPr>
            <w:r>
              <w:rPr>
                <w:rFonts w:hint="default"/>
                <w:color w:val="auto"/>
                <w:highlight w:val="none"/>
                <w:lang w:val="en-US" w:eastAsia="zh-CN"/>
              </w:rPr>
              <w:t>注：缺陷是指：不切合项目实际、内容不完全满足项目要求、逻辑或原理错误、内容不完整或缺少关键节点、套用其他项目方案、内容前后矛盾、涉及的规范及标准错误等任意一种情形。</w:t>
            </w:r>
          </w:p>
        </w:tc>
      </w:tr>
    </w:tbl>
    <w:p w14:paraId="4D0E570C">
      <w:pPr>
        <w:spacing w:line="220" w:lineRule="auto"/>
        <w:rPr>
          <w:rFonts w:hint="eastAsia" w:ascii="宋体" w:hAnsi="宋体" w:eastAsia="宋体" w:cs="宋体"/>
          <w:color w:val="auto"/>
          <w:sz w:val="24"/>
          <w:szCs w:val="24"/>
          <w:highlight w:val="none"/>
        </w:rPr>
        <w:sectPr>
          <w:footerReference r:id="rId30" w:type="default"/>
          <w:pgSz w:w="11906" w:h="16840"/>
          <w:pgMar w:top="1431" w:right="954" w:bottom="892" w:left="941" w:header="0" w:footer="723" w:gutter="0"/>
          <w:pgNumType w:fmt="decimal"/>
          <w:cols w:space="720" w:num="1"/>
        </w:sectPr>
      </w:pPr>
    </w:p>
    <w:p w14:paraId="15F78505">
      <w:pPr>
        <w:pStyle w:val="9"/>
        <w:spacing w:before="98" w:line="218" w:lineRule="auto"/>
        <w:jc w:val="center"/>
        <w:rPr>
          <w:rFonts w:hint="eastAsia" w:ascii="宋体" w:hAnsi="宋体" w:eastAsia="宋体" w:cs="宋体"/>
          <w:color w:val="auto"/>
          <w:sz w:val="30"/>
          <w:szCs w:val="30"/>
          <w:highlight w:val="none"/>
          <w:lang w:eastAsia="zh-CN"/>
        </w:rPr>
      </w:pPr>
    </w:p>
    <w:p w14:paraId="4E77F6A8">
      <w:pPr>
        <w:pStyle w:val="9"/>
        <w:spacing w:before="98" w:line="218" w:lineRule="auto"/>
        <w:jc w:val="center"/>
        <w:rPr>
          <w:rFonts w:hint="eastAsia" w:ascii="宋体" w:hAnsi="宋体" w:eastAsia="宋体" w:cs="宋体"/>
          <w:color w:val="auto"/>
          <w:sz w:val="30"/>
          <w:szCs w:val="30"/>
          <w:highlight w:val="none"/>
          <w:lang w:eastAsia="zh-CN"/>
        </w:rPr>
      </w:pPr>
    </w:p>
    <w:p w14:paraId="778516EA">
      <w:pPr>
        <w:pStyle w:val="9"/>
        <w:spacing w:before="98" w:line="218" w:lineRule="auto"/>
        <w:jc w:val="center"/>
        <w:rPr>
          <w:rFonts w:hint="eastAsia" w:ascii="宋体" w:hAnsi="宋体" w:eastAsia="宋体" w:cs="宋体"/>
          <w:color w:val="auto"/>
          <w:sz w:val="30"/>
          <w:szCs w:val="30"/>
          <w:highlight w:val="none"/>
          <w:lang w:eastAsia="zh-CN"/>
        </w:rPr>
      </w:pPr>
    </w:p>
    <w:p w14:paraId="08DC75CC">
      <w:pPr>
        <w:pStyle w:val="9"/>
        <w:spacing w:before="98" w:line="218" w:lineRule="auto"/>
        <w:jc w:val="center"/>
        <w:rPr>
          <w:rFonts w:hint="eastAsia" w:ascii="宋体" w:hAnsi="宋体" w:eastAsia="宋体" w:cs="宋体"/>
          <w:color w:val="auto"/>
          <w:sz w:val="30"/>
          <w:szCs w:val="30"/>
          <w:highlight w:val="none"/>
          <w:lang w:eastAsia="zh-CN"/>
        </w:rPr>
      </w:pPr>
    </w:p>
    <w:p w14:paraId="3C3154CA">
      <w:pPr>
        <w:pStyle w:val="9"/>
        <w:spacing w:before="98" w:line="218" w:lineRule="auto"/>
        <w:jc w:val="center"/>
        <w:rPr>
          <w:rFonts w:hint="eastAsia" w:ascii="宋体" w:hAnsi="宋体" w:eastAsia="宋体" w:cs="宋体"/>
          <w:color w:val="auto"/>
          <w:sz w:val="30"/>
          <w:szCs w:val="30"/>
          <w:highlight w:val="none"/>
          <w:lang w:eastAsia="zh-CN"/>
        </w:rPr>
      </w:pPr>
    </w:p>
    <w:p w14:paraId="07083549">
      <w:pPr>
        <w:spacing w:line="253" w:lineRule="auto"/>
        <w:rPr>
          <w:rFonts w:hint="eastAsia" w:ascii="宋体" w:hAnsi="宋体" w:eastAsia="宋体" w:cs="宋体"/>
          <w:color w:val="auto"/>
          <w:sz w:val="21"/>
          <w:highlight w:val="none"/>
        </w:rPr>
      </w:pPr>
    </w:p>
    <w:p w14:paraId="0C1F5F31">
      <w:pPr>
        <w:spacing w:line="254" w:lineRule="auto"/>
        <w:rPr>
          <w:rFonts w:hint="eastAsia" w:ascii="宋体" w:hAnsi="宋体" w:eastAsia="宋体" w:cs="宋体"/>
          <w:color w:val="auto"/>
          <w:sz w:val="21"/>
          <w:highlight w:val="none"/>
        </w:rPr>
      </w:pPr>
    </w:p>
    <w:p w14:paraId="381FCF99">
      <w:pPr>
        <w:spacing w:line="254" w:lineRule="auto"/>
        <w:rPr>
          <w:rFonts w:hint="eastAsia" w:ascii="宋体" w:hAnsi="宋体" w:eastAsia="宋体" w:cs="宋体"/>
          <w:color w:val="auto"/>
          <w:sz w:val="21"/>
          <w:highlight w:val="none"/>
        </w:rPr>
      </w:pPr>
    </w:p>
    <w:p w14:paraId="05A86709">
      <w:pPr>
        <w:spacing w:line="254" w:lineRule="auto"/>
        <w:rPr>
          <w:rFonts w:hint="eastAsia" w:ascii="宋体" w:hAnsi="宋体" w:eastAsia="宋体" w:cs="宋体"/>
          <w:color w:val="auto"/>
          <w:sz w:val="21"/>
          <w:highlight w:val="none"/>
        </w:rPr>
      </w:pPr>
    </w:p>
    <w:p w14:paraId="5BDDBC13">
      <w:pPr>
        <w:spacing w:line="254" w:lineRule="auto"/>
        <w:rPr>
          <w:rFonts w:hint="eastAsia" w:ascii="宋体" w:hAnsi="宋体" w:eastAsia="宋体" w:cs="宋体"/>
          <w:color w:val="auto"/>
          <w:sz w:val="21"/>
          <w:highlight w:val="none"/>
        </w:rPr>
      </w:pPr>
    </w:p>
    <w:p w14:paraId="70CB18E5">
      <w:pPr>
        <w:spacing w:before="150" w:line="223" w:lineRule="auto"/>
        <w:jc w:val="center"/>
        <w:rPr>
          <w:rFonts w:hint="eastAsia" w:ascii="宋体" w:hAnsi="宋体" w:eastAsia="宋体" w:cs="宋体"/>
          <w:color w:val="auto"/>
          <w:sz w:val="46"/>
          <w:szCs w:val="46"/>
          <w:highlight w:val="none"/>
        </w:rPr>
      </w:pPr>
      <w:r>
        <w:rPr>
          <w:rFonts w:hint="eastAsia" w:ascii="宋体" w:hAnsi="宋体" w:eastAsia="宋体" w:cs="宋体"/>
          <w:color w:val="auto"/>
          <w:spacing w:val="-18"/>
          <w:sz w:val="46"/>
          <w:szCs w:val="46"/>
          <w:highlight w:val="none"/>
        </w:rPr>
        <w:t>第三册</w:t>
      </w:r>
    </w:p>
    <w:p w14:paraId="22459749">
      <w:pPr>
        <w:spacing w:line="223" w:lineRule="auto"/>
        <w:rPr>
          <w:rFonts w:hint="eastAsia" w:ascii="宋体" w:hAnsi="宋体" w:eastAsia="宋体" w:cs="宋体"/>
          <w:color w:val="auto"/>
          <w:sz w:val="46"/>
          <w:szCs w:val="46"/>
          <w:highlight w:val="none"/>
        </w:rPr>
        <w:sectPr>
          <w:footerReference r:id="rId31" w:type="default"/>
          <w:pgSz w:w="11906" w:h="16840"/>
          <w:pgMar w:top="1431" w:right="1098" w:bottom="1184" w:left="1125" w:header="0" w:footer="1015" w:gutter="0"/>
          <w:pgNumType w:fmt="decimal"/>
          <w:cols w:space="720" w:num="1"/>
        </w:sectPr>
      </w:pPr>
    </w:p>
    <w:p w14:paraId="167D58D3">
      <w:pPr>
        <w:spacing w:before="98" w:line="229" w:lineRule="auto"/>
        <w:ind w:left="2133"/>
        <w:outlineLvl w:val="0"/>
        <w:rPr>
          <w:rFonts w:hint="eastAsia" w:ascii="宋体" w:hAnsi="宋体" w:eastAsia="宋体" w:cs="宋体"/>
          <w:b/>
          <w:bCs/>
          <w:color w:val="auto"/>
          <w:spacing w:val="1"/>
          <w:sz w:val="30"/>
          <w:szCs w:val="30"/>
          <w:highlight w:val="none"/>
        </w:rPr>
      </w:pPr>
      <w:bookmarkStart w:id="118" w:name="bookmark54"/>
      <w:bookmarkEnd w:id="118"/>
      <w:r>
        <w:rPr>
          <w:rFonts w:hint="eastAsia" w:ascii="宋体" w:hAnsi="宋体" w:eastAsia="宋体" w:cs="宋体"/>
          <w:b/>
          <w:bCs/>
          <w:color w:val="auto"/>
          <w:spacing w:val="1"/>
          <w:sz w:val="30"/>
          <w:szCs w:val="30"/>
          <w:highlight w:val="none"/>
        </w:rPr>
        <w:t>第7章</w:t>
      </w:r>
      <w:r>
        <w:rPr>
          <w:rFonts w:hint="eastAsia" w:ascii="宋体" w:hAnsi="宋体" w:eastAsia="宋体" w:cs="宋体"/>
          <w:color w:val="auto"/>
          <w:spacing w:val="26"/>
          <w:sz w:val="30"/>
          <w:szCs w:val="30"/>
          <w:highlight w:val="none"/>
        </w:rPr>
        <w:t xml:space="preserve">  </w:t>
      </w:r>
      <w:r>
        <w:rPr>
          <w:rFonts w:hint="eastAsia" w:ascii="宋体" w:hAnsi="宋体" w:eastAsia="宋体" w:cs="宋体"/>
          <w:b/>
          <w:bCs/>
          <w:color w:val="auto"/>
          <w:spacing w:val="1"/>
          <w:sz w:val="30"/>
          <w:szCs w:val="30"/>
          <w:highlight w:val="none"/>
        </w:rPr>
        <w:t>政府采购合同</w:t>
      </w:r>
    </w:p>
    <w:p w14:paraId="1D437A7B">
      <w:pPr>
        <w:pStyle w:val="6"/>
        <w:rPr>
          <w:rFonts w:hint="eastAsia"/>
          <w:color w:val="auto"/>
          <w:highlight w:val="none"/>
        </w:rPr>
      </w:pPr>
    </w:p>
    <w:p w14:paraId="168B487F">
      <w:pPr>
        <w:rPr>
          <w:rFonts w:hint="eastAsia"/>
          <w:color w:val="auto"/>
          <w:highlight w:val="none"/>
        </w:rPr>
      </w:pPr>
    </w:p>
    <w:p w14:paraId="41E353F8">
      <w:pPr>
        <w:spacing w:line="280" w:lineRule="auto"/>
        <w:rPr>
          <w:rFonts w:hint="eastAsia" w:ascii="宋体" w:hAnsi="宋体" w:eastAsia="宋体" w:cs="宋体"/>
          <w:color w:val="auto"/>
          <w:sz w:val="21"/>
          <w:highlight w:val="none"/>
        </w:rPr>
      </w:pPr>
    </w:p>
    <w:p w14:paraId="7A0DCF61">
      <w:pPr>
        <w:pStyle w:val="9"/>
        <w:numPr>
          <w:ilvl w:val="0"/>
          <w:numId w:val="0"/>
        </w:numPr>
        <w:spacing w:before="135" w:line="360" w:lineRule="auto"/>
        <w:jc w:val="both"/>
        <w:rPr>
          <w:rFonts w:hint="eastAsia"/>
          <w:color w:val="auto"/>
          <w:highlight w:val="none"/>
          <w:u w:val="single"/>
          <w:lang w:val="en-US" w:eastAsia="zh-CN"/>
        </w:rPr>
      </w:pPr>
      <w:r>
        <w:rPr>
          <w:color w:val="auto"/>
          <w:highlight w:val="none"/>
        </w:rPr>
        <w:t>合同编号：</w:t>
      </w:r>
      <w:r>
        <w:rPr>
          <w:rFonts w:hint="eastAsia"/>
          <w:color w:val="auto"/>
          <w:highlight w:val="none"/>
          <w:u w:val="single"/>
          <w:lang w:val="en-US" w:eastAsia="zh-CN"/>
        </w:rPr>
        <w:t xml:space="preserve">             </w:t>
      </w:r>
    </w:p>
    <w:p w14:paraId="00259D67">
      <w:pPr>
        <w:pStyle w:val="9"/>
        <w:numPr>
          <w:ilvl w:val="0"/>
          <w:numId w:val="0"/>
        </w:numPr>
        <w:spacing w:before="135" w:line="360" w:lineRule="auto"/>
        <w:jc w:val="both"/>
        <w:rPr>
          <w:rFonts w:hint="eastAsia"/>
          <w:color w:val="auto"/>
          <w:highlight w:val="none"/>
          <w:u w:val="single"/>
          <w:lang w:val="en-US" w:eastAsia="zh-CN"/>
        </w:rPr>
      </w:pPr>
    </w:p>
    <w:p w14:paraId="5CAA4164">
      <w:pPr>
        <w:pStyle w:val="9"/>
        <w:spacing w:before="334" w:line="219" w:lineRule="auto"/>
        <w:ind w:left="2536"/>
        <w:rPr>
          <w:color w:val="auto"/>
          <w:sz w:val="40"/>
          <w:szCs w:val="40"/>
          <w:highlight w:val="none"/>
        </w:rPr>
      </w:pPr>
      <w:r>
        <w:rPr>
          <w:b/>
          <w:bCs/>
          <w:color w:val="auto"/>
          <w:spacing w:val="-4"/>
          <w:sz w:val="40"/>
          <w:szCs w:val="40"/>
          <w:highlight w:val="none"/>
        </w:rPr>
        <w:t>政府采购合同参考范本</w:t>
      </w:r>
    </w:p>
    <w:p w14:paraId="370B2BB2">
      <w:pPr>
        <w:pStyle w:val="9"/>
        <w:spacing w:before="277" w:line="220" w:lineRule="auto"/>
        <w:ind w:left="3991"/>
        <w:rPr>
          <w:color w:val="auto"/>
          <w:sz w:val="22"/>
          <w:szCs w:val="22"/>
          <w:highlight w:val="none"/>
        </w:rPr>
      </w:pPr>
      <w:r>
        <w:rPr>
          <w:b/>
          <w:bCs/>
          <w:color w:val="auto"/>
          <w:spacing w:val="-7"/>
          <w:sz w:val="22"/>
          <w:szCs w:val="22"/>
          <w:highlight w:val="none"/>
        </w:rPr>
        <w:t>（服务类）</w:t>
      </w:r>
    </w:p>
    <w:p w14:paraId="5D49ECCA">
      <w:pPr>
        <w:spacing w:line="281" w:lineRule="auto"/>
        <w:rPr>
          <w:rFonts w:ascii="Arial"/>
          <w:color w:val="auto"/>
          <w:sz w:val="21"/>
          <w:highlight w:val="none"/>
        </w:rPr>
      </w:pPr>
    </w:p>
    <w:p w14:paraId="423D359E">
      <w:pPr>
        <w:spacing w:line="281" w:lineRule="auto"/>
        <w:rPr>
          <w:rFonts w:ascii="Arial"/>
          <w:color w:val="auto"/>
          <w:sz w:val="21"/>
          <w:highlight w:val="none"/>
        </w:rPr>
      </w:pPr>
    </w:p>
    <w:p w14:paraId="23092DFC">
      <w:pPr>
        <w:spacing w:line="282" w:lineRule="auto"/>
        <w:rPr>
          <w:rFonts w:ascii="Arial"/>
          <w:color w:val="auto"/>
          <w:sz w:val="21"/>
          <w:highlight w:val="none"/>
        </w:rPr>
      </w:pPr>
    </w:p>
    <w:p w14:paraId="00EB490D">
      <w:pPr>
        <w:pStyle w:val="6"/>
        <w:rPr>
          <w:rFonts w:ascii="Arial"/>
          <w:color w:val="auto"/>
          <w:sz w:val="21"/>
          <w:highlight w:val="none"/>
        </w:rPr>
      </w:pPr>
    </w:p>
    <w:p w14:paraId="0EF5FF5D">
      <w:pPr>
        <w:rPr>
          <w:color w:val="auto"/>
          <w:highlight w:val="none"/>
        </w:rPr>
      </w:pPr>
    </w:p>
    <w:p w14:paraId="5D75A209">
      <w:pPr>
        <w:spacing w:line="282" w:lineRule="auto"/>
        <w:rPr>
          <w:rFonts w:ascii="Arial"/>
          <w:color w:val="auto"/>
          <w:sz w:val="21"/>
          <w:highlight w:val="none"/>
        </w:rPr>
      </w:pPr>
    </w:p>
    <w:p w14:paraId="2C6069FF">
      <w:pPr>
        <w:spacing w:line="282" w:lineRule="auto"/>
        <w:rPr>
          <w:rFonts w:ascii="Arial"/>
          <w:color w:val="auto"/>
          <w:sz w:val="21"/>
          <w:highlight w:val="none"/>
        </w:rPr>
      </w:pPr>
    </w:p>
    <w:p w14:paraId="4E8A6C0C">
      <w:pPr>
        <w:pStyle w:val="9"/>
        <w:spacing w:before="75" w:line="227" w:lineRule="auto"/>
        <w:ind w:left="3635"/>
        <w:rPr>
          <w:color w:val="auto"/>
          <w:sz w:val="23"/>
          <w:szCs w:val="23"/>
          <w:highlight w:val="none"/>
        </w:rPr>
      </w:pPr>
      <w:r>
        <w:rPr>
          <w:b/>
          <w:bCs/>
          <w:color w:val="auto"/>
          <w:spacing w:val="6"/>
          <w:sz w:val="23"/>
          <w:szCs w:val="23"/>
          <w:highlight w:val="none"/>
        </w:rPr>
        <w:t>第一部分</w:t>
      </w:r>
      <w:r>
        <w:rPr>
          <w:color w:val="auto"/>
          <w:spacing w:val="6"/>
          <w:sz w:val="23"/>
          <w:szCs w:val="23"/>
          <w:highlight w:val="none"/>
        </w:rPr>
        <w:t xml:space="preserve"> </w:t>
      </w:r>
      <w:r>
        <w:rPr>
          <w:b/>
          <w:bCs/>
          <w:color w:val="auto"/>
          <w:spacing w:val="6"/>
          <w:sz w:val="23"/>
          <w:szCs w:val="23"/>
          <w:highlight w:val="none"/>
        </w:rPr>
        <w:t>合同书</w:t>
      </w:r>
    </w:p>
    <w:p w14:paraId="434EEA32">
      <w:pPr>
        <w:spacing w:line="255" w:lineRule="auto"/>
        <w:rPr>
          <w:rFonts w:ascii="Arial"/>
          <w:color w:val="auto"/>
          <w:sz w:val="21"/>
          <w:highlight w:val="none"/>
        </w:rPr>
      </w:pPr>
    </w:p>
    <w:p w14:paraId="36FD7410">
      <w:pPr>
        <w:spacing w:line="255" w:lineRule="auto"/>
        <w:rPr>
          <w:rFonts w:ascii="Arial"/>
          <w:color w:val="auto"/>
          <w:sz w:val="21"/>
          <w:highlight w:val="none"/>
        </w:rPr>
      </w:pPr>
    </w:p>
    <w:p w14:paraId="7BBD865F">
      <w:pPr>
        <w:spacing w:line="255" w:lineRule="auto"/>
        <w:rPr>
          <w:rFonts w:ascii="Arial"/>
          <w:color w:val="auto"/>
          <w:sz w:val="21"/>
          <w:highlight w:val="none"/>
        </w:rPr>
      </w:pPr>
    </w:p>
    <w:p w14:paraId="5812BA88">
      <w:pPr>
        <w:spacing w:line="255" w:lineRule="auto"/>
        <w:rPr>
          <w:rFonts w:ascii="Arial"/>
          <w:color w:val="auto"/>
          <w:sz w:val="21"/>
          <w:highlight w:val="none"/>
        </w:rPr>
      </w:pPr>
    </w:p>
    <w:p w14:paraId="5AAB24F9">
      <w:pPr>
        <w:pStyle w:val="6"/>
        <w:rPr>
          <w:rFonts w:ascii="Arial"/>
          <w:color w:val="auto"/>
          <w:sz w:val="21"/>
          <w:highlight w:val="none"/>
        </w:rPr>
      </w:pPr>
    </w:p>
    <w:p w14:paraId="54BDCA33">
      <w:pPr>
        <w:rPr>
          <w:rFonts w:ascii="Arial"/>
          <w:color w:val="auto"/>
          <w:sz w:val="21"/>
          <w:highlight w:val="none"/>
        </w:rPr>
      </w:pPr>
    </w:p>
    <w:p w14:paraId="732F8D51">
      <w:pPr>
        <w:pStyle w:val="6"/>
        <w:rPr>
          <w:rFonts w:ascii="Arial"/>
          <w:color w:val="auto"/>
          <w:sz w:val="21"/>
          <w:highlight w:val="none"/>
        </w:rPr>
      </w:pPr>
    </w:p>
    <w:p w14:paraId="6C36FF2E">
      <w:pPr>
        <w:rPr>
          <w:rFonts w:ascii="Arial"/>
          <w:color w:val="auto"/>
          <w:sz w:val="21"/>
          <w:highlight w:val="none"/>
        </w:rPr>
      </w:pPr>
    </w:p>
    <w:p w14:paraId="76450DE2">
      <w:pPr>
        <w:pStyle w:val="6"/>
        <w:rPr>
          <w:rFonts w:ascii="Arial"/>
          <w:color w:val="auto"/>
          <w:sz w:val="21"/>
          <w:highlight w:val="none"/>
        </w:rPr>
      </w:pPr>
    </w:p>
    <w:p w14:paraId="200BAA5B">
      <w:pPr>
        <w:rPr>
          <w:color w:val="auto"/>
          <w:highlight w:val="none"/>
        </w:rPr>
      </w:pPr>
    </w:p>
    <w:p w14:paraId="24A0DE8B">
      <w:pPr>
        <w:spacing w:line="256" w:lineRule="auto"/>
        <w:rPr>
          <w:rFonts w:ascii="Arial"/>
          <w:color w:val="auto"/>
          <w:sz w:val="21"/>
          <w:highlight w:val="none"/>
        </w:rPr>
      </w:pPr>
    </w:p>
    <w:p w14:paraId="26CFA4BD">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highlight w:val="none"/>
          <w:u w:val="single" w:color="auto"/>
        </w:rPr>
      </w:pPr>
      <w:r>
        <w:rPr>
          <w:color w:val="auto"/>
          <w:sz w:val="23"/>
          <w:szCs w:val="23"/>
          <w:highlight w:val="none"/>
        </w:rPr>
        <w:t>项目名称：</w:t>
      </w:r>
      <w:r>
        <w:rPr>
          <w:color w:val="auto"/>
          <w:spacing w:val="-79"/>
          <w:sz w:val="23"/>
          <w:szCs w:val="23"/>
          <w:highlight w:val="none"/>
        </w:rPr>
        <w:t xml:space="preserve"> </w:t>
      </w:r>
      <w:r>
        <w:rPr>
          <w:color w:val="auto"/>
          <w:sz w:val="23"/>
          <w:szCs w:val="23"/>
          <w:highlight w:val="none"/>
          <w:u w:val="single" w:color="auto"/>
        </w:rPr>
        <w:t xml:space="preserve">                                     </w:t>
      </w:r>
    </w:p>
    <w:p w14:paraId="46CD7841">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highlight w:val="none"/>
          <w:u w:val="single" w:color="auto"/>
        </w:rPr>
      </w:pPr>
      <w:r>
        <w:rPr>
          <w:color w:val="auto"/>
          <w:spacing w:val="-4"/>
          <w:sz w:val="23"/>
          <w:szCs w:val="23"/>
          <w:highlight w:val="none"/>
        </w:rPr>
        <w:t>甲方：</w:t>
      </w:r>
      <w:r>
        <w:rPr>
          <w:color w:val="auto"/>
          <w:sz w:val="23"/>
          <w:szCs w:val="23"/>
          <w:highlight w:val="none"/>
          <w:u w:val="single" w:color="auto"/>
        </w:rPr>
        <w:t xml:space="preserve">                                         </w:t>
      </w:r>
    </w:p>
    <w:p w14:paraId="6300A61F">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highlight w:val="none"/>
          <w:u w:val="single" w:color="auto"/>
        </w:rPr>
      </w:pPr>
      <w:r>
        <w:rPr>
          <w:color w:val="auto"/>
          <w:spacing w:val="-1"/>
          <w:sz w:val="23"/>
          <w:szCs w:val="23"/>
          <w:highlight w:val="none"/>
        </w:rPr>
        <w:t>乙方：</w:t>
      </w:r>
      <w:r>
        <w:rPr>
          <w:color w:val="auto"/>
          <w:spacing w:val="-1"/>
          <w:sz w:val="23"/>
          <w:szCs w:val="23"/>
          <w:highlight w:val="none"/>
          <w:u w:val="single" w:color="auto"/>
        </w:rPr>
        <w:t xml:space="preserve">                                         </w:t>
      </w:r>
    </w:p>
    <w:p w14:paraId="005870EF">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highlight w:val="none"/>
          <w:u w:val="single" w:color="auto"/>
        </w:rPr>
      </w:pPr>
      <w:r>
        <w:rPr>
          <w:color w:val="auto"/>
          <w:sz w:val="23"/>
          <w:szCs w:val="23"/>
          <w:highlight w:val="none"/>
        </w:rPr>
        <w:t>签订地：</w:t>
      </w:r>
      <w:r>
        <w:rPr>
          <w:color w:val="auto"/>
          <w:spacing w:val="-85"/>
          <w:sz w:val="23"/>
          <w:szCs w:val="23"/>
          <w:highlight w:val="none"/>
        </w:rPr>
        <w:t xml:space="preserve"> </w:t>
      </w:r>
      <w:r>
        <w:rPr>
          <w:color w:val="auto"/>
          <w:sz w:val="23"/>
          <w:szCs w:val="23"/>
          <w:highlight w:val="none"/>
          <w:u w:val="single" w:color="auto"/>
        </w:rPr>
        <w:t xml:space="preserve">                                       </w:t>
      </w:r>
    </w:p>
    <w:p w14:paraId="47C18660">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highlight w:val="none"/>
        </w:rPr>
      </w:pPr>
      <w:r>
        <w:rPr>
          <w:color w:val="auto"/>
          <w:spacing w:val="-1"/>
          <w:sz w:val="23"/>
          <w:szCs w:val="23"/>
          <w:highlight w:val="none"/>
        </w:rPr>
        <w:t>签订日期：</w:t>
      </w:r>
      <w:r>
        <w:rPr>
          <w:color w:val="auto"/>
          <w:spacing w:val="-73"/>
          <w:sz w:val="23"/>
          <w:szCs w:val="23"/>
          <w:highlight w:val="none"/>
        </w:rPr>
        <w:t xml:space="preserve"> </w:t>
      </w:r>
      <w:r>
        <w:rPr>
          <w:color w:val="auto"/>
          <w:spacing w:val="5"/>
          <w:sz w:val="23"/>
          <w:szCs w:val="23"/>
          <w:highlight w:val="none"/>
          <w:u w:val="single" w:color="auto"/>
        </w:rPr>
        <w:t xml:space="preserve">     </w:t>
      </w:r>
      <w:r>
        <w:rPr>
          <w:color w:val="auto"/>
          <w:spacing w:val="-105"/>
          <w:sz w:val="23"/>
          <w:szCs w:val="23"/>
          <w:highlight w:val="none"/>
        </w:rPr>
        <w:t xml:space="preserve"> </w:t>
      </w:r>
      <w:r>
        <w:rPr>
          <w:color w:val="auto"/>
          <w:spacing w:val="-1"/>
          <w:sz w:val="23"/>
          <w:szCs w:val="23"/>
          <w:highlight w:val="none"/>
        </w:rPr>
        <w:t>年</w:t>
      </w:r>
      <w:r>
        <w:rPr>
          <w:color w:val="auto"/>
          <w:spacing w:val="-115"/>
          <w:sz w:val="23"/>
          <w:szCs w:val="23"/>
          <w:highlight w:val="none"/>
        </w:rPr>
        <w:t xml:space="preserve"> </w:t>
      </w:r>
      <w:r>
        <w:rPr>
          <w:color w:val="auto"/>
          <w:spacing w:val="5"/>
          <w:sz w:val="23"/>
          <w:szCs w:val="23"/>
          <w:highlight w:val="none"/>
          <w:u w:val="single" w:color="auto"/>
        </w:rPr>
        <w:t xml:space="preserve">       </w:t>
      </w:r>
      <w:r>
        <w:rPr>
          <w:color w:val="auto"/>
          <w:spacing w:val="-100"/>
          <w:sz w:val="23"/>
          <w:szCs w:val="23"/>
          <w:highlight w:val="none"/>
        </w:rPr>
        <w:t xml:space="preserve"> </w:t>
      </w:r>
      <w:r>
        <w:rPr>
          <w:color w:val="auto"/>
          <w:spacing w:val="-1"/>
          <w:sz w:val="23"/>
          <w:szCs w:val="23"/>
          <w:highlight w:val="none"/>
        </w:rPr>
        <w:t>月</w:t>
      </w:r>
      <w:r>
        <w:rPr>
          <w:color w:val="auto"/>
          <w:spacing w:val="-115"/>
          <w:sz w:val="23"/>
          <w:szCs w:val="23"/>
          <w:highlight w:val="none"/>
        </w:rPr>
        <w:t xml:space="preserve"> </w:t>
      </w:r>
      <w:r>
        <w:rPr>
          <w:color w:val="auto"/>
          <w:spacing w:val="5"/>
          <w:sz w:val="23"/>
          <w:szCs w:val="23"/>
          <w:highlight w:val="none"/>
          <w:u w:val="single" w:color="auto"/>
        </w:rPr>
        <w:t xml:space="preserve">       </w:t>
      </w:r>
      <w:r>
        <w:rPr>
          <w:color w:val="auto"/>
          <w:spacing w:val="-64"/>
          <w:sz w:val="23"/>
          <w:szCs w:val="23"/>
          <w:highlight w:val="none"/>
        </w:rPr>
        <w:t xml:space="preserve"> </w:t>
      </w:r>
      <w:r>
        <w:rPr>
          <w:color w:val="auto"/>
          <w:spacing w:val="-1"/>
          <w:sz w:val="23"/>
          <w:szCs w:val="23"/>
          <w:highlight w:val="none"/>
        </w:rPr>
        <w:t>日</w:t>
      </w:r>
    </w:p>
    <w:p w14:paraId="05B10960">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highlight w:val="none"/>
        </w:rPr>
      </w:pPr>
    </w:p>
    <w:p w14:paraId="1A714BBA">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highlight w:val="none"/>
        </w:rPr>
      </w:pPr>
    </w:p>
    <w:p w14:paraId="53F091DB">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highlight w:val="none"/>
        </w:rPr>
      </w:pPr>
    </w:p>
    <w:p w14:paraId="57F97681">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highlight w:val="none"/>
        </w:rPr>
      </w:pPr>
    </w:p>
    <w:p w14:paraId="5BC7A041">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textAlignment w:val="baseline"/>
        <w:rPr>
          <w:color w:val="auto"/>
          <w:spacing w:val="-1"/>
          <w:sz w:val="23"/>
          <w:szCs w:val="23"/>
          <w:highlight w:val="none"/>
        </w:rPr>
      </w:pPr>
    </w:p>
    <w:p w14:paraId="1C78CA7B">
      <w:pPr>
        <w:pStyle w:val="9"/>
        <w:tabs>
          <w:tab w:val="left" w:pos="2086"/>
        </w:tabs>
        <w:spacing w:before="74" w:line="442" w:lineRule="auto"/>
        <w:ind w:left="38" w:right="77" w:firstLine="1088"/>
        <w:jc w:val="both"/>
        <w:rPr>
          <w:color w:val="auto"/>
          <w:sz w:val="23"/>
          <w:szCs w:val="23"/>
          <w:highlight w:val="none"/>
        </w:rPr>
      </w:pPr>
      <w:r>
        <w:rPr>
          <w:color w:val="auto"/>
          <w:sz w:val="23"/>
          <w:szCs w:val="23"/>
          <w:highlight w:val="none"/>
          <w:u w:val="single" w:color="auto"/>
        </w:rPr>
        <w:tab/>
      </w:r>
      <w:r>
        <w:rPr>
          <w:color w:val="auto"/>
          <w:spacing w:val="-103"/>
          <w:sz w:val="23"/>
          <w:szCs w:val="23"/>
          <w:highlight w:val="none"/>
        </w:rPr>
        <w:t xml:space="preserve"> </w:t>
      </w:r>
      <w:r>
        <w:rPr>
          <w:color w:val="auto"/>
          <w:spacing w:val="8"/>
          <w:sz w:val="23"/>
          <w:szCs w:val="23"/>
          <w:highlight w:val="none"/>
        </w:rPr>
        <w:t>年</w:t>
      </w:r>
      <w:r>
        <w:rPr>
          <w:color w:val="auto"/>
          <w:spacing w:val="-113"/>
          <w:sz w:val="23"/>
          <w:szCs w:val="23"/>
          <w:highlight w:val="none"/>
        </w:rPr>
        <w:t xml:space="preserve"> </w:t>
      </w:r>
      <w:r>
        <w:rPr>
          <w:color w:val="auto"/>
          <w:spacing w:val="8"/>
          <w:sz w:val="23"/>
          <w:szCs w:val="23"/>
          <w:highlight w:val="none"/>
          <w:u w:val="single" w:color="auto"/>
        </w:rPr>
        <w:t xml:space="preserve">    </w:t>
      </w:r>
      <w:r>
        <w:rPr>
          <w:color w:val="auto"/>
          <w:spacing w:val="-100"/>
          <w:sz w:val="23"/>
          <w:szCs w:val="23"/>
          <w:highlight w:val="none"/>
        </w:rPr>
        <w:t xml:space="preserve"> </w:t>
      </w:r>
      <w:r>
        <w:rPr>
          <w:color w:val="auto"/>
          <w:spacing w:val="8"/>
          <w:sz w:val="23"/>
          <w:szCs w:val="23"/>
          <w:highlight w:val="none"/>
        </w:rPr>
        <w:t>月</w:t>
      </w:r>
      <w:r>
        <w:rPr>
          <w:color w:val="auto"/>
          <w:spacing w:val="-111"/>
          <w:sz w:val="23"/>
          <w:szCs w:val="23"/>
          <w:highlight w:val="none"/>
        </w:rPr>
        <w:t xml:space="preserve"> </w:t>
      </w:r>
      <w:r>
        <w:rPr>
          <w:color w:val="auto"/>
          <w:spacing w:val="8"/>
          <w:sz w:val="23"/>
          <w:szCs w:val="23"/>
          <w:highlight w:val="none"/>
          <w:u w:val="single" w:color="auto"/>
        </w:rPr>
        <w:t xml:space="preserve">    </w:t>
      </w:r>
      <w:r>
        <w:rPr>
          <w:color w:val="auto"/>
          <w:spacing w:val="-63"/>
          <w:sz w:val="23"/>
          <w:szCs w:val="23"/>
          <w:highlight w:val="none"/>
        </w:rPr>
        <w:t xml:space="preserve"> </w:t>
      </w:r>
      <w:r>
        <w:rPr>
          <w:color w:val="auto"/>
          <w:spacing w:val="8"/>
          <w:sz w:val="23"/>
          <w:szCs w:val="23"/>
          <w:highlight w:val="none"/>
        </w:rPr>
        <w:t>日</w:t>
      </w:r>
      <w:r>
        <w:rPr>
          <w:color w:val="auto"/>
          <w:spacing w:val="-20"/>
          <w:sz w:val="23"/>
          <w:szCs w:val="23"/>
          <w:highlight w:val="none"/>
        </w:rPr>
        <w:t>，</w:t>
      </w:r>
      <w:r>
        <w:rPr>
          <w:color w:val="auto"/>
          <w:spacing w:val="10"/>
          <w:sz w:val="23"/>
          <w:szCs w:val="23"/>
          <w:highlight w:val="none"/>
          <w:u w:val="single" w:color="auto"/>
        </w:rPr>
        <w:t xml:space="preserve">   </w:t>
      </w:r>
      <w:r>
        <w:rPr>
          <w:color w:val="auto"/>
          <w:spacing w:val="-20"/>
          <w:sz w:val="23"/>
          <w:szCs w:val="23"/>
          <w:highlight w:val="none"/>
          <w:u w:val="single" w:color="auto"/>
        </w:rPr>
        <w:t>（</w:t>
      </w:r>
      <w:r>
        <w:rPr>
          <w:color w:val="auto"/>
          <w:spacing w:val="8"/>
          <w:sz w:val="23"/>
          <w:szCs w:val="23"/>
          <w:highlight w:val="none"/>
          <w:u w:val="single" w:color="auto"/>
        </w:rPr>
        <w:t xml:space="preserve">采购人名称）   </w:t>
      </w:r>
      <w:r>
        <w:rPr>
          <w:color w:val="auto"/>
          <w:spacing w:val="-78"/>
          <w:sz w:val="23"/>
          <w:szCs w:val="23"/>
          <w:highlight w:val="none"/>
        </w:rPr>
        <w:t xml:space="preserve"> </w:t>
      </w:r>
      <w:r>
        <w:rPr>
          <w:color w:val="auto"/>
          <w:spacing w:val="8"/>
          <w:sz w:val="23"/>
          <w:szCs w:val="23"/>
          <w:highlight w:val="none"/>
        </w:rPr>
        <w:t>以</w:t>
      </w:r>
      <w:r>
        <w:rPr>
          <w:color w:val="auto"/>
          <w:spacing w:val="-111"/>
          <w:sz w:val="23"/>
          <w:szCs w:val="23"/>
          <w:highlight w:val="none"/>
        </w:rPr>
        <w:t xml:space="preserve"> </w:t>
      </w:r>
      <w:r>
        <w:rPr>
          <w:color w:val="auto"/>
          <w:spacing w:val="9"/>
          <w:sz w:val="23"/>
          <w:szCs w:val="23"/>
          <w:highlight w:val="none"/>
          <w:u w:val="single" w:color="auto"/>
        </w:rPr>
        <w:t xml:space="preserve">   </w:t>
      </w:r>
      <w:r>
        <w:rPr>
          <w:color w:val="auto"/>
          <w:spacing w:val="8"/>
          <w:sz w:val="23"/>
          <w:szCs w:val="23"/>
          <w:highlight w:val="none"/>
          <w:u w:val="single" w:color="auto"/>
        </w:rPr>
        <w:t>（政府采购</w:t>
      </w:r>
      <w:r>
        <w:rPr>
          <w:color w:val="auto"/>
          <w:spacing w:val="1"/>
          <w:sz w:val="23"/>
          <w:szCs w:val="23"/>
          <w:highlight w:val="none"/>
        </w:rPr>
        <w:t xml:space="preserve"> </w:t>
      </w:r>
      <w:r>
        <w:rPr>
          <w:color w:val="auto"/>
          <w:spacing w:val="8"/>
          <w:sz w:val="23"/>
          <w:szCs w:val="23"/>
          <w:highlight w:val="none"/>
          <w:u w:val="single" w:color="auto"/>
        </w:rPr>
        <w:t xml:space="preserve">方式）  </w:t>
      </w:r>
      <w:r>
        <w:rPr>
          <w:color w:val="auto"/>
          <w:spacing w:val="-106"/>
          <w:sz w:val="23"/>
          <w:szCs w:val="23"/>
          <w:highlight w:val="none"/>
        </w:rPr>
        <w:t xml:space="preserve"> </w:t>
      </w:r>
      <w:r>
        <w:rPr>
          <w:color w:val="auto"/>
          <w:spacing w:val="8"/>
          <w:sz w:val="23"/>
          <w:szCs w:val="23"/>
          <w:highlight w:val="none"/>
        </w:rPr>
        <w:t>对</w:t>
      </w:r>
      <w:r>
        <w:rPr>
          <w:color w:val="auto"/>
          <w:spacing w:val="8"/>
          <w:sz w:val="23"/>
          <w:szCs w:val="23"/>
          <w:highlight w:val="none"/>
          <w:u w:val="single" w:color="auto"/>
        </w:rPr>
        <w:t xml:space="preserve">   （同前页项目名称）   </w:t>
      </w:r>
      <w:r>
        <w:rPr>
          <w:color w:val="auto"/>
          <w:spacing w:val="-102"/>
          <w:sz w:val="23"/>
          <w:szCs w:val="23"/>
          <w:highlight w:val="none"/>
        </w:rPr>
        <w:t xml:space="preserve"> </w:t>
      </w:r>
      <w:r>
        <w:rPr>
          <w:color w:val="auto"/>
          <w:spacing w:val="8"/>
          <w:sz w:val="23"/>
          <w:szCs w:val="23"/>
          <w:highlight w:val="none"/>
        </w:rPr>
        <w:t>项目进行了采购。经</w:t>
      </w:r>
      <w:r>
        <w:rPr>
          <w:color w:val="auto"/>
          <w:spacing w:val="8"/>
          <w:sz w:val="23"/>
          <w:szCs w:val="23"/>
          <w:highlight w:val="none"/>
          <w:u w:val="single" w:color="auto"/>
        </w:rPr>
        <w:t xml:space="preserve">   </w:t>
      </w:r>
      <w:r>
        <w:rPr>
          <w:color w:val="auto"/>
          <w:spacing w:val="7"/>
          <w:sz w:val="23"/>
          <w:szCs w:val="23"/>
          <w:highlight w:val="none"/>
          <w:u w:val="single" w:color="auto"/>
        </w:rPr>
        <w:t>（相关评定主体</w:t>
      </w:r>
      <w:r>
        <w:rPr>
          <w:color w:val="auto"/>
          <w:sz w:val="23"/>
          <w:szCs w:val="23"/>
          <w:highlight w:val="none"/>
        </w:rPr>
        <w:t xml:space="preserve"> </w:t>
      </w:r>
      <w:r>
        <w:rPr>
          <w:color w:val="auto"/>
          <w:spacing w:val="10"/>
          <w:sz w:val="23"/>
          <w:szCs w:val="23"/>
          <w:highlight w:val="none"/>
          <w:u w:val="single" w:color="auto"/>
        </w:rPr>
        <w:t xml:space="preserve">名称）   </w:t>
      </w:r>
      <w:r>
        <w:rPr>
          <w:color w:val="auto"/>
          <w:spacing w:val="-105"/>
          <w:sz w:val="23"/>
          <w:szCs w:val="23"/>
          <w:highlight w:val="none"/>
        </w:rPr>
        <w:t xml:space="preserve"> </w:t>
      </w:r>
      <w:r>
        <w:rPr>
          <w:color w:val="auto"/>
          <w:spacing w:val="10"/>
          <w:sz w:val="23"/>
          <w:szCs w:val="23"/>
          <w:highlight w:val="none"/>
        </w:rPr>
        <w:t>评定</w:t>
      </w:r>
      <w:r>
        <w:rPr>
          <w:color w:val="auto"/>
          <w:spacing w:val="-19"/>
          <w:sz w:val="23"/>
          <w:szCs w:val="23"/>
          <w:highlight w:val="none"/>
        </w:rPr>
        <w:t>，</w:t>
      </w:r>
      <w:r>
        <w:rPr>
          <w:color w:val="auto"/>
          <w:spacing w:val="7"/>
          <w:sz w:val="23"/>
          <w:szCs w:val="23"/>
          <w:highlight w:val="none"/>
          <w:u w:val="single" w:color="auto"/>
        </w:rPr>
        <w:t xml:space="preserve">   </w:t>
      </w:r>
      <w:r>
        <w:rPr>
          <w:color w:val="auto"/>
          <w:spacing w:val="-19"/>
          <w:sz w:val="23"/>
          <w:szCs w:val="23"/>
          <w:highlight w:val="none"/>
          <w:u w:val="single" w:color="auto"/>
        </w:rPr>
        <w:t>（</w:t>
      </w:r>
      <w:r>
        <w:rPr>
          <w:color w:val="auto"/>
          <w:spacing w:val="10"/>
          <w:sz w:val="23"/>
          <w:szCs w:val="23"/>
          <w:highlight w:val="none"/>
          <w:u w:val="single" w:color="auto"/>
        </w:rPr>
        <w:t xml:space="preserve">中标供应商名称） </w:t>
      </w:r>
      <w:r>
        <w:rPr>
          <w:color w:val="auto"/>
          <w:spacing w:val="-103"/>
          <w:sz w:val="23"/>
          <w:szCs w:val="23"/>
          <w:highlight w:val="none"/>
        </w:rPr>
        <w:t xml:space="preserve"> </w:t>
      </w:r>
      <w:r>
        <w:rPr>
          <w:color w:val="auto"/>
          <w:spacing w:val="10"/>
          <w:sz w:val="23"/>
          <w:szCs w:val="23"/>
          <w:highlight w:val="none"/>
        </w:rPr>
        <w:t>为该项目中标供应商。现于中标通知</w:t>
      </w:r>
      <w:r>
        <w:rPr>
          <w:color w:val="auto"/>
          <w:sz w:val="23"/>
          <w:szCs w:val="23"/>
          <w:highlight w:val="none"/>
        </w:rPr>
        <w:t xml:space="preserve"> </w:t>
      </w:r>
      <w:r>
        <w:rPr>
          <w:color w:val="auto"/>
          <w:spacing w:val="8"/>
          <w:sz w:val="23"/>
          <w:szCs w:val="23"/>
          <w:highlight w:val="none"/>
        </w:rPr>
        <w:t>书发出之日起三十日内，按照采购文件确定的事项签订本合同。</w:t>
      </w:r>
    </w:p>
    <w:p w14:paraId="2A8E06E6">
      <w:pPr>
        <w:pStyle w:val="9"/>
        <w:spacing w:before="37" w:line="442" w:lineRule="auto"/>
        <w:ind w:left="36" w:right="77" w:firstLine="480"/>
        <w:jc w:val="both"/>
        <w:rPr>
          <w:color w:val="auto"/>
          <w:sz w:val="23"/>
          <w:szCs w:val="23"/>
          <w:highlight w:val="none"/>
        </w:rPr>
      </w:pPr>
      <w:r>
        <w:rPr>
          <w:color w:val="auto"/>
          <w:spacing w:val="13"/>
          <w:sz w:val="23"/>
          <w:szCs w:val="23"/>
          <w:highlight w:val="none"/>
        </w:rPr>
        <w:t xml:space="preserve">根据《中华人民共和国合同法》、《中华人民共和国政府采购法》等相关 </w:t>
      </w:r>
      <w:r>
        <w:rPr>
          <w:color w:val="auto"/>
          <w:spacing w:val="8"/>
          <w:sz w:val="23"/>
          <w:szCs w:val="23"/>
          <w:highlight w:val="none"/>
        </w:rPr>
        <w:t>法律法规之规定，按照平等、</w:t>
      </w:r>
      <w:r>
        <w:rPr>
          <w:color w:val="auto"/>
          <w:spacing w:val="-60"/>
          <w:sz w:val="23"/>
          <w:szCs w:val="23"/>
          <w:highlight w:val="none"/>
        </w:rPr>
        <w:t xml:space="preserve"> </w:t>
      </w:r>
      <w:r>
        <w:rPr>
          <w:color w:val="auto"/>
          <w:spacing w:val="8"/>
          <w:sz w:val="23"/>
          <w:szCs w:val="23"/>
          <w:highlight w:val="none"/>
        </w:rPr>
        <w:t>自愿、公平和诚实信用的原则，经</w:t>
      </w:r>
      <w:r>
        <w:rPr>
          <w:color w:val="auto"/>
          <w:spacing w:val="8"/>
          <w:sz w:val="23"/>
          <w:szCs w:val="23"/>
          <w:highlight w:val="none"/>
          <w:u w:val="single" w:color="auto"/>
        </w:rPr>
        <w:t xml:space="preserve">  </w:t>
      </w:r>
      <w:r>
        <w:rPr>
          <w:color w:val="auto"/>
          <w:spacing w:val="7"/>
          <w:sz w:val="23"/>
          <w:szCs w:val="23"/>
          <w:highlight w:val="none"/>
          <w:u w:val="single" w:color="auto"/>
        </w:rPr>
        <w:t xml:space="preserve"> （采购人名</w:t>
      </w:r>
      <w:r>
        <w:rPr>
          <w:color w:val="auto"/>
          <w:spacing w:val="5"/>
          <w:sz w:val="23"/>
          <w:szCs w:val="23"/>
          <w:highlight w:val="none"/>
          <w:u w:val="single" w:color="auto"/>
        </w:rPr>
        <w:t xml:space="preserve">称）   </w:t>
      </w:r>
      <w:r>
        <w:rPr>
          <w:color w:val="auto"/>
          <w:spacing w:val="-63"/>
          <w:sz w:val="23"/>
          <w:szCs w:val="23"/>
          <w:highlight w:val="none"/>
        </w:rPr>
        <w:t xml:space="preserve"> </w:t>
      </w:r>
      <w:r>
        <w:rPr>
          <w:color w:val="auto"/>
          <w:spacing w:val="5"/>
          <w:sz w:val="23"/>
          <w:szCs w:val="23"/>
          <w:highlight w:val="none"/>
        </w:rPr>
        <w:t>(以下简称：</w:t>
      </w:r>
      <w:r>
        <w:rPr>
          <w:color w:val="auto"/>
          <w:spacing w:val="-65"/>
          <w:sz w:val="23"/>
          <w:szCs w:val="23"/>
          <w:highlight w:val="none"/>
        </w:rPr>
        <w:t xml:space="preserve"> </w:t>
      </w:r>
      <w:r>
        <w:rPr>
          <w:color w:val="auto"/>
          <w:spacing w:val="5"/>
          <w:sz w:val="23"/>
          <w:szCs w:val="23"/>
          <w:highlight w:val="none"/>
        </w:rPr>
        <w:t>甲方)和</w:t>
      </w:r>
      <w:r>
        <w:rPr>
          <w:color w:val="auto"/>
          <w:spacing w:val="5"/>
          <w:sz w:val="23"/>
          <w:szCs w:val="23"/>
          <w:highlight w:val="none"/>
          <w:u w:val="single" w:color="auto"/>
        </w:rPr>
        <w:t xml:space="preserve">   （</w:t>
      </w:r>
      <w:r>
        <w:rPr>
          <w:color w:val="auto"/>
          <w:spacing w:val="4"/>
          <w:sz w:val="23"/>
          <w:szCs w:val="23"/>
          <w:highlight w:val="none"/>
          <w:u w:val="single" w:color="auto"/>
        </w:rPr>
        <w:t xml:space="preserve">中标供应商名称）   </w:t>
      </w:r>
      <w:r>
        <w:rPr>
          <w:color w:val="auto"/>
          <w:spacing w:val="-63"/>
          <w:sz w:val="23"/>
          <w:szCs w:val="23"/>
          <w:highlight w:val="none"/>
        </w:rPr>
        <w:t xml:space="preserve"> </w:t>
      </w:r>
      <w:r>
        <w:rPr>
          <w:color w:val="auto"/>
          <w:spacing w:val="4"/>
          <w:sz w:val="23"/>
          <w:szCs w:val="23"/>
          <w:highlight w:val="none"/>
        </w:rPr>
        <w:t>(以下简称：乙方)协商</w:t>
      </w:r>
      <w:r>
        <w:rPr>
          <w:color w:val="auto"/>
          <w:sz w:val="23"/>
          <w:szCs w:val="23"/>
          <w:highlight w:val="none"/>
        </w:rPr>
        <w:t xml:space="preserve"> </w:t>
      </w:r>
      <w:r>
        <w:rPr>
          <w:color w:val="auto"/>
          <w:spacing w:val="8"/>
          <w:sz w:val="23"/>
          <w:szCs w:val="23"/>
          <w:highlight w:val="none"/>
        </w:rPr>
        <w:t>一致，约定以下合同条款，以兹共同遵守、全面履</w:t>
      </w:r>
      <w:r>
        <w:rPr>
          <w:color w:val="auto"/>
          <w:spacing w:val="7"/>
          <w:sz w:val="23"/>
          <w:szCs w:val="23"/>
          <w:highlight w:val="none"/>
        </w:rPr>
        <w:t>行。</w:t>
      </w:r>
    </w:p>
    <w:p w14:paraId="416C4511">
      <w:pPr>
        <w:pStyle w:val="9"/>
        <w:spacing w:before="36" w:line="227" w:lineRule="auto"/>
        <w:ind w:left="535"/>
        <w:outlineLvl w:val="9"/>
        <w:rPr>
          <w:color w:val="auto"/>
          <w:sz w:val="23"/>
          <w:szCs w:val="23"/>
          <w:highlight w:val="none"/>
        </w:rPr>
      </w:pPr>
      <w:r>
        <w:rPr>
          <w:b/>
          <w:bCs/>
          <w:color w:val="auto"/>
          <w:spacing w:val="3"/>
          <w:sz w:val="23"/>
          <w:szCs w:val="23"/>
          <w:highlight w:val="none"/>
        </w:rPr>
        <w:t>1.1</w:t>
      </w:r>
      <w:r>
        <w:rPr>
          <w:color w:val="auto"/>
          <w:spacing w:val="3"/>
          <w:sz w:val="23"/>
          <w:szCs w:val="23"/>
          <w:highlight w:val="none"/>
        </w:rPr>
        <w:t xml:space="preserve"> </w:t>
      </w:r>
      <w:r>
        <w:rPr>
          <w:b/>
          <w:bCs/>
          <w:color w:val="auto"/>
          <w:spacing w:val="3"/>
          <w:sz w:val="23"/>
          <w:szCs w:val="23"/>
          <w:highlight w:val="none"/>
        </w:rPr>
        <w:t>合同组成部分</w:t>
      </w:r>
    </w:p>
    <w:p w14:paraId="2E6B15D7">
      <w:pPr>
        <w:pStyle w:val="9"/>
        <w:spacing w:before="277" w:line="439" w:lineRule="auto"/>
        <w:ind w:left="41" w:firstLine="483"/>
        <w:jc w:val="both"/>
        <w:rPr>
          <w:color w:val="auto"/>
          <w:sz w:val="23"/>
          <w:szCs w:val="23"/>
          <w:highlight w:val="none"/>
        </w:rPr>
      </w:pPr>
      <w:r>
        <w:rPr>
          <w:color w:val="auto"/>
          <w:spacing w:val="8"/>
          <w:sz w:val="23"/>
          <w:szCs w:val="23"/>
          <w:highlight w:val="none"/>
        </w:rPr>
        <w:t xml:space="preserve">下列文件为本合同的组成部分，并构成一个整体，需综合解释、相互补充。 </w:t>
      </w:r>
      <w:r>
        <w:rPr>
          <w:color w:val="auto"/>
          <w:spacing w:val="13"/>
          <w:sz w:val="23"/>
          <w:szCs w:val="23"/>
          <w:highlight w:val="none"/>
        </w:rPr>
        <w:t>如果下列文件内容出现不一致的情形，那么在保证按照采购文件确定的事项的</w:t>
      </w:r>
      <w:r>
        <w:rPr>
          <w:color w:val="auto"/>
          <w:spacing w:val="3"/>
          <w:sz w:val="23"/>
          <w:szCs w:val="23"/>
          <w:highlight w:val="none"/>
        </w:rPr>
        <w:t xml:space="preserve"> </w:t>
      </w:r>
      <w:r>
        <w:rPr>
          <w:color w:val="auto"/>
          <w:spacing w:val="7"/>
          <w:sz w:val="23"/>
          <w:szCs w:val="23"/>
          <w:highlight w:val="none"/>
        </w:rPr>
        <w:t>前提下，组成本合同的多个文件的优先适用顺序</w:t>
      </w:r>
      <w:r>
        <w:rPr>
          <w:color w:val="auto"/>
          <w:spacing w:val="6"/>
          <w:sz w:val="23"/>
          <w:szCs w:val="23"/>
          <w:highlight w:val="none"/>
        </w:rPr>
        <w:t>如下：</w:t>
      </w:r>
    </w:p>
    <w:p w14:paraId="232D9F73">
      <w:pPr>
        <w:pStyle w:val="9"/>
        <w:numPr>
          <w:ilvl w:val="2"/>
          <w:numId w:val="10"/>
        </w:numPr>
        <w:spacing w:before="39" w:line="434" w:lineRule="auto"/>
        <w:ind w:left="535" w:right="526" w:rightChars="0"/>
        <w:rPr>
          <w:color w:val="auto"/>
          <w:spacing w:val="6"/>
          <w:sz w:val="23"/>
          <w:szCs w:val="23"/>
          <w:highlight w:val="none"/>
        </w:rPr>
      </w:pPr>
      <w:r>
        <w:rPr>
          <w:color w:val="auto"/>
          <w:spacing w:val="4"/>
          <w:sz w:val="23"/>
          <w:szCs w:val="23"/>
          <w:highlight w:val="none"/>
        </w:rPr>
        <w:t>本合同及其补充合同、变更协议；</w:t>
      </w:r>
      <w:r>
        <w:rPr>
          <w:color w:val="auto"/>
          <w:spacing w:val="6"/>
          <w:sz w:val="23"/>
          <w:szCs w:val="23"/>
          <w:highlight w:val="none"/>
        </w:rPr>
        <w:t xml:space="preserve"> </w:t>
      </w:r>
    </w:p>
    <w:p w14:paraId="5A742CEA">
      <w:pPr>
        <w:pStyle w:val="9"/>
        <w:numPr>
          <w:ilvl w:val="0"/>
          <w:numId w:val="0"/>
        </w:numPr>
        <w:spacing w:before="39" w:line="434" w:lineRule="auto"/>
        <w:ind w:left="535" w:leftChars="0" w:right="526" w:rightChars="0"/>
        <w:rPr>
          <w:color w:val="auto"/>
          <w:sz w:val="23"/>
          <w:szCs w:val="23"/>
          <w:highlight w:val="none"/>
        </w:rPr>
      </w:pPr>
      <w:r>
        <w:rPr>
          <w:color w:val="auto"/>
          <w:spacing w:val="-3"/>
          <w:sz w:val="23"/>
          <w:szCs w:val="23"/>
          <w:highlight w:val="none"/>
        </w:rPr>
        <w:t>1.1.2</w:t>
      </w:r>
      <w:r>
        <w:rPr>
          <w:color w:val="auto"/>
          <w:spacing w:val="39"/>
          <w:sz w:val="23"/>
          <w:szCs w:val="23"/>
          <w:highlight w:val="none"/>
        </w:rPr>
        <w:t xml:space="preserve"> </w:t>
      </w:r>
      <w:r>
        <w:rPr>
          <w:color w:val="auto"/>
          <w:spacing w:val="-3"/>
          <w:sz w:val="23"/>
          <w:szCs w:val="23"/>
          <w:highlight w:val="none"/>
        </w:rPr>
        <w:t>中标通知书；</w:t>
      </w:r>
    </w:p>
    <w:p w14:paraId="63A5CCA7">
      <w:pPr>
        <w:pStyle w:val="9"/>
        <w:spacing w:before="37" w:line="440" w:lineRule="auto"/>
        <w:ind w:left="535" w:right="326" w:rightChars="0"/>
        <w:jc w:val="both"/>
        <w:rPr>
          <w:color w:val="auto"/>
          <w:spacing w:val="10"/>
          <w:sz w:val="23"/>
          <w:szCs w:val="23"/>
          <w:highlight w:val="none"/>
        </w:rPr>
      </w:pPr>
      <w:r>
        <w:rPr>
          <w:color w:val="auto"/>
          <w:spacing w:val="4"/>
          <w:sz w:val="23"/>
          <w:szCs w:val="23"/>
          <w:highlight w:val="none"/>
        </w:rPr>
        <w:t>1.1.3 投标文件（含澄清或者说明文件</w:t>
      </w:r>
      <w:r>
        <w:rPr>
          <w:color w:val="auto"/>
          <w:spacing w:val="10"/>
          <w:sz w:val="23"/>
          <w:szCs w:val="23"/>
          <w:highlight w:val="none"/>
        </w:rPr>
        <w:t>）；</w:t>
      </w:r>
    </w:p>
    <w:p w14:paraId="1E3BCFD5">
      <w:pPr>
        <w:pStyle w:val="9"/>
        <w:spacing w:before="37" w:line="440" w:lineRule="auto"/>
        <w:ind w:left="535" w:right="326" w:rightChars="0"/>
        <w:jc w:val="both"/>
        <w:rPr>
          <w:color w:val="auto"/>
          <w:spacing w:val="10"/>
          <w:sz w:val="23"/>
          <w:szCs w:val="23"/>
          <w:highlight w:val="none"/>
        </w:rPr>
      </w:pPr>
      <w:r>
        <w:rPr>
          <w:color w:val="auto"/>
          <w:spacing w:val="4"/>
          <w:sz w:val="23"/>
          <w:szCs w:val="23"/>
          <w:highlight w:val="none"/>
        </w:rPr>
        <w:t xml:space="preserve">1.1.4 </w:t>
      </w:r>
      <w:r>
        <w:rPr>
          <w:rFonts w:hint="eastAsia"/>
          <w:color w:val="auto"/>
          <w:spacing w:val="4"/>
          <w:sz w:val="23"/>
          <w:szCs w:val="23"/>
          <w:highlight w:val="none"/>
          <w:lang w:eastAsia="zh-CN"/>
        </w:rPr>
        <w:t>磋商文件</w:t>
      </w:r>
      <w:r>
        <w:rPr>
          <w:color w:val="auto"/>
          <w:spacing w:val="4"/>
          <w:sz w:val="23"/>
          <w:szCs w:val="23"/>
          <w:highlight w:val="none"/>
        </w:rPr>
        <w:t>（含澄清或者修改文件</w:t>
      </w:r>
      <w:r>
        <w:rPr>
          <w:color w:val="auto"/>
          <w:spacing w:val="10"/>
          <w:sz w:val="23"/>
          <w:szCs w:val="23"/>
          <w:highlight w:val="none"/>
        </w:rPr>
        <w:t>）；</w:t>
      </w:r>
    </w:p>
    <w:p w14:paraId="0A1D4334">
      <w:pPr>
        <w:pStyle w:val="9"/>
        <w:spacing w:before="37" w:line="440" w:lineRule="auto"/>
        <w:ind w:left="535" w:right="326" w:rightChars="0"/>
        <w:jc w:val="both"/>
        <w:rPr>
          <w:color w:val="auto"/>
          <w:sz w:val="23"/>
          <w:szCs w:val="23"/>
          <w:highlight w:val="none"/>
        </w:rPr>
      </w:pPr>
      <w:r>
        <w:rPr>
          <w:color w:val="auto"/>
          <w:spacing w:val="3"/>
          <w:sz w:val="23"/>
          <w:szCs w:val="23"/>
          <w:highlight w:val="none"/>
        </w:rPr>
        <w:t>1.1.5 其他相关采购文件。</w:t>
      </w:r>
    </w:p>
    <w:p w14:paraId="41F4EE8F">
      <w:pPr>
        <w:pStyle w:val="9"/>
        <w:spacing w:before="36" w:line="228" w:lineRule="auto"/>
        <w:ind w:left="535"/>
        <w:outlineLvl w:val="9"/>
        <w:rPr>
          <w:color w:val="auto"/>
          <w:sz w:val="23"/>
          <w:szCs w:val="23"/>
          <w:highlight w:val="none"/>
        </w:rPr>
      </w:pPr>
      <w:r>
        <w:rPr>
          <w:b/>
          <w:bCs/>
          <w:color w:val="auto"/>
          <w:spacing w:val="-3"/>
          <w:sz w:val="23"/>
          <w:szCs w:val="23"/>
          <w:highlight w:val="none"/>
        </w:rPr>
        <w:t>1.2</w:t>
      </w:r>
      <w:r>
        <w:rPr>
          <w:color w:val="auto"/>
          <w:spacing w:val="17"/>
          <w:sz w:val="23"/>
          <w:szCs w:val="23"/>
          <w:highlight w:val="none"/>
        </w:rPr>
        <w:t xml:space="preserve"> </w:t>
      </w:r>
      <w:r>
        <w:rPr>
          <w:b/>
          <w:bCs/>
          <w:color w:val="auto"/>
          <w:spacing w:val="-3"/>
          <w:sz w:val="23"/>
          <w:szCs w:val="23"/>
          <w:highlight w:val="none"/>
        </w:rPr>
        <w:t>标的</w:t>
      </w:r>
    </w:p>
    <w:p w14:paraId="30A09EB0">
      <w:pPr>
        <w:pStyle w:val="9"/>
        <w:spacing w:before="279" w:line="439" w:lineRule="auto"/>
        <w:ind w:left="535" w:right="2"/>
        <w:jc w:val="both"/>
        <w:rPr>
          <w:color w:val="auto"/>
          <w:sz w:val="23"/>
          <w:szCs w:val="23"/>
          <w:highlight w:val="none"/>
        </w:rPr>
      </w:pPr>
      <w:r>
        <w:rPr>
          <w:color w:val="auto"/>
          <w:spacing w:val="7"/>
          <w:sz w:val="23"/>
          <w:szCs w:val="23"/>
          <w:highlight w:val="none"/>
        </w:rPr>
        <w:t>1.2.1标的名称</w:t>
      </w:r>
      <w:r>
        <w:rPr>
          <w:color w:val="auto"/>
          <w:spacing w:val="-26"/>
          <w:sz w:val="23"/>
          <w:szCs w:val="23"/>
          <w:highlight w:val="none"/>
        </w:rPr>
        <w:t>：</w:t>
      </w:r>
      <w:r>
        <w:rPr>
          <w:color w:val="auto"/>
          <w:sz w:val="23"/>
          <w:szCs w:val="23"/>
          <w:highlight w:val="none"/>
          <w:u w:val="single" w:color="auto"/>
        </w:rPr>
        <w:t xml:space="preserve">                                                  </w:t>
      </w:r>
      <w:r>
        <w:rPr>
          <w:color w:val="auto"/>
          <w:spacing w:val="-26"/>
          <w:sz w:val="23"/>
          <w:szCs w:val="23"/>
          <w:highlight w:val="none"/>
        </w:rPr>
        <w:t>；</w:t>
      </w:r>
      <w:r>
        <w:rPr>
          <w:color w:val="auto"/>
          <w:spacing w:val="11"/>
          <w:sz w:val="23"/>
          <w:szCs w:val="23"/>
          <w:highlight w:val="none"/>
        </w:rPr>
        <w:t xml:space="preserve"> </w:t>
      </w:r>
      <w:r>
        <w:rPr>
          <w:color w:val="auto"/>
          <w:spacing w:val="7"/>
          <w:sz w:val="23"/>
          <w:szCs w:val="23"/>
          <w:highlight w:val="none"/>
        </w:rPr>
        <w:t>1.2.2标的数量</w:t>
      </w:r>
      <w:r>
        <w:rPr>
          <w:color w:val="auto"/>
          <w:spacing w:val="-26"/>
          <w:sz w:val="23"/>
          <w:szCs w:val="23"/>
          <w:highlight w:val="none"/>
        </w:rPr>
        <w:t>：</w:t>
      </w:r>
      <w:r>
        <w:rPr>
          <w:color w:val="auto"/>
          <w:sz w:val="23"/>
          <w:szCs w:val="23"/>
          <w:highlight w:val="none"/>
          <w:u w:val="single" w:color="auto"/>
        </w:rPr>
        <w:t xml:space="preserve">                                                  </w:t>
      </w:r>
      <w:r>
        <w:rPr>
          <w:color w:val="auto"/>
          <w:spacing w:val="-26"/>
          <w:sz w:val="23"/>
          <w:szCs w:val="23"/>
          <w:highlight w:val="none"/>
        </w:rPr>
        <w:t>；</w:t>
      </w:r>
      <w:r>
        <w:rPr>
          <w:color w:val="auto"/>
          <w:spacing w:val="11"/>
          <w:sz w:val="23"/>
          <w:szCs w:val="23"/>
          <w:highlight w:val="none"/>
        </w:rPr>
        <w:t xml:space="preserve"> </w:t>
      </w:r>
      <w:r>
        <w:rPr>
          <w:color w:val="auto"/>
          <w:spacing w:val="1"/>
          <w:sz w:val="23"/>
          <w:szCs w:val="23"/>
          <w:highlight w:val="none"/>
        </w:rPr>
        <w:t>1.2.3标的质量：</w:t>
      </w:r>
      <w:r>
        <w:rPr>
          <w:color w:val="auto"/>
          <w:spacing w:val="1"/>
          <w:sz w:val="23"/>
          <w:szCs w:val="23"/>
          <w:highlight w:val="none"/>
          <w:u w:val="single" w:color="auto"/>
        </w:rPr>
        <w:t xml:space="preserve">                  </w:t>
      </w:r>
      <w:r>
        <w:rPr>
          <w:color w:val="auto"/>
          <w:sz w:val="23"/>
          <w:szCs w:val="23"/>
          <w:highlight w:val="none"/>
          <w:u w:val="single" w:color="auto"/>
        </w:rPr>
        <w:t xml:space="preserve">                                </w:t>
      </w:r>
      <w:r>
        <w:rPr>
          <w:color w:val="auto"/>
          <w:sz w:val="23"/>
          <w:szCs w:val="23"/>
          <w:highlight w:val="none"/>
        </w:rPr>
        <w:t>。</w:t>
      </w:r>
    </w:p>
    <w:p w14:paraId="715A0125">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5"/>
        <w:textAlignment w:val="baseline"/>
        <w:outlineLvl w:val="9"/>
        <w:rPr>
          <w:b/>
          <w:bCs/>
          <w:color w:val="auto"/>
          <w:spacing w:val="-3"/>
          <w:sz w:val="23"/>
          <w:szCs w:val="23"/>
          <w:highlight w:val="none"/>
        </w:rPr>
      </w:pPr>
      <w:r>
        <w:rPr>
          <w:b/>
          <w:bCs/>
          <w:color w:val="auto"/>
          <w:spacing w:val="-3"/>
          <w:sz w:val="23"/>
          <w:szCs w:val="23"/>
          <w:highlight w:val="none"/>
        </w:rPr>
        <w:t>1.3</w:t>
      </w:r>
      <w:r>
        <w:rPr>
          <w:color w:val="auto"/>
          <w:spacing w:val="17"/>
          <w:sz w:val="23"/>
          <w:szCs w:val="23"/>
          <w:highlight w:val="none"/>
        </w:rPr>
        <w:t xml:space="preserve"> </w:t>
      </w:r>
      <w:r>
        <w:rPr>
          <w:b/>
          <w:bCs/>
          <w:color w:val="auto"/>
          <w:spacing w:val="-3"/>
          <w:sz w:val="23"/>
          <w:szCs w:val="23"/>
          <w:highlight w:val="none"/>
        </w:rPr>
        <w:t>价款</w:t>
      </w:r>
    </w:p>
    <w:p w14:paraId="23B513F0">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firstLine="472" w:firstLineChars="200"/>
        <w:textAlignment w:val="baseline"/>
        <w:outlineLvl w:val="9"/>
        <w:rPr>
          <w:color w:val="auto"/>
          <w:sz w:val="23"/>
          <w:szCs w:val="23"/>
          <w:highlight w:val="none"/>
        </w:rPr>
      </w:pPr>
      <w:r>
        <w:rPr>
          <w:color w:val="auto"/>
          <w:spacing w:val="3"/>
          <w:sz w:val="23"/>
          <w:szCs w:val="23"/>
          <w:highlight w:val="none"/>
        </w:rPr>
        <w:t>本合同总价为：</w:t>
      </w:r>
      <w:r>
        <w:rPr>
          <w:color w:val="auto"/>
          <w:spacing w:val="-83"/>
          <w:sz w:val="23"/>
          <w:szCs w:val="23"/>
          <w:highlight w:val="none"/>
        </w:rPr>
        <w:t xml:space="preserve"> </w:t>
      </w:r>
      <w:r>
        <w:rPr>
          <w:color w:val="auto"/>
          <w:spacing w:val="3"/>
          <w:sz w:val="23"/>
          <w:szCs w:val="23"/>
          <w:highlight w:val="none"/>
        </w:rPr>
        <w:t>￥</w:t>
      </w:r>
      <w:r>
        <w:rPr>
          <w:color w:val="auto"/>
          <w:spacing w:val="-91"/>
          <w:sz w:val="23"/>
          <w:szCs w:val="23"/>
          <w:highlight w:val="none"/>
        </w:rPr>
        <w:t xml:space="preserve"> </w:t>
      </w:r>
      <w:r>
        <w:rPr>
          <w:color w:val="auto"/>
          <w:spacing w:val="5"/>
          <w:sz w:val="23"/>
          <w:szCs w:val="23"/>
          <w:highlight w:val="none"/>
          <w:u w:val="single" w:color="auto"/>
        </w:rPr>
        <w:t xml:space="preserve">           </w:t>
      </w:r>
      <w:r>
        <w:rPr>
          <w:color w:val="auto"/>
          <w:spacing w:val="-103"/>
          <w:sz w:val="23"/>
          <w:szCs w:val="23"/>
          <w:highlight w:val="none"/>
        </w:rPr>
        <w:t xml:space="preserve"> </w:t>
      </w:r>
      <w:r>
        <w:rPr>
          <w:color w:val="auto"/>
          <w:spacing w:val="3"/>
          <w:sz w:val="23"/>
          <w:szCs w:val="23"/>
          <w:highlight w:val="none"/>
        </w:rPr>
        <w:t>元（大写：</w:t>
      </w:r>
      <w:r>
        <w:rPr>
          <w:color w:val="auto"/>
          <w:spacing w:val="5"/>
          <w:sz w:val="23"/>
          <w:szCs w:val="23"/>
          <w:highlight w:val="none"/>
          <w:u w:val="single" w:color="auto"/>
        </w:rPr>
        <w:t xml:space="preserve">            </w:t>
      </w:r>
      <w:r>
        <w:rPr>
          <w:color w:val="auto"/>
          <w:spacing w:val="-104"/>
          <w:sz w:val="23"/>
          <w:szCs w:val="23"/>
          <w:highlight w:val="none"/>
        </w:rPr>
        <w:t xml:space="preserve"> </w:t>
      </w:r>
      <w:r>
        <w:rPr>
          <w:color w:val="auto"/>
          <w:spacing w:val="3"/>
          <w:sz w:val="23"/>
          <w:szCs w:val="23"/>
          <w:highlight w:val="none"/>
        </w:rPr>
        <w:t>元人民币）。</w:t>
      </w:r>
      <w:r>
        <w:rPr>
          <w:color w:val="auto"/>
          <w:sz w:val="23"/>
          <w:szCs w:val="23"/>
          <w:highlight w:val="none"/>
        </w:rPr>
        <w:t xml:space="preserve"> </w:t>
      </w:r>
    </w:p>
    <w:p w14:paraId="7402EEB8">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color w:val="auto"/>
          <w:spacing w:val="-4"/>
          <w:sz w:val="23"/>
          <w:szCs w:val="23"/>
          <w:highlight w:val="none"/>
        </w:rPr>
      </w:pPr>
      <w:r>
        <w:rPr>
          <w:color w:val="auto"/>
          <w:spacing w:val="-4"/>
          <w:sz w:val="23"/>
          <w:szCs w:val="23"/>
          <w:highlight w:val="none"/>
        </w:rPr>
        <w:t>分项价格：</w:t>
      </w:r>
    </w:p>
    <w:p w14:paraId="14BCF268">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4"/>
          <w:sz w:val="23"/>
          <w:szCs w:val="23"/>
          <w:highlight w:val="none"/>
          <w:lang w:val="en-US" w:eastAsia="zh-CN"/>
        </w:rPr>
      </w:pPr>
    </w:p>
    <w:tbl>
      <w:tblPr>
        <w:tblStyle w:val="34"/>
        <w:tblW w:w="7159" w:type="dxa"/>
        <w:tblInd w:w="5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3061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1BBB834A">
            <w:pPr>
              <w:spacing w:before="246" w:line="229" w:lineRule="auto"/>
              <w:ind w:left="36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序号</w:t>
            </w:r>
          </w:p>
        </w:tc>
        <w:tc>
          <w:tcPr>
            <w:tcW w:w="3399" w:type="dxa"/>
            <w:vAlign w:val="top"/>
          </w:tcPr>
          <w:p w14:paraId="47667198">
            <w:pPr>
              <w:spacing w:before="246" w:line="228" w:lineRule="auto"/>
              <w:ind w:left="132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分项名称</w:t>
            </w:r>
          </w:p>
        </w:tc>
        <w:tc>
          <w:tcPr>
            <w:tcW w:w="2555" w:type="dxa"/>
            <w:vAlign w:val="top"/>
          </w:tcPr>
          <w:p w14:paraId="79B86AC9">
            <w:pPr>
              <w:spacing w:before="246" w:line="226" w:lineRule="auto"/>
              <w:ind w:left="80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分项价格</w:t>
            </w:r>
          </w:p>
        </w:tc>
      </w:tr>
      <w:tr w14:paraId="40A0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78ACF08">
            <w:pPr>
              <w:pStyle w:val="35"/>
              <w:rPr>
                <w:color w:val="auto"/>
                <w:highlight w:val="none"/>
              </w:rPr>
            </w:pPr>
          </w:p>
        </w:tc>
        <w:tc>
          <w:tcPr>
            <w:tcW w:w="3399" w:type="dxa"/>
            <w:vAlign w:val="top"/>
          </w:tcPr>
          <w:p w14:paraId="1E4E41DC">
            <w:pPr>
              <w:pStyle w:val="35"/>
              <w:rPr>
                <w:color w:val="auto"/>
                <w:highlight w:val="none"/>
              </w:rPr>
            </w:pPr>
          </w:p>
        </w:tc>
        <w:tc>
          <w:tcPr>
            <w:tcW w:w="2555" w:type="dxa"/>
            <w:vAlign w:val="top"/>
          </w:tcPr>
          <w:p w14:paraId="4E1D8691">
            <w:pPr>
              <w:pStyle w:val="35"/>
              <w:rPr>
                <w:color w:val="auto"/>
                <w:highlight w:val="none"/>
              </w:rPr>
            </w:pPr>
          </w:p>
        </w:tc>
      </w:tr>
      <w:tr w14:paraId="7EBB9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D73842E">
            <w:pPr>
              <w:pStyle w:val="35"/>
              <w:rPr>
                <w:color w:val="auto"/>
                <w:highlight w:val="none"/>
              </w:rPr>
            </w:pPr>
          </w:p>
        </w:tc>
        <w:tc>
          <w:tcPr>
            <w:tcW w:w="3399" w:type="dxa"/>
            <w:vAlign w:val="top"/>
          </w:tcPr>
          <w:p w14:paraId="401ADE6C">
            <w:pPr>
              <w:pStyle w:val="35"/>
              <w:rPr>
                <w:color w:val="auto"/>
                <w:highlight w:val="none"/>
              </w:rPr>
            </w:pPr>
          </w:p>
        </w:tc>
        <w:tc>
          <w:tcPr>
            <w:tcW w:w="2555" w:type="dxa"/>
            <w:vAlign w:val="top"/>
          </w:tcPr>
          <w:p w14:paraId="14185CA6">
            <w:pPr>
              <w:pStyle w:val="35"/>
              <w:rPr>
                <w:color w:val="auto"/>
                <w:highlight w:val="none"/>
              </w:rPr>
            </w:pPr>
          </w:p>
        </w:tc>
      </w:tr>
      <w:tr w14:paraId="0C83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4B40012F">
            <w:pPr>
              <w:pStyle w:val="35"/>
              <w:rPr>
                <w:color w:val="auto"/>
                <w:highlight w:val="none"/>
              </w:rPr>
            </w:pPr>
          </w:p>
        </w:tc>
        <w:tc>
          <w:tcPr>
            <w:tcW w:w="3399" w:type="dxa"/>
            <w:vAlign w:val="top"/>
          </w:tcPr>
          <w:p w14:paraId="7645B20B">
            <w:pPr>
              <w:pStyle w:val="35"/>
              <w:rPr>
                <w:color w:val="auto"/>
                <w:highlight w:val="none"/>
              </w:rPr>
            </w:pPr>
          </w:p>
        </w:tc>
        <w:tc>
          <w:tcPr>
            <w:tcW w:w="2555" w:type="dxa"/>
            <w:vAlign w:val="top"/>
          </w:tcPr>
          <w:p w14:paraId="58EEBFCD">
            <w:pPr>
              <w:pStyle w:val="35"/>
              <w:rPr>
                <w:color w:val="auto"/>
                <w:highlight w:val="none"/>
              </w:rPr>
            </w:pPr>
          </w:p>
        </w:tc>
      </w:tr>
      <w:tr w14:paraId="65914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0A98F16A">
            <w:pPr>
              <w:pStyle w:val="35"/>
              <w:rPr>
                <w:color w:val="auto"/>
                <w:highlight w:val="none"/>
              </w:rPr>
            </w:pPr>
          </w:p>
        </w:tc>
        <w:tc>
          <w:tcPr>
            <w:tcW w:w="3399" w:type="dxa"/>
            <w:vAlign w:val="top"/>
          </w:tcPr>
          <w:p w14:paraId="5407FE10">
            <w:pPr>
              <w:pStyle w:val="35"/>
              <w:rPr>
                <w:color w:val="auto"/>
                <w:highlight w:val="none"/>
              </w:rPr>
            </w:pPr>
          </w:p>
        </w:tc>
        <w:tc>
          <w:tcPr>
            <w:tcW w:w="2555" w:type="dxa"/>
            <w:vAlign w:val="top"/>
          </w:tcPr>
          <w:p w14:paraId="18A885D2">
            <w:pPr>
              <w:pStyle w:val="35"/>
              <w:rPr>
                <w:color w:val="auto"/>
                <w:highlight w:val="none"/>
              </w:rPr>
            </w:pPr>
          </w:p>
        </w:tc>
      </w:tr>
      <w:tr w14:paraId="02B3F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14:paraId="3AD56E4A">
            <w:pPr>
              <w:spacing w:before="245" w:line="226" w:lineRule="auto"/>
              <w:ind w:left="217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总价</w:t>
            </w:r>
          </w:p>
        </w:tc>
        <w:tc>
          <w:tcPr>
            <w:tcW w:w="2555" w:type="dxa"/>
            <w:vAlign w:val="top"/>
          </w:tcPr>
          <w:p w14:paraId="54E94FEA">
            <w:pPr>
              <w:pStyle w:val="35"/>
              <w:rPr>
                <w:color w:val="auto"/>
                <w:highlight w:val="none"/>
              </w:rPr>
            </w:pPr>
          </w:p>
        </w:tc>
      </w:tr>
    </w:tbl>
    <w:p w14:paraId="2E94ECC0">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highlight w:val="none"/>
          <w:lang w:val="en-US" w:eastAsia="zh-CN"/>
        </w:rPr>
      </w:pPr>
      <w:r>
        <w:rPr>
          <w:rFonts w:hint="default"/>
          <w:b/>
          <w:bCs/>
          <w:color w:val="auto"/>
          <w:spacing w:val="-1"/>
          <w:sz w:val="23"/>
          <w:szCs w:val="23"/>
          <w:highlight w:val="none"/>
          <w:lang w:val="en-US" w:eastAsia="zh-CN"/>
        </w:rPr>
        <w:t>1.4 付款方式和发票开具方式</w:t>
      </w:r>
    </w:p>
    <w:p w14:paraId="4E3DF7F6">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1.4.1 付款方式：</w:t>
      </w:r>
      <w:r>
        <w:rPr>
          <w:color w:val="auto"/>
          <w:spacing w:val="-75"/>
          <w:sz w:val="23"/>
          <w:szCs w:val="23"/>
          <w:highlight w:val="none"/>
        </w:rPr>
        <w:t xml:space="preserve"> </w:t>
      </w:r>
      <w:r>
        <w:rPr>
          <w:color w:val="auto"/>
          <w:sz w:val="23"/>
          <w:szCs w:val="23"/>
          <w:highlight w:val="none"/>
          <w:u w:val="single" w:color="auto"/>
        </w:rPr>
        <w:t xml:space="preserve">                                                 </w:t>
      </w:r>
      <w:r>
        <w:rPr>
          <w:rFonts w:hint="default"/>
          <w:color w:val="auto"/>
          <w:spacing w:val="-1"/>
          <w:sz w:val="23"/>
          <w:szCs w:val="23"/>
          <w:highlight w:val="none"/>
          <w:lang w:val="en-US" w:eastAsia="zh-CN"/>
        </w:rPr>
        <w:t>； 1.4.2 发票开具方式：</w:t>
      </w:r>
      <w:r>
        <w:rPr>
          <w:color w:val="auto"/>
          <w:spacing w:val="-75"/>
          <w:sz w:val="23"/>
          <w:szCs w:val="23"/>
          <w:highlight w:val="none"/>
        </w:rPr>
        <w:t xml:space="preserve"> </w:t>
      </w:r>
      <w:r>
        <w:rPr>
          <w:color w:val="auto"/>
          <w:sz w:val="23"/>
          <w:szCs w:val="23"/>
          <w:highlight w:val="none"/>
          <w:u w:val="single" w:color="auto"/>
        </w:rPr>
        <w:t xml:space="preserve">                                        </w:t>
      </w:r>
      <w:r>
        <w:rPr>
          <w:rFonts w:hint="default"/>
          <w:color w:val="auto"/>
          <w:spacing w:val="-1"/>
          <w:sz w:val="23"/>
          <w:szCs w:val="23"/>
          <w:highlight w:val="none"/>
          <w:lang w:val="en-US" w:eastAsia="zh-CN"/>
        </w:rPr>
        <w:t>。</w:t>
      </w:r>
    </w:p>
    <w:p w14:paraId="23E7EB32">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highlight w:val="none"/>
          <w:lang w:val="en-US" w:eastAsia="zh-CN"/>
        </w:rPr>
      </w:pPr>
      <w:r>
        <w:rPr>
          <w:rFonts w:hint="default"/>
          <w:b/>
          <w:bCs/>
          <w:color w:val="auto"/>
          <w:spacing w:val="-1"/>
          <w:sz w:val="23"/>
          <w:szCs w:val="23"/>
          <w:highlight w:val="none"/>
          <w:lang w:val="en-US" w:eastAsia="zh-CN"/>
        </w:rPr>
        <w:t>1.5 履行期限、地点和方式</w:t>
      </w:r>
    </w:p>
    <w:p w14:paraId="625D45A6">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1.5.1 履行期限：</w:t>
      </w:r>
      <w:r>
        <w:rPr>
          <w:color w:val="auto"/>
          <w:spacing w:val="-75"/>
          <w:sz w:val="23"/>
          <w:szCs w:val="23"/>
          <w:highlight w:val="none"/>
        </w:rPr>
        <w:t xml:space="preserve"> </w:t>
      </w:r>
      <w:r>
        <w:rPr>
          <w:color w:val="auto"/>
          <w:sz w:val="23"/>
          <w:szCs w:val="23"/>
          <w:highlight w:val="none"/>
          <w:u w:val="single" w:color="auto"/>
        </w:rPr>
        <w:t xml:space="preserve">                                                 </w:t>
      </w:r>
      <w:r>
        <w:rPr>
          <w:rFonts w:hint="default"/>
          <w:color w:val="auto"/>
          <w:spacing w:val="-1"/>
          <w:sz w:val="23"/>
          <w:szCs w:val="23"/>
          <w:highlight w:val="none"/>
          <w:lang w:val="en-US" w:eastAsia="zh-CN"/>
        </w:rPr>
        <w:t xml:space="preserve"> ； 1.5.2 履行地点：</w:t>
      </w:r>
      <w:r>
        <w:rPr>
          <w:color w:val="auto"/>
          <w:spacing w:val="-75"/>
          <w:sz w:val="23"/>
          <w:szCs w:val="23"/>
          <w:highlight w:val="none"/>
        </w:rPr>
        <w:t xml:space="preserve"> </w:t>
      </w:r>
      <w:r>
        <w:rPr>
          <w:color w:val="auto"/>
          <w:sz w:val="23"/>
          <w:szCs w:val="23"/>
          <w:highlight w:val="none"/>
          <w:u w:val="single" w:color="auto"/>
        </w:rPr>
        <w:t xml:space="preserve">                                                 </w:t>
      </w:r>
      <w:r>
        <w:rPr>
          <w:rFonts w:hint="default"/>
          <w:color w:val="auto"/>
          <w:spacing w:val="-1"/>
          <w:sz w:val="23"/>
          <w:szCs w:val="23"/>
          <w:highlight w:val="none"/>
          <w:lang w:val="en-US" w:eastAsia="zh-CN"/>
        </w:rPr>
        <w:t xml:space="preserve"> ； 1.5.3 履行方式：</w:t>
      </w:r>
      <w:r>
        <w:rPr>
          <w:color w:val="auto"/>
          <w:spacing w:val="-75"/>
          <w:sz w:val="23"/>
          <w:szCs w:val="23"/>
          <w:highlight w:val="none"/>
        </w:rPr>
        <w:t xml:space="preserve"> </w:t>
      </w:r>
      <w:r>
        <w:rPr>
          <w:color w:val="auto"/>
          <w:sz w:val="23"/>
          <w:szCs w:val="23"/>
          <w:highlight w:val="none"/>
          <w:u w:val="single" w:color="auto"/>
        </w:rPr>
        <w:t xml:space="preserve">                                                 </w:t>
      </w:r>
      <w:r>
        <w:rPr>
          <w:rFonts w:hint="default"/>
          <w:color w:val="auto"/>
          <w:spacing w:val="-1"/>
          <w:sz w:val="23"/>
          <w:szCs w:val="23"/>
          <w:highlight w:val="none"/>
          <w:lang w:val="en-US" w:eastAsia="zh-CN"/>
        </w:rPr>
        <w:t xml:space="preserve"> 。</w:t>
      </w:r>
    </w:p>
    <w:p w14:paraId="458C076E">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1.6 违约责任</w:t>
      </w:r>
    </w:p>
    <w:p w14:paraId="60883E45">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1.6.1 除不可抗力外，如果乙方没有按照本合同约定的期限、地点和方式履行，那么甲方可要求乙方支付违约金，违约金按每迟延履行一日的应提供而未提供服务价格的</w:t>
      </w:r>
      <w:r>
        <w:rPr>
          <w:rFonts w:hint="default"/>
          <w:color w:val="auto"/>
          <w:spacing w:val="-1"/>
          <w:sz w:val="23"/>
          <w:szCs w:val="23"/>
          <w:highlight w:val="none"/>
          <w:u w:val="single"/>
          <w:lang w:val="en-US" w:eastAsia="zh-CN"/>
        </w:rPr>
        <w:t xml:space="preserve">     </w:t>
      </w:r>
      <w:r>
        <w:rPr>
          <w:rFonts w:hint="default"/>
          <w:color w:val="auto"/>
          <w:spacing w:val="-1"/>
          <w:sz w:val="23"/>
          <w:szCs w:val="23"/>
          <w:highlight w:val="none"/>
          <w:lang w:val="en-US" w:eastAsia="zh-CN"/>
        </w:rPr>
        <w:t>%计算，最高限额为本合同总价的</w:t>
      </w:r>
      <w:r>
        <w:rPr>
          <w:rFonts w:hint="default"/>
          <w:color w:val="auto"/>
          <w:spacing w:val="-1"/>
          <w:sz w:val="23"/>
          <w:szCs w:val="23"/>
          <w:highlight w:val="none"/>
          <w:u w:val="single"/>
          <w:lang w:val="en-US" w:eastAsia="zh-CN"/>
        </w:rPr>
        <w:t xml:space="preserve">     </w:t>
      </w:r>
      <w:r>
        <w:rPr>
          <w:rFonts w:hint="default"/>
          <w:color w:val="auto"/>
          <w:spacing w:val="-1"/>
          <w:sz w:val="23"/>
          <w:szCs w:val="23"/>
          <w:highlight w:val="none"/>
          <w:lang w:val="en-US" w:eastAsia="zh-CN"/>
        </w:rPr>
        <w:t>%；迟延履行的违约金计算数额达到前述最高限额之日起，甲方有权在要求乙方支付违约金的同时，书面通知乙方解除本合同；</w:t>
      </w:r>
    </w:p>
    <w:p w14:paraId="1DDBCAED">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1.6.2 除不可抗力外，如果甲方没有按照本合同约定的付款方式付款，那么乙方可要求甲方支付违约金， 违约金按每迟延付款一日的应付而未付款的</w:t>
      </w:r>
      <w:r>
        <w:rPr>
          <w:rFonts w:hint="default"/>
          <w:color w:val="auto"/>
          <w:spacing w:val="-1"/>
          <w:sz w:val="23"/>
          <w:szCs w:val="23"/>
          <w:highlight w:val="none"/>
          <w:u w:val="single"/>
          <w:lang w:val="en-US" w:eastAsia="zh-CN"/>
        </w:rPr>
        <w:t xml:space="preserve">     </w:t>
      </w:r>
      <w:r>
        <w:rPr>
          <w:rFonts w:hint="default"/>
          <w:color w:val="auto"/>
          <w:spacing w:val="-1"/>
          <w:sz w:val="23"/>
          <w:szCs w:val="23"/>
          <w:highlight w:val="none"/>
          <w:lang w:val="en-US" w:eastAsia="zh-CN"/>
        </w:rPr>
        <w:t>%计算，最高限额为本合同总价的</w:t>
      </w:r>
      <w:r>
        <w:rPr>
          <w:rFonts w:hint="default"/>
          <w:color w:val="auto"/>
          <w:spacing w:val="-1"/>
          <w:sz w:val="23"/>
          <w:szCs w:val="23"/>
          <w:highlight w:val="none"/>
          <w:u w:val="single"/>
          <w:lang w:val="en-US" w:eastAsia="zh-CN"/>
        </w:rPr>
        <w:t xml:space="preserve">      </w:t>
      </w:r>
      <w:r>
        <w:rPr>
          <w:rFonts w:hint="default"/>
          <w:color w:val="auto"/>
          <w:spacing w:val="-1"/>
          <w:sz w:val="23"/>
          <w:szCs w:val="23"/>
          <w:highlight w:val="none"/>
          <w:lang w:val="en-US" w:eastAsia="zh-CN"/>
        </w:rPr>
        <w:t>%；迟延付款的违约金计算数额达到前述最高限额之日起，乙方有权在要求甲方支付违约金的同时，书面通知甲方解除本合同；</w:t>
      </w:r>
    </w:p>
    <w:p w14:paraId="76269D48">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D359DDA">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DA648E2">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816213F">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1.6.6 如果出现政府采购监督管理部门在处理投诉事项期间，书面通知甲方暂停采购活动的情形，或者询问或质疑事项可能影响中标结果的，导致甲方中止履行合同的情形，均不视为甲方违约。</w:t>
      </w:r>
    </w:p>
    <w:p w14:paraId="662E187B">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highlight w:val="none"/>
          <w:lang w:val="en-US" w:eastAsia="zh-CN"/>
        </w:rPr>
      </w:pPr>
      <w:r>
        <w:rPr>
          <w:rFonts w:hint="default"/>
          <w:b/>
          <w:bCs/>
          <w:color w:val="auto"/>
          <w:spacing w:val="-1"/>
          <w:sz w:val="23"/>
          <w:szCs w:val="23"/>
          <w:highlight w:val="none"/>
          <w:lang w:val="en-US" w:eastAsia="zh-CN"/>
        </w:rPr>
        <w:t>1.7 合同争议的解决</w:t>
      </w:r>
    </w:p>
    <w:p w14:paraId="39D55E73">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本合同履行过程中发生的任何争议，双方当事人均可通过和解或者调解解决；不愿和解、调解或者和解、调解不成的，可以选择下列第</w:t>
      </w:r>
      <w:r>
        <w:rPr>
          <w:rFonts w:hint="default"/>
          <w:color w:val="auto"/>
          <w:spacing w:val="-1"/>
          <w:sz w:val="23"/>
          <w:szCs w:val="23"/>
          <w:highlight w:val="none"/>
          <w:u w:val="single"/>
          <w:lang w:val="en-US" w:eastAsia="zh-CN"/>
        </w:rPr>
        <w:t xml:space="preserve">      </w:t>
      </w:r>
      <w:r>
        <w:rPr>
          <w:rFonts w:hint="default"/>
          <w:color w:val="auto"/>
          <w:spacing w:val="-1"/>
          <w:sz w:val="23"/>
          <w:szCs w:val="23"/>
          <w:highlight w:val="none"/>
          <w:lang w:val="en-US" w:eastAsia="zh-CN"/>
        </w:rPr>
        <w:t>种方式解决：</w:t>
      </w:r>
    </w:p>
    <w:p w14:paraId="371E1E47">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456" w:firstLineChars="200"/>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1.7.1 将争议提交</w:t>
      </w:r>
      <w:r>
        <w:rPr>
          <w:rFonts w:hint="default"/>
          <w:color w:val="auto"/>
          <w:spacing w:val="-1"/>
          <w:sz w:val="23"/>
          <w:szCs w:val="23"/>
          <w:highlight w:val="none"/>
          <w:u w:val="single"/>
          <w:lang w:val="en-US" w:eastAsia="zh-CN"/>
        </w:rPr>
        <w:t xml:space="preserve">                 </w:t>
      </w:r>
      <w:r>
        <w:rPr>
          <w:rFonts w:hint="default"/>
          <w:color w:val="auto"/>
          <w:spacing w:val="-1"/>
          <w:sz w:val="23"/>
          <w:szCs w:val="23"/>
          <w:highlight w:val="none"/>
          <w:lang w:val="en-US" w:eastAsia="zh-CN"/>
        </w:rPr>
        <w:t>仲裁委员会依申请仲裁时其现行有效的仲裁规则裁决；</w:t>
      </w:r>
    </w:p>
    <w:p w14:paraId="1EE3064A">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456" w:firstLineChars="200"/>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1.7.2 向</w:t>
      </w:r>
      <w:r>
        <w:rPr>
          <w:rFonts w:hint="default"/>
          <w:color w:val="auto"/>
          <w:spacing w:val="-1"/>
          <w:sz w:val="23"/>
          <w:szCs w:val="23"/>
          <w:highlight w:val="none"/>
          <w:u w:val="single"/>
          <w:lang w:val="en-US" w:eastAsia="zh-CN"/>
        </w:rPr>
        <w:t xml:space="preserve"> （被告住所地、合同履行地、合同签订地、原告住所地、标的 物所在地等与争议有实际联系的地点中选出的人民法院名称）     </w:t>
      </w:r>
      <w:r>
        <w:rPr>
          <w:rFonts w:hint="default"/>
          <w:color w:val="auto"/>
          <w:spacing w:val="-1"/>
          <w:sz w:val="23"/>
          <w:szCs w:val="23"/>
          <w:highlight w:val="none"/>
          <w:lang w:val="en-US" w:eastAsia="zh-CN"/>
        </w:rPr>
        <w:t>人民法院起 诉。</w:t>
      </w:r>
    </w:p>
    <w:p w14:paraId="19C731B2">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firstLine="458" w:firstLineChars="200"/>
        <w:textAlignment w:val="baseline"/>
        <w:outlineLvl w:val="9"/>
        <w:rPr>
          <w:rFonts w:hint="default"/>
          <w:color w:val="auto"/>
          <w:spacing w:val="-1"/>
          <w:sz w:val="23"/>
          <w:szCs w:val="23"/>
          <w:highlight w:val="none"/>
          <w:lang w:val="en-US" w:eastAsia="zh-CN"/>
        </w:rPr>
      </w:pPr>
      <w:r>
        <w:rPr>
          <w:rFonts w:hint="default"/>
          <w:b/>
          <w:bCs/>
          <w:color w:val="auto"/>
          <w:spacing w:val="-1"/>
          <w:sz w:val="23"/>
          <w:szCs w:val="23"/>
          <w:highlight w:val="none"/>
          <w:lang w:val="en-US" w:eastAsia="zh-CN"/>
        </w:rPr>
        <w:t>1.8 合同生效</w:t>
      </w:r>
    </w:p>
    <w:p w14:paraId="7C182EE4">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228" w:firstLineChars="100"/>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本合同自双方当事人盖章或者签字时生效。</w:t>
      </w:r>
    </w:p>
    <w:p w14:paraId="0C8EF068">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甲方：                                    乙方：</w:t>
      </w:r>
    </w:p>
    <w:p w14:paraId="336C8B17">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统一社会信用代码：                      统一社会信用代码或身份证号码：</w:t>
      </w:r>
    </w:p>
    <w:p w14:paraId="26408441">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住所：                                    住所：</w:t>
      </w:r>
    </w:p>
    <w:p w14:paraId="71073219">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法定代表人                               法定代表人</w:t>
      </w:r>
    </w:p>
    <w:p w14:paraId="1FFB9A73">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或授权代表（签字）：                      或授权代表（签字） :</w:t>
      </w:r>
    </w:p>
    <w:p w14:paraId="1B7F1D04">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联系人：                                   联系人：</w:t>
      </w:r>
    </w:p>
    <w:p w14:paraId="48943AFC">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约定送达地址：                            约定送达地址：</w:t>
      </w:r>
    </w:p>
    <w:p w14:paraId="357ADFDA">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邮政编码：                                 邮政编码：</w:t>
      </w:r>
    </w:p>
    <w:p w14:paraId="0368F5D0">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电话:                                     电话:</w:t>
      </w:r>
    </w:p>
    <w:p w14:paraId="16C5BA2A">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传真:                                   传真:</w:t>
      </w:r>
    </w:p>
    <w:p w14:paraId="17293861">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电子邮箱：                                 电子邮箱：</w:t>
      </w:r>
    </w:p>
    <w:p w14:paraId="7AADFE12">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开户银行：                                 开户银行：</w:t>
      </w:r>
    </w:p>
    <w:p w14:paraId="01E23791">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开户名称：                                 开户名称：</w:t>
      </w:r>
    </w:p>
    <w:p w14:paraId="11754365">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r>
        <w:rPr>
          <w:rFonts w:hint="default"/>
          <w:color w:val="auto"/>
          <w:spacing w:val="-1"/>
          <w:sz w:val="23"/>
          <w:szCs w:val="23"/>
          <w:highlight w:val="none"/>
          <w:lang w:val="en-US" w:eastAsia="zh-CN"/>
        </w:rPr>
        <w:t>开户账号：                                 开户账号：</w:t>
      </w:r>
    </w:p>
    <w:p w14:paraId="3F768AA6">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p>
    <w:p w14:paraId="05F58117">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p>
    <w:p w14:paraId="019E7491">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highlight w:val="none"/>
          <w:lang w:val="en-US" w:eastAsia="zh-CN"/>
        </w:rPr>
      </w:pPr>
    </w:p>
    <w:p w14:paraId="1691E79B">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textAlignment w:val="baseline"/>
        <w:outlineLvl w:val="9"/>
        <w:rPr>
          <w:rFonts w:hint="default"/>
          <w:color w:val="auto"/>
          <w:spacing w:val="-1"/>
          <w:sz w:val="23"/>
          <w:szCs w:val="23"/>
          <w:highlight w:val="none"/>
          <w:lang w:val="en-US" w:eastAsia="zh-CN"/>
        </w:rPr>
      </w:pPr>
    </w:p>
    <w:p w14:paraId="53370F28">
      <w:pPr>
        <w:pStyle w:val="9"/>
        <w:tabs>
          <w:tab w:val="left" w:pos="2086"/>
        </w:tabs>
        <w:spacing w:before="74" w:line="442" w:lineRule="auto"/>
        <w:ind w:left="38" w:right="77" w:firstLine="1088"/>
        <w:jc w:val="center"/>
        <w:rPr>
          <w:rFonts w:hint="default"/>
          <w:i w:val="0"/>
          <w:iCs w:val="0"/>
          <w:color w:val="auto"/>
          <w:sz w:val="24"/>
          <w:szCs w:val="24"/>
          <w:highlight w:val="none"/>
          <w:u w:val="none" w:color="auto"/>
          <w:lang w:val="en-US" w:eastAsia="zh-CN"/>
        </w:rPr>
      </w:pPr>
      <w:r>
        <w:rPr>
          <w:rFonts w:hint="default"/>
          <w:i w:val="0"/>
          <w:iCs w:val="0"/>
          <w:color w:val="auto"/>
          <w:sz w:val="28"/>
          <w:szCs w:val="28"/>
          <w:highlight w:val="none"/>
          <w:u w:val="none" w:color="auto"/>
          <w:lang w:val="en-US" w:eastAsia="zh-CN"/>
        </w:rPr>
        <w:t>第二部分 合同一般条款</w:t>
      </w:r>
    </w:p>
    <w:p w14:paraId="026991B5">
      <w:pPr>
        <w:pStyle w:val="9"/>
        <w:tabs>
          <w:tab w:val="left" w:pos="2086"/>
        </w:tabs>
        <w:spacing w:before="74" w:line="442" w:lineRule="auto"/>
        <w:ind w:right="77" w:firstLine="240" w:firstLineChars="1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 定义</w:t>
      </w:r>
    </w:p>
    <w:p w14:paraId="45E7AA0C">
      <w:pPr>
        <w:pStyle w:val="9"/>
        <w:tabs>
          <w:tab w:val="left" w:pos="2086"/>
        </w:tabs>
        <w:spacing w:before="74" w:line="442" w:lineRule="auto"/>
        <w:ind w:right="77" w:firstLine="720" w:firstLineChars="3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本合同中的下列词语应按以下内容进行解释：</w:t>
      </w:r>
    </w:p>
    <w:p w14:paraId="4385F392">
      <w:pPr>
        <w:pStyle w:val="9"/>
        <w:tabs>
          <w:tab w:val="left" w:pos="2086"/>
        </w:tabs>
        <w:spacing w:before="74" w:line="442" w:lineRule="auto"/>
        <w:ind w:left="239" w:leftChars="114"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2.1.1 “合同 ”系指采购人和中标供应商签订的载明双方当事人所达成的协议，并包括所有的附件、附录和构成合同的其他文件。</w:t>
      </w:r>
    </w:p>
    <w:p w14:paraId="279EA0E5">
      <w:pPr>
        <w:pStyle w:val="9"/>
        <w:tabs>
          <w:tab w:val="left" w:pos="2086"/>
        </w:tabs>
        <w:spacing w:before="74" w:line="442" w:lineRule="auto"/>
        <w:ind w:left="239" w:leftChars="114"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2.1.2 “合同价”系指根据合同约定，中标供应商在完全履行合同义务后，采购人应支付给中标供应商的价格。</w:t>
      </w:r>
    </w:p>
    <w:p w14:paraId="4B64892E">
      <w:pPr>
        <w:pStyle w:val="9"/>
        <w:tabs>
          <w:tab w:val="left" w:pos="2086"/>
        </w:tabs>
        <w:spacing w:before="74" w:line="442" w:lineRule="auto"/>
        <w:ind w:left="239" w:leftChars="114"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2.1.3 “服务”系指中标供应商根据合同约定应向采购人履行的除货物和工程以外的其他政府采购对象，包括采购人自身需要的服务和向社会公众提供的公共服务。</w:t>
      </w:r>
    </w:p>
    <w:p w14:paraId="5946A289">
      <w:pPr>
        <w:pStyle w:val="9"/>
        <w:tabs>
          <w:tab w:val="left" w:pos="2086"/>
        </w:tabs>
        <w:spacing w:before="74" w:line="442" w:lineRule="auto"/>
        <w:ind w:left="239" w:leftChars="114"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2.1.4 “甲方”系指与中标供应商签署合同的采购人；采购人委托采购代理机构代表其与乙方签订合同的，采购人的授权委托书作为合同附件。</w:t>
      </w:r>
    </w:p>
    <w:p w14:paraId="4DB42A63">
      <w:pPr>
        <w:pStyle w:val="9"/>
        <w:tabs>
          <w:tab w:val="left" w:pos="2086"/>
        </w:tabs>
        <w:spacing w:before="74" w:line="442" w:lineRule="auto"/>
        <w:ind w:left="239" w:leftChars="114"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2.1.5</w:t>
      </w:r>
      <w:r>
        <w:rPr>
          <w:rFonts w:hint="eastAsia"/>
          <w:i w:val="0"/>
          <w:iCs w:val="0"/>
          <w:color w:val="auto"/>
          <w:sz w:val="24"/>
          <w:szCs w:val="24"/>
          <w:highlight w:val="none"/>
          <w:u w:val="none" w:color="auto"/>
          <w:lang w:val="en-US" w:eastAsia="zh-CN"/>
        </w:rPr>
        <w:t xml:space="preserve"> </w:t>
      </w:r>
      <w:r>
        <w:rPr>
          <w:rFonts w:hint="default"/>
          <w:i w:val="0"/>
          <w:iCs w:val="0"/>
          <w:color w:val="auto"/>
          <w:sz w:val="24"/>
          <w:szCs w:val="24"/>
          <w:highlight w:val="none"/>
          <w:u w:val="none" w:color="auto"/>
          <w:lang w:val="en-US" w:eastAsia="zh-CN"/>
        </w:rPr>
        <w:t>“乙方”系指根据合同约定提供服务的中标供应商；两个以上的自然人、法人或者其他组织组成一个联合体，以一个供应商的身份共同参加政府采购的，联合体各方均应为乙方或者与乙方相同地位的合同当事人，并就合同 约定的事项对甲方承担连带责任。</w:t>
      </w:r>
    </w:p>
    <w:p w14:paraId="3FA4E519">
      <w:pPr>
        <w:pStyle w:val="9"/>
        <w:tabs>
          <w:tab w:val="left" w:pos="2086"/>
        </w:tabs>
        <w:spacing w:before="74" w:line="442" w:lineRule="auto"/>
        <w:ind w:right="77" w:firstLine="720" w:firstLineChars="3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2.1.6 “现场 ”系指合同约定提供服务的地点。</w:t>
      </w:r>
    </w:p>
    <w:p w14:paraId="6083C1ED">
      <w:pPr>
        <w:pStyle w:val="9"/>
        <w:tabs>
          <w:tab w:val="left" w:pos="2086"/>
        </w:tabs>
        <w:spacing w:before="74" w:line="442" w:lineRule="auto"/>
        <w:ind w:right="77" w:firstLine="240" w:firstLineChars="1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2.2 技术规范</w:t>
      </w:r>
    </w:p>
    <w:p w14:paraId="4155DD86">
      <w:pPr>
        <w:pStyle w:val="9"/>
        <w:tabs>
          <w:tab w:val="left" w:pos="2086"/>
        </w:tabs>
        <w:spacing w:before="74" w:line="442" w:lineRule="auto"/>
        <w:ind w:left="239" w:leftChars="114"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35B44B">
      <w:pPr>
        <w:pStyle w:val="9"/>
        <w:tabs>
          <w:tab w:val="left" w:pos="2086"/>
        </w:tabs>
        <w:spacing w:before="74" w:line="442" w:lineRule="auto"/>
        <w:ind w:right="77" w:firstLine="240" w:firstLineChars="1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2.3 知识产权</w:t>
      </w:r>
    </w:p>
    <w:p w14:paraId="13568CBB">
      <w:pPr>
        <w:pStyle w:val="9"/>
        <w:tabs>
          <w:tab w:val="left" w:pos="2086"/>
        </w:tabs>
        <w:spacing w:before="74" w:line="442" w:lineRule="auto"/>
        <w:ind w:left="239" w:leftChars="114"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2.3.1 乙方应保证其提供的服务不受任何第三方提出的侵犯其著作权、商标权、专利权等知识产权方面的起诉；如果任何第三方提出侵权指控，那么乙 方须与该第三方交涉并承担由此发生的一切责任、费用和赔偿；</w:t>
      </w:r>
    </w:p>
    <w:p w14:paraId="29CB5BA6">
      <w:pPr>
        <w:pStyle w:val="9"/>
        <w:tabs>
          <w:tab w:val="left" w:pos="2086"/>
        </w:tabs>
        <w:spacing w:before="74" w:line="442" w:lineRule="auto"/>
        <w:ind w:right="77" w:firstLine="720" w:firstLineChars="3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2.3.2 合同涉及技术成果的归属和收益的分成办法的，详见</w:t>
      </w:r>
      <w:r>
        <w:rPr>
          <w:rFonts w:hint="default"/>
          <w:i w:val="0"/>
          <w:iCs w:val="0"/>
          <w:color w:val="auto"/>
          <w:sz w:val="24"/>
          <w:szCs w:val="24"/>
          <w:highlight w:val="none"/>
          <w:u w:val="single" w:color="auto"/>
          <w:lang w:val="en-US" w:eastAsia="zh-CN"/>
        </w:rPr>
        <w:t>合同专用条款</w:t>
      </w:r>
      <w:r>
        <w:rPr>
          <w:rFonts w:hint="default"/>
          <w:i w:val="0"/>
          <w:iCs w:val="0"/>
          <w:color w:val="auto"/>
          <w:sz w:val="24"/>
          <w:szCs w:val="24"/>
          <w:highlight w:val="none"/>
          <w:u w:val="none" w:color="auto"/>
          <w:lang w:val="en-US" w:eastAsia="zh-CN"/>
        </w:rPr>
        <w:t>。</w:t>
      </w:r>
    </w:p>
    <w:p w14:paraId="6E9EE3F6">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2.4 履约检查和问题反馈</w:t>
      </w:r>
    </w:p>
    <w:p w14:paraId="5A995C95">
      <w:pPr>
        <w:pStyle w:val="9"/>
        <w:tabs>
          <w:tab w:val="left" w:pos="2086"/>
        </w:tabs>
        <w:spacing w:before="74" w:line="442" w:lineRule="auto"/>
        <w:ind w:left="239" w:leftChars="114"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2.4.1 甲方有权在其认为必要时，对乙方是否能够按照合同约定提供服务进行履约检查， 以确保乙方所提供的服务能够依约满足甲方之项目需求，但不得 因履约检查妨碍乙方的正常工作，乙方应予积极配合；</w:t>
      </w:r>
    </w:p>
    <w:p w14:paraId="18C47AEC">
      <w:pPr>
        <w:pStyle w:val="9"/>
        <w:tabs>
          <w:tab w:val="left" w:pos="2086"/>
        </w:tabs>
        <w:spacing w:before="74" w:line="442" w:lineRule="auto"/>
        <w:ind w:left="239" w:leftChars="114"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2.4.2 合同履行期间，甲方有权将履行过程中出现的问题反馈给乙方，双方当事人应以书面形式约定需要完善和改进的内容。</w:t>
      </w:r>
    </w:p>
    <w:p w14:paraId="7FAF73AB">
      <w:pPr>
        <w:pStyle w:val="9"/>
        <w:tabs>
          <w:tab w:val="left" w:pos="2086"/>
        </w:tabs>
        <w:spacing w:before="74" w:line="442" w:lineRule="auto"/>
        <w:ind w:right="77" w:firstLine="240" w:firstLineChars="1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2.5 结算方式和付款条件</w:t>
      </w:r>
    </w:p>
    <w:p w14:paraId="03C36F90">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详见</w:t>
      </w:r>
      <w:r>
        <w:rPr>
          <w:rFonts w:hint="default"/>
          <w:i w:val="0"/>
          <w:iCs w:val="0"/>
          <w:color w:val="auto"/>
          <w:sz w:val="24"/>
          <w:szCs w:val="24"/>
          <w:highlight w:val="none"/>
          <w:u w:val="single" w:color="auto"/>
          <w:lang w:val="en-US" w:eastAsia="zh-CN"/>
        </w:rPr>
        <w:t>合同专用条款</w:t>
      </w:r>
      <w:r>
        <w:rPr>
          <w:rFonts w:hint="default"/>
          <w:i w:val="0"/>
          <w:iCs w:val="0"/>
          <w:color w:val="auto"/>
          <w:sz w:val="24"/>
          <w:szCs w:val="24"/>
          <w:highlight w:val="none"/>
          <w:u w:val="none" w:color="auto"/>
          <w:lang w:val="en-US" w:eastAsia="zh-CN"/>
        </w:rPr>
        <w:t>。</w:t>
      </w:r>
    </w:p>
    <w:p w14:paraId="1AF6E186">
      <w:pPr>
        <w:pStyle w:val="9"/>
        <w:tabs>
          <w:tab w:val="left" w:pos="2086"/>
        </w:tabs>
        <w:spacing w:before="74" w:line="442" w:lineRule="auto"/>
        <w:ind w:right="77" w:firstLine="240" w:firstLineChars="1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2.6 技术资料和保密义务</w:t>
      </w:r>
    </w:p>
    <w:p w14:paraId="69C4468C">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2.6.1 乙方有权依据合同约定和项目需要， 向甲方了解有关情况，调阅有关资料等，甲方应予积极配合；</w:t>
      </w:r>
    </w:p>
    <w:p w14:paraId="66D973DB">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2.6.2 乙方有义务妥善保管和保护由甲方提供的前款信息和资料等；</w:t>
      </w:r>
    </w:p>
    <w:p w14:paraId="0DDA7058">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2.6.3 除非依照法律规定或者对方当事人的书面同意，任何一方均应保证 不向任何第三方提供或披露有关合同的或者履行合同过程中知悉的对方当事人 任何未公开的信息和资料，包括但不限于技术情报、技术资料、商业秘密和商业信息等，并采取一切合理和必要措施和方式防止任何第三方接触到对方当事 人的上述保密信息和资料。</w:t>
      </w:r>
    </w:p>
    <w:p w14:paraId="5640CBB6">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2.7 质量保证</w:t>
      </w:r>
    </w:p>
    <w:p w14:paraId="545466E2">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2.7.1 乙方应建立和完善履行合同的内部质量保证体系，并提供相关内部 规章制度给甲方，以便甲方进行监督检查；</w:t>
      </w:r>
    </w:p>
    <w:p w14:paraId="0D5BEA8C">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2.7.2 乙方应保证履行合同的人员数量和素质、软件和硬件设备的配置、场地、环境和设施等满足全面履行合同的要求，并应接受甲方的监督检查。</w:t>
      </w:r>
    </w:p>
    <w:p w14:paraId="376D6091">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2.8 延迟履行</w:t>
      </w:r>
    </w:p>
    <w:p w14:paraId="1AA481F7">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在合同履行过程中，如果乙方遇到不能按时提供服务的情况，应及时以书面形式将不能按时提供服务的理由、预期延误时间通知甲方；甲方收到乙方通 知后，认为其理由正当的，可以书面形式酌情同意乙方可以延长履行的具体时 间。</w:t>
      </w:r>
    </w:p>
    <w:p w14:paraId="5F2A5D68">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2.9 合同变更</w:t>
      </w:r>
    </w:p>
    <w:p w14:paraId="7B770DD6">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2.9.1 双方当事人协商一致，可以签订书面补充合同的形式变更合同，但 不得违背采购文件确定的事项，且如果系追加与合同标的相同的服务的，那么 所有补充合同的采购金额不得超过原合同价的10%；</w:t>
      </w:r>
    </w:p>
    <w:p w14:paraId="3C0F217A">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2.9.2 合同继续履行将损害国家利益和社会公共利益的，双方当事人应当 以书面形式变更合同。有过错的一方应当承担赔偿责任，双方当事人都有过错 的，各自承担相应的责任。</w:t>
      </w:r>
    </w:p>
    <w:p w14:paraId="718E0DB0">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2.10 合同转让和分包</w:t>
      </w:r>
    </w:p>
    <w:p w14:paraId="0AAEF9B3">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合同的权利义务依法不得转让，但经甲方同意，乙方可以依法采取分包方 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0CA3143">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2.11 不可抗力</w:t>
      </w:r>
    </w:p>
    <w:p w14:paraId="23D783F9">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2.11.1 如果任何一方遭遇法律规定的不可抗力，致使合同履行受阻时，履行合同的期限应予延长，延长的期限应相当于不可抗力所影响的时间；</w:t>
      </w:r>
    </w:p>
    <w:p w14:paraId="4D195657">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2.11.2 因不可抗力致使不能实现合同目的的，当事人可以解除合同；</w:t>
      </w:r>
    </w:p>
    <w:p w14:paraId="67673935">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2.11.3 因不可抗力致使合同有变更必要的，双方当事人应在</w:t>
      </w:r>
      <w:r>
        <w:rPr>
          <w:rFonts w:hint="default"/>
          <w:i w:val="0"/>
          <w:iCs w:val="0"/>
          <w:color w:val="auto"/>
          <w:sz w:val="24"/>
          <w:szCs w:val="24"/>
          <w:highlight w:val="none"/>
          <w:u w:val="single" w:color="auto"/>
          <w:lang w:val="en-US" w:eastAsia="zh-CN"/>
        </w:rPr>
        <w:t xml:space="preserve">合同专用条款 </w:t>
      </w:r>
      <w:r>
        <w:rPr>
          <w:rFonts w:hint="default"/>
          <w:i w:val="0"/>
          <w:iCs w:val="0"/>
          <w:color w:val="auto"/>
          <w:sz w:val="24"/>
          <w:szCs w:val="24"/>
          <w:highlight w:val="none"/>
          <w:u w:val="none" w:color="auto"/>
          <w:lang w:val="en-US" w:eastAsia="zh-CN"/>
        </w:rPr>
        <w:t>约定时间内以书面形式变更合同；</w:t>
      </w:r>
    </w:p>
    <w:p w14:paraId="473299A5">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2.11.4 受不可抗力影响的一方在不可抗力发生后，应在</w:t>
      </w:r>
      <w:r>
        <w:rPr>
          <w:rFonts w:hint="default"/>
          <w:i w:val="0"/>
          <w:iCs w:val="0"/>
          <w:color w:val="auto"/>
          <w:sz w:val="24"/>
          <w:szCs w:val="24"/>
          <w:highlight w:val="none"/>
          <w:u w:val="single" w:color="auto"/>
          <w:lang w:val="en-US" w:eastAsia="zh-CN"/>
        </w:rPr>
        <w:t>合同专用条款</w:t>
      </w:r>
      <w:r>
        <w:rPr>
          <w:rFonts w:hint="default"/>
          <w:i w:val="0"/>
          <w:iCs w:val="0"/>
          <w:color w:val="auto"/>
          <w:sz w:val="24"/>
          <w:szCs w:val="24"/>
          <w:highlight w:val="none"/>
          <w:u w:val="none" w:color="auto"/>
          <w:lang w:val="en-US" w:eastAsia="zh-CN"/>
        </w:rPr>
        <w:t>约定 时间内以书面形式通知对方当事人，并在</w:t>
      </w:r>
      <w:r>
        <w:rPr>
          <w:rFonts w:hint="default"/>
          <w:i w:val="0"/>
          <w:iCs w:val="0"/>
          <w:color w:val="auto"/>
          <w:sz w:val="24"/>
          <w:szCs w:val="24"/>
          <w:highlight w:val="none"/>
          <w:u w:val="single" w:color="auto"/>
          <w:lang w:val="en-US" w:eastAsia="zh-CN"/>
        </w:rPr>
        <w:t>合同专用条款</w:t>
      </w:r>
      <w:r>
        <w:rPr>
          <w:rFonts w:hint="default"/>
          <w:i w:val="0"/>
          <w:iCs w:val="0"/>
          <w:color w:val="auto"/>
          <w:sz w:val="24"/>
          <w:szCs w:val="24"/>
          <w:highlight w:val="none"/>
          <w:u w:val="none" w:color="auto"/>
          <w:lang w:val="en-US" w:eastAsia="zh-CN"/>
        </w:rPr>
        <w:t>约定时间内，将有关部 门出具的证明文件送达对方当事人。</w:t>
      </w:r>
    </w:p>
    <w:p w14:paraId="4E25118E">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2.12 税费</w:t>
      </w:r>
    </w:p>
    <w:p w14:paraId="1D04163E">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与合同有关的一切税费，均按照中华人民共和国法律的相关规定缴纳。</w:t>
      </w:r>
    </w:p>
    <w:p w14:paraId="11F10F7D">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2.13 乙方破产</w:t>
      </w:r>
    </w:p>
    <w:p w14:paraId="4E32B5B9">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如果乙方破产导致合同无法履行时， 甲方可以书面形式通知乙方终止合同且不给予乙方任何补偿和赔偿，但合同的终止不损害或不影响甲方已经采取或将要采取的任何要求乙方支付违约金、赔偿损失等的行动或补救措施的权利。2.14 合同中止、终止</w:t>
      </w:r>
    </w:p>
    <w:p w14:paraId="2F92F8DE">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2.14.1 双方当事人不得擅自中止或者终止合同；</w:t>
      </w:r>
    </w:p>
    <w:p w14:paraId="4B55FA72">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2.14.2 合同继续履行将损害国家利益和社会公共利益的，双方当事人应当 中止或者终止合同。有过错的一方应当承担赔偿责任，双方当事人都有过错的， 各自承担相应的责任。</w:t>
      </w:r>
    </w:p>
    <w:p w14:paraId="20EE1ABF">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2.15 检验和验收</w:t>
      </w:r>
    </w:p>
    <w:p w14:paraId="2A9600C2">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2.15.1 乙方按照</w:t>
      </w:r>
      <w:r>
        <w:rPr>
          <w:rFonts w:hint="default"/>
          <w:i w:val="0"/>
          <w:iCs w:val="0"/>
          <w:color w:val="auto"/>
          <w:sz w:val="24"/>
          <w:szCs w:val="24"/>
          <w:highlight w:val="none"/>
          <w:u w:val="single" w:color="auto"/>
          <w:lang w:val="en-US" w:eastAsia="zh-CN"/>
        </w:rPr>
        <w:t>合同专用条款</w:t>
      </w:r>
      <w:r>
        <w:rPr>
          <w:rFonts w:hint="default"/>
          <w:i w:val="0"/>
          <w:iCs w:val="0"/>
          <w:color w:val="auto"/>
          <w:sz w:val="24"/>
          <w:szCs w:val="24"/>
          <w:highlight w:val="none"/>
          <w:u w:val="none" w:color="auto"/>
          <w:lang w:val="en-US" w:eastAsia="zh-CN"/>
        </w:rPr>
        <w:t>的约定，定期提交服务报告，甲方按照</w:t>
      </w:r>
      <w:r>
        <w:rPr>
          <w:rFonts w:hint="default"/>
          <w:i w:val="0"/>
          <w:iCs w:val="0"/>
          <w:color w:val="auto"/>
          <w:sz w:val="24"/>
          <w:szCs w:val="24"/>
          <w:highlight w:val="none"/>
          <w:u w:val="single" w:color="auto"/>
          <w:lang w:val="en-US" w:eastAsia="zh-CN"/>
        </w:rPr>
        <w:t>合同 专用条款</w:t>
      </w:r>
      <w:r>
        <w:rPr>
          <w:rFonts w:hint="default"/>
          <w:i w:val="0"/>
          <w:iCs w:val="0"/>
          <w:color w:val="auto"/>
          <w:sz w:val="24"/>
          <w:szCs w:val="24"/>
          <w:highlight w:val="none"/>
          <w:u w:val="none" w:color="auto"/>
          <w:lang w:val="en-US" w:eastAsia="zh-CN"/>
        </w:rPr>
        <w:t>的约定进行定期验收；</w:t>
      </w:r>
    </w:p>
    <w:p w14:paraId="3C81A984">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2.15.2 合同期满或者履行完毕后，甲方有权组织（包括依法邀请国家认可 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F9F19D">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2.15.3 检验和验收标准、程序等具体内容以及前述验收书的效力详见合同专用条款。</w:t>
      </w:r>
    </w:p>
    <w:p w14:paraId="23841177">
      <w:pPr>
        <w:pStyle w:val="9"/>
        <w:tabs>
          <w:tab w:val="left" w:pos="2086"/>
        </w:tabs>
        <w:spacing w:before="74" w:line="442" w:lineRule="auto"/>
        <w:ind w:right="77"/>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2.16 通知和送达</w:t>
      </w:r>
    </w:p>
    <w:p w14:paraId="18BC7A6A">
      <w:pPr>
        <w:pStyle w:val="9"/>
        <w:tabs>
          <w:tab w:val="left" w:pos="2086"/>
        </w:tabs>
        <w:spacing w:before="74" w:line="442" w:lineRule="auto"/>
        <w:ind w:right="77" w:firstLine="480" w:firstLineChars="200"/>
        <w:jc w:val="both"/>
        <w:rPr>
          <w:rFonts w:hint="eastAsia"/>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2.16.1 任何一方因履行合同而以合同第一部分尾部所列明的发出的所有通知、文件、材料，均视为已向对方当事人送达；任何一方变更上述送达方式或者地址的，应于</w:t>
      </w:r>
      <w:r>
        <w:rPr>
          <w:rFonts w:hint="default"/>
          <w:i w:val="0"/>
          <w:iCs w:val="0"/>
          <w:color w:val="auto"/>
          <w:sz w:val="24"/>
          <w:szCs w:val="24"/>
          <w:highlight w:val="none"/>
          <w:u w:val="single" w:color="auto"/>
          <w:lang w:val="en-US" w:eastAsia="zh-CN"/>
        </w:rPr>
        <w:t xml:space="preserve">     </w:t>
      </w:r>
      <w:r>
        <w:rPr>
          <w:rFonts w:hint="default"/>
          <w:i w:val="0"/>
          <w:iCs w:val="0"/>
          <w:color w:val="auto"/>
          <w:sz w:val="24"/>
          <w:szCs w:val="24"/>
          <w:highlight w:val="none"/>
          <w:u w:val="none" w:color="auto"/>
          <w:lang w:val="en-US" w:eastAsia="zh-CN"/>
        </w:rPr>
        <w:t>个工作日内书面通知对方当事人，在对方当事人收到有关变更通知之前，变更前的约定送达方式或者地址仍视为有效</w:t>
      </w:r>
      <w:r>
        <w:rPr>
          <w:rFonts w:hint="eastAsia"/>
          <w:i w:val="0"/>
          <w:iCs w:val="0"/>
          <w:color w:val="auto"/>
          <w:sz w:val="24"/>
          <w:szCs w:val="24"/>
          <w:highlight w:val="none"/>
          <w:u w:val="none" w:color="auto"/>
          <w:lang w:val="en-US" w:eastAsia="zh-CN"/>
        </w:rPr>
        <w:t>。</w:t>
      </w:r>
    </w:p>
    <w:p w14:paraId="6034D246">
      <w:pPr>
        <w:pStyle w:val="9"/>
        <w:tabs>
          <w:tab w:val="left" w:pos="2086"/>
        </w:tabs>
        <w:spacing w:before="74" w:line="442" w:lineRule="auto"/>
        <w:ind w:right="77" w:firstLine="480" w:firstLineChars="200"/>
        <w:jc w:val="both"/>
        <w:rPr>
          <w:rFonts w:hint="default"/>
          <w:i w:val="0"/>
          <w:iCs w:val="0"/>
          <w:color w:val="auto"/>
          <w:sz w:val="24"/>
          <w:szCs w:val="24"/>
          <w:highlight w:val="none"/>
          <w:u w:val="none" w:color="auto"/>
          <w:lang w:val="en-US" w:eastAsia="zh-CN"/>
        </w:rPr>
      </w:pPr>
      <w:r>
        <w:rPr>
          <w:rFonts w:hint="default"/>
          <w:i w:val="0"/>
          <w:iCs w:val="0"/>
          <w:color w:val="auto"/>
          <w:sz w:val="24"/>
          <w:szCs w:val="24"/>
          <w:highlight w:val="none"/>
          <w:u w:val="none" w:color="auto"/>
          <w:lang w:val="en-US" w:eastAsia="zh-CN"/>
        </w:rPr>
        <w:t>2.16.2 以当面交付方式送达的，交付之时视为送达；以电子邮件方式送达 的，发出电子邮件之时视为送达；以传真方式送达的，发出传真之时视为送达； 以邮寄方式送达的，邮件挂号寄出或者交邮之日之次日视为送达。</w:t>
      </w:r>
    </w:p>
    <w:p w14:paraId="31444C0D">
      <w:pPr>
        <w:pStyle w:val="9"/>
        <w:tabs>
          <w:tab w:val="left" w:pos="2086"/>
        </w:tabs>
        <w:spacing w:before="74" w:line="442" w:lineRule="auto"/>
        <w:ind w:right="77"/>
        <w:jc w:val="both"/>
        <w:rPr>
          <w:rFonts w:hint="default"/>
          <w:color w:val="auto"/>
          <w:sz w:val="23"/>
          <w:szCs w:val="23"/>
          <w:highlight w:val="none"/>
          <w:u w:val="none" w:color="auto"/>
          <w:lang w:val="en-US" w:eastAsia="zh-CN"/>
        </w:rPr>
      </w:pPr>
      <w:r>
        <w:rPr>
          <w:rFonts w:hint="default"/>
          <w:color w:val="auto"/>
          <w:sz w:val="23"/>
          <w:szCs w:val="23"/>
          <w:highlight w:val="none"/>
          <w:u w:val="none" w:color="auto"/>
          <w:lang w:val="en-US" w:eastAsia="zh-CN"/>
        </w:rPr>
        <w:t>2.17 合同使用的文字和适用的法律</w:t>
      </w:r>
    </w:p>
    <w:p w14:paraId="01495553">
      <w:pPr>
        <w:pStyle w:val="9"/>
        <w:tabs>
          <w:tab w:val="left" w:pos="2086"/>
        </w:tabs>
        <w:spacing w:before="74" w:line="442" w:lineRule="auto"/>
        <w:ind w:right="77" w:firstLine="460" w:firstLineChars="200"/>
        <w:jc w:val="both"/>
        <w:rPr>
          <w:rFonts w:hint="default"/>
          <w:color w:val="auto"/>
          <w:sz w:val="23"/>
          <w:szCs w:val="23"/>
          <w:highlight w:val="none"/>
          <w:u w:val="none" w:color="auto"/>
          <w:lang w:val="en-US" w:eastAsia="zh-CN"/>
        </w:rPr>
      </w:pPr>
      <w:r>
        <w:rPr>
          <w:rFonts w:hint="default"/>
          <w:color w:val="auto"/>
          <w:sz w:val="23"/>
          <w:szCs w:val="23"/>
          <w:highlight w:val="none"/>
          <w:u w:val="none" w:color="auto"/>
          <w:lang w:val="en-US" w:eastAsia="zh-CN"/>
        </w:rPr>
        <w:t xml:space="preserve">2.17.1 合同使用汉语书就、变更和解释； </w:t>
      </w:r>
    </w:p>
    <w:p w14:paraId="639B8F36">
      <w:pPr>
        <w:pStyle w:val="9"/>
        <w:tabs>
          <w:tab w:val="left" w:pos="2086"/>
        </w:tabs>
        <w:spacing w:before="74" w:line="442" w:lineRule="auto"/>
        <w:ind w:right="77" w:firstLine="460" w:firstLineChars="200"/>
        <w:jc w:val="both"/>
        <w:rPr>
          <w:rFonts w:hint="default"/>
          <w:color w:val="auto"/>
          <w:sz w:val="23"/>
          <w:szCs w:val="23"/>
          <w:highlight w:val="none"/>
          <w:u w:val="none" w:color="auto"/>
          <w:lang w:val="en-US" w:eastAsia="zh-CN"/>
        </w:rPr>
      </w:pPr>
      <w:r>
        <w:rPr>
          <w:rFonts w:hint="default"/>
          <w:color w:val="auto"/>
          <w:sz w:val="23"/>
          <w:szCs w:val="23"/>
          <w:highlight w:val="none"/>
          <w:u w:val="none" w:color="auto"/>
          <w:lang w:val="en-US" w:eastAsia="zh-CN"/>
        </w:rPr>
        <w:t>2.17.2 合同适用中华人民共和国法律。</w:t>
      </w:r>
    </w:p>
    <w:p w14:paraId="380D1CB5">
      <w:pPr>
        <w:pStyle w:val="9"/>
        <w:tabs>
          <w:tab w:val="left" w:pos="2086"/>
        </w:tabs>
        <w:spacing w:before="74" w:line="442" w:lineRule="auto"/>
        <w:ind w:right="77"/>
        <w:jc w:val="both"/>
        <w:rPr>
          <w:rFonts w:hint="default"/>
          <w:color w:val="auto"/>
          <w:sz w:val="23"/>
          <w:szCs w:val="23"/>
          <w:highlight w:val="none"/>
          <w:u w:val="none" w:color="auto"/>
          <w:lang w:val="en-US" w:eastAsia="zh-CN"/>
        </w:rPr>
      </w:pPr>
      <w:r>
        <w:rPr>
          <w:rFonts w:hint="default"/>
          <w:color w:val="auto"/>
          <w:sz w:val="23"/>
          <w:szCs w:val="23"/>
          <w:highlight w:val="none"/>
          <w:u w:val="none" w:color="auto"/>
          <w:lang w:val="en-US" w:eastAsia="zh-CN"/>
        </w:rPr>
        <w:t>2.18 履约保证金</w:t>
      </w:r>
    </w:p>
    <w:p w14:paraId="2DF6A6E6">
      <w:pPr>
        <w:pStyle w:val="9"/>
        <w:tabs>
          <w:tab w:val="left" w:pos="2086"/>
        </w:tabs>
        <w:spacing w:before="74" w:line="442" w:lineRule="auto"/>
        <w:ind w:right="77" w:firstLine="460" w:firstLineChars="200"/>
        <w:jc w:val="both"/>
        <w:rPr>
          <w:rFonts w:hint="default"/>
          <w:color w:val="auto"/>
          <w:sz w:val="23"/>
          <w:szCs w:val="23"/>
          <w:highlight w:val="none"/>
          <w:u w:val="none" w:color="auto"/>
          <w:lang w:val="en-US" w:eastAsia="zh-CN"/>
        </w:rPr>
      </w:pPr>
      <w:r>
        <w:rPr>
          <w:rFonts w:hint="default"/>
          <w:color w:val="auto"/>
          <w:sz w:val="23"/>
          <w:szCs w:val="23"/>
          <w:highlight w:val="none"/>
          <w:u w:val="none" w:color="auto"/>
          <w:lang w:val="en-US" w:eastAsia="zh-CN"/>
        </w:rPr>
        <w:t>2.18.1 采购文件要求乙方提交履约保证金的，乙方应按</w:t>
      </w:r>
      <w:r>
        <w:rPr>
          <w:rFonts w:hint="default"/>
          <w:color w:val="auto"/>
          <w:sz w:val="23"/>
          <w:szCs w:val="23"/>
          <w:highlight w:val="none"/>
          <w:u w:val="single" w:color="auto"/>
          <w:lang w:val="en-US" w:eastAsia="zh-CN"/>
        </w:rPr>
        <w:t>合同专用条款</w:t>
      </w:r>
      <w:r>
        <w:rPr>
          <w:rFonts w:hint="default"/>
          <w:color w:val="auto"/>
          <w:sz w:val="23"/>
          <w:szCs w:val="23"/>
          <w:highlight w:val="none"/>
          <w:u w:val="none" w:color="auto"/>
          <w:lang w:val="en-US" w:eastAsia="zh-CN"/>
        </w:rPr>
        <w:t>约定的方式，以支票、汇票、本票或者金融机构、担保机构出具的保函等非现金形式，提交合同价</w:t>
      </w:r>
      <w:r>
        <w:rPr>
          <w:rFonts w:hint="eastAsia"/>
          <w:color w:val="auto"/>
          <w:sz w:val="23"/>
          <w:szCs w:val="23"/>
          <w:highlight w:val="none"/>
          <w:u w:val="single" w:color="auto"/>
          <w:lang w:val="en-US" w:eastAsia="zh-CN"/>
        </w:rPr>
        <w:t xml:space="preserve">   </w:t>
      </w:r>
      <w:r>
        <w:rPr>
          <w:rFonts w:hint="default"/>
          <w:color w:val="auto"/>
          <w:sz w:val="23"/>
          <w:szCs w:val="23"/>
          <w:highlight w:val="none"/>
          <w:u w:val="none" w:color="auto"/>
          <w:lang w:val="en-US" w:eastAsia="zh-CN"/>
        </w:rPr>
        <w:t>%的履约保证金；</w:t>
      </w:r>
    </w:p>
    <w:p w14:paraId="5F0E3AE8">
      <w:pPr>
        <w:pStyle w:val="9"/>
        <w:tabs>
          <w:tab w:val="left" w:pos="2086"/>
        </w:tabs>
        <w:spacing w:before="74" w:line="442" w:lineRule="auto"/>
        <w:ind w:right="77" w:firstLine="460" w:firstLineChars="200"/>
        <w:jc w:val="both"/>
        <w:rPr>
          <w:rFonts w:hint="default"/>
          <w:color w:val="auto"/>
          <w:sz w:val="23"/>
          <w:szCs w:val="23"/>
          <w:highlight w:val="none"/>
          <w:u w:val="none" w:color="auto"/>
          <w:lang w:val="en-US" w:eastAsia="zh-CN"/>
        </w:rPr>
      </w:pPr>
      <w:r>
        <w:rPr>
          <w:rFonts w:hint="default"/>
          <w:color w:val="auto"/>
          <w:sz w:val="23"/>
          <w:szCs w:val="23"/>
          <w:highlight w:val="none"/>
          <w:u w:val="none" w:color="auto"/>
          <w:lang w:val="en-US" w:eastAsia="zh-CN"/>
        </w:rPr>
        <w:t>2.18.2 履约保证金在合同专用条款约定期间内不予退还或者应完全有效，前述约定期间届满之日起</w:t>
      </w:r>
      <w:r>
        <w:rPr>
          <w:rFonts w:hint="default"/>
          <w:color w:val="auto"/>
          <w:sz w:val="23"/>
          <w:szCs w:val="23"/>
          <w:highlight w:val="none"/>
          <w:u w:val="single" w:color="auto"/>
          <w:lang w:val="en-US" w:eastAsia="zh-CN"/>
        </w:rPr>
        <w:t xml:space="preserve">     </w:t>
      </w:r>
      <w:r>
        <w:rPr>
          <w:rFonts w:hint="default"/>
          <w:color w:val="auto"/>
          <w:sz w:val="23"/>
          <w:szCs w:val="23"/>
          <w:highlight w:val="none"/>
          <w:u w:val="none" w:color="auto"/>
          <w:lang w:val="en-US" w:eastAsia="zh-CN"/>
        </w:rPr>
        <w:t>个工作日内，甲方应将履约保证金退还乙方；</w:t>
      </w:r>
    </w:p>
    <w:p w14:paraId="07F0F723">
      <w:pPr>
        <w:pStyle w:val="9"/>
        <w:tabs>
          <w:tab w:val="left" w:pos="2086"/>
        </w:tabs>
        <w:spacing w:before="74" w:line="442" w:lineRule="auto"/>
        <w:ind w:left="229" w:leftChars="109" w:right="77" w:firstLine="460" w:firstLineChars="200"/>
        <w:jc w:val="both"/>
        <w:rPr>
          <w:rFonts w:hint="default"/>
          <w:color w:val="auto"/>
          <w:sz w:val="23"/>
          <w:szCs w:val="23"/>
          <w:highlight w:val="none"/>
          <w:u w:val="none" w:color="auto"/>
          <w:lang w:val="en-US" w:eastAsia="zh-CN"/>
        </w:rPr>
      </w:pPr>
      <w:r>
        <w:rPr>
          <w:rFonts w:hint="default"/>
          <w:color w:val="auto"/>
          <w:sz w:val="23"/>
          <w:szCs w:val="23"/>
          <w:highlight w:val="none"/>
          <w:u w:val="none" w:color="auto"/>
          <w:lang w:val="en-US"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B92DE50">
      <w:pPr>
        <w:pStyle w:val="9"/>
        <w:tabs>
          <w:tab w:val="left" w:pos="2086"/>
        </w:tabs>
        <w:spacing w:before="74" w:line="442" w:lineRule="auto"/>
        <w:ind w:right="77" w:firstLine="460" w:firstLineChars="200"/>
        <w:jc w:val="both"/>
        <w:rPr>
          <w:rFonts w:hint="default"/>
          <w:color w:val="auto"/>
          <w:sz w:val="23"/>
          <w:szCs w:val="23"/>
          <w:highlight w:val="none"/>
          <w:u w:val="none" w:color="auto"/>
          <w:lang w:val="en-US" w:eastAsia="zh-CN"/>
        </w:rPr>
      </w:pPr>
      <w:r>
        <w:rPr>
          <w:rFonts w:hint="default"/>
          <w:color w:val="auto"/>
          <w:sz w:val="23"/>
          <w:szCs w:val="23"/>
          <w:highlight w:val="none"/>
          <w:u w:val="none" w:color="auto"/>
          <w:lang w:val="en-US" w:eastAsia="zh-CN"/>
        </w:rPr>
        <w:t>2.19 合同份数</w:t>
      </w:r>
    </w:p>
    <w:p w14:paraId="6C059D32">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r>
        <w:rPr>
          <w:rFonts w:hint="default"/>
          <w:color w:val="auto"/>
          <w:sz w:val="23"/>
          <w:szCs w:val="23"/>
          <w:highlight w:val="none"/>
          <w:u w:val="none" w:color="auto"/>
          <w:lang w:val="en-US" w:eastAsia="zh-CN"/>
        </w:rPr>
        <w:t>合同份数按</w:t>
      </w:r>
      <w:r>
        <w:rPr>
          <w:rFonts w:hint="default"/>
          <w:color w:val="auto"/>
          <w:sz w:val="23"/>
          <w:szCs w:val="23"/>
          <w:highlight w:val="none"/>
          <w:u w:val="single" w:color="auto"/>
          <w:lang w:val="en-US" w:eastAsia="zh-CN"/>
        </w:rPr>
        <w:t>合同专用条款</w:t>
      </w:r>
      <w:r>
        <w:rPr>
          <w:rFonts w:hint="default"/>
          <w:color w:val="auto"/>
          <w:sz w:val="23"/>
          <w:szCs w:val="23"/>
          <w:highlight w:val="none"/>
          <w:u w:val="none" w:color="auto"/>
          <w:lang w:val="en-US" w:eastAsia="zh-CN"/>
        </w:rPr>
        <w:t>规定，每份均具有同等法律效力。</w:t>
      </w:r>
    </w:p>
    <w:p w14:paraId="2FE7E8CA">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736F5090">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75B406A3">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3A02A76B">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528D0A2E">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4160D299">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62357E5E">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383AACA5">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3382C790">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151D967C">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169ED3FA">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4F34D007">
      <w:pPr>
        <w:pStyle w:val="9"/>
        <w:tabs>
          <w:tab w:val="left" w:pos="2086"/>
        </w:tabs>
        <w:spacing w:before="74" w:line="442" w:lineRule="auto"/>
        <w:ind w:right="77"/>
        <w:jc w:val="both"/>
        <w:rPr>
          <w:rFonts w:hint="default"/>
          <w:color w:val="auto"/>
          <w:sz w:val="23"/>
          <w:szCs w:val="23"/>
          <w:highlight w:val="none"/>
          <w:u w:val="none" w:color="auto"/>
          <w:lang w:val="en-US" w:eastAsia="zh-CN"/>
        </w:rPr>
      </w:pPr>
    </w:p>
    <w:p w14:paraId="1D5762D1">
      <w:pPr>
        <w:pStyle w:val="9"/>
        <w:spacing w:before="75" w:line="227" w:lineRule="auto"/>
        <w:ind w:firstLine="2940" w:firstLineChars="1000"/>
        <w:rPr>
          <w:b w:val="0"/>
          <w:bCs w:val="0"/>
          <w:color w:val="auto"/>
          <w:sz w:val="28"/>
          <w:szCs w:val="28"/>
          <w:highlight w:val="none"/>
        </w:rPr>
      </w:pPr>
      <w:r>
        <w:rPr>
          <w:b w:val="0"/>
          <w:bCs w:val="0"/>
          <w:color w:val="auto"/>
          <w:spacing w:val="7"/>
          <w:sz w:val="28"/>
          <w:szCs w:val="28"/>
          <w:highlight w:val="none"/>
        </w:rPr>
        <w:t>第三部分  合同专用条款</w:t>
      </w:r>
    </w:p>
    <w:p w14:paraId="7774362C">
      <w:pPr>
        <w:pStyle w:val="9"/>
        <w:spacing w:before="275" w:line="385" w:lineRule="auto"/>
        <w:ind w:left="42" w:right="73" w:firstLine="480"/>
        <w:jc w:val="both"/>
        <w:rPr>
          <w:color w:val="auto"/>
          <w:sz w:val="23"/>
          <w:szCs w:val="23"/>
          <w:highlight w:val="none"/>
        </w:rPr>
      </w:pPr>
      <w:r>
        <w:rPr>
          <w:color w:val="auto"/>
          <w:spacing w:val="8"/>
          <w:sz w:val="23"/>
          <w:szCs w:val="23"/>
          <w:highlight w:val="none"/>
        </w:rPr>
        <w:t>本部分是对前两部分的补充和修改，如果前两部分和本部分</w:t>
      </w:r>
      <w:r>
        <w:rPr>
          <w:color w:val="auto"/>
          <w:spacing w:val="7"/>
          <w:sz w:val="23"/>
          <w:szCs w:val="23"/>
          <w:highlight w:val="none"/>
        </w:rPr>
        <w:t>的约定不一致，</w:t>
      </w:r>
      <w:r>
        <w:rPr>
          <w:color w:val="auto"/>
          <w:sz w:val="23"/>
          <w:szCs w:val="23"/>
          <w:highlight w:val="none"/>
        </w:rPr>
        <w:t xml:space="preserve"> </w:t>
      </w:r>
      <w:r>
        <w:rPr>
          <w:color w:val="auto"/>
          <w:spacing w:val="13"/>
          <w:sz w:val="23"/>
          <w:szCs w:val="23"/>
          <w:highlight w:val="none"/>
        </w:rPr>
        <w:t>应以本部分的约定为准。本部分的条款号应与前两部分的条款号保持对应；与</w:t>
      </w:r>
      <w:r>
        <w:rPr>
          <w:color w:val="auto"/>
          <w:spacing w:val="7"/>
          <w:sz w:val="23"/>
          <w:szCs w:val="23"/>
          <w:highlight w:val="none"/>
        </w:rPr>
        <w:t xml:space="preserve"> 前两部分无对应关系的内容可另行编制条款号。</w:t>
      </w:r>
    </w:p>
    <w:tbl>
      <w:tblPr>
        <w:tblStyle w:val="34"/>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0193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4E812371">
            <w:pPr>
              <w:spacing w:before="246" w:line="227" w:lineRule="auto"/>
              <w:ind w:left="51"/>
              <w:rPr>
                <w:rFonts w:ascii="宋体" w:hAnsi="宋体" w:eastAsia="宋体" w:cs="宋体"/>
                <w:color w:val="auto"/>
                <w:sz w:val="23"/>
                <w:szCs w:val="23"/>
                <w:highlight w:val="none"/>
              </w:rPr>
            </w:pPr>
            <w:r>
              <w:rPr>
                <w:rFonts w:ascii="宋体" w:hAnsi="宋体" w:eastAsia="宋体" w:cs="宋体"/>
                <w:b/>
                <w:bCs/>
                <w:color w:val="auto"/>
                <w:spacing w:val="4"/>
                <w:sz w:val="23"/>
                <w:szCs w:val="23"/>
                <w:highlight w:val="none"/>
              </w:rPr>
              <w:t>条款号</w:t>
            </w:r>
          </w:p>
        </w:tc>
        <w:tc>
          <w:tcPr>
            <w:tcW w:w="7633" w:type="dxa"/>
            <w:vAlign w:val="top"/>
          </w:tcPr>
          <w:p w14:paraId="51461E82">
            <w:pPr>
              <w:spacing w:before="246" w:line="227" w:lineRule="auto"/>
              <w:ind w:left="3344"/>
              <w:rPr>
                <w:rFonts w:ascii="宋体" w:hAnsi="宋体" w:eastAsia="宋体" w:cs="宋体"/>
                <w:color w:val="auto"/>
                <w:sz w:val="23"/>
                <w:szCs w:val="23"/>
                <w:highlight w:val="none"/>
              </w:rPr>
            </w:pPr>
            <w:r>
              <w:rPr>
                <w:rFonts w:ascii="宋体" w:hAnsi="宋体" w:eastAsia="宋体" w:cs="宋体"/>
                <w:b/>
                <w:bCs/>
                <w:color w:val="auto"/>
                <w:spacing w:val="4"/>
                <w:sz w:val="23"/>
                <w:szCs w:val="23"/>
                <w:highlight w:val="none"/>
              </w:rPr>
              <w:t>约定内容</w:t>
            </w:r>
          </w:p>
        </w:tc>
      </w:tr>
      <w:tr w14:paraId="7D52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F32113F">
            <w:pPr>
              <w:pStyle w:val="35"/>
              <w:rPr>
                <w:color w:val="auto"/>
                <w:highlight w:val="none"/>
              </w:rPr>
            </w:pPr>
          </w:p>
        </w:tc>
        <w:tc>
          <w:tcPr>
            <w:tcW w:w="7633" w:type="dxa"/>
            <w:vAlign w:val="top"/>
          </w:tcPr>
          <w:p w14:paraId="63D5ED8F">
            <w:pPr>
              <w:pStyle w:val="35"/>
              <w:rPr>
                <w:color w:val="auto"/>
                <w:highlight w:val="none"/>
              </w:rPr>
            </w:pPr>
          </w:p>
        </w:tc>
      </w:tr>
      <w:tr w14:paraId="4070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B3B74A4">
            <w:pPr>
              <w:pStyle w:val="35"/>
              <w:rPr>
                <w:color w:val="auto"/>
                <w:highlight w:val="none"/>
              </w:rPr>
            </w:pPr>
          </w:p>
        </w:tc>
        <w:tc>
          <w:tcPr>
            <w:tcW w:w="7633" w:type="dxa"/>
            <w:vAlign w:val="top"/>
          </w:tcPr>
          <w:p w14:paraId="2E3FBF74">
            <w:pPr>
              <w:pStyle w:val="35"/>
              <w:rPr>
                <w:color w:val="auto"/>
                <w:highlight w:val="none"/>
              </w:rPr>
            </w:pPr>
          </w:p>
        </w:tc>
      </w:tr>
      <w:tr w14:paraId="2BAF4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DF45666">
            <w:pPr>
              <w:pStyle w:val="35"/>
              <w:rPr>
                <w:color w:val="auto"/>
                <w:highlight w:val="none"/>
              </w:rPr>
            </w:pPr>
          </w:p>
        </w:tc>
        <w:tc>
          <w:tcPr>
            <w:tcW w:w="7633" w:type="dxa"/>
            <w:vAlign w:val="top"/>
          </w:tcPr>
          <w:p w14:paraId="55F1C927">
            <w:pPr>
              <w:pStyle w:val="35"/>
              <w:rPr>
                <w:color w:val="auto"/>
                <w:highlight w:val="none"/>
              </w:rPr>
            </w:pPr>
          </w:p>
        </w:tc>
      </w:tr>
      <w:tr w14:paraId="05809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6D1E004">
            <w:pPr>
              <w:pStyle w:val="35"/>
              <w:rPr>
                <w:color w:val="auto"/>
                <w:highlight w:val="none"/>
              </w:rPr>
            </w:pPr>
          </w:p>
        </w:tc>
        <w:tc>
          <w:tcPr>
            <w:tcW w:w="7633" w:type="dxa"/>
            <w:vAlign w:val="top"/>
          </w:tcPr>
          <w:p w14:paraId="2593F2D6">
            <w:pPr>
              <w:pStyle w:val="35"/>
              <w:rPr>
                <w:color w:val="auto"/>
                <w:highlight w:val="none"/>
              </w:rPr>
            </w:pPr>
          </w:p>
        </w:tc>
      </w:tr>
      <w:tr w14:paraId="6A11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BCFB606">
            <w:pPr>
              <w:pStyle w:val="35"/>
              <w:rPr>
                <w:color w:val="auto"/>
                <w:highlight w:val="none"/>
              </w:rPr>
            </w:pPr>
          </w:p>
        </w:tc>
        <w:tc>
          <w:tcPr>
            <w:tcW w:w="7633" w:type="dxa"/>
            <w:vAlign w:val="top"/>
          </w:tcPr>
          <w:p w14:paraId="26E43B9E">
            <w:pPr>
              <w:pStyle w:val="35"/>
              <w:rPr>
                <w:color w:val="auto"/>
                <w:highlight w:val="none"/>
              </w:rPr>
            </w:pPr>
          </w:p>
        </w:tc>
      </w:tr>
      <w:tr w14:paraId="2A1D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CD28777">
            <w:pPr>
              <w:pStyle w:val="35"/>
              <w:rPr>
                <w:color w:val="auto"/>
                <w:highlight w:val="none"/>
              </w:rPr>
            </w:pPr>
          </w:p>
        </w:tc>
        <w:tc>
          <w:tcPr>
            <w:tcW w:w="7633" w:type="dxa"/>
            <w:vAlign w:val="top"/>
          </w:tcPr>
          <w:p w14:paraId="1569BEFC">
            <w:pPr>
              <w:pStyle w:val="35"/>
              <w:rPr>
                <w:color w:val="auto"/>
                <w:highlight w:val="none"/>
              </w:rPr>
            </w:pPr>
          </w:p>
        </w:tc>
      </w:tr>
      <w:tr w14:paraId="096F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EF9B44D">
            <w:pPr>
              <w:pStyle w:val="35"/>
              <w:rPr>
                <w:color w:val="auto"/>
                <w:highlight w:val="none"/>
              </w:rPr>
            </w:pPr>
          </w:p>
        </w:tc>
        <w:tc>
          <w:tcPr>
            <w:tcW w:w="7633" w:type="dxa"/>
            <w:vAlign w:val="top"/>
          </w:tcPr>
          <w:p w14:paraId="38AD7404">
            <w:pPr>
              <w:pStyle w:val="35"/>
              <w:rPr>
                <w:color w:val="auto"/>
                <w:highlight w:val="none"/>
              </w:rPr>
            </w:pPr>
          </w:p>
        </w:tc>
      </w:tr>
      <w:tr w14:paraId="476D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52E62B85">
            <w:pPr>
              <w:pStyle w:val="35"/>
              <w:rPr>
                <w:color w:val="auto"/>
                <w:highlight w:val="none"/>
              </w:rPr>
            </w:pPr>
          </w:p>
        </w:tc>
        <w:tc>
          <w:tcPr>
            <w:tcW w:w="7633" w:type="dxa"/>
            <w:vAlign w:val="top"/>
          </w:tcPr>
          <w:p w14:paraId="51783766">
            <w:pPr>
              <w:pStyle w:val="35"/>
              <w:rPr>
                <w:color w:val="auto"/>
                <w:highlight w:val="none"/>
              </w:rPr>
            </w:pPr>
          </w:p>
        </w:tc>
      </w:tr>
      <w:tr w14:paraId="1EB0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5DB7FE3">
            <w:pPr>
              <w:pStyle w:val="35"/>
              <w:rPr>
                <w:color w:val="auto"/>
                <w:highlight w:val="none"/>
              </w:rPr>
            </w:pPr>
          </w:p>
        </w:tc>
        <w:tc>
          <w:tcPr>
            <w:tcW w:w="7633" w:type="dxa"/>
            <w:vAlign w:val="top"/>
          </w:tcPr>
          <w:p w14:paraId="2298F808">
            <w:pPr>
              <w:pStyle w:val="35"/>
              <w:rPr>
                <w:color w:val="auto"/>
                <w:highlight w:val="none"/>
              </w:rPr>
            </w:pPr>
          </w:p>
        </w:tc>
      </w:tr>
      <w:tr w14:paraId="6F1F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5D55061">
            <w:pPr>
              <w:pStyle w:val="35"/>
              <w:rPr>
                <w:color w:val="auto"/>
                <w:highlight w:val="none"/>
              </w:rPr>
            </w:pPr>
          </w:p>
        </w:tc>
        <w:tc>
          <w:tcPr>
            <w:tcW w:w="7633" w:type="dxa"/>
            <w:vAlign w:val="top"/>
          </w:tcPr>
          <w:p w14:paraId="04FA297B">
            <w:pPr>
              <w:pStyle w:val="35"/>
              <w:rPr>
                <w:color w:val="auto"/>
                <w:highlight w:val="none"/>
              </w:rPr>
            </w:pPr>
          </w:p>
        </w:tc>
      </w:tr>
      <w:tr w14:paraId="7929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140EBF3">
            <w:pPr>
              <w:pStyle w:val="35"/>
              <w:rPr>
                <w:color w:val="auto"/>
                <w:highlight w:val="none"/>
              </w:rPr>
            </w:pPr>
          </w:p>
        </w:tc>
        <w:tc>
          <w:tcPr>
            <w:tcW w:w="7633" w:type="dxa"/>
            <w:vAlign w:val="top"/>
          </w:tcPr>
          <w:p w14:paraId="096D4D83">
            <w:pPr>
              <w:pStyle w:val="35"/>
              <w:rPr>
                <w:color w:val="auto"/>
                <w:highlight w:val="none"/>
              </w:rPr>
            </w:pPr>
          </w:p>
        </w:tc>
      </w:tr>
      <w:tr w14:paraId="074A1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738AEF1B">
            <w:pPr>
              <w:pStyle w:val="35"/>
              <w:rPr>
                <w:color w:val="auto"/>
                <w:highlight w:val="none"/>
              </w:rPr>
            </w:pPr>
          </w:p>
        </w:tc>
        <w:tc>
          <w:tcPr>
            <w:tcW w:w="7633" w:type="dxa"/>
            <w:vAlign w:val="top"/>
          </w:tcPr>
          <w:p w14:paraId="2C85FD5C">
            <w:pPr>
              <w:pStyle w:val="35"/>
              <w:rPr>
                <w:color w:val="auto"/>
                <w:highlight w:val="none"/>
              </w:rPr>
            </w:pPr>
          </w:p>
        </w:tc>
      </w:tr>
    </w:tbl>
    <w:p w14:paraId="5FA1E076">
      <w:pPr>
        <w:pStyle w:val="9"/>
        <w:tabs>
          <w:tab w:val="left" w:pos="2086"/>
        </w:tabs>
        <w:spacing w:before="74" w:line="442" w:lineRule="auto"/>
        <w:ind w:right="77" w:firstLine="920" w:firstLineChars="400"/>
        <w:jc w:val="both"/>
        <w:rPr>
          <w:rFonts w:hint="default"/>
          <w:color w:val="auto"/>
          <w:sz w:val="23"/>
          <w:szCs w:val="23"/>
          <w:highlight w:val="none"/>
          <w:u w:val="none" w:color="auto"/>
          <w:lang w:val="en-US" w:eastAsia="zh-CN"/>
        </w:rPr>
      </w:pPr>
    </w:p>
    <w:p w14:paraId="3059FB1E">
      <w:pPr>
        <w:spacing w:before="51" w:line="197" w:lineRule="auto"/>
        <w:rPr>
          <w:rFonts w:hint="eastAsia" w:ascii="宋体" w:hAnsi="宋体" w:eastAsia="宋体" w:cs="宋体"/>
          <w:color w:val="auto"/>
          <w:sz w:val="18"/>
          <w:szCs w:val="18"/>
          <w:highlight w:val="none"/>
          <w:lang w:val="en-US" w:eastAsia="zh-CN"/>
        </w:rPr>
      </w:pPr>
    </w:p>
    <w:sectPr>
      <w:headerReference r:id="rId32" w:type="default"/>
      <w:footerReference r:id="rId33" w:type="default"/>
      <w:pgSz w:w="11906" w:h="16840"/>
      <w:pgMar w:top="400" w:right="1785" w:bottom="400" w:left="1785" w:header="0" w:footer="0" w:gutter="0"/>
      <w:pgNumType w:fmt="decimal" w:start="59"/>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676A">
    <w:pPr>
      <w:spacing w:line="184" w:lineRule="auto"/>
      <w:ind w:left="4814"/>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B709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90B709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DAB5">
    <w:pPr>
      <w:spacing w:line="184" w:lineRule="auto"/>
      <w:ind w:left="4749"/>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65FC8">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2B65FC8">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899F">
    <w:pPr>
      <w:spacing w:line="184" w:lineRule="auto"/>
      <w:ind w:left="4730"/>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EE2C5">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06EE2C5">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2EB9">
    <w:pPr>
      <w:spacing w:line="184" w:lineRule="auto"/>
      <w:ind w:left="4790"/>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FB009">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694FB009">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5F69">
    <w:pPr>
      <w:spacing w:line="184" w:lineRule="auto"/>
      <w:ind w:left="4722"/>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D760E">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E9D760E">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C1FE">
    <w:pPr>
      <w:spacing w:line="184" w:lineRule="auto"/>
      <w:ind w:left="4738"/>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0CDB7">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68B0CDB7">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E4B3">
    <w:pPr>
      <w:spacing w:line="184" w:lineRule="auto"/>
      <w:ind w:left="4750"/>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0F268">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ED0F268">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AA27">
    <w:pPr>
      <w:spacing w:line="184" w:lineRule="auto"/>
      <w:ind w:left="4384"/>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5CFD3">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895CFD3">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2D24">
    <w:pPr>
      <w:pStyle w:val="13"/>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8790B">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5D8790B">
                    <w:pPr>
                      <w:pStyle w:val="13"/>
                    </w:pPr>
                    <w:r>
                      <w:fldChar w:fldCharType="begin"/>
                    </w:r>
                    <w:r>
                      <w:instrText xml:space="preserve"> PAGE  \* MERGEFORMAT </w:instrText>
                    </w:r>
                    <w:r>
                      <w:fldChar w:fldCharType="separate"/>
                    </w:r>
                    <w:r>
                      <w:t>27</w:t>
                    </w:r>
                    <w:r>
                      <w:fldChar w:fldCharType="end"/>
                    </w:r>
                  </w:p>
                </w:txbxContent>
              </v:textbox>
            </v:shape>
          </w:pict>
        </mc:Fallback>
      </mc:AlternateContent>
    </w:r>
  </w:p>
  <w:p w14:paraId="1EEB2342">
    <w:pPr>
      <w:pStyle w:val="13"/>
      <w:ind w:right="360"/>
      <w:jc w:val="right"/>
      <w:rPr>
        <w:rFonts w:hint="eastAsia"/>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2820">
    <w:pPr>
      <w:pStyle w:val="9"/>
      <w:spacing w:line="180" w:lineRule="auto"/>
      <w:ind w:left="4283"/>
      <w:rPr>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FA59D">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0E9FA59D">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2045">
    <w:pPr>
      <w:pStyle w:val="9"/>
      <w:spacing w:line="180" w:lineRule="auto"/>
      <w:ind w:left="4283"/>
      <w:rPr>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9E5CC">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09E5CC">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A65E">
    <w:pPr>
      <w:spacing w:line="184" w:lineRule="auto"/>
      <w:ind w:left="474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EFD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261EFD8">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9ECC">
    <w:pPr>
      <w:spacing w:line="184" w:lineRule="auto"/>
      <w:ind w:left="4464"/>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02323">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05002323">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9FF2">
    <w:pPr>
      <w:spacing w:line="184" w:lineRule="auto"/>
      <w:ind w:left="4409"/>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98D70">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08598D70">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B19D">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E7572">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75E7572">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42C3">
    <w:pPr>
      <w:spacing w:line="184" w:lineRule="auto"/>
      <w:ind w:left="4762"/>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CBDC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444CBDC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6EE3">
    <w:pPr>
      <w:spacing w:line="184" w:lineRule="auto"/>
      <w:ind w:left="4758"/>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46349">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EB46349">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DA32">
    <w:pPr>
      <w:spacing w:line="184" w:lineRule="auto"/>
      <w:ind w:left="4901"/>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5B193">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2905B193">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0A69">
    <w:pPr>
      <w:spacing w:line="184" w:lineRule="auto"/>
      <w:ind w:left="4773"/>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A53FB">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FCA53FB">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C41A">
    <w:pPr>
      <w:spacing w:line="14" w:lineRule="auto"/>
      <w:rPr>
        <w:rFonts w:ascii="Arial"/>
        <w:sz w:val="2"/>
      </w:rPr>
    </w:pPr>
    <w:r>
      <w:rPr>
        <w:sz w:val="2"/>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B3690">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5D9B3690">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E35C">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470A8">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72470A8">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7D5D">
    <w:pPr>
      <w:spacing w:line="182" w:lineRule="auto"/>
      <w:ind w:left="486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5B45">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3E05B45">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7DF3">
    <w:pPr>
      <w:spacing w:line="184" w:lineRule="auto"/>
      <w:ind w:left="4744"/>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0CB4E">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0D0CB4E">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A51A">
    <w:pPr>
      <w:spacing w:line="182" w:lineRule="auto"/>
      <w:ind w:left="4779"/>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E85D0">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97E85D0">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5F1F7">
    <w:pPr>
      <w:spacing w:line="184" w:lineRule="auto"/>
      <w:ind w:left="4789"/>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DFDCD">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F3DFDCD">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34A0">
    <w:pPr>
      <w:spacing w:line="184" w:lineRule="auto"/>
      <w:ind w:left="4793"/>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D058E">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77D058E">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5B23">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62B16">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0162B16">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3C7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695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19322"/>
    <w:multiLevelType w:val="singleLevel"/>
    <w:tmpl w:val="C5D19322"/>
    <w:lvl w:ilvl="0" w:tentative="0">
      <w:start w:val="1"/>
      <w:numFmt w:val="decimal"/>
      <w:suff w:val="nothing"/>
      <w:lvlText w:val="（%1）"/>
      <w:lvlJc w:val="left"/>
      <w:pPr>
        <w:ind w:left="-60"/>
      </w:pPr>
    </w:lvl>
  </w:abstractNum>
  <w:abstractNum w:abstractNumId="1">
    <w:nsid w:val="C78498BD"/>
    <w:multiLevelType w:val="singleLevel"/>
    <w:tmpl w:val="C78498BD"/>
    <w:lvl w:ilvl="0" w:tentative="0">
      <w:start w:val="1"/>
      <w:numFmt w:val="chineseCounting"/>
      <w:suff w:val="space"/>
      <w:lvlText w:val="第%1部分"/>
      <w:lvlJc w:val="left"/>
      <w:rPr>
        <w:rFonts w:hint="eastAsia"/>
      </w:rPr>
    </w:lvl>
  </w:abstractNum>
  <w:abstractNum w:abstractNumId="2">
    <w:nsid w:val="CA9CB29F"/>
    <w:multiLevelType w:val="singleLevel"/>
    <w:tmpl w:val="CA9CB29F"/>
    <w:lvl w:ilvl="0" w:tentative="0">
      <w:start w:val="1"/>
      <w:numFmt w:val="chineseCounting"/>
      <w:suff w:val="nothing"/>
      <w:lvlText w:val="（%1）"/>
      <w:lvlJc w:val="left"/>
      <w:rPr>
        <w:rFonts w:hint="eastAsia"/>
      </w:rPr>
    </w:lvl>
  </w:abstractNum>
  <w:abstractNum w:abstractNumId="3">
    <w:nsid w:val="E57DD670"/>
    <w:multiLevelType w:val="singleLevel"/>
    <w:tmpl w:val="E57DD670"/>
    <w:lvl w:ilvl="0" w:tentative="0">
      <w:start w:val="1"/>
      <w:numFmt w:val="chineseCounting"/>
      <w:suff w:val="space"/>
      <w:lvlText w:val="(%1)"/>
      <w:lvlJc w:val="left"/>
      <w:rPr>
        <w:rFonts w:hint="eastAsia"/>
      </w:rPr>
    </w:lvl>
  </w:abstractNum>
  <w:abstractNum w:abstractNumId="4">
    <w:nsid w:val="08924749"/>
    <w:multiLevelType w:val="singleLevel"/>
    <w:tmpl w:val="08924749"/>
    <w:lvl w:ilvl="0" w:tentative="0">
      <w:start w:val="2"/>
      <w:numFmt w:val="chineseCounting"/>
      <w:suff w:val="space"/>
      <w:lvlText w:val="第%1部分"/>
      <w:lvlJc w:val="left"/>
      <w:rPr>
        <w:rFonts w:hint="eastAsia"/>
      </w:rPr>
    </w:lvl>
  </w:abstractNum>
  <w:abstractNum w:abstractNumId="5">
    <w:nsid w:val="1F1214B4"/>
    <w:multiLevelType w:val="singleLevel"/>
    <w:tmpl w:val="1F1214B4"/>
    <w:lvl w:ilvl="0" w:tentative="0">
      <w:start w:val="5"/>
      <w:numFmt w:val="decimal"/>
      <w:suff w:val="space"/>
      <w:lvlText w:val="第%1章"/>
      <w:lvlJc w:val="left"/>
    </w:lvl>
  </w:abstractNum>
  <w:abstractNum w:abstractNumId="6">
    <w:nsid w:val="2386F575"/>
    <w:multiLevelType w:val="singleLevel"/>
    <w:tmpl w:val="2386F575"/>
    <w:lvl w:ilvl="0" w:tentative="0">
      <w:start w:val="3"/>
      <w:numFmt w:val="decimal"/>
      <w:suff w:val="nothing"/>
      <w:lvlText w:val="%1、"/>
      <w:lvlJc w:val="left"/>
    </w:lvl>
  </w:abstractNum>
  <w:abstractNum w:abstractNumId="7">
    <w:nsid w:val="4B3A6FA5"/>
    <w:multiLevelType w:val="singleLevel"/>
    <w:tmpl w:val="4B3A6FA5"/>
    <w:lvl w:ilvl="0" w:tentative="0">
      <w:start w:val="1"/>
      <w:numFmt w:val="decimal"/>
      <w:suff w:val="nothing"/>
      <w:lvlText w:val="%1、"/>
      <w:lvlJc w:val="left"/>
    </w:lvl>
  </w:abstractNum>
  <w:abstractNum w:abstractNumId="8">
    <w:nsid w:val="628750D9"/>
    <w:multiLevelType w:val="multilevel"/>
    <w:tmpl w:val="628750D9"/>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6C466B82"/>
    <w:multiLevelType w:val="singleLevel"/>
    <w:tmpl w:val="6C466B82"/>
    <w:lvl w:ilvl="0" w:tentative="0">
      <w:start w:val="2"/>
      <w:numFmt w:val="decimal"/>
      <w:suff w:val="space"/>
      <w:lvlText w:val="%1."/>
      <w:lvlJc w:val="left"/>
    </w:lvl>
  </w:abstractNum>
  <w:num w:numId="1">
    <w:abstractNumId w:val="4"/>
  </w:num>
  <w:num w:numId="2">
    <w:abstractNumId w:val="7"/>
  </w:num>
  <w:num w:numId="3">
    <w:abstractNumId w:val="1"/>
  </w:num>
  <w:num w:numId="4">
    <w:abstractNumId w:val="6"/>
  </w:num>
  <w:num w:numId="5">
    <w:abstractNumId w:val="0"/>
  </w:num>
  <w:num w:numId="6">
    <w:abstractNumId w:val="9"/>
  </w:num>
  <w:num w:numId="7">
    <w:abstractNumId w:val="5"/>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210D6B"/>
    <w:rsid w:val="00382DEE"/>
    <w:rsid w:val="00425A1B"/>
    <w:rsid w:val="00500138"/>
    <w:rsid w:val="0050638A"/>
    <w:rsid w:val="00541A7C"/>
    <w:rsid w:val="005C6ADC"/>
    <w:rsid w:val="006D0CE9"/>
    <w:rsid w:val="008B73C2"/>
    <w:rsid w:val="008D138C"/>
    <w:rsid w:val="00A83AD0"/>
    <w:rsid w:val="00B92181"/>
    <w:rsid w:val="00C14B91"/>
    <w:rsid w:val="00C6664C"/>
    <w:rsid w:val="00C80754"/>
    <w:rsid w:val="00DE0471"/>
    <w:rsid w:val="00E16FE2"/>
    <w:rsid w:val="00E6284A"/>
    <w:rsid w:val="00EB7E60"/>
    <w:rsid w:val="00F72CA9"/>
    <w:rsid w:val="01094653"/>
    <w:rsid w:val="010B22B0"/>
    <w:rsid w:val="01172A03"/>
    <w:rsid w:val="0119677B"/>
    <w:rsid w:val="012313A8"/>
    <w:rsid w:val="012B42A0"/>
    <w:rsid w:val="01315448"/>
    <w:rsid w:val="01422176"/>
    <w:rsid w:val="01437C9C"/>
    <w:rsid w:val="01455AFE"/>
    <w:rsid w:val="014F219D"/>
    <w:rsid w:val="01521C8D"/>
    <w:rsid w:val="015A2E29"/>
    <w:rsid w:val="01626374"/>
    <w:rsid w:val="016F283F"/>
    <w:rsid w:val="0176597C"/>
    <w:rsid w:val="01791910"/>
    <w:rsid w:val="01883901"/>
    <w:rsid w:val="018A1427"/>
    <w:rsid w:val="018C1643"/>
    <w:rsid w:val="0194674A"/>
    <w:rsid w:val="019D115B"/>
    <w:rsid w:val="01A00C4B"/>
    <w:rsid w:val="01A3073B"/>
    <w:rsid w:val="01B046B0"/>
    <w:rsid w:val="01C1789B"/>
    <w:rsid w:val="01CC7C92"/>
    <w:rsid w:val="01CF1530"/>
    <w:rsid w:val="01EE7C08"/>
    <w:rsid w:val="01FF3BC3"/>
    <w:rsid w:val="02007BB7"/>
    <w:rsid w:val="02021905"/>
    <w:rsid w:val="021533E7"/>
    <w:rsid w:val="02203B3A"/>
    <w:rsid w:val="02315D47"/>
    <w:rsid w:val="02355837"/>
    <w:rsid w:val="023D46EC"/>
    <w:rsid w:val="025263E9"/>
    <w:rsid w:val="02555ED9"/>
    <w:rsid w:val="02671768"/>
    <w:rsid w:val="027125E7"/>
    <w:rsid w:val="027A149C"/>
    <w:rsid w:val="027F6AB2"/>
    <w:rsid w:val="02832A46"/>
    <w:rsid w:val="028642E4"/>
    <w:rsid w:val="02AD1871"/>
    <w:rsid w:val="02B80216"/>
    <w:rsid w:val="02C46BBB"/>
    <w:rsid w:val="02CD1F13"/>
    <w:rsid w:val="02D2752A"/>
    <w:rsid w:val="02DA4630"/>
    <w:rsid w:val="02DD6033"/>
    <w:rsid w:val="02DF39F5"/>
    <w:rsid w:val="02E01C47"/>
    <w:rsid w:val="02F079B0"/>
    <w:rsid w:val="02F53218"/>
    <w:rsid w:val="0305345B"/>
    <w:rsid w:val="032F672A"/>
    <w:rsid w:val="03304250"/>
    <w:rsid w:val="03376361"/>
    <w:rsid w:val="0348159A"/>
    <w:rsid w:val="034A3564"/>
    <w:rsid w:val="0361440A"/>
    <w:rsid w:val="036F3C68"/>
    <w:rsid w:val="03716D43"/>
    <w:rsid w:val="037C1244"/>
    <w:rsid w:val="037C241E"/>
    <w:rsid w:val="038D3451"/>
    <w:rsid w:val="03BC7892"/>
    <w:rsid w:val="03BE5F89"/>
    <w:rsid w:val="03CB4ACB"/>
    <w:rsid w:val="03CB57AF"/>
    <w:rsid w:val="03D41080"/>
    <w:rsid w:val="03E017D2"/>
    <w:rsid w:val="03E72B61"/>
    <w:rsid w:val="03F1578E"/>
    <w:rsid w:val="040D00EE"/>
    <w:rsid w:val="041B0A5C"/>
    <w:rsid w:val="04207E21"/>
    <w:rsid w:val="04293179"/>
    <w:rsid w:val="043833BC"/>
    <w:rsid w:val="04390EE3"/>
    <w:rsid w:val="043D4E77"/>
    <w:rsid w:val="04455AD9"/>
    <w:rsid w:val="044955CA"/>
    <w:rsid w:val="0466617C"/>
    <w:rsid w:val="046E3282"/>
    <w:rsid w:val="04702B56"/>
    <w:rsid w:val="0475016D"/>
    <w:rsid w:val="04763EE5"/>
    <w:rsid w:val="04781A0B"/>
    <w:rsid w:val="04876471"/>
    <w:rsid w:val="0490144A"/>
    <w:rsid w:val="04970029"/>
    <w:rsid w:val="049727D9"/>
    <w:rsid w:val="04B52C5F"/>
    <w:rsid w:val="04BD38C2"/>
    <w:rsid w:val="04C11604"/>
    <w:rsid w:val="04C17856"/>
    <w:rsid w:val="04C9670A"/>
    <w:rsid w:val="04E11CA6"/>
    <w:rsid w:val="04E15802"/>
    <w:rsid w:val="04E946B7"/>
    <w:rsid w:val="04EB6681"/>
    <w:rsid w:val="04FF3EDA"/>
    <w:rsid w:val="05065269"/>
    <w:rsid w:val="050E411D"/>
    <w:rsid w:val="05237BC9"/>
    <w:rsid w:val="05281683"/>
    <w:rsid w:val="053B7608"/>
    <w:rsid w:val="053E4A03"/>
    <w:rsid w:val="05427834"/>
    <w:rsid w:val="054B5371"/>
    <w:rsid w:val="054E6180"/>
    <w:rsid w:val="05500BDA"/>
    <w:rsid w:val="055406CA"/>
    <w:rsid w:val="05545FD4"/>
    <w:rsid w:val="05597A8E"/>
    <w:rsid w:val="055C132D"/>
    <w:rsid w:val="05776166"/>
    <w:rsid w:val="0580326D"/>
    <w:rsid w:val="058A5E9A"/>
    <w:rsid w:val="05972365"/>
    <w:rsid w:val="059C5BCD"/>
    <w:rsid w:val="05A351AD"/>
    <w:rsid w:val="05AD1B88"/>
    <w:rsid w:val="05B908FD"/>
    <w:rsid w:val="05BD6DC3"/>
    <w:rsid w:val="05BE3D95"/>
    <w:rsid w:val="05C3315A"/>
    <w:rsid w:val="05C50C80"/>
    <w:rsid w:val="05D610DF"/>
    <w:rsid w:val="05D84323"/>
    <w:rsid w:val="05E11832"/>
    <w:rsid w:val="05E80E12"/>
    <w:rsid w:val="05EA06E6"/>
    <w:rsid w:val="05EF3F4F"/>
    <w:rsid w:val="05FE0636"/>
    <w:rsid w:val="06020126"/>
    <w:rsid w:val="06141C07"/>
    <w:rsid w:val="061D6D0E"/>
    <w:rsid w:val="062F07EF"/>
    <w:rsid w:val="063876A4"/>
    <w:rsid w:val="06500E91"/>
    <w:rsid w:val="066B5CCB"/>
    <w:rsid w:val="067B2FF0"/>
    <w:rsid w:val="067D155B"/>
    <w:rsid w:val="068154EF"/>
    <w:rsid w:val="068648B3"/>
    <w:rsid w:val="068B503A"/>
    <w:rsid w:val="069F7723"/>
    <w:rsid w:val="06A25465"/>
    <w:rsid w:val="06A92350"/>
    <w:rsid w:val="06AB256C"/>
    <w:rsid w:val="06AB60C8"/>
    <w:rsid w:val="06CB676A"/>
    <w:rsid w:val="06D01FD2"/>
    <w:rsid w:val="06DD024B"/>
    <w:rsid w:val="06E23AB3"/>
    <w:rsid w:val="06E67100"/>
    <w:rsid w:val="06EC66E0"/>
    <w:rsid w:val="06F85085"/>
    <w:rsid w:val="070E34A9"/>
    <w:rsid w:val="072C6ABF"/>
    <w:rsid w:val="074043CB"/>
    <w:rsid w:val="074D53D1"/>
    <w:rsid w:val="074E5322"/>
    <w:rsid w:val="075E138C"/>
    <w:rsid w:val="07632E46"/>
    <w:rsid w:val="077741FC"/>
    <w:rsid w:val="077C7A64"/>
    <w:rsid w:val="077E1A2E"/>
    <w:rsid w:val="0790350F"/>
    <w:rsid w:val="079528D4"/>
    <w:rsid w:val="07966D78"/>
    <w:rsid w:val="07B90CB8"/>
    <w:rsid w:val="07BB67DE"/>
    <w:rsid w:val="07BD684A"/>
    <w:rsid w:val="07C1191B"/>
    <w:rsid w:val="07DD731F"/>
    <w:rsid w:val="07ED44BE"/>
    <w:rsid w:val="07F65A68"/>
    <w:rsid w:val="07FC2953"/>
    <w:rsid w:val="08017F69"/>
    <w:rsid w:val="081952B3"/>
    <w:rsid w:val="08234384"/>
    <w:rsid w:val="08272C43"/>
    <w:rsid w:val="082A5712"/>
    <w:rsid w:val="08471E20"/>
    <w:rsid w:val="0865674A"/>
    <w:rsid w:val="0870581B"/>
    <w:rsid w:val="08732C15"/>
    <w:rsid w:val="087D5842"/>
    <w:rsid w:val="08852948"/>
    <w:rsid w:val="088840F9"/>
    <w:rsid w:val="088E7A4F"/>
    <w:rsid w:val="08A52FEB"/>
    <w:rsid w:val="08A632D3"/>
    <w:rsid w:val="08A94889"/>
    <w:rsid w:val="08BA6A96"/>
    <w:rsid w:val="08DA2C94"/>
    <w:rsid w:val="08F71A98"/>
    <w:rsid w:val="08FA7CD2"/>
    <w:rsid w:val="09063A89"/>
    <w:rsid w:val="09120680"/>
    <w:rsid w:val="091C32AD"/>
    <w:rsid w:val="09271C52"/>
    <w:rsid w:val="092B34F0"/>
    <w:rsid w:val="092E2FE0"/>
    <w:rsid w:val="093305F6"/>
    <w:rsid w:val="09376339"/>
    <w:rsid w:val="093F0D49"/>
    <w:rsid w:val="09491BC8"/>
    <w:rsid w:val="094C3466"/>
    <w:rsid w:val="095615C7"/>
    <w:rsid w:val="095F763D"/>
    <w:rsid w:val="09736C45"/>
    <w:rsid w:val="09776735"/>
    <w:rsid w:val="097E5D15"/>
    <w:rsid w:val="09817C69"/>
    <w:rsid w:val="098D41AA"/>
    <w:rsid w:val="09A17C56"/>
    <w:rsid w:val="09A84B40"/>
    <w:rsid w:val="09B07E99"/>
    <w:rsid w:val="09BF1E8A"/>
    <w:rsid w:val="09C86F91"/>
    <w:rsid w:val="09CB4CD3"/>
    <w:rsid w:val="09CD0A4B"/>
    <w:rsid w:val="09FB7366"/>
    <w:rsid w:val="09FE6E56"/>
    <w:rsid w:val="0A03446D"/>
    <w:rsid w:val="0A051A16"/>
    <w:rsid w:val="0A116B8A"/>
    <w:rsid w:val="0A193C90"/>
    <w:rsid w:val="0A2A17E5"/>
    <w:rsid w:val="0A3960E0"/>
    <w:rsid w:val="0A5151D8"/>
    <w:rsid w:val="0A530F50"/>
    <w:rsid w:val="0A5627EE"/>
    <w:rsid w:val="0A6429F3"/>
    <w:rsid w:val="0A702F65"/>
    <w:rsid w:val="0A7E3AF3"/>
    <w:rsid w:val="0A8C7778"/>
    <w:rsid w:val="0A93759F"/>
    <w:rsid w:val="0A951569"/>
    <w:rsid w:val="0A9A13B5"/>
    <w:rsid w:val="0AB15C77"/>
    <w:rsid w:val="0AD025A1"/>
    <w:rsid w:val="0AE147AE"/>
    <w:rsid w:val="0AEA2F37"/>
    <w:rsid w:val="0AEC3153"/>
    <w:rsid w:val="0AFA761E"/>
    <w:rsid w:val="0AFC15E8"/>
    <w:rsid w:val="0B275F39"/>
    <w:rsid w:val="0B2E6DF8"/>
    <w:rsid w:val="0B3512F1"/>
    <w:rsid w:val="0B390427"/>
    <w:rsid w:val="0B3F7726"/>
    <w:rsid w:val="0B523B3E"/>
    <w:rsid w:val="0B5C1160"/>
    <w:rsid w:val="0B642CE9"/>
    <w:rsid w:val="0B694974"/>
    <w:rsid w:val="0B81389B"/>
    <w:rsid w:val="0BB023D2"/>
    <w:rsid w:val="0BB2614A"/>
    <w:rsid w:val="0BC1013B"/>
    <w:rsid w:val="0BCD6AE0"/>
    <w:rsid w:val="0BDC674F"/>
    <w:rsid w:val="0BE107DE"/>
    <w:rsid w:val="0BE67BA2"/>
    <w:rsid w:val="0C0F3E47"/>
    <w:rsid w:val="0C0F534B"/>
    <w:rsid w:val="0C152235"/>
    <w:rsid w:val="0C1B5A9E"/>
    <w:rsid w:val="0C230DF6"/>
    <w:rsid w:val="0C28640C"/>
    <w:rsid w:val="0C2A5CE1"/>
    <w:rsid w:val="0C405504"/>
    <w:rsid w:val="0C452B1A"/>
    <w:rsid w:val="0C540FAF"/>
    <w:rsid w:val="0C5502A8"/>
    <w:rsid w:val="0C550884"/>
    <w:rsid w:val="0C5517B2"/>
    <w:rsid w:val="0C5B40EC"/>
    <w:rsid w:val="0C6236CC"/>
    <w:rsid w:val="0C6311F3"/>
    <w:rsid w:val="0C8573BB"/>
    <w:rsid w:val="0C8A677F"/>
    <w:rsid w:val="0C8B230D"/>
    <w:rsid w:val="0C965124"/>
    <w:rsid w:val="0C9E222B"/>
    <w:rsid w:val="0CAC0DEC"/>
    <w:rsid w:val="0CBE28CD"/>
    <w:rsid w:val="0D006A41"/>
    <w:rsid w:val="0D0B5B12"/>
    <w:rsid w:val="0D0C188A"/>
    <w:rsid w:val="0D2070E4"/>
    <w:rsid w:val="0D2C5A88"/>
    <w:rsid w:val="0D3F57BC"/>
    <w:rsid w:val="0D4903E8"/>
    <w:rsid w:val="0D4C612B"/>
    <w:rsid w:val="0D662D48"/>
    <w:rsid w:val="0D6671EC"/>
    <w:rsid w:val="0D674D12"/>
    <w:rsid w:val="0D6E7E4F"/>
    <w:rsid w:val="0D887163"/>
    <w:rsid w:val="0D8B0A01"/>
    <w:rsid w:val="0D8F0AE7"/>
    <w:rsid w:val="0D927FE1"/>
    <w:rsid w:val="0D984ECC"/>
    <w:rsid w:val="0D9A6E96"/>
    <w:rsid w:val="0D9F44AC"/>
    <w:rsid w:val="0DA41AC3"/>
    <w:rsid w:val="0DAD4E1B"/>
    <w:rsid w:val="0DB02216"/>
    <w:rsid w:val="0DC932D7"/>
    <w:rsid w:val="0DCE6B40"/>
    <w:rsid w:val="0DD04666"/>
    <w:rsid w:val="0DE87C01"/>
    <w:rsid w:val="0DF1779C"/>
    <w:rsid w:val="0DF20A80"/>
    <w:rsid w:val="0DF93BBD"/>
    <w:rsid w:val="0DFF4482"/>
    <w:rsid w:val="0E0D58BA"/>
    <w:rsid w:val="0E1A1D85"/>
    <w:rsid w:val="0E214EC1"/>
    <w:rsid w:val="0E252C04"/>
    <w:rsid w:val="0E2F3A82"/>
    <w:rsid w:val="0E3D658D"/>
    <w:rsid w:val="0E594522"/>
    <w:rsid w:val="0E5C414B"/>
    <w:rsid w:val="0E5E6115"/>
    <w:rsid w:val="0E6245E7"/>
    <w:rsid w:val="0E720520"/>
    <w:rsid w:val="0E7616B1"/>
    <w:rsid w:val="0E77246F"/>
    <w:rsid w:val="0E87741A"/>
    <w:rsid w:val="0E8F62CF"/>
    <w:rsid w:val="0E9B4C74"/>
    <w:rsid w:val="0EA004DC"/>
    <w:rsid w:val="0EAD2BF9"/>
    <w:rsid w:val="0EAF6971"/>
    <w:rsid w:val="0EC00B7E"/>
    <w:rsid w:val="0EC208E6"/>
    <w:rsid w:val="0EC56195"/>
    <w:rsid w:val="0ECE329B"/>
    <w:rsid w:val="0ECF0DC1"/>
    <w:rsid w:val="0EDF7256"/>
    <w:rsid w:val="0EE859DF"/>
    <w:rsid w:val="0EEF6D6E"/>
    <w:rsid w:val="0EF92712"/>
    <w:rsid w:val="0F026AA1"/>
    <w:rsid w:val="0F064724"/>
    <w:rsid w:val="0F2729AB"/>
    <w:rsid w:val="0F3D3F7D"/>
    <w:rsid w:val="0F4F5A5E"/>
    <w:rsid w:val="0F557518"/>
    <w:rsid w:val="0F56503F"/>
    <w:rsid w:val="0F582B65"/>
    <w:rsid w:val="0F67724C"/>
    <w:rsid w:val="0F783207"/>
    <w:rsid w:val="0F827BE2"/>
    <w:rsid w:val="0F985657"/>
    <w:rsid w:val="0F987405"/>
    <w:rsid w:val="0FCB1589"/>
    <w:rsid w:val="0FCB6EBE"/>
    <w:rsid w:val="0FCB77DB"/>
    <w:rsid w:val="0FCE2E27"/>
    <w:rsid w:val="0FD348E1"/>
    <w:rsid w:val="0FD3668F"/>
    <w:rsid w:val="0FD50659"/>
    <w:rsid w:val="0FDA17CC"/>
    <w:rsid w:val="0FDB1E2E"/>
    <w:rsid w:val="0FE73EE9"/>
    <w:rsid w:val="0FEB5787"/>
    <w:rsid w:val="100D394F"/>
    <w:rsid w:val="10101691"/>
    <w:rsid w:val="10246EEB"/>
    <w:rsid w:val="102665D2"/>
    <w:rsid w:val="102B0279"/>
    <w:rsid w:val="10345380"/>
    <w:rsid w:val="10426F3B"/>
    <w:rsid w:val="1045133B"/>
    <w:rsid w:val="10484987"/>
    <w:rsid w:val="104906FF"/>
    <w:rsid w:val="104B4477"/>
    <w:rsid w:val="104F21BA"/>
    <w:rsid w:val="10607CBB"/>
    <w:rsid w:val="106F48CD"/>
    <w:rsid w:val="10795489"/>
    <w:rsid w:val="107E65FB"/>
    <w:rsid w:val="10831E63"/>
    <w:rsid w:val="10B95885"/>
    <w:rsid w:val="10BE10ED"/>
    <w:rsid w:val="10BE2E9B"/>
    <w:rsid w:val="10C06C14"/>
    <w:rsid w:val="10C304B2"/>
    <w:rsid w:val="10C3097B"/>
    <w:rsid w:val="10D4446D"/>
    <w:rsid w:val="10E87F18"/>
    <w:rsid w:val="10FD1C16"/>
    <w:rsid w:val="11001706"/>
    <w:rsid w:val="11082369"/>
    <w:rsid w:val="110E3E23"/>
    <w:rsid w:val="1122167C"/>
    <w:rsid w:val="11247572"/>
    <w:rsid w:val="11472E91"/>
    <w:rsid w:val="11515ABE"/>
    <w:rsid w:val="115563A0"/>
    <w:rsid w:val="11586E4C"/>
    <w:rsid w:val="1182211B"/>
    <w:rsid w:val="119A56B6"/>
    <w:rsid w:val="11AE2F10"/>
    <w:rsid w:val="11B06C88"/>
    <w:rsid w:val="11C6025A"/>
    <w:rsid w:val="11D02E86"/>
    <w:rsid w:val="11DD49A6"/>
    <w:rsid w:val="11F33019"/>
    <w:rsid w:val="120668A8"/>
    <w:rsid w:val="12105979"/>
    <w:rsid w:val="12107727"/>
    <w:rsid w:val="121216F1"/>
    <w:rsid w:val="121D3BF2"/>
    <w:rsid w:val="12301B77"/>
    <w:rsid w:val="12374CB3"/>
    <w:rsid w:val="123A29F6"/>
    <w:rsid w:val="123F625E"/>
    <w:rsid w:val="12437AFC"/>
    <w:rsid w:val="125D667C"/>
    <w:rsid w:val="126161D4"/>
    <w:rsid w:val="126B7053"/>
    <w:rsid w:val="12744159"/>
    <w:rsid w:val="128B40E7"/>
    <w:rsid w:val="129A3494"/>
    <w:rsid w:val="12A762DD"/>
    <w:rsid w:val="12AA1929"/>
    <w:rsid w:val="12AF0CEE"/>
    <w:rsid w:val="12BA7692"/>
    <w:rsid w:val="12CA3D79"/>
    <w:rsid w:val="12CF75E2"/>
    <w:rsid w:val="12D107B7"/>
    <w:rsid w:val="12E34E3B"/>
    <w:rsid w:val="12EC1F42"/>
    <w:rsid w:val="12ED5CBA"/>
    <w:rsid w:val="12F31522"/>
    <w:rsid w:val="12F40DF6"/>
    <w:rsid w:val="130848A2"/>
    <w:rsid w:val="130B7EEE"/>
    <w:rsid w:val="13166FBF"/>
    <w:rsid w:val="132429BC"/>
    <w:rsid w:val="132F1E2E"/>
    <w:rsid w:val="13325154"/>
    <w:rsid w:val="13386F35"/>
    <w:rsid w:val="13517FF7"/>
    <w:rsid w:val="13541895"/>
    <w:rsid w:val="137141F5"/>
    <w:rsid w:val="137912FC"/>
    <w:rsid w:val="137D2B9A"/>
    <w:rsid w:val="137F4B64"/>
    <w:rsid w:val="138E124B"/>
    <w:rsid w:val="1393060F"/>
    <w:rsid w:val="139D3570"/>
    <w:rsid w:val="139F5206"/>
    <w:rsid w:val="13A50343"/>
    <w:rsid w:val="13A7230D"/>
    <w:rsid w:val="13B50586"/>
    <w:rsid w:val="13B80076"/>
    <w:rsid w:val="13C54541"/>
    <w:rsid w:val="13C83C09"/>
    <w:rsid w:val="13CE5AEB"/>
    <w:rsid w:val="13D50C28"/>
    <w:rsid w:val="13D824C6"/>
    <w:rsid w:val="13F310AE"/>
    <w:rsid w:val="14027543"/>
    <w:rsid w:val="14044A9A"/>
    <w:rsid w:val="14096B23"/>
    <w:rsid w:val="140B464A"/>
    <w:rsid w:val="141D437D"/>
    <w:rsid w:val="142179C9"/>
    <w:rsid w:val="142B0848"/>
    <w:rsid w:val="144813FA"/>
    <w:rsid w:val="145002AE"/>
    <w:rsid w:val="14636234"/>
    <w:rsid w:val="146B50E8"/>
    <w:rsid w:val="146C3A9E"/>
    <w:rsid w:val="146C7CA8"/>
    <w:rsid w:val="147026FF"/>
    <w:rsid w:val="147246C9"/>
    <w:rsid w:val="14832432"/>
    <w:rsid w:val="14860174"/>
    <w:rsid w:val="149363ED"/>
    <w:rsid w:val="14972381"/>
    <w:rsid w:val="14AB3737"/>
    <w:rsid w:val="14B95E54"/>
    <w:rsid w:val="14BC76F2"/>
    <w:rsid w:val="14C52A4A"/>
    <w:rsid w:val="14CF38C9"/>
    <w:rsid w:val="14EA24B1"/>
    <w:rsid w:val="14EF5D19"/>
    <w:rsid w:val="150177FB"/>
    <w:rsid w:val="15082937"/>
    <w:rsid w:val="150C68CB"/>
    <w:rsid w:val="151412DC"/>
    <w:rsid w:val="15282FD9"/>
    <w:rsid w:val="153C0833"/>
    <w:rsid w:val="154047C7"/>
    <w:rsid w:val="155142DE"/>
    <w:rsid w:val="1552780E"/>
    <w:rsid w:val="15565D98"/>
    <w:rsid w:val="156C2EC6"/>
    <w:rsid w:val="156D4E90"/>
    <w:rsid w:val="158A77F0"/>
    <w:rsid w:val="159266A5"/>
    <w:rsid w:val="159A3ED7"/>
    <w:rsid w:val="159D453E"/>
    <w:rsid w:val="15B4486D"/>
    <w:rsid w:val="15C70A44"/>
    <w:rsid w:val="15C745A0"/>
    <w:rsid w:val="15D078F9"/>
    <w:rsid w:val="15E038B4"/>
    <w:rsid w:val="15F64E85"/>
    <w:rsid w:val="15FA6724"/>
    <w:rsid w:val="16013F56"/>
    <w:rsid w:val="16021A7C"/>
    <w:rsid w:val="1609105D"/>
    <w:rsid w:val="16133C89"/>
    <w:rsid w:val="16210154"/>
    <w:rsid w:val="162C6AF9"/>
    <w:rsid w:val="163C6D3C"/>
    <w:rsid w:val="16500A3A"/>
    <w:rsid w:val="165C118C"/>
    <w:rsid w:val="166E2C6E"/>
    <w:rsid w:val="16797F90"/>
    <w:rsid w:val="168626AD"/>
    <w:rsid w:val="16976668"/>
    <w:rsid w:val="16AB5C70"/>
    <w:rsid w:val="16B15CA2"/>
    <w:rsid w:val="16B27132"/>
    <w:rsid w:val="16B56AEF"/>
    <w:rsid w:val="16BA2357"/>
    <w:rsid w:val="16CF7BB0"/>
    <w:rsid w:val="16DC0C5E"/>
    <w:rsid w:val="16DC407B"/>
    <w:rsid w:val="16E82A20"/>
    <w:rsid w:val="16F20F4A"/>
    <w:rsid w:val="17045380"/>
    <w:rsid w:val="17163A31"/>
    <w:rsid w:val="172F68A1"/>
    <w:rsid w:val="17324FA7"/>
    <w:rsid w:val="173C2D6C"/>
    <w:rsid w:val="17604AD5"/>
    <w:rsid w:val="176A78D9"/>
    <w:rsid w:val="176E3E24"/>
    <w:rsid w:val="17854713"/>
    <w:rsid w:val="17A56B63"/>
    <w:rsid w:val="17B31280"/>
    <w:rsid w:val="17B44FF8"/>
    <w:rsid w:val="17BA3F9F"/>
    <w:rsid w:val="17CF1E32"/>
    <w:rsid w:val="17DB1E48"/>
    <w:rsid w:val="17DF02C7"/>
    <w:rsid w:val="17E92EF4"/>
    <w:rsid w:val="17F43647"/>
    <w:rsid w:val="180E4708"/>
    <w:rsid w:val="18140D4C"/>
    <w:rsid w:val="181B5077"/>
    <w:rsid w:val="1821268E"/>
    <w:rsid w:val="183D0B4A"/>
    <w:rsid w:val="18471533"/>
    <w:rsid w:val="18480EC9"/>
    <w:rsid w:val="184D138E"/>
    <w:rsid w:val="185C1918"/>
    <w:rsid w:val="18616F2E"/>
    <w:rsid w:val="186500A0"/>
    <w:rsid w:val="186C142F"/>
    <w:rsid w:val="186F7922"/>
    <w:rsid w:val="187622AE"/>
    <w:rsid w:val="18820C52"/>
    <w:rsid w:val="188350F6"/>
    <w:rsid w:val="188D1CDA"/>
    <w:rsid w:val="18A825BD"/>
    <w:rsid w:val="18AC21FD"/>
    <w:rsid w:val="18AE7C99"/>
    <w:rsid w:val="18BE2188"/>
    <w:rsid w:val="18C82B09"/>
    <w:rsid w:val="18CB25F9"/>
    <w:rsid w:val="18F57676"/>
    <w:rsid w:val="18FE29CF"/>
    <w:rsid w:val="19053D5D"/>
    <w:rsid w:val="19137AFC"/>
    <w:rsid w:val="19185113"/>
    <w:rsid w:val="1921046B"/>
    <w:rsid w:val="192D5062"/>
    <w:rsid w:val="193E01F2"/>
    <w:rsid w:val="19566367"/>
    <w:rsid w:val="19600F94"/>
    <w:rsid w:val="19614D0C"/>
    <w:rsid w:val="196A0064"/>
    <w:rsid w:val="19720CC7"/>
    <w:rsid w:val="19736EC8"/>
    <w:rsid w:val="198D5B01"/>
    <w:rsid w:val="198F7ACB"/>
    <w:rsid w:val="199168BD"/>
    <w:rsid w:val="19973EE2"/>
    <w:rsid w:val="199E1ABC"/>
    <w:rsid w:val="19A846E9"/>
    <w:rsid w:val="19C257AA"/>
    <w:rsid w:val="19C57049"/>
    <w:rsid w:val="19D54A21"/>
    <w:rsid w:val="19DB4ABE"/>
    <w:rsid w:val="19DE635C"/>
    <w:rsid w:val="19E03E83"/>
    <w:rsid w:val="19E716B5"/>
    <w:rsid w:val="19ED5F1E"/>
    <w:rsid w:val="19F17E3E"/>
    <w:rsid w:val="19FD67E3"/>
    <w:rsid w:val="19FE07AD"/>
    <w:rsid w:val="1A085187"/>
    <w:rsid w:val="1A0C4C78"/>
    <w:rsid w:val="1A2F1077"/>
    <w:rsid w:val="1A304E0A"/>
    <w:rsid w:val="1A3366A8"/>
    <w:rsid w:val="1A514D80"/>
    <w:rsid w:val="1A5E2A1F"/>
    <w:rsid w:val="1A6B19B6"/>
    <w:rsid w:val="1A750A6F"/>
    <w:rsid w:val="1A7647E7"/>
    <w:rsid w:val="1A7E355A"/>
    <w:rsid w:val="1A807414"/>
    <w:rsid w:val="1A91517D"/>
    <w:rsid w:val="1A937147"/>
    <w:rsid w:val="1AA255DC"/>
    <w:rsid w:val="1AA82DF1"/>
    <w:rsid w:val="1AA90718"/>
    <w:rsid w:val="1AAE3F81"/>
    <w:rsid w:val="1AB1581F"/>
    <w:rsid w:val="1AB6755E"/>
    <w:rsid w:val="1ACB68E1"/>
    <w:rsid w:val="1AD27C6F"/>
    <w:rsid w:val="1AD87FFA"/>
    <w:rsid w:val="1AD93C78"/>
    <w:rsid w:val="1AED2EDA"/>
    <w:rsid w:val="1AFA01C9"/>
    <w:rsid w:val="1B3F2E2B"/>
    <w:rsid w:val="1B4145FB"/>
    <w:rsid w:val="1B4D72F6"/>
    <w:rsid w:val="1B4E306E"/>
    <w:rsid w:val="1B5A7C65"/>
    <w:rsid w:val="1B7156DA"/>
    <w:rsid w:val="1B813443"/>
    <w:rsid w:val="1B851185"/>
    <w:rsid w:val="1B9C202B"/>
    <w:rsid w:val="1BA06E8C"/>
    <w:rsid w:val="1BB43819"/>
    <w:rsid w:val="1BB90559"/>
    <w:rsid w:val="1BB94885"/>
    <w:rsid w:val="1BDD2D6F"/>
    <w:rsid w:val="1BE0460E"/>
    <w:rsid w:val="1BE7774A"/>
    <w:rsid w:val="1BF260EF"/>
    <w:rsid w:val="1BFB1448"/>
    <w:rsid w:val="1BFD0D1C"/>
    <w:rsid w:val="1C0C71B1"/>
    <w:rsid w:val="1C1B3898"/>
    <w:rsid w:val="1C47468D"/>
    <w:rsid w:val="1C4E1577"/>
    <w:rsid w:val="1C5172BA"/>
    <w:rsid w:val="1C56667E"/>
    <w:rsid w:val="1C5A616E"/>
    <w:rsid w:val="1C6E39C8"/>
    <w:rsid w:val="1C6F14EE"/>
    <w:rsid w:val="1C737230"/>
    <w:rsid w:val="1C7B268B"/>
    <w:rsid w:val="1C7B60E4"/>
    <w:rsid w:val="1C850D11"/>
    <w:rsid w:val="1C9553F8"/>
    <w:rsid w:val="1CA078F9"/>
    <w:rsid w:val="1CB3587E"/>
    <w:rsid w:val="1CB87339"/>
    <w:rsid w:val="1CBF06C7"/>
    <w:rsid w:val="1CBF4223"/>
    <w:rsid w:val="1CC932F4"/>
    <w:rsid w:val="1CD75A11"/>
    <w:rsid w:val="1CDD6D9F"/>
    <w:rsid w:val="1CF245F9"/>
    <w:rsid w:val="1D00339D"/>
    <w:rsid w:val="1D01483C"/>
    <w:rsid w:val="1D134F1F"/>
    <w:rsid w:val="1D1D719C"/>
    <w:rsid w:val="1D210A3A"/>
    <w:rsid w:val="1D4809E3"/>
    <w:rsid w:val="1D4A4435"/>
    <w:rsid w:val="1D5726AE"/>
    <w:rsid w:val="1D5F5A06"/>
    <w:rsid w:val="1D6046ED"/>
    <w:rsid w:val="1D61177E"/>
    <w:rsid w:val="1D7A45EE"/>
    <w:rsid w:val="1D994A74"/>
    <w:rsid w:val="1DB00002"/>
    <w:rsid w:val="1DB00010"/>
    <w:rsid w:val="1DB25B36"/>
    <w:rsid w:val="1DB446E0"/>
    <w:rsid w:val="1DB573D4"/>
    <w:rsid w:val="1DBA2C3C"/>
    <w:rsid w:val="1DBE44DB"/>
    <w:rsid w:val="1DC064A5"/>
    <w:rsid w:val="1DCC309C"/>
    <w:rsid w:val="1E01086B"/>
    <w:rsid w:val="1E0A5972"/>
    <w:rsid w:val="1E0B0E08"/>
    <w:rsid w:val="1E114F52"/>
    <w:rsid w:val="1E13619C"/>
    <w:rsid w:val="1E195BB5"/>
    <w:rsid w:val="1E2A65F0"/>
    <w:rsid w:val="1E472722"/>
    <w:rsid w:val="1E5310C7"/>
    <w:rsid w:val="1E5F5CBE"/>
    <w:rsid w:val="1E6A4663"/>
    <w:rsid w:val="1E7D7EF2"/>
    <w:rsid w:val="1E894AE9"/>
    <w:rsid w:val="1E8F7C25"/>
    <w:rsid w:val="1E935967"/>
    <w:rsid w:val="1E9B4275"/>
    <w:rsid w:val="1E9D67E6"/>
    <w:rsid w:val="1EAF2075"/>
    <w:rsid w:val="1EC51899"/>
    <w:rsid w:val="1ECB5101"/>
    <w:rsid w:val="1ECE50AB"/>
    <w:rsid w:val="1EE77A61"/>
    <w:rsid w:val="1EEA2A46"/>
    <w:rsid w:val="1EED151B"/>
    <w:rsid w:val="1EF36406"/>
    <w:rsid w:val="1EF74148"/>
    <w:rsid w:val="1EF84C60"/>
    <w:rsid w:val="1F071EB1"/>
    <w:rsid w:val="1F08170A"/>
    <w:rsid w:val="1F093E7B"/>
    <w:rsid w:val="1F095C2A"/>
    <w:rsid w:val="1F0B19A2"/>
    <w:rsid w:val="1F0E4FEE"/>
    <w:rsid w:val="1F1138B5"/>
    <w:rsid w:val="1F1A1BE5"/>
    <w:rsid w:val="1F3F5AEF"/>
    <w:rsid w:val="1F446C62"/>
    <w:rsid w:val="1F525822"/>
    <w:rsid w:val="1F751511"/>
    <w:rsid w:val="1F95570F"/>
    <w:rsid w:val="1FA140B4"/>
    <w:rsid w:val="1FA31BDA"/>
    <w:rsid w:val="1FA3607E"/>
    <w:rsid w:val="1FAF67D1"/>
    <w:rsid w:val="1FB01308"/>
    <w:rsid w:val="1FBE4C66"/>
    <w:rsid w:val="1FC35DD8"/>
    <w:rsid w:val="1FCB7383"/>
    <w:rsid w:val="1FCE5412"/>
    <w:rsid w:val="1FD224BF"/>
    <w:rsid w:val="1FD91AA0"/>
    <w:rsid w:val="1FDE70B6"/>
    <w:rsid w:val="1FE25010"/>
    <w:rsid w:val="1FEB532F"/>
    <w:rsid w:val="200C3EFB"/>
    <w:rsid w:val="200D1139"/>
    <w:rsid w:val="201523AC"/>
    <w:rsid w:val="20174376"/>
    <w:rsid w:val="201900EE"/>
    <w:rsid w:val="201E74B3"/>
    <w:rsid w:val="20210D51"/>
    <w:rsid w:val="203E1903"/>
    <w:rsid w:val="2040567B"/>
    <w:rsid w:val="20484530"/>
    <w:rsid w:val="20735A50"/>
    <w:rsid w:val="207D242B"/>
    <w:rsid w:val="20847C5E"/>
    <w:rsid w:val="208A4B48"/>
    <w:rsid w:val="209E05F3"/>
    <w:rsid w:val="20A16929"/>
    <w:rsid w:val="20A534A3"/>
    <w:rsid w:val="20BB11A5"/>
    <w:rsid w:val="20BB2F53"/>
    <w:rsid w:val="20C4005A"/>
    <w:rsid w:val="20CC5161"/>
    <w:rsid w:val="20D14525"/>
    <w:rsid w:val="20D9162C"/>
    <w:rsid w:val="20E029BA"/>
    <w:rsid w:val="20E34258"/>
    <w:rsid w:val="20EB3F0C"/>
    <w:rsid w:val="20EC135F"/>
    <w:rsid w:val="210466A8"/>
    <w:rsid w:val="21076199"/>
    <w:rsid w:val="210C37AF"/>
    <w:rsid w:val="210D6215"/>
    <w:rsid w:val="210E7527"/>
    <w:rsid w:val="210F504D"/>
    <w:rsid w:val="21115B02"/>
    <w:rsid w:val="211A411E"/>
    <w:rsid w:val="212154AC"/>
    <w:rsid w:val="2127683B"/>
    <w:rsid w:val="212B632B"/>
    <w:rsid w:val="212D20A3"/>
    <w:rsid w:val="213056EF"/>
    <w:rsid w:val="21380A48"/>
    <w:rsid w:val="21442F49"/>
    <w:rsid w:val="21466CC1"/>
    <w:rsid w:val="21472A39"/>
    <w:rsid w:val="215A276C"/>
    <w:rsid w:val="215D225D"/>
    <w:rsid w:val="21600CBF"/>
    <w:rsid w:val="216B6728"/>
    <w:rsid w:val="21747CD2"/>
    <w:rsid w:val="218D48F0"/>
    <w:rsid w:val="219E4D4F"/>
    <w:rsid w:val="21B04A82"/>
    <w:rsid w:val="21BA76AF"/>
    <w:rsid w:val="21C35049"/>
    <w:rsid w:val="21DA62E0"/>
    <w:rsid w:val="21F506E7"/>
    <w:rsid w:val="21F726B1"/>
    <w:rsid w:val="21F77FBB"/>
    <w:rsid w:val="21FB3F4F"/>
    <w:rsid w:val="21FF3314"/>
    <w:rsid w:val="220B1CB9"/>
    <w:rsid w:val="220D77DF"/>
    <w:rsid w:val="221A1EFC"/>
    <w:rsid w:val="222114DC"/>
    <w:rsid w:val="222F3BF9"/>
    <w:rsid w:val="22323AC0"/>
    <w:rsid w:val="225464D8"/>
    <w:rsid w:val="22682C67"/>
    <w:rsid w:val="226F3FF6"/>
    <w:rsid w:val="22821F7B"/>
    <w:rsid w:val="22A068A5"/>
    <w:rsid w:val="22A77C33"/>
    <w:rsid w:val="22AA7723"/>
    <w:rsid w:val="22B83BEE"/>
    <w:rsid w:val="22BF31CF"/>
    <w:rsid w:val="22CA1B74"/>
    <w:rsid w:val="22CF2CE6"/>
    <w:rsid w:val="22D24584"/>
    <w:rsid w:val="22EC1AEA"/>
    <w:rsid w:val="22F4099F"/>
    <w:rsid w:val="230D1D78"/>
    <w:rsid w:val="23167C86"/>
    <w:rsid w:val="23241284"/>
    <w:rsid w:val="23290648"/>
    <w:rsid w:val="2331574F"/>
    <w:rsid w:val="233314C7"/>
    <w:rsid w:val="233D2346"/>
    <w:rsid w:val="233F46CB"/>
    <w:rsid w:val="23474F72"/>
    <w:rsid w:val="23531B69"/>
    <w:rsid w:val="23616034"/>
    <w:rsid w:val="237F64BA"/>
    <w:rsid w:val="238910E7"/>
    <w:rsid w:val="23971A56"/>
    <w:rsid w:val="23BF5EBD"/>
    <w:rsid w:val="23CD36CA"/>
    <w:rsid w:val="23DE58D7"/>
    <w:rsid w:val="23DF33FD"/>
    <w:rsid w:val="23E34C9B"/>
    <w:rsid w:val="23F5677C"/>
    <w:rsid w:val="23F92711"/>
    <w:rsid w:val="24013373"/>
    <w:rsid w:val="24066BDB"/>
    <w:rsid w:val="2409047A"/>
    <w:rsid w:val="240B5FA0"/>
    <w:rsid w:val="241C1F5B"/>
    <w:rsid w:val="242332EA"/>
    <w:rsid w:val="242B03F0"/>
    <w:rsid w:val="242B4894"/>
    <w:rsid w:val="24343749"/>
    <w:rsid w:val="243E0123"/>
    <w:rsid w:val="24431BDE"/>
    <w:rsid w:val="24547947"/>
    <w:rsid w:val="24612064"/>
    <w:rsid w:val="246A53BC"/>
    <w:rsid w:val="247478A9"/>
    <w:rsid w:val="248024EA"/>
    <w:rsid w:val="248A3369"/>
    <w:rsid w:val="24944D5C"/>
    <w:rsid w:val="2498694E"/>
    <w:rsid w:val="24A217AC"/>
    <w:rsid w:val="24BE361B"/>
    <w:rsid w:val="24CA7C09"/>
    <w:rsid w:val="24CD76F9"/>
    <w:rsid w:val="24DD6B6C"/>
    <w:rsid w:val="24EC5DD1"/>
    <w:rsid w:val="24FB6014"/>
    <w:rsid w:val="252C08C4"/>
    <w:rsid w:val="252E63EA"/>
    <w:rsid w:val="25302162"/>
    <w:rsid w:val="25453733"/>
    <w:rsid w:val="254E4396"/>
    <w:rsid w:val="255319AC"/>
    <w:rsid w:val="2564005E"/>
    <w:rsid w:val="256516E0"/>
    <w:rsid w:val="25675458"/>
    <w:rsid w:val="258506D6"/>
    <w:rsid w:val="25916979"/>
    <w:rsid w:val="259D70CC"/>
    <w:rsid w:val="25A0096A"/>
    <w:rsid w:val="25A20B86"/>
    <w:rsid w:val="25A423C8"/>
    <w:rsid w:val="25AC5561"/>
    <w:rsid w:val="25B12B77"/>
    <w:rsid w:val="25C66622"/>
    <w:rsid w:val="25CA2813"/>
    <w:rsid w:val="25D0124F"/>
    <w:rsid w:val="25D30D3F"/>
    <w:rsid w:val="25DA0320"/>
    <w:rsid w:val="25DC4098"/>
    <w:rsid w:val="25DE1BBE"/>
    <w:rsid w:val="25E20F82"/>
    <w:rsid w:val="25F0544D"/>
    <w:rsid w:val="25F34F3E"/>
    <w:rsid w:val="26037B12"/>
    <w:rsid w:val="26061115"/>
    <w:rsid w:val="26067B53"/>
    <w:rsid w:val="260809E9"/>
    <w:rsid w:val="260E3B25"/>
    <w:rsid w:val="26121868"/>
    <w:rsid w:val="26127ABA"/>
    <w:rsid w:val="26143832"/>
    <w:rsid w:val="26303562"/>
    <w:rsid w:val="265C6F87"/>
    <w:rsid w:val="26695200"/>
    <w:rsid w:val="266D1C14"/>
    <w:rsid w:val="266D6A9E"/>
    <w:rsid w:val="2674607E"/>
    <w:rsid w:val="267A740D"/>
    <w:rsid w:val="268838D8"/>
    <w:rsid w:val="26930E06"/>
    <w:rsid w:val="26A526DC"/>
    <w:rsid w:val="26AF355A"/>
    <w:rsid w:val="26B66697"/>
    <w:rsid w:val="26C32B62"/>
    <w:rsid w:val="26DD1E76"/>
    <w:rsid w:val="26EB3E67"/>
    <w:rsid w:val="26EF1BA9"/>
    <w:rsid w:val="270D0281"/>
    <w:rsid w:val="270F3FF9"/>
    <w:rsid w:val="270F5DA7"/>
    <w:rsid w:val="27194E78"/>
    <w:rsid w:val="27280C17"/>
    <w:rsid w:val="27363334"/>
    <w:rsid w:val="27402404"/>
    <w:rsid w:val="27455C6D"/>
    <w:rsid w:val="27473459"/>
    <w:rsid w:val="27475541"/>
    <w:rsid w:val="274D5773"/>
    <w:rsid w:val="275814FC"/>
    <w:rsid w:val="2762237B"/>
    <w:rsid w:val="27675EA2"/>
    <w:rsid w:val="27736336"/>
    <w:rsid w:val="277B343D"/>
    <w:rsid w:val="2788691C"/>
    <w:rsid w:val="2795596F"/>
    <w:rsid w:val="27960276"/>
    <w:rsid w:val="279F428A"/>
    <w:rsid w:val="279F712B"/>
    <w:rsid w:val="27AA0682"/>
    <w:rsid w:val="27CB7F20"/>
    <w:rsid w:val="280671AA"/>
    <w:rsid w:val="280C5449"/>
    <w:rsid w:val="281318C7"/>
    <w:rsid w:val="281C4C20"/>
    <w:rsid w:val="28212236"/>
    <w:rsid w:val="282E0A21"/>
    <w:rsid w:val="283A50A6"/>
    <w:rsid w:val="283C7070"/>
    <w:rsid w:val="283E4B96"/>
    <w:rsid w:val="283F090E"/>
    <w:rsid w:val="28553C8E"/>
    <w:rsid w:val="28575C58"/>
    <w:rsid w:val="28893937"/>
    <w:rsid w:val="289E3886"/>
    <w:rsid w:val="28A10C81"/>
    <w:rsid w:val="28A15125"/>
    <w:rsid w:val="28B95B1B"/>
    <w:rsid w:val="28C80903"/>
    <w:rsid w:val="28D01566"/>
    <w:rsid w:val="28E42072"/>
    <w:rsid w:val="29003BF9"/>
    <w:rsid w:val="290F6532"/>
    <w:rsid w:val="2916128F"/>
    <w:rsid w:val="29180297"/>
    <w:rsid w:val="2927387C"/>
    <w:rsid w:val="295D54F0"/>
    <w:rsid w:val="2964062C"/>
    <w:rsid w:val="29842A7C"/>
    <w:rsid w:val="2987431B"/>
    <w:rsid w:val="298F1421"/>
    <w:rsid w:val="29A24CB1"/>
    <w:rsid w:val="29B9024C"/>
    <w:rsid w:val="29F6324E"/>
    <w:rsid w:val="29F80D74"/>
    <w:rsid w:val="2A007C29"/>
    <w:rsid w:val="2A027E45"/>
    <w:rsid w:val="2A05173D"/>
    <w:rsid w:val="2A0C65CE"/>
    <w:rsid w:val="2A1A6F3D"/>
    <w:rsid w:val="2A1A7C10"/>
    <w:rsid w:val="2A2878AC"/>
    <w:rsid w:val="2A3A138D"/>
    <w:rsid w:val="2A427557"/>
    <w:rsid w:val="2A4915D0"/>
    <w:rsid w:val="2A5702ED"/>
    <w:rsid w:val="2A585CB7"/>
    <w:rsid w:val="2A5D507B"/>
    <w:rsid w:val="2A68414C"/>
    <w:rsid w:val="2A6B59EA"/>
    <w:rsid w:val="2A6D1762"/>
    <w:rsid w:val="2A6D3510"/>
    <w:rsid w:val="2A7C3754"/>
    <w:rsid w:val="2A7C7BF7"/>
    <w:rsid w:val="2A872A2E"/>
    <w:rsid w:val="2A895E70"/>
    <w:rsid w:val="2A8F6D15"/>
    <w:rsid w:val="2A952A67"/>
    <w:rsid w:val="2A954815"/>
    <w:rsid w:val="2A9860B3"/>
    <w:rsid w:val="2AA50EDD"/>
    <w:rsid w:val="2AC05D36"/>
    <w:rsid w:val="2AC1385C"/>
    <w:rsid w:val="2AC31382"/>
    <w:rsid w:val="2ACF7D27"/>
    <w:rsid w:val="2ADC2444"/>
    <w:rsid w:val="2AE01F34"/>
    <w:rsid w:val="2AE13EFE"/>
    <w:rsid w:val="2AE8703B"/>
    <w:rsid w:val="2AF7102C"/>
    <w:rsid w:val="2B0A6F32"/>
    <w:rsid w:val="2B0D4CF3"/>
    <w:rsid w:val="2B1A4D1A"/>
    <w:rsid w:val="2B25203D"/>
    <w:rsid w:val="2B2636BF"/>
    <w:rsid w:val="2B496BF1"/>
    <w:rsid w:val="2B4D3342"/>
    <w:rsid w:val="2B512E32"/>
    <w:rsid w:val="2B68108F"/>
    <w:rsid w:val="2B6A3EF4"/>
    <w:rsid w:val="2B7D3F3C"/>
    <w:rsid w:val="2B801021"/>
    <w:rsid w:val="2B94641F"/>
    <w:rsid w:val="2BA70CA4"/>
    <w:rsid w:val="2BAC38A0"/>
    <w:rsid w:val="2BB920B8"/>
    <w:rsid w:val="2BBD4024"/>
    <w:rsid w:val="2BC2788C"/>
    <w:rsid w:val="2BCA4992"/>
    <w:rsid w:val="2BCF3D57"/>
    <w:rsid w:val="2BD15109"/>
    <w:rsid w:val="2BDD0222"/>
    <w:rsid w:val="2BF043F9"/>
    <w:rsid w:val="2BF63C6E"/>
    <w:rsid w:val="2BF67536"/>
    <w:rsid w:val="2C136339"/>
    <w:rsid w:val="2C1F083A"/>
    <w:rsid w:val="2C22032B"/>
    <w:rsid w:val="2C2440A3"/>
    <w:rsid w:val="2C2C11A9"/>
    <w:rsid w:val="2C3D5164"/>
    <w:rsid w:val="2C414C55"/>
    <w:rsid w:val="2C4402A1"/>
    <w:rsid w:val="2C526E62"/>
    <w:rsid w:val="2C5C5166"/>
    <w:rsid w:val="2C624BCB"/>
    <w:rsid w:val="2C6D5A4A"/>
    <w:rsid w:val="2C6E531E"/>
    <w:rsid w:val="2C7A3CC3"/>
    <w:rsid w:val="2C8B4122"/>
    <w:rsid w:val="2C974875"/>
    <w:rsid w:val="2CA13945"/>
    <w:rsid w:val="2CA24D2A"/>
    <w:rsid w:val="2CA451E4"/>
    <w:rsid w:val="2CA62D0A"/>
    <w:rsid w:val="2CB74F17"/>
    <w:rsid w:val="2CC74102"/>
    <w:rsid w:val="2CD07D87"/>
    <w:rsid w:val="2CD535EF"/>
    <w:rsid w:val="2CE35D0C"/>
    <w:rsid w:val="2CF0667B"/>
    <w:rsid w:val="2CFC0B7C"/>
    <w:rsid w:val="2D067C4C"/>
    <w:rsid w:val="2D0C3CE8"/>
    <w:rsid w:val="2D145EC5"/>
    <w:rsid w:val="2D2105E2"/>
    <w:rsid w:val="2D393B7E"/>
    <w:rsid w:val="2D452CD3"/>
    <w:rsid w:val="2D4A5D8B"/>
    <w:rsid w:val="2D4C1B03"/>
    <w:rsid w:val="2D55028C"/>
    <w:rsid w:val="2D574004"/>
    <w:rsid w:val="2D594220"/>
    <w:rsid w:val="2D652BC5"/>
    <w:rsid w:val="2D6A01DB"/>
    <w:rsid w:val="2D742E08"/>
    <w:rsid w:val="2D776454"/>
    <w:rsid w:val="2D7B5F44"/>
    <w:rsid w:val="2D7E0AC8"/>
    <w:rsid w:val="2D88240F"/>
    <w:rsid w:val="2D8F3594"/>
    <w:rsid w:val="2D9214E0"/>
    <w:rsid w:val="2D9E1C33"/>
    <w:rsid w:val="2DA21723"/>
    <w:rsid w:val="2DAA6942"/>
    <w:rsid w:val="2DB66F7C"/>
    <w:rsid w:val="2DC31699"/>
    <w:rsid w:val="2DD702D0"/>
    <w:rsid w:val="2DDD37F2"/>
    <w:rsid w:val="2DE0224B"/>
    <w:rsid w:val="2DE57862"/>
    <w:rsid w:val="2DF83A39"/>
    <w:rsid w:val="2DF87595"/>
    <w:rsid w:val="2E1B14D5"/>
    <w:rsid w:val="2E314855"/>
    <w:rsid w:val="2E3F51C4"/>
    <w:rsid w:val="2E4722CA"/>
    <w:rsid w:val="2E497DF1"/>
    <w:rsid w:val="2E4E3659"/>
    <w:rsid w:val="2E502888"/>
    <w:rsid w:val="2E536EC1"/>
    <w:rsid w:val="2E5C3250"/>
    <w:rsid w:val="2E5E5C0B"/>
    <w:rsid w:val="2E607376"/>
    <w:rsid w:val="2E65738B"/>
    <w:rsid w:val="2E693FEF"/>
    <w:rsid w:val="2E76495E"/>
    <w:rsid w:val="2E8E7EF9"/>
    <w:rsid w:val="2E903C71"/>
    <w:rsid w:val="2E9A4AF0"/>
    <w:rsid w:val="2E9B6172"/>
    <w:rsid w:val="2EAB4607"/>
    <w:rsid w:val="2EB37960"/>
    <w:rsid w:val="2EBC6814"/>
    <w:rsid w:val="2ECD75AB"/>
    <w:rsid w:val="2ED40002"/>
    <w:rsid w:val="2EE0091C"/>
    <w:rsid w:val="2EF06BB9"/>
    <w:rsid w:val="2EF20488"/>
    <w:rsid w:val="2EF22236"/>
    <w:rsid w:val="2EF37D5C"/>
    <w:rsid w:val="2EFC4288"/>
    <w:rsid w:val="2EFE6E2D"/>
    <w:rsid w:val="2F1228D8"/>
    <w:rsid w:val="2F2D14C0"/>
    <w:rsid w:val="2F37233F"/>
    <w:rsid w:val="2F3C1703"/>
    <w:rsid w:val="2F5429B7"/>
    <w:rsid w:val="2F6A3317"/>
    <w:rsid w:val="2F7215C9"/>
    <w:rsid w:val="2F805A94"/>
    <w:rsid w:val="2F8310E0"/>
    <w:rsid w:val="2F8B2ACD"/>
    <w:rsid w:val="2F990904"/>
    <w:rsid w:val="2F9B6BBA"/>
    <w:rsid w:val="2F9F7A4B"/>
    <w:rsid w:val="2FA21EAE"/>
    <w:rsid w:val="2FA555EB"/>
    <w:rsid w:val="2FA65CCD"/>
    <w:rsid w:val="2FB43990"/>
    <w:rsid w:val="2FBB4D1E"/>
    <w:rsid w:val="2FC040E2"/>
    <w:rsid w:val="2FCA4E5E"/>
    <w:rsid w:val="2FCD67FF"/>
    <w:rsid w:val="2FDB0F1C"/>
    <w:rsid w:val="2FFB15BE"/>
    <w:rsid w:val="2FFB336C"/>
    <w:rsid w:val="30185CCC"/>
    <w:rsid w:val="302428C3"/>
    <w:rsid w:val="30274161"/>
    <w:rsid w:val="302C1778"/>
    <w:rsid w:val="30395C43"/>
    <w:rsid w:val="30420F9B"/>
    <w:rsid w:val="30441D58"/>
    <w:rsid w:val="30444D13"/>
    <w:rsid w:val="3050190A"/>
    <w:rsid w:val="305111DE"/>
    <w:rsid w:val="306C3E74"/>
    <w:rsid w:val="30705B08"/>
    <w:rsid w:val="307D0225"/>
    <w:rsid w:val="308570DA"/>
    <w:rsid w:val="30894E1C"/>
    <w:rsid w:val="30A12A25"/>
    <w:rsid w:val="30A77050"/>
    <w:rsid w:val="30AC4667"/>
    <w:rsid w:val="30BE33DD"/>
    <w:rsid w:val="30C776F3"/>
    <w:rsid w:val="30CB2D3F"/>
    <w:rsid w:val="30D00355"/>
    <w:rsid w:val="30D53BBD"/>
    <w:rsid w:val="30D81900"/>
    <w:rsid w:val="30E87D95"/>
    <w:rsid w:val="30EB33E1"/>
    <w:rsid w:val="30F2476F"/>
    <w:rsid w:val="31003A4B"/>
    <w:rsid w:val="311A0CF9"/>
    <w:rsid w:val="311D7312"/>
    <w:rsid w:val="31215055"/>
    <w:rsid w:val="31232B7B"/>
    <w:rsid w:val="314D19A6"/>
    <w:rsid w:val="315F792B"/>
    <w:rsid w:val="3170301A"/>
    <w:rsid w:val="3175714F"/>
    <w:rsid w:val="317653A0"/>
    <w:rsid w:val="31813D45"/>
    <w:rsid w:val="318316F0"/>
    <w:rsid w:val="318A49E7"/>
    <w:rsid w:val="319D5E4B"/>
    <w:rsid w:val="319E1D2A"/>
    <w:rsid w:val="31B639EF"/>
    <w:rsid w:val="31B77767"/>
    <w:rsid w:val="31C0661C"/>
    <w:rsid w:val="31CD297B"/>
    <w:rsid w:val="31D03FA0"/>
    <w:rsid w:val="31D9592F"/>
    <w:rsid w:val="31E340B8"/>
    <w:rsid w:val="31EF14FF"/>
    <w:rsid w:val="31EF6F01"/>
    <w:rsid w:val="32002EBC"/>
    <w:rsid w:val="32052280"/>
    <w:rsid w:val="320876B2"/>
    <w:rsid w:val="320D0ED8"/>
    <w:rsid w:val="322D17D7"/>
    <w:rsid w:val="322E1E8E"/>
    <w:rsid w:val="323439F6"/>
    <w:rsid w:val="324059AE"/>
    <w:rsid w:val="324A347A"/>
    <w:rsid w:val="324E00CB"/>
    <w:rsid w:val="3268280F"/>
    <w:rsid w:val="32764F2C"/>
    <w:rsid w:val="327B2543"/>
    <w:rsid w:val="327D3F00"/>
    <w:rsid w:val="327D62BB"/>
    <w:rsid w:val="32AB482D"/>
    <w:rsid w:val="32AE0B6A"/>
    <w:rsid w:val="32B85545"/>
    <w:rsid w:val="32CC7242"/>
    <w:rsid w:val="32D3412D"/>
    <w:rsid w:val="32D61E6F"/>
    <w:rsid w:val="32DF0D23"/>
    <w:rsid w:val="32ED1692"/>
    <w:rsid w:val="32F12805"/>
    <w:rsid w:val="33072028"/>
    <w:rsid w:val="330E33B7"/>
    <w:rsid w:val="33214207"/>
    <w:rsid w:val="3341378C"/>
    <w:rsid w:val="334B460B"/>
    <w:rsid w:val="335079DD"/>
    <w:rsid w:val="339064C2"/>
    <w:rsid w:val="33AB32FB"/>
    <w:rsid w:val="33AD497E"/>
    <w:rsid w:val="33B26438"/>
    <w:rsid w:val="33BF2903"/>
    <w:rsid w:val="33C80FA0"/>
    <w:rsid w:val="33D91C17"/>
    <w:rsid w:val="33E8457D"/>
    <w:rsid w:val="33E902D9"/>
    <w:rsid w:val="33ED7470"/>
    <w:rsid w:val="33F33F5C"/>
    <w:rsid w:val="34190265"/>
    <w:rsid w:val="341E3ACD"/>
    <w:rsid w:val="342033A2"/>
    <w:rsid w:val="343432F1"/>
    <w:rsid w:val="34357EA6"/>
    <w:rsid w:val="34367069"/>
    <w:rsid w:val="343808D4"/>
    <w:rsid w:val="344C4197"/>
    <w:rsid w:val="34677222"/>
    <w:rsid w:val="346F2D44"/>
    <w:rsid w:val="347B4A7C"/>
    <w:rsid w:val="34994BC4"/>
    <w:rsid w:val="349E076A"/>
    <w:rsid w:val="349F4C0E"/>
    <w:rsid w:val="34A86C01"/>
    <w:rsid w:val="34A915E9"/>
    <w:rsid w:val="34AD39FE"/>
    <w:rsid w:val="34B41D3C"/>
    <w:rsid w:val="34B73F47"/>
    <w:rsid w:val="34DA3E98"/>
    <w:rsid w:val="34DF500B"/>
    <w:rsid w:val="34EA39B0"/>
    <w:rsid w:val="34F10DC9"/>
    <w:rsid w:val="3502519D"/>
    <w:rsid w:val="35066A3B"/>
    <w:rsid w:val="35213875"/>
    <w:rsid w:val="35246EC1"/>
    <w:rsid w:val="352B0250"/>
    <w:rsid w:val="35335357"/>
    <w:rsid w:val="354B0960"/>
    <w:rsid w:val="3555351F"/>
    <w:rsid w:val="35586B6B"/>
    <w:rsid w:val="356B4AF0"/>
    <w:rsid w:val="35700359"/>
    <w:rsid w:val="35773495"/>
    <w:rsid w:val="357C4F4F"/>
    <w:rsid w:val="35896346"/>
    <w:rsid w:val="359A7184"/>
    <w:rsid w:val="35AB1391"/>
    <w:rsid w:val="35BC70FA"/>
    <w:rsid w:val="35CD1307"/>
    <w:rsid w:val="35CD4CB1"/>
    <w:rsid w:val="35E6061B"/>
    <w:rsid w:val="35F1149A"/>
    <w:rsid w:val="35F42D38"/>
    <w:rsid w:val="35F76384"/>
    <w:rsid w:val="36017203"/>
    <w:rsid w:val="3619454C"/>
    <w:rsid w:val="361A2073"/>
    <w:rsid w:val="36262D29"/>
    <w:rsid w:val="363E3FB3"/>
    <w:rsid w:val="36513CE6"/>
    <w:rsid w:val="36783969"/>
    <w:rsid w:val="367E6AA5"/>
    <w:rsid w:val="369736C3"/>
    <w:rsid w:val="36973959"/>
    <w:rsid w:val="36A012BA"/>
    <w:rsid w:val="36A302BA"/>
    <w:rsid w:val="36BD4910"/>
    <w:rsid w:val="36D861B6"/>
    <w:rsid w:val="36E032BC"/>
    <w:rsid w:val="36EA5EE9"/>
    <w:rsid w:val="36F71CC4"/>
    <w:rsid w:val="371116C7"/>
    <w:rsid w:val="37184804"/>
    <w:rsid w:val="371F6DA2"/>
    <w:rsid w:val="373B6744"/>
    <w:rsid w:val="373D289B"/>
    <w:rsid w:val="374B6987"/>
    <w:rsid w:val="375D2B5F"/>
    <w:rsid w:val="37764687"/>
    <w:rsid w:val="3784633D"/>
    <w:rsid w:val="378974B0"/>
    <w:rsid w:val="3793032E"/>
    <w:rsid w:val="37931DF2"/>
    <w:rsid w:val="379C3687"/>
    <w:rsid w:val="37A442EA"/>
    <w:rsid w:val="37A662B4"/>
    <w:rsid w:val="37B26A07"/>
    <w:rsid w:val="37CB7AC8"/>
    <w:rsid w:val="37CE1367"/>
    <w:rsid w:val="37ED7A3F"/>
    <w:rsid w:val="38037262"/>
    <w:rsid w:val="3814321D"/>
    <w:rsid w:val="381551E7"/>
    <w:rsid w:val="382275F5"/>
    <w:rsid w:val="38233460"/>
    <w:rsid w:val="382A2A41"/>
    <w:rsid w:val="382E2FA6"/>
    <w:rsid w:val="383A69FC"/>
    <w:rsid w:val="384652DA"/>
    <w:rsid w:val="384D2BD3"/>
    <w:rsid w:val="385B0E4C"/>
    <w:rsid w:val="38740160"/>
    <w:rsid w:val="387B14EE"/>
    <w:rsid w:val="387D65FD"/>
    <w:rsid w:val="388859B9"/>
    <w:rsid w:val="388A7983"/>
    <w:rsid w:val="38934A8A"/>
    <w:rsid w:val="38983E4E"/>
    <w:rsid w:val="38A071A7"/>
    <w:rsid w:val="38A8605B"/>
    <w:rsid w:val="38BB7B3D"/>
    <w:rsid w:val="38C033A5"/>
    <w:rsid w:val="38C369F1"/>
    <w:rsid w:val="38DF7CCF"/>
    <w:rsid w:val="38E01351"/>
    <w:rsid w:val="38E56968"/>
    <w:rsid w:val="38FD63A7"/>
    <w:rsid w:val="391159AF"/>
    <w:rsid w:val="391536F1"/>
    <w:rsid w:val="39194863"/>
    <w:rsid w:val="391F00CC"/>
    <w:rsid w:val="39241B86"/>
    <w:rsid w:val="392C04C3"/>
    <w:rsid w:val="39535FC7"/>
    <w:rsid w:val="39557F91"/>
    <w:rsid w:val="39666F13"/>
    <w:rsid w:val="398C14D9"/>
    <w:rsid w:val="398C3287"/>
    <w:rsid w:val="39900FC9"/>
    <w:rsid w:val="39A25466"/>
    <w:rsid w:val="39A46823"/>
    <w:rsid w:val="39A607ED"/>
    <w:rsid w:val="39B76556"/>
    <w:rsid w:val="39BA4298"/>
    <w:rsid w:val="39BF365D"/>
    <w:rsid w:val="39C26CA9"/>
    <w:rsid w:val="39C40C73"/>
    <w:rsid w:val="39C742BF"/>
    <w:rsid w:val="39D30EB6"/>
    <w:rsid w:val="39DC420F"/>
    <w:rsid w:val="39E76545"/>
    <w:rsid w:val="39FA6443"/>
    <w:rsid w:val="3A00614F"/>
    <w:rsid w:val="3A325BDD"/>
    <w:rsid w:val="3A396F6B"/>
    <w:rsid w:val="3A445910"/>
    <w:rsid w:val="3A4D1669"/>
    <w:rsid w:val="3A502507"/>
    <w:rsid w:val="3A52002D"/>
    <w:rsid w:val="3A575643"/>
    <w:rsid w:val="3A59760D"/>
    <w:rsid w:val="3A6D30B9"/>
    <w:rsid w:val="3A791A5E"/>
    <w:rsid w:val="3A8328DC"/>
    <w:rsid w:val="3A95616C"/>
    <w:rsid w:val="3A9F3989"/>
    <w:rsid w:val="3AB962FE"/>
    <w:rsid w:val="3ACA4067"/>
    <w:rsid w:val="3AD76784"/>
    <w:rsid w:val="3AE8273F"/>
    <w:rsid w:val="3AFE1F63"/>
    <w:rsid w:val="3B016796"/>
    <w:rsid w:val="3B06357D"/>
    <w:rsid w:val="3B091033"/>
    <w:rsid w:val="3B0E3AFE"/>
    <w:rsid w:val="3B0F23C2"/>
    <w:rsid w:val="3B150AD4"/>
    <w:rsid w:val="3B1874C8"/>
    <w:rsid w:val="3B1D063B"/>
    <w:rsid w:val="3B396B5A"/>
    <w:rsid w:val="3B44206B"/>
    <w:rsid w:val="3B581673"/>
    <w:rsid w:val="3B5B5607"/>
    <w:rsid w:val="3B5F50F7"/>
    <w:rsid w:val="3B7566C9"/>
    <w:rsid w:val="3B8121B6"/>
    <w:rsid w:val="3B8701AA"/>
    <w:rsid w:val="3B8A37F6"/>
    <w:rsid w:val="3B8C3A12"/>
    <w:rsid w:val="3B936B4F"/>
    <w:rsid w:val="3B9E6558"/>
    <w:rsid w:val="3BB16FD5"/>
    <w:rsid w:val="3BBA0580"/>
    <w:rsid w:val="3BBA45CF"/>
    <w:rsid w:val="3BBD1E1E"/>
    <w:rsid w:val="3BCB62E9"/>
    <w:rsid w:val="3BD72EE0"/>
    <w:rsid w:val="3BDB4052"/>
    <w:rsid w:val="3BE253E0"/>
    <w:rsid w:val="3BEE0229"/>
    <w:rsid w:val="3BF21AC7"/>
    <w:rsid w:val="3BFC64A2"/>
    <w:rsid w:val="3C0454EB"/>
    <w:rsid w:val="3C1A2DCC"/>
    <w:rsid w:val="3C1A7270"/>
    <w:rsid w:val="3C225B1F"/>
    <w:rsid w:val="3C2B210F"/>
    <w:rsid w:val="3C2D2B00"/>
    <w:rsid w:val="3C3A521C"/>
    <w:rsid w:val="3C413199"/>
    <w:rsid w:val="3C487939"/>
    <w:rsid w:val="3C5C5193"/>
    <w:rsid w:val="3C5E53AF"/>
    <w:rsid w:val="3C642299"/>
    <w:rsid w:val="3C7E335B"/>
    <w:rsid w:val="3C8D7A42"/>
    <w:rsid w:val="3C9A5CBB"/>
    <w:rsid w:val="3C9E39FD"/>
    <w:rsid w:val="3CA60B04"/>
    <w:rsid w:val="3CB46D7D"/>
    <w:rsid w:val="3CB52AF5"/>
    <w:rsid w:val="3CCA0794"/>
    <w:rsid w:val="3CCD42E3"/>
    <w:rsid w:val="3CE31410"/>
    <w:rsid w:val="3CE533DA"/>
    <w:rsid w:val="3CF3676B"/>
    <w:rsid w:val="3CF72B32"/>
    <w:rsid w:val="3CF96E86"/>
    <w:rsid w:val="3CFD6976"/>
    <w:rsid w:val="3D0B79C8"/>
    <w:rsid w:val="3D1B2BC3"/>
    <w:rsid w:val="3D1E68EC"/>
    <w:rsid w:val="3D202664"/>
    <w:rsid w:val="3D406863"/>
    <w:rsid w:val="3D6F7148"/>
    <w:rsid w:val="3D785FFC"/>
    <w:rsid w:val="3D7D0DBC"/>
    <w:rsid w:val="3D9F7A2D"/>
    <w:rsid w:val="3DA53149"/>
    <w:rsid w:val="3DB57251"/>
    <w:rsid w:val="3DBB238D"/>
    <w:rsid w:val="3DC56D68"/>
    <w:rsid w:val="3DCB0822"/>
    <w:rsid w:val="3DF77869"/>
    <w:rsid w:val="3DFE0BF8"/>
    <w:rsid w:val="3E014244"/>
    <w:rsid w:val="3E06185A"/>
    <w:rsid w:val="3E0B0C1F"/>
    <w:rsid w:val="3E133F77"/>
    <w:rsid w:val="3E14666F"/>
    <w:rsid w:val="3E1F0B6E"/>
    <w:rsid w:val="3E2E7003"/>
    <w:rsid w:val="3E3F4D6C"/>
    <w:rsid w:val="3E4D1237"/>
    <w:rsid w:val="3E55633E"/>
    <w:rsid w:val="3E5720B6"/>
    <w:rsid w:val="3E6447D3"/>
    <w:rsid w:val="3E6F5ADD"/>
    <w:rsid w:val="3E720C9E"/>
    <w:rsid w:val="3E742C68"/>
    <w:rsid w:val="3E7E5894"/>
    <w:rsid w:val="3E8B6203"/>
    <w:rsid w:val="3E946E66"/>
    <w:rsid w:val="3E976956"/>
    <w:rsid w:val="3EA352FB"/>
    <w:rsid w:val="3EAD43CC"/>
    <w:rsid w:val="3ECC2AA4"/>
    <w:rsid w:val="3ECD64F8"/>
    <w:rsid w:val="3EE14075"/>
    <w:rsid w:val="3EE37DED"/>
    <w:rsid w:val="3EE53B65"/>
    <w:rsid w:val="3EF23B8C"/>
    <w:rsid w:val="3EF618CF"/>
    <w:rsid w:val="3EF67B21"/>
    <w:rsid w:val="3EF9316D"/>
    <w:rsid w:val="3F00274D"/>
    <w:rsid w:val="3F087854"/>
    <w:rsid w:val="3F0B2EA0"/>
    <w:rsid w:val="3F39045E"/>
    <w:rsid w:val="3F5605BF"/>
    <w:rsid w:val="3F56236D"/>
    <w:rsid w:val="3F5900B0"/>
    <w:rsid w:val="3F5B7984"/>
    <w:rsid w:val="3F7313F8"/>
    <w:rsid w:val="3F80256C"/>
    <w:rsid w:val="3F874C1D"/>
    <w:rsid w:val="3F9E5AC2"/>
    <w:rsid w:val="3FB3156E"/>
    <w:rsid w:val="3FC76DC7"/>
    <w:rsid w:val="3FCC0B73"/>
    <w:rsid w:val="3FD06D52"/>
    <w:rsid w:val="3FE43E1D"/>
    <w:rsid w:val="3FF34A86"/>
    <w:rsid w:val="3FF658FE"/>
    <w:rsid w:val="401C13CE"/>
    <w:rsid w:val="402204A1"/>
    <w:rsid w:val="40273D0A"/>
    <w:rsid w:val="403D52DB"/>
    <w:rsid w:val="40493C80"/>
    <w:rsid w:val="40736F4F"/>
    <w:rsid w:val="40797B11"/>
    <w:rsid w:val="4081166C"/>
    <w:rsid w:val="408829FA"/>
    <w:rsid w:val="4093139F"/>
    <w:rsid w:val="409475F1"/>
    <w:rsid w:val="40A16AF0"/>
    <w:rsid w:val="40B41A41"/>
    <w:rsid w:val="40CF0629"/>
    <w:rsid w:val="40D45C40"/>
    <w:rsid w:val="40D75730"/>
    <w:rsid w:val="40E439A9"/>
    <w:rsid w:val="40E83499"/>
    <w:rsid w:val="40EA7211"/>
    <w:rsid w:val="40FD06D5"/>
    <w:rsid w:val="411918A4"/>
    <w:rsid w:val="411A73CB"/>
    <w:rsid w:val="412070D7"/>
    <w:rsid w:val="41214BFD"/>
    <w:rsid w:val="414C1C7A"/>
    <w:rsid w:val="41546D80"/>
    <w:rsid w:val="41596145"/>
    <w:rsid w:val="41600431"/>
    <w:rsid w:val="41780CC1"/>
    <w:rsid w:val="417C1E33"/>
    <w:rsid w:val="417E5BAB"/>
    <w:rsid w:val="418238EE"/>
    <w:rsid w:val="41AA4BF2"/>
    <w:rsid w:val="41B45A71"/>
    <w:rsid w:val="41C67F1A"/>
    <w:rsid w:val="41CC4B1E"/>
    <w:rsid w:val="41E06866"/>
    <w:rsid w:val="41E55C2A"/>
    <w:rsid w:val="41EC520B"/>
    <w:rsid w:val="41F45E6E"/>
    <w:rsid w:val="41F52311"/>
    <w:rsid w:val="41F526A2"/>
    <w:rsid w:val="41F67393"/>
    <w:rsid w:val="420936C7"/>
    <w:rsid w:val="420C1409"/>
    <w:rsid w:val="42116A20"/>
    <w:rsid w:val="42135E37"/>
    <w:rsid w:val="42186000"/>
    <w:rsid w:val="421A58D4"/>
    <w:rsid w:val="422C1AAB"/>
    <w:rsid w:val="422E312E"/>
    <w:rsid w:val="423F17DF"/>
    <w:rsid w:val="42507548"/>
    <w:rsid w:val="42573FA6"/>
    <w:rsid w:val="425F59DD"/>
    <w:rsid w:val="42707BEA"/>
    <w:rsid w:val="427174BE"/>
    <w:rsid w:val="427F607F"/>
    <w:rsid w:val="42937435"/>
    <w:rsid w:val="42940812"/>
    <w:rsid w:val="42A72EE0"/>
    <w:rsid w:val="42A930FC"/>
    <w:rsid w:val="42B06238"/>
    <w:rsid w:val="42B86E9B"/>
    <w:rsid w:val="42DB68A8"/>
    <w:rsid w:val="42E14644"/>
    <w:rsid w:val="42F04887"/>
    <w:rsid w:val="43100A85"/>
    <w:rsid w:val="432B3B11"/>
    <w:rsid w:val="432E6EFB"/>
    <w:rsid w:val="433230F1"/>
    <w:rsid w:val="4339622E"/>
    <w:rsid w:val="43650DD1"/>
    <w:rsid w:val="436D77BF"/>
    <w:rsid w:val="437B6846"/>
    <w:rsid w:val="439E0787"/>
    <w:rsid w:val="43A062AD"/>
    <w:rsid w:val="43B14016"/>
    <w:rsid w:val="43DE6DD5"/>
    <w:rsid w:val="43E53CC0"/>
    <w:rsid w:val="43EC14F2"/>
    <w:rsid w:val="43FB34E3"/>
    <w:rsid w:val="43FB7987"/>
    <w:rsid w:val="43FF1225"/>
    <w:rsid w:val="44006D4C"/>
    <w:rsid w:val="440525B4"/>
    <w:rsid w:val="440E1469"/>
    <w:rsid w:val="44112D07"/>
    <w:rsid w:val="441A188A"/>
    <w:rsid w:val="44242A3A"/>
    <w:rsid w:val="44290050"/>
    <w:rsid w:val="44352E99"/>
    <w:rsid w:val="443726EA"/>
    <w:rsid w:val="443A225E"/>
    <w:rsid w:val="444035EC"/>
    <w:rsid w:val="444E7AB7"/>
    <w:rsid w:val="44511BFB"/>
    <w:rsid w:val="445157F9"/>
    <w:rsid w:val="446077EA"/>
    <w:rsid w:val="44654E01"/>
    <w:rsid w:val="446948F1"/>
    <w:rsid w:val="446C50BE"/>
    <w:rsid w:val="446E1F07"/>
    <w:rsid w:val="44705C7F"/>
    <w:rsid w:val="4476700E"/>
    <w:rsid w:val="447A4278"/>
    <w:rsid w:val="44801C3A"/>
    <w:rsid w:val="44817E8C"/>
    <w:rsid w:val="44A27E03"/>
    <w:rsid w:val="44AE0556"/>
    <w:rsid w:val="44BF6C07"/>
    <w:rsid w:val="44C02694"/>
    <w:rsid w:val="44C10289"/>
    <w:rsid w:val="44C91833"/>
    <w:rsid w:val="44D83825"/>
    <w:rsid w:val="44DA4549"/>
    <w:rsid w:val="44E93C84"/>
    <w:rsid w:val="44EB3558"/>
    <w:rsid w:val="44F06DC0"/>
    <w:rsid w:val="44FA19ED"/>
    <w:rsid w:val="44FF0DB1"/>
    <w:rsid w:val="4504461A"/>
    <w:rsid w:val="450665E4"/>
    <w:rsid w:val="45091C30"/>
    <w:rsid w:val="45097E82"/>
    <w:rsid w:val="450A60D4"/>
    <w:rsid w:val="45102FBE"/>
    <w:rsid w:val="45107462"/>
    <w:rsid w:val="4513485D"/>
    <w:rsid w:val="4517259F"/>
    <w:rsid w:val="451900C5"/>
    <w:rsid w:val="452A2718"/>
    <w:rsid w:val="452B1BA6"/>
    <w:rsid w:val="452B7DF8"/>
    <w:rsid w:val="453A003B"/>
    <w:rsid w:val="453F5652"/>
    <w:rsid w:val="45435142"/>
    <w:rsid w:val="454D7D6F"/>
    <w:rsid w:val="454F7F8B"/>
    <w:rsid w:val="455455A1"/>
    <w:rsid w:val="4557299B"/>
    <w:rsid w:val="456B4699"/>
    <w:rsid w:val="457269B9"/>
    <w:rsid w:val="45833790"/>
    <w:rsid w:val="458A4B1F"/>
    <w:rsid w:val="459B31D0"/>
    <w:rsid w:val="459C0CF6"/>
    <w:rsid w:val="45A32084"/>
    <w:rsid w:val="45A831F7"/>
    <w:rsid w:val="45B778DE"/>
    <w:rsid w:val="45C23304"/>
    <w:rsid w:val="45C73FC5"/>
    <w:rsid w:val="45CA7611"/>
    <w:rsid w:val="45D24718"/>
    <w:rsid w:val="45D264C6"/>
    <w:rsid w:val="45DB537A"/>
    <w:rsid w:val="45ED3300"/>
    <w:rsid w:val="45EE04B3"/>
    <w:rsid w:val="45EE1552"/>
    <w:rsid w:val="45EE77A4"/>
    <w:rsid w:val="45F12DF0"/>
    <w:rsid w:val="45F60F26"/>
    <w:rsid w:val="45FE550D"/>
    <w:rsid w:val="4609638B"/>
    <w:rsid w:val="460F771A"/>
    <w:rsid w:val="46164604"/>
    <w:rsid w:val="462A6302"/>
    <w:rsid w:val="4651388E"/>
    <w:rsid w:val="46565349"/>
    <w:rsid w:val="465C7623"/>
    <w:rsid w:val="465D2233"/>
    <w:rsid w:val="46804174"/>
    <w:rsid w:val="46935C55"/>
    <w:rsid w:val="46A10BE9"/>
    <w:rsid w:val="46B8390E"/>
    <w:rsid w:val="46CE4EDF"/>
    <w:rsid w:val="46E14C12"/>
    <w:rsid w:val="46E2098A"/>
    <w:rsid w:val="46EB3CE3"/>
    <w:rsid w:val="46F34946"/>
    <w:rsid w:val="46F5246C"/>
    <w:rsid w:val="46FE3A16"/>
    <w:rsid w:val="470B6133"/>
    <w:rsid w:val="471274C2"/>
    <w:rsid w:val="4721234A"/>
    <w:rsid w:val="472B40E0"/>
    <w:rsid w:val="4743767B"/>
    <w:rsid w:val="47456240"/>
    <w:rsid w:val="474F4272"/>
    <w:rsid w:val="476E221E"/>
    <w:rsid w:val="477912EF"/>
    <w:rsid w:val="47811F51"/>
    <w:rsid w:val="47841A42"/>
    <w:rsid w:val="478A6D01"/>
    <w:rsid w:val="47946129"/>
    <w:rsid w:val="479A5CF3"/>
    <w:rsid w:val="479E2B03"/>
    <w:rsid w:val="47A62604"/>
    <w:rsid w:val="47B55E70"/>
    <w:rsid w:val="47B9793D"/>
    <w:rsid w:val="47C562E2"/>
    <w:rsid w:val="47CF7161"/>
    <w:rsid w:val="47F95F8C"/>
    <w:rsid w:val="48027536"/>
    <w:rsid w:val="48180B08"/>
    <w:rsid w:val="48223734"/>
    <w:rsid w:val="48362D3C"/>
    <w:rsid w:val="483D40CA"/>
    <w:rsid w:val="48427933"/>
    <w:rsid w:val="48580F04"/>
    <w:rsid w:val="4860425D"/>
    <w:rsid w:val="48735ADA"/>
    <w:rsid w:val="48735D3E"/>
    <w:rsid w:val="488066AD"/>
    <w:rsid w:val="48A203D1"/>
    <w:rsid w:val="48A56114"/>
    <w:rsid w:val="48A64365"/>
    <w:rsid w:val="48AE321A"/>
    <w:rsid w:val="48AF2AEE"/>
    <w:rsid w:val="48B16866"/>
    <w:rsid w:val="48C42A3E"/>
    <w:rsid w:val="48CB5B7A"/>
    <w:rsid w:val="48EA3B26"/>
    <w:rsid w:val="490177EE"/>
    <w:rsid w:val="4910358D"/>
    <w:rsid w:val="491C4628"/>
    <w:rsid w:val="49290AF3"/>
    <w:rsid w:val="492E6109"/>
    <w:rsid w:val="49331971"/>
    <w:rsid w:val="49523BA5"/>
    <w:rsid w:val="49773A63"/>
    <w:rsid w:val="49816239"/>
    <w:rsid w:val="498E6BA8"/>
    <w:rsid w:val="49A63EF1"/>
    <w:rsid w:val="49AE2DA6"/>
    <w:rsid w:val="49AF0FF8"/>
    <w:rsid w:val="49BE748D"/>
    <w:rsid w:val="49EA2030"/>
    <w:rsid w:val="49F17862"/>
    <w:rsid w:val="4A154C94"/>
    <w:rsid w:val="4A201EF6"/>
    <w:rsid w:val="4A227A1C"/>
    <w:rsid w:val="4A4200BE"/>
    <w:rsid w:val="4A421E6C"/>
    <w:rsid w:val="4A547DF1"/>
    <w:rsid w:val="4A5E2A1E"/>
    <w:rsid w:val="4A6A13C3"/>
    <w:rsid w:val="4A7162AD"/>
    <w:rsid w:val="4A78588E"/>
    <w:rsid w:val="4A7933B4"/>
    <w:rsid w:val="4A7A7858"/>
    <w:rsid w:val="4A8204BA"/>
    <w:rsid w:val="4A930919"/>
    <w:rsid w:val="4AA46683"/>
    <w:rsid w:val="4AA76173"/>
    <w:rsid w:val="4AAF6DD6"/>
    <w:rsid w:val="4ABD5996"/>
    <w:rsid w:val="4ACF4B96"/>
    <w:rsid w:val="4AD30D16"/>
    <w:rsid w:val="4ADF590D"/>
    <w:rsid w:val="4AE922E8"/>
    <w:rsid w:val="4AE963B1"/>
    <w:rsid w:val="4AF84C20"/>
    <w:rsid w:val="4AFA62A3"/>
    <w:rsid w:val="4B076C12"/>
    <w:rsid w:val="4B1A6945"/>
    <w:rsid w:val="4B201A81"/>
    <w:rsid w:val="4B307F16"/>
    <w:rsid w:val="4B4B6AFE"/>
    <w:rsid w:val="4B5300A9"/>
    <w:rsid w:val="4B5E0F27"/>
    <w:rsid w:val="4B6202EC"/>
    <w:rsid w:val="4B63653E"/>
    <w:rsid w:val="4B690284"/>
    <w:rsid w:val="4B75620A"/>
    <w:rsid w:val="4B810772"/>
    <w:rsid w:val="4B891F50"/>
    <w:rsid w:val="4B920BD1"/>
    <w:rsid w:val="4B971D44"/>
    <w:rsid w:val="4B986E74"/>
    <w:rsid w:val="4BA17066"/>
    <w:rsid w:val="4BB548C0"/>
    <w:rsid w:val="4BBC79FC"/>
    <w:rsid w:val="4BC30D8B"/>
    <w:rsid w:val="4BC44B03"/>
    <w:rsid w:val="4BCF3BD3"/>
    <w:rsid w:val="4BD9235C"/>
    <w:rsid w:val="4BDA60D4"/>
    <w:rsid w:val="4BE156B5"/>
    <w:rsid w:val="4C12586E"/>
    <w:rsid w:val="4C1536C5"/>
    <w:rsid w:val="4C172E84"/>
    <w:rsid w:val="4C3103EA"/>
    <w:rsid w:val="4C325F10"/>
    <w:rsid w:val="4C39729F"/>
    <w:rsid w:val="4C4D68A6"/>
    <w:rsid w:val="4C6F2E33"/>
    <w:rsid w:val="4C7E4CB1"/>
    <w:rsid w:val="4C9D15DC"/>
    <w:rsid w:val="4CAF57B3"/>
    <w:rsid w:val="4CC052CA"/>
    <w:rsid w:val="4CD945DE"/>
    <w:rsid w:val="4CDB65A8"/>
    <w:rsid w:val="4CE76CFB"/>
    <w:rsid w:val="4CF136D5"/>
    <w:rsid w:val="4D16138E"/>
    <w:rsid w:val="4D1D44CA"/>
    <w:rsid w:val="4D1F0243"/>
    <w:rsid w:val="4D330192"/>
    <w:rsid w:val="4D330A1C"/>
    <w:rsid w:val="4D447CA9"/>
    <w:rsid w:val="4D4D1254"/>
    <w:rsid w:val="4D5F3CB7"/>
    <w:rsid w:val="4D6E34CC"/>
    <w:rsid w:val="4D810EFD"/>
    <w:rsid w:val="4DBE3EFF"/>
    <w:rsid w:val="4DDC25D7"/>
    <w:rsid w:val="4DE17BEE"/>
    <w:rsid w:val="4DEA4CF4"/>
    <w:rsid w:val="4DF27705"/>
    <w:rsid w:val="4DF571F5"/>
    <w:rsid w:val="4E0833CC"/>
    <w:rsid w:val="4E0B6A19"/>
    <w:rsid w:val="4E17716C"/>
    <w:rsid w:val="4E235B10"/>
    <w:rsid w:val="4E27029F"/>
    <w:rsid w:val="4E273FA4"/>
    <w:rsid w:val="4E3B5550"/>
    <w:rsid w:val="4E474289"/>
    <w:rsid w:val="4E524648"/>
    <w:rsid w:val="4E72647F"/>
    <w:rsid w:val="4E74636C"/>
    <w:rsid w:val="4E824F2D"/>
    <w:rsid w:val="4E9B5FEF"/>
    <w:rsid w:val="4EA40E15"/>
    <w:rsid w:val="4EB8094F"/>
    <w:rsid w:val="4EBD5F65"/>
    <w:rsid w:val="4EC07803"/>
    <w:rsid w:val="4EC54E1A"/>
    <w:rsid w:val="4EC8490A"/>
    <w:rsid w:val="4EEA0D24"/>
    <w:rsid w:val="4EED611E"/>
    <w:rsid w:val="4EF23735"/>
    <w:rsid w:val="4EF43951"/>
    <w:rsid w:val="4EF851EF"/>
    <w:rsid w:val="4F075432"/>
    <w:rsid w:val="4F0973FC"/>
    <w:rsid w:val="4F0A1774"/>
    <w:rsid w:val="4F0E056F"/>
    <w:rsid w:val="4F0E67C1"/>
    <w:rsid w:val="4F0F42E7"/>
    <w:rsid w:val="4F302BDB"/>
    <w:rsid w:val="4F3F4A0A"/>
    <w:rsid w:val="4F455F5A"/>
    <w:rsid w:val="4F4641AC"/>
    <w:rsid w:val="4F480CDE"/>
    <w:rsid w:val="4F4A3571"/>
    <w:rsid w:val="4F4C553B"/>
    <w:rsid w:val="4F50502B"/>
    <w:rsid w:val="4F691C49"/>
    <w:rsid w:val="4F732AC8"/>
    <w:rsid w:val="4F754A92"/>
    <w:rsid w:val="4F7A3F06"/>
    <w:rsid w:val="4F7B372A"/>
    <w:rsid w:val="4F8F4266"/>
    <w:rsid w:val="4F936CC6"/>
    <w:rsid w:val="4F9A0054"/>
    <w:rsid w:val="4FB31116"/>
    <w:rsid w:val="4FBA24A4"/>
    <w:rsid w:val="4FBD1F95"/>
    <w:rsid w:val="4FC43323"/>
    <w:rsid w:val="4FD67ABB"/>
    <w:rsid w:val="4FE15C83"/>
    <w:rsid w:val="4FE45773"/>
    <w:rsid w:val="50025BF9"/>
    <w:rsid w:val="500C5A84"/>
    <w:rsid w:val="50355FCF"/>
    <w:rsid w:val="503B514F"/>
    <w:rsid w:val="503D0A8A"/>
    <w:rsid w:val="50416722"/>
    <w:rsid w:val="50454464"/>
    <w:rsid w:val="504F0E3F"/>
    <w:rsid w:val="505E5526"/>
    <w:rsid w:val="506348EA"/>
    <w:rsid w:val="5066262C"/>
    <w:rsid w:val="506B379F"/>
    <w:rsid w:val="509176A9"/>
    <w:rsid w:val="50966A6E"/>
    <w:rsid w:val="50A218B6"/>
    <w:rsid w:val="50A3118B"/>
    <w:rsid w:val="50A56CB1"/>
    <w:rsid w:val="50C25AB5"/>
    <w:rsid w:val="50D21A70"/>
    <w:rsid w:val="50DC644B"/>
    <w:rsid w:val="50EF7DC9"/>
    <w:rsid w:val="50F6575E"/>
    <w:rsid w:val="50F9524E"/>
    <w:rsid w:val="50FD6AED"/>
    <w:rsid w:val="51037E7B"/>
    <w:rsid w:val="5107796B"/>
    <w:rsid w:val="510F1A15"/>
    <w:rsid w:val="5116195C"/>
    <w:rsid w:val="51220301"/>
    <w:rsid w:val="512978E2"/>
    <w:rsid w:val="513544C2"/>
    <w:rsid w:val="513E0EB3"/>
    <w:rsid w:val="514E10F6"/>
    <w:rsid w:val="5167665C"/>
    <w:rsid w:val="516B614C"/>
    <w:rsid w:val="517A638F"/>
    <w:rsid w:val="518731FF"/>
    <w:rsid w:val="5198235F"/>
    <w:rsid w:val="51B3364F"/>
    <w:rsid w:val="51B353FD"/>
    <w:rsid w:val="51C70EA9"/>
    <w:rsid w:val="51CE2237"/>
    <w:rsid w:val="51DF4444"/>
    <w:rsid w:val="51E25CE3"/>
    <w:rsid w:val="51E67581"/>
    <w:rsid w:val="51EE0B2B"/>
    <w:rsid w:val="51F7178E"/>
    <w:rsid w:val="51FF0AD3"/>
    <w:rsid w:val="520A5BE6"/>
    <w:rsid w:val="52151C14"/>
    <w:rsid w:val="521B01A5"/>
    <w:rsid w:val="521C2FA3"/>
    <w:rsid w:val="522D3402"/>
    <w:rsid w:val="523734C2"/>
    <w:rsid w:val="5237602E"/>
    <w:rsid w:val="523E73BD"/>
    <w:rsid w:val="52426781"/>
    <w:rsid w:val="52472FB7"/>
    <w:rsid w:val="52495D62"/>
    <w:rsid w:val="52531503"/>
    <w:rsid w:val="52546BE0"/>
    <w:rsid w:val="525B3FFE"/>
    <w:rsid w:val="526112FD"/>
    <w:rsid w:val="52734B8D"/>
    <w:rsid w:val="527E4058"/>
    <w:rsid w:val="528F19C6"/>
    <w:rsid w:val="52911BE2"/>
    <w:rsid w:val="529C0587"/>
    <w:rsid w:val="52C5188C"/>
    <w:rsid w:val="52D01FDF"/>
    <w:rsid w:val="52D25D57"/>
    <w:rsid w:val="52D63A99"/>
    <w:rsid w:val="52D95337"/>
    <w:rsid w:val="52DC0984"/>
    <w:rsid w:val="52DD4E28"/>
    <w:rsid w:val="52E2243E"/>
    <w:rsid w:val="52EA30A1"/>
    <w:rsid w:val="5302488E"/>
    <w:rsid w:val="532A7941"/>
    <w:rsid w:val="53334A48"/>
    <w:rsid w:val="53357614"/>
    <w:rsid w:val="533B1B4E"/>
    <w:rsid w:val="53456529"/>
    <w:rsid w:val="5349426B"/>
    <w:rsid w:val="534B2FF7"/>
    <w:rsid w:val="53560736"/>
    <w:rsid w:val="53590226"/>
    <w:rsid w:val="53610DA9"/>
    <w:rsid w:val="53670B95"/>
    <w:rsid w:val="536C7F5A"/>
    <w:rsid w:val="53746E0E"/>
    <w:rsid w:val="537A08C9"/>
    <w:rsid w:val="537F5EDF"/>
    <w:rsid w:val="538C05FC"/>
    <w:rsid w:val="538C23AA"/>
    <w:rsid w:val="538C5F06"/>
    <w:rsid w:val="53A019B1"/>
    <w:rsid w:val="53A2332B"/>
    <w:rsid w:val="53A4599C"/>
    <w:rsid w:val="53AC65A8"/>
    <w:rsid w:val="53B37937"/>
    <w:rsid w:val="53BF452D"/>
    <w:rsid w:val="53C658BC"/>
    <w:rsid w:val="53C763F3"/>
    <w:rsid w:val="53D53D51"/>
    <w:rsid w:val="53D5495F"/>
    <w:rsid w:val="53E709D1"/>
    <w:rsid w:val="53E93358"/>
    <w:rsid w:val="53F51CFD"/>
    <w:rsid w:val="54041F40"/>
    <w:rsid w:val="5409767C"/>
    <w:rsid w:val="541303D5"/>
    <w:rsid w:val="541F4FCC"/>
    <w:rsid w:val="54295E4B"/>
    <w:rsid w:val="54330A77"/>
    <w:rsid w:val="5435659E"/>
    <w:rsid w:val="544113E6"/>
    <w:rsid w:val="545F361A"/>
    <w:rsid w:val="546561F5"/>
    <w:rsid w:val="54701D04"/>
    <w:rsid w:val="547555D9"/>
    <w:rsid w:val="548A4B3B"/>
    <w:rsid w:val="549A28A4"/>
    <w:rsid w:val="549F7EBB"/>
    <w:rsid w:val="54AD25D8"/>
    <w:rsid w:val="54B75204"/>
    <w:rsid w:val="54C33BA9"/>
    <w:rsid w:val="54C55B73"/>
    <w:rsid w:val="54C8268A"/>
    <w:rsid w:val="54D20290"/>
    <w:rsid w:val="54D2203E"/>
    <w:rsid w:val="54D51B2F"/>
    <w:rsid w:val="54D73AF9"/>
    <w:rsid w:val="54D9161F"/>
    <w:rsid w:val="54E51D72"/>
    <w:rsid w:val="54EC1CA0"/>
    <w:rsid w:val="54F4133B"/>
    <w:rsid w:val="55052414"/>
    <w:rsid w:val="55110DB9"/>
    <w:rsid w:val="55144405"/>
    <w:rsid w:val="55172147"/>
    <w:rsid w:val="551C0EE4"/>
    <w:rsid w:val="55264138"/>
    <w:rsid w:val="552A1E7A"/>
    <w:rsid w:val="55382BA4"/>
    <w:rsid w:val="55472A2C"/>
    <w:rsid w:val="554C0043"/>
    <w:rsid w:val="554D21F9"/>
    <w:rsid w:val="5552317F"/>
    <w:rsid w:val="55564A1D"/>
    <w:rsid w:val="55656DEB"/>
    <w:rsid w:val="55670813"/>
    <w:rsid w:val="5572469F"/>
    <w:rsid w:val="557B0B5A"/>
    <w:rsid w:val="557B26D6"/>
    <w:rsid w:val="557C1FAA"/>
    <w:rsid w:val="557D01FC"/>
    <w:rsid w:val="55937A20"/>
    <w:rsid w:val="559E63C4"/>
    <w:rsid w:val="55B11F2F"/>
    <w:rsid w:val="55CA0F67"/>
    <w:rsid w:val="55D911AB"/>
    <w:rsid w:val="55EA33B8"/>
    <w:rsid w:val="55F54236"/>
    <w:rsid w:val="56016118"/>
    <w:rsid w:val="56051FA0"/>
    <w:rsid w:val="561641AD"/>
    <w:rsid w:val="56186177"/>
    <w:rsid w:val="561A5A4B"/>
    <w:rsid w:val="562543F0"/>
    <w:rsid w:val="563805C7"/>
    <w:rsid w:val="563D798B"/>
    <w:rsid w:val="564A2742"/>
    <w:rsid w:val="565076BF"/>
    <w:rsid w:val="56576C9F"/>
    <w:rsid w:val="565A053D"/>
    <w:rsid w:val="565E09BE"/>
    <w:rsid w:val="56644961"/>
    <w:rsid w:val="566C201F"/>
    <w:rsid w:val="566E3FE9"/>
    <w:rsid w:val="56707D61"/>
    <w:rsid w:val="56764C4B"/>
    <w:rsid w:val="567E247E"/>
    <w:rsid w:val="56861332"/>
    <w:rsid w:val="568A2F88"/>
    <w:rsid w:val="56A30136"/>
    <w:rsid w:val="56BA0FDC"/>
    <w:rsid w:val="56D025AE"/>
    <w:rsid w:val="56DC53F6"/>
    <w:rsid w:val="56F921BB"/>
    <w:rsid w:val="56FF2E93"/>
    <w:rsid w:val="570566FB"/>
    <w:rsid w:val="570A1F63"/>
    <w:rsid w:val="570B7A8A"/>
    <w:rsid w:val="570D3802"/>
    <w:rsid w:val="571C713A"/>
    <w:rsid w:val="572172AD"/>
    <w:rsid w:val="57252DD3"/>
    <w:rsid w:val="5726041F"/>
    <w:rsid w:val="57266671"/>
    <w:rsid w:val="573B211D"/>
    <w:rsid w:val="574A2360"/>
    <w:rsid w:val="57517B92"/>
    <w:rsid w:val="575E405D"/>
    <w:rsid w:val="57AA2DFF"/>
    <w:rsid w:val="57B63E99"/>
    <w:rsid w:val="57B974E6"/>
    <w:rsid w:val="57CD0385"/>
    <w:rsid w:val="57E20F4D"/>
    <w:rsid w:val="57E75E01"/>
    <w:rsid w:val="57F30C49"/>
    <w:rsid w:val="57F64296"/>
    <w:rsid w:val="580E5A83"/>
    <w:rsid w:val="580E7831"/>
    <w:rsid w:val="582738AE"/>
    <w:rsid w:val="582901C7"/>
    <w:rsid w:val="584274DB"/>
    <w:rsid w:val="584A6390"/>
    <w:rsid w:val="584F2D6B"/>
    <w:rsid w:val="58586CFE"/>
    <w:rsid w:val="585A4825"/>
    <w:rsid w:val="58833592"/>
    <w:rsid w:val="5889335C"/>
    <w:rsid w:val="58A65CBC"/>
    <w:rsid w:val="58A9755A"/>
    <w:rsid w:val="58AE691E"/>
    <w:rsid w:val="58CA7BFC"/>
    <w:rsid w:val="58D00F8B"/>
    <w:rsid w:val="58D2260D"/>
    <w:rsid w:val="58D66C97"/>
    <w:rsid w:val="58DD0FB2"/>
    <w:rsid w:val="59060509"/>
    <w:rsid w:val="590B5B1F"/>
    <w:rsid w:val="592762E1"/>
    <w:rsid w:val="593037D7"/>
    <w:rsid w:val="593212FE"/>
    <w:rsid w:val="593A6404"/>
    <w:rsid w:val="593F3A1A"/>
    <w:rsid w:val="59417793"/>
    <w:rsid w:val="59486D73"/>
    <w:rsid w:val="594D25DB"/>
    <w:rsid w:val="596A6CE9"/>
    <w:rsid w:val="59701E26"/>
    <w:rsid w:val="5979517E"/>
    <w:rsid w:val="59815DE1"/>
    <w:rsid w:val="598201B0"/>
    <w:rsid w:val="598633F7"/>
    <w:rsid w:val="598B6C60"/>
    <w:rsid w:val="598D29D8"/>
    <w:rsid w:val="599124C8"/>
    <w:rsid w:val="599211F9"/>
    <w:rsid w:val="59945B14"/>
    <w:rsid w:val="59C02DAD"/>
    <w:rsid w:val="59C37713"/>
    <w:rsid w:val="59C75EEA"/>
    <w:rsid w:val="59CD7278"/>
    <w:rsid w:val="59EB4A55"/>
    <w:rsid w:val="59F55A72"/>
    <w:rsid w:val="5A0031AA"/>
    <w:rsid w:val="5A040EEC"/>
    <w:rsid w:val="5A0E1D6B"/>
    <w:rsid w:val="5A137381"/>
    <w:rsid w:val="5A20384C"/>
    <w:rsid w:val="5A345068"/>
    <w:rsid w:val="5A345646"/>
    <w:rsid w:val="5A364E1D"/>
    <w:rsid w:val="5A380B96"/>
    <w:rsid w:val="5A3B68D8"/>
    <w:rsid w:val="5A4123C9"/>
    <w:rsid w:val="5A421A14"/>
    <w:rsid w:val="5A4E03B9"/>
    <w:rsid w:val="5A753B98"/>
    <w:rsid w:val="5A7A2F5C"/>
    <w:rsid w:val="5A843DDB"/>
    <w:rsid w:val="5A853B47"/>
    <w:rsid w:val="5A897643"/>
    <w:rsid w:val="5A987886"/>
    <w:rsid w:val="5AAC3332"/>
    <w:rsid w:val="5AB3021C"/>
    <w:rsid w:val="5AD07020"/>
    <w:rsid w:val="5AE20B01"/>
    <w:rsid w:val="5AE34FA5"/>
    <w:rsid w:val="5AE42ACB"/>
    <w:rsid w:val="5AEB5C08"/>
    <w:rsid w:val="5AF30F60"/>
    <w:rsid w:val="5B0D4D70"/>
    <w:rsid w:val="5B12588A"/>
    <w:rsid w:val="5B1909C7"/>
    <w:rsid w:val="5B296730"/>
    <w:rsid w:val="5B3F1217"/>
    <w:rsid w:val="5B4147D2"/>
    <w:rsid w:val="5B445446"/>
    <w:rsid w:val="5B4812AC"/>
    <w:rsid w:val="5B4D68C3"/>
    <w:rsid w:val="5B57504B"/>
    <w:rsid w:val="5B5C08B4"/>
    <w:rsid w:val="5B5C4D58"/>
    <w:rsid w:val="5B6B6D49"/>
    <w:rsid w:val="5B765E19"/>
    <w:rsid w:val="5B7976B8"/>
    <w:rsid w:val="5B7C0F56"/>
    <w:rsid w:val="5B8F6EDB"/>
    <w:rsid w:val="5B9C6F02"/>
    <w:rsid w:val="5BA02E96"/>
    <w:rsid w:val="5BA26C0E"/>
    <w:rsid w:val="5BA5225B"/>
    <w:rsid w:val="5BAB5397"/>
    <w:rsid w:val="5BAD55B3"/>
    <w:rsid w:val="5BBB7CD0"/>
    <w:rsid w:val="5BC30933"/>
    <w:rsid w:val="5BCF72D8"/>
    <w:rsid w:val="5BF60D08"/>
    <w:rsid w:val="5BFB00CD"/>
    <w:rsid w:val="5C036F81"/>
    <w:rsid w:val="5C0B7733"/>
    <w:rsid w:val="5C0D1BAE"/>
    <w:rsid w:val="5C133668"/>
    <w:rsid w:val="5C1B076F"/>
    <w:rsid w:val="5C1D44E7"/>
    <w:rsid w:val="5C270EC2"/>
    <w:rsid w:val="5C272C70"/>
    <w:rsid w:val="5C4B1054"/>
    <w:rsid w:val="5C50666A"/>
    <w:rsid w:val="5C62014C"/>
    <w:rsid w:val="5C7F0417"/>
    <w:rsid w:val="5C813E9F"/>
    <w:rsid w:val="5C8207EE"/>
    <w:rsid w:val="5C82434A"/>
    <w:rsid w:val="5C8E7193"/>
    <w:rsid w:val="5C9018ED"/>
    <w:rsid w:val="5C97586A"/>
    <w:rsid w:val="5C9D2F32"/>
    <w:rsid w:val="5CA02A22"/>
    <w:rsid w:val="5CA40764"/>
    <w:rsid w:val="5CAE15E3"/>
    <w:rsid w:val="5CB07109"/>
    <w:rsid w:val="5CD2031B"/>
    <w:rsid w:val="5CDD3C76"/>
    <w:rsid w:val="5CEC5C67"/>
    <w:rsid w:val="5CF361DF"/>
    <w:rsid w:val="5D0B0E9F"/>
    <w:rsid w:val="5D153410"/>
    <w:rsid w:val="5D172CE4"/>
    <w:rsid w:val="5D276C9F"/>
    <w:rsid w:val="5D303DA6"/>
    <w:rsid w:val="5D34799E"/>
    <w:rsid w:val="5D380EAD"/>
    <w:rsid w:val="5D3F66DF"/>
    <w:rsid w:val="5D4E06D0"/>
    <w:rsid w:val="5D647EF4"/>
    <w:rsid w:val="5D6B3030"/>
    <w:rsid w:val="5D6F0D72"/>
    <w:rsid w:val="5D744B4B"/>
    <w:rsid w:val="5D8B5480"/>
    <w:rsid w:val="5D8D744A"/>
    <w:rsid w:val="5DA12EF6"/>
    <w:rsid w:val="5DC32E6C"/>
    <w:rsid w:val="5DD46C06"/>
    <w:rsid w:val="5DEB5F1F"/>
    <w:rsid w:val="5DEF1EB3"/>
    <w:rsid w:val="5DF50B4C"/>
    <w:rsid w:val="5DFB0858"/>
    <w:rsid w:val="5DFE20F6"/>
    <w:rsid w:val="5E0538FE"/>
    <w:rsid w:val="5E062D59"/>
    <w:rsid w:val="5E070FAB"/>
    <w:rsid w:val="5E0D40E7"/>
    <w:rsid w:val="5E27164D"/>
    <w:rsid w:val="5E304571"/>
    <w:rsid w:val="5E36363E"/>
    <w:rsid w:val="5E525F9E"/>
    <w:rsid w:val="5E59732C"/>
    <w:rsid w:val="5E5B1CC2"/>
    <w:rsid w:val="5E7A5C21"/>
    <w:rsid w:val="5E7D126D"/>
    <w:rsid w:val="5E9071F2"/>
    <w:rsid w:val="5EA902B4"/>
    <w:rsid w:val="5EAA7B88"/>
    <w:rsid w:val="5EAE1426"/>
    <w:rsid w:val="5EB6477F"/>
    <w:rsid w:val="5EC450EE"/>
    <w:rsid w:val="5EC7073A"/>
    <w:rsid w:val="5EE72B8A"/>
    <w:rsid w:val="5EEF67FD"/>
    <w:rsid w:val="5EFE033F"/>
    <w:rsid w:val="5F0B0627"/>
    <w:rsid w:val="5F16698C"/>
    <w:rsid w:val="5F30008D"/>
    <w:rsid w:val="5F304531"/>
    <w:rsid w:val="5F41673E"/>
    <w:rsid w:val="5F5244A8"/>
    <w:rsid w:val="5F591D9E"/>
    <w:rsid w:val="5F5C70D4"/>
    <w:rsid w:val="5F5F0972"/>
    <w:rsid w:val="5F5F4E16"/>
    <w:rsid w:val="5F5F6BC4"/>
    <w:rsid w:val="5F6B5569"/>
    <w:rsid w:val="5F773F0E"/>
    <w:rsid w:val="5F893C41"/>
    <w:rsid w:val="5FA32F55"/>
    <w:rsid w:val="5FA42829"/>
    <w:rsid w:val="5FB32A6C"/>
    <w:rsid w:val="5FB52C88"/>
    <w:rsid w:val="5FB567E4"/>
    <w:rsid w:val="5FBC0EF7"/>
    <w:rsid w:val="5FBE7D8F"/>
    <w:rsid w:val="5FC86518"/>
    <w:rsid w:val="5FCB6008"/>
    <w:rsid w:val="5FCD1D80"/>
    <w:rsid w:val="5FD17AC2"/>
    <w:rsid w:val="5FD21144"/>
    <w:rsid w:val="5FD50C35"/>
    <w:rsid w:val="5FD90725"/>
    <w:rsid w:val="5FEF619A"/>
    <w:rsid w:val="5FFE63DD"/>
    <w:rsid w:val="600E61B5"/>
    <w:rsid w:val="60114363"/>
    <w:rsid w:val="602B459F"/>
    <w:rsid w:val="604007A4"/>
    <w:rsid w:val="60402552"/>
    <w:rsid w:val="60457B68"/>
    <w:rsid w:val="60545FFD"/>
    <w:rsid w:val="605E6E7C"/>
    <w:rsid w:val="60602BF4"/>
    <w:rsid w:val="60636240"/>
    <w:rsid w:val="6065020A"/>
    <w:rsid w:val="606721D5"/>
    <w:rsid w:val="60681AA9"/>
    <w:rsid w:val="606A5821"/>
    <w:rsid w:val="6085265B"/>
    <w:rsid w:val="608C0D72"/>
    <w:rsid w:val="608C39E9"/>
    <w:rsid w:val="608F34D9"/>
    <w:rsid w:val="608F7035"/>
    <w:rsid w:val="6098413C"/>
    <w:rsid w:val="60997EB4"/>
    <w:rsid w:val="609B1E7E"/>
    <w:rsid w:val="60A72DA9"/>
    <w:rsid w:val="60AF76D8"/>
    <w:rsid w:val="60E20A99"/>
    <w:rsid w:val="60F547E1"/>
    <w:rsid w:val="60F65306"/>
    <w:rsid w:val="60FB0B6F"/>
    <w:rsid w:val="60FB46CB"/>
    <w:rsid w:val="61001CE1"/>
    <w:rsid w:val="610B0DB2"/>
    <w:rsid w:val="610C14FE"/>
    <w:rsid w:val="611063C8"/>
    <w:rsid w:val="61135EB8"/>
    <w:rsid w:val="611C2D78"/>
    <w:rsid w:val="61271964"/>
    <w:rsid w:val="612B4FB0"/>
    <w:rsid w:val="612E684E"/>
    <w:rsid w:val="614B11AE"/>
    <w:rsid w:val="614E0C9F"/>
    <w:rsid w:val="615A26E2"/>
    <w:rsid w:val="616109D2"/>
    <w:rsid w:val="61651B7C"/>
    <w:rsid w:val="61686204"/>
    <w:rsid w:val="616D55C9"/>
    <w:rsid w:val="61761FA3"/>
    <w:rsid w:val="61813521"/>
    <w:rsid w:val="618F19E3"/>
    <w:rsid w:val="6192502F"/>
    <w:rsid w:val="619F599E"/>
    <w:rsid w:val="61A60ADB"/>
    <w:rsid w:val="61AE7EC8"/>
    <w:rsid w:val="61C15914"/>
    <w:rsid w:val="61DC274E"/>
    <w:rsid w:val="61DE2022"/>
    <w:rsid w:val="61E810F3"/>
    <w:rsid w:val="61E92327"/>
    <w:rsid w:val="61EB2991"/>
    <w:rsid w:val="61ED6709"/>
    <w:rsid w:val="62013F63"/>
    <w:rsid w:val="62126170"/>
    <w:rsid w:val="622163B3"/>
    <w:rsid w:val="62216AA8"/>
    <w:rsid w:val="623065F6"/>
    <w:rsid w:val="623936FD"/>
    <w:rsid w:val="623C143F"/>
    <w:rsid w:val="6246445C"/>
    <w:rsid w:val="624A590A"/>
    <w:rsid w:val="625B18C5"/>
    <w:rsid w:val="628801E0"/>
    <w:rsid w:val="62913539"/>
    <w:rsid w:val="629F1915"/>
    <w:rsid w:val="62A85C93"/>
    <w:rsid w:val="62AF7E63"/>
    <w:rsid w:val="62B47227"/>
    <w:rsid w:val="62B64D4D"/>
    <w:rsid w:val="62C03E1E"/>
    <w:rsid w:val="62C3746A"/>
    <w:rsid w:val="62CD07FB"/>
    <w:rsid w:val="62E01DCA"/>
    <w:rsid w:val="62E55633"/>
    <w:rsid w:val="62F13FD7"/>
    <w:rsid w:val="62F615EE"/>
    <w:rsid w:val="62FA10DE"/>
    <w:rsid w:val="6323058D"/>
    <w:rsid w:val="63310C18"/>
    <w:rsid w:val="63367C3C"/>
    <w:rsid w:val="63381C06"/>
    <w:rsid w:val="633D7B1C"/>
    <w:rsid w:val="634145D0"/>
    <w:rsid w:val="636B1FDC"/>
    <w:rsid w:val="637075F2"/>
    <w:rsid w:val="63716EC6"/>
    <w:rsid w:val="63730E90"/>
    <w:rsid w:val="637644DD"/>
    <w:rsid w:val="638B442C"/>
    <w:rsid w:val="638B61DA"/>
    <w:rsid w:val="63936E3D"/>
    <w:rsid w:val="63974B7F"/>
    <w:rsid w:val="639C27A7"/>
    <w:rsid w:val="639D0AB3"/>
    <w:rsid w:val="63A23524"/>
    <w:rsid w:val="63A252D2"/>
    <w:rsid w:val="63B374DF"/>
    <w:rsid w:val="63B55005"/>
    <w:rsid w:val="63BD210C"/>
    <w:rsid w:val="63CB3117"/>
    <w:rsid w:val="63CD05A1"/>
    <w:rsid w:val="63CF256B"/>
    <w:rsid w:val="63D57455"/>
    <w:rsid w:val="63E1404C"/>
    <w:rsid w:val="63FE4BFE"/>
    <w:rsid w:val="641206A9"/>
    <w:rsid w:val="64183E80"/>
    <w:rsid w:val="641C32D6"/>
    <w:rsid w:val="643423CE"/>
    <w:rsid w:val="64370110"/>
    <w:rsid w:val="644B7717"/>
    <w:rsid w:val="645706A8"/>
    <w:rsid w:val="645C36D2"/>
    <w:rsid w:val="64632CB3"/>
    <w:rsid w:val="646A2293"/>
    <w:rsid w:val="64764029"/>
    <w:rsid w:val="647A1DAB"/>
    <w:rsid w:val="64882719"/>
    <w:rsid w:val="648A46E4"/>
    <w:rsid w:val="64992B79"/>
    <w:rsid w:val="64B4350F"/>
    <w:rsid w:val="64BB2AEF"/>
    <w:rsid w:val="64C5571C"/>
    <w:rsid w:val="64D140C0"/>
    <w:rsid w:val="64DA58EB"/>
    <w:rsid w:val="64DD4813"/>
    <w:rsid w:val="64EC0EFA"/>
    <w:rsid w:val="64F46001"/>
    <w:rsid w:val="64F63B27"/>
    <w:rsid w:val="64F8164D"/>
    <w:rsid w:val="64FA78C8"/>
    <w:rsid w:val="65075D34"/>
    <w:rsid w:val="65085608"/>
    <w:rsid w:val="650C6EA7"/>
    <w:rsid w:val="650D2C1F"/>
    <w:rsid w:val="65246D5E"/>
    <w:rsid w:val="65295CAB"/>
    <w:rsid w:val="65336B29"/>
    <w:rsid w:val="6535464F"/>
    <w:rsid w:val="653E6710"/>
    <w:rsid w:val="655C6080"/>
    <w:rsid w:val="65674A25"/>
    <w:rsid w:val="6571289C"/>
    <w:rsid w:val="658B24C1"/>
    <w:rsid w:val="659155FE"/>
    <w:rsid w:val="659B647C"/>
    <w:rsid w:val="65A6554D"/>
    <w:rsid w:val="65A73073"/>
    <w:rsid w:val="65A92947"/>
    <w:rsid w:val="65A96DEB"/>
    <w:rsid w:val="65DA0D53"/>
    <w:rsid w:val="65ED6CD8"/>
    <w:rsid w:val="65F30067"/>
    <w:rsid w:val="65F52031"/>
    <w:rsid w:val="65F8567D"/>
    <w:rsid w:val="65FF6A0B"/>
    <w:rsid w:val="660109D5"/>
    <w:rsid w:val="66065FEC"/>
    <w:rsid w:val="66143B49"/>
    <w:rsid w:val="66252916"/>
    <w:rsid w:val="662F72F1"/>
    <w:rsid w:val="663568D1"/>
    <w:rsid w:val="66376C12"/>
    <w:rsid w:val="663B7F4E"/>
    <w:rsid w:val="663F14FE"/>
    <w:rsid w:val="664B1C51"/>
    <w:rsid w:val="664D7777"/>
    <w:rsid w:val="66544FA9"/>
    <w:rsid w:val="6655487D"/>
    <w:rsid w:val="665966EF"/>
    <w:rsid w:val="665E1505"/>
    <w:rsid w:val="665E7BD6"/>
    <w:rsid w:val="66611474"/>
    <w:rsid w:val="666845B1"/>
    <w:rsid w:val="667473F9"/>
    <w:rsid w:val="66756CCD"/>
    <w:rsid w:val="66770C98"/>
    <w:rsid w:val="668313EA"/>
    <w:rsid w:val="668B029F"/>
    <w:rsid w:val="66A424AD"/>
    <w:rsid w:val="66C33EDD"/>
    <w:rsid w:val="66D01003"/>
    <w:rsid w:val="66D954AE"/>
    <w:rsid w:val="66DC181D"/>
    <w:rsid w:val="66DE4873"/>
    <w:rsid w:val="66E849F7"/>
    <w:rsid w:val="66F75934"/>
    <w:rsid w:val="670365A8"/>
    <w:rsid w:val="670562A3"/>
    <w:rsid w:val="670A4C25"/>
    <w:rsid w:val="671169F6"/>
    <w:rsid w:val="671309C0"/>
    <w:rsid w:val="672F50CE"/>
    <w:rsid w:val="6732696D"/>
    <w:rsid w:val="67424E02"/>
    <w:rsid w:val="67432C36"/>
    <w:rsid w:val="67490564"/>
    <w:rsid w:val="674E19F8"/>
    <w:rsid w:val="676E7D45"/>
    <w:rsid w:val="6784541A"/>
    <w:rsid w:val="6787796E"/>
    <w:rsid w:val="67902011"/>
    <w:rsid w:val="6794413B"/>
    <w:rsid w:val="679715F1"/>
    <w:rsid w:val="67991C8D"/>
    <w:rsid w:val="67A535E2"/>
    <w:rsid w:val="67A755AC"/>
    <w:rsid w:val="67B33F51"/>
    <w:rsid w:val="67B37AAD"/>
    <w:rsid w:val="67B57CC9"/>
    <w:rsid w:val="67BA0E3C"/>
    <w:rsid w:val="67BC609B"/>
    <w:rsid w:val="67BD26DA"/>
    <w:rsid w:val="67BF615D"/>
    <w:rsid w:val="67CB129B"/>
    <w:rsid w:val="67DA7730"/>
    <w:rsid w:val="67E45EB9"/>
    <w:rsid w:val="67EB36EB"/>
    <w:rsid w:val="67F307F2"/>
    <w:rsid w:val="68077DF9"/>
    <w:rsid w:val="68190258"/>
    <w:rsid w:val="68353758"/>
    <w:rsid w:val="683706DE"/>
    <w:rsid w:val="683F7593"/>
    <w:rsid w:val="68460921"/>
    <w:rsid w:val="68662D72"/>
    <w:rsid w:val="68684D3C"/>
    <w:rsid w:val="686D5EAE"/>
    <w:rsid w:val="68774F7F"/>
    <w:rsid w:val="687E630D"/>
    <w:rsid w:val="687F5BE1"/>
    <w:rsid w:val="6885769C"/>
    <w:rsid w:val="688B0A2A"/>
    <w:rsid w:val="689D3FFD"/>
    <w:rsid w:val="68A8338A"/>
    <w:rsid w:val="68AA7102"/>
    <w:rsid w:val="68AB69D7"/>
    <w:rsid w:val="68B00491"/>
    <w:rsid w:val="68B47F81"/>
    <w:rsid w:val="68B63CF9"/>
    <w:rsid w:val="68B910F3"/>
    <w:rsid w:val="68B95597"/>
    <w:rsid w:val="68C006D4"/>
    <w:rsid w:val="68C53F3C"/>
    <w:rsid w:val="68C857DA"/>
    <w:rsid w:val="68DB3760"/>
    <w:rsid w:val="68E1064A"/>
    <w:rsid w:val="68F27B4B"/>
    <w:rsid w:val="68F91DF8"/>
    <w:rsid w:val="69110F2F"/>
    <w:rsid w:val="69140A20"/>
    <w:rsid w:val="6922313D"/>
    <w:rsid w:val="69272501"/>
    <w:rsid w:val="69313380"/>
    <w:rsid w:val="6931512E"/>
    <w:rsid w:val="693C3AD3"/>
    <w:rsid w:val="694C640B"/>
    <w:rsid w:val="694F7CAA"/>
    <w:rsid w:val="695D23C7"/>
    <w:rsid w:val="696F3EA8"/>
    <w:rsid w:val="69731BEA"/>
    <w:rsid w:val="69771088"/>
    <w:rsid w:val="69A2427D"/>
    <w:rsid w:val="69AB1384"/>
    <w:rsid w:val="69AF24F6"/>
    <w:rsid w:val="69C266CE"/>
    <w:rsid w:val="69C73CE4"/>
    <w:rsid w:val="69C77840"/>
    <w:rsid w:val="69C97A5C"/>
    <w:rsid w:val="69CE6E20"/>
    <w:rsid w:val="69D501AF"/>
    <w:rsid w:val="69F12B0F"/>
    <w:rsid w:val="69F55AF1"/>
    <w:rsid w:val="6A10568B"/>
    <w:rsid w:val="6A152CA1"/>
    <w:rsid w:val="6A350C4E"/>
    <w:rsid w:val="6A4E1D0F"/>
    <w:rsid w:val="6A5D7796"/>
    <w:rsid w:val="6A667059"/>
    <w:rsid w:val="6A6B466F"/>
    <w:rsid w:val="6A813E93"/>
    <w:rsid w:val="6A9E67F3"/>
    <w:rsid w:val="6AA10091"/>
    <w:rsid w:val="6AB51D8E"/>
    <w:rsid w:val="6ABC577D"/>
    <w:rsid w:val="6ABE6E95"/>
    <w:rsid w:val="6ABF6769"/>
    <w:rsid w:val="6AC65D4A"/>
    <w:rsid w:val="6AD14E1A"/>
    <w:rsid w:val="6AD52A0A"/>
    <w:rsid w:val="6AE306AA"/>
    <w:rsid w:val="6AE34B4E"/>
    <w:rsid w:val="6AE368FC"/>
    <w:rsid w:val="6AEF52A0"/>
    <w:rsid w:val="6AF24D91"/>
    <w:rsid w:val="6B040620"/>
    <w:rsid w:val="6B0A032C"/>
    <w:rsid w:val="6B2036AC"/>
    <w:rsid w:val="6B4355EC"/>
    <w:rsid w:val="6B43739A"/>
    <w:rsid w:val="6B451364"/>
    <w:rsid w:val="6B53250E"/>
    <w:rsid w:val="6B565891"/>
    <w:rsid w:val="6B5E2426"/>
    <w:rsid w:val="6B5E41D4"/>
    <w:rsid w:val="6B737C7F"/>
    <w:rsid w:val="6B7B2FD8"/>
    <w:rsid w:val="6B7C465A"/>
    <w:rsid w:val="6B7D0AFE"/>
    <w:rsid w:val="6B80239C"/>
    <w:rsid w:val="6B8D6867"/>
    <w:rsid w:val="6B8E2D0B"/>
    <w:rsid w:val="6B9872B2"/>
    <w:rsid w:val="6BA633A5"/>
    <w:rsid w:val="6BAC4F3F"/>
    <w:rsid w:val="6BB81B36"/>
    <w:rsid w:val="6BD46244"/>
    <w:rsid w:val="6BD83F86"/>
    <w:rsid w:val="6BE24E05"/>
    <w:rsid w:val="6BF1329A"/>
    <w:rsid w:val="6BF40694"/>
    <w:rsid w:val="6BF608B1"/>
    <w:rsid w:val="6C021003"/>
    <w:rsid w:val="6C0B1AA2"/>
    <w:rsid w:val="6C180827"/>
    <w:rsid w:val="6C182CE8"/>
    <w:rsid w:val="6C276CBC"/>
    <w:rsid w:val="6C3A0673"/>
    <w:rsid w:val="6C3F4006"/>
    <w:rsid w:val="6C450EF0"/>
    <w:rsid w:val="6C494E84"/>
    <w:rsid w:val="6C68355C"/>
    <w:rsid w:val="6C7517D5"/>
    <w:rsid w:val="6C77554D"/>
    <w:rsid w:val="6C78665D"/>
    <w:rsid w:val="6C81461E"/>
    <w:rsid w:val="6C891725"/>
    <w:rsid w:val="6C9D094B"/>
    <w:rsid w:val="6CAB169B"/>
    <w:rsid w:val="6CB247D7"/>
    <w:rsid w:val="6CBA18DE"/>
    <w:rsid w:val="6CC23C05"/>
    <w:rsid w:val="6CCB7647"/>
    <w:rsid w:val="6CE1330F"/>
    <w:rsid w:val="6CE4695B"/>
    <w:rsid w:val="6CF52916"/>
    <w:rsid w:val="6D064B23"/>
    <w:rsid w:val="6D1A237D"/>
    <w:rsid w:val="6D1E1058"/>
    <w:rsid w:val="6D4B0788"/>
    <w:rsid w:val="6D68133A"/>
    <w:rsid w:val="6D79351C"/>
    <w:rsid w:val="6D7D4DE5"/>
    <w:rsid w:val="6D82752C"/>
    <w:rsid w:val="6D8A7502"/>
    <w:rsid w:val="6D965EA7"/>
    <w:rsid w:val="6DA5433C"/>
    <w:rsid w:val="6DAD4F9F"/>
    <w:rsid w:val="6DB4632D"/>
    <w:rsid w:val="6DC9627D"/>
    <w:rsid w:val="6DCF4F15"/>
    <w:rsid w:val="6DD93FE6"/>
    <w:rsid w:val="6DF606F4"/>
    <w:rsid w:val="6E072901"/>
    <w:rsid w:val="6E0E0133"/>
    <w:rsid w:val="6E0E3C8F"/>
    <w:rsid w:val="6E2A65EF"/>
    <w:rsid w:val="6E35746E"/>
    <w:rsid w:val="6E414065"/>
    <w:rsid w:val="6E54333B"/>
    <w:rsid w:val="6E623CFD"/>
    <w:rsid w:val="6E66587A"/>
    <w:rsid w:val="6E697118"/>
    <w:rsid w:val="6E8126B3"/>
    <w:rsid w:val="6E8403F6"/>
    <w:rsid w:val="6E8E4DD0"/>
    <w:rsid w:val="6EAE5472"/>
    <w:rsid w:val="6EB56801"/>
    <w:rsid w:val="6EC86534"/>
    <w:rsid w:val="6ED9649D"/>
    <w:rsid w:val="6EDD18B4"/>
    <w:rsid w:val="6EDF562C"/>
    <w:rsid w:val="6EE64C0C"/>
    <w:rsid w:val="6EF90FD5"/>
    <w:rsid w:val="6EFA06B8"/>
    <w:rsid w:val="6F0B4673"/>
    <w:rsid w:val="6F1B2B08"/>
    <w:rsid w:val="6F1F3C7A"/>
    <w:rsid w:val="6F2D41DE"/>
    <w:rsid w:val="6F347726"/>
    <w:rsid w:val="6F377216"/>
    <w:rsid w:val="6F3A0AB4"/>
    <w:rsid w:val="6F3F2FDE"/>
    <w:rsid w:val="6F4656AB"/>
    <w:rsid w:val="6F4A2AB0"/>
    <w:rsid w:val="6F526215"/>
    <w:rsid w:val="6F63625D"/>
    <w:rsid w:val="6F6567FA"/>
    <w:rsid w:val="6F751AEC"/>
    <w:rsid w:val="6F771D08"/>
    <w:rsid w:val="6F7E4E45"/>
    <w:rsid w:val="6F865AA7"/>
    <w:rsid w:val="6F885CC3"/>
    <w:rsid w:val="6F914B78"/>
    <w:rsid w:val="6F9E1043"/>
    <w:rsid w:val="6FA1380A"/>
    <w:rsid w:val="6FA348AB"/>
    <w:rsid w:val="6FAA3E8C"/>
    <w:rsid w:val="6FAA5FFD"/>
    <w:rsid w:val="6FAD572A"/>
    <w:rsid w:val="6FB10D76"/>
    <w:rsid w:val="6FB7179E"/>
    <w:rsid w:val="6FC50CC6"/>
    <w:rsid w:val="6FCD1928"/>
    <w:rsid w:val="6FE56C72"/>
    <w:rsid w:val="6FE729EA"/>
    <w:rsid w:val="6FEF189F"/>
    <w:rsid w:val="6FFB0243"/>
    <w:rsid w:val="70027824"/>
    <w:rsid w:val="7007308C"/>
    <w:rsid w:val="70076BE8"/>
    <w:rsid w:val="70234571"/>
    <w:rsid w:val="70271038"/>
    <w:rsid w:val="70335C2F"/>
    <w:rsid w:val="703419A7"/>
    <w:rsid w:val="703B0F88"/>
    <w:rsid w:val="70495453"/>
    <w:rsid w:val="704C4F43"/>
    <w:rsid w:val="705A140E"/>
    <w:rsid w:val="70605C88"/>
    <w:rsid w:val="70645DE9"/>
    <w:rsid w:val="70787AE6"/>
    <w:rsid w:val="70853FB1"/>
    <w:rsid w:val="70A61026"/>
    <w:rsid w:val="70B0102E"/>
    <w:rsid w:val="70B56644"/>
    <w:rsid w:val="70D07D0A"/>
    <w:rsid w:val="70D311C0"/>
    <w:rsid w:val="70E12AE0"/>
    <w:rsid w:val="70E47042"/>
    <w:rsid w:val="70FF1FB5"/>
    <w:rsid w:val="7104137A"/>
    <w:rsid w:val="71092E34"/>
    <w:rsid w:val="71123A97"/>
    <w:rsid w:val="71267542"/>
    <w:rsid w:val="7128150C"/>
    <w:rsid w:val="71327C95"/>
    <w:rsid w:val="71557E27"/>
    <w:rsid w:val="7157594D"/>
    <w:rsid w:val="716419ED"/>
    <w:rsid w:val="717464FF"/>
    <w:rsid w:val="717B5AE0"/>
    <w:rsid w:val="71866233"/>
    <w:rsid w:val="71AB5C99"/>
    <w:rsid w:val="71BE777B"/>
    <w:rsid w:val="71C11019"/>
    <w:rsid w:val="71C254BD"/>
    <w:rsid w:val="71C54FAD"/>
    <w:rsid w:val="71D60F68"/>
    <w:rsid w:val="71E47110"/>
    <w:rsid w:val="71EC078C"/>
    <w:rsid w:val="71F31B1A"/>
    <w:rsid w:val="71F413EE"/>
    <w:rsid w:val="71FA5587"/>
    <w:rsid w:val="71FB452B"/>
    <w:rsid w:val="71FB79C9"/>
    <w:rsid w:val="71FD64F5"/>
    <w:rsid w:val="720535FB"/>
    <w:rsid w:val="720E0702"/>
    <w:rsid w:val="720F6228"/>
    <w:rsid w:val="721101F2"/>
    <w:rsid w:val="7218332F"/>
    <w:rsid w:val="72190E55"/>
    <w:rsid w:val="721D44A4"/>
    <w:rsid w:val="722717C4"/>
    <w:rsid w:val="722E2B52"/>
    <w:rsid w:val="7238577F"/>
    <w:rsid w:val="724E6D50"/>
    <w:rsid w:val="72516841"/>
    <w:rsid w:val="72606A84"/>
    <w:rsid w:val="72823C75"/>
    <w:rsid w:val="72824C4C"/>
    <w:rsid w:val="729F135A"/>
    <w:rsid w:val="72D07765"/>
    <w:rsid w:val="72D1172F"/>
    <w:rsid w:val="72D540C6"/>
    <w:rsid w:val="72D74F98"/>
    <w:rsid w:val="72DA05E4"/>
    <w:rsid w:val="72DD00D4"/>
    <w:rsid w:val="72DF209E"/>
    <w:rsid w:val="72E37031"/>
    <w:rsid w:val="72E70F53"/>
    <w:rsid w:val="72EE408F"/>
    <w:rsid w:val="72F571CC"/>
    <w:rsid w:val="72FB055A"/>
    <w:rsid w:val="7306762B"/>
    <w:rsid w:val="73131D48"/>
    <w:rsid w:val="73155AC0"/>
    <w:rsid w:val="731C6E4F"/>
    <w:rsid w:val="732B0E40"/>
    <w:rsid w:val="732E7AA3"/>
    <w:rsid w:val="733046A8"/>
    <w:rsid w:val="733777E5"/>
    <w:rsid w:val="733D0B73"/>
    <w:rsid w:val="733F2B3D"/>
    <w:rsid w:val="733F48EB"/>
    <w:rsid w:val="735859AD"/>
    <w:rsid w:val="735C549D"/>
    <w:rsid w:val="73614861"/>
    <w:rsid w:val="736A259F"/>
    <w:rsid w:val="73832A2A"/>
    <w:rsid w:val="738E13CF"/>
    <w:rsid w:val="73966C01"/>
    <w:rsid w:val="739A5FC5"/>
    <w:rsid w:val="73A40BF2"/>
    <w:rsid w:val="73A62BBC"/>
    <w:rsid w:val="73AB1F81"/>
    <w:rsid w:val="73B057E9"/>
    <w:rsid w:val="73CF5C6F"/>
    <w:rsid w:val="73E01C2A"/>
    <w:rsid w:val="73ED07EB"/>
    <w:rsid w:val="73F25E01"/>
    <w:rsid w:val="741144D9"/>
    <w:rsid w:val="743D52CE"/>
    <w:rsid w:val="74534AF2"/>
    <w:rsid w:val="74542618"/>
    <w:rsid w:val="74582108"/>
    <w:rsid w:val="745D327B"/>
    <w:rsid w:val="746960C4"/>
    <w:rsid w:val="746A1E3C"/>
    <w:rsid w:val="74744A68"/>
    <w:rsid w:val="7480340D"/>
    <w:rsid w:val="74842EFD"/>
    <w:rsid w:val="749D7B1B"/>
    <w:rsid w:val="74AC7D5E"/>
    <w:rsid w:val="74B82BA7"/>
    <w:rsid w:val="74DF0134"/>
    <w:rsid w:val="74EE481B"/>
    <w:rsid w:val="74F55BA9"/>
    <w:rsid w:val="7503583D"/>
    <w:rsid w:val="750A647B"/>
    <w:rsid w:val="750B0244"/>
    <w:rsid w:val="750C6A4F"/>
    <w:rsid w:val="751002ED"/>
    <w:rsid w:val="75137DDD"/>
    <w:rsid w:val="752A39D3"/>
    <w:rsid w:val="752C70F1"/>
    <w:rsid w:val="752E4C17"/>
    <w:rsid w:val="753541F8"/>
    <w:rsid w:val="75466405"/>
    <w:rsid w:val="755C1784"/>
    <w:rsid w:val="756B3942"/>
    <w:rsid w:val="757212AF"/>
    <w:rsid w:val="758111EB"/>
    <w:rsid w:val="75AD0232"/>
    <w:rsid w:val="75C17839"/>
    <w:rsid w:val="75C35028"/>
    <w:rsid w:val="75D237F5"/>
    <w:rsid w:val="75D55536"/>
    <w:rsid w:val="75D752AF"/>
    <w:rsid w:val="75EA3234"/>
    <w:rsid w:val="75EB2B08"/>
    <w:rsid w:val="75F0011F"/>
    <w:rsid w:val="75F61BD9"/>
    <w:rsid w:val="75F95225"/>
    <w:rsid w:val="760342F6"/>
    <w:rsid w:val="760F4A49"/>
    <w:rsid w:val="761B163F"/>
    <w:rsid w:val="7625426C"/>
    <w:rsid w:val="762A1882"/>
    <w:rsid w:val="762F50EB"/>
    <w:rsid w:val="76377AFB"/>
    <w:rsid w:val="767E397C"/>
    <w:rsid w:val="76911902"/>
    <w:rsid w:val="769216B3"/>
    <w:rsid w:val="769431A0"/>
    <w:rsid w:val="76944F4E"/>
    <w:rsid w:val="76946CFC"/>
    <w:rsid w:val="769B452E"/>
    <w:rsid w:val="769D3E02"/>
    <w:rsid w:val="76A35191"/>
    <w:rsid w:val="76A74C81"/>
    <w:rsid w:val="76B178AE"/>
    <w:rsid w:val="76D02273"/>
    <w:rsid w:val="76D31F1A"/>
    <w:rsid w:val="76E732D0"/>
    <w:rsid w:val="76F93003"/>
    <w:rsid w:val="770234CF"/>
    <w:rsid w:val="7712495F"/>
    <w:rsid w:val="771A5453"/>
    <w:rsid w:val="771B741D"/>
    <w:rsid w:val="77212C85"/>
    <w:rsid w:val="773D3837"/>
    <w:rsid w:val="773F135E"/>
    <w:rsid w:val="774011C0"/>
    <w:rsid w:val="774921DC"/>
    <w:rsid w:val="775C3CBE"/>
    <w:rsid w:val="775F37AE"/>
    <w:rsid w:val="77813724"/>
    <w:rsid w:val="77833E2C"/>
    <w:rsid w:val="77843214"/>
    <w:rsid w:val="77866F8C"/>
    <w:rsid w:val="77A13DC6"/>
    <w:rsid w:val="77A92C7B"/>
    <w:rsid w:val="77A967D7"/>
    <w:rsid w:val="77BA4E88"/>
    <w:rsid w:val="77C83101"/>
    <w:rsid w:val="77CF26E1"/>
    <w:rsid w:val="77D93560"/>
    <w:rsid w:val="77E53BA9"/>
    <w:rsid w:val="77ED0DBA"/>
    <w:rsid w:val="780A196C"/>
    <w:rsid w:val="78100640"/>
    <w:rsid w:val="78144598"/>
    <w:rsid w:val="78174088"/>
    <w:rsid w:val="78192E32"/>
    <w:rsid w:val="78197E01"/>
    <w:rsid w:val="782567A5"/>
    <w:rsid w:val="782C7B34"/>
    <w:rsid w:val="782D7408"/>
    <w:rsid w:val="782E7E80"/>
    <w:rsid w:val="782F3180"/>
    <w:rsid w:val="783267CC"/>
    <w:rsid w:val="7844403A"/>
    <w:rsid w:val="784C3D32"/>
    <w:rsid w:val="78542BE7"/>
    <w:rsid w:val="785901FD"/>
    <w:rsid w:val="78615304"/>
    <w:rsid w:val="7863107C"/>
    <w:rsid w:val="786372CE"/>
    <w:rsid w:val="786F7A21"/>
    <w:rsid w:val="78782D79"/>
    <w:rsid w:val="787E1A12"/>
    <w:rsid w:val="78880AE2"/>
    <w:rsid w:val="78911745"/>
    <w:rsid w:val="7892370F"/>
    <w:rsid w:val="78994A9D"/>
    <w:rsid w:val="789D27E0"/>
    <w:rsid w:val="789D458E"/>
    <w:rsid w:val="78A27DF6"/>
    <w:rsid w:val="78C522D9"/>
    <w:rsid w:val="78CA2EA9"/>
    <w:rsid w:val="78CC09CF"/>
    <w:rsid w:val="78D930EC"/>
    <w:rsid w:val="78DB550B"/>
    <w:rsid w:val="78E026CC"/>
    <w:rsid w:val="78F61EF0"/>
    <w:rsid w:val="790C34C1"/>
    <w:rsid w:val="791E4FA3"/>
    <w:rsid w:val="79256331"/>
    <w:rsid w:val="792574FE"/>
    <w:rsid w:val="79273E57"/>
    <w:rsid w:val="7927654D"/>
    <w:rsid w:val="792C5912"/>
    <w:rsid w:val="793619F1"/>
    <w:rsid w:val="793F5645"/>
    <w:rsid w:val="794669D3"/>
    <w:rsid w:val="79510FA3"/>
    <w:rsid w:val="795A5FDB"/>
    <w:rsid w:val="79725A1A"/>
    <w:rsid w:val="79960FDD"/>
    <w:rsid w:val="79A07CA5"/>
    <w:rsid w:val="79AC6248"/>
    <w:rsid w:val="79B17BC5"/>
    <w:rsid w:val="79B3393D"/>
    <w:rsid w:val="79B55907"/>
    <w:rsid w:val="79BF0534"/>
    <w:rsid w:val="79DF0BD6"/>
    <w:rsid w:val="79E9735F"/>
    <w:rsid w:val="79F4608F"/>
    <w:rsid w:val="79F726FB"/>
    <w:rsid w:val="79FA77BE"/>
    <w:rsid w:val="79FC52E4"/>
    <w:rsid w:val="79FF4DD4"/>
    <w:rsid w:val="7A08012D"/>
    <w:rsid w:val="7A150154"/>
    <w:rsid w:val="7A1926F8"/>
    <w:rsid w:val="7A3525A4"/>
    <w:rsid w:val="7A3E3B4E"/>
    <w:rsid w:val="7A401675"/>
    <w:rsid w:val="7A4B2370"/>
    <w:rsid w:val="7A4D1FE3"/>
    <w:rsid w:val="7A4E3666"/>
    <w:rsid w:val="7A590988"/>
    <w:rsid w:val="7A5E5F9F"/>
    <w:rsid w:val="7A637111"/>
    <w:rsid w:val="7A805F15"/>
    <w:rsid w:val="7A813A3B"/>
    <w:rsid w:val="7A886B78"/>
    <w:rsid w:val="7A903C7E"/>
    <w:rsid w:val="7A990D85"/>
    <w:rsid w:val="7A9F47C8"/>
    <w:rsid w:val="7ABA239D"/>
    <w:rsid w:val="7AE2097E"/>
    <w:rsid w:val="7AE53FCA"/>
    <w:rsid w:val="7AED3C3B"/>
    <w:rsid w:val="7AF1471D"/>
    <w:rsid w:val="7B02692A"/>
    <w:rsid w:val="7B2A5E81"/>
    <w:rsid w:val="7B31720F"/>
    <w:rsid w:val="7B4F58E7"/>
    <w:rsid w:val="7B75534E"/>
    <w:rsid w:val="7BD06A28"/>
    <w:rsid w:val="7BEB3862"/>
    <w:rsid w:val="7BF302A3"/>
    <w:rsid w:val="7BFC781D"/>
    <w:rsid w:val="7C06244A"/>
    <w:rsid w:val="7C091F3A"/>
    <w:rsid w:val="7C18217D"/>
    <w:rsid w:val="7C1A7CA3"/>
    <w:rsid w:val="7C1F52BA"/>
    <w:rsid w:val="7C2428D0"/>
    <w:rsid w:val="7C246D74"/>
    <w:rsid w:val="7C2D5C29"/>
    <w:rsid w:val="7C30396B"/>
    <w:rsid w:val="7C330D65"/>
    <w:rsid w:val="7C3A6597"/>
    <w:rsid w:val="7C3D3992"/>
    <w:rsid w:val="7C490589"/>
    <w:rsid w:val="7C5533D1"/>
    <w:rsid w:val="7C5C3201"/>
    <w:rsid w:val="7C6B2151"/>
    <w:rsid w:val="7C7845DB"/>
    <w:rsid w:val="7C916151"/>
    <w:rsid w:val="7CA3413D"/>
    <w:rsid w:val="7CC04CEF"/>
    <w:rsid w:val="7CC75495"/>
    <w:rsid w:val="7CD8426C"/>
    <w:rsid w:val="7CE309DD"/>
    <w:rsid w:val="7CE32254"/>
    <w:rsid w:val="7CF44998"/>
    <w:rsid w:val="7CF93D5D"/>
    <w:rsid w:val="7D056BA5"/>
    <w:rsid w:val="7D513B99"/>
    <w:rsid w:val="7D545437"/>
    <w:rsid w:val="7D622B7D"/>
    <w:rsid w:val="7D8201F6"/>
    <w:rsid w:val="7D8E26F7"/>
    <w:rsid w:val="7D983576"/>
    <w:rsid w:val="7DA01B27"/>
    <w:rsid w:val="7DA43CC8"/>
    <w:rsid w:val="7DA72781"/>
    <w:rsid w:val="7DA83E82"/>
    <w:rsid w:val="7DA95783"/>
    <w:rsid w:val="7DBB1012"/>
    <w:rsid w:val="7DC26892"/>
    <w:rsid w:val="7DC75C09"/>
    <w:rsid w:val="7DD16A88"/>
    <w:rsid w:val="7DD81BC4"/>
    <w:rsid w:val="7DE44BB3"/>
    <w:rsid w:val="7E0E1A8A"/>
    <w:rsid w:val="7E10135E"/>
    <w:rsid w:val="7E325778"/>
    <w:rsid w:val="7E3C2153"/>
    <w:rsid w:val="7E5C27F5"/>
    <w:rsid w:val="7E5F5D01"/>
    <w:rsid w:val="7E696CC0"/>
    <w:rsid w:val="7E6E42D6"/>
    <w:rsid w:val="7E927FC5"/>
    <w:rsid w:val="7E973746"/>
    <w:rsid w:val="7E97382D"/>
    <w:rsid w:val="7E9E4BBC"/>
    <w:rsid w:val="7EB42631"/>
    <w:rsid w:val="7EB937A4"/>
    <w:rsid w:val="7EC61A85"/>
    <w:rsid w:val="7EC81C39"/>
    <w:rsid w:val="7ED607F9"/>
    <w:rsid w:val="7EE66563"/>
    <w:rsid w:val="7EE747B5"/>
    <w:rsid w:val="7EFB3DBC"/>
    <w:rsid w:val="7F0030A6"/>
    <w:rsid w:val="7F016EF9"/>
    <w:rsid w:val="7F160BF6"/>
    <w:rsid w:val="7F201A75"/>
    <w:rsid w:val="7F2C21C7"/>
    <w:rsid w:val="7F364DF4"/>
    <w:rsid w:val="7F453289"/>
    <w:rsid w:val="7F4A6AF1"/>
    <w:rsid w:val="7F5E259D"/>
    <w:rsid w:val="7F645E05"/>
    <w:rsid w:val="7F6776A3"/>
    <w:rsid w:val="7F7122D0"/>
    <w:rsid w:val="7F8C2C66"/>
    <w:rsid w:val="7F8E2BA0"/>
    <w:rsid w:val="7F9B734D"/>
    <w:rsid w:val="7FA04963"/>
    <w:rsid w:val="7FA2692E"/>
    <w:rsid w:val="7FB1091F"/>
    <w:rsid w:val="7FB623D9"/>
    <w:rsid w:val="7FCE327F"/>
    <w:rsid w:val="7FE26D2A"/>
    <w:rsid w:val="7FE6212F"/>
    <w:rsid w:val="7FF014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1"/>
    <w:pPr>
      <w:ind w:left="156"/>
      <w:jc w:val="center"/>
      <w:outlineLvl w:val="3"/>
    </w:pPr>
    <w:rPr>
      <w:rFonts w:ascii="微软雅黑" w:hAnsi="微软雅黑" w:eastAsia="微软雅黑" w:cs="微软雅黑"/>
      <w:sz w:val="32"/>
      <w:szCs w:val="32"/>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99"/>
    <w:pPr>
      <w:autoSpaceDE w:val="0"/>
      <w:autoSpaceDN w:val="0"/>
      <w:adjustRightInd w:val="0"/>
      <w:ind w:firstLine="420"/>
      <w:jc w:val="left"/>
    </w:pPr>
    <w:rPr>
      <w:rFonts w:ascii="宋体"/>
      <w:kern w:val="0"/>
      <w:sz w:val="24"/>
      <w:szCs w:val="20"/>
    </w:rPr>
  </w:style>
  <w:style w:type="paragraph" w:styleId="7">
    <w:name w:val="index 5"/>
    <w:basedOn w:val="1"/>
    <w:next w:val="1"/>
    <w:unhideWhenUsed/>
    <w:qFormat/>
    <w:uiPriority w:val="99"/>
    <w:pPr>
      <w:ind w:left="1680"/>
    </w:pPr>
  </w:style>
  <w:style w:type="paragraph" w:styleId="8">
    <w:name w:val="toa heading"/>
    <w:basedOn w:val="1"/>
    <w:next w:val="1"/>
    <w:unhideWhenUsed/>
    <w:qFormat/>
    <w:uiPriority w:val="99"/>
    <w:pPr>
      <w:spacing w:before="120" w:beforeLines="0"/>
    </w:pPr>
    <w:rPr>
      <w:rFonts w:ascii="Cambria" w:hAnsi="Cambria" w:cs="Times New Roman"/>
      <w:sz w:val="24"/>
      <w:szCs w:val="24"/>
    </w:rPr>
  </w:style>
  <w:style w:type="paragraph" w:styleId="9">
    <w:name w:val="Body Text"/>
    <w:basedOn w:val="1"/>
    <w:semiHidden/>
    <w:qFormat/>
    <w:uiPriority w:val="0"/>
    <w:rPr>
      <w:rFonts w:ascii="宋体" w:hAnsi="宋体" w:eastAsia="宋体" w:cs="宋体"/>
      <w:sz w:val="28"/>
      <w:szCs w:val="28"/>
      <w:lang w:val="en-US" w:eastAsia="en-US" w:bidi="ar-SA"/>
    </w:rPr>
  </w:style>
  <w:style w:type="paragraph" w:styleId="10">
    <w:name w:val="Body Text Indent"/>
    <w:basedOn w:val="1"/>
    <w:next w:val="4"/>
    <w:qFormat/>
    <w:uiPriority w:val="0"/>
    <w:pPr>
      <w:spacing w:line="360" w:lineRule="auto"/>
      <w:ind w:firstLine="570"/>
    </w:pPr>
    <w:rPr>
      <w:sz w:val="24"/>
    </w:r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List"/>
    <w:basedOn w:val="1"/>
    <w:unhideWhenUsed/>
    <w:qFormat/>
    <w:uiPriority w:val="99"/>
    <w:pPr>
      <w:ind w:left="200" w:hanging="200" w:hangingChars="200"/>
      <w:contextualSpacing/>
    </w:pPr>
  </w:style>
  <w:style w:type="paragraph" w:styleId="16">
    <w:name w:val="footnote text"/>
    <w:basedOn w:val="1"/>
    <w:next w:val="7"/>
    <w:qFormat/>
    <w:uiPriority w:val="0"/>
    <w:pPr>
      <w:snapToGrid w:val="0"/>
      <w:jc w:val="left"/>
    </w:pPr>
    <w:rPr>
      <w:sz w:val="18"/>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Body Text First Indent 2"/>
    <w:basedOn w:val="10"/>
    <w:next w:val="6"/>
    <w:qFormat/>
    <w:uiPriority w:val="0"/>
    <w:pPr>
      <w:ind w:firstLine="420" w:firstLineChars="200"/>
    </w:pPr>
    <w:rPr>
      <w:rFonts w:ascii="Times New Roman" w:hAnsi="Times New Roman" w:eastAsia="宋体"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FollowedHyperlink"/>
    <w:basedOn w:val="21"/>
    <w:qFormat/>
    <w:uiPriority w:val="0"/>
    <w:rPr>
      <w:color w:val="800080"/>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Arial" w:hAnsi="Arial" w:eastAsia="Arial" w:cs="Arial"/>
      <w:sz w:val="21"/>
      <w:szCs w:val="21"/>
      <w:lang w:val="en-US" w:eastAsia="en-US" w:bidi="ar-SA"/>
    </w:rPr>
  </w:style>
  <w:style w:type="paragraph" w:customStyle="1" w:styleId="36">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37">
    <w:name w:val="NormalCharacter"/>
    <w:basedOn w:val="21"/>
    <w:qFormat/>
    <w:uiPriority w:val="0"/>
    <w:rPr>
      <w:rFonts w:ascii="Calibri" w:hAnsi="Calibri" w:eastAsia="宋体" w:cs="Times New Roman"/>
      <w:kern w:val="2"/>
      <w:sz w:val="21"/>
      <w:szCs w:val="24"/>
      <w:lang w:val="en-US" w:eastAsia="zh-CN" w:bidi="ar-SA"/>
    </w:rPr>
  </w:style>
  <w:style w:type="paragraph" w:customStyle="1" w:styleId="38">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18.png"/><Relationship Id="rId51" Type="http://schemas.openxmlformats.org/officeDocument/2006/relationships/image" Target="media/image17.png"/><Relationship Id="rId50" Type="http://schemas.openxmlformats.org/officeDocument/2006/relationships/image" Target="media/image16.png"/><Relationship Id="rId5" Type="http://schemas.openxmlformats.org/officeDocument/2006/relationships/footer" Target="footer1.xml"/><Relationship Id="rId49" Type="http://schemas.openxmlformats.org/officeDocument/2006/relationships/image" Target="media/image15.png"/><Relationship Id="rId48" Type="http://schemas.openxmlformats.org/officeDocument/2006/relationships/image" Target="media/image14.png"/><Relationship Id="rId47" Type="http://schemas.openxmlformats.org/officeDocument/2006/relationships/image" Target="media/image13.png"/><Relationship Id="rId46" Type="http://schemas.openxmlformats.org/officeDocument/2006/relationships/image" Target="media/image12.png"/><Relationship Id="rId45" Type="http://schemas.openxmlformats.org/officeDocument/2006/relationships/image" Target="media/image11.png"/><Relationship Id="rId44" Type="http://schemas.openxmlformats.org/officeDocument/2006/relationships/image" Target="media/image10.png"/><Relationship Id="rId43" Type="http://schemas.openxmlformats.org/officeDocument/2006/relationships/image" Target="media/image9.png"/><Relationship Id="rId42" Type="http://schemas.openxmlformats.org/officeDocument/2006/relationships/image" Target="media/image8.png"/><Relationship Id="rId41" Type="http://schemas.openxmlformats.org/officeDocument/2006/relationships/image" Target="media/image7.png"/><Relationship Id="rId40" Type="http://schemas.openxmlformats.org/officeDocument/2006/relationships/image" Target="media/image6.png"/><Relationship Id="rId4" Type="http://schemas.openxmlformats.org/officeDocument/2006/relationships/endnotes" Target="endnotes.xml"/><Relationship Id="rId39" Type="http://schemas.openxmlformats.org/officeDocument/2006/relationships/image" Target="media/image5.png"/><Relationship Id="rId38" Type="http://schemas.openxmlformats.org/officeDocument/2006/relationships/image" Target="media/image4.png"/><Relationship Id="rId37" Type="http://schemas.openxmlformats.org/officeDocument/2006/relationships/image" Target="media/image3.png"/><Relationship Id="rId36" Type="http://schemas.openxmlformats.org/officeDocument/2006/relationships/image" Target="media/image2.pn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7.xml"/><Relationship Id="rId32" Type="http://schemas.openxmlformats.org/officeDocument/2006/relationships/header" Target="header2.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header" Target="header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16479</Words>
  <Characters>17389</Characters>
  <TotalTime>15</TotalTime>
  <ScaleCrop>false</ScaleCrop>
  <LinksUpToDate>false</LinksUpToDate>
  <CharactersWithSpaces>19465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2025-02-14T12:59:00Z</dcterms:created>
  <dc:creator>888888</dc:creator>
  <cp:lastModifiedBy>（︶︿︶）</cp:lastModifiedBy>
  <dcterms:modified xsi:type="dcterms:W3CDTF">2026-05-26T03:24:37Z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2025-02-18T16:25:06Z</vt:filetime>
  </property>
  <property fmtid="{D5CDD505-2E9C-101B-9397-08002B2CF9AE}" pid="4" name="KSOTemplateDocerSaveRecord">
    <vt:lpwstr>eyJoZGlkIjoiNDAyZWVlM2IzZmNlNWNmMjg4NWZlZTdkYjM4OTc1ODQiLCJ1c2VySWQiOiI1MzI1ODE1OTMifQ==</vt:lpwstr>
  </property>
  <property fmtid="{D5CDD505-2E9C-101B-9397-08002B2CF9AE}" pid="5" name="KSOProductBuildVer">
    <vt:lpwstr>2052-12.1.0.26375</vt:lpwstr>
  </property>
  <property fmtid="{D5CDD505-2E9C-101B-9397-08002B2CF9AE}" pid="6" name="ICV">
    <vt:lpwstr>4C46D43EBC774F2DA7860512B3FCE6E9_13</vt:lpwstr>
  </property>
</Properties>
</file>