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F403">
      <w:pPr>
        <w:autoSpaceDE w:val="0"/>
        <w:autoSpaceDN w:val="0"/>
        <w:adjustRightInd w:val="0"/>
        <w:spacing w:beforeLines="0" w:afterLines="0" w:line="460" w:lineRule="exact"/>
        <w:jc w:val="center"/>
        <w:rPr>
          <w:rFonts w:hint="eastAsia" w:asciiTheme="majorEastAsia" w:hAnsiTheme="majorEastAsia" w:eastAsiaTheme="majorEastAsia" w:cstheme="majorEastAsia"/>
          <w:b/>
          <w:bCs/>
          <w:color w:val="auto"/>
          <w:kern w:val="0"/>
          <w:sz w:val="56"/>
          <w:szCs w:val="56"/>
          <w:highlight w:val="none"/>
          <w:lang w:eastAsia="zh-CN"/>
        </w:rPr>
      </w:pPr>
    </w:p>
    <w:p w14:paraId="218F42B8">
      <w:pPr>
        <w:autoSpaceDE w:val="0"/>
        <w:autoSpaceDN w:val="0"/>
        <w:adjustRightInd w:val="0"/>
        <w:spacing w:beforeLines="0" w:afterLines="0" w:line="600" w:lineRule="exact"/>
        <w:jc w:val="center"/>
        <w:rPr>
          <w:rFonts w:hint="eastAsia" w:asciiTheme="majorEastAsia" w:hAnsiTheme="majorEastAsia" w:eastAsiaTheme="majorEastAsia" w:cstheme="majorEastAsia"/>
          <w:b/>
          <w:bCs/>
          <w:color w:val="auto"/>
          <w:kern w:val="0"/>
          <w:sz w:val="56"/>
          <w:szCs w:val="56"/>
          <w:highlight w:val="none"/>
          <w:lang w:eastAsia="zh-CN"/>
        </w:rPr>
      </w:pPr>
      <w:r>
        <w:rPr>
          <w:rFonts w:hint="eastAsia" w:asciiTheme="majorEastAsia" w:hAnsiTheme="majorEastAsia" w:eastAsiaTheme="majorEastAsia" w:cstheme="majorEastAsia"/>
          <w:b/>
          <w:bCs/>
          <w:color w:val="auto"/>
          <w:kern w:val="0"/>
          <w:sz w:val="56"/>
          <w:szCs w:val="56"/>
          <w:highlight w:val="none"/>
          <w:lang w:eastAsia="zh-CN"/>
        </w:rPr>
        <w:t>新疆维吾尔自治区交通运输厅智慧交通发展中心网络安全运维服务项目</w:t>
      </w:r>
    </w:p>
    <w:p w14:paraId="0D8DFEDA">
      <w:pPr>
        <w:autoSpaceDE w:val="0"/>
        <w:autoSpaceDN w:val="0"/>
        <w:adjustRightInd w:val="0"/>
        <w:spacing w:beforeLines="0" w:afterLines="0" w:line="600" w:lineRule="exact"/>
        <w:jc w:val="center"/>
        <w:rPr>
          <w:rFonts w:ascii="宋体" w:hAnsi="宋体" w:cs="宋体"/>
          <w:b/>
          <w:bCs/>
          <w:color w:val="auto"/>
          <w:kern w:val="0"/>
          <w:sz w:val="56"/>
          <w:szCs w:val="52"/>
          <w:highlight w:val="none"/>
        </w:rPr>
      </w:pPr>
      <w:r>
        <w:rPr>
          <w:rFonts w:hint="eastAsia" w:ascii="宋体" w:hAnsi="宋体" w:cs="宋体"/>
          <w:b/>
          <w:bCs/>
          <w:color w:val="auto"/>
          <w:kern w:val="0"/>
          <w:sz w:val="56"/>
          <w:szCs w:val="52"/>
          <w:highlight w:val="none"/>
        </w:rPr>
        <w:t>竞争性磋商文件</w:t>
      </w:r>
    </w:p>
    <w:p w14:paraId="19CAEF95">
      <w:pPr>
        <w:spacing w:beforeLines="0" w:afterLines="0" w:line="460" w:lineRule="exact"/>
        <w:rPr>
          <w:color w:val="auto"/>
          <w:highlight w:val="none"/>
        </w:rPr>
      </w:pPr>
    </w:p>
    <w:p w14:paraId="39D7B007">
      <w:pPr>
        <w:pStyle w:val="39"/>
        <w:spacing w:beforeLines="0" w:after="0" w:afterLines="0" w:line="460" w:lineRule="exact"/>
        <w:rPr>
          <w:color w:val="auto"/>
          <w:highlight w:val="none"/>
        </w:rPr>
      </w:pPr>
    </w:p>
    <w:p w14:paraId="4C68A7C9">
      <w:pPr>
        <w:pStyle w:val="40"/>
        <w:spacing w:beforeLines="0" w:afterLines="0" w:line="460" w:lineRule="exact"/>
        <w:rPr>
          <w:color w:val="auto"/>
          <w:highlight w:val="none"/>
        </w:rPr>
      </w:pPr>
    </w:p>
    <w:p w14:paraId="2788DBDC">
      <w:pPr>
        <w:spacing w:beforeLines="0" w:afterLines="0" w:line="460" w:lineRule="exact"/>
        <w:rPr>
          <w:color w:val="auto"/>
        </w:rPr>
      </w:pPr>
    </w:p>
    <w:p w14:paraId="1794ADAF">
      <w:pPr>
        <w:spacing w:beforeLines="0" w:afterLines="0" w:line="460" w:lineRule="exact"/>
        <w:jc w:val="center"/>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项目编号：[2026]1826号</w:t>
      </w:r>
    </w:p>
    <w:p w14:paraId="78874349">
      <w:pPr>
        <w:pStyle w:val="4"/>
        <w:spacing w:beforeLines="0" w:afterLines="0" w:line="460" w:lineRule="exact"/>
        <w:ind w:left="0" w:hanging="720"/>
        <w:jc w:val="center"/>
        <w:rPr>
          <w:color w:val="auto"/>
          <w:highlight w:val="none"/>
        </w:rPr>
      </w:pPr>
    </w:p>
    <w:p w14:paraId="7A899A51">
      <w:pPr>
        <w:widowControl/>
        <w:spacing w:beforeLines="0" w:afterLines="0" w:line="460" w:lineRule="exact"/>
        <w:ind w:firstLine="410" w:firstLineChars="146"/>
        <w:jc w:val="left"/>
        <w:rPr>
          <w:rFonts w:ascii="宋体" w:hAnsi="宋体" w:cs="宋体"/>
          <w:b/>
          <w:color w:val="auto"/>
          <w:sz w:val="28"/>
          <w:szCs w:val="28"/>
          <w:highlight w:val="none"/>
        </w:rPr>
      </w:pPr>
    </w:p>
    <w:p w14:paraId="55710687">
      <w:pPr>
        <w:pStyle w:val="17"/>
        <w:spacing w:beforeLines="0" w:afterLines="0" w:line="460" w:lineRule="exact"/>
        <w:ind w:left="0"/>
        <w:rPr>
          <w:rFonts w:ascii="宋体" w:hAnsi="宋体" w:cs="宋体"/>
          <w:b/>
          <w:color w:val="auto"/>
          <w:sz w:val="28"/>
          <w:szCs w:val="28"/>
          <w:highlight w:val="none"/>
        </w:rPr>
      </w:pPr>
    </w:p>
    <w:p w14:paraId="08623B29">
      <w:pPr>
        <w:spacing w:beforeLines="0" w:afterLines="0" w:line="460" w:lineRule="exact"/>
        <w:rPr>
          <w:color w:val="auto"/>
        </w:rPr>
      </w:pPr>
    </w:p>
    <w:p w14:paraId="459A48B6">
      <w:pPr>
        <w:pStyle w:val="39"/>
        <w:spacing w:beforeLines="0" w:after="0" w:afterLines="0" w:line="460" w:lineRule="exact"/>
        <w:rPr>
          <w:color w:val="auto"/>
          <w:highlight w:val="none"/>
        </w:rPr>
      </w:pPr>
    </w:p>
    <w:p w14:paraId="12407EE4">
      <w:pPr>
        <w:spacing w:beforeLines="0" w:afterLines="0" w:line="460" w:lineRule="exact"/>
        <w:ind w:firstLine="0" w:firstLineChars="0"/>
        <w:rPr>
          <w:rFonts w:hint="eastAsia" w:ascii="宋体" w:hAnsi="宋体" w:cs="宋体"/>
          <w:b/>
          <w:color w:val="auto"/>
          <w:kern w:val="0"/>
          <w:sz w:val="28"/>
          <w:szCs w:val="28"/>
          <w:highlight w:val="none"/>
          <w:lang w:eastAsia="zh-CN"/>
        </w:rPr>
      </w:pPr>
      <w:r>
        <w:rPr>
          <w:rFonts w:hint="eastAsia" w:ascii="宋体" w:hAnsi="宋体" w:cs="宋体"/>
          <w:b/>
          <w:color w:val="auto"/>
          <w:sz w:val="28"/>
          <w:szCs w:val="28"/>
          <w:highlight w:val="none"/>
        </w:rPr>
        <w:t>采 购 人：</w:t>
      </w:r>
      <w:r>
        <w:rPr>
          <w:rFonts w:hint="eastAsia" w:ascii="宋体" w:hAnsi="宋体" w:cs="宋体"/>
          <w:b/>
          <w:color w:val="auto"/>
          <w:kern w:val="0"/>
          <w:sz w:val="28"/>
          <w:szCs w:val="28"/>
          <w:highlight w:val="none"/>
          <w:lang w:eastAsia="zh-CN"/>
        </w:rPr>
        <w:t>新疆维吾尔自治区交通运输厅智慧交通发展中心</w:t>
      </w:r>
    </w:p>
    <w:p w14:paraId="0AC3B538">
      <w:pPr>
        <w:pStyle w:val="17"/>
        <w:spacing w:beforeLines="0" w:afterLines="0" w:line="460" w:lineRule="exact"/>
        <w:ind w:left="0" w:leftChars="0" w:firstLine="0" w:firstLineChars="0"/>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联 系 人：安外尔</w:t>
      </w:r>
    </w:p>
    <w:p w14:paraId="08F3B96F">
      <w:pPr>
        <w:spacing w:beforeLines="0" w:afterLines="0" w:line="460" w:lineRule="exact"/>
        <w:ind w:firstLine="0" w:firstLineChars="0"/>
        <w:rPr>
          <w:rFonts w:hint="default"/>
          <w:color w:val="auto"/>
          <w:lang w:val="en-US" w:eastAsia="zh-CN"/>
        </w:rPr>
      </w:pPr>
      <w:r>
        <w:rPr>
          <w:rFonts w:hint="eastAsia" w:ascii="宋体" w:hAnsi="宋体" w:cs="宋体"/>
          <w:b/>
          <w:color w:val="auto"/>
          <w:kern w:val="0"/>
          <w:sz w:val="28"/>
          <w:szCs w:val="28"/>
          <w:highlight w:val="none"/>
          <w:lang w:val="en-US" w:eastAsia="zh-CN"/>
        </w:rPr>
        <w:t>联系电话：0991-5280223</w:t>
      </w:r>
    </w:p>
    <w:p w14:paraId="42D4AC80">
      <w:pPr>
        <w:spacing w:beforeLines="0" w:afterLines="0" w:line="460" w:lineRule="exact"/>
        <w:ind w:firstLine="0" w:firstLineChars="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代理机构：</w:t>
      </w:r>
      <w:r>
        <w:rPr>
          <w:rFonts w:hint="eastAsia" w:ascii="宋体" w:hAnsi="宋体" w:cs="宋体"/>
          <w:b/>
          <w:color w:val="auto"/>
          <w:sz w:val="28"/>
          <w:szCs w:val="28"/>
          <w:highlight w:val="none"/>
          <w:lang w:eastAsia="zh-CN"/>
        </w:rPr>
        <w:t>新疆千思跃建设工程项目管理有限责任公司</w:t>
      </w:r>
    </w:p>
    <w:p w14:paraId="10567547">
      <w:pPr>
        <w:spacing w:beforeLines="0" w:afterLines="0" w:line="460" w:lineRule="exact"/>
        <w:ind w:firstLine="0" w:firstLineChars="0"/>
        <w:rPr>
          <w:rFonts w:hint="eastAsia" w:ascii="宋体" w:hAnsi="宋体" w:eastAsia="宋体" w:cs="宋体"/>
          <w:b/>
          <w:bCs/>
          <w:color w:val="auto"/>
          <w:sz w:val="28"/>
          <w:szCs w:val="28"/>
          <w:highlight w:val="none"/>
          <w:lang w:eastAsia="zh-CN"/>
        </w:rPr>
      </w:pPr>
      <w:r>
        <w:rPr>
          <w:rFonts w:hint="eastAsia" w:ascii="宋体" w:hAnsi="宋体" w:cs="宋体"/>
          <w:b/>
          <w:color w:val="auto"/>
          <w:sz w:val="28"/>
          <w:szCs w:val="28"/>
          <w:highlight w:val="none"/>
        </w:rPr>
        <w:t>联 系 人：于浩、施雨汐、张娜、代建忠</w:t>
      </w:r>
    </w:p>
    <w:p w14:paraId="7C6EA60C">
      <w:pPr>
        <w:spacing w:beforeLines="0" w:afterLines="0" w:line="460" w:lineRule="exact"/>
        <w:ind w:firstLine="0" w:firstLineChars="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联系电话</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17609913332、13139671212</w:t>
      </w:r>
    </w:p>
    <w:p w14:paraId="128D5F33">
      <w:pPr>
        <w:autoSpaceDE w:val="0"/>
        <w:autoSpaceDN w:val="0"/>
        <w:adjustRightInd w:val="0"/>
        <w:spacing w:beforeLines="0" w:afterLines="0" w:line="460" w:lineRule="exact"/>
        <w:ind w:firstLine="0" w:firstLineChars="0"/>
        <w:rPr>
          <w:rFonts w:hint="eastAsia" w:ascii="宋体" w:hAnsi="宋体" w:cs="宋体"/>
          <w:b/>
          <w:color w:val="auto"/>
          <w:sz w:val="28"/>
          <w:szCs w:val="28"/>
          <w:highlight w:val="none"/>
        </w:rPr>
      </w:pPr>
      <w:r>
        <w:rPr>
          <w:rFonts w:hint="eastAsia" w:ascii="宋体" w:hAnsi="宋体" w:cs="宋体"/>
          <w:b/>
          <w:color w:val="auto"/>
          <w:sz w:val="28"/>
          <w:szCs w:val="28"/>
          <w:highlight w:val="none"/>
        </w:rPr>
        <w:t>联系地址：</w:t>
      </w:r>
      <w:r>
        <w:rPr>
          <w:rFonts w:hint="eastAsia" w:ascii="宋体" w:hAnsi="宋体" w:cs="宋体"/>
          <w:b/>
          <w:color w:val="auto"/>
          <w:sz w:val="28"/>
          <w:szCs w:val="28"/>
          <w:highlight w:val="none"/>
          <w:lang w:eastAsia="zh-CN"/>
        </w:rPr>
        <w:t>乌鲁木齐市鲤鱼山北路领世广场3号楼1404-1室</w:t>
      </w:r>
      <w:r>
        <w:rPr>
          <w:rFonts w:hint="eastAsia" w:ascii="宋体" w:hAnsi="宋体" w:cs="宋体"/>
          <w:b/>
          <w:color w:val="auto"/>
          <w:sz w:val="28"/>
          <w:szCs w:val="28"/>
          <w:highlight w:val="none"/>
        </w:rPr>
        <w:t xml:space="preserve"> </w:t>
      </w:r>
    </w:p>
    <w:p w14:paraId="6AFE3C8D">
      <w:pPr>
        <w:pStyle w:val="17"/>
        <w:spacing w:beforeLines="0" w:afterLines="0" w:line="460" w:lineRule="exact"/>
        <w:ind w:left="0" w:leftChars="0" w:firstLine="0" w:firstLineChars="0"/>
        <w:jc w:val="center"/>
        <w:rPr>
          <w:rFonts w:hint="eastAsia" w:ascii="宋体" w:hAnsi="宋体" w:cs="宋体"/>
          <w:b/>
          <w:color w:val="auto"/>
          <w:sz w:val="28"/>
          <w:szCs w:val="28"/>
          <w:highlight w:val="none"/>
          <w:lang w:val="en-US" w:eastAsia="zh-CN"/>
        </w:rPr>
      </w:pPr>
    </w:p>
    <w:p w14:paraId="624382E9">
      <w:pPr>
        <w:pStyle w:val="17"/>
        <w:spacing w:beforeLines="0" w:afterLines="0" w:line="460" w:lineRule="exact"/>
        <w:ind w:left="0" w:leftChars="0" w:firstLine="0" w:firstLineChars="0"/>
        <w:jc w:val="center"/>
        <w:rPr>
          <w:rFonts w:hint="eastAsia" w:ascii="宋体" w:hAnsi="宋体" w:cs="宋体"/>
          <w:b/>
          <w:color w:val="auto"/>
          <w:sz w:val="28"/>
          <w:szCs w:val="28"/>
          <w:highlight w:val="none"/>
          <w:lang w:val="en-US" w:eastAsia="zh-CN"/>
        </w:rPr>
      </w:pPr>
    </w:p>
    <w:p w14:paraId="1B810C54">
      <w:pPr>
        <w:pStyle w:val="17"/>
        <w:spacing w:beforeLines="0" w:afterLines="0" w:line="460" w:lineRule="exact"/>
        <w:ind w:left="0" w:leftChars="0" w:firstLine="0" w:firstLineChars="0"/>
        <w:jc w:val="center"/>
        <w:rPr>
          <w:rFonts w:hint="default" w:eastAsia="宋体"/>
          <w:color w:val="auto"/>
          <w:lang w:val="en-US" w:eastAsia="zh-CN"/>
        </w:rPr>
      </w:pPr>
      <w:r>
        <w:rPr>
          <w:rFonts w:hint="eastAsia" w:ascii="宋体" w:hAnsi="宋体" w:cs="宋体"/>
          <w:b/>
          <w:color w:val="auto"/>
          <w:sz w:val="28"/>
          <w:szCs w:val="28"/>
          <w:highlight w:val="none"/>
          <w:lang w:val="en-US" w:eastAsia="zh-CN"/>
        </w:rPr>
        <w:t>日期：2026年5月</w:t>
      </w:r>
    </w:p>
    <w:p w14:paraId="5D23430F">
      <w:pPr>
        <w:spacing w:beforeLines="0" w:afterLines="0" w:line="460" w:lineRule="exact"/>
        <w:jc w:val="center"/>
        <w:rPr>
          <w:rFonts w:ascii="仿宋" w:hAnsi="仿宋" w:eastAsia="仿宋" w:cs="仿宋"/>
          <w:b/>
          <w:color w:val="auto"/>
          <w:sz w:val="32"/>
          <w:szCs w:val="32"/>
          <w:highlight w:val="none"/>
        </w:rPr>
        <w:sectPr>
          <w:footerReference r:id="rId3" w:type="even"/>
          <w:pgSz w:w="11907" w:h="16840"/>
          <w:pgMar w:top="1077" w:right="1417" w:bottom="1417" w:left="1417" w:header="680" w:footer="799" w:gutter="0"/>
          <w:pgNumType w:start="1"/>
          <w:cols w:space="720" w:num="1"/>
          <w:titlePg/>
          <w:docGrid w:type="lines" w:linePitch="409" w:charSpace="0"/>
        </w:sectPr>
      </w:pPr>
    </w:p>
    <w:p w14:paraId="5EBD63BE">
      <w:pPr>
        <w:spacing w:beforeLines="0" w:afterLines="0" w:line="46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14:paraId="4506247D">
      <w:pPr>
        <w:pStyle w:val="40"/>
        <w:spacing w:beforeLines="0" w:afterLines="0" w:line="460" w:lineRule="exact"/>
        <w:rPr>
          <w:color w:val="auto"/>
          <w:highlight w:val="none"/>
        </w:rPr>
      </w:pPr>
    </w:p>
    <w:p w14:paraId="5412D45D">
      <w:pPr>
        <w:pStyle w:val="30"/>
        <w:keepNext w:val="0"/>
        <w:keepLines w:val="0"/>
        <w:pageBreakBefore w:val="0"/>
        <w:widowControl w:val="0"/>
        <w:tabs>
          <w:tab w:val="right" w:leader="dot" w:pos="9073"/>
        </w:tabs>
        <w:kinsoku/>
        <w:wordWrap/>
        <w:overflowPunct/>
        <w:topLinePunct w:val="0"/>
        <w:autoSpaceDE/>
        <w:autoSpaceDN/>
        <w:bidi w:val="0"/>
        <w:adjustRightInd/>
        <w:snapToGrid/>
        <w:spacing w:beforeLines="0" w:afterLines="0" w:line="460" w:lineRule="exact"/>
        <w:textAlignment w:val="auto"/>
        <w:rPr>
          <w:color w:val="auto"/>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"1-2" \h \z \u </w:instrText>
      </w:r>
      <w:r>
        <w:rPr>
          <w:rFonts w:hint="eastAsia" w:ascii="仿宋" w:hAnsi="仿宋" w:eastAsia="仿宋" w:cs="仿宋"/>
          <w:b/>
          <w:color w:val="auto"/>
          <w:sz w:val="24"/>
          <w:szCs w:val="24"/>
          <w:highlight w:val="none"/>
        </w:rPr>
        <w:fldChar w:fldCharType="separate"/>
      </w:r>
      <w:r>
        <w:rPr>
          <w:color w:val="auto"/>
          <w:highlight w:val="none"/>
        </w:rPr>
        <w:fldChar w:fldCharType="begin"/>
      </w:r>
      <w:r>
        <w:rPr>
          <w:color w:val="auto"/>
          <w:highlight w:val="none"/>
        </w:rPr>
        <w:instrText xml:space="preserve"> HYPERLINK \l "_Toc24356" </w:instrText>
      </w:r>
      <w:r>
        <w:rPr>
          <w:color w:val="auto"/>
          <w:highlight w:val="none"/>
        </w:rPr>
        <w:fldChar w:fldCharType="separate"/>
      </w:r>
      <w:r>
        <w:rPr>
          <w:rFonts w:hint="eastAsia" w:ascii="仿宋" w:hAnsi="仿宋" w:eastAsia="仿宋" w:cs="仿宋"/>
          <w:color w:val="auto"/>
          <w:szCs w:val="24"/>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_Toc24356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AAE6898">
      <w:pPr>
        <w:pStyle w:val="30"/>
        <w:keepNext w:val="0"/>
        <w:keepLines w:val="0"/>
        <w:pageBreakBefore w:val="0"/>
        <w:widowControl w:val="0"/>
        <w:tabs>
          <w:tab w:val="right" w:leader="dot" w:pos="9073"/>
        </w:tabs>
        <w:kinsoku/>
        <w:wordWrap/>
        <w:overflowPunct/>
        <w:topLinePunct w:val="0"/>
        <w:autoSpaceDE/>
        <w:autoSpaceDN/>
        <w:bidi w:val="0"/>
        <w:adjustRightInd/>
        <w:snapToGrid/>
        <w:spacing w:beforeLines="0" w:afterLines="0" w:line="460" w:lineRule="exact"/>
        <w:textAlignment w:val="auto"/>
        <w:rPr>
          <w:color w:val="auto"/>
          <w:highlight w:val="none"/>
        </w:rPr>
      </w:pPr>
      <w:r>
        <w:rPr>
          <w:color w:val="auto"/>
          <w:highlight w:val="none"/>
        </w:rPr>
        <w:fldChar w:fldCharType="begin"/>
      </w:r>
      <w:r>
        <w:rPr>
          <w:color w:val="auto"/>
          <w:highlight w:val="none"/>
        </w:rPr>
        <w:instrText xml:space="preserve"> HYPERLINK \l "_Toc21127" </w:instrText>
      </w:r>
      <w:r>
        <w:rPr>
          <w:color w:val="auto"/>
          <w:highlight w:val="none"/>
        </w:rPr>
        <w:fldChar w:fldCharType="separate"/>
      </w:r>
      <w:r>
        <w:rPr>
          <w:rFonts w:hint="eastAsia" w:ascii="仿宋" w:hAnsi="仿宋" w:eastAsia="仿宋" w:cs="仿宋"/>
          <w:color w:val="auto"/>
          <w:szCs w:val="24"/>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_Toc21127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E99D41D">
      <w:pPr>
        <w:pStyle w:val="30"/>
        <w:keepNext w:val="0"/>
        <w:keepLines w:val="0"/>
        <w:pageBreakBefore w:val="0"/>
        <w:widowControl w:val="0"/>
        <w:tabs>
          <w:tab w:val="right" w:leader="dot" w:pos="9073"/>
        </w:tabs>
        <w:kinsoku/>
        <w:wordWrap/>
        <w:overflowPunct/>
        <w:topLinePunct w:val="0"/>
        <w:autoSpaceDE/>
        <w:autoSpaceDN/>
        <w:bidi w:val="0"/>
        <w:adjustRightInd/>
        <w:snapToGrid/>
        <w:spacing w:beforeLines="0" w:afterLines="0" w:line="460" w:lineRule="exact"/>
        <w:textAlignment w:val="auto"/>
        <w:rPr>
          <w:color w:val="auto"/>
          <w:highlight w:val="none"/>
        </w:rPr>
      </w:pPr>
      <w:r>
        <w:rPr>
          <w:color w:val="auto"/>
          <w:highlight w:val="none"/>
        </w:rPr>
        <w:fldChar w:fldCharType="begin"/>
      </w:r>
      <w:r>
        <w:rPr>
          <w:color w:val="auto"/>
          <w:highlight w:val="none"/>
        </w:rPr>
        <w:instrText xml:space="preserve"> HYPERLINK \l "_Toc18112" </w:instrText>
      </w:r>
      <w:r>
        <w:rPr>
          <w:color w:val="auto"/>
          <w:highlight w:val="none"/>
        </w:rPr>
        <w:fldChar w:fldCharType="separate"/>
      </w:r>
      <w:r>
        <w:rPr>
          <w:rFonts w:hint="eastAsia" w:ascii="仿宋" w:hAnsi="仿宋" w:eastAsia="仿宋" w:cs="仿宋"/>
          <w:color w:val="auto"/>
          <w:szCs w:val="24"/>
          <w:highlight w:val="none"/>
        </w:rPr>
        <w:t>第三章 项目需求</w:t>
      </w:r>
      <w:r>
        <w:rPr>
          <w:color w:val="auto"/>
          <w:highlight w:val="none"/>
        </w:rPr>
        <w:tab/>
      </w:r>
      <w:r>
        <w:rPr>
          <w:color w:val="auto"/>
          <w:highlight w:val="none"/>
        </w:rPr>
        <w:fldChar w:fldCharType="begin"/>
      </w:r>
      <w:r>
        <w:rPr>
          <w:color w:val="auto"/>
          <w:highlight w:val="none"/>
        </w:rPr>
        <w:instrText xml:space="preserve"> PAGEREF _Toc18112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EDC93DB">
      <w:pPr>
        <w:pStyle w:val="30"/>
        <w:keepNext w:val="0"/>
        <w:keepLines w:val="0"/>
        <w:pageBreakBefore w:val="0"/>
        <w:widowControl w:val="0"/>
        <w:tabs>
          <w:tab w:val="right" w:leader="dot" w:pos="9073"/>
        </w:tabs>
        <w:kinsoku/>
        <w:wordWrap/>
        <w:overflowPunct/>
        <w:topLinePunct w:val="0"/>
        <w:autoSpaceDE/>
        <w:autoSpaceDN/>
        <w:bidi w:val="0"/>
        <w:adjustRightInd/>
        <w:snapToGrid/>
        <w:spacing w:beforeLines="0" w:afterLines="0" w:line="460" w:lineRule="exact"/>
        <w:textAlignment w:val="auto"/>
        <w:rPr>
          <w:color w:val="auto"/>
          <w:highlight w:val="none"/>
        </w:rPr>
      </w:pPr>
      <w:r>
        <w:rPr>
          <w:color w:val="auto"/>
          <w:highlight w:val="none"/>
        </w:rPr>
        <w:fldChar w:fldCharType="begin"/>
      </w:r>
      <w:r>
        <w:rPr>
          <w:color w:val="auto"/>
          <w:highlight w:val="none"/>
        </w:rPr>
        <w:instrText xml:space="preserve"> HYPERLINK \l "_Toc28926" </w:instrText>
      </w:r>
      <w:r>
        <w:rPr>
          <w:color w:val="auto"/>
          <w:highlight w:val="none"/>
        </w:rPr>
        <w:fldChar w:fldCharType="separate"/>
      </w:r>
      <w:r>
        <w:rPr>
          <w:rFonts w:hint="eastAsia" w:ascii="仿宋" w:hAnsi="仿宋" w:eastAsia="仿宋" w:cs="仿宋"/>
          <w:color w:val="auto"/>
          <w:szCs w:val="24"/>
          <w:highlight w:val="none"/>
        </w:rPr>
        <w:t>第四章 合同条款</w:t>
      </w:r>
      <w:r>
        <w:rPr>
          <w:color w:val="auto"/>
          <w:highlight w:val="none"/>
        </w:rPr>
        <w:tab/>
      </w:r>
      <w:r>
        <w:rPr>
          <w:color w:val="auto"/>
          <w:highlight w:val="none"/>
        </w:rPr>
        <w:fldChar w:fldCharType="begin"/>
      </w:r>
      <w:r>
        <w:rPr>
          <w:color w:val="auto"/>
          <w:highlight w:val="none"/>
        </w:rPr>
        <w:instrText xml:space="preserve"> PAGEREF _Toc28926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65FC73A">
      <w:pPr>
        <w:pStyle w:val="30"/>
        <w:keepNext w:val="0"/>
        <w:keepLines w:val="0"/>
        <w:pageBreakBefore w:val="0"/>
        <w:widowControl w:val="0"/>
        <w:tabs>
          <w:tab w:val="right" w:leader="dot" w:pos="9073"/>
        </w:tabs>
        <w:kinsoku/>
        <w:wordWrap/>
        <w:overflowPunct/>
        <w:topLinePunct w:val="0"/>
        <w:autoSpaceDE/>
        <w:autoSpaceDN/>
        <w:bidi w:val="0"/>
        <w:adjustRightInd/>
        <w:snapToGrid/>
        <w:spacing w:beforeLines="0" w:afterLines="0" w:line="460" w:lineRule="exact"/>
        <w:textAlignment w:val="auto"/>
        <w:rPr>
          <w:color w:val="auto"/>
          <w:highlight w:val="none"/>
        </w:rPr>
      </w:pPr>
      <w:r>
        <w:rPr>
          <w:color w:val="auto"/>
          <w:highlight w:val="none"/>
        </w:rPr>
        <w:fldChar w:fldCharType="begin"/>
      </w:r>
      <w:r>
        <w:rPr>
          <w:color w:val="auto"/>
          <w:highlight w:val="none"/>
        </w:rPr>
        <w:instrText xml:space="preserve"> HYPERLINK \l "_Toc27431" </w:instrText>
      </w:r>
      <w:r>
        <w:rPr>
          <w:color w:val="auto"/>
          <w:highlight w:val="none"/>
        </w:rPr>
        <w:fldChar w:fldCharType="separate"/>
      </w:r>
      <w:r>
        <w:rPr>
          <w:rFonts w:hint="eastAsia" w:ascii="仿宋" w:hAnsi="仿宋" w:eastAsia="仿宋" w:cs="仿宋"/>
          <w:color w:val="auto"/>
          <w:szCs w:val="24"/>
          <w:highlight w:val="none"/>
        </w:rPr>
        <w:t>第五章 附件</w:t>
      </w:r>
      <w:r>
        <w:rPr>
          <w:color w:val="auto"/>
          <w:highlight w:val="none"/>
        </w:rPr>
        <w:tab/>
      </w:r>
      <w:r>
        <w:rPr>
          <w:color w:val="auto"/>
          <w:highlight w:val="none"/>
        </w:rPr>
        <w:fldChar w:fldCharType="begin"/>
      </w:r>
      <w:r>
        <w:rPr>
          <w:color w:val="auto"/>
          <w:highlight w:val="none"/>
        </w:rPr>
        <w:instrText xml:space="preserve"> PAGEREF _Toc27431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3DE8EEC1">
      <w:pPr>
        <w:pStyle w:val="30"/>
        <w:keepNext w:val="0"/>
        <w:keepLines w:val="0"/>
        <w:pageBreakBefore w:val="0"/>
        <w:widowControl w:val="0"/>
        <w:tabs>
          <w:tab w:val="right" w:leader="dot" w:pos="9683"/>
        </w:tabs>
        <w:kinsoku/>
        <w:wordWrap/>
        <w:overflowPunct/>
        <w:topLinePunct w:val="0"/>
        <w:autoSpaceDE/>
        <w:autoSpaceDN/>
        <w:bidi w:val="0"/>
        <w:adjustRightInd/>
        <w:snapToGrid/>
        <w:spacing w:beforeLines="0" w:afterLines="0" w:line="460" w:lineRule="exact"/>
        <w:textAlignment w:val="auto"/>
        <w:rPr>
          <w:rFonts w:ascii="仿宋" w:hAnsi="仿宋" w:eastAsia="仿宋" w:cs="仿宋"/>
          <w:b/>
          <w:color w:val="auto"/>
          <w:sz w:val="24"/>
          <w:szCs w:val="24"/>
          <w:highlight w:val="none"/>
        </w:rPr>
      </w:pPr>
      <w:r>
        <w:rPr>
          <w:rFonts w:hint="eastAsia" w:ascii="仿宋" w:hAnsi="仿宋" w:eastAsia="仿宋" w:cs="仿宋"/>
          <w:color w:val="auto"/>
          <w:szCs w:val="24"/>
          <w:highlight w:val="none"/>
        </w:rPr>
        <w:fldChar w:fldCharType="end"/>
      </w:r>
    </w:p>
    <w:p w14:paraId="64FB5F49">
      <w:pPr>
        <w:widowControl/>
        <w:spacing w:beforeLines="0" w:afterLines="0" w:line="460" w:lineRule="exact"/>
        <w:jc w:val="center"/>
        <w:rPr>
          <w:rFonts w:ascii="仿宋" w:hAnsi="仿宋" w:eastAsia="仿宋" w:cs="仿宋"/>
          <w:b/>
          <w:color w:val="auto"/>
          <w:sz w:val="24"/>
          <w:szCs w:val="24"/>
          <w:highlight w:val="none"/>
        </w:rPr>
        <w:sectPr>
          <w:footerReference r:id="rId5" w:type="first"/>
          <w:footerReference r:id="rId4" w:type="default"/>
          <w:pgSz w:w="11907" w:h="16840"/>
          <w:pgMar w:top="1077" w:right="1417" w:bottom="1417" w:left="1417" w:header="680" w:footer="799" w:gutter="0"/>
          <w:pgNumType w:start="1"/>
          <w:cols w:space="720" w:num="1"/>
          <w:docGrid w:type="lines" w:linePitch="409" w:charSpace="0"/>
        </w:sectPr>
      </w:pPr>
      <w:bookmarkStart w:id="0" w:name="_Toc349637917"/>
      <w:bookmarkStart w:id="1" w:name="_Toc349573118"/>
      <w:bookmarkStart w:id="2" w:name="_Toc298240402"/>
    </w:p>
    <w:p w14:paraId="7B351787">
      <w:pPr>
        <w:widowControl/>
        <w:spacing w:beforeLines="0" w:afterLines="0" w:line="460" w:lineRule="exact"/>
        <w:jc w:val="center"/>
        <w:outlineLvl w:val="0"/>
        <w:rPr>
          <w:rFonts w:ascii="仿宋" w:hAnsi="仿宋" w:eastAsia="仿宋" w:cs="仿宋"/>
          <w:color w:val="auto"/>
          <w:sz w:val="24"/>
          <w:szCs w:val="24"/>
          <w:highlight w:val="none"/>
        </w:rPr>
      </w:pPr>
      <w:bookmarkStart w:id="3" w:name="_Toc24356"/>
      <w:r>
        <w:rPr>
          <w:rFonts w:hint="eastAsia" w:ascii="仿宋" w:hAnsi="仿宋" w:eastAsia="仿宋" w:cs="仿宋"/>
          <w:b/>
          <w:color w:val="auto"/>
          <w:sz w:val="24"/>
          <w:szCs w:val="24"/>
          <w:highlight w:val="none"/>
        </w:rPr>
        <w:t>第一章</w:t>
      </w:r>
      <w:bookmarkEnd w:id="0"/>
      <w:bookmarkEnd w:id="1"/>
      <w:bookmarkEnd w:id="2"/>
      <w:bookmarkStart w:id="4" w:name="_Toc349573119"/>
      <w:bookmarkStart w:id="5" w:name="_Toc349637918"/>
      <w:bookmarkStart w:id="6" w:name="_Toc298240403"/>
      <w:bookmarkStart w:id="7" w:name="_Toc267301280"/>
      <w:r>
        <w:rPr>
          <w:rFonts w:hint="eastAsia" w:ascii="仿宋" w:hAnsi="仿宋" w:eastAsia="仿宋" w:cs="仿宋"/>
          <w:b/>
          <w:color w:val="auto"/>
          <w:sz w:val="24"/>
          <w:szCs w:val="24"/>
          <w:highlight w:val="none"/>
        </w:rPr>
        <w:t xml:space="preserve">  招标公告</w:t>
      </w:r>
      <w:bookmarkEnd w:id="3"/>
    </w:p>
    <w:p w14:paraId="6F66CDF8">
      <w:pPr>
        <w:widowControl/>
        <w:spacing w:beforeLines="0" w:afterLines="0" w:line="460" w:lineRule="exact"/>
        <w:jc w:val="center"/>
        <w:rPr>
          <w:rFonts w:ascii="仿宋" w:hAnsi="仿宋" w:eastAsia="仿宋" w:cs="仿宋"/>
          <w:b/>
          <w:color w:val="auto"/>
          <w:sz w:val="24"/>
          <w:szCs w:val="24"/>
          <w:highlight w:val="none"/>
        </w:rPr>
      </w:pPr>
    </w:p>
    <w:p w14:paraId="37970BC4">
      <w:pPr>
        <w:pBdr>
          <w:top w:val="single" w:color="auto" w:sz="4" w:space="1"/>
          <w:left w:val="single" w:color="auto" w:sz="4" w:space="4"/>
          <w:bottom w:val="single" w:color="auto" w:sz="4" w:space="1"/>
          <w:right w:val="single" w:color="auto" w:sz="4" w:space="4"/>
        </w:pBd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8BC98BB">
      <w:pPr>
        <w:pBdr>
          <w:top w:val="single" w:color="auto" w:sz="4" w:space="1"/>
          <w:left w:val="single" w:color="auto" w:sz="4" w:space="4"/>
          <w:bottom w:val="single" w:color="auto" w:sz="4" w:space="1"/>
          <w:right w:val="single" w:color="auto" w:sz="4" w:space="4"/>
        </w:pBd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新疆维吾尔自治区交通运输厅智慧交通发展中心网络安全运维服务项目</w:t>
      </w:r>
      <w:r>
        <w:rPr>
          <w:rFonts w:hint="eastAsia" w:ascii="仿宋" w:hAnsi="仿宋" w:eastAsia="仿宋" w:cs="仿宋"/>
          <w:color w:val="auto"/>
          <w:sz w:val="24"/>
          <w:szCs w:val="24"/>
          <w:highlight w:val="none"/>
        </w:rPr>
        <w:t>的潜在投标人</w:t>
      </w:r>
      <w:r>
        <w:rPr>
          <w:rFonts w:hint="eastAsia" w:ascii="仿宋" w:hAnsi="仿宋" w:eastAsia="仿宋" w:cs="仿宋"/>
          <w:color w:val="auto"/>
          <w:sz w:val="24"/>
          <w:szCs w:val="24"/>
          <w:highlight w:val="none"/>
          <w:u w:val="single"/>
        </w:rPr>
        <w:t>在政采云平台获取招标文件，并于202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25</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分（北京时间）前将投标文件提交至政采云客户端。</w:t>
      </w:r>
    </w:p>
    <w:p w14:paraId="0DB99C55">
      <w:pPr>
        <w:pStyle w:val="37"/>
        <w:spacing w:before="0" w:beforeLines="0" w:beforeAutospacing="0" w:after="0" w:afterLines="0" w:afterAutospacing="0" w:line="460" w:lineRule="exact"/>
        <w:ind w:left="0"/>
        <w:outlineLvl w:val="1"/>
        <w:rPr>
          <w:rFonts w:ascii="仿宋" w:hAnsi="仿宋" w:eastAsia="仿宋" w:cs="仿宋"/>
          <w:b/>
          <w:bCs/>
          <w:color w:val="auto"/>
          <w:highlight w:val="none"/>
        </w:rPr>
      </w:pPr>
      <w:bookmarkStart w:id="8" w:name="_Toc20848"/>
      <w:bookmarkStart w:id="9" w:name="_Toc86229022"/>
      <w:bookmarkStart w:id="10" w:name="_Toc28359079"/>
      <w:bookmarkStart w:id="11" w:name="_Toc35393790"/>
      <w:bookmarkStart w:id="12" w:name="_Toc21228"/>
      <w:bookmarkStart w:id="13" w:name="_Toc28359002"/>
      <w:bookmarkStart w:id="14" w:name="_Toc35393621"/>
      <w:bookmarkStart w:id="15" w:name="_Hlk24379207"/>
      <w:r>
        <w:rPr>
          <w:rFonts w:hint="eastAsia" w:ascii="仿宋" w:hAnsi="仿宋" w:eastAsia="仿宋" w:cs="仿宋"/>
          <w:b/>
          <w:bCs/>
          <w:color w:val="auto"/>
          <w:highlight w:val="none"/>
        </w:rPr>
        <w:t>一、项目基本情况</w:t>
      </w:r>
      <w:bookmarkEnd w:id="8"/>
      <w:bookmarkEnd w:id="9"/>
      <w:bookmarkEnd w:id="10"/>
      <w:bookmarkEnd w:id="11"/>
      <w:bookmarkEnd w:id="12"/>
      <w:bookmarkEnd w:id="13"/>
      <w:bookmarkEnd w:id="14"/>
    </w:p>
    <w:p w14:paraId="1D1B2698">
      <w:pPr>
        <w:pStyle w:val="37"/>
        <w:spacing w:before="0" w:beforeLines="0" w:beforeAutospacing="0" w:after="0" w:afterLines="0" w:afterAutospacing="0" w:line="460" w:lineRule="exact"/>
        <w:ind w:left="0" w:leftChars="0" w:firstLine="50" w:firstLineChars="21"/>
        <w:rPr>
          <w:rFonts w:hint="eastAsia" w:ascii="仿宋" w:hAnsi="仿宋" w:eastAsia="仿宋" w:cs="仿宋"/>
          <w:color w:val="auto"/>
          <w:highlight w:val="none"/>
          <w:lang w:eastAsia="zh-CN"/>
        </w:rPr>
      </w:pPr>
      <w:r>
        <w:rPr>
          <w:rFonts w:hint="eastAsia" w:ascii="仿宋" w:hAnsi="仿宋" w:eastAsia="仿宋" w:cs="仿宋"/>
          <w:color w:val="auto"/>
          <w:highlight w:val="none"/>
        </w:rPr>
        <w:t>采购项目名称：</w:t>
      </w:r>
      <w:r>
        <w:rPr>
          <w:rFonts w:hint="eastAsia" w:ascii="仿宋" w:hAnsi="仿宋" w:eastAsia="仿宋" w:cs="仿宋"/>
          <w:color w:val="auto"/>
          <w:highlight w:val="none"/>
          <w:lang w:eastAsia="zh-CN"/>
        </w:rPr>
        <w:t>新疆维吾尔自治区交通运输厅智慧交通发展中心网络安全运维服务项目</w:t>
      </w:r>
    </w:p>
    <w:p w14:paraId="1B8950AB">
      <w:pPr>
        <w:pStyle w:val="37"/>
        <w:spacing w:before="0" w:beforeLines="0" w:beforeAutospacing="0" w:after="0" w:afterLines="0" w:afterAutospacing="0" w:line="460" w:lineRule="exact"/>
        <w:ind w:left="249" w:leftChars="0" w:hanging="249" w:hangingChars="104"/>
        <w:rPr>
          <w:rFonts w:hint="eastAsia" w:ascii="仿宋" w:hAnsi="仿宋" w:eastAsia="仿宋" w:cs="仿宋"/>
          <w:color w:val="auto"/>
          <w:highlight w:val="none"/>
          <w:lang w:eastAsia="zh-CN"/>
        </w:rPr>
      </w:pPr>
      <w:r>
        <w:rPr>
          <w:rFonts w:hint="eastAsia" w:ascii="仿宋" w:hAnsi="仿宋" w:eastAsia="仿宋" w:cs="仿宋"/>
          <w:color w:val="auto"/>
          <w:highlight w:val="none"/>
        </w:rPr>
        <w:t>采购项目编号：[2026]1826号</w:t>
      </w:r>
    </w:p>
    <w:p w14:paraId="2A2BD071">
      <w:pPr>
        <w:pStyle w:val="37"/>
        <w:spacing w:before="0" w:beforeLines="0" w:beforeAutospacing="0" w:after="0" w:afterLines="0" w:afterAutospacing="0" w:line="460" w:lineRule="exact"/>
        <w:ind w:left="249" w:leftChars="0" w:hanging="249" w:hangingChars="104"/>
        <w:rPr>
          <w:rFonts w:ascii="仿宋" w:hAnsi="仿宋" w:eastAsia="仿宋" w:cs="仿宋"/>
          <w:color w:val="auto"/>
          <w:highlight w:val="none"/>
        </w:rPr>
      </w:pPr>
      <w:r>
        <w:rPr>
          <w:rFonts w:hint="eastAsia" w:ascii="仿宋" w:hAnsi="仿宋" w:eastAsia="仿宋" w:cs="仿宋"/>
          <w:color w:val="auto"/>
          <w:highlight w:val="none"/>
        </w:rPr>
        <w:t>采购方式：竞争性磋商</w:t>
      </w:r>
    </w:p>
    <w:bookmarkEnd w:id="15"/>
    <w:p w14:paraId="4E139115">
      <w:pPr>
        <w:pStyle w:val="37"/>
        <w:spacing w:before="0" w:beforeLines="0" w:beforeAutospacing="0" w:after="0" w:afterLines="0" w:afterAutospacing="0" w:line="460" w:lineRule="exact"/>
        <w:ind w:left="249" w:leftChars="0" w:hanging="249" w:hangingChars="104"/>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highlight w:val="none"/>
          <w:lang w:val="en-US" w:eastAsia="zh-CN"/>
        </w:rPr>
        <w:t>125</w:t>
      </w:r>
      <w:r>
        <w:rPr>
          <w:rFonts w:hint="eastAsia" w:ascii="仿宋" w:hAnsi="仿宋" w:eastAsia="仿宋" w:cs="仿宋"/>
          <w:color w:val="auto"/>
          <w:highlight w:val="none"/>
        </w:rPr>
        <w:t>万元</w:t>
      </w:r>
    </w:p>
    <w:p w14:paraId="61610491">
      <w:pPr>
        <w:pStyle w:val="37"/>
        <w:spacing w:before="0" w:beforeLines="0" w:beforeAutospacing="0" w:after="0" w:afterLines="0" w:afterAutospacing="0" w:line="460" w:lineRule="exact"/>
        <w:ind w:left="249" w:leftChars="0" w:hanging="249" w:hangingChars="104"/>
        <w:rPr>
          <w:rFonts w:ascii="仿宋" w:hAnsi="仿宋" w:eastAsia="仿宋" w:cs="仿宋"/>
          <w:color w:val="auto"/>
          <w:highlight w:val="none"/>
        </w:rPr>
      </w:pPr>
      <w:r>
        <w:rPr>
          <w:rFonts w:hint="eastAsia" w:ascii="仿宋" w:hAnsi="仿宋" w:eastAsia="仿宋" w:cs="仿宋"/>
          <w:color w:val="auto"/>
          <w:highlight w:val="none"/>
        </w:rPr>
        <w:t>最高限价：</w:t>
      </w:r>
      <w:r>
        <w:rPr>
          <w:rFonts w:hint="eastAsia" w:ascii="仿宋" w:hAnsi="仿宋" w:eastAsia="仿宋" w:cs="仿宋"/>
          <w:color w:val="auto"/>
          <w:highlight w:val="none"/>
          <w:lang w:val="en-US" w:eastAsia="zh-CN"/>
        </w:rPr>
        <w:t>125</w:t>
      </w:r>
      <w:r>
        <w:rPr>
          <w:rFonts w:hint="eastAsia" w:ascii="仿宋" w:hAnsi="仿宋" w:eastAsia="仿宋" w:cs="仿宋"/>
          <w:color w:val="auto"/>
          <w:highlight w:val="none"/>
        </w:rPr>
        <w:t>万元</w:t>
      </w:r>
    </w:p>
    <w:p w14:paraId="3ACC8389">
      <w:pPr>
        <w:pStyle w:val="37"/>
        <w:spacing w:before="0" w:beforeLines="0" w:beforeAutospacing="0" w:after="0" w:afterLines="0" w:afterAutospacing="0" w:line="460" w:lineRule="exact"/>
        <w:ind w:left="249" w:leftChars="0" w:hanging="249" w:hangingChars="104"/>
        <w:rPr>
          <w:rFonts w:hint="eastAsia" w:ascii="仿宋" w:hAnsi="仿宋" w:eastAsia="仿宋" w:cs="仿宋"/>
          <w:color w:val="auto"/>
          <w:highlight w:val="none"/>
        </w:rPr>
      </w:pPr>
      <w:r>
        <w:rPr>
          <w:rFonts w:hint="eastAsia" w:ascii="仿宋" w:hAnsi="仿宋" w:eastAsia="仿宋" w:cs="仿宋"/>
          <w:color w:val="auto"/>
          <w:highlight w:val="none"/>
        </w:rPr>
        <w:t>服务期</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12个月（签订合同后30个工作日内系统上线）</w:t>
      </w:r>
      <w:r>
        <w:rPr>
          <w:rFonts w:hint="eastAsia" w:ascii="仿宋" w:hAnsi="仿宋" w:eastAsia="仿宋" w:cs="仿宋"/>
          <w:color w:val="auto"/>
          <w:highlight w:val="none"/>
        </w:rPr>
        <w:t>。（服务期自</w:t>
      </w:r>
      <w:r>
        <w:rPr>
          <w:rFonts w:hint="eastAsia" w:ascii="仿宋" w:hAnsi="仿宋" w:eastAsia="仿宋" w:cs="仿宋"/>
          <w:color w:val="auto"/>
          <w:highlight w:val="none"/>
          <w:lang w:val="en-US" w:eastAsia="zh-CN"/>
        </w:rPr>
        <w:t>系统上线并</w:t>
      </w:r>
      <w:r>
        <w:rPr>
          <w:rFonts w:hint="eastAsia" w:ascii="仿宋" w:hAnsi="仿宋" w:eastAsia="仿宋" w:cs="仿宋"/>
          <w:color w:val="auto"/>
          <w:highlight w:val="none"/>
        </w:rPr>
        <w:t>通过甲方验收合格之日起计）</w:t>
      </w:r>
    </w:p>
    <w:p w14:paraId="2F6BB69E">
      <w:pPr>
        <w:pStyle w:val="37"/>
        <w:spacing w:before="0" w:beforeLines="0" w:beforeAutospacing="0" w:after="0" w:afterLines="0" w:afterAutospacing="0" w:line="460" w:lineRule="exact"/>
        <w:ind w:left="249" w:leftChars="0" w:hanging="249" w:hangingChars="104"/>
        <w:rPr>
          <w:rFonts w:ascii="仿宋" w:hAnsi="仿宋" w:eastAsia="仿宋" w:cs="仿宋"/>
          <w:color w:val="auto"/>
          <w:highlight w:val="none"/>
        </w:rPr>
      </w:pPr>
    </w:p>
    <w:tbl>
      <w:tblPr>
        <w:tblStyle w:val="41"/>
        <w:tblW w:w="911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2749"/>
        <w:gridCol w:w="609"/>
        <w:gridCol w:w="1491"/>
        <w:gridCol w:w="733"/>
        <w:gridCol w:w="2638"/>
      </w:tblGrid>
      <w:tr w14:paraId="61A9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14:paraId="24B08259">
            <w:pPr>
              <w:widowControl/>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标项序号</w:t>
            </w:r>
          </w:p>
        </w:tc>
        <w:tc>
          <w:tcPr>
            <w:tcW w:w="2749" w:type="dxa"/>
            <w:tcMar>
              <w:top w:w="75" w:type="dxa"/>
              <w:left w:w="150" w:type="dxa"/>
              <w:bottom w:w="75" w:type="dxa"/>
              <w:right w:w="150" w:type="dxa"/>
            </w:tcMar>
            <w:vAlign w:val="center"/>
          </w:tcPr>
          <w:p w14:paraId="1C0B94E1">
            <w:pPr>
              <w:widowControl/>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标项名称</w:t>
            </w:r>
          </w:p>
        </w:tc>
        <w:tc>
          <w:tcPr>
            <w:tcW w:w="609" w:type="dxa"/>
            <w:tcMar>
              <w:top w:w="75" w:type="dxa"/>
              <w:left w:w="150" w:type="dxa"/>
              <w:bottom w:w="75" w:type="dxa"/>
              <w:right w:w="150" w:type="dxa"/>
            </w:tcMar>
            <w:vAlign w:val="center"/>
          </w:tcPr>
          <w:p w14:paraId="131FA500">
            <w:pPr>
              <w:widowControl/>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c>
          <w:tcPr>
            <w:tcW w:w="1491" w:type="dxa"/>
            <w:tcMar>
              <w:top w:w="75" w:type="dxa"/>
              <w:left w:w="150" w:type="dxa"/>
              <w:bottom w:w="75" w:type="dxa"/>
              <w:right w:w="150" w:type="dxa"/>
            </w:tcMar>
            <w:vAlign w:val="center"/>
          </w:tcPr>
          <w:p w14:paraId="6002DE98">
            <w:pPr>
              <w:widowControl/>
              <w:spacing w:beforeLines="0" w:afterLines="0" w:line="46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预算金额(元)</w:t>
            </w:r>
          </w:p>
        </w:tc>
        <w:tc>
          <w:tcPr>
            <w:tcW w:w="733" w:type="dxa"/>
            <w:tcMar>
              <w:top w:w="75" w:type="dxa"/>
              <w:left w:w="150" w:type="dxa"/>
              <w:bottom w:w="75" w:type="dxa"/>
              <w:right w:w="150" w:type="dxa"/>
            </w:tcMar>
            <w:vAlign w:val="center"/>
          </w:tcPr>
          <w:p w14:paraId="73651970">
            <w:pPr>
              <w:widowControl/>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w:t>
            </w:r>
          </w:p>
        </w:tc>
        <w:tc>
          <w:tcPr>
            <w:tcW w:w="2638" w:type="dxa"/>
            <w:tcMar>
              <w:top w:w="75" w:type="dxa"/>
              <w:left w:w="150" w:type="dxa"/>
              <w:bottom w:w="75" w:type="dxa"/>
              <w:right w:w="150" w:type="dxa"/>
            </w:tcMar>
            <w:vAlign w:val="center"/>
          </w:tcPr>
          <w:p w14:paraId="0CE37ABB">
            <w:pPr>
              <w:widowControl/>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简要规格描述</w:t>
            </w:r>
          </w:p>
        </w:tc>
      </w:tr>
      <w:tr w14:paraId="51AE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0" w:hRule="atLeast"/>
        </w:trPr>
        <w:tc>
          <w:tcPr>
            <w:tcW w:w="896" w:type="dxa"/>
            <w:tcMar>
              <w:top w:w="75" w:type="dxa"/>
              <w:left w:w="150" w:type="dxa"/>
              <w:bottom w:w="75" w:type="dxa"/>
              <w:right w:w="150" w:type="dxa"/>
            </w:tcMar>
            <w:vAlign w:val="center"/>
          </w:tcPr>
          <w:p w14:paraId="07324063">
            <w:pPr>
              <w:widowControl/>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2749" w:type="dxa"/>
            <w:tcMar>
              <w:top w:w="75" w:type="dxa"/>
              <w:left w:w="150" w:type="dxa"/>
              <w:bottom w:w="75" w:type="dxa"/>
              <w:right w:w="150" w:type="dxa"/>
            </w:tcMar>
            <w:vAlign w:val="center"/>
          </w:tcPr>
          <w:p w14:paraId="6534BCF9">
            <w:pPr>
              <w:pStyle w:val="37"/>
              <w:spacing w:before="0" w:beforeLines="0" w:beforeAutospacing="0" w:after="0" w:afterLines="0" w:afterAutospacing="0" w:line="4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新疆维吾尔自治区交通运输厅智慧交通发展中心网络安全运维服务项目</w:t>
            </w:r>
          </w:p>
        </w:tc>
        <w:tc>
          <w:tcPr>
            <w:tcW w:w="609" w:type="dxa"/>
            <w:tcMar>
              <w:top w:w="75" w:type="dxa"/>
              <w:left w:w="150" w:type="dxa"/>
              <w:bottom w:w="75" w:type="dxa"/>
              <w:right w:w="150" w:type="dxa"/>
            </w:tcMar>
            <w:vAlign w:val="center"/>
          </w:tcPr>
          <w:p w14:paraId="48838CBC">
            <w:pPr>
              <w:widowControl/>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p>
        </w:tc>
        <w:tc>
          <w:tcPr>
            <w:tcW w:w="1491" w:type="dxa"/>
            <w:tcMar>
              <w:top w:w="75" w:type="dxa"/>
              <w:left w:w="150" w:type="dxa"/>
              <w:bottom w:w="75" w:type="dxa"/>
              <w:right w:w="150" w:type="dxa"/>
            </w:tcMar>
            <w:vAlign w:val="center"/>
          </w:tcPr>
          <w:p w14:paraId="123CAED0">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Cs w:val="21"/>
                <w:highlight w:val="none"/>
                <w:lang w:val="en-US" w:eastAsia="zh-CN"/>
              </w:rPr>
              <w:t>1250000</w:t>
            </w:r>
          </w:p>
        </w:tc>
        <w:tc>
          <w:tcPr>
            <w:tcW w:w="733" w:type="dxa"/>
            <w:tcMar>
              <w:top w:w="75" w:type="dxa"/>
              <w:left w:w="150" w:type="dxa"/>
              <w:bottom w:w="75" w:type="dxa"/>
              <w:right w:w="150" w:type="dxa"/>
            </w:tcMar>
            <w:vAlign w:val="center"/>
          </w:tcPr>
          <w:p w14:paraId="3DCFF7BF">
            <w:pPr>
              <w:widowControl/>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p>
        </w:tc>
        <w:tc>
          <w:tcPr>
            <w:tcW w:w="2638" w:type="dxa"/>
            <w:tcMar>
              <w:top w:w="75" w:type="dxa"/>
              <w:left w:w="150" w:type="dxa"/>
              <w:bottom w:w="75" w:type="dxa"/>
              <w:right w:w="150" w:type="dxa"/>
            </w:tcMar>
            <w:vAlign w:val="center"/>
          </w:tcPr>
          <w:p w14:paraId="12967734">
            <w:pPr>
              <w:widowControl/>
              <w:spacing w:beforeLines="0" w:afterLines="0" w:line="46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详见招标文件第三章项目需求</w:t>
            </w:r>
          </w:p>
        </w:tc>
      </w:tr>
    </w:tbl>
    <w:p w14:paraId="3238EFCD">
      <w:pPr>
        <w:pStyle w:val="37"/>
        <w:spacing w:before="0" w:beforeLines="0" w:beforeAutospacing="0" w:after="0" w:afterLines="0" w:afterAutospacing="0" w:line="460" w:lineRule="exact"/>
        <w:outlineLvl w:val="1"/>
        <w:rPr>
          <w:rFonts w:ascii="仿宋" w:hAnsi="仿宋" w:eastAsia="仿宋" w:cs="仿宋"/>
          <w:b/>
          <w:bCs/>
          <w:color w:val="auto"/>
          <w:highlight w:val="none"/>
        </w:rPr>
      </w:pPr>
      <w:bookmarkStart w:id="16" w:name="_Toc2364"/>
      <w:bookmarkStart w:id="17" w:name="_Toc7876"/>
      <w:r>
        <w:rPr>
          <w:rFonts w:hint="eastAsia" w:ascii="仿宋" w:hAnsi="仿宋" w:eastAsia="仿宋" w:cs="仿宋"/>
          <w:b/>
          <w:bCs/>
          <w:color w:val="auto"/>
          <w:highlight w:val="none"/>
        </w:rPr>
        <w:t>二、供应商资格要求： </w:t>
      </w:r>
      <w:bookmarkEnd w:id="16"/>
      <w:bookmarkEnd w:id="17"/>
    </w:p>
    <w:p w14:paraId="7495B973">
      <w:pPr>
        <w:pStyle w:val="37"/>
        <w:spacing w:before="0" w:beforeLines="0" w:beforeAutospacing="0" w:after="0" w:afterLines="0" w:afterAutospacing="0" w:line="460" w:lineRule="exact"/>
        <w:ind w:firstLine="470" w:firstLineChars="196"/>
        <w:rPr>
          <w:rStyle w:val="44"/>
          <w:rFonts w:ascii="仿宋" w:hAnsi="仿宋" w:eastAsia="仿宋" w:cs="仿宋"/>
          <w:b w:val="0"/>
          <w:bCs w:val="0"/>
          <w:color w:val="auto"/>
          <w:highlight w:val="none"/>
        </w:rPr>
      </w:pPr>
      <w:r>
        <w:rPr>
          <w:rStyle w:val="44"/>
          <w:rFonts w:hint="eastAsia" w:ascii="仿宋" w:hAnsi="仿宋" w:eastAsia="仿宋" w:cs="仿宋"/>
          <w:b w:val="0"/>
          <w:bCs w:val="0"/>
          <w:color w:val="auto"/>
          <w:highlight w:val="none"/>
        </w:rPr>
        <w:t>1.满足《中华人民共和国政府采购法》第二十二条规定；</w:t>
      </w:r>
    </w:p>
    <w:p w14:paraId="3DDABD72">
      <w:pPr>
        <w:pStyle w:val="37"/>
        <w:spacing w:before="0" w:beforeLines="0" w:beforeAutospacing="0" w:after="0" w:afterLines="0" w:afterAutospacing="0" w:line="460" w:lineRule="exact"/>
        <w:ind w:firstLine="470" w:firstLineChars="196"/>
        <w:rPr>
          <w:rStyle w:val="44"/>
          <w:rFonts w:ascii="仿宋" w:hAnsi="仿宋" w:eastAsia="仿宋" w:cs="仿宋"/>
          <w:b w:val="0"/>
          <w:bCs w:val="0"/>
          <w:color w:val="auto"/>
          <w:highlight w:val="none"/>
        </w:rPr>
      </w:pPr>
      <w:r>
        <w:rPr>
          <w:rStyle w:val="44"/>
          <w:rFonts w:hint="eastAsia" w:ascii="仿宋" w:hAnsi="仿宋" w:eastAsia="仿宋" w:cs="仿宋"/>
          <w:b w:val="0"/>
          <w:bCs w:val="0"/>
          <w:color w:val="auto"/>
          <w:highlight w:val="none"/>
        </w:rPr>
        <w:t>2.落实政府采购政策需满足的资格要求：</w:t>
      </w:r>
      <w:r>
        <w:rPr>
          <w:rStyle w:val="44"/>
          <w:rFonts w:hint="eastAsia" w:ascii="仿宋" w:hAnsi="仿宋" w:eastAsia="仿宋" w:cs="仿宋"/>
          <w:b w:val="0"/>
          <w:bCs w:val="0"/>
          <w:color w:val="auto"/>
          <w:highlight w:val="none"/>
          <w:lang w:eastAsia="zh-CN"/>
        </w:rPr>
        <w:t>本项目</w:t>
      </w:r>
      <w:r>
        <w:rPr>
          <w:rStyle w:val="44"/>
          <w:rFonts w:hint="eastAsia" w:ascii="仿宋" w:hAnsi="仿宋" w:eastAsia="仿宋" w:cs="仿宋"/>
          <w:b w:val="0"/>
          <w:bCs w:val="0"/>
          <w:color w:val="auto"/>
          <w:highlight w:val="none"/>
          <w:lang w:val="en-US" w:eastAsia="zh-CN"/>
        </w:rPr>
        <w:t>为</w:t>
      </w:r>
      <w:r>
        <w:rPr>
          <w:rStyle w:val="44"/>
          <w:rFonts w:hint="eastAsia" w:ascii="仿宋" w:hAnsi="仿宋" w:eastAsia="仿宋" w:cs="仿宋"/>
          <w:b w:val="0"/>
          <w:bCs w:val="0"/>
          <w:color w:val="auto"/>
          <w:highlight w:val="none"/>
          <w:lang w:eastAsia="zh-CN"/>
        </w:rPr>
        <w:t>专门面向中小企业采购</w:t>
      </w:r>
      <w:r>
        <w:rPr>
          <w:rStyle w:val="44"/>
          <w:rFonts w:hint="eastAsia" w:ascii="仿宋" w:hAnsi="仿宋" w:eastAsia="仿宋" w:cs="仿宋"/>
          <w:b w:val="0"/>
          <w:bCs w:val="0"/>
          <w:color w:val="auto"/>
          <w:highlight w:val="none"/>
        </w:rPr>
        <w:t>；</w:t>
      </w:r>
    </w:p>
    <w:p w14:paraId="5F66230F">
      <w:pPr>
        <w:pStyle w:val="37"/>
        <w:spacing w:before="0" w:beforeLines="0" w:beforeAutospacing="0" w:after="0" w:afterLines="0" w:afterAutospacing="0" w:line="460" w:lineRule="exact"/>
        <w:ind w:firstLine="470" w:firstLineChars="196"/>
        <w:rPr>
          <w:rStyle w:val="44"/>
          <w:rFonts w:ascii="仿宋" w:hAnsi="仿宋" w:eastAsia="仿宋" w:cs="仿宋"/>
          <w:b w:val="0"/>
          <w:bCs w:val="0"/>
          <w:color w:val="auto"/>
          <w:highlight w:val="none"/>
        </w:rPr>
      </w:pPr>
      <w:r>
        <w:rPr>
          <w:rStyle w:val="44"/>
          <w:rFonts w:hint="eastAsia" w:ascii="仿宋" w:hAnsi="仿宋" w:eastAsia="仿宋" w:cs="仿宋"/>
          <w:b w:val="0"/>
          <w:bCs w:val="0"/>
          <w:color w:val="auto"/>
          <w:highlight w:val="none"/>
        </w:rPr>
        <w:t>3.本项目的特定资格要求：/</w:t>
      </w:r>
    </w:p>
    <w:p w14:paraId="0FAB6FFA">
      <w:pPr>
        <w:pStyle w:val="37"/>
        <w:spacing w:before="0" w:beforeLines="0" w:beforeAutospacing="0" w:after="0" w:afterLines="0" w:afterAutospacing="0" w:line="460" w:lineRule="exact"/>
        <w:outlineLvl w:val="1"/>
        <w:rPr>
          <w:rFonts w:ascii="仿宋" w:hAnsi="仿宋" w:eastAsia="仿宋" w:cs="仿宋"/>
          <w:b/>
          <w:bCs/>
          <w:color w:val="auto"/>
          <w:highlight w:val="none"/>
        </w:rPr>
      </w:pPr>
      <w:bookmarkStart w:id="18" w:name="_Toc12757"/>
      <w:bookmarkStart w:id="19" w:name="_Toc7922"/>
      <w:r>
        <w:rPr>
          <w:rFonts w:hint="eastAsia" w:ascii="仿宋" w:hAnsi="仿宋" w:eastAsia="仿宋" w:cs="仿宋"/>
          <w:b/>
          <w:bCs/>
          <w:color w:val="auto"/>
          <w:highlight w:val="none"/>
        </w:rPr>
        <w:t>三、获取招标文件</w:t>
      </w:r>
      <w:bookmarkEnd w:id="18"/>
      <w:bookmarkEnd w:id="19"/>
    </w:p>
    <w:p w14:paraId="5F4522DD">
      <w:pPr>
        <w:pStyle w:val="37"/>
        <w:spacing w:before="0" w:beforeLines="0" w:beforeAutospacing="0" w:after="0" w:afterLines="0" w:afterAutospacing="0" w:line="460" w:lineRule="exact"/>
        <w:ind w:firstLine="480" w:firstLineChars="200"/>
        <w:rPr>
          <w:rFonts w:ascii="仿宋" w:hAnsi="仿宋" w:eastAsia="仿宋" w:cs="仿宋"/>
          <w:color w:val="auto"/>
          <w:highlight w:val="none"/>
        </w:rPr>
      </w:pPr>
      <w:r>
        <w:rPr>
          <w:rFonts w:hint="eastAsia" w:ascii="宋体" w:hAnsi="宋体" w:cs="宋体"/>
          <w:color w:val="auto"/>
          <w:highlight w:val="none"/>
        </w:rPr>
        <w:t>1.</w:t>
      </w:r>
      <w:r>
        <w:rPr>
          <w:rFonts w:hint="eastAsia" w:ascii="仿宋" w:hAnsi="仿宋" w:eastAsia="仿宋" w:cs="仿宋"/>
          <w:color w:val="auto"/>
          <w:highlight w:val="none"/>
        </w:rPr>
        <w:t>获取投标文件时</w:t>
      </w:r>
      <w:r>
        <w:rPr>
          <w:rStyle w:val="44"/>
          <w:rFonts w:hint="eastAsia" w:ascii="仿宋" w:hAnsi="仿宋" w:eastAsia="仿宋" w:cs="仿宋"/>
          <w:b w:val="0"/>
          <w:bCs w:val="0"/>
          <w:color w:val="auto"/>
          <w:highlight w:val="none"/>
        </w:rPr>
        <w:t>间：202</w:t>
      </w:r>
      <w:r>
        <w:rPr>
          <w:rStyle w:val="44"/>
          <w:rFonts w:hint="eastAsia" w:ascii="仿宋" w:hAnsi="仿宋" w:eastAsia="仿宋" w:cs="仿宋"/>
          <w:b w:val="0"/>
          <w:bCs w:val="0"/>
          <w:color w:val="auto"/>
          <w:highlight w:val="none"/>
          <w:lang w:val="en-US" w:eastAsia="zh-CN"/>
        </w:rPr>
        <w:t>6</w:t>
      </w:r>
      <w:r>
        <w:rPr>
          <w:rStyle w:val="44"/>
          <w:rFonts w:hint="eastAsia" w:ascii="仿宋" w:hAnsi="仿宋" w:eastAsia="仿宋" w:cs="仿宋"/>
          <w:b w:val="0"/>
          <w:bCs w:val="0"/>
          <w:color w:val="auto"/>
          <w:highlight w:val="none"/>
        </w:rPr>
        <w:t>年</w:t>
      </w:r>
      <w:r>
        <w:rPr>
          <w:rStyle w:val="44"/>
          <w:rFonts w:hint="eastAsia" w:ascii="仿宋" w:hAnsi="仿宋" w:eastAsia="仿宋" w:cs="仿宋"/>
          <w:b w:val="0"/>
          <w:bCs w:val="0"/>
          <w:color w:val="auto"/>
          <w:highlight w:val="none"/>
          <w:lang w:val="en-US" w:eastAsia="zh-CN"/>
        </w:rPr>
        <w:t>05</w:t>
      </w:r>
      <w:r>
        <w:rPr>
          <w:rStyle w:val="44"/>
          <w:rFonts w:hint="eastAsia" w:ascii="仿宋" w:hAnsi="仿宋" w:eastAsia="仿宋" w:cs="仿宋"/>
          <w:b w:val="0"/>
          <w:bCs w:val="0"/>
          <w:color w:val="auto"/>
          <w:highlight w:val="none"/>
        </w:rPr>
        <w:t>月</w:t>
      </w:r>
      <w:r>
        <w:rPr>
          <w:rStyle w:val="44"/>
          <w:rFonts w:hint="eastAsia" w:ascii="仿宋" w:hAnsi="仿宋" w:eastAsia="仿宋" w:cs="仿宋"/>
          <w:b w:val="0"/>
          <w:bCs w:val="0"/>
          <w:color w:val="auto"/>
          <w:highlight w:val="none"/>
          <w:lang w:val="en-US" w:eastAsia="zh-CN"/>
        </w:rPr>
        <w:t>14</w:t>
      </w:r>
      <w:r>
        <w:rPr>
          <w:rStyle w:val="44"/>
          <w:rFonts w:hint="eastAsia" w:ascii="仿宋" w:hAnsi="仿宋" w:eastAsia="仿宋" w:cs="仿宋"/>
          <w:b w:val="0"/>
          <w:bCs w:val="0"/>
          <w:color w:val="auto"/>
          <w:highlight w:val="none"/>
        </w:rPr>
        <w:t>日至202</w:t>
      </w:r>
      <w:r>
        <w:rPr>
          <w:rStyle w:val="44"/>
          <w:rFonts w:hint="eastAsia" w:ascii="仿宋" w:hAnsi="仿宋" w:eastAsia="仿宋" w:cs="仿宋"/>
          <w:b w:val="0"/>
          <w:bCs w:val="0"/>
          <w:color w:val="auto"/>
          <w:highlight w:val="none"/>
          <w:lang w:val="en-US" w:eastAsia="zh-CN"/>
        </w:rPr>
        <w:t>6</w:t>
      </w:r>
      <w:r>
        <w:rPr>
          <w:rStyle w:val="44"/>
          <w:rFonts w:hint="eastAsia" w:ascii="仿宋" w:hAnsi="仿宋" w:eastAsia="仿宋" w:cs="仿宋"/>
          <w:b w:val="0"/>
          <w:bCs w:val="0"/>
          <w:color w:val="auto"/>
          <w:highlight w:val="none"/>
        </w:rPr>
        <w:t>年</w:t>
      </w:r>
      <w:r>
        <w:rPr>
          <w:rStyle w:val="44"/>
          <w:rFonts w:hint="eastAsia" w:ascii="仿宋" w:hAnsi="仿宋" w:eastAsia="仿宋" w:cs="仿宋"/>
          <w:b w:val="0"/>
          <w:bCs w:val="0"/>
          <w:color w:val="auto"/>
          <w:highlight w:val="none"/>
          <w:lang w:val="en-US" w:eastAsia="zh-CN"/>
        </w:rPr>
        <w:t>05</w:t>
      </w:r>
      <w:r>
        <w:rPr>
          <w:rStyle w:val="44"/>
          <w:rFonts w:hint="eastAsia" w:ascii="仿宋" w:hAnsi="仿宋" w:eastAsia="仿宋" w:cs="仿宋"/>
          <w:b w:val="0"/>
          <w:bCs w:val="0"/>
          <w:color w:val="auto"/>
          <w:highlight w:val="none"/>
        </w:rPr>
        <w:t>月</w:t>
      </w:r>
      <w:r>
        <w:rPr>
          <w:rStyle w:val="44"/>
          <w:rFonts w:hint="eastAsia" w:ascii="仿宋" w:hAnsi="仿宋" w:eastAsia="仿宋" w:cs="仿宋"/>
          <w:b w:val="0"/>
          <w:bCs w:val="0"/>
          <w:color w:val="auto"/>
          <w:highlight w:val="none"/>
          <w:lang w:val="en-US" w:eastAsia="zh-CN"/>
        </w:rPr>
        <w:t>22</w:t>
      </w:r>
      <w:r>
        <w:rPr>
          <w:rStyle w:val="44"/>
          <w:rFonts w:hint="eastAsia" w:ascii="仿宋" w:hAnsi="仿宋" w:eastAsia="仿宋" w:cs="仿宋"/>
          <w:b w:val="0"/>
          <w:bCs w:val="0"/>
          <w:color w:val="auto"/>
          <w:highlight w:val="none"/>
        </w:rPr>
        <w:t>日，每天上午10:00至14:00，下午15:30至19:30（北京时间，法定节假日除外）</w:t>
      </w:r>
    </w:p>
    <w:p w14:paraId="064B6B28">
      <w:pPr>
        <w:pStyle w:val="37"/>
        <w:spacing w:before="0" w:beforeLines="0" w:beforeAutospacing="0" w:after="0" w:afterLines="0" w:afterAutospacing="0"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2.获取投标文件地址：政采云平台http://www.zcygov.cn</w:t>
      </w:r>
    </w:p>
    <w:p w14:paraId="591AB8C1">
      <w:pPr>
        <w:pStyle w:val="37"/>
        <w:spacing w:before="0" w:beforeLines="0" w:beforeAutospacing="0" w:after="0" w:afterLines="0" w:afterAutospacing="0" w:line="460" w:lineRule="exact"/>
        <w:ind w:firstLine="470" w:firstLineChars="196"/>
        <w:rPr>
          <w:rStyle w:val="44"/>
          <w:rFonts w:ascii="仿宋" w:hAnsi="仿宋" w:eastAsia="仿宋" w:cs="仿宋"/>
          <w:b w:val="0"/>
          <w:bCs w:val="0"/>
          <w:color w:val="auto"/>
          <w:highlight w:val="none"/>
        </w:rPr>
      </w:pPr>
      <w:r>
        <w:rPr>
          <w:rStyle w:val="44"/>
          <w:rFonts w:hint="eastAsia" w:ascii="仿宋" w:hAnsi="仿宋" w:eastAsia="仿宋" w:cs="仿宋"/>
          <w:b w:val="0"/>
          <w:bCs w:val="0"/>
          <w:color w:val="auto"/>
          <w:highlight w:val="none"/>
        </w:rPr>
        <w:t>3.获取采购文件方式：线上获取。供应商登录政采云平台https://www.zcygov.cn/在线申请获取招标文件（进入“项目采购”应用，在获取采购文件菜单中选择项目，申请获取采购文件，如有操作性问题，可与政采云在线客服进行咨询，咨询电话：95763）。</w:t>
      </w:r>
    </w:p>
    <w:p w14:paraId="4B8942F4">
      <w:pPr>
        <w:pStyle w:val="37"/>
        <w:tabs>
          <w:tab w:val="center" w:pos="4536"/>
        </w:tabs>
        <w:spacing w:before="0" w:beforeLines="0" w:beforeAutospacing="0" w:after="0" w:afterLines="0" w:afterAutospacing="0" w:line="460" w:lineRule="exact"/>
        <w:ind w:firstLine="480" w:firstLineChars="200"/>
        <w:outlineLvl w:val="2"/>
        <w:rPr>
          <w:rStyle w:val="44"/>
          <w:rFonts w:ascii="仿宋" w:hAnsi="仿宋" w:eastAsia="仿宋" w:cs="仿宋"/>
          <w:b w:val="0"/>
          <w:bCs w:val="0"/>
          <w:color w:val="auto"/>
          <w:highlight w:val="none"/>
        </w:rPr>
      </w:pPr>
      <w:r>
        <w:rPr>
          <w:rStyle w:val="44"/>
          <w:rFonts w:hint="eastAsia" w:ascii="仿宋" w:hAnsi="仿宋" w:eastAsia="仿宋" w:cs="仿宋"/>
          <w:b w:val="0"/>
          <w:bCs w:val="0"/>
          <w:color w:val="auto"/>
          <w:highlight w:val="none"/>
        </w:rPr>
        <w:t>4.采购标文件售价（元）：0元/份</w:t>
      </w:r>
      <w:r>
        <w:rPr>
          <w:rStyle w:val="44"/>
          <w:rFonts w:hint="eastAsia" w:ascii="仿宋" w:hAnsi="仿宋" w:eastAsia="仿宋" w:cs="仿宋"/>
          <w:b w:val="0"/>
          <w:bCs w:val="0"/>
          <w:color w:val="auto"/>
          <w:highlight w:val="none"/>
        </w:rPr>
        <w:tab/>
      </w:r>
    </w:p>
    <w:p w14:paraId="449D0F1B">
      <w:pPr>
        <w:pStyle w:val="4"/>
        <w:spacing w:beforeLines="0" w:afterLines="0" w:line="460" w:lineRule="exac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四、提交投标文件截止时间、开标时间和地点</w:t>
      </w:r>
    </w:p>
    <w:p w14:paraId="2612B251">
      <w:pPr>
        <w:spacing w:beforeLines="0" w:afterLines="0" w:line="460" w:lineRule="exact"/>
        <w:ind w:firstLine="480" w:firstLineChars="200"/>
        <w:rPr>
          <w:rStyle w:val="44"/>
          <w:rFonts w:ascii="仿宋" w:hAnsi="仿宋" w:eastAsia="仿宋" w:cs="仿宋"/>
          <w:b w:val="0"/>
          <w:bCs w:val="0"/>
          <w:color w:val="auto"/>
          <w:kern w:val="0"/>
          <w:sz w:val="24"/>
          <w:szCs w:val="24"/>
          <w:highlight w:val="none"/>
        </w:rPr>
      </w:pPr>
      <w:r>
        <w:rPr>
          <w:rStyle w:val="44"/>
          <w:rFonts w:hint="eastAsia" w:ascii="仿宋" w:hAnsi="仿宋" w:eastAsia="仿宋" w:cs="仿宋"/>
          <w:b w:val="0"/>
          <w:bCs w:val="0"/>
          <w:color w:val="auto"/>
          <w:kern w:val="0"/>
          <w:sz w:val="24"/>
          <w:szCs w:val="24"/>
          <w:highlight w:val="none"/>
        </w:rPr>
        <w:t>1.提交投标文件截止时间、开标时间：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25</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分（北京时间）</w:t>
      </w:r>
    </w:p>
    <w:p w14:paraId="4233DB77">
      <w:pPr>
        <w:pStyle w:val="37"/>
        <w:spacing w:before="0" w:beforeLines="0" w:beforeAutospacing="0" w:after="0" w:afterLines="0" w:afterAutospacing="0" w:line="460" w:lineRule="exact"/>
        <w:ind w:firstLine="480" w:firstLineChars="200"/>
        <w:rPr>
          <w:rFonts w:ascii="仿宋" w:hAnsi="仿宋" w:eastAsia="仿宋" w:cs="仿宋"/>
          <w:color w:val="auto"/>
          <w:highlight w:val="none"/>
        </w:rPr>
      </w:pPr>
      <w:r>
        <w:rPr>
          <w:rStyle w:val="44"/>
          <w:rFonts w:hint="eastAsia" w:ascii="仿宋" w:hAnsi="仿宋" w:eastAsia="仿宋" w:cs="仿宋"/>
          <w:b w:val="0"/>
          <w:bCs w:val="0"/>
          <w:color w:val="auto"/>
          <w:highlight w:val="none"/>
        </w:rPr>
        <w:t>2.地点：</w:t>
      </w:r>
      <w:r>
        <w:rPr>
          <w:rFonts w:hint="eastAsia" w:ascii="仿宋" w:hAnsi="仿宋" w:eastAsia="仿宋" w:cs="仿宋"/>
          <w:color w:val="auto"/>
          <w:highlight w:val="none"/>
        </w:rPr>
        <w:t>政采云平台http://www.zcygov.cn</w:t>
      </w:r>
    </w:p>
    <w:p w14:paraId="60AFFD21">
      <w:pPr>
        <w:pStyle w:val="4"/>
        <w:spacing w:beforeLines="0" w:afterLines="0" w:line="460" w:lineRule="exac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五、公告期限</w:t>
      </w:r>
    </w:p>
    <w:p w14:paraId="302822CB">
      <w:pPr>
        <w:pStyle w:val="4"/>
        <w:spacing w:beforeLines="0" w:afterLines="0" w:line="460" w:lineRule="exact"/>
        <w:ind w:firstLine="480" w:firstLineChars="20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招标公告及招标文件公告期限为自本公告发布之日起5个工作日。</w:t>
      </w:r>
    </w:p>
    <w:p w14:paraId="25E62BCF">
      <w:pPr>
        <w:pStyle w:val="4"/>
        <w:spacing w:beforeLines="0" w:afterLines="0" w:line="460" w:lineRule="exac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六、其他补充事宜</w:t>
      </w:r>
    </w:p>
    <w:p w14:paraId="5737B965">
      <w:pPr>
        <w:spacing w:beforeLines="0" w:afterLines="0" w:line="460" w:lineRule="exact"/>
        <w:ind w:firstLine="480" w:firstLineChars="200"/>
        <w:outlineLvl w:val="2"/>
        <w:rPr>
          <w:rStyle w:val="44"/>
          <w:rFonts w:eastAsia="仿宋"/>
          <w:b w:val="0"/>
          <w:bCs w:val="0"/>
          <w:color w:val="auto"/>
          <w:kern w:val="0"/>
          <w:sz w:val="24"/>
          <w:szCs w:val="24"/>
          <w:highlight w:val="none"/>
        </w:rPr>
      </w:pPr>
      <w:r>
        <w:rPr>
          <w:rStyle w:val="44"/>
          <w:rFonts w:eastAsia="仿宋"/>
          <w:b w:val="0"/>
          <w:bCs w:val="0"/>
          <w:color w:val="auto"/>
          <w:kern w:val="0"/>
          <w:sz w:val="24"/>
          <w:szCs w:val="24"/>
          <w:highlight w:val="none"/>
        </w:rPr>
        <w:t xml:space="preserve"> 1、各供应商应在开标前确保成为新疆维吾尔自治区政府采购网正式注册入库供应商，并完成CA数字证书申领。因未注册入库、未办理CA数字证书等原因造成无法投标或投标失败等后果由供应商自行承担。</w:t>
      </w:r>
    </w:p>
    <w:p w14:paraId="318DABF8">
      <w:pPr>
        <w:spacing w:beforeLines="0" w:afterLines="0" w:line="460" w:lineRule="exact"/>
        <w:ind w:firstLine="480" w:firstLineChars="200"/>
        <w:outlineLvl w:val="2"/>
        <w:rPr>
          <w:rStyle w:val="44"/>
          <w:rFonts w:eastAsia="仿宋"/>
          <w:b w:val="0"/>
          <w:bCs w:val="0"/>
          <w:color w:val="auto"/>
          <w:kern w:val="0"/>
          <w:sz w:val="24"/>
          <w:szCs w:val="24"/>
          <w:highlight w:val="none"/>
        </w:rPr>
      </w:pPr>
      <w:r>
        <w:rPr>
          <w:rStyle w:val="44"/>
          <w:rFonts w:eastAsia="仿宋"/>
          <w:b w:val="0"/>
          <w:bCs w:val="0"/>
          <w:color w:val="auto"/>
          <w:kern w:val="0"/>
          <w:sz w:val="24"/>
          <w:szCs w:val="24"/>
          <w:highlight w:val="none"/>
        </w:rPr>
        <w:t>2、有意向参与新疆区域电子开评标的投标人，可访问新疆数字证书认证中心官方网站（https://www.xjca.com.cn/）或下载“新疆政务通”APP自行进行申领。如需咨询，请联系新疆CA服务热线0991-2819290。</w:t>
      </w:r>
    </w:p>
    <w:p w14:paraId="5D0FAF9B">
      <w:pPr>
        <w:spacing w:beforeLines="0" w:afterLines="0" w:line="460" w:lineRule="exact"/>
        <w:ind w:firstLine="480" w:firstLineChars="200"/>
        <w:outlineLvl w:val="2"/>
        <w:rPr>
          <w:rStyle w:val="44"/>
          <w:rFonts w:eastAsia="仿宋"/>
          <w:b w:val="0"/>
          <w:bCs w:val="0"/>
          <w:color w:val="auto"/>
          <w:kern w:val="0"/>
          <w:sz w:val="24"/>
          <w:szCs w:val="24"/>
          <w:highlight w:val="none"/>
        </w:rPr>
      </w:pPr>
      <w:r>
        <w:rPr>
          <w:rStyle w:val="44"/>
          <w:rFonts w:eastAsia="仿宋"/>
          <w:b w:val="0"/>
          <w:bCs w:val="0"/>
          <w:color w:val="auto"/>
          <w:kern w:val="0"/>
          <w:sz w:val="24"/>
          <w:szCs w:val="24"/>
          <w:highlight w:val="none"/>
        </w:rPr>
        <w:t>3、供应商可前往新疆政府采购网（http://www.ccgp-xinjiang.gov.cn/）下载专区，下载政采云电子投标客户端，安装完成后，可通过账号密码或CA登录客户端进行响应文件制作。如有问题可拨打政采云客户服务热线400-881-7190进行咨询。</w:t>
      </w:r>
    </w:p>
    <w:p w14:paraId="599642C5">
      <w:pPr>
        <w:spacing w:beforeLines="0" w:afterLines="0" w:line="460" w:lineRule="exact"/>
        <w:ind w:firstLine="480" w:firstLineChars="200"/>
        <w:outlineLvl w:val="2"/>
        <w:rPr>
          <w:rStyle w:val="44"/>
          <w:rFonts w:eastAsia="仿宋"/>
          <w:b w:val="0"/>
          <w:bCs w:val="0"/>
          <w:color w:val="auto"/>
          <w:kern w:val="0"/>
          <w:sz w:val="24"/>
          <w:szCs w:val="24"/>
          <w:highlight w:val="none"/>
        </w:rPr>
      </w:pPr>
      <w:r>
        <w:rPr>
          <w:rStyle w:val="44"/>
          <w:rFonts w:eastAsia="仿宋"/>
          <w:b w:val="0"/>
          <w:bCs w:val="0"/>
          <w:color w:val="auto"/>
          <w:kern w:val="0"/>
          <w:sz w:val="24"/>
          <w:szCs w:val="24"/>
          <w:highlight w:val="none"/>
        </w:rPr>
        <w:t>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D62C1DC">
      <w:pPr>
        <w:spacing w:beforeLines="0" w:afterLines="0" w:line="460" w:lineRule="exact"/>
        <w:ind w:firstLine="480" w:firstLineChars="200"/>
        <w:outlineLvl w:val="2"/>
        <w:rPr>
          <w:rStyle w:val="44"/>
          <w:rFonts w:eastAsia="仿宋"/>
          <w:b w:val="0"/>
          <w:bCs w:val="0"/>
          <w:color w:val="auto"/>
          <w:kern w:val="0"/>
          <w:sz w:val="24"/>
          <w:szCs w:val="24"/>
          <w:highlight w:val="none"/>
        </w:rPr>
      </w:pPr>
      <w:r>
        <w:rPr>
          <w:rStyle w:val="44"/>
          <w:rFonts w:eastAsia="仿宋"/>
          <w:b w:val="0"/>
          <w:bCs w:val="0"/>
          <w:color w:val="auto"/>
          <w:kern w:val="0"/>
          <w:sz w:val="24"/>
          <w:szCs w:val="24"/>
          <w:highlight w:val="none"/>
        </w:rPr>
        <w:t>5、供应商在开标前须提前配置好电脑浏览器（建议使用360浏览器或谷歌浏览器），开标时请使用制作加密电子响应文件的CA锁进行解密及报价确认。本项目响应文件解密时间定为</w:t>
      </w:r>
      <w:r>
        <w:rPr>
          <w:rStyle w:val="44"/>
          <w:rFonts w:hint="eastAsia" w:eastAsia="仿宋"/>
          <w:b w:val="0"/>
          <w:bCs w:val="0"/>
          <w:color w:val="auto"/>
          <w:kern w:val="0"/>
          <w:sz w:val="24"/>
          <w:szCs w:val="24"/>
          <w:highlight w:val="none"/>
        </w:rPr>
        <w:t>3</w:t>
      </w:r>
      <w:r>
        <w:rPr>
          <w:rStyle w:val="44"/>
          <w:rFonts w:eastAsia="仿宋"/>
          <w:b w:val="0"/>
          <w:bCs w:val="0"/>
          <w:color w:val="auto"/>
          <w:kern w:val="0"/>
          <w:sz w:val="24"/>
          <w:szCs w:val="24"/>
          <w:highlight w:val="none"/>
        </w:rPr>
        <w:t>0分钟，如因自身原因（如：浏览器故障、未安装相关驱动、网络故障、加密CA与解密CA不一致等）导致无法正常解密，后果由供应商自行承担。</w:t>
      </w:r>
    </w:p>
    <w:p w14:paraId="4AD9527D">
      <w:pPr>
        <w:spacing w:beforeLines="0" w:afterLines="0" w:line="460" w:lineRule="exact"/>
        <w:ind w:firstLine="480" w:firstLineChars="200"/>
        <w:outlineLvl w:val="2"/>
        <w:rPr>
          <w:color w:val="auto"/>
          <w:highlight w:val="none"/>
        </w:rPr>
      </w:pPr>
      <w:r>
        <w:rPr>
          <w:rStyle w:val="44"/>
          <w:rFonts w:eastAsia="仿宋"/>
          <w:b w:val="0"/>
          <w:bCs w:val="0"/>
          <w:color w:val="auto"/>
          <w:kern w:val="0"/>
          <w:sz w:val="24"/>
          <w:szCs w:val="24"/>
          <w:highlight w:val="none"/>
        </w:rPr>
        <w:t>6、为了保证开评标顺利进行，投标人开标所使用的电脑设备须具有视频及语音功能。</w:t>
      </w:r>
    </w:p>
    <w:p w14:paraId="12831EBD">
      <w:pPr>
        <w:pStyle w:val="37"/>
        <w:spacing w:before="0" w:beforeLines="0" w:beforeAutospacing="0" w:after="0" w:afterLines="0" w:afterAutospacing="0" w:line="460" w:lineRule="exact"/>
        <w:outlineLvl w:val="1"/>
        <w:rPr>
          <w:rFonts w:ascii="仿宋" w:hAnsi="仿宋" w:eastAsia="仿宋" w:cs="仿宋"/>
          <w:b/>
          <w:bCs/>
          <w:color w:val="auto"/>
          <w:highlight w:val="none"/>
        </w:rPr>
      </w:pPr>
      <w:bookmarkStart w:id="20" w:name="_Toc6032"/>
      <w:bookmarkStart w:id="21" w:name="_Toc4201"/>
      <w:r>
        <w:rPr>
          <w:rFonts w:hint="eastAsia" w:ascii="仿宋" w:hAnsi="仿宋" w:eastAsia="仿宋" w:cs="仿宋"/>
          <w:b/>
          <w:bCs/>
          <w:color w:val="auto"/>
          <w:highlight w:val="none"/>
        </w:rPr>
        <w:t>七、联系方式</w:t>
      </w:r>
      <w:bookmarkEnd w:id="20"/>
      <w:bookmarkEnd w:id="21"/>
    </w:p>
    <w:p w14:paraId="7F1C9410">
      <w:pPr>
        <w:widowControl/>
        <w:shd w:val="clear" w:color="auto" w:fill="FFFFFF"/>
        <w:spacing w:beforeLines="0" w:afterLines="0" w:line="460" w:lineRule="exact"/>
        <w:ind w:firstLine="480" w:firstLineChars="200"/>
        <w:jc w:val="lef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新疆维吾尔自治区交通运输厅智慧交通发展中心</w:t>
      </w:r>
    </w:p>
    <w:p w14:paraId="19E8B676">
      <w:pPr>
        <w:pStyle w:val="37"/>
        <w:spacing w:before="0" w:beforeLines="0" w:beforeAutospacing="0" w:after="0" w:afterLines="0" w:afterAutospacing="0" w:line="460" w:lineRule="exact"/>
        <w:ind w:firstLine="470" w:firstLineChars="196"/>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 xml:space="preserve"> 安外尔</w:t>
      </w:r>
    </w:p>
    <w:p w14:paraId="40D3FE0C">
      <w:pPr>
        <w:pStyle w:val="37"/>
        <w:spacing w:before="0" w:beforeLines="0" w:beforeAutospacing="0" w:after="0" w:afterLines="0" w:afterAutospacing="0" w:line="460" w:lineRule="exact"/>
        <w:ind w:firstLine="470" w:firstLineChars="196"/>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联系电话：0991-5280223</w:t>
      </w:r>
    </w:p>
    <w:p w14:paraId="74DD9EFA">
      <w:pPr>
        <w:pStyle w:val="37"/>
        <w:spacing w:before="0" w:beforeLines="0" w:beforeAutospacing="0" w:after="0" w:afterLines="0" w:afterAutospacing="0" w:line="460" w:lineRule="exact"/>
        <w:ind w:firstLine="468" w:firstLineChars="195"/>
        <w:rPr>
          <w:rFonts w:hint="eastAsia" w:ascii="仿宋" w:hAnsi="仿宋" w:eastAsia="仿宋" w:cs="仿宋"/>
          <w:color w:val="auto"/>
          <w:highlight w:val="none"/>
          <w:lang w:eastAsia="zh-CN"/>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新疆维吾尔自治区乌鲁木齐市沙依巴克区黄河路301号</w:t>
      </w:r>
    </w:p>
    <w:p w14:paraId="3A363ACB">
      <w:pPr>
        <w:widowControl/>
        <w:shd w:val="clear" w:color="auto" w:fill="FFFFFF"/>
        <w:spacing w:beforeLines="0" w:afterLines="0" w:line="460" w:lineRule="exact"/>
        <w:ind w:firstLine="480" w:firstLineChars="200"/>
        <w:jc w:val="left"/>
        <w:outlineLvl w:val="2"/>
        <w:rPr>
          <w:rFonts w:hint="eastAsia" w:ascii="仿宋" w:hAnsi="仿宋" w:eastAsia="仿宋" w:cs="仿宋"/>
          <w:color w:val="auto"/>
          <w:sz w:val="24"/>
          <w:szCs w:val="24"/>
          <w:highlight w:val="none"/>
        </w:rPr>
      </w:pPr>
    </w:p>
    <w:p w14:paraId="6C5B67CF">
      <w:pPr>
        <w:widowControl/>
        <w:shd w:val="clear" w:color="auto" w:fill="FFFFFF"/>
        <w:spacing w:beforeLines="0" w:afterLines="0" w:line="460" w:lineRule="exact"/>
        <w:ind w:firstLine="480" w:firstLineChars="200"/>
        <w:jc w:val="lef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2.采购代理机构名称：</w:t>
      </w:r>
      <w:r>
        <w:rPr>
          <w:rFonts w:hint="eastAsia" w:ascii="仿宋" w:hAnsi="仿宋" w:eastAsia="仿宋" w:cs="仿宋"/>
          <w:color w:val="auto"/>
          <w:sz w:val="24"/>
          <w:szCs w:val="24"/>
          <w:highlight w:val="none"/>
          <w:lang w:eastAsia="zh-CN"/>
        </w:rPr>
        <w:t>新疆千思跃建设工程项目管理有限责任公司</w:t>
      </w:r>
    </w:p>
    <w:p w14:paraId="7C14185A">
      <w:pPr>
        <w:pStyle w:val="37"/>
        <w:spacing w:before="0" w:beforeLines="0" w:beforeAutospacing="0" w:after="0" w:afterLines="0" w:afterAutospacing="0" w:line="460" w:lineRule="exact"/>
        <w:ind w:firstLine="468" w:firstLineChars="195"/>
        <w:rPr>
          <w:rFonts w:hint="default" w:ascii="仿宋" w:hAnsi="仿宋" w:eastAsia="仿宋" w:cs="仿宋"/>
          <w:color w:val="auto"/>
          <w:highlight w:val="none"/>
          <w:lang w:val="en-US"/>
        </w:rPr>
      </w:pPr>
      <w:r>
        <w:rPr>
          <w:rFonts w:hint="eastAsia" w:ascii="仿宋" w:hAnsi="仿宋" w:eastAsia="仿宋" w:cs="仿宋"/>
          <w:color w:val="auto"/>
          <w:highlight w:val="none"/>
        </w:rPr>
        <w:t>联系人：</w:t>
      </w:r>
      <w:r>
        <w:rPr>
          <w:rFonts w:hint="eastAsia" w:ascii="仿宋" w:hAnsi="仿宋" w:eastAsia="仿宋" w:cs="仿宋"/>
          <w:color w:val="auto"/>
          <w:sz w:val="24"/>
          <w:szCs w:val="24"/>
          <w:highlight w:val="none"/>
          <w:lang w:eastAsia="zh-CN"/>
        </w:rPr>
        <w:t>于浩、施雨汐、张娜、代建忠</w:t>
      </w:r>
    </w:p>
    <w:p w14:paraId="5556BEB7">
      <w:pPr>
        <w:pStyle w:val="37"/>
        <w:spacing w:before="0" w:beforeLines="0" w:beforeAutospacing="0" w:after="0" w:afterLines="0" w:afterAutospacing="0" w:line="460" w:lineRule="exact"/>
        <w:ind w:firstLine="470" w:firstLineChars="196"/>
        <w:rPr>
          <w:rFonts w:hint="default" w:ascii="仿宋" w:hAnsi="仿宋" w:eastAsia="仿宋" w:cs="仿宋"/>
          <w:color w:val="auto"/>
          <w:highlight w:val="none"/>
          <w:lang w:val="en-US"/>
        </w:rPr>
      </w:pPr>
      <w:r>
        <w:rPr>
          <w:rFonts w:hint="eastAsia" w:ascii="仿宋" w:hAnsi="仿宋" w:eastAsia="仿宋" w:cs="仿宋"/>
          <w:color w:val="auto"/>
          <w:highlight w:val="none"/>
        </w:rPr>
        <w:t>联系电话：</w:t>
      </w:r>
      <w:r>
        <w:rPr>
          <w:rFonts w:hint="eastAsia" w:ascii="仿宋" w:hAnsi="仿宋" w:eastAsia="仿宋" w:cs="仿宋"/>
          <w:color w:val="auto"/>
          <w:highlight w:val="none"/>
          <w:lang w:val="en-US" w:eastAsia="zh-CN"/>
        </w:rPr>
        <w:t>17609913332、13139671212</w:t>
      </w:r>
    </w:p>
    <w:p w14:paraId="636F96BA">
      <w:pPr>
        <w:pStyle w:val="37"/>
        <w:spacing w:before="0" w:beforeLines="0" w:beforeAutospacing="0" w:after="0" w:afterLines="0" w:afterAutospacing="0" w:line="460" w:lineRule="exact"/>
        <w:ind w:firstLine="468" w:firstLineChars="195"/>
        <w:rPr>
          <w:rFonts w:ascii="仿宋" w:hAnsi="仿宋" w:eastAsia="仿宋" w:cs="仿宋"/>
          <w:color w:val="auto"/>
          <w:sz w:val="24"/>
          <w:szCs w:val="24"/>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乌鲁木齐市鲤鱼山北路领世广场3号楼1404-1室</w:t>
      </w:r>
    </w:p>
    <w:p w14:paraId="7D329F0E">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4E46DD3">
      <w:pPr>
        <w:spacing w:beforeLines="0" w:afterLines="0" w:line="460" w:lineRule="exact"/>
        <w:jc w:val="center"/>
        <w:outlineLvl w:val="0"/>
        <w:rPr>
          <w:rFonts w:ascii="仿宋" w:hAnsi="仿宋" w:eastAsia="仿宋" w:cs="仿宋"/>
          <w:b/>
          <w:color w:val="auto"/>
          <w:sz w:val="24"/>
          <w:szCs w:val="24"/>
          <w:highlight w:val="none"/>
        </w:rPr>
      </w:pPr>
      <w:bookmarkStart w:id="22" w:name="_Toc21127"/>
      <w:r>
        <w:rPr>
          <w:rFonts w:hint="eastAsia" w:ascii="仿宋" w:hAnsi="仿宋" w:eastAsia="仿宋" w:cs="仿宋"/>
          <w:b/>
          <w:color w:val="auto"/>
          <w:sz w:val="24"/>
          <w:szCs w:val="24"/>
          <w:highlight w:val="none"/>
        </w:rPr>
        <w:t>第二章  供应商须知</w:t>
      </w:r>
      <w:bookmarkEnd w:id="4"/>
      <w:bookmarkEnd w:id="5"/>
      <w:bookmarkEnd w:id="6"/>
      <w:bookmarkEnd w:id="7"/>
      <w:bookmarkEnd w:id="22"/>
      <w:bookmarkStart w:id="23" w:name="_Toc349637919"/>
      <w:bookmarkStart w:id="24" w:name="_Toc267301281"/>
      <w:bookmarkStart w:id="25" w:name="_Toc298240404"/>
      <w:bookmarkStart w:id="26" w:name="_Toc349573120"/>
    </w:p>
    <w:p w14:paraId="061E4250">
      <w:pPr>
        <w:spacing w:beforeLines="0" w:afterLines="0" w:line="460" w:lineRule="exact"/>
        <w:jc w:val="center"/>
        <w:rPr>
          <w:rFonts w:ascii="仿宋" w:hAnsi="仿宋" w:eastAsia="仿宋" w:cs="仿宋"/>
          <w:b/>
          <w:color w:val="auto"/>
          <w:sz w:val="24"/>
          <w:szCs w:val="24"/>
          <w:highlight w:val="none"/>
        </w:rPr>
      </w:pPr>
      <w:bookmarkStart w:id="27" w:name="_Toc462223631"/>
      <w:r>
        <w:rPr>
          <w:rFonts w:hint="eastAsia" w:ascii="仿宋" w:hAnsi="仿宋" w:eastAsia="仿宋" w:cs="仿宋"/>
          <w:b/>
          <w:color w:val="auto"/>
          <w:sz w:val="24"/>
          <w:szCs w:val="24"/>
          <w:highlight w:val="none"/>
        </w:rPr>
        <w:t>供应商须知前附表</w:t>
      </w:r>
      <w:bookmarkEnd w:id="23"/>
      <w:bookmarkEnd w:id="24"/>
      <w:bookmarkEnd w:id="25"/>
      <w:bookmarkEnd w:id="26"/>
      <w:bookmarkEnd w:id="27"/>
    </w:p>
    <w:tbl>
      <w:tblPr>
        <w:tblStyle w:val="41"/>
        <w:tblW w:w="95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1"/>
        <w:gridCol w:w="2512"/>
        <w:gridCol w:w="5925"/>
      </w:tblGrid>
      <w:tr w14:paraId="2051E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2" w:hRule="atLeast"/>
          <w:tblHeader/>
          <w:jc w:val="center"/>
        </w:trPr>
        <w:tc>
          <w:tcPr>
            <w:tcW w:w="1121" w:type="dxa"/>
            <w:vAlign w:val="center"/>
          </w:tcPr>
          <w:p w14:paraId="0E6F702E">
            <w:pPr>
              <w:adjustRightInd w:val="0"/>
              <w:snapToGrid w:val="0"/>
              <w:spacing w:before="0"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序列号</w:t>
            </w:r>
          </w:p>
        </w:tc>
        <w:tc>
          <w:tcPr>
            <w:tcW w:w="2512" w:type="dxa"/>
            <w:vAlign w:val="center"/>
          </w:tcPr>
          <w:p w14:paraId="6302CA3A">
            <w:pPr>
              <w:adjustRightInd w:val="0"/>
              <w:snapToGrid w:val="0"/>
              <w:spacing w:before="0"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5925" w:type="dxa"/>
            <w:vAlign w:val="center"/>
          </w:tcPr>
          <w:p w14:paraId="13682D12">
            <w:pPr>
              <w:adjustRightInd w:val="0"/>
              <w:snapToGrid w:val="0"/>
              <w:spacing w:before="0"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编列内容规定</w:t>
            </w:r>
          </w:p>
        </w:tc>
      </w:tr>
      <w:tr w14:paraId="4F156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121" w:type="dxa"/>
            <w:vAlign w:val="center"/>
          </w:tcPr>
          <w:p w14:paraId="46EC5FF2">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2512" w:type="dxa"/>
            <w:vAlign w:val="center"/>
          </w:tcPr>
          <w:p w14:paraId="1744EA7F">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5925" w:type="dxa"/>
            <w:vAlign w:val="center"/>
          </w:tcPr>
          <w:p w14:paraId="0E46D880">
            <w:pPr>
              <w:pStyle w:val="37"/>
              <w:spacing w:before="0" w:beforeLines="0" w:beforeAutospacing="0" w:after="0" w:afterLines="0" w:afterAutospacing="0" w:line="460" w:lineRule="exact"/>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新疆维吾尔自治区交通运输厅智慧交通发展中心网络安全运维服务项目</w:t>
            </w:r>
          </w:p>
        </w:tc>
      </w:tr>
      <w:tr w14:paraId="20402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92" w:hRule="atLeast"/>
          <w:jc w:val="center"/>
        </w:trPr>
        <w:tc>
          <w:tcPr>
            <w:tcW w:w="1121" w:type="dxa"/>
            <w:vAlign w:val="center"/>
          </w:tcPr>
          <w:p w14:paraId="4E28C47E">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2512" w:type="dxa"/>
            <w:vAlign w:val="center"/>
          </w:tcPr>
          <w:p w14:paraId="333FAEF6">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采购人</w:t>
            </w:r>
          </w:p>
        </w:tc>
        <w:tc>
          <w:tcPr>
            <w:tcW w:w="5925" w:type="dxa"/>
            <w:vAlign w:val="center"/>
          </w:tcPr>
          <w:p w14:paraId="28BD721C">
            <w:pPr>
              <w:spacing w:beforeLines="0" w:afterLines="0" w:line="4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新疆维吾尔自治区交通运输厅智慧交通发展中心</w:t>
            </w:r>
          </w:p>
          <w:p w14:paraId="326C11C7">
            <w:pPr>
              <w:spacing w:beforeLines="0" w:afterLines="0" w:line="4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新疆维吾尔自治区乌鲁木齐市沙依巴克区黄河路301号</w:t>
            </w:r>
          </w:p>
          <w:p w14:paraId="53B97F03">
            <w:pPr>
              <w:spacing w:beforeLines="0" w:afterLines="0" w:line="4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安外尔</w:t>
            </w:r>
          </w:p>
          <w:p w14:paraId="6898D607">
            <w:pPr>
              <w:spacing w:beforeLines="0" w:afterLines="0" w:line="46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联系电话：0991-5280223</w:t>
            </w:r>
          </w:p>
        </w:tc>
      </w:tr>
      <w:tr w14:paraId="0E1F4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1121" w:type="dxa"/>
            <w:vAlign w:val="center"/>
          </w:tcPr>
          <w:p w14:paraId="1A77F901">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2512" w:type="dxa"/>
            <w:vAlign w:val="center"/>
          </w:tcPr>
          <w:p w14:paraId="01A705AF">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采购代理机构</w:t>
            </w:r>
          </w:p>
        </w:tc>
        <w:tc>
          <w:tcPr>
            <w:tcW w:w="5925" w:type="dxa"/>
            <w:vAlign w:val="center"/>
          </w:tcPr>
          <w:p w14:paraId="48B032FE">
            <w:pPr>
              <w:spacing w:beforeLines="0" w:afterLines="0" w:line="4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新疆千思跃建设工程项目管理有限责任公司</w:t>
            </w:r>
          </w:p>
          <w:p w14:paraId="0EE4FE3F">
            <w:pPr>
              <w:spacing w:beforeLines="0" w:afterLines="0" w:line="4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乌鲁木齐市鲤鱼山北路领世广场3号楼1404-1室</w:t>
            </w:r>
          </w:p>
          <w:p w14:paraId="036FD15B">
            <w:pPr>
              <w:spacing w:beforeLines="0" w:afterLines="0" w:line="4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于浩、施雨汐、张娜、代建忠</w:t>
            </w:r>
          </w:p>
          <w:p w14:paraId="313C550D">
            <w:pPr>
              <w:spacing w:beforeLines="0" w:afterLines="0" w:line="46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13139671212、17609913332</w:t>
            </w:r>
          </w:p>
        </w:tc>
      </w:tr>
      <w:tr w14:paraId="523767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121" w:type="dxa"/>
            <w:vAlign w:val="center"/>
          </w:tcPr>
          <w:p w14:paraId="4BD50DF6">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2512" w:type="dxa"/>
            <w:vAlign w:val="center"/>
          </w:tcPr>
          <w:p w14:paraId="16D83226">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资金来源</w:t>
            </w:r>
          </w:p>
        </w:tc>
        <w:tc>
          <w:tcPr>
            <w:tcW w:w="5925" w:type="dxa"/>
            <w:vAlign w:val="center"/>
          </w:tcPr>
          <w:p w14:paraId="41F517DB">
            <w:pPr>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14:paraId="1D6204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jc w:val="center"/>
        </w:trPr>
        <w:tc>
          <w:tcPr>
            <w:tcW w:w="1121" w:type="dxa"/>
            <w:vAlign w:val="center"/>
          </w:tcPr>
          <w:p w14:paraId="02ADA62B">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p>
        </w:tc>
        <w:tc>
          <w:tcPr>
            <w:tcW w:w="2512" w:type="dxa"/>
            <w:vAlign w:val="center"/>
          </w:tcPr>
          <w:p w14:paraId="0E81C40A">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项目预算（最高限价）</w:t>
            </w:r>
          </w:p>
        </w:tc>
        <w:tc>
          <w:tcPr>
            <w:tcW w:w="5925" w:type="dxa"/>
            <w:vAlign w:val="center"/>
          </w:tcPr>
          <w:p w14:paraId="669EAB25">
            <w:pPr>
              <w:adjustRightInd w:val="0"/>
              <w:snapToGrid w:val="0"/>
              <w:spacing w:before="0" w:beforeLines="0" w:afterLines="0" w:line="460" w:lineRule="exact"/>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lang w:val="zh-CN"/>
              </w:rPr>
              <w:t>金额（小写）：</w:t>
            </w:r>
            <w:r>
              <w:rPr>
                <w:rFonts w:hint="eastAsia" w:ascii="仿宋" w:hAnsi="仿宋" w:eastAsia="仿宋" w:cs="仿宋"/>
                <w:color w:val="auto"/>
                <w:szCs w:val="21"/>
                <w:highlight w:val="none"/>
                <w:lang w:val="en-US" w:eastAsia="zh-CN"/>
              </w:rPr>
              <w:t>125</w:t>
            </w:r>
            <w:r>
              <w:rPr>
                <w:rFonts w:hint="eastAsia" w:ascii="仿宋" w:hAnsi="仿宋" w:eastAsia="仿宋" w:cs="仿宋"/>
                <w:color w:val="auto"/>
                <w:szCs w:val="21"/>
                <w:highlight w:val="none"/>
                <w:lang w:eastAsia="zh-CN"/>
              </w:rPr>
              <w:t>0</w:t>
            </w:r>
            <w:r>
              <w:rPr>
                <w:rFonts w:hint="eastAsia" w:ascii="仿宋" w:hAnsi="仿宋" w:eastAsia="仿宋" w:cs="仿宋"/>
                <w:color w:val="auto"/>
                <w:szCs w:val="21"/>
                <w:highlight w:val="none"/>
                <w:lang w:val="en-US" w:eastAsia="zh-CN"/>
              </w:rPr>
              <w:t>000</w:t>
            </w:r>
            <w:r>
              <w:rPr>
                <w:rFonts w:hint="eastAsia" w:ascii="仿宋" w:hAnsi="仿宋" w:eastAsia="仿宋" w:cs="仿宋"/>
                <w:color w:val="auto"/>
                <w:szCs w:val="21"/>
                <w:highlight w:val="none"/>
              </w:rPr>
              <w:t>元；</w:t>
            </w:r>
          </w:p>
          <w:p w14:paraId="09C80CDB">
            <w:pPr>
              <w:adjustRightInd w:val="0"/>
              <w:snapToGrid w:val="0"/>
              <w:spacing w:before="0" w:beforeLines="0" w:afterLines="0" w:line="4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（大写）：壹佰贰拾伍万元整</w:t>
            </w:r>
          </w:p>
        </w:tc>
      </w:tr>
      <w:tr w14:paraId="50ED8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8" w:hRule="atLeast"/>
          <w:jc w:val="center"/>
        </w:trPr>
        <w:tc>
          <w:tcPr>
            <w:tcW w:w="1121" w:type="dxa"/>
            <w:vAlign w:val="center"/>
          </w:tcPr>
          <w:p w14:paraId="3201F043">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p>
        </w:tc>
        <w:tc>
          <w:tcPr>
            <w:tcW w:w="2512" w:type="dxa"/>
            <w:vAlign w:val="center"/>
          </w:tcPr>
          <w:p w14:paraId="0CE59EB2">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供应商资格条件</w:t>
            </w:r>
          </w:p>
        </w:tc>
        <w:tc>
          <w:tcPr>
            <w:tcW w:w="5925" w:type="dxa"/>
            <w:vAlign w:val="center"/>
          </w:tcPr>
          <w:p w14:paraId="55D92CEC">
            <w:pPr>
              <w:pStyle w:val="37"/>
              <w:spacing w:before="0" w:beforeLines="0" w:beforeAutospacing="0" w:after="0" w:afterLines="0" w:afterAutospacing="0" w:line="460" w:lineRule="exact"/>
              <w:jc w:val="both"/>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38E046FB">
            <w:pPr>
              <w:pStyle w:val="37"/>
              <w:spacing w:before="0" w:beforeLines="0" w:beforeAutospacing="0" w:after="0" w:afterLines="0" w:afterAutospacing="0" w:line="460" w:lineRule="exact"/>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r>
              <w:rPr>
                <w:rFonts w:hint="eastAsia" w:ascii="仿宋" w:hAnsi="仿宋" w:eastAsia="仿宋" w:cs="仿宋"/>
                <w:color w:val="auto"/>
                <w:highlight w:val="none"/>
                <w:lang w:eastAsia="zh-CN"/>
              </w:rPr>
              <w:t>本项目专门面向中小企业采购，</w:t>
            </w:r>
            <w:r>
              <w:rPr>
                <w:rFonts w:hint="eastAsia" w:ascii="仿宋" w:hAnsi="仿宋" w:eastAsia="仿宋" w:cs="仿宋"/>
                <w:color w:val="auto"/>
                <w:highlight w:val="none"/>
              </w:rPr>
              <w:t>投标人需提供《中小企业声明函》。；</w:t>
            </w:r>
          </w:p>
          <w:p w14:paraId="2C410442">
            <w:pPr>
              <w:pStyle w:val="37"/>
              <w:spacing w:before="0" w:beforeLines="0" w:beforeAutospacing="0" w:after="0" w:afterLines="0" w:afterAutospacing="0" w:line="460" w:lineRule="exact"/>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tc>
      </w:tr>
      <w:tr w14:paraId="432F05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1121" w:type="dxa"/>
            <w:vAlign w:val="center"/>
          </w:tcPr>
          <w:p w14:paraId="7CFAA727">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p>
        </w:tc>
        <w:tc>
          <w:tcPr>
            <w:tcW w:w="2512" w:type="dxa"/>
            <w:vAlign w:val="center"/>
          </w:tcPr>
          <w:p w14:paraId="5C6545E8">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联合体投标    </w:t>
            </w:r>
          </w:p>
        </w:tc>
        <w:tc>
          <w:tcPr>
            <w:tcW w:w="5925" w:type="dxa"/>
            <w:vAlign w:val="center"/>
          </w:tcPr>
          <w:p w14:paraId="0B5A4934">
            <w:pPr>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√不接受 </w:t>
            </w:r>
          </w:p>
          <w:p w14:paraId="35D3BFE8">
            <w:pPr>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□接受                                 </w:t>
            </w:r>
          </w:p>
        </w:tc>
      </w:tr>
      <w:tr w14:paraId="72CBBF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7" w:hRule="atLeast"/>
          <w:jc w:val="center"/>
        </w:trPr>
        <w:tc>
          <w:tcPr>
            <w:tcW w:w="1121" w:type="dxa"/>
            <w:vAlign w:val="center"/>
          </w:tcPr>
          <w:p w14:paraId="64852F64">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w:t>
            </w:r>
          </w:p>
        </w:tc>
        <w:tc>
          <w:tcPr>
            <w:tcW w:w="2512" w:type="dxa"/>
            <w:vAlign w:val="center"/>
          </w:tcPr>
          <w:p w14:paraId="6CD7AE87">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备选方案</w:t>
            </w:r>
          </w:p>
        </w:tc>
        <w:tc>
          <w:tcPr>
            <w:tcW w:w="5925" w:type="dxa"/>
            <w:vAlign w:val="center"/>
          </w:tcPr>
          <w:p w14:paraId="089F5698">
            <w:pPr>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不接受</w:t>
            </w:r>
          </w:p>
          <w:p w14:paraId="444E6733">
            <w:pPr>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接受</w:t>
            </w:r>
          </w:p>
        </w:tc>
      </w:tr>
      <w:tr w14:paraId="7904D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9" w:hRule="atLeast"/>
          <w:jc w:val="center"/>
        </w:trPr>
        <w:tc>
          <w:tcPr>
            <w:tcW w:w="1121" w:type="dxa"/>
            <w:vAlign w:val="center"/>
          </w:tcPr>
          <w:p w14:paraId="516BEFD8">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w:t>
            </w:r>
          </w:p>
        </w:tc>
        <w:tc>
          <w:tcPr>
            <w:tcW w:w="2512" w:type="dxa"/>
            <w:vAlign w:val="center"/>
          </w:tcPr>
          <w:p w14:paraId="70052325">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响应文件递交截止时间</w:t>
            </w:r>
          </w:p>
        </w:tc>
        <w:tc>
          <w:tcPr>
            <w:tcW w:w="5925" w:type="dxa"/>
            <w:vAlign w:val="center"/>
          </w:tcPr>
          <w:p w14:paraId="5C119139">
            <w:pPr>
              <w:spacing w:beforeLines="0" w:afterLines="0" w:line="460" w:lineRule="exac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25</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分（北京时间）</w:t>
            </w:r>
          </w:p>
        </w:tc>
      </w:tr>
      <w:tr w14:paraId="089F4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2" w:hRule="atLeast"/>
          <w:jc w:val="center"/>
        </w:trPr>
        <w:tc>
          <w:tcPr>
            <w:tcW w:w="1121" w:type="dxa"/>
            <w:vAlign w:val="center"/>
          </w:tcPr>
          <w:p w14:paraId="568627A3">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w:t>
            </w:r>
          </w:p>
        </w:tc>
        <w:tc>
          <w:tcPr>
            <w:tcW w:w="2512" w:type="dxa"/>
            <w:vAlign w:val="center"/>
          </w:tcPr>
          <w:p w14:paraId="02B4161F">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投标时间、地点</w:t>
            </w:r>
          </w:p>
        </w:tc>
        <w:tc>
          <w:tcPr>
            <w:tcW w:w="5925" w:type="dxa"/>
            <w:vAlign w:val="center"/>
          </w:tcPr>
          <w:p w14:paraId="720B1F40">
            <w:pPr>
              <w:spacing w:beforeLines="0" w:afterLines="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25</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分（北京时间）</w:t>
            </w:r>
          </w:p>
          <w:p w14:paraId="62005092">
            <w:pPr>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投标地点：政采云客户端        </w:t>
            </w:r>
          </w:p>
        </w:tc>
      </w:tr>
      <w:tr w14:paraId="3EABC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1121" w:type="dxa"/>
            <w:vAlign w:val="center"/>
          </w:tcPr>
          <w:p w14:paraId="429FC07B">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w:t>
            </w:r>
          </w:p>
        </w:tc>
        <w:tc>
          <w:tcPr>
            <w:tcW w:w="2512" w:type="dxa"/>
            <w:vAlign w:val="center"/>
          </w:tcPr>
          <w:p w14:paraId="532D3487">
            <w:pPr>
              <w:adjustRightInd w:val="0"/>
              <w:snapToGrid w:val="0"/>
              <w:spacing w:before="0" w:beforeLines="0" w:afterLines="0" w:line="46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评标小组的组建及评审专家的确定方式</w:t>
            </w:r>
          </w:p>
        </w:tc>
        <w:tc>
          <w:tcPr>
            <w:tcW w:w="5925" w:type="dxa"/>
            <w:vAlign w:val="center"/>
          </w:tcPr>
          <w:p w14:paraId="3CEC6533">
            <w:pPr>
              <w:adjustRightInd w:val="0"/>
              <w:snapToGrid w:val="0"/>
              <w:spacing w:before="0"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招标采购单位依法组建评标小组共</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人组成，其中采购人代表不得超过评标小组的三分之一。</w:t>
            </w:r>
          </w:p>
          <w:p w14:paraId="1F2C4BAD">
            <w:pPr>
              <w:adjustRightInd w:val="0"/>
              <w:snapToGrid w:val="0"/>
              <w:spacing w:before="0"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小组确定方式：从采购专家库中随机抽取</w:t>
            </w:r>
            <w:r>
              <w:rPr>
                <w:rFonts w:hint="eastAsia" w:ascii="仿宋" w:hAnsi="仿宋" w:eastAsia="仿宋" w:cs="仿宋"/>
                <w:bCs/>
                <w:color w:val="auto"/>
                <w:sz w:val="24"/>
                <w:szCs w:val="24"/>
                <w:highlight w:val="none"/>
              </w:rPr>
              <w:t>确定。</w:t>
            </w:r>
            <w:r>
              <w:rPr>
                <w:rFonts w:hint="eastAsia" w:ascii="仿宋" w:hAnsi="仿宋" w:eastAsia="仿宋" w:cs="仿宋"/>
                <w:color w:val="auto"/>
                <w:sz w:val="24"/>
                <w:szCs w:val="24"/>
                <w:highlight w:val="none"/>
              </w:rPr>
              <w:t xml:space="preserve">                      </w:t>
            </w:r>
          </w:p>
        </w:tc>
      </w:tr>
      <w:tr w14:paraId="3FDAE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121" w:type="dxa"/>
            <w:vMerge w:val="restart"/>
            <w:vAlign w:val="center"/>
          </w:tcPr>
          <w:p w14:paraId="21CA4C63">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w:t>
            </w:r>
          </w:p>
        </w:tc>
        <w:tc>
          <w:tcPr>
            <w:tcW w:w="2512" w:type="dxa"/>
            <w:vMerge w:val="restart"/>
            <w:vAlign w:val="center"/>
          </w:tcPr>
          <w:p w14:paraId="73974299">
            <w:pPr>
              <w:spacing w:beforeLines="0" w:afterLines="0" w:line="460" w:lineRule="exact"/>
              <w:ind w:firstLine="482" w:firstLineChars="200"/>
              <w:rPr>
                <w:rFonts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投标保证金</w:t>
            </w:r>
          </w:p>
        </w:tc>
        <w:tc>
          <w:tcPr>
            <w:tcW w:w="5925" w:type="dxa"/>
            <w:vAlign w:val="center"/>
          </w:tcPr>
          <w:p w14:paraId="74B1BEEE">
            <w:pPr>
              <w:spacing w:beforeLines="0" w:afterLines="0" w:line="460" w:lineRule="exact"/>
              <w:rPr>
                <w:rFonts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缴纳方式：保证金应当按照《关于进一步规范政府采购保证金管理的通知》(新财购</w:t>
            </w:r>
            <w:r>
              <w:rPr>
                <w:rFonts w:hint="eastAsia" w:ascii="仿宋" w:hAnsi="仿宋" w:eastAsia="仿宋" w:cs="仿宋"/>
                <w:b/>
                <w:bCs w:val="0"/>
                <w:color w:val="auto"/>
                <w:sz w:val="24"/>
                <w:szCs w:val="24"/>
                <w:highlight w:val="none"/>
                <w:lang w:val="en-US" w:eastAsia="zh-CN"/>
              </w:rPr>
              <w:t>[</w:t>
            </w:r>
            <w:r>
              <w:rPr>
                <w:rFonts w:hint="eastAsia" w:ascii="仿宋" w:hAnsi="仿宋" w:eastAsia="仿宋" w:cs="仿宋"/>
                <w:b/>
                <w:bCs w:val="0"/>
                <w:color w:val="auto"/>
                <w:sz w:val="24"/>
                <w:szCs w:val="24"/>
                <w:highlight w:val="none"/>
              </w:rPr>
              <w:t>2023]26号)第一条政府采购保证金应当以支票、汇票、本票或者金融机构、担保机构出具的保函等非现金形式提交，积极推广电子保函，支持用电子保函替代保证金执行。</w:t>
            </w:r>
          </w:p>
        </w:tc>
      </w:tr>
      <w:tr w14:paraId="015A0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2" w:hRule="atLeast"/>
          <w:jc w:val="center"/>
        </w:trPr>
        <w:tc>
          <w:tcPr>
            <w:tcW w:w="1121" w:type="dxa"/>
            <w:vMerge w:val="continue"/>
            <w:vAlign w:val="center"/>
          </w:tcPr>
          <w:p w14:paraId="699BFE58">
            <w:pPr>
              <w:adjustRightInd w:val="0"/>
              <w:snapToGrid w:val="0"/>
              <w:spacing w:before="0" w:beforeLines="0" w:afterLines="0" w:line="460" w:lineRule="exact"/>
              <w:jc w:val="center"/>
              <w:rPr>
                <w:rFonts w:ascii="仿宋" w:hAnsi="仿宋" w:eastAsia="仿宋" w:cs="仿宋"/>
                <w:b/>
                <w:bCs/>
                <w:color w:val="auto"/>
                <w:sz w:val="24"/>
                <w:szCs w:val="24"/>
                <w:highlight w:val="none"/>
              </w:rPr>
            </w:pPr>
          </w:p>
        </w:tc>
        <w:tc>
          <w:tcPr>
            <w:tcW w:w="2512" w:type="dxa"/>
            <w:vMerge w:val="continue"/>
            <w:vAlign w:val="center"/>
          </w:tcPr>
          <w:p w14:paraId="291A346D">
            <w:pPr>
              <w:spacing w:beforeLines="0" w:afterLines="0" w:line="460" w:lineRule="exact"/>
              <w:rPr>
                <w:rFonts w:ascii="仿宋" w:hAnsi="仿宋" w:eastAsia="仿宋" w:cs="仿宋"/>
                <w:bCs/>
                <w:color w:val="auto"/>
                <w:sz w:val="24"/>
                <w:szCs w:val="24"/>
                <w:highlight w:val="none"/>
              </w:rPr>
            </w:pPr>
          </w:p>
        </w:tc>
        <w:tc>
          <w:tcPr>
            <w:tcW w:w="5925" w:type="dxa"/>
            <w:vAlign w:val="center"/>
          </w:tcPr>
          <w:p w14:paraId="40BEF9D0">
            <w:pPr>
              <w:spacing w:beforeLines="0" w:afterLines="0" w:line="46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投标保证金：</w:t>
            </w:r>
          </w:p>
          <w:p w14:paraId="64F51146">
            <w:pPr>
              <w:spacing w:beforeLines="0" w:afterLines="0" w:line="46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金额（小写）：</w:t>
            </w:r>
            <w:r>
              <w:rPr>
                <w:rFonts w:hint="eastAsia" w:ascii="仿宋" w:hAnsi="仿宋" w:eastAsia="仿宋" w:cs="仿宋"/>
                <w:bCs/>
                <w:color w:val="auto"/>
                <w:sz w:val="24"/>
                <w:szCs w:val="24"/>
                <w:highlight w:val="none"/>
                <w:lang w:val="en-US" w:eastAsia="zh-CN"/>
              </w:rPr>
              <w:t xml:space="preserve">12500.00 </w:t>
            </w:r>
            <w:r>
              <w:rPr>
                <w:rFonts w:hint="eastAsia" w:ascii="仿宋" w:hAnsi="仿宋" w:eastAsia="仿宋" w:cs="仿宋"/>
                <w:bCs/>
                <w:color w:val="auto"/>
                <w:sz w:val="24"/>
                <w:szCs w:val="24"/>
                <w:highlight w:val="none"/>
              </w:rPr>
              <w:t>元</w:t>
            </w:r>
          </w:p>
          <w:p w14:paraId="58AC0C5F">
            <w:pPr>
              <w:spacing w:beforeLines="0" w:afterLines="0" w:line="46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金额（大写）：</w:t>
            </w:r>
            <w:r>
              <w:rPr>
                <w:rFonts w:hint="eastAsia" w:ascii="仿宋" w:hAnsi="仿宋" w:eastAsia="仿宋" w:cs="仿宋"/>
                <w:bCs/>
                <w:color w:val="auto"/>
                <w:sz w:val="24"/>
                <w:szCs w:val="24"/>
                <w:highlight w:val="none"/>
                <w:lang w:val="en-US" w:eastAsia="zh-CN"/>
              </w:rPr>
              <w:t>壹万贰仟伍佰元整</w:t>
            </w:r>
            <w:r>
              <w:rPr>
                <w:rFonts w:hint="eastAsia" w:ascii="仿宋" w:hAnsi="仿宋" w:eastAsia="仿宋" w:cs="仿宋"/>
                <w:bCs/>
                <w:color w:val="auto"/>
                <w:sz w:val="24"/>
                <w:szCs w:val="24"/>
                <w:highlight w:val="none"/>
              </w:rPr>
              <w:t>；</w:t>
            </w:r>
          </w:p>
        </w:tc>
      </w:tr>
      <w:tr w14:paraId="02D40A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64" w:hRule="atLeast"/>
          <w:jc w:val="center"/>
        </w:trPr>
        <w:tc>
          <w:tcPr>
            <w:tcW w:w="1121" w:type="dxa"/>
            <w:vMerge w:val="continue"/>
            <w:vAlign w:val="center"/>
          </w:tcPr>
          <w:p w14:paraId="0FF95FD3">
            <w:pPr>
              <w:adjustRightInd w:val="0"/>
              <w:snapToGrid w:val="0"/>
              <w:spacing w:before="0" w:beforeLines="0" w:afterLines="0" w:line="460" w:lineRule="exact"/>
              <w:jc w:val="center"/>
              <w:rPr>
                <w:rFonts w:ascii="仿宋" w:hAnsi="仿宋" w:eastAsia="仿宋" w:cs="仿宋"/>
                <w:b/>
                <w:bCs/>
                <w:color w:val="auto"/>
                <w:sz w:val="24"/>
                <w:szCs w:val="24"/>
                <w:highlight w:val="none"/>
              </w:rPr>
            </w:pPr>
          </w:p>
        </w:tc>
        <w:tc>
          <w:tcPr>
            <w:tcW w:w="2512" w:type="dxa"/>
            <w:vMerge w:val="continue"/>
            <w:vAlign w:val="center"/>
          </w:tcPr>
          <w:p w14:paraId="6DB3D33F">
            <w:pPr>
              <w:spacing w:beforeLines="0" w:afterLines="0" w:line="460" w:lineRule="exact"/>
              <w:rPr>
                <w:rFonts w:ascii="仿宋" w:hAnsi="仿宋" w:eastAsia="仿宋" w:cs="仿宋"/>
                <w:bCs/>
                <w:color w:val="auto"/>
                <w:sz w:val="24"/>
                <w:szCs w:val="24"/>
                <w:highlight w:val="none"/>
              </w:rPr>
            </w:pPr>
          </w:p>
        </w:tc>
        <w:tc>
          <w:tcPr>
            <w:tcW w:w="5925" w:type="dxa"/>
            <w:vAlign w:val="center"/>
          </w:tcPr>
          <w:p w14:paraId="451D3178">
            <w:pPr>
              <w:spacing w:beforeLines="0" w:afterLines="0" w:line="46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（1）投标保证金以非现金形式的银行转账（网银或电汇转账的形式由供应商的账户汇出）、保函、支票、汇票、本票方式提交。 </w:t>
            </w:r>
          </w:p>
          <w:p w14:paraId="254CE83A">
            <w:pPr>
              <w:spacing w:beforeLines="0" w:afterLines="0" w:line="46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2）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 </w:t>
            </w:r>
          </w:p>
          <w:p w14:paraId="7BF9FA21">
            <w:pPr>
              <w:spacing w:beforeLines="0" w:afterLines="0" w:line="46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（3）供应商缴纳投标保证金时，需备注项目编号、项目名称（或项目简称），于投标文件上传截止时间前交至招标代理机构指定账户（以实际到账时间为准，逾期无效），公示期结束后予以退还。 </w:t>
            </w:r>
          </w:p>
          <w:p w14:paraId="52FFD06E">
            <w:pPr>
              <w:spacing w:beforeLines="0" w:afterLines="0" w:line="46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（4）投标保证金未按规定时间缴纳或提交金额不足的，其投标将被否决，供应商应充分考虑资金在途时间；</w:t>
            </w:r>
          </w:p>
          <w:p w14:paraId="57390AAF">
            <w:pPr>
              <w:spacing w:beforeLines="0" w:afterLines="0"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银行信息：</w:t>
            </w:r>
          </w:p>
          <w:p w14:paraId="50CB1B9C">
            <w:pPr>
              <w:spacing w:beforeLines="0" w:afterLines="0"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账户名称：</w:t>
            </w:r>
            <w:r>
              <w:rPr>
                <w:rFonts w:hint="eastAsia" w:ascii="仿宋" w:hAnsi="仿宋" w:eastAsia="仿宋" w:cs="仿宋"/>
                <w:bCs/>
                <w:color w:val="auto"/>
                <w:sz w:val="24"/>
                <w:szCs w:val="24"/>
                <w:highlight w:val="none"/>
                <w:lang w:eastAsia="zh-CN"/>
              </w:rPr>
              <w:t>新疆千思跃建设工程项目管理有限责任公司</w:t>
            </w:r>
          </w:p>
          <w:p w14:paraId="01E1BB17">
            <w:pPr>
              <w:spacing w:beforeLines="0" w:afterLines="0"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开户行名称：</w:t>
            </w:r>
            <w:r>
              <w:rPr>
                <w:rFonts w:hint="eastAsia" w:ascii="仿宋" w:hAnsi="仿宋" w:eastAsia="仿宋" w:cs="仿宋"/>
                <w:bCs/>
                <w:color w:val="auto"/>
                <w:sz w:val="24"/>
                <w:szCs w:val="24"/>
                <w:highlight w:val="none"/>
                <w:lang w:eastAsia="zh-CN"/>
              </w:rPr>
              <w:t>中国建设银行股份有限公司乌鲁木齐鲤鱼山北路支行</w:t>
            </w:r>
          </w:p>
          <w:p w14:paraId="27401828">
            <w:pPr>
              <w:spacing w:beforeLines="0" w:afterLines="0"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r>
              <w:rPr>
                <w:rFonts w:hint="eastAsia" w:ascii="仿宋" w:hAnsi="仿宋" w:eastAsia="仿宋" w:cs="仿宋"/>
                <w:bCs/>
                <w:color w:val="auto"/>
                <w:sz w:val="24"/>
                <w:szCs w:val="24"/>
                <w:highlight w:val="none"/>
                <w:lang w:eastAsia="zh-CN"/>
              </w:rPr>
              <w:t>6505 0110 6015 0000 0300</w:t>
            </w:r>
          </w:p>
          <w:p w14:paraId="42FB1E49">
            <w:pPr>
              <w:spacing w:beforeLines="0" w:afterLines="0"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行号：</w:t>
            </w:r>
            <w:r>
              <w:rPr>
                <w:rFonts w:hint="eastAsia" w:ascii="仿宋" w:hAnsi="仿宋" w:eastAsia="仿宋" w:cs="仿宋"/>
                <w:bCs/>
                <w:color w:val="auto"/>
                <w:sz w:val="24"/>
                <w:szCs w:val="24"/>
                <w:highlight w:val="none"/>
                <w:lang w:eastAsia="zh-CN"/>
              </w:rPr>
              <w:t>105881000253</w:t>
            </w:r>
          </w:p>
          <w:p w14:paraId="1EB89BE5">
            <w:pPr>
              <w:spacing w:beforeLines="0" w:afterLines="0" w:line="46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备注：汇款时请备注项目简称及汇款事由</w:t>
            </w:r>
            <w:r>
              <w:rPr>
                <w:rFonts w:hint="eastAsia" w:ascii="仿宋" w:hAnsi="仿宋" w:eastAsia="仿宋" w:cs="仿宋"/>
                <w:bCs/>
                <w:color w:val="auto"/>
                <w:sz w:val="24"/>
                <w:szCs w:val="24"/>
                <w:highlight w:val="none"/>
                <w:lang w:eastAsia="zh-CN"/>
              </w:rPr>
              <w:t>。</w:t>
            </w:r>
          </w:p>
        </w:tc>
      </w:tr>
      <w:tr w14:paraId="4117E5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30" w:hRule="atLeast"/>
          <w:jc w:val="center"/>
        </w:trPr>
        <w:tc>
          <w:tcPr>
            <w:tcW w:w="1121" w:type="dxa"/>
            <w:vAlign w:val="center"/>
          </w:tcPr>
          <w:p w14:paraId="2605346B">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p>
        </w:tc>
        <w:tc>
          <w:tcPr>
            <w:tcW w:w="2512" w:type="dxa"/>
            <w:vAlign w:val="center"/>
          </w:tcPr>
          <w:p w14:paraId="5FD65E93">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评审办法</w:t>
            </w:r>
          </w:p>
        </w:tc>
        <w:tc>
          <w:tcPr>
            <w:tcW w:w="5925" w:type="dxa"/>
            <w:vAlign w:val="center"/>
          </w:tcPr>
          <w:p w14:paraId="294DF8C7">
            <w:pPr>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综合评分法，即指响应文件满足投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tc>
      </w:tr>
      <w:tr w14:paraId="14D497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121" w:type="dxa"/>
            <w:vAlign w:val="center"/>
          </w:tcPr>
          <w:p w14:paraId="7FA0ADDA">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w:t>
            </w:r>
          </w:p>
        </w:tc>
        <w:tc>
          <w:tcPr>
            <w:tcW w:w="2512" w:type="dxa"/>
            <w:vAlign w:val="center"/>
          </w:tcPr>
          <w:p w14:paraId="1261998E">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投标有效期</w:t>
            </w:r>
          </w:p>
        </w:tc>
        <w:tc>
          <w:tcPr>
            <w:tcW w:w="5925" w:type="dxa"/>
            <w:vAlign w:val="center"/>
          </w:tcPr>
          <w:p w14:paraId="6DB60717">
            <w:pPr>
              <w:adjustRightInd w:val="0"/>
              <w:snapToGrid w:val="0"/>
              <w:spacing w:before="0" w:beforeLines="0" w:afterLines="0" w:line="460" w:lineRule="exact"/>
              <w:rPr>
                <w:rFonts w:ascii="仿宋" w:hAnsi="仿宋" w:eastAsia="仿宋" w:cs="仿宋"/>
                <w:bCs/>
                <w:color w:val="auto"/>
                <w:sz w:val="24"/>
                <w:szCs w:val="24"/>
                <w:highlight w:val="none"/>
              </w:rPr>
            </w:pPr>
            <w:r>
              <w:rPr>
                <w:rFonts w:hint="eastAsia" w:ascii="仿宋" w:hAnsi="仿宋" w:eastAsia="仿宋" w:cs="仿宋"/>
                <w:b/>
                <w:bCs/>
                <w:color w:val="auto"/>
                <w:sz w:val="24"/>
                <w:szCs w:val="24"/>
                <w:highlight w:val="none"/>
                <w:u w:val="single"/>
              </w:rPr>
              <w:t xml:space="preserve">  90 </w:t>
            </w:r>
            <w:r>
              <w:rPr>
                <w:rFonts w:hint="eastAsia" w:ascii="仿宋" w:hAnsi="仿宋" w:eastAsia="仿宋" w:cs="仿宋"/>
                <w:b/>
                <w:bCs/>
                <w:color w:val="auto"/>
                <w:sz w:val="24"/>
                <w:szCs w:val="24"/>
                <w:highlight w:val="none"/>
              </w:rPr>
              <w:t xml:space="preserve"> 日（日历日）</w:t>
            </w:r>
          </w:p>
        </w:tc>
      </w:tr>
      <w:tr w14:paraId="6A4FB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121" w:type="dxa"/>
            <w:vAlign w:val="center"/>
          </w:tcPr>
          <w:p w14:paraId="21A609E4">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w:t>
            </w:r>
          </w:p>
        </w:tc>
        <w:tc>
          <w:tcPr>
            <w:tcW w:w="2512" w:type="dxa"/>
            <w:vAlign w:val="center"/>
          </w:tcPr>
          <w:p w14:paraId="5FF78E4F">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投标文件份数</w:t>
            </w:r>
          </w:p>
        </w:tc>
        <w:tc>
          <w:tcPr>
            <w:tcW w:w="5925" w:type="dxa"/>
            <w:vAlign w:val="center"/>
          </w:tcPr>
          <w:p w14:paraId="0F839748">
            <w:pPr>
              <w:spacing w:beforeLines="0" w:afterLines="0" w:line="4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本次开标：政采云线上开标。</w:t>
            </w:r>
          </w:p>
          <w:p w14:paraId="4BF4559D">
            <w:pPr>
              <w:spacing w:beforeLines="0" w:afterLines="0" w:line="4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投标人编制、提交的投标文件，须符合本项目采购文件要求的投标文件编制和提交要求。</w:t>
            </w:r>
          </w:p>
          <w:p w14:paraId="71426DE8">
            <w:pPr>
              <w:spacing w:beforeLines="0" w:afterLines="0" w:line="4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响应文件为加盖公章的响应文件扫描件</w:t>
            </w:r>
          </w:p>
          <w:p w14:paraId="640E98F8">
            <w:pPr>
              <w:spacing w:beforeLines="0" w:afterLines="0" w:line="4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按政采云平台要求。</w:t>
            </w:r>
          </w:p>
          <w:p w14:paraId="455B98D1">
            <w:pPr>
              <w:spacing w:beforeLines="0" w:afterLines="0" w:line="4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中标公告公示期结束后，中标供应商须在 3 个工作日内，将纸质版投标文件和电子版投标文件送至或邮寄至代理机构备案；文件份数要求：纸质版投标文件正本一份，副本</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份。电子版投标文件U盘1份。</w:t>
            </w:r>
          </w:p>
          <w:p w14:paraId="68D7473D">
            <w:pPr>
              <w:spacing w:beforeLines="0" w:afterLines="0" w:line="4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送达或邮寄至：</w:t>
            </w:r>
            <w:r>
              <w:rPr>
                <w:rFonts w:hint="eastAsia" w:ascii="仿宋" w:hAnsi="仿宋" w:eastAsia="仿宋" w:cs="仿宋"/>
                <w:bCs/>
                <w:color w:val="auto"/>
                <w:sz w:val="24"/>
                <w:szCs w:val="24"/>
                <w:highlight w:val="none"/>
                <w:lang w:eastAsia="zh-CN"/>
              </w:rPr>
              <w:t>乌鲁木齐市鲤鱼山北路领世广场3号楼1404-1室</w:t>
            </w:r>
            <w:r>
              <w:rPr>
                <w:rFonts w:hint="eastAsia" w:ascii="仿宋" w:hAnsi="仿宋" w:eastAsia="仿宋" w:cs="仿宋"/>
                <w:bCs/>
                <w:color w:val="auto"/>
                <w:sz w:val="24"/>
                <w:szCs w:val="24"/>
                <w:highlight w:val="none"/>
              </w:rPr>
              <w:t xml:space="preserve"> </w:t>
            </w:r>
          </w:p>
          <w:p w14:paraId="351E6754">
            <w:pPr>
              <w:spacing w:beforeLines="0" w:afterLines="0" w:line="4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color w:val="auto"/>
                <w:sz w:val="24"/>
                <w:szCs w:val="24"/>
                <w:highlight w:val="none"/>
                <w:lang w:eastAsia="zh-CN"/>
              </w:rPr>
              <w:t>于浩、施雨汐、张娜、代建忠</w:t>
            </w:r>
            <w:r>
              <w:rPr>
                <w:rFonts w:hint="eastAsia" w:ascii="仿宋" w:hAnsi="仿宋" w:eastAsia="仿宋" w:cs="仿宋"/>
                <w:bCs/>
                <w:color w:val="auto"/>
                <w:sz w:val="24"/>
                <w:szCs w:val="24"/>
                <w:highlight w:val="none"/>
              </w:rPr>
              <w:t xml:space="preserve">    </w:t>
            </w:r>
          </w:p>
          <w:p w14:paraId="05AA137B">
            <w:pPr>
              <w:spacing w:beforeLines="0" w:afterLines="0" w:line="460" w:lineRule="exact"/>
              <w:jc w:val="lef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电话：</w:t>
            </w:r>
            <w:r>
              <w:rPr>
                <w:rFonts w:hint="eastAsia" w:ascii="仿宋" w:hAnsi="仿宋" w:eastAsia="仿宋" w:cs="仿宋"/>
                <w:bCs/>
                <w:color w:val="auto"/>
                <w:sz w:val="24"/>
                <w:szCs w:val="24"/>
                <w:highlight w:val="none"/>
                <w:lang w:val="en-US" w:eastAsia="zh-CN"/>
              </w:rPr>
              <w:t>13139671212、17609913332</w:t>
            </w:r>
          </w:p>
        </w:tc>
      </w:tr>
      <w:tr w14:paraId="184FB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1121" w:type="dxa"/>
            <w:vAlign w:val="center"/>
          </w:tcPr>
          <w:p w14:paraId="406F441C">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w:t>
            </w:r>
          </w:p>
        </w:tc>
        <w:tc>
          <w:tcPr>
            <w:tcW w:w="2512" w:type="dxa"/>
            <w:vAlign w:val="center"/>
          </w:tcPr>
          <w:p w14:paraId="5E6D1C2E">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投标预备会</w:t>
            </w:r>
          </w:p>
        </w:tc>
        <w:tc>
          <w:tcPr>
            <w:tcW w:w="5925" w:type="dxa"/>
            <w:vAlign w:val="center"/>
          </w:tcPr>
          <w:p w14:paraId="11B10C02">
            <w:pPr>
              <w:autoSpaceDE w:val="0"/>
              <w:autoSpaceDN w:val="0"/>
              <w:adjustRightInd w:val="0"/>
              <w:spacing w:beforeLines="0" w:afterLines="0" w:line="46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□是</w:t>
            </w:r>
          </w:p>
          <w:p w14:paraId="6AAD17B1">
            <w:pPr>
              <w:autoSpaceDE w:val="0"/>
              <w:autoSpaceDN w:val="0"/>
              <w:adjustRightInd w:val="0"/>
              <w:spacing w:beforeLines="0" w:afterLines="0" w:line="46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√否                                             </w:t>
            </w:r>
          </w:p>
        </w:tc>
      </w:tr>
      <w:tr w14:paraId="068685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1121" w:type="dxa"/>
            <w:vAlign w:val="center"/>
          </w:tcPr>
          <w:p w14:paraId="368DD4DE">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p>
        </w:tc>
        <w:tc>
          <w:tcPr>
            <w:tcW w:w="2512" w:type="dxa"/>
            <w:vAlign w:val="center"/>
          </w:tcPr>
          <w:p w14:paraId="6E82E41D">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踏勘现场</w:t>
            </w:r>
          </w:p>
        </w:tc>
        <w:tc>
          <w:tcPr>
            <w:tcW w:w="5925" w:type="dxa"/>
            <w:vAlign w:val="center"/>
          </w:tcPr>
          <w:p w14:paraId="772EE0A9">
            <w:pPr>
              <w:autoSpaceDE w:val="0"/>
              <w:autoSpaceDN w:val="0"/>
              <w:adjustRightInd w:val="0"/>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不组织</w:t>
            </w:r>
          </w:p>
        </w:tc>
      </w:tr>
      <w:tr w14:paraId="46F115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121" w:type="dxa"/>
            <w:vAlign w:val="center"/>
          </w:tcPr>
          <w:p w14:paraId="5A974089">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p>
        </w:tc>
        <w:tc>
          <w:tcPr>
            <w:tcW w:w="2512" w:type="dxa"/>
            <w:vAlign w:val="center"/>
          </w:tcPr>
          <w:p w14:paraId="3ADF12BE">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代理服务费</w:t>
            </w:r>
          </w:p>
        </w:tc>
        <w:tc>
          <w:tcPr>
            <w:tcW w:w="5925" w:type="dxa"/>
            <w:vAlign w:val="center"/>
          </w:tcPr>
          <w:p w14:paraId="09F77D3A">
            <w:pPr>
              <w:spacing w:beforeLines="0" w:afterLines="0"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成交供应商应按本招标文件的规定，在《成交通知书》核发时至核发后3天内，向采购代理机构支付成交服务费。按发改价格[2011]534号及计价格[2002]1980号文件计算的招标代理服务收费标准计取。</w:t>
            </w:r>
          </w:p>
        </w:tc>
      </w:tr>
      <w:tr w14:paraId="2314A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1" w:hRule="atLeast"/>
          <w:jc w:val="center"/>
        </w:trPr>
        <w:tc>
          <w:tcPr>
            <w:tcW w:w="1121" w:type="dxa"/>
            <w:vAlign w:val="center"/>
          </w:tcPr>
          <w:p w14:paraId="24E997B5">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p>
        </w:tc>
        <w:tc>
          <w:tcPr>
            <w:tcW w:w="2512" w:type="dxa"/>
            <w:vAlign w:val="center"/>
          </w:tcPr>
          <w:p w14:paraId="1996D213">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履约保证金</w:t>
            </w:r>
          </w:p>
        </w:tc>
        <w:tc>
          <w:tcPr>
            <w:tcW w:w="5925" w:type="dxa"/>
            <w:vAlign w:val="center"/>
          </w:tcPr>
          <w:p w14:paraId="12E5C9A9">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履约保证金金额：/</w:t>
            </w:r>
          </w:p>
          <w:p w14:paraId="039FE7C2">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履约保证金递交：中标单位收到《中标通知书》，签订合同前缴纳。</w:t>
            </w:r>
          </w:p>
          <w:p w14:paraId="0BFED282">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履约保证金形式：银行转账形式或保函（中标单位未按采购文件规定缴纳履约保证金的，其投标保证金将不予退还）</w:t>
            </w:r>
          </w:p>
          <w:p w14:paraId="21A9BB05">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履约保证金（质保金）退还：（1）履约保证金的有效期为该项目</w:t>
            </w:r>
            <w:r>
              <w:rPr>
                <w:rFonts w:hint="eastAsia" w:ascii="仿宋" w:hAnsi="仿宋" w:eastAsia="仿宋" w:cs="仿宋"/>
                <w:color w:val="auto"/>
                <w:sz w:val="24"/>
                <w:szCs w:val="24"/>
                <w:highlight w:val="none"/>
              </w:rPr>
              <w:t>完成供货且通过采购人组织的项目验收</w:t>
            </w:r>
            <w:r>
              <w:rPr>
                <w:rFonts w:hint="eastAsia" w:ascii="仿宋" w:hAnsi="仿宋" w:eastAsia="仿宋" w:cs="仿宋"/>
                <w:color w:val="auto"/>
                <w:sz w:val="24"/>
                <w:szCs w:val="24"/>
                <w:highlight w:val="none"/>
                <w:lang w:val="zh-CN"/>
              </w:rPr>
              <w:t>止。（2）供应商在</w:t>
            </w:r>
            <w:r>
              <w:rPr>
                <w:rFonts w:hint="eastAsia" w:ascii="仿宋" w:hAnsi="仿宋" w:eastAsia="仿宋" w:cs="仿宋"/>
                <w:color w:val="auto"/>
                <w:sz w:val="24"/>
                <w:szCs w:val="24"/>
                <w:highlight w:val="none"/>
              </w:rPr>
              <w:t>产品</w:t>
            </w:r>
            <w:r>
              <w:rPr>
                <w:rFonts w:hint="eastAsia" w:ascii="仿宋" w:hAnsi="仿宋" w:eastAsia="仿宋" w:cs="仿宋"/>
                <w:color w:val="auto"/>
                <w:sz w:val="24"/>
                <w:szCs w:val="24"/>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14:paraId="2256E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121" w:type="dxa"/>
          </w:tcPr>
          <w:p w14:paraId="3512CF17">
            <w:pPr>
              <w:tabs>
                <w:tab w:val="left" w:pos="265"/>
              </w:tabs>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w:t>
            </w:r>
          </w:p>
        </w:tc>
        <w:tc>
          <w:tcPr>
            <w:tcW w:w="2512" w:type="dxa"/>
            <w:vAlign w:val="center"/>
          </w:tcPr>
          <w:p w14:paraId="383BCE16">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交付期要求</w:t>
            </w:r>
          </w:p>
        </w:tc>
        <w:tc>
          <w:tcPr>
            <w:tcW w:w="5925" w:type="dxa"/>
            <w:vAlign w:val="center"/>
          </w:tcPr>
          <w:p w14:paraId="49507FAD">
            <w:pPr>
              <w:spacing w:beforeLines="0" w:afterLines="0" w:line="46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签订合同后30个工作日内系统上线</w:t>
            </w:r>
          </w:p>
        </w:tc>
      </w:tr>
      <w:tr w14:paraId="59B2E6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121" w:type="dxa"/>
            <w:vAlign w:val="center"/>
          </w:tcPr>
          <w:p w14:paraId="7A85B750">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w:t>
            </w:r>
          </w:p>
        </w:tc>
        <w:tc>
          <w:tcPr>
            <w:tcW w:w="2512" w:type="dxa"/>
            <w:vAlign w:val="center"/>
          </w:tcPr>
          <w:p w14:paraId="197D7FA5">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服务期</w:t>
            </w:r>
          </w:p>
        </w:tc>
        <w:tc>
          <w:tcPr>
            <w:tcW w:w="5925" w:type="dxa"/>
            <w:vAlign w:val="center"/>
          </w:tcPr>
          <w:p w14:paraId="1D90F74D">
            <w:pPr>
              <w:spacing w:beforeLines="0" w:afterLines="0"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12个月（签订合同后30个工作日内系统上线）</w:t>
            </w:r>
            <w:r>
              <w:rPr>
                <w:rFonts w:hint="eastAsia" w:ascii="仿宋" w:hAnsi="仿宋" w:eastAsia="仿宋" w:cs="仿宋"/>
                <w:color w:val="auto"/>
                <w:sz w:val="24"/>
                <w:szCs w:val="24"/>
                <w:highlight w:val="none"/>
                <w:lang w:eastAsia="zh-CN"/>
              </w:rPr>
              <w:t>。（服务期自</w:t>
            </w:r>
            <w:r>
              <w:rPr>
                <w:rFonts w:hint="eastAsia" w:ascii="仿宋" w:hAnsi="仿宋" w:eastAsia="仿宋" w:cs="仿宋"/>
                <w:color w:val="auto"/>
                <w:sz w:val="24"/>
                <w:szCs w:val="24"/>
                <w:highlight w:val="none"/>
                <w:lang w:val="en-US" w:eastAsia="zh-CN"/>
              </w:rPr>
              <w:t>系统上线并</w:t>
            </w:r>
            <w:r>
              <w:rPr>
                <w:rFonts w:hint="eastAsia" w:ascii="仿宋" w:hAnsi="仿宋" w:eastAsia="仿宋" w:cs="仿宋"/>
                <w:color w:val="auto"/>
                <w:sz w:val="24"/>
                <w:szCs w:val="24"/>
                <w:highlight w:val="none"/>
                <w:lang w:eastAsia="zh-CN"/>
              </w:rPr>
              <w:t>通过甲方验收合格之日起计）</w:t>
            </w:r>
          </w:p>
        </w:tc>
      </w:tr>
      <w:tr w14:paraId="7BE499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1121" w:type="dxa"/>
            <w:vAlign w:val="center"/>
          </w:tcPr>
          <w:p w14:paraId="6AB36988">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w:t>
            </w:r>
          </w:p>
        </w:tc>
        <w:tc>
          <w:tcPr>
            <w:tcW w:w="2512" w:type="dxa"/>
            <w:vAlign w:val="center"/>
          </w:tcPr>
          <w:p w14:paraId="05112170">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付款方式</w:t>
            </w:r>
          </w:p>
        </w:tc>
        <w:tc>
          <w:tcPr>
            <w:tcW w:w="5925" w:type="dxa"/>
            <w:vAlign w:val="center"/>
          </w:tcPr>
          <w:p w14:paraId="47041CE6">
            <w:pPr>
              <w:spacing w:beforeLines="0" w:afterLines="0" w:line="46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按合同约定执行</w:t>
            </w:r>
            <w:r>
              <w:rPr>
                <w:rFonts w:hint="eastAsia" w:ascii="仿宋" w:hAnsi="仿宋" w:eastAsia="仿宋" w:cs="仿宋"/>
                <w:color w:val="auto"/>
                <w:sz w:val="24"/>
                <w:szCs w:val="24"/>
                <w:highlight w:val="none"/>
                <w:lang w:val="en-US" w:eastAsia="zh-CN"/>
              </w:rPr>
              <w:t>。</w:t>
            </w:r>
          </w:p>
        </w:tc>
      </w:tr>
      <w:tr w14:paraId="2A69B5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121" w:type="dxa"/>
            <w:vAlign w:val="center"/>
          </w:tcPr>
          <w:p w14:paraId="08CB9B3D">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26</w:t>
            </w:r>
          </w:p>
        </w:tc>
        <w:tc>
          <w:tcPr>
            <w:tcW w:w="2512" w:type="dxa"/>
            <w:vAlign w:val="center"/>
          </w:tcPr>
          <w:p w14:paraId="53F8E58B">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质量标准</w:t>
            </w:r>
          </w:p>
        </w:tc>
        <w:tc>
          <w:tcPr>
            <w:tcW w:w="5925" w:type="dxa"/>
            <w:vAlign w:val="center"/>
          </w:tcPr>
          <w:p w14:paraId="156C0A3D">
            <w:pPr>
              <w:wordWrap w:val="0"/>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r>
      <w:tr w14:paraId="59982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121" w:type="dxa"/>
            <w:vAlign w:val="center"/>
          </w:tcPr>
          <w:p w14:paraId="7B55CB47">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27</w:t>
            </w:r>
          </w:p>
        </w:tc>
        <w:tc>
          <w:tcPr>
            <w:tcW w:w="2512" w:type="dxa"/>
            <w:vAlign w:val="center"/>
          </w:tcPr>
          <w:p w14:paraId="104B47E7">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资格审查标准</w:t>
            </w:r>
          </w:p>
        </w:tc>
        <w:tc>
          <w:tcPr>
            <w:tcW w:w="5925" w:type="dxa"/>
            <w:vAlign w:val="center"/>
          </w:tcPr>
          <w:p w14:paraId="57A83B68">
            <w:pPr>
              <w:wordWrap w:val="0"/>
              <w:spacing w:beforeLines="0" w:afterLines="0" w:line="46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各供应商政采云客户端需提供以下资料备查，备查资料为加盖公章的PDF扫描件。</w:t>
            </w:r>
          </w:p>
          <w:p w14:paraId="37809589">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1.投标人须具有有效的营业执照。</w:t>
            </w:r>
          </w:p>
          <w:p w14:paraId="6149CCB7">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2.须具有近一年任意月纳税证明（新公司从成立之日起算）。</w:t>
            </w:r>
          </w:p>
          <w:p w14:paraId="13288AB2">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3.须具备近一年财务审计报告或银行提供的资信证明（新公司从成立之日起算）。</w:t>
            </w:r>
          </w:p>
          <w:p w14:paraId="7C0864C2">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4.近一年任意月缴纳的社保证明（新公司从成立之日起算）。</w:t>
            </w:r>
          </w:p>
          <w:p w14:paraId="7728B73B">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5.须具有履行合同所必须的设备和专业技术能力的承诺函。</w:t>
            </w:r>
          </w:p>
          <w:p w14:paraId="3D4901CD">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6.参加政府采购活动前3年内在经营活动中没有重大违法记录的书面声明。</w:t>
            </w:r>
          </w:p>
          <w:p w14:paraId="4048E3BE">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7.凡拟参加本次招标项目的投标人，如在“信用中国”网站（www.creditchina.gov.cn）被列入失信被执行名单、重大税收违法失信主体名单和中国政府采购网（www.ccgp.gov.cn）政府采购严重违法失信行为记录名单的（尚在处罚期内的），将拒绝其参加本次采购活动。</w:t>
            </w:r>
          </w:p>
          <w:p w14:paraId="64A3221D">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8.法人身份证明及身份证或法人授权委托书及委托代理人身份证。</w:t>
            </w:r>
          </w:p>
          <w:p w14:paraId="3403A721">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rFonts w:hint="eastAsia" w:ascii="仿宋" w:hAnsi="仿宋" w:eastAsia="仿宋" w:cs="仿宋"/>
                <w:b/>
                <w:bCs w:val="0"/>
                <w:color w:val="auto"/>
                <w:kern w:val="11"/>
                <w:sz w:val="24"/>
                <w:highlight w:val="none"/>
                <w:lang w:val="en-US" w:eastAsia="zh-CN"/>
              </w:rPr>
            </w:pPr>
            <w:r>
              <w:rPr>
                <w:rFonts w:hint="eastAsia" w:ascii="仿宋" w:hAnsi="仿宋" w:eastAsia="仿宋" w:cs="仿宋"/>
                <w:b/>
                <w:bCs w:val="0"/>
                <w:color w:val="auto"/>
                <w:kern w:val="11"/>
                <w:sz w:val="24"/>
                <w:highlight w:val="none"/>
                <w:lang w:val="en-US" w:eastAsia="zh-CN"/>
              </w:rPr>
              <w:t>9.保证金缴纳凭证或保函。</w:t>
            </w:r>
          </w:p>
          <w:p w14:paraId="4F36445D">
            <w:pPr>
              <w:pStyle w:val="149"/>
              <w:keepNext w:val="0"/>
              <w:keepLines w:val="0"/>
              <w:pageBreakBefore w:val="0"/>
              <w:kinsoku/>
              <w:wordWrap/>
              <w:overflowPunct/>
              <w:topLinePunct w:val="0"/>
              <w:bidi w:val="0"/>
              <w:snapToGrid w:val="0"/>
              <w:spacing w:beforeLines="0" w:afterLines="0" w:line="460" w:lineRule="exact"/>
              <w:jc w:val="left"/>
              <w:textAlignment w:val="auto"/>
              <w:outlineLvl w:val="9"/>
              <w:rPr>
                <w:color w:val="auto"/>
                <w:highlight w:val="none"/>
              </w:rPr>
            </w:pPr>
            <w:r>
              <w:rPr>
                <w:rFonts w:hint="eastAsia" w:ascii="仿宋" w:hAnsi="仿宋" w:eastAsia="仿宋" w:cs="仿宋"/>
                <w:b/>
                <w:bCs w:val="0"/>
                <w:color w:val="auto"/>
                <w:kern w:val="11"/>
                <w:sz w:val="24"/>
                <w:highlight w:val="none"/>
                <w:lang w:val="en-US" w:eastAsia="zh-CN"/>
              </w:rPr>
              <w:t>10.投标人需提供《中小企业声明函》。</w:t>
            </w:r>
          </w:p>
        </w:tc>
      </w:tr>
      <w:tr w14:paraId="46E4D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121" w:type="dxa"/>
            <w:vAlign w:val="center"/>
          </w:tcPr>
          <w:p w14:paraId="3D7F7E64">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w:t>
            </w:r>
          </w:p>
        </w:tc>
        <w:tc>
          <w:tcPr>
            <w:tcW w:w="2512" w:type="dxa"/>
            <w:vAlign w:val="center"/>
          </w:tcPr>
          <w:p w14:paraId="26CAFCBA">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付款币种</w:t>
            </w:r>
          </w:p>
        </w:tc>
        <w:tc>
          <w:tcPr>
            <w:tcW w:w="5925" w:type="dxa"/>
            <w:vAlign w:val="center"/>
          </w:tcPr>
          <w:p w14:paraId="4242C9D0">
            <w:pPr>
              <w:spacing w:beforeLines="0" w:afterLines="0" w:line="46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1、付款币种：</w:t>
            </w:r>
          </w:p>
          <w:p w14:paraId="04218625">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本次采购所述的项目资金均以人民币支付</w:t>
            </w:r>
          </w:p>
        </w:tc>
      </w:tr>
      <w:tr w14:paraId="2B3B8F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0" w:hRule="atLeast"/>
          <w:jc w:val="center"/>
        </w:trPr>
        <w:tc>
          <w:tcPr>
            <w:tcW w:w="1121" w:type="dxa"/>
            <w:vAlign w:val="center"/>
          </w:tcPr>
          <w:p w14:paraId="1A95FE6F">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w:t>
            </w:r>
          </w:p>
        </w:tc>
        <w:tc>
          <w:tcPr>
            <w:tcW w:w="2512" w:type="dxa"/>
            <w:vAlign w:val="center"/>
          </w:tcPr>
          <w:p w14:paraId="31941CF1">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低于成本价不正当竞争预防措施（实质性要求）</w:t>
            </w:r>
          </w:p>
        </w:tc>
        <w:tc>
          <w:tcPr>
            <w:tcW w:w="5925" w:type="dxa"/>
            <w:vAlign w:val="center"/>
          </w:tcPr>
          <w:p w14:paraId="0B252527">
            <w:pPr>
              <w:spacing w:beforeLines="0" w:afterLines="0" w:line="4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低于成本价不正当竞争预防措施（实质性要求）：</w:t>
            </w:r>
          </w:p>
          <w:p w14:paraId="403A4D7D">
            <w:pPr>
              <w:spacing w:beforeLines="0" w:afterLines="0" w:line="4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在评审过程中，评审委员会认为投标人投标价低于成本价，有可能影响产品质量或者不能诚信履约的，评审小组应当要求其在开标现场合理的时间内提供书面说明，并提交相关证明材料，投标人不能证明其报价合理性的，评审小组应当将其作为无效处理。</w:t>
            </w:r>
          </w:p>
          <w:p w14:paraId="3D18B975">
            <w:pPr>
              <w:spacing w:beforeLines="0" w:afterLines="0" w:line="4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投标人的书面说明材料应当按照国家财务会计制度的规定要求，逐项就投标人提供的货物、工程和服务的主营业务成本、税金及附加、销售费用、管理费用、财务费用等成本构成事项详细陈述）。</w:t>
            </w:r>
          </w:p>
          <w:p w14:paraId="372E6E57">
            <w:pPr>
              <w:spacing w:beforeLines="0" w:afterLines="0" w:line="4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2.投标人书面说明应当签字确认或者加盖公章，否则无效。书面说明的签字确认，由其法定代表人/主要负责人/本人或者其授权代表签字确认。</w:t>
            </w:r>
          </w:p>
          <w:p w14:paraId="551DF14D">
            <w:pPr>
              <w:spacing w:beforeLines="0" w:afterLines="0" w:line="460" w:lineRule="exact"/>
              <w:rPr>
                <w:rFonts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3.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tc>
      </w:tr>
      <w:tr w14:paraId="753AC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2" w:hRule="atLeast"/>
          <w:jc w:val="center"/>
        </w:trPr>
        <w:tc>
          <w:tcPr>
            <w:tcW w:w="1121" w:type="dxa"/>
            <w:vMerge w:val="restart"/>
            <w:vAlign w:val="center"/>
          </w:tcPr>
          <w:p w14:paraId="7E16F156">
            <w:pPr>
              <w:pStyle w:val="12"/>
              <w:spacing w:beforeLines="0" w:afterLines="0" w:line="460" w:lineRule="exact"/>
              <w:ind w:left="0" w:hanging="482" w:hangingChars="200"/>
              <w:contextualSpacing/>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注意</w:t>
            </w:r>
          </w:p>
          <w:p w14:paraId="5D6C1BAD">
            <w:pPr>
              <w:pStyle w:val="12"/>
              <w:spacing w:beforeLines="0" w:afterLines="0" w:line="460" w:lineRule="exact"/>
              <w:ind w:left="0" w:hanging="482" w:hangingChars="200"/>
              <w:contextualSpacing/>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事项</w:t>
            </w:r>
          </w:p>
        </w:tc>
        <w:tc>
          <w:tcPr>
            <w:tcW w:w="8437" w:type="dxa"/>
            <w:gridSpan w:val="2"/>
            <w:vAlign w:val="center"/>
          </w:tcPr>
          <w:p w14:paraId="3205004A">
            <w:pPr>
              <w:pStyle w:val="12"/>
              <w:spacing w:beforeLines="0" w:afterLines="0" w:line="460" w:lineRule="exact"/>
              <w:ind w:firstLine="0" w:firstLineChars="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各供应商应在本项目采购公告发布之日起到响应文件递交截止时间期间，通过“信用中国”网站（</w:t>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"qq://txfile/"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www.creditchina.</w:t>
            </w:r>
            <w:r>
              <w:rPr>
                <w:rFonts w:hint="eastAsia" w:ascii="仿宋" w:hAnsi="仿宋" w:eastAsia="仿宋" w:cs="仿宋"/>
                <w:b/>
                <w:bCs/>
                <w:color w:val="auto"/>
                <w:sz w:val="24"/>
                <w:szCs w:val="24"/>
                <w:highlight w:val="none"/>
                <w:lang w:val="en-US" w:eastAsia="zh-CN"/>
              </w:rPr>
              <w:t>g</w:t>
            </w:r>
            <w:r>
              <w:rPr>
                <w:rFonts w:hint="eastAsia" w:ascii="仿宋" w:hAnsi="仿宋" w:eastAsia="仿宋" w:cs="仿宋"/>
                <w:b/>
                <w:bCs/>
                <w:color w:val="auto"/>
                <w:sz w:val="24"/>
                <w:szCs w:val="24"/>
                <w:highlight w:val="none"/>
              </w:rPr>
              <w:t>ov.cn</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）、中国政府采购网（</w:t>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"qq://txfile/"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www.</w:t>
            </w:r>
            <w:r>
              <w:rPr>
                <w:rFonts w:hint="eastAsia" w:ascii="仿宋" w:hAnsi="仿宋" w:eastAsia="仿宋" w:cs="仿宋"/>
                <w:b/>
                <w:bCs w:val="0"/>
                <w:color w:val="auto"/>
                <w:kern w:val="11"/>
                <w:sz w:val="24"/>
                <w:highlight w:val="none"/>
                <w:lang w:val="en-US" w:eastAsia="zh-CN"/>
              </w:rPr>
              <w:t>ccgp</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g</w:t>
            </w:r>
            <w:r>
              <w:rPr>
                <w:rFonts w:hint="eastAsia" w:ascii="仿宋" w:hAnsi="仿宋" w:eastAsia="仿宋" w:cs="仿宋"/>
                <w:b/>
                <w:bCs/>
                <w:color w:val="auto"/>
                <w:sz w:val="24"/>
                <w:szCs w:val="24"/>
                <w:highlight w:val="none"/>
              </w:rPr>
              <w:t>ov.cn</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）等渠道查询主体信用记录，并将信用信息查询记录作为响应文件组成部分。</w:t>
            </w:r>
          </w:p>
          <w:p w14:paraId="6EA308D5">
            <w:pPr>
              <w:spacing w:beforeLines="0" w:afterLines="0" w:line="460" w:lineRule="exact"/>
              <w:rPr>
                <w:rFonts w:hint="eastAsia" w:ascii="仿宋" w:hAnsi="仿宋" w:eastAsia="仿宋" w:cs="仿宋"/>
                <w:b/>
                <w:bCs/>
                <w:color w:val="auto"/>
                <w:sz w:val="24"/>
                <w:szCs w:val="24"/>
              </w:rPr>
            </w:pPr>
          </w:p>
          <w:p w14:paraId="6596BF72">
            <w:pPr>
              <w:spacing w:beforeLines="0" w:afterLines="0"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注：1、本项目实行网上投标，采用电子投标文件；</w:t>
            </w:r>
          </w:p>
          <w:p w14:paraId="6D702845">
            <w:pPr>
              <w:spacing w:beforeLines="0" w:afterLines="0"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2、各供应商应在开标前应确保成为新疆政府采购云平台正式注册入库供应商，并完成CA数字证书（符合国密标准）申领。因未注册入库、未办理CA数字证书等原因造成无法投标或投标失败等后果由供应商自行承担。如需咨询，请联系新疆CA服务热线0991-2819290；</w:t>
            </w:r>
          </w:p>
          <w:p w14:paraId="0E9FFC76">
            <w:pPr>
              <w:spacing w:beforeLines="0" w:afterLines="0"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3、供应商将政采云电子交易客户端下载、安装完成后，可通过账号密码或CA登录客户端进行投标文件的制作。在使用政采云投标客户端时，建议使用WIN7及以上操作系统。如因供应商自身原因导致在规定时间内无法正常解密的（如：浏览器故障、未安装相关驱动、网络故障、加密CA与解密CA不一致等），采购中心/代理机构不予异常处理，视为供应商自动弃标。</w:t>
            </w:r>
          </w:p>
          <w:p w14:paraId="0F048F0C">
            <w:pPr>
              <w:spacing w:beforeLines="0" w:afterLines="0"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4、不见面开标默认解密时长：30分钟</w:t>
            </w:r>
          </w:p>
          <w:p w14:paraId="46F725D5">
            <w:pPr>
              <w:spacing w:beforeLines="0" w:afterLines="0" w:line="460" w:lineRule="exact"/>
              <w:rPr>
                <w:color w:val="auto"/>
              </w:rPr>
            </w:pPr>
            <w:r>
              <w:rPr>
                <w:rFonts w:hint="eastAsia" w:ascii="仿宋" w:hAnsi="仿宋" w:eastAsia="仿宋" w:cs="仿宋"/>
                <w:b/>
                <w:bCs/>
                <w:color w:val="auto"/>
                <w:sz w:val="24"/>
                <w:szCs w:val="24"/>
              </w:rPr>
              <w:t>关于能否延长解密时间的约定：开标现场若发现默认解密时长不足，由采购人决定是否延长解密时长。</w:t>
            </w:r>
          </w:p>
        </w:tc>
      </w:tr>
      <w:tr w14:paraId="4F886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2" w:hRule="atLeast"/>
          <w:jc w:val="center"/>
        </w:trPr>
        <w:tc>
          <w:tcPr>
            <w:tcW w:w="1121" w:type="dxa"/>
            <w:vMerge w:val="continue"/>
            <w:vAlign w:val="center"/>
          </w:tcPr>
          <w:p w14:paraId="4D0FCA27">
            <w:pPr>
              <w:pStyle w:val="12"/>
              <w:spacing w:beforeLines="0" w:afterLines="0" w:line="460" w:lineRule="exact"/>
              <w:ind w:left="0" w:hanging="482" w:hangingChars="200"/>
              <w:contextualSpacing/>
              <w:jc w:val="center"/>
              <w:rPr>
                <w:rFonts w:hint="eastAsia" w:ascii="仿宋" w:hAnsi="仿宋" w:eastAsia="仿宋" w:cs="仿宋"/>
                <w:b/>
                <w:bCs/>
                <w:color w:val="auto"/>
                <w:sz w:val="24"/>
                <w:highlight w:val="none"/>
              </w:rPr>
            </w:pPr>
          </w:p>
        </w:tc>
        <w:tc>
          <w:tcPr>
            <w:tcW w:w="8437" w:type="dxa"/>
            <w:gridSpan w:val="2"/>
            <w:vAlign w:val="center"/>
          </w:tcPr>
          <w:p w14:paraId="3CA46295">
            <w:pPr>
              <w:pStyle w:val="150"/>
              <w:spacing w:beforeLines="0" w:afterLines="0" w:line="460" w:lineRule="exact"/>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投标文件的数目： </w:t>
            </w:r>
          </w:p>
          <w:p w14:paraId="7A76AB9D">
            <w:pPr>
              <w:pStyle w:val="150"/>
              <w:spacing w:beforeLines="0" w:afterLines="0" w:line="460" w:lineRule="exact"/>
              <w:ind w:firstLine="56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1．本项目采用不见面开标、投标人需要递交电子投标文件，加密的电子投标文件，在投标截止时间前通过新疆政府采购云平台：https://www.zcygov.cn/上传到指定位置。无需递交纸质文件。</w:t>
            </w:r>
          </w:p>
          <w:p w14:paraId="6F19C0C7">
            <w:pPr>
              <w:pStyle w:val="150"/>
              <w:spacing w:beforeLines="0" w:afterLines="0" w:line="460" w:lineRule="exact"/>
              <w:ind w:firstLine="56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0699A244">
            <w:pPr>
              <w:spacing w:beforeLines="0" w:afterLines="0" w:line="460" w:lineRule="exact"/>
              <w:ind w:firstLine="482" w:firstLineChars="200"/>
              <w:rPr>
                <w:rFonts w:hint="eastAsia" w:ascii="仿宋" w:hAnsi="仿宋" w:eastAsia="仿宋" w:cs="仿宋"/>
                <w:b/>
                <w:bCs/>
                <w:color w:val="auto"/>
                <w:sz w:val="24"/>
                <w:szCs w:val="24"/>
              </w:rPr>
            </w:pPr>
            <w:r>
              <w:rPr>
                <w:rFonts w:hint="eastAsia" w:ascii="仿宋" w:hAnsi="仿宋" w:eastAsia="仿宋" w:cs="仿宋"/>
                <w:b/>
                <w:color w:val="auto"/>
                <w:sz w:val="24"/>
                <w:szCs w:val="24"/>
                <w:highlight w:val="none"/>
              </w:rPr>
              <w:t>3.远程开标前，投标人务必在新疆政府采购云平台：https://www.zcygov.cn/投标文件上传模块中使用“模拟解密”功能，验证本机远程自助解密环境。</w:t>
            </w:r>
          </w:p>
        </w:tc>
      </w:tr>
      <w:tr w14:paraId="5CE674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1" w:hRule="atLeast"/>
          <w:jc w:val="center"/>
        </w:trPr>
        <w:tc>
          <w:tcPr>
            <w:tcW w:w="1121" w:type="dxa"/>
            <w:vMerge w:val="restart"/>
            <w:vAlign w:val="center"/>
          </w:tcPr>
          <w:p w14:paraId="50E4D146">
            <w:pPr>
              <w:adjustRightInd w:val="0"/>
              <w:snapToGrid w:val="0"/>
              <w:spacing w:before="0"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其他要求</w:t>
            </w:r>
          </w:p>
        </w:tc>
        <w:tc>
          <w:tcPr>
            <w:tcW w:w="8437" w:type="dxa"/>
            <w:gridSpan w:val="2"/>
            <w:vAlign w:val="center"/>
          </w:tcPr>
          <w:p w14:paraId="776E5299">
            <w:pPr>
              <w:pStyle w:val="15"/>
              <w:spacing w:before="0" w:beforeLines="0" w:afterLines="0" w:line="4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1、签字盖章要求：</w:t>
            </w:r>
          </w:p>
          <w:p w14:paraId="2750F8B9">
            <w:pPr>
              <w:pStyle w:val="15"/>
              <w:spacing w:before="0" w:beforeLines="0" w:afterLines="0" w:line="4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(1)供应商资格证明材料、法定代表人身份证明或授权书应加盖公章；</w:t>
            </w:r>
          </w:p>
          <w:p w14:paraId="412CC3A8">
            <w:pPr>
              <w:pStyle w:val="15"/>
              <w:spacing w:before="0" w:beforeLines="0" w:afterLines="0" w:line="4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(2)其他证明供应商资格的文件或证明材料应为加盖单位公章，样式可参照“投标文件格式”编制；</w:t>
            </w:r>
          </w:p>
          <w:p w14:paraId="771A118A">
            <w:pPr>
              <w:pStyle w:val="15"/>
              <w:spacing w:before="0" w:beforeLines="0" w:afterLines="0" w:line="4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(3)本文件中明确要求盖章或签字的，须盖章或签字。</w:t>
            </w:r>
          </w:p>
          <w:p w14:paraId="497FB001">
            <w:pPr>
              <w:pStyle w:val="15"/>
              <w:spacing w:before="0" w:beforeLines="0" w:afterLines="0" w:line="460" w:lineRule="exact"/>
              <w:rPr>
                <w:color w:val="auto"/>
              </w:rPr>
            </w:pPr>
            <w:r>
              <w:rPr>
                <w:rFonts w:hint="eastAsia" w:ascii="仿宋" w:hAnsi="仿宋" w:eastAsia="仿宋" w:cs="仿宋"/>
                <w:b/>
                <w:color w:val="auto"/>
                <w:szCs w:val="24"/>
                <w:highlight w:val="none"/>
              </w:rPr>
              <w:t>2、供应商提供的响应文件应当使用投标文件所提供响应文件格式（表格可按照同样格式扩展）。未提供格式的，需要时由供应商用文字或者表格、图片等其它形式提供。</w:t>
            </w:r>
          </w:p>
        </w:tc>
      </w:tr>
      <w:tr w14:paraId="0BB8B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1121" w:type="dxa"/>
            <w:vMerge w:val="continue"/>
            <w:vAlign w:val="center"/>
          </w:tcPr>
          <w:p w14:paraId="6C484D6C">
            <w:pPr>
              <w:adjustRightInd w:val="0"/>
              <w:snapToGrid w:val="0"/>
              <w:spacing w:before="0" w:beforeLines="0" w:afterLines="0" w:line="460" w:lineRule="exact"/>
              <w:jc w:val="center"/>
              <w:rPr>
                <w:rFonts w:hint="eastAsia" w:ascii="仿宋" w:hAnsi="仿宋" w:eastAsia="仿宋" w:cs="仿宋"/>
                <w:b/>
                <w:bCs/>
                <w:color w:val="auto"/>
                <w:sz w:val="24"/>
                <w:szCs w:val="24"/>
                <w:highlight w:val="none"/>
              </w:rPr>
            </w:pPr>
          </w:p>
        </w:tc>
        <w:tc>
          <w:tcPr>
            <w:tcW w:w="8437" w:type="dxa"/>
            <w:gridSpan w:val="2"/>
            <w:vAlign w:val="center"/>
          </w:tcPr>
          <w:p w14:paraId="7A041C13">
            <w:pPr>
              <w:spacing w:beforeLines="0" w:afterLines="0"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7EBC51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1121" w:type="dxa"/>
            <w:vMerge w:val="continue"/>
            <w:vAlign w:val="center"/>
          </w:tcPr>
          <w:p w14:paraId="6F628ACE">
            <w:pPr>
              <w:adjustRightInd w:val="0"/>
              <w:snapToGrid w:val="0"/>
              <w:spacing w:before="0" w:beforeLines="0" w:afterLines="0" w:line="460" w:lineRule="exact"/>
              <w:jc w:val="center"/>
              <w:rPr>
                <w:rFonts w:hint="eastAsia" w:ascii="仿宋" w:hAnsi="仿宋" w:eastAsia="仿宋" w:cs="仿宋"/>
                <w:b/>
                <w:bCs/>
                <w:color w:val="auto"/>
                <w:sz w:val="24"/>
                <w:szCs w:val="24"/>
                <w:highlight w:val="none"/>
              </w:rPr>
            </w:pPr>
          </w:p>
        </w:tc>
        <w:tc>
          <w:tcPr>
            <w:tcW w:w="8437" w:type="dxa"/>
            <w:gridSpan w:val="2"/>
            <w:vAlign w:val="center"/>
          </w:tcPr>
          <w:p w14:paraId="01E39CAA">
            <w:pPr>
              <w:spacing w:beforeLines="0" w:afterLines="0"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解释权: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02FC7F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jc w:val="center"/>
        </w:trPr>
        <w:tc>
          <w:tcPr>
            <w:tcW w:w="1121" w:type="dxa"/>
            <w:vAlign w:val="center"/>
          </w:tcPr>
          <w:p w14:paraId="3CC4DBAC">
            <w:pPr>
              <w:adjustRightInd w:val="0"/>
              <w:snapToGrid w:val="0"/>
              <w:spacing w:before="0"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w:t>
            </w:r>
          </w:p>
        </w:tc>
        <w:tc>
          <w:tcPr>
            <w:tcW w:w="8437" w:type="dxa"/>
            <w:gridSpan w:val="2"/>
            <w:vAlign w:val="center"/>
          </w:tcPr>
          <w:p w14:paraId="6B7D615D">
            <w:pPr>
              <w:pStyle w:val="15"/>
              <w:spacing w:before="0" w:beforeLines="0" w:afterLines="0" w:line="460" w:lineRule="exact"/>
              <w:rPr>
                <w:rFonts w:hint="eastAsia" w:ascii="仿宋" w:hAnsi="仿宋" w:eastAsia="仿宋" w:cs="仿宋"/>
                <w:color w:val="auto"/>
                <w:highlight w:val="none"/>
              </w:rPr>
            </w:pPr>
            <w:r>
              <w:rPr>
                <w:rFonts w:hint="eastAsia" w:ascii="仿宋" w:hAnsi="仿宋" w:eastAsia="仿宋" w:cs="仿宋"/>
                <w:color w:val="auto"/>
                <w:highlight w:val="none"/>
              </w:rPr>
              <w:t>1.本项目采购标的对应的中小企业划分标准所属行业为“</w:t>
            </w:r>
            <w:r>
              <w:rPr>
                <w:rFonts w:hint="eastAsia" w:ascii="仿宋" w:hAnsi="仿宋" w:eastAsia="仿宋" w:cs="仿宋"/>
                <w:b/>
                <w:bCs/>
                <w:color w:val="auto"/>
                <w:highlight w:val="none"/>
              </w:rPr>
              <w:t>软件和信息技术服务业</w:t>
            </w:r>
            <w:r>
              <w:rPr>
                <w:rFonts w:hint="eastAsia" w:ascii="仿宋" w:hAnsi="仿宋" w:eastAsia="仿宋" w:cs="仿宋"/>
                <w:color w:val="auto"/>
                <w:highlight w:val="none"/>
              </w:rPr>
              <w:t>”。行业划分标准按《国民经济行业分类》执行。中小企业划分标准按《中小企业划型标准规定》（工信部联企业[2011]300号）文件规定执行。</w:t>
            </w:r>
          </w:p>
          <w:p w14:paraId="614E8F00">
            <w:pPr>
              <w:pStyle w:val="15"/>
              <w:spacing w:before="0" w:beforeLines="0" w:afterLines="0" w:line="460" w:lineRule="exact"/>
              <w:rPr>
                <w:rFonts w:hint="eastAsia" w:ascii="仿宋" w:hAnsi="仿宋" w:eastAsia="仿宋" w:cs="仿宋"/>
                <w:color w:val="auto"/>
                <w:highlight w:val="none"/>
              </w:rPr>
            </w:pPr>
            <w:r>
              <w:rPr>
                <w:rFonts w:hint="eastAsia" w:ascii="仿宋" w:hAnsi="仿宋" w:eastAsia="仿宋" w:cs="仿宋"/>
                <w:color w:val="auto"/>
                <w:highlight w:val="none"/>
              </w:rPr>
              <w:t>2.对于未预留份额专门面向中小企业的采购项目，以及预留份额项目中的非预留部分采购包，采购人、采购代理机构应当对符合规定(详见评标办法)的小微企业报价给予10%的扣除，用扣除后的价格参加评审，须按文件要求有效的提供证明材料《中小企业声明函》。</w:t>
            </w:r>
          </w:p>
          <w:p w14:paraId="5BBC15C9">
            <w:pPr>
              <w:spacing w:beforeLines="0" w:afterLines="0" w:line="460" w:lineRule="exact"/>
              <w:rPr>
                <w:rFonts w:hint="default" w:eastAsia="仿宋"/>
                <w:color w:val="auto"/>
                <w:highlight w:val="none"/>
                <w:lang w:val="en-US" w:eastAsia="zh-CN"/>
              </w:rPr>
            </w:pPr>
            <w:r>
              <w:rPr>
                <w:rFonts w:hint="eastAsia" w:ascii="仿宋" w:hAnsi="仿宋" w:eastAsia="仿宋" w:cs="仿宋"/>
                <w:color w:val="auto"/>
                <w:kern w:val="2"/>
                <w:sz w:val="24"/>
                <w:szCs w:val="21"/>
                <w:highlight w:val="none"/>
                <w:lang w:val="en-US" w:eastAsia="zh-CN" w:bidi="ar-SA"/>
              </w:rPr>
              <w:t>3.本项目属于专门面向中小企业采购项目，对于符合小型和微型的企业报价给予10%的扣除，用扣除后的价格参加评审。</w:t>
            </w:r>
          </w:p>
        </w:tc>
      </w:tr>
    </w:tbl>
    <w:p w14:paraId="2C897D83">
      <w:pPr>
        <w:spacing w:beforeLines="0" w:afterLines="0" w:line="460" w:lineRule="exact"/>
        <w:rPr>
          <w:rFonts w:ascii="仿宋" w:hAnsi="仿宋" w:eastAsia="仿宋" w:cs="仿宋"/>
          <w:b/>
          <w:color w:val="auto"/>
          <w:szCs w:val="24"/>
          <w:highlight w:val="none"/>
        </w:rPr>
      </w:pPr>
      <w:r>
        <w:rPr>
          <w:rFonts w:ascii="仿宋" w:hAnsi="仿宋" w:eastAsia="仿宋" w:cs="仿宋"/>
          <w:b/>
          <w:color w:val="auto"/>
          <w:szCs w:val="24"/>
          <w:highlight w:val="none"/>
        </w:rPr>
        <w:br w:type="page"/>
      </w:r>
    </w:p>
    <w:p w14:paraId="22764647">
      <w:pPr>
        <w:pStyle w:val="3"/>
        <w:spacing w:before="0" w:beforeLines="0" w:after="0" w:afterLines="0" w:line="460" w:lineRule="exact"/>
        <w:jc w:val="center"/>
        <w:rPr>
          <w:rFonts w:ascii="仿宋" w:hAnsi="仿宋" w:eastAsia="仿宋" w:cs="仿宋"/>
          <w:color w:val="auto"/>
          <w:sz w:val="24"/>
          <w:szCs w:val="24"/>
          <w:highlight w:val="none"/>
        </w:rPr>
      </w:pPr>
      <w:bookmarkStart w:id="28" w:name="_Toc349637920"/>
      <w:bookmarkStart w:id="29" w:name="_Toc462223632"/>
      <w:bookmarkStart w:id="30" w:name="_Toc298240405"/>
      <w:bookmarkStart w:id="31" w:name="_Toc267301282"/>
      <w:bookmarkStart w:id="32" w:name="_Toc349573121"/>
      <w:bookmarkStart w:id="33" w:name="_Toc26124"/>
      <w:bookmarkStart w:id="34" w:name="_Toc17167"/>
      <w:r>
        <w:rPr>
          <w:rFonts w:hint="eastAsia" w:ascii="仿宋" w:hAnsi="仿宋" w:eastAsia="仿宋" w:cs="仿宋"/>
          <w:color w:val="auto"/>
          <w:sz w:val="24"/>
          <w:szCs w:val="24"/>
          <w:highlight w:val="none"/>
        </w:rPr>
        <w:t>（一）说　明</w:t>
      </w:r>
      <w:bookmarkEnd w:id="28"/>
      <w:bookmarkEnd w:id="29"/>
      <w:bookmarkEnd w:id="30"/>
      <w:bookmarkEnd w:id="31"/>
      <w:bookmarkEnd w:id="32"/>
      <w:bookmarkEnd w:id="33"/>
      <w:bookmarkEnd w:id="34"/>
    </w:p>
    <w:p w14:paraId="2C211489">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1、适用范围</w:t>
      </w:r>
    </w:p>
    <w:p w14:paraId="6456C27D">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 本文件仅适用于本次磋商文件中所叙述采购的项目。</w:t>
      </w:r>
    </w:p>
    <w:p w14:paraId="3D6A8B3D">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2、定义</w:t>
      </w:r>
    </w:p>
    <w:p w14:paraId="3A431B2F">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“招标代理机构”系指</w:t>
      </w:r>
      <w:r>
        <w:rPr>
          <w:rFonts w:hint="eastAsia" w:ascii="仿宋" w:hAnsi="仿宋" w:eastAsia="仿宋" w:cs="仿宋"/>
          <w:color w:val="auto"/>
          <w:sz w:val="24"/>
          <w:szCs w:val="24"/>
          <w:highlight w:val="none"/>
          <w:lang w:eastAsia="zh-CN"/>
        </w:rPr>
        <w:t>新疆千思跃建设工程项目管理有限责任公司</w:t>
      </w:r>
      <w:r>
        <w:rPr>
          <w:rFonts w:hint="eastAsia" w:ascii="仿宋" w:hAnsi="仿宋" w:eastAsia="仿宋" w:cs="仿宋"/>
          <w:color w:val="auto"/>
          <w:sz w:val="24"/>
          <w:szCs w:val="24"/>
          <w:highlight w:val="none"/>
        </w:rPr>
        <w:t>；</w:t>
      </w:r>
    </w:p>
    <w:p w14:paraId="53CF609E">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“采购人”系指</w:t>
      </w:r>
      <w:r>
        <w:rPr>
          <w:rFonts w:hint="eastAsia" w:ascii="仿宋" w:hAnsi="仿宋" w:eastAsia="仿宋" w:cs="仿宋"/>
          <w:color w:val="auto"/>
          <w:sz w:val="24"/>
          <w:szCs w:val="24"/>
          <w:highlight w:val="none"/>
          <w:lang w:eastAsia="zh-CN"/>
        </w:rPr>
        <w:t>新疆维吾尔自治区交通运输厅智慧交通发展中心</w:t>
      </w:r>
      <w:r>
        <w:rPr>
          <w:rFonts w:hint="eastAsia" w:ascii="仿宋" w:hAnsi="仿宋" w:eastAsia="仿宋" w:cs="仿宋"/>
          <w:color w:val="auto"/>
          <w:sz w:val="24"/>
          <w:szCs w:val="24"/>
          <w:highlight w:val="none"/>
        </w:rPr>
        <w:t>;</w:t>
      </w:r>
    </w:p>
    <w:p w14:paraId="5D26FC3D">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 “投标供应商”系指向招标代理机构提交投标性文件的制造商或代理商或服务商；</w:t>
      </w:r>
    </w:p>
    <w:p w14:paraId="285F6319">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 “成交方”系指在本次投标中成交，将被授予合同的供应商，即成为“成交方”。</w:t>
      </w:r>
    </w:p>
    <w:p w14:paraId="7D57BBFD">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3、合格的供应商</w:t>
      </w:r>
    </w:p>
    <w:p w14:paraId="4F54C2C3">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有能力提供投标文件中所要求的服务、资格审查合格的制造商或代理商为合格的供应商；</w:t>
      </w:r>
    </w:p>
    <w:p w14:paraId="3F6CBBC7">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供应商必须遵守有关的国内法律和规章条例。</w:t>
      </w:r>
    </w:p>
    <w:p w14:paraId="477B4301">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4、供应商资格</w:t>
      </w:r>
    </w:p>
    <w:p w14:paraId="6210385C">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4.1 、落实政府采购政策需满足的资格要求：详见政府采购法。 </w:t>
      </w:r>
    </w:p>
    <w:p w14:paraId="20A49081">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4.2 、供应商须符合《中华人民共和国政府采购法》第二十二条规定,并提供《中华人民共和国政府采购法实施条例》第十七条所要求的材料； </w:t>
      </w:r>
    </w:p>
    <w:p w14:paraId="61216921">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①供应商提供有效的统一社会信用代码的营业执照，供应商必须是中华人民共和国境内注册的，具有独立承担民事责任的能力；</w:t>
      </w:r>
    </w:p>
    <w:p w14:paraId="733DE531">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② 财务状况报告：供应商提供上年度经第三方权威机构出具的完整的财务审计报告（当上一年度审计报告未出来时，</w:t>
      </w:r>
      <w:r>
        <w:rPr>
          <w:rFonts w:ascii="仿宋" w:hAnsi="仿宋" w:eastAsia="仿宋" w:cs="仿宋"/>
          <w:color w:val="auto"/>
          <w:kern w:val="2"/>
          <w:highlight w:val="none"/>
        </w:rPr>
        <w:t>可提供</w:t>
      </w:r>
      <w:r>
        <w:rPr>
          <w:rFonts w:hint="eastAsia" w:ascii="仿宋" w:hAnsi="仿宋" w:eastAsia="仿宋" w:cs="仿宋"/>
          <w:color w:val="auto"/>
          <w:kern w:val="2"/>
          <w:highlight w:val="none"/>
        </w:rPr>
        <w:t>前一年度审计报告</w:t>
      </w:r>
      <w:r>
        <w:rPr>
          <w:rFonts w:ascii="仿宋" w:hAnsi="仿宋" w:eastAsia="仿宋" w:cs="仿宋"/>
          <w:color w:val="auto"/>
          <w:kern w:val="2"/>
          <w:highlight w:val="none"/>
        </w:rPr>
        <w:t>）</w:t>
      </w:r>
      <w:r>
        <w:rPr>
          <w:rFonts w:hint="eastAsia" w:ascii="仿宋" w:hAnsi="仿宋" w:eastAsia="仿宋" w:cs="仿宋"/>
          <w:color w:val="auto"/>
          <w:kern w:val="2"/>
          <w:highlight w:val="none"/>
        </w:rPr>
        <w:t>或自发布公告之日起基本开户银行出具的资信证明； </w:t>
      </w:r>
    </w:p>
    <w:p w14:paraId="1C7D92BB">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③依法缴纳税收：供应商提供自投标截止之日前半年内任意一个月依法缴纳税收的凭据，依法免税的供应商，应提供充足的证明材料；</w:t>
      </w:r>
    </w:p>
    <w:p w14:paraId="77C6CD95">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 xml:space="preserve">④ 供应商逐月缴纳社会保障资金的，提供自投标截止之日前半年内任意一个月缴纳社会保障资金的凭证；供应商逐年缴纳社会保障资金的，提供上年度缴纳社会保障资金的凭证； </w:t>
      </w:r>
    </w:p>
    <w:p w14:paraId="0812FB5B">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 xml:space="preserve">⑤ 供应商具备履行合同所必需的设备和专业技术能力的证明材料； </w:t>
      </w:r>
    </w:p>
    <w:p w14:paraId="019CC94B">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⑥ 供应商提供参加政府采购活动前 3 年内在经营活动中没有重大违法记录的书面声明（截至开标日成立不满 3 年的供应商，可提供自成立以来无重大违法记录的书面声明）；</w:t>
      </w:r>
    </w:p>
    <w:p w14:paraId="42E7D24A">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⑦本项目专门面向中小企业采购，符合要求享受政府采购扶持中小企业政策的中小供应商须提供《中小企业声明函》。监狱企业、残疾人福利性单位，视同为小型和微型企业，须提供《声明函》。</w:t>
      </w:r>
    </w:p>
    <w:p w14:paraId="7C509DA7">
      <w:pPr>
        <w:pStyle w:val="37"/>
        <w:spacing w:before="0" w:beforeLines="0" w:beforeAutospacing="0" w:after="0" w:afterLines="0" w:afterAutospacing="0" w:line="460" w:lineRule="exact"/>
        <w:ind w:firstLine="468" w:firstLineChars="195"/>
        <w:outlineLvl w:val="3"/>
        <w:rPr>
          <w:rFonts w:ascii="仿宋" w:hAnsi="仿宋" w:eastAsia="仿宋" w:cs="仿宋"/>
          <w:color w:val="auto"/>
          <w:kern w:val="2"/>
          <w:highlight w:val="none"/>
        </w:rPr>
      </w:pPr>
      <w:r>
        <w:rPr>
          <w:rFonts w:hint="eastAsia" w:ascii="仿宋" w:hAnsi="仿宋" w:eastAsia="仿宋" w:cs="仿宋"/>
          <w:color w:val="auto"/>
          <w:kern w:val="2"/>
          <w:highlight w:val="none"/>
        </w:rPr>
        <w:t>4.3、供应商提供</w:t>
      </w:r>
      <w:r>
        <w:rPr>
          <w:rFonts w:hint="eastAsia" w:ascii="仿宋" w:hAnsi="仿宋" w:eastAsia="仿宋" w:cs="仿宋"/>
          <w:color w:val="auto"/>
          <w:kern w:val="2"/>
          <w:highlight w:val="none"/>
          <w:lang w:val="en-US" w:eastAsia="zh-CN"/>
        </w:rPr>
        <w:t>法人身份证明及身份证或法人授权委托书及委托代理人身份证</w:t>
      </w:r>
      <w:r>
        <w:rPr>
          <w:rFonts w:hint="eastAsia" w:ascii="仿宋" w:hAnsi="仿宋" w:eastAsia="仿宋" w:cs="仿宋"/>
          <w:color w:val="auto"/>
          <w:kern w:val="2"/>
          <w:highlight w:val="none"/>
        </w:rPr>
        <w:t>；</w:t>
      </w:r>
    </w:p>
    <w:p w14:paraId="0EFF3B9F">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4.4、在“信用中国”网站被列入</w:t>
      </w:r>
      <w:r>
        <w:rPr>
          <w:rFonts w:hint="eastAsia" w:ascii="仿宋" w:hAnsi="仿宋" w:eastAsia="仿宋" w:cs="仿宋"/>
          <w:color w:val="auto"/>
          <w:kern w:val="2"/>
          <w:highlight w:val="none"/>
          <w:lang w:eastAsia="zh-CN"/>
        </w:rPr>
        <w:t>失信被执行名单</w:t>
      </w: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eastAsia="zh-CN"/>
        </w:rPr>
        <w:t>重大税收违法失信主体名单</w:t>
      </w:r>
      <w:r>
        <w:rPr>
          <w:rFonts w:hint="eastAsia" w:ascii="仿宋" w:hAnsi="仿宋" w:eastAsia="仿宋" w:cs="仿宋"/>
          <w:color w:val="auto"/>
          <w:kern w:val="2"/>
          <w:highlight w:val="none"/>
        </w:rPr>
        <w:t>，在中国政府采购网被列入政府采购严重违法失信行为记录名单的（尚在处罚期内的），将拒绝本次政府采购活动,须提供网站查询结果截图。</w:t>
      </w:r>
    </w:p>
    <w:p w14:paraId="3347D649">
      <w:pPr>
        <w:pStyle w:val="37"/>
        <w:spacing w:before="0" w:beforeLines="0" w:beforeAutospacing="0" w:after="0" w:afterLines="0" w:afterAutospacing="0" w:line="460" w:lineRule="exact"/>
        <w:ind w:firstLine="468" w:firstLineChars="195"/>
        <w:outlineLvl w:val="3"/>
        <w:rPr>
          <w:rFonts w:ascii="仿宋" w:hAnsi="仿宋" w:eastAsia="仿宋" w:cs="仿宋"/>
          <w:color w:val="auto"/>
          <w:kern w:val="2"/>
          <w:highlight w:val="none"/>
        </w:rPr>
      </w:pPr>
      <w:r>
        <w:rPr>
          <w:rFonts w:hint="eastAsia" w:ascii="仿宋" w:hAnsi="仿宋" w:eastAsia="仿宋" w:cs="仿宋"/>
          <w:color w:val="auto"/>
          <w:kern w:val="2"/>
          <w:highlight w:val="none"/>
        </w:rPr>
        <w:t>4.5、本项目不接受联合体投标；</w:t>
      </w:r>
    </w:p>
    <w:p w14:paraId="0B0DFC48">
      <w:pPr>
        <w:pStyle w:val="37"/>
        <w:spacing w:before="0" w:beforeLines="0" w:beforeAutospacing="0" w:after="0" w:afterLines="0" w:afterAutospacing="0" w:line="460" w:lineRule="exact"/>
        <w:ind w:firstLine="468" w:firstLineChars="195"/>
        <w:rPr>
          <w:rFonts w:ascii="仿宋" w:hAnsi="仿宋" w:eastAsia="仿宋" w:cs="仿宋"/>
          <w:color w:val="auto"/>
          <w:highlight w:val="none"/>
        </w:rPr>
      </w:pPr>
      <w:r>
        <w:rPr>
          <w:rFonts w:hint="eastAsia" w:ascii="仿宋" w:hAnsi="仿宋" w:eastAsia="仿宋" w:cs="仿宋"/>
          <w:color w:val="auto"/>
          <w:kern w:val="2"/>
          <w:highlight w:val="none"/>
        </w:rPr>
        <w:t>4.6、单位负责人为同一人或者存在直接控股、管理关系的不同投标人，不得同时参加本项目的竞争。</w:t>
      </w:r>
    </w:p>
    <w:p w14:paraId="088E90AB">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5、投标费用</w:t>
      </w:r>
    </w:p>
    <w:p w14:paraId="13D51401">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 无论投标过程中的作法和结果如何，供应商将自行承担所有与参加投标有关的全部费用。</w:t>
      </w:r>
      <w:bookmarkStart w:id="35" w:name="_Toc349573122"/>
      <w:bookmarkStart w:id="36" w:name="_Toc267301283"/>
      <w:bookmarkStart w:id="37" w:name="_Toc349637921"/>
      <w:bookmarkStart w:id="38" w:name="_Toc298240406"/>
    </w:p>
    <w:p w14:paraId="2C0D8BB5">
      <w:pPr>
        <w:pStyle w:val="3"/>
        <w:pageBreakBefore/>
        <w:widowControl/>
        <w:spacing w:before="0" w:beforeLines="0" w:after="0" w:afterLines="0" w:line="460" w:lineRule="exact"/>
        <w:jc w:val="center"/>
        <w:rPr>
          <w:rFonts w:ascii="仿宋" w:hAnsi="仿宋" w:eastAsia="仿宋" w:cs="仿宋"/>
          <w:color w:val="auto"/>
          <w:sz w:val="24"/>
          <w:szCs w:val="24"/>
          <w:highlight w:val="none"/>
        </w:rPr>
      </w:pPr>
      <w:bookmarkStart w:id="39" w:name="_Toc7036"/>
      <w:bookmarkStart w:id="40" w:name="_Toc462223633"/>
      <w:bookmarkStart w:id="41" w:name="_Toc21015"/>
      <w:r>
        <w:rPr>
          <w:rFonts w:hint="eastAsia" w:ascii="仿宋" w:hAnsi="仿宋" w:eastAsia="仿宋" w:cs="仿宋"/>
          <w:color w:val="auto"/>
          <w:sz w:val="24"/>
          <w:szCs w:val="24"/>
          <w:highlight w:val="none"/>
        </w:rPr>
        <w:t>（二）  投标文件</w:t>
      </w:r>
      <w:bookmarkEnd w:id="35"/>
      <w:bookmarkEnd w:id="36"/>
      <w:bookmarkEnd w:id="37"/>
      <w:bookmarkEnd w:id="38"/>
      <w:bookmarkEnd w:id="39"/>
      <w:bookmarkEnd w:id="40"/>
      <w:bookmarkEnd w:id="41"/>
    </w:p>
    <w:p w14:paraId="46EC601A">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6、投标文件构成</w:t>
      </w:r>
    </w:p>
    <w:p w14:paraId="29D2BBB8">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6.1投标文件包括：</w:t>
      </w:r>
    </w:p>
    <w:p w14:paraId="7BCACAAB">
      <w:pPr>
        <w:spacing w:beforeLines="0" w:afterLines="0" w:line="460" w:lineRule="exact"/>
        <w:ind w:firstLine="753" w:firstLineChars="31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6.1.1 投标公告；</w:t>
      </w:r>
    </w:p>
    <w:p w14:paraId="370DEEBF">
      <w:pPr>
        <w:spacing w:beforeLines="0" w:afterLines="0" w:line="460" w:lineRule="exact"/>
        <w:ind w:firstLine="753" w:firstLineChars="31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6.1.2 供应商须知；</w:t>
      </w:r>
    </w:p>
    <w:p w14:paraId="38C88A6F">
      <w:pPr>
        <w:spacing w:beforeLines="0" w:afterLines="0" w:line="460" w:lineRule="exact"/>
        <w:ind w:firstLine="753" w:firstLineChars="31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6.1.3 项目需求；</w:t>
      </w:r>
    </w:p>
    <w:p w14:paraId="01BC6AB0">
      <w:pPr>
        <w:spacing w:beforeLines="0" w:afterLines="0" w:line="460" w:lineRule="exact"/>
        <w:ind w:firstLine="753" w:firstLineChars="31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6.1.4 合同条款；</w:t>
      </w:r>
    </w:p>
    <w:p w14:paraId="67E67ED8">
      <w:pPr>
        <w:spacing w:beforeLines="0" w:afterLines="0" w:line="460" w:lineRule="exact"/>
        <w:ind w:firstLine="753" w:firstLineChars="31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6.1.5 投标文件格式。</w:t>
      </w:r>
    </w:p>
    <w:p w14:paraId="1756043C">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 投标文件以中文编写。</w:t>
      </w:r>
    </w:p>
    <w:p w14:paraId="7B6634C8">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 供应商应认真阅读投标文件中所有的事项、格式、条款和规范等要求，从而对投标文件作出实质性响应。如果没有按照投标文件要求提交全部投标文件或资料，没有对投标文件作出实质性响应，其风险应由供应商自行承担。</w:t>
      </w:r>
    </w:p>
    <w:p w14:paraId="5B807590">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7、投标文件澄清</w:t>
      </w:r>
    </w:p>
    <w:p w14:paraId="62701825">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 供应商对投标文件有疑问的，可以向招标代理机构提出询问，招标代理机构将及时做出答复；</w:t>
      </w:r>
    </w:p>
    <w:p w14:paraId="4873309C">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 供应商对投标文件有质疑，须在得到招标文件之日起至质疑截止时间止，以书面形式向招标机构提出质疑；招标机构在收到书面质疑后7个工作日内做出答复，并以书面形式通知质疑投标人。</w:t>
      </w:r>
    </w:p>
    <w:p w14:paraId="5C439716">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 投标文件的修改</w:t>
      </w:r>
    </w:p>
    <w:p w14:paraId="03611504">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 投标人对招标文件有疑问的，可以向招标代理机构提出询问，招标代理机构将及时做出答复；</w:t>
      </w:r>
    </w:p>
    <w:p w14:paraId="05BD8AE4">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 供应商在规定的时间内未对投标文件提出澄清要求的，招标代理机构将视其为同意。</w:t>
      </w:r>
    </w:p>
    <w:p w14:paraId="11D5DC2B">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 在投标截止时间前，招标机构可视具体情况延长投标截止时间，并将变更时间书面通知所有购买投标文件的供应商。</w:t>
      </w:r>
    </w:p>
    <w:p w14:paraId="6E40DC8F">
      <w:pPr>
        <w:pStyle w:val="3"/>
        <w:spacing w:before="0" w:beforeLines="0" w:after="0" w:afterLines="0" w:line="460" w:lineRule="exact"/>
        <w:jc w:val="center"/>
        <w:rPr>
          <w:rFonts w:ascii="仿宋" w:hAnsi="仿宋" w:eastAsia="仿宋" w:cs="仿宋"/>
          <w:color w:val="auto"/>
          <w:sz w:val="24"/>
          <w:szCs w:val="24"/>
          <w:highlight w:val="none"/>
        </w:rPr>
      </w:pPr>
      <w:bookmarkStart w:id="42" w:name="_Toc267301284"/>
      <w:bookmarkStart w:id="43" w:name="_Toc349637922"/>
      <w:bookmarkStart w:id="44" w:name="_Toc462223634"/>
      <w:bookmarkStart w:id="45" w:name="_Toc298240407"/>
      <w:bookmarkStart w:id="46" w:name="_Toc349573123"/>
    </w:p>
    <w:p w14:paraId="4E6A9891">
      <w:pPr>
        <w:pStyle w:val="3"/>
        <w:spacing w:before="0" w:beforeLines="0" w:after="0" w:afterLines="0" w:line="460" w:lineRule="exact"/>
        <w:jc w:val="center"/>
        <w:rPr>
          <w:rFonts w:ascii="仿宋" w:hAnsi="仿宋" w:eastAsia="仿宋" w:cs="仿宋"/>
          <w:color w:val="auto"/>
          <w:sz w:val="24"/>
          <w:szCs w:val="24"/>
          <w:highlight w:val="none"/>
        </w:rPr>
      </w:pPr>
      <w:bookmarkStart w:id="47" w:name="_Toc32413"/>
      <w:bookmarkStart w:id="48" w:name="_Toc26649"/>
      <w:r>
        <w:rPr>
          <w:rFonts w:hint="eastAsia" w:ascii="仿宋" w:hAnsi="仿宋" w:eastAsia="仿宋" w:cs="仿宋"/>
          <w:color w:val="auto"/>
          <w:sz w:val="24"/>
          <w:szCs w:val="24"/>
          <w:highlight w:val="none"/>
        </w:rPr>
        <w:t>（三） 投标性文件的编写</w:t>
      </w:r>
      <w:bookmarkEnd w:id="42"/>
      <w:bookmarkEnd w:id="43"/>
      <w:bookmarkEnd w:id="44"/>
      <w:bookmarkEnd w:id="45"/>
      <w:bookmarkEnd w:id="46"/>
      <w:bookmarkEnd w:id="47"/>
      <w:bookmarkEnd w:id="48"/>
    </w:p>
    <w:p w14:paraId="28437D2C">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9、要求</w:t>
      </w:r>
    </w:p>
    <w:p w14:paraId="4C20A7C1">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供应商应仔细阅读投标文件的所有内容，按投标文件的要求提供投标性文件，并保证所提供的全部资料的真实性，以使其投标对投标文件作出实质性响应，否则，其投标可能被拒绝。</w:t>
      </w:r>
    </w:p>
    <w:p w14:paraId="21B0A8FB">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10、投标语言</w:t>
      </w:r>
    </w:p>
    <w:p w14:paraId="438898E9">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性文件及供应商与招标代理机构就投标交换的文件和来往信件，应以中文书写（投标供应商提交的支持文件和印刷的文献可以使用别的语言，但其相应内容必须附有中文翻译文本，在解释投标文件时以翻译文本为主）。</w:t>
      </w:r>
    </w:p>
    <w:p w14:paraId="0B32C9EA">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11、投标性文件的构成</w:t>
      </w:r>
    </w:p>
    <w:p w14:paraId="44EBB0EB">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 供应商编写的投标性文件应包括下列内容：</w:t>
      </w:r>
    </w:p>
    <w:p w14:paraId="2ABC5F70">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一、投标函（附件1）</w:t>
      </w:r>
    </w:p>
    <w:p w14:paraId="6553997A">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二、法定代表人身份证明（附件2）</w:t>
      </w:r>
    </w:p>
    <w:p w14:paraId="690D8F26">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三、法定代表人授权委托书（附件3）</w:t>
      </w:r>
    </w:p>
    <w:p w14:paraId="7B0748BF">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四、投标报价表（开标一览表）（附件4）</w:t>
      </w:r>
    </w:p>
    <w:p w14:paraId="57BAA4B9">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五、商务偏离表（附件5）</w:t>
      </w:r>
    </w:p>
    <w:p w14:paraId="340ED3EF">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六、资格证明文件</w:t>
      </w:r>
    </w:p>
    <w:p w14:paraId="4222F2CC">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七、类似业绩（附件6）</w:t>
      </w:r>
    </w:p>
    <w:p w14:paraId="4286FCE4">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八、技术偏离表（附件7）</w:t>
      </w:r>
    </w:p>
    <w:p w14:paraId="488B7025">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九、技术部分</w:t>
      </w:r>
    </w:p>
    <w:p w14:paraId="3D6E22B5">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十、中小微企业证明文件等（附件11）</w:t>
      </w:r>
    </w:p>
    <w:p w14:paraId="47B9F2D9">
      <w:pPr>
        <w:spacing w:beforeLines="0" w:afterLines="0" w:line="460" w:lineRule="exact"/>
        <w:ind w:firstLine="480" w:firstLineChars="200"/>
        <w:textAlignment w:val="baseline"/>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十一、投标人认为有必要提交的其他相关证明材料</w:t>
      </w:r>
    </w:p>
    <w:p w14:paraId="2AFEF4CA">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12、投标文件格式</w:t>
      </w:r>
    </w:p>
    <w:p w14:paraId="7C756645">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 供应商应按投标文件的范本格式中提供的文件格式填写。</w:t>
      </w:r>
    </w:p>
    <w:p w14:paraId="4E7A26D2">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13、投标报价</w:t>
      </w:r>
    </w:p>
    <w:p w14:paraId="689166C0">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 供应商应在投标报价表上标明单价和总价。单价和总价要相符。小写和大写要相符。供应商应在投标报价表中标明其提供的所有服务及其相关工作范围内所有费用的总价，不接受有任何选择性投标报价。</w:t>
      </w:r>
    </w:p>
    <w:p w14:paraId="7072D1A5">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 算术性修正。算术性修正是指对投标文件的报价明细进行校核，并对其算术上和运算上的差错给予修正。修正的原则如下：</w:t>
      </w:r>
    </w:p>
    <w:p w14:paraId="636E9C4C">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13.2.1 当以数字表示的金额与文字表示的金额有差异时，以文字表示的金额为准；</w:t>
      </w:r>
    </w:p>
    <w:p w14:paraId="73BDDD20">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13.2.2 当单价与数量相乘不等于合价时，以单价计算为准。如果单价有明显的小数点位置差错，应以标出的合价为准，同时对单价予以修正；</w:t>
      </w:r>
    </w:p>
    <w:p w14:paraId="546CFF53">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13.2.3 当各明细部分的价格累计不等于合价时，应以各明细的累计计数为准，修正合价。</w:t>
      </w:r>
    </w:p>
    <w:p w14:paraId="6761E5EA">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13.2.4 按以上原则对算术性差错修正，应取得供应商的同意，并确认修正后最终投标报价。如果供应商拒绝确认，则其投标文件将不予以评审并按废标处理，没收其投标担保。</w:t>
      </w:r>
    </w:p>
    <w:p w14:paraId="537CCE55">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14、投标货币</w:t>
      </w:r>
    </w:p>
    <w:p w14:paraId="56A4E079">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14.1人民币报价。</w:t>
      </w:r>
    </w:p>
    <w:p w14:paraId="03A08541">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15、供应商的证明文件：</w:t>
      </w:r>
    </w:p>
    <w:p w14:paraId="062285A4">
      <w:pPr>
        <w:spacing w:beforeLines="0" w:afterLines="0" w:line="460" w:lineRule="exact"/>
        <w:ind w:firstLine="480" w:firstLineChars="200"/>
        <w:rPr>
          <w:rFonts w:ascii="仿宋" w:hAnsi="仿宋" w:eastAsia="仿宋" w:cs="仿宋"/>
          <w:color w:val="auto"/>
          <w:spacing w:val="8"/>
          <w:sz w:val="24"/>
          <w:szCs w:val="24"/>
          <w:highlight w:val="none"/>
        </w:rPr>
      </w:pPr>
      <w:r>
        <w:rPr>
          <w:rFonts w:hint="eastAsia" w:ascii="仿宋" w:hAnsi="仿宋" w:eastAsia="仿宋" w:cs="仿宋"/>
          <w:color w:val="auto"/>
          <w:sz w:val="24"/>
          <w:szCs w:val="24"/>
          <w:highlight w:val="none"/>
        </w:rPr>
        <w:t>供应商必须提交证明其有资格进行投标和有能力履行合同的文件（范本格式），作为投标文件的一部分。（</w:t>
      </w:r>
      <w:r>
        <w:rPr>
          <w:rFonts w:hint="eastAsia" w:ascii="仿宋" w:hAnsi="仿宋" w:eastAsia="仿宋" w:cs="仿宋"/>
          <w:color w:val="auto"/>
          <w:spacing w:val="8"/>
          <w:sz w:val="24"/>
          <w:szCs w:val="24"/>
          <w:highlight w:val="none"/>
        </w:rPr>
        <w:t>如不满足以下条款将导致废标）</w:t>
      </w:r>
    </w:p>
    <w:p w14:paraId="36D711C0">
      <w:pPr>
        <w:pStyle w:val="37"/>
        <w:spacing w:before="0" w:beforeLines="0" w:beforeAutospacing="0" w:after="0" w:afterLines="0" w:afterAutospacing="0" w:line="460" w:lineRule="exact"/>
        <w:ind w:firstLine="480" w:firstLineChars="200"/>
        <w:rPr>
          <w:rFonts w:ascii="仿宋" w:hAnsi="仿宋" w:eastAsia="仿宋" w:cs="仿宋"/>
          <w:color w:val="auto"/>
          <w:kern w:val="2"/>
          <w:highlight w:val="none"/>
        </w:rPr>
      </w:pPr>
      <w:r>
        <w:rPr>
          <w:rFonts w:hint="eastAsia" w:ascii="仿宋" w:hAnsi="仿宋" w:eastAsia="仿宋" w:cs="仿宋"/>
          <w:color w:val="auto"/>
          <w:kern w:val="2"/>
          <w:highlight w:val="none"/>
        </w:rPr>
        <w:t>15.1 、落实政府采购政策需满足的资格要求：详见政府采购法。</w:t>
      </w:r>
    </w:p>
    <w:p w14:paraId="42287D7C">
      <w:pPr>
        <w:pStyle w:val="37"/>
        <w:spacing w:before="0" w:beforeLines="0" w:beforeAutospacing="0" w:after="0" w:afterLines="0" w:afterAutospacing="0" w:line="460" w:lineRule="exact"/>
        <w:ind w:firstLine="480" w:firstLineChars="200"/>
        <w:rPr>
          <w:rFonts w:ascii="仿宋" w:hAnsi="仿宋" w:eastAsia="仿宋" w:cs="仿宋"/>
          <w:color w:val="auto"/>
          <w:kern w:val="2"/>
          <w:highlight w:val="none"/>
        </w:rPr>
      </w:pPr>
      <w:r>
        <w:rPr>
          <w:rFonts w:hint="eastAsia" w:ascii="仿宋" w:hAnsi="仿宋" w:eastAsia="仿宋" w:cs="仿宋"/>
          <w:color w:val="auto"/>
          <w:kern w:val="2"/>
          <w:highlight w:val="none"/>
        </w:rPr>
        <w:t>15.2、供应商须符合《中华人民共和国政府采购法》第二十二条规定,并提供《中华人民共和国政府采购法实施条例》第十七条所要求的材料；</w:t>
      </w:r>
    </w:p>
    <w:p w14:paraId="7189363D">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①供应商提供有效的统一社会信用代码的营业执照，供应商必须是中华人民共和国境内注册的，具有独立承担民事责任的能力；</w:t>
      </w:r>
    </w:p>
    <w:p w14:paraId="523B015E">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② 财务状况报告：供应商提供上年度经第三方权威机构出具的完整的财务审计报告（当上一年度审计报告未出来时，</w:t>
      </w:r>
      <w:r>
        <w:rPr>
          <w:rFonts w:ascii="仿宋" w:hAnsi="仿宋" w:eastAsia="仿宋" w:cs="仿宋"/>
          <w:color w:val="auto"/>
          <w:kern w:val="2"/>
          <w:highlight w:val="none"/>
        </w:rPr>
        <w:t>可提供</w:t>
      </w:r>
      <w:r>
        <w:rPr>
          <w:rFonts w:hint="eastAsia" w:ascii="仿宋" w:hAnsi="仿宋" w:eastAsia="仿宋" w:cs="仿宋"/>
          <w:color w:val="auto"/>
          <w:kern w:val="2"/>
          <w:highlight w:val="none"/>
        </w:rPr>
        <w:t>前一年度审计报告</w:t>
      </w:r>
      <w:r>
        <w:rPr>
          <w:rFonts w:ascii="仿宋" w:hAnsi="仿宋" w:eastAsia="仿宋" w:cs="仿宋"/>
          <w:color w:val="auto"/>
          <w:kern w:val="2"/>
          <w:highlight w:val="none"/>
        </w:rPr>
        <w:t>）</w:t>
      </w:r>
      <w:r>
        <w:rPr>
          <w:rFonts w:hint="eastAsia" w:ascii="仿宋" w:hAnsi="仿宋" w:eastAsia="仿宋" w:cs="仿宋"/>
          <w:color w:val="auto"/>
          <w:kern w:val="2"/>
          <w:highlight w:val="none"/>
        </w:rPr>
        <w:t>或自发布公告之日起基本开户银行出具的资信证明； </w:t>
      </w:r>
    </w:p>
    <w:p w14:paraId="2EA05658">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③ 依法缴纳税收：</w:t>
      </w:r>
      <w:r>
        <w:rPr>
          <w:rFonts w:hint="eastAsia" w:ascii="仿宋" w:hAnsi="仿宋" w:eastAsia="仿宋" w:cs="仿宋"/>
          <w:color w:val="auto"/>
          <w:kern w:val="2"/>
          <w:highlight w:val="none"/>
          <w:lang w:val="en-US" w:eastAsia="zh-CN"/>
        </w:rPr>
        <w:t>须具有近一年任意月纳税证明（新公司从成立之日起算）</w:t>
      </w:r>
      <w:r>
        <w:rPr>
          <w:rFonts w:hint="eastAsia" w:ascii="仿宋" w:hAnsi="仿宋" w:eastAsia="仿宋" w:cs="仿宋"/>
          <w:color w:val="auto"/>
          <w:kern w:val="2"/>
          <w:highlight w:val="none"/>
        </w:rPr>
        <w:t>应提供充足的证明材料；</w:t>
      </w:r>
    </w:p>
    <w:p w14:paraId="73B3A804">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④ 供应商</w:t>
      </w:r>
      <w:r>
        <w:rPr>
          <w:rFonts w:hint="eastAsia" w:ascii="仿宋" w:hAnsi="仿宋" w:eastAsia="仿宋" w:cs="仿宋"/>
          <w:color w:val="auto"/>
          <w:kern w:val="2"/>
          <w:highlight w:val="none"/>
          <w:lang w:val="en-US" w:eastAsia="zh-CN"/>
        </w:rPr>
        <w:t>依法</w:t>
      </w:r>
      <w:r>
        <w:rPr>
          <w:rFonts w:hint="eastAsia" w:ascii="仿宋" w:hAnsi="仿宋" w:eastAsia="仿宋" w:cs="仿宋"/>
          <w:color w:val="auto"/>
          <w:kern w:val="2"/>
          <w:highlight w:val="none"/>
        </w:rPr>
        <w:t>缴纳社会保障资金的</w:t>
      </w:r>
      <w:r>
        <w:rPr>
          <w:rFonts w:hint="eastAsia" w:ascii="仿宋" w:hAnsi="仿宋" w:eastAsia="仿宋" w:cs="仿宋"/>
          <w:color w:val="auto"/>
          <w:kern w:val="2"/>
          <w:highlight w:val="none"/>
          <w:lang w:eastAsia="zh-CN"/>
        </w:rPr>
        <w:t>：</w:t>
      </w:r>
      <w:r>
        <w:rPr>
          <w:rFonts w:hint="eastAsia" w:ascii="仿宋" w:hAnsi="仿宋" w:eastAsia="仿宋" w:cs="仿宋"/>
          <w:color w:val="auto"/>
          <w:kern w:val="2"/>
          <w:highlight w:val="none"/>
        </w:rPr>
        <w:t>提供</w:t>
      </w:r>
      <w:r>
        <w:rPr>
          <w:rFonts w:hint="eastAsia" w:ascii="仿宋" w:hAnsi="仿宋" w:eastAsia="仿宋" w:cs="仿宋"/>
          <w:color w:val="auto"/>
          <w:kern w:val="2"/>
          <w:highlight w:val="none"/>
          <w:lang w:val="en-US" w:eastAsia="zh-CN"/>
        </w:rPr>
        <w:t>近一年任意月缴纳的社保证明（新公司从成立之日起算）</w:t>
      </w:r>
      <w:r>
        <w:rPr>
          <w:rFonts w:hint="eastAsia" w:ascii="仿宋" w:hAnsi="仿宋" w:eastAsia="仿宋" w:cs="仿宋"/>
          <w:color w:val="auto"/>
          <w:kern w:val="2"/>
          <w:highlight w:val="none"/>
        </w:rPr>
        <w:t>；</w:t>
      </w:r>
    </w:p>
    <w:p w14:paraId="60849331">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⑤ 供应商具备履行合同所必需的设备和专业技术能力的证明材料；</w:t>
      </w:r>
    </w:p>
    <w:p w14:paraId="3D9265C4">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⑥ 供应商提供参加政府采购活动前 3 年内在经营活动中没有重大违法记录的书面声明（截至开标日成立不满 3 年的供应商，可提供自成立以来无重大违法记录的书面声明）；</w:t>
      </w:r>
    </w:p>
    <w:p w14:paraId="3D6F0206">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⑦本项目</w:t>
      </w:r>
      <w:r>
        <w:rPr>
          <w:rFonts w:hint="eastAsia" w:ascii="仿宋" w:hAnsi="仿宋" w:eastAsia="仿宋" w:cs="仿宋"/>
          <w:color w:val="auto"/>
          <w:kern w:val="2"/>
          <w:highlight w:val="none"/>
          <w:lang w:val="en-US" w:eastAsia="zh-CN"/>
        </w:rPr>
        <w:t>为</w:t>
      </w:r>
      <w:r>
        <w:rPr>
          <w:rFonts w:hint="eastAsia" w:ascii="仿宋" w:hAnsi="仿宋" w:eastAsia="仿宋" w:cs="仿宋"/>
          <w:color w:val="auto"/>
          <w:kern w:val="2"/>
          <w:highlight w:val="none"/>
        </w:rPr>
        <w:t>专门面向中小企业采购，符合要求享受政府采购扶持中小企业政策的中小供应商须提供《中小企业声明函》。监狱企业、残疾人福利性单位，视同为小型和微型企业，须提供《声明函》。</w:t>
      </w:r>
    </w:p>
    <w:p w14:paraId="1996CF3D">
      <w:pPr>
        <w:pStyle w:val="37"/>
        <w:spacing w:before="0" w:beforeLines="0" w:beforeAutospacing="0" w:after="0" w:afterLines="0" w:afterAutospacing="0" w:line="460" w:lineRule="exact"/>
        <w:ind w:firstLine="468" w:firstLineChars="195"/>
        <w:outlineLvl w:val="3"/>
        <w:rPr>
          <w:rFonts w:ascii="仿宋" w:hAnsi="仿宋" w:eastAsia="仿宋" w:cs="仿宋"/>
          <w:color w:val="auto"/>
          <w:kern w:val="2"/>
          <w:highlight w:val="none"/>
        </w:rPr>
      </w:pPr>
      <w:r>
        <w:rPr>
          <w:rFonts w:hint="eastAsia" w:ascii="仿宋" w:hAnsi="仿宋" w:eastAsia="仿宋" w:cs="仿宋"/>
          <w:color w:val="auto"/>
          <w:kern w:val="2"/>
          <w:highlight w:val="none"/>
        </w:rPr>
        <w:t>15.3、供应商提供</w:t>
      </w:r>
      <w:r>
        <w:rPr>
          <w:rFonts w:hint="eastAsia" w:ascii="仿宋" w:hAnsi="仿宋" w:eastAsia="仿宋" w:cs="仿宋"/>
          <w:color w:val="auto"/>
          <w:kern w:val="2"/>
          <w:highlight w:val="none"/>
          <w:lang w:val="en-US" w:eastAsia="zh-CN"/>
        </w:rPr>
        <w:t>法人身份证明及身份证或法人授权委托书及委托代理人身份证</w:t>
      </w:r>
      <w:r>
        <w:rPr>
          <w:rFonts w:hint="eastAsia" w:ascii="仿宋" w:hAnsi="仿宋" w:eastAsia="仿宋" w:cs="仿宋"/>
          <w:color w:val="auto"/>
          <w:kern w:val="2"/>
          <w:highlight w:val="none"/>
        </w:rPr>
        <w:t>；</w:t>
      </w:r>
    </w:p>
    <w:p w14:paraId="6339667C">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15.4、在“信用中国”网站被列入</w:t>
      </w:r>
      <w:r>
        <w:rPr>
          <w:rFonts w:hint="eastAsia" w:ascii="仿宋" w:hAnsi="仿宋" w:eastAsia="仿宋" w:cs="仿宋"/>
          <w:color w:val="auto"/>
          <w:kern w:val="2"/>
          <w:highlight w:val="none"/>
          <w:lang w:eastAsia="zh-CN"/>
        </w:rPr>
        <w:t>失信被执行名单</w:t>
      </w: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eastAsia="zh-CN"/>
        </w:rPr>
        <w:t>重大税收违法失信主体名单</w:t>
      </w:r>
      <w:r>
        <w:rPr>
          <w:rFonts w:hint="eastAsia" w:ascii="仿宋" w:hAnsi="仿宋" w:eastAsia="仿宋" w:cs="仿宋"/>
          <w:color w:val="auto"/>
          <w:kern w:val="2"/>
          <w:highlight w:val="none"/>
        </w:rPr>
        <w:t>，在中国政府采购网被列入政府采购严重违法失信行为记录名单的（尚在处罚期内的），将拒绝本次政府采购活动,须提供网站查询结果截图。</w:t>
      </w:r>
    </w:p>
    <w:p w14:paraId="6A2F0128">
      <w:pPr>
        <w:pStyle w:val="37"/>
        <w:spacing w:before="0" w:beforeLines="0" w:beforeAutospacing="0" w:after="0" w:afterLines="0" w:afterAutospacing="0" w:line="460" w:lineRule="exact"/>
        <w:ind w:firstLine="468" w:firstLineChars="195"/>
        <w:outlineLvl w:val="3"/>
        <w:rPr>
          <w:rFonts w:ascii="仿宋" w:hAnsi="仿宋" w:eastAsia="仿宋" w:cs="仿宋"/>
          <w:color w:val="auto"/>
          <w:kern w:val="2"/>
          <w:highlight w:val="none"/>
        </w:rPr>
      </w:pPr>
      <w:r>
        <w:rPr>
          <w:rFonts w:hint="eastAsia" w:ascii="仿宋" w:hAnsi="仿宋" w:eastAsia="仿宋" w:cs="仿宋"/>
          <w:color w:val="auto"/>
          <w:kern w:val="2"/>
          <w:highlight w:val="none"/>
        </w:rPr>
        <w:t>15.5、本项目不接受联合体投标；</w:t>
      </w:r>
    </w:p>
    <w:p w14:paraId="32DEFF12">
      <w:pPr>
        <w:pStyle w:val="37"/>
        <w:spacing w:before="0" w:beforeLines="0" w:beforeAutospacing="0" w:after="0" w:afterLines="0" w:afterAutospacing="0" w:line="460" w:lineRule="exact"/>
        <w:ind w:firstLine="468" w:firstLineChars="195"/>
        <w:rPr>
          <w:rFonts w:ascii="仿宋" w:hAnsi="仿宋" w:eastAsia="仿宋" w:cs="仿宋"/>
          <w:color w:val="auto"/>
          <w:kern w:val="2"/>
          <w:highlight w:val="none"/>
        </w:rPr>
      </w:pPr>
      <w:r>
        <w:rPr>
          <w:rFonts w:hint="eastAsia" w:ascii="仿宋" w:hAnsi="仿宋" w:eastAsia="仿宋" w:cs="仿宋"/>
          <w:color w:val="auto"/>
          <w:kern w:val="2"/>
          <w:highlight w:val="none"/>
        </w:rPr>
        <w:t>15.6、单位负责人为同一人或者存在直接控股、管理关系的不同投标人，不得同时参加本项目的竞争。</w:t>
      </w:r>
    </w:p>
    <w:p w14:paraId="47125F9B">
      <w:pPr>
        <w:tabs>
          <w:tab w:val="left" w:pos="252"/>
          <w:tab w:val="left" w:pos="671"/>
        </w:tabs>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注：①投标性文件中，所有供应商签字、法人代表签字、法人代表授权人签字和其它签字处须同时加盖有关有法律效力的印章方为有效；</w:t>
      </w:r>
    </w:p>
    <w:p w14:paraId="7958CE9C">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②所有资格证明文件必须满足投标文件要求，否则将导致废标。</w:t>
      </w:r>
    </w:p>
    <w:p w14:paraId="6AC4E6B8">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16、参数符合投标文件规定的技术要求</w:t>
      </w:r>
    </w:p>
    <w:p w14:paraId="5001282C">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16.1供应商提交的成果资料符合投标文件规定的要求，作为投标文件的一部分。</w:t>
      </w:r>
    </w:p>
    <w:p w14:paraId="6B5404D9">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17、投标的有效期</w:t>
      </w:r>
    </w:p>
    <w:p w14:paraId="2CB62F8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17.1 投标文件从投标之日起，投标有效期为</w:t>
      </w:r>
      <w:r>
        <w:rPr>
          <w:rFonts w:hint="eastAsia" w:ascii="仿宋" w:hAnsi="仿宋" w:eastAsia="仿宋" w:cs="仿宋"/>
          <w:b/>
          <w:bCs/>
          <w:color w:val="auto"/>
          <w:sz w:val="24"/>
          <w:szCs w:val="24"/>
          <w:highlight w:val="none"/>
        </w:rPr>
        <w:t>90</w:t>
      </w:r>
      <w:r>
        <w:rPr>
          <w:rFonts w:hint="eastAsia" w:ascii="仿宋" w:hAnsi="仿宋" w:eastAsia="仿宋" w:cs="仿宋"/>
          <w:color w:val="auto"/>
          <w:sz w:val="24"/>
          <w:szCs w:val="24"/>
          <w:highlight w:val="none"/>
        </w:rPr>
        <w:t>天。（如不满足将导致废标）</w:t>
      </w:r>
    </w:p>
    <w:p w14:paraId="3D61BEC1">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17.2 在特殊情况下，招标代理机构可与供应商商量延长投标文件的有效期。</w:t>
      </w:r>
    </w:p>
    <w:p w14:paraId="6BA10DA7">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18、投标性文件的书写要求。</w:t>
      </w:r>
    </w:p>
    <w:p w14:paraId="5CCF27EF">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18.1 投标性文件须是打印后加盖公章的扫描件。</w:t>
      </w:r>
    </w:p>
    <w:p w14:paraId="05E5E168">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18.2 投标性文件应清楚工整，修改处应由投标供应商全权代表签章。</w:t>
      </w:r>
    </w:p>
    <w:p w14:paraId="360F158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18.3 </w:t>
      </w:r>
      <w:r>
        <w:rPr>
          <w:rFonts w:hint="eastAsia" w:ascii="仿宋" w:hAnsi="仿宋" w:eastAsia="仿宋" w:cs="仿宋"/>
          <w:b/>
          <w:color w:val="auto"/>
          <w:sz w:val="24"/>
          <w:szCs w:val="24"/>
          <w:highlight w:val="none"/>
        </w:rPr>
        <w:t>投标性文件中要求由投标人法定代表人或被授权人签字的内容必须签字、盖章的内容必须盖章，否则视为无效投标。</w:t>
      </w:r>
    </w:p>
    <w:p w14:paraId="1CD13C47">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18.4电报、电话、传真形式的投标概不接受。</w:t>
      </w:r>
    </w:p>
    <w:p w14:paraId="50D20737">
      <w:pPr>
        <w:spacing w:beforeLines="0" w:afterLines="0" w:line="46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18.5投标文件的份数：按政采云客户端要求提供。</w:t>
      </w:r>
    </w:p>
    <w:p w14:paraId="6C94E901">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19、投标保证金</w:t>
      </w:r>
    </w:p>
    <w:p w14:paraId="1F47D2C2">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19.1供应商按照供应商须知附表中要求缴纳投标保证金。</w:t>
      </w:r>
    </w:p>
    <w:p w14:paraId="4C4A793F">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19.2 本次招标仅接受网银或电汇作为投标保证金，投标保证金有效期应当与投标有效期一致。</w:t>
      </w:r>
    </w:p>
    <w:p w14:paraId="01EBD904">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19.3投标保证金的退还时间：</w:t>
      </w:r>
    </w:p>
    <w:p w14:paraId="24AA6A51">
      <w:pPr>
        <w:spacing w:beforeLines="0" w:afterLines="0" w:line="460"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19.3.1中标供应商的投标保证金，将在合同签订后的5个工作日内予以退还；未中标供应商的投标保证金在中标通知书发出后5个工作日内予以退还。</w:t>
      </w:r>
    </w:p>
    <w:p w14:paraId="7D164488">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19.4未按规定提交投标保证金的投标，将被视为投标无效。</w:t>
      </w:r>
    </w:p>
    <w:p w14:paraId="443A7BEF">
      <w:pPr>
        <w:pStyle w:val="24"/>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19.5下列任何情况发生时，投标保证金将被没收：</w:t>
      </w:r>
    </w:p>
    <w:p w14:paraId="50D0C3CA">
      <w:pPr>
        <w:pStyle w:val="24"/>
        <w:spacing w:beforeLines="0" w:afterLines="0" w:line="460"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19.5.1供应商在投标文件规定的投标有效期内撤回其投标；</w:t>
      </w:r>
    </w:p>
    <w:p w14:paraId="6E116AA5">
      <w:pPr>
        <w:pStyle w:val="24"/>
        <w:spacing w:beforeLines="0" w:afterLines="0" w:line="460" w:lineRule="exact"/>
        <w:ind w:firstLine="720" w:firstLineChars="300"/>
        <w:rPr>
          <w:rFonts w:ascii="仿宋" w:hAnsi="仿宋" w:eastAsia="仿宋" w:cs="仿宋"/>
          <w:color w:val="auto"/>
          <w:sz w:val="24"/>
          <w:szCs w:val="24"/>
          <w:highlight w:val="none"/>
        </w:rPr>
      </w:pPr>
      <w:bookmarkStart w:id="49" w:name="_Toc349573124"/>
      <w:bookmarkStart w:id="50" w:name="_Toc267301285"/>
      <w:bookmarkStart w:id="51" w:name="_Toc462223635"/>
      <w:bookmarkStart w:id="52" w:name="_Toc349637923"/>
      <w:bookmarkStart w:id="53" w:name="_Toc298240408"/>
      <w:r>
        <w:rPr>
          <w:rFonts w:hint="eastAsia" w:ascii="仿宋" w:hAnsi="仿宋" w:eastAsia="仿宋" w:cs="仿宋"/>
          <w:color w:val="auto"/>
          <w:sz w:val="24"/>
          <w:szCs w:val="24"/>
          <w:highlight w:val="none"/>
        </w:rPr>
        <w:t>19.5.2成交方在规定期限内未能向招标代理机构交纳代理服务费。</w:t>
      </w:r>
    </w:p>
    <w:p w14:paraId="16E5BE92">
      <w:pPr>
        <w:pStyle w:val="3"/>
        <w:spacing w:before="0" w:beforeLines="0" w:after="0" w:afterLines="0" w:line="460" w:lineRule="exact"/>
        <w:jc w:val="center"/>
        <w:rPr>
          <w:rFonts w:ascii="仿宋" w:hAnsi="仿宋" w:eastAsia="仿宋" w:cs="仿宋"/>
          <w:color w:val="auto"/>
          <w:sz w:val="24"/>
          <w:szCs w:val="24"/>
          <w:highlight w:val="none"/>
        </w:rPr>
      </w:pPr>
    </w:p>
    <w:p w14:paraId="387B4DFB">
      <w:pPr>
        <w:pStyle w:val="3"/>
        <w:spacing w:before="0" w:beforeLines="0" w:after="0" w:afterLines="0" w:line="460" w:lineRule="exact"/>
        <w:jc w:val="center"/>
        <w:rPr>
          <w:rFonts w:ascii="仿宋" w:hAnsi="仿宋" w:eastAsia="仿宋" w:cs="仿宋"/>
          <w:color w:val="auto"/>
          <w:sz w:val="24"/>
          <w:szCs w:val="24"/>
          <w:highlight w:val="none"/>
        </w:rPr>
      </w:pPr>
      <w:bookmarkStart w:id="54" w:name="_Toc18182"/>
      <w:bookmarkStart w:id="55" w:name="_Toc17607"/>
      <w:r>
        <w:rPr>
          <w:rFonts w:hint="eastAsia" w:ascii="仿宋" w:hAnsi="仿宋" w:eastAsia="仿宋" w:cs="仿宋"/>
          <w:color w:val="auto"/>
          <w:sz w:val="24"/>
          <w:szCs w:val="24"/>
          <w:highlight w:val="none"/>
        </w:rPr>
        <w:t>（四）  投标文件的递交</w:t>
      </w:r>
      <w:bookmarkEnd w:id="49"/>
      <w:bookmarkEnd w:id="50"/>
      <w:bookmarkEnd w:id="51"/>
      <w:bookmarkEnd w:id="52"/>
      <w:bookmarkEnd w:id="53"/>
      <w:bookmarkEnd w:id="54"/>
      <w:bookmarkEnd w:id="55"/>
    </w:p>
    <w:p w14:paraId="7F334EEA">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20、投标性文件的密封与标记</w:t>
      </w:r>
    </w:p>
    <w:p w14:paraId="49F2D00F">
      <w:pPr>
        <w:spacing w:beforeLines="0" w:afterLines="0" w:line="460" w:lineRule="exact"/>
        <w:ind w:left="0" w:hanging="120" w:hangingChars="5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20.1 </w:t>
      </w:r>
      <w:r>
        <w:rPr>
          <w:rFonts w:hint="eastAsia" w:ascii="仿宋" w:hAnsi="仿宋" w:eastAsia="仿宋" w:cs="仿宋"/>
          <w:bCs/>
          <w:color w:val="auto"/>
          <w:sz w:val="24"/>
          <w:szCs w:val="24"/>
          <w:highlight w:val="none"/>
        </w:rPr>
        <w:t>按政采云客户端要求提供。</w:t>
      </w:r>
    </w:p>
    <w:p w14:paraId="255A9935">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投标文件递交截止时间</w:t>
      </w:r>
    </w:p>
    <w:p w14:paraId="77A97D91">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 投标文件的递交截止时间见公告。</w:t>
      </w:r>
    </w:p>
    <w:p w14:paraId="37C2CA68">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投标文件以密封形式递交至：政采云投标客户端。</w:t>
      </w:r>
    </w:p>
    <w:p w14:paraId="2ADF4D40">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21.2 所有投标文件都必须按招标代理机构在投标邀请中规定的投标截止时间之前送到投标文件规定的地点。</w:t>
      </w:r>
    </w:p>
    <w:p w14:paraId="7538AE45">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21.3 出现第8.3款因投标文件的修改推迟投标截止时间时，则按招标代理机构修改通知规定的时间递交。</w:t>
      </w:r>
    </w:p>
    <w:p w14:paraId="6D1999AE">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22、投标文件的修改和撤销</w:t>
      </w:r>
    </w:p>
    <w:p w14:paraId="0CCE3F9D">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 供应商在提交投标文件后可对其投标文件进行修改或撤销，但招标代理机构须在投标截止时间之前收到该修改或撤销的书面通知，该通知须有经正式授权的供应商代表签字。</w:t>
      </w:r>
    </w:p>
    <w:p w14:paraId="04D927FB">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 供应商不得在投标时间起至投标有效期期满前撤销投标文件。否则招标代理机构将没收其投标保证金。</w:t>
      </w:r>
    </w:p>
    <w:p w14:paraId="405D2195">
      <w:pPr>
        <w:pStyle w:val="3"/>
        <w:spacing w:before="0" w:beforeLines="0" w:after="0" w:afterLines="0" w:line="460" w:lineRule="exact"/>
        <w:jc w:val="center"/>
        <w:rPr>
          <w:rFonts w:ascii="仿宋" w:hAnsi="仿宋" w:eastAsia="仿宋" w:cs="仿宋"/>
          <w:color w:val="auto"/>
          <w:sz w:val="24"/>
          <w:szCs w:val="24"/>
          <w:highlight w:val="none"/>
        </w:rPr>
      </w:pPr>
      <w:bookmarkStart w:id="56" w:name="_Toc298240409"/>
      <w:bookmarkStart w:id="57" w:name="_Toc25612"/>
      <w:bookmarkStart w:id="58" w:name="_Toc267301286"/>
      <w:bookmarkStart w:id="59" w:name="_Toc23194"/>
      <w:bookmarkStart w:id="60" w:name="_Toc349573125"/>
      <w:bookmarkStart w:id="61" w:name="_Toc462223636"/>
      <w:bookmarkStart w:id="62" w:name="_Toc349637924"/>
      <w:r>
        <w:rPr>
          <w:rFonts w:hint="eastAsia" w:ascii="仿宋" w:hAnsi="仿宋" w:eastAsia="仿宋" w:cs="仿宋"/>
          <w:color w:val="auto"/>
          <w:sz w:val="24"/>
          <w:szCs w:val="24"/>
          <w:highlight w:val="none"/>
        </w:rPr>
        <w:t>（五） 投标程序</w:t>
      </w:r>
      <w:bookmarkEnd w:id="56"/>
      <w:bookmarkEnd w:id="57"/>
      <w:bookmarkEnd w:id="58"/>
      <w:bookmarkEnd w:id="59"/>
      <w:bookmarkEnd w:id="60"/>
      <w:bookmarkEnd w:id="61"/>
      <w:bookmarkEnd w:id="62"/>
    </w:p>
    <w:p w14:paraId="0B7196E0">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23、投标</w:t>
      </w:r>
    </w:p>
    <w:p w14:paraId="4D923730">
      <w:pPr>
        <w:spacing w:beforeLines="0" w:afterLines="0" w:line="460" w:lineRule="exact"/>
        <w:ind w:left="0" w:leftChars="0"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23.1投标时，相关人员将对供应商进行资格初审。</w:t>
      </w:r>
    </w:p>
    <w:p w14:paraId="7948655C">
      <w:pPr>
        <w:spacing w:beforeLines="0" w:afterLines="0" w:line="460" w:lineRule="exact"/>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各供应商在政采云平台上传以下资料备查：</w:t>
      </w:r>
    </w:p>
    <w:tbl>
      <w:tblPr>
        <w:tblStyle w:val="41"/>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4"/>
        <w:gridCol w:w="784"/>
        <w:gridCol w:w="7379"/>
      </w:tblGrid>
      <w:tr w14:paraId="4260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90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70B1E72D">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评审标准</w:t>
            </w:r>
          </w:p>
        </w:tc>
      </w:tr>
      <w:tr w14:paraId="716F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8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222A3026">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170BBBBC">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32D336D1">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1F326136">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72CA2E7E">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12CA4515">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5BD7FB3D">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67470BC7">
            <w:pPr>
              <w:spacing w:beforeLines="0" w:afterLines="0" w:line="460" w:lineRule="exact"/>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资格性评审</w:t>
            </w: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293EB0AE">
            <w:pPr>
              <w:spacing w:beforeLines="0" w:afterLines="0" w:line="460" w:lineRule="exact"/>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3EDA35ED">
            <w:pPr>
              <w:spacing w:beforeLines="0" w:afterLines="0" w:line="460" w:lineRule="exac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具有有效的营业执照</w:t>
            </w:r>
          </w:p>
        </w:tc>
      </w:tr>
      <w:tr w14:paraId="51E8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0069FE4B">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79BC88B0">
            <w:pPr>
              <w:spacing w:beforeLines="0" w:afterLines="0" w:line="460" w:lineRule="exact"/>
              <w:jc w:val="center"/>
              <w:rPr>
                <w:rFonts w:hint="default"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0C3A14A0">
            <w:pPr>
              <w:spacing w:beforeLines="0" w:afterLines="0" w:line="46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须具有近一年任意月纳税证明（新公司从成立之日起算）</w:t>
            </w:r>
          </w:p>
        </w:tc>
      </w:tr>
      <w:tr w14:paraId="66ED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54EB92C6">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4584036">
            <w:pPr>
              <w:spacing w:beforeLines="0" w:afterLines="0" w:line="460" w:lineRule="exact"/>
              <w:jc w:val="center"/>
              <w:rPr>
                <w:rFonts w:hint="default"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3</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58A703EF">
            <w:pPr>
              <w:spacing w:beforeLines="0" w:afterLines="0" w:line="46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须具备近一年财务审计报告或银行提供的资信证明（新公司从成立之日起算）</w:t>
            </w:r>
          </w:p>
        </w:tc>
      </w:tr>
      <w:tr w14:paraId="37DF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227E5364">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200EC876">
            <w:pPr>
              <w:spacing w:beforeLines="0" w:afterLines="0" w:line="460" w:lineRule="exact"/>
              <w:jc w:val="center"/>
              <w:rPr>
                <w:rFonts w:hint="default"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4</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35F51C4B">
            <w:pPr>
              <w:spacing w:beforeLines="0" w:afterLines="0" w:line="46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近一年任意月缴纳的社保证明（新公司从成立之日起算）</w:t>
            </w:r>
          </w:p>
        </w:tc>
      </w:tr>
      <w:tr w14:paraId="5CB5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6B2F5631">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CB6605B">
            <w:pPr>
              <w:spacing w:beforeLines="0" w:afterLines="0" w:line="460" w:lineRule="exact"/>
              <w:jc w:val="center"/>
              <w:rPr>
                <w:rFonts w:hint="default"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5</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11F87405">
            <w:pPr>
              <w:spacing w:beforeLines="0" w:afterLines="0" w:line="46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须具有履行合同所必须的设备和专业技术能力的承诺函</w:t>
            </w:r>
          </w:p>
        </w:tc>
      </w:tr>
      <w:tr w14:paraId="1E19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49735066">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1875CF3F">
            <w:pPr>
              <w:spacing w:beforeLines="0" w:afterLines="0" w:line="460" w:lineRule="exact"/>
              <w:jc w:val="center"/>
              <w:rPr>
                <w:rFonts w:hint="default"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32596D40">
            <w:pPr>
              <w:spacing w:beforeLines="0" w:afterLines="0" w:line="46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参加政府采购活动前3年内在经营活动中没有重大违法记录的书面声明</w:t>
            </w:r>
          </w:p>
        </w:tc>
      </w:tr>
      <w:tr w14:paraId="7D93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416DF5E0">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718427BE">
            <w:pPr>
              <w:spacing w:beforeLines="0" w:afterLines="0" w:line="460" w:lineRule="exact"/>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7</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2DD6754F">
            <w:pPr>
              <w:spacing w:beforeLines="0" w:afterLines="0" w:line="46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法人身份证明及身份证或法人授权委托书及委托代理人身份证</w:t>
            </w:r>
          </w:p>
        </w:tc>
      </w:tr>
      <w:tr w14:paraId="6244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546D518B">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407E09A8">
            <w:pPr>
              <w:spacing w:beforeLines="0" w:afterLines="0" w:line="460" w:lineRule="exact"/>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1A27D627">
            <w:pPr>
              <w:spacing w:beforeLines="0" w:afterLines="0" w:line="460" w:lineRule="exact"/>
              <w:rPr>
                <w:rFonts w:hint="eastAsia"/>
                <w:color w:val="auto"/>
                <w:sz w:val="22"/>
                <w:szCs w:val="22"/>
                <w:highlight w:val="none"/>
                <w:lang w:val="en-US" w:eastAsia="zh-CN"/>
              </w:rPr>
            </w:pPr>
            <w:r>
              <w:rPr>
                <w:rFonts w:hint="eastAsia" w:asciiTheme="minorEastAsia" w:hAnsiTheme="minorEastAsia" w:cstheme="minorEastAsia"/>
                <w:color w:val="auto"/>
                <w:sz w:val="21"/>
                <w:szCs w:val="21"/>
                <w:highlight w:val="none"/>
                <w:lang w:val="en-US" w:eastAsia="zh-CN"/>
              </w:rPr>
              <w:t>凡拟参加本次招标项目的投标人，如在“信用中国”网站（www.creditchina.gov.cn）被列入失信被执行人、重大税收违法失信主体名单和中国政府采购网（www.ccgp.gov.cn）政府采购严重违法失信行为记录名单的（尚在处罚期内的），将拒绝其参加本次采购活动</w:t>
            </w:r>
          </w:p>
        </w:tc>
      </w:tr>
      <w:tr w14:paraId="67A7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1E4368F0">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769D9431">
            <w:pPr>
              <w:spacing w:beforeLines="0" w:afterLines="0" w:line="460" w:lineRule="exact"/>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9</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00375D4E">
            <w:pPr>
              <w:spacing w:beforeLines="0" w:afterLines="0" w:line="460" w:lineRule="exac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符合招标文件中投标保证金的规定</w:t>
            </w:r>
          </w:p>
        </w:tc>
      </w:tr>
      <w:tr w14:paraId="6886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8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4A328D5E">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3F9912AA">
            <w:pPr>
              <w:spacing w:beforeLines="0" w:afterLines="0" w:line="460" w:lineRule="exact"/>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7379"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14:paraId="3F77AC78">
            <w:pPr>
              <w:spacing w:beforeLines="0" w:afterLines="0" w:line="460" w:lineRule="exac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投标单位须为中小企业</w:t>
            </w:r>
          </w:p>
        </w:tc>
      </w:tr>
    </w:tbl>
    <w:p w14:paraId="199E9231">
      <w:pPr>
        <w:spacing w:beforeLines="0" w:afterLines="0" w:line="460" w:lineRule="exact"/>
        <w:ind w:firstLine="482" w:firstLineChars="200"/>
        <w:rPr>
          <w:rFonts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注：以上查验资料均按政采云客户端要求单独提交审核，不合格或缺少一项将被认为资格审查不合格，将取消其竞标资格。</w:t>
      </w:r>
    </w:p>
    <w:p w14:paraId="6E74A29A">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23.2 本次投标按投标文件中投标邀请规定的时间地点进行投标，将邀请供应商的法定代表人或其授权委托人准时参加投标会。</w:t>
      </w:r>
    </w:p>
    <w:p w14:paraId="387445E4">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23.3宣布投标文件开启顺序。</w:t>
      </w:r>
    </w:p>
    <w:p w14:paraId="02F08B61">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23.4投标原则在投标会议上宣布。</w:t>
      </w:r>
    </w:p>
    <w:p w14:paraId="006CEF42">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23.5对采购方的纪律要求</w:t>
      </w:r>
    </w:p>
    <w:p w14:paraId="2AC89EC4">
      <w:pPr>
        <w:spacing w:beforeLines="0" w:afterLines="0" w:line="460" w:lineRule="exact"/>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采购方不得泄露投标活动中应当保密的情况和资料，不得与供应商串通损害国家利益、社会公共利益或者他人合法权益。</w:t>
      </w:r>
    </w:p>
    <w:p w14:paraId="041A3F5B">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23.6对供应商的纪律要求</w:t>
      </w:r>
    </w:p>
    <w:p w14:paraId="7A7ED827">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供应商不得互相串通投标或者与采购人串通投标，不得向采购人或者评审小组成员行贿谋取成交，不得以他人名义投标或者以其他方式弄虚作假骗取成交；供应商不得以任何方式干扰、影响投标工作。</w:t>
      </w:r>
    </w:p>
    <w:p w14:paraId="4209AED3">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23.7对与投标活动有关的工作人员的纪律要求</w:t>
      </w:r>
    </w:p>
    <w:p w14:paraId="564BFAF9">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与投标活动有关的工作人员不得收受他人的财物或者好处，不得向其他人透露对投标文件的评审和比较、成交候选人的推荐情况及投标有关其他情况。在投标活动中，与投标活动有关的工作人员不得擅离职守，影响投标程序正常进行。</w:t>
      </w:r>
    </w:p>
    <w:p w14:paraId="1E23537B">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23.8对评审小组成员要求投标纪律</w:t>
      </w:r>
    </w:p>
    <w:p w14:paraId="0E632920">
      <w:pPr>
        <w:spacing w:beforeLines="0" w:afterLines="0" w:line="460"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23.8.1评审小组应当依照有关法律法规的规定，按照投标文件确定的投标标准和办法客观、公正的对投标文件提出评审意见。投标文件设有规定的投标标准和方法不得作为投标依据。</w:t>
      </w:r>
    </w:p>
    <w:p w14:paraId="60F710FE">
      <w:pPr>
        <w:spacing w:beforeLines="0" w:afterLines="0" w:line="460"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23.8.2评审小组成员不得私下接触供应商，不得收受供应商给予的财务或者其他好处，不得向采购方征询确定成交方意向。</w:t>
      </w:r>
    </w:p>
    <w:p w14:paraId="7E0FDA05">
      <w:pPr>
        <w:spacing w:beforeLines="0" w:afterLines="0" w:line="460"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23.8.3不得接受任何单位或个人明示或暗示提出的倾向或排斥特定供应商的要求。</w:t>
      </w:r>
    </w:p>
    <w:p w14:paraId="421F0B41">
      <w:pPr>
        <w:spacing w:beforeLines="0" w:afterLines="0" w:line="460" w:lineRule="exact"/>
        <w:ind w:firstLine="720" w:firstLineChars="300"/>
        <w:outlineLvl w:val="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23.8.4不得有其他不客观，不公正履行职务的行为。</w:t>
      </w:r>
    </w:p>
    <w:p w14:paraId="2260FC6E">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24、投标过程</w:t>
      </w:r>
    </w:p>
    <w:p w14:paraId="525124E7">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24.1 投标的依据为投标文件和投标文件。</w:t>
      </w:r>
    </w:p>
    <w:p w14:paraId="36DB4203">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24.2 投标后评审小组审查投标文件是否完整，是否有计算错误，要求的保证金是否提供，文件是否恰当地签署。</w:t>
      </w:r>
    </w:p>
    <w:p w14:paraId="4620784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bl>
      <w:tblPr>
        <w:tblStyle w:val="41"/>
        <w:tblW w:w="8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0"/>
        <w:gridCol w:w="761"/>
        <w:gridCol w:w="7064"/>
      </w:tblGrid>
      <w:tr w14:paraId="738F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jc w:val="center"/>
        </w:trPr>
        <w:tc>
          <w:tcPr>
            <w:tcW w:w="970" w:type="dxa"/>
            <w:vMerge w:val="restart"/>
            <w:tcBorders>
              <w:top w:val="single" w:color="000000" w:sz="4" w:space="0"/>
              <w:left w:val="single" w:color="000000" w:sz="4" w:space="0"/>
              <w:right w:val="single" w:color="000000" w:sz="4" w:space="0"/>
              <w:tl2br w:val="nil"/>
              <w:tr2bl w:val="nil"/>
            </w:tcBorders>
            <w:shd w:val="clear" w:color="auto" w:fill="FFFFFF"/>
            <w:vAlign w:val="top"/>
          </w:tcPr>
          <w:p w14:paraId="01F7A665">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17B06E58">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109C2888">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403C0AC5">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68BAA07A">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p>
          <w:p w14:paraId="55F261EA">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符合性</w:t>
            </w:r>
          </w:p>
          <w:p w14:paraId="4DDDC0BD">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审查</w:t>
            </w: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2A646FC5">
            <w:pPr>
              <w:spacing w:beforeLines="0" w:afterLines="0" w:line="460" w:lineRule="exact"/>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p>
        </w:tc>
        <w:tc>
          <w:tcPr>
            <w:tcW w:w="7064" w:type="dxa"/>
            <w:tcBorders>
              <w:top w:val="single" w:color="000000" w:sz="4" w:space="0"/>
              <w:left w:val="single" w:color="000000" w:sz="4" w:space="0"/>
              <w:right w:val="single" w:color="000000" w:sz="4" w:space="0"/>
              <w:tl2br w:val="nil"/>
              <w:tr2bl w:val="nil"/>
            </w:tcBorders>
            <w:shd w:val="clear" w:color="auto" w:fill="FFFFFF"/>
            <w:vAlign w:val="center"/>
          </w:tcPr>
          <w:p w14:paraId="57AD23D2">
            <w:pPr>
              <w:spacing w:beforeLines="0" w:afterLines="0" w:line="460" w:lineRule="exact"/>
              <w:jc w:val="left"/>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投标人名称是否与营业执照一致；</w:t>
            </w:r>
          </w:p>
        </w:tc>
      </w:tr>
      <w:tr w14:paraId="1256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jc w:val="center"/>
        </w:trPr>
        <w:tc>
          <w:tcPr>
            <w:tcW w:w="970" w:type="dxa"/>
            <w:vMerge w:val="continue"/>
            <w:tcBorders>
              <w:left w:val="single" w:color="000000" w:sz="4" w:space="0"/>
              <w:right w:val="single" w:color="000000" w:sz="4" w:space="0"/>
              <w:tl2br w:val="nil"/>
              <w:tr2bl w:val="nil"/>
            </w:tcBorders>
            <w:shd w:val="clear" w:color="auto" w:fill="FFFFFF"/>
            <w:vAlign w:val="top"/>
          </w:tcPr>
          <w:p w14:paraId="75E87D83">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1FD6493E">
            <w:pPr>
              <w:spacing w:beforeLines="0" w:afterLines="0" w:line="460" w:lineRule="exact"/>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8C6E19">
            <w:pPr>
              <w:spacing w:beforeLines="0" w:afterLines="0" w:line="460" w:lineRule="exact"/>
              <w:jc w:val="lef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符合采购文件要求，投标有效期90天；</w:t>
            </w:r>
          </w:p>
        </w:tc>
      </w:tr>
      <w:tr w14:paraId="15A4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exact"/>
          <w:jc w:val="center"/>
        </w:trPr>
        <w:tc>
          <w:tcPr>
            <w:tcW w:w="970" w:type="dxa"/>
            <w:vMerge w:val="continue"/>
            <w:tcBorders>
              <w:left w:val="single" w:color="000000" w:sz="4" w:space="0"/>
              <w:right w:val="single" w:color="000000" w:sz="4" w:space="0"/>
              <w:tl2br w:val="nil"/>
              <w:tr2bl w:val="nil"/>
            </w:tcBorders>
            <w:shd w:val="clear" w:color="auto" w:fill="FFFFFF"/>
            <w:vAlign w:val="top"/>
          </w:tcPr>
          <w:p w14:paraId="13E0221A">
            <w:pPr>
              <w:spacing w:beforeLines="0" w:afterLines="0" w:line="460" w:lineRule="exact"/>
              <w:ind w:left="0"/>
              <w:jc w:val="left"/>
              <w:rPr>
                <w:rFonts w:hint="eastAsia" w:asciiTheme="minorEastAsia" w:hAnsiTheme="minorEastAsia" w:eastAsiaTheme="minorEastAsia" w:cstheme="minorEastAsia"/>
                <w:color w:val="auto"/>
                <w:sz w:val="21"/>
                <w:szCs w:val="21"/>
                <w:highlight w:val="none"/>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020DAD21">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495B8A">
            <w:pPr>
              <w:spacing w:beforeLines="0" w:afterLines="0" w:line="460" w:lineRule="exact"/>
              <w:jc w:val="lef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投标文件是否按照招标文件要求编写、加密；</w:t>
            </w:r>
          </w:p>
        </w:tc>
      </w:tr>
      <w:tr w14:paraId="0DC1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exact"/>
          <w:jc w:val="center"/>
        </w:trPr>
        <w:tc>
          <w:tcPr>
            <w:tcW w:w="970" w:type="dxa"/>
            <w:vMerge w:val="continue"/>
            <w:tcBorders>
              <w:left w:val="single" w:color="000000" w:sz="4" w:space="0"/>
              <w:right w:val="single" w:color="000000" w:sz="4" w:space="0"/>
              <w:tl2br w:val="nil"/>
              <w:tr2bl w:val="nil"/>
            </w:tcBorders>
            <w:shd w:val="clear" w:color="auto" w:fill="FFFFFF"/>
            <w:vAlign w:val="top"/>
          </w:tcPr>
          <w:p w14:paraId="116AA7E3">
            <w:pPr>
              <w:spacing w:beforeLines="0" w:afterLines="0" w:line="460" w:lineRule="exact"/>
              <w:ind w:left="0"/>
              <w:jc w:val="left"/>
              <w:rPr>
                <w:rFonts w:hint="eastAsia" w:asciiTheme="minorEastAsia" w:hAnsiTheme="minorEastAsia" w:eastAsiaTheme="minorEastAsia" w:cstheme="minorEastAsia"/>
                <w:color w:val="auto"/>
                <w:sz w:val="21"/>
                <w:szCs w:val="21"/>
                <w:highlight w:val="none"/>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2569D9F5">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B99685">
            <w:pPr>
              <w:spacing w:beforeLines="0" w:afterLines="0" w:line="460" w:lineRule="exact"/>
              <w:jc w:val="lef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报价是否超过最高限价；</w:t>
            </w:r>
          </w:p>
        </w:tc>
      </w:tr>
      <w:tr w14:paraId="7B70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exact"/>
          <w:jc w:val="center"/>
        </w:trPr>
        <w:tc>
          <w:tcPr>
            <w:tcW w:w="970" w:type="dxa"/>
            <w:vMerge w:val="continue"/>
            <w:tcBorders>
              <w:left w:val="single" w:color="000000" w:sz="4" w:space="0"/>
              <w:right w:val="single" w:color="000000" w:sz="4" w:space="0"/>
              <w:tl2br w:val="nil"/>
              <w:tr2bl w:val="nil"/>
            </w:tcBorders>
            <w:shd w:val="clear" w:color="auto" w:fill="FFFFFF"/>
            <w:vAlign w:val="top"/>
          </w:tcPr>
          <w:p w14:paraId="50E1DD10">
            <w:pPr>
              <w:spacing w:beforeLines="0" w:afterLines="0" w:line="460" w:lineRule="exact"/>
              <w:ind w:left="0"/>
              <w:jc w:val="left"/>
              <w:rPr>
                <w:rFonts w:hint="eastAsia" w:asciiTheme="minorEastAsia" w:hAnsiTheme="minorEastAsia" w:eastAsiaTheme="minorEastAsia" w:cstheme="minorEastAsia"/>
                <w:color w:val="auto"/>
                <w:sz w:val="21"/>
                <w:szCs w:val="21"/>
                <w:highlight w:val="none"/>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64A73C6E">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5</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D79055">
            <w:pPr>
              <w:spacing w:beforeLines="0" w:afterLines="0" w:line="460" w:lineRule="exact"/>
              <w:jc w:val="left"/>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投标文件是否附有招标人不能接受的条件；</w:t>
            </w:r>
          </w:p>
        </w:tc>
      </w:tr>
      <w:tr w14:paraId="15D6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exact"/>
          <w:jc w:val="center"/>
        </w:trPr>
        <w:tc>
          <w:tcPr>
            <w:tcW w:w="970" w:type="dxa"/>
            <w:vMerge w:val="continue"/>
            <w:tcBorders>
              <w:left w:val="single" w:color="000000" w:sz="4" w:space="0"/>
              <w:right w:val="single" w:color="000000" w:sz="4" w:space="0"/>
              <w:tl2br w:val="nil"/>
              <w:tr2bl w:val="nil"/>
            </w:tcBorders>
            <w:shd w:val="clear" w:color="auto" w:fill="FFFFFF"/>
            <w:vAlign w:val="top"/>
          </w:tcPr>
          <w:p w14:paraId="1F65C5E3">
            <w:pPr>
              <w:spacing w:beforeLines="0" w:afterLines="0" w:line="460" w:lineRule="exact"/>
              <w:ind w:left="0"/>
              <w:jc w:val="left"/>
              <w:rPr>
                <w:rFonts w:hint="eastAsia" w:asciiTheme="minorEastAsia" w:hAnsiTheme="minorEastAsia" w:eastAsiaTheme="minorEastAsia" w:cstheme="minorEastAsia"/>
                <w:color w:val="auto"/>
                <w:sz w:val="21"/>
                <w:szCs w:val="21"/>
                <w:highlight w:val="none"/>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3AF12534">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56CAA5">
            <w:pPr>
              <w:spacing w:beforeLines="0" w:afterLines="0" w:line="460" w:lineRule="exact"/>
              <w:jc w:val="left"/>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投标人是否有违反招标投标纪律的；</w:t>
            </w:r>
          </w:p>
        </w:tc>
      </w:tr>
      <w:tr w14:paraId="6793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970" w:type="dxa"/>
            <w:vMerge w:val="continue"/>
            <w:tcBorders>
              <w:left w:val="single" w:color="000000" w:sz="4" w:space="0"/>
              <w:right w:val="single" w:color="000000" w:sz="4" w:space="0"/>
              <w:tl2br w:val="nil"/>
              <w:tr2bl w:val="nil"/>
            </w:tcBorders>
            <w:shd w:val="clear" w:color="auto" w:fill="FFFFFF"/>
            <w:vAlign w:val="top"/>
          </w:tcPr>
          <w:p w14:paraId="1787457F">
            <w:pPr>
              <w:spacing w:beforeLines="0" w:afterLines="0" w:line="460" w:lineRule="exact"/>
              <w:ind w:left="0"/>
              <w:jc w:val="left"/>
              <w:rPr>
                <w:rFonts w:hint="eastAsia" w:asciiTheme="minorEastAsia" w:hAnsiTheme="minorEastAsia" w:eastAsiaTheme="minorEastAsia" w:cstheme="minorEastAsia"/>
                <w:color w:val="auto"/>
                <w:sz w:val="21"/>
                <w:szCs w:val="21"/>
                <w:highlight w:val="none"/>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6E8A061A">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7</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F80485">
            <w:pPr>
              <w:spacing w:beforeLines="0" w:afterLines="0" w:line="460" w:lineRule="exact"/>
              <w:jc w:val="lef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未有明显不符合技术规格和技术标准（技术规格、合同条款有偏离情况的）</w:t>
            </w:r>
          </w:p>
        </w:tc>
      </w:tr>
      <w:tr w14:paraId="0E52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exact"/>
          <w:jc w:val="center"/>
        </w:trPr>
        <w:tc>
          <w:tcPr>
            <w:tcW w:w="970" w:type="dxa"/>
            <w:vMerge w:val="continue"/>
            <w:tcBorders>
              <w:left w:val="single" w:color="000000" w:sz="4" w:space="0"/>
              <w:right w:val="single" w:color="000000" w:sz="4" w:space="0"/>
              <w:tl2br w:val="nil"/>
              <w:tr2bl w:val="nil"/>
            </w:tcBorders>
            <w:shd w:val="clear" w:color="auto" w:fill="FFFFFF"/>
            <w:vAlign w:val="top"/>
          </w:tcPr>
          <w:p w14:paraId="1ED79970">
            <w:pPr>
              <w:spacing w:beforeLines="0" w:afterLines="0" w:line="460" w:lineRule="exact"/>
              <w:ind w:left="0"/>
              <w:jc w:val="left"/>
              <w:rPr>
                <w:rFonts w:hint="eastAsia" w:asciiTheme="minorEastAsia" w:hAnsiTheme="minorEastAsia" w:eastAsiaTheme="minorEastAsia" w:cstheme="minorEastAsia"/>
                <w:color w:val="auto"/>
                <w:sz w:val="21"/>
                <w:szCs w:val="21"/>
                <w:highlight w:val="none"/>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67F4F764">
            <w:pPr>
              <w:spacing w:beforeLines="0" w:afterLines="0" w:line="4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3C9A42">
            <w:pPr>
              <w:spacing w:beforeLines="0" w:afterLines="0" w:line="460" w:lineRule="exact"/>
              <w:jc w:val="lef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是否符合招标文件中规定的其他实质性要求；</w:t>
            </w:r>
          </w:p>
        </w:tc>
      </w:tr>
      <w:tr w14:paraId="5351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exact"/>
          <w:jc w:val="center"/>
        </w:trPr>
        <w:tc>
          <w:tcPr>
            <w:tcW w:w="970" w:type="dxa"/>
            <w:vMerge w:val="continue"/>
            <w:tcBorders>
              <w:left w:val="single" w:color="000000" w:sz="4" w:space="0"/>
              <w:right w:val="single" w:color="000000" w:sz="4" w:space="0"/>
              <w:tl2br w:val="nil"/>
              <w:tr2bl w:val="nil"/>
            </w:tcBorders>
            <w:shd w:val="clear" w:color="auto" w:fill="FFFFFF"/>
            <w:vAlign w:val="top"/>
          </w:tcPr>
          <w:p w14:paraId="4BCE0026">
            <w:pPr>
              <w:spacing w:beforeLines="0" w:afterLines="0" w:line="460" w:lineRule="exact"/>
              <w:ind w:left="0"/>
              <w:jc w:val="left"/>
              <w:rPr>
                <w:rFonts w:hint="eastAsia" w:asciiTheme="minorEastAsia" w:hAnsiTheme="minorEastAsia" w:eastAsiaTheme="minorEastAsia" w:cstheme="minorEastAsia"/>
                <w:color w:val="auto"/>
                <w:sz w:val="21"/>
                <w:szCs w:val="21"/>
                <w:highlight w:val="none"/>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4E2424D8">
            <w:pPr>
              <w:spacing w:beforeLines="0" w:afterLines="0" w:line="460" w:lineRule="exact"/>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9</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A012EA">
            <w:pPr>
              <w:spacing w:beforeLines="0" w:afterLines="0" w:line="460" w:lineRule="exact"/>
              <w:jc w:val="lef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商务条款未有偏离情况的；</w:t>
            </w:r>
          </w:p>
        </w:tc>
      </w:tr>
      <w:tr w14:paraId="34FB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exact"/>
          <w:jc w:val="center"/>
        </w:trPr>
        <w:tc>
          <w:tcPr>
            <w:tcW w:w="970" w:type="dxa"/>
            <w:vMerge w:val="continue"/>
            <w:tcBorders>
              <w:left w:val="single" w:color="000000" w:sz="4" w:space="0"/>
              <w:bottom w:val="single" w:color="000000" w:sz="4" w:space="0"/>
              <w:right w:val="single" w:color="000000" w:sz="4" w:space="0"/>
              <w:tl2br w:val="nil"/>
              <w:tr2bl w:val="nil"/>
            </w:tcBorders>
            <w:shd w:val="clear" w:color="auto" w:fill="FFFFFF"/>
            <w:vAlign w:val="top"/>
          </w:tcPr>
          <w:p w14:paraId="57200B5D">
            <w:pPr>
              <w:spacing w:beforeLines="0" w:afterLines="0" w:line="460" w:lineRule="exact"/>
              <w:ind w:left="0"/>
              <w:jc w:val="left"/>
              <w:rPr>
                <w:rFonts w:hint="eastAsia" w:asciiTheme="minorEastAsia" w:hAnsiTheme="minorEastAsia" w:eastAsiaTheme="minorEastAsia" w:cstheme="minorEastAsia"/>
                <w:color w:val="auto"/>
                <w:sz w:val="21"/>
                <w:szCs w:val="21"/>
                <w:highlight w:val="none"/>
              </w:rPr>
            </w:pPr>
          </w:p>
        </w:tc>
        <w:tc>
          <w:tcPr>
            <w:tcW w:w="7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49175A62">
            <w:pPr>
              <w:spacing w:beforeLines="0" w:afterLines="0" w:line="460" w:lineRule="exact"/>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70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1BD3A0">
            <w:pPr>
              <w:spacing w:beforeLines="0" w:afterLines="0" w:line="460" w:lineRule="exact"/>
              <w:jc w:val="lef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符合招标文件的规定</w:t>
            </w:r>
          </w:p>
        </w:tc>
      </w:tr>
    </w:tbl>
    <w:p w14:paraId="33114AB1">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24.3 在对投标文件进行详细评估之前，评审小组将依据供应商提供的资格证明文件审查供应商的财务、技术和生产能力。如果确定供应商无资格履行合同，其投标将被拒绝。</w:t>
      </w:r>
    </w:p>
    <w:p w14:paraId="3BFD2255">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24.4 评审小组将确定每一投标文件是否对投标文件的要求作出了实质性的响应，而没有重大偏离。实质性响应的投标文件是指符合投标文件的所有条款、条件和规定且没有重大偏离或保留。重大偏离或保留系指影响到投标文件规定的供货范围、质量和性能，或限制了买方的权利和供应商的义务的规定，而纠正这些偏离将影响到其他提交实质性响应投标的供应商的公平竞争地位。 </w:t>
      </w:r>
    </w:p>
    <w:p w14:paraId="6F15E436">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25、投标文件的澄清</w:t>
      </w:r>
    </w:p>
    <w:p w14:paraId="27309333">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25.1为有助于对投标文件进行审查、评估和比较，评审小组将对供应商进行投标，请供应商澄清其投标内容，供应商有责任按照招标代理机构通知的时间、地点指派专人进行答疑和澄清。投标时供应商代表应作书面记录。并对重要内容作出书面答复。</w:t>
      </w:r>
    </w:p>
    <w:p w14:paraId="5D31A6A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25.2 要澄清的答复应是书面的，但不得对投标内容进行实质性修改。澄清文件须由供应商法人代表或法人授权代表签字和/或加盖公章并作为投标文件的组成部分。</w:t>
      </w:r>
    </w:p>
    <w:p w14:paraId="79293EE4">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25.3 投标结束后，评审小组要求所有参加投标的供应商在规定的时间内进行最后报价。</w:t>
      </w:r>
    </w:p>
    <w:p w14:paraId="6ABED47A">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26、确定成交供应商的办法</w:t>
      </w:r>
    </w:p>
    <w:p w14:paraId="28087858">
      <w:pPr>
        <w:spacing w:beforeLines="0" w:afterLines="0" w:line="46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26.1评审小组按照投标文件要求对投标文件中的供应商资格、供应商资格证明文件、重要技术指标以及技术和商务上要求的其它重要内容进行审核。</w:t>
      </w:r>
    </w:p>
    <w:p w14:paraId="3E0A592C">
      <w:pPr>
        <w:spacing w:beforeLines="0" w:afterLines="0" w:line="46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26.2评审小组和供应商投标过程中作出的书面承诺是否符合投标文件中对质量、技术和服务的要求。</w:t>
      </w:r>
    </w:p>
    <w:p w14:paraId="175553F4">
      <w:pPr>
        <w:spacing w:beforeLines="0" w:afterLines="0" w:line="46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26.3经磋商确定最终采购需求和提交最后报价的供应商后，由磋商小组采用综合评分法对提交最后报价的供应商的响应文件和最后报价进行综合评分。</w:t>
      </w:r>
    </w:p>
    <w:p w14:paraId="2D67C39C">
      <w:pPr>
        <w:spacing w:beforeLines="0" w:afterLines="0" w:line="46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0分，技术、商务、售后服务因素占</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0分。将每位投标商的价格得分、技术得分、商务得分相加即为该投标商的总得分。详细评分标准如下：</w:t>
      </w:r>
    </w:p>
    <w:tbl>
      <w:tblPr>
        <w:tblStyle w:val="42"/>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350"/>
        <w:gridCol w:w="7329"/>
      </w:tblGrid>
      <w:tr w14:paraId="1403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90" w:type="dxa"/>
            <w:vAlign w:val="center"/>
          </w:tcPr>
          <w:p w14:paraId="40037729">
            <w:pPr>
              <w:spacing w:beforeLines="0" w:afterLines="0" w:line="4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评审因素及分值</w:t>
            </w:r>
          </w:p>
        </w:tc>
        <w:tc>
          <w:tcPr>
            <w:tcW w:w="1350" w:type="dxa"/>
            <w:vAlign w:val="center"/>
          </w:tcPr>
          <w:p w14:paraId="7437D579">
            <w:pPr>
              <w:spacing w:beforeLines="0" w:afterLines="0" w:line="4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单项分值</w:t>
            </w:r>
          </w:p>
        </w:tc>
        <w:tc>
          <w:tcPr>
            <w:tcW w:w="7329" w:type="dxa"/>
            <w:vAlign w:val="center"/>
          </w:tcPr>
          <w:p w14:paraId="79C16532">
            <w:pPr>
              <w:spacing w:beforeLines="0" w:afterLines="0" w:line="4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评分范围</w:t>
            </w:r>
          </w:p>
        </w:tc>
      </w:tr>
      <w:tr w14:paraId="1040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vAlign w:val="center"/>
          </w:tcPr>
          <w:p w14:paraId="14952C2D">
            <w:pPr>
              <w:spacing w:beforeLines="0" w:afterLines="0" w:line="4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报价得分</w:t>
            </w:r>
          </w:p>
          <w:p w14:paraId="2ACDB81A">
            <w:pPr>
              <w:pStyle w:val="39"/>
              <w:spacing w:beforeLines="0" w:after="0" w:afterLines="0" w:line="460" w:lineRule="exact"/>
              <w:ind w:firstLine="0" w:firstLineChars="0"/>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（10分）</w:t>
            </w:r>
          </w:p>
        </w:tc>
        <w:tc>
          <w:tcPr>
            <w:tcW w:w="1350" w:type="dxa"/>
            <w:vAlign w:val="center"/>
          </w:tcPr>
          <w:p w14:paraId="40AEB450">
            <w:pPr>
              <w:spacing w:beforeLines="0" w:afterLines="0" w:line="4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分</w:t>
            </w:r>
          </w:p>
        </w:tc>
        <w:tc>
          <w:tcPr>
            <w:tcW w:w="7329" w:type="dxa"/>
            <w:vAlign w:val="center"/>
          </w:tcPr>
          <w:p w14:paraId="63786185">
            <w:pPr>
              <w:pStyle w:val="24"/>
              <w:spacing w:beforeLines="0" w:afterLines="0"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以实质性满足招标文件要求的最低投标报价为评审基准价，其它投标人的报价得分统一按照下列公式计算：</w:t>
            </w:r>
          </w:p>
          <w:p w14:paraId="25980EC3">
            <w:pPr>
              <w:pStyle w:val="24"/>
              <w:spacing w:beforeLines="0" w:afterLines="0"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报价得分=（评审基准价/投标报价）*10</w:t>
            </w:r>
          </w:p>
          <w:p w14:paraId="7C4576EA">
            <w:pPr>
              <w:pStyle w:val="24"/>
              <w:spacing w:beforeLines="0" w:afterLines="0" w:line="46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highlight w:val="none"/>
                <w:lang w:val="en-US" w:eastAsia="zh-CN"/>
              </w:rPr>
              <w:t>结果四舍五入，小数点后保留两位。</w:t>
            </w:r>
            <w:r>
              <w:rPr>
                <w:rFonts w:hint="eastAsia" w:ascii="仿宋" w:hAnsi="仿宋" w:eastAsia="仿宋" w:cs="仿宋"/>
                <w:b/>
                <w:bCs/>
                <w:color w:val="auto"/>
                <w:sz w:val="24"/>
                <w:szCs w:val="24"/>
                <w:highlight w:val="none"/>
                <w:lang w:val="en-US" w:eastAsia="zh-CN"/>
              </w:rPr>
              <w:t>高于限价为无效报价。</w:t>
            </w:r>
            <w:r>
              <w:rPr>
                <w:rFonts w:hint="eastAsia" w:ascii="仿宋" w:hAnsi="仿宋" w:eastAsia="仿宋" w:cs="仿宋"/>
                <w:bCs/>
                <w:color w:val="auto"/>
                <w:sz w:val="24"/>
                <w:szCs w:val="24"/>
                <w:lang w:val="en-US" w:eastAsia="zh-CN"/>
              </w:rPr>
              <w:t xml:space="preserve"> </w:t>
            </w:r>
          </w:p>
        </w:tc>
      </w:tr>
      <w:tr w14:paraId="573C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1190" w:type="dxa"/>
            <w:vMerge w:val="restart"/>
            <w:vAlign w:val="center"/>
          </w:tcPr>
          <w:p w14:paraId="05855093">
            <w:pPr>
              <w:spacing w:beforeLines="0" w:afterLines="0" w:line="4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商务得分</w:t>
            </w:r>
          </w:p>
          <w:p w14:paraId="6B203D9B">
            <w:pPr>
              <w:spacing w:beforeLines="0" w:afterLines="0" w:line="4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（17分）</w:t>
            </w:r>
          </w:p>
        </w:tc>
        <w:tc>
          <w:tcPr>
            <w:tcW w:w="1350" w:type="dxa"/>
            <w:vAlign w:val="center"/>
          </w:tcPr>
          <w:p w14:paraId="5F772629">
            <w:pPr>
              <w:snapToGrid w:val="0"/>
              <w:spacing w:beforeLines="0" w:afterLines="0" w:line="460" w:lineRule="exact"/>
              <w:jc w:val="lef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val="zh-CN" w:bidi="zh-CN"/>
              </w:rPr>
              <w:t>企业资质</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12</w:t>
            </w:r>
            <w:r>
              <w:rPr>
                <w:rFonts w:hint="eastAsia" w:ascii="仿宋" w:hAnsi="仿宋" w:eastAsia="仿宋" w:cs="仿宋"/>
                <w:color w:val="auto"/>
                <w:kern w:val="2"/>
                <w:sz w:val="24"/>
                <w:szCs w:val="24"/>
                <w:highlight w:val="none"/>
              </w:rPr>
              <w:t>分）</w:t>
            </w:r>
          </w:p>
        </w:tc>
        <w:tc>
          <w:tcPr>
            <w:tcW w:w="7329" w:type="dxa"/>
            <w:vAlign w:val="center"/>
          </w:tcPr>
          <w:p w14:paraId="39D57155">
            <w:pPr>
              <w:numPr>
                <w:ilvl w:val="-1"/>
                <w:numId w:val="0"/>
              </w:numPr>
              <w:snapToGrid w:val="0"/>
              <w:spacing w:beforeLines="0" w:afterLines="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为确保投标企业具有专业安全服务能力，供应商具有中国网络安全审查技术与认证中心‌（简称CCRC）颁发的“信息安全服务资质认证证书（信息安全应急处理服务资质）”，得 1 分；</w:t>
            </w:r>
          </w:p>
          <w:p w14:paraId="5E8F7293">
            <w:pPr>
              <w:snapToGrid w:val="0"/>
              <w:spacing w:beforeLines="0" w:afterLines="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(2)具备中国网络安全审查技术与认证中心‌（简称CCRC）颁发的“信息安全服务资质认证证书（信息系统安全运维服务资质）”，得 1 分；</w:t>
            </w:r>
          </w:p>
          <w:p w14:paraId="32EAEE24">
            <w:pPr>
              <w:snapToGrid w:val="0"/>
              <w:spacing w:beforeLines="0" w:afterLines="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(3)具备中国信息安全测评中心颁发的国家信息安全测评信息安全服务资质证书（风险评估类），得 1 分；</w:t>
            </w:r>
          </w:p>
          <w:p w14:paraId="4C249D21">
            <w:pPr>
              <w:snapToGrid w:val="0"/>
              <w:spacing w:beforeLines="0" w:afterLines="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(4)为确保投标企业交付的技术服务符合国家及行业质量标准，供应商提供ISO9001质量管理体系认证证书、ISO27001/IEC信息安全管理体系认证证书、ISO20000/IEC信息技术服务管理体系认证证书，每个证书1分，共计3分。</w:t>
            </w:r>
          </w:p>
          <w:p w14:paraId="481579AF">
            <w:pPr>
              <w:snapToGrid w:val="0"/>
              <w:jc w:val="lef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每</w:t>
            </w:r>
            <w:r>
              <w:rPr>
                <w:rFonts w:hint="eastAsia" w:ascii="仿宋" w:hAnsi="仿宋" w:eastAsia="仿宋" w:cs="仿宋"/>
                <w:color w:val="auto"/>
                <w:sz w:val="24"/>
                <w:szCs w:val="24"/>
                <w:highlight w:val="none"/>
              </w:rPr>
              <w:t>具备</w:t>
            </w:r>
            <w:r>
              <w:rPr>
                <w:rFonts w:hint="eastAsia" w:ascii="仿宋" w:hAnsi="仿宋" w:eastAsia="仿宋" w:cs="仿宋"/>
                <w:color w:val="auto"/>
                <w:sz w:val="24"/>
                <w:szCs w:val="24"/>
                <w:highlight w:val="none"/>
                <w:lang w:val="en-US" w:eastAsia="zh-CN"/>
              </w:rPr>
              <w:t>一个</w:t>
            </w:r>
            <w:r>
              <w:rPr>
                <w:rFonts w:hint="eastAsia" w:ascii="仿宋" w:hAnsi="仿宋" w:eastAsia="仿宋" w:cs="仿宋"/>
                <w:color w:val="auto"/>
                <w:sz w:val="24"/>
                <w:szCs w:val="24"/>
                <w:highlight w:val="none"/>
              </w:rPr>
              <w:t>省级党委网信办支撑单位证明的得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最高6分</w:t>
            </w:r>
            <w:r>
              <w:rPr>
                <w:rFonts w:hint="eastAsia" w:ascii="仿宋" w:hAnsi="仿宋" w:eastAsia="仿宋" w:cs="仿宋"/>
                <w:color w:val="auto"/>
                <w:sz w:val="24"/>
                <w:szCs w:val="24"/>
                <w:highlight w:val="none"/>
              </w:rPr>
              <w:t>。</w:t>
            </w:r>
          </w:p>
        </w:tc>
      </w:tr>
      <w:tr w14:paraId="2D9A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90" w:type="dxa"/>
            <w:vMerge w:val="continue"/>
            <w:vAlign w:val="center"/>
          </w:tcPr>
          <w:p w14:paraId="2759FF1E">
            <w:pPr>
              <w:spacing w:beforeLines="0" w:afterLines="0" w:line="460" w:lineRule="exact"/>
              <w:jc w:val="center"/>
              <w:rPr>
                <w:rFonts w:hint="eastAsia" w:ascii="仿宋" w:hAnsi="仿宋" w:eastAsia="仿宋" w:cs="仿宋"/>
                <w:color w:val="auto"/>
                <w:kern w:val="0"/>
                <w:sz w:val="24"/>
                <w:szCs w:val="24"/>
                <w:lang w:val="en-US" w:eastAsia="zh-CN"/>
              </w:rPr>
            </w:pPr>
          </w:p>
        </w:tc>
        <w:tc>
          <w:tcPr>
            <w:tcW w:w="1350" w:type="dxa"/>
            <w:vAlign w:val="center"/>
          </w:tcPr>
          <w:p w14:paraId="1B27A185">
            <w:pPr>
              <w:snapToGrid w:val="0"/>
              <w:spacing w:beforeLines="0" w:afterLines="0" w:line="460" w:lineRule="exact"/>
              <w:jc w:val="left"/>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企业业绩</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5分</w:t>
            </w:r>
            <w:r>
              <w:rPr>
                <w:rFonts w:hint="eastAsia" w:ascii="仿宋" w:hAnsi="仿宋" w:eastAsia="仿宋" w:cs="仿宋"/>
                <w:color w:val="auto"/>
                <w:kern w:val="2"/>
                <w:sz w:val="24"/>
                <w:szCs w:val="24"/>
                <w:highlight w:val="none"/>
                <w:lang w:eastAsia="zh-CN"/>
              </w:rPr>
              <w:t>）</w:t>
            </w:r>
          </w:p>
        </w:tc>
        <w:tc>
          <w:tcPr>
            <w:tcW w:w="7329" w:type="dxa"/>
            <w:vAlign w:val="center"/>
          </w:tcPr>
          <w:p w14:paraId="57AB1E76">
            <w:pPr>
              <w:widowControl/>
              <w:snapToGrid w:val="0"/>
              <w:spacing w:beforeLines="0" w:afterLines="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投标人提供近3年（2023年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w:t>
            </w:r>
            <w:bookmarkStart w:id="113" w:name="_GoBack"/>
            <w:bookmarkEnd w:id="113"/>
            <w:r>
              <w:rPr>
                <w:rFonts w:hint="eastAsia" w:ascii="仿宋" w:hAnsi="仿宋" w:eastAsia="仿宋" w:cs="仿宋"/>
                <w:color w:val="auto"/>
                <w:sz w:val="24"/>
                <w:szCs w:val="24"/>
                <w:highlight w:val="none"/>
              </w:rPr>
              <w:t>日至投标文件递交截止日前）独立完成的“信息安全运维相关业绩”，有一项得1分，最高5分。</w:t>
            </w:r>
          </w:p>
          <w:p w14:paraId="1B8329BD">
            <w:pPr>
              <w:widowControl/>
              <w:snapToGrid w:val="0"/>
              <w:spacing w:beforeLines="0" w:afterLines="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业绩证明：以合同或中标通知书为准，在投标文件中附合同（协议）扫描件（合同须包含合同首页、金额页、服务内容页、签字盖章页）或中标（成交）通知书扫描件加盖单位公章，弄虚作假者取消其投标资格并追究其法律责任）。</w:t>
            </w:r>
          </w:p>
          <w:p w14:paraId="3D83C2DE">
            <w:pPr>
              <w:keepNext w:val="0"/>
              <w:keepLines w:val="0"/>
              <w:widowControl/>
              <w:suppressLineNumbers w:val="0"/>
              <w:snapToGrid w:val="0"/>
              <w:spacing w:beforeLines="0" w:afterLines="0" w:line="460" w:lineRule="exact"/>
              <w:jc w:val="left"/>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color w:val="auto"/>
                <w:sz w:val="24"/>
                <w:szCs w:val="24"/>
                <w:highlight w:val="none"/>
              </w:rPr>
              <w:t>以上资料须清晰、完整，模糊无法辨认的将不予评分</w:t>
            </w:r>
          </w:p>
        </w:tc>
      </w:tr>
      <w:tr w14:paraId="3487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0" w:type="dxa"/>
            <w:vMerge w:val="restart"/>
            <w:vAlign w:val="center"/>
          </w:tcPr>
          <w:p w14:paraId="0919BF05">
            <w:pPr>
              <w:spacing w:beforeLines="0" w:afterLines="0" w:line="4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技术得分</w:t>
            </w:r>
          </w:p>
          <w:p w14:paraId="205D9675">
            <w:pPr>
              <w:pStyle w:val="39"/>
              <w:spacing w:beforeLines="0" w:after="0" w:afterLines="0" w:line="460" w:lineRule="exact"/>
              <w:ind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（73分）</w:t>
            </w:r>
          </w:p>
        </w:tc>
        <w:tc>
          <w:tcPr>
            <w:tcW w:w="1350" w:type="dxa"/>
            <w:vAlign w:val="center"/>
          </w:tcPr>
          <w:p w14:paraId="2A845383">
            <w:pPr>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服务方案及实施方案</w:t>
            </w:r>
            <w:r>
              <w:rPr>
                <w:rFonts w:hint="eastAsia" w:ascii="仿宋" w:hAnsi="仿宋" w:eastAsia="仿宋" w:cs="仿宋"/>
                <w:color w:val="auto"/>
                <w:kern w:val="2"/>
                <w:sz w:val="24"/>
                <w:szCs w:val="24"/>
                <w:highlight w:val="none"/>
                <w:lang w:val="en-US" w:eastAsia="zh-CN" w:bidi="ar-SA"/>
              </w:rPr>
              <w:t>（12分）</w:t>
            </w:r>
          </w:p>
        </w:tc>
        <w:tc>
          <w:tcPr>
            <w:tcW w:w="7329" w:type="dxa"/>
            <w:shd w:val="clear" w:color="auto" w:fill="auto"/>
            <w:vAlign w:val="center"/>
          </w:tcPr>
          <w:p w14:paraId="4DD2941E">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bidi="zh-CN"/>
              </w:rPr>
              <w:t>投</w:t>
            </w:r>
            <w:r>
              <w:rPr>
                <w:rFonts w:hint="eastAsia" w:ascii="仿宋" w:hAnsi="仿宋" w:eastAsia="仿宋" w:cs="仿宋"/>
                <w:color w:val="auto"/>
                <w:sz w:val="24"/>
                <w:szCs w:val="24"/>
                <w:highlight w:val="none"/>
                <w:lang w:val="zh-CN" w:bidi="zh-CN"/>
              </w:rPr>
              <w:t>标人提供运维方案：</w:t>
            </w:r>
          </w:p>
          <w:p w14:paraId="3AF1768E">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bidi="zh-CN"/>
              </w:rPr>
              <w:t>1、</w:t>
            </w:r>
            <w:r>
              <w:rPr>
                <w:rFonts w:hint="eastAsia" w:ascii="仿宋" w:hAnsi="仿宋" w:eastAsia="仿宋" w:cs="仿宋"/>
                <w:color w:val="auto"/>
                <w:sz w:val="24"/>
                <w:szCs w:val="24"/>
                <w:highlight w:val="none"/>
                <w:lang w:val="zh-CN" w:bidi="zh-CN"/>
              </w:rPr>
              <w:t>内容包括系统运行保障方案、运维实施策略、运维服务计划、风险防范措施、灾难恢复方案、</w:t>
            </w:r>
            <w:r>
              <w:rPr>
                <w:rFonts w:hint="eastAsia" w:ascii="仿宋" w:hAnsi="仿宋" w:eastAsia="仿宋" w:cs="仿宋"/>
                <w:color w:val="auto"/>
                <w:sz w:val="24"/>
                <w:szCs w:val="24"/>
                <w:highlight w:val="none"/>
                <w:lang w:val="en-US" w:bidi="zh-CN"/>
              </w:rPr>
              <w:t>安全设备续保、风险评估、渗透测试方案</w:t>
            </w:r>
            <w:r>
              <w:rPr>
                <w:rFonts w:hint="eastAsia" w:ascii="仿宋" w:hAnsi="仿宋" w:eastAsia="仿宋" w:cs="仿宋"/>
                <w:color w:val="auto"/>
                <w:sz w:val="24"/>
                <w:szCs w:val="24"/>
                <w:highlight w:val="none"/>
                <w:lang w:val="zh-CN" w:bidi="zh-CN"/>
              </w:rPr>
              <w:t>等。</w:t>
            </w:r>
          </w:p>
          <w:p w14:paraId="4815E456">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bidi="zh-CN"/>
              </w:rPr>
              <w:t>2、</w:t>
            </w:r>
            <w:r>
              <w:rPr>
                <w:rFonts w:hint="eastAsia" w:ascii="仿宋" w:hAnsi="仿宋" w:eastAsia="仿宋" w:cs="仿宋"/>
                <w:color w:val="auto"/>
                <w:sz w:val="24"/>
                <w:szCs w:val="24"/>
                <w:highlight w:val="none"/>
                <w:lang w:val="zh-CN" w:bidi="zh-CN"/>
              </w:rPr>
              <w:t>提供详细的服务故障处理方案及报告、网络安全演练方案及报告、</w:t>
            </w:r>
            <w:r>
              <w:rPr>
                <w:rFonts w:hint="eastAsia" w:ascii="仿宋" w:hAnsi="仿宋" w:eastAsia="仿宋" w:cs="仿宋"/>
                <w:color w:val="auto"/>
                <w:sz w:val="24"/>
                <w:szCs w:val="24"/>
                <w:highlight w:val="none"/>
                <w:lang w:bidi="zh-CN"/>
              </w:rPr>
              <w:t>平台部署方案及</w:t>
            </w:r>
            <w:r>
              <w:rPr>
                <w:rFonts w:hint="eastAsia" w:ascii="仿宋" w:hAnsi="仿宋" w:eastAsia="仿宋" w:cs="仿宋"/>
                <w:color w:val="auto"/>
                <w:sz w:val="24"/>
                <w:szCs w:val="24"/>
                <w:highlight w:val="none"/>
                <w:lang w:val="zh-CN" w:bidi="zh-CN"/>
              </w:rPr>
              <w:t>巡检记录方案等安全服务内容相关文档模板格式</w:t>
            </w:r>
          </w:p>
          <w:p w14:paraId="1793234C">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bidi="zh-CN"/>
              </w:rPr>
              <w:t>3、</w:t>
            </w:r>
            <w:r>
              <w:rPr>
                <w:rFonts w:hint="eastAsia" w:ascii="仿宋" w:hAnsi="仿宋" w:eastAsia="仿宋" w:cs="仿宋"/>
                <w:color w:val="auto"/>
                <w:sz w:val="24"/>
                <w:szCs w:val="24"/>
                <w:highlight w:val="none"/>
                <w:lang w:val="zh-CN" w:bidi="zh-CN"/>
              </w:rPr>
              <w:t>提供网络安全演练时模拟黑客的攻击方法对系统和网络进行非破坏性质的攻击性测试，提供详细渗透测试方法。</w:t>
            </w:r>
          </w:p>
          <w:p w14:paraId="49446EBC">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每项</w:t>
            </w:r>
            <w:r>
              <w:rPr>
                <w:rFonts w:hint="eastAsia" w:ascii="仿宋" w:hAnsi="仿宋" w:eastAsia="仿宋" w:cs="仿宋"/>
                <w:color w:val="auto"/>
                <w:sz w:val="24"/>
                <w:szCs w:val="24"/>
                <w:highlight w:val="none"/>
                <w:lang w:bidi="zh-CN"/>
              </w:rPr>
              <w:t>4</w:t>
            </w:r>
            <w:r>
              <w:rPr>
                <w:rFonts w:hint="eastAsia" w:ascii="仿宋" w:hAnsi="仿宋" w:eastAsia="仿宋" w:cs="仿宋"/>
                <w:color w:val="auto"/>
                <w:sz w:val="24"/>
                <w:szCs w:val="24"/>
                <w:highlight w:val="none"/>
                <w:lang w:val="zh-CN" w:bidi="zh-CN"/>
              </w:rPr>
              <w:t>分，共计</w:t>
            </w:r>
            <w:r>
              <w:rPr>
                <w:rFonts w:hint="eastAsia" w:ascii="仿宋" w:hAnsi="仿宋" w:eastAsia="仿宋" w:cs="仿宋"/>
                <w:color w:val="auto"/>
                <w:sz w:val="24"/>
                <w:szCs w:val="24"/>
                <w:highlight w:val="none"/>
                <w:lang w:bidi="zh-CN"/>
              </w:rPr>
              <w:t>12</w:t>
            </w:r>
            <w:r>
              <w:rPr>
                <w:rFonts w:hint="eastAsia" w:ascii="仿宋" w:hAnsi="仿宋" w:eastAsia="仿宋" w:cs="仿宋"/>
                <w:color w:val="auto"/>
                <w:sz w:val="24"/>
                <w:szCs w:val="24"/>
                <w:highlight w:val="none"/>
                <w:lang w:val="zh-CN" w:bidi="zh-CN"/>
              </w:rPr>
              <w:t>分。每缺少一项内容扣</w:t>
            </w:r>
            <w:r>
              <w:rPr>
                <w:rFonts w:hint="eastAsia" w:ascii="仿宋" w:hAnsi="仿宋" w:eastAsia="仿宋" w:cs="仿宋"/>
                <w:color w:val="auto"/>
                <w:sz w:val="24"/>
                <w:szCs w:val="24"/>
                <w:highlight w:val="none"/>
                <w:lang w:val="en-US" w:bidi="zh-CN"/>
              </w:rPr>
              <w:t>4</w:t>
            </w:r>
            <w:r>
              <w:rPr>
                <w:rFonts w:hint="eastAsia" w:ascii="仿宋" w:hAnsi="仿宋" w:eastAsia="仿宋" w:cs="仿宋"/>
                <w:color w:val="auto"/>
                <w:sz w:val="24"/>
                <w:szCs w:val="24"/>
                <w:highlight w:val="none"/>
                <w:lang w:val="zh-CN" w:bidi="zh-CN"/>
              </w:rPr>
              <w:t>分，每有一项存在缺陷的扣1分，扣完为止。</w:t>
            </w:r>
          </w:p>
          <w:p w14:paraId="742C7661">
            <w:pPr>
              <w:snapToGrid w:val="0"/>
              <w:spacing w:beforeLines="0" w:afterLines="0" w:line="460" w:lineRule="exact"/>
              <w:jc w:val="left"/>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sz w:val="24"/>
                <w:szCs w:val="24"/>
                <w:highlight w:val="none"/>
                <w:lang w:val="zh-CN" w:bidi="zh-CN"/>
              </w:rPr>
              <w:t xml:space="preserve">    注：“缺陷”是指：内容缺失或不完整、套用模板或无关内容、前后矛盾、逻辑错误或常识错误、无法实现等任意一种情形。未提供不得分。</w:t>
            </w:r>
          </w:p>
        </w:tc>
      </w:tr>
      <w:tr w14:paraId="1F4C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0" w:type="dxa"/>
            <w:vMerge w:val="continue"/>
            <w:vAlign w:val="center"/>
          </w:tcPr>
          <w:p w14:paraId="33634998">
            <w:pPr>
              <w:pStyle w:val="39"/>
              <w:spacing w:beforeLines="0" w:after="0" w:afterLines="0" w:line="460" w:lineRule="exact"/>
              <w:ind w:firstLine="0" w:firstLineChars="0"/>
              <w:rPr>
                <w:rFonts w:hint="eastAsia" w:ascii="仿宋" w:hAnsi="仿宋" w:eastAsia="仿宋" w:cs="仿宋"/>
                <w:color w:val="auto"/>
                <w:kern w:val="0"/>
                <w:sz w:val="24"/>
                <w:szCs w:val="24"/>
              </w:rPr>
            </w:pPr>
          </w:p>
        </w:tc>
        <w:tc>
          <w:tcPr>
            <w:tcW w:w="1350" w:type="dxa"/>
            <w:vAlign w:val="center"/>
          </w:tcPr>
          <w:p w14:paraId="1E794463">
            <w:pPr>
              <w:snapToGrid w:val="0"/>
              <w:spacing w:beforeLines="0" w:afterLines="0" w:line="46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zh-CN" w:bidi="zh-CN"/>
              </w:rPr>
              <w:t>服务质量保障措施</w:t>
            </w:r>
            <w:r>
              <w:rPr>
                <w:rFonts w:hint="eastAsia" w:ascii="仿宋" w:hAnsi="仿宋" w:eastAsia="仿宋" w:cs="仿宋"/>
                <w:color w:val="auto"/>
                <w:kern w:val="2"/>
                <w:sz w:val="24"/>
                <w:szCs w:val="24"/>
                <w:highlight w:val="none"/>
                <w:lang w:val="en-US" w:eastAsia="zh-CN"/>
              </w:rPr>
              <w:t>（6分）</w:t>
            </w:r>
          </w:p>
        </w:tc>
        <w:tc>
          <w:tcPr>
            <w:tcW w:w="7329" w:type="dxa"/>
            <w:vAlign w:val="center"/>
          </w:tcPr>
          <w:p w14:paraId="7385DAB2">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投标人需提供针对本项目的保密协议、保密承诺书、安全保密管理规定、文档安全管理办法四项制度。</w:t>
            </w:r>
          </w:p>
          <w:p w14:paraId="3E095231">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根据文件的“体系完整性、项目针对性、管控力度”进行综合评审：</w:t>
            </w:r>
          </w:p>
          <w:p w14:paraId="0CFE99F4">
            <w:pPr>
              <w:snapToGrid w:val="0"/>
              <w:spacing w:beforeLines="0" w:afterLines="0" w:line="460" w:lineRule="exact"/>
              <w:jc w:val="left"/>
              <w:rPr>
                <w:rFonts w:hint="eastAsia" w:ascii="仿宋" w:hAnsi="仿宋" w:eastAsia="仿宋" w:cs="仿宋"/>
                <w:b w:val="0"/>
                <w:bCs w:val="0"/>
                <w:color w:val="auto"/>
                <w:sz w:val="24"/>
                <w:szCs w:val="24"/>
                <w:highlight w:val="none"/>
                <w:lang w:val="zh-CN" w:bidi="zh-CN"/>
              </w:rPr>
            </w:pPr>
            <w:r>
              <w:rPr>
                <w:rFonts w:hint="eastAsia" w:ascii="仿宋" w:hAnsi="仿宋" w:eastAsia="仿宋" w:cs="仿宋"/>
                <w:b w:val="0"/>
                <w:bCs w:val="0"/>
                <w:color w:val="auto"/>
                <w:sz w:val="24"/>
                <w:szCs w:val="24"/>
                <w:highlight w:val="none"/>
                <w:lang w:val="zh-CN" w:bidi="zh-CN"/>
              </w:rPr>
              <w:t>1、内容详实，针对性强，充分为用户考虑得6分：</w:t>
            </w:r>
          </w:p>
          <w:p w14:paraId="42F4DD69">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制度体系完整，且完全针对</w:t>
            </w:r>
            <w:r>
              <w:rPr>
                <w:rFonts w:hint="eastAsia" w:ascii="仿宋" w:hAnsi="仿宋" w:eastAsia="仿宋" w:cs="仿宋"/>
                <w:color w:val="auto"/>
                <w:sz w:val="24"/>
                <w:szCs w:val="24"/>
                <w:highlight w:val="none"/>
                <w:lang w:val="en-US" w:bidi="zh-CN"/>
              </w:rPr>
              <w:t>本项目采购需求</w:t>
            </w:r>
            <w:r>
              <w:rPr>
                <w:rFonts w:hint="eastAsia" w:ascii="仿宋" w:hAnsi="仿宋" w:eastAsia="仿宋" w:cs="仿宋"/>
                <w:color w:val="auto"/>
                <w:sz w:val="24"/>
                <w:szCs w:val="24"/>
                <w:highlight w:val="none"/>
                <w:lang w:val="zh-CN" w:bidi="zh-CN"/>
              </w:rPr>
              <w:t>定制（文中体现具体单位名称和业务流程）；各项规定权责清晰，包含明确的违约追责条款和人员变更管控机制。</w:t>
            </w:r>
          </w:p>
          <w:p w14:paraId="49B9A695">
            <w:pPr>
              <w:snapToGrid w:val="0"/>
              <w:spacing w:beforeLines="0" w:afterLines="0" w:line="460" w:lineRule="exact"/>
              <w:jc w:val="left"/>
              <w:rPr>
                <w:rFonts w:hint="eastAsia" w:ascii="仿宋" w:hAnsi="仿宋" w:eastAsia="仿宋" w:cs="仿宋"/>
                <w:b w:val="0"/>
                <w:bCs w:val="0"/>
                <w:color w:val="auto"/>
                <w:sz w:val="24"/>
                <w:szCs w:val="24"/>
                <w:highlight w:val="none"/>
                <w:lang w:val="zh-CN" w:bidi="zh-CN"/>
              </w:rPr>
            </w:pPr>
            <w:r>
              <w:rPr>
                <w:rFonts w:hint="eastAsia" w:ascii="仿宋" w:hAnsi="仿宋" w:eastAsia="仿宋" w:cs="仿宋"/>
                <w:b w:val="0"/>
                <w:bCs w:val="0"/>
                <w:color w:val="auto"/>
                <w:sz w:val="24"/>
                <w:szCs w:val="24"/>
                <w:highlight w:val="none"/>
                <w:lang w:val="zh-CN" w:bidi="zh-CN"/>
              </w:rPr>
              <w:t>2、内容</w:t>
            </w:r>
            <w:r>
              <w:rPr>
                <w:rFonts w:hint="eastAsia" w:ascii="仿宋" w:hAnsi="仿宋" w:eastAsia="仿宋" w:cs="仿宋"/>
                <w:b w:val="0"/>
                <w:bCs w:val="0"/>
                <w:color w:val="auto"/>
                <w:sz w:val="24"/>
                <w:szCs w:val="24"/>
                <w:highlight w:val="none"/>
                <w:lang w:val="en-US" w:bidi="zh-CN"/>
              </w:rPr>
              <w:t>体系基本完整</w:t>
            </w:r>
            <w:r>
              <w:rPr>
                <w:rFonts w:hint="eastAsia" w:ascii="仿宋" w:hAnsi="仿宋" w:eastAsia="仿宋" w:cs="仿宋"/>
                <w:b w:val="0"/>
                <w:bCs w:val="0"/>
                <w:color w:val="auto"/>
                <w:sz w:val="24"/>
                <w:szCs w:val="24"/>
                <w:highlight w:val="none"/>
                <w:lang w:val="zh-CN" w:bidi="zh-CN"/>
              </w:rPr>
              <w:t>，针对性一般，基本满足用户需求得4分：</w:t>
            </w:r>
          </w:p>
          <w:p w14:paraId="6AE89055">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制度体系基本完整，虽提及本项目但多为通用描述；规定了基本的保密义务，但缺乏具体的违约处罚细则或人员变更流程不够严谨。</w:t>
            </w:r>
          </w:p>
          <w:p w14:paraId="21FB0305">
            <w:pPr>
              <w:snapToGrid w:val="0"/>
              <w:spacing w:beforeLines="0" w:afterLines="0" w:line="460" w:lineRule="exact"/>
              <w:jc w:val="left"/>
              <w:rPr>
                <w:rFonts w:hint="eastAsia" w:ascii="仿宋" w:hAnsi="仿宋" w:eastAsia="仿宋" w:cs="仿宋"/>
                <w:b w:val="0"/>
                <w:bCs w:val="0"/>
                <w:color w:val="auto"/>
                <w:sz w:val="24"/>
                <w:szCs w:val="24"/>
                <w:highlight w:val="none"/>
                <w:lang w:val="zh-CN" w:bidi="zh-CN"/>
              </w:rPr>
            </w:pPr>
            <w:r>
              <w:rPr>
                <w:rFonts w:hint="eastAsia" w:ascii="仿宋" w:hAnsi="仿宋" w:eastAsia="仿宋" w:cs="仿宋"/>
                <w:b w:val="0"/>
                <w:bCs w:val="0"/>
                <w:color w:val="auto"/>
                <w:sz w:val="24"/>
                <w:szCs w:val="24"/>
                <w:highlight w:val="none"/>
                <w:lang w:val="zh-CN" w:bidi="zh-CN"/>
              </w:rPr>
              <w:t>3、</w:t>
            </w:r>
            <w:r>
              <w:rPr>
                <w:rFonts w:hint="eastAsia" w:ascii="仿宋" w:hAnsi="仿宋" w:eastAsia="仿宋" w:cs="仿宋"/>
                <w:b w:val="0"/>
                <w:bCs w:val="0"/>
                <w:color w:val="auto"/>
                <w:sz w:val="24"/>
                <w:szCs w:val="24"/>
                <w:highlight w:val="none"/>
                <w:lang w:val="en-US" w:bidi="zh-CN"/>
              </w:rPr>
              <w:t>仅提供通用模版</w:t>
            </w:r>
            <w:r>
              <w:rPr>
                <w:rFonts w:hint="eastAsia" w:ascii="仿宋" w:hAnsi="仿宋" w:eastAsia="仿宋" w:cs="仿宋"/>
                <w:b w:val="0"/>
                <w:bCs w:val="0"/>
                <w:color w:val="auto"/>
                <w:sz w:val="24"/>
                <w:szCs w:val="24"/>
                <w:highlight w:val="none"/>
                <w:lang w:val="zh-CN" w:bidi="zh-CN"/>
              </w:rPr>
              <w:t>，针对性差，得2分：</w:t>
            </w:r>
          </w:p>
          <w:p w14:paraId="5F258A9E">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仅提供通用模板，未体现本项目特征；内容简略，仅罗列口号式条款，缺乏可执行的管理流程。</w:t>
            </w:r>
          </w:p>
          <w:p w14:paraId="047A8312">
            <w:pPr>
              <w:snapToGri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bidi="zh-CN"/>
              </w:rPr>
              <w:t>4、</w:t>
            </w:r>
            <w:r>
              <w:rPr>
                <w:rFonts w:hint="eastAsia" w:ascii="仿宋" w:hAnsi="仿宋" w:eastAsia="仿宋" w:cs="仿宋"/>
                <w:b w:val="0"/>
                <w:bCs w:val="0"/>
                <w:color w:val="auto"/>
                <w:sz w:val="24"/>
                <w:szCs w:val="24"/>
                <w:highlight w:val="none"/>
                <w:lang w:val="zh-CN" w:bidi="zh-CN"/>
              </w:rPr>
              <w:t>其他不得分。（未提供或内容与本项目无关）</w:t>
            </w:r>
          </w:p>
        </w:tc>
      </w:tr>
      <w:tr w14:paraId="3D90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0" w:type="dxa"/>
            <w:vMerge w:val="continue"/>
            <w:vAlign w:val="center"/>
          </w:tcPr>
          <w:p w14:paraId="2845EEC6">
            <w:pPr>
              <w:pStyle w:val="39"/>
              <w:spacing w:beforeLines="0" w:after="0" w:afterLines="0" w:line="460" w:lineRule="exact"/>
              <w:ind w:firstLine="0" w:firstLineChars="0"/>
              <w:rPr>
                <w:rFonts w:hint="eastAsia" w:ascii="仿宋" w:hAnsi="仿宋" w:eastAsia="仿宋" w:cs="仿宋"/>
                <w:color w:val="auto"/>
                <w:kern w:val="0"/>
                <w:sz w:val="24"/>
                <w:szCs w:val="24"/>
              </w:rPr>
            </w:pPr>
          </w:p>
        </w:tc>
        <w:tc>
          <w:tcPr>
            <w:tcW w:w="1350" w:type="dxa"/>
            <w:vAlign w:val="center"/>
          </w:tcPr>
          <w:p w14:paraId="27F7BA9E">
            <w:pPr>
              <w:snapToGrid w:val="0"/>
              <w:spacing w:beforeLines="0" w:afterLines="0" w:line="46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zh-CN" w:bidi="zh-CN"/>
              </w:rPr>
              <w:t>应急预案</w:t>
            </w:r>
            <w:r>
              <w:rPr>
                <w:rFonts w:hint="eastAsia" w:ascii="仿宋" w:hAnsi="仿宋" w:eastAsia="仿宋" w:cs="仿宋"/>
                <w:color w:val="auto"/>
                <w:kern w:val="2"/>
                <w:sz w:val="24"/>
                <w:szCs w:val="24"/>
                <w:highlight w:val="none"/>
                <w:lang w:val="en-US" w:eastAsia="zh-CN"/>
              </w:rPr>
              <w:t>（5分）</w:t>
            </w:r>
          </w:p>
        </w:tc>
        <w:tc>
          <w:tcPr>
            <w:tcW w:w="7329" w:type="dxa"/>
            <w:vAlign w:val="center"/>
          </w:tcPr>
          <w:p w14:paraId="2273137F">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应提交应急响应预案、应急响应处理报告模板，重大安全事件通告模板等服务文档模板。相关文件模板内容全部符合实际工作处理过程且具备操作性，按投标人响应程度综合赋分：</w:t>
            </w:r>
          </w:p>
          <w:p w14:paraId="0445E33B">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b w:val="0"/>
                <w:bCs w:val="0"/>
                <w:color w:val="auto"/>
                <w:sz w:val="24"/>
                <w:szCs w:val="24"/>
                <w:highlight w:val="none"/>
                <w:lang w:val="en-US" w:bidi="zh-CN"/>
              </w:rPr>
              <w:t>1、</w:t>
            </w:r>
            <w:r>
              <w:rPr>
                <w:rFonts w:hint="eastAsia" w:ascii="仿宋" w:hAnsi="仿宋" w:eastAsia="仿宋" w:cs="仿宋"/>
                <w:b w:val="0"/>
                <w:bCs w:val="0"/>
                <w:color w:val="auto"/>
                <w:sz w:val="24"/>
                <w:szCs w:val="24"/>
                <w:highlight w:val="none"/>
                <w:lang w:val="zh-CN" w:bidi="zh-CN"/>
              </w:rPr>
              <w:t>紧急情况分析详尽全面，应对措施合理得当得</w:t>
            </w:r>
            <w:r>
              <w:rPr>
                <w:rFonts w:hint="eastAsia" w:ascii="仿宋" w:hAnsi="仿宋" w:eastAsia="仿宋" w:cs="仿宋"/>
                <w:b w:val="0"/>
                <w:bCs w:val="0"/>
                <w:color w:val="auto"/>
                <w:sz w:val="24"/>
                <w:szCs w:val="24"/>
                <w:highlight w:val="none"/>
                <w:lang w:bidi="zh-CN"/>
              </w:rPr>
              <w:t>5</w:t>
            </w:r>
            <w:r>
              <w:rPr>
                <w:rFonts w:hint="eastAsia" w:ascii="仿宋" w:hAnsi="仿宋" w:eastAsia="仿宋" w:cs="仿宋"/>
                <w:b w:val="0"/>
                <w:bCs w:val="0"/>
                <w:color w:val="auto"/>
                <w:sz w:val="24"/>
                <w:szCs w:val="24"/>
                <w:highlight w:val="none"/>
                <w:lang w:val="zh-CN" w:bidi="zh-CN"/>
              </w:rPr>
              <w:t>分</w:t>
            </w:r>
            <w:r>
              <w:rPr>
                <w:rFonts w:hint="eastAsia" w:ascii="仿宋" w:hAnsi="仿宋" w:eastAsia="仿宋" w:cs="仿宋"/>
                <w:color w:val="auto"/>
                <w:sz w:val="24"/>
                <w:szCs w:val="24"/>
                <w:highlight w:val="none"/>
                <w:lang w:val="zh-CN" w:bidi="zh-CN"/>
              </w:rPr>
              <w:t>；</w:t>
            </w:r>
          </w:p>
          <w:p w14:paraId="40B79DCA">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预案体系完整，覆盖交通运输厅核心业务场景（系统入侵、数据泄露、病毒暴发等）；响应流程清晰，明确“30分钟响应、2小时到场”的硬性指标；报告模板字段设计科学，具备“根因分析”及“整改复核”环节。</w:t>
            </w:r>
          </w:p>
          <w:p w14:paraId="3BC24ABF">
            <w:pPr>
              <w:numPr>
                <w:ilvl w:val="-1"/>
                <w:numId w:val="0"/>
              </w:numPr>
              <w:snapToGrid w:val="0"/>
              <w:spacing w:beforeLines="0" w:afterLines="0" w:line="460" w:lineRule="exact"/>
              <w:jc w:val="left"/>
              <w:rPr>
                <w:rFonts w:hint="eastAsia" w:ascii="仿宋" w:hAnsi="仿宋" w:eastAsia="仿宋" w:cs="仿宋"/>
                <w:b w:val="0"/>
                <w:bCs w:val="0"/>
                <w:color w:val="auto"/>
                <w:sz w:val="24"/>
                <w:szCs w:val="24"/>
                <w:highlight w:val="none"/>
                <w:lang w:val="zh-CN" w:bidi="zh-CN"/>
              </w:rPr>
            </w:pPr>
            <w:r>
              <w:rPr>
                <w:rFonts w:hint="eastAsia" w:ascii="仿宋" w:hAnsi="仿宋" w:eastAsia="仿宋" w:cs="仿宋"/>
                <w:b w:val="0"/>
                <w:bCs w:val="0"/>
                <w:color w:val="auto"/>
                <w:sz w:val="24"/>
                <w:szCs w:val="24"/>
                <w:highlight w:val="none"/>
                <w:lang w:val="en-US" w:bidi="zh-CN"/>
              </w:rPr>
              <w:t>2、</w:t>
            </w:r>
            <w:r>
              <w:rPr>
                <w:rFonts w:hint="eastAsia" w:ascii="仿宋" w:hAnsi="仿宋" w:eastAsia="仿宋" w:cs="仿宋"/>
                <w:b w:val="0"/>
                <w:bCs w:val="0"/>
                <w:color w:val="auto"/>
                <w:sz w:val="24"/>
                <w:szCs w:val="24"/>
                <w:highlight w:val="none"/>
                <w:lang w:val="zh-CN" w:bidi="zh-CN"/>
              </w:rPr>
              <w:t>紧急情况分析比较全面，应对措施比较合理得</w:t>
            </w:r>
            <w:r>
              <w:rPr>
                <w:rFonts w:hint="eastAsia" w:ascii="仿宋" w:hAnsi="仿宋" w:eastAsia="仿宋" w:cs="仿宋"/>
                <w:b w:val="0"/>
                <w:bCs w:val="0"/>
                <w:color w:val="auto"/>
                <w:sz w:val="24"/>
                <w:szCs w:val="24"/>
                <w:highlight w:val="none"/>
                <w:lang w:bidi="zh-CN"/>
              </w:rPr>
              <w:t>3</w:t>
            </w:r>
            <w:r>
              <w:rPr>
                <w:rFonts w:hint="eastAsia" w:ascii="仿宋" w:hAnsi="仿宋" w:eastAsia="仿宋" w:cs="仿宋"/>
                <w:b w:val="0"/>
                <w:bCs w:val="0"/>
                <w:color w:val="auto"/>
                <w:sz w:val="24"/>
                <w:szCs w:val="24"/>
                <w:highlight w:val="none"/>
                <w:lang w:val="zh-CN" w:bidi="zh-CN"/>
              </w:rPr>
              <w:t>分；</w:t>
            </w:r>
          </w:p>
          <w:p w14:paraId="7A38B122">
            <w:pPr>
              <w:numPr>
                <w:ilvl w:val="0"/>
                <w:numId w:val="0"/>
              </w:num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预案体系基本完整，但场景描述偏通用化；响应流程提及时间要求，但缺乏具体的升级通报机制；报告模板基本可用，但缺少“整改复核”或“损失评估”等关键字段。</w:t>
            </w:r>
          </w:p>
          <w:p w14:paraId="0324AC91">
            <w:pPr>
              <w:numPr>
                <w:ilvl w:val="-1"/>
                <w:numId w:val="0"/>
              </w:numPr>
              <w:snapToGrid w:val="0"/>
              <w:spacing w:beforeLines="0" w:afterLines="0" w:line="460" w:lineRule="exact"/>
              <w:ind w:left="0" w:leftChars="0" w:firstLine="0" w:firstLineChars="0"/>
              <w:jc w:val="left"/>
              <w:rPr>
                <w:rFonts w:hint="eastAsia" w:ascii="仿宋" w:hAnsi="仿宋" w:eastAsia="仿宋" w:cs="仿宋"/>
                <w:color w:val="auto"/>
                <w:sz w:val="24"/>
                <w:szCs w:val="24"/>
                <w:highlight w:val="none"/>
                <w:lang w:val="zh-CN" w:bidi="zh-CN"/>
              </w:rPr>
            </w:pPr>
            <w:r>
              <w:rPr>
                <w:rFonts w:hint="eastAsia" w:ascii="仿宋" w:hAnsi="仿宋" w:eastAsia="仿宋" w:cs="仿宋"/>
                <w:b w:val="0"/>
                <w:bCs w:val="0"/>
                <w:color w:val="auto"/>
                <w:sz w:val="24"/>
                <w:szCs w:val="24"/>
                <w:highlight w:val="none"/>
                <w:lang w:val="en-US" w:bidi="zh-CN"/>
              </w:rPr>
              <w:t>3、</w:t>
            </w:r>
            <w:r>
              <w:rPr>
                <w:rFonts w:hint="eastAsia" w:ascii="仿宋" w:hAnsi="仿宋" w:eastAsia="仿宋" w:cs="仿宋"/>
                <w:b w:val="0"/>
                <w:bCs w:val="0"/>
                <w:color w:val="auto"/>
                <w:sz w:val="24"/>
                <w:szCs w:val="24"/>
                <w:highlight w:val="none"/>
                <w:lang w:val="zh-CN" w:bidi="zh-CN"/>
              </w:rPr>
              <w:t>紧急情况分析不充分，应对措施有欠妥当得1分</w:t>
            </w:r>
            <w:r>
              <w:rPr>
                <w:rFonts w:hint="eastAsia" w:ascii="仿宋" w:hAnsi="仿宋" w:eastAsia="仿宋" w:cs="仿宋"/>
                <w:color w:val="auto"/>
                <w:sz w:val="24"/>
                <w:szCs w:val="24"/>
                <w:highlight w:val="none"/>
                <w:lang w:val="zh-CN" w:bidi="zh-CN"/>
              </w:rPr>
              <w:t>；</w:t>
            </w:r>
          </w:p>
          <w:p w14:paraId="7CBCC5E1">
            <w:pPr>
              <w:numPr>
                <w:ilvl w:val="0"/>
                <w:numId w:val="0"/>
              </w:numPr>
              <w:snapToGrid w:val="0"/>
              <w:spacing w:beforeLines="0" w:afterLines="0" w:line="460" w:lineRule="exact"/>
              <w:ind w:leftChars="0"/>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仅提供通用框架，未体现本项目特征；流程描述模糊（如仅写“尽快处理”），无具体时间指标；模板为空白表格或无实质内容。</w:t>
            </w:r>
          </w:p>
          <w:p w14:paraId="666F0AC3">
            <w:pPr>
              <w:snapToGri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bidi="zh-CN"/>
              </w:rPr>
              <w:t>4</w:t>
            </w:r>
            <w:r>
              <w:rPr>
                <w:rFonts w:hint="eastAsia" w:ascii="仿宋" w:hAnsi="仿宋" w:eastAsia="仿宋" w:cs="仿宋"/>
                <w:b w:val="0"/>
                <w:bCs w:val="0"/>
                <w:color w:val="auto"/>
                <w:sz w:val="24"/>
                <w:szCs w:val="24"/>
                <w:highlight w:val="none"/>
                <w:lang w:val="en-US" w:bidi="zh-CN"/>
              </w:rPr>
              <w:t>、</w:t>
            </w:r>
            <w:r>
              <w:rPr>
                <w:rFonts w:hint="eastAsia" w:ascii="仿宋" w:hAnsi="仿宋" w:eastAsia="仿宋" w:cs="仿宋"/>
                <w:b w:val="0"/>
                <w:bCs w:val="0"/>
                <w:color w:val="auto"/>
                <w:sz w:val="24"/>
                <w:szCs w:val="24"/>
                <w:highlight w:val="none"/>
                <w:lang w:val="zh-CN" w:bidi="zh-CN"/>
              </w:rPr>
              <w:t>其他，不得分（未提供或内容与本项目无关）</w:t>
            </w:r>
          </w:p>
        </w:tc>
      </w:tr>
      <w:tr w14:paraId="1C86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0" w:type="dxa"/>
            <w:vMerge w:val="continue"/>
            <w:vAlign w:val="center"/>
          </w:tcPr>
          <w:p w14:paraId="6FA6141D">
            <w:pPr>
              <w:pStyle w:val="39"/>
              <w:spacing w:beforeLines="0" w:after="0" w:afterLines="0" w:line="460" w:lineRule="exact"/>
              <w:ind w:firstLine="0" w:firstLineChars="0"/>
              <w:rPr>
                <w:rFonts w:hint="eastAsia" w:ascii="仿宋" w:hAnsi="仿宋" w:eastAsia="仿宋" w:cs="仿宋"/>
                <w:color w:val="auto"/>
                <w:kern w:val="0"/>
                <w:sz w:val="24"/>
                <w:szCs w:val="24"/>
              </w:rPr>
            </w:pPr>
          </w:p>
        </w:tc>
        <w:tc>
          <w:tcPr>
            <w:tcW w:w="1350" w:type="dxa"/>
            <w:vAlign w:val="center"/>
          </w:tcPr>
          <w:p w14:paraId="0069A48B">
            <w:pPr>
              <w:snapToGrid w:val="0"/>
              <w:spacing w:beforeLines="0" w:afterLines="0" w:line="46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zh-CN" w:bidi="zh-CN"/>
              </w:rPr>
              <w:t>售后服务</w:t>
            </w:r>
            <w:r>
              <w:rPr>
                <w:rFonts w:hint="eastAsia" w:ascii="仿宋" w:hAnsi="仿宋" w:eastAsia="仿宋" w:cs="仿宋"/>
                <w:color w:val="auto"/>
                <w:kern w:val="2"/>
                <w:sz w:val="24"/>
                <w:szCs w:val="24"/>
                <w:highlight w:val="none"/>
                <w:lang w:val="en-US" w:eastAsia="zh-CN"/>
              </w:rPr>
              <w:t>（6分）</w:t>
            </w:r>
          </w:p>
        </w:tc>
        <w:tc>
          <w:tcPr>
            <w:tcW w:w="7329" w:type="dxa"/>
            <w:vAlign w:val="center"/>
          </w:tcPr>
          <w:p w14:paraId="717C54BB">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根据售后服务方案详细、具体、可行拟投入售后服务人员配置情况、售后服务响应时效等服务承诺计分：</w:t>
            </w:r>
          </w:p>
          <w:p w14:paraId="57E372DE">
            <w:pPr>
              <w:snapToGrid w:val="0"/>
              <w:spacing w:beforeLines="0" w:afterLines="0" w:line="460" w:lineRule="exact"/>
              <w:jc w:val="left"/>
              <w:rPr>
                <w:rFonts w:hint="eastAsia" w:ascii="仿宋" w:hAnsi="仿宋" w:eastAsia="仿宋" w:cs="仿宋"/>
                <w:b w:val="0"/>
                <w:bCs w:val="0"/>
                <w:color w:val="auto"/>
                <w:sz w:val="24"/>
                <w:szCs w:val="24"/>
                <w:highlight w:val="none"/>
                <w:lang w:val="zh-CN" w:bidi="zh-CN"/>
              </w:rPr>
            </w:pPr>
            <w:r>
              <w:rPr>
                <w:rFonts w:hint="eastAsia" w:ascii="仿宋" w:hAnsi="仿宋" w:eastAsia="仿宋" w:cs="仿宋"/>
                <w:b w:val="0"/>
                <w:bCs w:val="0"/>
                <w:color w:val="auto"/>
                <w:sz w:val="24"/>
                <w:szCs w:val="24"/>
                <w:highlight w:val="none"/>
                <w:lang w:val="en-US" w:bidi="zh-CN"/>
              </w:rPr>
              <w:t>1、</w:t>
            </w:r>
            <w:r>
              <w:rPr>
                <w:rFonts w:hint="eastAsia" w:ascii="仿宋" w:hAnsi="仿宋" w:eastAsia="仿宋" w:cs="仿宋"/>
                <w:b w:val="0"/>
                <w:bCs w:val="0"/>
                <w:color w:val="auto"/>
                <w:sz w:val="24"/>
                <w:szCs w:val="24"/>
                <w:highlight w:val="none"/>
                <w:lang w:val="zh-CN" w:bidi="zh-CN"/>
              </w:rPr>
              <w:t>售后服务完善，方案详细、具体，可行，服务承诺合理，得</w:t>
            </w:r>
            <w:r>
              <w:rPr>
                <w:rFonts w:hint="eastAsia" w:ascii="仿宋" w:hAnsi="仿宋" w:eastAsia="仿宋" w:cs="仿宋"/>
                <w:b w:val="0"/>
                <w:bCs w:val="0"/>
                <w:color w:val="auto"/>
                <w:sz w:val="24"/>
                <w:szCs w:val="24"/>
                <w:highlight w:val="none"/>
                <w:lang w:bidi="zh-CN"/>
              </w:rPr>
              <w:t>6</w:t>
            </w:r>
            <w:r>
              <w:rPr>
                <w:rFonts w:hint="eastAsia" w:ascii="仿宋" w:hAnsi="仿宋" w:eastAsia="仿宋" w:cs="仿宋"/>
                <w:b w:val="0"/>
                <w:bCs w:val="0"/>
                <w:color w:val="auto"/>
                <w:sz w:val="24"/>
                <w:szCs w:val="24"/>
                <w:highlight w:val="none"/>
                <w:lang w:val="zh-CN" w:bidi="zh-CN"/>
              </w:rPr>
              <w:t>分；</w:t>
            </w:r>
          </w:p>
          <w:p w14:paraId="59BA8FE7">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方案架构完整，紧密结合“自治区交通运输厅”业务特性。</w:t>
            </w:r>
          </w:p>
          <w:p w14:paraId="7B982AD1">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资源配置：明确项目</w:t>
            </w:r>
            <w:r>
              <w:rPr>
                <w:rFonts w:hint="eastAsia" w:ascii="仿宋" w:hAnsi="仿宋" w:eastAsia="仿宋" w:cs="仿宋"/>
                <w:color w:val="auto"/>
                <w:sz w:val="24"/>
                <w:szCs w:val="24"/>
                <w:highlight w:val="none"/>
                <w:lang w:val="en-US" w:bidi="zh-CN"/>
              </w:rPr>
              <w:t>技术支撑</w:t>
            </w:r>
            <w:r>
              <w:rPr>
                <w:rFonts w:hint="eastAsia" w:ascii="仿宋" w:hAnsi="仿宋" w:eastAsia="仿宋" w:cs="仿宋"/>
                <w:color w:val="auto"/>
                <w:sz w:val="24"/>
                <w:szCs w:val="24"/>
                <w:highlight w:val="none"/>
                <w:lang w:val="zh-CN" w:bidi="zh-CN"/>
              </w:rPr>
              <w:t>团队≥10人及2名驻场人员，且包含“人员变更需提前15个工作日书面申请”的管控条款；</w:t>
            </w:r>
          </w:p>
          <w:p w14:paraId="5F7683AA">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响应时效：明确7×24小时远程支持及5×8小时驻场服务，且承诺30分钟内响应；</w:t>
            </w:r>
          </w:p>
          <w:p w14:paraId="471045F7">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管控流程：包含清晰的投诉处理机制（24h响应，3工作日结案）及重大敏感时期值守安排。</w:t>
            </w:r>
          </w:p>
          <w:p w14:paraId="52430F26">
            <w:pPr>
              <w:snapToGrid w:val="0"/>
              <w:spacing w:beforeLines="0" w:afterLines="0" w:line="460" w:lineRule="exact"/>
              <w:jc w:val="left"/>
              <w:rPr>
                <w:rFonts w:hint="eastAsia" w:ascii="仿宋" w:hAnsi="仿宋" w:eastAsia="仿宋" w:cs="仿宋"/>
                <w:b w:val="0"/>
                <w:bCs w:val="0"/>
                <w:color w:val="auto"/>
                <w:sz w:val="24"/>
                <w:szCs w:val="24"/>
                <w:highlight w:val="none"/>
                <w:lang w:val="zh-CN" w:bidi="zh-CN"/>
              </w:rPr>
            </w:pPr>
            <w:r>
              <w:rPr>
                <w:rFonts w:hint="eastAsia" w:ascii="仿宋" w:hAnsi="仿宋" w:eastAsia="仿宋" w:cs="仿宋"/>
                <w:b w:val="0"/>
                <w:bCs w:val="0"/>
                <w:color w:val="auto"/>
                <w:sz w:val="24"/>
                <w:szCs w:val="24"/>
                <w:highlight w:val="none"/>
                <w:lang w:val="en-US" w:bidi="zh-CN"/>
              </w:rPr>
              <w:t>2、</w:t>
            </w:r>
            <w:r>
              <w:rPr>
                <w:rFonts w:hint="eastAsia" w:ascii="仿宋" w:hAnsi="仿宋" w:eastAsia="仿宋" w:cs="仿宋"/>
                <w:b w:val="0"/>
                <w:bCs w:val="0"/>
                <w:color w:val="auto"/>
                <w:sz w:val="24"/>
                <w:szCs w:val="24"/>
                <w:highlight w:val="none"/>
                <w:lang w:val="zh-CN" w:bidi="zh-CN"/>
              </w:rPr>
              <w:t>售后服务较为完善，方案较为详细、具体，可行，服务承诺较为合理，得</w:t>
            </w:r>
            <w:r>
              <w:rPr>
                <w:rFonts w:hint="eastAsia" w:ascii="仿宋" w:hAnsi="仿宋" w:eastAsia="仿宋" w:cs="仿宋"/>
                <w:b w:val="0"/>
                <w:bCs w:val="0"/>
                <w:color w:val="auto"/>
                <w:sz w:val="24"/>
                <w:szCs w:val="24"/>
                <w:highlight w:val="none"/>
                <w:lang w:bidi="zh-CN"/>
              </w:rPr>
              <w:t>4</w:t>
            </w:r>
            <w:r>
              <w:rPr>
                <w:rFonts w:hint="eastAsia" w:ascii="仿宋" w:hAnsi="仿宋" w:eastAsia="仿宋" w:cs="仿宋"/>
                <w:b w:val="0"/>
                <w:bCs w:val="0"/>
                <w:color w:val="auto"/>
                <w:sz w:val="24"/>
                <w:szCs w:val="24"/>
                <w:highlight w:val="none"/>
                <w:lang w:val="zh-CN" w:bidi="zh-CN"/>
              </w:rPr>
              <w:t>分；</w:t>
            </w:r>
          </w:p>
          <w:p w14:paraId="41A50CC8">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方案架构基本完整，但部分内容为通用描述。</w:t>
            </w:r>
          </w:p>
          <w:p w14:paraId="63C10E1C">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资源配置：仅列出人员名单，缺乏变更管控或驻场职责描述；</w:t>
            </w:r>
          </w:p>
          <w:p w14:paraId="7119EF5A">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响应时效：仅承诺“及时响应”，缺乏具体时间阈值（如30分钟）；</w:t>
            </w:r>
          </w:p>
          <w:p w14:paraId="0F9F30E6">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管控流程：提及服务保障，但缺乏具体的投诉处理时限。</w:t>
            </w:r>
          </w:p>
          <w:p w14:paraId="4391C171">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b w:val="0"/>
                <w:bCs w:val="0"/>
                <w:color w:val="auto"/>
                <w:sz w:val="24"/>
                <w:szCs w:val="24"/>
                <w:highlight w:val="none"/>
                <w:lang w:val="en-US" w:bidi="zh-CN"/>
              </w:rPr>
              <w:t>3、</w:t>
            </w:r>
            <w:r>
              <w:rPr>
                <w:rFonts w:hint="eastAsia" w:ascii="仿宋" w:hAnsi="仿宋" w:eastAsia="仿宋" w:cs="仿宋"/>
                <w:b w:val="0"/>
                <w:bCs w:val="0"/>
                <w:color w:val="auto"/>
                <w:sz w:val="24"/>
                <w:szCs w:val="24"/>
                <w:highlight w:val="none"/>
                <w:lang w:val="zh-CN" w:bidi="zh-CN"/>
              </w:rPr>
              <w:t>有基本的售后服务、方案以及服务承诺，得</w:t>
            </w:r>
            <w:r>
              <w:rPr>
                <w:rFonts w:hint="eastAsia" w:ascii="仿宋" w:hAnsi="仿宋" w:eastAsia="仿宋" w:cs="仿宋"/>
                <w:b w:val="0"/>
                <w:bCs w:val="0"/>
                <w:color w:val="auto"/>
                <w:sz w:val="24"/>
                <w:szCs w:val="24"/>
                <w:highlight w:val="none"/>
                <w:lang w:bidi="zh-CN"/>
              </w:rPr>
              <w:t>2</w:t>
            </w:r>
            <w:r>
              <w:rPr>
                <w:rFonts w:hint="eastAsia" w:ascii="仿宋" w:hAnsi="仿宋" w:eastAsia="仿宋" w:cs="仿宋"/>
                <w:b w:val="0"/>
                <w:bCs w:val="0"/>
                <w:color w:val="auto"/>
                <w:sz w:val="24"/>
                <w:szCs w:val="24"/>
                <w:highlight w:val="none"/>
                <w:lang w:val="zh-CN" w:bidi="zh-CN"/>
              </w:rPr>
              <w:t>分</w:t>
            </w:r>
            <w:r>
              <w:rPr>
                <w:rFonts w:hint="eastAsia" w:ascii="仿宋" w:hAnsi="仿宋" w:eastAsia="仿宋" w:cs="仿宋"/>
                <w:color w:val="auto"/>
                <w:sz w:val="24"/>
                <w:szCs w:val="24"/>
                <w:highlight w:val="none"/>
                <w:lang w:val="zh-CN" w:bidi="zh-CN"/>
              </w:rPr>
              <w:t>。</w:t>
            </w:r>
          </w:p>
          <w:p w14:paraId="712C2C1C">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资源配置：仅提供联系人电话，无具体人员配置说明；</w:t>
            </w:r>
          </w:p>
          <w:p w14:paraId="2ABB9677">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响应时效：无明确的时间承诺，无具体的保障流程</w:t>
            </w:r>
          </w:p>
          <w:p w14:paraId="260AC3C8">
            <w:pPr>
              <w:snapToGri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bidi="zh-CN"/>
              </w:rPr>
              <w:t>4、</w:t>
            </w:r>
            <w:r>
              <w:rPr>
                <w:rFonts w:hint="eastAsia" w:ascii="仿宋" w:hAnsi="仿宋" w:eastAsia="仿宋" w:cs="仿宋"/>
                <w:b w:val="0"/>
                <w:bCs w:val="0"/>
                <w:color w:val="auto"/>
                <w:sz w:val="24"/>
                <w:szCs w:val="24"/>
                <w:highlight w:val="none"/>
                <w:lang w:val="zh-CN" w:bidi="zh-CN"/>
              </w:rPr>
              <w:t>其他，不得分。未提供或内容与本项目无关</w:t>
            </w:r>
          </w:p>
        </w:tc>
      </w:tr>
      <w:tr w14:paraId="44C8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0" w:type="dxa"/>
            <w:vMerge w:val="continue"/>
            <w:vAlign w:val="center"/>
          </w:tcPr>
          <w:p w14:paraId="0B48D4CB">
            <w:pPr>
              <w:pStyle w:val="39"/>
              <w:spacing w:beforeLines="0" w:after="0" w:afterLines="0" w:line="460" w:lineRule="exact"/>
              <w:ind w:firstLine="0" w:firstLineChars="0"/>
              <w:rPr>
                <w:rFonts w:hint="eastAsia" w:ascii="仿宋" w:hAnsi="仿宋" w:eastAsia="仿宋" w:cs="仿宋"/>
                <w:color w:val="auto"/>
                <w:kern w:val="0"/>
                <w:sz w:val="24"/>
                <w:szCs w:val="24"/>
              </w:rPr>
            </w:pPr>
          </w:p>
        </w:tc>
        <w:tc>
          <w:tcPr>
            <w:tcW w:w="1350" w:type="dxa"/>
            <w:vAlign w:val="center"/>
          </w:tcPr>
          <w:p w14:paraId="5B383DD6">
            <w:pPr>
              <w:snapToGrid w:val="0"/>
              <w:spacing w:beforeLines="0" w:afterLines="0" w:line="46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zh-CN" w:bidi="zh-CN"/>
              </w:rPr>
              <w:t>培训计划</w:t>
            </w:r>
            <w:r>
              <w:rPr>
                <w:rFonts w:hint="eastAsia" w:ascii="仿宋" w:hAnsi="仿宋" w:eastAsia="仿宋" w:cs="仿宋"/>
                <w:color w:val="auto"/>
                <w:kern w:val="2"/>
                <w:sz w:val="24"/>
                <w:szCs w:val="24"/>
                <w:highlight w:val="none"/>
                <w:lang w:val="en-US" w:eastAsia="zh-CN"/>
              </w:rPr>
              <w:t>（4分）</w:t>
            </w:r>
          </w:p>
        </w:tc>
        <w:tc>
          <w:tcPr>
            <w:tcW w:w="7329" w:type="dxa"/>
            <w:vAlign w:val="center"/>
          </w:tcPr>
          <w:p w14:paraId="2C7B17FB">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投标人须针对项目服务内容提供具体培训方案，包括：</w:t>
            </w:r>
          </w:p>
          <w:p w14:paraId="2599AB85">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（1）培训目标；</w:t>
            </w:r>
          </w:p>
          <w:p w14:paraId="5ACF1C1D">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（2）培训计划；</w:t>
            </w:r>
          </w:p>
          <w:p w14:paraId="1333C60B">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（3）培训大纲；</w:t>
            </w:r>
          </w:p>
          <w:p w14:paraId="4C3728A7">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（4）培训课时（共2次、每次不少于2小时）。</w:t>
            </w:r>
          </w:p>
          <w:p w14:paraId="0FB48CAC">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由评委进行评分：每项内容提供完整且与本项目实际需求相符的，得1分，满分4分。</w:t>
            </w:r>
          </w:p>
          <w:p w14:paraId="7A4EC4A9">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若所提内容存在以下任一情形，则该项不得分：</w:t>
            </w:r>
          </w:p>
          <w:p w14:paraId="671CD905">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① 未针对本项目系统或用户特点定制，明显套用通用模板；</w:t>
            </w:r>
          </w:p>
          <w:p w14:paraId="30150542">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② 培训对象、内容与采购需求明显不符；</w:t>
            </w:r>
          </w:p>
          <w:p w14:paraId="238FDB83">
            <w:pPr>
              <w:autoSpaceDE/>
              <w:autoSpaceDN/>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③ 引用错误、过时或不适用的技术规范/标准；</w:t>
            </w:r>
          </w:p>
          <w:p w14:paraId="7B3000A0">
            <w:pPr>
              <w:snapToGri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bidi="zh-CN"/>
              </w:rPr>
              <w:t>④ 内容自相矛盾、逻辑混乱或关键要素缺失。</w:t>
            </w:r>
          </w:p>
        </w:tc>
      </w:tr>
      <w:tr w14:paraId="721B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0" w:type="dxa"/>
            <w:vMerge w:val="continue"/>
            <w:vAlign w:val="center"/>
          </w:tcPr>
          <w:p w14:paraId="7FD391C6">
            <w:pPr>
              <w:pStyle w:val="39"/>
              <w:spacing w:beforeLines="0" w:after="0" w:afterLines="0" w:line="460" w:lineRule="exact"/>
              <w:ind w:firstLine="0" w:firstLineChars="0"/>
              <w:rPr>
                <w:rFonts w:hint="eastAsia" w:ascii="仿宋" w:hAnsi="仿宋" w:eastAsia="仿宋" w:cs="仿宋"/>
                <w:color w:val="auto"/>
                <w:kern w:val="0"/>
                <w:sz w:val="24"/>
                <w:szCs w:val="24"/>
              </w:rPr>
            </w:pPr>
          </w:p>
        </w:tc>
        <w:tc>
          <w:tcPr>
            <w:tcW w:w="1350" w:type="dxa"/>
            <w:vAlign w:val="center"/>
          </w:tcPr>
          <w:p w14:paraId="0ADC8F19">
            <w:pPr>
              <w:snapToGrid w:val="0"/>
              <w:spacing w:beforeLines="0" w:afterLines="0" w:line="46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bidi="zh-CN"/>
              </w:rPr>
              <w:t>服务能力</w:t>
            </w:r>
            <w:r>
              <w:rPr>
                <w:rFonts w:hint="eastAsia" w:ascii="仿宋" w:hAnsi="仿宋" w:eastAsia="仿宋" w:cs="仿宋"/>
                <w:color w:val="auto"/>
                <w:kern w:val="2"/>
                <w:sz w:val="24"/>
                <w:szCs w:val="24"/>
                <w:highlight w:val="none"/>
                <w:lang w:val="en-US" w:eastAsia="zh-CN"/>
              </w:rPr>
              <w:t>（22分）</w:t>
            </w:r>
          </w:p>
        </w:tc>
        <w:tc>
          <w:tcPr>
            <w:tcW w:w="7329" w:type="dxa"/>
            <w:vAlign w:val="center"/>
          </w:tcPr>
          <w:p w14:paraId="143A2161">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1、为确保重要时期保障需求，供应商技术</w:t>
            </w:r>
            <w:r>
              <w:rPr>
                <w:rFonts w:hint="eastAsia" w:ascii="仿宋" w:hAnsi="仿宋" w:eastAsia="仿宋" w:cs="仿宋"/>
                <w:color w:val="auto"/>
                <w:sz w:val="24"/>
                <w:szCs w:val="24"/>
                <w:highlight w:val="none"/>
                <w:lang w:val="en-US" w:bidi="zh-CN"/>
              </w:rPr>
              <w:t>支撑</w:t>
            </w:r>
            <w:r>
              <w:rPr>
                <w:rFonts w:hint="eastAsia" w:ascii="仿宋" w:hAnsi="仿宋" w:eastAsia="仿宋" w:cs="仿宋"/>
                <w:color w:val="auto"/>
                <w:sz w:val="24"/>
                <w:szCs w:val="24"/>
                <w:highlight w:val="none"/>
                <w:lang w:val="zh-CN" w:bidi="zh-CN"/>
              </w:rPr>
              <w:t>团队应不少于</w:t>
            </w:r>
            <w:r>
              <w:rPr>
                <w:rFonts w:hint="eastAsia" w:ascii="仿宋" w:hAnsi="仿宋" w:eastAsia="仿宋" w:cs="仿宋"/>
                <w:color w:val="auto"/>
                <w:sz w:val="24"/>
                <w:szCs w:val="24"/>
                <w:highlight w:val="none"/>
                <w:lang w:val="en-US" w:bidi="zh-CN"/>
              </w:rPr>
              <w:t>8</w:t>
            </w:r>
            <w:r>
              <w:rPr>
                <w:rFonts w:hint="eastAsia" w:ascii="仿宋" w:hAnsi="仿宋" w:eastAsia="仿宋" w:cs="仿宋"/>
                <w:color w:val="auto"/>
                <w:sz w:val="24"/>
                <w:szCs w:val="24"/>
                <w:highlight w:val="none"/>
                <w:lang w:val="zh-CN" w:bidi="zh-CN"/>
              </w:rPr>
              <w:t>人具有CISP注册信息安全工程师证书，</w:t>
            </w:r>
            <w:r>
              <w:rPr>
                <w:rFonts w:hint="eastAsia" w:ascii="仿宋" w:hAnsi="仿宋" w:eastAsia="仿宋" w:cs="仿宋"/>
                <w:color w:val="auto"/>
                <w:sz w:val="24"/>
                <w:szCs w:val="24"/>
                <w:highlight w:val="none"/>
                <w:lang w:val="en-US" w:bidi="zh-CN"/>
              </w:rPr>
              <w:t>每个证书0.5</w:t>
            </w:r>
            <w:r>
              <w:rPr>
                <w:rFonts w:hint="eastAsia" w:ascii="仿宋" w:hAnsi="仿宋" w:eastAsia="仿宋" w:cs="仿宋"/>
                <w:color w:val="auto"/>
                <w:sz w:val="24"/>
                <w:szCs w:val="24"/>
                <w:highlight w:val="none"/>
                <w:lang w:val="zh-CN" w:bidi="zh-CN"/>
              </w:rPr>
              <w:t>分，</w:t>
            </w:r>
            <w:r>
              <w:rPr>
                <w:rFonts w:hint="eastAsia" w:ascii="仿宋" w:hAnsi="仿宋" w:eastAsia="仿宋" w:cs="仿宋"/>
                <w:color w:val="auto"/>
                <w:sz w:val="24"/>
                <w:szCs w:val="24"/>
                <w:highlight w:val="none"/>
                <w:lang w:val="en-US" w:bidi="zh-CN"/>
              </w:rPr>
              <w:t>满分4分</w:t>
            </w:r>
            <w:r>
              <w:rPr>
                <w:rFonts w:hint="eastAsia" w:ascii="仿宋" w:hAnsi="仿宋" w:eastAsia="仿宋" w:cs="仿宋"/>
                <w:color w:val="auto"/>
                <w:sz w:val="24"/>
                <w:szCs w:val="24"/>
                <w:highlight w:val="none"/>
                <w:lang w:val="zh-CN" w:bidi="zh-CN"/>
              </w:rPr>
              <w:t>；</w:t>
            </w:r>
          </w:p>
          <w:p w14:paraId="614FC0F8">
            <w:pPr>
              <w:snapToGrid w:val="0"/>
              <w:spacing w:beforeLines="0" w:afterLines="0" w:line="460" w:lineRule="exact"/>
              <w:jc w:val="left"/>
              <w:rPr>
                <w:rFonts w:hint="default" w:ascii="仿宋" w:hAnsi="仿宋" w:eastAsia="仿宋" w:cs="仿宋"/>
                <w:color w:val="auto"/>
                <w:sz w:val="24"/>
                <w:szCs w:val="24"/>
                <w:highlight w:val="none"/>
                <w:lang w:val="en-US" w:bidi="zh-CN"/>
              </w:rPr>
            </w:pPr>
            <w:r>
              <w:rPr>
                <w:rFonts w:hint="eastAsia" w:ascii="仿宋" w:hAnsi="仿宋" w:eastAsia="仿宋" w:cs="仿宋"/>
                <w:color w:val="auto"/>
                <w:sz w:val="24"/>
                <w:szCs w:val="24"/>
                <w:highlight w:val="none"/>
                <w:lang w:val="zh-CN" w:bidi="zh-CN"/>
              </w:rPr>
              <w:t>2、中国网络安全审查认证和市场监管大数据中心颁发的CISAW信息安全保障人员认证证书（应急服务方向专业级），</w:t>
            </w:r>
            <w:r>
              <w:rPr>
                <w:rFonts w:hint="eastAsia" w:ascii="仿宋" w:hAnsi="仿宋" w:eastAsia="仿宋" w:cs="仿宋"/>
                <w:color w:val="auto"/>
                <w:sz w:val="24"/>
                <w:szCs w:val="24"/>
                <w:highlight w:val="none"/>
                <w:lang w:val="en-US" w:bidi="zh-CN"/>
              </w:rPr>
              <w:t>每个证书2分，最多4分。</w:t>
            </w:r>
          </w:p>
          <w:p w14:paraId="2017C8E7">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en-US" w:bidi="zh-CN"/>
              </w:rPr>
              <w:t>3.</w:t>
            </w:r>
            <w:r>
              <w:rPr>
                <w:rFonts w:hint="eastAsia" w:ascii="仿宋" w:hAnsi="仿宋" w:eastAsia="仿宋" w:cs="仿宋"/>
                <w:color w:val="auto"/>
                <w:sz w:val="24"/>
                <w:szCs w:val="24"/>
                <w:highlight w:val="none"/>
                <w:lang w:val="zh-CN" w:bidi="zh-CN"/>
              </w:rPr>
              <w:t>上述安全服务团队需至少2人驻场，具备国家软考</w:t>
            </w:r>
            <w:r>
              <w:rPr>
                <w:rFonts w:hint="eastAsia" w:ascii="仿宋" w:hAnsi="仿宋" w:eastAsia="仿宋" w:cs="仿宋"/>
                <w:color w:val="auto"/>
                <w:sz w:val="24"/>
                <w:szCs w:val="24"/>
                <w:highlight w:val="none"/>
                <w:lang w:bidi="zh-CN"/>
              </w:rPr>
              <w:t>中级</w:t>
            </w:r>
            <w:r>
              <w:rPr>
                <w:rFonts w:hint="eastAsia" w:ascii="仿宋" w:hAnsi="仿宋" w:eastAsia="仿宋" w:cs="仿宋"/>
                <w:color w:val="auto"/>
                <w:sz w:val="24"/>
                <w:szCs w:val="24"/>
                <w:highlight w:val="none"/>
                <w:lang w:val="zh-CN" w:bidi="zh-CN"/>
              </w:rPr>
              <w:t>《</w:t>
            </w:r>
            <w:r>
              <w:rPr>
                <w:rFonts w:hint="eastAsia" w:ascii="仿宋" w:hAnsi="仿宋" w:eastAsia="仿宋" w:cs="仿宋"/>
                <w:color w:val="auto"/>
                <w:sz w:val="24"/>
                <w:szCs w:val="24"/>
                <w:highlight w:val="none"/>
                <w:lang w:val="en-US" w:bidi="zh-CN"/>
              </w:rPr>
              <w:t>信息安全工程师</w:t>
            </w:r>
            <w:r>
              <w:rPr>
                <w:rFonts w:hint="eastAsia" w:ascii="仿宋" w:hAnsi="仿宋" w:eastAsia="仿宋" w:cs="仿宋"/>
                <w:color w:val="auto"/>
                <w:sz w:val="24"/>
                <w:szCs w:val="24"/>
                <w:highlight w:val="none"/>
                <w:lang w:val="zh-CN" w:bidi="zh-CN"/>
              </w:rPr>
              <w:t>》</w:t>
            </w:r>
            <w:r>
              <w:rPr>
                <w:rFonts w:hint="eastAsia" w:ascii="仿宋" w:hAnsi="仿宋" w:eastAsia="仿宋" w:cs="仿宋"/>
                <w:color w:val="auto"/>
                <w:sz w:val="24"/>
                <w:szCs w:val="24"/>
                <w:highlight w:val="none"/>
                <w:lang w:val="en-US" w:bidi="zh-CN"/>
              </w:rPr>
              <w:t>或国家软考中级《网络工程师工程师》</w:t>
            </w:r>
            <w:r>
              <w:rPr>
                <w:rFonts w:hint="eastAsia" w:ascii="仿宋" w:hAnsi="仿宋" w:eastAsia="仿宋" w:cs="仿宋"/>
                <w:color w:val="auto"/>
                <w:sz w:val="24"/>
                <w:szCs w:val="24"/>
                <w:highlight w:val="none"/>
                <w:lang w:val="zh-CN" w:bidi="zh-CN"/>
              </w:rPr>
              <w:t>、CISP注册信息安全工程师证书，</w:t>
            </w:r>
            <w:r>
              <w:rPr>
                <w:rFonts w:hint="eastAsia" w:ascii="仿宋" w:hAnsi="仿宋" w:eastAsia="仿宋" w:cs="仿宋"/>
                <w:color w:val="auto"/>
                <w:sz w:val="24"/>
                <w:szCs w:val="24"/>
                <w:highlight w:val="none"/>
                <w:lang w:val="en-US" w:bidi="zh-CN"/>
              </w:rPr>
              <w:t>每个证书1分，</w:t>
            </w:r>
            <w:r>
              <w:rPr>
                <w:rFonts w:hint="eastAsia" w:ascii="仿宋" w:hAnsi="仿宋" w:eastAsia="仿宋" w:cs="仿宋"/>
                <w:color w:val="auto"/>
                <w:sz w:val="24"/>
                <w:szCs w:val="24"/>
                <w:highlight w:val="none"/>
                <w:lang w:val="zh-CN" w:bidi="zh-CN"/>
              </w:rPr>
              <w:t>每人</w:t>
            </w:r>
            <w:r>
              <w:rPr>
                <w:rFonts w:hint="eastAsia" w:ascii="仿宋" w:hAnsi="仿宋" w:eastAsia="仿宋" w:cs="仿宋"/>
                <w:color w:val="auto"/>
                <w:sz w:val="24"/>
                <w:szCs w:val="24"/>
                <w:highlight w:val="none"/>
                <w:lang w:val="en-US" w:bidi="zh-CN"/>
              </w:rPr>
              <w:t>最多</w:t>
            </w:r>
            <w:r>
              <w:rPr>
                <w:rFonts w:hint="eastAsia" w:ascii="仿宋" w:hAnsi="仿宋" w:eastAsia="仿宋" w:cs="仿宋"/>
                <w:color w:val="auto"/>
                <w:sz w:val="24"/>
                <w:szCs w:val="24"/>
                <w:highlight w:val="none"/>
                <w:lang w:val="zh-CN" w:bidi="zh-CN"/>
              </w:rPr>
              <w:t>得</w:t>
            </w:r>
            <w:r>
              <w:rPr>
                <w:rFonts w:hint="eastAsia" w:ascii="仿宋" w:hAnsi="仿宋" w:eastAsia="仿宋" w:cs="仿宋"/>
                <w:color w:val="auto"/>
                <w:sz w:val="24"/>
                <w:szCs w:val="24"/>
                <w:highlight w:val="none"/>
                <w:lang w:val="en-US" w:bidi="zh-CN"/>
              </w:rPr>
              <w:t>2</w:t>
            </w:r>
            <w:r>
              <w:rPr>
                <w:rFonts w:hint="eastAsia" w:ascii="仿宋" w:hAnsi="仿宋" w:eastAsia="仿宋" w:cs="仿宋"/>
                <w:color w:val="auto"/>
                <w:sz w:val="24"/>
                <w:szCs w:val="24"/>
                <w:highlight w:val="none"/>
                <w:lang w:val="zh-CN" w:bidi="zh-CN"/>
              </w:rPr>
              <w:t>分，</w:t>
            </w:r>
            <w:r>
              <w:rPr>
                <w:rFonts w:hint="eastAsia" w:ascii="仿宋" w:hAnsi="仿宋" w:eastAsia="仿宋" w:cs="仿宋"/>
                <w:color w:val="auto"/>
                <w:sz w:val="24"/>
                <w:szCs w:val="24"/>
                <w:highlight w:val="none"/>
                <w:lang w:val="en-US" w:bidi="zh-CN"/>
              </w:rPr>
              <w:t>满分4</w:t>
            </w:r>
            <w:r>
              <w:rPr>
                <w:rFonts w:hint="eastAsia" w:ascii="仿宋" w:hAnsi="仿宋" w:eastAsia="仿宋" w:cs="仿宋"/>
                <w:color w:val="auto"/>
                <w:sz w:val="24"/>
                <w:szCs w:val="24"/>
                <w:highlight w:val="none"/>
                <w:lang w:val="zh-CN" w:bidi="zh-CN"/>
              </w:rPr>
              <w:t>分；</w:t>
            </w:r>
          </w:p>
          <w:p w14:paraId="0DE86B7B">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en-US" w:bidi="zh-CN"/>
              </w:rPr>
              <w:t>4</w:t>
            </w:r>
            <w:r>
              <w:rPr>
                <w:rFonts w:hint="eastAsia" w:ascii="仿宋" w:hAnsi="仿宋" w:eastAsia="仿宋" w:cs="仿宋"/>
                <w:color w:val="auto"/>
                <w:sz w:val="24"/>
                <w:szCs w:val="24"/>
                <w:highlight w:val="none"/>
                <w:lang w:val="zh-CN" w:bidi="zh-CN"/>
              </w:rPr>
              <w:t>、上述安全服务团队人员具备CISP-PTE渗透测试工程师证书，每一人得1分，最多得3分；</w:t>
            </w:r>
          </w:p>
          <w:p w14:paraId="640B84B3">
            <w:pPr>
              <w:snapToGrid w:val="0"/>
              <w:spacing w:beforeLines="0" w:afterLines="0" w:line="460" w:lineRule="exact"/>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en-US" w:bidi="zh-CN"/>
              </w:rPr>
              <w:t>5</w:t>
            </w:r>
            <w:r>
              <w:rPr>
                <w:rFonts w:hint="eastAsia" w:ascii="仿宋" w:hAnsi="仿宋" w:eastAsia="仿宋" w:cs="仿宋"/>
                <w:color w:val="auto"/>
                <w:sz w:val="24"/>
                <w:szCs w:val="24"/>
                <w:highlight w:val="none"/>
                <w:lang w:val="zh-CN" w:bidi="zh-CN"/>
              </w:rPr>
              <w:t>、上述安全服务团队人员具备CISP-PTS渗透测试专家证书，每一人得</w:t>
            </w:r>
            <w:r>
              <w:rPr>
                <w:rFonts w:hint="eastAsia" w:ascii="仿宋" w:hAnsi="仿宋" w:eastAsia="仿宋" w:cs="仿宋"/>
                <w:color w:val="auto"/>
                <w:sz w:val="24"/>
                <w:szCs w:val="24"/>
                <w:highlight w:val="none"/>
                <w:lang w:bidi="zh-CN"/>
              </w:rPr>
              <w:t>2</w:t>
            </w:r>
            <w:r>
              <w:rPr>
                <w:rFonts w:hint="eastAsia" w:ascii="仿宋" w:hAnsi="仿宋" w:eastAsia="仿宋" w:cs="仿宋"/>
                <w:color w:val="auto"/>
                <w:sz w:val="24"/>
                <w:szCs w:val="24"/>
                <w:highlight w:val="none"/>
                <w:lang w:val="zh-CN" w:bidi="zh-CN"/>
              </w:rPr>
              <w:t>分，最多得</w:t>
            </w:r>
            <w:r>
              <w:rPr>
                <w:rFonts w:hint="eastAsia" w:ascii="仿宋" w:hAnsi="仿宋" w:eastAsia="仿宋" w:cs="仿宋"/>
                <w:color w:val="auto"/>
                <w:sz w:val="24"/>
                <w:szCs w:val="24"/>
                <w:highlight w:val="none"/>
                <w:lang w:bidi="zh-CN"/>
              </w:rPr>
              <w:t>4</w:t>
            </w:r>
            <w:r>
              <w:rPr>
                <w:rFonts w:hint="eastAsia" w:ascii="仿宋" w:hAnsi="仿宋" w:eastAsia="仿宋" w:cs="仿宋"/>
                <w:color w:val="auto"/>
                <w:sz w:val="24"/>
                <w:szCs w:val="24"/>
                <w:highlight w:val="none"/>
                <w:lang w:val="zh-CN" w:bidi="zh-CN"/>
              </w:rPr>
              <w:t>分；</w:t>
            </w:r>
          </w:p>
          <w:p w14:paraId="76446083">
            <w:pPr>
              <w:snapToGri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bidi="zh-CN"/>
              </w:rPr>
              <w:t>6</w:t>
            </w:r>
            <w:r>
              <w:rPr>
                <w:rFonts w:hint="eastAsia" w:ascii="仿宋" w:hAnsi="仿宋" w:eastAsia="仿宋" w:cs="仿宋"/>
                <w:color w:val="auto"/>
                <w:sz w:val="24"/>
                <w:szCs w:val="24"/>
                <w:highlight w:val="none"/>
                <w:lang w:val="zh-CN" w:bidi="zh-CN"/>
              </w:rPr>
              <w:t>、上述安全服务团队人员需有</w:t>
            </w:r>
            <w:r>
              <w:rPr>
                <w:rFonts w:hint="eastAsia" w:ascii="仿宋" w:hAnsi="仿宋" w:eastAsia="仿宋" w:cs="仿宋"/>
                <w:color w:val="auto"/>
                <w:sz w:val="24"/>
                <w:szCs w:val="24"/>
                <w:highlight w:val="none"/>
                <w:lang w:bidi="zh-CN"/>
              </w:rPr>
              <w:t>2</w:t>
            </w:r>
            <w:r>
              <w:rPr>
                <w:rFonts w:hint="eastAsia" w:ascii="仿宋" w:hAnsi="仿宋" w:eastAsia="仿宋" w:cs="仿宋"/>
                <w:color w:val="auto"/>
                <w:sz w:val="24"/>
                <w:szCs w:val="24"/>
                <w:highlight w:val="none"/>
                <w:lang w:val="zh-CN" w:bidi="zh-CN"/>
              </w:rPr>
              <w:t>人具备“注册信息安全讲师（CISI）”证书，满足得3分。</w:t>
            </w:r>
          </w:p>
        </w:tc>
      </w:tr>
      <w:tr w14:paraId="26EB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0" w:type="dxa"/>
            <w:vMerge w:val="continue"/>
            <w:vAlign w:val="center"/>
          </w:tcPr>
          <w:p w14:paraId="769B19BA">
            <w:pPr>
              <w:pStyle w:val="39"/>
              <w:spacing w:beforeLines="0" w:after="0" w:afterLines="0" w:line="460" w:lineRule="exact"/>
              <w:ind w:firstLine="0" w:firstLineChars="0"/>
              <w:rPr>
                <w:rFonts w:hint="eastAsia" w:ascii="仿宋" w:hAnsi="仿宋" w:eastAsia="仿宋" w:cs="仿宋"/>
                <w:color w:val="auto"/>
                <w:kern w:val="0"/>
                <w:sz w:val="24"/>
                <w:szCs w:val="24"/>
              </w:rPr>
            </w:pPr>
          </w:p>
        </w:tc>
        <w:tc>
          <w:tcPr>
            <w:tcW w:w="1350" w:type="dxa"/>
            <w:vAlign w:val="center"/>
          </w:tcPr>
          <w:p w14:paraId="7F2C8E82">
            <w:pPr>
              <w:snapToGrid w:val="0"/>
              <w:spacing w:beforeLines="0" w:afterLines="0" w:line="460" w:lineRule="exact"/>
              <w:jc w:val="left"/>
              <w:rPr>
                <w:rFonts w:hint="eastAsia" w:ascii="仿宋" w:hAnsi="仿宋" w:eastAsia="仿宋" w:cs="仿宋"/>
                <w:color w:val="auto"/>
                <w:sz w:val="24"/>
                <w:szCs w:val="24"/>
                <w:highlight w:val="none"/>
                <w:lang w:val="en-US" w:bidi="zh-CN"/>
              </w:rPr>
            </w:pPr>
            <w:r>
              <w:rPr>
                <w:rFonts w:hint="eastAsia" w:ascii="仿宋" w:hAnsi="仿宋" w:eastAsia="仿宋" w:cs="仿宋"/>
                <w:color w:val="auto"/>
                <w:sz w:val="24"/>
                <w:szCs w:val="24"/>
                <w:highlight w:val="none"/>
                <w:lang w:bidi="zh-CN"/>
              </w:rPr>
              <w:t>项目实施能力（</w:t>
            </w:r>
            <w:r>
              <w:rPr>
                <w:rFonts w:hint="eastAsia" w:ascii="仿宋" w:hAnsi="仿宋" w:eastAsia="仿宋" w:cs="仿宋"/>
                <w:color w:val="auto"/>
                <w:sz w:val="24"/>
                <w:szCs w:val="24"/>
                <w:highlight w:val="none"/>
                <w:lang w:val="en-US" w:bidi="zh-CN"/>
              </w:rPr>
              <w:t>10分）</w:t>
            </w:r>
          </w:p>
        </w:tc>
        <w:tc>
          <w:tcPr>
            <w:tcW w:w="7329" w:type="dxa"/>
            <w:vAlign w:val="center"/>
          </w:tcPr>
          <w:p w14:paraId="2B2316B2">
            <w:pPr>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本项目经理应具有：</w:t>
            </w:r>
          </w:p>
          <w:p w14:paraId="2B826EC8">
            <w:pPr>
              <w:numPr>
                <w:ilvl w:val="-1"/>
                <w:numId w:val="0"/>
              </w:numPr>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en-US" w:bidi="zh-CN"/>
              </w:rPr>
              <w:t>1、</w:t>
            </w:r>
            <w:r>
              <w:rPr>
                <w:rFonts w:hint="eastAsia" w:ascii="仿宋" w:hAnsi="仿宋" w:eastAsia="仿宋" w:cs="仿宋"/>
                <w:color w:val="auto"/>
                <w:sz w:val="24"/>
                <w:szCs w:val="24"/>
                <w:highlight w:val="none"/>
                <w:lang w:bidi="zh-CN"/>
              </w:rPr>
              <w:t>国家软考高级《信息系统项目管理师》证书得3分，不提供不得分；</w:t>
            </w:r>
          </w:p>
          <w:p w14:paraId="74FC0603">
            <w:pPr>
              <w:numPr>
                <w:ilvl w:val="-1"/>
                <w:numId w:val="0"/>
              </w:numPr>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en-US" w:bidi="zh-CN"/>
              </w:rPr>
              <w:t>2、</w:t>
            </w:r>
            <w:r>
              <w:rPr>
                <w:rFonts w:hint="eastAsia" w:ascii="仿宋" w:hAnsi="仿宋" w:eastAsia="仿宋" w:cs="仿宋"/>
                <w:color w:val="auto"/>
                <w:sz w:val="24"/>
                <w:szCs w:val="24"/>
                <w:highlight w:val="none"/>
                <w:lang w:bidi="zh-CN"/>
              </w:rPr>
              <w:t>国家软考中级《</w:t>
            </w:r>
            <w:r>
              <w:rPr>
                <w:rFonts w:hint="eastAsia" w:ascii="仿宋" w:hAnsi="仿宋" w:eastAsia="仿宋" w:cs="仿宋"/>
                <w:color w:val="auto"/>
                <w:sz w:val="24"/>
                <w:szCs w:val="24"/>
                <w:highlight w:val="none"/>
                <w:lang w:val="en-US" w:bidi="zh-CN"/>
              </w:rPr>
              <w:t>信息安全</w:t>
            </w:r>
            <w:r>
              <w:rPr>
                <w:rFonts w:hint="eastAsia" w:ascii="仿宋" w:hAnsi="仿宋" w:eastAsia="仿宋" w:cs="仿宋"/>
                <w:color w:val="auto"/>
                <w:sz w:val="24"/>
                <w:szCs w:val="24"/>
                <w:highlight w:val="none"/>
                <w:lang w:bidi="zh-CN"/>
              </w:rPr>
              <w:t>工程师》证书得1分，不提供不得分；</w:t>
            </w:r>
          </w:p>
          <w:p w14:paraId="49B0516E">
            <w:pPr>
              <w:numPr>
                <w:ilvl w:val="-1"/>
                <w:numId w:val="0"/>
              </w:numPr>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en-US" w:bidi="zh-CN"/>
              </w:rPr>
              <w:t>3、</w:t>
            </w:r>
            <w:r>
              <w:rPr>
                <w:rFonts w:hint="eastAsia" w:ascii="仿宋" w:hAnsi="仿宋" w:eastAsia="仿宋" w:cs="仿宋"/>
                <w:color w:val="auto"/>
                <w:sz w:val="24"/>
                <w:szCs w:val="24"/>
                <w:highlight w:val="none"/>
                <w:lang w:bidi="zh-CN"/>
              </w:rPr>
              <w:t>CISP-PTE</w:t>
            </w:r>
            <w:r>
              <w:rPr>
                <w:rFonts w:hint="eastAsia" w:ascii="仿宋" w:hAnsi="仿宋" w:eastAsia="仿宋" w:cs="仿宋"/>
                <w:color w:val="auto"/>
                <w:sz w:val="24"/>
                <w:szCs w:val="24"/>
                <w:highlight w:val="none"/>
                <w:lang w:val="zh-CN" w:bidi="zh-CN"/>
              </w:rPr>
              <w:t>渗透测试工程师</w:t>
            </w:r>
            <w:r>
              <w:rPr>
                <w:rFonts w:hint="eastAsia" w:ascii="仿宋" w:hAnsi="仿宋" w:eastAsia="仿宋" w:cs="仿宋"/>
                <w:color w:val="auto"/>
                <w:sz w:val="24"/>
                <w:szCs w:val="24"/>
                <w:highlight w:val="none"/>
                <w:lang w:bidi="zh-CN"/>
              </w:rPr>
              <w:t>证书得2分，不提供不得分；</w:t>
            </w:r>
          </w:p>
          <w:p w14:paraId="14EB0283">
            <w:pPr>
              <w:numPr>
                <w:ilvl w:val="-1"/>
                <w:numId w:val="0"/>
              </w:numPr>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en-US" w:bidi="zh-CN"/>
              </w:rPr>
              <w:t>4、</w:t>
            </w:r>
            <w:r>
              <w:rPr>
                <w:rFonts w:hint="eastAsia" w:ascii="仿宋" w:hAnsi="仿宋" w:eastAsia="仿宋" w:cs="仿宋"/>
                <w:color w:val="auto"/>
                <w:sz w:val="24"/>
                <w:szCs w:val="24"/>
                <w:highlight w:val="none"/>
                <w:lang w:bidi="zh-CN"/>
              </w:rPr>
              <w:t>CISP-DSG注册数据安全治理专业人员证书得1分，不提供不得分；</w:t>
            </w:r>
          </w:p>
          <w:p w14:paraId="4752E54D">
            <w:pPr>
              <w:numPr>
                <w:ilvl w:val="-1"/>
                <w:numId w:val="0"/>
              </w:numPr>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en-US" w:bidi="zh-CN"/>
              </w:rPr>
              <w:t>5、</w:t>
            </w:r>
            <w:r>
              <w:rPr>
                <w:rFonts w:hint="eastAsia" w:ascii="仿宋" w:hAnsi="仿宋" w:eastAsia="仿宋" w:cs="仿宋"/>
                <w:color w:val="auto"/>
                <w:sz w:val="24"/>
                <w:szCs w:val="24"/>
                <w:highlight w:val="none"/>
                <w:lang w:bidi="zh-CN"/>
              </w:rPr>
              <w:t>CCRC-DSO数据安全官认证证书得1分，不提供不得分；</w:t>
            </w:r>
          </w:p>
          <w:p w14:paraId="2D891FED">
            <w:pPr>
              <w:numPr>
                <w:ilvl w:val="-1"/>
                <w:numId w:val="0"/>
              </w:numPr>
              <w:snapToGrid w:val="0"/>
              <w:spacing w:beforeLines="0" w:afterLines="0" w:line="460" w:lineRule="exact"/>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以项目经理身份承担过不少于 2 个类似业绩项目的管理工作。每提供一个得1分，最多2分，不提供不得分。</w:t>
            </w:r>
          </w:p>
          <w:p w14:paraId="0AC30492">
            <w:pPr>
              <w:snapToGri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bidi="zh-CN"/>
              </w:rPr>
              <w:t>注：要求项目经理为供应商自有正式员工，需提供以上资质证书、类似业绩的证明材料，不满足不得分。</w:t>
            </w:r>
          </w:p>
        </w:tc>
      </w:tr>
      <w:tr w14:paraId="0EA8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0" w:type="dxa"/>
            <w:vMerge w:val="continue"/>
            <w:vAlign w:val="center"/>
          </w:tcPr>
          <w:p w14:paraId="4485EAF8">
            <w:pPr>
              <w:pStyle w:val="39"/>
              <w:spacing w:beforeLines="0" w:after="0" w:afterLines="0" w:line="460" w:lineRule="exact"/>
              <w:ind w:firstLine="0" w:firstLineChars="0"/>
              <w:rPr>
                <w:rFonts w:hint="eastAsia" w:ascii="仿宋" w:hAnsi="仿宋" w:eastAsia="仿宋" w:cs="仿宋"/>
                <w:color w:val="auto"/>
                <w:kern w:val="0"/>
                <w:sz w:val="24"/>
                <w:szCs w:val="24"/>
              </w:rPr>
            </w:pPr>
          </w:p>
        </w:tc>
        <w:tc>
          <w:tcPr>
            <w:tcW w:w="1350" w:type="dxa"/>
            <w:vAlign w:val="center"/>
          </w:tcPr>
          <w:p w14:paraId="3A311AE0">
            <w:pPr>
              <w:snapToGrid w:val="0"/>
              <w:spacing w:beforeLines="0" w:afterLines="0" w:line="460" w:lineRule="exact"/>
              <w:jc w:val="left"/>
              <w:rPr>
                <w:rFonts w:hint="eastAsia" w:ascii="仿宋" w:hAnsi="仿宋" w:eastAsia="仿宋" w:cs="仿宋"/>
                <w:color w:val="auto"/>
                <w:sz w:val="24"/>
                <w:szCs w:val="24"/>
                <w:highlight w:val="none"/>
                <w:lang w:val="en-US" w:bidi="zh-CN"/>
              </w:rPr>
            </w:pPr>
            <w:r>
              <w:rPr>
                <w:rFonts w:hint="eastAsia" w:ascii="仿宋" w:hAnsi="仿宋" w:eastAsia="仿宋" w:cs="仿宋"/>
                <w:color w:val="auto"/>
                <w:sz w:val="24"/>
                <w:szCs w:val="24"/>
                <w:highlight w:val="none"/>
                <w:lang w:bidi="zh-CN"/>
              </w:rPr>
              <w:t>系统平台交付能力（</w:t>
            </w:r>
            <w:r>
              <w:rPr>
                <w:rFonts w:hint="eastAsia" w:ascii="仿宋" w:hAnsi="仿宋" w:eastAsia="仿宋" w:cs="仿宋"/>
                <w:color w:val="auto"/>
                <w:sz w:val="24"/>
                <w:szCs w:val="24"/>
                <w:highlight w:val="none"/>
                <w:lang w:val="en-US" w:bidi="zh-CN"/>
              </w:rPr>
              <w:t>8分）</w:t>
            </w:r>
          </w:p>
        </w:tc>
        <w:tc>
          <w:tcPr>
            <w:tcW w:w="7329" w:type="dxa"/>
            <w:vAlign w:val="center"/>
          </w:tcPr>
          <w:p w14:paraId="511A5F63">
            <w:pPr>
              <w:snapToGrid w:val="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为确保服务内容有效执行，供应商需具备：</w:t>
            </w:r>
          </w:p>
          <w:p w14:paraId="5F72CD5C">
            <w:pPr>
              <w:snapToGrid w:val="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1、提供安全监测与态势感知功能的平台相关软件著作权证书；</w:t>
            </w:r>
          </w:p>
          <w:p w14:paraId="21A7AA19">
            <w:pPr>
              <w:snapToGrid w:val="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2、提供日志采集分析功能的平台相关的软件著作权证书；</w:t>
            </w:r>
          </w:p>
          <w:p w14:paraId="1D87D260">
            <w:pPr>
              <w:snapToGrid w:val="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每个证书4分，满分8分，不满足不得分。</w:t>
            </w:r>
          </w:p>
        </w:tc>
      </w:tr>
    </w:tbl>
    <w:p w14:paraId="57761027">
      <w:pPr>
        <w:pStyle w:val="81"/>
        <w:spacing w:before="0" w:beforeLines="0" w:after="0" w:afterLines="0" w:line="460" w:lineRule="exact"/>
        <w:ind w:left="0" w:leftChars="0" w:firstLine="562"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说明：</w:t>
      </w:r>
      <w:r>
        <w:rPr>
          <w:rFonts w:hint="eastAsia" w:ascii="仿宋" w:hAnsi="仿宋" w:eastAsia="仿宋" w:cs="仿宋"/>
          <w:color w:val="auto"/>
          <w:sz w:val="28"/>
          <w:szCs w:val="28"/>
          <w:highlight w:val="none"/>
          <w:lang w:eastAsia="zh-CN"/>
        </w:rPr>
        <w:t>政府采购评审中出现下列情形之一的，评审委员会应当启动异常低价投标（响应) 审查程序：</w:t>
      </w:r>
    </w:p>
    <w:p w14:paraId="733DA436">
      <w:pPr>
        <w:pStyle w:val="81"/>
        <w:spacing w:before="0" w:beforeLines="0" w:after="0" w:afterLines="0" w:line="460" w:lineRule="exact"/>
        <w:ind w:left="0" w:leftChars="0" w:firstLine="562"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情形1：投标(响应)报价低于全部通过符合性审查供应商投标(响应)报价「平均值」50%；</w:t>
      </w:r>
    </w:p>
    <w:p w14:paraId="3A612B0C">
      <w:pPr>
        <w:pStyle w:val="81"/>
        <w:spacing w:before="0" w:beforeLines="0" w:after="0" w:afterLines="0" w:line="460" w:lineRule="exact"/>
        <w:ind w:left="0" w:leftChars="0" w:firstLine="562"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情形2：投标(响应)报价低于通过符合性审查的「次低报价」供应商投标(响应)报价50%；</w:t>
      </w:r>
    </w:p>
    <w:p w14:paraId="3FDC1F8F">
      <w:pPr>
        <w:pStyle w:val="81"/>
        <w:spacing w:before="0" w:beforeLines="0" w:after="0" w:afterLines="0" w:line="460" w:lineRule="exact"/>
        <w:ind w:left="0" w:leftChars="0" w:firstLine="562"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情形3：投标(响应)报价低于采购项目「最高限价」45%；</w:t>
      </w:r>
    </w:p>
    <w:p w14:paraId="57C9A7A9">
      <w:pPr>
        <w:pStyle w:val="81"/>
        <w:spacing w:before="0" w:beforeLines="0" w:after="0" w:afterLines="0" w:line="4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情形4：评审委员会基于专业判断，认为供应商报价过低，有可能影响产品质量或者不能诚信履约的其他情形。</w:t>
      </w:r>
      <w:r>
        <w:rPr>
          <w:rFonts w:hint="eastAsia" w:ascii="仿宋" w:hAnsi="仿宋" w:eastAsia="仿宋" w:cs="仿宋"/>
          <w:color w:val="auto"/>
          <w:sz w:val="28"/>
          <w:szCs w:val="28"/>
          <w:highlight w:val="none"/>
        </w:rPr>
        <w:t>应当做出合理的解释说明，否则不予计分。</w:t>
      </w:r>
    </w:p>
    <w:p w14:paraId="4376123F">
      <w:pPr>
        <w:adjustRightInd w:val="0"/>
        <w:snapToGrid w:val="0"/>
        <w:spacing w:beforeLines="0" w:afterLines="0" w:line="460" w:lineRule="exact"/>
        <w:ind w:firstLine="562" w:firstLineChars="200"/>
        <w:rPr>
          <w:rFonts w:ascii="仿宋" w:hAnsi="仿宋" w:eastAsia="仿宋" w:cs="仿宋"/>
          <w:bCs/>
          <w:color w:val="auto"/>
          <w:sz w:val="24"/>
          <w:szCs w:val="24"/>
          <w:highlight w:val="none"/>
        </w:rPr>
      </w:pPr>
      <w:r>
        <w:rPr>
          <w:rFonts w:hint="eastAsia" w:ascii="仿宋" w:hAnsi="仿宋" w:eastAsia="仿宋" w:cs="仿宋"/>
          <w:b/>
          <w:color w:val="auto"/>
          <w:sz w:val="28"/>
          <w:highlight w:val="none"/>
        </w:rPr>
        <w:t>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FFBDA17">
      <w:pPr>
        <w:spacing w:beforeLines="0" w:afterLines="0" w:line="460" w:lineRule="exact"/>
        <w:ind w:firstLine="480" w:firstLineChars="200"/>
        <w:rPr>
          <w:rFonts w:ascii="仿宋" w:hAnsi="仿宋" w:eastAsia="仿宋" w:cs="仿宋"/>
          <w:color w:val="auto"/>
          <w:sz w:val="24"/>
          <w:szCs w:val="24"/>
          <w:highlight w:val="none"/>
          <w:shd w:val="clear" w:color="auto" w:fill="FFFFFF"/>
        </w:rPr>
      </w:pPr>
      <w:r>
        <w:rPr>
          <w:rFonts w:hint="eastAsia" w:ascii="仿宋" w:hAnsi="仿宋" w:eastAsia="仿宋" w:cs="仿宋"/>
          <w:bCs/>
          <w:color w:val="auto"/>
          <w:sz w:val="24"/>
          <w:szCs w:val="24"/>
          <w:highlight w:val="none"/>
        </w:rPr>
        <w:t>26.4</w:t>
      </w:r>
      <w:r>
        <w:rPr>
          <w:rFonts w:hint="eastAsia" w:ascii="仿宋" w:hAnsi="仿宋" w:eastAsia="仿宋" w:cs="仿宋"/>
          <w:color w:val="auto"/>
          <w:sz w:val="24"/>
          <w:szCs w:val="24"/>
          <w:highlight w:val="none"/>
          <w:shd w:val="clear" w:color="auto" w:fill="FFFFFF"/>
        </w:rPr>
        <w:t>评审小组应当根据综合评分情况，按照评审得分由高到低顺序推荐3名以上成交候选供应商。评审得分相同的，按照最后报价由低到高的顺序推荐。评审得分且最后报价相同的，按照设计指标优劣顺序推荐。</w:t>
      </w:r>
    </w:p>
    <w:p w14:paraId="3E8459F1">
      <w:pPr>
        <w:spacing w:beforeLines="0" w:afterLines="0" w:line="46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26.5采购人根据评审小组推荐的成交候选供应商名单，根据相关法律法规的规定确定最终成交商。如果排名第一的成交候选供应商的实际情况与其投标资料不相符，将取消其成交资格，由排名第二的成交候选供应商递补，以此类推。</w:t>
      </w:r>
    </w:p>
    <w:p w14:paraId="0DD2A4AF">
      <w:pPr>
        <w:spacing w:beforeLines="0" w:afterLines="0" w:line="460" w:lineRule="exact"/>
        <w:ind w:firstLine="480" w:firstLineChars="200"/>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27．投标过程的保密性</w:t>
      </w:r>
    </w:p>
    <w:p w14:paraId="70D4F05D">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27.1 投标后，直到授予合同为止，凡是属于审查、澄清、评价和比较的有关资料以及授予成交方的建议等评审小组成员或参与投标的有关工作人员均不得向供应商或其他无关的人员透露，违者给予警告、取消担任评审小组成员的资格，不得再参加任何项目的投标。</w:t>
      </w:r>
    </w:p>
    <w:p w14:paraId="21614694">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27.2 供应商在投标过程中，所进行的力图影响投标结果的，不符合《政府采购法》及本次投标中有关规定的活动，将被取消其投标资格。</w:t>
      </w:r>
    </w:p>
    <w:p w14:paraId="07A6441B">
      <w:pPr>
        <w:pStyle w:val="3"/>
        <w:spacing w:before="0" w:beforeLines="0" w:after="0" w:afterLines="0" w:line="460" w:lineRule="exact"/>
        <w:ind w:firstLine="241" w:firstLineChars="100"/>
        <w:rPr>
          <w:rFonts w:ascii="仿宋" w:hAnsi="仿宋" w:eastAsia="仿宋" w:cs="仿宋"/>
          <w:color w:val="auto"/>
          <w:sz w:val="24"/>
          <w:szCs w:val="24"/>
          <w:highlight w:val="none"/>
        </w:rPr>
      </w:pPr>
      <w:bookmarkStart w:id="63" w:name="_Toc298240410"/>
      <w:bookmarkStart w:id="64" w:name="_Toc267301287"/>
      <w:bookmarkStart w:id="65" w:name="_Toc349573126"/>
      <w:bookmarkStart w:id="66" w:name="_Toc462223637"/>
      <w:bookmarkStart w:id="67" w:name="_Toc349637925"/>
    </w:p>
    <w:p w14:paraId="16CAE5E7">
      <w:pPr>
        <w:pStyle w:val="3"/>
        <w:spacing w:before="0" w:beforeLines="0" w:after="0" w:afterLines="0" w:line="460" w:lineRule="exact"/>
        <w:ind w:firstLine="3373" w:firstLineChars="1400"/>
        <w:rPr>
          <w:rFonts w:ascii="仿宋" w:hAnsi="仿宋" w:eastAsia="仿宋" w:cs="仿宋"/>
          <w:color w:val="auto"/>
          <w:sz w:val="24"/>
          <w:szCs w:val="24"/>
          <w:highlight w:val="none"/>
        </w:rPr>
      </w:pPr>
      <w:bookmarkStart w:id="68" w:name="_Toc31544"/>
      <w:bookmarkStart w:id="69" w:name="_Toc7445"/>
      <w:r>
        <w:rPr>
          <w:rFonts w:hint="eastAsia" w:ascii="仿宋" w:hAnsi="仿宋" w:eastAsia="仿宋" w:cs="仿宋"/>
          <w:color w:val="auto"/>
          <w:sz w:val="24"/>
          <w:szCs w:val="24"/>
          <w:highlight w:val="none"/>
        </w:rPr>
        <w:t>（六）  授予合同</w:t>
      </w:r>
      <w:bookmarkEnd w:id="63"/>
      <w:bookmarkEnd w:id="64"/>
      <w:bookmarkEnd w:id="65"/>
      <w:bookmarkEnd w:id="66"/>
      <w:bookmarkEnd w:id="67"/>
      <w:bookmarkEnd w:id="68"/>
      <w:bookmarkEnd w:id="69"/>
    </w:p>
    <w:p w14:paraId="10E27D4B">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28、合同授予标准</w:t>
      </w:r>
    </w:p>
    <w:p w14:paraId="4C23D0DE">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28.1</w:t>
      </w:r>
      <w:r>
        <w:rPr>
          <w:rFonts w:hint="eastAsia" w:ascii="仿宋" w:hAnsi="仿宋" w:eastAsia="仿宋" w:cs="仿宋"/>
          <w:bCs/>
          <w:color w:val="auto"/>
          <w:sz w:val="24"/>
          <w:szCs w:val="24"/>
          <w:highlight w:val="none"/>
        </w:rPr>
        <w:t>合同将授予被确定为实质上响应投标文件要求，符合采购需求、质量和服务相等且报价最低的供应商</w:t>
      </w:r>
      <w:r>
        <w:rPr>
          <w:rFonts w:hint="eastAsia" w:ascii="仿宋" w:hAnsi="仿宋" w:eastAsia="仿宋" w:cs="仿宋"/>
          <w:color w:val="auto"/>
          <w:sz w:val="24"/>
          <w:szCs w:val="24"/>
          <w:highlight w:val="none"/>
        </w:rPr>
        <w:t>。</w:t>
      </w:r>
    </w:p>
    <w:p w14:paraId="640F70B6">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28.2 最低报价不一定是被授予合同的保证。</w:t>
      </w:r>
    </w:p>
    <w:p w14:paraId="6E85C11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28.3 如果确定该供应商无法圆满履行合同，招标代理机构将对下一个可能中标的供应商资格作出类似的审查。</w:t>
      </w:r>
    </w:p>
    <w:p w14:paraId="75BEEF44">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29、接受和拒绝任何或所有投标的权力</w:t>
      </w:r>
    </w:p>
    <w:p w14:paraId="163AA5C2">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29.1为维护国家利益，买方在授予合同之前仍有选择或拒绝任何全部投标的权力，并对所采取的行为不作任何解释。</w:t>
      </w:r>
    </w:p>
    <w:p w14:paraId="18882DFE">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30、成交通知书</w:t>
      </w:r>
    </w:p>
    <w:p w14:paraId="431C4FC5">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30.1 成交公告期满后，招标代理机构将以书面或在线的形式发出《成交通知书》，但发出时间不超过投标有效期，《成交通知书》一经发出即发生法律效力。</w:t>
      </w:r>
    </w:p>
    <w:p w14:paraId="3CABB9CE">
      <w:pPr>
        <w:spacing w:beforeLines="0" w:afterLines="0" w:line="460" w:lineRule="exact"/>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30.2 《成交通知书》将作为签订合同的依据。</w:t>
      </w:r>
    </w:p>
    <w:p w14:paraId="6632EACE">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31、签订合同</w:t>
      </w:r>
    </w:p>
    <w:p w14:paraId="28511CDA">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 供应商收到《成交通知书》后，按《成交通知书》中规定的时间地点与买方签订合同。买方和成交方不得再订立背离合同实质性内容的其他协议。</w:t>
      </w:r>
    </w:p>
    <w:p w14:paraId="2CEE7C1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31.2如成交方拒签合同，则按违约处理。招标代理机构没收其投标保证金。</w:t>
      </w:r>
    </w:p>
    <w:p w14:paraId="56DCBF5C">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31.3投标文件、成交方的投标文件及其澄清文件等，均为签订经济合同的依据。</w:t>
      </w:r>
    </w:p>
    <w:p w14:paraId="6B04F943">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32、履约保证金（如适用）</w:t>
      </w:r>
    </w:p>
    <w:p w14:paraId="5357A391">
      <w:pPr>
        <w:spacing w:beforeLines="0" w:afterLines="0" w:line="460" w:lineRule="exact"/>
        <w:ind w:left="0" w:hanging="340" w:hangingChars="14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32.1成交方应按合同规定的方式、时间和金额向买方提交履约保证金。</w:t>
      </w:r>
    </w:p>
    <w:p w14:paraId="302DF44B">
      <w:pPr>
        <w:spacing w:beforeLines="0" w:afterLines="0" w:line="460" w:lineRule="exact"/>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33、招标代理服务费</w:t>
      </w:r>
      <w:r>
        <w:rPr>
          <w:rFonts w:hint="eastAsia" w:ascii="仿宋" w:hAnsi="仿宋" w:eastAsia="仿宋" w:cs="仿宋"/>
          <w:bCs/>
          <w:color w:val="auto"/>
          <w:sz w:val="24"/>
          <w:szCs w:val="24"/>
          <w:highlight w:val="none"/>
        </w:rPr>
        <w:t>由中标（成交）人支付。</w:t>
      </w:r>
    </w:p>
    <w:p w14:paraId="22BF6254">
      <w:pPr>
        <w:pStyle w:val="3"/>
        <w:spacing w:before="0" w:beforeLines="0" w:after="0" w:afterLines="0" w:line="460" w:lineRule="exact"/>
        <w:rPr>
          <w:rFonts w:ascii="仿宋" w:hAnsi="仿宋" w:eastAsia="仿宋" w:cs="仿宋"/>
          <w:color w:val="auto"/>
          <w:sz w:val="24"/>
          <w:szCs w:val="24"/>
          <w:highlight w:val="none"/>
        </w:rPr>
      </w:pPr>
      <w:bookmarkStart w:id="70" w:name="_Toc462223638"/>
      <w:bookmarkStart w:id="71" w:name="_Toc267301288"/>
    </w:p>
    <w:p w14:paraId="087EACBA">
      <w:pPr>
        <w:pStyle w:val="3"/>
        <w:spacing w:before="0" w:beforeLines="0" w:after="0" w:afterLines="0" w:line="460" w:lineRule="exact"/>
        <w:ind w:firstLine="2891" w:firstLineChars="1200"/>
        <w:rPr>
          <w:rFonts w:ascii="仿宋" w:hAnsi="仿宋" w:eastAsia="仿宋" w:cs="仿宋"/>
          <w:bCs/>
          <w:color w:val="auto"/>
          <w:sz w:val="24"/>
          <w:szCs w:val="24"/>
          <w:highlight w:val="none"/>
        </w:rPr>
      </w:pPr>
      <w:bookmarkStart w:id="72" w:name="_Toc1508"/>
      <w:bookmarkStart w:id="73" w:name="_Toc523"/>
      <w:r>
        <w:rPr>
          <w:rFonts w:hint="eastAsia" w:ascii="仿宋" w:hAnsi="仿宋" w:eastAsia="仿宋" w:cs="仿宋"/>
          <w:color w:val="auto"/>
          <w:sz w:val="24"/>
          <w:szCs w:val="24"/>
          <w:highlight w:val="none"/>
        </w:rPr>
        <w:t>（七）  投标失败条件</w:t>
      </w:r>
      <w:bookmarkEnd w:id="70"/>
      <w:bookmarkEnd w:id="72"/>
      <w:bookmarkEnd w:id="73"/>
    </w:p>
    <w:p w14:paraId="180CF830">
      <w:pPr>
        <w:pStyle w:val="24"/>
        <w:tabs>
          <w:tab w:val="left" w:pos="720"/>
          <w:tab w:val="left" w:pos="900"/>
          <w:tab w:val="left" w:pos="1260"/>
        </w:tabs>
        <w:adjustRightInd w:val="0"/>
        <w:spacing w:beforeLines="0" w:afterLines="0" w:line="460" w:lineRule="exact"/>
        <w:ind w:left="0" w:hanging="720" w:hangingChars="3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14:paraId="383F411B">
      <w:pPr>
        <w:pStyle w:val="24"/>
        <w:tabs>
          <w:tab w:val="left" w:pos="720"/>
          <w:tab w:val="left" w:pos="900"/>
          <w:tab w:val="left" w:pos="1260"/>
        </w:tabs>
        <w:adjustRightInd w:val="0"/>
        <w:spacing w:beforeLines="0" w:afterLines="0" w:line="460" w:lineRule="exact"/>
        <w:ind w:left="0" w:hanging="720" w:hangingChars="3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14:paraId="6287AABB">
      <w:pPr>
        <w:pStyle w:val="24"/>
        <w:tabs>
          <w:tab w:val="left" w:pos="720"/>
          <w:tab w:val="left" w:pos="900"/>
          <w:tab w:val="left" w:pos="1260"/>
        </w:tabs>
        <w:adjustRightInd w:val="0"/>
        <w:spacing w:beforeLines="0" w:afterLines="0" w:line="460" w:lineRule="exact"/>
        <w:ind w:left="0" w:hanging="720" w:hangingChars="3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36、投标文件截止时间后，实际参与的供应商不足法定家数的；</w:t>
      </w:r>
    </w:p>
    <w:p w14:paraId="66EA5108">
      <w:pPr>
        <w:pStyle w:val="24"/>
        <w:tabs>
          <w:tab w:val="left" w:pos="720"/>
          <w:tab w:val="left" w:pos="900"/>
          <w:tab w:val="left" w:pos="1260"/>
        </w:tabs>
        <w:adjustRightInd w:val="0"/>
        <w:spacing w:beforeLines="0" w:afterLines="0" w:line="460" w:lineRule="exact"/>
        <w:ind w:left="0" w:hanging="720" w:hangingChars="3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14:paraId="1B72C1AF">
      <w:pPr>
        <w:spacing w:beforeLines="0" w:afterLines="0" w:line="46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38、对投标文件作出实质性响应的供应商不足法定家数的；</w:t>
      </w:r>
    </w:p>
    <w:p w14:paraId="0089C29F">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71"/>
    <w:p w14:paraId="0CB5C4C9">
      <w:pPr>
        <w:widowControl/>
        <w:numPr>
          <w:ilvl w:val="0"/>
          <w:numId w:val="2"/>
        </w:numPr>
        <w:spacing w:beforeLines="0" w:afterLines="0" w:line="460" w:lineRule="exact"/>
        <w:ind w:left="0"/>
        <w:jc w:val="center"/>
        <w:outlineLvl w:val="0"/>
        <w:rPr>
          <w:rFonts w:hint="eastAsia" w:ascii="仿宋" w:hAnsi="仿宋" w:eastAsia="仿宋" w:cs="仿宋"/>
          <w:b/>
          <w:bCs w:val="0"/>
          <w:color w:val="auto"/>
          <w:sz w:val="28"/>
          <w:szCs w:val="28"/>
          <w:highlight w:val="none"/>
        </w:rPr>
      </w:pPr>
      <w:bookmarkStart w:id="74" w:name="_Toc18112"/>
      <w:r>
        <w:rPr>
          <w:rFonts w:hint="eastAsia" w:ascii="仿宋" w:hAnsi="仿宋" w:eastAsia="仿宋" w:cs="仿宋"/>
          <w:b/>
          <w:bCs w:val="0"/>
          <w:color w:val="auto"/>
          <w:sz w:val="28"/>
          <w:szCs w:val="22"/>
          <w:highlight w:val="none"/>
        </w:rPr>
        <w:t>项目需求</w:t>
      </w:r>
      <w:bookmarkEnd w:id="74"/>
    </w:p>
    <w:p w14:paraId="577DB385">
      <w:pPr>
        <w:spacing w:beforeLines="0" w:afterLines="0" w:line="460" w:lineRule="exact"/>
        <w:ind w:firstLine="560" w:firstLineChars="200"/>
        <w:rPr>
          <w:rFonts w:hint="eastAsia" w:ascii="仿宋_GB2312" w:hAnsi="仿宋_GB2312" w:eastAsia="仿宋_GB2312" w:cs="仿宋_GB2312"/>
          <w:color w:val="auto"/>
          <w:sz w:val="28"/>
          <w:szCs w:val="28"/>
        </w:rPr>
      </w:pPr>
      <w:bookmarkStart w:id="75" w:name="_Toc28926"/>
      <w:bookmarkStart w:id="76" w:name="_Toc28778"/>
      <w:bookmarkStart w:id="77" w:name="_Toc6109"/>
      <w:bookmarkStart w:id="78" w:name="_Toc490155603"/>
      <w:r>
        <w:rPr>
          <w:rFonts w:hint="eastAsia" w:ascii="仿宋_GB2312" w:hAnsi="仿宋_GB2312" w:eastAsia="仿宋_GB2312" w:cs="仿宋_GB2312"/>
          <w:color w:val="auto"/>
          <w:sz w:val="28"/>
          <w:szCs w:val="28"/>
        </w:rPr>
        <w:t>为保障自治区交通运输厅（以下简称“</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”）网络及信息系统安全、高效、稳定运行，防范网络与信息安全风险，规范数据安全管理，提升安全防护能力，现聘请第三方专业技术单位（以下简称“供应商”）提供安全运维及安全技术支撑服务，参与</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lang w:val="en-US" w:eastAsia="zh-CN"/>
        </w:rPr>
        <w:t>厅智慧中心、厅运输中心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网络及信息系统日常维护工作。</w:t>
      </w:r>
    </w:p>
    <w:p w14:paraId="23025385">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一、安全运维服务</w:t>
      </w:r>
    </w:p>
    <w:p w14:paraId="7119B663">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（一）安全设备日常维护</w:t>
      </w:r>
    </w:p>
    <w:p w14:paraId="5F873D32">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测防火墙、IPS、WAF、态势感知平台等各类安全设备的工作状态和运行性能，及时发现设备异常；及时响应并处理各类安全设备故障，建立故障处理台账，明确故障描述、处理时间、处理过程、处理结果及复核情况；实时监控安全设备各项运行数据和告警信息，及时发现安全风险和异常情况。每日提交巡检报告，汇总当日设备运行情况、风险处理结果。</w:t>
      </w:r>
    </w:p>
    <w:p w14:paraId="6A8231C0">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服务频率：由驻场安全服务工程师完成，每年≥250次。</w:t>
      </w:r>
    </w:p>
    <w:p w14:paraId="1E45125B">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交付物：《日巡检报告》。</w:t>
      </w:r>
    </w:p>
    <w:p w14:paraId="61172B0A">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（二）安全设备策略优化</w:t>
      </w:r>
    </w:p>
    <w:p w14:paraId="7FC8548B">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审批流程，协助对安全设备策略进行优化调整与实施，包括但不限于防火墙安全策略配置调整、VPN账号开通/故障处置、WAF策略调整等。</w:t>
      </w:r>
    </w:p>
    <w:p w14:paraId="2FFD6593">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服务频率：由驻场安全服务工程师完成，按需提供。</w:t>
      </w:r>
    </w:p>
    <w:p w14:paraId="6004B7E2">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交付物：《变更申请单》。</w:t>
      </w:r>
    </w:p>
    <w:p w14:paraId="33824A43">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（三）病毒监测、查杀及网络防病毒维护</w:t>
      </w:r>
    </w:p>
    <w:p w14:paraId="6C6A8139">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周对终端杀毒管控平台进行日志检查，全面排查终端病毒感染等异常日志；监控防病毒软件的报警和定期扫描报警信息，对报警信息进行分类梳理及时采取处置措施；针对已感染病毒或恶意软件的终端系统，制定专项查杀方案，进行完整、系统的病毒查杀，查杀完成后进行复查，确保查杀效果满足安全要求。</w:t>
      </w:r>
    </w:p>
    <w:p w14:paraId="495B85B9">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服务频率：由驻场安全服务工程师完成，每年≥52次。</w:t>
      </w:r>
    </w:p>
    <w:p w14:paraId="365762C7">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交付物：《病毒查杀记录表》。</w:t>
      </w:r>
    </w:p>
    <w:p w14:paraId="6F26F813">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（四）日志分析</w:t>
      </w:r>
    </w:p>
    <w:p w14:paraId="27880AD1">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日检查防火墙、IPS、WAF、态势感知平台等各类安全设备、系统的运行日志、安全日志，识别日志中的异常行为，及时发现并处置安全风险；每周对日志进行全面分析汇总，对日志分析过程中发现的共性问题、高频异常，进行总结梳理，形成优化建议，将日志分析结果、安全事件处置情况及优化建议，整理形成安全服务周报，上报相关负责人。</w:t>
      </w:r>
    </w:p>
    <w:p w14:paraId="67C491CC">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服务频率：由驻场安全服务工程师完成，每年≥52次。</w:t>
      </w:r>
    </w:p>
    <w:p w14:paraId="4FAC5FF9">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交付物：《安全服务周报》。</w:t>
      </w:r>
    </w:p>
    <w:p w14:paraId="1737B6B7">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（五）安全设备特征库升级</w:t>
      </w:r>
    </w:p>
    <w:p w14:paraId="6323C037">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每周对</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安全设备（防火墙、IPS、WAF、态势感知平台等）进行全面检查，确认设备特征库（病毒库、攻击特征库等）版本状态；按照</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规定的升级流程，做好升级记录。</w:t>
      </w:r>
    </w:p>
    <w:p w14:paraId="24EAE39C">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服务频率：由驻场安全服务工程师完成，每年≥52次。</w:t>
      </w:r>
    </w:p>
    <w:p w14:paraId="534C5716">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交付物：安全设备特征库升级记录表。</w:t>
      </w:r>
    </w:p>
    <w:p w14:paraId="4EACE525">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（六）漏洞扫描</w:t>
      </w:r>
    </w:p>
    <w:p w14:paraId="0AA248B7">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对服务范围内的所有服务器（应用服务器、数据库服务器等）、网络设备、安全设备、数据库系统进行全面的漏洞扫描，对扫描发现的漏洞进行分类分级（高危、中危、低危），详细记录漏洞名称、所在设备、漏洞描述、风险等级及可能造成的危害；跟踪漏洞整改情况，协助智慧交通发展中心及相关业务部门完成漏洞整改，整改完成后进行复查，确认漏洞已彻底修复；对本月发现的所有漏洞进行梳理分析，形成各业务系统漏洞跟踪表，明确漏洞状态（未整改、整改中、已整改、无法整改），对无法整改的漏洞，需说明原因并提出替代防护措施。</w:t>
      </w:r>
    </w:p>
    <w:p w14:paraId="27FD94DD">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服务频率：由驻场安全服务工程师完成，每年≥12次。</w:t>
      </w:r>
    </w:p>
    <w:p w14:paraId="0112B509">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交付物：《漏洞扫描报告》、各业务系统漏洞跟踪表；</w:t>
      </w:r>
    </w:p>
    <w:p w14:paraId="23921882">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（七）安全加固</w:t>
      </w:r>
    </w:p>
    <w:p w14:paraId="31DA2E41">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根据安全评估、漏洞扫描中发现的问题，协助</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和业务系统运维服务厂商对服务器、网络设备、数据库系统等安全漏洞进行安全加固。</w:t>
      </w:r>
    </w:p>
    <w:p w14:paraId="39EDE0FC">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（八）安全预警通告</w:t>
      </w:r>
    </w:p>
    <w:p w14:paraId="405C74C4">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收集近期国内外网络安全领域出现的重大安全漏洞、安全事件、新型病毒及恶意软件，梳理与</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网络及信息系统相关的安全风险；及时通告近段时间发现的安全漏洞、相关补丁程序、病毒以及病毒专杀工具，明确漏洞风险等级、影响范围、补丁安装方法及病毒查杀方案；针对重大安全预警（如高危漏洞、大规模病毒爆发），提供专项处置建议，协助</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做好防范工作，避免安全事件发生。</w:t>
      </w:r>
    </w:p>
    <w:p w14:paraId="1F5D650B">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服务频率：由二线工程师协助驻场安全服务工程师完成，每年≥25次。</w:t>
      </w:r>
    </w:p>
    <w:p w14:paraId="00E9EAAE">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交付物：《安全预警通告》。</w:t>
      </w:r>
    </w:p>
    <w:p w14:paraId="4780D04D">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（九）资产梳理排查</w:t>
      </w:r>
    </w:p>
    <w:p w14:paraId="39DDFE40">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每月运用网络扫描、服务探测等技术手段，开展互联网暴露面及内部网络资产开展常态化主动探测。核查资产存活状态、开放端口、服务类型及系统信息，识别并清理未登记、违规接入，杜绝资产管理盲区。</w:t>
      </w:r>
    </w:p>
    <w:p w14:paraId="2389B472">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服务频率：按月度汇总更新，形成年度资产清单。</w:t>
      </w:r>
    </w:p>
    <w:p w14:paraId="586DA4B4">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交付物：《在网信息资产台账清单（月度汇总）》《互联网端口资产清单（年度汇总》</w:t>
      </w:r>
    </w:p>
    <w:p w14:paraId="0BBE4039">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（十）安全策略评估优化</w:t>
      </w:r>
    </w:p>
    <w:p w14:paraId="0DF4203B">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每季度对</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现有安全策略（如防火墙策略、入侵检测/防御策略等）及网络系统进行分析，分析现有安全策略的合理性、有效性及冗余性，按照</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审批流程，协助对安全策略进行优化调整与实施。</w:t>
      </w:r>
    </w:p>
    <w:p w14:paraId="531C143A">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服务频率：由二线人员协助驻场运维工程师完成，每年≥4次（每季度1次）。</w:t>
      </w:r>
    </w:p>
    <w:p w14:paraId="4FB26C7F">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交付物：《安全策略优化建议》、《安全策略优化记录》。</w:t>
      </w:r>
    </w:p>
    <w:p w14:paraId="02E1700E">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（十一）基线核查</w:t>
      </w:r>
    </w:p>
    <w:p w14:paraId="15D20B3F">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每年对</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开展2次基线核查，核查范围包括</w:t>
      </w:r>
      <w:r>
        <w:rPr>
          <w:rFonts w:ascii="仿宋_GB2312" w:hAnsi="仿宋_GB2312" w:eastAsia="仿宋_GB2312" w:cs="仿宋_GB2312"/>
          <w:color w:val="auto"/>
          <w:sz w:val="28"/>
          <w:szCs w:val="28"/>
        </w:rPr>
        <w:t>网络设备、服务器、终端设备等资产</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对照安全基线标准，核查各资产的配置参数、安全设置，重点检查账户权限管理、密码策略、端口开放、补丁更新、日志审计、访问控制等关键项，确认是否符合基线要求，识别合规差距。对核查过程中发现的基线偏离、配置不当、合规缺失等问题进行分类梳理，分析问题产生的原因，结合</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审批流程，提出针对性的基线调整、优化及整改建议，协助推进整改实施，确保安全基线落地见效。</w:t>
      </w:r>
    </w:p>
    <w:p w14:paraId="66605738">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服务频率：由二线人员协助驻场运维工程师完成，每年2次。</w:t>
      </w:r>
    </w:p>
    <w:p w14:paraId="3FBA7B0C">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交付物：《各业务系统安全基线核查报告》、《安全基线整改建议》。</w:t>
      </w:r>
    </w:p>
    <w:p w14:paraId="1D3AF961">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二、渗透测试服务</w:t>
      </w:r>
    </w:p>
    <w:p w14:paraId="2F9BC65F">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（一）渗透测试</w:t>
      </w:r>
    </w:p>
    <w:p w14:paraId="7B90EEB0">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采用工具扫描与人工渗透相结合的方式，模拟黑客入侵手段，对</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核心网络、应用系统、数据库等发起攻击测试，以获得目标系统/目标组织的深层次、高危等级安全弱点为核心目标。严格遵守渗透测试规范，测试完成后，详细记录测试过程、测试方法、发现的安全弱点及风险等级，提供逻辑验证测试报告，明确漏洞危害及整改建议，协助</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完成漏洞整改，并对整改效果进行复测。</w:t>
      </w:r>
    </w:p>
    <w:p w14:paraId="7D7E59E0">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服务频率：由二线渗透测试人员完成，每年≥4次（每季度1次）。</w:t>
      </w:r>
    </w:p>
    <w:p w14:paraId="4BE981E4">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交付物：《渗透测试报告》、《渗透测试复测报告》。</w:t>
      </w:r>
    </w:p>
    <w:p w14:paraId="0FE4DE46">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（二）上线前检查</w:t>
      </w:r>
    </w:p>
    <w:p w14:paraId="743754C4">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对拟上线或重大变更的业务系统及功能模块，按需开展专项安全检测，重点识别主机漏洞、应用逻辑缺陷、数据库注入、身份认证绕过等隐患，并在责任单位完成整改加固后组织复测验证。</w:t>
      </w:r>
    </w:p>
    <w:p w14:paraId="022681CF">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服务频率：由二线渗透测试人员完成，按需提供。</w:t>
      </w:r>
    </w:p>
    <w:p w14:paraId="63AA7A1C">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交付物：《系统上线前网络安全检查报告》。</w:t>
      </w:r>
    </w:p>
    <w:p w14:paraId="04BAFC30">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三、应急响应服务</w:t>
      </w:r>
    </w:p>
    <w:p w14:paraId="4FE660B5">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为保障</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网络及信息系统的连续稳定运行，供应商须成立由资深安全专家、网络安全攻防专家、系统维护专家等组成的应急响应小组，明确小组人员分工、联系方式及响应流程；当发生网络安全应急事件（如系统入侵、数据泄露、病毒大规模爆发、网络瘫痪、核心系统故障等）时，应急响应小组须严格依据</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应急响应预案和应急响应流程，及时开展应急处置工作，保护关键业务免受重大故障或灾难的影响，最大限度降低事件造成的损失；应急处置过程中，及时向</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相关负责人汇报事件进展、处置措施及处置结果，事件处置完成后，形成应急响应总结报告。</w:t>
      </w:r>
    </w:p>
    <w:p w14:paraId="7C80A824">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要求：7×24小时全天候提供应急响应服务，发生应急事件时立即启动，无应急事件时做好应急待命。接到应急事件通知后，30分钟内响应，2小时内到达现场开展处置工作；提供7×24小时的远程技术热线支持，应急响应小组人员需保持通讯畅通，不得无故失联。</w:t>
      </w:r>
    </w:p>
    <w:p w14:paraId="53269849">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服务频率：由二线人员、驻场运维服务人员完成，按需提供。</w:t>
      </w:r>
    </w:p>
    <w:p w14:paraId="7A1A589F">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交付物：应急响应处置记录（如有）、应急事件分析报告（如有）。</w:t>
      </w:r>
    </w:p>
    <w:p w14:paraId="50570885">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四、安全值守服务</w:t>
      </w:r>
    </w:p>
    <w:p w14:paraId="1D3921C7">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在重要敏感时期（如节假日、重大活动期间、网络安全专项整治期间等），提供安全值守服务，</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提前3个工作日通知供应商值守时间及要求；值守期间，安全服务工程师加强网络安全监测、设备运行监测及安全事件预警，增加巡检频次，及时发现并处置各类安全隐患和异常情况；建立值守台账，详细记录值守时间、值守人员、巡检情况、事件处置情况等；值守人员需严格遵守</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值守规定，不得擅自离岗、脱岗，及时向</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相关负责人上报值守情况；重要敏感时期结束后，汇总值守情况，形成值守总结报告。</w:t>
      </w:r>
    </w:p>
    <w:p w14:paraId="608A219E">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服务频率：由二线人员、驻场运维服务人员完成，按需提供。</w:t>
      </w:r>
    </w:p>
    <w:p w14:paraId="11BFE7A8">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交付物：《重保值班表》《重保值班日报》《重保总结报告》。</w:t>
      </w:r>
    </w:p>
    <w:p w14:paraId="3563B983">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五、安全咨询服务</w:t>
      </w:r>
    </w:p>
    <w:p w14:paraId="0909ED92">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信息化建设及安全管理需求，提供专业的安全咨询服务；检查和评估</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现有及将来的信息化建设需求，结合行业发展趋势及安全规范，为信息化建设项目（如系统升级、新系统部署、网络扩容等）提供安全方面的建设性建议报告；解答</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内部人员在网络安全、数据安全、终端安全等方面的疑问，提供技术指导。根据</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要求，参与信息化及安全相关项目的方案研讨、评审工作，提供安全专业意见。</w:t>
      </w:r>
    </w:p>
    <w:p w14:paraId="1ED14CA7">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服务频率：由二线人员、驻场运维服务人员完成，按需提供。</w:t>
      </w:r>
    </w:p>
    <w:p w14:paraId="4048A053">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交付物：《安全建议报告》。</w:t>
      </w:r>
    </w:p>
    <w:p w14:paraId="232707AA">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六、网络和数据安全应急演练</w:t>
      </w:r>
    </w:p>
    <w:p w14:paraId="737D15F5">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每年至少组织</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开展1次全面网络安全应急演练，结合</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网络及信息系统实际情况、常见安全应急场景（如系统入侵、数据泄露、病毒大规模爆发、网络瘫痪等），制定科学、可落地的应急演练方案，明确演练目标、演练场景、演练流程、参与人员、职责分工、评判标准及注意事项；演练前开展前期筹备工作，包括演练场景搭建、参与人员培训、演练流程讲解等，确保演练顺利开展；演练过程中全程指导、协调，实时记录演练情况，跟踪各环节执行效果，及时处理演练过程中出现的各类问题；演练结束后，组织开展复盘分析，总结演练亮点、存在不足及改进措施，评估演练效果，形成完整的应急演练总结报告。</w:t>
      </w:r>
    </w:p>
    <w:p w14:paraId="1126CD03">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服务频率：由二线人员、驻场运维服务人员完成，每年1次。</w:t>
      </w:r>
    </w:p>
    <w:p w14:paraId="12439099">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交付物：</w:t>
      </w:r>
      <w:r>
        <w:rPr>
          <w:rFonts w:ascii="仿宋_GB2312" w:hAnsi="仿宋_GB2312" w:eastAsia="仿宋_GB2312" w:cs="仿宋_GB2312"/>
          <w:color w:val="auto"/>
          <w:sz w:val="28"/>
          <w:szCs w:val="28"/>
        </w:rPr>
        <w:t>《网络安全应急演练方案》、演练过程记录、《应急演练总结报告》</w:t>
      </w:r>
      <w:r>
        <w:rPr>
          <w:rFonts w:hint="eastAsia" w:ascii="仿宋_GB2312" w:hAnsi="仿宋_GB2312" w:eastAsia="仿宋_GB2312" w:cs="仿宋_GB2312"/>
          <w:color w:val="auto"/>
          <w:sz w:val="28"/>
          <w:szCs w:val="28"/>
        </w:rPr>
        <w:t>。</w:t>
      </w:r>
    </w:p>
    <w:p w14:paraId="0DAFAF9A">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w:t>
      </w:r>
      <w:r>
        <w:rPr>
          <w:rFonts w:ascii="仿宋_GB2312" w:hAnsi="仿宋_GB2312" w:eastAsia="仿宋_GB2312" w:cs="仿宋_GB2312"/>
          <w:color w:val="auto"/>
          <w:sz w:val="28"/>
          <w:szCs w:val="28"/>
        </w:rPr>
        <w:t>安全培训服务</w:t>
      </w:r>
    </w:p>
    <w:p w14:paraId="2CAD96D6">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每年开展不少于2次安全培训，培训内容包括但不限于WEB应用服务软件安全配置、Http协议安全、数据库安全（配置、防护、备份恢复）、跨站攻击攻防、注入攻击（SQL注入、命令注入等）攻防、漏洞扫描与加固实操、安全设备配置与维护、日志分析实操、应急处置实操等课程；培训内容可根据</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技术人员的实际需求，进行适当调整和优化，确保培训内容贴合实际工作；服务要求：培训讲师需具备相关专业资质，提供完整的培训资料（课件、实操手册、参考资料等），供学员课后学习和查阅。</w:t>
      </w:r>
    </w:p>
    <w:p w14:paraId="22181FDC">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服务频率：每年开展不少于2次安全培训，每次培训时长不少于2小时。</w:t>
      </w:r>
    </w:p>
    <w:p w14:paraId="5BCA2A7E">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交付物：培训</w:t>
      </w:r>
      <w:r>
        <w:rPr>
          <w:rFonts w:hint="eastAsia" w:ascii="仿宋_GB2312" w:hAnsi="仿宋_GB2312" w:eastAsia="仿宋_GB2312" w:cs="仿宋_GB2312"/>
          <w:color w:val="auto"/>
          <w:sz w:val="28"/>
          <w:szCs w:val="28"/>
        </w:rPr>
        <w:t>讲义</w:t>
      </w:r>
      <w:r>
        <w:rPr>
          <w:rFonts w:ascii="仿宋_GB2312" w:hAnsi="仿宋_GB2312" w:eastAsia="仿宋_GB2312" w:cs="仿宋_GB2312"/>
          <w:color w:val="auto"/>
          <w:sz w:val="28"/>
          <w:szCs w:val="28"/>
        </w:rPr>
        <w:t>、培训记录。</w:t>
      </w:r>
    </w:p>
    <w:p w14:paraId="3ADC7836">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w:t>
      </w:r>
      <w:r>
        <w:rPr>
          <w:rFonts w:ascii="仿宋_GB2312" w:hAnsi="仿宋_GB2312" w:eastAsia="仿宋_GB2312" w:cs="仿宋_GB2312"/>
          <w:color w:val="auto"/>
          <w:sz w:val="28"/>
          <w:szCs w:val="28"/>
        </w:rPr>
        <w:t>、网络安全风险评估服务</w:t>
      </w:r>
    </w:p>
    <w:p w14:paraId="2CD17D52">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严格按照《信息安全技术 信息安全风险评估规范》（GB/T 20984-2022）标准要求，结合</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网络及信息系统实际情况，对</w:t>
      </w:r>
      <w:r>
        <w:rPr>
          <w:rFonts w:hint="eastAsia" w:ascii="仿宋_GB2312" w:hAnsi="仿宋_GB2312" w:eastAsia="仿宋_GB2312" w:cs="仿宋_GB2312"/>
          <w:color w:val="auto"/>
          <w:sz w:val="28"/>
          <w:szCs w:val="28"/>
          <w:lang w:val="en-US" w:eastAsia="zh-CN"/>
        </w:rPr>
        <w:t>厅本级16个</w:t>
      </w:r>
      <w:r>
        <w:rPr>
          <w:rFonts w:ascii="仿宋_GB2312" w:hAnsi="仿宋_GB2312" w:eastAsia="仿宋_GB2312" w:cs="仿宋_GB2312"/>
          <w:color w:val="auto"/>
          <w:sz w:val="28"/>
          <w:szCs w:val="28"/>
        </w:rPr>
        <w:t>业务系统安全进行全面、系统性的安全风险评估，针对所发现的问题及安全风险，结合</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业务发展需求，提供科学、可落地的优化、改进建议，降低安全风险，提升网络及信息系统安全防护水平。</w:t>
      </w:r>
    </w:p>
    <w:p w14:paraId="2A31B008">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服务频率：由二线工程师完成，每年1次，评估工作需在每年第四季度前完成，确保不影响年度安全工作验收。</w:t>
      </w:r>
    </w:p>
    <w:p w14:paraId="79FA1F49">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交付物：《网络与信息安全风险评估实施方案》、《网络与信息安全风险评估报告》、《网络与信息安全风险优化建议》。</w:t>
      </w:r>
    </w:p>
    <w:p w14:paraId="233DEDB4">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九、平台部署</w:t>
      </w:r>
    </w:p>
    <w:p w14:paraId="4C5B2D04">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具备：</w:t>
      </w:r>
      <w:r>
        <w:rPr>
          <w:rFonts w:hint="eastAsia" w:ascii="仿宋_GB2312" w:hAnsi="仿宋_GB2312" w:eastAsia="仿宋_GB2312" w:cs="仿宋_GB2312"/>
          <w:color w:val="auto"/>
          <w:sz w:val="28"/>
          <w:szCs w:val="28"/>
        </w:rPr>
        <w:t>一体化运维监控</w:t>
      </w:r>
      <w:r>
        <w:rPr>
          <w:rFonts w:hint="eastAsia" w:ascii="仿宋_GB2312" w:hAnsi="仿宋_GB2312" w:eastAsia="仿宋_GB2312" w:cs="仿宋_GB2312"/>
          <w:color w:val="auto"/>
          <w:sz w:val="28"/>
          <w:szCs w:val="28"/>
          <w:lang w:val="en-US" w:eastAsia="zh-CN"/>
        </w:rPr>
        <w:t>功能的</w:t>
      </w:r>
      <w:r>
        <w:rPr>
          <w:rFonts w:hint="eastAsia" w:ascii="仿宋_GB2312" w:hAnsi="仿宋_GB2312" w:eastAsia="仿宋_GB2312" w:cs="仿宋_GB2312"/>
          <w:color w:val="auto"/>
          <w:sz w:val="28"/>
          <w:szCs w:val="28"/>
        </w:rPr>
        <w:t>平台</w:t>
      </w:r>
    </w:p>
    <w:p w14:paraId="56B2C392">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为满足多团队集中监控与自助运维需求，建设高可用的一体化监控</w:t>
      </w:r>
      <w:r>
        <w:rPr>
          <w:rFonts w:hint="eastAsia" w:ascii="仿宋_GB2312" w:hAnsi="仿宋_GB2312" w:eastAsia="仿宋_GB2312" w:cs="仿宋_GB2312"/>
          <w:color w:val="auto"/>
          <w:sz w:val="28"/>
          <w:szCs w:val="28"/>
          <w:lang w:val="en-US" w:eastAsia="zh-CN"/>
        </w:rPr>
        <w:t>功能</w:t>
      </w:r>
      <w:r>
        <w:rPr>
          <w:rFonts w:hint="eastAsia" w:ascii="仿宋_GB2312" w:hAnsi="仿宋_GB2312" w:eastAsia="仿宋_GB2312" w:cs="仿宋_GB2312"/>
          <w:color w:val="auto"/>
          <w:sz w:val="28"/>
          <w:szCs w:val="28"/>
        </w:rPr>
        <w:t>。供应商需提供一体化</w:t>
      </w:r>
      <w:r>
        <w:rPr>
          <w:rFonts w:hint="eastAsia" w:ascii="仿宋_GB2312" w:hAnsi="仿宋_GB2312" w:eastAsia="仿宋_GB2312" w:cs="仿宋_GB2312"/>
          <w:color w:val="auto"/>
          <w:sz w:val="28"/>
          <w:szCs w:val="28"/>
          <w:lang w:eastAsia="zh-CN"/>
        </w:rPr>
        <w:t>运维监控功能的平台</w:t>
      </w:r>
      <w:r>
        <w:rPr>
          <w:rFonts w:hint="eastAsia" w:ascii="仿宋_GB2312" w:hAnsi="仿宋_GB2312" w:eastAsia="仿宋_GB2312" w:cs="仿宋_GB2312"/>
          <w:color w:val="auto"/>
          <w:sz w:val="28"/>
          <w:szCs w:val="28"/>
        </w:rPr>
        <w:t>，可观测与智能运维中枢，以“高可用、全栈式、智能化”为核心设计理念，深度聚焦告警管理的可靠性与实效性。平台全面集成可视化监控仪表盘、高性能时序指标查询引擎与分布式日志分析模块，支持云原生环境、物理机、虚拟机、中间件、数据库及各类自定义业务数据源的无缝接入与统一纳管，打破传统监控工具的数据孤岛。在告警体系方面，平台内置智能降噪与收敛算法，提供灵活可配的告警规则引擎，支持阈值自定义、告警屏蔽/抑制、分级订阅及静默期管理；同时打通短信、邮件、企业微信、钉钉、Webhook等多渠道触达链路，并支持联动脚本执行与自动化告警自愈流程，实现从“发现-通知-处置-验证”的闭环管理。此外，平台内置完善的资产与拓扑管理能力，支持按业务线、项目维度进行逻辑分组，结合基于角色的精细化权限管控与多租户隔离机制，充分满足大型</w:t>
      </w:r>
      <w:r>
        <w:rPr>
          <w:rFonts w:hint="eastAsia" w:ascii="仿宋_GB2312" w:hAnsi="仿宋_GB2312" w:eastAsia="仿宋_GB2312" w:cs="仿宋_GB2312"/>
          <w:color w:val="auto"/>
          <w:sz w:val="28"/>
          <w:szCs w:val="28"/>
          <w:lang w:val="en-US" w:eastAsia="zh-CN"/>
        </w:rPr>
        <w:t>单位</w:t>
      </w:r>
      <w:r>
        <w:rPr>
          <w:rFonts w:hint="eastAsia" w:ascii="仿宋_GB2312" w:hAnsi="仿宋_GB2312" w:eastAsia="仿宋_GB2312" w:cs="仿宋_GB2312"/>
          <w:color w:val="auto"/>
          <w:sz w:val="28"/>
          <w:szCs w:val="28"/>
        </w:rPr>
        <w:t>跨部门、多团队协同运维的自助化需求。通过标准化接入、智能化研判与自动化处置的深度融合，平台有效降低运维复杂度，提升系统可用性与人效比，为</w:t>
      </w:r>
      <w:r>
        <w:rPr>
          <w:rFonts w:hint="eastAsia" w:ascii="仿宋_GB2312" w:hAnsi="仿宋_GB2312" w:eastAsia="仿宋_GB2312" w:cs="仿宋_GB2312"/>
          <w:color w:val="auto"/>
          <w:sz w:val="28"/>
          <w:szCs w:val="28"/>
          <w:lang w:val="en-US" w:eastAsia="zh-CN"/>
        </w:rPr>
        <w:t>单位</w:t>
      </w:r>
      <w:r>
        <w:rPr>
          <w:rFonts w:hint="eastAsia" w:ascii="仿宋_GB2312" w:hAnsi="仿宋_GB2312" w:eastAsia="仿宋_GB2312" w:cs="仿宋_GB2312"/>
          <w:color w:val="auto"/>
          <w:sz w:val="28"/>
          <w:szCs w:val="28"/>
        </w:rPr>
        <w:t>数字化转型构筑坚实、稳定、可度量的运行基座。</w:t>
      </w:r>
    </w:p>
    <w:p w14:paraId="6C3F5A11">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服务频率：平台7×24小时持续运行；每月输出《监控平台运行与告警分析月报》，全年共12份。</w:t>
      </w:r>
    </w:p>
    <w:p w14:paraId="6FE1A208">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本工作交付物：《</w:t>
      </w:r>
      <w:r>
        <w:rPr>
          <w:rFonts w:hint="eastAsia" w:ascii="仿宋_GB2312" w:hAnsi="仿宋_GB2312" w:eastAsia="仿宋_GB2312" w:cs="仿宋_GB2312"/>
          <w:color w:val="auto"/>
          <w:sz w:val="28"/>
          <w:szCs w:val="28"/>
          <w:lang w:eastAsia="zh-CN"/>
        </w:rPr>
        <w:t>运维监控功能的平台</w:t>
      </w:r>
      <w:r>
        <w:rPr>
          <w:rFonts w:hint="eastAsia" w:ascii="仿宋_GB2312" w:hAnsi="仿宋_GB2312" w:eastAsia="仿宋_GB2312" w:cs="仿宋_GB2312"/>
          <w:color w:val="auto"/>
          <w:sz w:val="28"/>
          <w:szCs w:val="28"/>
        </w:rPr>
        <w:t>部署与配置手册》《监控平台运行与告警分析月报》</w:t>
      </w:r>
    </w:p>
    <w:p w14:paraId="1FE22207">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具备：</w:t>
      </w:r>
      <w:r>
        <w:rPr>
          <w:rFonts w:hint="eastAsia" w:ascii="仿宋_GB2312" w:hAnsi="仿宋_GB2312" w:eastAsia="仿宋_GB2312" w:cs="仿宋_GB2312"/>
          <w:color w:val="auto"/>
          <w:sz w:val="28"/>
          <w:szCs w:val="28"/>
        </w:rPr>
        <w:t>日志采集分析</w:t>
      </w:r>
      <w:r>
        <w:rPr>
          <w:rFonts w:hint="eastAsia" w:ascii="仿宋_GB2312" w:hAnsi="仿宋_GB2312" w:eastAsia="仿宋_GB2312" w:cs="仿宋_GB2312"/>
          <w:color w:val="auto"/>
          <w:sz w:val="28"/>
          <w:szCs w:val="28"/>
          <w:lang w:val="en-US" w:eastAsia="zh-CN"/>
        </w:rPr>
        <w:t>功能的</w:t>
      </w:r>
      <w:r>
        <w:rPr>
          <w:rFonts w:hint="eastAsia" w:ascii="仿宋_GB2312" w:hAnsi="仿宋_GB2312" w:eastAsia="仿宋_GB2312" w:cs="仿宋_GB2312"/>
          <w:color w:val="auto"/>
          <w:sz w:val="28"/>
          <w:szCs w:val="28"/>
        </w:rPr>
        <w:t>平台</w:t>
      </w:r>
    </w:p>
    <w:p w14:paraId="008CDA3C">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为加强安全审计与威胁溯源能力，供应商需部署</w:t>
      </w:r>
      <w:r>
        <w:rPr>
          <w:rFonts w:hint="eastAsia" w:ascii="仿宋_GB2312" w:hAnsi="仿宋_GB2312" w:eastAsia="仿宋_GB2312" w:cs="仿宋_GB2312"/>
          <w:color w:val="auto"/>
          <w:sz w:val="28"/>
          <w:szCs w:val="28"/>
          <w:lang w:eastAsia="zh-CN"/>
        </w:rPr>
        <w:t>日志采集分析功能的平台</w:t>
      </w:r>
      <w:r>
        <w:rPr>
          <w:rFonts w:hint="eastAsia" w:ascii="仿宋_GB2312" w:hAnsi="仿宋_GB2312" w:eastAsia="仿宋_GB2312" w:cs="仿宋_GB2312"/>
          <w:color w:val="auto"/>
          <w:sz w:val="28"/>
          <w:szCs w:val="28"/>
        </w:rPr>
        <w:t>，实现多源异构日志的统一采集、清洗、标准化与结构化存储。平台支持海量日志的分布式采集与实时接入，广泛兼容各类安全设备（防火墙、IDS/IPS、WAF等）、堡垒机操作审计日志、VPN远程接入记录、服务器系统与应用运行日志，以及云资源与容器环境日志，实现全域日志的统一汇聚。在数据处理层，平台内置高性能解析引擎与标准化字典，自动完成日志的清洗去重、格式归一、字段提取与结构化存储，确保数据质量与秒级查询效率。依托强大的流批一体计算架构与多维关联分析模型，平台能够深度挖掘日志中的隐藏线索，精准识别异常登录访问、违规越权操作、敏感数据外发风险及潜在的内外部威胁行为；结合本地威胁情报，实现跨设备、跨系统的安全事件聚合研判与攻击链还原。平台不仅为日常安全巡检、等保2.0/关基合规审计与事件取证提供完整、不可篡改的证据链支撑，更通过可视化安全看板与自定义溯源工具，赋能安全团队快速定位风险源头、优化防护策略，全面筑牢企业数据安全防线与主动防御能力。</w:t>
      </w:r>
    </w:p>
    <w:p w14:paraId="7802235A">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服务频率：平台7×24小时持续运行；每周输出《日志安全分析月报》，全年12份。</w:t>
      </w:r>
    </w:p>
    <w:p w14:paraId="6F63B2AD">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本工作交付物：《</w:t>
      </w:r>
      <w:r>
        <w:rPr>
          <w:rFonts w:hint="eastAsia" w:ascii="仿宋_GB2312" w:hAnsi="仿宋_GB2312" w:eastAsia="仿宋_GB2312" w:cs="仿宋_GB2312"/>
          <w:color w:val="auto"/>
          <w:sz w:val="28"/>
          <w:szCs w:val="28"/>
          <w:lang w:eastAsia="zh-CN"/>
        </w:rPr>
        <w:t>日志采集分析功能的平台</w:t>
      </w:r>
      <w:r>
        <w:rPr>
          <w:rFonts w:hint="eastAsia" w:ascii="仿宋_GB2312" w:hAnsi="仿宋_GB2312" w:eastAsia="仿宋_GB2312" w:cs="仿宋_GB2312"/>
          <w:color w:val="auto"/>
          <w:sz w:val="28"/>
          <w:szCs w:val="28"/>
        </w:rPr>
        <w:t>部署方案》《日志安全分析月报》</w:t>
      </w:r>
    </w:p>
    <w:p w14:paraId="101C387B">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十、服务要求</w:t>
      </w:r>
    </w:p>
    <w:p w14:paraId="51EBEF86">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1、供应商需按照</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要求，专门成立本次安全运维服务项目组，项目组成员不低于10人，提供2名网络信息技术人员执行本地5×8小时现场驻场服务</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专人专岗，不得擅自变更人员。服务期内，供应商如需变更项目组人员（含驻场工程师、项目经理、二线人员等），需提前15个工作日向</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提交书面申请，说明变更原因、新人员资质证明及相关资料，经</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书面同意后方可变更。否则</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有权终止合同，供应商承担全部损失。</w:t>
      </w:r>
    </w:p>
    <w:p w14:paraId="796DA728">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2、项目所有服务人员需无判刑、刑拘等违法犯罪不良记录，无网络安全领域违规违纪记录，严格遵守</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的各项规章制度，服从</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的管理。</w:t>
      </w:r>
    </w:p>
    <w:p w14:paraId="4EBE5B88">
      <w:pPr>
        <w:spacing w:beforeLines="0" w:afterLines="0" w:line="460" w:lineRule="exact"/>
        <w:ind w:firstLine="560" w:firstLineChars="200"/>
        <w:rPr>
          <w:rFonts w:hint="eastAsia" w:ascii="仿宋_GB2312" w:hAnsi="仿宋_GB2312" w:eastAsia="仿宋_GB2312" w:cs="仿宋_GB2312"/>
          <w:color w:val="auto"/>
          <w:sz w:val="28"/>
          <w:szCs w:val="28"/>
        </w:rPr>
      </w:pPr>
    </w:p>
    <w:p w14:paraId="638496BC">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十一、服务质量要求</w:t>
      </w:r>
    </w:p>
    <w:p w14:paraId="3EE76551">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1、各项服务工作需严格遵循本采购需求及相关行业标准、规范执行，交付物需完整、规范、准确，符合</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的要求，经</w:t>
      </w:r>
      <w:r>
        <w:rPr>
          <w:rFonts w:hint="eastAsia" w:ascii="仿宋_GB2312" w:hAnsi="仿宋_GB2312" w:eastAsia="仿宋_GB2312" w:cs="仿宋_GB2312"/>
          <w:color w:val="auto"/>
          <w:sz w:val="28"/>
          <w:szCs w:val="28"/>
        </w:rPr>
        <w:t>智慧交通发展中心</w:t>
      </w:r>
      <w:r>
        <w:rPr>
          <w:rFonts w:ascii="仿宋_GB2312" w:hAnsi="仿宋_GB2312" w:eastAsia="仿宋_GB2312" w:cs="仿宋_GB2312"/>
          <w:color w:val="auto"/>
          <w:sz w:val="28"/>
          <w:szCs w:val="28"/>
        </w:rPr>
        <w:t>审核通过后方可视为完成相关服务。</w:t>
      </w:r>
    </w:p>
    <w:p w14:paraId="2B5538EF">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2、驻场工程师需每日记录工作情况，每周、每月汇总服务工作开展情况，及时上报</w:t>
      </w:r>
      <w:r>
        <w:rPr>
          <w:rFonts w:hint="eastAsia" w:ascii="仿宋_GB2312" w:hAnsi="仿宋_GB2312" w:eastAsia="仿宋_GB2312" w:cs="仿宋_GB2312"/>
          <w:color w:val="auto"/>
          <w:sz w:val="28"/>
          <w:szCs w:val="28"/>
        </w:rPr>
        <w:t>智慧交通发展中心</w:t>
      </w:r>
      <w:r>
        <w:rPr>
          <w:rFonts w:ascii="仿宋_GB2312" w:hAnsi="仿宋_GB2312" w:eastAsia="仿宋_GB2312" w:cs="仿宋_GB2312"/>
          <w:color w:val="auto"/>
          <w:sz w:val="28"/>
          <w:szCs w:val="28"/>
        </w:rPr>
        <w:t>；项目经理需</w:t>
      </w:r>
      <w:r>
        <w:rPr>
          <w:rFonts w:hint="eastAsia" w:ascii="仿宋_GB2312" w:hAnsi="仿宋_GB2312" w:eastAsia="仿宋_GB2312" w:cs="仿宋_GB2312"/>
          <w:color w:val="auto"/>
          <w:sz w:val="28"/>
          <w:szCs w:val="28"/>
        </w:rPr>
        <w:t>定期</w:t>
      </w:r>
      <w:r>
        <w:rPr>
          <w:rFonts w:ascii="仿宋_GB2312" w:hAnsi="仿宋_GB2312" w:eastAsia="仿宋_GB2312" w:cs="仿宋_GB2312"/>
          <w:color w:val="auto"/>
          <w:sz w:val="28"/>
          <w:szCs w:val="28"/>
        </w:rPr>
        <w:t>汇总项目进展情况，向</w:t>
      </w:r>
      <w:r>
        <w:rPr>
          <w:rFonts w:hint="eastAsia" w:ascii="仿宋_GB2312" w:hAnsi="仿宋_GB2312" w:eastAsia="仿宋_GB2312" w:cs="仿宋_GB2312"/>
          <w:color w:val="auto"/>
          <w:sz w:val="28"/>
          <w:szCs w:val="28"/>
        </w:rPr>
        <w:t>智慧交通发展中心</w:t>
      </w:r>
      <w:r>
        <w:rPr>
          <w:rFonts w:ascii="仿宋_GB2312" w:hAnsi="仿宋_GB2312" w:eastAsia="仿宋_GB2312" w:cs="仿宋_GB2312"/>
          <w:color w:val="auto"/>
          <w:sz w:val="28"/>
          <w:szCs w:val="28"/>
        </w:rPr>
        <w:t>相关负责人汇报，及时处理项目过程中存在的问题，确保项目质量。</w:t>
      </w:r>
    </w:p>
    <w:p w14:paraId="281C5EEA">
      <w:pPr>
        <w:spacing w:beforeLines="0" w:afterLines="0" w:line="46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3、供应商需建立服务投诉处理机制，接到</w:t>
      </w:r>
      <w:r>
        <w:rPr>
          <w:rFonts w:hint="eastAsia" w:ascii="仿宋_GB2312" w:hAnsi="仿宋_GB2312" w:eastAsia="仿宋_GB2312" w:cs="仿宋_GB2312"/>
          <w:color w:val="auto"/>
          <w:sz w:val="28"/>
          <w:szCs w:val="28"/>
        </w:rPr>
        <w:t>智慧交通发展中心</w:t>
      </w:r>
      <w:r>
        <w:rPr>
          <w:rFonts w:ascii="仿宋_GB2312" w:hAnsi="仿宋_GB2312" w:eastAsia="仿宋_GB2312" w:cs="仿宋_GB2312"/>
          <w:color w:val="auto"/>
          <w:sz w:val="28"/>
          <w:szCs w:val="28"/>
        </w:rPr>
        <w:t>的服务投诉后，24小时内响应，3个工作日内给出处理方案并落实，及时反馈处理结果，确保满意度。</w:t>
      </w:r>
    </w:p>
    <w:p w14:paraId="6C15C2E5">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ascii="仿宋_GB2312" w:hAnsi="仿宋_GB2312" w:eastAsia="仿宋_GB2312" w:cs="仿宋_GB2312"/>
          <w:color w:val="auto"/>
          <w:sz w:val="28"/>
          <w:szCs w:val="28"/>
        </w:rPr>
        <w:t>、所有安全服务人员需严格服从</w:t>
      </w:r>
      <w:r>
        <w:rPr>
          <w:rFonts w:hint="eastAsia" w:ascii="仿宋_GB2312" w:hAnsi="仿宋_GB2312" w:eastAsia="仿宋_GB2312" w:cs="仿宋_GB2312"/>
          <w:color w:val="auto"/>
          <w:sz w:val="28"/>
          <w:szCs w:val="28"/>
        </w:rPr>
        <w:t>智慧交通发展中心</w:t>
      </w:r>
      <w:r>
        <w:rPr>
          <w:rFonts w:ascii="仿宋_GB2312" w:hAnsi="仿宋_GB2312" w:eastAsia="仿宋_GB2312" w:cs="仿宋_GB2312"/>
          <w:color w:val="auto"/>
          <w:sz w:val="28"/>
          <w:szCs w:val="28"/>
        </w:rPr>
        <w:t>的领导和管理，积极配合</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开展各项安全相关工作。</w:t>
      </w:r>
    </w:p>
    <w:p w14:paraId="5DCF6F8A">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ascii="仿宋_GB2312" w:hAnsi="仿宋_GB2312" w:eastAsia="仿宋_GB2312" w:cs="仿宋_GB2312"/>
          <w:color w:val="auto"/>
          <w:sz w:val="28"/>
          <w:szCs w:val="28"/>
        </w:rPr>
        <w:t>、供应商需提供7天×24小时技术服务与支持电话，安排专人负责接听，确保</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可随时联系到相关服务人员，及时获取技术支持和服务响应；驻场安全服务工程师按照5天×8小时在</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指定办公场所上班，严格遵守上下班纪律，不得擅自离岗、脱岗；重要节点期间，须服从</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的安排，进行值班值守，确保网络及信息系统安全稳定运行。</w:t>
      </w:r>
    </w:p>
    <w:p w14:paraId="15ABE436">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、供应商须与</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签订保密协议，严格遵守保密协议的各项约定，对在服务过程中接触到的</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的核心数据、商业秘密、技术资料、网络配置信息等敏感信息承担严格的保密责任；合同期内及合同终止后，不得泄露、传播、篡改或用于其他任何用途，不得向任何第三方提供相关敏感信息；如发生信息泄露事件，供应商需承担由此给</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造成的全部损失，</w:t>
      </w:r>
      <w:r>
        <w:rPr>
          <w:rFonts w:hint="eastAsia" w:ascii="仿宋_GB2312" w:hAnsi="仿宋_GB2312" w:eastAsia="仿宋_GB2312" w:cs="仿宋_GB2312"/>
          <w:color w:val="auto"/>
          <w:sz w:val="28"/>
          <w:szCs w:val="28"/>
          <w:lang w:eastAsia="zh-CN"/>
        </w:rPr>
        <w:t>交通运输厅</w:t>
      </w:r>
      <w:r>
        <w:rPr>
          <w:rFonts w:ascii="仿宋_GB2312" w:hAnsi="仿宋_GB2312" w:eastAsia="仿宋_GB2312" w:cs="仿宋_GB2312"/>
          <w:color w:val="auto"/>
          <w:sz w:val="28"/>
          <w:szCs w:val="28"/>
        </w:rPr>
        <w:t>有权终止合同，并追究供应商的相关责任。</w:t>
      </w:r>
    </w:p>
    <w:p w14:paraId="3E481511">
      <w:pPr>
        <w:spacing w:beforeLines="0" w:afterLines="0" w:line="460" w:lineRule="exact"/>
        <w:ind w:firstLine="560" w:firstLineChars="200"/>
        <w:rPr>
          <w:rFonts w:hint="eastAsia" w:ascii="仿宋_GB2312" w:hAnsi="仿宋_GB2312" w:eastAsia="仿宋_GB2312" w:cs="仿宋_GB2312"/>
          <w:color w:val="auto"/>
          <w:sz w:val="28"/>
          <w:szCs w:val="28"/>
        </w:rPr>
      </w:pPr>
    </w:p>
    <w:p w14:paraId="3D82927F">
      <w:pPr>
        <w:spacing w:beforeLines="0" w:afterLines="0" w:line="460" w:lineRule="exact"/>
        <w:ind w:firstLine="560" w:firstLineChars="200"/>
        <w:rPr>
          <w:rFonts w:hint="eastAsia" w:ascii="仿宋_GB2312" w:hAnsi="仿宋_GB2312" w:eastAsia="仿宋_GB2312" w:cs="仿宋_GB2312"/>
          <w:color w:val="auto"/>
          <w:sz w:val="28"/>
          <w:szCs w:val="28"/>
        </w:rPr>
      </w:pPr>
    </w:p>
    <w:p w14:paraId="7A0B3A47">
      <w:pPr>
        <w:spacing w:beforeLines="0" w:afterLines="0" w:line="460" w:lineRule="exact"/>
        <w:ind w:firstLine="560" w:firstLineChars="200"/>
        <w:rPr>
          <w:rFonts w:hint="eastAsia" w:ascii="仿宋_GB2312" w:hAnsi="仿宋_GB2312" w:eastAsia="仿宋_GB2312" w:cs="仿宋_GB2312"/>
          <w:color w:val="auto"/>
          <w:sz w:val="28"/>
          <w:szCs w:val="28"/>
        </w:rPr>
      </w:pPr>
    </w:p>
    <w:p w14:paraId="4EA85128">
      <w:pPr>
        <w:spacing w:beforeLines="0" w:afterLines="0" w:line="460" w:lineRule="exact"/>
        <w:ind w:firstLine="560" w:firstLineChars="200"/>
        <w:rPr>
          <w:rFonts w:hint="eastAsia" w:ascii="仿宋_GB2312" w:hAnsi="仿宋_GB2312" w:eastAsia="仿宋_GB2312" w:cs="仿宋_GB2312"/>
          <w:color w:val="auto"/>
          <w:sz w:val="28"/>
          <w:szCs w:val="28"/>
        </w:rPr>
      </w:pPr>
    </w:p>
    <w:p w14:paraId="08FA87F6">
      <w:pPr>
        <w:spacing w:beforeLines="0" w:afterLines="0" w:line="4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261DDD4F">
      <w:pPr>
        <w:spacing w:beforeLines="0" w:afterLines="0" w:line="460" w:lineRule="exac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w:t>
      </w:r>
      <w:r>
        <w:rPr>
          <w:rFonts w:hint="eastAsia" w:ascii="仿宋_GB2312" w:hAnsi="仿宋_GB2312" w:eastAsia="仿宋_GB2312" w:cs="仿宋_GB2312"/>
          <w:color w:val="auto"/>
          <w:sz w:val="28"/>
          <w:szCs w:val="28"/>
          <w:lang w:eastAsia="zh-CN"/>
        </w:rPr>
        <w:t>信息化维保设备</w:t>
      </w:r>
      <w:r>
        <w:rPr>
          <w:rFonts w:hint="eastAsia" w:ascii="仿宋_GB2312" w:hAnsi="仿宋_GB2312" w:eastAsia="仿宋_GB2312" w:cs="仿宋_GB2312"/>
          <w:color w:val="auto"/>
          <w:sz w:val="28"/>
          <w:szCs w:val="28"/>
        </w:rPr>
        <w:t>清单</w:t>
      </w:r>
    </w:p>
    <w:p w14:paraId="4961232E">
      <w:pPr>
        <w:spacing w:beforeLines="0" w:afterLines="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为加强中心机房的软硬件使用，做好新疆维吾尔自治区</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软硬件维保工作，提高软硬件质量水平，满足软硬件使用的工作要求，对新疆维吾尔自治区</w:t>
      </w:r>
      <w:r>
        <w:rPr>
          <w:rFonts w:hint="eastAsia" w:ascii="仿宋_GB2312" w:hAnsi="仿宋_GB2312" w:eastAsia="仿宋_GB2312" w:cs="仿宋_GB2312"/>
          <w:color w:val="auto"/>
          <w:sz w:val="28"/>
          <w:szCs w:val="28"/>
          <w:lang w:eastAsia="zh-CN"/>
        </w:rPr>
        <w:t>交通运输厅</w:t>
      </w:r>
      <w:r>
        <w:rPr>
          <w:rFonts w:hint="eastAsia" w:ascii="仿宋_GB2312" w:hAnsi="仿宋_GB2312" w:eastAsia="仿宋_GB2312" w:cs="仿宋_GB2312"/>
          <w:color w:val="auto"/>
          <w:sz w:val="28"/>
          <w:szCs w:val="28"/>
        </w:rPr>
        <w:t>软硬件维保工作。（具体清单如下）</w:t>
      </w:r>
    </w:p>
    <w:p w14:paraId="7A5395CD">
      <w:pPr>
        <w:spacing w:beforeLines="0" w:afterLines="0" w:line="460" w:lineRule="exact"/>
        <w:ind w:firstLine="562"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设备维护清单</w:t>
      </w:r>
    </w:p>
    <w:tbl>
      <w:tblPr>
        <w:tblStyle w:val="41"/>
        <w:tblW w:w="8981" w:type="dxa"/>
        <w:tblInd w:w="-202" w:type="dxa"/>
        <w:tblLayout w:type="autofit"/>
        <w:tblCellMar>
          <w:top w:w="0" w:type="dxa"/>
          <w:left w:w="108" w:type="dxa"/>
          <w:bottom w:w="0" w:type="dxa"/>
          <w:right w:w="108" w:type="dxa"/>
        </w:tblCellMar>
      </w:tblPr>
      <w:tblGrid>
        <w:gridCol w:w="436"/>
        <w:gridCol w:w="3390"/>
        <w:gridCol w:w="2835"/>
        <w:gridCol w:w="2746"/>
      </w:tblGrid>
      <w:tr w14:paraId="567C78B0">
        <w:tblPrEx>
          <w:tblCellMar>
            <w:top w:w="0" w:type="dxa"/>
            <w:left w:w="108" w:type="dxa"/>
            <w:bottom w:w="0" w:type="dxa"/>
            <w:right w:w="108" w:type="dxa"/>
          </w:tblCellMar>
        </w:tblPrEx>
        <w:trPr>
          <w:trHeight w:val="709" w:hRule="atLeast"/>
        </w:trPr>
        <w:tc>
          <w:tcPr>
            <w:tcW w:w="780" w:type="dxa"/>
            <w:tcBorders>
              <w:top w:val="nil"/>
              <w:left w:val="single" w:color="000000" w:sz="8" w:space="0"/>
              <w:bottom w:val="single" w:color="000000" w:sz="4" w:space="0"/>
              <w:right w:val="single" w:color="000000" w:sz="4" w:space="0"/>
            </w:tcBorders>
            <w:shd w:val="clear" w:color="auto" w:fill="6CB744"/>
            <w:vAlign w:val="center"/>
          </w:tcPr>
          <w:p w14:paraId="3F73F920">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3390" w:type="dxa"/>
            <w:tcBorders>
              <w:top w:val="nil"/>
              <w:left w:val="single" w:color="000000" w:sz="4" w:space="0"/>
              <w:bottom w:val="single" w:color="000000" w:sz="4" w:space="0"/>
              <w:right w:val="single" w:color="000000" w:sz="4" w:space="0"/>
            </w:tcBorders>
            <w:shd w:val="clear" w:color="auto" w:fill="6CB744"/>
            <w:vAlign w:val="center"/>
          </w:tcPr>
          <w:p w14:paraId="5F2904F5">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产品名称</w:t>
            </w:r>
          </w:p>
        </w:tc>
        <w:tc>
          <w:tcPr>
            <w:tcW w:w="2835" w:type="dxa"/>
            <w:tcBorders>
              <w:top w:val="nil"/>
              <w:left w:val="single" w:color="000000" w:sz="4" w:space="0"/>
              <w:bottom w:val="single" w:color="000000" w:sz="4" w:space="0"/>
              <w:right w:val="single" w:color="000000" w:sz="4" w:space="0"/>
            </w:tcBorders>
            <w:shd w:val="clear" w:color="auto" w:fill="6CB744"/>
            <w:vAlign w:val="center"/>
          </w:tcPr>
          <w:p w14:paraId="43B01E05">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sz w:val="22"/>
                <w:szCs w:val="22"/>
              </w:rPr>
              <w:t>型号</w:t>
            </w:r>
          </w:p>
        </w:tc>
        <w:tc>
          <w:tcPr>
            <w:tcW w:w="1976" w:type="dxa"/>
            <w:tcBorders>
              <w:top w:val="nil"/>
              <w:left w:val="single" w:color="000000" w:sz="4" w:space="0"/>
              <w:bottom w:val="single" w:color="000000" w:sz="4" w:space="0"/>
              <w:right w:val="single" w:color="000000" w:sz="4" w:space="0"/>
            </w:tcBorders>
            <w:shd w:val="clear" w:color="auto" w:fill="6CB744"/>
            <w:vAlign w:val="center"/>
          </w:tcPr>
          <w:p w14:paraId="6393EC14">
            <w:pPr>
              <w:widowControl/>
              <w:ind w:firstLine="880" w:firstLineChars="400"/>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sz w:val="22"/>
                <w:szCs w:val="22"/>
              </w:rPr>
              <w:t>序列号</w:t>
            </w:r>
          </w:p>
        </w:tc>
      </w:tr>
      <w:tr w14:paraId="73E6EFEC">
        <w:tblPrEx>
          <w:tblCellMar>
            <w:top w:w="0" w:type="dxa"/>
            <w:left w:w="108" w:type="dxa"/>
            <w:bottom w:w="0" w:type="dxa"/>
            <w:right w:w="108" w:type="dxa"/>
          </w:tblCellMar>
        </w:tblPrEx>
        <w:trPr>
          <w:trHeight w:val="77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02ECDB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390" w:type="dxa"/>
            <w:tcBorders>
              <w:top w:val="single" w:color="000000" w:sz="4" w:space="0"/>
              <w:left w:val="single" w:color="000000" w:sz="4" w:space="0"/>
              <w:bottom w:val="single" w:color="000000" w:sz="4" w:space="0"/>
              <w:right w:val="single" w:color="000000" w:sz="4" w:space="0"/>
            </w:tcBorders>
            <w:vAlign w:val="center"/>
          </w:tcPr>
          <w:p w14:paraId="1E9757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绿盟安全隔离与信息交换系统SIES(NX3)V2.0</w:t>
            </w:r>
          </w:p>
        </w:tc>
        <w:tc>
          <w:tcPr>
            <w:tcW w:w="2835" w:type="dxa"/>
            <w:tcBorders>
              <w:top w:val="single" w:color="000000" w:sz="4" w:space="0"/>
              <w:left w:val="single" w:color="000000" w:sz="4" w:space="0"/>
              <w:bottom w:val="single" w:color="000000" w:sz="4" w:space="0"/>
              <w:right w:val="single" w:color="000000" w:sz="4" w:space="0"/>
            </w:tcBorders>
            <w:vAlign w:val="center"/>
          </w:tcPr>
          <w:p w14:paraId="2F15D7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SIESNX3-2000B</w:t>
            </w:r>
          </w:p>
        </w:tc>
        <w:tc>
          <w:tcPr>
            <w:tcW w:w="1976" w:type="dxa"/>
            <w:tcBorders>
              <w:top w:val="single" w:color="000000" w:sz="4" w:space="0"/>
              <w:left w:val="single" w:color="000000" w:sz="4" w:space="0"/>
              <w:bottom w:val="single" w:color="000000" w:sz="4" w:space="0"/>
              <w:right w:val="single" w:color="000000" w:sz="4" w:space="0"/>
            </w:tcBorders>
            <w:vAlign w:val="center"/>
          </w:tcPr>
          <w:p w14:paraId="465A0817">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202204-NM-CS-020</w:t>
            </w:r>
          </w:p>
        </w:tc>
      </w:tr>
      <w:tr w14:paraId="24A02291">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D8F1C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390" w:type="dxa"/>
            <w:tcBorders>
              <w:top w:val="single" w:color="000000" w:sz="4" w:space="0"/>
              <w:left w:val="single" w:color="000000" w:sz="4" w:space="0"/>
              <w:bottom w:val="single" w:color="000000" w:sz="4" w:space="0"/>
              <w:right w:val="single" w:color="000000" w:sz="4" w:space="0"/>
            </w:tcBorders>
            <w:vAlign w:val="center"/>
          </w:tcPr>
          <w:p w14:paraId="76419C5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绿盟数据库审计系统 V5.6</w:t>
            </w:r>
          </w:p>
        </w:tc>
        <w:tc>
          <w:tcPr>
            <w:tcW w:w="2835" w:type="dxa"/>
            <w:tcBorders>
              <w:top w:val="single" w:color="000000" w:sz="4" w:space="0"/>
              <w:left w:val="single" w:color="000000" w:sz="4" w:space="0"/>
              <w:bottom w:val="single" w:color="000000" w:sz="4" w:space="0"/>
              <w:right w:val="single" w:color="000000" w:sz="4" w:space="0"/>
            </w:tcBorders>
            <w:vAlign w:val="center"/>
          </w:tcPr>
          <w:p w14:paraId="4E18B33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DASNX3-E2000C</w:t>
            </w:r>
          </w:p>
        </w:tc>
        <w:tc>
          <w:tcPr>
            <w:tcW w:w="1976" w:type="dxa"/>
            <w:tcBorders>
              <w:top w:val="single" w:color="000000" w:sz="4" w:space="0"/>
              <w:left w:val="single" w:color="000000" w:sz="4" w:space="0"/>
              <w:bottom w:val="single" w:color="000000" w:sz="4" w:space="0"/>
              <w:right w:val="single" w:color="000000" w:sz="4" w:space="0"/>
            </w:tcBorders>
            <w:vAlign w:val="center"/>
          </w:tcPr>
          <w:p w14:paraId="082530B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20-51-J-1441</w:t>
            </w:r>
          </w:p>
        </w:tc>
      </w:tr>
      <w:tr w14:paraId="321E06BE">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E5AE97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3390" w:type="dxa"/>
            <w:tcBorders>
              <w:top w:val="single" w:color="000000" w:sz="4" w:space="0"/>
              <w:left w:val="single" w:color="000000" w:sz="4" w:space="0"/>
              <w:bottom w:val="single" w:color="000000" w:sz="4" w:space="0"/>
              <w:right w:val="single" w:color="000000" w:sz="4" w:space="0"/>
            </w:tcBorders>
            <w:vAlign w:val="center"/>
          </w:tcPr>
          <w:p w14:paraId="70BC784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绿盟智能安全运营管理平台V3.0</w:t>
            </w:r>
          </w:p>
        </w:tc>
        <w:tc>
          <w:tcPr>
            <w:tcW w:w="2835" w:type="dxa"/>
            <w:tcBorders>
              <w:top w:val="single" w:color="000000" w:sz="4" w:space="0"/>
              <w:left w:val="single" w:color="000000" w:sz="4" w:space="0"/>
              <w:bottom w:val="single" w:color="000000" w:sz="4" w:space="0"/>
              <w:right w:val="single" w:color="000000" w:sz="4" w:space="0"/>
            </w:tcBorders>
            <w:vAlign w:val="center"/>
          </w:tcPr>
          <w:p w14:paraId="095F8F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ISOP</w:t>
            </w:r>
          </w:p>
        </w:tc>
        <w:tc>
          <w:tcPr>
            <w:tcW w:w="1976" w:type="dxa"/>
            <w:tcBorders>
              <w:top w:val="single" w:color="000000" w:sz="4" w:space="0"/>
              <w:left w:val="single" w:color="000000" w:sz="4" w:space="0"/>
              <w:bottom w:val="single" w:color="000000" w:sz="4" w:space="0"/>
              <w:right w:val="single" w:color="000000" w:sz="4" w:space="0"/>
            </w:tcBorders>
            <w:vAlign w:val="center"/>
          </w:tcPr>
          <w:p w14:paraId="361BD57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19-45-0421</w:t>
            </w:r>
          </w:p>
        </w:tc>
      </w:tr>
      <w:tr w14:paraId="0527E721">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4F586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3390" w:type="dxa"/>
            <w:tcBorders>
              <w:top w:val="single" w:color="000000" w:sz="4" w:space="0"/>
              <w:left w:val="single" w:color="000000" w:sz="4" w:space="0"/>
              <w:bottom w:val="single" w:color="000000" w:sz="4" w:space="0"/>
              <w:right w:val="single" w:color="000000" w:sz="4" w:space="0"/>
            </w:tcBorders>
            <w:vAlign w:val="center"/>
          </w:tcPr>
          <w:p w14:paraId="1A35064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绿盟运维安全管理系统OSMS</w:t>
            </w:r>
          </w:p>
        </w:tc>
        <w:tc>
          <w:tcPr>
            <w:tcW w:w="2835" w:type="dxa"/>
            <w:tcBorders>
              <w:top w:val="single" w:color="000000" w:sz="4" w:space="0"/>
              <w:left w:val="single" w:color="000000" w:sz="4" w:space="0"/>
              <w:bottom w:val="single" w:color="000000" w:sz="4" w:space="0"/>
              <w:right w:val="single" w:color="000000" w:sz="4" w:space="0"/>
            </w:tcBorders>
            <w:vAlign w:val="center"/>
          </w:tcPr>
          <w:p w14:paraId="7F3DE93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OSMSNX3-HDB200</w:t>
            </w:r>
          </w:p>
        </w:tc>
        <w:tc>
          <w:tcPr>
            <w:tcW w:w="1976" w:type="dxa"/>
            <w:tcBorders>
              <w:top w:val="single" w:color="000000" w:sz="4" w:space="0"/>
              <w:left w:val="single" w:color="000000" w:sz="4" w:space="0"/>
              <w:bottom w:val="single" w:color="000000" w:sz="4" w:space="0"/>
              <w:right w:val="single" w:color="000000" w:sz="4" w:space="0"/>
            </w:tcBorders>
            <w:vAlign w:val="center"/>
          </w:tcPr>
          <w:p w14:paraId="5644450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23-25-Q-0010</w:t>
            </w:r>
          </w:p>
        </w:tc>
      </w:tr>
      <w:tr w14:paraId="193BEBF9">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6DA86D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6875077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山石防火墙</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CABE3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K2580-SG6000</w:t>
            </w:r>
          </w:p>
        </w:tc>
        <w:tc>
          <w:tcPr>
            <w:tcW w:w="1976" w:type="dxa"/>
            <w:tcBorders>
              <w:top w:val="single" w:color="000000" w:sz="4" w:space="0"/>
              <w:left w:val="single" w:color="000000" w:sz="4" w:space="0"/>
              <w:bottom w:val="single" w:color="000000" w:sz="4" w:space="0"/>
              <w:right w:val="single" w:color="000000" w:sz="4" w:space="0"/>
            </w:tcBorders>
            <w:vAlign w:val="center"/>
          </w:tcPr>
          <w:p w14:paraId="3BA119A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57199BD6HC40013</w:t>
            </w:r>
          </w:p>
        </w:tc>
      </w:tr>
      <w:tr w14:paraId="7F1C4A02">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AD871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4C8BA3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山石防火墙</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3FEC01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K2580-SG6000</w:t>
            </w:r>
          </w:p>
        </w:tc>
        <w:tc>
          <w:tcPr>
            <w:tcW w:w="1976" w:type="dxa"/>
            <w:tcBorders>
              <w:top w:val="single" w:color="000000" w:sz="4" w:space="0"/>
              <w:left w:val="single" w:color="000000" w:sz="4" w:space="0"/>
              <w:bottom w:val="single" w:color="000000" w:sz="4" w:space="0"/>
              <w:right w:val="single" w:color="000000" w:sz="4" w:space="0"/>
            </w:tcBorders>
            <w:vAlign w:val="center"/>
          </w:tcPr>
          <w:p w14:paraId="0D17AC8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57199BD6HC40024</w:t>
            </w:r>
          </w:p>
        </w:tc>
      </w:tr>
      <w:tr w14:paraId="4901BAB3">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B5021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44A0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山石防火墙（VPN）</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167DFC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SG-6000-K2560</w:t>
            </w:r>
          </w:p>
        </w:tc>
        <w:tc>
          <w:tcPr>
            <w:tcW w:w="1976" w:type="dxa"/>
            <w:tcBorders>
              <w:top w:val="single" w:color="000000" w:sz="4" w:space="0"/>
              <w:left w:val="single" w:color="000000" w:sz="4" w:space="0"/>
              <w:bottom w:val="single" w:color="000000" w:sz="4" w:space="0"/>
              <w:right w:val="single" w:color="000000" w:sz="4" w:space="0"/>
            </w:tcBorders>
            <w:vAlign w:val="center"/>
          </w:tcPr>
          <w:p w14:paraId="4C11943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57199AX5HD270006</w:t>
            </w:r>
          </w:p>
        </w:tc>
      </w:tr>
      <w:tr w14:paraId="1B363224">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2644F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F402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电信链路入口山石防火墙</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E8BFB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SG-6000-K3280</w:t>
            </w:r>
          </w:p>
        </w:tc>
        <w:tc>
          <w:tcPr>
            <w:tcW w:w="1976" w:type="dxa"/>
            <w:tcBorders>
              <w:top w:val="single" w:color="000000" w:sz="4" w:space="0"/>
              <w:left w:val="single" w:color="000000" w:sz="4" w:space="0"/>
              <w:bottom w:val="single" w:color="000000" w:sz="4" w:space="0"/>
              <w:right w:val="single" w:color="000000" w:sz="4" w:space="0"/>
            </w:tcBorders>
            <w:vAlign w:val="center"/>
          </w:tcPr>
          <w:p w14:paraId="1139E19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57199BD6HD340030</w:t>
            </w:r>
          </w:p>
        </w:tc>
      </w:tr>
      <w:tr w14:paraId="43E918DA">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92E5A6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E2A2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联通链路防火墙-山石</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BB32D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SG-6000-K3280</w:t>
            </w:r>
          </w:p>
        </w:tc>
        <w:tc>
          <w:tcPr>
            <w:tcW w:w="1976" w:type="dxa"/>
            <w:tcBorders>
              <w:top w:val="single" w:color="000000" w:sz="4" w:space="0"/>
              <w:left w:val="single" w:color="000000" w:sz="4" w:space="0"/>
              <w:bottom w:val="single" w:color="000000" w:sz="4" w:space="0"/>
              <w:right w:val="single" w:color="000000" w:sz="4" w:space="0"/>
            </w:tcBorders>
            <w:vAlign w:val="center"/>
          </w:tcPr>
          <w:p w14:paraId="62276F1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57199BD6HD340025</w:t>
            </w:r>
          </w:p>
        </w:tc>
      </w:tr>
      <w:tr w14:paraId="23BE429A">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06B4DF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F6B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兰眼高级威胁检测系统</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7993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1000-TAP</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33676">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6M5KVXAE</w:t>
            </w:r>
          </w:p>
        </w:tc>
      </w:tr>
      <w:tr w14:paraId="13E89EC5">
        <w:tblPrEx>
          <w:tblCellMar>
            <w:top w:w="0" w:type="dxa"/>
            <w:left w:w="108" w:type="dxa"/>
            <w:bottom w:w="0" w:type="dxa"/>
            <w:right w:w="108" w:type="dxa"/>
          </w:tblCellMar>
        </w:tblPrEx>
        <w:trPr>
          <w:trHeight w:val="51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50DE37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2332">
            <w:pPr>
              <w:widowControl/>
              <w:jc w:val="center"/>
              <w:textAlignment w:val="center"/>
              <w:rPr>
                <w:rFonts w:hint="eastAsia" w:ascii="宋体" w:hAnsi="宋体" w:eastAsia="宋体" w:cs="宋体"/>
                <w:color w:val="000000"/>
                <w:sz w:val="22"/>
                <w:szCs w:val="22"/>
              </w:rPr>
            </w:pPr>
            <w:r>
              <w:rPr>
                <w:rFonts w:ascii="宋体" w:hAnsi="宋体" w:eastAsia="宋体" w:cs="宋体"/>
                <w:color w:val="000000"/>
                <w:kern w:val="0"/>
                <w:sz w:val="22"/>
                <w:szCs w:val="22"/>
                <w:lang w:bidi="ar"/>
              </w:rPr>
              <w:t>火绒终端安全管理系统</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1E1F108">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V2.0</w:t>
            </w:r>
          </w:p>
        </w:tc>
        <w:tc>
          <w:tcPr>
            <w:tcW w:w="1976" w:type="dxa"/>
            <w:tcBorders>
              <w:top w:val="single" w:color="000000" w:sz="4" w:space="0"/>
              <w:left w:val="single" w:color="000000" w:sz="4" w:space="0"/>
              <w:bottom w:val="single" w:color="000000" w:sz="4" w:space="0"/>
              <w:right w:val="single" w:color="000000" w:sz="4" w:space="0"/>
            </w:tcBorders>
            <w:vAlign w:val="center"/>
          </w:tcPr>
          <w:p w14:paraId="120C412B">
            <w:pPr>
              <w:jc w:val="center"/>
              <w:rPr>
                <w:rFonts w:hint="eastAsia" w:ascii="宋体" w:hAnsi="宋体" w:eastAsia="宋体" w:cs="宋体"/>
                <w:color w:val="000000"/>
                <w:sz w:val="22"/>
                <w:szCs w:val="22"/>
                <w:highlight w:val="yellow"/>
              </w:rPr>
            </w:pPr>
            <w:r>
              <w:rPr>
                <w:rFonts w:hint="eastAsia" w:ascii="宋体" w:hAnsi="宋体" w:eastAsia="宋体" w:cs="宋体"/>
                <w:color w:val="000000"/>
                <w:sz w:val="22"/>
                <w:szCs w:val="22"/>
              </w:rPr>
              <w:t>ESV2-XJ94-2219-DC6D8E8E</w:t>
            </w:r>
          </w:p>
        </w:tc>
      </w:tr>
      <w:tr w14:paraId="328E0A6E">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E1F9D6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3390" w:type="dxa"/>
            <w:tcBorders>
              <w:top w:val="single" w:color="000000" w:sz="4" w:space="0"/>
              <w:left w:val="single" w:color="000000" w:sz="4" w:space="0"/>
              <w:bottom w:val="single" w:color="000000" w:sz="4" w:space="0"/>
              <w:right w:val="single" w:color="000000" w:sz="4" w:space="0"/>
            </w:tcBorders>
            <w:vAlign w:val="center"/>
          </w:tcPr>
          <w:p w14:paraId="7DE5FD82">
            <w:pPr>
              <w:widowControl/>
              <w:ind w:firstLine="440" w:firstLineChars="200"/>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绿盟核心(业务边界)墙主</w:t>
            </w:r>
          </w:p>
        </w:tc>
        <w:tc>
          <w:tcPr>
            <w:tcW w:w="2835" w:type="dxa"/>
            <w:tcBorders>
              <w:top w:val="single" w:color="000000" w:sz="4" w:space="0"/>
              <w:left w:val="single" w:color="000000" w:sz="4" w:space="0"/>
              <w:bottom w:val="single" w:color="000000" w:sz="4" w:space="0"/>
              <w:right w:val="single" w:color="000000" w:sz="4" w:space="0"/>
            </w:tcBorders>
            <w:vAlign w:val="center"/>
          </w:tcPr>
          <w:p w14:paraId="7B3B71E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NFNX5-HFA</w:t>
            </w:r>
          </w:p>
        </w:tc>
        <w:tc>
          <w:tcPr>
            <w:tcW w:w="1976" w:type="dxa"/>
            <w:tcBorders>
              <w:top w:val="single" w:color="000000" w:sz="4" w:space="0"/>
              <w:left w:val="single" w:color="000000" w:sz="4" w:space="0"/>
              <w:bottom w:val="single" w:color="000000" w:sz="4" w:space="0"/>
              <w:right w:val="single" w:color="000000" w:sz="4" w:space="0"/>
            </w:tcBorders>
            <w:vAlign w:val="center"/>
          </w:tcPr>
          <w:p w14:paraId="0160D0C3">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21-20-GF-0190</w:t>
            </w:r>
          </w:p>
        </w:tc>
      </w:tr>
      <w:tr w14:paraId="33B0E993">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E32F1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3390" w:type="dxa"/>
            <w:tcBorders>
              <w:top w:val="single" w:color="000000" w:sz="4" w:space="0"/>
              <w:left w:val="single" w:color="000000" w:sz="4" w:space="0"/>
              <w:bottom w:val="single" w:color="000000" w:sz="4" w:space="0"/>
              <w:right w:val="single" w:color="000000" w:sz="4" w:space="0"/>
            </w:tcBorders>
            <w:vAlign w:val="center"/>
          </w:tcPr>
          <w:p w14:paraId="5367D0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绿盟核心(业务边界)墙备</w:t>
            </w:r>
          </w:p>
        </w:tc>
        <w:tc>
          <w:tcPr>
            <w:tcW w:w="2835" w:type="dxa"/>
            <w:tcBorders>
              <w:top w:val="single" w:color="000000" w:sz="4" w:space="0"/>
              <w:left w:val="single" w:color="000000" w:sz="4" w:space="0"/>
              <w:bottom w:val="single" w:color="000000" w:sz="4" w:space="0"/>
              <w:right w:val="single" w:color="000000" w:sz="4" w:space="0"/>
            </w:tcBorders>
            <w:vAlign w:val="center"/>
          </w:tcPr>
          <w:p w14:paraId="50A3B70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NFNX5-HFA</w:t>
            </w:r>
          </w:p>
        </w:tc>
        <w:tc>
          <w:tcPr>
            <w:tcW w:w="1976" w:type="dxa"/>
            <w:tcBorders>
              <w:top w:val="single" w:color="000000" w:sz="4" w:space="0"/>
              <w:left w:val="single" w:color="000000" w:sz="4" w:space="0"/>
              <w:bottom w:val="single" w:color="000000" w:sz="4" w:space="0"/>
              <w:right w:val="single" w:color="000000" w:sz="4" w:space="0"/>
            </w:tcBorders>
            <w:vAlign w:val="center"/>
          </w:tcPr>
          <w:p w14:paraId="733966B7">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20-44-GF-0470</w:t>
            </w:r>
          </w:p>
        </w:tc>
      </w:tr>
      <w:tr w14:paraId="58F206AE">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4FD6D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3390" w:type="dxa"/>
            <w:tcBorders>
              <w:top w:val="single" w:color="000000" w:sz="4" w:space="0"/>
              <w:left w:val="single" w:color="000000" w:sz="4" w:space="0"/>
              <w:bottom w:val="single" w:color="000000" w:sz="4" w:space="0"/>
              <w:right w:val="single" w:color="000000" w:sz="4" w:space="0"/>
            </w:tcBorders>
            <w:vAlign w:val="center"/>
          </w:tcPr>
          <w:p w14:paraId="294DF5A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绿盟出口防火墙主</w:t>
            </w:r>
          </w:p>
        </w:tc>
        <w:tc>
          <w:tcPr>
            <w:tcW w:w="2835" w:type="dxa"/>
            <w:tcBorders>
              <w:top w:val="single" w:color="000000" w:sz="4" w:space="0"/>
              <w:left w:val="single" w:color="000000" w:sz="4" w:space="0"/>
              <w:bottom w:val="single" w:color="000000" w:sz="4" w:space="0"/>
              <w:right w:val="single" w:color="000000" w:sz="4" w:space="0"/>
            </w:tcBorders>
            <w:vAlign w:val="center"/>
          </w:tcPr>
          <w:p w14:paraId="2ED5BE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NFNX3-ZA</w:t>
            </w:r>
          </w:p>
        </w:tc>
        <w:tc>
          <w:tcPr>
            <w:tcW w:w="1976" w:type="dxa"/>
            <w:tcBorders>
              <w:top w:val="single" w:color="000000" w:sz="4" w:space="0"/>
              <w:left w:val="single" w:color="000000" w:sz="4" w:space="0"/>
              <w:bottom w:val="single" w:color="000000" w:sz="4" w:space="0"/>
              <w:right w:val="single" w:color="000000" w:sz="4" w:space="0"/>
            </w:tcBorders>
            <w:vAlign w:val="center"/>
          </w:tcPr>
          <w:p w14:paraId="67A586B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21-20-LY-0125</w:t>
            </w:r>
          </w:p>
        </w:tc>
      </w:tr>
      <w:tr w14:paraId="27965C55">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7F72D5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3390" w:type="dxa"/>
            <w:tcBorders>
              <w:top w:val="single" w:color="000000" w:sz="4" w:space="0"/>
              <w:left w:val="single" w:color="000000" w:sz="4" w:space="0"/>
              <w:bottom w:val="single" w:color="000000" w:sz="4" w:space="0"/>
              <w:right w:val="single" w:color="000000" w:sz="4" w:space="0"/>
            </w:tcBorders>
            <w:vAlign w:val="center"/>
          </w:tcPr>
          <w:p w14:paraId="4092F3D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绿盟出口防火墙备</w:t>
            </w:r>
          </w:p>
        </w:tc>
        <w:tc>
          <w:tcPr>
            <w:tcW w:w="2835" w:type="dxa"/>
            <w:tcBorders>
              <w:top w:val="single" w:color="000000" w:sz="4" w:space="0"/>
              <w:left w:val="single" w:color="000000" w:sz="4" w:space="0"/>
              <w:bottom w:val="single" w:color="000000" w:sz="4" w:space="0"/>
              <w:right w:val="single" w:color="000000" w:sz="4" w:space="0"/>
            </w:tcBorders>
            <w:vAlign w:val="center"/>
          </w:tcPr>
          <w:p w14:paraId="60A150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NFNX3-ZA</w:t>
            </w:r>
          </w:p>
        </w:tc>
        <w:tc>
          <w:tcPr>
            <w:tcW w:w="1976" w:type="dxa"/>
            <w:tcBorders>
              <w:top w:val="single" w:color="000000" w:sz="4" w:space="0"/>
              <w:left w:val="single" w:color="000000" w:sz="4" w:space="0"/>
              <w:bottom w:val="single" w:color="000000" w:sz="4" w:space="0"/>
              <w:right w:val="single" w:color="000000" w:sz="4" w:space="0"/>
            </w:tcBorders>
            <w:vAlign w:val="center"/>
          </w:tcPr>
          <w:p w14:paraId="73E861E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21-20-LY-0123</w:t>
            </w:r>
          </w:p>
        </w:tc>
      </w:tr>
      <w:tr w14:paraId="78FF39C8">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E60E5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3390" w:type="dxa"/>
            <w:tcBorders>
              <w:top w:val="single" w:color="000000" w:sz="4" w:space="0"/>
              <w:left w:val="single" w:color="000000" w:sz="4" w:space="0"/>
              <w:bottom w:val="single" w:color="000000" w:sz="4" w:space="0"/>
              <w:right w:val="single" w:color="000000" w:sz="4" w:space="0"/>
            </w:tcBorders>
            <w:vAlign w:val="center"/>
          </w:tcPr>
          <w:p w14:paraId="764B513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绿盟数据库审计</w:t>
            </w:r>
          </w:p>
        </w:tc>
        <w:tc>
          <w:tcPr>
            <w:tcW w:w="2835" w:type="dxa"/>
            <w:tcBorders>
              <w:top w:val="single" w:color="000000" w:sz="4" w:space="0"/>
              <w:left w:val="single" w:color="000000" w:sz="4" w:space="0"/>
              <w:bottom w:val="single" w:color="000000" w:sz="4" w:space="0"/>
              <w:right w:val="single" w:color="000000" w:sz="4" w:space="0"/>
            </w:tcBorders>
            <w:vAlign w:val="center"/>
          </w:tcPr>
          <w:p w14:paraId="4277623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DASNX5-HF</w:t>
            </w:r>
          </w:p>
        </w:tc>
        <w:tc>
          <w:tcPr>
            <w:tcW w:w="1976" w:type="dxa"/>
            <w:tcBorders>
              <w:top w:val="single" w:color="000000" w:sz="4" w:space="0"/>
              <w:left w:val="single" w:color="000000" w:sz="4" w:space="0"/>
              <w:bottom w:val="single" w:color="000000" w:sz="4" w:space="0"/>
              <w:right w:val="single" w:color="000000" w:sz="4" w:space="0"/>
            </w:tcBorders>
            <w:vAlign w:val="center"/>
          </w:tcPr>
          <w:p w14:paraId="6B1F929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21-20-GF-0195</w:t>
            </w:r>
          </w:p>
        </w:tc>
      </w:tr>
      <w:tr w14:paraId="225F1BE3">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258A62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3390" w:type="dxa"/>
            <w:tcBorders>
              <w:top w:val="single" w:color="000000" w:sz="4" w:space="0"/>
              <w:left w:val="single" w:color="000000" w:sz="4" w:space="0"/>
              <w:bottom w:val="single" w:color="000000" w:sz="4" w:space="0"/>
              <w:right w:val="single" w:color="000000" w:sz="4" w:space="0"/>
            </w:tcBorders>
            <w:vAlign w:val="center"/>
          </w:tcPr>
          <w:p w14:paraId="4DEA8FE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绿盟日志审计</w:t>
            </w:r>
          </w:p>
        </w:tc>
        <w:tc>
          <w:tcPr>
            <w:tcW w:w="2835" w:type="dxa"/>
            <w:tcBorders>
              <w:top w:val="single" w:color="000000" w:sz="4" w:space="0"/>
              <w:left w:val="single" w:color="000000" w:sz="4" w:space="0"/>
              <w:bottom w:val="single" w:color="000000" w:sz="4" w:space="0"/>
              <w:right w:val="single" w:color="000000" w:sz="4" w:space="0"/>
            </w:tcBorders>
            <w:vAlign w:val="center"/>
          </w:tcPr>
          <w:p w14:paraId="3A9FDFF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LASNX3-HF</w:t>
            </w:r>
          </w:p>
        </w:tc>
        <w:tc>
          <w:tcPr>
            <w:tcW w:w="1976" w:type="dxa"/>
            <w:tcBorders>
              <w:top w:val="single" w:color="000000" w:sz="4" w:space="0"/>
              <w:left w:val="single" w:color="000000" w:sz="4" w:space="0"/>
              <w:bottom w:val="single" w:color="000000" w:sz="4" w:space="0"/>
              <w:right w:val="single" w:color="000000" w:sz="4" w:space="0"/>
            </w:tcBorders>
            <w:vAlign w:val="center"/>
          </w:tcPr>
          <w:p w14:paraId="259D845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21-20-GF-0189</w:t>
            </w:r>
          </w:p>
        </w:tc>
      </w:tr>
      <w:tr w14:paraId="57F50447">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5BD863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3390" w:type="dxa"/>
            <w:tcBorders>
              <w:top w:val="single" w:color="000000" w:sz="4" w:space="0"/>
              <w:left w:val="single" w:color="000000" w:sz="4" w:space="0"/>
              <w:bottom w:val="single" w:color="000000" w:sz="4" w:space="0"/>
              <w:right w:val="single" w:color="000000" w:sz="4" w:space="0"/>
            </w:tcBorders>
            <w:vAlign w:val="center"/>
          </w:tcPr>
          <w:p w14:paraId="42D1DE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绿盟网络入侵防御系统1</w:t>
            </w:r>
          </w:p>
        </w:tc>
        <w:tc>
          <w:tcPr>
            <w:tcW w:w="2835" w:type="dxa"/>
            <w:tcBorders>
              <w:top w:val="single" w:color="000000" w:sz="4" w:space="0"/>
              <w:left w:val="single" w:color="000000" w:sz="4" w:space="0"/>
              <w:bottom w:val="single" w:color="000000" w:sz="4" w:space="0"/>
              <w:right w:val="single" w:color="000000" w:sz="4" w:space="0"/>
            </w:tcBorders>
            <w:vAlign w:val="center"/>
          </w:tcPr>
          <w:p w14:paraId="08524A3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NIPSNX5-HFA</w:t>
            </w:r>
          </w:p>
        </w:tc>
        <w:tc>
          <w:tcPr>
            <w:tcW w:w="1976" w:type="dxa"/>
            <w:tcBorders>
              <w:top w:val="single" w:color="000000" w:sz="4" w:space="0"/>
              <w:left w:val="single" w:color="000000" w:sz="4" w:space="0"/>
              <w:bottom w:val="single" w:color="000000" w:sz="4" w:space="0"/>
              <w:right w:val="single" w:color="000000" w:sz="4" w:space="0"/>
            </w:tcBorders>
            <w:vAlign w:val="center"/>
          </w:tcPr>
          <w:p w14:paraId="7CD2F61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21-20-GF-0191</w:t>
            </w:r>
          </w:p>
        </w:tc>
      </w:tr>
      <w:tr w14:paraId="6203DCF1">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DB206C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3390" w:type="dxa"/>
            <w:tcBorders>
              <w:top w:val="single" w:color="000000" w:sz="4" w:space="0"/>
              <w:left w:val="single" w:color="000000" w:sz="4" w:space="0"/>
              <w:bottom w:val="single" w:color="000000" w:sz="4" w:space="0"/>
              <w:right w:val="single" w:color="000000" w:sz="4" w:space="0"/>
            </w:tcBorders>
            <w:vAlign w:val="center"/>
          </w:tcPr>
          <w:p w14:paraId="61BA41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绿盟网络入侵防御系统2</w:t>
            </w:r>
          </w:p>
        </w:tc>
        <w:tc>
          <w:tcPr>
            <w:tcW w:w="2835" w:type="dxa"/>
            <w:tcBorders>
              <w:top w:val="single" w:color="000000" w:sz="4" w:space="0"/>
              <w:left w:val="single" w:color="000000" w:sz="4" w:space="0"/>
              <w:bottom w:val="single" w:color="000000" w:sz="4" w:space="0"/>
              <w:right w:val="single" w:color="000000" w:sz="4" w:space="0"/>
            </w:tcBorders>
            <w:vAlign w:val="center"/>
          </w:tcPr>
          <w:p w14:paraId="415E843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NIPSNX5-HFA</w:t>
            </w:r>
          </w:p>
        </w:tc>
        <w:tc>
          <w:tcPr>
            <w:tcW w:w="1976" w:type="dxa"/>
            <w:tcBorders>
              <w:top w:val="single" w:color="000000" w:sz="4" w:space="0"/>
              <w:left w:val="single" w:color="000000" w:sz="4" w:space="0"/>
              <w:bottom w:val="single" w:color="000000" w:sz="4" w:space="0"/>
              <w:right w:val="single" w:color="000000" w:sz="4" w:space="0"/>
            </w:tcBorders>
            <w:vAlign w:val="center"/>
          </w:tcPr>
          <w:p w14:paraId="1D56DBC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21-20-GF-0192</w:t>
            </w:r>
          </w:p>
        </w:tc>
      </w:tr>
      <w:tr w14:paraId="355E7A03">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940000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3390" w:type="dxa"/>
            <w:tcBorders>
              <w:top w:val="single" w:color="000000" w:sz="4" w:space="0"/>
              <w:left w:val="single" w:color="000000" w:sz="4" w:space="0"/>
              <w:bottom w:val="single" w:color="000000" w:sz="4" w:space="0"/>
              <w:right w:val="single" w:color="000000" w:sz="4" w:space="0"/>
            </w:tcBorders>
            <w:vAlign w:val="center"/>
          </w:tcPr>
          <w:p w14:paraId="374D53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绿盟NX3漏洞扫描</w:t>
            </w:r>
          </w:p>
        </w:tc>
        <w:tc>
          <w:tcPr>
            <w:tcW w:w="2835" w:type="dxa"/>
            <w:tcBorders>
              <w:top w:val="single" w:color="000000" w:sz="4" w:space="0"/>
              <w:left w:val="single" w:color="000000" w:sz="4" w:space="0"/>
              <w:bottom w:val="single" w:color="000000" w:sz="4" w:space="0"/>
              <w:right w:val="single" w:color="000000" w:sz="4" w:space="0"/>
            </w:tcBorders>
            <w:vAlign w:val="center"/>
          </w:tcPr>
          <w:p w14:paraId="2C8CECA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RSASNX3-HFA</w:t>
            </w:r>
          </w:p>
        </w:tc>
        <w:tc>
          <w:tcPr>
            <w:tcW w:w="1976" w:type="dxa"/>
            <w:tcBorders>
              <w:top w:val="single" w:color="000000" w:sz="4" w:space="0"/>
              <w:left w:val="single" w:color="000000" w:sz="4" w:space="0"/>
              <w:bottom w:val="single" w:color="000000" w:sz="4" w:space="0"/>
              <w:right w:val="single" w:color="000000" w:sz="4" w:space="0"/>
            </w:tcBorders>
            <w:vAlign w:val="center"/>
          </w:tcPr>
          <w:p w14:paraId="3A4C0883">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21-20-GF-0194</w:t>
            </w:r>
          </w:p>
        </w:tc>
      </w:tr>
      <w:tr w14:paraId="4ABDB93C">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47B8E4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130EBED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绿盟堡垒机</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7BC380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OSMSNX3-HF</w:t>
            </w:r>
          </w:p>
        </w:tc>
        <w:tc>
          <w:tcPr>
            <w:tcW w:w="1976" w:type="dxa"/>
            <w:tcBorders>
              <w:top w:val="single" w:color="000000" w:sz="4" w:space="0"/>
              <w:left w:val="single" w:color="000000" w:sz="4" w:space="0"/>
              <w:bottom w:val="single" w:color="000000" w:sz="4" w:space="0"/>
              <w:right w:val="single" w:color="000000" w:sz="4" w:space="0"/>
            </w:tcBorders>
            <w:vAlign w:val="center"/>
          </w:tcPr>
          <w:p w14:paraId="26B530EC">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21-20-GF-0193</w:t>
            </w:r>
          </w:p>
        </w:tc>
      </w:tr>
      <w:tr w14:paraId="5B87B413">
        <w:tblPrEx>
          <w:tblCellMar>
            <w:top w:w="0" w:type="dxa"/>
            <w:left w:w="108" w:type="dxa"/>
            <w:bottom w:w="0" w:type="dxa"/>
            <w:right w:w="108" w:type="dxa"/>
          </w:tblCellMar>
        </w:tblPrEx>
        <w:trPr>
          <w:trHeight w:val="34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B780D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779ADA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绿盟厅机关边界防火墙</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AAE4B3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NFNX3-ZA</w:t>
            </w:r>
          </w:p>
        </w:tc>
        <w:tc>
          <w:tcPr>
            <w:tcW w:w="1976" w:type="dxa"/>
            <w:tcBorders>
              <w:top w:val="single" w:color="000000" w:sz="4" w:space="0"/>
              <w:left w:val="single" w:color="000000" w:sz="4" w:space="0"/>
              <w:bottom w:val="single" w:color="000000" w:sz="4" w:space="0"/>
              <w:right w:val="single" w:color="000000" w:sz="4" w:space="0"/>
            </w:tcBorders>
            <w:vAlign w:val="center"/>
          </w:tcPr>
          <w:p w14:paraId="17E0597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21-20-LY-0128</w:t>
            </w:r>
          </w:p>
        </w:tc>
      </w:tr>
      <w:tr w14:paraId="2737FAEB">
        <w:tblPrEx>
          <w:tblCellMar>
            <w:top w:w="0" w:type="dxa"/>
            <w:left w:w="108" w:type="dxa"/>
            <w:bottom w:w="0" w:type="dxa"/>
            <w:right w:w="108" w:type="dxa"/>
          </w:tblCellMar>
        </w:tblPrEx>
        <w:trPr>
          <w:trHeight w:val="353" w:hRule="atLeast"/>
        </w:trPr>
        <w:tc>
          <w:tcPr>
            <w:tcW w:w="780"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D7E0D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3390"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77C91B5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渔翁密码机</w:t>
            </w:r>
          </w:p>
        </w:tc>
        <w:tc>
          <w:tcPr>
            <w:tcW w:w="2835"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792BFA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SJJ1955-G</w:t>
            </w:r>
          </w:p>
        </w:tc>
        <w:tc>
          <w:tcPr>
            <w:tcW w:w="1976"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2C711BBC">
            <w:pPr>
              <w:widowControl/>
              <w:jc w:val="center"/>
              <w:textAlignment w:val="center"/>
              <w:rPr>
                <w:rFonts w:hint="eastAsia" w:ascii="宋体" w:hAnsi="宋体" w:eastAsia="宋体" w:cs="宋体"/>
                <w:color w:val="000000"/>
                <w:kern w:val="0"/>
                <w:sz w:val="24"/>
                <w:szCs w:val="24"/>
                <w:highlight w:val="yellow"/>
                <w:lang w:bidi="ar"/>
              </w:rPr>
            </w:pPr>
            <w:r>
              <w:rPr>
                <w:rFonts w:hint="eastAsia" w:ascii="宋体" w:hAnsi="宋体" w:eastAsia="宋体" w:cs="宋体"/>
                <w:color w:val="000000"/>
                <w:kern w:val="0"/>
                <w:sz w:val="24"/>
                <w:szCs w:val="24"/>
                <w:lang w:bidi="ar"/>
              </w:rPr>
              <w:t>020201144230223B0229</w:t>
            </w:r>
          </w:p>
        </w:tc>
      </w:tr>
    </w:tbl>
    <w:p w14:paraId="577D38EA">
      <w:pPr>
        <w:rPr>
          <w:rFonts w:hint="eastAsia" w:ascii="等线" w:hAnsi="等线" w:eastAsia="等线" w:cs="Times New Roman"/>
          <w:szCs w:val="24"/>
        </w:rPr>
      </w:pPr>
    </w:p>
    <w:p w14:paraId="2B788F95">
      <w:pPr>
        <w:spacing w:beforeLines="0" w:afterLines="0" w:line="460" w:lineRule="exact"/>
        <w:rPr>
          <w:rFonts w:hint="eastAsia" w:ascii="仿宋_GB2312" w:hAnsi="仿宋_GB2312" w:eastAsia="仿宋_GB2312" w:cs="仿宋_GB2312"/>
          <w:color w:val="auto"/>
          <w:sz w:val="28"/>
          <w:szCs w:val="28"/>
        </w:rPr>
      </w:pPr>
    </w:p>
    <w:p w14:paraId="3689D393">
      <w:pPr>
        <w:spacing w:beforeLines="0" w:afterLines="0" w:line="460" w:lineRule="exact"/>
        <w:rPr>
          <w:rFonts w:hint="eastAsia"/>
          <w:color w:val="auto"/>
          <w:lang w:val="en-US" w:eastAsia="zh-CN"/>
        </w:rPr>
      </w:pPr>
    </w:p>
    <w:p w14:paraId="79A91711">
      <w:pPr>
        <w:widowControl/>
        <w:numPr>
          <w:ilvl w:val="0"/>
          <w:numId w:val="2"/>
        </w:numPr>
        <w:spacing w:beforeLines="0" w:afterLines="0" w:line="460" w:lineRule="exact"/>
        <w:ind w:left="0"/>
        <w:jc w:val="center"/>
        <w:outlineLvl w:val="0"/>
        <w:rPr>
          <w:rFonts w:ascii="仿宋" w:hAnsi="仿宋" w:eastAsia="仿宋" w:cs="仿宋"/>
          <w:b/>
          <w:color w:val="auto"/>
          <w:sz w:val="28"/>
          <w:szCs w:val="22"/>
          <w:highlight w:val="none"/>
        </w:rPr>
      </w:pPr>
      <w:r>
        <w:rPr>
          <w:rFonts w:hint="eastAsia" w:ascii="仿宋" w:hAnsi="仿宋" w:eastAsia="仿宋" w:cs="仿宋"/>
          <w:b/>
          <w:color w:val="auto"/>
          <w:sz w:val="28"/>
          <w:szCs w:val="22"/>
          <w:highlight w:val="none"/>
        </w:rPr>
        <w:t>合同条款</w:t>
      </w:r>
      <w:bookmarkEnd w:id="75"/>
    </w:p>
    <w:bookmarkEnd w:id="76"/>
    <w:bookmarkEnd w:id="77"/>
    <w:bookmarkEnd w:id="78"/>
    <w:p w14:paraId="7A68E185">
      <w:pPr>
        <w:pStyle w:val="2"/>
        <w:spacing w:beforeLines="0" w:afterLines="0" w:line="460" w:lineRule="exact"/>
        <w:ind w:left="0" w:firstLine="0"/>
        <w:jc w:val="center"/>
        <w:rPr>
          <w:rFonts w:ascii="宋体" w:hAnsi="宋体"/>
          <w:color w:val="auto"/>
          <w:highlight w:val="none"/>
        </w:rPr>
      </w:pPr>
      <w:bookmarkStart w:id="79" w:name="_Toc19337"/>
      <w:bookmarkStart w:id="80" w:name="_Toc12367"/>
      <w:r>
        <w:rPr>
          <w:rFonts w:hint="eastAsia" w:ascii="宋体" w:hAnsi="宋体"/>
          <w:color w:val="auto"/>
          <w:highlight w:val="none"/>
        </w:rPr>
        <w:t>（具体以实际签订合同为准）</w:t>
      </w:r>
      <w:bookmarkEnd w:id="79"/>
    </w:p>
    <w:p w14:paraId="7EB2F819">
      <w:pPr>
        <w:widowControl/>
        <w:kinsoku/>
        <w:topLinePunct/>
        <w:autoSpaceDE/>
        <w:autoSpaceDN/>
        <w:adjustRightInd w:val="0"/>
        <w:snapToGrid w:val="0"/>
        <w:spacing w:before="0" w:beforeLines="0" w:afterLines="0" w:line="560" w:lineRule="exact"/>
        <w:ind w:left="0"/>
        <w:jc w:val="left"/>
        <w:textAlignment w:val="baseline"/>
        <w:rPr>
          <w:rFonts w:hint="default" w:ascii="Times New Roman" w:hAnsi="Times New Roman" w:eastAsia="方正仿宋_GBK" w:cs="Times New Roman"/>
          <w:snapToGrid w:val="0"/>
          <w:color w:val="auto"/>
          <w:kern w:val="0"/>
          <w:sz w:val="28"/>
          <w:szCs w:val="28"/>
          <w:lang w:eastAsia="zh-CN"/>
        </w:rPr>
      </w:pPr>
      <w:r>
        <w:rPr>
          <w:rFonts w:hint="default" w:ascii="Times New Roman" w:hAnsi="Times New Roman" w:eastAsia="方正仿宋_GBK" w:cs="Times New Roman"/>
          <w:snapToGrid w:val="0"/>
          <w:color w:val="auto"/>
          <w:spacing w:val="0"/>
          <w:kern w:val="0"/>
          <w:sz w:val="28"/>
          <w:szCs w:val="28"/>
        </w:rPr>
        <w:t>甲方：</w:t>
      </w:r>
    </w:p>
    <w:p w14:paraId="5A0EB7AE">
      <w:pPr>
        <w:widowControl/>
        <w:kinsoku/>
        <w:topLinePunct/>
        <w:autoSpaceDE/>
        <w:autoSpaceDN/>
        <w:adjustRightInd w:val="0"/>
        <w:snapToGrid w:val="0"/>
        <w:spacing w:beforeLines="0" w:afterLines="0" w:line="560" w:lineRule="exact"/>
        <w:ind w:left="0"/>
        <w:jc w:val="left"/>
        <w:textAlignment w:val="baseline"/>
        <w:rPr>
          <w:rFonts w:hint="default" w:ascii="Times New Roman" w:hAnsi="Times New Roman" w:eastAsia="方正仿宋_GBK" w:cs="Times New Roman"/>
          <w:snapToGrid w:val="0"/>
          <w:color w:val="auto"/>
          <w:kern w:val="0"/>
          <w:sz w:val="28"/>
          <w:szCs w:val="28"/>
          <w:lang w:eastAsia="zh-CN"/>
        </w:rPr>
      </w:pPr>
      <w:r>
        <w:rPr>
          <w:rFonts w:hint="default" w:ascii="Times New Roman" w:hAnsi="Times New Roman" w:eastAsia="方正仿宋_GBK" w:cs="Times New Roman"/>
          <w:snapToGrid w:val="0"/>
          <w:color w:val="auto"/>
          <w:spacing w:val="0"/>
          <w:kern w:val="0"/>
          <w:sz w:val="28"/>
          <w:szCs w:val="28"/>
        </w:rPr>
        <w:t>乙方：</w:t>
      </w:r>
    </w:p>
    <w:p w14:paraId="18557EB5">
      <w:pPr>
        <w:pageBreakBefore w:val="0"/>
        <w:widowControl/>
        <w:kinsoku/>
        <w:wordWrap/>
        <w:overflowPunct w:val="0"/>
        <w:topLinePunct/>
        <w:autoSpaceDE/>
        <w:autoSpaceDN/>
        <w:bidi w:val="0"/>
        <w:adjustRightInd w:val="0"/>
        <w:snapToGrid w:val="0"/>
        <w:spacing w:before="0" w:beforeLines="0" w:afterLines="0" w:line="560" w:lineRule="exact"/>
        <w:ind w:left="0"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甲乙双方遵守公平、诚实和守信的原则，经过友好协商，乙方为甲方提供网络安全运维服务，双方</w:t>
      </w:r>
      <w:r>
        <w:rPr>
          <w:rFonts w:hint="default" w:ascii="Times New Roman" w:hAnsi="Times New Roman" w:eastAsia="方正仿宋_GBK" w:cs="Times New Roman"/>
          <w:snapToGrid w:val="0"/>
          <w:color w:val="auto"/>
          <w:kern w:val="0"/>
          <w:sz w:val="28"/>
          <w:szCs w:val="28"/>
        </w:rPr>
        <w:t>一致达成以下条款：</w:t>
      </w:r>
    </w:p>
    <w:p w14:paraId="48B751AB">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1.服务期限</w:t>
      </w:r>
    </w:p>
    <w:p w14:paraId="4F32626F">
      <w:pPr>
        <w:pageBreakBefore w:val="0"/>
        <w:widowControl/>
        <w:kinsoku/>
        <w:wordWrap/>
        <w:overflowPunct w:val="0"/>
        <w:topLinePunct/>
        <w:autoSpaceDE/>
        <w:autoSpaceDN/>
        <w:bidi w:val="0"/>
        <w:adjustRightInd w:val="0"/>
        <w:snapToGrid w:val="0"/>
        <w:spacing w:beforeLines="0" w:afterLines="0" w:line="560" w:lineRule="exact"/>
        <w:ind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kern w:val="0"/>
          <w:sz w:val="28"/>
          <w:szCs w:val="28"/>
        </w:rPr>
        <w:t>本合同所约定服务的服务期限为合同签订后12个月。</w:t>
      </w:r>
    </w:p>
    <w:p w14:paraId="6BB257B1">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lang w:val="en-US" w:eastAsia="zh-CN"/>
        </w:rPr>
      </w:pPr>
      <w:r>
        <w:rPr>
          <w:rFonts w:hint="eastAsia" w:ascii="方正黑体_GBK" w:hAnsi="方正黑体_GBK" w:eastAsia="方正黑体_GBK" w:cs="方正黑体_GBK"/>
          <w:snapToGrid w:val="0"/>
          <w:color w:val="auto"/>
          <w:spacing w:val="0"/>
          <w:kern w:val="0"/>
          <w:sz w:val="28"/>
          <w:szCs w:val="28"/>
        </w:rPr>
        <w:t>2.服务费用</w:t>
      </w:r>
    </w:p>
    <w:p w14:paraId="566F0B2C">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spacing w:val="0"/>
          <w:kern w:val="0"/>
          <w:sz w:val="28"/>
          <w:szCs w:val="28"/>
        </w:rPr>
      </w:pPr>
      <w:r>
        <w:rPr>
          <w:rFonts w:hint="default" w:ascii="Times New Roman" w:hAnsi="Times New Roman" w:eastAsia="方正仿宋_GBK" w:cs="Times New Roman"/>
          <w:snapToGrid w:val="0"/>
          <w:color w:val="auto"/>
          <w:kern w:val="0"/>
          <w:sz w:val="28"/>
          <w:szCs w:val="28"/>
        </w:rPr>
        <w:t>运维费用为￥</w:t>
      </w:r>
      <w:r>
        <w:rPr>
          <w:rFonts w:hint="eastAsia" w:ascii="Times New Roman" w:hAnsi="Times New Roman" w:eastAsia="方正仿宋_GBK" w:cs="Times New Roman"/>
          <w:snapToGrid w:val="0"/>
          <w:color w:val="auto"/>
          <w:kern w:val="0"/>
          <w:sz w:val="28"/>
          <w:szCs w:val="28"/>
          <w:lang w:val="en-US" w:eastAsia="zh-CN"/>
        </w:rPr>
        <w:t xml:space="preserve">  </w:t>
      </w:r>
      <w:r>
        <w:rPr>
          <w:rFonts w:hint="default" w:ascii="Times New Roman" w:hAnsi="Times New Roman" w:eastAsia="方正仿宋_GBK" w:cs="Times New Roman"/>
          <w:snapToGrid w:val="0"/>
          <w:color w:val="auto"/>
          <w:kern w:val="0"/>
          <w:sz w:val="28"/>
          <w:szCs w:val="28"/>
        </w:rPr>
        <w:t>元(大写人民币：</w:t>
      </w:r>
      <w:r>
        <w:rPr>
          <w:rFonts w:hint="eastAsia" w:ascii="Times New Roman" w:hAnsi="Times New Roman" w:eastAsia="方正仿宋_GBK" w:cs="Times New Roman"/>
          <w:snapToGrid w:val="0"/>
          <w:color w:val="auto"/>
          <w:kern w:val="0"/>
          <w:sz w:val="28"/>
          <w:szCs w:val="28"/>
          <w:lang w:val="en-US" w:eastAsia="zh-CN"/>
        </w:rPr>
        <w:t xml:space="preserve">   </w:t>
      </w:r>
      <w:r>
        <w:rPr>
          <w:rFonts w:hint="default" w:ascii="Times New Roman" w:hAnsi="Times New Roman" w:eastAsia="方正仿宋_GBK" w:cs="Times New Roman"/>
          <w:snapToGrid w:val="0"/>
          <w:color w:val="auto"/>
          <w:kern w:val="0"/>
          <w:sz w:val="28"/>
          <w:szCs w:val="28"/>
        </w:rPr>
        <w:t>)</w:t>
      </w:r>
      <w:r>
        <w:rPr>
          <w:rFonts w:hint="default" w:ascii="Times New Roman" w:hAnsi="Times New Roman" w:eastAsia="方正仿宋_GBK" w:cs="Times New Roman"/>
          <w:snapToGrid w:val="0"/>
          <w:color w:val="auto"/>
          <w:kern w:val="0"/>
          <w:sz w:val="28"/>
          <w:szCs w:val="28"/>
          <w:lang w:eastAsia="zh-CN"/>
        </w:rPr>
        <w:t>，本合同总价包含但不限于税金、运维服务费、驻场费用、培训费用、乙方人员差旅费，除上述费用外，合同履行过程中发生的其他费用均由乙方自行承担，与甲方无关</w:t>
      </w:r>
      <w:r>
        <w:rPr>
          <w:rFonts w:hint="default" w:ascii="Times New Roman" w:hAnsi="Times New Roman" w:eastAsia="方正仿宋_GBK" w:cs="Times New Roman"/>
          <w:snapToGrid w:val="0"/>
          <w:color w:val="auto"/>
          <w:kern w:val="0"/>
          <w:sz w:val="28"/>
          <w:szCs w:val="28"/>
        </w:rPr>
        <w:t>。</w:t>
      </w:r>
    </w:p>
    <w:p w14:paraId="2841F07A">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3.付款方式</w:t>
      </w:r>
    </w:p>
    <w:p w14:paraId="69234434">
      <w:pPr>
        <w:pageBreakBefore w:val="0"/>
        <w:widowControl/>
        <w:numPr>
          <w:ilvl w:val="1"/>
          <w:numId w:val="0"/>
        </w:numPr>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highlight w:val="none"/>
        </w:rPr>
      </w:pPr>
      <w:r>
        <w:rPr>
          <w:rFonts w:hint="default" w:ascii="Times New Roman" w:hAnsi="Times New Roman" w:eastAsia="方正仿宋_GBK" w:cs="Times New Roman"/>
          <w:b w:val="0"/>
          <w:bCs w:val="0"/>
          <w:snapToGrid w:val="0"/>
          <w:color w:val="auto"/>
          <w:spacing w:val="0"/>
          <w:kern w:val="0"/>
          <w:sz w:val="28"/>
          <w:szCs w:val="28"/>
          <w:highlight w:val="none"/>
          <w:lang w:val="en-US"/>
        </w:rPr>
        <w:t>3.1.</w:t>
      </w:r>
      <w:r>
        <w:rPr>
          <w:rFonts w:hint="default" w:ascii="Times New Roman" w:hAnsi="Times New Roman" w:eastAsia="方正仿宋_GBK" w:cs="Times New Roman"/>
          <w:b w:val="0"/>
          <w:bCs w:val="0"/>
          <w:snapToGrid w:val="0"/>
          <w:color w:val="auto"/>
          <w:spacing w:val="0"/>
          <w:kern w:val="0"/>
          <w:sz w:val="28"/>
          <w:szCs w:val="28"/>
          <w:highlight w:val="none"/>
          <w:lang w:val="en-US" w:eastAsia="zh-CN"/>
        </w:rPr>
        <w:t>合同签订后10日内，甲方向乙方支付合同总金额的60%，；乙方提供服务满5个月后，并出具相应服务报告经甲方考核合格后，甲方向乙方支付合同总金额的40%，乙方需提供剩余服务期运维服务承诺函。</w:t>
      </w:r>
    </w:p>
    <w:p w14:paraId="4EB568A6">
      <w:pPr>
        <w:pageBreakBefore w:val="0"/>
        <w:widowControl/>
        <w:numPr>
          <w:ilvl w:val="1"/>
          <w:numId w:val="0"/>
        </w:numPr>
        <w:kinsoku/>
        <w:wordWrap/>
        <w:overflowPunct w:val="0"/>
        <w:topLinePunct/>
        <w:autoSpaceDE/>
        <w:autoSpaceDN/>
        <w:bidi w:val="0"/>
        <w:adjustRightInd w:val="0"/>
        <w:snapToGrid w:val="0"/>
        <w:spacing w:beforeLines="0" w:afterLines="0" w:line="560" w:lineRule="exact"/>
        <w:ind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b w:val="0"/>
          <w:bCs w:val="0"/>
          <w:snapToGrid w:val="0"/>
          <w:color w:val="auto"/>
          <w:spacing w:val="0"/>
          <w:kern w:val="0"/>
          <w:sz w:val="28"/>
          <w:szCs w:val="28"/>
          <w:lang w:val="en-US" w:eastAsia="zh-CN"/>
        </w:rPr>
        <w:t xml:space="preserve">3.2 </w:t>
      </w:r>
      <w:r>
        <w:rPr>
          <w:rFonts w:hint="default" w:ascii="Times New Roman" w:hAnsi="Times New Roman" w:eastAsia="方正仿宋_GBK" w:cs="Times New Roman"/>
          <w:b w:val="0"/>
          <w:bCs w:val="0"/>
          <w:snapToGrid w:val="0"/>
          <w:color w:val="auto"/>
          <w:spacing w:val="0"/>
          <w:kern w:val="0"/>
          <w:sz w:val="28"/>
          <w:szCs w:val="28"/>
        </w:rPr>
        <w:t>每</w:t>
      </w:r>
      <w:r>
        <w:rPr>
          <w:rFonts w:hint="default" w:ascii="Times New Roman" w:hAnsi="Times New Roman" w:eastAsia="方正仿宋_GBK" w:cs="Times New Roman"/>
          <w:b w:val="0"/>
          <w:bCs w:val="0"/>
          <w:snapToGrid w:val="0"/>
          <w:color w:val="auto"/>
          <w:spacing w:val="0"/>
          <w:kern w:val="0"/>
          <w:sz w:val="28"/>
          <w:szCs w:val="28"/>
          <w:lang w:val="en-US"/>
        </w:rPr>
        <w:t>笔</w:t>
      </w:r>
      <w:r>
        <w:rPr>
          <w:rFonts w:hint="default" w:ascii="Times New Roman" w:hAnsi="Times New Roman" w:eastAsia="方正仿宋_GBK" w:cs="Times New Roman"/>
          <w:b w:val="0"/>
          <w:bCs w:val="0"/>
          <w:snapToGrid w:val="0"/>
          <w:color w:val="auto"/>
          <w:spacing w:val="0"/>
          <w:kern w:val="0"/>
          <w:sz w:val="28"/>
          <w:szCs w:val="28"/>
        </w:rPr>
        <w:t>支付乙方均需提供有效增值税普通</w:t>
      </w:r>
      <w:r>
        <w:rPr>
          <w:rFonts w:hint="default" w:ascii="Times New Roman" w:hAnsi="Times New Roman" w:eastAsia="方正仿宋_GBK" w:cs="Times New Roman"/>
          <w:b w:val="0"/>
          <w:bCs w:val="0"/>
          <w:snapToGrid w:val="0"/>
          <w:color w:val="auto"/>
          <w:spacing w:val="0"/>
          <w:kern w:val="0"/>
          <w:sz w:val="28"/>
          <w:szCs w:val="28"/>
          <w:lang w:val="en-US"/>
        </w:rPr>
        <w:t>等额</w:t>
      </w:r>
      <w:r>
        <w:rPr>
          <w:rFonts w:hint="default" w:ascii="Times New Roman" w:hAnsi="Times New Roman" w:eastAsia="方正仿宋_GBK" w:cs="Times New Roman"/>
          <w:b w:val="0"/>
          <w:bCs w:val="0"/>
          <w:snapToGrid w:val="0"/>
          <w:color w:val="auto"/>
          <w:spacing w:val="0"/>
          <w:kern w:val="0"/>
          <w:sz w:val="28"/>
          <w:szCs w:val="28"/>
        </w:rPr>
        <w:t>发票</w:t>
      </w:r>
      <w:r>
        <w:rPr>
          <w:rFonts w:hint="default" w:ascii="Times New Roman" w:hAnsi="Times New Roman" w:eastAsia="方正仿宋_GBK" w:cs="Times New Roman"/>
          <w:b w:val="0"/>
          <w:bCs w:val="0"/>
          <w:snapToGrid w:val="0"/>
          <w:color w:val="auto"/>
          <w:spacing w:val="0"/>
          <w:kern w:val="0"/>
          <w:sz w:val="28"/>
          <w:szCs w:val="28"/>
          <w:lang w:val="en-US"/>
        </w:rPr>
        <w:t>和支付申请</w:t>
      </w:r>
      <w:r>
        <w:rPr>
          <w:rFonts w:hint="default" w:ascii="Times New Roman" w:hAnsi="Times New Roman" w:eastAsia="方正仿宋_GBK" w:cs="Times New Roman"/>
          <w:b w:val="0"/>
          <w:bCs w:val="0"/>
          <w:snapToGrid w:val="0"/>
          <w:color w:val="auto"/>
          <w:spacing w:val="0"/>
          <w:kern w:val="0"/>
          <w:sz w:val="28"/>
          <w:szCs w:val="28"/>
        </w:rPr>
        <w:t>，</w:t>
      </w:r>
      <w:r>
        <w:rPr>
          <w:rFonts w:hint="default" w:ascii="Times New Roman" w:hAnsi="Times New Roman" w:eastAsia="方正仿宋_GBK" w:cs="Times New Roman"/>
          <w:b w:val="0"/>
          <w:bCs w:val="0"/>
          <w:snapToGrid w:val="0"/>
          <w:color w:val="auto"/>
          <w:spacing w:val="0"/>
          <w:kern w:val="0"/>
          <w:sz w:val="28"/>
          <w:szCs w:val="28"/>
          <w:lang w:val="en-US"/>
        </w:rPr>
        <w:t>并</w:t>
      </w:r>
      <w:r>
        <w:rPr>
          <w:rFonts w:hint="default" w:ascii="Times New Roman" w:hAnsi="Times New Roman" w:eastAsia="方正仿宋_GBK" w:cs="Times New Roman"/>
          <w:b w:val="0"/>
          <w:bCs w:val="0"/>
          <w:snapToGrid w:val="0"/>
          <w:color w:val="auto"/>
          <w:spacing w:val="0"/>
          <w:kern w:val="0"/>
          <w:sz w:val="28"/>
          <w:szCs w:val="28"/>
        </w:rPr>
        <w:t>提供《网络安全运维服务总结资料》，</w:t>
      </w:r>
      <w:r>
        <w:rPr>
          <w:rFonts w:hint="default" w:ascii="Times New Roman" w:hAnsi="Times New Roman" w:eastAsia="方正仿宋_GBK" w:cs="Times New Roman"/>
          <w:b w:val="0"/>
          <w:bCs w:val="0"/>
          <w:snapToGrid w:val="0"/>
          <w:color w:val="auto"/>
          <w:spacing w:val="0"/>
          <w:kern w:val="0"/>
          <w:sz w:val="28"/>
          <w:szCs w:val="28"/>
          <w:lang w:val="en-US"/>
        </w:rPr>
        <w:t>经甲方</w:t>
      </w:r>
      <w:r>
        <w:rPr>
          <w:rFonts w:hint="default" w:ascii="Times New Roman" w:hAnsi="Times New Roman" w:eastAsia="方正仿宋_GBK" w:cs="Times New Roman"/>
          <w:b w:val="0"/>
          <w:bCs w:val="0"/>
          <w:snapToGrid w:val="0"/>
          <w:color w:val="auto"/>
          <w:spacing w:val="0"/>
          <w:kern w:val="0"/>
          <w:sz w:val="28"/>
          <w:szCs w:val="28"/>
        </w:rPr>
        <w:t>考核合格</w:t>
      </w:r>
      <w:r>
        <w:rPr>
          <w:rFonts w:hint="default" w:ascii="Times New Roman" w:hAnsi="Times New Roman" w:eastAsia="方正仿宋_GBK" w:cs="Times New Roman"/>
          <w:b w:val="0"/>
          <w:bCs w:val="0"/>
          <w:snapToGrid w:val="0"/>
          <w:color w:val="auto"/>
          <w:spacing w:val="0"/>
          <w:kern w:val="0"/>
          <w:sz w:val="28"/>
          <w:szCs w:val="28"/>
          <w:lang w:val="en-US" w:eastAsia="zh-CN"/>
        </w:rPr>
        <w:t>后</w:t>
      </w:r>
      <w:r>
        <w:rPr>
          <w:rFonts w:hint="eastAsia" w:ascii="Times New Roman" w:hAnsi="Times New Roman" w:eastAsia="方正仿宋_GBK" w:cs="Times New Roman"/>
          <w:b w:val="0"/>
          <w:bCs w:val="0"/>
          <w:snapToGrid w:val="0"/>
          <w:color w:val="auto"/>
          <w:spacing w:val="0"/>
          <w:kern w:val="0"/>
          <w:sz w:val="28"/>
          <w:szCs w:val="28"/>
          <w:lang w:val="en-US" w:eastAsia="zh-CN"/>
        </w:rPr>
        <w:t>支付</w:t>
      </w:r>
      <w:r>
        <w:rPr>
          <w:rFonts w:hint="default" w:ascii="Times New Roman" w:hAnsi="Times New Roman" w:eastAsia="方正仿宋_GBK" w:cs="Times New Roman"/>
          <w:b w:val="0"/>
          <w:bCs w:val="0"/>
          <w:snapToGrid w:val="0"/>
          <w:color w:val="auto"/>
          <w:spacing w:val="0"/>
          <w:kern w:val="0"/>
          <w:sz w:val="28"/>
          <w:szCs w:val="28"/>
        </w:rPr>
        <w:t>，不合格则根据本合同约定的考核细则扣除罚款后支付其余款项</w:t>
      </w:r>
      <w:r>
        <w:rPr>
          <w:rFonts w:hint="default" w:ascii="Times New Roman" w:hAnsi="Times New Roman" w:eastAsia="方正仿宋_GBK" w:cs="Times New Roman"/>
          <w:b w:val="0"/>
          <w:bCs w:val="0"/>
          <w:snapToGrid w:val="0"/>
          <w:color w:val="auto"/>
          <w:spacing w:val="0"/>
          <w:kern w:val="0"/>
          <w:sz w:val="28"/>
          <w:szCs w:val="28"/>
          <w:lang w:eastAsia="zh-CN"/>
        </w:rPr>
        <w:t>。</w:t>
      </w:r>
    </w:p>
    <w:p w14:paraId="02E313FE">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4.服务</w:t>
      </w:r>
      <w:r>
        <w:rPr>
          <w:rFonts w:hint="eastAsia" w:ascii="方正黑体_GBK" w:hAnsi="方正黑体_GBK" w:eastAsia="方正黑体_GBK" w:cs="方正黑体_GBK"/>
          <w:snapToGrid w:val="0"/>
          <w:color w:val="auto"/>
          <w:kern w:val="0"/>
          <w:sz w:val="28"/>
          <w:szCs w:val="28"/>
        </w:rPr>
        <w:t>细则</w:t>
      </w:r>
    </w:p>
    <w:p w14:paraId="328CB95F">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lang w:eastAsia="zh-CN"/>
        </w:rPr>
      </w:pPr>
      <w:r>
        <w:rPr>
          <w:rFonts w:hint="default" w:ascii="Times New Roman" w:hAnsi="Times New Roman" w:eastAsia="方正仿宋_GBK" w:cs="Times New Roman"/>
          <w:snapToGrid w:val="0"/>
          <w:color w:val="auto"/>
          <w:spacing w:val="0"/>
          <w:kern w:val="0"/>
          <w:sz w:val="28"/>
          <w:szCs w:val="28"/>
        </w:rPr>
        <w:t>4.1.服务的内容：主要提供驻场人员对交通运输厅网络安全工作进行配合协助工作。（详细内容见附件</w:t>
      </w:r>
      <w:r>
        <w:rPr>
          <w:rFonts w:hint="eastAsia" w:ascii="Times New Roman" w:hAnsi="Times New Roman" w:eastAsia="方正仿宋_GBK" w:cs="Times New Roman"/>
          <w:snapToGrid w:val="0"/>
          <w:color w:val="auto"/>
          <w:spacing w:val="0"/>
          <w:kern w:val="0"/>
          <w:sz w:val="28"/>
          <w:szCs w:val="28"/>
          <w:lang w:val="en-US" w:eastAsia="zh-CN"/>
        </w:rPr>
        <w:t>1</w:t>
      </w:r>
      <w:r>
        <w:rPr>
          <w:rFonts w:hint="default" w:ascii="Times New Roman" w:hAnsi="Times New Roman" w:eastAsia="方正仿宋_GBK" w:cs="Times New Roman"/>
          <w:snapToGrid w:val="0"/>
          <w:color w:val="auto"/>
          <w:spacing w:val="0"/>
          <w:kern w:val="0"/>
          <w:sz w:val="28"/>
          <w:szCs w:val="28"/>
        </w:rPr>
        <w:t>）</w:t>
      </w:r>
    </w:p>
    <w:p w14:paraId="49137D95">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4.2.此安全运维服务自202</w:t>
      </w:r>
      <w:r>
        <w:rPr>
          <w:rFonts w:hint="eastAsia" w:ascii="Times New Roman" w:hAnsi="Times New Roman" w:eastAsia="方正仿宋_GBK" w:cs="Times New Roman"/>
          <w:snapToGrid w:val="0"/>
          <w:color w:val="auto"/>
          <w:spacing w:val="0"/>
          <w:kern w:val="0"/>
          <w:sz w:val="28"/>
          <w:szCs w:val="28"/>
          <w:lang w:val="en-US" w:eastAsia="zh-CN"/>
        </w:rPr>
        <w:t>6</w:t>
      </w:r>
      <w:r>
        <w:rPr>
          <w:rFonts w:hint="default" w:ascii="Times New Roman" w:hAnsi="Times New Roman" w:eastAsia="方正仿宋_GBK" w:cs="Times New Roman"/>
          <w:snapToGrid w:val="0"/>
          <w:color w:val="auto"/>
          <w:spacing w:val="0"/>
          <w:kern w:val="0"/>
          <w:sz w:val="28"/>
          <w:szCs w:val="28"/>
        </w:rPr>
        <w:t>年</w:t>
      </w:r>
      <w:r>
        <w:rPr>
          <w:rFonts w:hint="default" w:ascii="Times New Roman" w:hAnsi="Times New Roman" w:eastAsia="方正仿宋_GBK" w:cs="Times New Roman"/>
          <w:snapToGrid w:val="0"/>
          <w:color w:val="auto"/>
          <w:spacing w:val="0"/>
          <w:kern w:val="0"/>
          <w:sz w:val="28"/>
          <w:szCs w:val="28"/>
          <w:u w:val="single" w:color="auto"/>
          <w:lang w:val="en-US" w:eastAsia="zh-CN"/>
        </w:rPr>
        <w:t>6</w:t>
      </w:r>
      <w:r>
        <w:rPr>
          <w:rFonts w:hint="default" w:ascii="Times New Roman" w:hAnsi="Times New Roman" w:eastAsia="方正仿宋_GBK" w:cs="Times New Roman"/>
          <w:snapToGrid w:val="0"/>
          <w:color w:val="auto"/>
          <w:spacing w:val="0"/>
          <w:kern w:val="0"/>
          <w:sz w:val="28"/>
          <w:szCs w:val="28"/>
        </w:rPr>
        <w:t>月</w:t>
      </w:r>
      <w:r>
        <w:rPr>
          <w:rFonts w:hint="default" w:ascii="Times New Roman" w:hAnsi="Times New Roman" w:eastAsia="方正仿宋_GBK" w:cs="Times New Roman"/>
          <w:snapToGrid w:val="0"/>
          <w:color w:val="auto"/>
          <w:spacing w:val="0"/>
          <w:kern w:val="0"/>
          <w:sz w:val="28"/>
          <w:szCs w:val="28"/>
          <w:u w:val="single"/>
          <w:lang w:val="en-US"/>
        </w:rPr>
        <w:t>1</w:t>
      </w:r>
      <w:r>
        <w:rPr>
          <w:rFonts w:hint="default" w:ascii="Times New Roman" w:hAnsi="Times New Roman" w:eastAsia="方正仿宋_GBK" w:cs="Times New Roman"/>
          <w:snapToGrid w:val="0"/>
          <w:color w:val="auto"/>
          <w:spacing w:val="0"/>
          <w:kern w:val="0"/>
          <w:sz w:val="28"/>
          <w:szCs w:val="28"/>
          <w:lang w:val="en-US"/>
        </w:rPr>
        <w:t>日</w:t>
      </w:r>
      <w:r>
        <w:rPr>
          <w:rFonts w:hint="default" w:ascii="Times New Roman" w:hAnsi="Times New Roman" w:eastAsia="方正仿宋_GBK" w:cs="Times New Roman"/>
          <w:snapToGrid w:val="0"/>
          <w:color w:val="auto"/>
          <w:spacing w:val="0"/>
          <w:kern w:val="0"/>
          <w:sz w:val="28"/>
          <w:szCs w:val="28"/>
        </w:rPr>
        <w:t>至202</w:t>
      </w:r>
      <w:r>
        <w:rPr>
          <w:rFonts w:hint="eastAsia" w:ascii="Times New Roman" w:hAnsi="Times New Roman" w:eastAsia="方正仿宋_GBK" w:cs="Times New Roman"/>
          <w:snapToGrid w:val="0"/>
          <w:color w:val="auto"/>
          <w:spacing w:val="0"/>
          <w:kern w:val="0"/>
          <w:sz w:val="28"/>
          <w:szCs w:val="28"/>
          <w:lang w:val="en-US" w:eastAsia="zh-CN"/>
        </w:rPr>
        <w:t>7</w:t>
      </w:r>
      <w:r>
        <w:rPr>
          <w:rFonts w:hint="default" w:ascii="Times New Roman" w:hAnsi="Times New Roman" w:eastAsia="方正仿宋_GBK" w:cs="Times New Roman"/>
          <w:snapToGrid w:val="0"/>
          <w:color w:val="auto"/>
          <w:spacing w:val="0"/>
          <w:kern w:val="0"/>
          <w:sz w:val="28"/>
          <w:szCs w:val="28"/>
        </w:rPr>
        <w:t>年</w:t>
      </w:r>
      <w:r>
        <w:rPr>
          <w:rFonts w:hint="default" w:ascii="Times New Roman" w:hAnsi="Times New Roman" w:eastAsia="方正仿宋_GBK" w:cs="Times New Roman"/>
          <w:snapToGrid w:val="0"/>
          <w:color w:val="auto"/>
          <w:spacing w:val="0"/>
          <w:kern w:val="0"/>
          <w:sz w:val="28"/>
          <w:szCs w:val="28"/>
          <w:u w:val="single" w:color="auto"/>
          <w:lang w:val="en-US" w:eastAsia="zh-CN"/>
        </w:rPr>
        <w:t>5</w:t>
      </w:r>
      <w:r>
        <w:rPr>
          <w:rFonts w:hint="default" w:ascii="Times New Roman" w:hAnsi="Times New Roman" w:eastAsia="方正仿宋_GBK" w:cs="Times New Roman"/>
          <w:snapToGrid w:val="0"/>
          <w:color w:val="auto"/>
          <w:spacing w:val="0"/>
          <w:kern w:val="0"/>
          <w:sz w:val="28"/>
          <w:szCs w:val="28"/>
        </w:rPr>
        <w:t>月</w:t>
      </w:r>
      <w:r>
        <w:rPr>
          <w:rFonts w:hint="default" w:ascii="Times New Roman" w:hAnsi="Times New Roman" w:eastAsia="方正仿宋_GBK" w:cs="Times New Roman"/>
          <w:snapToGrid w:val="0"/>
          <w:color w:val="auto"/>
          <w:spacing w:val="0"/>
          <w:kern w:val="0"/>
          <w:sz w:val="28"/>
          <w:szCs w:val="28"/>
          <w:u w:val="single" w:color="auto"/>
          <w:lang w:val="en-US" w:eastAsia="zh-CN"/>
        </w:rPr>
        <w:t>31</w:t>
      </w:r>
      <w:r>
        <w:rPr>
          <w:rFonts w:hint="default" w:ascii="Times New Roman" w:hAnsi="Times New Roman" w:eastAsia="方正仿宋_GBK" w:cs="Times New Roman"/>
          <w:snapToGrid w:val="0"/>
          <w:color w:val="auto"/>
          <w:spacing w:val="0"/>
          <w:kern w:val="0"/>
          <w:sz w:val="28"/>
          <w:szCs w:val="28"/>
        </w:rPr>
        <w:t>日止。</w:t>
      </w:r>
    </w:p>
    <w:p w14:paraId="1801A3E5">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5.服务评价</w:t>
      </w:r>
    </w:p>
    <w:p w14:paraId="1FC3503D">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5.1.服务期内，</w:t>
      </w:r>
      <w:r>
        <w:rPr>
          <w:rFonts w:hint="eastAsia" w:ascii="Times New Roman" w:hAnsi="Times New Roman" w:eastAsia="方正仿宋_GBK" w:cs="Times New Roman"/>
          <w:snapToGrid w:val="0"/>
          <w:color w:val="auto"/>
          <w:spacing w:val="0"/>
          <w:kern w:val="0"/>
          <w:sz w:val="28"/>
          <w:szCs w:val="28"/>
          <w:lang w:eastAsia="zh-CN"/>
        </w:rPr>
        <w:t>乙方无特殊原因不得随意更换驻场运维人员，</w:t>
      </w:r>
      <w:r>
        <w:rPr>
          <w:rFonts w:hint="default" w:ascii="Times New Roman" w:hAnsi="Times New Roman" w:eastAsia="方正仿宋_GBK" w:cs="Times New Roman"/>
          <w:snapToGrid w:val="0"/>
          <w:color w:val="auto"/>
          <w:spacing w:val="0"/>
          <w:kern w:val="0"/>
          <w:sz w:val="28"/>
          <w:szCs w:val="28"/>
        </w:rPr>
        <w:t>乙方依托甲方提供的软硬件设备、乙方公司配发的漏洞扫描设备</w:t>
      </w:r>
      <w:r>
        <w:rPr>
          <w:rFonts w:hint="default" w:ascii="Times New Roman" w:hAnsi="Times New Roman" w:eastAsia="方正仿宋_GBK" w:cs="Times New Roman"/>
          <w:snapToGrid w:val="0"/>
          <w:color w:val="auto"/>
          <w:spacing w:val="0"/>
          <w:kern w:val="0"/>
          <w:sz w:val="28"/>
          <w:szCs w:val="28"/>
          <w:lang w:val="en-US"/>
        </w:rPr>
        <w:t>（工具）</w:t>
      </w:r>
      <w:r>
        <w:rPr>
          <w:rFonts w:hint="default" w:ascii="Times New Roman" w:hAnsi="Times New Roman" w:eastAsia="方正仿宋_GBK" w:cs="Times New Roman"/>
          <w:snapToGrid w:val="0"/>
          <w:color w:val="auto"/>
          <w:spacing w:val="0"/>
          <w:kern w:val="0"/>
          <w:sz w:val="28"/>
          <w:szCs w:val="28"/>
        </w:rPr>
        <w:t>和自治区及交通运输部的权威安全风险漏洞发布平台等工具为甲方提供服务</w:t>
      </w:r>
      <w:r>
        <w:rPr>
          <w:rFonts w:hint="eastAsia" w:ascii="Times New Roman" w:hAnsi="Times New Roman" w:eastAsia="方正仿宋_GBK" w:cs="Times New Roman"/>
          <w:snapToGrid w:val="0"/>
          <w:color w:val="auto"/>
          <w:spacing w:val="0"/>
          <w:kern w:val="0"/>
          <w:sz w:val="28"/>
          <w:szCs w:val="28"/>
          <w:lang w:eastAsia="zh-CN"/>
        </w:rPr>
        <w:t>。</w:t>
      </w:r>
    </w:p>
    <w:p w14:paraId="584B6905">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5.2.乙方运维人员责任问题包括但不限于：利用软硬件设备和工具发现问题8小时内未向甲方报告导致安全事件发生；在收集安全风险隐患信息时，因工作疏漏遗漏重要隐患信息，延误修复导致事件发生；在安全基线范围内发生了安全事件，在事后复盘过程中，经双方沟通认定后，由被明确的责任主体对</w:t>
      </w:r>
      <w:r>
        <w:rPr>
          <w:rFonts w:hint="default" w:ascii="Times New Roman" w:hAnsi="Times New Roman" w:eastAsia="方正仿宋_GBK" w:cs="Times New Roman"/>
          <w:snapToGrid w:val="0"/>
          <w:color w:val="auto"/>
          <w:kern w:val="0"/>
          <w:sz w:val="28"/>
          <w:szCs w:val="28"/>
        </w:rPr>
        <w:t>产生的恶劣影响承担责任。</w:t>
      </w:r>
    </w:p>
    <w:p w14:paraId="6260CBDF">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5.3.甲乙双方在服务期内的每季度最后一个月末召开例会，结合该季度工作实际，对安全基线范</w:t>
      </w:r>
      <w:r>
        <w:rPr>
          <w:rFonts w:hint="default" w:ascii="Times New Roman" w:hAnsi="Times New Roman" w:eastAsia="方正仿宋_GBK" w:cs="Times New Roman"/>
          <w:snapToGrid w:val="0"/>
          <w:color w:val="auto"/>
          <w:kern w:val="0"/>
          <w:sz w:val="28"/>
          <w:szCs w:val="28"/>
        </w:rPr>
        <w:t>围进行研判，明确是否进行修改。</w:t>
      </w:r>
    </w:p>
    <w:p w14:paraId="5C50C5F6">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5.4.甲方根据乙方在工作期间的交付物，每季度对乙方提供的服务、服务目标达成情况及各类交付物进行评分考核，考核采用100分制，90分以上为合格</w:t>
      </w:r>
      <w:r>
        <w:rPr>
          <w:rFonts w:hint="default" w:ascii="Times New Roman" w:hAnsi="Times New Roman" w:eastAsia="方正仿宋_GBK" w:cs="Times New Roman"/>
          <w:snapToGrid w:val="0"/>
          <w:color w:val="auto"/>
          <w:spacing w:val="0"/>
          <w:kern w:val="0"/>
          <w:sz w:val="28"/>
          <w:szCs w:val="28"/>
          <w:lang w:eastAsia="zh-CN"/>
        </w:rPr>
        <w:t>，</w:t>
      </w:r>
      <w:r>
        <w:rPr>
          <w:rFonts w:hint="default" w:ascii="Times New Roman" w:hAnsi="Times New Roman" w:eastAsia="方正仿宋_GBK" w:cs="Times New Roman"/>
          <w:snapToGrid w:val="0"/>
          <w:color w:val="auto"/>
          <w:spacing w:val="0"/>
          <w:kern w:val="0"/>
          <w:sz w:val="28"/>
          <w:szCs w:val="28"/>
        </w:rPr>
        <w:t>80分至89分为基本合格，80分以下为不合格，其中考评分在90分以下的，需要在下季度工作的第一个月内进行整改，甲方根据乙方的整改情况进行评分，权重分为10分，季度考评分+权重分为乙方该季度最终考评分。</w:t>
      </w:r>
      <w:r>
        <w:rPr>
          <w:rFonts w:hint="eastAsia" w:ascii="Times New Roman" w:hAnsi="Times New Roman" w:eastAsia="方正仿宋_GBK" w:cs="Times New Roman"/>
          <w:snapToGrid w:val="0"/>
          <w:color w:val="auto"/>
          <w:spacing w:val="0"/>
          <w:kern w:val="0"/>
          <w:sz w:val="28"/>
          <w:szCs w:val="28"/>
          <w:lang w:eastAsia="zh-CN"/>
        </w:rPr>
        <w:t>（见附件</w:t>
      </w:r>
      <w:r>
        <w:rPr>
          <w:rFonts w:hint="eastAsia" w:ascii="Times New Roman" w:hAnsi="Times New Roman" w:eastAsia="方正仿宋_GBK" w:cs="Times New Roman"/>
          <w:snapToGrid w:val="0"/>
          <w:color w:val="auto"/>
          <w:spacing w:val="0"/>
          <w:kern w:val="0"/>
          <w:sz w:val="28"/>
          <w:szCs w:val="28"/>
          <w:lang w:val="en-US" w:eastAsia="zh-CN"/>
        </w:rPr>
        <w:t>2）</w:t>
      </w:r>
    </w:p>
    <w:p w14:paraId="4586851A">
      <w:pPr>
        <w:pageBreakBefore w:val="0"/>
        <w:widowControl/>
        <w:kinsoku/>
        <w:wordWrap/>
        <w:overflowPunct w:val="0"/>
        <w:topLinePunct/>
        <w:autoSpaceDE/>
        <w:autoSpaceDN/>
        <w:bidi w:val="0"/>
        <w:adjustRightInd w:val="0"/>
        <w:snapToGrid w:val="0"/>
        <w:spacing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5.5.在本年度服务结束前一个月内，由甲方召开网络安全运维总结会，运维人员针对本年度的工作内容进行汇报，甲方根据汇报结果和工作实际进行年度考评打分，年度考评分为100分。季度最终考评分的平均分与年度考评分按4:6比例计算乙方最终服务得分，其中90分以上(包括90分)为合格；80分以下为不合格，得分情况将作为续签依据。</w:t>
      </w:r>
    </w:p>
    <w:p w14:paraId="2FE7AF56">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5.6.服务期结束后，本合同所约定服务的服务期限为合同签订后12个月，本项目合同一年一签订</w:t>
      </w:r>
      <w:r>
        <w:rPr>
          <w:rFonts w:hint="default" w:ascii="Times New Roman" w:hAnsi="Times New Roman" w:eastAsia="方正仿宋_GBK" w:cs="Times New Roman"/>
          <w:snapToGrid w:val="0"/>
          <w:color w:val="auto"/>
          <w:spacing w:val="0"/>
          <w:kern w:val="0"/>
          <w:sz w:val="28"/>
          <w:szCs w:val="28"/>
          <w:lang w:eastAsia="zh-CN"/>
        </w:rPr>
        <w:t>。</w:t>
      </w:r>
    </w:p>
    <w:p w14:paraId="5801B137">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6.违约责任</w:t>
      </w:r>
    </w:p>
    <w:p w14:paraId="1103301E">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6.1.甲方的违约责任</w:t>
      </w:r>
    </w:p>
    <w:p w14:paraId="27060353">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highlight w:val="none"/>
        </w:rPr>
        <w:t>乙方开具合规发票后，甲方未按合同约定向乙方支付合同价款的，经乙方催告后在合理期间内仍未支付的，甲方未支付价款按合同签订时一年期贷款市场报价利率向乙方支付逾期利息；</w:t>
      </w:r>
    </w:p>
    <w:p w14:paraId="4607C659">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6.2.乙方的违约责任</w:t>
      </w:r>
    </w:p>
    <w:p w14:paraId="361CB38E">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1）</w:t>
      </w:r>
      <w:r>
        <w:rPr>
          <w:rFonts w:hint="default" w:ascii="Times New Roman" w:hAnsi="Times New Roman" w:eastAsia="方正仿宋_GBK" w:cs="Times New Roman"/>
          <w:snapToGrid w:val="0"/>
          <w:color w:val="auto"/>
          <w:spacing w:val="0"/>
          <w:kern w:val="0"/>
          <w:sz w:val="28"/>
          <w:szCs w:val="28"/>
        </w:rPr>
        <w:t>在双方确定的交通运输厅本级网络安全基线范围内，若因运维人员责任问题</w:t>
      </w:r>
      <w:r>
        <w:rPr>
          <w:rFonts w:hint="default" w:ascii="Times New Roman" w:hAnsi="Times New Roman" w:eastAsia="方正仿宋_GBK" w:cs="Times New Roman"/>
          <w:snapToGrid w:val="0"/>
          <w:color w:val="auto"/>
          <w:spacing w:val="0"/>
          <w:kern w:val="0"/>
          <w:sz w:val="28"/>
          <w:szCs w:val="28"/>
          <w:lang w:eastAsia="zh-CN"/>
        </w:rPr>
        <w:t>，</w:t>
      </w:r>
      <w:r>
        <w:rPr>
          <w:rFonts w:hint="default" w:ascii="Times New Roman" w:hAnsi="Times New Roman" w:eastAsia="方正仿宋_GBK" w:cs="Times New Roman"/>
          <w:snapToGrid w:val="0"/>
          <w:color w:val="auto"/>
          <w:spacing w:val="0"/>
          <w:kern w:val="0"/>
          <w:sz w:val="28"/>
          <w:szCs w:val="28"/>
        </w:rPr>
        <w:t>在厅本级发生重大安全事故后造成严重影响，导致交通运输厅被中央网信办、自治区网信办、公安等网络安全管理部门通报或约谈的，甲方扣除本合同总金额10%的金额，并追究相关责任；</w:t>
      </w:r>
    </w:p>
    <w:p w14:paraId="52870A27">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spacing w:val="0"/>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2）</w:t>
      </w:r>
      <w:r>
        <w:rPr>
          <w:rFonts w:hint="default" w:ascii="Times New Roman" w:hAnsi="Times New Roman" w:eastAsia="方正仿宋_GBK" w:cs="Times New Roman"/>
          <w:snapToGrid w:val="0"/>
          <w:color w:val="auto"/>
          <w:spacing w:val="0"/>
          <w:kern w:val="0"/>
          <w:sz w:val="28"/>
          <w:szCs w:val="28"/>
        </w:rPr>
        <w:t>在双方确定的交通运输厅本级网络安全基线范围内，若因</w:t>
      </w:r>
      <w:r>
        <w:rPr>
          <w:rFonts w:hint="default" w:ascii="Times New Roman" w:hAnsi="Times New Roman" w:eastAsia="方正仿宋_GBK" w:cs="Times New Roman"/>
          <w:snapToGrid w:val="0"/>
          <w:color w:val="auto"/>
          <w:kern w:val="0"/>
          <w:sz w:val="28"/>
          <w:szCs w:val="28"/>
        </w:rPr>
        <w:t>运</w:t>
      </w:r>
      <w:r>
        <w:rPr>
          <w:rFonts w:hint="default" w:ascii="Times New Roman" w:hAnsi="Times New Roman" w:eastAsia="方正仿宋_GBK" w:cs="Times New Roman"/>
          <w:snapToGrid w:val="0"/>
          <w:color w:val="auto"/>
          <w:spacing w:val="0"/>
          <w:kern w:val="0"/>
          <w:sz w:val="28"/>
          <w:szCs w:val="28"/>
        </w:rPr>
        <w:t>维人员责任问题，在厅本级发生一般网络安全事件导致交通运输厅被自治区网信、公安或相关网络安全管理部门通报的扣</w:t>
      </w:r>
      <w:r>
        <w:rPr>
          <w:rFonts w:hint="eastAsia" w:ascii="Times New Roman" w:hAnsi="Times New Roman" w:eastAsia="方正仿宋_GBK" w:cs="Times New Roman"/>
          <w:snapToGrid w:val="0"/>
          <w:color w:val="auto"/>
          <w:spacing w:val="0"/>
          <w:kern w:val="0"/>
          <w:sz w:val="28"/>
          <w:szCs w:val="28"/>
          <w:lang w:val="en-US" w:eastAsia="zh-CN"/>
        </w:rPr>
        <w:t>20</w:t>
      </w:r>
      <w:r>
        <w:rPr>
          <w:rFonts w:hint="default" w:ascii="Times New Roman" w:hAnsi="Times New Roman" w:eastAsia="方正仿宋_GBK" w:cs="Times New Roman"/>
          <w:snapToGrid w:val="0"/>
          <w:color w:val="auto"/>
          <w:spacing w:val="0"/>
          <w:kern w:val="0"/>
          <w:sz w:val="28"/>
          <w:szCs w:val="28"/>
        </w:rPr>
        <w:t>00元，甲方所管理的业务系统中存在高危网络安全隐患被通报，扣1</w:t>
      </w:r>
      <w:r>
        <w:rPr>
          <w:rFonts w:hint="eastAsia" w:ascii="Times New Roman" w:hAnsi="Times New Roman" w:eastAsia="方正仿宋_GBK" w:cs="Times New Roman"/>
          <w:snapToGrid w:val="0"/>
          <w:color w:val="auto"/>
          <w:spacing w:val="0"/>
          <w:kern w:val="0"/>
          <w:sz w:val="28"/>
          <w:szCs w:val="28"/>
          <w:lang w:val="en-US" w:eastAsia="zh-CN"/>
        </w:rPr>
        <w:t>5</w:t>
      </w:r>
      <w:r>
        <w:rPr>
          <w:rFonts w:hint="default" w:ascii="Times New Roman" w:hAnsi="Times New Roman" w:eastAsia="方正仿宋_GBK" w:cs="Times New Roman"/>
          <w:snapToGrid w:val="0"/>
          <w:color w:val="auto"/>
          <w:spacing w:val="0"/>
          <w:kern w:val="0"/>
          <w:sz w:val="28"/>
          <w:szCs w:val="28"/>
        </w:rPr>
        <w:t>00元。</w:t>
      </w:r>
    </w:p>
    <w:p w14:paraId="324B1955">
      <w:pPr>
        <w:pageBreakBefore w:val="0"/>
        <w:widowControl/>
        <w:kinsoku/>
        <w:wordWrap/>
        <w:overflowPunct w:val="0"/>
        <w:topLinePunct/>
        <w:autoSpaceDE/>
        <w:autoSpaceDN/>
        <w:bidi w:val="0"/>
        <w:adjustRightInd w:val="0"/>
        <w:snapToGrid w:val="0"/>
        <w:spacing w:beforeLines="0" w:afterLines="0" w:line="560" w:lineRule="exact"/>
        <w:ind w:firstLine="560" w:firstLineChars="200"/>
        <w:jc w:val="left"/>
        <w:textAlignment w:val="auto"/>
        <w:rPr>
          <w:rFonts w:hint="default" w:ascii="Times New Roman" w:hAnsi="Times New Roman" w:eastAsia="方正仿宋_GBK" w:cs="Times New Roman"/>
          <w:snapToGrid w:val="0"/>
          <w:color w:val="auto"/>
          <w:spacing w:val="0"/>
          <w:kern w:val="0"/>
          <w:sz w:val="28"/>
          <w:szCs w:val="28"/>
        </w:rPr>
      </w:pPr>
      <w:bookmarkStart w:id="81" w:name="OLE_LINK1"/>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3）</w:t>
      </w:r>
      <w:r>
        <w:rPr>
          <w:rFonts w:hint="default" w:ascii="Times New Roman" w:hAnsi="Times New Roman" w:eastAsia="方正仿宋_GBK" w:cs="Times New Roman"/>
          <w:snapToGrid w:val="0"/>
          <w:color w:val="auto"/>
          <w:spacing w:val="0"/>
          <w:kern w:val="0"/>
          <w:sz w:val="28"/>
          <w:szCs w:val="28"/>
        </w:rPr>
        <w:t>甲方对乙方提供的服务季度评分不合格的，每出现一次，乙方向甲方支付合同额5%的违约金，出现二次</w:t>
      </w:r>
      <w:r>
        <w:rPr>
          <w:rFonts w:hint="default" w:ascii="Times New Roman" w:hAnsi="Times New Roman" w:eastAsia="方正仿宋_GBK" w:cs="Times New Roman"/>
          <w:snapToGrid w:val="0"/>
          <w:color w:val="auto"/>
          <w:spacing w:val="0"/>
          <w:kern w:val="0"/>
          <w:sz w:val="28"/>
          <w:szCs w:val="28"/>
          <w:lang w:eastAsia="zh-CN"/>
        </w:rPr>
        <w:t>（</w:t>
      </w:r>
      <w:r>
        <w:rPr>
          <w:rFonts w:hint="default" w:ascii="Times New Roman" w:hAnsi="Times New Roman" w:eastAsia="方正仿宋_GBK" w:cs="Times New Roman"/>
          <w:snapToGrid w:val="0"/>
          <w:color w:val="auto"/>
          <w:spacing w:val="0"/>
          <w:kern w:val="0"/>
          <w:sz w:val="28"/>
          <w:szCs w:val="28"/>
          <w:lang w:val="en-US" w:eastAsia="zh-CN"/>
        </w:rPr>
        <w:t>不含二次</w:t>
      </w:r>
      <w:r>
        <w:rPr>
          <w:rFonts w:hint="default" w:ascii="Times New Roman" w:hAnsi="Times New Roman" w:eastAsia="方正仿宋_GBK" w:cs="Times New Roman"/>
          <w:snapToGrid w:val="0"/>
          <w:color w:val="auto"/>
          <w:spacing w:val="0"/>
          <w:kern w:val="0"/>
          <w:sz w:val="28"/>
          <w:szCs w:val="28"/>
          <w:lang w:eastAsia="zh-CN"/>
        </w:rPr>
        <w:t>）</w:t>
      </w:r>
      <w:r>
        <w:rPr>
          <w:rFonts w:hint="default" w:ascii="Times New Roman" w:hAnsi="Times New Roman" w:eastAsia="方正仿宋_GBK" w:cs="Times New Roman"/>
          <w:snapToGrid w:val="0"/>
          <w:color w:val="auto"/>
          <w:spacing w:val="0"/>
          <w:kern w:val="0"/>
          <w:sz w:val="28"/>
          <w:szCs w:val="28"/>
        </w:rPr>
        <w:t>以上的，甲方有权解除合同</w:t>
      </w:r>
      <w:r>
        <w:rPr>
          <w:rFonts w:hint="eastAsia" w:eastAsia="方正仿宋_GBK" w:cs="Times New Roman"/>
          <w:snapToGrid w:val="0"/>
          <w:color w:val="auto"/>
          <w:spacing w:val="0"/>
          <w:kern w:val="0"/>
          <w:sz w:val="28"/>
          <w:szCs w:val="28"/>
          <w:lang w:val="en-US" w:eastAsia="zh-CN"/>
        </w:rPr>
        <w:t>并要求乙方支付合同总额30%的违约金</w:t>
      </w:r>
      <w:r>
        <w:rPr>
          <w:rFonts w:hint="default" w:ascii="Times New Roman" w:hAnsi="Times New Roman" w:eastAsia="方正仿宋_GBK" w:cs="Times New Roman"/>
          <w:snapToGrid w:val="0"/>
          <w:color w:val="auto"/>
          <w:spacing w:val="0"/>
          <w:kern w:val="0"/>
          <w:sz w:val="28"/>
          <w:szCs w:val="28"/>
        </w:rPr>
        <w:t>。</w:t>
      </w:r>
    </w:p>
    <w:bookmarkEnd w:id="81"/>
    <w:p w14:paraId="467AD1EB">
      <w:pPr>
        <w:pageBreakBefore w:val="0"/>
        <w:widowControl/>
        <w:kinsoku/>
        <w:wordWrap/>
        <w:overflowPunct w:val="0"/>
        <w:topLinePunct/>
        <w:autoSpaceDE/>
        <w:autoSpaceDN/>
        <w:bidi w:val="0"/>
        <w:adjustRightInd w:val="0"/>
        <w:snapToGrid w:val="0"/>
        <w:spacing w:beforeLines="0" w:afterLines="0" w:line="560" w:lineRule="exact"/>
        <w:ind w:firstLine="560" w:firstLineChars="200"/>
        <w:jc w:val="left"/>
        <w:textAlignment w:val="auto"/>
        <w:rPr>
          <w:rFonts w:hint="default" w:ascii="Times New Roman" w:hAnsi="Times New Roman" w:eastAsia="方正仿宋_GBK" w:cs="Times New Roman"/>
          <w:snapToGrid w:val="0"/>
          <w:color w:val="auto"/>
          <w:spacing w:val="0"/>
          <w:kern w:val="0"/>
          <w:sz w:val="28"/>
          <w:szCs w:val="28"/>
          <w:highlight w:val="none"/>
        </w:rPr>
      </w:pPr>
      <w:r>
        <w:rPr>
          <w:rFonts w:hint="eastAsia" w:ascii="Times New Roman" w:hAnsi="Times New Roman" w:eastAsia="方正仿宋_GBK" w:cs="Times New Roman"/>
          <w:snapToGrid w:val="0"/>
          <w:color w:val="auto"/>
          <w:spacing w:val="0"/>
          <w:kern w:val="0"/>
          <w:sz w:val="28"/>
          <w:szCs w:val="28"/>
          <w:highlight w:val="none"/>
          <w:lang w:eastAsia="zh-CN"/>
        </w:rPr>
        <w:t>（</w:t>
      </w:r>
      <w:r>
        <w:rPr>
          <w:rFonts w:hint="eastAsia" w:ascii="Times New Roman" w:hAnsi="Times New Roman" w:eastAsia="方正仿宋_GBK" w:cs="Times New Roman"/>
          <w:snapToGrid w:val="0"/>
          <w:color w:val="auto"/>
          <w:spacing w:val="0"/>
          <w:kern w:val="0"/>
          <w:sz w:val="28"/>
          <w:szCs w:val="28"/>
          <w:highlight w:val="none"/>
          <w:lang w:val="en-US" w:eastAsia="zh-CN"/>
        </w:rPr>
        <w:t>4）因乙方原因导致所在办公环境被批评通报的</w:t>
      </w:r>
      <w:r>
        <w:rPr>
          <w:rFonts w:hint="default" w:ascii="Times New Roman" w:hAnsi="Times New Roman" w:eastAsia="方正仿宋_GBK" w:cs="Times New Roman"/>
          <w:snapToGrid w:val="0"/>
          <w:color w:val="auto"/>
          <w:spacing w:val="0"/>
          <w:kern w:val="0"/>
          <w:sz w:val="28"/>
          <w:szCs w:val="28"/>
          <w:highlight w:val="none"/>
        </w:rPr>
        <w:t>，每出现一次，</w:t>
      </w:r>
      <w:r>
        <w:rPr>
          <w:rFonts w:hint="eastAsia" w:ascii="Times New Roman" w:hAnsi="Times New Roman" w:eastAsia="方正仿宋_GBK" w:cs="Times New Roman"/>
          <w:snapToGrid w:val="0"/>
          <w:color w:val="auto"/>
          <w:spacing w:val="0"/>
          <w:kern w:val="0"/>
          <w:sz w:val="28"/>
          <w:szCs w:val="28"/>
          <w:highlight w:val="none"/>
          <w:lang w:val="en-US" w:eastAsia="zh-CN"/>
        </w:rPr>
        <w:t>扣3000元</w:t>
      </w:r>
      <w:r>
        <w:rPr>
          <w:rFonts w:hint="default" w:ascii="Times New Roman" w:hAnsi="Times New Roman" w:eastAsia="方正仿宋_GBK" w:cs="Times New Roman"/>
          <w:snapToGrid w:val="0"/>
          <w:color w:val="auto"/>
          <w:spacing w:val="0"/>
          <w:kern w:val="0"/>
          <w:sz w:val="28"/>
          <w:szCs w:val="28"/>
          <w:highlight w:val="none"/>
        </w:rPr>
        <w:t>。</w:t>
      </w:r>
    </w:p>
    <w:p w14:paraId="74E5D6AE">
      <w:pPr>
        <w:pageBreakBefore w:val="0"/>
        <w:widowControl/>
        <w:kinsoku/>
        <w:wordWrap/>
        <w:overflowPunct w:val="0"/>
        <w:topLinePunct/>
        <w:autoSpaceDE/>
        <w:autoSpaceDN/>
        <w:bidi w:val="0"/>
        <w:adjustRightInd w:val="0"/>
        <w:snapToGrid w:val="0"/>
        <w:spacing w:beforeLines="0" w:afterLines="0" w:line="560" w:lineRule="exact"/>
        <w:ind w:firstLine="560" w:firstLineChars="200"/>
        <w:jc w:val="left"/>
        <w:textAlignment w:val="auto"/>
        <w:rPr>
          <w:rFonts w:hint="default" w:eastAsia="方正仿宋_GBK" w:cs="Times New Roman"/>
          <w:snapToGrid w:val="0"/>
          <w:color w:val="auto"/>
          <w:spacing w:val="0"/>
          <w:kern w:val="0"/>
          <w:sz w:val="28"/>
          <w:szCs w:val="28"/>
          <w:highlight w:val="none"/>
          <w:lang w:val="en-US" w:eastAsia="zh-CN"/>
        </w:rPr>
      </w:pPr>
      <w:r>
        <w:rPr>
          <w:rFonts w:hint="eastAsia" w:eastAsia="方正仿宋_GBK" w:cs="Times New Roman"/>
          <w:snapToGrid w:val="0"/>
          <w:color w:val="auto"/>
          <w:spacing w:val="0"/>
          <w:kern w:val="0"/>
          <w:sz w:val="28"/>
          <w:szCs w:val="28"/>
          <w:highlight w:val="none"/>
          <w:lang w:eastAsia="zh-CN"/>
        </w:rPr>
        <w:t>（</w:t>
      </w:r>
      <w:r>
        <w:rPr>
          <w:rFonts w:hint="eastAsia" w:eastAsia="方正仿宋_GBK" w:cs="Times New Roman"/>
          <w:snapToGrid w:val="0"/>
          <w:color w:val="auto"/>
          <w:spacing w:val="0"/>
          <w:kern w:val="0"/>
          <w:sz w:val="28"/>
          <w:szCs w:val="28"/>
          <w:highlight w:val="none"/>
          <w:lang w:val="en-US" w:eastAsia="zh-CN"/>
        </w:rPr>
        <w:t>5</w:t>
      </w:r>
      <w:r>
        <w:rPr>
          <w:rFonts w:hint="eastAsia" w:eastAsia="方正仿宋_GBK" w:cs="Times New Roman"/>
          <w:snapToGrid w:val="0"/>
          <w:color w:val="auto"/>
          <w:spacing w:val="0"/>
          <w:kern w:val="0"/>
          <w:sz w:val="28"/>
          <w:szCs w:val="28"/>
          <w:highlight w:val="none"/>
          <w:lang w:eastAsia="zh-CN"/>
        </w:rPr>
        <w:t>）</w:t>
      </w:r>
      <w:r>
        <w:rPr>
          <w:rFonts w:hint="eastAsia" w:eastAsia="方正仿宋_GBK" w:cs="Times New Roman"/>
          <w:snapToGrid w:val="0"/>
          <w:color w:val="auto"/>
          <w:spacing w:val="0"/>
          <w:kern w:val="0"/>
          <w:sz w:val="28"/>
          <w:szCs w:val="28"/>
          <w:highlight w:val="none"/>
          <w:lang w:val="en-US" w:eastAsia="zh-CN"/>
        </w:rPr>
        <w:t>未经甲方书面同意，乙方不得将本项目转包、分包至第三方，否则</w:t>
      </w:r>
      <w:r>
        <w:rPr>
          <w:rFonts w:hint="default" w:ascii="Times New Roman" w:hAnsi="Times New Roman" w:eastAsia="方正仿宋_GBK" w:cs="Times New Roman"/>
          <w:snapToGrid w:val="0"/>
          <w:color w:val="auto"/>
          <w:spacing w:val="0"/>
          <w:kern w:val="0"/>
          <w:sz w:val="28"/>
          <w:szCs w:val="28"/>
        </w:rPr>
        <w:t>甲方有权解除合同</w:t>
      </w:r>
      <w:r>
        <w:rPr>
          <w:rFonts w:hint="eastAsia" w:eastAsia="方正仿宋_GBK" w:cs="Times New Roman"/>
          <w:snapToGrid w:val="0"/>
          <w:color w:val="auto"/>
          <w:spacing w:val="0"/>
          <w:kern w:val="0"/>
          <w:sz w:val="28"/>
          <w:szCs w:val="28"/>
          <w:lang w:val="en-US" w:eastAsia="zh-CN"/>
        </w:rPr>
        <w:t>并要求乙方支付合同总额30%的违约金</w:t>
      </w:r>
      <w:r>
        <w:rPr>
          <w:rFonts w:hint="eastAsia" w:eastAsia="方正仿宋_GBK" w:cs="Times New Roman"/>
          <w:snapToGrid w:val="0"/>
          <w:color w:val="auto"/>
          <w:spacing w:val="0"/>
          <w:kern w:val="0"/>
          <w:sz w:val="28"/>
          <w:szCs w:val="28"/>
          <w:highlight w:val="none"/>
          <w:lang w:val="en-US" w:eastAsia="zh-CN"/>
        </w:rPr>
        <w:t>。</w:t>
      </w:r>
    </w:p>
    <w:p w14:paraId="073A126E">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spacing w:val="0"/>
          <w:kern w:val="0"/>
          <w:sz w:val="28"/>
          <w:szCs w:val="28"/>
        </w:rPr>
      </w:pPr>
      <w:r>
        <w:rPr>
          <w:rFonts w:hint="eastAsia" w:ascii="方正黑体_GBK" w:hAnsi="方正黑体_GBK" w:eastAsia="方正黑体_GBK" w:cs="方正黑体_GBK"/>
          <w:snapToGrid w:val="0"/>
          <w:color w:val="auto"/>
          <w:spacing w:val="0"/>
          <w:kern w:val="0"/>
          <w:sz w:val="28"/>
          <w:szCs w:val="28"/>
        </w:rPr>
        <w:t>7.保密条款</w:t>
      </w:r>
    </w:p>
    <w:p w14:paraId="031DC487">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7.1.双方都有责任保守所知晓的对方的商业秘密，不得向第三方泄露，商业秘密的范围包括但不限于技术情报、数据资料及其他商业秘</w:t>
      </w:r>
      <w:r>
        <w:rPr>
          <w:rFonts w:hint="default" w:ascii="Times New Roman" w:hAnsi="Times New Roman" w:eastAsia="方正仿宋_GBK" w:cs="Times New Roman"/>
          <w:snapToGrid w:val="0"/>
          <w:color w:val="auto"/>
          <w:kern w:val="0"/>
          <w:sz w:val="28"/>
          <w:szCs w:val="28"/>
        </w:rPr>
        <w:t>密。</w:t>
      </w:r>
    </w:p>
    <w:p w14:paraId="225EF960">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7.2.双方在未征得对方同意的情况下，不得向第三方工作中接触到的需要保密的资料及数据等。</w:t>
      </w:r>
    </w:p>
    <w:p w14:paraId="0DDCC325">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7.3.任何一方未征得对方的书面同意。不得为其它任何目的而泄露、使用或允许他人使用在从对方获得的信息(信息包括所有的报告、摘录、纪要、文件、计划、报</w:t>
      </w:r>
      <w:r>
        <w:rPr>
          <w:rFonts w:hint="default" w:ascii="Times New Roman" w:hAnsi="Times New Roman" w:eastAsia="方正仿宋_GBK" w:cs="Times New Roman"/>
          <w:snapToGrid w:val="0"/>
          <w:color w:val="auto"/>
          <w:kern w:val="0"/>
          <w:sz w:val="28"/>
          <w:szCs w:val="28"/>
        </w:rPr>
        <w:t>表、复印件以及对方的业务数据等)。</w:t>
      </w:r>
    </w:p>
    <w:p w14:paraId="43790B94">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7.4.双方应对参加项目工作人</w:t>
      </w:r>
      <w:r>
        <w:rPr>
          <w:rFonts w:hint="default" w:ascii="Times New Roman" w:hAnsi="Times New Roman" w:eastAsia="方正仿宋_GBK" w:cs="Times New Roman"/>
          <w:snapToGrid w:val="0"/>
          <w:color w:val="auto"/>
          <w:kern w:val="0"/>
          <w:sz w:val="28"/>
          <w:szCs w:val="28"/>
        </w:rPr>
        <w:t>员严格要求，遵守保密协议。</w:t>
      </w:r>
    </w:p>
    <w:p w14:paraId="78490A92">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lang w:val="en-US"/>
        </w:rPr>
      </w:pPr>
      <w:r>
        <w:rPr>
          <w:rFonts w:hint="default" w:ascii="Times New Roman" w:hAnsi="Times New Roman" w:eastAsia="方正仿宋_GBK" w:cs="Times New Roman"/>
          <w:snapToGrid w:val="0"/>
          <w:color w:val="auto"/>
          <w:spacing w:val="0"/>
          <w:kern w:val="0"/>
          <w:sz w:val="28"/>
          <w:szCs w:val="28"/>
        </w:rPr>
        <w:t>7.5.任何一方违反此协议或本条款下的保密义务，给对方造成损失，须承担赔偿责任，违约方应赔偿守约方应因违约方的违约行为而</w:t>
      </w:r>
      <w:r>
        <w:rPr>
          <w:rFonts w:hint="default" w:ascii="Times New Roman" w:hAnsi="Times New Roman" w:eastAsia="方正仿宋_GBK" w:cs="Times New Roman"/>
          <w:snapToGrid w:val="0"/>
          <w:color w:val="auto"/>
          <w:kern w:val="0"/>
          <w:sz w:val="28"/>
          <w:szCs w:val="28"/>
        </w:rPr>
        <w:t>受</w:t>
      </w:r>
      <w:r>
        <w:rPr>
          <w:rFonts w:hint="default" w:ascii="Times New Roman" w:hAnsi="Times New Roman" w:eastAsia="方正仿宋_GBK" w:cs="Times New Roman"/>
          <w:snapToGrid w:val="0"/>
          <w:color w:val="auto"/>
          <w:spacing w:val="0"/>
          <w:kern w:val="0"/>
          <w:sz w:val="28"/>
          <w:szCs w:val="28"/>
        </w:rPr>
        <w:t>到的实际损失</w:t>
      </w:r>
      <w:r>
        <w:rPr>
          <w:rFonts w:hint="eastAsia" w:eastAsia="方正仿宋_GBK" w:cs="Times New Roman"/>
          <w:snapToGrid w:val="0"/>
          <w:color w:val="auto"/>
          <w:spacing w:val="0"/>
          <w:kern w:val="0"/>
          <w:sz w:val="28"/>
          <w:szCs w:val="28"/>
          <w:lang w:val="en-US" w:eastAsia="zh-CN"/>
        </w:rPr>
        <w:t>以及守约方为主张权利所支出的诉讼费、保全费、保全担保费、律师费、公证费、鉴定费等费用</w:t>
      </w:r>
      <w:r>
        <w:rPr>
          <w:rFonts w:hint="default" w:ascii="Times New Roman" w:hAnsi="Times New Roman" w:eastAsia="方正仿宋_GBK" w:cs="Times New Roman"/>
          <w:snapToGrid w:val="0"/>
          <w:color w:val="auto"/>
          <w:spacing w:val="0"/>
          <w:kern w:val="0"/>
          <w:sz w:val="28"/>
          <w:szCs w:val="28"/>
          <w:lang w:val="en-US"/>
        </w:rPr>
        <w:t>，赔偿额不超过合同总金额的30%。</w:t>
      </w:r>
    </w:p>
    <w:p w14:paraId="2E514D4F">
      <w:pPr>
        <w:pageBreakBefore w:val="0"/>
        <w:widowControl/>
        <w:kinsoku/>
        <w:wordWrap/>
        <w:overflowPunct w:val="0"/>
        <w:topLinePunct/>
        <w:autoSpaceDE/>
        <w:autoSpaceDN/>
        <w:bidi w:val="0"/>
        <w:adjustRightInd w:val="0"/>
        <w:snapToGrid w:val="0"/>
        <w:spacing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lang w:val="en-US"/>
        </w:rPr>
        <w:t>7</w:t>
      </w:r>
      <w:r>
        <w:rPr>
          <w:rFonts w:hint="default" w:ascii="Times New Roman" w:hAnsi="Times New Roman" w:eastAsia="方正仿宋_GBK" w:cs="Times New Roman"/>
          <w:snapToGrid w:val="0"/>
          <w:color w:val="auto"/>
          <w:spacing w:val="0"/>
          <w:kern w:val="0"/>
          <w:sz w:val="28"/>
          <w:szCs w:val="28"/>
        </w:rPr>
        <w:t>.6.本条款不因合同变更、修改</w:t>
      </w:r>
      <w:r>
        <w:rPr>
          <w:rFonts w:hint="default" w:ascii="Times New Roman" w:hAnsi="Times New Roman" w:eastAsia="方正仿宋_GBK" w:cs="Times New Roman"/>
          <w:snapToGrid w:val="0"/>
          <w:color w:val="auto"/>
          <w:kern w:val="0"/>
          <w:sz w:val="28"/>
          <w:szCs w:val="28"/>
        </w:rPr>
        <w:t>、解除或终止而失效。</w:t>
      </w:r>
    </w:p>
    <w:p w14:paraId="74E1B2EB">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7.7.保密期限：本合同生效之日起至保密范围内的信息成为公告信息之日。</w:t>
      </w:r>
    </w:p>
    <w:p w14:paraId="53F397AA">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8.</w:t>
      </w:r>
      <w:r>
        <w:rPr>
          <w:rFonts w:hint="eastAsia" w:ascii="方正黑体_GBK" w:hAnsi="方正黑体_GBK" w:eastAsia="方正黑体_GBK" w:cs="方正黑体_GBK"/>
          <w:snapToGrid w:val="0"/>
          <w:color w:val="auto"/>
          <w:kern w:val="0"/>
          <w:sz w:val="28"/>
          <w:szCs w:val="28"/>
        </w:rPr>
        <w:t>服务报告、评审及合同续签</w:t>
      </w:r>
    </w:p>
    <w:p w14:paraId="33BA6A70">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8.1.乙方应按照合同内容就服务的提供、服务目标的达成状况提供服务报告并作为第二年续签</w:t>
      </w:r>
      <w:r>
        <w:rPr>
          <w:rFonts w:hint="default" w:ascii="Times New Roman" w:hAnsi="Times New Roman" w:eastAsia="方正仿宋_GBK" w:cs="Times New Roman"/>
          <w:snapToGrid w:val="0"/>
          <w:color w:val="auto"/>
          <w:kern w:val="0"/>
          <w:sz w:val="28"/>
          <w:szCs w:val="28"/>
        </w:rPr>
        <w:t>合同的依据</w:t>
      </w:r>
      <w:r>
        <w:rPr>
          <w:rFonts w:hint="eastAsia" w:ascii="Times New Roman" w:hAnsi="Times New Roman" w:eastAsia="方正仿宋_GBK" w:cs="Times New Roman"/>
          <w:snapToGrid w:val="0"/>
          <w:color w:val="auto"/>
          <w:kern w:val="0"/>
          <w:sz w:val="28"/>
          <w:szCs w:val="28"/>
          <w:lang w:eastAsia="zh-CN"/>
        </w:rPr>
        <w:t>。</w:t>
      </w:r>
    </w:p>
    <w:p w14:paraId="2B9AF0B9">
      <w:pPr>
        <w:pageBreakBefore w:val="0"/>
        <w:widowControl/>
        <w:kinsoku/>
        <w:wordWrap/>
        <w:overflowPunct w:val="0"/>
        <w:topLinePunct/>
        <w:autoSpaceDE/>
        <w:autoSpaceDN/>
        <w:bidi w:val="0"/>
        <w:adjustRightInd w:val="0"/>
        <w:snapToGrid w:val="0"/>
        <w:spacing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8.2.每季度甲方会同乙方对服务的提供、服务目标的达成状况进行评审，并作为第二年</w:t>
      </w:r>
      <w:r>
        <w:rPr>
          <w:rFonts w:hint="default" w:ascii="Times New Roman" w:hAnsi="Times New Roman" w:eastAsia="方正仿宋_GBK" w:cs="Times New Roman"/>
          <w:snapToGrid w:val="0"/>
          <w:color w:val="auto"/>
          <w:kern w:val="0"/>
          <w:sz w:val="28"/>
          <w:szCs w:val="28"/>
        </w:rPr>
        <w:t>续签合同的依据</w:t>
      </w:r>
      <w:r>
        <w:rPr>
          <w:rFonts w:hint="eastAsia" w:ascii="Times New Roman" w:hAnsi="Times New Roman" w:eastAsia="方正仿宋_GBK" w:cs="Times New Roman"/>
          <w:snapToGrid w:val="0"/>
          <w:color w:val="auto"/>
          <w:kern w:val="0"/>
          <w:sz w:val="28"/>
          <w:szCs w:val="28"/>
          <w:lang w:eastAsia="zh-CN"/>
        </w:rPr>
        <w:t>。</w:t>
      </w:r>
    </w:p>
    <w:p w14:paraId="1D99D337">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8.3.到服务合同截止时间1个月内根据运维服务年度评分表和目标的达成状况决定是否续</w:t>
      </w:r>
      <w:r>
        <w:rPr>
          <w:rFonts w:hint="default" w:ascii="Times New Roman" w:hAnsi="Times New Roman" w:eastAsia="方正仿宋_GBK" w:cs="Times New Roman"/>
          <w:snapToGrid w:val="0"/>
          <w:color w:val="auto"/>
          <w:kern w:val="0"/>
          <w:sz w:val="28"/>
          <w:szCs w:val="28"/>
        </w:rPr>
        <w:t>签合同</w:t>
      </w:r>
      <w:r>
        <w:rPr>
          <w:rFonts w:hint="eastAsia" w:ascii="Times New Roman" w:hAnsi="Times New Roman" w:eastAsia="方正仿宋_GBK" w:cs="Times New Roman"/>
          <w:snapToGrid w:val="0"/>
          <w:color w:val="auto"/>
          <w:kern w:val="0"/>
          <w:sz w:val="28"/>
          <w:szCs w:val="28"/>
          <w:lang w:eastAsia="zh-CN"/>
        </w:rPr>
        <w:t>。</w:t>
      </w:r>
    </w:p>
    <w:p w14:paraId="0019B22E">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spacing w:val="0"/>
          <w:kern w:val="0"/>
          <w:sz w:val="28"/>
          <w:szCs w:val="28"/>
        </w:rPr>
      </w:pPr>
      <w:r>
        <w:rPr>
          <w:rFonts w:hint="eastAsia" w:ascii="方正黑体_GBK" w:hAnsi="方正黑体_GBK" w:eastAsia="方正黑体_GBK" w:cs="方正黑体_GBK"/>
          <w:snapToGrid w:val="0"/>
          <w:color w:val="auto"/>
          <w:spacing w:val="0"/>
          <w:kern w:val="0"/>
          <w:sz w:val="28"/>
          <w:szCs w:val="28"/>
        </w:rPr>
        <w:t>9.不可抗力</w:t>
      </w:r>
    </w:p>
    <w:p w14:paraId="70538BC8">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1）</w:t>
      </w:r>
      <w:r>
        <w:rPr>
          <w:rFonts w:hint="default" w:ascii="Times New Roman" w:hAnsi="Times New Roman" w:eastAsia="方正仿宋_GBK" w:cs="Times New Roman"/>
          <w:snapToGrid w:val="0"/>
          <w:color w:val="auto"/>
          <w:spacing w:val="0"/>
          <w:kern w:val="0"/>
          <w:sz w:val="28"/>
          <w:szCs w:val="28"/>
        </w:rPr>
        <w:t>不可抗力指下列事件：战争、骚乱、罢工、瘟疫、火灾、洪水、地震、风暴、潮水或其他自然灾害，以及本合同双方不可预见或不可防止并不能避免或克服的一切</w:t>
      </w:r>
      <w:r>
        <w:rPr>
          <w:rFonts w:hint="default" w:ascii="Times New Roman" w:hAnsi="Times New Roman" w:eastAsia="方正仿宋_GBK" w:cs="Times New Roman"/>
          <w:snapToGrid w:val="0"/>
          <w:color w:val="auto"/>
          <w:kern w:val="0"/>
          <w:sz w:val="28"/>
          <w:szCs w:val="28"/>
        </w:rPr>
        <w:t>其他因素和事件。</w:t>
      </w:r>
    </w:p>
    <w:p w14:paraId="48AE23BE">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2）</w:t>
      </w:r>
      <w:r>
        <w:rPr>
          <w:rFonts w:hint="default" w:ascii="Times New Roman" w:hAnsi="Times New Roman" w:eastAsia="方正仿宋_GBK" w:cs="Times New Roman"/>
          <w:snapToGrid w:val="0"/>
          <w:color w:val="auto"/>
          <w:spacing w:val="0"/>
          <w:kern w:val="0"/>
          <w:sz w:val="28"/>
          <w:szCs w:val="28"/>
        </w:rPr>
        <w:t>任何一方因不可</w:t>
      </w:r>
      <w:r>
        <w:rPr>
          <w:rFonts w:hint="default" w:ascii="Times New Roman" w:hAnsi="Times New Roman" w:eastAsia="方正仿宋_GBK" w:cs="Times New Roman"/>
          <w:snapToGrid w:val="0"/>
          <w:color w:val="auto"/>
          <w:kern w:val="0"/>
          <w:sz w:val="28"/>
          <w:szCs w:val="28"/>
        </w:rPr>
        <w:t>抗力不能履行本合同规定的全部或部分义务，</w:t>
      </w:r>
      <w:r>
        <w:rPr>
          <w:rFonts w:hint="default" w:ascii="Times New Roman" w:hAnsi="Times New Roman" w:eastAsia="方正仿宋_GBK" w:cs="Times New Roman"/>
          <w:snapToGrid w:val="0"/>
          <w:color w:val="auto"/>
          <w:spacing w:val="0"/>
          <w:kern w:val="0"/>
          <w:sz w:val="28"/>
          <w:szCs w:val="28"/>
        </w:rPr>
        <w:t>该方应尽快通知对方，并须在不可抗力发生后3日内以书面形式向对方提供详细情况报</w:t>
      </w:r>
      <w:r>
        <w:rPr>
          <w:rFonts w:hint="default" w:ascii="Times New Roman" w:hAnsi="Times New Roman" w:eastAsia="方正仿宋_GBK" w:cs="Times New Roman"/>
          <w:snapToGrid w:val="0"/>
          <w:color w:val="auto"/>
          <w:kern w:val="0"/>
          <w:sz w:val="28"/>
          <w:szCs w:val="28"/>
        </w:rPr>
        <w:t>告及不可抗力对履行本合同的影响程度的说明。</w:t>
      </w:r>
    </w:p>
    <w:p w14:paraId="13632D03">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3）</w:t>
      </w:r>
      <w:r>
        <w:rPr>
          <w:rFonts w:hint="default" w:ascii="Times New Roman" w:hAnsi="Times New Roman" w:eastAsia="方正仿宋_GBK" w:cs="Times New Roman"/>
          <w:snapToGrid w:val="0"/>
          <w:color w:val="auto"/>
          <w:spacing w:val="0"/>
          <w:kern w:val="0"/>
          <w:sz w:val="28"/>
          <w:szCs w:val="28"/>
        </w:rPr>
        <w:t>发生不可抗力，任何一方均不对因不可抗力无法履行本合同义务而使对方蒙受的任何损失承担责任。但遭受不可抗力影响的一方有责任尽可能及时采取适</w:t>
      </w:r>
      <w:r>
        <w:rPr>
          <w:rFonts w:hint="default" w:ascii="Times New Roman" w:hAnsi="Times New Roman" w:eastAsia="方正仿宋_GBK" w:cs="Times New Roman"/>
          <w:snapToGrid w:val="0"/>
          <w:color w:val="auto"/>
          <w:kern w:val="0"/>
          <w:sz w:val="28"/>
          <w:szCs w:val="28"/>
        </w:rPr>
        <w:t>当或必要措施减少或消除不可抗力的影响。</w:t>
      </w:r>
    </w:p>
    <w:p w14:paraId="1F857146">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4）</w:t>
      </w:r>
      <w:r>
        <w:rPr>
          <w:rFonts w:hint="default" w:ascii="Times New Roman" w:hAnsi="Times New Roman" w:eastAsia="方正仿宋_GBK" w:cs="Times New Roman"/>
          <w:snapToGrid w:val="0"/>
          <w:color w:val="auto"/>
          <w:spacing w:val="0"/>
          <w:kern w:val="0"/>
          <w:sz w:val="28"/>
          <w:szCs w:val="28"/>
        </w:rPr>
        <w:t>双方应根据不可抗力对本合同履行的影响程度，协商确定是否终止本合同，或是继续履行本合同。</w:t>
      </w:r>
    </w:p>
    <w:p w14:paraId="4A9656D9">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10.适用法律</w:t>
      </w:r>
    </w:p>
    <w:p w14:paraId="61F0D72E">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1）</w:t>
      </w:r>
      <w:r>
        <w:rPr>
          <w:rFonts w:hint="default" w:ascii="Times New Roman" w:hAnsi="Times New Roman" w:eastAsia="方正仿宋_GBK" w:cs="Times New Roman"/>
          <w:snapToGrid w:val="0"/>
          <w:color w:val="auto"/>
          <w:spacing w:val="0"/>
          <w:kern w:val="0"/>
          <w:sz w:val="28"/>
          <w:szCs w:val="28"/>
        </w:rPr>
        <w:t>本合同的订立、效力、解释、履行和争议的解决，均受中国</w:t>
      </w:r>
      <w:r>
        <w:rPr>
          <w:rFonts w:hint="default" w:ascii="Times New Roman" w:hAnsi="Times New Roman" w:eastAsia="方正仿宋_GBK" w:cs="Times New Roman"/>
          <w:snapToGrid w:val="0"/>
          <w:color w:val="auto"/>
          <w:kern w:val="0"/>
          <w:sz w:val="28"/>
          <w:szCs w:val="28"/>
        </w:rPr>
        <w:t>法</w:t>
      </w:r>
      <w:r>
        <w:rPr>
          <w:rFonts w:hint="default" w:ascii="Times New Roman" w:hAnsi="Times New Roman" w:eastAsia="方正仿宋_GBK" w:cs="Times New Roman"/>
          <w:snapToGrid w:val="0"/>
          <w:color w:val="auto"/>
          <w:spacing w:val="0"/>
          <w:kern w:val="0"/>
          <w:sz w:val="28"/>
          <w:szCs w:val="28"/>
        </w:rPr>
        <w:t>律管辖。</w:t>
      </w:r>
    </w:p>
    <w:p w14:paraId="72462A3D">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2）</w:t>
      </w:r>
      <w:r>
        <w:rPr>
          <w:rFonts w:hint="default" w:ascii="Times New Roman" w:hAnsi="Times New Roman" w:eastAsia="方正仿宋_GBK" w:cs="Times New Roman"/>
          <w:snapToGrid w:val="0"/>
          <w:color w:val="auto"/>
          <w:spacing w:val="0"/>
          <w:kern w:val="0"/>
          <w:sz w:val="28"/>
          <w:szCs w:val="28"/>
        </w:rPr>
        <w:t>除非国家法律、法规有明文规定，或双方以书面确认，后继立法对本合同无追溯力。</w:t>
      </w:r>
    </w:p>
    <w:p w14:paraId="4DD83102">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eastAsia" w:ascii="Times New Roman" w:hAnsi="Times New Roman" w:eastAsia="方正仿宋_GBK" w:cs="Times New Roman"/>
          <w:snapToGrid w:val="0"/>
          <w:color w:val="auto"/>
          <w:spacing w:val="0"/>
          <w:kern w:val="0"/>
          <w:sz w:val="28"/>
          <w:szCs w:val="28"/>
          <w:lang w:eastAsia="zh-CN"/>
        </w:rPr>
        <w:t>（</w:t>
      </w:r>
      <w:r>
        <w:rPr>
          <w:rFonts w:hint="eastAsia" w:ascii="Times New Roman" w:hAnsi="Times New Roman" w:eastAsia="方正仿宋_GBK" w:cs="Times New Roman"/>
          <w:snapToGrid w:val="0"/>
          <w:color w:val="auto"/>
          <w:spacing w:val="0"/>
          <w:kern w:val="0"/>
          <w:sz w:val="28"/>
          <w:szCs w:val="28"/>
          <w:lang w:val="en-US" w:eastAsia="zh-CN"/>
        </w:rPr>
        <w:t>3）</w:t>
      </w:r>
      <w:r>
        <w:rPr>
          <w:rFonts w:hint="default" w:ascii="Times New Roman" w:hAnsi="Times New Roman" w:eastAsia="方正仿宋_GBK" w:cs="Times New Roman"/>
          <w:snapToGrid w:val="0"/>
          <w:color w:val="auto"/>
          <w:spacing w:val="0"/>
          <w:kern w:val="0"/>
          <w:sz w:val="28"/>
          <w:szCs w:val="28"/>
        </w:rPr>
        <w:t>双方可根据后继立法或法律变更，经协商一致对本合同进行修改或补充，但应采用书面形式。</w:t>
      </w:r>
    </w:p>
    <w:p w14:paraId="0A7F87E2">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11.争议的解决</w:t>
      </w:r>
    </w:p>
    <w:p w14:paraId="5B0544EA">
      <w:pPr>
        <w:pageBreakBefore w:val="0"/>
        <w:widowControl/>
        <w:kinsoku/>
        <w:wordWrap/>
        <w:overflowPunct w:val="0"/>
        <w:topLinePunct/>
        <w:autoSpaceDE/>
        <w:autoSpaceDN/>
        <w:bidi w:val="0"/>
        <w:adjustRightInd w:val="0"/>
        <w:snapToGrid w:val="0"/>
        <w:spacing w:before="0" w:beforeLines="0" w:afterLines="0" w:line="560" w:lineRule="exact"/>
        <w:ind w:right="0" w:firstLine="560" w:firstLineChars="200"/>
        <w:jc w:val="left"/>
        <w:textAlignment w:val="auto"/>
        <w:rPr>
          <w:rFonts w:hint="default" w:ascii="Times New Roman" w:hAnsi="Times New Roman" w:eastAsia="方正仿宋_GBK" w:cs="Times New Roman"/>
          <w:snapToGrid w:val="0"/>
          <w:color w:val="auto"/>
          <w:kern w:val="0"/>
          <w:sz w:val="28"/>
          <w:szCs w:val="28"/>
          <w:lang w:val="en-US"/>
        </w:rPr>
      </w:pPr>
      <w:r>
        <w:rPr>
          <w:rFonts w:hint="default" w:ascii="Times New Roman" w:hAnsi="Times New Roman" w:eastAsia="方正仿宋_GBK" w:cs="Times New Roman"/>
          <w:snapToGrid w:val="0"/>
          <w:color w:val="auto"/>
          <w:spacing w:val="0"/>
          <w:kern w:val="0"/>
          <w:sz w:val="28"/>
          <w:szCs w:val="28"/>
        </w:rPr>
        <w:t>本合同履行过程中如发生争议，甲、乙双方应协商解决，如经协商无法达成书面协议，任何一方均可向甲方所在地人民法院提起诉讼。</w:t>
      </w:r>
      <w:r>
        <w:rPr>
          <w:rFonts w:hint="eastAsia" w:eastAsia="方正仿宋_GBK" w:cs="Times New Roman"/>
          <w:snapToGrid w:val="0"/>
          <w:color w:val="auto"/>
          <w:spacing w:val="0"/>
          <w:kern w:val="0"/>
          <w:sz w:val="28"/>
          <w:szCs w:val="28"/>
          <w:lang w:val="en-US" w:eastAsia="zh-CN"/>
        </w:rPr>
        <w:t>守约方为主张权利所支出的诉讼费、保全费、保全担保费、律师费、公证费、鉴定费等费用由违约方承担。</w:t>
      </w:r>
    </w:p>
    <w:p w14:paraId="54A051AF">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12.未尽事宜</w:t>
      </w:r>
    </w:p>
    <w:p w14:paraId="2AAAF828">
      <w:pPr>
        <w:pageBreakBefore w:val="0"/>
        <w:widowControl/>
        <w:kinsoku/>
        <w:wordWrap/>
        <w:overflowPunct w:val="0"/>
        <w:topLinePunct/>
        <w:autoSpaceDE/>
        <w:autoSpaceDN/>
        <w:bidi w:val="0"/>
        <w:adjustRightInd w:val="0"/>
        <w:snapToGrid w:val="0"/>
        <w:spacing w:before="0" w:beforeLines="0" w:afterLines="0" w:line="560" w:lineRule="exact"/>
        <w:ind w:left="0" w:right="0"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本合同未尽事宜，双方经友好协商后可签订补充合同或附件，补充合同或附件与本合同具有</w:t>
      </w:r>
      <w:r>
        <w:rPr>
          <w:rFonts w:hint="default" w:ascii="Times New Roman" w:hAnsi="Times New Roman" w:eastAsia="方正仿宋_GBK" w:cs="Times New Roman"/>
          <w:snapToGrid w:val="0"/>
          <w:color w:val="auto"/>
          <w:kern w:val="0"/>
          <w:sz w:val="28"/>
          <w:szCs w:val="28"/>
        </w:rPr>
        <w:t>同等法律效力。</w:t>
      </w:r>
    </w:p>
    <w:p w14:paraId="7CD79E76">
      <w:pPr>
        <w:pageBreakBefore w:val="0"/>
        <w:widowControl/>
        <w:numPr>
          <w:ilvl w:val="-1"/>
          <w:numId w:val="0"/>
        </w:numPr>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spacing w:val="0"/>
          <w:kern w:val="0"/>
          <w:sz w:val="28"/>
          <w:szCs w:val="28"/>
        </w:rPr>
      </w:pPr>
      <w:r>
        <w:rPr>
          <w:rFonts w:hint="eastAsia" w:ascii="方正黑体_GBK" w:hAnsi="方正黑体_GBK" w:eastAsia="方正黑体_GBK" w:cs="方正黑体_GBK"/>
          <w:snapToGrid w:val="0"/>
          <w:color w:val="auto"/>
          <w:spacing w:val="0"/>
          <w:kern w:val="0"/>
          <w:sz w:val="28"/>
          <w:szCs w:val="28"/>
          <w:lang w:val="en-US" w:eastAsia="zh-CN"/>
        </w:rPr>
        <w:t>13.</w:t>
      </w:r>
      <w:r>
        <w:rPr>
          <w:rFonts w:hint="eastAsia" w:ascii="方正黑体_GBK" w:hAnsi="方正黑体_GBK" w:eastAsia="方正黑体_GBK" w:cs="方正黑体_GBK"/>
          <w:snapToGrid w:val="0"/>
          <w:color w:val="auto"/>
          <w:spacing w:val="0"/>
          <w:kern w:val="0"/>
          <w:sz w:val="28"/>
          <w:szCs w:val="28"/>
        </w:rPr>
        <w:t>合同附件</w:t>
      </w:r>
    </w:p>
    <w:p w14:paraId="64B4A83E">
      <w:pPr>
        <w:pageBreakBefore w:val="0"/>
        <w:widowControl/>
        <w:kinsoku/>
        <w:wordWrap/>
        <w:overflowPunct w:val="0"/>
        <w:topLinePunct/>
        <w:autoSpaceDE/>
        <w:autoSpaceDN/>
        <w:bidi w:val="0"/>
        <w:adjustRightInd w:val="0"/>
        <w:snapToGrid w:val="0"/>
        <w:spacing w:before="0" w:beforeLines="0" w:afterLines="0" w:line="560" w:lineRule="exact"/>
        <w:ind w:left="0" w:firstLine="560" w:firstLineChars="200"/>
        <w:jc w:val="left"/>
        <w:textAlignment w:val="auto"/>
        <w:outlineLvl w:val="9"/>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合同附件属本合同组成部</w:t>
      </w:r>
      <w:r>
        <w:rPr>
          <w:rFonts w:hint="default" w:ascii="Times New Roman" w:hAnsi="Times New Roman" w:eastAsia="方正仿宋_GBK" w:cs="Times New Roman"/>
          <w:snapToGrid w:val="0"/>
          <w:color w:val="auto"/>
          <w:kern w:val="0"/>
          <w:sz w:val="28"/>
          <w:szCs w:val="28"/>
        </w:rPr>
        <w:t>分，与本合同具有同等的法律效力。</w:t>
      </w:r>
    </w:p>
    <w:p w14:paraId="2D829057">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14.合同生效</w:t>
      </w:r>
    </w:p>
    <w:p w14:paraId="7D02C99C">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本合同自双方授权代表签字并</w:t>
      </w:r>
      <w:r>
        <w:rPr>
          <w:rFonts w:hint="default" w:ascii="Times New Roman" w:hAnsi="Times New Roman" w:eastAsia="方正仿宋_GBK" w:cs="Times New Roman"/>
          <w:snapToGrid w:val="0"/>
          <w:color w:val="auto"/>
          <w:kern w:val="0"/>
          <w:sz w:val="28"/>
          <w:szCs w:val="28"/>
        </w:rPr>
        <w:t>加盖各自公章之日起生效。</w:t>
      </w:r>
    </w:p>
    <w:p w14:paraId="1675B454">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outlineLvl w:val="9"/>
        <w:rPr>
          <w:rFonts w:hint="eastAsia" w:ascii="方正黑体_GBK" w:hAnsi="方正黑体_GBK" w:eastAsia="方正黑体_GBK" w:cs="方正黑体_GBK"/>
          <w:snapToGrid w:val="0"/>
          <w:color w:val="auto"/>
          <w:kern w:val="0"/>
          <w:sz w:val="28"/>
          <w:szCs w:val="28"/>
        </w:rPr>
      </w:pPr>
      <w:r>
        <w:rPr>
          <w:rFonts w:hint="eastAsia" w:ascii="方正黑体_GBK" w:hAnsi="方正黑体_GBK" w:eastAsia="方正黑体_GBK" w:cs="方正黑体_GBK"/>
          <w:snapToGrid w:val="0"/>
          <w:color w:val="auto"/>
          <w:spacing w:val="0"/>
          <w:kern w:val="0"/>
          <w:sz w:val="28"/>
          <w:szCs w:val="28"/>
        </w:rPr>
        <w:t>15.其他</w:t>
      </w:r>
    </w:p>
    <w:p w14:paraId="08B2CD3D">
      <w:pPr>
        <w:pageBreakBefore w:val="0"/>
        <w:widowControl/>
        <w:kinsoku/>
        <w:wordWrap/>
        <w:overflowPunct w:val="0"/>
        <w:topLinePunct/>
        <w:autoSpaceDE/>
        <w:autoSpaceDN/>
        <w:bidi w:val="0"/>
        <w:adjustRightInd w:val="0"/>
        <w:snapToGrid w:val="0"/>
        <w:spacing w:before="0" w:beforeLines="0" w:afterLines="0" w:line="560" w:lineRule="exact"/>
        <w:ind w:firstLine="560" w:firstLineChars="200"/>
        <w:jc w:val="left"/>
        <w:textAlignment w:val="auto"/>
        <w:rPr>
          <w:rFonts w:hint="default" w:ascii="Times New Roman" w:hAnsi="Times New Roman" w:eastAsia="方正仿宋_GBK" w:cs="Times New Roman"/>
          <w:snapToGrid w:val="0"/>
          <w:color w:val="auto"/>
          <w:kern w:val="0"/>
          <w:sz w:val="28"/>
          <w:szCs w:val="28"/>
        </w:rPr>
      </w:pPr>
      <w:r>
        <w:rPr>
          <w:rFonts w:hint="default" w:ascii="Times New Roman" w:hAnsi="Times New Roman" w:eastAsia="方正仿宋_GBK" w:cs="Times New Roman"/>
          <w:snapToGrid w:val="0"/>
          <w:color w:val="auto"/>
          <w:spacing w:val="0"/>
          <w:kern w:val="0"/>
          <w:sz w:val="28"/>
          <w:szCs w:val="28"/>
        </w:rPr>
        <w:t>本合同一式</w:t>
      </w:r>
      <w:r>
        <w:rPr>
          <w:rFonts w:hint="default" w:ascii="Times New Roman" w:hAnsi="Times New Roman" w:eastAsia="方正仿宋_GBK" w:cs="Times New Roman"/>
          <w:snapToGrid w:val="0"/>
          <w:color w:val="auto"/>
          <w:spacing w:val="0"/>
          <w:kern w:val="0"/>
          <w:sz w:val="28"/>
          <w:szCs w:val="28"/>
          <w:lang w:val="en-US" w:eastAsia="zh-CN"/>
        </w:rPr>
        <w:t>陆</w:t>
      </w:r>
      <w:r>
        <w:rPr>
          <w:rFonts w:hint="default" w:ascii="Times New Roman" w:hAnsi="Times New Roman" w:eastAsia="方正仿宋_GBK" w:cs="Times New Roman"/>
          <w:snapToGrid w:val="0"/>
          <w:color w:val="auto"/>
          <w:spacing w:val="0"/>
          <w:kern w:val="0"/>
          <w:sz w:val="28"/>
          <w:szCs w:val="28"/>
        </w:rPr>
        <w:t>份，甲方</w:t>
      </w:r>
      <w:r>
        <w:rPr>
          <w:rFonts w:hint="default" w:ascii="Times New Roman" w:hAnsi="Times New Roman" w:eastAsia="方正仿宋_GBK" w:cs="Times New Roman"/>
          <w:snapToGrid w:val="0"/>
          <w:color w:val="auto"/>
          <w:spacing w:val="0"/>
          <w:kern w:val="0"/>
          <w:sz w:val="28"/>
          <w:szCs w:val="28"/>
          <w:lang w:val="en-US" w:eastAsia="zh-CN"/>
        </w:rPr>
        <w:t>叁</w:t>
      </w:r>
      <w:r>
        <w:rPr>
          <w:rFonts w:hint="default" w:ascii="Times New Roman" w:hAnsi="Times New Roman" w:eastAsia="方正仿宋_GBK" w:cs="Times New Roman"/>
          <w:snapToGrid w:val="0"/>
          <w:color w:val="auto"/>
          <w:kern w:val="0"/>
          <w:sz w:val="28"/>
          <w:szCs w:val="28"/>
        </w:rPr>
        <w:t>份，乙方</w:t>
      </w:r>
      <w:r>
        <w:rPr>
          <w:rFonts w:hint="default" w:ascii="Times New Roman" w:hAnsi="Times New Roman" w:eastAsia="方正仿宋_GBK" w:cs="Times New Roman"/>
          <w:snapToGrid w:val="0"/>
          <w:color w:val="auto"/>
          <w:kern w:val="0"/>
          <w:sz w:val="28"/>
          <w:szCs w:val="28"/>
          <w:lang w:val="en-US" w:eastAsia="zh-CN"/>
        </w:rPr>
        <w:t>叁</w:t>
      </w:r>
      <w:r>
        <w:rPr>
          <w:rFonts w:hint="default" w:ascii="Times New Roman" w:hAnsi="Times New Roman" w:eastAsia="方正仿宋_GBK" w:cs="Times New Roman"/>
          <w:snapToGrid w:val="0"/>
          <w:color w:val="auto"/>
          <w:kern w:val="0"/>
          <w:sz w:val="28"/>
          <w:szCs w:val="28"/>
        </w:rPr>
        <w:t>份，具有同等法律效力。</w:t>
      </w:r>
    </w:p>
    <w:tbl>
      <w:tblPr>
        <w:tblStyle w:val="41"/>
        <w:tblpPr w:leftFromText="180" w:rightFromText="180" w:vertAnchor="text" w:horzAnchor="page" w:tblpX="1247" w:tblpY="408"/>
        <w:tblOverlap w:val="never"/>
        <w:tblW w:w="9025" w:type="dxa"/>
        <w:tblInd w:w="0" w:type="dxa"/>
        <w:tblLayout w:type="fixed"/>
        <w:tblCellMar>
          <w:top w:w="0" w:type="dxa"/>
          <w:left w:w="108" w:type="dxa"/>
          <w:bottom w:w="0" w:type="dxa"/>
          <w:right w:w="108" w:type="dxa"/>
        </w:tblCellMar>
      </w:tblPr>
      <w:tblGrid>
        <w:gridCol w:w="1850"/>
        <w:gridCol w:w="1475"/>
        <w:gridCol w:w="3283"/>
        <w:gridCol w:w="2417"/>
      </w:tblGrid>
      <w:tr w14:paraId="2D3417C7">
        <w:tblPrEx>
          <w:tblCellMar>
            <w:top w:w="0" w:type="dxa"/>
            <w:left w:w="108" w:type="dxa"/>
            <w:bottom w:w="0" w:type="dxa"/>
            <w:right w:w="108" w:type="dxa"/>
          </w:tblCellMar>
        </w:tblPrEx>
        <w:trPr>
          <w:trHeight w:val="714" w:hRule="exact"/>
        </w:trPr>
        <w:tc>
          <w:tcPr>
            <w:tcW w:w="1850" w:type="dxa"/>
            <w:vAlign w:val="center"/>
          </w:tcPr>
          <w:p w14:paraId="62BE7321">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甲方：</w:t>
            </w:r>
          </w:p>
        </w:tc>
        <w:tc>
          <w:tcPr>
            <w:tcW w:w="1475" w:type="dxa"/>
            <w:vAlign w:val="center"/>
          </w:tcPr>
          <w:p w14:paraId="05C1833D">
            <w:pPr>
              <w:widowControl/>
              <w:kinsoku w:val="0"/>
              <w:autoSpaceDE w:val="0"/>
              <w:autoSpaceDN w:val="0"/>
              <w:adjustRightInd w:val="0"/>
              <w:snapToGrid w:val="0"/>
              <w:spacing w:line="280" w:lineRule="exact"/>
              <w:jc w:val="left"/>
              <w:textAlignment w:val="baseline"/>
              <w:rPr>
                <w:rFonts w:ascii="宋体" w:hAnsi="宋体" w:eastAsia="宋体" w:cs="宋体"/>
                <w:snapToGrid w:val="0"/>
                <w:color w:val="auto"/>
                <w:kern w:val="0"/>
                <w:sz w:val="28"/>
                <w:szCs w:val="28"/>
              </w:rPr>
            </w:pPr>
          </w:p>
        </w:tc>
        <w:tc>
          <w:tcPr>
            <w:tcW w:w="3283" w:type="dxa"/>
            <w:vAlign w:val="center"/>
          </w:tcPr>
          <w:p w14:paraId="7420AFD5">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乙方：</w:t>
            </w:r>
          </w:p>
        </w:tc>
        <w:tc>
          <w:tcPr>
            <w:tcW w:w="2417" w:type="dxa"/>
            <w:vAlign w:val="center"/>
          </w:tcPr>
          <w:p w14:paraId="1019F059">
            <w:pPr>
              <w:widowControl/>
              <w:kinsoku w:val="0"/>
              <w:autoSpaceDE w:val="0"/>
              <w:autoSpaceDN w:val="0"/>
              <w:adjustRightInd w:val="0"/>
              <w:snapToGrid w:val="0"/>
              <w:spacing w:line="280" w:lineRule="exact"/>
              <w:jc w:val="left"/>
              <w:textAlignment w:val="baseline"/>
              <w:rPr>
                <w:rFonts w:ascii="宋体" w:hAnsi="宋体" w:eastAsia="宋体" w:cs="宋体"/>
                <w:snapToGrid w:val="0"/>
                <w:color w:val="auto"/>
                <w:kern w:val="0"/>
                <w:sz w:val="28"/>
                <w:szCs w:val="28"/>
              </w:rPr>
            </w:pPr>
          </w:p>
        </w:tc>
      </w:tr>
      <w:tr w14:paraId="11B82BF0">
        <w:tblPrEx>
          <w:tblCellMar>
            <w:top w:w="0" w:type="dxa"/>
            <w:left w:w="108" w:type="dxa"/>
            <w:bottom w:w="0" w:type="dxa"/>
            <w:right w:w="108" w:type="dxa"/>
          </w:tblCellMar>
        </w:tblPrEx>
        <w:trPr>
          <w:trHeight w:val="702" w:hRule="exact"/>
        </w:trPr>
        <w:tc>
          <w:tcPr>
            <w:tcW w:w="1850" w:type="dxa"/>
            <w:vAlign w:val="center"/>
          </w:tcPr>
          <w:p w14:paraId="40EF7513">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地址：</w:t>
            </w:r>
          </w:p>
        </w:tc>
        <w:tc>
          <w:tcPr>
            <w:tcW w:w="1475" w:type="dxa"/>
            <w:vAlign w:val="center"/>
          </w:tcPr>
          <w:p w14:paraId="277FE224">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c>
          <w:tcPr>
            <w:tcW w:w="3283" w:type="dxa"/>
            <w:vAlign w:val="center"/>
          </w:tcPr>
          <w:p w14:paraId="2B6D72A3">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地址：</w:t>
            </w:r>
          </w:p>
        </w:tc>
        <w:tc>
          <w:tcPr>
            <w:tcW w:w="2417" w:type="dxa"/>
            <w:vAlign w:val="center"/>
          </w:tcPr>
          <w:p w14:paraId="7B6E52D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8"/>
                <w:szCs w:val="28"/>
                <w:lang w:eastAsia="zh-CN"/>
              </w:rPr>
            </w:pPr>
          </w:p>
        </w:tc>
      </w:tr>
      <w:tr w14:paraId="1F6B258E">
        <w:tblPrEx>
          <w:tblCellMar>
            <w:top w:w="0" w:type="dxa"/>
            <w:left w:w="108" w:type="dxa"/>
            <w:bottom w:w="0" w:type="dxa"/>
            <w:right w:w="108" w:type="dxa"/>
          </w:tblCellMar>
        </w:tblPrEx>
        <w:trPr>
          <w:trHeight w:val="567" w:hRule="exact"/>
        </w:trPr>
        <w:tc>
          <w:tcPr>
            <w:tcW w:w="1850" w:type="dxa"/>
            <w:vAlign w:val="center"/>
          </w:tcPr>
          <w:p w14:paraId="0B67F0A9">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电话：</w:t>
            </w:r>
          </w:p>
        </w:tc>
        <w:tc>
          <w:tcPr>
            <w:tcW w:w="1475" w:type="dxa"/>
            <w:vAlign w:val="center"/>
          </w:tcPr>
          <w:p w14:paraId="3BDB2450">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c>
          <w:tcPr>
            <w:tcW w:w="3283" w:type="dxa"/>
            <w:vAlign w:val="center"/>
          </w:tcPr>
          <w:p w14:paraId="685D5CFE">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电话：</w:t>
            </w:r>
          </w:p>
        </w:tc>
        <w:tc>
          <w:tcPr>
            <w:tcW w:w="2417" w:type="dxa"/>
            <w:vAlign w:val="center"/>
          </w:tcPr>
          <w:p w14:paraId="2E106707">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8"/>
                <w:szCs w:val="28"/>
                <w:lang w:val="en-US" w:eastAsia="zh-CN"/>
              </w:rPr>
            </w:pPr>
          </w:p>
        </w:tc>
      </w:tr>
      <w:tr w14:paraId="0CC65499">
        <w:tblPrEx>
          <w:tblCellMar>
            <w:top w:w="0" w:type="dxa"/>
            <w:left w:w="108" w:type="dxa"/>
            <w:bottom w:w="0" w:type="dxa"/>
            <w:right w:w="108" w:type="dxa"/>
          </w:tblCellMar>
        </w:tblPrEx>
        <w:trPr>
          <w:trHeight w:val="807" w:hRule="exact"/>
        </w:trPr>
        <w:tc>
          <w:tcPr>
            <w:tcW w:w="1850" w:type="dxa"/>
            <w:vAlign w:val="center"/>
          </w:tcPr>
          <w:p w14:paraId="5755FA2D">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开户银行：</w:t>
            </w:r>
          </w:p>
        </w:tc>
        <w:tc>
          <w:tcPr>
            <w:tcW w:w="1475" w:type="dxa"/>
            <w:vAlign w:val="center"/>
          </w:tcPr>
          <w:p w14:paraId="08FD93D3">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c>
          <w:tcPr>
            <w:tcW w:w="3283" w:type="dxa"/>
            <w:vAlign w:val="center"/>
          </w:tcPr>
          <w:p w14:paraId="3056DEC9">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开户银行：</w:t>
            </w:r>
          </w:p>
        </w:tc>
        <w:tc>
          <w:tcPr>
            <w:tcW w:w="2417" w:type="dxa"/>
            <w:vAlign w:val="center"/>
          </w:tcPr>
          <w:p w14:paraId="7531C6B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8"/>
                <w:szCs w:val="28"/>
                <w:lang w:eastAsia="zh-CN"/>
              </w:rPr>
            </w:pPr>
          </w:p>
        </w:tc>
      </w:tr>
      <w:tr w14:paraId="68BB6472">
        <w:tblPrEx>
          <w:tblCellMar>
            <w:top w:w="0" w:type="dxa"/>
            <w:left w:w="108" w:type="dxa"/>
            <w:bottom w:w="0" w:type="dxa"/>
            <w:right w:w="108" w:type="dxa"/>
          </w:tblCellMar>
        </w:tblPrEx>
        <w:trPr>
          <w:trHeight w:val="567" w:hRule="exact"/>
        </w:trPr>
        <w:tc>
          <w:tcPr>
            <w:tcW w:w="1850" w:type="dxa"/>
            <w:vAlign w:val="center"/>
          </w:tcPr>
          <w:p w14:paraId="76346D78">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账号：</w:t>
            </w:r>
          </w:p>
        </w:tc>
        <w:tc>
          <w:tcPr>
            <w:tcW w:w="1475" w:type="dxa"/>
            <w:vAlign w:val="center"/>
          </w:tcPr>
          <w:p w14:paraId="12657DF9">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c>
          <w:tcPr>
            <w:tcW w:w="3283" w:type="dxa"/>
            <w:vAlign w:val="center"/>
          </w:tcPr>
          <w:p w14:paraId="3CD6E6FD">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账号：</w:t>
            </w:r>
          </w:p>
        </w:tc>
        <w:tc>
          <w:tcPr>
            <w:tcW w:w="2417" w:type="dxa"/>
            <w:vAlign w:val="center"/>
          </w:tcPr>
          <w:p w14:paraId="617EE076">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4"/>
                <w:szCs w:val="24"/>
              </w:rPr>
            </w:pPr>
          </w:p>
        </w:tc>
      </w:tr>
      <w:tr w14:paraId="1A31D70D">
        <w:tblPrEx>
          <w:tblCellMar>
            <w:top w:w="0" w:type="dxa"/>
            <w:left w:w="108" w:type="dxa"/>
            <w:bottom w:w="0" w:type="dxa"/>
            <w:right w:w="108" w:type="dxa"/>
          </w:tblCellMar>
        </w:tblPrEx>
        <w:trPr>
          <w:trHeight w:val="882" w:hRule="exact"/>
        </w:trPr>
        <w:tc>
          <w:tcPr>
            <w:tcW w:w="1850" w:type="dxa"/>
            <w:vAlign w:val="center"/>
          </w:tcPr>
          <w:p w14:paraId="2D39475F">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统一社会信用代码：</w:t>
            </w:r>
          </w:p>
        </w:tc>
        <w:tc>
          <w:tcPr>
            <w:tcW w:w="1475" w:type="dxa"/>
            <w:vAlign w:val="center"/>
          </w:tcPr>
          <w:p w14:paraId="78D18373">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c>
          <w:tcPr>
            <w:tcW w:w="3283" w:type="dxa"/>
            <w:vAlign w:val="center"/>
          </w:tcPr>
          <w:p w14:paraId="63928AC3">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税号：</w:t>
            </w:r>
          </w:p>
        </w:tc>
        <w:tc>
          <w:tcPr>
            <w:tcW w:w="2417" w:type="dxa"/>
            <w:vAlign w:val="center"/>
          </w:tcPr>
          <w:p w14:paraId="7A2FFE0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lang w:eastAsia="zh-CN"/>
              </w:rPr>
            </w:pPr>
          </w:p>
        </w:tc>
      </w:tr>
      <w:tr w14:paraId="2155E051">
        <w:tblPrEx>
          <w:tblCellMar>
            <w:top w:w="0" w:type="dxa"/>
            <w:left w:w="108" w:type="dxa"/>
            <w:bottom w:w="0" w:type="dxa"/>
            <w:right w:w="108" w:type="dxa"/>
          </w:tblCellMar>
        </w:tblPrEx>
        <w:trPr>
          <w:trHeight w:val="677" w:hRule="exact"/>
        </w:trPr>
        <w:tc>
          <w:tcPr>
            <w:tcW w:w="1850" w:type="dxa"/>
            <w:vAlign w:val="center"/>
          </w:tcPr>
          <w:p w14:paraId="69A7FE33">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盖章</w:t>
            </w:r>
          </w:p>
        </w:tc>
        <w:tc>
          <w:tcPr>
            <w:tcW w:w="1475" w:type="dxa"/>
            <w:vAlign w:val="center"/>
          </w:tcPr>
          <w:p w14:paraId="0258FBD9">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c>
          <w:tcPr>
            <w:tcW w:w="3283" w:type="dxa"/>
            <w:vAlign w:val="center"/>
          </w:tcPr>
          <w:p w14:paraId="73B2D7A4">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盖章</w:t>
            </w:r>
          </w:p>
        </w:tc>
        <w:tc>
          <w:tcPr>
            <w:tcW w:w="2417" w:type="dxa"/>
            <w:vAlign w:val="center"/>
          </w:tcPr>
          <w:p w14:paraId="66CB0299">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r>
      <w:tr w14:paraId="52E57AA5">
        <w:tblPrEx>
          <w:tblCellMar>
            <w:top w:w="0" w:type="dxa"/>
            <w:left w:w="108" w:type="dxa"/>
            <w:bottom w:w="0" w:type="dxa"/>
            <w:right w:w="108" w:type="dxa"/>
          </w:tblCellMar>
        </w:tblPrEx>
        <w:trPr>
          <w:trHeight w:val="933" w:hRule="exact"/>
        </w:trPr>
        <w:tc>
          <w:tcPr>
            <w:tcW w:w="1850" w:type="dxa"/>
            <w:vAlign w:val="center"/>
          </w:tcPr>
          <w:p w14:paraId="1D5B910E">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val="en-US" w:eastAsia="zh-CN"/>
              </w:rPr>
              <w:t>法定代表人</w:t>
            </w:r>
          </w:p>
        </w:tc>
        <w:tc>
          <w:tcPr>
            <w:tcW w:w="1475" w:type="dxa"/>
            <w:vAlign w:val="center"/>
          </w:tcPr>
          <w:p w14:paraId="05476739">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c>
          <w:tcPr>
            <w:tcW w:w="3283" w:type="dxa"/>
            <w:vAlign w:val="center"/>
          </w:tcPr>
          <w:p w14:paraId="607E495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val="en-US" w:eastAsia="zh-CN"/>
              </w:rPr>
              <w:t>法定代表人</w:t>
            </w:r>
          </w:p>
        </w:tc>
        <w:tc>
          <w:tcPr>
            <w:tcW w:w="2417" w:type="dxa"/>
            <w:vAlign w:val="center"/>
          </w:tcPr>
          <w:p w14:paraId="5DB8FB9D">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auto"/>
                <w:kern w:val="0"/>
                <w:sz w:val="28"/>
                <w:szCs w:val="28"/>
              </w:rPr>
            </w:pPr>
          </w:p>
        </w:tc>
      </w:tr>
    </w:tbl>
    <w:p w14:paraId="162EC85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rPr>
      </w:pPr>
    </w:p>
    <w:p w14:paraId="15B3C49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rPr>
        <w:sectPr>
          <w:headerReference r:id="rId6" w:type="default"/>
          <w:footerReference r:id="rId7" w:type="default"/>
          <w:pgSz w:w="11906" w:h="16838"/>
          <w:pgMar w:top="1304" w:right="1247" w:bottom="1418" w:left="1247" w:header="851" w:footer="992" w:gutter="0"/>
          <w:pgNumType w:fmt="decimal" w:start="1"/>
          <w:cols w:space="720" w:num="1"/>
          <w:docGrid w:linePitch="312" w:charSpace="0"/>
        </w:sectPr>
      </w:pPr>
    </w:p>
    <w:p w14:paraId="13BE004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40"/>
          <w:szCs w:val="40"/>
          <w:lang w:val="en-US" w:eastAsia="zh-CN"/>
        </w:rPr>
      </w:pPr>
      <w:r>
        <w:rPr>
          <w:rFonts w:hint="eastAsia" w:ascii="宋体" w:hAnsi="宋体" w:eastAsia="宋体" w:cs="宋体"/>
          <w:snapToGrid w:val="0"/>
          <w:color w:val="auto"/>
          <w:kern w:val="0"/>
          <w:sz w:val="40"/>
          <w:szCs w:val="40"/>
          <w:lang w:val="en-US" w:eastAsia="zh-CN"/>
        </w:rPr>
        <w:t>附件1：安全服务内容（具体以服务需求为主）</w:t>
      </w:r>
    </w:p>
    <w:tbl>
      <w:tblPr>
        <w:tblStyle w:val="145"/>
        <w:tblpPr w:leftFromText="180" w:rightFromText="180" w:vertAnchor="text" w:horzAnchor="page" w:tblpX="1122" w:tblpY="540"/>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839"/>
        <w:gridCol w:w="792"/>
        <w:gridCol w:w="5639"/>
        <w:gridCol w:w="1290"/>
        <w:gridCol w:w="855"/>
      </w:tblGrid>
      <w:tr w14:paraId="2545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505" w:type="dxa"/>
            <w:shd w:val="clear" w:color="auto" w:fill="95DD9F"/>
            <w:textDirection w:val="tbRlV"/>
            <w:vAlign w:val="top"/>
          </w:tcPr>
          <w:p w14:paraId="0D2D608E">
            <w:pPr>
              <w:widowControl/>
              <w:kinsoku w:val="0"/>
              <w:autoSpaceDE w:val="0"/>
              <w:autoSpaceDN w:val="0"/>
              <w:adjustRightInd w:val="0"/>
              <w:snapToGrid w:val="0"/>
              <w:spacing w:before="171" w:line="218" w:lineRule="auto"/>
              <w:ind w:left="56"/>
              <w:jc w:val="left"/>
              <w:textAlignment w:val="baseline"/>
              <w:rPr>
                <w:rFonts w:hint="eastAsia" w:ascii="宋体" w:hAnsi="宋体" w:eastAsia="宋体" w:cs="宋体"/>
                <w:snapToGrid w:val="0"/>
                <w:color w:val="auto"/>
                <w:kern w:val="0"/>
                <w:sz w:val="21"/>
                <w:szCs w:val="21"/>
              </w:rPr>
            </w:pPr>
            <w:r>
              <w:rPr>
                <w:rFonts w:hint="eastAsia" w:ascii="宋体" w:hAnsi="宋体" w:eastAsia="宋体" w:cs="宋体"/>
                <w:snapToGrid w:val="0"/>
                <w:color w:val="auto"/>
                <w:spacing w:val="6"/>
                <w:kern w:val="0"/>
                <w:sz w:val="21"/>
                <w:szCs w:val="21"/>
                <w14:textOutline w14:w="3795" w14:cap="sq" w14:cmpd="sng">
                  <w14:solidFill>
                    <w14:srgbClr w14:val="000000"/>
                  </w14:solidFill>
                  <w14:prstDash w14:val="solid"/>
                  <w14:bevel/>
                </w14:textOutline>
              </w:rPr>
              <w:t>号</w:t>
            </w:r>
          </w:p>
        </w:tc>
        <w:tc>
          <w:tcPr>
            <w:tcW w:w="839" w:type="dxa"/>
            <w:shd w:val="clear" w:color="auto" w:fill="95DD9F"/>
            <w:vAlign w:val="top"/>
          </w:tcPr>
          <w:p w14:paraId="44996570">
            <w:pPr>
              <w:widowControl/>
              <w:kinsoku w:val="0"/>
              <w:autoSpaceDE w:val="0"/>
              <w:autoSpaceDN w:val="0"/>
              <w:adjustRightInd w:val="0"/>
              <w:snapToGrid w:val="0"/>
              <w:spacing w:before="56" w:line="258" w:lineRule="auto"/>
              <w:ind w:left="131" w:right="128"/>
              <w:jc w:val="left"/>
              <w:textAlignment w:val="baseline"/>
              <w:rPr>
                <w:rFonts w:hint="eastAsia" w:ascii="宋体" w:hAnsi="宋体" w:eastAsia="宋体" w:cs="宋体"/>
                <w:snapToGrid w:val="0"/>
                <w:color w:val="auto"/>
                <w:kern w:val="0"/>
                <w:sz w:val="21"/>
                <w:szCs w:val="21"/>
              </w:rPr>
            </w:pPr>
            <w:r>
              <w:rPr>
                <w:rFonts w:hint="eastAsia" w:ascii="宋体" w:hAnsi="宋体" w:eastAsia="宋体" w:cs="宋体"/>
                <w:snapToGrid w:val="0"/>
                <w:color w:val="auto"/>
                <w:spacing w:val="6"/>
                <w:kern w:val="0"/>
                <w:sz w:val="21"/>
                <w:szCs w:val="21"/>
                <w14:textOutline w14:w="3795" w14:cap="sq" w14:cmpd="sng">
                  <w14:solidFill>
                    <w14:srgbClr w14:val="000000"/>
                  </w14:solidFill>
                  <w14:prstDash w14:val="solid"/>
                  <w14:bevel/>
                </w14:textOutline>
              </w:rPr>
              <w:t>服务类别</w:t>
            </w:r>
          </w:p>
        </w:tc>
        <w:tc>
          <w:tcPr>
            <w:tcW w:w="792" w:type="dxa"/>
            <w:shd w:val="clear" w:color="auto" w:fill="95DD9F"/>
            <w:vAlign w:val="top"/>
          </w:tcPr>
          <w:p w14:paraId="15BFF0AA">
            <w:pPr>
              <w:widowControl/>
              <w:kinsoku w:val="0"/>
              <w:autoSpaceDE w:val="0"/>
              <w:autoSpaceDN w:val="0"/>
              <w:adjustRightInd w:val="0"/>
              <w:snapToGrid w:val="0"/>
              <w:spacing w:before="56" w:line="259" w:lineRule="auto"/>
              <w:ind w:left="121" w:right="116" w:hanging="2"/>
              <w:jc w:val="left"/>
              <w:textAlignment w:val="baseline"/>
              <w:rPr>
                <w:rFonts w:hint="eastAsia" w:ascii="宋体" w:hAnsi="宋体" w:eastAsia="宋体" w:cs="宋体"/>
                <w:snapToGrid w:val="0"/>
                <w:color w:val="auto"/>
                <w:kern w:val="0"/>
                <w:sz w:val="21"/>
                <w:szCs w:val="21"/>
              </w:rPr>
            </w:pPr>
            <w:r>
              <w:rPr>
                <w:rFonts w:hint="eastAsia" w:ascii="宋体" w:hAnsi="宋体" w:eastAsia="宋体" w:cs="宋体"/>
                <w:snapToGrid w:val="0"/>
                <w:color w:val="auto"/>
                <w:spacing w:val="6"/>
                <w:kern w:val="0"/>
                <w:sz w:val="21"/>
                <w:szCs w:val="21"/>
                <w14:textOutline w14:w="3795" w14:cap="sq" w14:cmpd="sng">
                  <w14:solidFill>
                    <w14:srgbClr w14:val="000000"/>
                  </w14:solidFill>
                  <w14:prstDash w14:val="solid"/>
                  <w14:bevel/>
                </w14:textOutline>
              </w:rPr>
              <w:t>服务</w:t>
            </w:r>
            <w:r>
              <w:rPr>
                <w:rFonts w:hint="eastAsia" w:ascii="宋体" w:hAnsi="宋体" w:eastAsia="宋体" w:cs="宋体"/>
                <w:snapToGrid w:val="0"/>
                <w:color w:val="auto"/>
                <w:spacing w:val="5"/>
                <w:kern w:val="0"/>
                <w:sz w:val="21"/>
                <w:szCs w:val="21"/>
                <w14:textOutline w14:w="3795" w14:cap="sq" w14:cmpd="sng">
                  <w14:solidFill>
                    <w14:srgbClr w14:val="000000"/>
                  </w14:solidFill>
                  <w14:prstDash w14:val="solid"/>
                  <w14:bevel/>
                </w14:textOutline>
              </w:rPr>
              <w:t>名</w:t>
            </w:r>
            <w:r>
              <w:rPr>
                <w:rFonts w:hint="eastAsia" w:ascii="宋体" w:hAnsi="宋体" w:eastAsia="宋体" w:cs="宋体"/>
                <w:snapToGrid w:val="0"/>
                <w:color w:val="auto"/>
                <w:spacing w:val="4"/>
                <w:kern w:val="0"/>
                <w:sz w:val="21"/>
                <w:szCs w:val="21"/>
                <w14:textOutline w14:w="3795" w14:cap="sq" w14:cmpd="sng">
                  <w14:solidFill>
                    <w14:srgbClr w14:val="000000"/>
                  </w14:solidFill>
                  <w14:prstDash w14:val="solid"/>
                  <w14:bevel/>
                </w14:textOutline>
              </w:rPr>
              <w:t>称</w:t>
            </w:r>
          </w:p>
        </w:tc>
        <w:tc>
          <w:tcPr>
            <w:tcW w:w="5639" w:type="dxa"/>
            <w:shd w:val="clear" w:color="auto" w:fill="95DD9F"/>
            <w:vAlign w:val="top"/>
          </w:tcPr>
          <w:p w14:paraId="472E048D">
            <w:pPr>
              <w:widowControl/>
              <w:kinsoku w:val="0"/>
              <w:autoSpaceDE w:val="0"/>
              <w:autoSpaceDN w:val="0"/>
              <w:adjustRightInd w:val="0"/>
              <w:snapToGrid w:val="0"/>
              <w:spacing w:before="212" w:line="228" w:lineRule="auto"/>
              <w:ind w:left="2036"/>
              <w:jc w:val="left"/>
              <w:textAlignment w:val="baseline"/>
              <w:rPr>
                <w:rFonts w:hint="eastAsia" w:ascii="宋体" w:hAnsi="宋体" w:eastAsia="宋体" w:cs="宋体"/>
                <w:snapToGrid w:val="0"/>
                <w:color w:val="auto"/>
                <w:kern w:val="0"/>
                <w:sz w:val="21"/>
                <w:szCs w:val="21"/>
              </w:rPr>
            </w:pPr>
            <w:r>
              <w:rPr>
                <w:rFonts w:hint="eastAsia" w:ascii="宋体" w:hAnsi="宋体" w:eastAsia="宋体" w:cs="宋体"/>
                <w:snapToGrid w:val="0"/>
                <w:color w:val="auto"/>
                <w:spacing w:val="10"/>
                <w:kern w:val="0"/>
                <w:sz w:val="21"/>
                <w:szCs w:val="21"/>
                <w14:textOutline w14:w="3795" w14:cap="sq" w14:cmpd="sng">
                  <w14:solidFill>
                    <w14:srgbClr w14:val="000000"/>
                  </w14:solidFill>
                  <w14:prstDash w14:val="solid"/>
                  <w14:bevel/>
                </w14:textOutline>
              </w:rPr>
              <w:t>服</w:t>
            </w:r>
            <w:r>
              <w:rPr>
                <w:rFonts w:hint="eastAsia" w:ascii="宋体" w:hAnsi="宋体" w:eastAsia="宋体" w:cs="宋体"/>
                <w:snapToGrid w:val="0"/>
                <w:color w:val="auto"/>
                <w:spacing w:val="8"/>
                <w:kern w:val="0"/>
                <w:sz w:val="21"/>
                <w:szCs w:val="21"/>
                <w14:textOutline w14:w="3795" w14:cap="sq" w14:cmpd="sng">
                  <w14:solidFill>
                    <w14:srgbClr w14:val="000000"/>
                  </w14:solidFill>
                  <w14:prstDash w14:val="solid"/>
                  <w14:bevel/>
                </w14:textOutline>
              </w:rPr>
              <w:t>务内容</w:t>
            </w:r>
          </w:p>
        </w:tc>
        <w:tc>
          <w:tcPr>
            <w:tcW w:w="1290" w:type="dxa"/>
            <w:shd w:val="clear" w:color="auto" w:fill="95DD9F"/>
            <w:vAlign w:val="top"/>
          </w:tcPr>
          <w:p w14:paraId="2E726B80">
            <w:pPr>
              <w:widowControl/>
              <w:kinsoku w:val="0"/>
              <w:autoSpaceDE w:val="0"/>
              <w:autoSpaceDN w:val="0"/>
              <w:adjustRightInd w:val="0"/>
              <w:snapToGrid w:val="0"/>
              <w:spacing w:before="212" w:line="227" w:lineRule="auto"/>
              <w:ind w:left="120"/>
              <w:jc w:val="left"/>
              <w:textAlignment w:val="baseline"/>
              <w:rPr>
                <w:rFonts w:hint="eastAsia" w:ascii="宋体" w:hAnsi="宋体" w:eastAsia="宋体" w:cs="宋体"/>
                <w:snapToGrid w:val="0"/>
                <w:color w:val="auto"/>
                <w:kern w:val="0"/>
                <w:sz w:val="21"/>
                <w:szCs w:val="21"/>
              </w:rPr>
            </w:pPr>
            <w:r>
              <w:rPr>
                <w:rFonts w:hint="eastAsia" w:ascii="宋体" w:hAnsi="宋体" w:eastAsia="宋体" w:cs="宋体"/>
                <w:snapToGrid w:val="0"/>
                <w:color w:val="auto"/>
                <w:spacing w:val="9"/>
                <w:kern w:val="0"/>
                <w:sz w:val="21"/>
                <w:szCs w:val="21"/>
                <w14:textOutline w14:w="3795" w14:cap="sq" w14:cmpd="sng">
                  <w14:solidFill>
                    <w14:srgbClr w14:val="000000"/>
                  </w14:solidFill>
                  <w14:prstDash w14:val="solid"/>
                  <w14:bevel/>
                </w14:textOutline>
              </w:rPr>
              <w:t>提</w:t>
            </w:r>
            <w:r>
              <w:rPr>
                <w:rFonts w:hint="eastAsia" w:ascii="宋体" w:hAnsi="宋体" w:eastAsia="宋体" w:cs="宋体"/>
                <w:snapToGrid w:val="0"/>
                <w:color w:val="auto"/>
                <w:spacing w:val="8"/>
                <w:kern w:val="0"/>
                <w:sz w:val="21"/>
                <w:szCs w:val="21"/>
                <w14:textOutline w14:w="3795" w14:cap="sq" w14:cmpd="sng">
                  <w14:solidFill>
                    <w14:srgbClr w14:val="000000"/>
                  </w14:solidFill>
                  <w14:prstDash w14:val="solid"/>
                  <w14:bevel/>
                </w14:textOutline>
              </w:rPr>
              <w:t>供资料</w:t>
            </w:r>
          </w:p>
        </w:tc>
        <w:tc>
          <w:tcPr>
            <w:tcW w:w="855" w:type="dxa"/>
            <w:shd w:val="clear" w:color="auto" w:fill="95DD9F"/>
            <w:vAlign w:val="top"/>
          </w:tcPr>
          <w:p w14:paraId="1C4F015F">
            <w:pPr>
              <w:widowControl/>
              <w:kinsoku w:val="0"/>
              <w:autoSpaceDE w:val="0"/>
              <w:autoSpaceDN w:val="0"/>
              <w:adjustRightInd w:val="0"/>
              <w:snapToGrid w:val="0"/>
              <w:spacing w:before="212" w:line="229" w:lineRule="auto"/>
              <w:ind w:left="130"/>
              <w:jc w:val="left"/>
              <w:textAlignment w:val="baseline"/>
              <w:rPr>
                <w:rFonts w:hint="eastAsia" w:ascii="宋体" w:hAnsi="宋体" w:eastAsia="宋体" w:cs="宋体"/>
                <w:snapToGrid w:val="0"/>
                <w:color w:val="auto"/>
                <w:kern w:val="0"/>
                <w:sz w:val="21"/>
                <w:szCs w:val="21"/>
              </w:rPr>
            </w:pPr>
            <w:r>
              <w:rPr>
                <w:rFonts w:hint="eastAsia" w:ascii="宋体" w:hAnsi="宋体" w:eastAsia="宋体" w:cs="宋体"/>
                <w:snapToGrid w:val="0"/>
                <w:color w:val="auto"/>
                <w:spacing w:val="5"/>
                <w:kern w:val="0"/>
                <w:sz w:val="21"/>
                <w:szCs w:val="21"/>
                <w14:textOutline w14:w="3795" w14:cap="sq" w14:cmpd="sng">
                  <w14:solidFill>
                    <w14:srgbClr w14:val="000000"/>
                  </w14:solidFill>
                  <w14:prstDash w14:val="solid"/>
                  <w14:bevel/>
                </w14:textOutline>
              </w:rPr>
              <w:t>备</w:t>
            </w:r>
            <w:r>
              <w:rPr>
                <w:rFonts w:hint="eastAsia" w:ascii="宋体" w:hAnsi="宋体" w:eastAsia="宋体" w:cs="宋体"/>
                <w:snapToGrid w:val="0"/>
                <w:color w:val="auto"/>
                <w:spacing w:val="4"/>
                <w:kern w:val="0"/>
                <w:sz w:val="21"/>
                <w:szCs w:val="21"/>
                <w14:textOutline w14:w="3795" w14:cap="sq" w14:cmpd="sng">
                  <w14:solidFill>
                    <w14:srgbClr w14:val="000000"/>
                  </w14:solidFill>
                  <w14:prstDash w14:val="solid"/>
                  <w14:bevel/>
                </w14:textOutline>
              </w:rPr>
              <w:t>注</w:t>
            </w:r>
          </w:p>
        </w:tc>
      </w:tr>
      <w:tr w14:paraId="5964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505" w:type="dxa"/>
            <w:vMerge w:val="restart"/>
            <w:vAlign w:val="center"/>
          </w:tcPr>
          <w:p w14:paraId="7643F658">
            <w:pPr>
              <w:widowControl/>
              <w:kinsoku w:val="0"/>
              <w:autoSpaceDE w:val="0"/>
              <w:autoSpaceDN w:val="0"/>
              <w:adjustRightInd w:val="0"/>
              <w:snapToGrid w:val="0"/>
              <w:spacing w:before="65" w:line="193" w:lineRule="auto"/>
              <w:jc w:val="center"/>
              <w:textAlignment w:val="baseline"/>
              <w:rPr>
                <w:rFonts w:hint="eastAsia" w:ascii="宋体" w:hAnsi="宋体" w:eastAsia="宋体" w:cs="宋体"/>
                <w:snapToGrid w:val="0"/>
                <w:color w:val="auto"/>
                <w:kern w:val="0"/>
                <w:sz w:val="21"/>
                <w:szCs w:val="21"/>
              </w:rPr>
            </w:pPr>
          </w:p>
        </w:tc>
        <w:tc>
          <w:tcPr>
            <w:tcW w:w="839" w:type="dxa"/>
            <w:vMerge w:val="restart"/>
            <w:vAlign w:val="center"/>
          </w:tcPr>
          <w:p w14:paraId="6C6E6EA9">
            <w:pPr>
              <w:widowControl/>
              <w:kinsoku w:val="0"/>
              <w:autoSpaceDE w:val="0"/>
              <w:autoSpaceDN w:val="0"/>
              <w:adjustRightInd w:val="0"/>
              <w:snapToGrid w:val="0"/>
              <w:spacing w:before="65" w:line="296" w:lineRule="auto"/>
              <w:ind w:right="106"/>
              <w:jc w:val="center"/>
              <w:textAlignment w:val="baseline"/>
              <w:rPr>
                <w:rFonts w:hint="eastAsia" w:ascii="宋体" w:hAnsi="宋体" w:eastAsia="宋体" w:cs="宋体"/>
                <w:snapToGrid w:val="0"/>
                <w:color w:val="auto"/>
                <w:kern w:val="0"/>
                <w:sz w:val="21"/>
                <w:szCs w:val="21"/>
              </w:rPr>
            </w:pPr>
          </w:p>
        </w:tc>
        <w:tc>
          <w:tcPr>
            <w:tcW w:w="792" w:type="dxa"/>
            <w:vMerge w:val="restart"/>
            <w:vAlign w:val="center"/>
          </w:tcPr>
          <w:p w14:paraId="02ABDB46">
            <w:pPr>
              <w:widowControl/>
              <w:kinsoku w:val="0"/>
              <w:autoSpaceDE w:val="0"/>
              <w:autoSpaceDN w:val="0"/>
              <w:adjustRightInd w:val="0"/>
              <w:snapToGrid w:val="0"/>
              <w:spacing w:before="56" w:line="276" w:lineRule="auto"/>
              <w:ind w:left="111" w:right="107"/>
              <w:jc w:val="center"/>
              <w:textAlignment w:val="baseline"/>
              <w:rPr>
                <w:rFonts w:hint="eastAsia" w:ascii="宋体" w:hAnsi="宋体" w:eastAsia="宋体" w:cs="宋体"/>
                <w:snapToGrid w:val="0"/>
                <w:color w:val="auto"/>
                <w:kern w:val="0"/>
                <w:sz w:val="21"/>
                <w:szCs w:val="21"/>
                <w:lang w:eastAsia="zh-CN"/>
              </w:rPr>
            </w:pPr>
          </w:p>
        </w:tc>
        <w:tc>
          <w:tcPr>
            <w:tcW w:w="5639" w:type="dxa"/>
            <w:vAlign w:val="center"/>
          </w:tcPr>
          <w:p w14:paraId="25470994">
            <w:pPr>
              <w:widowControl/>
              <w:kinsoku w:val="0"/>
              <w:autoSpaceDE w:val="0"/>
              <w:autoSpaceDN w:val="0"/>
              <w:adjustRightInd w:val="0"/>
              <w:snapToGrid w:val="0"/>
              <w:spacing w:before="51" w:line="258" w:lineRule="auto"/>
              <w:ind w:left="120" w:right="35" w:firstLine="6"/>
              <w:jc w:val="both"/>
              <w:textAlignment w:val="baseline"/>
              <w:rPr>
                <w:rFonts w:hint="eastAsia" w:ascii="宋体" w:hAnsi="宋体" w:eastAsia="宋体" w:cs="宋体"/>
                <w:snapToGrid w:val="0"/>
                <w:color w:val="auto"/>
                <w:kern w:val="0"/>
                <w:sz w:val="21"/>
                <w:szCs w:val="21"/>
              </w:rPr>
            </w:pPr>
          </w:p>
        </w:tc>
        <w:tc>
          <w:tcPr>
            <w:tcW w:w="1290" w:type="dxa"/>
            <w:vMerge w:val="restart"/>
            <w:vAlign w:val="center"/>
          </w:tcPr>
          <w:p w14:paraId="49D749F1">
            <w:pPr>
              <w:widowControl/>
              <w:kinsoku w:val="0"/>
              <w:autoSpaceDE w:val="0"/>
              <w:autoSpaceDN w:val="0"/>
              <w:adjustRightInd w:val="0"/>
              <w:snapToGrid w:val="0"/>
              <w:spacing w:before="211" w:line="295" w:lineRule="auto"/>
              <w:ind w:right="105"/>
              <w:jc w:val="both"/>
              <w:textAlignment w:val="baseline"/>
              <w:rPr>
                <w:rFonts w:hint="eastAsia" w:ascii="宋体" w:hAnsi="宋体" w:eastAsia="宋体" w:cs="宋体"/>
                <w:snapToGrid w:val="0"/>
                <w:color w:val="auto"/>
                <w:kern w:val="0"/>
                <w:sz w:val="21"/>
                <w:szCs w:val="21"/>
              </w:rPr>
            </w:pPr>
          </w:p>
        </w:tc>
        <w:tc>
          <w:tcPr>
            <w:tcW w:w="855" w:type="dxa"/>
            <w:vMerge w:val="restart"/>
            <w:vAlign w:val="center"/>
          </w:tcPr>
          <w:p w14:paraId="5FDC10BC">
            <w:pPr>
              <w:widowControl/>
              <w:kinsoku w:val="0"/>
              <w:autoSpaceDE w:val="0"/>
              <w:autoSpaceDN w:val="0"/>
              <w:adjustRightInd w:val="0"/>
              <w:snapToGrid w:val="0"/>
              <w:spacing w:before="211" w:line="295" w:lineRule="auto"/>
              <w:ind w:left="115" w:right="109" w:firstLine="11"/>
              <w:jc w:val="both"/>
              <w:textAlignment w:val="baseline"/>
              <w:rPr>
                <w:rFonts w:hint="eastAsia" w:ascii="宋体" w:hAnsi="宋体" w:eastAsia="宋体" w:cs="宋体"/>
                <w:snapToGrid w:val="0"/>
                <w:color w:val="auto"/>
                <w:kern w:val="0"/>
                <w:sz w:val="21"/>
                <w:szCs w:val="21"/>
              </w:rPr>
            </w:pPr>
            <w:r>
              <w:rPr>
                <w:rFonts w:hint="eastAsia" w:ascii="宋体" w:hAnsi="宋体" w:eastAsia="宋体" w:cs="宋体"/>
                <w:snapToGrid w:val="0"/>
                <w:color w:val="auto"/>
                <w:spacing w:val="12"/>
                <w:kern w:val="0"/>
                <w:sz w:val="21"/>
                <w:szCs w:val="21"/>
              </w:rPr>
              <w:t>需双</w:t>
            </w:r>
            <w:r>
              <w:rPr>
                <w:rFonts w:hint="eastAsia" w:ascii="宋体" w:hAnsi="宋体" w:eastAsia="宋体" w:cs="宋体"/>
                <w:snapToGrid w:val="0"/>
                <w:color w:val="auto"/>
                <w:spacing w:val="18"/>
                <w:kern w:val="0"/>
                <w:sz w:val="21"/>
                <w:szCs w:val="21"/>
              </w:rPr>
              <w:t>方签字确</w:t>
            </w:r>
            <w:r>
              <w:rPr>
                <w:rFonts w:hint="eastAsia" w:ascii="宋体" w:hAnsi="宋体" w:eastAsia="宋体" w:cs="宋体"/>
                <w:snapToGrid w:val="0"/>
                <w:color w:val="auto"/>
                <w:kern w:val="0"/>
                <w:sz w:val="21"/>
                <w:szCs w:val="21"/>
              </w:rPr>
              <w:t>认</w:t>
            </w:r>
          </w:p>
        </w:tc>
      </w:tr>
      <w:tr w14:paraId="3178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505" w:type="dxa"/>
            <w:vMerge w:val="continue"/>
            <w:vAlign w:val="center"/>
          </w:tcPr>
          <w:p w14:paraId="22752575">
            <w:pPr>
              <w:widowControl/>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rPr>
            </w:pPr>
          </w:p>
        </w:tc>
        <w:tc>
          <w:tcPr>
            <w:tcW w:w="839" w:type="dxa"/>
            <w:vMerge w:val="continue"/>
            <w:vAlign w:val="center"/>
          </w:tcPr>
          <w:p w14:paraId="74D5ECD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rPr>
            </w:pPr>
          </w:p>
        </w:tc>
        <w:tc>
          <w:tcPr>
            <w:tcW w:w="792" w:type="dxa"/>
            <w:vMerge w:val="continue"/>
            <w:vAlign w:val="center"/>
          </w:tcPr>
          <w:p w14:paraId="636BCBC5">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rPr>
            </w:pPr>
          </w:p>
        </w:tc>
        <w:tc>
          <w:tcPr>
            <w:tcW w:w="5639" w:type="dxa"/>
            <w:vAlign w:val="center"/>
          </w:tcPr>
          <w:p w14:paraId="091EA635">
            <w:pPr>
              <w:widowControl/>
              <w:kinsoku w:val="0"/>
              <w:autoSpaceDE w:val="0"/>
              <w:autoSpaceDN w:val="0"/>
              <w:adjustRightInd w:val="0"/>
              <w:snapToGrid w:val="0"/>
              <w:spacing w:before="51" w:line="268" w:lineRule="auto"/>
              <w:ind w:left="114" w:right="33"/>
              <w:jc w:val="both"/>
              <w:textAlignment w:val="baseline"/>
              <w:rPr>
                <w:rFonts w:hint="eastAsia" w:ascii="宋体" w:hAnsi="宋体" w:eastAsia="宋体" w:cs="宋体"/>
                <w:snapToGrid w:val="0"/>
                <w:color w:val="auto"/>
                <w:kern w:val="0"/>
                <w:sz w:val="21"/>
                <w:szCs w:val="21"/>
              </w:rPr>
            </w:pPr>
          </w:p>
        </w:tc>
        <w:tc>
          <w:tcPr>
            <w:tcW w:w="1290" w:type="dxa"/>
            <w:vMerge w:val="continue"/>
            <w:vAlign w:val="center"/>
          </w:tcPr>
          <w:p w14:paraId="4D99627B">
            <w:pPr>
              <w:widowControl/>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rPr>
            </w:pPr>
          </w:p>
        </w:tc>
        <w:tc>
          <w:tcPr>
            <w:tcW w:w="855" w:type="dxa"/>
            <w:vMerge w:val="continue"/>
            <w:vAlign w:val="center"/>
          </w:tcPr>
          <w:p w14:paraId="5C78D274">
            <w:pPr>
              <w:widowControl/>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rPr>
            </w:pPr>
          </w:p>
        </w:tc>
      </w:tr>
    </w:tbl>
    <w:p w14:paraId="101CA8E6">
      <w:pPr>
        <w:widowControl/>
        <w:kinsoku w:val="0"/>
        <w:autoSpaceDE w:val="0"/>
        <w:autoSpaceDN w:val="0"/>
        <w:adjustRightInd w:val="0"/>
        <w:snapToGrid w:val="0"/>
        <w:spacing w:line="127" w:lineRule="auto"/>
        <w:jc w:val="left"/>
        <w:textAlignment w:val="baseline"/>
        <w:rPr>
          <w:rFonts w:ascii="Arial" w:hAnsi="Arial" w:eastAsia="Arial" w:cs="Arial"/>
          <w:snapToGrid w:val="0"/>
          <w:color w:val="auto"/>
          <w:kern w:val="0"/>
          <w:sz w:val="2"/>
          <w:szCs w:val="21"/>
        </w:rPr>
      </w:pPr>
    </w:p>
    <w:p w14:paraId="15F04D70">
      <w:pPr>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 w:val="21"/>
          <w:szCs w:val="21"/>
          <w:lang w:val="en-US" w:eastAsia="zh-CN"/>
        </w:rPr>
      </w:pPr>
    </w:p>
    <w:p w14:paraId="102DA017">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lang w:val="en-US" w:eastAsia="zh-CN"/>
        </w:rPr>
      </w:pPr>
    </w:p>
    <w:p w14:paraId="253B2A84">
      <w:pPr>
        <w:tabs>
          <w:tab w:val="left" w:pos="283"/>
        </w:tabs>
        <w:kinsoku w:val="0"/>
        <w:autoSpaceDE w:val="0"/>
        <w:autoSpaceDN w:val="0"/>
        <w:adjustRightInd w:val="0"/>
        <w:snapToGrid w:val="0"/>
        <w:spacing w:line="240" w:lineRule="auto"/>
        <w:ind w:firstLine="420" w:firstLineChars="200"/>
        <w:jc w:val="left"/>
        <w:textAlignment w:val="baseline"/>
        <w:rPr>
          <w:rFonts w:hint="default" w:ascii="Arial" w:hAnsi="Arial" w:eastAsia="宋体" w:cs="Arial"/>
          <w:snapToGrid w:val="0"/>
          <w:color w:val="auto"/>
          <w:kern w:val="0"/>
          <w:sz w:val="21"/>
          <w:szCs w:val="21"/>
          <w:lang w:val="en-US" w:eastAsia="zh-CN"/>
        </w:rPr>
      </w:pPr>
    </w:p>
    <w:p w14:paraId="7870ADB7">
      <w:pPr>
        <w:tabs>
          <w:tab w:val="left" w:pos="283"/>
        </w:tabs>
        <w:kinsoku w:val="0"/>
        <w:autoSpaceDE w:val="0"/>
        <w:autoSpaceDN w:val="0"/>
        <w:adjustRightInd w:val="0"/>
        <w:snapToGrid w:val="0"/>
        <w:spacing w:line="240" w:lineRule="auto"/>
        <w:ind w:firstLine="420" w:firstLineChars="200"/>
        <w:jc w:val="left"/>
        <w:textAlignment w:val="baseline"/>
        <w:rPr>
          <w:rFonts w:hint="default" w:ascii="Arial" w:hAnsi="Arial" w:eastAsia="宋体" w:cs="Arial"/>
          <w:snapToGrid w:val="0"/>
          <w:color w:val="auto"/>
          <w:kern w:val="0"/>
          <w:sz w:val="21"/>
          <w:szCs w:val="21"/>
          <w:lang w:val="en-US" w:eastAsia="zh-CN"/>
        </w:rPr>
        <w:sectPr>
          <w:pgSz w:w="11906" w:h="16838"/>
          <w:pgMar w:top="1304" w:right="1247" w:bottom="1418" w:left="1247" w:header="851" w:footer="992" w:gutter="0"/>
          <w:pgNumType w:fmt="decimal"/>
          <w:cols w:space="720" w:num="1"/>
          <w:docGrid w:linePitch="312" w:charSpace="0"/>
        </w:sectPr>
      </w:pPr>
    </w:p>
    <w:p w14:paraId="499DA6BE">
      <w:pPr>
        <w:widowControl/>
        <w:kinsoku w:val="0"/>
        <w:autoSpaceDE w:val="0"/>
        <w:autoSpaceDN w:val="0"/>
        <w:adjustRightInd w:val="0"/>
        <w:snapToGrid w:val="0"/>
        <w:spacing w:line="240" w:lineRule="auto"/>
        <w:jc w:val="left"/>
        <w:textAlignment w:val="baseline"/>
        <w:rPr>
          <w:rFonts w:hint="eastAsia" w:ascii="宋体" w:hAnsi="宋体" w:eastAsia="宋体" w:cs="宋体"/>
          <w:b w:val="0"/>
          <w:bCs/>
          <w:snapToGrid w:val="0"/>
          <w:color w:val="auto"/>
          <w:kern w:val="0"/>
          <w:sz w:val="40"/>
          <w:szCs w:val="40"/>
          <w:lang w:val="en-US" w:eastAsia="zh-CN"/>
        </w:rPr>
      </w:pPr>
      <w:r>
        <w:rPr>
          <w:rFonts w:hint="eastAsia" w:ascii="宋体" w:hAnsi="宋体" w:eastAsia="宋体" w:cs="宋体"/>
          <w:b w:val="0"/>
          <w:bCs/>
          <w:snapToGrid w:val="0"/>
          <w:color w:val="auto"/>
          <w:kern w:val="0"/>
          <w:sz w:val="40"/>
          <w:szCs w:val="40"/>
          <w:lang w:eastAsia="zh-CN"/>
        </w:rPr>
        <w:t>附件</w:t>
      </w:r>
      <w:r>
        <w:rPr>
          <w:rFonts w:hint="eastAsia" w:ascii="宋体" w:hAnsi="宋体" w:eastAsia="宋体" w:cs="宋体"/>
          <w:b w:val="0"/>
          <w:bCs/>
          <w:snapToGrid w:val="0"/>
          <w:color w:val="auto"/>
          <w:kern w:val="0"/>
          <w:sz w:val="40"/>
          <w:szCs w:val="40"/>
          <w:lang w:val="en-US" w:eastAsia="zh-CN"/>
        </w:rPr>
        <w:t>2</w:t>
      </w:r>
    </w:p>
    <w:p w14:paraId="5DEF0D52">
      <w:pPr>
        <w:widowControl/>
        <w:kinsoku w:val="0"/>
        <w:autoSpaceDE w:val="0"/>
        <w:autoSpaceDN w:val="0"/>
        <w:adjustRightInd w:val="0"/>
        <w:snapToGrid w:val="0"/>
        <w:spacing w:line="240" w:lineRule="auto"/>
        <w:jc w:val="left"/>
        <w:textAlignment w:val="baseline"/>
        <w:rPr>
          <w:rFonts w:hint="eastAsia" w:ascii="宋体" w:hAnsi="宋体" w:eastAsia="宋体" w:cs="宋体"/>
          <w:b w:val="0"/>
          <w:bCs/>
          <w:snapToGrid w:val="0"/>
          <w:color w:val="auto"/>
          <w:kern w:val="0"/>
          <w:sz w:val="40"/>
          <w:szCs w:val="40"/>
          <w:lang w:val="en-US" w:eastAsia="zh-CN"/>
        </w:rPr>
      </w:pPr>
    </w:p>
    <w:p w14:paraId="304678E4">
      <w:pPr>
        <w:widowControl/>
        <w:kinsoku w:val="0"/>
        <w:autoSpaceDE w:val="0"/>
        <w:autoSpaceDN w:val="0"/>
        <w:adjustRightInd w:val="0"/>
        <w:snapToGrid w:val="0"/>
        <w:spacing w:line="240" w:lineRule="auto"/>
        <w:jc w:val="center"/>
        <w:textAlignment w:val="baseline"/>
        <w:rPr>
          <w:rFonts w:hint="eastAsia" w:ascii="方正小标宋_GBK" w:hAnsi="方正小标宋_GBK" w:eastAsia="方正小标宋_GBK" w:cs="方正小标宋_GBK"/>
          <w:b w:val="0"/>
          <w:bCs/>
          <w:snapToGrid w:val="0"/>
          <w:color w:val="auto"/>
          <w:kern w:val="0"/>
          <w:sz w:val="40"/>
          <w:szCs w:val="40"/>
          <w:lang w:eastAsia="zh-CN"/>
        </w:rPr>
      </w:pPr>
      <w:r>
        <w:rPr>
          <w:rFonts w:hint="eastAsia" w:ascii="方正小标宋_GBK" w:hAnsi="方正小标宋_GBK" w:eastAsia="方正小标宋_GBK" w:cs="方正小标宋_GBK"/>
          <w:b w:val="0"/>
          <w:bCs/>
          <w:snapToGrid w:val="0"/>
          <w:color w:val="auto"/>
          <w:kern w:val="0"/>
          <w:sz w:val="40"/>
          <w:szCs w:val="40"/>
        </w:rPr>
        <w:t>网络安全驻场工作</w:t>
      </w:r>
      <w:r>
        <w:rPr>
          <w:rFonts w:hint="eastAsia" w:ascii="方正小标宋_GBK" w:hAnsi="方正小标宋_GBK" w:eastAsia="方正小标宋_GBK" w:cs="方正小标宋_GBK"/>
          <w:b w:val="0"/>
          <w:bCs/>
          <w:snapToGrid w:val="0"/>
          <w:color w:val="auto"/>
          <w:kern w:val="0"/>
          <w:sz w:val="40"/>
          <w:szCs w:val="40"/>
          <w:lang w:eastAsia="zh-CN"/>
        </w:rPr>
        <w:t>第</w:t>
      </w:r>
      <w:r>
        <w:rPr>
          <w:rFonts w:hint="eastAsia" w:ascii="方正小标宋_GBK" w:hAnsi="方正小标宋_GBK" w:eastAsia="方正小标宋_GBK" w:cs="方正小标宋_GBK"/>
          <w:b w:val="0"/>
          <w:bCs/>
          <w:snapToGrid w:val="0"/>
          <w:color w:val="auto"/>
          <w:kern w:val="0"/>
          <w:sz w:val="40"/>
          <w:szCs w:val="40"/>
          <w:u w:val="single"/>
          <w:lang w:val="en-US" w:eastAsia="zh-CN"/>
        </w:rPr>
        <w:t xml:space="preserve">   </w:t>
      </w:r>
      <w:r>
        <w:rPr>
          <w:rFonts w:hint="eastAsia" w:ascii="方正小标宋_GBK" w:hAnsi="方正小标宋_GBK" w:eastAsia="方正小标宋_GBK" w:cs="方正小标宋_GBK"/>
          <w:b w:val="0"/>
          <w:bCs/>
          <w:snapToGrid w:val="0"/>
          <w:color w:val="auto"/>
          <w:kern w:val="0"/>
          <w:sz w:val="40"/>
          <w:szCs w:val="40"/>
          <w:lang w:eastAsia="zh-CN"/>
        </w:rPr>
        <w:t>季度</w:t>
      </w:r>
      <w:r>
        <w:rPr>
          <w:rFonts w:hint="eastAsia" w:ascii="方正小标宋_GBK" w:hAnsi="方正小标宋_GBK" w:eastAsia="方正小标宋_GBK" w:cs="方正小标宋_GBK"/>
          <w:b w:val="0"/>
          <w:bCs/>
          <w:snapToGrid w:val="0"/>
          <w:color w:val="auto"/>
          <w:kern w:val="0"/>
          <w:sz w:val="40"/>
          <w:szCs w:val="40"/>
        </w:rPr>
        <w:t>效考核评分表</w:t>
      </w:r>
      <w:r>
        <w:rPr>
          <w:rFonts w:hint="eastAsia" w:ascii="方正小标宋_GBK" w:hAnsi="方正小标宋_GBK" w:eastAsia="方正小标宋_GBK" w:cs="方正小标宋_GBK"/>
          <w:b w:val="0"/>
          <w:bCs/>
          <w:snapToGrid w:val="0"/>
          <w:color w:val="auto"/>
          <w:kern w:val="0"/>
          <w:sz w:val="40"/>
          <w:szCs w:val="40"/>
          <w:lang w:eastAsia="zh-CN"/>
        </w:rPr>
        <w:t>（</w:t>
      </w:r>
      <w:r>
        <w:rPr>
          <w:rFonts w:hint="eastAsia" w:ascii="方正小标宋_GBK" w:hAnsi="方正小标宋_GBK" w:eastAsia="方正小标宋_GBK" w:cs="方正小标宋_GBK"/>
          <w:b w:val="0"/>
          <w:bCs/>
          <w:snapToGrid w:val="0"/>
          <w:color w:val="auto"/>
          <w:kern w:val="0"/>
          <w:sz w:val="40"/>
          <w:szCs w:val="40"/>
          <w:lang w:val="en-US" w:eastAsia="zh-CN"/>
        </w:rPr>
        <w:t>以合同为主</w:t>
      </w:r>
      <w:r>
        <w:rPr>
          <w:rFonts w:hint="eastAsia" w:ascii="方正小标宋_GBK" w:hAnsi="方正小标宋_GBK" w:eastAsia="方正小标宋_GBK" w:cs="方正小标宋_GBK"/>
          <w:b w:val="0"/>
          <w:bCs/>
          <w:snapToGrid w:val="0"/>
          <w:color w:val="auto"/>
          <w:kern w:val="0"/>
          <w:sz w:val="40"/>
          <w:szCs w:val="40"/>
          <w:lang w:eastAsia="zh-CN"/>
        </w:rPr>
        <w:t>）</w:t>
      </w:r>
    </w:p>
    <w:p w14:paraId="6E341F59">
      <w:pPr>
        <w:widowControl/>
        <w:kinsoku w:val="0"/>
        <w:autoSpaceDE w:val="0"/>
        <w:autoSpaceDN w:val="0"/>
        <w:adjustRightInd w:val="0"/>
        <w:snapToGrid w:val="0"/>
        <w:spacing w:line="240" w:lineRule="auto"/>
        <w:jc w:val="center"/>
        <w:textAlignment w:val="baseline"/>
        <w:rPr>
          <w:rFonts w:hint="eastAsia" w:ascii="Arial" w:hAnsi="Arial" w:eastAsia="宋体" w:cs="Arial"/>
          <w:b w:val="0"/>
          <w:bCs/>
          <w:snapToGrid w:val="0"/>
          <w:color w:val="auto"/>
          <w:kern w:val="0"/>
          <w:sz w:val="28"/>
          <w:szCs w:val="28"/>
          <w:lang w:val="en-US" w:eastAsia="zh-CN"/>
        </w:rPr>
      </w:pPr>
      <w:r>
        <w:rPr>
          <w:rFonts w:hint="eastAsia" w:ascii="Arial" w:hAnsi="Arial" w:eastAsia="Arial" w:cs="Arial"/>
          <w:b w:val="0"/>
          <w:bCs/>
          <w:snapToGrid w:val="0"/>
          <w:color w:val="auto"/>
          <w:kern w:val="0"/>
          <w:sz w:val="28"/>
          <w:szCs w:val="28"/>
          <w:lang w:val="en-US" w:eastAsia="zh-CN"/>
        </w:rPr>
        <w:t xml:space="preserve"> 年    </w:t>
      </w:r>
      <w:r>
        <w:rPr>
          <w:rFonts w:hint="eastAsia" w:ascii="Arial" w:hAnsi="Arial" w:eastAsia="Arial" w:cs="Arial"/>
          <w:b w:val="0"/>
          <w:bCs/>
          <w:snapToGrid w:val="0"/>
          <w:color w:val="auto"/>
          <w:kern w:val="0"/>
          <w:sz w:val="28"/>
          <w:szCs w:val="28"/>
          <w:lang w:eastAsia="zh-CN"/>
        </w:rPr>
        <w:t>月</w:t>
      </w:r>
      <w:r>
        <w:rPr>
          <w:rFonts w:hint="eastAsia" w:ascii="Arial" w:hAnsi="Arial" w:eastAsia="Arial" w:cs="Arial"/>
          <w:b w:val="0"/>
          <w:bCs/>
          <w:snapToGrid w:val="0"/>
          <w:color w:val="auto"/>
          <w:kern w:val="0"/>
          <w:sz w:val="28"/>
          <w:szCs w:val="28"/>
          <w:lang w:val="en-US" w:eastAsia="zh-CN"/>
        </w:rPr>
        <w:t xml:space="preserve">    日</w:t>
      </w:r>
    </w:p>
    <w:tbl>
      <w:tblPr>
        <w:tblStyle w:val="4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1"/>
        <w:gridCol w:w="3259"/>
      </w:tblGrid>
      <w:tr w14:paraId="2FCC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041" w:type="dxa"/>
            <w:vAlign w:val="center"/>
          </w:tcPr>
          <w:p w14:paraId="6EF916EE">
            <w:pPr>
              <w:widowControl w:val="0"/>
              <w:tabs>
                <w:tab w:val="left" w:pos="1893"/>
              </w:tabs>
              <w:kinsoku w:val="0"/>
              <w:autoSpaceDE w:val="0"/>
              <w:autoSpaceDN w:val="0"/>
              <w:adjustRightInd w:val="0"/>
              <w:snapToGrid w:val="0"/>
              <w:spacing w:line="240" w:lineRule="auto"/>
              <w:jc w:val="center"/>
              <w:textAlignment w:val="baseline"/>
              <w:rPr>
                <w:rFonts w:hint="eastAsia" w:ascii="Arial" w:hAnsi="Arial" w:eastAsia="宋体" w:cs="Arial"/>
                <w:b/>
                <w:bCs/>
                <w:snapToGrid w:val="0"/>
                <w:color w:val="auto"/>
                <w:kern w:val="0"/>
                <w:sz w:val="32"/>
                <w:szCs w:val="36"/>
                <w:vertAlign w:val="baseline"/>
                <w:lang w:eastAsia="zh-CN"/>
              </w:rPr>
            </w:pPr>
            <w:r>
              <w:rPr>
                <w:rFonts w:hint="eastAsia" w:ascii="Arial" w:hAnsi="Arial" w:eastAsia="Arial" w:cs="Arial"/>
                <w:b/>
                <w:bCs/>
                <w:snapToGrid w:val="0"/>
                <w:color w:val="auto"/>
                <w:kern w:val="0"/>
                <w:sz w:val="32"/>
                <w:szCs w:val="36"/>
                <w:vertAlign w:val="baseline"/>
                <w:lang w:eastAsia="zh-CN"/>
              </w:rPr>
              <w:t>考核类型</w:t>
            </w:r>
          </w:p>
        </w:tc>
        <w:tc>
          <w:tcPr>
            <w:tcW w:w="3259" w:type="dxa"/>
            <w:vAlign w:val="center"/>
          </w:tcPr>
          <w:p w14:paraId="114B1460">
            <w:pPr>
              <w:widowControl w:val="0"/>
              <w:kinsoku w:val="0"/>
              <w:autoSpaceDE w:val="0"/>
              <w:autoSpaceDN w:val="0"/>
              <w:adjustRightInd w:val="0"/>
              <w:snapToGrid w:val="0"/>
              <w:spacing w:line="240" w:lineRule="auto"/>
              <w:jc w:val="center"/>
              <w:textAlignment w:val="baseline"/>
              <w:rPr>
                <w:rFonts w:hint="eastAsia" w:ascii="Arial" w:hAnsi="Arial" w:eastAsia="宋体" w:cs="Arial"/>
                <w:b/>
                <w:bCs/>
                <w:snapToGrid w:val="0"/>
                <w:color w:val="auto"/>
                <w:kern w:val="0"/>
                <w:sz w:val="32"/>
                <w:szCs w:val="36"/>
                <w:vertAlign w:val="baseline"/>
                <w:lang w:val="en-US" w:eastAsia="zh-CN"/>
              </w:rPr>
            </w:pPr>
            <w:r>
              <w:rPr>
                <w:rFonts w:hint="eastAsia" w:ascii="Arial" w:hAnsi="Arial" w:eastAsia="Arial" w:cs="Arial"/>
                <w:b/>
                <w:bCs/>
                <w:snapToGrid w:val="0"/>
                <w:color w:val="auto"/>
                <w:kern w:val="0"/>
                <w:sz w:val="32"/>
                <w:szCs w:val="36"/>
                <w:vertAlign w:val="baseline"/>
                <w:lang w:val="en-US" w:eastAsia="zh-CN"/>
              </w:rPr>
              <w:t>得分</w:t>
            </w:r>
          </w:p>
        </w:tc>
      </w:tr>
      <w:tr w14:paraId="23C0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041" w:type="dxa"/>
            <w:vAlign w:val="center"/>
          </w:tcPr>
          <w:p w14:paraId="03ACBE49">
            <w:pPr>
              <w:widowControl w:val="0"/>
              <w:kinsoku w:val="0"/>
              <w:autoSpaceDE w:val="0"/>
              <w:autoSpaceDN w:val="0"/>
              <w:adjustRightInd w:val="0"/>
              <w:snapToGrid w:val="0"/>
              <w:spacing w:line="240" w:lineRule="auto"/>
              <w:jc w:val="center"/>
              <w:textAlignment w:val="baseline"/>
              <w:rPr>
                <w:rFonts w:hint="eastAsia" w:ascii="Arial" w:hAnsi="Arial" w:eastAsia="宋体" w:cs="Arial"/>
                <w:snapToGrid w:val="0"/>
                <w:color w:val="auto"/>
                <w:kern w:val="0"/>
                <w:sz w:val="24"/>
                <w:szCs w:val="24"/>
                <w:vertAlign w:val="baseline"/>
                <w:lang w:eastAsia="zh-CN"/>
              </w:rPr>
            </w:pPr>
            <w:r>
              <w:rPr>
                <w:rFonts w:hint="eastAsia" w:ascii="Arial" w:hAnsi="Arial" w:eastAsia="Arial" w:cs="Arial"/>
                <w:snapToGrid w:val="0"/>
                <w:color w:val="auto"/>
                <w:kern w:val="0"/>
                <w:sz w:val="24"/>
                <w:szCs w:val="24"/>
                <w:vertAlign w:val="baseline"/>
                <w:lang w:eastAsia="zh-CN"/>
              </w:rPr>
              <w:t>考勤：</w:t>
            </w:r>
            <w:r>
              <w:rPr>
                <w:rFonts w:ascii="Arial" w:hAnsi="Arial" w:eastAsia="Arial" w:cs="Arial"/>
                <w:snapToGrid w:val="0"/>
                <w:color w:val="auto"/>
                <w:kern w:val="0"/>
                <w:sz w:val="24"/>
                <w:szCs w:val="24"/>
              </w:rPr>
              <w:t>请假一次扣</w:t>
            </w:r>
            <w:r>
              <w:rPr>
                <w:rFonts w:hint="eastAsia" w:ascii="Arial" w:hAnsi="Arial" w:eastAsia="Arial" w:cs="Arial"/>
                <w:snapToGrid w:val="0"/>
                <w:color w:val="auto"/>
                <w:kern w:val="0"/>
                <w:sz w:val="24"/>
                <w:szCs w:val="24"/>
              </w:rPr>
              <w:t>0.5分</w:t>
            </w:r>
            <w:r>
              <w:rPr>
                <w:rFonts w:ascii="Arial" w:hAnsi="Arial" w:eastAsia="Arial" w:cs="Arial"/>
                <w:snapToGrid w:val="0"/>
                <w:color w:val="auto"/>
                <w:kern w:val="0"/>
                <w:sz w:val="24"/>
                <w:szCs w:val="24"/>
              </w:rPr>
              <w:t>，缺勤一次扣</w:t>
            </w:r>
            <w:r>
              <w:rPr>
                <w:rFonts w:hint="eastAsia" w:ascii="Arial" w:hAnsi="Arial" w:eastAsia="宋体" w:cs="Arial"/>
                <w:snapToGrid w:val="0"/>
                <w:color w:val="auto"/>
                <w:kern w:val="0"/>
                <w:sz w:val="24"/>
                <w:szCs w:val="24"/>
                <w:lang w:val="en-US" w:eastAsia="zh-CN"/>
              </w:rPr>
              <w:t>4</w:t>
            </w:r>
            <w:r>
              <w:rPr>
                <w:rFonts w:hint="eastAsia" w:ascii="Arial" w:hAnsi="Arial" w:eastAsia="Arial" w:cs="Arial"/>
                <w:snapToGrid w:val="0"/>
                <w:color w:val="auto"/>
                <w:kern w:val="0"/>
                <w:sz w:val="24"/>
                <w:szCs w:val="24"/>
              </w:rPr>
              <w:t>分，</w:t>
            </w:r>
            <w:r>
              <w:rPr>
                <w:rFonts w:hint="eastAsia" w:ascii="Arial" w:hAnsi="Arial" w:eastAsia="宋体" w:cs="Arial"/>
                <w:snapToGrid w:val="0"/>
                <w:color w:val="auto"/>
                <w:kern w:val="0"/>
                <w:sz w:val="24"/>
                <w:szCs w:val="24"/>
                <w:lang w:val="en-US" w:eastAsia="zh-CN"/>
              </w:rPr>
              <w:t>卫生不合格扣5分，</w:t>
            </w:r>
            <w:r>
              <w:rPr>
                <w:rFonts w:hint="eastAsia" w:ascii="Arial" w:hAnsi="Arial" w:eastAsia="Arial" w:cs="Arial"/>
                <w:snapToGrid w:val="0"/>
                <w:color w:val="auto"/>
                <w:kern w:val="0"/>
                <w:sz w:val="24"/>
                <w:szCs w:val="24"/>
              </w:rPr>
              <w:t>10:</w:t>
            </w:r>
            <w:r>
              <w:rPr>
                <w:rFonts w:hint="eastAsia" w:ascii="Arial" w:hAnsi="Arial" w:eastAsia="宋体" w:cs="Arial"/>
                <w:snapToGrid w:val="0"/>
                <w:color w:val="auto"/>
                <w:kern w:val="0"/>
                <w:sz w:val="24"/>
                <w:szCs w:val="24"/>
                <w:lang w:val="en-US" w:eastAsia="zh-CN"/>
              </w:rPr>
              <w:t>0</w:t>
            </w:r>
            <w:r>
              <w:rPr>
                <w:rFonts w:hint="eastAsia" w:ascii="Arial" w:hAnsi="Arial" w:eastAsia="Arial" w:cs="Arial"/>
                <w:snapToGrid w:val="0"/>
                <w:color w:val="auto"/>
                <w:kern w:val="0"/>
                <w:sz w:val="24"/>
                <w:szCs w:val="24"/>
              </w:rPr>
              <w:t>0以后，</w:t>
            </w:r>
            <w:r>
              <w:rPr>
                <w:rFonts w:hint="eastAsia" w:ascii="Arial" w:hAnsi="Arial" w:eastAsia="宋体" w:cs="Arial"/>
                <w:snapToGrid w:val="0"/>
                <w:color w:val="auto"/>
                <w:kern w:val="0"/>
                <w:sz w:val="24"/>
                <w:szCs w:val="24"/>
                <w:lang w:val="en-US" w:eastAsia="zh-CN"/>
              </w:rPr>
              <w:t>20：0</w:t>
            </w:r>
            <w:r>
              <w:rPr>
                <w:rFonts w:ascii="Arial" w:hAnsi="Arial" w:eastAsia="Arial" w:cs="Arial"/>
                <w:snapToGrid w:val="0"/>
                <w:color w:val="auto"/>
                <w:kern w:val="0"/>
                <w:sz w:val="24"/>
                <w:szCs w:val="24"/>
              </w:rPr>
              <w:t>0之前</w:t>
            </w:r>
            <w:r>
              <w:rPr>
                <w:rFonts w:hint="eastAsia" w:ascii="Arial" w:hAnsi="Arial" w:eastAsia="Arial" w:cs="Arial"/>
                <w:snapToGrid w:val="0"/>
                <w:color w:val="auto"/>
                <w:kern w:val="0"/>
                <w:sz w:val="24"/>
                <w:szCs w:val="24"/>
              </w:rPr>
              <w:t>算</w:t>
            </w:r>
            <w:r>
              <w:rPr>
                <w:rFonts w:ascii="Arial" w:hAnsi="Arial" w:eastAsia="Arial" w:cs="Arial"/>
                <w:snapToGrid w:val="0"/>
                <w:color w:val="auto"/>
                <w:kern w:val="0"/>
                <w:sz w:val="24"/>
                <w:szCs w:val="24"/>
              </w:rPr>
              <w:t>迟到早退，扣</w:t>
            </w:r>
            <w:r>
              <w:rPr>
                <w:rFonts w:hint="eastAsia" w:ascii="Arial" w:hAnsi="Arial" w:eastAsia="宋体" w:cs="Arial"/>
                <w:snapToGrid w:val="0"/>
                <w:color w:val="auto"/>
                <w:kern w:val="0"/>
                <w:sz w:val="24"/>
                <w:szCs w:val="24"/>
                <w:lang w:val="en-US" w:eastAsia="zh-CN"/>
              </w:rPr>
              <w:t>2</w:t>
            </w:r>
            <w:r>
              <w:rPr>
                <w:rFonts w:hint="eastAsia" w:ascii="Arial" w:hAnsi="Arial" w:eastAsia="Arial" w:cs="Arial"/>
                <w:snapToGrid w:val="0"/>
                <w:color w:val="auto"/>
                <w:kern w:val="0"/>
                <w:sz w:val="24"/>
                <w:szCs w:val="24"/>
              </w:rPr>
              <w:t>分</w:t>
            </w:r>
            <w:r>
              <w:rPr>
                <w:rFonts w:ascii="Arial" w:hAnsi="Arial" w:eastAsia="Arial" w:cs="Arial"/>
                <w:snapToGrid w:val="0"/>
                <w:color w:val="auto"/>
                <w:kern w:val="0"/>
                <w:sz w:val="24"/>
                <w:szCs w:val="24"/>
              </w:rPr>
              <w:t>。</w:t>
            </w:r>
            <w:r>
              <w:rPr>
                <w:rFonts w:hint="eastAsia" w:ascii="Arial" w:hAnsi="Arial" w:eastAsia="Arial" w:cs="Arial"/>
                <w:snapToGrid w:val="0"/>
                <w:color w:val="auto"/>
                <w:kern w:val="0"/>
                <w:sz w:val="24"/>
                <w:szCs w:val="24"/>
                <w:lang w:eastAsia="zh-CN"/>
              </w:rPr>
              <w:t>（满分</w:t>
            </w:r>
            <w:r>
              <w:rPr>
                <w:rFonts w:hint="eastAsia" w:ascii="Arial" w:hAnsi="Arial" w:eastAsia="Arial" w:cs="Arial"/>
                <w:snapToGrid w:val="0"/>
                <w:color w:val="auto"/>
                <w:kern w:val="0"/>
                <w:sz w:val="24"/>
                <w:szCs w:val="24"/>
                <w:lang w:val="en-US" w:eastAsia="zh-CN"/>
              </w:rPr>
              <w:t>40分</w:t>
            </w:r>
            <w:r>
              <w:rPr>
                <w:rFonts w:hint="eastAsia" w:ascii="Arial" w:hAnsi="Arial" w:eastAsia="Arial" w:cs="Arial"/>
                <w:snapToGrid w:val="0"/>
                <w:color w:val="auto"/>
                <w:kern w:val="0"/>
                <w:sz w:val="24"/>
                <w:szCs w:val="24"/>
                <w:lang w:eastAsia="zh-CN"/>
              </w:rPr>
              <w:t>）</w:t>
            </w:r>
          </w:p>
        </w:tc>
        <w:tc>
          <w:tcPr>
            <w:tcW w:w="3259" w:type="dxa"/>
            <w:vAlign w:val="center"/>
          </w:tcPr>
          <w:p w14:paraId="1FA203DB">
            <w:pPr>
              <w:widowControl w:val="0"/>
              <w:kinsoku w:val="0"/>
              <w:autoSpaceDE w:val="0"/>
              <w:autoSpaceDN w:val="0"/>
              <w:adjustRightInd w:val="0"/>
              <w:snapToGrid w:val="0"/>
              <w:spacing w:line="240" w:lineRule="auto"/>
              <w:jc w:val="center"/>
              <w:textAlignment w:val="baseline"/>
              <w:rPr>
                <w:rFonts w:hint="eastAsia" w:ascii="Arial" w:hAnsi="Arial" w:eastAsia="宋体" w:cs="Arial"/>
                <w:snapToGrid w:val="0"/>
                <w:color w:val="auto"/>
                <w:kern w:val="0"/>
                <w:szCs w:val="21"/>
                <w:vertAlign w:val="baseline"/>
                <w:lang w:val="en-US" w:eastAsia="zh-CN"/>
              </w:rPr>
            </w:pPr>
          </w:p>
        </w:tc>
      </w:tr>
      <w:tr w14:paraId="6DE3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6041" w:type="dxa"/>
            <w:vAlign w:val="center"/>
          </w:tcPr>
          <w:p w14:paraId="3DAC7A40">
            <w:pPr>
              <w:widowControl w:val="0"/>
              <w:numPr>
                <w:ilvl w:val="0"/>
                <w:numId w:val="0"/>
              </w:numPr>
              <w:kinsoku w:val="0"/>
              <w:autoSpaceDE w:val="0"/>
              <w:autoSpaceDN w:val="0"/>
              <w:adjustRightInd w:val="0"/>
              <w:snapToGrid w:val="0"/>
              <w:spacing w:line="240" w:lineRule="auto"/>
              <w:ind w:leftChars="0" w:firstLine="480" w:firstLineChars="20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vertAlign w:val="baseline"/>
                <w:lang w:eastAsia="zh-CN"/>
              </w:rPr>
              <w:t>月交付物（满分</w:t>
            </w:r>
            <w:r>
              <w:rPr>
                <w:rFonts w:hint="eastAsia" w:ascii="Arial" w:hAnsi="Arial" w:eastAsia="Arial" w:cs="Arial"/>
                <w:snapToGrid w:val="0"/>
                <w:color w:val="auto"/>
                <w:kern w:val="0"/>
                <w:sz w:val="24"/>
                <w:szCs w:val="24"/>
                <w:vertAlign w:val="baseline"/>
                <w:lang w:val="en-US" w:eastAsia="zh-CN"/>
              </w:rPr>
              <w:t>30分</w:t>
            </w:r>
            <w:r>
              <w:rPr>
                <w:rFonts w:hint="eastAsia" w:ascii="Arial" w:hAnsi="Arial" w:eastAsia="Arial" w:cs="Arial"/>
                <w:snapToGrid w:val="0"/>
                <w:color w:val="auto"/>
                <w:kern w:val="0"/>
                <w:sz w:val="24"/>
                <w:szCs w:val="24"/>
                <w:vertAlign w:val="baseline"/>
                <w:lang w:eastAsia="zh-CN"/>
              </w:rPr>
              <w:t>）：</w:t>
            </w:r>
          </w:p>
          <w:p w14:paraId="10BE2DFD">
            <w:pPr>
              <w:widowControl w:val="0"/>
              <w:numPr>
                <w:ilvl w:val="0"/>
                <w:numId w:val="3"/>
              </w:numPr>
              <w:kinsoku w:val="0"/>
              <w:autoSpaceDE w:val="0"/>
              <w:autoSpaceDN w:val="0"/>
              <w:adjustRightInd w:val="0"/>
              <w:snapToGrid w:val="0"/>
              <w:spacing w:line="240" w:lineRule="auto"/>
              <w:ind w:left="420" w:hanging="42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lang w:val="en-US" w:eastAsia="zh-CN"/>
              </w:rPr>
              <w:t xml:space="preserve"> </w:t>
            </w:r>
            <w:r>
              <w:rPr>
                <w:rFonts w:hint="eastAsia" w:ascii="Arial" w:hAnsi="Arial" w:eastAsia="Arial" w:cs="Arial"/>
                <w:snapToGrid w:val="0"/>
                <w:color w:val="auto"/>
                <w:kern w:val="0"/>
                <w:sz w:val="24"/>
                <w:szCs w:val="24"/>
              </w:rPr>
              <w:t>资产</w:t>
            </w:r>
            <w:r>
              <w:rPr>
                <w:rFonts w:ascii="Arial" w:hAnsi="Arial" w:eastAsia="Arial" w:cs="Arial"/>
                <w:snapToGrid w:val="0"/>
                <w:color w:val="auto"/>
                <w:kern w:val="0"/>
                <w:sz w:val="24"/>
                <w:szCs w:val="24"/>
              </w:rPr>
              <w:t>梳理台账及信息更新情况</w:t>
            </w:r>
            <w:r>
              <w:rPr>
                <w:rFonts w:hint="eastAsia" w:ascii="Arial" w:hAnsi="Arial" w:eastAsia="Arial" w:cs="Arial"/>
                <w:snapToGrid w:val="0"/>
                <w:color w:val="auto"/>
                <w:kern w:val="0"/>
                <w:sz w:val="24"/>
                <w:szCs w:val="24"/>
              </w:rPr>
              <w:t>（10</w:t>
            </w:r>
            <w:r>
              <w:rPr>
                <w:rFonts w:hint="eastAsia" w:ascii="Arial" w:hAnsi="Arial" w:eastAsia="Arial" w:cs="Arial"/>
                <w:snapToGrid w:val="0"/>
                <w:color w:val="auto"/>
                <w:kern w:val="0"/>
                <w:sz w:val="24"/>
                <w:szCs w:val="24"/>
                <w:lang w:eastAsia="zh-CN"/>
              </w:rPr>
              <w:t>分</w:t>
            </w:r>
            <w:r>
              <w:rPr>
                <w:rFonts w:ascii="Arial" w:hAnsi="Arial" w:eastAsia="Arial" w:cs="Arial"/>
                <w:snapToGrid w:val="0"/>
                <w:color w:val="auto"/>
                <w:kern w:val="0"/>
                <w:sz w:val="24"/>
                <w:szCs w:val="24"/>
              </w:rPr>
              <w:t>）</w:t>
            </w:r>
          </w:p>
          <w:p w14:paraId="468CEC22">
            <w:pPr>
              <w:widowControl w:val="0"/>
              <w:numPr>
                <w:ilvl w:val="0"/>
                <w:numId w:val="3"/>
              </w:numPr>
              <w:kinsoku w:val="0"/>
              <w:autoSpaceDE w:val="0"/>
              <w:autoSpaceDN w:val="0"/>
              <w:adjustRightInd w:val="0"/>
              <w:snapToGrid w:val="0"/>
              <w:spacing w:line="240" w:lineRule="auto"/>
              <w:ind w:left="420" w:hanging="42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《安全</w:t>
            </w:r>
            <w:r>
              <w:rPr>
                <w:rFonts w:ascii="Arial" w:hAnsi="Arial" w:eastAsia="Arial" w:cs="Arial"/>
                <w:snapToGrid w:val="0"/>
                <w:color w:val="auto"/>
                <w:kern w:val="0"/>
                <w:sz w:val="24"/>
                <w:szCs w:val="24"/>
              </w:rPr>
              <w:t>设备维护报告》</w:t>
            </w:r>
            <w:r>
              <w:rPr>
                <w:rFonts w:hint="eastAsia" w:ascii="Arial" w:hAnsi="Arial" w:eastAsia="Arial" w:cs="Arial"/>
                <w:snapToGrid w:val="0"/>
                <w:color w:val="auto"/>
                <w:kern w:val="0"/>
                <w:sz w:val="24"/>
                <w:szCs w:val="24"/>
              </w:rPr>
              <w:t>（10</w:t>
            </w:r>
            <w:r>
              <w:rPr>
                <w:rFonts w:hint="eastAsia" w:ascii="Arial" w:hAnsi="Arial" w:eastAsia="Arial" w:cs="Arial"/>
                <w:snapToGrid w:val="0"/>
                <w:color w:val="auto"/>
                <w:kern w:val="0"/>
                <w:sz w:val="24"/>
                <w:szCs w:val="24"/>
                <w:lang w:eastAsia="zh-CN"/>
              </w:rPr>
              <w:t>分</w:t>
            </w:r>
            <w:r>
              <w:rPr>
                <w:rFonts w:ascii="Arial" w:hAnsi="Arial" w:eastAsia="Arial" w:cs="Arial"/>
                <w:snapToGrid w:val="0"/>
                <w:color w:val="auto"/>
                <w:kern w:val="0"/>
                <w:sz w:val="24"/>
                <w:szCs w:val="24"/>
              </w:rPr>
              <w:t>）</w:t>
            </w:r>
          </w:p>
          <w:p w14:paraId="70B04382">
            <w:pPr>
              <w:widowControl w:val="0"/>
              <w:numPr>
                <w:ilvl w:val="0"/>
                <w:numId w:val="3"/>
              </w:numPr>
              <w:kinsoku w:val="0"/>
              <w:autoSpaceDE w:val="0"/>
              <w:autoSpaceDN w:val="0"/>
              <w:adjustRightInd w:val="0"/>
              <w:snapToGrid w:val="0"/>
              <w:spacing w:line="240" w:lineRule="auto"/>
              <w:ind w:left="420" w:hanging="420" w:firstLineChars="0"/>
              <w:jc w:val="left"/>
              <w:textAlignment w:val="baseline"/>
              <w:rPr>
                <w:rFonts w:hint="eastAsia" w:ascii="Arial" w:hAnsi="Arial" w:eastAsia="宋体" w:cs="Arial"/>
                <w:snapToGrid w:val="0"/>
                <w:color w:val="auto"/>
                <w:kern w:val="0"/>
                <w:sz w:val="24"/>
                <w:szCs w:val="24"/>
                <w:vertAlign w:val="baseline"/>
                <w:lang w:val="en-US" w:eastAsia="zh-CN"/>
              </w:rPr>
            </w:pPr>
            <w:r>
              <w:rPr>
                <w:rFonts w:hint="eastAsia" w:ascii="Arial" w:hAnsi="Arial" w:eastAsia="Arial" w:cs="Arial"/>
                <w:snapToGrid w:val="0"/>
                <w:color w:val="auto"/>
                <w:kern w:val="0"/>
                <w:sz w:val="24"/>
                <w:szCs w:val="24"/>
              </w:rPr>
              <w:t>《日常</w:t>
            </w:r>
            <w:r>
              <w:rPr>
                <w:rFonts w:ascii="Arial" w:hAnsi="Arial" w:eastAsia="Arial" w:cs="Arial"/>
                <w:snapToGrid w:val="0"/>
                <w:color w:val="auto"/>
                <w:kern w:val="0"/>
                <w:sz w:val="24"/>
                <w:szCs w:val="24"/>
              </w:rPr>
              <w:t>安全评估月报》</w:t>
            </w:r>
            <w:r>
              <w:rPr>
                <w:rFonts w:hint="eastAsia" w:ascii="Arial" w:hAnsi="Arial" w:eastAsia="Arial" w:cs="Arial"/>
                <w:snapToGrid w:val="0"/>
                <w:color w:val="auto"/>
                <w:kern w:val="0"/>
                <w:sz w:val="24"/>
                <w:szCs w:val="24"/>
              </w:rPr>
              <w:t>（10</w:t>
            </w:r>
            <w:r>
              <w:rPr>
                <w:rFonts w:hint="eastAsia" w:ascii="Arial" w:hAnsi="Arial" w:eastAsia="Arial" w:cs="Arial"/>
                <w:snapToGrid w:val="0"/>
                <w:color w:val="auto"/>
                <w:kern w:val="0"/>
                <w:sz w:val="24"/>
                <w:szCs w:val="24"/>
                <w:lang w:eastAsia="zh-CN"/>
              </w:rPr>
              <w:t>分</w:t>
            </w:r>
            <w:r>
              <w:rPr>
                <w:rFonts w:ascii="Arial" w:hAnsi="Arial" w:eastAsia="Arial" w:cs="Arial"/>
                <w:snapToGrid w:val="0"/>
                <w:color w:val="auto"/>
                <w:kern w:val="0"/>
                <w:sz w:val="24"/>
                <w:szCs w:val="24"/>
              </w:rPr>
              <w:t>）</w:t>
            </w:r>
          </w:p>
        </w:tc>
        <w:tc>
          <w:tcPr>
            <w:tcW w:w="3259" w:type="dxa"/>
            <w:vAlign w:val="center"/>
          </w:tcPr>
          <w:p w14:paraId="4B165FAA">
            <w:pPr>
              <w:widowControl w:val="0"/>
              <w:kinsoku w:val="0"/>
              <w:autoSpaceDE w:val="0"/>
              <w:autoSpaceDN w:val="0"/>
              <w:adjustRightInd w:val="0"/>
              <w:snapToGrid w:val="0"/>
              <w:spacing w:line="240" w:lineRule="auto"/>
              <w:jc w:val="center"/>
              <w:textAlignment w:val="baseline"/>
              <w:rPr>
                <w:rFonts w:hint="eastAsia" w:ascii="Arial" w:hAnsi="Arial" w:eastAsia="宋体" w:cs="Arial"/>
                <w:snapToGrid w:val="0"/>
                <w:color w:val="auto"/>
                <w:kern w:val="0"/>
                <w:szCs w:val="21"/>
                <w:vertAlign w:val="baseline"/>
                <w:lang w:val="en-US" w:eastAsia="zh-CN"/>
              </w:rPr>
            </w:pPr>
          </w:p>
        </w:tc>
      </w:tr>
      <w:tr w14:paraId="7176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6041" w:type="dxa"/>
            <w:vAlign w:val="center"/>
          </w:tcPr>
          <w:p w14:paraId="5A810572">
            <w:pPr>
              <w:widowControl w:val="0"/>
              <w:kinsoku w:val="0"/>
              <w:autoSpaceDE w:val="0"/>
              <w:autoSpaceDN w:val="0"/>
              <w:adjustRightInd w:val="0"/>
              <w:snapToGrid w:val="0"/>
              <w:spacing w:line="240" w:lineRule="auto"/>
              <w:jc w:val="both"/>
              <w:textAlignment w:val="baseline"/>
              <w:rPr>
                <w:rFonts w:hint="eastAsia" w:ascii="Arial" w:hAnsi="Arial" w:eastAsia="Arial" w:cs="Arial"/>
                <w:snapToGrid w:val="0"/>
                <w:color w:val="auto"/>
                <w:kern w:val="0"/>
                <w:sz w:val="24"/>
                <w:szCs w:val="24"/>
                <w:lang w:eastAsia="zh-CN"/>
              </w:rPr>
            </w:pPr>
            <w:r>
              <w:rPr>
                <w:rFonts w:hint="eastAsia" w:ascii="Arial" w:hAnsi="Arial" w:eastAsia="Arial" w:cs="Arial"/>
                <w:snapToGrid w:val="0"/>
                <w:color w:val="auto"/>
                <w:kern w:val="0"/>
                <w:sz w:val="24"/>
                <w:szCs w:val="24"/>
              </w:rPr>
              <w:t>安全</w:t>
            </w:r>
            <w:r>
              <w:rPr>
                <w:rFonts w:ascii="Arial" w:hAnsi="Arial" w:eastAsia="Arial" w:cs="Arial"/>
                <w:snapToGrid w:val="0"/>
                <w:color w:val="auto"/>
                <w:kern w:val="0"/>
                <w:sz w:val="24"/>
                <w:szCs w:val="24"/>
              </w:rPr>
              <w:t>服务</w:t>
            </w:r>
            <w:r>
              <w:rPr>
                <w:rFonts w:hint="eastAsia" w:ascii="Arial" w:hAnsi="Arial" w:eastAsia="Arial" w:cs="Arial"/>
                <w:snapToGrid w:val="0"/>
                <w:color w:val="auto"/>
                <w:kern w:val="0"/>
                <w:sz w:val="24"/>
                <w:szCs w:val="24"/>
              </w:rPr>
              <w:t xml:space="preserve"> 应急响应</w:t>
            </w:r>
            <w:r>
              <w:rPr>
                <w:rFonts w:hint="eastAsia" w:ascii="Arial" w:hAnsi="Arial" w:eastAsia="Arial" w:cs="Arial"/>
                <w:snapToGrid w:val="0"/>
                <w:color w:val="auto"/>
                <w:kern w:val="0"/>
                <w:sz w:val="24"/>
                <w:szCs w:val="24"/>
                <w:lang w:eastAsia="zh-CN"/>
              </w:rPr>
              <w:t>（满分</w:t>
            </w:r>
            <w:r>
              <w:rPr>
                <w:rFonts w:hint="eastAsia" w:ascii="Arial" w:hAnsi="Arial" w:eastAsia="Arial" w:cs="Arial"/>
                <w:snapToGrid w:val="0"/>
                <w:color w:val="auto"/>
                <w:kern w:val="0"/>
                <w:sz w:val="24"/>
                <w:szCs w:val="24"/>
                <w:lang w:val="en-US" w:eastAsia="zh-CN"/>
              </w:rPr>
              <w:t>20分</w:t>
            </w:r>
            <w:r>
              <w:rPr>
                <w:rFonts w:hint="eastAsia" w:ascii="Arial" w:hAnsi="Arial" w:eastAsia="Arial" w:cs="Arial"/>
                <w:snapToGrid w:val="0"/>
                <w:color w:val="auto"/>
                <w:kern w:val="0"/>
                <w:sz w:val="24"/>
                <w:szCs w:val="24"/>
                <w:lang w:eastAsia="zh-CN"/>
              </w:rPr>
              <w:t>）：</w:t>
            </w:r>
          </w:p>
          <w:p w14:paraId="3C736000">
            <w:pPr>
              <w:widowControl w:val="0"/>
              <w:numPr>
                <w:ilvl w:val="0"/>
                <w:numId w:val="4"/>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安全</w:t>
            </w:r>
            <w:r>
              <w:rPr>
                <w:rFonts w:ascii="Arial" w:hAnsi="Arial" w:eastAsia="Arial" w:cs="Arial"/>
                <w:snapToGrid w:val="0"/>
                <w:color w:val="auto"/>
                <w:kern w:val="0"/>
                <w:sz w:val="24"/>
                <w:szCs w:val="24"/>
              </w:rPr>
              <w:t>加固</w:t>
            </w:r>
            <w:r>
              <w:rPr>
                <w:rFonts w:hint="eastAsia" w:ascii="Arial" w:hAnsi="Arial" w:eastAsia="Arial" w:cs="Arial"/>
                <w:snapToGrid w:val="0"/>
                <w:color w:val="auto"/>
                <w:kern w:val="0"/>
                <w:sz w:val="24"/>
                <w:szCs w:val="24"/>
              </w:rPr>
              <w:t>指导</w:t>
            </w:r>
            <w:r>
              <w:rPr>
                <w:rFonts w:ascii="Arial" w:hAnsi="Arial" w:eastAsia="Arial" w:cs="Arial"/>
                <w:snapToGrid w:val="0"/>
                <w:color w:val="auto"/>
                <w:kern w:val="0"/>
                <w:sz w:val="24"/>
                <w:szCs w:val="24"/>
              </w:rPr>
              <w:t>服务</w:t>
            </w:r>
            <w:r>
              <w:rPr>
                <w:rFonts w:hint="eastAsia" w:ascii="Arial" w:hAnsi="Arial" w:eastAsia="Arial" w:cs="Arial"/>
                <w:snapToGrid w:val="0"/>
                <w:color w:val="auto"/>
                <w:kern w:val="0"/>
                <w:sz w:val="24"/>
                <w:szCs w:val="24"/>
              </w:rPr>
              <w:t>（按</w:t>
            </w:r>
            <w:r>
              <w:rPr>
                <w:rFonts w:ascii="Arial" w:hAnsi="Arial" w:eastAsia="Arial" w:cs="Arial"/>
                <w:snapToGrid w:val="0"/>
                <w:color w:val="auto"/>
                <w:kern w:val="0"/>
                <w:sz w:val="24"/>
                <w:szCs w:val="24"/>
              </w:rPr>
              <w:t>月提出</w:t>
            </w:r>
            <w:r>
              <w:rPr>
                <w:rFonts w:hint="eastAsia" w:ascii="Arial" w:hAnsi="Arial" w:eastAsia="Arial" w:cs="Arial"/>
                <w:snapToGrid w:val="0"/>
                <w:color w:val="auto"/>
                <w:kern w:val="0"/>
                <w:sz w:val="24"/>
                <w:szCs w:val="24"/>
              </w:rPr>
              <w:t>意见</w:t>
            </w:r>
            <w:r>
              <w:rPr>
                <w:rFonts w:ascii="Arial" w:hAnsi="Arial" w:eastAsia="Arial" w:cs="Arial"/>
                <w:snapToGrid w:val="0"/>
                <w:color w:val="auto"/>
                <w:kern w:val="0"/>
                <w:sz w:val="24"/>
                <w:szCs w:val="24"/>
              </w:rPr>
              <w:t>）</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rPr>
              <w:t>5分</w:t>
            </w:r>
            <w:r>
              <w:rPr>
                <w:rFonts w:hint="eastAsia" w:ascii="Arial" w:hAnsi="Arial" w:eastAsia="Arial" w:cs="Arial"/>
                <w:snapToGrid w:val="0"/>
                <w:color w:val="auto"/>
                <w:kern w:val="0"/>
                <w:sz w:val="24"/>
                <w:szCs w:val="24"/>
                <w:lang w:eastAsia="zh-CN"/>
              </w:rPr>
              <w:t>）</w:t>
            </w:r>
          </w:p>
          <w:p w14:paraId="71999BE7">
            <w:pPr>
              <w:widowControl w:val="0"/>
              <w:numPr>
                <w:ilvl w:val="0"/>
                <w:numId w:val="4"/>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安全响应</w:t>
            </w:r>
            <w:r>
              <w:rPr>
                <w:rFonts w:ascii="Arial" w:hAnsi="Arial" w:eastAsia="Arial" w:cs="Arial"/>
                <w:snapToGrid w:val="0"/>
                <w:color w:val="auto"/>
                <w:kern w:val="0"/>
                <w:sz w:val="24"/>
                <w:szCs w:val="24"/>
              </w:rPr>
              <w:t>应急服务</w:t>
            </w:r>
            <w:r>
              <w:rPr>
                <w:rFonts w:hint="eastAsia" w:ascii="Arial" w:hAnsi="Arial" w:eastAsia="Arial" w:cs="Arial"/>
                <w:snapToGrid w:val="0"/>
                <w:color w:val="auto"/>
                <w:kern w:val="0"/>
                <w:sz w:val="24"/>
                <w:szCs w:val="24"/>
              </w:rPr>
              <w:t xml:space="preserve"> </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rPr>
              <w:t>5分</w:t>
            </w:r>
            <w:r>
              <w:rPr>
                <w:rFonts w:hint="eastAsia" w:ascii="Arial" w:hAnsi="Arial" w:eastAsia="Arial" w:cs="Arial"/>
                <w:snapToGrid w:val="0"/>
                <w:color w:val="auto"/>
                <w:kern w:val="0"/>
                <w:sz w:val="24"/>
                <w:szCs w:val="24"/>
                <w:lang w:eastAsia="zh-CN"/>
              </w:rPr>
              <w:t>）</w:t>
            </w:r>
          </w:p>
          <w:p w14:paraId="050312DD">
            <w:pPr>
              <w:widowControl w:val="0"/>
              <w:numPr>
                <w:ilvl w:val="0"/>
                <w:numId w:val="4"/>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系统</w:t>
            </w:r>
            <w:r>
              <w:rPr>
                <w:rFonts w:ascii="Arial" w:hAnsi="Arial" w:eastAsia="Arial" w:cs="Arial"/>
                <w:snapToGrid w:val="0"/>
                <w:color w:val="auto"/>
                <w:kern w:val="0"/>
                <w:sz w:val="24"/>
                <w:szCs w:val="24"/>
              </w:rPr>
              <w:t>漏扫协调处置服务</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rPr>
              <w:t>5分</w:t>
            </w:r>
            <w:r>
              <w:rPr>
                <w:rFonts w:hint="eastAsia" w:ascii="Arial" w:hAnsi="Arial" w:eastAsia="Arial" w:cs="Arial"/>
                <w:snapToGrid w:val="0"/>
                <w:color w:val="auto"/>
                <w:kern w:val="0"/>
                <w:sz w:val="24"/>
                <w:szCs w:val="24"/>
                <w:lang w:eastAsia="zh-CN"/>
              </w:rPr>
              <w:t>）</w:t>
            </w:r>
          </w:p>
          <w:p w14:paraId="55036E57">
            <w:pPr>
              <w:widowControl w:val="0"/>
              <w:numPr>
                <w:ilvl w:val="0"/>
                <w:numId w:val="4"/>
              </w:numPr>
              <w:kinsoku w:val="0"/>
              <w:autoSpaceDE w:val="0"/>
              <w:autoSpaceDN w:val="0"/>
              <w:adjustRightInd w:val="0"/>
              <w:snapToGrid w:val="0"/>
              <w:spacing w:line="240" w:lineRule="auto"/>
              <w:ind w:left="360" w:hanging="360" w:firstLineChars="0"/>
              <w:jc w:val="left"/>
              <w:textAlignment w:val="baseline"/>
              <w:rPr>
                <w:rFonts w:hint="eastAsia" w:ascii="Arial" w:hAnsi="Arial" w:eastAsia="Arial" w:cs="Arial"/>
                <w:snapToGrid w:val="0"/>
                <w:color w:val="auto"/>
                <w:kern w:val="0"/>
                <w:sz w:val="24"/>
                <w:szCs w:val="24"/>
                <w:lang w:eastAsia="zh-CN"/>
              </w:rPr>
            </w:pPr>
            <w:r>
              <w:rPr>
                <w:rFonts w:hint="eastAsia" w:ascii="Arial" w:hAnsi="Arial" w:eastAsia="Arial" w:cs="Arial"/>
                <w:snapToGrid w:val="0"/>
                <w:color w:val="auto"/>
                <w:kern w:val="0"/>
                <w:sz w:val="24"/>
                <w:szCs w:val="24"/>
              </w:rPr>
              <w:t>组织</w:t>
            </w:r>
            <w:r>
              <w:rPr>
                <w:rFonts w:ascii="Arial" w:hAnsi="Arial" w:eastAsia="Arial" w:cs="Arial"/>
                <w:snapToGrid w:val="0"/>
                <w:color w:val="auto"/>
                <w:kern w:val="0"/>
                <w:sz w:val="24"/>
                <w:szCs w:val="24"/>
              </w:rPr>
              <w:t>召开安全协调会议</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rPr>
              <w:t>5分</w:t>
            </w:r>
            <w:r>
              <w:rPr>
                <w:rFonts w:hint="eastAsia" w:ascii="Arial" w:hAnsi="Arial" w:eastAsia="Arial" w:cs="Arial"/>
                <w:snapToGrid w:val="0"/>
                <w:color w:val="auto"/>
                <w:kern w:val="0"/>
                <w:sz w:val="24"/>
                <w:szCs w:val="24"/>
                <w:lang w:eastAsia="zh-CN"/>
              </w:rPr>
              <w:t>）</w:t>
            </w:r>
          </w:p>
        </w:tc>
        <w:tc>
          <w:tcPr>
            <w:tcW w:w="3259" w:type="dxa"/>
            <w:vAlign w:val="center"/>
          </w:tcPr>
          <w:p w14:paraId="2199666B">
            <w:pPr>
              <w:widowControl w:val="0"/>
              <w:kinsoku w:val="0"/>
              <w:autoSpaceDE w:val="0"/>
              <w:autoSpaceDN w:val="0"/>
              <w:adjustRightInd w:val="0"/>
              <w:snapToGrid w:val="0"/>
              <w:spacing w:line="240" w:lineRule="auto"/>
              <w:jc w:val="center"/>
              <w:textAlignment w:val="baseline"/>
              <w:rPr>
                <w:rFonts w:ascii="Arial" w:hAnsi="Arial" w:eastAsia="Arial" w:cs="Arial"/>
                <w:snapToGrid w:val="0"/>
                <w:color w:val="auto"/>
                <w:kern w:val="0"/>
                <w:szCs w:val="21"/>
                <w:vertAlign w:val="baseline"/>
              </w:rPr>
            </w:pPr>
          </w:p>
        </w:tc>
      </w:tr>
      <w:tr w14:paraId="1455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6041" w:type="dxa"/>
            <w:vAlign w:val="center"/>
          </w:tcPr>
          <w:p w14:paraId="74625C8A">
            <w:pPr>
              <w:widowControl w:val="0"/>
              <w:numPr>
                <w:ilvl w:val="0"/>
                <w:numId w:val="0"/>
              </w:numPr>
              <w:kinsoku w:val="0"/>
              <w:autoSpaceDE w:val="0"/>
              <w:autoSpaceDN w:val="0"/>
              <w:adjustRightInd w:val="0"/>
              <w:snapToGrid w:val="0"/>
              <w:spacing w:line="240" w:lineRule="auto"/>
              <w:ind w:leftChars="0" w:firstLine="480" w:firstLineChars="200"/>
              <w:jc w:val="left"/>
              <w:textAlignment w:val="baseline"/>
              <w:rPr>
                <w:rFonts w:hint="eastAsia" w:ascii="Arial" w:hAnsi="Arial" w:eastAsia="Arial" w:cs="Arial"/>
                <w:snapToGrid w:val="0"/>
                <w:color w:val="auto"/>
                <w:kern w:val="0"/>
                <w:sz w:val="24"/>
                <w:szCs w:val="24"/>
                <w:lang w:eastAsia="zh-CN"/>
              </w:rPr>
            </w:pPr>
            <w:r>
              <w:rPr>
                <w:rFonts w:ascii="Arial" w:hAnsi="Arial" w:eastAsia="Arial" w:cs="Arial"/>
                <w:snapToGrid w:val="0"/>
                <w:color w:val="auto"/>
                <w:kern w:val="0"/>
                <w:sz w:val="24"/>
                <w:szCs w:val="24"/>
              </w:rPr>
              <w:t>其他工作</w:t>
            </w:r>
            <w:r>
              <w:rPr>
                <w:rFonts w:hint="eastAsia" w:ascii="Arial" w:hAnsi="Arial" w:eastAsia="Arial" w:cs="Arial"/>
                <w:snapToGrid w:val="0"/>
                <w:color w:val="auto"/>
                <w:kern w:val="0"/>
                <w:sz w:val="24"/>
                <w:szCs w:val="24"/>
                <w:lang w:eastAsia="zh-CN"/>
              </w:rPr>
              <w:t>：</w:t>
            </w:r>
          </w:p>
          <w:p w14:paraId="73B45A78">
            <w:pPr>
              <w:widowControl w:val="0"/>
              <w:numPr>
                <w:ilvl w:val="0"/>
                <w:numId w:val="5"/>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协助开展</w:t>
            </w:r>
            <w:r>
              <w:rPr>
                <w:rFonts w:ascii="Arial" w:hAnsi="Arial" w:eastAsia="Arial" w:cs="Arial"/>
                <w:snapToGrid w:val="0"/>
                <w:color w:val="auto"/>
                <w:kern w:val="0"/>
                <w:sz w:val="24"/>
                <w:szCs w:val="24"/>
              </w:rPr>
              <w:t>安全检查</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lang w:val="en-US" w:eastAsia="zh-CN"/>
              </w:rPr>
              <w:t>2分</w:t>
            </w:r>
            <w:r>
              <w:rPr>
                <w:rFonts w:hint="eastAsia" w:ascii="Arial" w:hAnsi="Arial" w:eastAsia="Arial" w:cs="Arial"/>
                <w:snapToGrid w:val="0"/>
                <w:color w:val="auto"/>
                <w:kern w:val="0"/>
                <w:sz w:val="24"/>
                <w:szCs w:val="24"/>
                <w:lang w:eastAsia="zh-CN"/>
              </w:rPr>
              <w:t>）</w:t>
            </w:r>
          </w:p>
          <w:p w14:paraId="0D068B7F">
            <w:pPr>
              <w:widowControl w:val="0"/>
              <w:numPr>
                <w:ilvl w:val="0"/>
                <w:numId w:val="5"/>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协助</w:t>
            </w:r>
            <w:r>
              <w:rPr>
                <w:rFonts w:ascii="Arial" w:hAnsi="Arial" w:eastAsia="Arial" w:cs="Arial"/>
                <w:snapToGrid w:val="0"/>
                <w:color w:val="auto"/>
                <w:kern w:val="0"/>
                <w:sz w:val="24"/>
                <w:szCs w:val="24"/>
              </w:rPr>
              <w:t>进行安全培训（</w:t>
            </w:r>
            <w:r>
              <w:rPr>
                <w:rFonts w:hint="eastAsia" w:ascii="Arial" w:hAnsi="Arial" w:eastAsia="Arial" w:cs="Arial"/>
                <w:snapToGrid w:val="0"/>
                <w:color w:val="auto"/>
                <w:kern w:val="0"/>
                <w:sz w:val="24"/>
                <w:szCs w:val="24"/>
              </w:rPr>
              <w:t>内部</w:t>
            </w:r>
            <w:r>
              <w:rPr>
                <w:rFonts w:ascii="Arial" w:hAnsi="Arial" w:eastAsia="Arial" w:cs="Arial"/>
                <w:snapToGrid w:val="0"/>
                <w:color w:val="auto"/>
                <w:kern w:val="0"/>
                <w:sz w:val="24"/>
                <w:szCs w:val="24"/>
              </w:rPr>
              <w:t>培训，外出培训）</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lang w:val="en-US" w:eastAsia="zh-CN"/>
              </w:rPr>
              <w:t>2分</w:t>
            </w:r>
            <w:r>
              <w:rPr>
                <w:rFonts w:hint="eastAsia" w:ascii="Arial" w:hAnsi="Arial" w:eastAsia="Arial" w:cs="Arial"/>
                <w:snapToGrid w:val="0"/>
                <w:color w:val="auto"/>
                <w:kern w:val="0"/>
                <w:sz w:val="24"/>
                <w:szCs w:val="24"/>
                <w:lang w:eastAsia="zh-CN"/>
              </w:rPr>
              <w:t>）</w:t>
            </w:r>
          </w:p>
          <w:p w14:paraId="5CD9CC13">
            <w:pPr>
              <w:widowControl w:val="0"/>
              <w:numPr>
                <w:ilvl w:val="0"/>
                <w:numId w:val="5"/>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协助</w:t>
            </w:r>
            <w:r>
              <w:rPr>
                <w:rFonts w:ascii="Arial" w:hAnsi="Arial" w:eastAsia="Arial" w:cs="Arial"/>
                <w:snapToGrid w:val="0"/>
                <w:color w:val="auto"/>
                <w:kern w:val="0"/>
                <w:sz w:val="24"/>
                <w:szCs w:val="24"/>
              </w:rPr>
              <w:t>起草安全规划，安全制度</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lang w:val="en-US" w:eastAsia="zh-CN"/>
              </w:rPr>
              <w:t>2分</w:t>
            </w:r>
            <w:r>
              <w:rPr>
                <w:rFonts w:hint="eastAsia" w:ascii="Arial" w:hAnsi="Arial" w:eastAsia="Arial" w:cs="Arial"/>
                <w:snapToGrid w:val="0"/>
                <w:color w:val="auto"/>
                <w:kern w:val="0"/>
                <w:sz w:val="24"/>
                <w:szCs w:val="24"/>
                <w:lang w:eastAsia="zh-CN"/>
              </w:rPr>
              <w:t>）</w:t>
            </w:r>
          </w:p>
          <w:p w14:paraId="56685E92">
            <w:pPr>
              <w:widowControl w:val="0"/>
              <w:numPr>
                <w:ilvl w:val="0"/>
                <w:numId w:val="5"/>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新系统</w:t>
            </w:r>
            <w:r>
              <w:rPr>
                <w:rFonts w:ascii="Arial" w:hAnsi="Arial" w:eastAsia="Arial" w:cs="Arial"/>
                <w:snapToGrid w:val="0"/>
                <w:color w:val="auto"/>
                <w:kern w:val="0"/>
                <w:sz w:val="24"/>
                <w:szCs w:val="24"/>
              </w:rPr>
              <w:t>入网前检查服务</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lang w:val="en-US" w:eastAsia="zh-CN"/>
              </w:rPr>
              <w:t>2分</w:t>
            </w:r>
            <w:r>
              <w:rPr>
                <w:rFonts w:hint="eastAsia" w:ascii="Arial" w:hAnsi="Arial" w:eastAsia="Arial" w:cs="Arial"/>
                <w:snapToGrid w:val="0"/>
                <w:color w:val="auto"/>
                <w:kern w:val="0"/>
                <w:sz w:val="24"/>
                <w:szCs w:val="24"/>
                <w:lang w:eastAsia="zh-CN"/>
              </w:rPr>
              <w:t>）</w:t>
            </w:r>
          </w:p>
          <w:p w14:paraId="78CF5D51">
            <w:pPr>
              <w:widowControl w:val="0"/>
              <w:numPr>
                <w:ilvl w:val="0"/>
                <w:numId w:val="5"/>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协助</w:t>
            </w:r>
            <w:r>
              <w:rPr>
                <w:rFonts w:ascii="Arial" w:hAnsi="Arial" w:eastAsia="Arial" w:cs="Arial"/>
                <w:snapToGrid w:val="0"/>
                <w:color w:val="auto"/>
                <w:kern w:val="0"/>
                <w:sz w:val="24"/>
                <w:szCs w:val="24"/>
              </w:rPr>
              <w:t>开展应急演练</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lang w:val="en-US" w:eastAsia="zh-CN"/>
              </w:rPr>
              <w:t>2分</w:t>
            </w:r>
            <w:r>
              <w:rPr>
                <w:rFonts w:hint="eastAsia" w:ascii="Arial" w:hAnsi="Arial" w:eastAsia="Arial" w:cs="Arial"/>
                <w:snapToGrid w:val="0"/>
                <w:color w:val="auto"/>
                <w:kern w:val="0"/>
                <w:sz w:val="24"/>
                <w:szCs w:val="24"/>
                <w:lang w:eastAsia="zh-CN"/>
              </w:rPr>
              <w:t>）</w:t>
            </w:r>
          </w:p>
          <w:p w14:paraId="1DF18D51">
            <w:pPr>
              <w:widowControl w:val="0"/>
              <w:numPr>
                <w:ilvl w:val="0"/>
                <w:numId w:val="5"/>
              </w:numPr>
              <w:kinsoku w:val="0"/>
              <w:autoSpaceDE w:val="0"/>
              <w:autoSpaceDN w:val="0"/>
              <w:adjustRightInd w:val="0"/>
              <w:snapToGrid w:val="0"/>
              <w:spacing w:line="240" w:lineRule="auto"/>
              <w:ind w:left="360" w:hanging="360" w:firstLineChars="0"/>
              <w:jc w:val="left"/>
              <w:textAlignment w:val="baseline"/>
              <w:rPr>
                <w:rFonts w:ascii="Arial" w:hAnsi="Arial" w:eastAsia="Arial" w:cs="Arial"/>
                <w:snapToGrid w:val="0"/>
                <w:color w:val="auto"/>
                <w:kern w:val="0"/>
                <w:sz w:val="24"/>
                <w:szCs w:val="24"/>
                <w:vertAlign w:val="baseline"/>
              </w:rPr>
            </w:pPr>
            <w:r>
              <w:rPr>
                <w:rFonts w:hint="eastAsia" w:ascii="Arial" w:hAnsi="Arial" w:eastAsia="Arial" w:cs="Arial"/>
                <w:snapToGrid w:val="0"/>
                <w:color w:val="auto"/>
                <w:kern w:val="0"/>
                <w:sz w:val="24"/>
                <w:szCs w:val="24"/>
              </w:rPr>
              <w:t>其他</w:t>
            </w:r>
            <w:r>
              <w:rPr>
                <w:rFonts w:ascii="Arial" w:hAnsi="Arial" w:eastAsia="Arial" w:cs="Arial"/>
                <w:snapToGrid w:val="0"/>
                <w:color w:val="auto"/>
                <w:kern w:val="0"/>
                <w:sz w:val="24"/>
                <w:szCs w:val="24"/>
              </w:rPr>
              <w:t>工作（</w:t>
            </w:r>
            <w:r>
              <w:rPr>
                <w:rFonts w:hint="eastAsia" w:ascii="Arial" w:hAnsi="Arial" w:eastAsia="Arial" w:cs="Arial"/>
                <w:snapToGrid w:val="0"/>
                <w:color w:val="auto"/>
                <w:kern w:val="0"/>
                <w:sz w:val="24"/>
                <w:szCs w:val="24"/>
              </w:rPr>
              <w:t>有</w:t>
            </w:r>
            <w:r>
              <w:rPr>
                <w:rFonts w:ascii="Arial" w:hAnsi="Arial" w:eastAsia="Arial" w:cs="Arial"/>
                <w:snapToGrid w:val="0"/>
                <w:color w:val="auto"/>
                <w:kern w:val="0"/>
                <w:sz w:val="24"/>
                <w:szCs w:val="24"/>
              </w:rPr>
              <w:t>交付物</w:t>
            </w:r>
            <w:r>
              <w:rPr>
                <w:rFonts w:hint="eastAsia" w:ascii="Arial" w:hAnsi="Arial" w:eastAsia="Arial" w:cs="Arial"/>
                <w:snapToGrid w:val="0"/>
                <w:color w:val="auto"/>
                <w:kern w:val="0"/>
                <w:sz w:val="24"/>
                <w:szCs w:val="24"/>
                <w:lang w:eastAsia="zh-CN"/>
              </w:rPr>
              <w:t>）（</w:t>
            </w:r>
            <w:r>
              <w:rPr>
                <w:rFonts w:hint="eastAsia" w:ascii="Arial" w:hAnsi="Arial" w:eastAsia="Arial" w:cs="Arial"/>
                <w:snapToGrid w:val="0"/>
                <w:color w:val="auto"/>
                <w:kern w:val="0"/>
                <w:sz w:val="24"/>
                <w:szCs w:val="24"/>
                <w:lang w:val="en-US" w:eastAsia="zh-CN"/>
              </w:rPr>
              <w:t>2分</w:t>
            </w:r>
            <w:r>
              <w:rPr>
                <w:rFonts w:hint="eastAsia" w:ascii="Arial" w:hAnsi="Arial" w:eastAsia="Arial" w:cs="Arial"/>
                <w:snapToGrid w:val="0"/>
                <w:color w:val="auto"/>
                <w:kern w:val="0"/>
                <w:sz w:val="24"/>
                <w:szCs w:val="24"/>
                <w:lang w:eastAsia="zh-CN"/>
              </w:rPr>
              <w:t>）</w:t>
            </w:r>
          </w:p>
        </w:tc>
        <w:tc>
          <w:tcPr>
            <w:tcW w:w="3259" w:type="dxa"/>
            <w:vAlign w:val="center"/>
          </w:tcPr>
          <w:p w14:paraId="44A5693F">
            <w:pPr>
              <w:widowControl w:val="0"/>
              <w:kinsoku w:val="0"/>
              <w:autoSpaceDE w:val="0"/>
              <w:autoSpaceDN w:val="0"/>
              <w:adjustRightInd w:val="0"/>
              <w:snapToGrid w:val="0"/>
              <w:spacing w:line="240" w:lineRule="auto"/>
              <w:jc w:val="center"/>
              <w:textAlignment w:val="baseline"/>
              <w:rPr>
                <w:rFonts w:ascii="Arial" w:hAnsi="Arial" w:eastAsia="Arial" w:cs="Arial"/>
                <w:snapToGrid w:val="0"/>
                <w:color w:val="auto"/>
                <w:kern w:val="0"/>
                <w:szCs w:val="21"/>
                <w:vertAlign w:val="baseline"/>
              </w:rPr>
            </w:pPr>
          </w:p>
        </w:tc>
      </w:tr>
      <w:tr w14:paraId="6D1B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041" w:type="dxa"/>
            <w:vAlign w:val="center"/>
          </w:tcPr>
          <w:p w14:paraId="557012B5">
            <w:pPr>
              <w:widowControl w:val="0"/>
              <w:numPr>
                <w:ilvl w:val="0"/>
                <w:numId w:val="0"/>
              </w:numPr>
              <w:kinsoku w:val="0"/>
              <w:autoSpaceDE w:val="0"/>
              <w:autoSpaceDN w:val="0"/>
              <w:adjustRightInd w:val="0"/>
              <w:snapToGrid w:val="0"/>
              <w:spacing w:line="240" w:lineRule="auto"/>
              <w:ind w:leftChars="0" w:firstLine="480" w:firstLineChars="200"/>
              <w:jc w:val="left"/>
              <w:textAlignment w:val="baseline"/>
              <w:rPr>
                <w:rFonts w:hint="eastAsia" w:ascii="Arial" w:hAnsi="Arial" w:eastAsia="宋体" w:cs="Arial"/>
                <w:snapToGrid w:val="0"/>
                <w:color w:val="auto"/>
                <w:kern w:val="0"/>
                <w:sz w:val="24"/>
                <w:szCs w:val="28"/>
                <w:lang w:eastAsia="zh-CN"/>
              </w:rPr>
            </w:pPr>
            <w:r>
              <w:rPr>
                <w:rFonts w:hint="eastAsia" w:ascii="Arial" w:hAnsi="Arial" w:eastAsia="Arial" w:cs="Arial"/>
                <w:snapToGrid w:val="0"/>
                <w:color w:val="auto"/>
                <w:kern w:val="0"/>
                <w:sz w:val="24"/>
                <w:szCs w:val="28"/>
                <w:lang w:eastAsia="zh-CN"/>
              </w:rPr>
              <w:t>总分：</w:t>
            </w:r>
          </w:p>
        </w:tc>
        <w:tc>
          <w:tcPr>
            <w:tcW w:w="3259" w:type="dxa"/>
            <w:vAlign w:val="center"/>
          </w:tcPr>
          <w:p w14:paraId="446D7D81">
            <w:pPr>
              <w:widowControl w:val="0"/>
              <w:kinsoku w:val="0"/>
              <w:autoSpaceDE w:val="0"/>
              <w:autoSpaceDN w:val="0"/>
              <w:adjustRightInd w:val="0"/>
              <w:snapToGrid w:val="0"/>
              <w:spacing w:line="240" w:lineRule="auto"/>
              <w:jc w:val="center"/>
              <w:textAlignment w:val="baseline"/>
              <w:rPr>
                <w:rFonts w:ascii="Arial" w:hAnsi="Arial" w:eastAsia="Arial" w:cs="Arial"/>
                <w:snapToGrid w:val="0"/>
                <w:color w:val="auto"/>
                <w:kern w:val="0"/>
                <w:szCs w:val="21"/>
                <w:vertAlign w:val="baseline"/>
              </w:rPr>
            </w:pPr>
          </w:p>
        </w:tc>
      </w:tr>
    </w:tbl>
    <w:p w14:paraId="120E7DEC">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 w:val="24"/>
          <w:szCs w:val="28"/>
        </w:rPr>
      </w:pPr>
    </w:p>
    <w:p w14:paraId="3D6511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每月</w:t>
      </w:r>
      <w:r>
        <w:rPr>
          <w:rFonts w:ascii="Arial" w:hAnsi="Arial" w:eastAsia="Arial" w:cs="Arial"/>
          <w:snapToGrid w:val="0"/>
          <w:color w:val="auto"/>
          <w:kern w:val="0"/>
          <w:sz w:val="24"/>
          <w:szCs w:val="24"/>
        </w:rPr>
        <w:t>基准分为</w:t>
      </w:r>
      <w:r>
        <w:rPr>
          <w:rFonts w:hint="eastAsia" w:ascii="Arial" w:hAnsi="Arial" w:eastAsia="Arial" w:cs="Arial"/>
          <w:snapToGrid w:val="0"/>
          <w:color w:val="auto"/>
          <w:kern w:val="0"/>
          <w:sz w:val="24"/>
          <w:szCs w:val="24"/>
        </w:rPr>
        <w:t>90分，</w:t>
      </w:r>
      <w:r>
        <w:rPr>
          <w:rFonts w:ascii="Arial" w:hAnsi="Arial" w:eastAsia="Arial" w:cs="Arial"/>
          <w:snapToGrid w:val="0"/>
          <w:color w:val="auto"/>
          <w:kern w:val="0"/>
          <w:sz w:val="24"/>
          <w:szCs w:val="24"/>
        </w:rPr>
        <w:t>前三项为扣分项</w:t>
      </w:r>
      <w:r>
        <w:rPr>
          <w:rFonts w:hint="eastAsia" w:ascii="Arial" w:hAnsi="Arial" w:eastAsia="Arial" w:cs="Arial"/>
          <w:snapToGrid w:val="0"/>
          <w:color w:val="auto"/>
          <w:kern w:val="0"/>
          <w:sz w:val="24"/>
          <w:szCs w:val="24"/>
        </w:rPr>
        <w:t>，</w:t>
      </w:r>
      <w:r>
        <w:rPr>
          <w:rFonts w:ascii="Arial" w:hAnsi="Arial" w:eastAsia="Arial" w:cs="Arial"/>
          <w:snapToGrid w:val="0"/>
          <w:color w:val="auto"/>
          <w:kern w:val="0"/>
          <w:sz w:val="24"/>
          <w:szCs w:val="24"/>
        </w:rPr>
        <w:t>第四类为加分项</w:t>
      </w:r>
    </w:p>
    <w:p w14:paraId="55E39E7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4"/>
          <w:szCs w:val="24"/>
        </w:rPr>
      </w:pPr>
      <w:r>
        <w:rPr>
          <w:rFonts w:hint="eastAsia" w:ascii="Arial" w:hAnsi="Arial" w:eastAsia="宋体" w:cs="Arial"/>
          <w:snapToGrid w:val="0"/>
          <w:color w:val="auto"/>
          <w:kern w:val="0"/>
          <w:sz w:val="24"/>
          <w:szCs w:val="24"/>
          <w:lang w:val="en-US" w:eastAsia="zh-CN"/>
        </w:rPr>
        <w:t>90</w:t>
      </w:r>
      <w:r>
        <w:rPr>
          <w:rFonts w:ascii="Arial" w:hAnsi="Arial" w:eastAsia="Arial" w:cs="Arial"/>
          <w:snapToGrid w:val="0"/>
          <w:color w:val="auto"/>
          <w:kern w:val="0"/>
          <w:sz w:val="24"/>
          <w:szCs w:val="24"/>
        </w:rPr>
        <w:t>—</w:t>
      </w:r>
      <w:r>
        <w:rPr>
          <w:rFonts w:hint="eastAsia" w:ascii="Arial" w:hAnsi="Arial" w:eastAsia="宋体" w:cs="Arial"/>
          <w:snapToGrid w:val="0"/>
          <w:color w:val="auto"/>
          <w:kern w:val="0"/>
          <w:sz w:val="24"/>
          <w:szCs w:val="24"/>
          <w:lang w:val="en-US" w:eastAsia="zh-CN"/>
        </w:rPr>
        <w:t>100</w:t>
      </w:r>
      <w:r>
        <w:rPr>
          <w:rFonts w:hint="eastAsia" w:ascii="Arial" w:hAnsi="Arial" w:eastAsia="Arial" w:cs="Arial"/>
          <w:snapToGrid w:val="0"/>
          <w:color w:val="auto"/>
          <w:kern w:val="0"/>
          <w:sz w:val="24"/>
          <w:szCs w:val="24"/>
        </w:rPr>
        <w:t>分</w:t>
      </w:r>
      <w:r>
        <w:rPr>
          <w:rFonts w:ascii="Arial" w:hAnsi="Arial" w:eastAsia="Arial" w:cs="Arial"/>
          <w:snapToGrid w:val="0"/>
          <w:color w:val="auto"/>
          <w:kern w:val="0"/>
          <w:sz w:val="24"/>
          <w:szCs w:val="24"/>
        </w:rPr>
        <w:t>为合格</w:t>
      </w:r>
    </w:p>
    <w:p w14:paraId="2860E14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4"/>
          <w:szCs w:val="24"/>
        </w:rPr>
      </w:pPr>
      <w:r>
        <w:rPr>
          <w:rFonts w:hint="eastAsia" w:ascii="Arial" w:hAnsi="Arial" w:eastAsia="Arial" w:cs="Arial"/>
          <w:snapToGrid w:val="0"/>
          <w:color w:val="auto"/>
          <w:kern w:val="0"/>
          <w:sz w:val="24"/>
          <w:szCs w:val="24"/>
        </w:rPr>
        <w:t>季度平均90分</w:t>
      </w:r>
      <w:r>
        <w:rPr>
          <w:rFonts w:ascii="Arial" w:hAnsi="Arial" w:eastAsia="Arial" w:cs="Arial"/>
          <w:snapToGrid w:val="0"/>
          <w:color w:val="auto"/>
          <w:kern w:val="0"/>
          <w:sz w:val="24"/>
          <w:szCs w:val="24"/>
        </w:rPr>
        <w:t>为合格</w:t>
      </w:r>
    </w:p>
    <w:p w14:paraId="1DD57211">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auto"/>
          <w:kern w:val="0"/>
          <w:sz w:val="24"/>
          <w:szCs w:val="24"/>
          <w:lang w:val="en-US" w:eastAsia="zh-CN"/>
        </w:rPr>
      </w:pPr>
      <w:r>
        <w:rPr>
          <w:rFonts w:hint="eastAsia" w:ascii="Arial" w:hAnsi="Arial" w:eastAsia="Arial" w:cs="Arial"/>
          <w:snapToGrid w:val="0"/>
          <w:color w:val="auto"/>
          <w:kern w:val="0"/>
          <w:sz w:val="24"/>
          <w:szCs w:val="24"/>
          <w:lang w:val="en-US" w:eastAsia="zh-CN"/>
        </w:rPr>
        <w:t xml:space="preserve"> </w:t>
      </w:r>
    </w:p>
    <w:p w14:paraId="274566FD">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auto"/>
          <w:kern w:val="0"/>
          <w:sz w:val="24"/>
          <w:szCs w:val="24"/>
          <w:lang w:val="en-US" w:eastAsia="zh-CN"/>
        </w:rPr>
      </w:pPr>
      <w:r>
        <w:rPr>
          <w:rFonts w:hint="eastAsia" w:ascii="Arial" w:hAnsi="Arial" w:eastAsia="Arial" w:cs="Arial"/>
          <w:snapToGrid w:val="0"/>
          <w:color w:val="auto"/>
          <w:kern w:val="0"/>
          <w:sz w:val="24"/>
          <w:szCs w:val="24"/>
          <w:lang w:val="en-US" w:eastAsia="zh-CN"/>
        </w:rPr>
        <w:t>用户确认签字：</w:t>
      </w:r>
    </w:p>
    <w:p w14:paraId="3CC880EC">
      <w:pPr>
        <w:spacing w:beforeLines="0" w:afterLines="0" w:line="460" w:lineRule="exact"/>
        <w:rPr>
          <w:rFonts w:ascii="宋体" w:hAnsi="宋体" w:cs="宋体"/>
          <w:color w:val="auto"/>
          <w:szCs w:val="21"/>
          <w:highlight w:val="none"/>
        </w:rPr>
      </w:pPr>
    </w:p>
    <w:p w14:paraId="68B7F6D8">
      <w:pPr>
        <w:pStyle w:val="19"/>
        <w:spacing w:beforeLines="0" w:afterLines="0" w:line="460" w:lineRule="exact"/>
        <w:rPr>
          <w:rFonts w:ascii="宋体" w:hAnsi="宋体" w:cs="宋体"/>
          <w:color w:val="auto"/>
          <w:szCs w:val="21"/>
          <w:highlight w:val="none"/>
        </w:rPr>
      </w:pPr>
    </w:p>
    <w:p w14:paraId="345685FF">
      <w:pPr>
        <w:widowControl/>
        <w:numPr>
          <w:ilvl w:val="0"/>
          <w:numId w:val="2"/>
        </w:numPr>
        <w:spacing w:beforeLines="0" w:afterLines="0" w:line="460" w:lineRule="exact"/>
        <w:ind w:left="0"/>
        <w:jc w:val="center"/>
        <w:outlineLvl w:val="0"/>
        <w:rPr>
          <w:rFonts w:ascii="仿宋" w:hAnsi="仿宋" w:eastAsia="仿宋" w:cs="仿宋"/>
          <w:b/>
          <w:bCs/>
          <w:color w:val="auto"/>
          <w:sz w:val="24"/>
          <w:szCs w:val="24"/>
          <w:highlight w:val="none"/>
        </w:rPr>
      </w:pPr>
      <w:bookmarkStart w:id="82" w:name="_Toc24370"/>
      <w:r>
        <w:rPr>
          <w:rFonts w:hint="eastAsia" w:ascii="仿宋" w:hAnsi="仿宋" w:eastAsia="仿宋" w:cs="仿宋"/>
          <w:b/>
          <w:bCs/>
          <w:color w:val="auto"/>
          <w:sz w:val="24"/>
          <w:szCs w:val="24"/>
          <w:highlight w:val="none"/>
        </w:rPr>
        <w:t xml:space="preserve">  </w:t>
      </w:r>
      <w:bookmarkStart w:id="83" w:name="_Toc27431"/>
      <w:r>
        <w:rPr>
          <w:rFonts w:hint="eastAsia" w:ascii="仿宋" w:hAnsi="仿宋" w:eastAsia="仿宋" w:cs="仿宋"/>
          <w:b/>
          <w:bCs/>
          <w:color w:val="auto"/>
          <w:sz w:val="24"/>
          <w:szCs w:val="24"/>
          <w:highlight w:val="none"/>
        </w:rPr>
        <w:t>附件</w:t>
      </w:r>
      <w:bookmarkEnd w:id="80"/>
      <w:bookmarkEnd w:id="82"/>
      <w:bookmarkEnd w:id="83"/>
    </w:p>
    <w:p w14:paraId="30BE05FD">
      <w:pPr>
        <w:spacing w:beforeLines="0" w:afterLines="0" w:line="460" w:lineRule="exact"/>
        <w:rPr>
          <w:color w:val="auto"/>
          <w:highlight w:val="none"/>
        </w:rPr>
      </w:pPr>
    </w:p>
    <w:p w14:paraId="02F3F3FE">
      <w:pPr>
        <w:autoSpaceDE w:val="0"/>
        <w:autoSpaceDN w:val="0"/>
        <w:adjustRightInd w:val="0"/>
        <w:spacing w:beforeLines="0" w:afterLines="0" w:line="460" w:lineRule="exact"/>
        <w:jc w:val="right"/>
        <w:rPr>
          <w:rFonts w:ascii="仿宋" w:hAnsi="仿宋" w:eastAsia="仿宋" w:cs="仿宋"/>
          <w:b/>
          <w:color w:val="auto"/>
          <w:spacing w:val="-6"/>
          <w:kern w:val="0"/>
          <w:sz w:val="24"/>
          <w:szCs w:val="24"/>
          <w:highlight w:val="none"/>
          <w:bdr w:val="single" w:color="auto" w:sz="4" w:space="0"/>
        </w:rPr>
      </w:pP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pacing w:val="-6"/>
          <w:kern w:val="0"/>
          <w:sz w:val="24"/>
          <w:szCs w:val="24"/>
          <w:highlight w:val="none"/>
          <w:bdr w:val="single" w:color="auto" w:sz="4" w:space="0"/>
        </w:rPr>
        <w:t>正本(或副本)</w:t>
      </w:r>
    </w:p>
    <w:p w14:paraId="0AD8D37B">
      <w:pPr>
        <w:spacing w:beforeLines="0" w:afterLines="0" w:line="460" w:lineRule="exact"/>
        <w:rPr>
          <w:rFonts w:ascii="仿宋" w:hAnsi="仿宋" w:eastAsia="仿宋" w:cs="仿宋"/>
          <w:b/>
          <w:color w:val="auto"/>
          <w:sz w:val="24"/>
          <w:szCs w:val="24"/>
          <w:highlight w:val="none"/>
        </w:rPr>
      </w:pPr>
    </w:p>
    <w:p w14:paraId="179F1E15">
      <w:pPr>
        <w:pStyle w:val="19"/>
        <w:spacing w:beforeLines="0" w:afterLines="0" w:line="460" w:lineRule="exact"/>
        <w:rPr>
          <w:rFonts w:ascii="仿宋" w:hAnsi="仿宋" w:eastAsia="仿宋" w:cs="仿宋"/>
          <w:b/>
          <w:color w:val="auto"/>
          <w:szCs w:val="24"/>
          <w:highlight w:val="none"/>
        </w:rPr>
      </w:pPr>
    </w:p>
    <w:p w14:paraId="24BF02A6">
      <w:pPr>
        <w:spacing w:beforeLines="0" w:afterLines="0" w:line="460" w:lineRule="exact"/>
        <w:rPr>
          <w:rFonts w:ascii="仿宋" w:hAnsi="仿宋" w:eastAsia="仿宋" w:cs="仿宋"/>
          <w:b/>
          <w:color w:val="auto"/>
          <w:sz w:val="24"/>
          <w:szCs w:val="24"/>
          <w:highlight w:val="none"/>
        </w:rPr>
      </w:pPr>
    </w:p>
    <w:p w14:paraId="19E3DC90">
      <w:pPr>
        <w:pStyle w:val="19"/>
        <w:spacing w:beforeLines="0" w:afterLines="0" w:line="460" w:lineRule="exact"/>
        <w:rPr>
          <w:color w:val="auto"/>
          <w:highlight w:val="none"/>
        </w:rPr>
      </w:pPr>
    </w:p>
    <w:p w14:paraId="3727A493">
      <w:pPr>
        <w:spacing w:beforeLines="0" w:afterLines="0" w:line="460" w:lineRule="exact"/>
        <w:rPr>
          <w:rFonts w:ascii="仿宋" w:hAnsi="仿宋" w:eastAsia="仿宋" w:cs="仿宋"/>
          <w:b/>
          <w:color w:val="auto"/>
          <w:sz w:val="24"/>
          <w:szCs w:val="24"/>
          <w:highlight w:val="none"/>
        </w:rPr>
      </w:pPr>
    </w:p>
    <w:p w14:paraId="5EE326D8">
      <w:pPr>
        <w:pStyle w:val="12"/>
        <w:spacing w:beforeLines="0" w:afterLines="0" w:line="460" w:lineRule="exact"/>
        <w:ind w:firstLine="480"/>
        <w:rPr>
          <w:rFonts w:ascii="仿宋" w:hAnsi="仿宋" w:eastAsia="仿宋" w:cs="仿宋"/>
          <w:color w:val="auto"/>
          <w:sz w:val="24"/>
          <w:highlight w:val="none"/>
        </w:rPr>
      </w:pPr>
    </w:p>
    <w:p w14:paraId="289E1907">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p>
    <w:p w14:paraId="5AE7CBD1">
      <w:pPr>
        <w:spacing w:beforeLines="0" w:afterLines="0" w:line="460" w:lineRule="exact"/>
        <w:jc w:val="center"/>
        <w:rPr>
          <w:rFonts w:ascii="仿宋" w:hAnsi="仿宋" w:eastAsia="仿宋" w:cs="仿宋"/>
          <w:color w:val="auto"/>
          <w:sz w:val="24"/>
          <w:szCs w:val="24"/>
          <w:highlight w:val="none"/>
        </w:rPr>
      </w:pPr>
    </w:p>
    <w:p w14:paraId="5767A93B">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p>
    <w:p w14:paraId="2DD23EDC">
      <w:pPr>
        <w:spacing w:beforeLines="0" w:afterLines="0" w:line="460" w:lineRule="exact"/>
        <w:rPr>
          <w:rFonts w:ascii="仿宋" w:hAnsi="仿宋" w:eastAsia="仿宋" w:cs="仿宋"/>
          <w:color w:val="auto"/>
          <w:sz w:val="24"/>
          <w:szCs w:val="24"/>
          <w:highlight w:val="none"/>
        </w:rPr>
      </w:pPr>
    </w:p>
    <w:p w14:paraId="1AD135C5">
      <w:pPr>
        <w:spacing w:beforeLines="0" w:afterLines="0" w:line="460" w:lineRule="exact"/>
        <w:jc w:val="center"/>
        <w:rPr>
          <w:rFonts w:ascii="仿宋" w:hAnsi="仿宋" w:eastAsia="仿宋" w:cs="仿宋"/>
          <w:color w:val="auto"/>
          <w:sz w:val="24"/>
          <w:szCs w:val="24"/>
          <w:highlight w:val="none"/>
        </w:rPr>
      </w:pPr>
    </w:p>
    <w:p w14:paraId="5845CAC0">
      <w:pPr>
        <w:spacing w:beforeLines="0" w:afterLines="0" w:line="460" w:lineRule="exact"/>
        <w:jc w:val="center"/>
        <w:rPr>
          <w:rFonts w:ascii="仿宋" w:hAnsi="仿宋" w:eastAsia="仿宋" w:cs="仿宋"/>
          <w:color w:val="auto"/>
          <w:sz w:val="24"/>
          <w:szCs w:val="24"/>
          <w:highlight w:val="none"/>
        </w:rPr>
      </w:pPr>
    </w:p>
    <w:p w14:paraId="43649AA1">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响应文件</w:t>
      </w:r>
    </w:p>
    <w:p w14:paraId="0AC78896">
      <w:pPr>
        <w:spacing w:beforeLines="0" w:afterLines="0" w:line="460" w:lineRule="exact"/>
        <w:jc w:val="center"/>
        <w:rPr>
          <w:rFonts w:ascii="仿宋" w:hAnsi="仿宋" w:eastAsia="仿宋" w:cs="仿宋"/>
          <w:color w:val="auto"/>
          <w:sz w:val="24"/>
          <w:szCs w:val="24"/>
          <w:highlight w:val="none"/>
        </w:rPr>
      </w:pPr>
    </w:p>
    <w:p w14:paraId="34EB6D6E">
      <w:pPr>
        <w:spacing w:beforeLines="0" w:afterLines="0" w:line="460" w:lineRule="exact"/>
        <w:jc w:val="center"/>
        <w:rPr>
          <w:rFonts w:ascii="仿宋" w:hAnsi="仿宋" w:eastAsia="仿宋" w:cs="仿宋"/>
          <w:color w:val="auto"/>
          <w:sz w:val="24"/>
          <w:szCs w:val="24"/>
          <w:highlight w:val="none"/>
        </w:rPr>
      </w:pPr>
    </w:p>
    <w:p w14:paraId="7A16D5CA">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B658B3B">
      <w:pPr>
        <w:pStyle w:val="12"/>
        <w:spacing w:beforeLines="0" w:afterLines="0" w:line="460" w:lineRule="exact"/>
        <w:ind w:firstLine="1440" w:firstLineChars="600"/>
        <w:rPr>
          <w:rFonts w:ascii="仿宋" w:hAnsi="仿宋" w:eastAsia="仿宋" w:cs="仿宋"/>
          <w:color w:val="auto"/>
          <w:sz w:val="24"/>
          <w:highlight w:val="none"/>
          <w:u w:val="singl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rPr>
        <w:t xml:space="preserve">                      </w:t>
      </w:r>
    </w:p>
    <w:p w14:paraId="2A71E1FB">
      <w:pPr>
        <w:pStyle w:val="12"/>
        <w:spacing w:beforeLines="0" w:afterLines="0" w:line="460" w:lineRule="exact"/>
        <w:ind w:firstLine="1440" w:firstLineChars="600"/>
        <w:rPr>
          <w:rFonts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09D8A50">
      <w:pPr>
        <w:pStyle w:val="12"/>
        <w:spacing w:beforeLines="0" w:afterLines="0" w:line="460" w:lineRule="exact"/>
        <w:ind w:firstLine="1440" w:firstLineChars="60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7240F5F7">
      <w:pPr>
        <w:pStyle w:val="12"/>
        <w:spacing w:beforeLines="0" w:afterLines="0" w:line="460" w:lineRule="exact"/>
        <w:ind w:firstLine="1440" w:firstLineChars="600"/>
        <w:rPr>
          <w:rFonts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14:paraId="3DEA6DF7">
      <w:pPr>
        <w:pStyle w:val="12"/>
        <w:spacing w:beforeLines="0" w:afterLines="0" w:line="460" w:lineRule="exact"/>
        <w:ind w:firstLine="1440" w:firstLineChars="600"/>
        <w:rPr>
          <w:rFonts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p>
    <w:p w14:paraId="43D01D5F">
      <w:pPr>
        <w:pStyle w:val="12"/>
        <w:spacing w:beforeLines="0" w:afterLines="0" w:line="460" w:lineRule="exact"/>
        <w:ind w:firstLine="1440" w:firstLineChars="600"/>
        <w:rPr>
          <w:rFonts w:ascii="仿宋" w:hAnsi="仿宋" w:eastAsia="仿宋" w:cs="仿宋"/>
          <w:color w:val="auto"/>
          <w:sz w:val="24"/>
          <w:highlight w:val="none"/>
        </w:rPr>
      </w:pPr>
      <w:r>
        <w:rPr>
          <w:rFonts w:hint="eastAsia" w:ascii="仿宋" w:hAnsi="仿宋" w:eastAsia="仿宋" w:cs="仿宋"/>
          <w:color w:val="auto"/>
          <w:sz w:val="24"/>
          <w:highlight w:val="none"/>
        </w:rPr>
        <w:t>联系地址：</w:t>
      </w:r>
      <w:r>
        <w:rPr>
          <w:rFonts w:hint="eastAsia" w:ascii="仿宋" w:hAnsi="仿宋" w:eastAsia="仿宋" w:cs="仿宋"/>
          <w:color w:val="auto"/>
          <w:sz w:val="24"/>
          <w:highlight w:val="none"/>
          <w:u w:val="single"/>
        </w:rPr>
        <w:t xml:space="preserve">                     </w:t>
      </w:r>
    </w:p>
    <w:p w14:paraId="221243AA">
      <w:pPr>
        <w:pStyle w:val="12"/>
        <w:spacing w:beforeLines="0" w:afterLines="0" w:line="460" w:lineRule="exact"/>
        <w:ind w:firstLine="1440" w:firstLineChars="6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81EF079">
      <w:pPr>
        <w:spacing w:beforeLines="0" w:afterLines="0" w:line="460" w:lineRule="exact"/>
        <w:rPr>
          <w:rFonts w:ascii="仿宋" w:hAnsi="仿宋" w:eastAsia="仿宋" w:cs="仿宋"/>
          <w:b/>
          <w:color w:val="auto"/>
          <w:sz w:val="24"/>
          <w:szCs w:val="24"/>
          <w:highlight w:val="none"/>
        </w:rPr>
      </w:pPr>
    </w:p>
    <w:p w14:paraId="06DA8F0B">
      <w:pPr>
        <w:spacing w:beforeLines="0" w:afterLines="0" w:line="460" w:lineRule="exact"/>
        <w:rPr>
          <w:rFonts w:ascii="仿宋" w:hAnsi="仿宋" w:eastAsia="仿宋" w:cs="仿宋"/>
          <w:b/>
          <w:color w:val="auto"/>
          <w:sz w:val="24"/>
          <w:szCs w:val="24"/>
          <w:highlight w:val="none"/>
        </w:rPr>
      </w:pPr>
    </w:p>
    <w:p w14:paraId="06990DC0">
      <w:pPr>
        <w:spacing w:beforeLines="0" w:afterLines="0" w:line="460" w:lineRule="exact"/>
        <w:rPr>
          <w:rFonts w:ascii="仿宋" w:hAnsi="仿宋" w:eastAsia="仿宋" w:cs="仿宋"/>
          <w:b/>
          <w:color w:val="auto"/>
          <w:sz w:val="24"/>
          <w:szCs w:val="24"/>
          <w:highlight w:val="none"/>
        </w:rPr>
      </w:pPr>
    </w:p>
    <w:p w14:paraId="09881956">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C5E6643">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目   录</w:t>
      </w:r>
    </w:p>
    <w:p w14:paraId="7F4B37B7">
      <w:pPr>
        <w:pStyle w:val="36"/>
        <w:spacing w:beforeLines="0" w:afterLines="0" w:line="460" w:lineRule="exact"/>
        <w:rPr>
          <w:rFonts w:ascii="仿宋" w:hAnsi="仿宋" w:eastAsia="仿宋" w:cs="仿宋"/>
          <w:b/>
          <w:color w:val="auto"/>
          <w:sz w:val="24"/>
          <w:szCs w:val="24"/>
          <w:highlight w:val="none"/>
        </w:rPr>
      </w:pPr>
    </w:p>
    <w:p w14:paraId="3225DAD5">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一、投标函（附件1）</w:t>
      </w:r>
    </w:p>
    <w:p w14:paraId="147E2EB8">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二、法定代表人身份证明（附件2）</w:t>
      </w:r>
    </w:p>
    <w:p w14:paraId="1A15F766">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三、法定代表人授权委托书（附件3）</w:t>
      </w:r>
    </w:p>
    <w:p w14:paraId="0B73A6B7">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四、投标报价表（开标一览表）（附件4）</w:t>
      </w:r>
    </w:p>
    <w:p w14:paraId="686CDCB5">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五、商务偏离表（附件5）</w:t>
      </w:r>
    </w:p>
    <w:p w14:paraId="03A832E7">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六、资格证明文件</w:t>
      </w:r>
    </w:p>
    <w:p w14:paraId="18235F82">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七、类似业绩（附件6）</w:t>
      </w:r>
    </w:p>
    <w:p w14:paraId="2824286B">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八、技术偏离表（附件7）</w:t>
      </w:r>
    </w:p>
    <w:p w14:paraId="6A396C17">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九、技术部分</w:t>
      </w:r>
    </w:p>
    <w:p w14:paraId="7ABA8DFA">
      <w:pPr>
        <w:spacing w:beforeLines="0" w:afterLines="0" w:line="46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十、中小微企业证明文件等（附件10）</w:t>
      </w:r>
    </w:p>
    <w:p w14:paraId="44AA7A02">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十一、投标人认为有必要提交的其他相关证明材料</w:t>
      </w:r>
    </w:p>
    <w:p w14:paraId="7FA59B29">
      <w:pPr>
        <w:pStyle w:val="36"/>
        <w:spacing w:beforeLines="0" w:afterLines="0" w:line="460" w:lineRule="exact"/>
        <w:rPr>
          <w:rFonts w:ascii="仿宋" w:hAnsi="仿宋" w:eastAsia="仿宋" w:cs="仿宋"/>
          <w:b/>
          <w:color w:val="auto"/>
          <w:sz w:val="24"/>
          <w:szCs w:val="24"/>
          <w:highlight w:val="none"/>
        </w:rPr>
        <w:sectPr>
          <w:pgSz w:w="11906" w:h="16838"/>
          <w:pgMar w:top="1304" w:right="1247" w:bottom="1418" w:left="1247" w:header="851" w:footer="992" w:gutter="0"/>
          <w:pgNumType w:fmt="decimal"/>
          <w:cols w:space="720" w:num="1"/>
          <w:docGrid w:linePitch="312" w:charSpace="0"/>
        </w:sectPr>
      </w:pPr>
    </w:p>
    <w:p w14:paraId="2A037FE5">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附件1：</w:t>
      </w:r>
    </w:p>
    <w:p w14:paraId="48B51775">
      <w:pPr>
        <w:spacing w:beforeLines="0" w:afterLines="0" w:line="460" w:lineRule="exact"/>
        <w:jc w:val="center"/>
        <w:outlineLvl w:val="1"/>
        <w:rPr>
          <w:rFonts w:ascii="仿宋" w:hAnsi="仿宋" w:eastAsia="仿宋" w:cs="仿宋"/>
          <w:b/>
          <w:color w:val="auto"/>
          <w:sz w:val="24"/>
          <w:szCs w:val="24"/>
          <w:highlight w:val="none"/>
        </w:rPr>
      </w:pPr>
      <w:bookmarkStart w:id="84" w:name="_Toc16321"/>
      <w:bookmarkStart w:id="85" w:name="_Toc18813"/>
      <w:r>
        <w:rPr>
          <w:rFonts w:hint="eastAsia" w:ascii="仿宋" w:hAnsi="仿宋" w:eastAsia="仿宋" w:cs="仿宋"/>
          <w:b/>
          <w:color w:val="auto"/>
          <w:sz w:val="24"/>
          <w:szCs w:val="24"/>
          <w:highlight w:val="none"/>
        </w:rPr>
        <w:t>一、投标函</w:t>
      </w:r>
      <w:bookmarkEnd w:id="84"/>
      <w:bookmarkEnd w:id="85"/>
    </w:p>
    <w:p w14:paraId="7CDAA159">
      <w:pPr>
        <w:spacing w:beforeLines="0" w:afterLines="0" w:line="460" w:lineRule="exact"/>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致：</w:t>
      </w:r>
      <w:r>
        <w:rPr>
          <w:rFonts w:hint="eastAsia" w:ascii="仿宋" w:hAnsi="仿宋" w:eastAsia="仿宋" w:cs="仿宋"/>
          <w:color w:val="auto"/>
          <w:sz w:val="24"/>
          <w:szCs w:val="24"/>
          <w:highlight w:val="none"/>
          <w:lang w:eastAsia="zh-CN"/>
        </w:rPr>
        <w:t>新疆千思跃建设工程项目管理有限责任公司</w:t>
      </w:r>
    </w:p>
    <w:p w14:paraId="43D05DD3">
      <w:pPr>
        <w:spacing w:beforeLines="0" w:afterLines="0" w:line="460" w:lineRule="exact"/>
        <w:ind w:firstLine="456" w:firstLineChars="200"/>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根据贵方</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项目</w:t>
      </w:r>
      <w:r>
        <w:rPr>
          <w:rFonts w:hint="eastAsia" w:ascii="仿宋" w:hAnsi="仿宋" w:eastAsia="仿宋" w:cs="仿宋"/>
          <w:color w:val="auto"/>
          <w:sz w:val="24"/>
          <w:szCs w:val="24"/>
          <w:highlight w:val="none"/>
        </w:rPr>
        <w:t>的</w:t>
      </w:r>
      <w:r>
        <w:rPr>
          <w:rFonts w:hint="eastAsia" w:ascii="仿宋" w:hAnsi="仿宋" w:eastAsia="仿宋" w:cs="仿宋"/>
          <w:color w:val="auto"/>
          <w:spacing w:val="-6"/>
          <w:sz w:val="24"/>
          <w:szCs w:val="24"/>
          <w:highlight w:val="none"/>
        </w:rPr>
        <w:t>招标采购</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)，正式授权的下述签字人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（姓名和职务）代表供应商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（投标供应商名称），在政采云平台上传下述证明。   </w:t>
      </w:r>
    </w:p>
    <w:p w14:paraId="3D7EDA7C">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1.投标函</w:t>
      </w:r>
    </w:p>
    <w:p w14:paraId="76D5DBEF">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2.开标一览表</w:t>
      </w:r>
    </w:p>
    <w:p w14:paraId="53429A99">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3.投标报价表</w:t>
      </w:r>
    </w:p>
    <w:p w14:paraId="0C136444">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w:t>
      </w:r>
    </w:p>
    <w:p w14:paraId="218962B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5.按投标文件要求供应商提交的全部文件</w:t>
      </w:r>
    </w:p>
    <w:p w14:paraId="200A4433">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据此函，签字人兹宣布同意如下条款：</w:t>
      </w:r>
    </w:p>
    <w:p w14:paraId="4A1E9802">
      <w:pPr>
        <w:numPr>
          <w:ilvl w:val="0"/>
          <w:numId w:val="6"/>
        </w:numPr>
        <w:spacing w:beforeLines="0" w:afterLines="0" w:line="460" w:lineRule="exact"/>
        <w:ind w:left="0"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所附投标价格表中规定的应提供和交付的服务投标报价为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p>
    <w:p w14:paraId="23A49E5F">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⑵ 我们将按投标文件的规定履行合同责任和义务。</w:t>
      </w:r>
    </w:p>
    <w:p w14:paraId="3960DB6A">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⑶ 我们已详细审查全部投标文件，包括修改意见（如有则附）以及全部参考资料和有关附件。我们完全理解并同意放弃对这方面有不明及误解而要求招标方解释和承担责任的权利。</w:t>
      </w:r>
    </w:p>
    <w:p w14:paraId="59FFF1AB">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⑷ 在供应商须知规定的投标有效期内遵循本投标性文件，并在投标须知规定的投标有效期期满之前具有约束力。</w:t>
      </w:r>
    </w:p>
    <w:p w14:paraId="20EC0E50">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⑸ 如果在规定的投标有效期内撤回投标，我们的投标保证金可被贵方没收。</w:t>
      </w:r>
    </w:p>
    <w:p w14:paraId="4D9EFC79">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⑹ 同意提供贵方可能要求的与本投标有关的任何证据或资料。</w:t>
      </w:r>
    </w:p>
    <w:p w14:paraId="5770C8A7">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⑺ 我们同意提供按照招标单位可能出示的与其投标有关的一切数据或资料。</w:t>
      </w:r>
    </w:p>
    <w:p w14:paraId="68BC3274">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⑻ 我们理解贵方不一定要接受最低报价的投标或收到的任何投标。</w:t>
      </w:r>
    </w:p>
    <w:p w14:paraId="054BC959">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⑼ 与本投标有关的一切正式往来通讯请寄至：</w:t>
      </w:r>
      <w:r>
        <w:rPr>
          <w:rFonts w:hint="eastAsia" w:ascii="仿宋" w:hAnsi="仿宋" w:eastAsia="仿宋" w:cs="仿宋"/>
          <w:color w:val="auto"/>
          <w:sz w:val="24"/>
          <w:szCs w:val="24"/>
          <w:highlight w:val="none"/>
          <w:u w:val="single"/>
        </w:rPr>
        <w:t xml:space="preserve">                                </w:t>
      </w:r>
    </w:p>
    <w:p w14:paraId="276BB488">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14:paraId="25BBBDB9">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p w14:paraId="185A222C">
      <w:pPr>
        <w:spacing w:beforeLines="0" w:afterLines="0" w:line="460" w:lineRule="exact"/>
        <w:ind w:firstLine="480" w:firstLineChars="200"/>
        <w:rPr>
          <w:rFonts w:ascii="仿宋" w:hAnsi="仿宋" w:eastAsia="仿宋" w:cs="仿宋"/>
          <w:color w:val="auto"/>
          <w:sz w:val="24"/>
          <w:szCs w:val="24"/>
          <w:highlight w:val="none"/>
        </w:rPr>
      </w:pPr>
    </w:p>
    <w:p w14:paraId="6B30E93B">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14:paraId="2F92522B">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14:paraId="2BE6C13B">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6E7C898E">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附件2：</w:t>
      </w:r>
      <w:bookmarkStart w:id="86" w:name="_Toc139965362"/>
    </w:p>
    <w:p w14:paraId="447D8585">
      <w:pPr>
        <w:spacing w:beforeLines="0" w:afterLines="0" w:line="460" w:lineRule="exact"/>
        <w:jc w:val="center"/>
        <w:outlineLvl w:val="1"/>
        <w:rPr>
          <w:rFonts w:ascii="仿宋" w:hAnsi="仿宋" w:eastAsia="仿宋" w:cs="仿宋"/>
          <w:b/>
          <w:color w:val="auto"/>
          <w:sz w:val="24"/>
          <w:szCs w:val="24"/>
          <w:highlight w:val="none"/>
        </w:rPr>
      </w:pPr>
      <w:bookmarkStart w:id="87" w:name="_Toc8845"/>
      <w:bookmarkStart w:id="88" w:name="_Toc9222"/>
      <w:bookmarkStart w:id="89" w:name="_Toc327439494"/>
      <w:r>
        <w:rPr>
          <w:rFonts w:hint="eastAsia" w:ascii="仿宋" w:hAnsi="仿宋" w:eastAsia="仿宋" w:cs="仿宋"/>
          <w:b/>
          <w:color w:val="auto"/>
          <w:sz w:val="24"/>
          <w:szCs w:val="24"/>
          <w:highlight w:val="none"/>
        </w:rPr>
        <w:t>二、法定代表人身份证明</w:t>
      </w:r>
      <w:bookmarkEnd w:id="87"/>
      <w:bookmarkEnd w:id="88"/>
    </w:p>
    <w:p w14:paraId="3F8F939F">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058AB4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8F398FE">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0638B139">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C2ABD8B">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18DCD806">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3E2503BA">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4A33FC0B">
      <w:pPr>
        <w:spacing w:beforeLines="0" w:afterLines="0"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（投标供应商名称）的法定代表人。</w:t>
      </w:r>
    </w:p>
    <w:p w14:paraId="1D2CC092">
      <w:pPr>
        <w:spacing w:beforeLines="0" w:afterLines="0" w:line="460" w:lineRule="exact"/>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23A281F2">
      <w:pPr>
        <w:spacing w:beforeLines="0" w:afterLines="0" w:line="460" w:lineRule="exact"/>
        <w:jc w:val="center"/>
        <w:rPr>
          <w:rFonts w:ascii="仿宋" w:hAnsi="仿宋" w:eastAsia="仿宋" w:cs="仿宋"/>
          <w:b/>
          <w:color w:val="auto"/>
          <w:sz w:val="24"/>
          <w:szCs w:val="24"/>
          <w:highlight w:val="none"/>
        </w:rPr>
      </w:pPr>
    </w:p>
    <w:p w14:paraId="240FA85D">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14:paraId="546C873E">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p>
    <w:p w14:paraId="356A5D36">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6A758ABF">
      <w:pPr>
        <w:spacing w:beforeLines="0" w:afterLines="0" w:line="460" w:lineRule="exact"/>
        <w:jc w:val="center"/>
        <w:rPr>
          <w:rFonts w:ascii="仿宋" w:hAnsi="仿宋" w:eastAsia="仿宋" w:cs="仿宋"/>
          <w:b/>
          <w:color w:val="auto"/>
          <w:sz w:val="24"/>
          <w:szCs w:val="24"/>
          <w:highlight w:val="none"/>
        </w:rPr>
      </w:pPr>
    </w:p>
    <w:p w14:paraId="0A698E8C">
      <w:pPr>
        <w:spacing w:beforeLines="0" w:afterLines="0" w:line="460" w:lineRule="exact"/>
        <w:jc w:val="center"/>
        <w:rPr>
          <w:rFonts w:ascii="仿宋" w:hAnsi="仿宋" w:eastAsia="仿宋" w:cs="仿宋"/>
          <w:b/>
          <w:color w:val="auto"/>
          <w:sz w:val="24"/>
          <w:szCs w:val="24"/>
          <w:highlight w:val="none"/>
        </w:rPr>
      </w:pPr>
    </w:p>
    <w:tbl>
      <w:tblPr>
        <w:tblStyle w:val="41"/>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14:paraId="7B46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1" w:hRule="atLeast"/>
        </w:trPr>
        <w:tc>
          <w:tcPr>
            <w:tcW w:w="4498" w:type="dxa"/>
            <w:vAlign w:val="center"/>
          </w:tcPr>
          <w:p w14:paraId="5861CA7E">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14:paraId="357DC831">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复印件正面</w:t>
            </w:r>
          </w:p>
        </w:tc>
        <w:tc>
          <w:tcPr>
            <w:tcW w:w="4610" w:type="dxa"/>
            <w:vAlign w:val="center"/>
          </w:tcPr>
          <w:p w14:paraId="21D3C680">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14:paraId="54A661B1">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复印件反面</w:t>
            </w:r>
          </w:p>
        </w:tc>
      </w:tr>
    </w:tbl>
    <w:p w14:paraId="3B0E4802">
      <w:pPr>
        <w:spacing w:beforeLines="0" w:afterLines="0" w:line="460" w:lineRule="exact"/>
        <w:jc w:val="center"/>
        <w:rPr>
          <w:rFonts w:ascii="仿宋" w:hAnsi="仿宋" w:eastAsia="仿宋" w:cs="仿宋"/>
          <w:b/>
          <w:color w:val="auto"/>
          <w:sz w:val="24"/>
          <w:szCs w:val="24"/>
          <w:highlight w:val="none"/>
        </w:rPr>
      </w:pPr>
    </w:p>
    <w:p w14:paraId="4AFF22CF">
      <w:pPr>
        <w:spacing w:beforeLines="0" w:afterLines="0" w:line="460" w:lineRule="exact"/>
        <w:jc w:val="center"/>
        <w:rPr>
          <w:rFonts w:ascii="仿宋" w:hAnsi="仿宋" w:eastAsia="仿宋" w:cs="仿宋"/>
          <w:b/>
          <w:color w:val="auto"/>
          <w:sz w:val="24"/>
          <w:szCs w:val="24"/>
          <w:highlight w:val="none"/>
        </w:rPr>
      </w:pPr>
    </w:p>
    <w:p w14:paraId="6AD24137">
      <w:pPr>
        <w:spacing w:beforeLines="0" w:afterLines="0" w:line="460" w:lineRule="exact"/>
        <w:jc w:val="center"/>
        <w:rPr>
          <w:rFonts w:ascii="仿宋" w:hAnsi="仿宋" w:eastAsia="仿宋" w:cs="仿宋"/>
          <w:b/>
          <w:color w:val="auto"/>
          <w:sz w:val="24"/>
          <w:szCs w:val="24"/>
          <w:highlight w:val="none"/>
        </w:rPr>
      </w:pPr>
    </w:p>
    <w:p w14:paraId="740E4DE0">
      <w:pPr>
        <w:spacing w:beforeLines="0" w:afterLines="0" w:line="460" w:lineRule="exact"/>
        <w:rPr>
          <w:rFonts w:ascii="仿宋" w:hAnsi="仿宋" w:eastAsia="仿宋" w:cs="仿宋"/>
          <w:b/>
          <w:color w:val="auto"/>
          <w:sz w:val="24"/>
          <w:szCs w:val="24"/>
          <w:highlight w:val="none"/>
        </w:rPr>
      </w:pPr>
    </w:p>
    <w:p w14:paraId="3B803D8A">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A8A500F">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附件3：</w:t>
      </w:r>
    </w:p>
    <w:p w14:paraId="7B67FA9B">
      <w:pPr>
        <w:spacing w:beforeLines="0" w:afterLines="0" w:line="460" w:lineRule="exact"/>
        <w:jc w:val="center"/>
        <w:outlineLvl w:val="1"/>
        <w:rPr>
          <w:rFonts w:ascii="仿宋" w:hAnsi="仿宋" w:eastAsia="仿宋" w:cs="仿宋"/>
          <w:b/>
          <w:color w:val="auto"/>
          <w:sz w:val="24"/>
          <w:szCs w:val="24"/>
          <w:highlight w:val="none"/>
        </w:rPr>
      </w:pPr>
      <w:bookmarkStart w:id="90" w:name="_Toc2857"/>
      <w:bookmarkStart w:id="91" w:name="_Toc7084"/>
      <w:r>
        <w:rPr>
          <w:rFonts w:hint="eastAsia" w:ascii="仿宋" w:hAnsi="仿宋" w:eastAsia="仿宋" w:cs="仿宋"/>
          <w:b/>
          <w:color w:val="auto"/>
          <w:sz w:val="24"/>
          <w:szCs w:val="24"/>
          <w:highlight w:val="none"/>
        </w:rPr>
        <w:t>三、法定代表人授权委托书</w:t>
      </w:r>
      <w:bookmarkEnd w:id="90"/>
      <w:bookmarkEnd w:id="91"/>
    </w:p>
    <w:p w14:paraId="06D0BA4D">
      <w:pPr>
        <w:spacing w:beforeLines="0" w:afterLines="0" w:line="460" w:lineRule="exact"/>
        <w:jc w:val="center"/>
        <w:rPr>
          <w:rFonts w:ascii="仿宋" w:hAnsi="仿宋" w:eastAsia="仿宋" w:cs="仿宋"/>
          <w:color w:val="auto"/>
          <w:sz w:val="24"/>
          <w:szCs w:val="24"/>
          <w:highlight w:val="none"/>
        </w:rPr>
      </w:pPr>
    </w:p>
    <w:p w14:paraId="64178B74">
      <w:pPr>
        <w:spacing w:beforeLines="0" w:afterLines="0" w:line="46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本授权书声明：我单位的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（法人代表姓名、职务）代表本单位授权</w:t>
      </w:r>
      <w:r>
        <w:rPr>
          <w:rFonts w:hint="eastAsia" w:ascii="仿宋" w:hAnsi="仿宋" w:eastAsia="仿宋" w:cs="仿宋"/>
          <w:color w:val="auto"/>
          <w:sz w:val="24"/>
          <w:szCs w:val="24"/>
          <w:highlight w:val="none"/>
          <w:u w:val="single"/>
        </w:rPr>
        <w:t xml:space="preserve"> </w:t>
      </w:r>
    </w:p>
    <w:p w14:paraId="3F057B7B">
      <w:pPr>
        <w:spacing w:beforeLines="0" w:afterLines="0" w:line="460" w:lineRule="exact"/>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（被授权人的姓名、职务）为本单位的合法代理人，就</w:t>
      </w:r>
      <w:r>
        <w:rPr>
          <w:rFonts w:hint="eastAsia" w:ascii="仿宋" w:hAnsi="仿宋" w:eastAsia="仿宋" w:cs="仿宋"/>
          <w:color w:val="auto"/>
          <w:sz w:val="24"/>
          <w:szCs w:val="24"/>
          <w:highlight w:val="none"/>
          <w:u w:val="single"/>
        </w:rPr>
        <w:t xml:space="preserve">               </w:t>
      </w:r>
    </w:p>
    <w:p w14:paraId="33F6F265">
      <w:pPr>
        <w:spacing w:beforeLines="0" w:afterLines="0"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项目的投标及合同的执行、完成，以本单位的名义处理一切与之有关的事务。</w:t>
      </w:r>
    </w:p>
    <w:p w14:paraId="2D54C623">
      <w:pPr>
        <w:spacing w:beforeLines="0" w:afterLines="0" w:line="460" w:lineRule="exact"/>
        <w:ind w:firstLine="538"/>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p>
    <w:p w14:paraId="061E4CA7">
      <w:pPr>
        <w:spacing w:beforeLines="0" w:afterLines="0" w:line="460" w:lineRule="exact"/>
        <w:ind w:firstLine="538"/>
        <w:jc w:val="left"/>
        <w:rPr>
          <w:rFonts w:ascii="仿宋" w:hAnsi="仿宋" w:eastAsia="仿宋" w:cs="仿宋"/>
          <w:color w:val="auto"/>
          <w:sz w:val="24"/>
          <w:szCs w:val="24"/>
          <w:highlight w:val="none"/>
        </w:rPr>
      </w:pPr>
    </w:p>
    <w:p w14:paraId="5879D672">
      <w:pPr>
        <w:spacing w:beforeLines="0" w:afterLines="0" w:line="460" w:lineRule="exact"/>
        <w:ind w:firstLine="538"/>
        <w:jc w:val="left"/>
        <w:rPr>
          <w:rFonts w:ascii="仿宋" w:hAnsi="仿宋" w:eastAsia="仿宋" w:cs="仿宋"/>
          <w:color w:val="auto"/>
          <w:sz w:val="24"/>
          <w:szCs w:val="24"/>
          <w:highlight w:val="none"/>
        </w:rPr>
      </w:pPr>
    </w:p>
    <w:p w14:paraId="06876647">
      <w:pPr>
        <w:spacing w:beforeLines="0" w:afterLines="0" w:line="460" w:lineRule="exact"/>
        <w:ind w:firstLine="437"/>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14:paraId="628BF4DD">
      <w:pPr>
        <w:spacing w:beforeLines="0" w:afterLines="0" w:line="460" w:lineRule="exact"/>
        <w:ind w:firstLine="43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FB6466D">
      <w:pPr>
        <w:spacing w:beforeLines="0" w:afterLines="0" w:line="460" w:lineRule="exact"/>
        <w:ind w:firstLine="437"/>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授权代表人（签字或盖章）：</w:t>
      </w:r>
      <w:r>
        <w:rPr>
          <w:rFonts w:hint="eastAsia" w:ascii="仿宋" w:hAnsi="仿宋" w:eastAsia="仿宋" w:cs="仿宋"/>
          <w:color w:val="auto"/>
          <w:sz w:val="24"/>
          <w:szCs w:val="24"/>
          <w:highlight w:val="none"/>
          <w:u w:val="single"/>
        </w:rPr>
        <w:t xml:space="preserve">                       </w:t>
      </w:r>
    </w:p>
    <w:p w14:paraId="4B81C530">
      <w:pPr>
        <w:spacing w:beforeLines="0" w:afterLines="0" w:line="460" w:lineRule="exact"/>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0F5E8947">
      <w:pPr>
        <w:spacing w:beforeLines="0" w:afterLines="0" w:line="460" w:lineRule="exact"/>
        <w:jc w:val="right"/>
        <w:rPr>
          <w:rFonts w:ascii="仿宋" w:hAnsi="仿宋" w:eastAsia="仿宋" w:cs="仿宋"/>
          <w:color w:val="auto"/>
          <w:sz w:val="24"/>
          <w:szCs w:val="24"/>
          <w:highlight w:val="none"/>
        </w:rPr>
      </w:pPr>
    </w:p>
    <w:tbl>
      <w:tblPr>
        <w:tblStyle w:val="41"/>
        <w:tblpPr w:leftFromText="180" w:rightFromText="180" w:vertAnchor="text" w:horzAnchor="page" w:tblpX="1372" w:tblpY="798"/>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14:paraId="3C56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1" w:hRule="atLeast"/>
        </w:trPr>
        <w:tc>
          <w:tcPr>
            <w:tcW w:w="4498" w:type="dxa"/>
            <w:vAlign w:val="center"/>
          </w:tcPr>
          <w:p w14:paraId="04BEE1F0">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14:paraId="4D07003F">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复印件（正、反面）</w:t>
            </w:r>
          </w:p>
        </w:tc>
        <w:tc>
          <w:tcPr>
            <w:tcW w:w="4610" w:type="dxa"/>
            <w:vAlign w:val="center"/>
          </w:tcPr>
          <w:p w14:paraId="72C59180">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被授权人身份证</w:t>
            </w:r>
          </w:p>
          <w:p w14:paraId="5EB2F890">
            <w:pPr>
              <w:spacing w:beforeLines="0" w:afterLines="0"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复印件（正、反面）</w:t>
            </w:r>
          </w:p>
        </w:tc>
      </w:tr>
    </w:tbl>
    <w:p w14:paraId="27D16666">
      <w:pPr>
        <w:spacing w:beforeLines="0" w:afterLines="0" w:line="460" w:lineRule="exact"/>
        <w:rPr>
          <w:rFonts w:ascii="仿宋" w:hAnsi="仿宋" w:eastAsia="仿宋" w:cs="仿宋"/>
          <w:color w:val="auto"/>
          <w:spacing w:val="10"/>
          <w:sz w:val="24"/>
          <w:szCs w:val="24"/>
          <w:highlight w:val="none"/>
        </w:rPr>
      </w:pPr>
    </w:p>
    <w:p w14:paraId="4EE5D2B5">
      <w:pPr>
        <w:spacing w:beforeLines="0" w:afterLines="0" w:line="460" w:lineRule="exact"/>
        <w:rPr>
          <w:rFonts w:ascii="仿宋" w:hAnsi="仿宋" w:eastAsia="仿宋" w:cs="仿宋"/>
          <w:color w:val="auto"/>
          <w:sz w:val="24"/>
          <w:szCs w:val="24"/>
          <w:highlight w:val="none"/>
        </w:rPr>
      </w:pPr>
    </w:p>
    <w:p w14:paraId="2004F413">
      <w:pPr>
        <w:spacing w:beforeLines="0" w:afterLines="0" w:line="460" w:lineRule="exact"/>
        <w:rPr>
          <w:rFonts w:ascii="仿宋" w:hAnsi="仿宋" w:eastAsia="仿宋" w:cs="仿宋"/>
          <w:color w:val="auto"/>
          <w:sz w:val="24"/>
          <w:szCs w:val="24"/>
          <w:highlight w:val="none"/>
        </w:rPr>
      </w:pPr>
    </w:p>
    <w:p w14:paraId="5C07926D">
      <w:pPr>
        <w:spacing w:beforeLines="0" w:afterLines="0" w:line="460" w:lineRule="exact"/>
        <w:rPr>
          <w:rFonts w:ascii="仿宋" w:hAnsi="仿宋" w:eastAsia="仿宋" w:cs="仿宋"/>
          <w:color w:val="auto"/>
          <w:sz w:val="24"/>
          <w:szCs w:val="24"/>
          <w:highlight w:val="none"/>
        </w:rPr>
      </w:pPr>
    </w:p>
    <w:p w14:paraId="32B71A6F">
      <w:pPr>
        <w:spacing w:beforeLines="0" w:afterLines="0" w:line="460" w:lineRule="exact"/>
        <w:rPr>
          <w:rFonts w:ascii="仿宋" w:hAnsi="仿宋" w:eastAsia="仿宋" w:cs="仿宋"/>
          <w:color w:val="auto"/>
          <w:sz w:val="24"/>
          <w:szCs w:val="24"/>
          <w:highlight w:val="none"/>
        </w:rPr>
      </w:pPr>
    </w:p>
    <w:p w14:paraId="35C500B0">
      <w:pPr>
        <w:spacing w:beforeLines="0" w:afterLines="0" w:line="460" w:lineRule="exact"/>
        <w:rPr>
          <w:color w:val="auto"/>
          <w:highlight w:val="none"/>
        </w:rPr>
        <w:sectPr>
          <w:pgSz w:w="11906" w:h="16838"/>
          <w:pgMar w:top="1304" w:right="1247" w:bottom="1418" w:left="1247" w:header="851" w:footer="992" w:gutter="0"/>
          <w:pgNumType w:fmt="decimal"/>
          <w:cols w:space="720" w:num="1"/>
          <w:docGrid w:linePitch="312" w:charSpace="0"/>
        </w:sectPr>
      </w:pPr>
      <w:r>
        <w:rPr>
          <w:rFonts w:hint="eastAsia" w:ascii="仿宋" w:hAnsi="仿宋" w:eastAsia="仿宋" w:cs="仿宋"/>
          <w:color w:val="auto"/>
          <w:sz w:val="24"/>
          <w:szCs w:val="24"/>
          <w:highlight w:val="none"/>
        </w:rPr>
        <w:br w:type="page"/>
      </w:r>
    </w:p>
    <w:bookmarkEnd w:id="86"/>
    <w:bookmarkEnd w:id="89"/>
    <w:p w14:paraId="778EE23B">
      <w:pPr>
        <w:spacing w:beforeLines="0" w:afterLines="0" w:line="460" w:lineRule="exact"/>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附件4：</w:t>
      </w:r>
    </w:p>
    <w:p w14:paraId="49B69770">
      <w:pPr>
        <w:spacing w:beforeLines="0" w:afterLines="0" w:line="460" w:lineRule="exact"/>
        <w:jc w:val="center"/>
        <w:outlineLvl w:val="1"/>
        <w:rPr>
          <w:rFonts w:ascii="宋体" w:hAnsi="宋体" w:cs="宋体"/>
          <w:b/>
          <w:bCs/>
          <w:color w:val="auto"/>
          <w:szCs w:val="21"/>
          <w:highlight w:val="none"/>
        </w:rPr>
      </w:pPr>
      <w:bookmarkStart w:id="92" w:name="_Toc20566"/>
      <w:bookmarkStart w:id="93" w:name="_Toc10053"/>
      <w:r>
        <w:rPr>
          <w:rFonts w:hint="eastAsia" w:ascii="宋体" w:hAnsi="宋体" w:cs="宋体"/>
          <w:b/>
          <w:bCs/>
          <w:color w:val="auto"/>
          <w:szCs w:val="21"/>
          <w:highlight w:val="none"/>
        </w:rPr>
        <w:t>四、开标一览表</w:t>
      </w:r>
      <w:bookmarkEnd w:id="92"/>
      <w:bookmarkEnd w:id="93"/>
    </w:p>
    <w:p w14:paraId="5426E5E1">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磋商供应商名称：</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项目编号：       </w:t>
      </w:r>
    </w:p>
    <w:tbl>
      <w:tblPr>
        <w:tblStyle w:val="4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14:paraId="2EE5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302750BF">
            <w:pPr>
              <w:spacing w:beforeLines="0" w:afterLines="0" w:line="4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8" w:type="dxa"/>
            <w:vAlign w:val="center"/>
          </w:tcPr>
          <w:p w14:paraId="5E1F4329">
            <w:pPr>
              <w:spacing w:beforeLines="0" w:afterLines="0" w:line="46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801" w:type="dxa"/>
            <w:vAlign w:val="center"/>
          </w:tcPr>
          <w:p w14:paraId="4287BE1A">
            <w:pPr>
              <w:spacing w:beforeLines="0" w:afterLines="0" w:line="460" w:lineRule="exact"/>
              <w:jc w:val="center"/>
              <w:rPr>
                <w:rFonts w:ascii="宋体" w:hAnsi="宋体" w:cs="宋体"/>
                <w:color w:val="auto"/>
                <w:szCs w:val="21"/>
                <w:highlight w:val="none"/>
              </w:rPr>
            </w:pPr>
            <w:r>
              <w:rPr>
                <w:rFonts w:hint="eastAsia" w:ascii="宋体" w:hAnsi="宋体" w:cs="宋体"/>
                <w:color w:val="auto"/>
                <w:szCs w:val="21"/>
                <w:highlight w:val="none"/>
              </w:rPr>
              <w:t>内容</w:t>
            </w:r>
          </w:p>
        </w:tc>
      </w:tr>
      <w:tr w14:paraId="38CD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14:paraId="16CE1DEC">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1</w:t>
            </w:r>
          </w:p>
        </w:tc>
        <w:tc>
          <w:tcPr>
            <w:tcW w:w="1418" w:type="dxa"/>
            <w:vAlign w:val="center"/>
          </w:tcPr>
          <w:p w14:paraId="028A9075">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总价</w:t>
            </w:r>
          </w:p>
        </w:tc>
        <w:tc>
          <w:tcPr>
            <w:tcW w:w="6801" w:type="dxa"/>
            <w:vAlign w:val="center"/>
          </w:tcPr>
          <w:p w14:paraId="3C0DBD63">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（小写）</w:t>
            </w:r>
          </w:p>
          <w:p w14:paraId="34838341">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（大写）</w:t>
            </w:r>
          </w:p>
        </w:tc>
      </w:tr>
      <w:tr w14:paraId="16BD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14:paraId="76B0E87F">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2</w:t>
            </w:r>
          </w:p>
        </w:tc>
        <w:tc>
          <w:tcPr>
            <w:tcW w:w="1418" w:type="dxa"/>
            <w:vAlign w:val="center"/>
          </w:tcPr>
          <w:p w14:paraId="60CB5EC1">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服务期</w:t>
            </w:r>
          </w:p>
        </w:tc>
        <w:tc>
          <w:tcPr>
            <w:tcW w:w="6801" w:type="dxa"/>
            <w:vAlign w:val="center"/>
          </w:tcPr>
          <w:p w14:paraId="5BB5384F">
            <w:pPr>
              <w:spacing w:beforeLines="0" w:afterLines="0" w:line="460" w:lineRule="exact"/>
              <w:rPr>
                <w:rFonts w:ascii="宋体" w:hAnsi="宋体" w:cs="宋体"/>
                <w:color w:val="auto"/>
                <w:szCs w:val="21"/>
                <w:highlight w:val="none"/>
              </w:rPr>
            </w:pPr>
          </w:p>
        </w:tc>
      </w:tr>
      <w:tr w14:paraId="0F4F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14:paraId="4CDEECA7">
            <w:pPr>
              <w:spacing w:beforeLines="0" w:afterLines="0"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18" w:type="dxa"/>
            <w:vAlign w:val="center"/>
          </w:tcPr>
          <w:p w14:paraId="075E8424">
            <w:pPr>
              <w:spacing w:beforeLines="0" w:afterLines="0"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交付期</w:t>
            </w:r>
          </w:p>
        </w:tc>
        <w:tc>
          <w:tcPr>
            <w:tcW w:w="6801" w:type="dxa"/>
            <w:vAlign w:val="center"/>
          </w:tcPr>
          <w:p w14:paraId="1407F397">
            <w:pPr>
              <w:spacing w:beforeLines="0" w:afterLines="0" w:line="460" w:lineRule="exact"/>
              <w:rPr>
                <w:rFonts w:ascii="宋体" w:hAnsi="宋体" w:cs="宋体"/>
                <w:color w:val="auto"/>
                <w:szCs w:val="21"/>
                <w:highlight w:val="none"/>
              </w:rPr>
            </w:pPr>
          </w:p>
        </w:tc>
      </w:tr>
      <w:tr w14:paraId="084D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14:paraId="09DD6C46">
            <w:pPr>
              <w:spacing w:beforeLines="0" w:afterLines="0" w:line="46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18" w:type="dxa"/>
            <w:vAlign w:val="center"/>
          </w:tcPr>
          <w:p w14:paraId="00DFEBF6">
            <w:pPr>
              <w:spacing w:beforeLines="0" w:afterLines="0" w:line="46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投标有效期</w:t>
            </w:r>
          </w:p>
        </w:tc>
        <w:tc>
          <w:tcPr>
            <w:tcW w:w="6801" w:type="dxa"/>
            <w:vAlign w:val="center"/>
          </w:tcPr>
          <w:p w14:paraId="5B2C3D6F">
            <w:pPr>
              <w:spacing w:beforeLines="0" w:afterLines="0" w:line="460" w:lineRule="exact"/>
              <w:rPr>
                <w:rFonts w:ascii="宋体" w:hAnsi="宋体" w:cs="宋体"/>
                <w:color w:val="auto"/>
                <w:szCs w:val="21"/>
                <w:highlight w:val="none"/>
              </w:rPr>
            </w:pPr>
          </w:p>
        </w:tc>
      </w:tr>
      <w:tr w14:paraId="1BA1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14:paraId="1330AA4B">
            <w:pPr>
              <w:spacing w:beforeLines="0" w:afterLines="0"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418" w:type="dxa"/>
            <w:vAlign w:val="center"/>
          </w:tcPr>
          <w:p w14:paraId="56DDDBE9">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报价说明</w:t>
            </w:r>
          </w:p>
        </w:tc>
        <w:tc>
          <w:tcPr>
            <w:tcW w:w="6801" w:type="dxa"/>
            <w:vAlign w:val="center"/>
          </w:tcPr>
          <w:p w14:paraId="24CD6384">
            <w:pPr>
              <w:spacing w:beforeLines="0" w:afterLines="0" w:line="460" w:lineRule="exact"/>
              <w:rPr>
                <w:rFonts w:ascii="宋体" w:hAnsi="宋体" w:cs="宋体"/>
                <w:color w:val="auto"/>
                <w:szCs w:val="21"/>
                <w:highlight w:val="none"/>
              </w:rPr>
            </w:pPr>
          </w:p>
        </w:tc>
      </w:tr>
      <w:tr w14:paraId="3D7B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14:paraId="23A85C91">
            <w:pPr>
              <w:spacing w:beforeLines="0" w:afterLines="0"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418" w:type="dxa"/>
            <w:vAlign w:val="center"/>
          </w:tcPr>
          <w:p w14:paraId="1B6D8694">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备注</w:t>
            </w:r>
          </w:p>
        </w:tc>
        <w:tc>
          <w:tcPr>
            <w:tcW w:w="6801" w:type="dxa"/>
            <w:vAlign w:val="center"/>
          </w:tcPr>
          <w:p w14:paraId="7124386C">
            <w:pPr>
              <w:spacing w:beforeLines="0" w:afterLines="0" w:line="460" w:lineRule="exact"/>
              <w:rPr>
                <w:rFonts w:ascii="宋体" w:hAnsi="宋体" w:cs="宋体"/>
                <w:color w:val="auto"/>
                <w:szCs w:val="21"/>
                <w:highlight w:val="none"/>
              </w:rPr>
            </w:pPr>
          </w:p>
        </w:tc>
      </w:tr>
    </w:tbl>
    <w:p w14:paraId="73D6D802">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备注：</w:t>
      </w:r>
    </w:p>
    <w:p w14:paraId="719C622B">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1、投标总价应为各分项报价之和。报价须以元为单位，小数点后保留2位。</w:t>
      </w:r>
    </w:p>
    <w:p w14:paraId="215BD854">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2、投标报价包括投标人为实施本项目提供投标产品及供货内容所包括的全部含税价格的体现。</w:t>
      </w:r>
    </w:p>
    <w:p w14:paraId="1D25F2ED">
      <w:pPr>
        <w:spacing w:beforeLines="0" w:afterLines="0" w:line="460" w:lineRule="exact"/>
        <w:rPr>
          <w:rFonts w:ascii="宋体" w:hAnsi="宋体" w:cs="宋体"/>
          <w:color w:val="auto"/>
          <w:szCs w:val="21"/>
          <w:highlight w:val="none"/>
        </w:rPr>
      </w:pPr>
      <w:r>
        <w:rPr>
          <w:rFonts w:hint="eastAsia" w:ascii="宋体" w:hAnsi="宋体" w:cs="宋体"/>
          <w:color w:val="auto"/>
          <w:szCs w:val="21"/>
          <w:highlight w:val="none"/>
        </w:rPr>
        <w:t>3、投标人必须自行考虑本项目在实施期间的一切可能产生的费用。在合同执行过程中，招标人将不再另行支付与本项目相关的任何费用（非本项目要求的其它内容除外）。</w:t>
      </w:r>
    </w:p>
    <w:p w14:paraId="49B49F20">
      <w:pPr>
        <w:spacing w:beforeLines="0" w:afterLines="0" w:line="460" w:lineRule="exact"/>
        <w:rPr>
          <w:rFonts w:ascii="宋体" w:hAnsi="宋体" w:cs="宋体"/>
          <w:b/>
          <w:bCs/>
          <w:color w:val="auto"/>
          <w:szCs w:val="21"/>
          <w:highlight w:val="none"/>
        </w:rPr>
      </w:pPr>
      <w:r>
        <w:rPr>
          <w:rFonts w:hint="eastAsia" w:ascii="宋体" w:hAnsi="宋体" w:cs="宋体"/>
          <w:b/>
          <w:bCs/>
          <w:color w:val="auto"/>
          <w:szCs w:val="21"/>
          <w:highlight w:val="none"/>
        </w:rPr>
        <w:t>4、本表须按政采云要求，单独上传。</w:t>
      </w:r>
    </w:p>
    <w:p w14:paraId="1E11D230">
      <w:pPr>
        <w:spacing w:beforeLines="0" w:afterLines="0" w:line="460" w:lineRule="exact"/>
        <w:rPr>
          <w:rFonts w:ascii="宋体" w:hAnsi="宋体" w:cs="宋体"/>
          <w:b/>
          <w:bCs/>
          <w:color w:val="auto"/>
          <w:szCs w:val="21"/>
          <w:highlight w:val="none"/>
        </w:rPr>
      </w:pPr>
    </w:p>
    <w:p w14:paraId="5116688C">
      <w:pPr>
        <w:pStyle w:val="19"/>
        <w:spacing w:beforeLines="0" w:afterLines="0" w:line="460" w:lineRule="exact"/>
        <w:rPr>
          <w:rFonts w:ascii="宋体" w:hAnsi="宋体" w:cs="宋体"/>
          <w:b/>
          <w:bCs/>
          <w:color w:val="auto"/>
          <w:sz w:val="21"/>
          <w:szCs w:val="21"/>
          <w:highlight w:val="none"/>
        </w:rPr>
      </w:pPr>
    </w:p>
    <w:p w14:paraId="4A74B571">
      <w:pPr>
        <w:spacing w:beforeLines="0" w:afterLines="0" w:line="460" w:lineRule="exact"/>
        <w:jc w:val="center"/>
        <w:rPr>
          <w:rFonts w:ascii="宋体" w:hAnsi="宋体" w:cs="宋体"/>
          <w:color w:val="auto"/>
          <w:szCs w:val="21"/>
          <w:highlight w:val="none"/>
          <w:u w:val="single"/>
        </w:rPr>
      </w:pPr>
      <w:r>
        <w:rPr>
          <w:rFonts w:hint="eastAsia" w:ascii="宋体" w:hAnsi="宋体" w:cs="宋体"/>
          <w:color w:val="auto"/>
          <w:szCs w:val="21"/>
          <w:highlight w:val="none"/>
        </w:rPr>
        <w:t>投标供应商名称（公章）：</w:t>
      </w:r>
    </w:p>
    <w:p w14:paraId="0EF23DEC">
      <w:pPr>
        <w:spacing w:beforeLines="0" w:afterLines="0" w:line="460" w:lineRule="exact"/>
        <w:jc w:val="center"/>
        <w:rPr>
          <w:rFonts w:ascii="宋体" w:hAnsi="宋体" w:cs="宋体"/>
          <w:color w:val="auto"/>
          <w:szCs w:val="21"/>
          <w:highlight w:val="none"/>
          <w:u w:val="single"/>
        </w:rPr>
      </w:pPr>
      <w:r>
        <w:rPr>
          <w:rFonts w:hint="eastAsia" w:ascii="宋体" w:hAnsi="宋体" w:cs="宋体"/>
          <w:color w:val="auto"/>
          <w:szCs w:val="21"/>
          <w:highlight w:val="none"/>
        </w:rPr>
        <w:t>法定代表人或授权代表人（签字）：</w:t>
      </w:r>
    </w:p>
    <w:p w14:paraId="3563A765">
      <w:pPr>
        <w:spacing w:beforeLines="0" w:afterLines="0" w:line="460" w:lineRule="exact"/>
        <w:rPr>
          <w:rFonts w:ascii="仿宋" w:hAnsi="仿宋" w:eastAsia="仿宋" w:cs="仿宋"/>
          <w:b/>
          <w:color w:val="auto"/>
          <w:sz w:val="24"/>
          <w:szCs w:val="24"/>
          <w:highlight w:val="none"/>
        </w:rPr>
      </w:pPr>
      <w:r>
        <w:rPr>
          <w:rFonts w:hint="eastAsia" w:ascii="宋体" w:hAnsi="宋体" w:cs="宋体"/>
          <w:bCs/>
          <w:color w:val="auto"/>
          <w:szCs w:val="21"/>
          <w:highlight w:val="none"/>
        </w:rPr>
        <w:t>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br w:type="page"/>
      </w:r>
      <w:r>
        <w:rPr>
          <w:rFonts w:hint="eastAsia" w:ascii="仿宋" w:hAnsi="仿宋" w:eastAsia="仿宋" w:cs="仿宋"/>
          <w:b/>
          <w:color w:val="auto"/>
          <w:sz w:val="24"/>
          <w:szCs w:val="24"/>
          <w:highlight w:val="none"/>
        </w:rPr>
        <w:t>附件5：</w:t>
      </w:r>
    </w:p>
    <w:p w14:paraId="2FD9ED4E">
      <w:pPr>
        <w:spacing w:beforeLines="0" w:afterLines="0" w:line="460" w:lineRule="exact"/>
        <w:jc w:val="center"/>
        <w:outlineLvl w:val="1"/>
        <w:rPr>
          <w:rFonts w:ascii="仿宋" w:hAnsi="仿宋" w:eastAsia="仿宋" w:cs="仿宋"/>
          <w:b/>
          <w:color w:val="auto"/>
          <w:sz w:val="24"/>
          <w:szCs w:val="24"/>
          <w:highlight w:val="none"/>
        </w:rPr>
      </w:pPr>
      <w:bookmarkStart w:id="94" w:name="_Toc23197"/>
      <w:bookmarkStart w:id="95" w:name="_Toc19722"/>
      <w:r>
        <w:rPr>
          <w:rFonts w:hint="eastAsia" w:ascii="仿宋" w:hAnsi="仿宋" w:eastAsia="仿宋" w:cs="仿宋"/>
          <w:b/>
          <w:color w:val="auto"/>
          <w:sz w:val="24"/>
          <w:szCs w:val="24"/>
          <w:highlight w:val="none"/>
        </w:rPr>
        <w:t>五、商务偏离表</w:t>
      </w:r>
      <w:bookmarkEnd w:id="94"/>
      <w:bookmarkEnd w:id="95"/>
    </w:p>
    <w:p w14:paraId="66B632FB">
      <w:pPr>
        <w:spacing w:beforeLines="0" w:afterLines="0" w:line="460" w:lineRule="exact"/>
        <w:jc w:val="center"/>
        <w:rPr>
          <w:rFonts w:ascii="仿宋" w:hAnsi="仿宋" w:eastAsia="仿宋" w:cs="仿宋"/>
          <w:b/>
          <w:color w:val="auto"/>
          <w:sz w:val="24"/>
          <w:szCs w:val="24"/>
          <w:highlight w:val="none"/>
        </w:rPr>
      </w:pPr>
    </w:p>
    <w:tbl>
      <w:tblPr>
        <w:tblStyle w:val="41"/>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14:paraId="0A57F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14:paraId="7E16C94F">
            <w:pPr>
              <w:spacing w:beforeLines="0" w:afterLines="0" w:line="46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983" w:type="dxa"/>
            <w:tcMar>
              <w:top w:w="15" w:type="dxa"/>
              <w:left w:w="15" w:type="dxa"/>
              <w:bottom w:w="0" w:type="dxa"/>
              <w:right w:w="15" w:type="dxa"/>
            </w:tcMar>
            <w:vAlign w:val="center"/>
          </w:tcPr>
          <w:p w14:paraId="2CEC226A">
            <w:pPr>
              <w:spacing w:beforeLines="0" w:afterLines="0" w:line="46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348" w:type="dxa"/>
            <w:tcMar>
              <w:top w:w="15" w:type="dxa"/>
              <w:left w:w="15" w:type="dxa"/>
              <w:bottom w:w="0" w:type="dxa"/>
              <w:right w:w="15" w:type="dxa"/>
            </w:tcMar>
            <w:vAlign w:val="center"/>
          </w:tcPr>
          <w:p w14:paraId="6A067D3E">
            <w:pPr>
              <w:spacing w:beforeLines="0" w:afterLines="0" w:line="46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345" w:type="dxa"/>
            <w:vAlign w:val="center"/>
          </w:tcPr>
          <w:p w14:paraId="63B20F5B">
            <w:pPr>
              <w:spacing w:beforeLines="0" w:afterLines="0" w:line="46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274" w:type="dxa"/>
            <w:tcBorders>
              <w:right w:val="single" w:color="auto" w:sz="4" w:space="0"/>
            </w:tcBorders>
            <w:vAlign w:val="center"/>
          </w:tcPr>
          <w:p w14:paraId="758EE077">
            <w:pPr>
              <w:spacing w:beforeLines="0" w:afterLines="0" w:line="46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偏离情况</w:t>
            </w:r>
          </w:p>
        </w:tc>
        <w:tc>
          <w:tcPr>
            <w:tcW w:w="900" w:type="dxa"/>
            <w:tcBorders>
              <w:left w:val="single" w:color="auto" w:sz="4" w:space="0"/>
            </w:tcBorders>
            <w:vAlign w:val="center"/>
          </w:tcPr>
          <w:p w14:paraId="0181B449">
            <w:pPr>
              <w:spacing w:beforeLines="0" w:afterLines="0" w:line="46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3FE61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14:paraId="78373817">
            <w:pPr>
              <w:spacing w:beforeLines="0" w:afterLines="0" w:line="460" w:lineRule="exact"/>
              <w:jc w:val="center"/>
              <w:rPr>
                <w:rFonts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14:paraId="31CEE36E">
            <w:pPr>
              <w:spacing w:beforeLines="0" w:afterLines="0" w:line="460" w:lineRule="exact"/>
              <w:jc w:val="center"/>
              <w:rPr>
                <w:rFonts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14:paraId="4A50D14F">
            <w:pPr>
              <w:spacing w:beforeLines="0" w:afterLines="0" w:line="460" w:lineRule="exact"/>
              <w:jc w:val="center"/>
              <w:rPr>
                <w:rFonts w:ascii="仿宋" w:hAnsi="仿宋" w:eastAsia="仿宋" w:cs="仿宋"/>
                <w:bCs/>
                <w:color w:val="auto"/>
                <w:sz w:val="24"/>
                <w:szCs w:val="24"/>
                <w:highlight w:val="none"/>
              </w:rPr>
            </w:pPr>
          </w:p>
        </w:tc>
        <w:tc>
          <w:tcPr>
            <w:tcW w:w="2345" w:type="dxa"/>
            <w:vAlign w:val="center"/>
          </w:tcPr>
          <w:p w14:paraId="042F50B6">
            <w:pPr>
              <w:spacing w:beforeLines="0" w:afterLines="0" w:line="460" w:lineRule="exact"/>
              <w:jc w:val="center"/>
              <w:rPr>
                <w:rFonts w:ascii="仿宋" w:hAnsi="仿宋" w:eastAsia="仿宋" w:cs="仿宋"/>
                <w:bCs/>
                <w:color w:val="auto"/>
                <w:sz w:val="24"/>
                <w:szCs w:val="24"/>
                <w:highlight w:val="none"/>
              </w:rPr>
            </w:pPr>
          </w:p>
        </w:tc>
        <w:tc>
          <w:tcPr>
            <w:tcW w:w="1274" w:type="dxa"/>
            <w:tcBorders>
              <w:right w:val="single" w:color="auto" w:sz="4" w:space="0"/>
            </w:tcBorders>
            <w:vAlign w:val="center"/>
          </w:tcPr>
          <w:p w14:paraId="77FEDFC0">
            <w:pPr>
              <w:spacing w:beforeLines="0" w:afterLines="0" w:line="460" w:lineRule="exact"/>
              <w:jc w:val="center"/>
              <w:rPr>
                <w:rFonts w:ascii="仿宋" w:hAnsi="仿宋" w:eastAsia="仿宋" w:cs="仿宋"/>
                <w:bCs/>
                <w:color w:val="auto"/>
                <w:sz w:val="24"/>
                <w:szCs w:val="24"/>
                <w:highlight w:val="none"/>
              </w:rPr>
            </w:pPr>
          </w:p>
        </w:tc>
        <w:tc>
          <w:tcPr>
            <w:tcW w:w="900" w:type="dxa"/>
            <w:tcBorders>
              <w:left w:val="single" w:color="auto" w:sz="4" w:space="0"/>
            </w:tcBorders>
            <w:vAlign w:val="center"/>
          </w:tcPr>
          <w:p w14:paraId="6369302D">
            <w:pPr>
              <w:spacing w:beforeLines="0" w:afterLines="0" w:line="460" w:lineRule="exact"/>
              <w:jc w:val="center"/>
              <w:rPr>
                <w:rFonts w:ascii="仿宋" w:hAnsi="仿宋" w:eastAsia="仿宋" w:cs="仿宋"/>
                <w:bCs/>
                <w:color w:val="auto"/>
                <w:sz w:val="24"/>
                <w:szCs w:val="24"/>
                <w:highlight w:val="none"/>
              </w:rPr>
            </w:pPr>
          </w:p>
        </w:tc>
      </w:tr>
      <w:tr w14:paraId="60268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14:paraId="21C8E39A">
            <w:pPr>
              <w:spacing w:beforeLines="0" w:afterLines="0" w:line="460" w:lineRule="exact"/>
              <w:jc w:val="center"/>
              <w:rPr>
                <w:rFonts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14:paraId="621131CC">
            <w:pPr>
              <w:spacing w:beforeLines="0" w:afterLines="0" w:line="460" w:lineRule="exact"/>
              <w:jc w:val="center"/>
              <w:rPr>
                <w:rFonts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14:paraId="3D44ABB8">
            <w:pPr>
              <w:spacing w:beforeLines="0" w:afterLines="0" w:line="460" w:lineRule="exact"/>
              <w:jc w:val="center"/>
              <w:rPr>
                <w:rFonts w:ascii="仿宋" w:hAnsi="仿宋" w:eastAsia="仿宋" w:cs="仿宋"/>
                <w:bCs/>
                <w:color w:val="auto"/>
                <w:sz w:val="24"/>
                <w:szCs w:val="24"/>
                <w:highlight w:val="none"/>
              </w:rPr>
            </w:pPr>
          </w:p>
        </w:tc>
        <w:tc>
          <w:tcPr>
            <w:tcW w:w="2345" w:type="dxa"/>
            <w:vAlign w:val="center"/>
          </w:tcPr>
          <w:p w14:paraId="2B84E409">
            <w:pPr>
              <w:spacing w:beforeLines="0" w:afterLines="0" w:line="460" w:lineRule="exact"/>
              <w:jc w:val="center"/>
              <w:rPr>
                <w:rFonts w:ascii="仿宋" w:hAnsi="仿宋" w:eastAsia="仿宋" w:cs="仿宋"/>
                <w:bCs/>
                <w:color w:val="auto"/>
                <w:sz w:val="24"/>
                <w:szCs w:val="24"/>
                <w:highlight w:val="none"/>
              </w:rPr>
            </w:pPr>
          </w:p>
        </w:tc>
        <w:tc>
          <w:tcPr>
            <w:tcW w:w="1274" w:type="dxa"/>
            <w:tcBorders>
              <w:right w:val="single" w:color="auto" w:sz="4" w:space="0"/>
            </w:tcBorders>
            <w:vAlign w:val="center"/>
          </w:tcPr>
          <w:p w14:paraId="36C6E222">
            <w:pPr>
              <w:spacing w:beforeLines="0" w:afterLines="0" w:line="460" w:lineRule="exact"/>
              <w:jc w:val="center"/>
              <w:rPr>
                <w:rFonts w:ascii="仿宋" w:hAnsi="仿宋" w:eastAsia="仿宋" w:cs="仿宋"/>
                <w:bCs/>
                <w:color w:val="auto"/>
                <w:sz w:val="24"/>
                <w:szCs w:val="24"/>
                <w:highlight w:val="none"/>
              </w:rPr>
            </w:pPr>
          </w:p>
        </w:tc>
        <w:tc>
          <w:tcPr>
            <w:tcW w:w="900" w:type="dxa"/>
            <w:tcBorders>
              <w:left w:val="single" w:color="auto" w:sz="4" w:space="0"/>
            </w:tcBorders>
            <w:vAlign w:val="center"/>
          </w:tcPr>
          <w:p w14:paraId="0F14160C">
            <w:pPr>
              <w:spacing w:beforeLines="0" w:afterLines="0" w:line="460" w:lineRule="exact"/>
              <w:jc w:val="center"/>
              <w:rPr>
                <w:rFonts w:ascii="仿宋" w:hAnsi="仿宋" w:eastAsia="仿宋" w:cs="仿宋"/>
                <w:bCs/>
                <w:color w:val="auto"/>
                <w:sz w:val="24"/>
                <w:szCs w:val="24"/>
                <w:highlight w:val="none"/>
              </w:rPr>
            </w:pPr>
          </w:p>
        </w:tc>
      </w:tr>
      <w:tr w14:paraId="7A72E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14:paraId="4CC3188B">
            <w:pPr>
              <w:spacing w:beforeLines="0" w:afterLines="0" w:line="460" w:lineRule="exact"/>
              <w:jc w:val="center"/>
              <w:rPr>
                <w:rFonts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14:paraId="3DAFB1AA">
            <w:pPr>
              <w:spacing w:beforeLines="0" w:afterLines="0" w:line="460" w:lineRule="exact"/>
              <w:jc w:val="center"/>
              <w:rPr>
                <w:rFonts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14:paraId="65CFFA17">
            <w:pPr>
              <w:spacing w:beforeLines="0" w:afterLines="0" w:line="460" w:lineRule="exact"/>
              <w:jc w:val="center"/>
              <w:rPr>
                <w:rFonts w:ascii="仿宋" w:hAnsi="仿宋" w:eastAsia="仿宋" w:cs="仿宋"/>
                <w:bCs/>
                <w:color w:val="auto"/>
                <w:sz w:val="24"/>
                <w:szCs w:val="24"/>
                <w:highlight w:val="none"/>
              </w:rPr>
            </w:pPr>
          </w:p>
        </w:tc>
        <w:tc>
          <w:tcPr>
            <w:tcW w:w="2345" w:type="dxa"/>
            <w:vAlign w:val="center"/>
          </w:tcPr>
          <w:p w14:paraId="587F0504">
            <w:pPr>
              <w:spacing w:beforeLines="0" w:afterLines="0" w:line="460" w:lineRule="exact"/>
              <w:jc w:val="center"/>
              <w:rPr>
                <w:rFonts w:ascii="仿宋" w:hAnsi="仿宋" w:eastAsia="仿宋" w:cs="仿宋"/>
                <w:bCs/>
                <w:color w:val="auto"/>
                <w:sz w:val="24"/>
                <w:szCs w:val="24"/>
                <w:highlight w:val="none"/>
              </w:rPr>
            </w:pPr>
          </w:p>
        </w:tc>
        <w:tc>
          <w:tcPr>
            <w:tcW w:w="1274" w:type="dxa"/>
            <w:tcBorders>
              <w:right w:val="single" w:color="auto" w:sz="4" w:space="0"/>
            </w:tcBorders>
            <w:vAlign w:val="center"/>
          </w:tcPr>
          <w:p w14:paraId="1D206635">
            <w:pPr>
              <w:spacing w:beforeLines="0" w:afterLines="0" w:line="460" w:lineRule="exact"/>
              <w:jc w:val="center"/>
              <w:rPr>
                <w:rFonts w:ascii="仿宋" w:hAnsi="仿宋" w:eastAsia="仿宋" w:cs="仿宋"/>
                <w:bCs/>
                <w:color w:val="auto"/>
                <w:sz w:val="24"/>
                <w:szCs w:val="24"/>
                <w:highlight w:val="none"/>
              </w:rPr>
            </w:pPr>
          </w:p>
        </w:tc>
        <w:tc>
          <w:tcPr>
            <w:tcW w:w="900" w:type="dxa"/>
            <w:tcBorders>
              <w:left w:val="single" w:color="auto" w:sz="4" w:space="0"/>
            </w:tcBorders>
            <w:vAlign w:val="center"/>
          </w:tcPr>
          <w:p w14:paraId="0DAD4EF1">
            <w:pPr>
              <w:spacing w:beforeLines="0" w:afterLines="0" w:line="460" w:lineRule="exact"/>
              <w:jc w:val="center"/>
              <w:rPr>
                <w:rFonts w:ascii="仿宋" w:hAnsi="仿宋" w:eastAsia="仿宋" w:cs="仿宋"/>
                <w:bCs/>
                <w:color w:val="auto"/>
                <w:sz w:val="24"/>
                <w:szCs w:val="24"/>
                <w:highlight w:val="none"/>
              </w:rPr>
            </w:pPr>
          </w:p>
        </w:tc>
      </w:tr>
      <w:tr w14:paraId="0A017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14:paraId="7F6C0D8F">
            <w:pPr>
              <w:spacing w:beforeLines="0" w:afterLines="0" w:line="460" w:lineRule="exact"/>
              <w:jc w:val="center"/>
              <w:rPr>
                <w:rFonts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14:paraId="2D352A8F">
            <w:pPr>
              <w:spacing w:beforeLines="0" w:afterLines="0" w:line="460" w:lineRule="exact"/>
              <w:jc w:val="center"/>
              <w:rPr>
                <w:rFonts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14:paraId="0196F03D">
            <w:pPr>
              <w:spacing w:beforeLines="0" w:afterLines="0" w:line="460" w:lineRule="exact"/>
              <w:jc w:val="center"/>
              <w:rPr>
                <w:rFonts w:ascii="仿宋" w:hAnsi="仿宋" w:eastAsia="仿宋" w:cs="仿宋"/>
                <w:bCs/>
                <w:color w:val="auto"/>
                <w:sz w:val="24"/>
                <w:szCs w:val="24"/>
                <w:highlight w:val="none"/>
              </w:rPr>
            </w:pPr>
          </w:p>
        </w:tc>
        <w:tc>
          <w:tcPr>
            <w:tcW w:w="2345" w:type="dxa"/>
            <w:vAlign w:val="center"/>
          </w:tcPr>
          <w:p w14:paraId="43025A47">
            <w:pPr>
              <w:spacing w:beforeLines="0" w:afterLines="0" w:line="460" w:lineRule="exact"/>
              <w:jc w:val="center"/>
              <w:rPr>
                <w:rFonts w:ascii="仿宋" w:hAnsi="仿宋" w:eastAsia="仿宋" w:cs="仿宋"/>
                <w:bCs/>
                <w:color w:val="auto"/>
                <w:sz w:val="24"/>
                <w:szCs w:val="24"/>
                <w:highlight w:val="none"/>
              </w:rPr>
            </w:pPr>
          </w:p>
        </w:tc>
        <w:tc>
          <w:tcPr>
            <w:tcW w:w="1274" w:type="dxa"/>
            <w:tcBorders>
              <w:right w:val="single" w:color="auto" w:sz="4" w:space="0"/>
            </w:tcBorders>
            <w:vAlign w:val="center"/>
          </w:tcPr>
          <w:p w14:paraId="1C7D8E07">
            <w:pPr>
              <w:spacing w:beforeLines="0" w:afterLines="0" w:line="460" w:lineRule="exact"/>
              <w:jc w:val="center"/>
              <w:rPr>
                <w:rFonts w:ascii="仿宋" w:hAnsi="仿宋" w:eastAsia="仿宋" w:cs="仿宋"/>
                <w:bCs/>
                <w:color w:val="auto"/>
                <w:sz w:val="24"/>
                <w:szCs w:val="24"/>
                <w:highlight w:val="none"/>
              </w:rPr>
            </w:pPr>
          </w:p>
        </w:tc>
        <w:tc>
          <w:tcPr>
            <w:tcW w:w="900" w:type="dxa"/>
            <w:tcBorders>
              <w:left w:val="single" w:color="auto" w:sz="4" w:space="0"/>
            </w:tcBorders>
            <w:vAlign w:val="center"/>
          </w:tcPr>
          <w:p w14:paraId="7ABAD5CF">
            <w:pPr>
              <w:spacing w:beforeLines="0" w:afterLines="0" w:line="460" w:lineRule="exact"/>
              <w:jc w:val="center"/>
              <w:rPr>
                <w:rFonts w:ascii="仿宋" w:hAnsi="仿宋" w:eastAsia="仿宋" w:cs="仿宋"/>
                <w:bCs/>
                <w:color w:val="auto"/>
                <w:sz w:val="24"/>
                <w:szCs w:val="24"/>
                <w:highlight w:val="none"/>
              </w:rPr>
            </w:pPr>
          </w:p>
        </w:tc>
      </w:tr>
      <w:tr w14:paraId="5BFEC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14:paraId="6610872B">
            <w:pPr>
              <w:spacing w:beforeLines="0" w:afterLines="0" w:line="460" w:lineRule="exact"/>
              <w:jc w:val="center"/>
              <w:rPr>
                <w:rFonts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14:paraId="764F55D4">
            <w:pPr>
              <w:spacing w:beforeLines="0" w:afterLines="0" w:line="460" w:lineRule="exact"/>
              <w:jc w:val="center"/>
              <w:rPr>
                <w:rFonts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14:paraId="2AB73F37">
            <w:pPr>
              <w:spacing w:beforeLines="0" w:afterLines="0" w:line="460" w:lineRule="exact"/>
              <w:jc w:val="center"/>
              <w:rPr>
                <w:rFonts w:ascii="仿宋" w:hAnsi="仿宋" w:eastAsia="仿宋" w:cs="仿宋"/>
                <w:bCs/>
                <w:color w:val="auto"/>
                <w:sz w:val="24"/>
                <w:szCs w:val="24"/>
                <w:highlight w:val="none"/>
              </w:rPr>
            </w:pPr>
          </w:p>
        </w:tc>
        <w:tc>
          <w:tcPr>
            <w:tcW w:w="2345" w:type="dxa"/>
            <w:vAlign w:val="center"/>
          </w:tcPr>
          <w:p w14:paraId="06CB48EC">
            <w:pPr>
              <w:spacing w:beforeLines="0" w:afterLines="0" w:line="460" w:lineRule="exact"/>
              <w:jc w:val="center"/>
              <w:rPr>
                <w:rFonts w:ascii="仿宋" w:hAnsi="仿宋" w:eastAsia="仿宋" w:cs="仿宋"/>
                <w:bCs/>
                <w:color w:val="auto"/>
                <w:sz w:val="24"/>
                <w:szCs w:val="24"/>
                <w:highlight w:val="none"/>
              </w:rPr>
            </w:pPr>
          </w:p>
        </w:tc>
        <w:tc>
          <w:tcPr>
            <w:tcW w:w="1274" w:type="dxa"/>
            <w:tcBorders>
              <w:right w:val="single" w:color="auto" w:sz="4" w:space="0"/>
            </w:tcBorders>
            <w:vAlign w:val="center"/>
          </w:tcPr>
          <w:p w14:paraId="31E9DA0A">
            <w:pPr>
              <w:spacing w:beforeLines="0" w:afterLines="0" w:line="460" w:lineRule="exact"/>
              <w:jc w:val="center"/>
              <w:rPr>
                <w:rFonts w:ascii="仿宋" w:hAnsi="仿宋" w:eastAsia="仿宋" w:cs="仿宋"/>
                <w:bCs/>
                <w:color w:val="auto"/>
                <w:sz w:val="24"/>
                <w:szCs w:val="24"/>
                <w:highlight w:val="none"/>
              </w:rPr>
            </w:pPr>
          </w:p>
        </w:tc>
        <w:tc>
          <w:tcPr>
            <w:tcW w:w="900" w:type="dxa"/>
            <w:tcBorders>
              <w:left w:val="single" w:color="auto" w:sz="4" w:space="0"/>
            </w:tcBorders>
            <w:vAlign w:val="center"/>
          </w:tcPr>
          <w:p w14:paraId="4AAE9D1C">
            <w:pPr>
              <w:spacing w:beforeLines="0" w:afterLines="0" w:line="460" w:lineRule="exact"/>
              <w:jc w:val="center"/>
              <w:rPr>
                <w:rFonts w:ascii="仿宋" w:hAnsi="仿宋" w:eastAsia="仿宋" w:cs="仿宋"/>
                <w:bCs/>
                <w:color w:val="auto"/>
                <w:sz w:val="24"/>
                <w:szCs w:val="24"/>
                <w:highlight w:val="none"/>
              </w:rPr>
            </w:pPr>
          </w:p>
        </w:tc>
      </w:tr>
      <w:tr w14:paraId="390D7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14:paraId="33CE2ACE">
            <w:pPr>
              <w:spacing w:beforeLines="0" w:afterLines="0" w:line="460" w:lineRule="exact"/>
              <w:jc w:val="center"/>
              <w:rPr>
                <w:rFonts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14:paraId="384EE93A">
            <w:pPr>
              <w:spacing w:beforeLines="0" w:afterLines="0" w:line="460" w:lineRule="exact"/>
              <w:jc w:val="center"/>
              <w:rPr>
                <w:rFonts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14:paraId="4A3B1347">
            <w:pPr>
              <w:spacing w:beforeLines="0" w:afterLines="0" w:line="460" w:lineRule="exact"/>
              <w:jc w:val="center"/>
              <w:rPr>
                <w:rFonts w:ascii="仿宋" w:hAnsi="仿宋" w:eastAsia="仿宋" w:cs="仿宋"/>
                <w:bCs/>
                <w:color w:val="auto"/>
                <w:sz w:val="24"/>
                <w:szCs w:val="24"/>
                <w:highlight w:val="none"/>
              </w:rPr>
            </w:pPr>
          </w:p>
        </w:tc>
        <w:tc>
          <w:tcPr>
            <w:tcW w:w="2345" w:type="dxa"/>
            <w:vAlign w:val="center"/>
          </w:tcPr>
          <w:p w14:paraId="1B8485FE">
            <w:pPr>
              <w:spacing w:beforeLines="0" w:afterLines="0" w:line="460" w:lineRule="exact"/>
              <w:jc w:val="center"/>
              <w:rPr>
                <w:rFonts w:ascii="仿宋" w:hAnsi="仿宋" w:eastAsia="仿宋" w:cs="仿宋"/>
                <w:bCs/>
                <w:color w:val="auto"/>
                <w:sz w:val="24"/>
                <w:szCs w:val="24"/>
                <w:highlight w:val="none"/>
              </w:rPr>
            </w:pPr>
          </w:p>
        </w:tc>
        <w:tc>
          <w:tcPr>
            <w:tcW w:w="1274" w:type="dxa"/>
            <w:tcBorders>
              <w:right w:val="single" w:color="auto" w:sz="4" w:space="0"/>
            </w:tcBorders>
            <w:vAlign w:val="center"/>
          </w:tcPr>
          <w:p w14:paraId="528554BE">
            <w:pPr>
              <w:spacing w:beforeLines="0" w:afterLines="0" w:line="460" w:lineRule="exact"/>
              <w:jc w:val="center"/>
              <w:rPr>
                <w:rFonts w:ascii="仿宋" w:hAnsi="仿宋" w:eastAsia="仿宋" w:cs="仿宋"/>
                <w:bCs/>
                <w:color w:val="auto"/>
                <w:sz w:val="24"/>
                <w:szCs w:val="24"/>
                <w:highlight w:val="none"/>
              </w:rPr>
            </w:pPr>
          </w:p>
        </w:tc>
        <w:tc>
          <w:tcPr>
            <w:tcW w:w="900" w:type="dxa"/>
            <w:tcBorders>
              <w:left w:val="single" w:color="auto" w:sz="4" w:space="0"/>
            </w:tcBorders>
            <w:vAlign w:val="center"/>
          </w:tcPr>
          <w:p w14:paraId="05053793">
            <w:pPr>
              <w:spacing w:beforeLines="0" w:afterLines="0" w:line="460" w:lineRule="exact"/>
              <w:jc w:val="center"/>
              <w:rPr>
                <w:rFonts w:ascii="仿宋" w:hAnsi="仿宋" w:eastAsia="仿宋" w:cs="仿宋"/>
                <w:bCs/>
                <w:color w:val="auto"/>
                <w:sz w:val="24"/>
                <w:szCs w:val="24"/>
                <w:highlight w:val="none"/>
              </w:rPr>
            </w:pPr>
          </w:p>
        </w:tc>
      </w:tr>
      <w:tr w14:paraId="0BF00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14:paraId="1AC349E1">
            <w:pPr>
              <w:spacing w:beforeLines="0" w:afterLines="0" w:line="460" w:lineRule="exact"/>
              <w:jc w:val="center"/>
              <w:rPr>
                <w:rFonts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14:paraId="51EA19AD">
            <w:pPr>
              <w:spacing w:beforeLines="0" w:afterLines="0" w:line="460" w:lineRule="exact"/>
              <w:jc w:val="center"/>
              <w:rPr>
                <w:rFonts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14:paraId="2F736B94">
            <w:pPr>
              <w:spacing w:beforeLines="0" w:afterLines="0" w:line="460" w:lineRule="exact"/>
              <w:jc w:val="center"/>
              <w:rPr>
                <w:rFonts w:ascii="仿宋" w:hAnsi="仿宋" w:eastAsia="仿宋" w:cs="仿宋"/>
                <w:bCs/>
                <w:color w:val="auto"/>
                <w:sz w:val="24"/>
                <w:szCs w:val="24"/>
                <w:highlight w:val="none"/>
              </w:rPr>
            </w:pPr>
          </w:p>
        </w:tc>
        <w:tc>
          <w:tcPr>
            <w:tcW w:w="2345" w:type="dxa"/>
            <w:vAlign w:val="center"/>
          </w:tcPr>
          <w:p w14:paraId="7FEE8707">
            <w:pPr>
              <w:spacing w:beforeLines="0" w:afterLines="0" w:line="460" w:lineRule="exact"/>
              <w:jc w:val="center"/>
              <w:rPr>
                <w:rFonts w:ascii="仿宋" w:hAnsi="仿宋" w:eastAsia="仿宋" w:cs="仿宋"/>
                <w:bCs/>
                <w:color w:val="auto"/>
                <w:sz w:val="24"/>
                <w:szCs w:val="24"/>
                <w:highlight w:val="none"/>
              </w:rPr>
            </w:pPr>
          </w:p>
        </w:tc>
        <w:tc>
          <w:tcPr>
            <w:tcW w:w="1274" w:type="dxa"/>
            <w:tcBorders>
              <w:right w:val="single" w:color="auto" w:sz="4" w:space="0"/>
            </w:tcBorders>
            <w:vAlign w:val="center"/>
          </w:tcPr>
          <w:p w14:paraId="1AFB7295">
            <w:pPr>
              <w:spacing w:beforeLines="0" w:afterLines="0" w:line="460" w:lineRule="exact"/>
              <w:jc w:val="center"/>
              <w:rPr>
                <w:rFonts w:ascii="仿宋" w:hAnsi="仿宋" w:eastAsia="仿宋" w:cs="仿宋"/>
                <w:bCs/>
                <w:color w:val="auto"/>
                <w:sz w:val="24"/>
                <w:szCs w:val="24"/>
                <w:highlight w:val="none"/>
              </w:rPr>
            </w:pPr>
          </w:p>
        </w:tc>
        <w:tc>
          <w:tcPr>
            <w:tcW w:w="900" w:type="dxa"/>
            <w:tcBorders>
              <w:left w:val="single" w:color="auto" w:sz="4" w:space="0"/>
            </w:tcBorders>
            <w:vAlign w:val="center"/>
          </w:tcPr>
          <w:p w14:paraId="6E1E50B6">
            <w:pPr>
              <w:spacing w:beforeLines="0" w:afterLines="0" w:line="460" w:lineRule="exact"/>
              <w:jc w:val="center"/>
              <w:rPr>
                <w:rFonts w:ascii="仿宋" w:hAnsi="仿宋" w:eastAsia="仿宋" w:cs="仿宋"/>
                <w:bCs/>
                <w:color w:val="auto"/>
                <w:sz w:val="24"/>
                <w:szCs w:val="24"/>
                <w:highlight w:val="none"/>
              </w:rPr>
            </w:pPr>
          </w:p>
        </w:tc>
      </w:tr>
    </w:tbl>
    <w:p w14:paraId="239C2C96">
      <w:pPr>
        <w:spacing w:beforeLines="0" w:afterLines="0"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注：除本商务偏离表中所列的偏离内容外，其他所有商务条款均应完全响应“投标文件”中的要求。</w:t>
      </w:r>
    </w:p>
    <w:p w14:paraId="3987845E">
      <w:pPr>
        <w:spacing w:beforeLines="0" w:afterLines="0" w:line="460" w:lineRule="exact"/>
        <w:rPr>
          <w:rFonts w:ascii="仿宋" w:hAnsi="仿宋" w:eastAsia="仿宋" w:cs="仿宋"/>
          <w:color w:val="auto"/>
          <w:sz w:val="24"/>
          <w:szCs w:val="24"/>
          <w:highlight w:val="none"/>
        </w:rPr>
      </w:pPr>
    </w:p>
    <w:p w14:paraId="594D9FA5">
      <w:pPr>
        <w:spacing w:beforeLines="0" w:afterLines="0" w:line="460" w:lineRule="exact"/>
        <w:rPr>
          <w:rFonts w:ascii="仿宋" w:hAnsi="仿宋" w:eastAsia="仿宋" w:cs="仿宋"/>
          <w:color w:val="auto"/>
          <w:sz w:val="24"/>
          <w:szCs w:val="24"/>
          <w:highlight w:val="none"/>
        </w:rPr>
      </w:pPr>
    </w:p>
    <w:p w14:paraId="32D22FD4">
      <w:pPr>
        <w:spacing w:beforeLines="0" w:afterLines="0" w:line="460" w:lineRule="exact"/>
        <w:rPr>
          <w:rFonts w:ascii="仿宋" w:hAnsi="仿宋" w:eastAsia="仿宋" w:cs="仿宋"/>
          <w:color w:val="auto"/>
          <w:sz w:val="24"/>
          <w:szCs w:val="24"/>
          <w:highlight w:val="none"/>
          <w:u w:val="single"/>
        </w:rPr>
      </w:pPr>
      <w:bookmarkStart w:id="96" w:name="_Toc327439493"/>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14:paraId="07C59A35">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14:paraId="2B7627FC">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07782561">
      <w:pPr>
        <w:snapToGrid w:val="0"/>
        <w:spacing w:beforeLines="0" w:afterLines="0" w:line="460" w:lineRule="exact"/>
        <w:ind w:firstLine="5880" w:firstLineChars="2450"/>
        <w:rPr>
          <w:rFonts w:ascii="仿宋" w:hAnsi="仿宋" w:eastAsia="仿宋" w:cs="仿宋"/>
          <w:bCs/>
          <w:color w:val="auto"/>
          <w:sz w:val="24"/>
          <w:szCs w:val="24"/>
          <w:highlight w:val="none"/>
          <w:u w:val="single"/>
        </w:rPr>
      </w:pPr>
    </w:p>
    <w:p w14:paraId="75C448DF">
      <w:pPr>
        <w:snapToGrid w:val="0"/>
        <w:spacing w:beforeLines="0" w:afterLines="0" w:line="460" w:lineRule="exact"/>
        <w:ind w:firstLine="5880" w:firstLineChars="2450"/>
        <w:rPr>
          <w:rFonts w:ascii="仿宋" w:hAnsi="仿宋" w:eastAsia="仿宋" w:cs="仿宋"/>
          <w:bCs/>
          <w:color w:val="auto"/>
          <w:sz w:val="24"/>
          <w:szCs w:val="24"/>
          <w:highlight w:val="none"/>
          <w:u w:val="single"/>
        </w:rPr>
      </w:pPr>
    </w:p>
    <w:p w14:paraId="34A8A057">
      <w:pPr>
        <w:snapToGrid w:val="0"/>
        <w:spacing w:beforeLines="0" w:afterLines="0" w:line="460" w:lineRule="exact"/>
        <w:ind w:firstLine="5880" w:firstLineChars="2450"/>
        <w:rPr>
          <w:rFonts w:ascii="仿宋" w:hAnsi="仿宋" w:eastAsia="仿宋" w:cs="仿宋"/>
          <w:bCs/>
          <w:color w:val="auto"/>
          <w:sz w:val="24"/>
          <w:szCs w:val="24"/>
          <w:highlight w:val="none"/>
          <w:u w:val="single"/>
        </w:rPr>
      </w:pPr>
    </w:p>
    <w:p w14:paraId="2B031E0E">
      <w:pPr>
        <w:snapToGrid w:val="0"/>
        <w:spacing w:beforeLines="0" w:afterLines="0" w:line="460" w:lineRule="exact"/>
        <w:ind w:firstLine="5880" w:firstLineChars="2450"/>
        <w:rPr>
          <w:rFonts w:ascii="仿宋" w:hAnsi="仿宋" w:eastAsia="仿宋" w:cs="仿宋"/>
          <w:bCs/>
          <w:color w:val="auto"/>
          <w:sz w:val="24"/>
          <w:szCs w:val="24"/>
          <w:highlight w:val="none"/>
          <w:u w:val="single"/>
        </w:rPr>
      </w:pPr>
    </w:p>
    <w:p w14:paraId="60273196">
      <w:pPr>
        <w:snapToGrid w:val="0"/>
        <w:spacing w:beforeLines="0" w:afterLines="0" w:line="460" w:lineRule="exact"/>
        <w:ind w:firstLine="5880" w:firstLineChars="2450"/>
        <w:rPr>
          <w:rFonts w:ascii="仿宋" w:hAnsi="仿宋" w:eastAsia="仿宋" w:cs="仿宋"/>
          <w:bCs/>
          <w:color w:val="auto"/>
          <w:sz w:val="24"/>
          <w:szCs w:val="24"/>
          <w:highlight w:val="none"/>
          <w:u w:val="single"/>
        </w:rPr>
      </w:pPr>
    </w:p>
    <w:p w14:paraId="4882BD58">
      <w:pPr>
        <w:snapToGrid w:val="0"/>
        <w:spacing w:beforeLines="0" w:afterLines="0" w:line="460" w:lineRule="exact"/>
        <w:ind w:firstLine="5880" w:firstLineChars="2450"/>
        <w:rPr>
          <w:rFonts w:ascii="仿宋" w:hAnsi="仿宋" w:eastAsia="仿宋" w:cs="仿宋"/>
          <w:bCs/>
          <w:color w:val="auto"/>
          <w:sz w:val="24"/>
          <w:szCs w:val="24"/>
          <w:highlight w:val="none"/>
          <w:u w:val="single"/>
        </w:rPr>
      </w:pPr>
    </w:p>
    <w:p w14:paraId="18A93FE9">
      <w:pPr>
        <w:snapToGrid w:val="0"/>
        <w:spacing w:beforeLines="0" w:afterLines="0" w:line="460" w:lineRule="exact"/>
        <w:rPr>
          <w:rFonts w:ascii="仿宋" w:hAnsi="仿宋" w:eastAsia="仿宋" w:cs="仿宋"/>
          <w:bCs/>
          <w:color w:val="auto"/>
          <w:sz w:val="24"/>
          <w:szCs w:val="24"/>
          <w:highlight w:val="none"/>
          <w:u w:val="single"/>
        </w:rPr>
      </w:pPr>
    </w:p>
    <w:p w14:paraId="6B68A14C">
      <w:pPr>
        <w:spacing w:beforeLines="0" w:afterLines="0" w:line="460" w:lineRule="exact"/>
        <w:rPr>
          <w:rFonts w:ascii="仿宋" w:hAnsi="仿宋" w:eastAsia="仿宋" w:cs="仿宋"/>
          <w:b/>
          <w:color w:val="auto"/>
          <w:sz w:val="24"/>
          <w:szCs w:val="24"/>
          <w:highlight w:val="none"/>
        </w:rPr>
      </w:pPr>
    </w:p>
    <w:p w14:paraId="75384D2C">
      <w:pPr>
        <w:spacing w:beforeLines="0" w:afterLines="0" w:line="460" w:lineRule="exact"/>
        <w:rPr>
          <w:rFonts w:ascii="仿宋" w:hAnsi="仿宋" w:eastAsia="仿宋" w:cs="仿宋"/>
          <w:b/>
          <w:color w:val="auto"/>
          <w:sz w:val="24"/>
          <w:szCs w:val="24"/>
          <w:highlight w:val="none"/>
        </w:rPr>
      </w:pPr>
    </w:p>
    <w:p w14:paraId="32B1A971">
      <w:pPr>
        <w:spacing w:beforeLines="0" w:afterLines="0" w:line="460" w:lineRule="exact"/>
        <w:rPr>
          <w:rFonts w:ascii="仿宋" w:hAnsi="仿宋" w:eastAsia="仿宋" w:cs="仿宋"/>
          <w:b/>
          <w:color w:val="auto"/>
          <w:sz w:val="24"/>
          <w:szCs w:val="24"/>
          <w:highlight w:val="none"/>
        </w:rPr>
      </w:pPr>
    </w:p>
    <w:p w14:paraId="067EB00E">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4A0B5A4">
      <w:pPr>
        <w:spacing w:beforeLines="0" w:afterLines="0" w:line="460" w:lineRule="exact"/>
        <w:jc w:val="center"/>
        <w:outlineLvl w:val="1"/>
        <w:rPr>
          <w:rFonts w:ascii="仿宋" w:hAnsi="仿宋" w:eastAsia="仿宋" w:cs="仿宋"/>
          <w:b/>
          <w:color w:val="auto"/>
          <w:sz w:val="24"/>
          <w:szCs w:val="24"/>
          <w:highlight w:val="none"/>
        </w:rPr>
      </w:pPr>
      <w:bookmarkStart w:id="97" w:name="_Toc24952"/>
      <w:bookmarkStart w:id="98" w:name="_Toc29283"/>
      <w:r>
        <w:rPr>
          <w:rFonts w:hint="eastAsia" w:ascii="仿宋" w:hAnsi="仿宋" w:eastAsia="仿宋" w:cs="仿宋"/>
          <w:b/>
          <w:color w:val="auto"/>
          <w:sz w:val="24"/>
          <w:szCs w:val="24"/>
          <w:highlight w:val="none"/>
        </w:rPr>
        <w:t>六、资格证明文件</w:t>
      </w:r>
      <w:bookmarkEnd w:id="97"/>
      <w:bookmarkEnd w:id="98"/>
    </w:p>
    <w:p w14:paraId="3AD5EC29">
      <w:pPr>
        <w:pStyle w:val="36"/>
        <w:spacing w:beforeLines="0" w:afterLines="0" w:line="460" w:lineRule="exact"/>
        <w:rPr>
          <w:rFonts w:ascii="仿宋" w:hAnsi="仿宋" w:eastAsia="仿宋" w:cs="仿宋"/>
          <w:b/>
          <w:color w:val="auto"/>
          <w:sz w:val="24"/>
          <w:szCs w:val="24"/>
          <w:highlight w:val="none"/>
        </w:rPr>
      </w:pPr>
    </w:p>
    <w:p w14:paraId="6A05EA89">
      <w:pPr>
        <w:pStyle w:val="37"/>
        <w:spacing w:before="0" w:beforeLines="0" w:beforeAutospacing="0" w:after="0" w:afterLines="0" w:afterAutospacing="0" w:line="460" w:lineRule="exact"/>
        <w:jc w:val="both"/>
        <w:outlineLvl w:val="2"/>
        <w:rPr>
          <w:rFonts w:ascii="仿宋" w:hAnsi="仿宋" w:eastAsia="仿宋" w:cs="仿宋"/>
          <w:color w:val="auto"/>
          <w:kern w:val="2"/>
          <w:highlight w:val="none"/>
        </w:rPr>
      </w:pPr>
      <w:r>
        <w:rPr>
          <w:rFonts w:hint="eastAsia" w:ascii="仿宋" w:hAnsi="仿宋" w:eastAsia="仿宋" w:cs="仿宋"/>
          <w:color w:val="auto"/>
          <w:kern w:val="2"/>
          <w:highlight w:val="none"/>
        </w:rPr>
        <w:t>1.满足《中华人民共和国政府采购法》第二十二条规定；</w:t>
      </w:r>
    </w:p>
    <w:p w14:paraId="20980465">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1）具有独立承担民事责任的能力，有效的营业执照和相应的经营范围、良好的信誉，能够独立承担民事责任，承认并履行招标文件的各项规定；</w:t>
      </w:r>
    </w:p>
    <w:p w14:paraId="4E942AF8">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2）符合中华人民共和国境内注册且具有独立的法人资格，具有有效的营业执照和相应的经营范围、良好的信誉，能够独立承担民事责任，承认并履行招标文件的各项规定；</w:t>
      </w:r>
    </w:p>
    <w:p w14:paraId="5B5C41AA">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3）提供上年度经第三方权威机构出具的完整的财务审计报告（当上一年度审计报告未出来时，</w:t>
      </w:r>
      <w:r>
        <w:rPr>
          <w:rFonts w:ascii="仿宋" w:hAnsi="仿宋" w:eastAsia="仿宋" w:cs="仿宋"/>
          <w:color w:val="auto"/>
          <w:kern w:val="2"/>
          <w:highlight w:val="none"/>
        </w:rPr>
        <w:t>可提供</w:t>
      </w:r>
      <w:r>
        <w:rPr>
          <w:rFonts w:hint="eastAsia" w:ascii="仿宋" w:hAnsi="仿宋" w:eastAsia="仿宋" w:cs="仿宋"/>
          <w:color w:val="auto"/>
          <w:kern w:val="2"/>
          <w:highlight w:val="none"/>
        </w:rPr>
        <w:t>前一年度审计报告</w:t>
      </w:r>
      <w:r>
        <w:rPr>
          <w:rFonts w:ascii="仿宋" w:hAnsi="仿宋" w:eastAsia="仿宋" w:cs="仿宋"/>
          <w:color w:val="auto"/>
          <w:kern w:val="2"/>
          <w:highlight w:val="none"/>
        </w:rPr>
        <w:t>）</w:t>
      </w:r>
      <w:r>
        <w:rPr>
          <w:rFonts w:hint="eastAsia" w:ascii="仿宋" w:hAnsi="仿宋" w:eastAsia="仿宋" w:cs="仿宋"/>
          <w:color w:val="auto"/>
          <w:kern w:val="2"/>
          <w:highlight w:val="none"/>
        </w:rPr>
        <w:t>或自发布公告之日起基本开户银行出具的资信证明；</w:t>
      </w:r>
      <w:r>
        <w:rPr>
          <w:rFonts w:ascii="仿宋" w:hAnsi="仿宋" w:eastAsia="仿宋" w:cs="仿宋"/>
          <w:color w:val="auto"/>
          <w:kern w:val="2"/>
          <w:highlight w:val="none"/>
        </w:rPr>
        <w:t xml:space="preserve"> </w:t>
      </w:r>
    </w:p>
    <w:p w14:paraId="4E77ECFA">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4）在以往经营活动中无任何不良记录；</w:t>
      </w:r>
    </w:p>
    <w:p w14:paraId="7406041A">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5）能开具符合税法规定的发票，税款由供应商承担；</w:t>
      </w:r>
    </w:p>
    <w:p w14:paraId="6AB6B305">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6）具有良好的商业信誉和财务状况，制度健全，依法纳税，合法经营，在以往经营活动中没有违规或违约行为；</w:t>
      </w:r>
    </w:p>
    <w:p w14:paraId="3A6E720A">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7）提供的资格、资质文件和业绩情况均真实有效，否则由报价单位承担由此引起的一切后果及损失；</w:t>
      </w:r>
    </w:p>
    <w:p w14:paraId="6108960A">
      <w:pPr>
        <w:pStyle w:val="37"/>
        <w:spacing w:before="0" w:beforeLines="0" w:beforeAutospacing="0" w:after="0" w:afterLines="0" w:afterAutospacing="0" w:line="460" w:lineRule="exact"/>
        <w:ind w:firstLine="480" w:firstLineChars="200"/>
        <w:jc w:val="both"/>
        <w:outlineLvl w:val="3"/>
        <w:rPr>
          <w:rFonts w:ascii="仿宋" w:hAnsi="仿宋" w:eastAsia="仿宋" w:cs="仿宋"/>
          <w:color w:val="auto"/>
          <w:kern w:val="2"/>
          <w:highlight w:val="none"/>
        </w:rPr>
      </w:pPr>
      <w:r>
        <w:rPr>
          <w:rFonts w:hint="eastAsia" w:ascii="仿宋" w:hAnsi="仿宋" w:eastAsia="仿宋" w:cs="仿宋"/>
          <w:color w:val="auto"/>
          <w:kern w:val="2"/>
          <w:highlight w:val="none"/>
        </w:rPr>
        <w:t>8）符合国家法律、法规规定的其他条件</w:t>
      </w:r>
    </w:p>
    <w:p w14:paraId="164363EE">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9）在“信用中国”网站被列入</w:t>
      </w:r>
      <w:r>
        <w:rPr>
          <w:rFonts w:hint="eastAsia" w:ascii="仿宋" w:hAnsi="仿宋" w:eastAsia="仿宋" w:cs="仿宋"/>
          <w:color w:val="auto"/>
          <w:kern w:val="2"/>
          <w:highlight w:val="none"/>
          <w:lang w:eastAsia="zh-CN"/>
        </w:rPr>
        <w:t>失信被执行名单</w:t>
      </w: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eastAsia="zh-CN"/>
        </w:rPr>
        <w:t>重大税收违法失信主体名单</w:t>
      </w:r>
      <w:r>
        <w:rPr>
          <w:rFonts w:hint="eastAsia" w:ascii="仿宋" w:hAnsi="仿宋" w:eastAsia="仿宋" w:cs="仿宋"/>
          <w:color w:val="auto"/>
          <w:kern w:val="2"/>
          <w:highlight w:val="none"/>
        </w:rPr>
        <w:t>，在中国政府采购网被列入政府采购严重违法失信行为记录名单的（尚在处罚期内的），将拒绝本次政府采购活动,须提供网站查询结果截图。</w:t>
      </w:r>
    </w:p>
    <w:p w14:paraId="11B264F3">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10）参加招投标活动前三年内，在经营活动中没重大违法记录（受行政主管部门处罚的不能参加投标，提供声明书）。</w:t>
      </w:r>
    </w:p>
    <w:p w14:paraId="5BF79DAB">
      <w:pPr>
        <w:pStyle w:val="37"/>
        <w:spacing w:before="0" w:beforeLines="0" w:beforeAutospacing="0" w:after="0" w:afterLines="0" w:afterAutospacing="0" w:line="460" w:lineRule="exact"/>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rPr>
        <w:t>11）单位负责人为同一人或者存在直接控股、管理关系的不同供应商，不得参加同一合同项下的政府采购活动；与采购人存在利害关系可能影响采购公正性的法人、其他组织或个人不得参与投标，违反规定的相关投标均无效。 </w:t>
      </w:r>
    </w:p>
    <w:p w14:paraId="43BC5FE4">
      <w:pPr>
        <w:pStyle w:val="19"/>
        <w:spacing w:beforeLines="0" w:afterLines="0" w:line="4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12）供应商反商业贿赂承诺书（附件10）</w:t>
      </w:r>
    </w:p>
    <w:p w14:paraId="350FA32B">
      <w:pPr>
        <w:pStyle w:val="19"/>
        <w:spacing w:beforeLines="0" w:afterLines="0" w:line="4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13）投标保证金</w:t>
      </w:r>
      <w:r>
        <w:rPr>
          <w:rFonts w:hint="eastAsia" w:ascii="仿宋" w:hAnsi="仿宋" w:eastAsia="仿宋" w:cs="仿宋"/>
          <w:color w:val="auto"/>
          <w:szCs w:val="24"/>
          <w:highlight w:val="none"/>
          <w:lang w:val="en-US" w:eastAsia="zh-CN"/>
        </w:rPr>
        <w:t>或保函</w:t>
      </w:r>
      <w:r>
        <w:rPr>
          <w:rFonts w:hint="eastAsia" w:ascii="仿宋" w:hAnsi="仿宋" w:eastAsia="仿宋" w:cs="仿宋"/>
          <w:color w:val="auto"/>
          <w:szCs w:val="24"/>
          <w:highlight w:val="none"/>
        </w:rPr>
        <w:t>提交证明</w:t>
      </w:r>
    </w:p>
    <w:p w14:paraId="4DB11873">
      <w:pPr>
        <w:pStyle w:val="37"/>
        <w:spacing w:before="0" w:beforeLines="0" w:beforeAutospacing="0" w:after="0" w:afterLines="0" w:afterAutospacing="0" w:line="460" w:lineRule="exact"/>
        <w:jc w:val="both"/>
        <w:outlineLvl w:val="2"/>
        <w:rPr>
          <w:rFonts w:hint="eastAsia" w:ascii="仿宋" w:hAnsi="仿宋" w:eastAsia="仿宋" w:cs="仿宋"/>
          <w:color w:val="auto"/>
          <w:kern w:val="2"/>
          <w:highlight w:val="none"/>
          <w:u w:val="none"/>
          <w:lang w:val="en-US" w:eastAsia="zh-CN"/>
        </w:rPr>
      </w:pPr>
      <w:r>
        <w:rPr>
          <w:rFonts w:hint="eastAsia" w:ascii="仿宋" w:hAnsi="仿宋" w:eastAsia="仿宋" w:cs="仿宋"/>
          <w:color w:val="auto"/>
          <w:kern w:val="2"/>
          <w:highlight w:val="none"/>
          <w:u w:val="none"/>
          <w:lang w:val="en-US" w:eastAsia="zh-CN"/>
        </w:rPr>
        <w:t>2、</w:t>
      </w:r>
      <w:r>
        <w:rPr>
          <w:rFonts w:hint="eastAsia" w:ascii="仿宋" w:hAnsi="仿宋" w:eastAsia="仿宋" w:cs="仿宋"/>
          <w:color w:val="auto"/>
          <w:highlight w:val="none"/>
          <w:u w:val="none"/>
        </w:rPr>
        <w:t>落实政府采购政策需满足的资格要求：</w:t>
      </w:r>
      <w:r>
        <w:rPr>
          <w:rFonts w:hint="eastAsia" w:ascii="仿宋" w:hAnsi="仿宋" w:eastAsia="仿宋" w:cs="仿宋"/>
          <w:color w:val="auto"/>
          <w:highlight w:val="none"/>
          <w:u w:val="none"/>
          <w:lang w:eastAsia="zh-CN"/>
        </w:rPr>
        <w:t>本项目专门面向中小企业采购，</w:t>
      </w:r>
      <w:r>
        <w:rPr>
          <w:rFonts w:hint="eastAsia" w:ascii="仿宋" w:hAnsi="仿宋" w:eastAsia="仿宋" w:cs="仿宋"/>
          <w:color w:val="auto"/>
          <w:highlight w:val="none"/>
          <w:u w:val="none"/>
        </w:rPr>
        <w:t>投标人需提供《中小企业声明函》。</w:t>
      </w:r>
    </w:p>
    <w:p w14:paraId="20873339">
      <w:pPr>
        <w:pStyle w:val="37"/>
        <w:spacing w:before="0" w:beforeLines="0" w:beforeAutospacing="0" w:after="0" w:afterLines="0" w:afterAutospacing="0" w:line="460" w:lineRule="exact"/>
        <w:ind w:firstLine="0" w:firstLineChars="0"/>
        <w:jc w:val="both"/>
        <w:outlineLvl w:val="2"/>
        <w:rPr>
          <w:rFonts w:ascii="仿宋" w:hAnsi="仿宋" w:eastAsia="仿宋" w:cs="仿宋"/>
          <w:color w:val="auto"/>
          <w:kern w:val="2"/>
          <w:highlight w:val="none"/>
        </w:rPr>
      </w:pPr>
      <w:r>
        <w:rPr>
          <w:rFonts w:hint="eastAsia" w:ascii="仿宋" w:hAnsi="仿宋" w:eastAsia="仿宋" w:cs="仿宋"/>
          <w:color w:val="auto"/>
          <w:kern w:val="2"/>
          <w:highlight w:val="none"/>
          <w:lang w:val="en-US" w:eastAsia="zh-CN"/>
        </w:rPr>
        <w:t>3</w:t>
      </w:r>
      <w:r>
        <w:rPr>
          <w:rFonts w:hint="eastAsia" w:ascii="仿宋" w:hAnsi="仿宋" w:eastAsia="仿宋" w:cs="仿宋"/>
          <w:color w:val="auto"/>
          <w:kern w:val="2"/>
          <w:highlight w:val="none"/>
        </w:rPr>
        <w:t>、本项目不接受联合体投标。</w:t>
      </w:r>
    </w:p>
    <w:p w14:paraId="18DEF947">
      <w:pPr>
        <w:pStyle w:val="36"/>
        <w:spacing w:beforeLines="0" w:afterLines="0" w:line="460" w:lineRule="exact"/>
        <w:rPr>
          <w:rFonts w:ascii="仿宋" w:hAnsi="仿宋" w:eastAsia="仿宋" w:cs="仿宋"/>
          <w:b/>
          <w:color w:val="auto"/>
          <w:sz w:val="24"/>
          <w:szCs w:val="24"/>
          <w:highlight w:val="none"/>
        </w:rPr>
      </w:pPr>
    </w:p>
    <w:p w14:paraId="03C274C6">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附件6：</w:t>
      </w:r>
    </w:p>
    <w:p w14:paraId="4A0B62DF">
      <w:pPr>
        <w:spacing w:beforeLines="0" w:afterLines="0" w:line="460" w:lineRule="exact"/>
        <w:jc w:val="center"/>
        <w:outlineLvl w:val="1"/>
        <w:rPr>
          <w:rFonts w:ascii="仿宋" w:hAnsi="仿宋" w:eastAsia="仿宋" w:cs="仿宋"/>
          <w:b/>
          <w:color w:val="auto"/>
          <w:sz w:val="24"/>
          <w:szCs w:val="24"/>
          <w:highlight w:val="none"/>
        </w:rPr>
      </w:pPr>
      <w:bookmarkStart w:id="99" w:name="_Toc6445"/>
      <w:bookmarkStart w:id="100" w:name="_Toc13481"/>
      <w:r>
        <w:rPr>
          <w:rFonts w:hint="eastAsia" w:ascii="仿宋" w:hAnsi="仿宋" w:eastAsia="仿宋" w:cs="仿宋"/>
          <w:b/>
          <w:color w:val="auto"/>
          <w:sz w:val="24"/>
          <w:szCs w:val="24"/>
          <w:highlight w:val="none"/>
        </w:rPr>
        <w:t>七、类似业绩</w:t>
      </w:r>
      <w:bookmarkEnd w:id="99"/>
      <w:bookmarkEnd w:id="100"/>
    </w:p>
    <w:p w14:paraId="1CB418DA">
      <w:pPr>
        <w:spacing w:beforeLines="0" w:afterLines="0" w:line="460" w:lineRule="exact"/>
        <w:jc w:val="center"/>
        <w:rPr>
          <w:rFonts w:ascii="仿宋" w:hAnsi="仿宋" w:eastAsia="仿宋" w:cs="仿宋"/>
          <w:color w:val="auto"/>
          <w:sz w:val="24"/>
          <w:szCs w:val="24"/>
          <w:highlight w:val="none"/>
        </w:rPr>
      </w:pPr>
    </w:p>
    <w:tbl>
      <w:tblPr>
        <w:tblStyle w:val="41"/>
        <w:tblW w:w="9224" w:type="dxa"/>
        <w:jc w:val="center"/>
        <w:tblLayout w:type="fixed"/>
        <w:tblCellMar>
          <w:top w:w="0" w:type="dxa"/>
          <w:left w:w="108" w:type="dxa"/>
          <w:bottom w:w="0" w:type="dxa"/>
          <w:right w:w="108" w:type="dxa"/>
        </w:tblCellMar>
      </w:tblPr>
      <w:tblGrid>
        <w:gridCol w:w="727"/>
        <w:gridCol w:w="2445"/>
        <w:gridCol w:w="1704"/>
        <w:gridCol w:w="1543"/>
        <w:gridCol w:w="1440"/>
        <w:gridCol w:w="1365"/>
      </w:tblGrid>
      <w:tr w14:paraId="04256785">
        <w:tblPrEx>
          <w:tblCellMar>
            <w:top w:w="0" w:type="dxa"/>
            <w:left w:w="108" w:type="dxa"/>
            <w:bottom w:w="0" w:type="dxa"/>
            <w:right w:w="108" w:type="dxa"/>
          </w:tblCellMar>
        </w:tblPrEx>
        <w:trPr>
          <w:trHeight w:val="102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186C947A">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45" w:type="dxa"/>
            <w:tcBorders>
              <w:top w:val="single" w:color="auto" w:sz="4" w:space="0"/>
              <w:left w:val="single" w:color="auto" w:sz="4" w:space="0"/>
              <w:bottom w:val="single" w:color="auto" w:sz="4" w:space="0"/>
              <w:right w:val="single" w:color="auto" w:sz="4" w:space="0"/>
            </w:tcBorders>
            <w:vAlign w:val="center"/>
          </w:tcPr>
          <w:p w14:paraId="6FECE642">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704" w:type="dxa"/>
            <w:tcBorders>
              <w:top w:val="single" w:color="auto" w:sz="4" w:space="0"/>
              <w:left w:val="single" w:color="auto" w:sz="4" w:space="0"/>
              <w:bottom w:val="single" w:color="auto" w:sz="4" w:space="0"/>
              <w:right w:val="single" w:color="auto" w:sz="4" w:space="0"/>
            </w:tcBorders>
            <w:vAlign w:val="center"/>
          </w:tcPr>
          <w:p w14:paraId="6418C4C7">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采购单位名称</w:t>
            </w:r>
          </w:p>
        </w:tc>
        <w:tc>
          <w:tcPr>
            <w:tcW w:w="1543" w:type="dxa"/>
            <w:tcBorders>
              <w:top w:val="single" w:color="auto" w:sz="4" w:space="0"/>
              <w:left w:val="single" w:color="auto" w:sz="4" w:space="0"/>
              <w:bottom w:val="single" w:color="auto" w:sz="4" w:space="0"/>
              <w:right w:val="single" w:color="auto" w:sz="4" w:space="0"/>
            </w:tcBorders>
            <w:vAlign w:val="center"/>
          </w:tcPr>
          <w:p w14:paraId="26883FB5">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采购单位联系人及电话</w:t>
            </w:r>
          </w:p>
        </w:tc>
        <w:tc>
          <w:tcPr>
            <w:tcW w:w="1440" w:type="dxa"/>
            <w:tcBorders>
              <w:top w:val="single" w:color="auto" w:sz="4" w:space="0"/>
              <w:left w:val="single" w:color="auto" w:sz="4" w:space="0"/>
              <w:bottom w:val="single" w:color="auto" w:sz="4" w:space="0"/>
              <w:right w:val="single" w:color="auto" w:sz="4" w:space="0"/>
            </w:tcBorders>
            <w:vAlign w:val="center"/>
          </w:tcPr>
          <w:p w14:paraId="2D8A2238">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14:paraId="4DF26E6E">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r w14:paraId="19CCA699">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14:paraId="61D641C0">
            <w:pPr>
              <w:spacing w:beforeLines="0" w:afterLines="0" w:line="460" w:lineRule="exact"/>
              <w:rPr>
                <w:rFonts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tcPr>
          <w:p w14:paraId="60009B1E">
            <w:pPr>
              <w:spacing w:beforeLines="0" w:afterLines="0" w:line="460" w:lineRule="exact"/>
              <w:rPr>
                <w:rFonts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58231FAC">
            <w:pPr>
              <w:spacing w:beforeLines="0" w:afterLines="0" w:line="460" w:lineRule="exact"/>
              <w:rPr>
                <w:rFonts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tcPr>
          <w:p w14:paraId="0961D33D">
            <w:pPr>
              <w:spacing w:beforeLines="0" w:afterLines="0" w:line="460" w:lineRule="exact"/>
              <w:rPr>
                <w:rFonts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1042A22E">
            <w:pPr>
              <w:spacing w:beforeLines="0" w:afterLines="0" w:line="460" w:lineRule="exact"/>
              <w:rPr>
                <w:rFonts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6AF0B50E">
            <w:pPr>
              <w:spacing w:beforeLines="0" w:afterLines="0" w:line="460" w:lineRule="exact"/>
              <w:rPr>
                <w:rFonts w:ascii="仿宋" w:hAnsi="仿宋" w:eastAsia="仿宋" w:cs="仿宋"/>
                <w:color w:val="auto"/>
                <w:sz w:val="24"/>
                <w:szCs w:val="24"/>
                <w:highlight w:val="none"/>
              </w:rPr>
            </w:pPr>
          </w:p>
        </w:tc>
      </w:tr>
      <w:tr w14:paraId="704A77BC">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14:paraId="00383944">
            <w:pPr>
              <w:spacing w:beforeLines="0" w:afterLines="0" w:line="460" w:lineRule="exact"/>
              <w:rPr>
                <w:rFonts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tcPr>
          <w:p w14:paraId="07AA7AB3">
            <w:pPr>
              <w:spacing w:beforeLines="0" w:afterLines="0" w:line="460" w:lineRule="exact"/>
              <w:rPr>
                <w:rFonts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136859CD">
            <w:pPr>
              <w:spacing w:beforeLines="0" w:afterLines="0" w:line="460" w:lineRule="exact"/>
              <w:rPr>
                <w:rFonts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tcPr>
          <w:p w14:paraId="4C28AA2C">
            <w:pPr>
              <w:spacing w:beforeLines="0" w:afterLines="0" w:line="460" w:lineRule="exact"/>
              <w:rPr>
                <w:rFonts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4344ED7A">
            <w:pPr>
              <w:spacing w:beforeLines="0" w:afterLines="0" w:line="460" w:lineRule="exact"/>
              <w:rPr>
                <w:rFonts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4B0893BB">
            <w:pPr>
              <w:spacing w:beforeLines="0" w:afterLines="0" w:line="460" w:lineRule="exact"/>
              <w:rPr>
                <w:rFonts w:ascii="仿宋" w:hAnsi="仿宋" w:eastAsia="仿宋" w:cs="仿宋"/>
                <w:color w:val="auto"/>
                <w:sz w:val="24"/>
                <w:szCs w:val="24"/>
                <w:highlight w:val="none"/>
              </w:rPr>
            </w:pPr>
          </w:p>
        </w:tc>
      </w:tr>
      <w:tr w14:paraId="50E00B34">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14:paraId="44786230">
            <w:pPr>
              <w:spacing w:beforeLines="0" w:afterLines="0" w:line="460" w:lineRule="exact"/>
              <w:rPr>
                <w:rFonts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tcPr>
          <w:p w14:paraId="7ADE9C18">
            <w:pPr>
              <w:spacing w:beforeLines="0" w:afterLines="0" w:line="460" w:lineRule="exact"/>
              <w:rPr>
                <w:rFonts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01B81964">
            <w:pPr>
              <w:spacing w:beforeLines="0" w:afterLines="0" w:line="460" w:lineRule="exact"/>
              <w:rPr>
                <w:rFonts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tcPr>
          <w:p w14:paraId="20A1BD8A">
            <w:pPr>
              <w:spacing w:beforeLines="0" w:afterLines="0" w:line="460" w:lineRule="exact"/>
              <w:rPr>
                <w:rFonts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0761C752">
            <w:pPr>
              <w:spacing w:beforeLines="0" w:afterLines="0" w:line="460" w:lineRule="exact"/>
              <w:rPr>
                <w:rFonts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340B60FB">
            <w:pPr>
              <w:spacing w:beforeLines="0" w:afterLines="0" w:line="460" w:lineRule="exact"/>
              <w:rPr>
                <w:rFonts w:ascii="仿宋" w:hAnsi="仿宋" w:eastAsia="仿宋" w:cs="仿宋"/>
                <w:color w:val="auto"/>
                <w:sz w:val="24"/>
                <w:szCs w:val="24"/>
                <w:highlight w:val="none"/>
              </w:rPr>
            </w:pPr>
          </w:p>
        </w:tc>
      </w:tr>
      <w:tr w14:paraId="648769EC">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14:paraId="59400B49">
            <w:pPr>
              <w:spacing w:beforeLines="0" w:afterLines="0" w:line="460" w:lineRule="exact"/>
              <w:rPr>
                <w:rFonts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tcPr>
          <w:p w14:paraId="3A4CBDB8">
            <w:pPr>
              <w:spacing w:beforeLines="0" w:afterLines="0" w:line="460" w:lineRule="exact"/>
              <w:rPr>
                <w:rFonts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100F5735">
            <w:pPr>
              <w:spacing w:beforeLines="0" w:afterLines="0" w:line="460" w:lineRule="exact"/>
              <w:rPr>
                <w:rFonts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tcPr>
          <w:p w14:paraId="6E900A89">
            <w:pPr>
              <w:spacing w:beforeLines="0" w:afterLines="0" w:line="460" w:lineRule="exact"/>
              <w:rPr>
                <w:rFonts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1D483C6B">
            <w:pPr>
              <w:spacing w:beforeLines="0" w:afterLines="0" w:line="460" w:lineRule="exact"/>
              <w:rPr>
                <w:rFonts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2D602213">
            <w:pPr>
              <w:spacing w:beforeLines="0" w:afterLines="0" w:line="460" w:lineRule="exact"/>
              <w:rPr>
                <w:rFonts w:ascii="仿宋" w:hAnsi="仿宋" w:eastAsia="仿宋" w:cs="仿宋"/>
                <w:color w:val="auto"/>
                <w:sz w:val="24"/>
                <w:szCs w:val="24"/>
                <w:highlight w:val="none"/>
              </w:rPr>
            </w:pPr>
          </w:p>
        </w:tc>
      </w:tr>
      <w:tr w14:paraId="7E062969">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14:paraId="5CC0455B">
            <w:pPr>
              <w:spacing w:beforeLines="0" w:afterLines="0" w:line="460" w:lineRule="exact"/>
              <w:rPr>
                <w:rFonts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tcPr>
          <w:p w14:paraId="336CDD38">
            <w:pPr>
              <w:spacing w:beforeLines="0" w:afterLines="0" w:line="460" w:lineRule="exact"/>
              <w:rPr>
                <w:rFonts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437B3212">
            <w:pPr>
              <w:spacing w:beforeLines="0" w:afterLines="0" w:line="460" w:lineRule="exact"/>
              <w:rPr>
                <w:rFonts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tcPr>
          <w:p w14:paraId="72B02316">
            <w:pPr>
              <w:spacing w:beforeLines="0" w:afterLines="0" w:line="460" w:lineRule="exact"/>
              <w:rPr>
                <w:rFonts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4B5065F2">
            <w:pPr>
              <w:spacing w:beforeLines="0" w:afterLines="0" w:line="460" w:lineRule="exact"/>
              <w:rPr>
                <w:rFonts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6589A8C9">
            <w:pPr>
              <w:spacing w:beforeLines="0" w:afterLines="0" w:line="460" w:lineRule="exact"/>
              <w:rPr>
                <w:rFonts w:ascii="仿宋" w:hAnsi="仿宋" w:eastAsia="仿宋" w:cs="仿宋"/>
                <w:color w:val="auto"/>
                <w:sz w:val="24"/>
                <w:szCs w:val="24"/>
                <w:highlight w:val="none"/>
              </w:rPr>
            </w:pPr>
          </w:p>
        </w:tc>
      </w:tr>
      <w:tr w14:paraId="5B43393F">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14:paraId="3A8D8965">
            <w:pPr>
              <w:spacing w:beforeLines="0" w:afterLines="0" w:line="460" w:lineRule="exact"/>
              <w:rPr>
                <w:rFonts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tcPr>
          <w:p w14:paraId="76151AB5">
            <w:pPr>
              <w:spacing w:beforeLines="0" w:afterLines="0" w:line="460" w:lineRule="exact"/>
              <w:rPr>
                <w:rFonts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2A761FD1">
            <w:pPr>
              <w:spacing w:beforeLines="0" w:afterLines="0" w:line="460" w:lineRule="exact"/>
              <w:rPr>
                <w:rFonts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tcPr>
          <w:p w14:paraId="231518B7">
            <w:pPr>
              <w:spacing w:beforeLines="0" w:afterLines="0" w:line="460" w:lineRule="exact"/>
              <w:rPr>
                <w:rFonts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658FE10F">
            <w:pPr>
              <w:spacing w:beforeLines="0" w:afterLines="0" w:line="460" w:lineRule="exact"/>
              <w:rPr>
                <w:rFonts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6065EEDF">
            <w:pPr>
              <w:spacing w:beforeLines="0" w:afterLines="0" w:line="460" w:lineRule="exact"/>
              <w:rPr>
                <w:rFonts w:ascii="仿宋" w:hAnsi="仿宋" w:eastAsia="仿宋" w:cs="仿宋"/>
                <w:color w:val="auto"/>
                <w:sz w:val="24"/>
                <w:szCs w:val="24"/>
                <w:highlight w:val="none"/>
              </w:rPr>
            </w:pPr>
          </w:p>
        </w:tc>
      </w:tr>
      <w:tr w14:paraId="2E04D31F">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14:paraId="56924A43">
            <w:pPr>
              <w:spacing w:beforeLines="0" w:afterLines="0" w:line="460" w:lineRule="exact"/>
              <w:rPr>
                <w:rFonts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tcPr>
          <w:p w14:paraId="6C70F20F">
            <w:pPr>
              <w:spacing w:beforeLines="0" w:afterLines="0" w:line="460" w:lineRule="exact"/>
              <w:rPr>
                <w:rFonts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343DBD02">
            <w:pPr>
              <w:spacing w:beforeLines="0" w:afterLines="0" w:line="460" w:lineRule="exact"/>
              <w:rPr>
                <w:rFonts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tcPr>
          <w:p w14:paraId="7CAE159F">
            <w:pPr>
              <w:spacing w:beforeLines="0" w:afterLines="0" w:line="460" w:lineRule="exact"/>
              <w:rPr>
                <w:rFonts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3FE5B7FB">
            <w:pPr>
              <w:spacing w:beforeLines="0" w:afterLines="0" w:line="460" w:lineRule="exact"/>
              <w:rPr>
                <w:rFonts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331FD847">
            <w:pPr>
              <w:spacing w:beforeLines="0" w:afterLines="0" w:line="460" w:lineRule="exact"/>
              <w:rPr>
                <w:rFonts w:ascii="仿宋" w:hAnsi="仿宋" w:eastAsia="仿宋" w:cs="仿宋"/>
                <w:color w:val="auto"/>
                <w:sz w:val="24"/>
                <w:szCs w:val="24"/>
                <w:highlight w:val="none"/>
              </w:rPr>
            </w:pPr>
          </w:p>
        </w:tc>
      </w:tr>
      <w:tr w14:paraId="1A527C87">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14:paraId="39CDAB13">
            <w:pPr>
              <w:spacing w:beforeLines="0" w:afterLines="0" w:line="460" w:lineRule="exact"/>
              <w:rPr>
                <w:rFonts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tcPr>
          <w:p w14:paraId="220BECD6">
            <w:pPr>
              <w:spacing w:beforeLines="0" w:afterLines="0" w:line="460" w:lineRule="exact"/>
              <w:rPr>
                <w:rFonts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5D8E3D1F">
            <w:pPr>
              <w:spacing w:beforeLines="0" w:afterLines="0" w:line="460" w:lineRule="exact"/>
              <w:rPr>
                <w:rFonts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tcPr>
          <w:p w14:paraId="139BDC95">
            <w:pPr>
              <w:spacing w:beforeLines="0" w:afterLines="0" w:line="460" w:lineRule="exact"/>
              <w:rPr>
                <w:rFonts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65177DD4">
            <w:pPr>
              <w:spacing w:beforeLines="0" w:afterLines="0" w:line="460" w:lineRule="exact"/>
              <w:rPr>
                <w:rFonts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38BCCAEA">
            <w:pPr>
              <w:spacing w:beforeLines="0" w:afterLines="0" w:line="460" w:lineRule="exact"/>
              <w:rPr>
                <w:rFonts w:ascii="仿宋" w:hAnsi="仿宋" w:eastAsia="仿宋" w:cs="仿宋"/>
                <w:color w:val="auto"/>
                <w:sz w:val="24"/>
                <w:szCs w:val="24"/>
                <w:highlight w:val="none"/>
              </w:rPr>
            </w:pPr>
          </w:p>
        </w:tc>
      </w:tr>
    </w:tbl>
    <w:p w14:paraId="1E510C11">
      <w:pPr>
        <w:spacing w:beforeLines="0" w:afterLines="0" w:line="460" w:lineRule="exac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注：后附相关证明材料（按照评标办法要求提供相应证明材料）</w:t>
      </w:r>
    </w:p>
    <w:p w14:paraId="65A4349D">
      <w:pPr>
        <w:spacing w:beforeLines="0" w:afterLines="0" w:line="460" w:lineRule="exact"/>
        <w:rPr>
          <w:rFonts w:ascii="仿宋" w:hAnsi="仿宋" w:eastAsia="仿宋" w:cs="仿宋"/>
          <w:b/>
          <w:color w:val="auto"/>
          <w:sz w:val="24"/>
          <w:szCs w:val="24"/>
          <w:highlight w:val="none"/>
        </w:rPr>
      </w:pPr>
    </w:p>
    <w:p w14:paraId="666E0B58">
      <w:pPr>
        <w:spacing w:beforeLines="0" w:afterLines="0" w:line="460" w:lineRule="exact"/>
        <w:rPr>
          <w:rFonts w:ascii="仿宋" w:hAnsi="仿宋" w:eastAsia="仿宋" w:cs="仿宋"/>
          <w:b/>
          <w:color w:val="auto"/>
          <w:sz w:val="24"/>
          <w:szCs w:val="24"/>
          <w:highlight w:val="none"/>
        </w:rPr>
      </w:pPr>
    </w:p>
    <w:p w14:paraId="5B9DF6CA">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14:paraId="0FB930BD">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14:paraId="74504099">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289C18FB">
      <w:pPr>
        <w:spacing w:beforeLines="0" w:afterLines="0" w:line="460" w:lineRule="exact"/>
        <w:rPr>
          <w:rFonts w:ascii="仿宋" w:hAnsi="仿宋" w:eastAsia="仿宋" w:cs="仿宋"/>
          <w:b/>
          <w:bCs/>
          <w:color w:val="auto"/>
          <w:sz w:val="24"/>
          <w:szCs w:val="24"/>
          <w:highlight w:val="none"/>
        </w:rPr>
      </w:pPr>
    </w:p>
    <w:p w14:paraId="6135ECB9">
      <w:pPr>
        <w:snapToGrid w:val="0"/>
        <w:spacing w:beforeLines="0" w:afterLines="0" w:line="460" w:lineRule="exact"/>
        <w:jc w:val="center"/>
        <w:rPr>
          <w:rFonts w:ascii="仿宋" w:hAnsi="仿宋" w:eastAsia="仿宋" w:cs="仿宋"/>
          <w:b/>
          <w:color w:val="auto"/>
          <w:sz w:val="24"/>
          <w:szCs w:val="24"/>
          <w:highlight w:val="none"/>
        </w:rPr>
      </w:pPr>
    </w:p>
    <w:p w14:paraId="230D92AE">
      <w:pPr>
        <w:snapToGrid w:val="0"/>
        <w:spacing w:beforeLines="0" w:afterLines="0" w:line="460" w:lineRule="exact"/>
        <w:jc w:val="center"/>
        <w:rPr>
          <w:rFonts w:ascii="仿宋" w:hAnsi="仿宋" w:eastAsia="仿宋" w:cs="仿宋"/>
          <w:b/>
          <w:color w:val="auto"/>
          <w:sz w:val="24"/>
          <w:szCs w:val="24"/>
          <w:highlight w:val="none"/>
        </w:rPr>
      </w:pPr>
    </w:p>
    <w:p w14:paraId="105E27CE">
      <w:pPr>
        <w:pStyle w:val="36"/>
        <w:spacing w:beforeLines="0" w:afterLines="0" w:line="460" w:lineRule="exact"/>
        <w:rPr>
          <w:rFonts w:ascii="仿宋" w:hAnsi="仿宋" w:eastAsia="仿宋" w:cs="仿宋"/>
          <w:b/>
          <w:color w:val="auto"/>
          <w:sz w:val="24"/>
          <w:szCs w:val="24"/>
          <w:highlight w:val="none"/>
        </w:rPr>
      </w:pPr>
    </w:p>
    <w:p w14:paraId="0C05B74A">
      <w:pPr>
        <w:pStyle w:val="36"/>
        <w:spacing w:beforeLines="0" w:afterLines="0" w:line="460" w:lineRule="exact"/>
        <w:rPr>
          <w:rFonts w:ascii="仿宋" w:hAnsi="仿宋" w:eastAsia="仿宋" w:cs="仿宋"/>
          <w:b/>
          <w:color w:val="auto"/>
          <w:sz w:val="24"/>
          <w:szCs w:val="24"/>
          <w:highlight w:val="none"/>
        </w:rPr>
      </w:pPr>
    </w:p>
    <w:p w14:paraId="4CE4FB20">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2592F37">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附件7：</w:t>
      </w:r>
    </w:p>
    <w:p w14:paraId="4A3F2B91">
      <w:pPr>
        <w:snapToGrid w:val="0"/>
        <w:spacing w:beforeLines="0" w:afterLines="0" w:line="460" w:lineRule="exact"/>
        <w:jc w:val="center"/>
        <w:outlineLvl w:val="1"/>
        <w:rPr>
          <w:rFonts w:ascii="仿宋" w:hAnsi="仿宋" w:eastAsia="仿宋" w:cs="仿宋"/>
          <w:b/>
          <w:color w:val="auto"/>
          <w:sz w:val="24"/>
          <w:szCs w:val="24"/>
          <w:highlight w:val="none"/>
        </w:rPr>
      </w:pPr>
      <w:bookmarkStart w:id="101" w:name="_Toc25770"/>
      <w:bookmarkStart w:id="102" w:name="_Toc25751"/>
      <w:r>
        <w:rPr>
          <w:rFonts w:hint="eastAsia" w:ascii="仿宋" w:hAnsi="仿宋" w:eastAsia="仿宋" w:cs="仿宋"/>
          <w:b/>
          <w:color w:val="auto"/>
          <w:sz w:val="24"/>
          <w:szCs w:val="24"/>
          <w:highlight w:val="none"/>
        </w:rPr>
        <w:t>八、技术偏离表</w:t>
      </w:r>
      <w:bookmarkEnd w:id="101"/>
      <w:bookmarkEnd w:id="102"/>
    </w:p>
    <w:tbl>
      <w:tblPr>
        <w:tblStyle w:val="41"/>
        <w:tblW w:w="9755" w:type="dxa"/>
        <w:jc w:val="center"/>
        <w:tblLayout w:type="fixed"/>
        <w:tblCellMar>
          <w:top w:w="0" w:type="dxa"/>
          <w:left w:w="0" w:type="dxa"/>
          <w:bottom w:w="0" w:type="dxa"/>
          <w:right w:w="0" w:type="dxa"/>
        </w:tblCellMar>
      </w:tblPr>
      <w:tblGrid>
        <w:gridCol w:w="672"/>
        <w:gridCol w:w="2383"/>
        <w:gridCol w:w="2302"/>
        <w:gridCol w:w="2495"/>
        <w:gridCol w:w="1203"/>
        <w:gridCol w:w="700"/>
      </w:tblGrid>
      <w:tr w14:paraId="0DABCC4A">
        <w:tblPrEx>
          <w:tblCellMar>
            <w:top w:w="0" w:type="dxa"/>
            <w:left w:w="0" w:type="dxa"/>
            <w:bottom w:w="0" w:type="dxa"/>
            <w:right w:w="0" w:type="dxa"/>
          </w:tblCellMar>
        </w:tblPrEx>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14:paraId="18C3AE6D">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2E9884">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272291D2">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4A6BCA">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001BB6">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02188C0C">
        <w:tblPrEx>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14:paraId="2610A7EC">
            <w:pPr>
              <w:spacing w:beforeLines="0" w:afterLines="0" w:line="460" w:lineRule="exact"/>
              <w:rPr>
                <w:rFonts w:ascii="仿宋" w:hAnsi="仿宋" w:eastAsia="仿宋" w:cs="仿宋"/>
                <w:color w:val="auto"/>
                <w:sz w:val="24"/>
                <w:szCs w:val="24"/>
                <w:highlight w:val="none"/>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14:paraId="7B69216B">
            <w:pPr>
              <w:spacing w:beforeLines="0" w:afterLines="0" w:line="460" w:lineRule="exact"/>
              <w:rPr>
                <w:rFonts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14:paraId="4D5DFF80">
            <w:pPr>
              <w:pStyle w:val="24"/>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投标文件技术要求</w:t>
            </w:r>
          </w:p>
          <w:p w14:paraId="158B46CE">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14:paraId="1993F28D">
            <w:pPr>
              <w:pStyle w:val="24"/>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投标供应商的技术响</w:t>
            </w:r>
          </w:p>
          <w:p w14:paraId="0B0B8A6B">
            <w:pPr>
              <w:spacing w:beforeLines="0" w:afterLines="0"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68730F3">
            <w:pPr>
              <w:spacing w:beforeLines="0" w:afterLines="0" w:line="460" w:lineRule="exact"/>
              <w:jc w:val="center"/>
              <w:rPr>
                <w:rFonts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DE6E10A">
            <w:pPr>
              <w:spacing w:beforeLines="0" w:afterLines="0" w:line="460" w:lineRule="exact"/>
              <w:jc w:val="center"/>
              <w:rPr>
                <w:rFonts w:ascii="仿宋" w:hAnsi="仿宋" w:eastAsia="仿宋" w:cs="仿宋"/>
                <w:color w:val="auto"/>
                <w:sz w:val="24"/>
                <w:szCs w:val="24"/>
                <w:highlight w:val="none"/>
              </w:rPr>
            </w:pPr>
          </w:p>
        </w:tc>
      </w:tr>
      <w:tr w14:paraId="09E26CA7">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14:paraId="2A62378A">
            <w:pPr>
              <w:spacing w:beforeLines="0" w:afterLines="0" w:line="460" w:lineRule="exact"/>
              <w:jc w:val="center"/>
              <w:rPr>
                <w:rFonts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14:paraId="769CCEB6">
            <w:pPr>
              <w:spacing w:beforeLines="0" w:afterLines="0" w:line="460" w:lineRule="exact"/>
              <w:jc w:val="center"/>
              <w:rPr>
                <w:rFonts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14:paraId="5E1D7D06">
            <w:pPr>
              <w:spacing w:beforeLines="0" w:afterLines="0" w:line="460" w:lineRule="exact"/>
              <w:jc w:val="center"/>
              <w:rPr>
                <w:rFonts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14:paraId="49928ACF">
            <w:pPr>
              <w:spacing w:beforeLines="0" w:afterLines="0" w:line="460" w:lineRule="exact"/>
              <w:jc w:val="center"/>
              <w:rPr>
                <w:rFonts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60F94E8">
            <w:pPr>
              <w:spacing w:beforeLines="0" w:afterLines="0" w:line="460" w:lineRule="exact"/>
              <w:jc w:val="center"/>
              <w:rPr>
                <w:rFonts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0C1FB34">
            <w:pPr>
              <w:spacing w:beforeLines="0" w:afterLines="0" w:line="460" w:lineRule="exact"/>
              <w:jc w:val="center"/>
              <w:rPr>
                <w:rFonts w:ascii="仿宋" w:hAnsi="仿宋" w:eastAsia="仿宋" w:cs="仿宋"/>
                <w:color w:val="auto"/>
                <w:sz w:val="24"/>
                <w:szCs w:val="24"/>
                <w:highlight w:val="none"/>
              </w:rPr>
            </w:pPr>
          </w:p>
        </w:tc>
      </w:tr>
      <w:tr w14:paraId="1245F734">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14:paraId="77D35ED7">
            <w:pPr>
              <w:spacing w:beforeLines="0" w:afterLines="0" w:line="460" w:lineRule="exact"/>
              <w:jc w:val="center"/>
              <w:rPr>
                <w:rFonts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14:paraId="37647718">
            <w:pPr>
              <w:spacing w:beforeLines="0" w:afterLines="0" w:line="460" w:lineRule="exact"/>
              <w:jc w:val="center"/>
              <w:rPr>
                <w:rFonts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14:paraId="3F096D82">
            <w:pPr>
              <w:spacing w:beforeLines="0" w:afterLines="0" w:line="460" w:lineRule="exact"/>
              <w:jc w:val="center"/>
              <w:rPr>
                <w:rFonts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14:paraId="265E5F22">
            <w:pPr>
              <w:spacing w:beforeLines="0" w:afterLines="0" w:line="460" w:lineRule="exact"/>
              <w:jc w:val="center"/>
              <w:rPr>
                <w:rFonts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24655B6">
            <w:pPr>
              <w:spacing w:beforeLines="0" w:afterLines="0" w:line="460" w:lineRule="exact"/>
              <w:jc w:val="center"/>
              <w:rPr>
                <w:rFonts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3812302E">
            <w:pPr>
              <w:spacing w:beforeLines="0" w:afterLines="0" w:line="460" w:lineRule="exact"/>
              <w:jc w:val="center"/>
              <w:rPr>
                <w:rFonts w:ascii="仿宋" w:hAnsi="仿宋" w:eastAsia="仿宋" w:cs="仿宋"/>
                <w:color w:val="auto"/>
                <w:sz w:val="24"/>
                <w:szCs w:val="24"/>
                <w:highlight w:val="none"/>
              </w:rPr>
            </w:pPr>
          </w:p>
        </w:tc>
      </w:tr>
      <w:tr w14:paraId="0120C13A">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14:paraId="7C0BC430">
            <w:pPr>
              <w:spacing w:beforeLines="0" w:afterLines="0" w:line="460" w:lineRule="exact"/>
              <w:jc w:val="center"/>
              <w:rPr>
                <w:rFonts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14:paraId="665B9F57">
            <w:pPr>
              <w:spacing w:beforeLines="0" w:afterLines="0" w:line="460" w:lineRule="exact"/>
              <w:jc w:val="center"/>
              <w:rPr>
                <w:rFonts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14:paraId="511A4C3A">
            <w:pPr>
              <w:spacing w:beforeLines="0" w:afterLines="0" w:line="460" w:lineRule="exact"/>
              <w:jc w:val="center"/>
              <w:rPr>
                <w:rFonts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14:paraId="37037991">
            <w:pPr>
              <w:spacing w:beforeLines="0" w:afterLines="0" w:line="460" w:lineRule="exact"/>
              <w:jc w:val="center"/>
              <w:rPr>
                <w:rFonts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28088513">
            <w:pPr>
              <w:spacing w:beforeLines="0" w:afterLines="0" w:line="460" w:lineRule="exact"/>
              <w:jc w:val="center"/>
              <w:rPr>
                <w:rFonts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7488A403">
            <w:pPr>
              <w:spacing w:beforeLines="0" w:afterLines="0" w:line="460" w:lineRule="exact"/>
              <w:jc w:val="center"/>
              <w:rPr>
                <w:rFonts w:ascii="仿宋" w:hAnsi="仿宋" w:eastAsia="仿宋" w:cs="仿宋"/>
                <w:color w:val="auto"/>
                <w:sz w:val="24"/>
                <w:szCs w:val="24"/>
                <w:highlight w:val="none"/>
              </w:rPr>
            </w:pPr>
          </w:p>
        </w:tc>
      </w:tr>
      <w:tr w14:paraId="49AEAA18">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14:paraId="3F6F40AD">
            <w:pPr>
              <w:spacing w:beforeLines="0" w:afterLines="0" w:line="460" w:lineRule="exact"/>
              <w:jc w:val="center"/>
              <w:rPr>
                <w:rFonts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14:paraId="44F86B47">
            <w:pPr>
              <w:spacing w:beforeLines="0" w:afterLines="0" w:line="460" w:lineRule="exact"/>
              <w:jc w:val="center"/>
              <w:rPr>
                <w:rFonts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14:paraId="206C07FD">
            <w:pPr>
              <w:spacing w:beforeLines="0" w:afterLines="0" w:line="460" w:lineRule="exact"/>
              <w:jc w:val="center"/>
              <w:rPr>
                <w:rFonts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14:paraId="04AA26B2">
            <w:pPr>
              <w:spacing w:beforeLines="0" w:afterLines="0" w:line="460" w:lineRule="exact"/>
              <w:jc w:val="center"/>
              <w:rPr>
                <w:rFonts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6D0E87D1">
            <w:pPr>
              <w:spacing w:beforeLines="0" w:afterLines="0" w:line="460" w:lineRule="exact"/>
              <w:jc w:val="center"/>
              <w:rPr>
                <w:rFonts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0B855BFE">
            <w:pPr>
              <w:spacing w:beforeLines="0" w:afterLines="0" w:line="460" w:lineRule="exact"/>
              <w:jc w:val="center"/>
              <w:rPr>
                <w:rFonts w:ascii="仿宋" w:hAnsi="仿宋" w:eastAsia="仿宋" w:cs="仿宋"/>
                <w:color w:val="auto"/>
                <w:sz w:val="24"/>
                <w:szCs w:val="24"/>
                <w:highlight w:val="none"/>
              </w:rPr>
            </w:pPr>
          </w:p>
        </w:tc>
      </w:tr>
      <w:tr w14:paraId="4F16960F">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14:paraId="4EC5B560">
            <w:pPr>
              <w:spacing w:beforeLines="0" w:afterLines="0" w:line="460" w:lineRule="exact"/>
              <w:rPr>
                <w:rFonts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14:paraId="322F246A">
            <w:pPr>
              <w:spacing w:beforeLines="0" w:afterLines="0" w:line="460" w:lineRule="exact"/>
              <w:rPr>
                <w:rFonts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14:paraId="344A4E11">
            <w:pPr>
              <w:spacing w:beforeLines="0" w:afterLines="0" w:line="460" w:lineRule="exact"/>
              <w:jc w:val="center"/>
              <w:rPr>
                <w:rFonts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14:paraId="491E3687">
            <w:pPr>
              <w:spacing w:beforeLines="0" w:afterLines="0" w:line="460" w:lineRule="exact"/>
              <w:rPr>
                <w:rFonts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14:paraId="185D8EA7">
            <w:pPr>
              <w:spacing w:beforeLines="0" w:afterLines="0" w:line="460" w:lineRule="exact"/>
              <w:rPr>
                <w:rFonts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14:paraId="612CC1B0">
            <w:pPr>
              <w:spacing w:beforeLines="0" w:afterLines="0" w:line="460" w:lineRule="exact"/>
              <w:rPr>
                <w:rFonts w:ascii="仿宋" w:hAnsi="仿宋" w:eastAsia="仿宋" w:cs="仿宋"/>
                <w:color w:val="auto"/>
                <w:sz w:val="24"/>
                <w:szCs w:val="24"/>
                <w:highlight w:val="none"/>
              </w:rPr>
            </w:pPr>
          </w:p>
        </w:tc>
      </w:tr>
      <w:tr w14:paraId="5FD32907">
        <w:tblPrEx>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14:paraId="14A79C12">
            <w:pPr>
              <w:spacing w:beforeLines="0" w:afterLines="0" w:line="460" w:lineRule="exact"/>
              <w:rPr>
                <w:rFonts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14:paraId="76E364D8">
            <w:pPr>
              <w:spacing w:beforeLines="0" w:afterLines="0" w:line="460" w:lineRule="exact"/>
              <w:rPr>
                <w:rFonts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14:paraId="2C3656E0">
            <w:pPr>
              <w:spacing w:beforeLines="0" w:afterLines="0" w:line="460" w:lineRule="exact"/>
              <w:jc w:val="center"/>
              <w:rPr>
                <w:rFonts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14:paraId="6CFED5E5">
            <w:pPr>
              <w:spacing w:beforeLines="0" w:afterLines="0" w:line="460" w:lineRule="exact"/>
              <w:rPr>
                <w:rFonts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14:paraId="42AAB41D">
            <w:pPr>
              <w:spacing w:beforeLines="0" w:afterLines="0" w:line="460" w:lineRule="exact"/>
              <w:rPr>
                <w:rFonts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14:paraId="709086D9">
            <w:pPr>
              <w:spacing w:beforeLines="0" w:afterLines="0" w:line="460" w:lineRule="exact"/>
              <w:rPr>
                <w:rFonts w:ascii="仿宋" w:hAnsi="仿宋" w:eastAsia="仿宋" w:cs="仿宋"/>
                <w:color w:val="auto"/>
                <w:sz w:val="24"/>
                <w:szCs w:val="24"/>
                <w:highlight w:val="none"/>
              </w:rPr>
            </w:pPr>
          </w:p>
        </w:tc>
      </w:tr>
    </w:tbl>
    <w:p w14:paraId="512176CC">
      <w:pPr>
        <w:snapToGrid w:val="0"/>
        <w:spacing w:beforeLines="0" w:afterLines="0" w:line="460" w:lineRule="exact"/>
        <w:jc w:val="center"/>
        <w:rPr>
          <w:rFonts w:ascii="仿宋" w:hAnsi="仿宋" w:eastAsia="仿宋" w:cs="仿宋"/>
          <w:b/>
          <w:color w:val="auto"/>
          <w:sz w:val="24"/>
          <w:szCs w:val="24"/>
          <w:highlight w:val="none"/>
        </w:rPr>
      </w:pPr>
    </w:p>
    <w:p w14:paraId="57486BCF">
      <w:pPr>
        <w:pStyle w:val="24"/>
        <w:spacing w:beforeLines="0" w:afterLines="0" w:line="460" w:lineRule="exact"/>
        <w:jc w:val="left"/>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注：投标供应商应在响应文件中对本项目需求按顺序响应，做出必要的解释并列出</w:t>
      </w:r>
      <w:r>
        <w:rPr>
          <w:rFonts w:hint="eastAsia" w:ascii="仿宋" w:hAnsi="仿宋" w:eastAsia="仿宋" w:cs="仿宋"/>
          <w:b/>
          <w:color w:val="auto"/>
          <w:sz w:val="24"/>
          <w:szCs w:val="24"/>
          <w:highlight w:val="none"/>
        </w:rPr>
        <w:t>技术偏离表</w:t>
      </w:r>
      <w:r>
        <w:rPr>
          <w:rFonts w:hint="eastAsia" w:ascii="仿宋" w:hAnsi="仿宋" w:eastAsia="仿宋" w:cs="仿宋"/>
          <w:b/>
          <w:bCs/>
          <w:color w:val="auto"/>
          <w:sz w:val="24"/>
          <w:szCs w:val="24"/>
          <w:highlight w:val="none"/>
        </w:rPr>
        <w:t>。而不应完全复制采购文件中技术参数要求，统一回答“响应”“无偏离”“正偏离”等。对于没有逐条对照询价文件技术规格，说明所提供的服务已对照采购文件的技术规格做出了实质性的响应，或声明与项目需求条文的偏差和例外的条款，或未按照采购文件的要求提供相关证明材料的，将视同为不满足要求。</w:t>
      </w:r>
    </w:p>
    <w:p w14:paraId="136C7960">
      <w:pPr>
        <w:pStyle w:val="33"/>
        <w:spacing w:beforeLines="0" w:afterLines="0" w:line="460" w:lineRule="exact"/>
        <w:ind w:left="0" w:hanging="480"/>
        <w:rPr>
          <w:rFonts w:ascii="仿宋" w:hAnsi="仿宋" w:eastAsia="仿宋" w:cs="仿宋"/>
          <w:b w:val="0"/>
          <w:color w:val="auto"/>
          <w:szCs w:val="24"/>
          <w:highlight w:val="none"/>
        </w:rPr>
      </w:pPr>
    </w:p>
    <w:p w14:paraId="445D713A">
      <w:pPr>
        <w:pStyle w:val="33"/>
        <w:spacing w:beforeLines="0" w:afterLines="0" w:line="460" w:lineRule="exact"/>
        <w:ind w:left="0" w:hanging="480"/>
        <w:rPr>
          <w:rFonts w:ascii="仿宋" w:hAnsi="仿宋" w:eastAsia="仿宋" w:cs="仿宋"/>
          <w:b w:val="0"/>
          <w:color w:val="auto"/>
          <w:szCs w:val="24"/>
          <w:highlight w:val="none"/>
        </w:rPr>
      </w:pPr>
    </w:p>
    <w:p w14:paraId="3F2DB1B6">
      <w:pPr>
        <w:spacing w:beforeLines="0" w:afterLines="0" w:line="460" w:lineRule="exact"/>
        <w:rPr>
          <w:rFonts w:ascii="仿宋" w:hAnsi="仿宋" w:eastAsia="仿宋" w:cs="仿宋"/>
          <w:bCs/>
          <w:color w:val="auto"/>
          <w:sz w:val="24"/>
          <w:szCs w:val="24"/>
          <w:highlight w:val="none"/>
        </w:rPr>
      </w:pPr>
    </w:p>
    <w:p w14:paraId="69D48ED5">
      <w:pPr>
        <w:spacing w:beforeLines="0" w:afterLines="0" w:line="460" w:lineRule="exact"/>
        <w:rPr>
          <w:rFonts w:ascii="仿宋" w:hAnsi="仿宋" w:eastAsia="仿宋" w:cs="仿宋"/>
          <w:bCs/>
          <w:color w:val="auto"/>
          <w:sz w:val="24"/>
          <w:szCs w:val="24"/>
          <w:highlight w:val="none"/>
        </w:rPr>
      </w:pPr>
    </w:p>
    <w:p w14:paraId="54C069ED">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14:paraId="6ECE2E42">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14:paraId="5E27C2C8">
      <w:pPr>
        <w:spacing w:beforeLines="0" w:afterLines="0" w:line="46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6514A03C">
      <w:pPr>
        <w:spacing w:beforeLines="0" w:afterLines="0" w:line="460" w:lineRule="exact"/>
        <w:rPr>
          <w:rFonts w:ascii="仿宋" w:hAnsi="仿宋" w:eastAsia="仿宋" w:cs="仿宋"/>
          <w:b/>
          <w:bCs/>
          <w:color w:val="auto"/>
          <w:sz w:val="24"/>
          <w:szCs w:val="24"/>
          <w:highlight w:val="none"/>
        </w:rPr>
      </w:pPr>
    </w:p>
    <w:bookmarkEnd w:id="96"/>
    <w:p w14:paraId="622D6D6A">
      <w:pPr>
        <w:pStyle w:val="4"/>
        <w:spacing w:beforeLines="0" w:afterLines="0" w:line="460" w:lineRule="exact"/>
        <w:rPr>
          <w:rFonts w:ascii="仿宋" w:hAnsi="仿宋" w:eastAsia="仿宋" w:cs="仿宋"/>
          <w:color w:val="auto"/>
          <w:sz w:val="24"/>
          <w:szCs w:val="24"/>
          <w:highlight w:val="none"/>
        </w:rPr>
        <w:sectPr>
          <w:headerReference r:id="rId8" w:type="default"/>
          <w:pgSz w:w="11906" w:h="16838"/>
          <w:pgMar w:top="1304" w:right="1247" w:bottom="1418" w:left="1247" w:header="851" w:footer="992" w:gutter="0"/>
          <w:pgNumType w:fmt="decimal"/>
          <w:cols w:space="720" w:num="1"/>
          <w:docGrid w:linePitch="312" w:charSpace="0"/>
        </w:sectPr>
      </w:pPr>
      <w:bookmarkStart w:id="103" w:name="_Toc258923314"/>
      <w:bookmarkStart w:id="104" w:name="_Toc400536597"/>
    </w:p>
    <w:bookmarkEnd w:id="103"/>
    <w:bookmarkEnd w:id="104"/>
    <w:p w14:paraId="0F51D7E0">
      <w:pPr>
        <w:snapToGrid w:val="0"/>
        <w:spacing w:beforeLines="0" w:afterLines="0" w:line="460" w:lineRule="exact"/>
        <w:jc w:val="center"/>
        <w:outlineLvl w:val="1"/>
        <w:rPr>
          <w:rFonts w:ascii="仿宋" w:hAnsi="仿宋" w:eastAsia="仿宋" w:cs="仿宋"/>
          <w:b/>
          <w:color w:val="auto"/>
          <w:sz w:val="24"/>
          <w:szCs w:val="24"/>
          <w:highlight w:val="none"/>
        </w:rPr>
      </w:pPr>
      <w:bookmarkStart w:id="105" w:name="_Toc1912"/>
      <w:bookmarkStart w:id="106" w:name="_Toc25622"/>
      <w:r>
        <w:rPr>
          <w:rFonts w:hint="eastAsia" w:ascii="仿宋" w:hAnsi="仿宋" w:eastAsia="仿宋" w:cs="仿宋"/>
          <w:b/>
          <w:color w:val="auto"/>
          <w:sz w:val="24"/>
          <w:szCs w:val="24"/>
          <w:highlight w:val="none"/>
        </w:rPr>
        <w:t>九、技术部分</w:t>
      </w:r>
      <w:bookmarkEnd w:id="105"/>
      <w:bookmarkEnd w:id="106"/>
    </w:p>
    <w:p w14:paraId="29ED0ADA">
      <w:pPr>
        <w:spacing w:beforeLines="0" w:afterLines="0" w:line="460" w:lineRule="exact"/>
        <w:rPr>
          <w:rFonts w:ascii="宋体" w:hAnsi="宋体" w:cs="宋体"/>
          <w:bCs/>
          <w:color w:val="auto"/>
          <w:szCs w:val="21"/>
          <w:highlight w:val="none"/>
        </w:rPr>
      </w:pPr>
      <w:r>
        <w:rPr>
          <w:rFonts w:hint="eastAsia" w:ascii="宋体" w:hAnsi="宋体" w:cs="宋体"/>
          <w:bCs/>
          <w:color w:val="auto"/>
          <w:szCs w:val="21"/>
          <w:highlight w:val="none"/>
        </w:rPr>
        <w:t>技术评审指标技术部分：</w:t>
      </w:r>
    </w:p>
    <w:p w14:paraId="76418348">
      <w:pPr>
        <w:spacing w:beforeLines="0" w:afterLines="0" w:line="460" w:lineRule="exact"/>
        <w:ind w:left="0"/>
        <w:rPr>
          <w:rFonts w:ascii="仿宋" w:hAnsi="仿宋" w:eastAsia="仿宋" w:cs="仿宋"/>
          <w:color w:val="auto"/>
          <w:sz w:val="24"/>
          <w:szCs w:val="24"/>
          <w:highlight w:val="none"/>
        </w:rPr>
      </w:pPr>
      <w:r>
        <w:rPr>
          <w:rFonts w:hint="eastAsia" w:ascii="宋体" w:hAnsi="宋体" w:cs="宋体"/>
          <w:bCs/>
          <w:color w:val="auto"/>
          <w:szCs w:val="21"/>
          <w:highlight w:val="none"/>
        </w:rPr>
        <w:t>（1）满足技术参数要求情况</w:t>
      </w:r>
    </w:p>
    <w:p w14:paraId="74071414">
      <w:pPr>
        <w:spacing w:beforeLines="0" w:afterLines="0" w:line="460" w:lineRule="exact"/>
        <w:ind w:firstLine="0" w:firstLineChars="0"/>
        <w:rPr>
          <w:rFonts w:ascii="仿宋" w:hAnsi="仿宋" w:eastAsia="仿宋" w:cs="仿宋"/>
          <w:color w:val="auto"/>
          <w:sz w:val="24"/>
          <w:szCs w:val="24"/>
          <w:highlight w:val="none"/>
        </w:rPr>
      </w:pPr>
      <w:r>
        <w:rPr>
          <w:rFonts w:hint="eastAsia" w:ascii="宋体" w:hAnsi="宋体" w:cs="宋体"/>
          <w:bCs/>
          <w:color w:val="auto"/>
          <w:szCs w:val="21"/>
          <w:highlight w:val="none"/>
        </w:rPr>
        <w:t>（2）技术方案及产品性能</w:t>
      </w:r>
    </w:p>
    <w:p w14:paraId="23E6E332">
      <w:pPr>
        <w:spacing w:beforeLines="0" w:afterLines="0" w:line="460" w:lineRule="exact"/>
        <w:ind w:firstLine="0" w:firstLineChars="0"/>
        <w:rPr>
          <w:rFonts w:ascii="仿宋" w:hAnsi="仿宋" w:eastAsia="仿宋" w:cs="Arial"/>
          <w:color w:val="auto"/>
          <w:sz w:val="24"/>
          <w:highlight w:val="none"/>
        </w:rPr>
      </w:pPr>
      <w:r>
        <w:rPr>
          <w:rFonts w:hint="eastAsia" w:ascii="宋体" w:hAnsi="宋体" w:cs="宋体"/>
          <w:bCs/>
          <w:color w:val="auto"/>
          <w:szCs w:val="21"/>
          <w:highlight w:val="none"/>
        </w:rPr>
        <w:t>（3）技术方案及产品性能</w:t>
      </w:r>
    </w:p>
    <w:p w14:paraId="33872CAD">
      <w:pPr>
        <w:spacing w:beforeLines="0" w:afterLines="0" w:line="460" w:lineRule="exact"/>
        <w:rPr>
          <w:rFonts w:ascii="仿宋" w:hAnsi="仿宋" w:eastAsia="仿宋" w:cs="仿宋"/>
          <w:b/>
          <w:color w:val="auto"/>
          <w:sz w:val="24"/>
          <w:szCs w:val="24"/>
          <w:highlight w:val="none"/>
        </w:rPr>
      </w:pPr>
    </w:p>
    <w:p w14:paraId="7D2A1FD9">
      <w:pPr>
        <w:spacing w:beforeLines="0" w:afterLines="0" w:line="460" w:lineRule="exact"/>
        <w:rPr>
          <w:rFonts w:ascii="仿宋" w:hAnsi="仿宋" w:eastAsia="仿宋" w:cs="仿宋"/>
          <w:b/>
          <w:color w:val="auto"/>
          <w:sz w:val="24"/>
          <w:szCs w:val="24"/>
          <w:highlight w:val="none"/>
        </w:rPr>
      </w:pPr>
    </w:p>
    <w:p w14:paraId="3F466228">
      <w:pPr>
        <w:pStyle w:val="36"/>
        <w:spacing w:beforeLines="0" w:afterLines="0" w:line="460" w:lineRule="exact"/>
        <w:rPr>
          <w:rFonts w:ascii="仿宋" w:hAnsi="仿宋" w:eastAsia="仿宋" w:cs="仿宋"/>
          <w:b/>
          <w:color w:val="auto"/>
          <w:sz w:val="24"/>
          <w:szCs w:val="24"/>
          <w:highlight w:val="none"/>
        </w:rPr>
      </w:pPr>
    </w:p>
    <w:p w14:paraId="7BB83E63">
      <w:pPr>
        <w:pStyle w:val="36"/>
        <w:spacing w:beforeLines="0" w:afterLines="0" w:line="460" w:lineRule="exact"/>
        <w:rPr>
          <w:rFonts w:ascii="仿宋" w:hAnsi="仿宋" w:eastAsia="仿宋" w:cs="仿宋"/>
          <w:b/>
          <w:color w:val="auto"/>
          <w:sz w:val="24"/>
          <w:szCs w:val="24"/>
          <w:highlight w:val="none"/>
        </w:rPr>
      </w:pPr>
    </w:p>
    <w:p w14:paraId="4ADEBEC1">
      <w:pPr>
        <w:pStyle w:val="36"/>
        <w:spacing w:beforeLines="0" w:afterLines="0" w:line="460" w:lineRule="exact"/>
        <w:rPr>
          <w:rFonts w:ascii="仿宋" w:hAnsi="仿宋" w:eastAsia="仿宋" w:cs="仿宋"/>
          <w:b/>
          <w:color w:val="auto"/>
          <w:sz w:val="24"/>
          <w:szCs w:val="24"/>
          <w:highlight w:val="none"/>
        </w:rPr>
      </w:pPr>
    </w:p>
    <w:p w14:paraId="6A15A0F7">
      <w:pPr>
        <w:pStyle w:val="36"/>
        <w:spacing w:beforeLines="0" w:afterLines="0" w:line="460" w:lineRule="exact"/>
        <w:rPr>
          <w:rFonts w:ascii="仿宋" w:hAnsi="仿宋" w:eastAsia="仿宋" w:cs="仿宋"/>
          <w:b/>
          <w:color w:val="auto"/>
          <w:sz w:val="24"/>
          <w:szCs w:val="24"/>
          <w:highlight w:val="none"/>
        </w:rPr>
      </w:pPr>
    </w:p>
    <w:p w14:paraId="0CC19426">
      <w:pPr>
        <w:pStyle w:val="36"/>
        <w:spacing w:beforeLines="0" w:afterLines="0" w:line="460" w:lineRule="exact"/>
        <w:rPr>
          <w:rFonts w:ascii="仿宋" w:hAnsi="仿宋" w:eastAsia="仿宋" w:cs="仿宋"/>
          <w:b/>
          <w:color w:val="auto"/>
          <w:sz w:val="24"/>
          <w:szCs w:val="24"/>
          <w:highlight w:val="none"/>
        </w:rPr>
      </w:pPr>
    </w:p>
    <w:p w14:paraId="04467364">
      <w:pPr>
        <w:pStyle w:val="36"/>
        <w:spacing w:beforeLines="0" w:afterLines="0" w:line="460" w:lineRule="exact"/>
        <w:rPr>
          <w:rFonts w:ascii="仿宋" w:hAnsi="仿宋" w:eastAsia="仿宋" w:cs="仿宋"/>
          <w:b/>
          <w:color w:val="auto"/>
          <w:sz w:val="24"/>
          <w:szCs w:val="24"/>
          <w:highlight w:val="none"/>
        </w:rPr>
      </w:pPr>
    </w:p>
    <w:p w14:paraId="142BC5D6">
      <w:pPr>
        <w:pStyle w:val="36"/>
        <w:spacing w:beforeLines="0" w:afterLines="0" w:line="460" w:lineRule="exact"/>
        <w:rPr>
          <w:rFonts w:ascii="仿宋" w:hAnsi="仿宋" w:eastAsia="仿宋" w:cs="仿宋"/>
          <w:b/>
          <w:color w:val="auto"/>
          <w:sz w:val="24"/>
          <w:szCs w:val="24"/>
          <w:highlight w:val="none"/>
        </w:rPr>
      </w:pPr>
    </w:p>
    <w:p w14:paraId="544A0272">
      <w:pPr>
        <w:pStyle w:val="36"/>
        <w:spacing w:beforeLines="0" w:afterLines="0" w:line="460" w:lineRule="exact"/>
        <w:rPr>
          <w:rFonts w:ascii="仿宋" w:hAnsi="仿宋" w:eastAsia="仿宋" w:cs="仿宋"/>
          <w:b/>
          <w:color w:val="auto"/>
          <w:sz w:val="24"/>
          <w:szCs w:val="24"/>
          <w:highlight w:val="none"/>
        </w:rPr>
      </w:pPr>
    </w:p>
    <w:p w14:paraId="27EDA9D3">
      <w:pPr>
        <w:pStyle w:val="36"/>
        <w:spacing w:beforeLines="0" w:afterLines="0" w:line="460" w:lineRule="exact"/>
        <w:rPr>
          <w:rFonts w:ascii="仿宋" w:hAnsi="仿宋" w:eastAsia="仿宋" w:cs="仿宋"/>
          <w:b/>
          <w:color w:val="auto"/>
          <w:sz w:val="24"/>
          <w:szCs w:val="24"/>
          <w:highlight w:val="none"/>
        </w:rPr>
      </w:pPr>
    </w:p>
    <w:p w14:paraId="0B9E3CC4">
      <w:pPr>
        <w:pStyle w:val="36"/>
        <w:spacing w:beforeLines="0" w:afterLines="0" w:line="460" w:lineRule="exact"/>
        <w:rPr>
          <w:rFonts w:ascii="仿宋" w:hAnsi="仿宋" w:eastAsia="仿宋" w:cs="仿宋"/>
          <w:b/>
          <w:color w:val="auto"/>
          <w:sz w:val="24"/>
          <w:szCs w:val="24"/>
          <w:highlight w:val="none"/>
        </w:rPr>
      </w:pPr>
    </w:p>
    <w:p w14:paraId="1F02417F">
      <w:pPr>
        <w:pStyle w:val="36"/>
        <w:spacing w:beforeLines="0" w:afterLines="0" w:line="460" w:lineRule="exact"/>
        <w:rPr>
          <w:rFonts w:ascii="仿宋" w:hAnsi="仿宋" w:eastAsia="仿宋" w:cs="仿宋"/>
          <w:b/>
          <w:color w:val="auto"/>
          <w:sz w:val="24"/>
          <w:szCs w:val="24"/>
          <w:highlight w:val="none"/>
        </w:rPr>
      </w:pPr>
    </w:p>
    <w:p w14:paraId="47DCB4A0">
      <w:pPr>
        <w:pStyle w:val="36"/>
        <w:spacing w:beforeLines="0" w:afterLines="0" w:line="460" w:lineRule="exact"/>
        <w:rPr>
          <w:rFonts w:ascii="仿宋" w:hAnsi="仿宋" w:eastAsia="仿宋" w:cs="仿宋"/>
          <w:b/>
          <w:color w:val="auto"/>
          <w:sz w:val="24"/>
          <w:szCs w:val="24"/>
          <w:highlight w:val="none"/>
        </w:rPr>
      </w:pPr>
    </w:p>
    <w:p w14:paraId="3FDFEE24">
      <w:pPr>
        <w:spacing w:beforeLines="0" w:afterLines="0" w:line="460" w:lineRule="exact"/>
        <w:rPr>
          <w:rFonts w:ascii="仿宋" w:hAnsi="仿宋" w:eastAsia="仿宋" w:cs="仿宋"/>
          <w:b/>
          <w:color w:val="auto"/>
          <w:sz w:val="24"/>
          <w:szCs w:val="24"/>
          <w:highlight w:val="none"/>
        </w:rPr>
      </w:pPr>
    </w:p>
    <w:p w14:paraId="50243C52">
      <w:pPr>
        <w:spacing w:beforeLines="0" w:afterLines="0" w:line="460" w:lineRule="exact"/>
        <w:rPr>
          <w:rFonts w:ascii="仿宋" w:hAnsi="仿宋" w:eastAsia="仿宋" w:cs="仿宋"/>
          <w:b/>
          <w:color w:val="auto"/>
          <w:sz w:val="24"/>
          <w:szCs w:val="24"/>
          <w:highlight w:val="none"/>
        </w:rPr>
      </w:pPr>
    </w:p>
    <w:p w14:paraId="1EBA3F0D">
      <w:pPr>
        <w:spacing w:beforeLines="0" w:afterLines="0" w:line="460" w:lineRule="exact"/>
        <w:rPr>
          <w:rFonts w:ascii="仿宋" w:hAnsi="仿宋" w:eastAsia="仿宋" w:cs="仿宋"/>
          <w:b/>
          <w:color w:val="auto"/>
          <w:sz w:val="24"/>
          <w:szCs w:val="24"/>
          <w:highlight w:val="none"/>
        </w:rPr>
      </w:pPr>
    </w:p>
    <w:p w14:paraId="238E3C7E">
      <w:pPr>
        <w:spacing w:beforeLines="0" w:afterLines="0" w:line="460" w:lineRule="exact"/>
        <w:rPr>
          <w:rFonts w:ascii="仿宋" w:hAnsi="仿宋" w:eastAsia="仿宋" w:cs="仿宋"/>
          <w:b/>
          <w:color w:val="auto"/>
          <w:sz w:val="24"/>
          <w:szCs w:val="24"/>
          <w:highlight w:val="none"/>
        </w:rPr>
        <w:sectPr>
          <w:pgSz w:w="11906" w:h="16838"/>
          <w:pgMar w:top="1304" w:right="1247" w:bottom="1417" w:left="1247" w:header="851" w:footer="992" w:gutter="0"/>
          <w:pgNumType w:fmt="decimal"/>
          <w:cols w:space="720" w:num="1"/>
          <w:docGrid w:type="lines" w:linePitch="312" w:charSpace="0"/>
        </w:sectPr>
      </w:pPr>
    </w:p>
    <w:p w14:paraId="2A71EC89">
      <w:pPr>
        <w:spacing w:beforeLines="0" w:afterLines="0" w:line="460" w:lineRule="exact"/>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附件8：</w:t>
      </w:r>
      <w:r>
        <w:rPr>
          <w:rFonts w:hint="eastAsia" w:ascii="仿宋" w:hAnsi="仿宋" w:eastAsia="仿宋" w:cs="仿宋"/>
          <w:color w:val="auto"/>
          <w:sz w:val="24"/>
          <w:szCs w:val="24"/>
          <w:highlight w:val="none"/>
        </w:rPr>
        <w:t xml:space="preserve"> </w:t>
      </w:r>
    </w:p>
    <w:p w14:paraId="28220C44">
      <w:pPr>
        <w:spacing w:beforeLines="0" w:afterLines="0"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无重大违法记录声明</w:t>
      </w:r>
    </w:p>
    <w:p w14:paraId="6232F7CB">
      <w:pPr>
        <w:spacing w:beforeLines="0" w:afterLines="0" w:line="460" w:lineRule="exact"/>
        <w:jc w:val="center"/>
        <w:rPr>
          <w:rFonts w:ascii="仿宋" w:hAnsi="仿宋" w:eastAsia="仿宋" w:cs="仿宋"/>
          <w:b/>
          <w:bCs/>
          <w:color w:val="auto"/>
          <w:sz w:val="24"/>
          <w:szCs w:val="24"/>
          <w:highlight w:val="none"/>
        </w:rPr>
      </w:pPr>
    </w:p>
    <w:p w14:paraId="5F0273CE">
      <w:pPr>
        <w:spacing w:beforeLines="0" w:afterLines="0"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新疆千思跃建设工程项目管理有限责任公司</w:t>
      </w:r>
    </w:p>
    <w:p w14:paraId="03A7AB45">
      <w:pPr>
        <w:spacing w:beforeLines="0" w:afterLines="0" w:line="460" w:lineRule="exact"/>
        <w:ind w:firstLine="48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我单位参加政府采购活动前三年内，在经营活动中没有重大违法记录。</w:t>
      </w:r>
    </w:p>
    <w:p w14:paraId="0E712BA5">
      <w:pPr>
        <w:spacing w:beforeLines="0" w:afterLines="0" w:line="460" w:lineRule="exact"/>
        <w:ind w:firstLine="48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若采购单位在本项目采购过程中发现我单位近三年内在经营活动中有重大违法记录，我单位将无条件地退出本项目的招标，并承担因此引起的一切后果。</w:t>
      </w:r>
    </w:p>
    <w:p w14:paraId="5A65A0D4">
      <w:pPr>
        <w:spacing w:beforeLines="0" w:afterLines="0" w:line="460" w:lineRule="exact"/>
        <w:ind w:firstLine="480"/>
        <w:rPr>
          <w:rFonts w:ascii="仿宋" w:hAnsi="仿宋" w:eastAsia="仿宋" w:cs="仿宋"/>
          <w:bCs/>
          <w:color w:val="auto"/>
          <w:sz w:val="24"/>
          <w:szCs w:val="24"/>
          <w:highlight w:val="none"/>
        </w:rPr>
      </w:pPr>
    </w:p>
    <w:p w14:paraId="79F2AB58">
      <w:pPr>
        <w:spacing w:beforeLines="0" w:afterLines="0" w:line="460" w:lineRule="exact"/>
        <w:ind w:firstLine="480"/>
        <w:rPr>
          <w:rFonts w:ascii="仿宋" w:hAnsi="仿宋" w:eastAsia="仿宋" w:cs="仿宋"/>
          <w:bCs/>
          <w:color w:val="auto"/>
          <w:sz w:val="24"/>
          <w:szCs w:val="24"/>
          <w:highlight w:val="none"/>
        </w:rPr>
      </w:pPr>
    </w:p>
    <w:p w14:paraId="26010141">
      <w:pPr>
        <w:spacing w:beforeLines="0" w:afterLines="0" w:line="460" w:lineRule="exact"/>
        <w:ind w:firstLine="48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特此声明!</w:t>
      </w:r>
    </w:p>
    <w:p w14:paraId="544D540E">
      <w:pPr>
        <w:spacing w:beforeLines="0" w:afterLines="0" w:line="460" w:lineRule="exact"/>
        <w:ind w:firstLine="480"/>
        <w:rPr>
          <w:rFonts w:ascii="仿宋" w:hAnsi="仿宋" w:eastAsia="仿宋" w:cs="仿宋"/>
          <w:bCs/>
          <w:color w:val="auto"/>
          <w:sz w:val="24"/>
          <w:szCs w:val="24"/>
          <w:highlight w:val="none"/>
        </w:rPr>
      </w:pPr>
    </w:p>
    <w:p w14:paraId="76ACED34">
      <w:pPr>
        <w:spacing w:beforeLines="0" w:afterLines="0" w:line="460" w:lineRule="exact"/>
        <w:rPr>
          <w:rFonts w:ascii="仿宋" w:hAnsi="仿宋" w:eastAsia="仿宋" w:cs="仿宋"/>
          <w:bCs/>
          <w:color w:val="auto"/>
          <w:sz w:val="24"/>
          <w:szCs w:val="24"/>
          <w:highlight w:val="none"/>
        </w:rPr>
      </w:pPr>
    </w:p>
    <w:p w14:paraId="3E9736B3">
      <w:pPr>
        <w:spacing w:beforeLines="0" w:afterLines="0" w:line="460" w:lineRule="exact"/>
        <w:rPr>
          <w:rFonts w:ascii="仿宋" w:hAnsi="仿宋" w:eastAsia="仿宋" w:cs="仿宋"/>
          <w:bCs/>
          <w:color w:val="auto"/>
          <w:sz w:val="24"/>
          <w:szCs w:val="24"/>
          <w:highlight w:val="none"/>
        </w:rPr>
      </w:pPr>
    </w:p>
    <w:p w14:paraId="4E6DDE0C">
      <w:pPr>
        <w:spacing w:beforeLines="0" w:afterLines="0" w:line="460" w:lineRule="exact"/>
        <w:rPr>
          <w:rFonts w:ascii="仿宋" w:hAnsi="仿宋" w:eastAsia="仿宋" w:cs="仿宋"/>
          <w:bCs/>
          <w:color w:val="auto"/>
          <w:sz w:val="24"/>
          <w:szCs w:val="24"/>
          <w:highlight w:val="none"/>
        </w:rPr>
      </w:pPr>
    </w:p>
    <w:p w14:paraId="1A7E271C">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14:paraId="25588F91">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14:paraId="47684B3B">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721C88E3">
      <w:pPr>
        <w:spacing w:beforeLines="0" w:afterLines="0" w:line="460" w:lineRule="exact"/>
        <w:jc w:val="center"/>
        <w:rPr>
          <w:rFonts w:ascii="仿宋" w:hAnsi="仿宋" w:eastAsia="仿宋" w:cs="仿宋"/>
          <w:b/>
          <w:color w:val="auto"/>
          <w:sz w:val="24"/>
          <w:szCs w:val="24"/>
          <w:highlight w:val="none"/>
        </w:rPr>
      </w:pPr>
    </w:p>
    <w:p w14:paraId="4D488A01">
      <w:pPr>
        <w:spacing w:beforeLines="0" w:afterLines="0" w:line="460" w:lineRule="exact"/>
        <w:rPr>
          <w:rFonts w:ascii="仿宋" w:hAnsi="仿宋" w:eastAsia="仿宋" w:cs="仿宋"/>
          <w:b/>
          <w:color w:val="auto"/>
          <w:sz w:val="24"/>
          <w:szCs w:val="24"/>
          <w:highlight w:val="none"/>
        </w:rPr>
      </w:pPr>
    </w:p>
    <w:p w14:paraId="32B693BF">
      <w:pPr>
        <w:spacing w:beforeLines="0" w:afterLines="0" w:line="460" w:lineRule="exact"/>
        <w:jc w:val="center"/>
        <w:rPr>
          <w:rFonts w:ascii="仿宋" w:hAnsi="仿宋" w:eastAsia="仿宋" w:cs="仿宋"/>
          <w:b/>
          <w:color w:val="auto"/>
          <w:sz w:val="24"/>
          <w:szCs w:val="24"/>
          <w:highlight w:val="none"/>
        </w:rPr>
      </w:pPr>
    </w:p>
    <w:p w14:paraId="5208A9C1">
      <w:pPr>
        <w:spacing w:beforeLines="0" w:afterLines="0" w:line="460" w:lineRule="exact"/>
        <w:jc w:val="center"/>
        <w:rPr>
          <w:rFonts w:ascii="仿宋" w:hAnsi="仿宋" w:eastAsia="仿宋" w:cs="仿宋"/>
          <w:b/>
          <w:color w:val="auto"/>
          <w:sz w:val="24"/>
          <w:szCs w:val="24"/>
          <w:highlight w:val="none"/>
        </w:rPr>
      </w:pPr>
    </w:p>
    <w:p w14:paraId="16D4B118">
      <w:pPr>
        <w:spacing w:beforeLines="0" w:afterLines="0" w:line="460" w:lineRule="exact"/>
        <w:jc w:val="center"/>
        <w:rPr>
          <w:rFonts w:ascii="仿宋" w:hAnsi="仿宋" w:eastAsia="仿宋" w:cs="仿宋"/>
          <w:b/>
          <w:color w:val="auto"/>
          <w:sz w:val="24"/>
          <w:szCs w:val="24"/>
          <w:highlight w:val="none"/>
        </w:rPr>
      </w:pPr>
    </w:p>
    <w:p w14:paraId="5CD964CA">
      <w:pPr>
        <w:spacing w:beforeLines="0" w:afterLines="0" w:line="460" w:lineRule="exact"/>
        <w:jc w:val="center"/>
        <w:rPr>
          <w:rFonts w:ascii="仿宋" w:hAnsi="仿宋" w:eastAsia="仿宋" w:cs="仿宋"/>
          <w:b/>
          <w:color w:val="auto"/>
          <w:sz w:val="24"/>
          <w:szCs w:val="24"/>
          <w:highlight w:val="none"/>
        </w:rPr>
      </w:pPr>
    </w:p>
    <w:p w14:paraId="4D82F483">
      <w:pPr>
        <w:spacing w:beforeLines="0" w:afterLines="0" w:line="460" w:lineRule="exact"/>
        <w:jc w:val="center"/>
        <w:rPr>
          <w:rFonts w:ascii="仿宋" w:hAnsi="仿宋" w:eastAsia="仿宋" w:cs="仿宋"/>
          <w:b/>
          <w:color w:val="auto"/>
          <w:sz w:val="24"/>
          <w:szCs w:val="24"/>
          <w:highlight w:val="none"/>
        </w:rPr>
      </w:pPr>
    </w:p>
    <w:p w14:paraId="264251B3">
      <w:pPr>
        <w:spacing w:beforeLines="0" w:afterLines="0" w:line="460" w:lineRule="exact"/>
        <w:rPr>
          <w:rFonts w:ascii="仿宋" w:hAnsi="仿宋" w:eastAsia="仿宋" w:cs="仿宋"/>
          <w:b/>
          <w:color w:val="auto"/>
          <w:sz w:val="24"/>
          <w:szCs w:val="24"/>
          <w:highlight w:val="none"/>
        </w:rPr>
      </w:pPr>
    </w:p>
    <w:p w14:paraId="3CBF03BD">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4981D05">
      <w:pPr>
        <w:spacing w:beforeLines="0" w:afterLines="0" w:line="460" w:lineRule="exact"/>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附件9：</w:t>
      </w:r>
      <w:r>
        <w:rPr>
          <w:rFonts w:hint="eastAsia" w:ascii="仿宋" w:hAnsi="仿宋" w:eastAsia="仿宋" w:cs="仿宋"/>
          <w:color w:val="auto"/>
          <w:sz w:val="24"/>
          <w:szCs w:val="24"/>
          <w:highlight w:val="none"/>
        </w:rPr>
        <w:t xml:space="preserve"> </w:t>
      </w:r>
    </w:p>
    <w:p w14:paraId="3BA7144B">
      <w:pPr>
        <w:spacing w:beforeLines="0" w:afterLines="0" w:line="460" w:lineRule="exact"/>
        <w:jc w:val="center"/>
        <w:outlineLvl w:val="1"/>
        <w:rPr>
          <w:rFonts w:ascii="仿宋" w:hAnsi="仿宋" w:eastAsia="仿宋" w:cs="仿宋"/>
          <w:b/>
          <w:color w:val="auto"/>
          <w:sz w:val="24"/>
          <w:szCs w:val="24"/>
          <w:highlight w:val="none"/>
        </w:rPr>
      </w:pPr>
      <w:bookmarkStart w:id="107" w:name="_Toc14663"/>
      <w:bookmarkStart w:id="108" w:name="_Toc7127"/>
      <w:r>
        <w:rPr>
          <w:rFonts w:hint="eastAsia" w:ascii="仿宋" w:hAnsi="仿宋" w:eastAsia="仿宋" w:cs="仿宋"/>
          <w:b/>
          <w:color w:val="auto"/>
          <w:sz w:val="24"/>
          <w:szCs w:val="24"/>
          <w:highlight w:val="none"/>
        </w:rPr>
        <w:t>供应商反商业贿赂承诺书</w:t>
      </w:r>
      <w:bookmarkEnd w:id="107"/>
      <w:bookmarkEnd w:id="108"/>
    </w:p>
    <w:p w14:paraId="38756297">
      <w:pPr>
        <w:autoSpaceDE w:val="0"/>
        <w:autoSpaceDN w:val="0"/>
        <w:adjustRightInd w:val="0"/>
        <w:spacing w:beforeLines="0" w:afterLines="0" w:line="460" w:lineRule="exact"/>
        <w:jc w:val="left"/>
        <w:rPr>
          <w:rFonts w:ascii="仿宋" w:hAnsi="仿宋" w:eastAsia="仿宋" w:cs="仿宋"/>
          <w:color w:val="auto"/>
          <w:kern w:val="0"/>
          <w:sz w:val="24"/>
          <w:szCs w:val="24"/>
          <w:highlight w:val="none"/>
        </w:rPr>
      </w:pPr>
    </w:p>
    <w:p w14:paraId="38DF0C9E">
      <w:pPr>
        <w:autoSpaceDE w:val="0"/>
        <w:autoSpaceDN w:val="0"/>
        <w:adjustRightInd w:val="0"/>
        <w:spacing w:beforeLines="0" w:afterLines="0" w:line="460" w:lineRule="exact"/>
        <w:ind w:firstLine="432"/>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我公司承诺在</w:t>
      </w:r>
      <w:r>
        <w:rPr>
          <w:rFonts w:hint="eastAsia" w:ascii="仿宋" w:hAnsi="仿宋" w:eastAsia="仿宋" w:cs="仿宋"/>
          <w:color w:val="auto"/>
          <w:kern w:val="0"/>
          <w:sz w:val="24"/>
          <w:szCs w:val="24"/>
          <w:highlight w:val="none"/>
          <w:u w:val="single"/>
        </w:rPr>
        <w:t>（项目编号、项目名称）</w:t>
      </w:r>
      <w:r>
        <w:rPr>
          <w:rFonts w:hint="eastAsia" w:ascii="仿宋" w:hAnsi="仿宋" w:eastAsia="仿宋" w:cs="仿宋"/>
          <w:color w:val="auto"/>
          <w:kern w:val="0"/>
          <w:sz w:val="24"/>
          <w:szCs w:val="24"/>
          <w:highlight w:val="none"/>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14:paraId="10BD764B">
      <w:pPr>
        <w:autoSpaceDE w:val="0"/>
        <w:autoSpaceDN w:val="0"/>
        <w:adjustRightInd w:val="0"/>
        <w:spacing w:beforeLines="0" w:afterLines="0" w:line="460" w:lineRule="exact"/>
        <w:jc w:val="left"/>
        <w:rPr>
          <w:rFonts w:ascii="仿宋" w:hAnsi="仿宋" w:eastAsia="仿宋" w:cs="仿宋"/>
          <w:color w:val="auto"/>
          <w:kern w:val="0"/>
          <w:sz w:val="24"/>
          <w:szCs w:val="24"/>
          <w:highlight w:val="none"/>
        </w:rPr>
      </w:pPr>
    </w:p>
    <w:p w14:paraId="21D89E15">
      <w:pPr>
        <w:autoSpaceDE w:val="0"/>
        <w:autoSpaceDN w:val="0"/>
        <w:adjustRightInd w:val="0"/>
        <w:spacing w:beforeLines="0" w:afterLines="0" w:line="460" w:lineRule="exact"/>
        <w:ind w:firstLine="897"/>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35208477">
      <w:pPr>
        <w:autoSpaceDE w:val="0"/>
        <w:autoSpaceDN w:val="0"/>
        <w:adjustRightInd w:val="0"/>
        <w:spacing w:beforeLines="0" w:afterLines="0" w:line="460" w:lineRule="exact"/>
        <w:ind w:firstLine="897"/>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1E1CF32C">
      <w:pPr>
        <w:autoSpaceDE w:val="0"/>
        <w:autoSpaceDN w:val="0"/>
        <w:adjustRightInd w:val="0"/>
        <w:spacing w:beforeLines="0" w:afterLines="0" w:line="460" w:lineRule="exact"/>
        <w:ind w:firstLine="897"/>
        <w:jc w:val="left"/>
        <w:rPr>
          <w:rFonts w:ascii="仿宋" w:hAnsi="仿宋" w:eastAsia="仿宋" w:cs="仿宋"/>
          <w:b/>
          <w:bCs/>
          <w:color w:val="auto"/>
          <w:kern w:val="0"/>
          <w:sz w:val="24"/>
          <w:szCs w:val="24"/>
          <w:highlight w:val="none"/>
          <w:u w:val="single"/>
        </w:rPr>
      </w:pPr>
      <w:r>
        <w:rPr>
          <w:rFonts w:hint="eastAsia" w:ascii="仿宋" w:hAnsi="仿宋" w:eastAsia="仿宋" w:cs="仿宋"/>
          <w:color w:val="auto"/>
          <w:kern w:val="0"/>
          <w:sz w:val="24"/>
          <w:szCs w:val="24"/>
          <w:highlight w:val="none"/>
        </w:rPr>
        <w:t xml:space="preserve">项目经办人： </w:t>
      </w:r>
      <w:r>
        <w:rPr>
          <w:rFonts w:hint="eastAsia" w:ascii="仿宋" w:hAnsi="仿宋" w:eastAsia="仿宋" w:cs="仿宋"/>
          <w:color w:val="auto"/>
          <w:kern w:val="0"/>
          <w:sz w:val="24"/>
          <w:szCs w:val="24"/>
          <w:highlight w:val="none"/>
          <w:u w:val="single"/>
        </w:rPr>
        <w:t xml:space="preserve">                          </w:t>
      </w:r>
    </w:p>
    <w:p w14:paraId="706F7F82">
      <w:pPr>
        <w:autoSpaceDE w:val="0"/>
        <w:autoSpaceDN w:val="0"/>
        <w:adjustRightInd w:val="0"/>
        <w:spacing w:beforeLines="0" w:afterLines="0" w:line="460" w:lineRule="exact"/>
        <w:jc w:val="left"/>
        <w:rPr>
          <w:rFonts w:ascii="仿宋" w:hAnsi="仿宋" w:eastAsia="仿宋" w:cs="仿宋"/>
          <w:color w:val="auto"/>
          <w:kern w:val="0"/>
          <w:sz w:val="24"/>
          <w:szCs w:val="24"/>
          <w:highlight w:val="none"/>
        </w:rPr>
      </w:pPr>
    </w:p>
    <w:p w14:paraId="378ED477">
      <w:pPr>
        <w:autoSpaceDE w:val="0"/>
        <w:autoSpaceDN w:val="0"/>
        <w:adjustRightInd w:val="0"/>
        <w:spacing w:beforeLines="0" w:afterLines="0" w:line="460" w:lineRule="exact"/>
        <w:ind w:firstLine="480"/>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我公司承诺在参加本次投标前三年内，无以下行为： </w:t>
      </w:r>
    </w:p>
    <w:p w14:paraId="13CC298B">
      <w:pPr>
        <w:autoSpaceDE w:val="0"/>
        <w:autoSpaceDN w:val="0"/>
        <w:adjustRightInd w:val="0"/>
        <w:spacing w:beforeLines="0" w:afterLines="0" w:line="460" w:lineRule="exact"/>
        <w:ind w:firstLine="480"/>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重大违法行为； </w:t>
      </w:r>
    </w:p>
    <w:p w14:paraId="042611EE">
      <w:pPr>
        <w:autoSpaceDE w:val="0"/>
        <w:autoSpaceDN w:val="0"/>
        <w:adjustRightInd w:val="0"/>
        <w:spacing w:beforeLines="0" w:afterLines="0" w:line="460" w:lineRule="exact"/>
        <w:ind w:firstLine="480"/>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商业贿赂行为； </w:t>
      </w:r>
    </w:p>
    <w:p w14:paraId="4AD6CEBB">
      <w:pPr>
        <w:autoSpaceDE w:val="0"/>
        <w:autoSpaceDN w:val="0"/>
        <w:adjustRightInd w:val="0"/>
        <w:spacing w:beforeLines="0" w:afterLines="0" w:line="460" w:lineRule="exact"/>
        <w:ind w:firstLine="480"/>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政府采购法《第七十七条》，列入不良行为记录名单的各种行为； </w:t>
      </w:r>
    </w:p>
    <w:p w14:paraId="1BE6A436">
      <w:pPr>
        <w:autoSpaceDE w:val="0"/>
        <w:autoSpaceDN w:val="0"/>
        <w:adjustRightInd w:val="0"/>
        <w:spacing w:beforeLines="0" w:afterLines="0" w:line="460" w:lineRule="exact"/>
        <w:jc w:val="left"/>
        <w:rPr>
          <w:rFonts w:ascii="仿宋" w:hAnsi="仿宋" w:eastAsia="仿宋" w:cs="仿宋"/>
          <w:color w:val="auto"/>
          <w:kern w:val="0"/>
          <w:sz w:val="24"/>
          <w:szCs w:val="24"/>
          <w:highlight w:val="none"/>
        </w:rPr>
      </w:pPr>
    </w:p>
    <w:p w14:paraId="7DD9DD52">
      <w:pPr>
        <w:autoSpaceDE w:val="0"/>
        <w:autoSpaceDN w:val="0"/>
        <w:adjustRightInd w:val="0"/>
        <w:spacing w:beforeLines="0" w:afterLines="0" w:line="460" w:lineRule="exact"/>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如有上述行为，我公司及项目参与人员自愿放弃本次项目的投标、报价资格，若为预中标、成交人，也自愿放弃中标、成交资格 </w:t>
      </w:r>
    </w:p>
    <w:p w14:paraId="39D5D8BE">
      <w:pPr>
        <w:autoSpaceDE w:val="0"/>
        <w:autoSpaceDN w:val="0"/>
        <w:adjustRightInd w:val="0"/>
        <w:spacing w:beforeLines="0" w:afterLines="0" w:line="460" w:lineRule="exact"/>
        <w:ind w:firstLine="480"/>
        <w:jc w:val="left"/>
        <w:rPr>
          <w:rFonts w:ascii="仿宋" w:hAnsi="仿宋" w:eastAsia="仿宋" w:cs="仿宋"/>
          <w:b/>
          <w:bCs/>
          <w:color w:val="auto"/>
          <w:kern w:val="0"/>
          <w:sz w:val="24"/>
          <w:szCs w:val="24"/>
          <w:highlight w:val="none"/>
        </w:rPr>
      </w:pPr>
    </w:p>
    <w:p w14:paraId="584E6480">
      <w:pPr>
        <w:spacing w:beforeLines="0" w:afterLines="0" w:line="460" w:lineRule="exact"/>
        <w:rPr>
          <w:rFonts w:ascii="仿宋" w:hAnsi="仿宋" w:eastAsia="仿宋" w:cs="仿宋"/>
          <w:color w:val="auto"/>
          <w:sz w:val="24"/>
          <w:szCs w:val="24"/>
          <w:highlight w:val="none"/>
        </w:rPr>
      </w:pPr>
    </w:p>
    <w:p w14:paraId="3C1F710E">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14:paraId="68F1410F">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14:paraId="4595254F">
      <w:pPr>
        <w:spacing w:beforeLines="0" w:afterLines="0" w:line="460" w:lineRule="exact"/>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1FDBCEA1">
      <w:pPr>
        <w:spacing w:beforeLines="0" w:afterLines="0" w:line="460" w:lineRule="exact"/>
        <w:rPr>
          <w:rFonts w:ascii="仿宋" w:hAnsi="仿宋" w:eastAsia="仿宋" w:cs="仿宋"/>
          <w:color w:val="auto"/>
          <w:sz w:val="24"/>
          <w:szCs w:val="24"/>
          <w:highlight w:val="none"/>
        </w:rPr>
      </w:pPr>
    </w:p>
    <w:p w14:paraId="7D3CA4E0">
      <w:pPr>
        <w:spacing w:beforeLines="0" w:afterLines="0" w:line="460" w:lineRule="exact"/>
        <w:rPr>
          <w:rFonts w:ascii="仿宋" w:hAnsi="仿宋" w:eastAsia="仿宋" w:cs="仿宋"/>
          <w:color w:val="auto"/>
          <w:sz w:val="24"/>
          <w:szCs w:val="24"/>
          <w:highlight w:val="none"/>
        </w:rPr>
      </w:pPr>
    </w:p>
    <w:p w14:paraId="3D7682E7">
      <w:pPr>
        <w:spacing w:beforeLines="0" w:afterLines="0" w:line="46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55ED8938">
      <w:pPr>
        <w:pStyle w:val="2"/>
        <w:numPr>
          <w:ilvl w:val="0"/>
          <w:numId w:val="0"/>
        </w:numPr>
        <w:tabs>
          <w:tab w:val="left" w:pos="720"/>
          <w:tab w:val="clear" w:pos="360"/>
        </w:tabs>
        <w:spacing w:before="0" w:beforeLines="0" w:after="0" w:afterLines="0" w:line="460" w:lineRule="exact"/>
        <w:ind w:left="0" w:leftChars="0"/>
        <w:jc w:val="center"/>
        <w:rPr>
          <w:rFonts w:hint="eastAsia" w:ascii="仿宋" w:hAnsi="仿宋" w:eastAsia="仿宋" w:cs="仿宋"/>
          <w:b w:val="0"/>
          <w:color w:val="auto"/>
          <w:sz w:val="24"/>
          <w:szCs w:val="24"/>
          <w:highlight w:val="none"/>
          <w:lang w:val="zh-CN"/>
        </w:rPr>
      </w:pPr>
      <w:r>
        <w:rPr>
          <w:rFonts w:hint="eastAsia" w:ascii="仿宋" w:hAnsi="仿宋" w:eastAsia="仿宋" w:cs="仿宋"/>
          <w:b w:val="0"/>
          <w:color w:val="auto"/>
          <w:sz w:val="28"/>
          <w:szCs w:val="28"/>
          <w:highlight w:val="none"/>
          <w:lang w:val="zh-CN"/>
        </w:rPr>
        <w:t>不参与围标串标承诺书</w:t>
      </w:r>
    </w:p>
    <w:p w14:paraId="41F81C40">
      <w:pPr>
        <w:autoSpaceDE w:val="0"/>
        <w:autoSpaceDN w:val="0"/>
        <w:adjustRightInd w:val="0"/>
        <w:spacing w:beforeLines="0" w:afterLines="0" w:line="460" w:lineRule="exact"/>
        <w:ind w:left="0" w:leftChars="0"/>
        <w:rPr>
          <w:rFonts w:hint="eastAsia" w:ascii="仿宋" w:hAnsi="仿宋" w:eastAsia="仿宋" w:cs="仿宋"/>
          <w:color w:val="auto"/>
          <w:kern w:val="0"/>
          <w:sz w:val="24"/>
          <w:szCs w:val="24"/>
          <w:highlight w:val="none"/>
          <w:lang w:val="zh-CN"/>
        </w:rPr>
      </w:pPr>
    </w:p>
    <w:p w14:paraId="6FD485C8">
      <w:pPr>
        <w:keepNext w:val="0"/>
        <w:keepLines w:val="0"/>
        <w:pageBreakBefore w:val="0"/>
        <w:widowControl w:val="0"/>
        <w:kinsoku/>
        <w:wordWrap/>
        <w:overflowPunct/>
        <w:topLinePunct w:val="0"/>
        <w:autoSpaceDE w:val="0"/>
        <w:autoSpaceDN w:val="0"/>
        <w:bidi w:val="0"/>
        <w:adjustRightInd w:val="0"/>
        <w:snapToGrid/>
        <w:spacing w:beforeLines="0" w:afterLines="0" w:line="460" w:lineRule="exact"/>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为诚实、客观、有序地参与</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项目采购活动，愿就以下内容作出承诺：</w:t>
      </w:r>
    </w:p>
    <w:p w14:paraId="7FAD7E65">
      <w:pPr>
        <w:autoSpaceDE w:val="0"/>
        <w:autoSpaceDN w:val="0"/>
        <w:adjustRightInd w:val="0"/>
        <w:spacing w:beforeLines="0" w:afterLines="0" w:line="4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3FEC85AF">
      <w:pPr>
        <w:autoSpaceDE w:val="0"/>
        <w:autoSpaceDN w:val="0"/>
        <w:adjustRightInd w:val="0"/>
        <w:spacing w:beforeLines="0" w:afterLines="0" w:line="4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37F1D8FC">
      <w:pPr>
        <w:autoSpaceDE w:val="0"/>
        <w:autoSpaceDN w:val="0"/>
        <w:adjustRightInd w:val="0"/>
        <w:spacing w:beforeLines="0" w:afterLines="0" w:line="4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三、若在招标投标过程中发现其他投标人或相关方有围标、串标等违法行为，及时告知采购人或代理机构，积极配合调查。</w:t>
      </w:r>
    </w:p>
    <w:p w14:paraId="79423D4B">
      <w:pPr>
        <w:autoSpaceDE w:val="0"/>
        <w:autoSpaceDN w:val="0"/>
        <w:adjustRightInd w:val="0"/>
        <w:spacing w:beforeLines="0" w:afterLines="0" w:line="4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2D2A1C3A">
      <w:pPr>
        <w:autoSpaceDE w:val="0"/>
        <w:autoSpaceDN w:val="0"/>
        <w:adjustRightInd w:val="0"/>
        <w:spacing w:beforeLines="0" w:afterLines="0" w:line="460" w:lineRule="exact"/>
        <w:rPr>
          <w:rFonts w:hint="eastAsia" w:ascii="仿宋" w:hAnsi="仿宋" w:eastAsia="仿宋" w:cs="仿宋"/>
          <w:bCs/>
          <w:color w:val="auto"/>
          <w:kern w:val="0"/>
          <w:sz w:val="24"/>
          <w:szCs w:val="24"/>
          <w:highlight w:val="none"/>
          <w:lang w:val="zh-CN"/>
        </w:rPr>
      </w:pPr>
    </w:p>
    <w:p w14:paraId="3F308D18">
      <w:pPr>
        <w:autoSpaceDE w:val="0"/>
        <w:autoSpaceDN w:val="0"/>
        <w:adjustRightInd w:val="0"/>
        <w:spacing w:beforeLines="0" w:afterLines="0" w:line="4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供应商：                             （公章）</w:t>
      </w:r>
    </w:p>
    <w:p w14:paraId="265F3AC4">
      <w:pPr>
        <w:autoSpaceDE w:val="0"/>
        <w:autoSpaceDN w:val="0"/>
        <w:adjustRightInd w:val="0"/>
        <w:spacing w:beforeLines="0" w:afterLines="0" w:line="4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法定代表人或委托代理人：             （签字）</w:t>
      </w:r>
    </w:p>
    <w:p w14:paraId="7E78FDBF">
      <w:pPr>
        <w:spacing w:beforeLines="0" w:afterLines="0" w:line="460" w:lineRule="exac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p>
    <w:p w14:paraId="472571A9">
      <w:pPr>
        <w:pStyle w:val="36"/>
        <w:spacing w:beforeLines="0" w:afterLines="0" w:line="460" w:lineRule="exact"/>
        <w:rPr>
          <w:rFonts w:ascii="仿宋" w:hAnsi="仿宋" w:eastAsia="仿宋" w:cs="仿宋"/>
          <w:color w:val="auto"/>
          <w:sz w:val="24"/>
          <w:szCs w:val="24"/>
          <w:highlight w:val="none"/>
        </w:rPr>
      </w:pPr>
    </w:p>
    <w:p w14:paraId="59430EFC">
      <w:pPr>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DB504B9">
      <w:pPr>
        <w:widowControl/>
        <w:spacing w:beforeLines="0" w:afterLines="0"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附件10：</w:t>
      </w:r>
    </w:p>
    <w:p w14:paraId="33AB435D">
      <w:pPr>
        <w:widowControl/>
        <w:spacing w:beforeLines="0" w:afterLines="0" w:line="460" w:lineRule="exact"/>
        <w:jc w:val="center"/>
        <w:outlineLvl w:val="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十、中小微企业证明文件等</w:t>
      </w:r>
    </w:p>
    <w:p w14:paraId="27BD3683">
      <w:pPr>
        <w:spacing w:beforeLines="0" w:afterLines="0" w:line="460" w:lineRule="exact"/>
        <w:jc w:val="center"/>
        <w:rPr>
          <w:b/>
          <w:bCs/>
          <w:color w:val="auto"/>
          <w:sz w:val="22"/>
          <w:szCs w:val="22"/>
          <w:highlight w:val="none"/>
        </w:rPr>
      </w:pPr>
      <w:r>
        <w:rPr>
          <w:rFonts w:hint="eastAsia"/>
          <w:b/>
          <w:bCs/>
          <w:color w:val="auto"/>
          <w:sz w:val="22"/>
          <w:szCs w:val="22"/>
          <w:highlight w:val="none"/>
          <w:lang w:val="en-US" w:eastAsia="zh-CN"/>
        </w:rPr>
        <w:t>10.1</w:t>
      </w:r>
      <w:r>
        <w:rPr>
          <w:rFonts w:hint="eastAsia"/>
          <w:b/>
          <w:bCs/>
          <w:color w:val="auto"/>
          <w:sz w:val="22"/>
          <w:szCs w:val="22"/>
          <w:highlight w:val="none"/>
        </w:rPr>
        <w:t>中小企业声明函（工程、服务）</w:t>
      </w:r>
    </w:p>
    <w:p w14:paraId="54AF7891">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 郑重声明， 根据《政府采购促进中小企业发展管理办法》（财库﹝ 2020﹞ 46 号） 的规定， 本公司（联合体） 参加（单位名称） 的（项目名称） 采购活动， 工程的运营单位全部为符合政策要求的中小企业（或者： 服务全部由符合政策要求的中小企业承接）。相关企业（ 含联合体中的中小企业、 签订分包意向协议的中小企业） 的具体情况如下：</w:t>
      </w:r>
    </w:p>
    <w:p w14:paraId="2A89AF14">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（标的名称） ， 属于（采购文件中明确的所属行业）；承建（ 承接） 企业为（企业名称）， 从业人员   人， 营业收入为    万元， 资产总额为    万元， 属于（中型企业、小型企业、 微型企业）；</w:t>
      </w:r>
    </w:p>
    <w:p w14:paraId="76403C82">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（标的名称） ， 属于（采购文件中明确的所属行业）；承建（ 承接） 企业为（企业名称）， 从业人员   人， 营业收入为    万元， 资产总额为    万元， 属于（中型企业、小型企业、 微型企业）；</w:t>
      </w:r>
    </w:p>
    <w:p w14:paraId="45088BA5">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5C784647">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 不属于大企业的分支机构， 不存在控股股东为大企业的情形， 也不存在与大企业的负责人为同一人的情形。本企业对上述声明内容的真实性负责。 如有虚假， 将依法承担相应责任。</w:t>
      </w:r>
    </w:p>
    <w:p w14:paraId="79DECA0D">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0737E496">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 期：</w:t>
      </w:r>
    </w:p>
    <w:p w14:paraId="1ACDAD66">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 营业收入、 资产总额填报上一年度数据， 无上一年度数据的新成立企业可不填报。</w:t>
      </w:r>
    </w:p>
    <w:p w14:paraId="3682B904">
      <w:pPr>
        <w:autoSpaceDE w:val="0"/>
        <w:autoSpaceDN w:val="0"/>
        <w:adjustRightInd w:val="0"/>
        <w:spacing w:beforeLines="0" w:afterLines="0" w:line="460" w:lineRule="exact"/>
        <w:ind w:firstLine="432"/>
        <w:jc w:val="left"/>
        <w:rPr>
          <w:rFonts w:ascii="仿宋" w:hAnsi="仿宋" w:eastAsia="仿宋" w:cs="仿宋"/>
          <w:color w:val="auto"/>
          <w:kern w:val="0"/>
          <w:sz w:val="24"/>
          <w:szCs w:val="24"/>
          <w:highlight w:val="none"/>
        </w:rPr>
        <w:sectPr>
          <w:pgSz w:w="11906" w:h="16838"/>
          <w:pgMar w:top="1304" w:right="1247" w:bottom="1417" w:left="1247" w:header="851" w:footer="992" w:gutter="0"/>
          <w:pgNumType w:fmt="decimal"/>
          <w:cols w:space="720" w:num="1"/>
          <w:docGrid w:type="lines" w:linePitch="312" w:charSpace="0"/>
        </w:sectPr>
      </w:pPr>
    </w:p>
    <w:p w14:paraId="7FB0E894">
      <w:pPr>
        <w:tabs>
          <w:tab w:val="left" w:pos="3777"/>
          <w:tab w:val="center" w:pos="4819"/>
        </w:tabs>
        <w:spacing w:beforeLines="0" w:afterLines="0" w:line="4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kern w:val="0"/>
          <w:sz w:val="24"/>
          <w:szCs w:val="24"/>
          <w:highlight w:val="none"/>
        </w:rPr>
        <w:t>监狱企业声明函</w:t>
      </w:r>
    </w:p>
    <w:p w14:paraId="4CEC4ADE">
      <w:pPr>
        <w:spacing w:beforeLines="0" w:afterLines="0" w:line="4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（监狱企业适用）</w:t>
      </w:r>
    </w:p>
    <w:p w14:paraId="7F1ED1D5">
      <w:pPr>
        <w:spacing w:beforeLines="0" w:afterLines="0" w:line="460" w:lineRule="exact"/>
        <w:ind w:firstLine="540" w:firstLineChars="225"/>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本公司郑重声明，根据《关于政府采购支持监狱企业发展有关问题的通知》（财库[2014]68号）的规定，本公司为监狱企业。</w:t>
      </w:r>
    </w:p>
    <w:p w14:paraId="5D7DD2DB">
      <w:pPr>
        <w:spacing w:beforeLines="0" w:afterLines="0" w:line="460" w:lineRule="exact"/>
        <w:ind w:firstLine="540" w:firstLineChars="225"/>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本公司参加______单位的______项目采购活动，采购活动提供本企业（填写制造的货物，由本企业承担工程、提供服务）。</w:t>
      </w:r>
    </w:p>
    <w:p w14:paraId="61454172">
      <w:pPr>
        <w:spacing w:beforeLines="0" w:afterLines="0" w:line="460" w:lineRule="exact"/>
        <w:ind w:firstLine="540" w:firstLineChars="225"/>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本条所称货物不包括使用大型企业注册商标的货物和服务。</w:t>
      </w:r>
    </w:p>
    <w:p w14:paraId="5FBC8779">
      <w:pPr>
        <w:spacing w:beforeLines="0" w:afterLines="0" w:line="460" w:lineRule="exact"/>
        <w:ind w:firstLine="540" w:firstLineChars="225"/>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本公司对上述声明的真实性负责。如有虚假，将依法承担相应责任。</w:t>
      </w:r>
    </w:p>
    <w:p w14:paraId="412ED64E">
      <w:pPr>
        <w:spacing w:beforeLines="0" w:afterLines="0" w:line="460" w:lineRule="exact"/>
        <w:ind w:firstLine="4860" w:firstLineChars="2025"/>
        <w:rPr>
          <w:rFonts w:hint="eastAsia" w:ascii="仿宋" w:hAnsi="仿宋" w:eastAsia="仿宋" w:cs="仿宋"/>
          <w:bCs/>
          <w:color w:val="auto"/>
          <w:kern w:val="0"/>
          <w:sz w:val="24"/>
          <w:szCs w:val="24"/>
          <w:highlight w:val="none"/>
        </w:rPr>
      </w:pPr>
    </w:p>
    <w:p w14:paraId="2B9E7175">
      <w:pPr>
        <w:spacing w:beforeLines="0" w:afterLines="0" w:line="460" w:lineRule="exact"/>
        <w:ind w:firstLine="4860" w:firstLineChars="2025"/>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企业名称（盖公章）：</w:t>
      </w:r>
    </w:p>
    <w:p w14:paraId="6A33B877">
      <w:pPr>
        <w:spacing w:beforeLines="0" w:afterLines="0" w:line="460" w:lineRule="exact"/>
        <w:ind w:firstLine="4860" w:firstLineChars="2025"/>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法定代表人（负责人）或其授权代表(签字)：</w:t>
      </w:r>
    </w:p>
    <w:p w14:paraId="03DE8917">
      <w:pPr>
        <w:tabs>
          <w:tab w:val="left" w:pos="2880"/>
        </w:tabs>
        <w:spacing w:beforeLines="0" w:afterLines="0" w:line="460" w:lineRule="exact"/>
        <w:ind w:firstLine="4800" w:firstLineChars="2000"/>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日期：</w:t>
      </w:r>
    </w:p>
    <w:p w14:paraId="39F8A490">
      <w:pPr>
        <w:spacing w:beforeLines="0" w:afterLines="0" w:line="46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注：后附监狱企业资格证明文件</w:t>
      </w:r>
    </w:p>
    <w:p w14:paraId="18B74411">
      <w:pPr>
        <w:spacing w:beforeLines="0" w:afterLines="0" w:line="460" w:lineRule="exact"/>
        <w:ind w:firstLine="56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省级以上监狱管理局、戒毒管理局（含新疆生产建设兵团）出具的属于监狱企业的证明文件；</w:t>
      </w:r>
    </w:p>
    <w:p w14:paraId="121DB5E1">
      <w:pPr>
        <w:tabs>
          <w:tab w:val="left" w:pos="2880"/>
        </w:tabs>
        <w:spacing w:beforeLines="0" w:afterLines="0" w:line="460" w:lineRule="exact"/>
        <w:ind w:firstLine="566" w:firstLineChars="236"/>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2.证明材料加盖投标人公章。</w:t>
      </w:r>
    </w:p>
    <w:p w14:paraId="6F1EBAC1">
      <w:pPr>
        <w:spacing w:beforeLines="0" w:afterLines="0" w:line="460" w:lineRule="exac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（若响应性文件中无上述证明文件，则在评审时不考虑对该监狱企业的相关优惠。） </w:t>
      </w:r>
    </w:p>
    <w:p w14:paraId="3362E65A">
      <w:pPr>
        <w:tabs>
          <w:tab w:val="left" w:pos="3600"/>
        </w:tabs>
        <w:adjustRightInd w:val="0"/>
        <w:snapToGrid w:val="0"/>
        <w:spacing w:beforeLines="0" w:afterLines="0" w:line="460" w:lineRule="exact"/>
        <w:jc w:val="center"/>
        <w:rPr>
          <w:rFonts w:hint="eastAsia" w:ascii="仿宋" w:hAnsi="仿宋" w:eastAsia="仿宋" w:cs="仿宋"/>
          <w:bCs/>
          <w:color w:val="auto"/>
          <w:sz w:val="24"/>
          <w:szCs w:val="24"/>
          <w:highlight w:val="none"/>
        </w:rPr>
        <w:sectPr>
          <w:pgSz w:w="11905" w:h="16838"/>
          <w:pgMar w:top="720" w:right="1417" w:bottom="720" w:left="1417" w:header="850" w:footer="992" w:gutter="0"/>
          <w:pgNumType w:fmt="decimal"/>
          <w:cols w:space="720" w:num="1"/>
          <w:docGrid w:type="lines" w:linePitch="416" w:charSpace="0"/>
        </w:sectPr>
      </w:pPr>
    </w:p>
    <w:p w14:paraId="34B7F0BD">
      <w:pPr>
        <w:tabs>
          <w:tab w:val="left" w:pos="3600"/>
        </w:tabs>
        <w:adjustRightInd w:val="0"/>
        <w:snapToGrid w:val="0"/>
        <w:spacing w:beforeLines="0" w:afterLines="0" w:line="460" w:lineRule="exact"/>
        <w:jc w:val="center"/>
        <w:rPr>
          <w:rFonts w:hint="eastAsia" w:ascii="仿宋" w:hAnsi="仿宋" w:eastAsia="仿宋" w:cs="仿宋"/>
          <w:bCs/>
          <w:color w:val="auto"/>
          <w:spacing w:val="6"/>
          <w:kern w:val="0"/>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pacing w:val="6"/>
          <w:kern w:val="0"/>
          <w:sz w:val="24"/>
          <w:szCs w:val="24"/>
          <w:highlight w:val="none"/>
        </w:rPr>
        <w:t>残疾人福利性单位声明函</w:t>
      </w:r>
    </w:p>
    <w:p w14:paraId="739A70B7">
      <w:pPr>
        <w:autoSpaceDE w:val="0"/>
        <w:autoSpaceDN w:val="0"/>
        <w:adjustRightInd w:val="0"/>
        <w:spacing w:beforeLines="0" w:afterLines="0" w:line="460" w:lineRule="exact"/>
        <w:rPr>
          <w:rFonts w:hint="eastAsia" w:ascii="仿宋" w:hAnsi="仿宋" w:eastAsia="仿宋" w:cs="仿宋"/>
          <w:bCs/>
          <w:color w:val="auto"/>
          <w:spacing w:val="6"/>
          <w:kern w:val="0"/>
          <w:sz w:val="24"/>
          <w:szCs w:val="24"/>
          <w:highlight w:val="none"/>
        </w:rPr>
      </w:pPr>
    </w:p>
    <w:p w14:paraId="28558A50">
      <w:pPr>
        <w:widowControl/>
        <w:adjustRightInd w:val="0"/>
        <w:snapToGrid w:val="0"/>
        <w:spacing w:beforeLines="0" w:afterLines="0" w:line="460" w:lineRule="exact"/>
        <w:ind w:firstLine="504" w:firstLineChars="200"/>
        <w:jc w:val="left"/>
        <w:rPr>
          <w:rFonts w:hint="eastAsia" w:ascii="仿宋" w:hAnsi="仿宋" w:eastAsia="仿宋" w:cs="仿宋"/>
          <w:bCs/>
          <w:color w:val="auto"/>
          <w:spacing w:val="6"/>
          <w:kern w:val="0"/>
          <w:sz w:val="24"/>
          <w:szCs w:val="24"/>
          <w:highlight w:val="none"/>
        </w:rPr>
      </w:pPr>
      <w:r>
        <w:rPr>
          <w:rFonts w:hint="eastAsia" w:ascii="仿宋" w:hAnsi="仿宋" w:eastAsia="仿宋" w:cs="仿宋"/>
          <w:bCs/>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68E16C">
      <w:pPr>
        <w:widowControl/>
        <w:adjustRightInd w:val="0"/>
        <w:snapToGrid w:val="0"/>
        <w:spacing w:beforeLines="0" w:afterLines="0" w:line="460" w:lineRule="exact"/>
        <w:ind w:firstLine="504" w:firstLineChars="200"/>
        <w:jc w:val="left"/>
        <w:rPr>
          <w:rFonts w:hint="eastAsia" w:ascii="仿宋" w:hAnsi="仿宋" w:eastAsia="仿宋" w:cs="仿宋"/>
          <w:bCs/>
          <w:color w:val="auto"/>
          <w:spacing w:val="6"/>
          <w:kern w:val="0"/>
          <w:sz w:val="24"/>
          <w:szCs w:val="24"/>
          <w:highlight w:val="none"/>
        </w:rPr>
      </w:pPr>
      <w:r>
        <w:rPr>
          <w:rFonts w:hint="eastAsia" w:ascii="仿宋" w:hAnsi="仿宋" w:eastAsia="仿宋" w:cs="仿宋"/>
          <w:bCs/>
          <w:color w:val="auto"/>
          <w:spacing w:val="6"/>
          <w:kern w:val="0"/>
          <w:sz w:val="24"/>
          <w:szCs w:val="24"/>
          <w:highlight w:val="none"/>
        </w:rPr>
        <w:t xml:space="preserve">本单位对上述声明的真实性负责。如有虚假，将依法承担相应责任。 </w:t>
      </w:r>
    </w:p>
    <w:p w14:paraId="096F3E89">
      <w:pPr>
        <w:widowControl/>
        <w:adjustRightInd w:val="0"/>
        <w:snapToGrid w:val="0"/>
        <w:spacing w:beforeLines="0" w:afterLines="0" w:line="460" w:lineRule="exact"/>
        <w:ind w:firstLine="504" w:firstLineChars="200"/>
        <w:jc w:val="left"/>
        <w:rPr>
          <w:rFonts w:hint="eastAsia" w:ascii="仿宋" w:hAnsi="仿宋" w:eastAsia="仿宋" w:cs="仿宋"/>
          <w:bCs/>
          <w:color w:val="auto"/>
          <w:spacing w:val="6"/>
          <w:kern w:val="0"/>
          <w:sz w:val="24"/>
          <w:szCs w:val="24"/>
          <w:highlight w:val="none"/>
        </w:rPr>
      </w:pPr>
    </w:p>
    <w:p w14:paraId="7707773A">
      <w:pPr>
        <w:widowControl/>
        <w:adjustRightInd w:val="0"/>
        <w:snapToGrid w:val="0"/>
        <w:spacing w:beforeLines="0" w:afterLines="0" w:line="460" w:lineRule="exact"/>
        <w:ind w:firstLine="5544" w:firstLineChars="2200"/>
        <w:jc w:val="left"/>
        <w:rPr>
          <w:rFonts w:hint="eastAsia" w:ascii="仿宋" w:hAnsi="仿宋" w:eastAsia="仿宋" w:cs="仿宋"/>
          <w:bCs/>
          <w:color w:val="auto"/>
          <w:spacing w:val="6"/>
          <w:kern w:val="0"/>
          <w:sz w:val="24"/>
          <w:szCs w:val="24"/>
          <w:highlight w:val="none"/>
        </w:rPr>
      </w:pPr>
      <w:r>
        <w:rPr>
          <w:rFonts w:hint="eastAsia" w:ascii="仿宋" w:hAnsi="仿宋" w:eastAsia="仿宋" w:cs="仿宋"/>
          <w:bCs/>
          <w:color w:val="auto"/>
          <w:spacing w:val="6"/>
          <w:kern w:val="0"/>
          <w:sz w:val="24"/>
          <w:szCs w:val="24"/>
          <w:highlight w:val="none"/>
        </w:rPr>
        <w:t>单位名称（盖章）：</w:t>
      </w:r>
    </w:p>
    <w:p w14:paraId="5A268552">
      <w:pPr>
        <w:widowControl/>
        <w:adjustRightInd w:val="0"/>
        <w:snapToGrid w:val="0"/>
        <w:spacing w:beforeLines="0" w:afterLines="0" w:line="460" w:lineRule="exact"/>
        <w:ind w:firstLine="504" w:firstLineChars="200"/>
        <w:jc w:val="left"/>
        <w:rPr>
          <w:rFonts w:hint="eastAsia" w:ascii="仿宋" w:hAnsi="仿宋" w:eastAsia="仿宋" w:cs="仿宋"/>
          <w:bCs/>
          <w:color w:val="auto"/>
          <w:spacing w:val="6"/>
          <w:kern w:val="0"/>
          <w:sz w:val="24"/>
          <w:szCs w:val="24"/>
          <w:highlight w:val="none"/>
        </w:rPr>
      </w:pPr>
      <w:r>
        <w:rPr>
          <w:rFonts w:hint="eastAsia" w:ascii="仿宋" w:hAnsi="仿宋" w:eastAsia="仿宋" w:cs="仿宋"/>
          <w:bCs/>
          <w:color w:val="auto"/>
          <w:spacing w:val="6"/>
          <w:kern w:val="0"/>
          <w:sz w:val="24"/>
          <w:szCs w:val="24"/>
          <w:highlight w:val="none"/>
        </w:rPr>
        <w:t xml:space="preserve">                                      日  期：</w:t>
      </w:r>
    </w:p>
    <w:p w14:paraId="74E2FB54">
      <w:pPr>
        <w:keepNext w:val="0"/>
        <w:keepLines w:val="0"/>
        <w:pageBreakBefore w:val="0"/>
        <w:widowControl/>
        <w:kinsoku/>
        <w:wordWrap/>
        <w:overflowPunct/>
        <w:topLinePunct w:val="0"/>
        <w:autoSpaceDE/>
        <w:autoSpaceDN/>
        <w:bidi w:val="0"/>
        <w:adjustRightInd w:val="0"/>
        <w:snapToGrid w:val="0"/>
        <w:spacing w:beforeLines="0" w:afterLines="0" w:line="460" w:lineRule="exact"/>
        <w:ind w:firstLine="480" w:firstLineChars="200"/>
        <w:jc w:val="left"/>
        <w:textAlignment w:val="auto"/>
        <w:rPr>
          <w:rFonts w:hint="eastAsia" w:ascii="仿宋" w:hAnsi="仿宋" w:eastAsia="仿宋" w:cs="仿宋"/>
          <w:color w:val="auto"/>
          <w:sz w:val="24"/>
          <w:szCs w:val="24"/>
          <w:highlight w:val="none"/>
        </w:rPr>
        <w:sectPr>
          <w:headerReference r:id="rId9" w:type="default"/>
          <w:footerReference r:id="rId10" w:type="default"/>
          <w:pgSz w:w="11906" w:h="16838"/>
          <w:pgMar w:top="1440" w:right="1077" w:bottom="1440" w:left="1077" w:header="851" w:footer="992" w:gutter="0"/>
          <w:pgNumType w:fmt="decimal"/>
          <w:cols w:space="720" w:num="1"/>
          <w:docGrid w:type="lines" w:linePitch="312" w:charSpace="0"/>
        </w:sectPr>
      </w:pPr>
    </w:p>
    <w:p w14:paraId="206BF6D4">
      <w:pPr>
        <w:pStyle w:val="24"/>
        <w:adjustRightInd w:val="0"/>
        <w:snapToGrid w:val="0"/>
        <w:spacing w:beforeLines="0" w:afterLines="0" w:line="460" w:lineRule="exact"/>
        <w:ind w:firstLine="2249" w:firstLineChars="700"/>
        <w:outlineLvl w:val="3"/>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十一、供应商认为需要提供的其它资料</w:t>
      </w:r>
    </w:p>
    <w:p w14:paraId="5CABF31E">
      <w:pPr>
        <w:pStyle w:val="24"/>
        <w:spacing w:beforeLines="0" w:afterLines="0" w:line="460" w:lineRule="exact"/>
        <w:rPr>
          <w:rFonts w:ascii="仿宋" w:hAnsi="仿宋" w:eastAsia="仿宋" w:cs="仿宋"/>
          <w:color w:val="auto"/>
          <w:sz w:val="24"/>
          <w:szCs w:val="24"/>
          <w:highlight w:val="none"/>
        </w:rPr>
        <w:sectPr>
          <w:pgSz w:w="11906" w:h="16838"/>
          <w:pgMar w:top="1304" w:right="1247" w:bottom="1417" w:left="1247" w:header="851" w:footer="992" w:gutter="0"/>
          <w:pgNumType w:fmt="decimal"/>
          <w:cols w:space="720" w:num="1"/>
          <w:docGrid w:type="lines" w:linePitch="312" w:charSpace="0"/>
        </w:sectPr>
      </w:pPr>
    </w:p>
    <w:p w14:paraId="71B21C92">
      <w:pPr>
        <w:pStyle w:val="24"/>
        <w:adjustRightInd w:val="0"/>
        <w:snapToGrid w:val="0"/>
        <w:spacing w:beforeLines="0" w:afterLines="0" w:line="460" w:lineRule="exact"/>
        <w:jc w:val="center"/>
        <w:outlineLvl w:val="0"/>
        <w:rPr>
          <w:rFonts w:ascii="仿宋" w:hAnsi="仿宋" w:eastAsia="仿宋" w:cs="仿宋"/>
          <w:b/>
          <w:color w:val="auto"/>
          <w:sz w:val="36"/>
          <w:szCs w:val="36"/>
          <w:highlight w:val="none"/>
        </w:rPr>
      </w:pPr>
      <w:bookmarkStart w:id="109" w:name="_Toc32052"/>
      <w:bookmarkStart w:id="110" w:name="_Toc32625"/>
      <w:r>
        <w:rPr>
          <w:rFonts w:hint="eastAsia" w:ascii="仿宋" w:hAnsi="仿宋" w:eastAsia="仿宋" w:cs="仿宋"/>
          <w:b/>
          <w:color w:val="auto"/>
          <w:sz w:val="36"/>
          <w:szCs w:val="36"/>
          <w:highlight w:val="none"/>
        </w:rPr>
        <w:t>补充条款</w:t>
      </w:r>
      <w:bookmarkEnd w:id="109"/>
      <w:bookmarkEnd w:id="110"/>
    </w:p>
    <w:p w14:paraId="608779F6">
      <w:pPr>
        <w:spacing w:beforeLines="0" w:afterLines="0" w:line="460" w:lineRule="exact"/>
        <w:jc w:val="center"/>
        <w:outlineLvl w:val="0"/>
        <w:rPr>
          <w:rFonts w:ascii="仿宋" w:hAnsi="仿宋" w:eastAsia="仿宋" w:cs="仿宋"/>
          <w:color w:val="auto"/>
          <w:sz w:val="28"/>
          <w:szCs w:val="28"/>
          <w:highlight w:val="none"/>
        </w:rPr>
      </w:pPr>
      <w:bookmarkStart w:id="111" w:name="_Toc27967"/>
      <w:bookmarkStart w:id="112" w:name="_Toc27475"/>
      <w:r>
        <w:rPr>
          <w:rFonts w:hint="eastAsia" w:ascii="仿宋" w:hAnsi="仿宋" w:eastAsia="仿宋" w:cs="仿宋"/>
          <w:b/>
          <w:bCs/>
          <w:color w:val="auto"/>
          <w:sz w:val="28"/>
          <w:szCs w:val="28"/>
          <w:highlight w:val="none"/>
        </w:rPr>
        <w:t>投标保证金退还申请书</w:t>
      </w:r>
      <w:bookmarkEnd w:id="111"/>
      <w:bookmarkEnd w:id="112"/>
    </w:p>
    <w:p w14:paraId="677E4252">
      <w:pPr>
        <w:spacing w:beforeLines="0" w:afterLines="0" w:line="460" w:lineRule="exact"/>
        <w:rPr>
          <w:rFonts w:ascii="宋体" w:hAnsi="宋体" w:cs="宋体"/>
          <w:color w:val="auto"/>
          <w:sz w:val="24"/>
          <w:szCs w:val="24"/>
          <w:highlight w:val="none"/>
        </w:rPr>
      </w:pPr>
    </w:p>
    <w:p w14:paraId="6F108AAD">
      <w:pPr>
        <w:spacing w:beforeLines="0" w:afterLines="0" w:line="460" w:lineRule="exac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（招标代理机构）</w:t>
      </w:r>
    </w:p>
    <w:p w14:paraId="705C47E9">
      <w:pPr>
        <w:spacing w:beforeLines="0" w:afterLines="0" w:line="460" w:lineRule="exact"/>
        <w:ind w:firstLine="440"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我公司报名参加了</w:t>
      </w:r>
      <w:r>
        <w:rPr>
          <w:rFonts w:hint="eastAsia" w:ascii="仿宋" w:hAnsi="仿宋" w:eastAsia="仿宋" w:cs="仿宋"/>
          <w:color w:val="auto"/>
          <w:sz w:val="22"/>
          <w:szCs w:val="22"/>
          <w:highlight w:val="none"/>
          <w:u w:val="single"/>
        </w:rPr>
        <w:t xml:space="preserve">                                    （项目名称标包号、项目编号）</w:t>
      </w:r>
      <w:r>
        <w:rPr>
          <w:rFonts w:hint="eastAsia" w:ascii="仿宋" w:hAnsi="仿宋" w:eastAsia="仿宋" w:cs="仿宋"/>
          <w:color w:val="auto"/>
          <w:sz w:val="22"/>
          <w:szCs w:val="22"/>
          <w:highlight w:val="none"/>
        </w:rPr>
        <w:t>的投标并递交了投标保证金人民币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拾</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佰</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拾</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元），在此我方说明如下：</w:t>
      </w:r>
    </w:p>
    <w:p w14:paraId="437AA0B4">
      <w:pPr>
        <w:spacing w:beforeLines="0" w:afterLines="0" w:line="460" w:lineRule="exact"/>
        <w:ind w:firstLine="440"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1、根据投标要求，我公司向贵单位缴纳了投标保证金现该项目已定标，我公司未中标，因此，请将我司缴纳的投标保证金金额退还至以下账户。</w:t>
      </w:r>
    </w:p>
    <w:p w14:paraId="1FEB906E">
      <w:pPr>
        <w:spacing w:beforeLines="0" w:afterLines="0" w:line="460" w:lineRule="exact"/>
        <w:ind w:firstLine="440"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2、如我单位中标，我们将按照规定缴纳招标代理服务费。我方承诺，如我单位未按规定缴纳招标代理服务费，承诺同意贵方可从我单位提交的投标保证金内抵销。</w:t>
      </w:r>
    </w:p>
    <w:p w14:paraId="3D9CBFC6">
      <w:pPr>
        <w:spacing w:beforeLines="0" w:afterLines="0" w:line="460" w:lineRule="exact"/>
        <w:ind w:firstLine="440"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3、如果我单位未遵守有关招标文件关于招标保证金的规定，贵方可以抵销我单位投标保证金。</w:t>
      </w:r>
    </w:p>
    <w:tbl>
      <w:tblPr>
        <w:tblStyle w:val="4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064"/>
      </w:tblGrid>
      <w:tr w14:paraId="2975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08" w:type="dxa"/>
            <w:vAlign w:val="center"/>
          </w:tcPr>
          <w:p w14:paraId="61473ECB">
            <w:pPr>
              <w:tabs>
                <w:tab w:val="left" w:pos="780"/>
              </w:tabs>
              <w:spacing w:beforeLines="0" w:afterLines="0" w:line="46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投标人（收款单位）名称</w:t>
            </w:r>
          </w:p>
        </w:tc>
        <w:tc>
          <w:tcPr>
            <w:tcW w:w="4064" w:type="dxa"/>
            <w:vAlign w:val="center"/>
          </w:tcPr>
          <w:p w14:paraId="3BB1A442">
            <w:pPr>
              <w:tabs>
                <w:tab w:val="left" w:pos="780"/>
              </w:tabs>
              <w:spacing w:beforeLines="0" w:afterLines="0" w:line="460" w:lineRule="exact"/>
              <w:rPr>
                <w:rFonts w:ascii="仿宋" w:hAnsi="仿宋" w:eastAsia="仿宋" w:cs="仿宋"/>
                <w:color w:val="auto"/>
                <w:szCs w:val="21"/>
                <w:highlight w:val="none"/>
              </w:rPr>
            </w:pPr>
          </w:p>
        </w:tc>
      </w:tr>
      <w:tr w14:paraId="78BE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408" w:type="dxa"/>
            <w:vAlign w:val="center"/>
          </w:tcPr>
          <w:p w14:paraId="60E5E4D8">
            <w:pPr>
              <w:tabs>
                <w:tab w:val="left" w:pos="780"/>
              </w:tabs>
              <w:spacing w:beforeLines="0" w:afterLines="0" w:line="46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投标人（收款单位）纳税人识别号</w:t>
            </w:r>
          </w:p>
        </w:tc>
        <w:tc>
          <w:tcPr>
            <w:tcW w:w="4064" w:type="dxa"/>
            <w:vAlign w:val="center"/>
          </w:tcPr>
          <w:p w14:paraId="7071E14B">
            <w:pPr>
              <w:tabs>
                <w:tab w:val="left" w:pos="780"/>
              </w:tabs>
              <w:spacing w:beforeLines="0" w:afterLines="0" w:line="460" w:lineRule="exact"/>
              <w:rPr>
                <w:rFonts w:ascii="仿宋" w:hAnsi="仿宋" w:eastAsia="仿宋" w:cs="仿宋"/>
                <w:color w:val="auto"/>
                <w:szCs w:val="21"/>
                <w:highlight w:val="none"/>
              </w:rPr>
            </w:pPr>
          </w:p>
        </w:tc>
      </w:tr>
      <w:tr w14:paraId="0EE5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8" w:type="dxa"/>
            <w:vAlign w:val="center"/>
          </w:tcPr>
          <w:p w14:paraId="0370F348">
            <w:pPr>
              <w:tabs>
                <w:tab w:val="left" w:pos="780"/>
              </w:tabs>
              <w:spacing w:beforeLines="0" w:afterLines="0" w:line="46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投标人（收款单位）注册地址、电话</w:t>
            </w:r>
          </w:p>
        </w:tc>
        <w:tc>
          <w:tcPr>
            <w:tcW w:w="4064" w:type="dxa"/>
            <w:vAlign w:val="center"/>
          </w:tcPr>
          <w:p w14:paraId="529AE5C3">
            <w:pPr>
              <w:tabs>
                <w:tab w:val="left" w:pos="780"/>
              </w:tabs>
              <w:spacing w:beforeLines="0" w:afterLines="0" w:line="460" w:lineRule="exact"/>
              <w:rPr>
                <w:rFonts w:ascii="仿宋" w:hAnsi="仿宋" w:eastAsia="仿宋" w:cs="仿宋"/>
                <w:color w:val="auto"/>
                <w:szCs w:val="21"/>
                <w:highlight w:val="none"/>
              </w:rPr>
            </w:pPr>
          </w:p>
        </w:tc>
      </w:tr>
      <w:tr w14:paraId="36CD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408" w:type="dxa"/>
            <w:vAlign w:val="center"/>
          </w:tcPr>
          <w:p w14:paraId="4D56BCCE">
            <w:pPr>
              <w:tabs>
                <w:tab w:val="left" w:pos="780"/>
              </w:tabs>
              <w:spacing w:beforeLines="0" w:afterLines="0" w:line="46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开户银行、行号、账号</w:t>
            </w:r>
          </w:p>
        </w:tc>
        <w:tc>
          <w:tcPr>
            <w:tcW w:w="4064" w:type="dxa"/>
            <w:vAlign w:val="center"/>
          </w:tcPr>
          <w:p w14:paraId="219B5992">
            <w:pPr>
              <w:tabs>
                <w:tab w:val="left" w:pos="780"/>
              </w:tabs>
              <w:spacing w:beforeLines="0" w:afterLines="0" w:line="460" w:lineRule="exact"/>
              <w:rPr>
                <w:rFonts w:ascii="仿宋" w:hAnsi="仿宋" w:eastAsia="仿宋" w:cs="仿宋"/>
                <w:color w:val="auto"/>
                <w:szCs w:val="21"/>
                <w:highlight w:val="none"/>
              </w:rPr>
            </w:pPr>
          </w:p>
        </w:tc>
      </w:tr>
      <w:tr w14:paraId="2684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08" w:type="dxa"/>
            <w:vAlign w:val="center"/>
          </w:tcPr>
          <w:p w14:paraId="1ED9AAC8">
            <w:pPr>
              <w:tabs>
                <w:tab w:val="left" w:pos="780"/>
              </w:tabs>
              <w:spacing w:beforeLines="0" w:afterLines="0" w:line="460" w:lineRule="exact"/>
              <w:rPr>
                <w:rFonts w:ascii="仿宋" w:hAnsi="仿宋" w:eastAsia="仿宋" w:cs="仿宋"/>
                <w:color w:val="auto"/>
                <w:szCs w:val="21"/>
                <w:highlight w:val="none"/>
              </w:rPr>
            </w:pPr>
            <w:r>
              <w:rPr>
                <w:rFonts w:hint="eastAsia" w:ascii="仿宋" w:hAnsi="仿宋" w:eastAsia="仿宋" w:cs="仿宋"/>
                <w:color w:val="auto"/>
                <w:szCs w:val="21"/>
                <w:highlight w:val="none"/>
              </w:rPr>
              <w:t>联系人、联系电话（手机）</w:t>
            </w:r>
          </w:p>
        </w:tc>
        <w:tc>
          <w:tcPr>
            <w:tcW w:w="4064" w:type="dxa"/>
            <w:vAlign w:val="center"/>
          </w:tcPr>
          <w:p w14:paraId="19BCBA85">
            <w:pPr>
              <w:tabs>
                <w:tab w:val="left" w:pos="780"/>
              </w:tabs>
              <w:spacing w:beforeLines="0" w:afterLines="0" w:line="460" w:lineRule="exact"/>
              <w:rPr>
                <w:rFonts w:ascii="仿宋" w:hAnsi="仿宋" w:eastAsia="仿宋" w:cs="仿宋"/>
                <w:color w:val="auto"/>
                <w:szCs w:val="21"/>
                <w:highlight w:val="none"/>
              </w:rPr>
            </w:pPr>
          </w:p>
        </w:tc>
      </w:tr>
      <w:tr w14:paraId="6475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408" w:type="dxa"/>
            <w:vAlign w:val="center"/>
          </w:tcPr>
          <w:p w14:paraId="28BEA94B">
            <w:pPr>
              <w:tabs>
                <w:tab w:val="left" w:pos="780"/>
              </w:tabs>
              <w:spacing w:beforeLines="0" w:afterLines="0" w:line="46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投标人地址（很重要：如中标通知书、发票等直接寄往该地址）</w:t>
            </w:r>
          </w:p>
        </w:tc>
        <w:tc>
          <w:tcPr>
            <w:tcW w:w="4064" w:type="dxa"/>
            <w:vAlign w:val="center"/>
          </w:tcPr>
          <w:p w14:paraId="47F2DE3F">
            <w:pPr>
              <w:tabs>
                <w:tab w:val="left" w:pos="780"/>
              </w:tabs>
              <w:spacing w:beforeLines="0" w:afterLines="0" w:line="460" w:lineRule="exact"/>
              <w:rPr>
                <w:rFonts w:ascii="仿宋" w:hAnsi="仿宋" w:eastAsia="仿宋" w:cs="仿宋"/>
                <w:color w:val="auto"/>
                <w:szCs w:val="21"/>
                <w:highlight w:val="none"/>
              </w:rPr>
            </w:pPr>
          </w:p>
        </w:tc>
      </w:tr>
    </w:tbl>
    <w:p w14:paraId="23C54739">
      <w:pPr>
        <w:spacing w:beforeLines="0" w:afterLines="0" w:line="460" w:lineRule="exact"/>
        <w:ind w:firstLine="440"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特此承诺！</w:t>
      </w:r>
    </w:p>
    <w:p w14:paraId="5F40DF3F">
      <w:pPr>
        <w:tabs>
          <w:tab w:val="left" w:pos="5580"/>
        </w:tabs>
        <w:spacing w:beforeLines="0" w:afterLines="0" w:line="460" w:lineRule="exact"/>
        <w:ind w:firstLine="2860" w:firstLineChars="1300"/>
        <w:rPr>
          <w:rFonts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投标人（盖章）：</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1"/>
          <w:highlight w:val="none"/>
        </w:rPr>
        <w:t xml:space="preserve">                    </w:t>
      </w:r>
    </w:p>
    <w:p w14:paraId="40A62696">
      <w:pPr>
        <w:tabs>
          <w:tab w:val="left" w:pos="5580"/>
        </w:tabs>
        <w:spacing w:beforeLines="0" w:afterLines="0" w:line="460" w:lineRule="exact"/>
        <w:ind w:firstLine="2860" w:firstLineChars="1300"/>
        <w:rPr>
          <w:rFonts w:ascii="仿宋" w:hAnsi="仿宋" w:eastAsia="仿宋" w:cs="仿宋"/>
          <w:color w:val="auto"/>
          <w:kern w:val="0"/>
          <w:sz w:val="22"/>
          <w:szCs w:val="22"/>
          <w:highlight w:val="none"/>
          <w:u w:val="single"/>
        </w:rPr>
      </w:pPr>
      <w:r>
        <w:rPr>
          <w:rFonts w:hint="eastAsia" w:ascii="仿宋" w:hAnsi="仿宋" w:eastAsia="仿宋" w:cs="仿宋"/>
          <w:color w:val="auto"/>
          <w:sz w:val="22"/>
          <w:szCs w:val="21"/>
          <w:highlight w:val="none"/>
        </w:rPr>
        <w:t>法定代表人或</w:t>
      </w:r>
      <w:r>
        <w:rPr>
          <w:rFonts w:hint="eastAsia" w:ascii="仿宋" w:hAnsi="仿宋" w:eastAsia="仿宋" w:cs="仿宋"/>
          <w:color w:val="auto"/>
          <w:kern w:val="0"/>
          <w:sz w:val="22"/>
          <w:szCs w:val="22"/>
          <w:highlight w:val="none"/>
        </w:rPr>
        <w:t>委托代理人</w:t>
      </w:r>
      <w:r>
        <w:rPr>
          <w:rFonts w:hint="eastAsia" w:ascii="仿宋" w:hAnsi="仿宋" w:eastAsia="仿宋" w:cs="仿宋"/>
          <w:color w:val="auto"/>
          <w:sz w:val="22"/>
          <w:szCs w:val="21"/>
          <w:highlight w:val="none"/>
        </w:rPr>
        <w:t>（签字）</w:t>
      </w: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u w:val="single"/>
        </w:rPr>
        <w:t xml:space="preserve">             </w:t>
      </w:r>
    </w:p>
    <w:p w14:paraId="5D682B45">
      <w:pPr>
        <w:spacing w:beforeLines="0" w:afterLines="0" w:line="460" w:lineRule="exact"/>
        <w:ind w:firstLine="2860" w:firstLineChars="1300"/>
        <w:rPr>
          <w:rFonts w:ascii="仿宋" w:hAnsi="仿宋" w:eastAsia="仿宋" w:cs="仿宋"/>
          <w:color w:val="auto"/>
          <w:sz w:val="20"/>
          <w:szCs w:val="21"/>
          <w:highlight w:val="none"/>
        </w:rPr>
      </w:pPr>
      <w:r>
        <w:rPr>
          <w:rFonts w:hint="eastAsia" w:ascii="仿宋" w:hAnsi="仿宋" w:eastAsia="仿宋" w:cs="仿宋"/>
          <w:color w:val="auto"/>
          <w:sz w:val="22"/>
          <w:szCs w:val="22"/>
          <w:highlight w:val="none"/>
        </w:rPr>
        <w:t>日期：   年   月   日</w:t>
      </w:r>
    </w:p>
    <w:p w14:paraId="1E9CA60C">
      <w:pPr>
        <w:tabs>
          <w:tab w:val="left" w:pos="780"/>
        </w:tabs>
        <w:spacing w:beforeLines="0" w:afterLines="0" w:line="460" w:lineRule="exact"/>
        <w:rPr>
          <w:rFonts w:ascii="仿宋" w:hAnsi="仿宋" w:eastAsia="仿宋" w:cs="仿宋"/>
          <w:b/>
          <w:bCs/>
          <w:color w:val="auto"/>
          <w:szCs w:val="21"/>
          <w:highlight w:val="none"/>
        </w:rPr>
      </w:pPr>
    </w:p>
    <w:p w14:paraId="610636BC">
      <w:pPr>
        <w:tabs>
          <w:tab w:val="left" w:pos="780"/>
        </w:tabs>
        <w:spacing w:beforeLines="0" w:afterLines="0" w:line="460" w:lineRule="exact"/>
        <w:rPr>
          <w:rFonts w:ascii="仿宋" w:hAnsi="仿宋" w:eastAsia="仿宋" w:cs="仿宋"/>
          <w:color w:val="auto"/>
          <w:szCs w:val="21"/>
          <w:highlight w:val="none"/>
        </w:rPr>
      </w:pPr>
      <w:r>
        <w:rPr>
          <w:rFonts w:hint="eastAsia" w:ascii="仿宋" w:hAnsi="仿宋" w:eastAsia="仿宋" w:cs="仿宋"/>
          <w:b/>
          <w:bCs/>
          <w:color w:val="auto"/>
          <w:szCs w:val="21"/>
          <w:highlight w:val="none"/>
        </w:rPr>
        <w:t>说明：</w:t>
      </w:r>
      <w:r>
        <w:rPr>
          <w:rFonts w:hint="eastAsia" w:ascii="仿宋" w:hAnsi="仿宋" w:eastAsia="仿宋" w:cs="仿宋"/>
          <w:color w:val="auto"/>
          <w:szCs w:val="21"/>
          <w:highlight w:val="none"/>
        </w:rPr>
        <w:t>1．为保障资金安全，上述账户不能为私人账户。</w:t>
      </w:r>
    </w:p>
    <w:p w14:paraId="09AAE665">
      <w:pPr>
        <w:tabs>
          <w:tab w:val="left" w:pos="780"/>
        </w:tabs>
        <w:spacing w:beforeLines="0" w:afterLines="0" w:line="460" w:lineRule="exact"/>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2．如因上述账户信息有误或账户信息变更未及时通知导致投标保证金无法退还或丢失等可能产生的一切后果由投标人自行负责。</w:t>
      </w:r>
    </w:p>
    <w:p w14:paraId="4464E0B0">
      <w:pPr>
        <w:spacing w:beforeLines="0" w:afterLines="0" w:line="460" w:lineRule="exact"/>
        <w:ind w:firstLine="630" w:firstLineChars="300"/>
        <w:rPr>
          <w:rFonts w:ascii="仿宋" w:hAnsi="仿宋" w:eastAsia="仿宋" w:cs="仿宋"/>
          <w:color w:val="auto"/>
          <w:sz w:val="24"/>
          <w:szCs w:val="24"/>
          <w:highlight w:val="none"/>
        </w:rPr>
      </w:pPr>
      <w:r>
        <w:rPr>
          <w:rFonts w:hint="eastAsia" w:ascii="仿宋" w:hAnsi="仿宋" w:eastAsia="仿宋" w:cs="仿宋"/>
          <w:color w:val="auto"/>
          <w:szCs w:val="21"/>
          <w:highlight w:val="none"/>
        </w:rPr>
        <w:t>3．招标方退还该笔投标保证金后，无论是否开具收据，均不再作为招标方已收款依据。</w:t>
      </w:r>
    </w:p>
    <w:p w14:paraId="0126D324">
      <w:pPr>
        <w:pStyle w:val="24"/>
        <w:spacing w:beforeLines="0" w:afterLines="0" w:line="460" w:lineRule="exact"/>
        <w:ind w:firstLine="442" w:firstLineChars="200"/>
        <w:rPr>
          <w:rFonts w:ascii="仿宋" w:hAnsi="仿宋" w:eastAsia="仿宋" w:cs="仿宋"/>
          <w:b/>
          <w:bCs/>
          <w:color w:val="auto"/>
          <w:sz w:val="22"/>
          <w:highlight w:val="none"/>
        </w:rPr>
      </w:pPr>
      <w:r>
        <w:rPr>
          <w:rFonts w:hint="eastAsia" w:ascii="仿宋" w:hAnsi="仿宋" w:eastAsia="仿宋" w:cs="仿宋"/>
          <w:b/>
          <w:bCs/>
          <w:color w:val="auto"/>
          <w:sz w:val="22"/>
          <w:highlight w:val="none"/>
        </w:rPr>
        <w:t>开标结束后将此表发送至邮箱</w:t>
      </w:r>
      <w:r>
        <w:rPr>
          <w:rFonts w:hint="eastAsia" w:ascii="仿宋" w:hAnsi="仿宋" w:eastAsia="仿宋" w:cs="仿宋"/>
          <w:b/>
          <w:bCs/>
          <w:color w:val="auto"/>
          <w:sz w:val="22"/>
          <w:highlight w:val="none"/>
          <w:lang w:val="en-US" w:eastAsia="zh-CN"/>
        </w:rPr>
        <w:t>544345240</w:t>
      </w:r>
      <w:r>
        <w:rPr>
          <w:rFonts w:hint="eastAsia" w:ascii="仿宋" w:hAnsi="仿宋" w:eastAsia="仿宋" w:cs="仿宋"/>
          <w:b/>
          <w:bCs/>
          <w:color w:val="auto"/>
          <w:sz w:val="22"/>
          <w:highlight w:val="none"/>
        </w:rPr>
        <w:t>@qq.com。</w:t>
      </w:r>
    </w:p>
    <w:sectPr>
      <w:pgSz w:w="11906" w:h="16838"/>
      <w:pgMar w:top="1304" w:right="1247" w:bottom="1417" w:left="12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B42CEF-C787-4070-98C3-2DE2151142E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embedRegular r:id="rId2" w:fontKey="{2E4ECE50-30B9-4407-856F-C9758417252D}"/>
  </w:font>
  <w:font w:name="仿宋">
    <w:panose1 w:val="02010609060101010101"/>
    <w:charset w:val="86"/>
    <w:family w:val="auto"/>
    <w:pitch w:val="default"/>
    <w:sig w:usb0="800002BF" w:usb1="38CF7CFA" w:usb2="00000016" w:usb3="00000000" w:csb0="00040001" w:csb1="00000000"/>
    <w:embedRegular r:id="rId3" w:fontKey="{D7CB9FFD-E016-4954-8F23-B54252F82B32}"/>
  </w:font>
  <w:font w:name="长城仿宋">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8B5DD98C-E90C-46A9-A27E-D0964EAA4807}"/>
  </w:font>
  <w:font w:name="微软雅黑">
    <w:panose1 w:val="020B0503020204020204"/>
    <w:charset w:val="86"/>
    <w:family w:val="auto"/>
    <w:pitch w:val="default"/>
    <w:sig w:usb0="80000287" w:usb1="280F3C52" w:usb2="00000016" w:usb3="00000000" w:csb0="0004001F" w:csb1="00000000"/>
    <w:embedRegular r:id="rId5" w:fontKey="{AD7CF5D3-EB62-4B56-A8EE-0F93E9E49D89}"/>
  </w:font>
  <w:font w:name="方正仿宋_GBK">
    <w:panose1 w:val="03000509000000000000"/>
    <w:charset w:val="86"/>
    <w:family w:val="auto"/>
    <w:pitch w:val="default"/>
    <w:sig w:usb0="00000001" w:usb1="080E0000" w:usb2="00000000" w:usb3="00000000" w:csb0="00040000" w:csb1="00000000"/>
    <w:embedRegular r:id="rId6" w:fontKey="{1F726DDF-C96D-4526-B8D1-3CC5AA0C427E}"/>
  </w:font>
  <w:font w:name="方正黑体_GBK">
    <w:panose1 w:val="03000509000000000000"/>
    <w:charset w:val="86"/>
    <w:family w:val="auto"/>
    <w:pitch w:val="default"/>
    <w:sig w:usb0="00000001" w:usb1="080E0000" w:usb2="00000000" w:usb3="00000000" w:csb0="00040000" w:csb1="00000000"/>
    <w:embedRegular r:id="rId7" w:fontKey="{3EF121DC-D14B-45ED-85F4-77EA289DC819}"/>
  </w:font>
  <w:font w:name="方正小标宋_GBK">
    <w:panose1 w:val="03000509000000000000"/>
    <w:charset w:val="86"/>
    <w:family w:val="auto"/>
    <w:pitch w:val="default"/>
    <w:sig w:usb0="00000001" w:usb1="080E0000" w:usb2="00000000" w:usb3="00000000" w:csb0="00040000" w:csb1="00000000"/>
    <w:embedRegular r:id="rId8" w:fontKey="{45B833BF-5980-4813-A1F2-308EA53EB199}"/>
  </w:font>
  <w:font w:name="WPSEMBED1">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6EA3">
    <w:pPr>
      <w:pStyle w:val="28"/>
      <w:framePr w:wrap="around" w:vAnchor="text" w:hAnchor="margin" w:xAlign="right" w:y="1"/>
      <w:rPr>
        <w:rStyle w:val="45"/>
      </w:rPr>
    </w:pPr>
    <w:r>
      <w:fldChar w:fldCharType="begin"/>
    </w:r>
    <w:r>
      <w:rPr>
        <w:rStyle w:val="45"/>
      </w:rPr>
      <w:instrText xml:space="preserve">PAGE  </w:instrText>
    </w:r>
    <w:r>
      <w:fldChar w:fldCharType="end"/>
    </w:r>
  </w:p>
  <w:p w14:paraId="6815131F">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AC9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6357">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3398D3B">
                          <w:pPr>
                            <w:pStyle w:val="28"/>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nIfXEAQAAjwMAAA4AAABkcnMvZTJvRG9jLnhtbK1TzY7TMBC+I/EO&#10;lu80aYV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W/4cwJSxd++fH98vP35dc3&#10;9j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rnIfXEAQAAjwMAAA4AAAAAAAAAAQAgAAAAHwEAAGRycy9lMm9Eb2MueG1s&#10;UEsFBgAAAAAGAAYAWQEAAFUFAAAAAA==&#10;">
              <v:fill on="f" focussize="0,0"/>
              <v:stroke on="f"/>
              <v:imagedata o:title=""/>
              <o:lock v:ext="edit" aspectratio="f"/>
              <v:textbox inset="0mm,0mm,0mm,0mm" style="mso-fit-shape-to-text:t;">
                <w:txbxContent>
                  <w:p w14:paraId="03398D3B">
                    <w:pPr>
                      <w:pStyle w:val="28"/>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EA36">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EFC97">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7EFC9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FD03">
    <w:pPr>
      <w:pBdr>
        <w:top w:val="dashDotStroked" w:color="auto" w:sz="24" w:space="1"/>
      </w:pBdr>
      <w:ind w:right="-92"/>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96B06">
                          <w:pPr>
                            <w:pStyle w:val="2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896B06">
                    <w:pPr>
                      <w:pStyle w:val="28"/>
                    </w:pPr>
                    <w:r>
                      <w:fldChar w:fldCharType="begin"/>
                    </w:r>
                    <w:r>
                      <w:instrText xml:space="preserve"> PAGE  \* MERGEFORMAT </w:instrText>
                    </w:r>
                    <w:r>
                      <w:fldChar w:fldCharType="separate"/>
                    </w:r>
                    <w:r>
                      <w:t>63</w:t>
                    </w:r>
                    <w:r>
                      <w:fldChar w:fldCharType="end"/>
                    </w:r>
                  </w:p>
                </w:txbxContent>
              </v:textbox>
            </v:shape>
          </w:pict>
        </mc:Fallback>
      </mc:AlternateContent>
    </w:r>
  </w:p>
  <w:p w14:paraId="2AF9D7E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C3BF">
    <w:pPr>
      <w:pStyle w:val="29"/>
      <w:pBdr>
        <w:bottom w:val="thickThinSmallGap" w:color="622423" w:sz="24" w:space="1"/>
      </w:pBdr>
    </w:pPr>
    <w:r>
      <w:rPr>
        <w:rFonts w:hint="eastAsia"/>
        <w:sz w:val="22"/>
        <w:szCs w:val="22"/>
        <w:lang w:eastAsia="zh-CN"/>
      </w:rPr>
      <w:t>新疆千思跃建设工程项目管理有限责任公司</w:t>
    </w:r>
    <w:r>
      <w:rPr>
        <w:rFonts w:hint="eastAsia"/>
        <w:sz w:val="22"/>
        <w:szCs w:val="22"/>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2109">
    <w:pPr>
      <w:pStyle w:val="29"/>
    </w:pPr>
    <w:r>
      <w:rPr>
        <w:rFonts w:hint="eastAsia"/>
        <w:sz w:val="22"/>
        <w:szCs w:val="22"/>
        <w:lang w:eastAsia="zh-CN"/>
      </w:rPr>
      <w:t>新疆千思跃建设工程项目管理有限责任公司</w:t>
    </w:r>
    <w:r>
      <w:rPr>
        <w:rFonts w:hint="eastAsia"/>
        <w:sz w:val="22"/>
        <w:szCs w:val="22"/>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15EF0">
    <w:pPr>
      <w:pBdr>
        <w:bottom w:val="double" w:color="auto" w:sz="8" w:space="1"/>
      </w:pBdr>
      <w:jc w:val="center"/>
      <w:rPr>
        <w:rFonts w:hint="eastAsia" w:ascii="仿宋_GB2312" w:eastAsia="仿宋_GB2312"/>
        <w:b/>
        <w:i/>
        <w:sz w:val="18"/>
        <w:szCs w:val="18"/>
        <w:highlight w:val="none"/>
        <w:lang w:eastAsia="zh-CN"/>
      </w:rPr>
    </w:pPr>
    <w:r>
      <w:rPr>
        <w:rFonts w:hint="eastAsia"/>
        <w:sz w:val="22"/>
        <w:szCs w:val="22"/>
        <w:lang w:eastAsia="zh-CN"/>
      </w:rPr>
      <w:t>新疆千思跃建设工程项目管理有限责任公司</w:t>
    </w:r>
    <w:r>
      <w:rPr>
        <w:rFonts w:hint="eastAsia"/>
        <w:sz w:val="22"/>
        <w:szCs w:val="22"/>
      </w:rPr>
      <w:t xml:space="preserve"> </w:t>
    </w:r>
    <w:r>
      <w:rPr>
        <w:szCs w:val="18"/>
        <w:highlight w:val="none"/>
      </w:rPr>
      <w:t xml:space="preserve">   </w:t>
    </w:r>
    <w:r>
      <w:rPr>
        <w:rFonts w:hint="eastAsia"/>
        <w:szCs w:val="18"/>
        <w:highlight w:val="none"/>
      </w:rPr>
      <w:t xml:space="preserve">  </w:t>
    </w:r>
    <w:r>
      <w:rPr>
        <w:rFonts w:hint="eastAsia"/>
        <w:szCs w:val="18"/>
        <w:highlight w:val="none"/>
        <w:lang w:val="en-US" w:eastAsia="zh-CN"/>
      </w:rPr>
      <w:t xml:space="preserve">       </w:t>
    </w:r>
    <w:r>
      <w:rPr>
        <w:rFonts w:hint="eastAsia"/>
        <w:szCs w:val="18"/>
        <w:highlight w:val="none"/>
      </w:rPr>
      <w:t xml:space="preserve"> </w:t>
    </w:r>
    <w:r>
      <w:rPr>
        <w:rFonts w:hint="eastAsia"/>
        <w:szCs w:val="18"/>
        <w:highlight w:val="none"/>
        <w:lang w:val="en-US" w:eastAsia="zh-CN"/>
      </w:rPr>
      <w:t xml:space="preserve">   </w:t>
    </w:r>
    <w:r>
      <w:rPr>
        <w:rFonts w:hint="eastAsia"/>
        <w:szCs w:val="18"/>
        <w:highlight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A265A"/>
    <w:multiLevelType w:val="multilevel"/>
    <w:tmpl w:val="059A2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305E00"/>
    <w:multiLevelType w:val="multilevel"/>
    <w:tmpl w:val="0B305E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CF4F13"/>
    <w:multiLevelType w:val="singleLevel"/>
    <w:tmpl w:val="12CF4F13"/>
    <w:lvl w:ilvl="0" w:tentative="0">
      <w:start w:val="3"/>
      <w:numFmt w:val="chineseCounting"/>
      <w:suff w:val="space"/>
      <w:lvlText w:val="第%1章"/>
      <w:lvlJc w:val="left"/>
      <w:pPr>
        <w:ind w:left="3780"/>
      </w:pPr>
      <w:rPr>
        <w:rFonts w:hint="eastAsia"/>
      </w:rPr>
    </w:lvl>
  </w:abstractNum>
  <w:abstractNum w:abstractNumId="3">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F3535F4"/>
    <w:multiLevelType w:val="multilevel"/>
    <w:tmpl w:val="2F3535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OTdjNzlhNGU0ODgyOTU4OWM0YWVmYjE5MTczNmIifQ=="/>
  </w:docVars>
  <w:rsids>
    <w:rsidRoot w:val="0010740B"/>
    <w:rsid w:val="0000238B"/>
    <w:rsid w:val="000803B9"/>
    <w:rsid w:val="00092321"/>
    <w:rsid w:val="0010740B"/>
    <w:rsid w:val="00107556"/>
    <w:rsid w:val="00115D85"/>
    <w:rsid w:val="001D64C8"/>
    <w:rsid w:val="001E5D32"/>
    <w:rsid w:val="0024669A"/>
    <w:rsid w:val="00261CA5"/>
    <w:rsid w:val="00285158"/>
    <w:rsid w:val="00386A79"/>
    <w:rsid w:val="00394B2D"/>
    <w:rsid w:val="003E201D"/>
    <w:rsid w:val="004569CB"/>
    <w:rsid w:val="0046337D"/>
    <w:rsid w:val="00470FA1"/>
    <w:rsid w:val="004749A3"/>
    <w:rsid w:val="004E0A79"/>
    <w:rsid w:val="00507446"/>
    <w:rsid w:val="00587F3C"/>
    <w:rsid w:val="005A0D51"/>
    <w:rsid w:val="00610F18"/>
    <w:rsid w:val="0064381A"/>
    <w:rsid w:val="0067479A"/>
    <w:rsid w:val="006942A6"/>
    <w:rsid w:val="006F34D9"/>
    <w:rsid w:val="0076383A"/>
    <w:rsid w:val="007A4A0E"/>
    <w:rsid w:val="007B665F"/>
    <w:rsid w:val="007C4903"/>
    <w:rsid w:val="0086449A"/>
    <w:rsid w:val="008B1B81"/>
    <w:rsid w:val="008C6C96"/>
    <w:rsid w:val="009210EE"/>
    <w:rsid w:val="009C1207"/>
    <w:rsid w:val="00A37DE8"/>
    <w:rsid w:val="00A4090B"/>
    <w:rsid w:val="00A67013"/>
    <w:rsid w:val="00A841B5"/>
    <w:rsid w:val="00A92772"/>
    <w:rsid w:val="00AB2218"/>
    <w:rsid w:val="00B106E6"/>
    <w:rsid w:val="00B2314D"/>
    <w:rsid w:val="00B413EA"/>
    <w:rsid w:val="00B75F47"/>
    <w:rsid w:val="00BC2B21"/>
    <w:rsid w:val="00BD3B92"/>
    <w:rsid w:val="00BF72B2"/>
    <w:rsid w:val="00C603FA"/>
    <w:rsid w:val="00CE215C"/>
    <w:rsid w:val="00CF572F"/>
    <w:rsid w:val="00D17727"/>
    <w:rsid w:val="00E04D5D"/>
    <w:rsid w:val="00E259D7"/>
    <w:rsid w:val="00E30544"/>
    <w:rsid w:val="00E93FAB"/>
    <w:rsid w:val="00EC795C"/>
    <w:rsid w:val="00F0096B"/>
    <w:rsid w:val="00F22A61"/>
    <w:rsid w:val="00F43C45"/>
    <w:rsid w:val="00F6344F"/>
    <w:rsid w:val="00F64A8A"/>
    <w:rsid w:val="00F64D95"/>
    <w:rsid w:val="00FF718A"/>
    <w:rsid w:val="013C3B35"/>
    <w:rsid w:val="01540852"/>
    <w:rsid w:val="021B2EC3"/>
    <w:rsid w:val="02A302FA"/>
    <w:rsid w:val="02B90A96"/>
    <w:rsid w:val="02D359A2"/>
    <w:rsid w:val="02DE3156"/>
    <w:rsid w:val="02F703A7"/>
    <w:rsid w:val="0307187B"/>
    <w:rsid w:val="030B33C5"/>
    <w:rsid w:val="036208CD"/>
    <w:rsid w:val="03782B4D"/>
    <w:rsid w:val="039A141B"/>
    <w:rsid w:val="03BD1133"/>
    <w:rsid w:val="03C44E26"/>
    <w:rsid w:val="03D573A8"/>
    <w:rsid w:val="03DE126C"/>
    <w:rsid w:val="03EB77BF"/>
    <w:rsid w:val="0481129B"/>
    <w:rsid w:val="04C43110"/>
    <w:rsid w:val="0507235C"/>
    <w:rsid w:val="05143C57"/>
    <w:rsid w:val="054F07D9"/>
    <w:rsid w:val="05931445"/>
    <w:rsid w:val="05B96E85"/>
    <w:rsid w:val="05C43042"/>
    <w:rsid w:val="05EB05C8"/>
    <w:rsid w:val="05ED58B4"/>
    <w:rsid w:val="061463D3"/>
    <w:rsid w:val="06AB256C"/>
    <w:rsid w:val="06FE205F"/>
    <w:rsid w:val="07293E29"/>
    <w:rsid w:val="073F6C07"/>
    <w:rsid w:val="080710DE"/>
    <w:rsid w:val="083243C4"/>
    <w:rsid w:val="083C2724"/>
    <w:rsid w:val="088E3F19"/>
    <w:rsid w:val="08AE1E4D"/>
    <w:rsid w:val="08D2034A"/>
    <w:rsid w:val="08FD71AF"/>
    <w:rsid w:val="096977A7"/>
    <w:rsid w:val="097E79A1"/>
    <w:rsid w:val="09AA0CC1"/>
    <w:rsid w:val="09E412E0"/>
    <w:rsid w:val="0A150334"/>
    <w:rsid w:val="0A267C2E"/>
    <w:rsid w:val="0A5813A7"/>
    <w:rsid w:val="0A73098A"/>
    <w:rsid w:val="0A8418A7"/>
    <w:rsid w:val="0A9B04CF"/>
    <w:rsid w:val="0AA11E2C"/>
    <w:rsid w:val="0AB56828"/>
    <w:rsid w:val="0AD82E56"/>
    <w:rsid w:val="0AF67B2D"/>
    <w:rsid w:val="0AF80CAA"/>
    <w:rsid w:val="0B121274"/>
    <w:rsid w:val="0B1C0A08"/>
    <w:rsid w:val="0B4D7AB8"/>
    <w:rsid w:val="0B674E03"/>
    <w:rsid w:val="0B9C1CA8"/>
    <w:rsid w:val="0BF90AE4"/>
    <w:rsid w:val="0C460F0C"/>
    <w:rsid w:val="0C7A2837"/>
    <w:rsid w:val="0CA23D85"/>
    <w:rsid w:val="0CBE29EE"/>
    <w:rsid w:val="0CC21072"/>
    <w:rsid w:val="0CD12600"/>
    <w:rsid w:val="0CDD0064"/>
    <w:rsid w:val="0D223219"/>
    <w:rsid w:val="0D2E4723"/>
    <w:rsid w:val="0D99308F"/>
    <w:rsid w:val="0DB8037C"/>
    <w:rsid w:val="0DB9736A"/>
    <w:rsid w:val="0DBD3071"/>
    <w:rsid w:val="0DBE1BCE"/>
    <w:rsid w:val="0DEB1BBD"/>
    <w:rsid w:val="0E4B23D3"/>
    <w:rsid w:val="0E7F4067"/>
    <w:rsid w:val="0E84628F"/>
    <w:rsid w:val="0E8D5049"/>
    <w:rsid w:val="0ECD1AB4"/>
    <w:rsid w:val="0EE3333A"/>
    <w:rsid w:val="0F2A375A"/>
    <w:rsid w:val="0F382290"/>
    <w:rsid w:val="0F4939F6"/>
    <w:rsid w:val="0F8021FE"/>
    <w:rsid w:val="0FD03957"/>
    <w:rsid w:val="0FE4089C"/>
    <w:rsid w:val="105E41AB"/>
    <w:rsid w:val="10BF3B2F"/>
    <w:rsid w:val="10D93C93"/>
    <w:rsid w:val="111410BF"/>
    <w:rsid w:val="115C5A72"/>
    <w:rsid w:val="1188256A"/>
    <w:rsid w:val="119322C4"/>
    <w:rsid w:val="11994C65"/>
    <w:rsid w:val="11E83697"/>
    <w:rsid w:val="120522C8"/>
    <w:rsid w:val="1215303A"/>
    <w:rsid w:val="12481FCC"/>
    <w:rsid w:val="12870D7E"/>
    <w:rsid w:val="1299714C"/>
    <w:rsid w:val="12AD766B"/>
    <w:rsid w:val="12C66037"/>
    <w:rsid w:val="12CF0F42"/>
    <w:rsid w:val="133B06CB"/>
    <w:rsid w:val="14033803"/>
    <w:rsid w:val="1410707E"/>
    <w:rsid w:val="1413453E"/>
    <w:rsid w:val="146F2E2A"/>
    <w:rsid w:val="15095B9A"/>
    <w:rsid w:val="15256B20"/>
    <w:rsid w:val="152A02A9"/>
    <w:rsid w:val="15367EF7"/>
    <w:rsid w:val="154A56B9"/>
    <w:rsid w:val="15807C55"/>
    <w:rsid w:val="15D75342"/>
    <w:rsid w:val="16025E2F"/>
    <w:rsid w:val="16111629"/>
    <w:rsid w:val="166D78A2"/>
    <w:rsid w:val="16D60ACE"/>
    <w:rsid w:val="17552F71"/>
    <w:rsid w:val="176A10BF"/>
    <w:rsid w:val="17D84C98"/>
    <w:rsid w:val="180112F6"/>
    <w:rsid w:val="18183844"/>
    <w:rsid w:val="18345F44"/>
    <w:rsid w:val="18C76615"/>
    <w:rsid w:val="1912647A"/>
    <w:rsid w:val="19237869"/>
    <w:rsid w:val="193F4FC1"/>
    <w:rsid w:val="19510D02"/>
    <w:rsid w:val="19921E03"/>
    <w:rsid w:val="1A365A99"/>
    <w:rsid w:val="1AC92A69"/>
    <w:rsid w:val="1ACA3B0B"/>
    <w:rsid w:val="1B1C713C"/>
    <w:rsid w:val="1B383CEE"/>
    <w:rsid w:val="1B384A4E"/>
    <w:rsid w:val="1B8B16A2"/>
    <w:rsid w:val="1C32622F"/>
    <w:rsid w:val="1CC72A30"/>
    <w:rsid w:val="1D10290C"/>
    <w:rsid w:val="1D296C19"/>
    <w:rsid w:val="1DB34F4D"/>
    <w:rsid w:val="1DEE1BDD"/>
    <w:rsid w:val="1E2A1857"/>
    <w:rsid w:val="1E4A2472"/>
    <w:rsid w:val="1E637F72"/>
    <w:rsid w:val="1EC33ECA"/>
    <w:rsid w:val="1EF46AD2"/>
    <w:rsid w:val="1EF7781D"/>
    <w:rsid w:val="1F115B5C"/>
    <w:rsid w:val="1F566A57"/>
    <w:rsid w:val="1F8A7AB8"/>
    <w:rsid w:val="1F9D3B08"/>
    <w:rsid w:val="20790B8D"/>
    <w:rsid w:val="20A235F8"/>
    <w:rsid w:val="20B9542D"/>
    <w:rsid w:val="20DD0C14"/>
    <w:rsid w:val="20E47CDB"/>
    <w:rsid w:val="215C7877"/>
    <w:rsid w:val="224D7E71"/>
    <w:rsid w:val="2310688A"/>
    <w:rsid w:val="234C14C9"/>
    <w:rsid w:val="23671171"/>
    <w:rsid w:val="2368771E"/>
    <w:rsid w:val="23BA5E75"/>
    <w:rsid w:val="23F043B9"/>
    <w:rsid w:val="247456DF"/>
    <w:rsid w:val="247753E3"/>
    <w:rsid w:val="24EA70C5"/>
    <w:rsid w:val="251574A6"/>
    <w:rsid w:val="25667607"/>
    <w:rsid w:val="25852EEF"/>
    <w:rsid w:val="259E1280"/>
    <w:rsid w:val="25A521AF"/>
    <w:rsid w:val="267A2947"/>
    <w:rsid w:val="268D6FA0"/>
    <w:rsid w:val="26F24F01"/>
    <w:rsid w:val="275211AD"/>
    <w:rsid w:val="2776673B"/>
    <w:rsid w:val="27924ABA"/>
    <w:rsid w:val="27ED4C54"/>
    <w:rsid w:val="28225455"/>
    <w:rsid w:val="28797D71"/>
    <w:rsid w:val="288914B1"/>
    <w:rsid w:val="28BD4CDE"/>
    <w:rsid w:val="28DF1AC4"/>
    <w:rsid w:val="299F2C68"/>
    <w:rsid w:val="29FA5D0C"/>
    <w:rsid w:val="2A0E5DE8"/>
    <w:rsid w:val="2A1711BC"/>
    <w:rsid w:val="2A331144"/>
    <w:rsid w:val="2AAB61D9"/>
    <w:rsid w:val="2B047976"/>
    <w:rsid w:val="2B320DF2"/>
    <w:rsid w:val="2BAA609E"/>
    <w:rsid w:val="2BD530E7"/>
    <w:rsid w:val="2BD96B47"/>
    <w:rsid w:val="2C5F4BD1"/>
    <w:rsid w:val="2D0C0414"/>
    <w:rsid w:val="2D346567"/>
    <w:rsid w:val="2D625324"/>
    <w:rsid w:val="2D9A2207"/>
    <w:rsid w:val="2E0E30F7"/>
    <w:rsid w:val="2E3D5918"/>
    <w:rsid w:val="2EB571A4"/>
    <w:rsid w:val="2FD86925"/>
    <w:rsid w:val="30F32296"/>
    <w:rsid w:val="31025D2C"/>
    <w:rsid w:val="31156715"/>
    <w:rsid w:val="31AA0271"/>
    <w:rsid w:val="31E95E94"/>
    <w:rsid w:val="3246740A"/>
    <w:rsid w:val="328A7B87"/>
    <w:rsid w:val="32D44E75"/>
    <w:rsid w:val="33076A80"/>
    <w:rsid w:val="330D1186"/>
    <w:rsid w:val="33717B73"/>
    <w:rsid w:val="337D170B"/>
    <w:rsid w:val="342310CC"/>
    <w:rsid w:val="34876C83"/>
    <w:rsid w:val="350925D2"/>
    <w:rsid w:val="352E08AA"/>
    <w:rsid w:val="354B4A67"/>
    <w:rsid w:val="35886536"/>
    <w:rsid w:val="35AA4C8B"/>
    <w:rsid w:val="362F55ED"/>
    <w:rsid w:val="364B1FC1"/>
    <w:rsid w:val="36865185"/>
    <w:rsid w:val="36E65426"/>
    <w:rsid w:val="376C7344"/>
    <w:rsid w:val="3783651C"/>
    <w:rsid w:val="379B411C"/>
    <w:rsid w:val="38054762"/>
    <w:rsid w:val="382B6E4E"/>
    <w:rsid w:val="38522031"/>
    <w:rsid w:val="385E0D11"/>
    <w:rsid w:val="38680FA1"/>
    <w:rsid w:val="386B0BAC"/>
    <w:rsid w:val="39007C46"/>
    <w:rsid w:val="39164732"/>
    <w:rsid w:val="3955095E"/>
    <w:rsid w:val="39AC2C5A"/>
    <w:rsid w:val="3A1F7725"/>
    <w:rsid w:val="3A577D39"/>
    <w:rsid w:val="3A6C5593"/>
    <w:rsid w:val="3A77523F"/>
    <w:rsid w:val="3A977973"/>
    <w:rsid w:val="3AB361F8"/>
    <w:rsid w:val="3ADB3E00"/>
    <w:rsid w:val="3AE8186D"/>
    <w:rsid w:val="3B5E6906"/>
    <w:rsid w:val="3B726878"/>
    <w:rsid w:val="3B986CBB"/>
    <w:rsid w:val="3BAD4288"/>
    <w:rsid w:val="3C2A6AF7"/>
    <w:rsid w:val="3CB20BA1"/>
    <w:rsid w:val="3CBE2609"/>
    <w:rsid w:val="3CE0063C"/>
    <w:rsid w:val="3D233F03"/>
    <w:rsid w:val="3D266A02"/>
    <w:rsid w:val="3D740E64"/>
    <w:rsid w:val="3D870723"/>
    <w:rsid w:val="3D957D37"/>
    <w:rsid w:val="3DC54A89"/>
    <w:rsid w:val="3F851ADA"/>
    <w:rsid w:val="3FB4129F"/>
    <w:rsid w:val="3FBA0885"/>
    <w:rsid w:val="3FDC6844"/>
    <w:rsid w:val="3FDC6F95"/>
    <w:rsid w:val="403E1F5F"/>
    <w:rsid w:val="40A370F7"/>
    <w:rsid w:val="40B82A44"/>
    <w:rsid w:val="40CA494F"/>
    <w:rsid w:val="411E27A8"/>
    <w:rsid w:val="41837C0C"/>
    <w:rsid w:val="41E22DC7"/>
    <w:rsid w:val="41E61094"/>
    <w:rsid w:val="41FA7DE9"/>
    <w:rsid w:val="420A5691"/>
    <w:rsid w:val="421C3294"/>
    <w:rsid w:val="431432C8"/>
    <w:rsid w:val="43482915"/>
    <w:rsid w:val="43AA0F1F"/>
    <w:rsid w:val="43CA6E72"/>
    <w:rsid w:val="44664090"/>
    <w:rsid w:val="446A1002"/>
    <w:rsid w:val="44801419"/>
    <w:rsid w:val="44B40DFC"/>
    <w:rsid w:val="44BB6EA0"/>
    <w:rsid w:val="44EC2651"/>
    <w:rsid w:val="450F6A31"/>
    <w:rsid w:val="45154265"/>
    <w:rsid w:val="452C1EF9"/>
    <w:rsid w:val="45620E8D"/>
    <w:rsid w:val="459C40C1"/>
    <w:rsid w:val="45E23A9D"/>
    <w:rsid w:val="46032F36"/>
    <w:rsid w:val="46360220"/>
    <w:rsid w:val="465E7CB8"/>
    <w:rsid w:val="468E063F"/>
    <w:rsid w:val="4698062B"/>
    <w:rsid w:val="46DD2912"/>
    <w:rsid w:val="47051512"/>
    <w:rsid w:val="473514E8"/>
    <w:rsid w:val="476A7AF4"/>
    <w:rsid w:val="4782707A"/>
    <w:rsid w:val="478B4A59"/>
    <w:rsid w:val="47A3169B"/>
    <w:rsid w:val="47FD0C82"/>
    <w:rsid w:val="48022AA8"/>
    <w:rsid w:val="48050451"/>
    <w:rsid w:val="481E45C3"/>
    <w:rsid w:val="483D3A2C"/>
    <w:rsid w:val="48E2765F"/>
    <w:rsid w:val="494F7F54"/>
    <w:rsid w:val="49651784"/>
    <w:rsid w:val="496C3FBD"/>
    <w:rsid w:val="498C492A"/>
    <w:rsid w:val="49951CE4"/>
    <w:rsid w:val="49AB1B3F"/>
    <w:rsid w:val="49E72937"/>
    <w:rsid w:val="4A280DAA"/>
    <w:rsid w:val="4A2C4394"/>
    <w:rsid w:val="4AB573FC"/>
    <w:rsid w:val="4B450FC6"/>
    <w:rsid w:val="4B9F71FC"/>
    <w:rsid w:val="4BDE6AB3"/>
    <w:rsid w:val="4BE17AFB"/>
    <w:rsid w:val="4C10607D"/>
    <w:rsid w:val="4C131059"/>
    <w:rsid w:val="4C63431C"/>
    <w:rsid w:val="4D4C5EA3"/>
    <w:rsid w:val="4D706D4F"/>
    <w:rsid w:val="4D727900"/>
    <w:rsid w:val="4DFA6940"/>
    <w:rsid w:val="4E3901A7"/>
    <w:rsid w:val="4E725C49"/>
    <w:rsid w:val="4EFD621C"/>
    <w:rsid w:val="4F3C45A3"/>
    <w:rsid w:val="50130FBD"/>
    <w:rsid w:val="50331ED3"/>
    <w:rsid w:val="5039701E"/>
    <w:rsid w:val="50A13449"/>
    <w:rsid w:val="50B372ED"/>
    <w:rsid w:val="50B963F0"/>
    <w:rsid w:val="50D6330E"/>
    <w:rsid w:val="50E5707E"/>
    <w:rsid w:val="50EC20C9"/>
    <w:rsid w:val="516B68C8"/>
    <w:rsid w:val="517D5E7F"/>
    <w:rsid w:val="51AC1F40"/>
    <w:rsid w:val="51E00991"/>
    <w:rsid w:val="52282C7F"/>
    <w:rsid w:val="5263221D"/>
    <w:rsid w:val="53850DE6"/>
    <w:rsid w:val="53AB773B"/>
    <w:rsid w:val="53BA4E1E"/>
    <w:rsid w:val="53F45C4E"/>
    <w:rsid w:val="54414F42"/>
    <w:rsid w:val="54673759"/>
    <w:rsid w:val="546E406F"/>
    <w:rsid w:val="54840A17"/>
    <w:rsid w:val="548529D7"/>
    <w:rsid w:val="54B9335E"/>
    <w:rsid w:val="56252926"/>
    <w:rsid w:val="568B6949"/>
    <w:rsid w:val="56CA4862"/>
    <w:rsid w:val="56EA1678"/>
    <w:rsid w:val="570137BC"/>
    <w:rsid w:val="57547DC2"/>
    <w:rsid w:val="576A5C60"/>
    <w:rsid w:val="576C0DA0"/>
    <w:rsid w:val="58006BC0"/>
    <w:rsid w:val="582F16C2"/>
    <w:rsid w:val="585E0F1A"/>
    <w:rsid w:val="58D87F41"/>
    <w:rsid w:val="58E40770"/>
    <w:rsid w:val="58FF3A68"/>
    <w:rsid w:val="592025E4"/>
    <w:rsid w:val="5956150A"/>
    <w:rsid w:val="595E2C0F"/>
    <w:rsid w:val="5987078B"/>
    <w:rsid w:val="5A490FF5"/>
    <w:rsid w:val="5AAD2B54"/>
    <w:rsid w:val="5B6B5022"/>
    <w:rsid w:val="5B886359"/>
    <w:rsid w:val="5BE52E11"/>
    <w:rsid w:val="5C2E04A2"/>
    <w:rsid w:val="5C314037"/>
    <w:rsid w:val="5CC44962"/>
    <w:rsid w:val="5CCF2F27"/>
    <w:rsid w:val="5CEF3732"/>
    <w:rsid w:val="5D2C42B6"/>
    <w:rsid w:val="5D405547"/>
    <w:rsid w:val="5D4B7C1F"/>
    <w:rsid w:val="5DA24E17"/>
    <w:rsid w:val="5DF917E6"/>
    <w:rsid w:val="5E0F686A"/>
    <w:rsid w:val="5E5D0BCB"/>
    <w:rsid w:val="5E882457"/>
    <w:rsid w:val="5E9919A2"/>
    <w:rsid w:val="5E9B0E94"/>
    <w:rsid w:val="5EBE2EB3"/>
    <w:rsid w:val="5EEA3EB6"/>
    <w:rsid w:val="5EF3687E"/>
    <w:rsid w:val="5F0B0627"/>
    <w:rsid w:val="5F124EDD"/>
    <w:rsid w:val="5F7D3905"/>
    <w:rsid w:val="5FFE30DC"/>
    <w:rsid w:val="60347FC5"/>
    <w:rsid w:val="61641B17"/>
    <w:rsid w:val="61905AF4"/>
    <w:rsid w:val="619D39D4"/>
    <w:rsid w:val="61C471B3"/>
    <w:rsid w:val="62400EAD"/>
    <w:rsid w:val="62D022B3"/>
    <w:rsid w:val="63336C82"/>
    <w:rsid w:val="6358747B"/>
    <w:rsid w:val="63E92C7F"/>
    <w:rsid w:val="64206061"/>
    <w:rsid w:val="64421632"/>
    <w:rsid w:val="645541C2"/>
    <w:rsid w:val="6460505B"/>
    <w:rsid w:val="647014C5"/>
    <w:rsid w:val="64C35501"/>
    <w:rsid w:val="64CE39A5"/>
    <w:rsid w:val="64ED1AE5"/>
    <w:rsid w:val="657C0B87"/>
    <w:rsid w:val="65E067AC"/>
    <w:rsid w:val="65F04C74"/>
    <w:rsid w:val="6683644C"/>
    <w:rsid w:val="66CB7FB6"/>
    <w:rsid w:val="66F41BC6"/>
    <w:rsid w:val="672952BD"/>
    <w:rsid w:val="682855FA"/>
    <w:rsid w:val="68653602"/>
    <w:rsid w:val="687B3C27"/>
    <w:rsid w:val="687D3777"/>
    <w:rsid w:val="689B738C"/>
    <w:rsid w:val="68C069F6"/>
    <w:rsid w:val="690232D2"/>
    <w:rsid w:val="69556629"/>
    <w:rsid w:val="695C7769"/>
    <w:rsid w:val="69CC30A8"/>
    <w:rsid w:val="69E60A9C"/>
    <w:rsid w:val="69F15557"/>
    <w:rsid w:val="6A333052"/>
    <w:rsid w:val="6A3E7B36"/>
    <w:rsid w:val="6AB37D1A"/>
    <w:rsid w:val="6AFC73AE"/>
    <w:rsid w:val="6B0547D1"/>
    <w:rsid w:val="6B7F5774"/>
    <w:rsid w:val="6B9A086E"/>
    <w:rsid w:val="6BAB5DC9"/>
    <w:rsid w:val="6BC1359C"/>
    <w:rsid w:val="6BF846D1"/>
    <w:rsid w:val="6C01454D"/>
    <w:rsid w:val="6C192F45"/>
    <w:rsid w:val="6C4838A5"/>
    <w:rsid w:val="6D201C56"/>
    <w:rsid w:val="6D9608C0"/>
    <w:rsid w:val="6DC537B7"/>
    <w:rsid w:val="6DC8415B"/>
    <w:rsid w:val="6E2B11CE"/>
    <w:rsid w:val="6E3631E6"/>
    <w:rsid w:val="6E4512D6"/>
    <w:rsid w:val="6E4F5D68"/>
    <w:rsid w:val="6E873A48"/>
    <w:rsid w:val="6E916532"/>
    <w:rsid w:val="6EA27DCE"/>
    <w:rsid w:val="6EC26886"/>
    <w:rsid w:val="6ED04B50"/>
    <w:rsid w:val="6EE13152"/>
    <w:rsid w:val="6F05152D"/>
    <w:rsid w:val="6F1A502C"/>
    <w:rsid w:val="6F2B6D0F"/>
    <w:rsid w:val="6F8831C6"/>
    <w:rsid w:val="6F9525CF"/>
    <w:rsid w:val="6FD64AFF"/>
    <w:rsid w:val="701029C9"/>
    <w:rsid w:val="70687416"/>
    <w:rsid w:val="713A05CA"/>
    <w:rsid w:val="71F45899"/>
    <w:rsid w:val="72031631"/>
    <w:rsid w:val="721372E8"/>
    <w:rsid w:val="72785B7B"/>
    <w:rsid w:val="729470D1"/>
    <w:rsid w:val="72B16CEB"/>
    <w:rsid w:val="732D61CF"/>
    <w:rsid w:val="734279EA"/>
    <w:rsid w:val="735E501F"/>
    <w:rsid w:val="73804938"/>
    <w:rsid w:val="73C3376E"/>
    <w:rsid w:val="741B2C62"/>
    <w:rsid w:val="741D6555"/>
    <w:rsid w:val="74204E87"/>
    <w:rsid w:val="747D6965"/>
    <w:rsid w:val="74A87615"/>
    <w:rsid w:val="74D2336D"/>
    <w:rsid w:val="74FF3956"/>
    <w:rsid w:val="752848B6"/>
    <w:rsid w:val="757C3BD5"/>
    <w:rsid w:val="75852944"/>
    <w:rsid w:val="75FD347E"/>
    <w:rsid w:val="76436AB4"/>
    <w:rsid w:val="765E2E38"/>
    <w:rsid w:val="76711C37"/>
    <w:rsid w:val="76C37AAC"/>
    <w:rsid w:val="76CA7D2C"/>
    <w:rsid w:val="76E65A48"/>
    <w:rsid w:val="771623CD"/>
    <w:rsid w:val="77362AB4"/>
    <w:rsid w:val="776F06D1"/>
    <w:rsid w:val="77D200E8"/>
    <w:rsid w:val="77D4404A"/>
    <w:rsid w:val="78747050"/>
    <w:rsid w:val="78833A69"/>
    <w:rsid w:val="78BD0159"/>
    <w:rsid w:val="78EE0B2B"/>
    <w:rsid w:val="794D2E78"/>
    <w:rsid w:val="79DF287E"/>
    <w:rsid w:val="79FD2D9D"/>
    <w:rsid w:val="7A4D46B7"/>
    <w:rsid w:val="7A6FD4B3"/>
    <w:rsid w:val="7A8B5F2D"/>
    <w:rsid w:val="7AEEAA5B"/>
    <w:rsid w:val="7B186783"/>
    <w:rsid w:val="7B7E0A21"/>
    <w:rsid w:val="7BAC1ED5"/>
    <w:rsid w:val="7BD019F5"/>
    <w:rsid w:val="7BF44D17"/>
    <w:rsid w:val="7C1761F8"/>
    <w:rsid w:val="7C5373E2"/>
    <w:rsid w:val="7CC876FF"/>
    <w:rsid w:val="7CD10C1B"/>
    <w:rsid w:val="7D7C3545"/>
    <w:rsid w:val="7DAC056D"/>
    <w:rsid w:val="7E146715"/>
    <w:rsid w:val="7E80598D"/>
    <w:rsid w:val="7EA247E7"/>
    <w:rsid w:val="7EAE3FE5"/>
    <w:rsid w:val="7EB515D3"/>
    <w:rsid w:val="7F135CCD"/>
    <w:rsid w:val="7F3B6C94"/>
    <w:rsid w:val="7FC91006"/>
    <w:rsid w:val="7FD718AE"/>
    <w:rsid w:val="7FE27DC4"/>
    <w:rsid w:val="7FF37DD7"/>
    <w:rsid w:val="BAFF1BDA"/>
    <w:rsid w:val="BD7920B6"/>
    <w:rsid w:val="F5DE0F46"/>
    <w:rsid w:val="F7DBFBFE"/>
    <w:rsid w:val="FAF37285"/>
    <w:rsid w:val="FB99F376"/>
    <w:rsid w:val="FEFF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3"/>
    <w:qFormat/>
    <w:uiPriority w:val="0"/>
    <w:pPr>
      <w:keepNext/>
      <w:tabs>
        <w:tab w:val="left" w:pos="360"/>
      </w:tabs>
      <w:ind w:left="360" w:hanging="360"/>
      <w:outlineLvl w:val="0"/>
    </w:pPr>
    <w:rPr>
      <w:b/>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link w:val="95"/>
    <w:qFormat/>
    <w:uiPriority w:val="0"/>
    <w:pPr>
      <w:outlineLvl w:val="2"/>
    </w:pPr>
    <w:rPr>
      <w:bCs/>
      <w:szCs w:val="32"/>
    </w:rPr>
  </w:style>
  <w:style w:type="paragraph" w:styleId="5">
    <w:name w:val="heading 4"/>
    <w:basedOn w:val="1"/>
    <w:next w:val="1"/>
    <w:link w:val="9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97"/>
    <w:qFormat/>
    <w:uiPriority w:val="0"/>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98"/>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99"/>
    <w:qFormat/>
    <w:uiPriority w:val="0"/>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10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101"/>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style>
  <w:style w:type="paragraph" w:styleId="12">
    <w:name w:val="Normal Indent"/>
    <w:basedOn w:val="1"/>
    <w:next w:val="1"/>
    <w:link w:val="124"/>
    <w:qFormat/>
    <w:uiPriority w:val="99"/>
    <w:pPr>
      <w:ind w:firstLine="420" w:firstLineChars="200"/>
    </w:pPr>
    <w:rPr>
      <w:rFonts w:ascii="Calibri" w:hAnsi="Calibri" w:cs="黑体"/>
      <w:szCs w:val="24"/>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133"/>
    <w:qFormat/>
    <w:uiPriority w:val="0"/>
    <w:pPr>
      <w:shd w:val="clear" w:color="auto" w:fill="000080"/>
    </w:pPr>
    <w:rPr>
      <w:rFonts w:ascii="Calibri" w:hAnsi="Calibri" w:cs="黑体"/>
      <w:szCs w:val="22"/>
    </w:rPr>
  </w:style>
  <w:style w:type="paragraph" w:styleId="15">
    <w:name w:val="toa heading"/>
    <w:basedOn w:val="1"/>
    <w:next w:val="1"/>
    <w:qFormat/>
    <w:uiPriority w:val="0"/>
    <w:pPr>
      <w:spacing w:before="120"/>
    </w:pPr>
    <w:rPr>
      <w:rFonts w:ascii="Arial" w:hAnsi="Arial"/>
      <w:sz w:val="24"/>
      <w:szCs w:val="21"/>
    </w:rPr>
  </w:style>
  <w:style w:type="paragraph" w:styleId="16">
    <w:name w:val="annotation text"/>
    <w:basedOn w:val="1"/>
    <w:link w:val="138"/>
    <w:unhideWhenUsed/>
    <w:qFormat/>
    <w:uiPriority w:val="99"/>
    <w:pPr>
      <w:jc w:val="left"/>
    </w:pPr>
  </w:style>
  <w:style w:type="paragraph" w:styleId="17">
    <w:name w:val="index 6"/>
    <w:basedOn w:val="1"/>
    <w:next w:val="1"/>
    <w:qFormat/>
    <w:uiPriority w:val="99"/>
    <w:pPr>
      <w:ind w:left="2100"/>
    </w:pPr>
  </w:style>
  <w:style w:type="paragraph" w:styleId="18">
    <w:name w:val="Salutation"/>
    <w:basedOn w:val="1"/>
    <w:next w:val="1"/>
    <w:link w:val="103"/>
    <w:qFormat/>
    <w:uiPriority w:val="0"/>
    <w:rPr>
      <w:rFonts w:ascii="宋体"/>
      <w:b/>
      <w:sz w:val="28"/>
    </w:rPr>
  </w:style>
  <w:style w:type="paragraph" w:styleId="19">
    <w:name w:val="Body Text"/>
    <w:basedOn w:val="1"/>
    <w:link w:val="134"/>
    <w:qFormat/>
    <w:uiPriority w:val="0"/>
    <w:rPr>
      <w:rFonts w:ascii="Arial" w:hAnsi="Arial" w:cs="Arial"/>
      <w:sz w:val="24"/>
      <w:szCs w:val="22"/>
    </w:rPr>
  </w:style>
  <w:style w:type="paragraph" w:styleId="20">
    <w:name w:val="Body Text Indent"/>
    <w:basedOn w:val="1"/>
    <w:next w:val="21"/>
    <w:link w:val="105"/>
    <w:qFormat/>
    <w:uiPriority w:val="0"/>
    <w:pPr>
      <w:ind w:firstLine="480"/>
    </w:pPr>
    <w:rPr>
      <w:rFonts w:ascii="宋体" w:hAnsi="宋体"/>
      <w:sz w:val="24"/>
    </w:rPr>
  </w:style>
  <w:style w:type="paragraph" w:styleId="21">
    <w:name w:val="envelope return"/>
    <w:basedOn w:val="1"/>
    <w:qFormat/>
    <w:uiPriority w:val="0"/>
    <w:pPr>
      <w:topLinePunct/>
      <w:snapToGrid w:val="0"/>
    </w:pPr>
    <w:rPr>
      <w:rFonts w:ascii="Arial" w:hAnsi="Arial" w:cs="Arial"/>
    </w:rPr>
  </w:style>
  <w:style w:type="paragraph" w:styleId="22">
    <w:name w:val="Block Text"/>
    <w:basedOn w:val="19"/>
    <w:qFormat/>
    <w:uiPriority w:val="99"/>
    <w:pPr>
      <w:ind w:left="1171" w:right="91" w:hanging="1080"/>
    </w:pPr>
    <w:rPr>
      <w:rFonts w:eastAsia="楷体_GB2312"/>
    </w:rPr>
  </w:style>
  <w:style w:type="paragraph" w:styleId="23">
    <w:name w:val="toc 3"/>
    <w:basedOn w:val="1"/>
    <w:next w:val="1"/>
    <w:qFormat/>
    <w:uiPriority w:val="39"/>
    <w:pPr>
      <w:ind w:left="840" w:leftChars="400"/>
    </w:pPr>
  </w:style>
  <w:style w:type="paragraph" w:styleId="24">
    <w:name w:val="Plain Text"/>
    <w:basedOn w:val="1"/>
    <w:link w:val="135"/>
    <w:qFormat/>
    <w:uiPriority w:val="0"/>
    <w:rPr>
      <w:rFonts w:ascii="宋体" w:hAnsi="Courier New" w:cs="黑体"/>
      <w:szCs w:val="22"/>
    </w:rPr>
  </w:style>
  <w:style w:type="paragraph" w:styleId="25">
    <w:name w:val="Date"/>
    <w:basedOn w:val="1"/>
    <w:next w:val="1"/>
    <w:link w:val="107"/>
    <w:qFormat/>
    <w:uiPriority w:val="0"/>
    <w:pPr>
      <w:ind w:left="100"/>
    </w:pPr>
    <w:rPr>
      <w:sz w:val="24"/>
    </w:rPr>
  </w:style>
  <w:style w:type="paragraph" w:styleId="26">
    <w:name w:val="Body Text Indent 2"/>
    <w:basedOn w:val="1"/>
    <w:link w:val="132"/>
    <w:qFormat/>
    <w:uiPriority w:val="0"/>
    <w:pPr>
      <w:ind w:firstLine="435"/>
    </w:pPr>
    <w:rPr>
      <w:rFonts w:ascii="宋体" w:hAnsi="宋体" w:cs="黑体"/>
      <w:sz w:val="24"/>
      <w:szCs w:val="22"/>
    </w:rPr>
  </w:style>
  <w:style w:type="paragraph" w:styleId="27">
    <w:name w:val="Balloon Text"/>
    <w:basedOn w:val="1"/>
    <w:link w:val="109"/>
    <w:semiHidden/>
    <w:qFormat/>
    <w:uiPriority w:val="0"/>
    <w:rPr>
      <w:sz w:val="18"/>
      <w:szCs w:val="18"/>
    </w:rPr>
  </w:style>
  <w:style w:type="paragraph" w:styleId="28">
    <w:name w:val="footer"/>
    <w:basedOn w:val="1"/>
    <w:link w:val="110"/>
    <w:unhideWhenUsed/>
    <w:qFormat/>
    <w:uiPriority w:val="99"/>
    <w:pPr>
      <w:tabs>
        <w:tab w:val="center" w:pos="4153"/>
        <w:tab w:val="right" w:pos="8306"/>
      </w:tabs>
      <w:snapToGrid w:val="0"/>
      <w:jc w:val="left"/>
    </w:pPr>
    <w:rPr>
      <w:sz w:val="18"/>
      <w:szCs w:val="18"/>
    </w:rPr>
  </w:style>
  <w:style w:type="paragraph" w:styleId="29">
    <w:name w:val="header"/>
    <w:basedOn w:val="1"/>
    <w:link w:val="11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List"/>
    <w:basedOn w:val="1"/>
    <w:unhideWhenUsed/>
    <w:qFormat/>
    <w:uiPriority w:val="0"/>
    <w:pPr>
      <w:ind w:left="200" w:hanging="200" w:hangingChars="200"/>
      <w:contextualSpacing/>
    </w:pPr>
    <w:rPr>
      <w:sz w:val="20"/>
    </w:rPr>
  </w:style>
  <w:style w:type="paragraph" w:styleId="32">
    <w:name w:val="footnote text"/>
    <w:basedOn w:val="1"/>
    <w:unhideWhenUsed/>
    <w:qFormat/>
    <w:uiPriority w:val="99"/>
    <w:pPr>
      <w:snapToGrid w:val="0"/>
      <w:jc w:val="left"/>
    </w:pPr>
    <w:rPr>
      <w:sz w:val="18"/>
      <w:szCs w:val="18"/>
    </w:rPr>
  </w:style>
  <w:style w:type="paragraph" w:styleId="33">
    <w:name w:val="Body Text Indent 3"/>
    <w:basedOn w:val="1"/>
    <w:link w:val="112"/>
    <w:qFormat/>
    <w:uiPriority w:val="0"/>
    <w:pPr>
      <w:ind w:left="471" w:hanging="471" w:hangingChars="200"/>
    </w:pPr>
    <w:rPr>
      <w:rFonts w:ascii="Arial" w:hAnsi="Arial" w:cs="Arial"/>
      <w:b/>
      <w:bCs/>
      <w:sz w:val="24"/>
    </w:rPr>
  </w:style>
  <w:style w:type="paragraph" w:styleId="34">
    <w:name w:val="toc 2"/>
    <w:basedOn w:val="1"/>
    <w:next w:val="1"/>
    <w:qFormat/>
    <w:uiPriority w:val="39"/>
    <w:pPr>
      <w:ind w:left="420" w:leftChars="200"/>
    </w:pPr>
  </w:style>
  <w:style w:type="paragraph" w:styleId="35">
    <w:name w:val="Body Text 2"/>
    <w:basedOn w:val="1"/>
    <w:link w:val="113"/>
    <w:qFormat/>
    <w:uiPriority w:val="0"/>
    <w:pPr>
      <w:spacing w:line="360" w:lineRule="auto"/>
    </w:pPr>
    <w:rPr>
      <w:b/>
      <w:sz w:val="28"/>
      <w:szCs w:val="21"/>
    </w:rPr>
  </w:style>
  <w:style w:type="paragraph" w:styleId="36">
    <w:name w:val="HTML Preformatted"/>
    <w:basedOn w:val="1"/>
    <w:qFormat/>
    <w:uiPriority w:val="0"/>
    <w:rPr>
      <w:rFonts w:ascii="Courier New" w:hAnsi="Courier New"/>
      <w:sz w:val="20"/>
    </w:rPr>
  </w:style>
  <w:style w:type="paragraph" w:styleId="37">
    <w:name w:val="Normal (Web)"/>
    <w:basedOn w:val="1"/>
    <w:link w:val="137"/>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8">
    <w:name w:val="annotation subject"/>
    <w:basedOn w:val="16"/>
    <w:next w:val="16"/>
    <w:link w:val="139"/>
    <w:unhideWhenUsed/>
    <w:qFormat/>
    <w:uiPriority w:val="99"/>
    <w:rPr>
      <w:b/>
      <w:bCs/>
    </w:rPr>
  </w:style>
  <w:style w:type="paragraph" w:styleId="39">
    <w:name w:val="Body Text First Indent"/>
    <w:basedOn w:val="19"/>
    <w:link w:val="136"/>
    <w:qFormat/>
    <w:uiPriority w:val="0"/>
    <w:pPr>
      <w:spacing w:after="120"/>
      <w:ind w:firstLine="420" w:firstLineChars="100"/>
    </w:pPr>
  </w:style>
  <w:style w:type="paragraph" w:styleId="40">
    <w:name w:val="Body Text First Indent 2"/>
    <w:basedOn w:val="20"/>
    <w:next w:val="1"/>
    <w:unhideWhenUsed/>
    <w:qFormat/>
    <w:uiPriority w:val="99"/>
    <w:pPr>
      <w:ind w:firstLine="420"/>
    </w:pPr>
    <w:rPr>
      <w:rFonts w:ascii="Arial" w:hAnsi="Arial" w:eastAsia="仿宋_GB2312"/>
      <w:sz w:val="28"/>
    </w:rPr>
  </w:style>
  <w:style w:type="table" w:styleId="42">
    <w:name w:val="Table Grid"/>
    <w:basedOn w:val="4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basedOn w:val="43"/>
    <w:qFormat/>
    <w:uiPriority w:val="99"/>
    <w:rPr>
      <w:color w:val="0000FF"/>
      <w:u w:val="single"/>
    </w:rPr>
  </w:style>
  <w:style w:type="character" w:styleId="49">
    <w:name w:val="annotation reference"/>
    <w:basedOn w:val="43"/>
    <w:unhideWhenUsed/>
    <w:qFormat/>
    <w:uiPriority w:val="99"/>
    <w:rPr>
      <w:sz w:val="21"/>
      <w:szCs w:val="21"/>
    </w:rPr>
  </w:style>
  <w:style w:type="paragraph" w:customStyle="1" w:styleId="50">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51">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2">
    <w:name w:val="文档正文"/>
    <w:basedOn w:val="12"/>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5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54">
    <w:name w:val="标题 5（有编号）（绿盟科技）"/>
    <w:basedOn w:val="1"/>
    <w:next w:val="5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6">
    <w:name w:val="所标正文"/>
    <w:basedOn w:val="1"/>
    <w:link w:val="117"/>
    <w:qFormat/>
    <w:uiPriority w:val="0"/>
    <w:pPr>
      <w:spacing w:line="360" w:lineRule="auto"/>
      <w:ind w:firstLine="200" w:firstLineChars="200"/>
    </w:pPr>
    <w:rPr>
      <w:rFonts w:ascii="仿宋_GB2312" w:hAnsi="Calibri" w:eastAsia="仿宋_GB2312" w:cs="黑体"/>
      <w:sz w:val="30"/>
      <w:szCs w:val="28"/>
    </w:rPr>
  </w:style>
  <w:style w:type="paragraph" w:customStyle="1" w:styleId="57">
    <w:name w:val="正文文字"/>
    <w:basedOn w:val="1"/>
    <w:link w:val="118"/>
    <w:qFormat/>
    <w:uiPriority w:val="0"/>
    <w:pPr>
      <w:widowControl/>
      <w:spacing w:line="2375" w:lineRule="atLeast"/>
      <w:ind w:firstLine="419"/>
      <w:textAlignment w:val="baseline"/>
    </w:pPr>
    <w:rPr>
      <w:rFonts w:ascii="宋体" w:hAnsi="Calibri" w:cs="黑体"/>
      <w:color w:val="000000"/>
      <w:sz w:val="28"/>
      <w:szCs w:val="22"/>
      <w:u w:color="000000"/>
    </w:rPr>
  </w:style>
  <w:style w:type="paragraph" w:customStyle="1" w:styleId="58">
    <w:name w:val="样式 正文缩进 + 首行缩进:  2 字符"/>
    <w:basedOn w:val="12"/>
    <w:link w:val="125"/>
    <w:qFormat/>
    <w:uiPriority w:val="0"/>
    <w:pPr>
      <w:spacing w:line="360" w:lineRule="auto"/>
      <w:ind w:firstLine="200"/>
    </w:pPr>
    <w:rPr>
      <w:sz w:val="24"/>
      <w:szCs w:val="22"/>
    </w:rPr>
  </w:style>
  <w:style w:type="paragraph" w:customStyle="1" w:styleId="59">
    <w:name w:val="标准段落正文"/>
    <w:basedOn w:val="1"/>
    <w:link w:val="126"/>
    <w:qFormat/>
    <w:uiPriority w:val="0"/>
    <w:pPr>
      <w:spacing w:line="360" w:lineRule="auto"/>
      <w:ind w:firstLine="482"/>
    </w:pPr>
    <w:rPr>
      <w:rFonts w:ascii="Calibri" w:hAnsi="Calibri" w:cs="宋体"/>
      <w:sz w:val="24"/>
      <w:szCs w:val="22"/>
    </w:rPr>
  </w:style>
  <w:style w:type="paragraph" w:customStyle="1" w:styleId="60">
    <w:name w:val="列出段落1"/>
    <w:basedOn w:val="1"/>
    <w:qFormat/>
    <w:uiPriority w:val="34"/>
    <w:pPr>
      <w:ind w:firstLine="420" w:firstLineChars="200"/>
    </w:pPr>
    <w:rPr>
      <w:rFonts w:ascii="Calibri" w:hAnsi="Calibri"/>
      <w:szCs w:val="22"/>
    </w:rPr>
  </w:style>
  <w:style w:type="paragraph" w:customStyle="1" w:styleId="61">
    <w:name w:val="标题 31"/>
    <w:basedOn w:val="1"/>
    <w:next w:val="1"/>
    <w:qFormat/>
    <w:uiPriority w:val="0"/>
    <w:pPr>
      <w:adjustRightInd w:val="0"/>
      <w:snapToGrid w:val="0"/>
      <w:spacing w:line="360" w:lineRule="auto"/>
      <w:outlineLvl w:val="2"/>
    </w:pPr>
    <w:rPr>
      <w:rFonts w:hAnsi="宋体"/>
      <w:b/>
      <w:bCs/>
      <w:sz w:val="24"/>
      <w:szCs w:val="21"/>
    </w:rPr>
  </w:style>
  <w:style w:type="paragraph" w:customStyle="1" w:styleId="62">
    <w:name w:val="Char"/>
    <w:basedOn w:val="1"/>
    <w:semiHidden/>
    <w:qFormat/>
    <w:uiPriority w:val="0"/>
    <w:rPr>
      <w:rFonts w:ascii="Tahoma" w:hAnsi="Tahoma" w:cs="仿宋_GB2312"/>
      <w:sz w:val="24"/>
      <w:szCs w:val="28"/>
    </w:rPr>
  </w:style>
  <w:style w:type="paragraph" w:customStyle="1" w:styleId="63">
    <w:name w:val="正文缩进1"/>
    <w:basedOn w:val="1"/>
    <w:qFormat/>
    <w:uiPriority w:val="0"/>
    <w:pPr>
      <w:ind w:firstLine="420" w:firstLineChars="200"/>
    </w:pPr>
    <w:rPr>
      <w:rFonts w:ascii="Calibri" w:hAnsi="Calibri"/>
    </w:rPr>
  </w:style>
  <w:style w:type="paragraph" w:customStyle="1" w:styleId="64">
    <w:name w:val="条目3"/>
    <w:basedOn w:val="24"/>
    <w:qFormat/>
    <w:uiPriority w:val="0"/>
  </w:style>
  <w:style w:type="paragraph" w:customStyle="1" w:styleId="6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
    <w:name w:val="列出段落11"/>
    <w:basedOn w:val="1"/>
    <w:qFormat/>
    <w:uiPriority w:val="0"/>
    <w:pPr>
      <w:ind w:firstLine="420" w:firstLineChars="200"/>
    </w:pPr>
  </w:style>
  <w:style w:type="paragraph" w:customStyle="1" w:styleId="6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69">
    <w:name w:val="首页大标题"/>
    <w:basedOn w:val="56"/>
    <w:qFormat/>
    <w:uiPriority w:val="0"/>
    <w:pPr>
      <w:ind w:firstLine="0" w:firstLineChars="0"/>
      <w:jc w:val="center"/>
    </w:pPr>
    <w:rPr>
      <w:rFonts w:ascii="黑体" w:eastAsia="黑体"/>
      <w:b/>
      <w:sz w:val="52"/>
    </w:rPr>
  </w:style>
  <w:style w:type="paragraph" w:customStyle="1" w:styleId="7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1">
    <w:name w:val="p0"/>
    <w:basedOn w:val="1"/>
    <w:qFormat/>
    <w:uiPriority w:val="0"/>
    <w:pPr>
      <w:widowControl/>
    </w:pPr>
    <w:rPr>
      <w:kern w:val="0"/>
      <w:szCs w:val="21"/>
    </w:rPr>
  </w:style>
  <w:style w:type="paragraph" w:customStyle="1" w:styleId="72">
    <w:name w:val="条目2"/>
    <w:basedOn w:val="24"/>
    <w:qFormat/>
    <w:uiPriority w:val="0"/>
    <w:pPr>
      <w:tabs>
        <w:tab w:val="left" w:pos="420"/>
      </w:tabs>
      <w:spacing w:line="360" w:lineRule="auto"/>
      <w:ind w:left="420" w:hanging="420"/>
    </w:pPr>
    <w:rPr>
      <w:color w:val="000000"/>
      <w:sz w:val="30"/>
    </w:rPr>
  </w:style>
  <w:style w:type="paragraph" w:customStyle="1" w:styleId="73">
    <w:name w:val="1 Char Char Char Char"/>
    <w:basedOn w:val="1"/>
    <w:qFormat/>
    <w:uiPriority w:val="0"/>
    <w:rPr>
      <w:rFonts w:ascii="Tahoma" w:hAnsi="Tahoma"/>
      <w:sz w:val="24"/>
    </w:rPr>
  </w:style>
  <w:style w:type="paragraph" w:customStyle="1" w:styleId="74">
    <w:name w:val="列表段落1"/>
    <w:basedOn w:val="1"/>
    <w:qFormat/>
    <w:uiPriority w:val="34"/>
    <w:pPr>
      <w:ind w:firstLine="420" w:firstLineChars="200"/>
    </w:pPr>
    <w:rPr>
      <w:rFonts w:ascii="Calibri" w:hAnsi="Calibri" w:cs="黑体"/>
      <w:szCs w:val="22"/>
    </w:rPr>
  </w:style>
  <w:style w:type="paragraph" w:customStyle="1" w:styleId="75">
    <w:name w:val="宋体小四"/>
    <w:basedOn w:val="1"/>
    <w:qFormat/>
    <w:uiPriority w:val="0"/>
    <w:pPr>
      <w:spacing w:line="360" w:lineRule="auto"/>
      <w:ind w:firstLine="480" w:firstLineChars="200"/>
    </w:pPr>
    <w:rPr>
      <w:rFonts w:ascii="Arial" w:hAnsi="Arial"/>
      <w:sz w:val="24"/>
    </w:rPr>
  </w:style>
  <w:style w:type="paragraph" w:customStyle="1" w:styleId="76">
    <w:name w:val="列出段落2"/>
    <w:basedOn w:val="1"/>
    <w:qFormat/>
    <w:uiPriority w:val="34"/>
    <w:pPr>
      <w:ind w:firstLine="420" w:firstLineChars="200"/>
    </w:pPr>
    <w:rPr>
      <w:rFonts w:ascii="Calibri" w:hAnsi="Calibri" w:cs="黑体"/>
      <w:szCs w:val="24"/>
    </w:rPr>
  </w:style>
  <w:style w:type="paragraph" w:customStyle="1" w:styleId="77">
    <w:name w:val="验收文档-首页保密文字"/>
    <w:basedOn w:val="1"/>
    <w:qFormat/>
    <w:uiPriority w:val="0"/>
    <w:pPr>
      <w:tabs>
        <w:tab w:val="left" w:pos="2700"/>
      </w:tabs>
      <w:spacing w:line="520" w:lineRule="exact"/>
      <w:jc w:val="center"/>
    </w:pPr>
    <w:rPr>
      <w:rFonts w:ascii="仿宋_GB2312" w:eastAsia="仿宋_GB2312" w:cs="黑体"/>
      <w:sz w:val="28"/>
      <w:szCs w:val="24"/>
    </w:rPr>
  </w:style>
  <w:style w:type="paragraph" w:customStyle="1" w:styleId="78">
    <w:name w:val="样式1"/>
    <w:basedOn w:val="4"/>
    <w:qFormat/>
    <w:uiPriority w:val="0"/>
    <w:rPr>
      <w:rFonts w:ascii="宋体" w:hAnsi="宋体"/>
      <w:szCs w:val="21"/>
    </w:rPr>
  </w:style>
  <w:style w:type="paragraph" w:customStyle="1" w:styleId="79">
    <w:name w:val="验收文档-首页主标题"/>
    <w:basedOn w:val="1"/>
    <w:qFormat/>
    <w:uiPriority w:val="0"/>
    <w:pPr>
      <w:jc w:val="center"/>
    </w:pPr>
    <w:rPr>
      <w:rFonts w:ascii="黑体" w:eastAsia="黑体"/>
      <w:sz w:val="52"/>
      <w:szCs w:val="52"/>
    </w:rPr>
  </w:style>
  <w:style w:type="paragraph" w:customStyle="1" w:styleId="80">
    <w:name w:val="TOC 标题1"/>
    <w:basedOn w:val="2"/>
    <w:next w:val="1"/>
    <w:unhideWhenUsed/>
    <w:qFormat/>
    <w:uiPriority w:val="39"/>
    <w:pPr>
      <w:widowControl/>
      <w:spacing w:before="240" w:line="259" w:lineRule="auto"/>
      <w:ind w:left="0" w:firstLine="0"/>
      <w:jc w:val="left"/>
      <w:outlineLvl w:val="9"/>
    </w:pPr>
    <w:rPr>
      <w:rFonts w:ascii="Cambria" w:hAnsi="Cambria" w:cs="黑体"/>
      <w:color w:val="365F90"/>
      <w:kern w:val="0"/>
      <w:sz w:val="32"/>
      <w:szCs w:val="32"/>
    </w:rPr>
  </w:style>
  <w:style w:type="paragraph" w:customStyle="1" w:styleId="8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2">
    <w:name w:val="表头"/>
    <w:basedOn w:val="1"/>
    <w:qFormat/>
    <w:uiPriority w:val="0"/>
    <w:pPr>
      <w:widowControl/>
      <w:spacing w:line="276" w:lineRule="auto"/>
      <w:jc w:val="center"/>
    </w:pPr>
    <w:rPr>
      <w:rFonts w:ascii="宋体" w:hAnsi="宋体"/>
      <w:b/>
    </w:rPr>
  </w:style>
  <w:style w:type="paragraph" w:customStyle="1" w:styleId="83">
    <w:name w:val="表格内容"/>
    <w:basedOn w:val="1"/>
    <w:qFormat/>
    <w:uiPriority w:val="0"/>
    <w:pPr>
      <w:widowControl/>
      <w:spacing w:line="276" w:lineRule="auto"/>
      <w:jc w:val="left"/>
    </w:pPr>
    <w:rPr>
      <w:rFonts w:ascii="宋体" w:hAnsi="宋体"/>
      <w:kern w:val="0"/>
    </w:rPr>
  </w:style>
  <w:style w:type="paragraph" w:customStyle="1" w:styleId="84">
    <w:name w:val="表格内容左对齐"/>
    <w:basedOn w:val="1"/>
    <w:qFormat/>
    <w:uiPriority w:val="2"/>
    <w:pPr>
      <w:widowControl/>
      <w:jc w:val="left"/>
    </w:pPr>
    <w:rPr>
      <w:rFonts w:ascii="Calibri" w:hAnsi="Calibri"/>
      <w:kern w:val="0"/>
    </w:rPr>
  </w:style>
  <w:style w:type="paragraph" w:customStyle="1" w:styleId="85">
    <w:name w:val="List Paragraph1"/>
    <w:basedOn w:val="1"/>
    <w:semiHidden/>
    <w:qFormat/>
    <w:uiPriority w:val="0"/>
    <w:pPr>
      <w:ind w:firstLine="420" w:firstLineChars="200"/>
    </w:pPr>
    <w:rPr>
      <w:rFonts w:ascii="Calibri" w:hAnsi="Calibri"/>
      <w:szCs w:val="24"/>
    </w:rPr>
  </w:style>
  <w:style w:type="paragraph" w:customStyle="1" w:styleId="8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rPr>
  </w:style>
  <w:style w:type="paragraph" w:customStyle="1" w:styleId="87">
    <w:name w:val="正文1"/>
    <w:qFormat/>
    <w:uiPriority w:val="99"/>
    <w:rPr>
      <w:rFonts w:ascii="Times New Roman" w:hAnsi="Times New Roman" w:eastAsia="Times New Roman" w:cs="Times New Roman"/>
      <w:sz w:val="24"/>
      <w:szCs w:val="24"/>
      <w:lang w:val="en-US" w:eastAsia="zh-CN" w:bidi="ar-SA"/>
    </w:rPr>
  </w:style>
  <w:style w:type="paragraph" w:customStyle="1" w:styleId="88">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9">
    <w:name w:val="!正文ctrl+q"/>
    <w:basedOn w:val="1"/>
    <w:qFormat/>
    <w:uiPriority w:val="0"/>
    <w:pPr>
      <w:ind w:firstLine="200"/>
    </w:pPr>
    <w:rPr>
      <w:rFonts w:eastAsia="仿宋_GB2312"/>
      <w:kern w:val="0"/>
      <w:sz w:val="28"/>
      <w:szCs w:val="24"/>
    </w:rPr>
  </w:style>
  <w:style w:type="paragraph" w:customStyle="1" w:styleId="90">
    <w:name w:val="0正文"/>
    <w:basedOn w:val="1"/>
    <w:link w:val="141"/>
    <w:qFormat/>
    <w:uiPriority w:val="0"/>
    <w:rPr>
      <w:rFonts w:ascii="Calibri" w:hAnsi="Calibri" w:cs="黑体"/>
      <w:szCs w:val="22"/>
    </w:rPr>
  </w:style>
  <w:style w:type="paragraph" w:customStyle="1" w:styleId="91">
    <w:name w:val="样式 首行缩进:  0.74 厘米"/>
    <w:basedOn w:val="1"/>
    <w:qFormat/>
    <w:uiPriority w:val="0"/>
    <w:pPr>
      <w:ind w:firstLine="420"/>
    </w:pPr>
    <w:rPr>
      <w:rFonts w:ascii="Arial" w:hAnsi="Arial" w:eastAsia="仿宋_GB2312" w:cs="Arial"/>
      <w:bCs/>
      <w:sz w:val="28"/>
      <w:szCs w:val="28"/>
    </w:rPr>
  </w:style>
  <w:style w:type="paragraph" w:customStyle="1" w:styleId="92">
    <w:name w:val="标准文本"/>
    <w:basedOn w:val="1"/>
    <w:qFormat/>
    <w:uiPriority w:val="0"/>
    <w:pPr>
      <w:spacing w:line="360" w:lineRule="auto"/>
      <w:ind w:firstLine="480" w:firstLineChars="200"/>
    </w:pPr>
    <w:rPr>
      <w:rFonts w:cs="宋体"/>
      <w:sz w:val="24"/>
    </w:rPr>
  </w:style>
  <w:style w:type="character" w:customStyle="1" w:styleId="93">
    <w:name w:val="标题 1 字符"/>
    <w:basedOn w:val="43"/>
    <w:link w:val="2"/>
    <w:qFormat/>
    <w:uiPriority w:val="0"/>
    <w:rPr>
      <w:rFonts w:ascii="Times New Roman" w:hAnsi="Times New Roman" w:eastAsia="宋体" w:cs="Times New Roman"/>
      <w:b/>
      <w:szCs w:val="20"/>
    </w:rPr>
  </w:style>
  <w:style w:type="character" w:customStyle="1" w:styleId="94">
    <w:name w:val="标题 2 字符"/>
    <w:basedOn w:val="43"/>
    <w:link w:val="3"/>
    <w:qFormat/>
    <w:uiPriority w:val="0"/>
    <w:rPr>
      <w:rFonts w:ascii="Arial" w:hAnsi="Arial" w:eastAsia="黑体" w:cs="Times New Roman"/>
      <w:b/>
      <w:sz w:val="32"/>
      <w:szCs w:val="20"/>
    </w:rPr>
  </w:style>
  <w:style w:type="character" w:customStyle="1" w:styleId="95">
    <w:name w:val="标题 3 字符"/>
    <w:basedOn w:val="43"/>
    <w:link w:val="4"/>
    <w:qFormat/>
    <w:uiPriority w:val="0"/>
    <w:rPr>
      <w:rFonts w:ascii="Times New Roman" w:hAnsi="Times New Roman" w:eastAsia="宋体" w:cs="Times New Roman"/>
      <w:b/>
      <w:bCs/>
      <w:sz w:val="32"/>
      <w:szCs w:val="32"/>
    </w:rPr>
  </w:style>
  <w:style w:type="character" w:customStyle="1" w:styleId="96">
    <w:name w:val="标题 4 字符"/>
    <w:basedOn w:val="43"/>
    <w:link w:val="5"/>
    <w:qFormat/>
    <w:uiPriority w:val="0"/>
    <w:rPr>
      <w:rFonts w:ascii="Arial" w:hAnsi="Arial" w:eastAsia="黑体" w:cs="Times New Roman"/>
      <w:b/>
      <w:bCs/>
      <w:sz w:val="28"/>
      <w:szCs w:val="28"/>
    </w:rPr>
  </w:style>
  <w:style w:type="character" w:customStyle="1" w:styleId="97">
    <w:name w:val="标题 5 字符"/>
    <w:basedOn w:val="43"/>
    <w:link w:val="6"/>
    <w:qFormat/>
    <w:uiPriority w:val="0"/>
    <w:rPr>
      <w:rFonts w:ascii="Times New Roman" w:hAnsi="Times New Roman" w:eastAsia="宋体" w:cs="Times New Roman"/>
      <w:b/>
      <w:sz w:val="28"/>
      <w:szCs w:val="20"/>
    </w:rPr>
  </w:style>
  <w:style w:type="character" w:customStyle="1" w:styleId="98">
    <w:name w:val="标题 6 字符"/>
    <w:basedOn w:val="43"/>
    <w:link w:val="7"/>
    <w:qFormat/>
    <w:uiPriority w:val="0"/>
    <w:rPr>
      <w:rFonts w:ascii="Arial" w:hAnsi="Arial" w:eastAsia="黑体" w:cs="Times New Roman"/>
      <w:b/>
      <w:sz w:val="24"/>
      <w:szCs w:val="20"/>
    </w:rPr>
  </w:style>
  <w:style w:type="character" w:customStyle="1" w:styleId="99">
    <w:name w:val="标题 7 字符"/>
    <w:basedOn w:val="43"/>
    <w:link w:val="8"/>
    <w:qFormat/>
    <w:uiPriority w:val="0"/>
    <w:rPr>
      <w:rFonts w:ascii="Times New Roman" w:hAnsi="Times New Roman" w:eastAsia="宋体" w:cs="Times New Roman"/>
      <w:b/>
      <w:sz w:val="24"/>
      <w:szCs w:val="20"/>
    </w:rPr>
  </w:style>
  <w:style w:type="character" w:customStyle="1" w:styleId="100">
    <w:name w:val="标题 8 字符"/>
    <w:basedOn w:val="43"/>
    <w:link w:val="9"/>
    <w:qFormat/>
    <w:uiPriority w:val="0"/>
    <w:rPr>
      <w:rFonts w:ascii="Arial" w:hAnsi="Arial" w:eastAsia="黑体" w:cs="Times New Roman"/>
      <w:sz w:val="24"/>
      <w:szCs w:val="20"/>
    </w:rPr>
  </w:style>
  <w:style w:type="character" w:customStyle="1" w:styleId="101">
    <w:name w:val="标题 9 字符"/>
    <w:basedOn w:val="43"/>
    <w:link w:val="10"/>
    <w:qFormat/>
    <w:uiPriority w:val="0"/>
    <w:rPr>
      <w:rFonts w:ascii="Arial" w:hAnsi="Arial" w:eastAsia="黑体" w:cs="Times New Roman"/>
      <w:szCs w:val="20"/>
    </w:rPr>
  </w:style>
  <w:style w:type="character" w:customStyle="1" w:styleId="102">
    <w:name w:val="文档结构图 Char"/>
    <w:basedOn w:val="43"/>
    <w:qFormat/>
    <w:uiPriority w:val="0"/>
    <w:rPr>
      <w:rFonts w:ascii="宋体" w:hAnsi="Times New Roman" w:eastAsia="宋体" w:cs="Times New Roman"/>
      <w:sz w:val="18"/>
      <w:szCs w:val="18"/>
    </w:rPr>
  </w:style>
  <w:style w:type="character" w:customStyle="1" w:styleId="103">
    <w:name w:val="称呼 字符"/>
    <w:basedOn w:val="43"/>
    <w:link w:val="18"/>
    <w:qFormat/>
    <w:uiPriority w:val="0"/>
    <w:rPr>
      <w:rFonts w:ascii="宋体" w:hAnsi="Times New Roman" w:eastAsia="宋体" w:cs="Times New Roman"/>
      <w:b/>
      <w:sz w:val="28"/>
      <w:szCs w:val="20"/>
    </w:rPr>
  </w:style>
  <w:style w:type="character" w:customStyle="1" w:styleId="104">
    <w:name w:val="正文文本 Char"/>
    <w:basedOn w:val="43"/>
    <w:qFormat/>
    <w:uiPriority w:val="0"/>
    <w:rPr>
      <w:rFonts w:ascii="Times New Roman" w:hAnsi="Times New Roman" w:eastAsia="宋体" w:cs="Times New Roman"/>
      <w:szCs w:val="20"/>
    </w:rPr>
  </w:style>
  <w:style w:type="character" w:customStyle="1" w:styleId="105">
    <w:name w:val="正文文本缩进 字符"/>
    <w:basedOn w:val="43"/>
    <w:link w:val="20"/>
    <w:qFormat/>
    <w:uiPriority w:val="0"/>
    <w:rPr>
      <w:rFonts w:ascii="宋体" w:hAnsi="宋体" w:eastAsia="宋体" w:cs="Times New Roman"/>
      <w:sz w:val="24"/>
      <w:szCs w:val="20"/>
    </w:rPr>
  </w:style>
  <w:style w:type="character" w:customStyle="1" w:styleId="106">
    <w:name w:val="纯文本 Char"/>
    <w:basedOn w:val="43"/>
    <w:qFormat/>
    <w:uiPriority w:val="0"/>
    <w:rPr>
      <w:rFonts w:ascii="宋体" w:hAnsi="Courier New" w:eastAsia="宋体" w:cs="Courier New"/>
      <w:szCs w:val="21"/>
    </w:rPr>
  </w:style>
  <w:style w:type="character" w:customStyle="1" w:styleId="107">
    <w:name w:val="日期 字符"/>
    <w:basedOn w:val="43"/>
    <w:link w:val="25"/>
    <w:qFormat/>
    <w:uiPriority w:val="0"/>
    <w:rPr>
      <w:rFonts w:ascii="Times New Roman" w:hAnsi="Times New Roman" w:eastAsia="宋体" w:cs="Times New Roman"/>
      <w:sz w:val="24"/>
      <w:szCs w:val="20"/>
    </w:rPr>
  </w:style>
  <w:style w:type="character" w:customStyle="1" w:styleId="108">
    <w:name w:val="正文文本缩进 2 Char"/>
    <w:basedOn w:val="43"/>
    <w:qFormat/>
    <w:uiPriority w:val="0"/>
    <w:rPr>
      <w:rFonts w:ascii="Times New Roman" w:hAnsi="Times New Roman" w:eastAsia="宋体" w:cs="Times New Roman"/>
      <w:szCs w:val="20"/>
    </w:rPr>
  </w:style>
  <w:style w:type="character" w:customStyle="1" w:styleId="109">
    <w:name w:val="批注框文本 字符"/>
    <w:basedOn w:val="43"/>
    <w:link w:val="27"/>
    <w:semiHidden/>
    <w:qFormat/>
    <w:uiPriority w:val="0"/>
    <w:rPr>
      <w:rFonts w:ascii="Times New Roman" w:hAnsi="Times New Roman" w:eastAsia="宋体" w:cs="Times New Roman"/>
      <w:sz w:val="18"/>
      <w:szCs w:val="18"/>
    </w:rPr>
  </w:style>
  <w:style w:type="character" w:customStyle="1" w:styleId="110">
    <w:name w:val="页脚 字符"/>
    <w:basedOn w:val="43"/>
    <w:link w:val="28"/>
    <w:qFormat/>
    <w:uiPriority w:val="99"/>
    <w:rPr>
      <w:rFonts w:ascii="Times New Roman" w:hAnsi="Times New Roman" w:eastAsia="宋体" w:cs="Times New Roman"/>
      <w:sz w:val="18"/>
      <w:szCs w:val="18"/>
    </w:rPr>
  </w:style>
  <w:style w:type="character" w:customStyle="1" w:styleId="111">
    <w:name w:val="页眉 字符"/>
    <w:basedOn w:val="43"/>
    <w:link w:val="29"/>
    <w:qFormat/>
    <w:uiPriority w:val="99"/>
    <w:rPr>
      <w:rFonts w:ascii="Times New Roman" w:hAnsi="Times New Roman" w:eastAsia="宋体" w:cs="Times New Roman"/>
      <w:sz w:val="18"/>
      <w:szCs w:val="18"/>
    </w:rPr>
  </w:style>
  <w:style w:type="character" w:customStyle="1" w:styleId="112">
    <w:name w:val="正文文本缩进 3 字符"/>
    <w:basedOn w:val="43"/>
    <w:link w:val="33"/>
    <w:qFormat/>
    <w:uiPriority w:val="0"/>
    <w:rPr>
      <w:rFonts w:ascii="Arial" w:hAnsi="Arial" w:eastAsia="宋体" w:cs="Arial"/>
      <w:b/>
      <w:bCs/>
      <w:sz w:val="24"/>
      <w:szCs w:val="20"/>
    </w:rPr>
  </w:style>
  <w:style w:type="character" w:customStyle="1" w:styleId="113">
    <w:name w:val="正文文本 2 字符"/>
    <w:basedOn w:val="43"/>
    <w:link w:val="35"/>
    <w:qFormat/>
    <w:uiPriority w:val="0"/>
    <w:rPr>
      <w:rFonts w:ascii="Times New Roman" w:hAnsi="Times New Roman" w:eastAsia="宋体" w:cs="Times New Roman"/>
      <w:b/>
      <w:sz w:val="28"/>
      <w:szCs w:val="21"/>
    </w:rPr>
  </w:style>
  <w:style w:type="character" w:customStyle="1" w:styleId="114">
    <w:name w:val="正文首行缩进 Char"/>
    <w:basedOn w:val="104"/>
    <w:qFormat/>
    <w:uiPriority w:val="0"/>
    <w:rPr>
      <w:rFonts w:ascii="Times New Roman" w:hAnsi="Times New Roman" w:eastAsia="宋体" w:cs="Times New Roman"/>
      <w:szCs w:val="20"/>
    </w:rPr>
  </w:style>
  <w:style w:type="character" w:customStyle="1" w:styleId="115">
    <w:name w:val="p21"/>
    <w:qFormat/>
    <w:uiPriority w:val="0"/>
    <w:rPr>
      <w:rFonts w:hint="default" w:ascii="Arial" w:hAnsi="Arial" w:cs="Arial"/>
      <w:color w:val="333333"/>
      <w:sz w:val="18"/>
      <w:szCs w:val="18"/>
      <w:u w:val="none"/>
    </w:rPr>
  </w:style>
  <w:style w:type="character" w:customStyle="1" w:styleId="116">
    <w:name w:val="font21"/>
    <w:basedOn w:val="43"/>
    <w:qFormat/>
    <w:uiPriority w:val="0"/>
    <w:rPr>
      <w:rFonts w:hint="eastAsia" w:ascii="宋体" w:hAnsi="宋体" w:eastAsia="宋体" w:cs="宋体"/>
      <w:color w:val="000000"/>
      <w:sz w:val="22"/>
      <w:szCs w:val="22"/>
      <w:u w:val="none"/>
    </w:rPr>
  </w:style>
  <w:style w:type="character" w:customStyle="1" w:styleId="117">
    <w:name w:val="所标正文 Char Char"/>
    <w:link w:val="56"/>
    <w:qFormat/>
    <w:uiPriority w:val="0"/>
    <w:rPr>
      <w:rFonts w:ascii="仿宋_GB2312" w:hAnsi="Calibri" w:eastAsia="仿宋_GB2312"/>
      <w:sz w:val="30"/>
      <w:szCs w:val="28"/>
    </w:rPr>
  </w:style>
  <w:style w:type="character" w:customStyle="1" w:styleId="118">
    <w:name w:val="正文文字 Char1"/>
    <w:link w:val="57"/>
    <w:qFormat/>
    <w:uiPriority w:val="0"/>
    <w:rPr>
      <w:rFonts w:ascii="宋体" w:eastAsia="宋体"/>
      <w:color w:val="000000"/>
      <w:sz w:val="28"/>
      <w:u w:val="none" w:color="000000"/>
    </w:rPr>
  </w:style>
  <w:style w:type="character" w:customStyle="1" w:styleId="119">
    <w:name w:val="marklong"/>
    <w:basedOn w:val="43"/>
    <w:qFormat/>
    <w:uiPriority w:val="0"/>
  </w:style>
  <w:style w:type="character" w:customStyle="1" w:styleId="120">
    <w:name w:val="unnamed1"/>
    <w:basedOn w:val="43"/>
    <w:qFormat/>
    <w:uiPriority w:val="0"/>
  </w:style>
  <w:style w:type="character" w:customStyle="1" w:styleId="121">
    <w:name w:val="css21"/>
    <w:qFormat/>
    <w:uiPriority w:val="0"/>
    <w:rPr>
      <w:sz w:val="18"/>
      <w:szCs w:val="18"/>
    </w:rPr>
  </w:style>
  <w:style w:type="character" w:customStyle="1" w:styleId="122">
    <w:name w:val="font01"/>
    <w:basedOn w:val="43"/>
    <w:qFormat/>
    <w:uiPriority w:val="0"/>
    <w:rPr>
      <w:rFonts w:hint="eastAsia" w:ascii="宋体" w:hAnsi="宋体" w:eastAsia="宋体" w:cs="宋体"/>
      <w:color w:val="000000"/>
      <w:sz w:val="22"/>
      <w:szCs w:val="22"/>
      <w:u w:val="none"/>
    </w:rPr>
  </w:style>
  <w:style w:type="character" w:customStyle="1" w:styleId="123">
    <w:name w:val="纯文本 Char Char Char Char Char Char"/>
    <w:qFormat/>
    <w:locked/>
    <w:uiPriority w:val="0"/>
    <w:rPr>
      <w:rFonts w:ascii="宋体" w:hAnsi="Courier New" w:eastAsia="宋体"/>
      <w:kern w:val="2"/>
      <w:sz w:val="21"/>
      <w:lang w:val="en-US" w:eastAsia="zh-CN" w:bidi="ar-SA"/>
    </w:rPr>
  </w:style>
  <w:style w:type="character" w:customStyle="1" w:styleId="124">
    <w:name w:val="正文缩进 字符"/>
    <w:link w:val="12"/>
    <w:qFormat/>
    <w:uiPriority w:val="99"/>
    <w:rPr>
      <w:szCs w:val="24"/>
    </w:rPr>
  </w:style>
  <w:style w:type="character" w:customStyle="1" w:styleId="125">
    <w:name w:val="样式 正文缩进 + 首行缩进:  2 字符 Char"/>
    <w:link w:val="58"/>
    <w:qFormat/>
    <w:uiPriority w:val="0"/>
    <w:rPr>
      <w:sz w:val="24"/>
    </w:rPr>
  </w:style>
  <w:style w:type="character" w:customStyle="1" w:styleId="126">
    <w:name w:val="标准段落正文 Char"/>
    <w:link w:val="59"/>
    <w:qFormat/>
    <w:uiPriority w:val="0"/>
    <w:rPr>
      <w:rFonts w:cs="宋体"/>
      <w:sz w:val="24"/>
    </w:rPr>
  </w:style>
  <w:style w:type="character" w:customStyle="1" w:styleId="127">
    <w:name w:val="正文文字 Char"/>
    <w:qFormat/>
    <w:uiPriority w:val="0"/>
    <w:rPr>
      <w:rFonts w:ascii="Arial" w:hAnsi="Arial" w:eastAsia="宋体" w:cs="Arial"/>
      <w:kern w:val="2"/>
      <w:sz w:val="24"/>
      <w:lang w:val="en-US" w:eastAsia="zh-CN" w:bidi="ar-SA"/>
    </w:rPr>
  </w:style>
  <w:style w:type="character" w:customStyle="1" w:styleId="128">
    <w:name w:val="书籍标题1"/>
    <w:qFormat/>
    <w:uiPriority w:val="0"/>
    <w:rPr>
      <w:b/>
      <w:bCs/>
      <w:smallCaps/>
      <w:spacing w:val="5"/>
    </w:rPr>
  </w:style>
  <w:style w:type="character" w:customStyle="1" w:styleId="129">
    <w:name w:val="con"/>
    <w:qFormat/>
    <w:uiPriority w:val="0"/>
  </w:style>
  <w:style w:type="character" w:customStyle="1" w:styleId="130">
    <w:name w:val="明显参考1"/>
    <w:qFormat/>
    <w:uiPriority w:val="0"/>
    <w:rPr>
      <w:b/>
      <w:bCs/>
      <w:smallCaps/>
      <w:color w:val="C0504D"/>
      <w:spacing w:val="5"/>
      <w:u w:val="single"/>
    </w:rPr>
  </w:style>
  <w:style w:type="character" w:customStyle="1" w:styleId="131">
    <w:name w:val="grame"/>
    <w:basedOn w:val="43"/>
    <w:qFormat/>
    <w:uiPriority w:val="0"/>
  </w:style>
  <w:style w:type="character" w:customStyle="1" w:styleId="132">
    <w:name w:val="正文文本缩进 2 字符"/>
    <w:basedOn w:val="43"/>
    <w:link w:val="26"/>
    <w:qFormat/>
    <w:uiPriority w:val="0"/>
    <w:rPr>
      <w:rFonts w:ascii="宋体" w:hAnsi="宋体"/>
      <w:sz w:val="24"/>
    </w:rPr>
  </w:style>
  <w:style w:type="character" w:customStyle="1" w:styleId="133">
    <w:name w:val="文档结构图 字符"/>
    <w:basedOn w:val="43"/>
    <w:link w:val="14"/>
    <w:qFormat/>
    <w:uiPriority w:val="0"/>
    <w:rPr>
      <w:shd w:val="clear" w:color="auto" w:fill="000080"/>
    </w:rPr>
  </w:style>
  <w:style w:type="character" w:customStyle="1" w:styleId="134">
    <w:name w:val="正文文本 字符"/>
    <w:basedOn w:val="43"/>
    <w:link w:val="19"/>
    <w:qFormat/>
    <w:uiPriority w:val="0"/>
    <w:rPr>
      <w:rFonts w:ascii="Arial" w:hAnsi="Arial" w:cs="Arial"/>
      <w:sz w:val="24"/>
    </w:rPr>
  </w:style>
  <w:style w:type="character" w:customStyle="1" w:styleId="135">
    <w:name w:val="纯文本 字符"/>
    <w:basedOn w:val="43"/>
    <w:link w:val="24"/>
    <w:qFormat/>
    <w:uiPriority w:val="0"/>
    <w:rPr>
      <w:rFonts w:ascii="宋体" w:hAnsi="Courier New" w:eastAsia="宋体"/>
    </w:rPr>
  </w:style>
  <w:style w:type="character" w:customStyle="1" w:styleId="136">
    <w:name w:val="正文首行缩进 字符"/>
    <w:basedOn w:val="134"/>
    <w:link w:val="39"/>
    <w:qFormat/>
    <w:uiPriority w:val="0"/>
    <w:rPr>
      <w:rFonts w:ascii="Arial" w:hAnsi="Arial" w:cs="Arial"/>
      <w:sz w:val="24"/>
    </w:rPr>
  </w:style>
  <w:style w:type="character" w:customStyle="1" w:styleId="137">
    <w:name w:val="普通(网站) 字符"/>
    <w:link w:val="37"/>
    <w:qFormat/>
    <w:uiPriority w:val="99"/>
    <w:rPr>
      <w:rFonts w:ascii="Arial Unicode MS" w:hAnsi="Arial Unicode MS" w:eastAsia="Arial Unicode MS" w:cs="Arial Unicode MS"/>
      <w:kern w:val="0"/>
      <w:sz w:val="24"/>
      <w:szCs w:val="24"/>
    </w:rPr>
  </w:style>
  <w:style w:type="character" w:customStyle="1" w:styleId="138">
    <w:name w:val="批注文字 字符"/>
    <w:basedOn w:val="43"/>
    <w:link w:val="16"/>
    <w:qFormat/>
    <w:uiPriority w:val="99"/>
    <w:rPr>
      <w:kern w:val="2"/>
      <w:sz w:val="21"/>
    </w:rPr>
  </w:style>
  <w:style w:type="character" w:customStyle="1" w:styleId="139">
    <w:name w:val="批注主题 字符"/>
    <w:basedOn w:val="138"/>
    <w:link w:val="38"/>
    <w:semiHidden/>
    <w:qFormat/>
    <w:uiPriority w:val="99"/>
    <w:rPr>
      <w:b/>
      <w:bCs/>
      <w:kern w:val="2"/>
      <w:sz w:val="21"/>
    </w:rPr>
  </w:style>
  <w:style w:type="character" w:customStyle="1" w:styleId="140">
    <w:name w:val="bookmark-item"/>
    <w:basedOn w:val="43"/>
    <w:qFormat/>
    <w:uiPriority w:val="0"/>
  </w:style>
  <w:style w:type="character" w:customStyle="1" w:styleId="141">
    <w:name w:val="0正文 Char"/>
    <w:link w:val="90"/>
    <w:qFormat/>
    <w:uiPriority w:val="0"/>
    <w:rPr>
      <w:rFonts w:ascii="Calibri" w:hAnsi="Calibri" w:cs="黑体"/>
      <w:kern w:val="2"/>
      <w:szCs w:val="22"/>
    </w:rPr>
  </w:style>
  <w:style w:type="table" w:customStyle="1" w:styleId="142">
    <w:name w:val="网格表 5 深色 - 着色 31"/>
    <w:basedOn w:val="4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AF1D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9BBB59"/>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9BBB59"/>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9BBB59"/>
      </w:tcPr>
    </w:tblStylePr>
    <w:tblStylePr w:type="band1Vert">
      <w:tcPr>
        <w:shd w:val="clear" w:color="auto" w:fill="D6E3BC"/>
      </w:tcPr>
    </w:tblStylePr>
    <w:tblStylePr w:type="band1Horz">
      <w:tcPr>
        <w:shd w:val="clear" w:color="auto" w:fill="D6E3BC"/>
      </w:tcPr>
    </w:tblStylePr>
  </w:style>
  <w:style w:type="character" w:customStyle="1" w:styleId="143">
    <w:name w:val="font41"/>
    <w:basedOn w:val="43"/>
    <w:qFormat/>
    <w:uiPriority w:val="0"/>
    <w:rPr>
      <w:rFonts w:ascii="Arial" w:hAnsi="Arial" w:cs="Arial"/>
      <w:color w:val="000000"/>
      <w:sz w:val="20"/>
      <w:szCs w:val="20"/>
      <w:u w:val="none"/>
    </w:rPr>
  </w:style>
  <w:style w:type="paragraph" w:customStyle="1" w:styleId="144">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145">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46">
    <w:name w:val="font11"/>
    <w:basedOn w:val="43"/>
    <w:qFormat/>
    <w:uiPriority w:val="0"/>
    <w:rPr>
      <w:rFonts w:hint="eastAsia" w:ascii="宋体" w:hAnsi="宋体" w:eastAsia="宋体" w:cs="宋体"/>
      <w:color w:val="000000"/>
      <w:sz w:val="22"/>
      <w:szCs w:val="22"/>
      <w:u w:val="none"/>
    </w:rPr>
  </w:style>
  <w:style w:type="paragraph" w:customStyle="1" w:styleId="147">
    <w:name w:val="List Paragraph"/>
    <w:basedOn w:val="1"/>
    <w:qFormat/>
    <w:uiPriority w:val="34"/>
    <w:pPr>
      <w:ind w:firstLine="420" w:firstLineChars="200"/>
    </w:pPr>
  </w:style>
  <w:style w:type="paragraph" w:customStyle="1" w:styleId="148">
    <w:name w:val="表格并列项"/>
    <w:basedOn w:val="1"/>
    <w:qFormat/>
    <w:uiPriority w:val="0"/>
    <w:pPr>
      <w:tabs>
        <w:tab w:val="left" w:pos="839"/>
      </w:tabs>
      <w:snapToGrid w:val="0"/>
      <w:spacing w:before="40" w:after="40"/>
      <w:ind w:left="840" w:hanging="420" w:firstLineChars="200"/>
      <w:contextualSpacing/>
    </w:pPr>
    <w:rPr>
      <w:rFonts w:eastAsia="等线" w:cs="Cambria"/>
    </w:rPr>
  </w:style>
  <w:style w:type="paragraph" w:customStyle="1" w:styleId="149">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0">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151">
    <w:name w:val="7）页眉页脚"/>
    <w:qFormat/>
    <w:uiPriority w:val="0"/>
    <w:rPr>
      <w:rFonts w:ascii="仿宋_GB2312" w:eastAsia="仿宋_GB2312"/>
      <w:b/>
      <w:i/>
      <w:sz w:val="18"/>
      <w:vertAlign w:val="baseli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694FFC-8105-4863-93AE-C6E5F3960B4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8062</Words>
  <Characters>8895</Characters>
  <Lines>262</Lines>
  <Paragraphs>74</Paragraphs>
  <TotalTime>39</TotalTime>
  <ScaleCrop>false</ScaleCrop>
  <LinksUpToDate>false</LinksUpToDate>
  <CharactersWithSpaces>9105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2024-06-14T19:02:00Z</dcterms:created>
  <dc:creator>Administrator</dc:creator>
  <cp:lastModifiedBy>Asia</cp:lastModifiedBy>
  <cp:lastPrinted>2026-05-12T09:57:00Z</cp:lastPrinted>
  <dcterms:modified xsi:type="dcterms:W3CDTF">2026-05-14T05:12:52Z</dcterms:modified>
  <dc:title>教育教学平台建设项目—新疆艺术学院思政课教学资源项目_x000b_采购文件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6762DCC522684C04B701BC85D6FC6CAD_13</vt:lpwstr>
  </property>
  <property fmtid="{D5CDD505-2E9C-101B-9397-08002B2CF9AE}" pid="4" name="KSOTemplateDocerSaveRecord">
    <vt:lpwstr>eyJoZGlkIjoiZGFiYTM3NzQwODVjMTY3ZTc2ZjVmYTJhMmE1OThhYzIiLCJ1c2VySWQiOiIyOTAwODQ1NzIifQ==</vt:lpwstr>
  </property>
</Properties>
</file>