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F71F7">
      <w:pPr>
        <w:snapToGrid w:val="0"/>
        <w:spacing w:line="240" w:lineRule="atLeast"/>
        <w:jc w:val="center"/>
        <w:textAlignment w:val="baseline"/>
        <w:rPr>
          <w:rFonts w:ascii="微软雅黑" w:hAnsi="微软雅黑" w:eastAsia="微软雅黑" w:cs="微软雅黑"/>
          <w:b/>
          <w:color w:val="auto"/>
          <w:sz w:val="44"/>
          <w:szCs w:val="44"/>
          <w:highlight w:val="none"/>
        </w:rPr>
      </w:pPr>
    </w:p>
    <w:p w14:paraId="2580E642">
      <w:pPr>
        <w:pStyle w:val="37"/>
        <w:ind w:firstLine="480"/>
        <w:rPr>
          <w:rFonts w:ascii="微软雅黑" w:hAnsi="微软雅黑" w:eastAsia="微软雅黑" w:cs="微软雅黑"/>
          <w:color w:val="auto"/>
          <w:highlight w:val="none"/>
        </w:rPr>
      </w:pPr>
    </w:p>
    <w:p w14:paraId="76942A4B">
      <w:pPr>
        <w:pStyle w:val="8"/>
        <w:rPr>
          <w:rFonts w:ascii="微软雅黑" w:hAnsi="微软雅黑" w:eastAsia="微软雅黑" w:cs="微软雅黑"/>
          <w:color w:val="auto"/>
          <w:highlight w:val="none"/>
        </w:rPr>
      </w:pPr>
    </w:p>
    <w:p w14:paraId="453183C9">
      <w:pPr>
        <w:pStyle w:val="2"/>
        <w:rPr>
          <w:color w:val="auto"/>
          <w:highlight w:val="none"/>
        </w:rPr>
      </w:pPr>
    </w:p>
    <w:p w14:paraId="43E98794">
      <w:pPr>
        <w:jc w:val="center"/>
        <w:rPr>
          <w:rFonts w:hint="eastAsia"/>
          <w:color w:val="auto"/>
          <w:highlight w:val="none"/>
        </w:rPr>
      </w:pPr>
      <w:r>
        <w:rPr>
          <w:rFonts w:hint="eastAsia" w:ascii="微软雅黑" w:hAnsi="微软雅黑" w:eastAsia="微软雅黑" w:cs="微软雅黑"/>
          <w:b/>
          <w:color w:val="auto"/>
          <w:sz w:val="44"/>
          <w:szCs w:val="44"/>
          <w:highlight w:val="none"/>
          <w:lang w:eastAsia="zh-CN"/>
        </w:rPr>
        <w:t>喀什地区社会福利院普惠养老服务能力提升项目</w:t>
      </w:r>
    </w:p>
    <w:p w14:paraId="3AE7A67F">
      <w:pPr>
        <w:snapToGrid w:val="0"/>
        <w:spacing w:line="240" w:lineRule="atLeast"/>
        <w:jc w:val="center"/>
        <w:textAlignment w:val="baseline"/>
        <w:rPr>
          <w:rFonts w:ascii="微软雅黑" w:hAnsi="微软雅黑" w:eastAsia="微软雅黑" w:cs="微软雅黑"/>
          <w:b/>
          <w:color w:val="auto"/>
          <w:sz w:val="52"/>
          <w:szCs w:val="52"/>
          <w:highlight w:val="none"/>
        </w:rPr>
      </w:pPr>
      <w:r>
        <w:rPr>
          <w:rFonts w:hint="eastAsia" w:ascii="微软雅黑" w:hAnsi="微软雅黑" w:eastAsia="微软雅黑" w:cs="微软雅黑"/>
          <w:b/>
          <w:color w:val="auto"/>
          <w:sz w:val="52"/>
          <w:szCs w:val="52"/>
          <w:highlight w:val="none"/>
        </w:rPr>
        <w:t>磋 商 文 件</w:t>
      </w:r>
    </w:p>
    <w:p w14:paraId="2F0F5938">
      <w:pPr>
        <w:pStyle w:val="26"/>
        <w:textAlignment w:val="baseline"/>
        <w:rPr>
          <w:rFonts w:ascii="微软雅黑" w:hAnsi="微软雅黑" w:eastAsia="微软雅黑" w:cs="微软雅黑"/>
          <w:color w:val="auto"/>
          <w:highlight w:val="none"/>
        </w:rPr>
      </w:pPr>
    </w:p>
    <w:p w14:paraId="2E48DE2D">
      <w:pPr>
        <w:snapToGrid w:val="0"/>
        <w:spacing w:line="240" w:lineRule="atLeast"/>
        <w:jc w:val="center"/>
        <w:textAlignment w:val="baseline"/>
        <w:rPr>
          <w:rFonts w:hint="eastAsia" w:ascii="微软雅黑" w:hAnsi="微软雅黑" w:eastAsia="微软雅黑" w:cs="微软雅黑"/>
          <w:b/>
          <w:color w:val="auto"/>
          <w:sz w:val="24"/>
          <w:szCs w:val="24"/>
          <w:highlight w:val="none"/>
        </w:rPr>
      </w:pPr>
    </w:p>
    <w:p w14:paraId="0C6E8C48">
      <w:pPr>
        <w:snapToGrid w:val="0"/>
        <w:spacing w:line="240" w:lineRule="atLeast"/>
        <w:jc w:val="center"/>
        <w:textAlignment w:val="baseline"/>
        <w:rPr>
          <w:rFonts w:hint="eastAsia" w:ascii="微软雅黑" w:hAnsi="微软雅黑" w:eastAsia="微软雅黑" w:cs="微软雅黑"/>
          <w:b/>
          <w:color w:val="auto"/>
          <w:sz w:val="24"/>
          <w:szCs w:val="24"/>
          <w:highlight w:val="none"/>
        </w:rPr>
      </w:pPr>
    </w:p>
    <w:p w14:paraId="18F5DAD6">
      <w:pPr>
        <w:pStyle w:val="26"/>
        <w:jc w:val="center"/>
        <w:textAlignment w:val="baseline"/>
        <w:rPr>
          <w:rFonts w:ascii="微软雅黑" w:hAnsi="微软雅黑" w:eastAsia="微软雅黑" w:cs="微软雅黑"/>
          <w:color w:val="auto"/>
          <w:highlight w:val="none"/>
        </w:rPr>
      </w:pPr>
      <w:r>
        <w:rPr>
          <w:rFonts w:hint="eastAsia" w:ascii="微软雅黑" w:hAnsi="微软雅黑" w:eastAsia="微软雅黑" w:cs="微软雅黑"/>
          <w:b/>
          <w:color w:val="auto"/>
          <w:sz w:val="24"/>
          <w:szCs w:val="24"/>
          <w:highlight w:val="none"/>
        </w:rPr>
        <w:t>项目编号：</w:t>
      </w:r>
      <w:r>
        <w:rPr>
          <w:rFonts w:hint="eastAsia" w:ascii="微软雅黑" w:hAnsi="微软雅黑" w:eastAsia="微软雅黑" w:cs="微软雅黑"/>
          <w:b/>
          <w:color w:val="auto"/>
          <w:sz w:val="24"/>
          <w:szCs w:val="24"/>
          <w:highlight w:val="none"/>
          <w:lang w:val="en-US" w:eastAsia="zh-CN"/>
        </w:rPr>
        <w:t>YXGJ(CS)2026-07号</w:t>
      </w:r>
    </w:p>
    <w:p w14:paraId="0F8335B9">
      <w:pPr>
        <w:pStyle w:val="36"/>
        <w:ind w:left="0" w:leftChars="0" w:firstLine="0" w:firstLineChars="0"/>
        <w:rPr>
          <w:rFonts w:ascii="微软雅黑" w:hAnsi="微软雅黑" w:eastAsia="微软雅黑" w:cs="微软雅黑"/>
          <w:b/>
          <w:color w:val="auto"/>
          <w:sz w:val="28"/>
          <w:szCs w:val="28"/>
          <w:highlight w:val="none"/>
        </w:rPr>
      </w:pPr>
    </w:p>
    <w:p w14:paraId="6250B079">
      <w:pPr>
        <w:rPr>
          <w:color w:val="auto"/>
          <w:highlight w:val="none"/>
        </w:rPr>
      </w:pPr>
    </w:p>
    <w:p w14:paraId="53F02CAA">
      <w:pPr>
        <w:snapToGrid w:val="0"/>
        <w:spacing w:line="500" w:lineRule="exact"/>
        <w:ind w:firstLine="840" w:firstLineChars="300"/>
        <w:textAlignment w:val="baseline"/>
        <w:rPr>
          <w:rFonts w:hint="eastAsia" w:ascii="微软雅黑" w:hAnsi="微软雅黑" w:eastAsia="微软雅黑" w:cs="微软雅黑"/>
          <w:b/>
          <w:color w:val="auto"/>
          <w:sz w:val="28"/>
          <w:szCs w:val="28"/>
          <w:highlight w:val="none"/>
          <w:u w:val="single" w:color="000000"/>
          <w:lang w:val="en-US" w:eastAsia="zh-CN"/>
        </w:rPr>
      </w:pPr>
      <w:r>
        <w:rPr>
          <w:rFonts w:hint="eastAsia" w:ascii="微软雅黑" w:hAnsi="微软雅黑" w:eastAsia="微软雅黑" w:cs="微软雅黑"/>
          <w:b/>
          <w:color w:val="auto"/>
          <w:sz w:val="28"/>
          <w:szCs w:val="28"/>
          <w:highlight w:val="none"/>
        </w:rPr>
        <w:t>采购单位名称：</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eastAsia="zh-CN"/>
        </w:rPr>
        <w:t>喀什地区社会福利院</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p>
    <w:p w14:paraId="69D7607B">
      <w:pPr>
        <w:snapToGrid w:val="0"/>
        <w:spacing w:line="500" w:lineRule="exact"/>
        <w:ind w:firstLine="840" w:firstLineChars="300"/>
        <w:textAlignment w:val="baseline"/>
        <w:rPr>
          <w:rFonts w:hint="eastAsia" w:ascii="微软雅黑" w:hAnsi="微软雅黑" w:eastAsia="微软雅黑" w:cs="微软雅黑"/>
          <w:b/>
          <w:color w:val="auto"/>
          <w:sz w:val="28"/>
          <w:szCs w:val="28"/>
          <w:highlight w:val="none"/>
          <w:lang w:val="en-US" w:eastAsia="zh-CN"/>
        </w:rPr>
      </w:pPr>
      <w:r>
        <w:rPr>
          <w:rFonts w:hint="eastAsia" w:ascii="微软雅黑" w:hAnsi="微软雅黑" w:eastAsia="微软雅黑" w:cs="微软雅黑"/>
          <w:b/>
          <w:color w:val="auto"/>
          <w:sz w:val="28"/>
          <w:szCs w:val="28"/>
          <w:highlight w:val="none"/>
        </w:rPr>
        <w:t>联   系   人：</w:t>
      </w:r>
      <w:r>
        <w:rPr>
          <w:rFonts w:hint="eastAsia" w:ascii="微软雅黑" w:hAnsi="微软雅黑" w:eastAsia="微软雅黑" w:cs="微软雅黑"/>
          <w:b/>
          <w:color w:val="auto"/>
          <w:sz w:val="28"/>
          <w:szCs w:val="28"/>
          <w:highlight w:val="none"/>
          <w:u w:val="single" w:color="auto"/>
        </w:rPr>
        <w:t xml:space="preserve">   </w:t>
      </w:r>
      <w:r>
        <w:rPr>
          <w:rFonts w:hint="eastAsia" w:ascii="微软雅黑" w:hAnsi="微软雅黑" w:eastAsia="微软雅黑" w:cs="微软雅黑"/>
          <w:b/>
          <w:color w:val="auto"/>
          <w:sz w:val="28"/>
          <w:szCs w:val="28"/>
          <w:highlight w:val="none"/>
          <w:u w:val="single" w:color="auto"/>
          <w:lang w:val="en-US" w:eastAsia="zh-CN"/>
        </w:rPr>
        <w:t xml:space="preserve">  </w:t>
      </w:r>
      <w:r>
        <w:rPr>
          <w:rFonts w:hint="eastAsia" w:ascii="微软雅黑" w:hAnsi="微软雅黑" w:eastAsia="微软雅黑" w:cs="微软雅黑"/>
          <w:b/>
          <w:color w:val="auto"/>
          <w:sz w:val="28"/>
          <w:szCs w:val="28"/>
          <w:highlight w:val="none"/>
          <w:u w:val="single" w:color="auto"/>
          <w:lang w:eastAsia="zh-CN"/>
        </w:rPr>
        <w:t>路璐</w:t>
      </w:r>
      <w:r>
        <w:rPr>
          <w:rFonts w:hint="eastAsia" w:ascii="微软雅黑" w:hAnsi="微软雅黑" w:eastAsia="微软雅黑" w:cs="微软雅黑"/>
          <w:b/>
          <w:color w:val="auto"/>
          <w:sz w:val="28"/>
          <w:szCs w:val="28"/>
          <w:highlight w:val="none"/>
          <w:u w:val="single" w:color="auto"/>
          <w:lang w:val="en-US" w:eastAsia="zh-CN"/>
        </w:rPr>
        <w:t xml:space="preserve">       </w:t>
      </w:r>
      <w:r>
        <w:rPr>
          <w:rFonts w:hint="eastAsia" w:ascii="微软雅黑" w:hAnsi="微软雅黑" w:eastAsia="微软雅黑" w:cs="微软雅黑"/>
          <w:b/>
          <w:color w:val="auto"/>
          <w:sz w:val="28"/>
          <w:szCs w:val="28"/>
          <w:highlight w:val="none"/>
          <w:u w:val="single" w:color="auto"/>
        </w:rPr>
        <w:t xml:space="preserve"> </w:t>
      </w:r>
      <w:r>
        <w:rPr>
          <w:rFonts w:hint="eastAsia" w:ascii="微软雅黑" w:hAnsi="微软雅黑" w:eastAsia="微软雅黑" w:cs="微软雅黑"/>
          <w:b/>
          <w:color w:val="auto"/>
          <w:sz w:val="28"/>
          <w:szCs w:val="28"/>
          <w:highlight w:val="none"/>
          <w:u w:val="single" w:color="auto"/>
          <w:lang w:val="en-US" w:eastAsia="zh-CN"/>
        </w:rPr>
        <w:t xml:space="preserve">   </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000000"/>
          <w:lang w:val="en-US" w:eastAsia="zh-CN"/>
        </w:rPr>
        <w:t xml:space="preserve"> </w:t>
      </w:r>
    </w:p>
    <w:p w14:paraId="1C3F17FB">
      <w:pPr>
        <w:snapToGrid w:val="0"/>
        <w:spacing w:line="500" w:lineRule="exact"/>
        <w:ind w:firstLine="840" w:firstLineChars="300"/>
        <w:textAlignment w:val="baseline"/>
        <w:rPr>
          <w:rFonts w:hint="eastAsia" w:ascii="微软雅黑" w:hAnsi="微软雅黑" w:eastAsia="微软雅黑" w:cs="微软雅黑"/>
          <w:b/>
          <w:color w:val="auto"/>
          <w:sz w:val="28"/>
          <w:szCs w:val="28"/>
          <w:highlight w:val="none"/>
          <w:lang w:val="en-US" w:eastAsia="zh-CN"/>
        </w:rPr>
      </w:pPr>
      <w:r>
        <w:rPr>
          <w:rFonts w:hint="eastAsia" w:ascii="微软雅黑" w:hAnsi="微软雅黑" w:eastAsia="微软雅黑" w:cs="微软雅黑"/>
          <w:b/>
          <w:color w:val="auto"/>
          <w:sz w:val="28"/>
          <w:szCs w:val="28"/>
          <w:highlight w:val="none"/>
        </w:rPr>
        <w:t>联 系  电 话：</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auto"/>
        </w:rPr>
        <w:t xml:space="preserve"> </w:t>
      </w:r>
      <w:r>
        <w:rPr>
          <w:rFonts w:hint="eastAsia" w:ascii="微软雅黑" w:hAnsi="微软雅黑" w:eastAsia="微软雅黑" w:cs="微软雅黑"/>
          <w:b/>
          <w:color w:val="auto"/>
          <w:sz w:val="28"/>
          <w:szCs w:val="28"/>
          <w:highlight w:val="none"/>
          <w:u w:val="single" w:color="auto"/>
          <w:lang w:val="en-US" w:eastAsia="zh-CN"/>
        </w:rPr>
        <w:t xml:space="preserve">  17690766815    </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000000"/>
          <w:lang w:val="en-US" w:eastAsia="zh-CN"/>
        </w:rPr>
        <w:t xml:space="preserve"> </w:t>
      </w:r>
    </w:p>
    <w:p w14:paraId="3A7210BD">
      <w:pPr>
        <w:snapToGrid w:val="0"/>
        <w:spacing w:line="500" w:lineRule="exact"/>
        <w:ind w:firstLine="560" w:firstLineChars="200"/>
        <w:textAlignment w:val="baseline"/>
        <w:rPr>
          <w:rFonts w:hint="eastAsia" w:ascii="微软雅黑" w:hAnsi="微软雅黑" w:eastAsia="微软雅黑" w:cs="微软雅黑"/>
          <w:b/>
          <w:color w:val="auto"/>
          <w:sz w:val="28"/>
          <w:szCs w:val="28"/>
          <w:highlight w:val="none"/>
          <w:lang w:val="en-US" w:eastAsia="zh-CN"/>
        </w:rPr>
      </w:pPr>
      <w:r>
        <w:rPr>
          <w:rFonts w:hint="eastAsia" w:ascii="微软雅黑" w:hAnsi="微软雅黑" w:eastAsia="微软雅黑" w:cs="微软雅黑"/>
          <w:b/>
          <w:color w:val="auto"/>
          <w:sz w:val="28"/>
          <w:szCs w:val="28"/>
          <w:highlight w:val="none"/>
        </w:rPr>
        <w:t xml:space="preserve"> </w:t>
      </w:r>
      <w:r>
        <w:rPr>
          <w:rFonts w:hint="eastAsia" w:ascii="微软雅黑" w:hAnsi="微软雅黑" w:eastAsia="微软雅黑" w:cs="微软雅黑"/>
          <w:b/>
          <w:color w:val="auto"/>
          <w:sz w:val="28"/>
          <w:szCs w:val="28"/>
          <w:highlight w:val="none"/>
          <w:lang w:val="en-US" w:eastAsia="zh-CN"/>
        </w:rPr>
        <w:t xml:space="preserve"> </w:t>
      </w:r>
    </w:p>
    <w:p w14:paraId="77B3E7F8">
      <w:pPr>
        <w:pStyle w:val="36"/>
        <w:ind w:left="0" w:leftChars="0" w:firstLine="0" w:firstLineChars="0"/>
        <w:rPr>
          <w:rFonts w:hint="eastAsia"/>
          <w:color w:val="auto"/>
          <w:highlight w:val="none"/>
          <w:lang w:eastAsia="zh-CN"/>
        </w:rPr>
      </w:pPr>
    </w:p>
    <w:p w14:paraId="31EB5CEB">
      <w:pPr>
        <w:snapToGrid w:val="0"/>
        <w:spacing w:line="500" w:lineRule="exact"/>
        <w:ind w:firstLine="840" w:firstLineChars="300"/>
        <w:textAlignment w:val="baseline"/>
        <w:rPr>
          <w:rFonts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lang w:eastAsia="zh-CN"/>
        </w:rPr>
        <w:t>采购代理机构</w:t>
      </w:r>
      <w:r>
        <w:rPr>
          <w:rFonts w:hint="eastAsia" w:ascii="微软雅黑" w:hAnsi="微软雅黑" w:eastAsia="微软雅黑" w:cs="微软雅黑"/>
          <w:b/>
          <w:color w:val="auto"/>
          <w:sz w:val="28"/>
          <w:szCs w:val="28"/>
          <w:highlight w:val="none"/>
        </w:rPr>
        <w:t>名称：</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eastAsia="zh-CN"/>
        </w:rPr>
        <w:t>新疆永信国金工程管理咨询有限公司</w:t>
      </w:r>
      <w:r>
        <w:rPr>
          <w:rFonts w:hint="eastAsia" w:ascii="微软雅黑" w:hAnsi="微软雅黑" w:eastAsia="微软雅黑" w:cs="微软雅黑"/>
          <w:b/>
          <w:color w:val="auto"/>
          <w:sz w:val="28"/>
          <w:szCs w:val="28"/>
          <w:highlight w:val="none"/>
          <w:u w:val="single" w:color="000000"/>
          <w:lang w:eastAsia="zh-CN"/>
        </w:rPr>
        <w:t xml:space="preserve"> </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rPr>
        <w:t xml:space="preserve">  </w:t>
      </w:r>
    </w:p>
    <w:p w14:paraId="007E347A">
      <w:pPr>
        <w:snapToGrid w:val="0"/>
        <w:spacing w:line="500" w:lineRule="exact"/>
        <w:ind w:firstLine="840" w:firstLineChars="300"/>
        <w:textAlignment w:val="baseline"/>
        <w:rPr>
          <w:rFonts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联   系   人：</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000000"/>
          <w:lang w:val="en-US" w:eastAsia="zh-CN"/>
        </w:rPr>
        <w:t xml:space="preserve">    </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000000"/>
          <w:lang w:eastAsia="zh-CN"/>
        </w:rPr>
        <w:t>陈玉杰</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000000"/>
          <w:lang w:val="en-US" w:eastAsia="zh-CN"/>
        </w:rPr>
        <w:t xml:space="preserve">       </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rPr>
        <w:t xml:space="preserve">  </w:t>
      </w:r>
    </w:p>
    <w:p w14:paraId="781ED976">
      <w:pPr>
        <w:snapToGrid w:val="0"/>
        <w:spacing w:line="500" w:lineRule="exact"/>
        <w:ind w:firstLine="840" w:firstLineChars="300"/>
        <w:textAlignment w:val="baseline"/>
        <w:rPr>
          <w:rFonts w:ascii="微软雅黑" w:hAnsi="微软雅黑" w:eastAsia="微软雅黑" w:cs="微软雅黑"/>
          <w:color w:val="auto"/>
          <w:sz w:val="20"/>
          <w:highlight w:val="none"/>
        </w:rPr>
      </w:pPr>
      <w:r>
        <w:rPr>
          <w:rFonts w:hint="eastAsia" w:ascii="微软雅黑" w:hAnsi="微软雅黑" w:eastAsia="微软雅黑" w:cs="微软雅黑"/>
          <w:b/>
          <w:color w:val="auto"/>
          <w:sz w:val="28"/>
          <w:szCs w:val="28"/>
          <w:highlight w:val="none"/>
        </w:rPr>
        <w:t>联 系  电 话：</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000000"/>
          <w:lang w:val="en-US" w:eastAsia="zh-CN"/>
        </w:rPr>
        <w:t xml:space="preserve">          </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000000"/>
          <w:lang w:val="en-US" w:eastAsia="zh-CN"/>
        </w:rPr>
        <w:t>15569228338</w:t>
      </w:r>
      <w:r>
        <w:rPr>
          <w:rFonts w:hint="eastAsia" w:ascii="微软雅黑" w:hAnsi="微软雅黑" w:eastAsia="微软雅黑" w:cs="微软雅黑"/>
          <w:b/>
          <w:color w:val="auto"/>
          <w:sz w:val="28"/>
          <w:szCs w:val="28"/>
          <w:highlight w:val="none"/>
          <w:u w:val="single" w:color="000000"/>
        </w:rPr>
        <w:t xml:space="preserve">  </w:t>
      </w:r>
      <w:r>
        <w:rPr>
          <w:rFonts w:hint="eastAsia" w:ascii="微软雅黑" w:hAnsi="微软雅黑" w:eastAsia="微软雅黑" w:cs="微软雅黑"/>
          <w:b/>
          <w:color w:val="auto"/>
          <w:sz w:val="28"/>
          <w:szCs w:val="28"/>
          <w:highlight w:val="none"/>
          <w:u w:val="single" w:color="000000"/>
          <w:lang w:val="en-US" w:eastAsia="zh-CN"/>
        </w:rPr>
        <w:t xml:space="preserve">    </w:t>
      </w:r>
      <w:r>
        <w:rPr>
          <w:rFonts w:hint="eastAsia" w:ascii="微软雅黑" w:hAnsi="微软雅黑" w:eastAsia="微软雅黑" w:cs="微软雅黑"/>
          <w:b/>
          <w:color w:val="auto"/>
          <w:sz w:val="28"/>
          <w:szCs w:val="28"/>
          <w:highlight w:val="none"/>
          <w:u w:val="single" w:color="000000"/>
        </w:rPr>
        <w:t xml:space="preserve">    </w:t>
      </w:r>
    </w:p>
    <w:p w14:paraId="6AAF8872">
      <w:pPr>
        <w:pStyle w:val="37"/>
        <w:snapToGrid w:val="0"/>
        <w:textAlignment w:val="baseline"/>
        <w:rPr>
          <w:rFonts w:ascii="微软雅黑" w:hAnsi="微软雅黑" w:eastAsia="微软雅黑" w:cs="微软雅黑"/>
          <w:color w:val="auto"/>
          <w:sz w:val="21"/>
          <w:highlight w:val="none"/>
        </w:rPr>
      </w:pPr>
    </w:p>
    <w:p w14:paraId="192F32D3">
      <w:pPr>
        <w:snapToGrid w:val="0"/>
        <w:spacing w:line="240" w:lineRule="atLeast"/>
        <w:jc w:val="both"/>
        <w:textAlignment w:val="baseline"/>
        <w:rPr>
          <w:rFonts w:ascii="微软雅黑" w:hAnsi="微软雅黑" w:eastAsia="微软雅黑" w:cs="微软雅黑"/>
          <w:b/>
          <w:color w:val="auto"/>
          <w:sz w:val="28"/>
          <w:szCs w:val="28"/>
          <w:highlight w:val="none"/>
        </w:rPr>
      </w:pPr>
    </w:p>
    <w:p w14:paraId="41CD0812">
      <w:pPr>
        <w:snapToGrid w:val="0"/>
        <w:spacing w:line="240" w:lineRule="atLeast"/>
        <w:jc w:val="center"/>
        <w:textAlignment w:val="baseline"/>
        <w:rPr>
          <w:rFonts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日期： 202</w:t>
      </w:r>
      <w:r>
        <w:rPr>
          <w:rFonts w:hint="eastAsia" w:ascii="微软雅黑" w:hAnsi="微软雅黑" w:eastAsia="微软雅黑" w:cs="微软雅黑"/>
          <w:b/>
          <w:color w:val="auto"/>
          <w:sz w:val="28"/>
          <w:szCs w:val="28"/>
          <w:highlight w:val="none"/>
          <w:lang w:val="en-US" w:eastAsia="zh-CN"/>
        </w:rPr>
        <w:t>6</w:t>
      </w:r>
      <w:r>
        <w:rPr>
          <w:rFonts w:hint="eastAsia" w:ascii="微软雅黑" w:hAnsi="微软雅黑" w:eastAsia="微软雅黑" w:cs="微软雅黑"/>
          <w:b/>
          <w:color w:val="auto"/>
          <w:sz w:val="28"/>
          <w:szCs w:val="28"/>
          <w:highlight w:val="none"/>
        </w:rPr>
        <w:t>年</w:t>
      </w:r>
      <w:r>
        <w:rPr>
          <w:rFonts w:hint="eastAsia" w:ascii="微软雅黑" w:hAnsi="微软雅黑" w:eastAsia="微软雅黑" w:cs="微软雅黑"/>
          <w:b/>
          <w:color w:val="auto"/>
          <w:sz w:val="28"/>
          <w:szCs w:val="28"/>
          <w:highlight w:val="none"/>
          <w:lang w:val="en-US" w:eastAsia="zh-CN"/>
        </w:rPr>
        <w:t>5</w:t>
      </w:r>
      <w:r>
        <w:rPr>
          <w:rFonts w:hint="eastAsia" w:ascii="微软雅黑" w:hAnsi="微软雅黑" w:eastAsia="微软雅黑" w:cs="微软雅黑"/>
          <w:b/>
          <w:color w:val="auto"/>
          <w:sz w:val="28"/>
          <w:szCs w:val="28"/>
          <w:highlight w:val="none"/>
        </w:rPr>
        <w:t>月</w:t>
      </w:r>
    </w:p>
    <w:p w14:paraId="58C286C9">
      <w:pPr>
        <w:snapToGrid w:val="0"/>
        <w:spacing w:line="240" w:lineRule="atLeast"/>
        <w:ind w:left="1079" w:leftChars="257" w:hanging="540"/>
        <w:jc w:val="center"/>
        <w:textAlignment w:val="baseline"/>
        <w:rPr>
          <w:rFonts w:ascii="微软雅黑" w:hAnsi="微软雅黑" w:eastAsia="微软雅黑" w:cs="微软雅黑"/>
          <w:b/>
          <w:color w:val="auto"/>
          <w:sz w:val="32"/>
          <w:highlight w:val="none"/>
        </w:rPr>
        <w:sectPr>
          <w:headerReference r:id="rId3" w:type="default"/>
          <w:pgSz w:w="11906" w:h="16838"/>
          <w:pgMar w:top="1440" w:right="1080" w:bottom="1440" w:left="1080" w:header="851" w:footer="992" w:gutter="0"/>
          <w:pgNumType w:fmt="decimal" w:start="1"/>
          <w:cols w:space="720" w:num="1"/>
          <w:docGrid w:type="linesAndChars" w:linePitch="312" w:charSpace="0"/>
        </w:sectPr>
      </w:pPr>
    </w:p>
    <w:p w14:paraId="680D17AF">
      <w:pPr>
        <w:snapToGrid w:val="0"/>
        <w:spacing w:line="400" w:lineRule="exact"/>
        <w:ind w:left="1080" w:leftChars="257" w:hanging="540"/>
        <w:jc w:val="center"/>
        <w:textAlignment w:val="baseline"/>
        <w:rPr>
          <w:rFonts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目  录</w:t>
      </w:r>
    </w:p>
    <w:p w14:paraId="79EF9DD2">
      <w:pPr>
        <w:pStyle w:val="24"/>
        <w:tabs>
          <w:tab w:val="right" w:leader="dot" w:pos="9746"/>
        </w:tabs>
        <w:rPr>
          <w:color w:val="auto"/>
          <w:highlight w:val="none"/>
        </w:rPr>
      </w:pPr>
      <w:bookmarkStart w:id="0" w:name="_Toc1462"/>
      <w:bookmarkStart w:id="1" w:name="_Toc518923059"/>
      <w:bookmarkStart w:id="2" w:name="_Toc10715352"/>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TOC \o "1-2" \h \u </w:instrText>
      </w:r>
      <w:r>
        <w:rPr>
          <w:rFonts w:hint="eastAsia" w:ascii="微软雅黑" w:hAnsi="微软雅黑" w:eastAsia="微软雅黑" w:cs="微软雅黑"/>
          <w:color w:val="auto"/>
          <w:kern w:val="0"/>
          <w:sz w:val="24"/>
          <w:szCs w:val="24"/>
          <w:highlight w:val="none"/>
        </w:rPr>
        <w:fldChar w:fldCharType="separate"/>
      </w:r>
      <w:bookmarkStart w:id="1392" w:name="_GoBack"/>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_Toc25123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kern w:val="0"/>
          <w:szCs w:val="24"/>
          <w:highlight w:val="none"/>
        </w:rPr>
        <w:t xml:space="preserve">第1章  </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须知</w:t>
      </w:r>
      <w:r>
        <w:rPr>
          <w:color w:val="auto"/>
          <w:highlight w:val="none"/>
        </w:rPr>
        <w:tab/>
      </w:r>
      <w:r>
        <w:rPr>
          <w:color w:val="auto"/>
          <w:highlight w:val="none"/>
        </w:rPr>
        <w:fldChar w:fldCharType="begin"/>
      </w:r>
      <w:r>
        <w:rPr>
          <w:color w:val="auto"/>
          <w:highlight w:val="none"/>
        </w:rPr>
        <w:instrText xml:space="preserve"> PAGEREF _Toc25123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4CD78AE3">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_Toc14057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一   总 则</w:t>
      </w:r>
      <w:r>
        <w:rPr>
          <w:color w:val="auto"/>
          <w:highlight w:val="none"/>
        </w:rPr>
        <w:tab/>
      </w:r>
      <w:r>
        <w:rPr>
          <w:color w:val="auto"/>
          <w:highlight w:val="none"/>
        </w:rPr>
        <w:fldChar w:fldCharType="begin"/>
      </w:r>
      <w:r>
        <w:rPr>
          <w:color w:val="auto"/>
          <w:highlight w:val="none"/>
        </w:rPr>
        <w:instrText xml:space="preserve"> PAGEREF _Toc14057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5F456FF8">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_Toc8754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二   磋商文件</w:t>
      </w:r>
      <w:r>
        <w:rPr>
          <w:color w:val="auto"/>
          <w:highlight w:val="none"/>
        </w:rPr>
        <w:tab/>
      </w:r>
      <w:r>
        <w:rPr>
          <w:color w:val="auto"/>
          <w:highlight w:val="none"/>
        </w:rPr>
        <w:fldChar w:fldCharType="begin"/>
      </w:r>
      <w:r>
        <w:rPr>
          <w:color w:val="auto"/>
          <w:highlight w:val="none"/>
        </w:rPr>
        <w:instrText xml:space="preserve"> PAGEREF _Toc8754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791D38CA">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_Toc3638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三   响应文件的编制</w:t>
      </w:r>
      <w:r>
        <w:rPr>
          <w:color w:val="auto"/>
          <w:highlight w:val="none"/>
        </w:rPr>
        <w:tab/>
      </w:r>
      <w:r>
        <w:rPr>
          <w:color w:val="auto"/>
          <w:highlight w:val="none"/>
        </w:rPr>
        <w:fldChar w:fldCharType="begin"/>
      </w:r>
      <w:r>
        <w:rPr>
          <w:color w:val="auto"/>
          <w:highlight w:val="none"/>
        </w:rPr>
        <w:instrText xml:space="preserve"> PAGEREF _Toc3638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699ADF26">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_Toc1763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四   响应文件的递交</w:t>
      </w:r>
      <w:r>
        <w:rPr>
          <w:color w:val="auto"/>
          <w:highlight w:val="none"/>
        </w:rPr>
        <w:tab/>
      </w:r>
      <w:r>
        <w:rPr>
          <w:color w:val="auto"/>
          <w:highlight w:val="none"/>
        </w:rPr>
        <w:fldChar w:fldCharType="begin"/>
      </w:r>
      <w:r>
        <w:rPr>
          <w:color w:val="auto"/>
          <w:highlight w:val="none"/>
        </w:rPr>
        <w:instrText xml:space="preserve"> PAGEREF _Toc1763 \h </w:instrText>
      </w:r>
      <w:r>
        <w:rPr>
          <w:color w:val="auto"/>
          <w:highlight w:val="none"/>
        </w:rPr>
        <w:fldChar w:fldCharType="separate"/>
      </w:r>
      <w:r>
        <w:rPr>
          <w:color w:val="auto"/>
          <w:highlight w:val="none"/>
        </w:rPr>
        <w:t>7</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3A3C7533">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_Toc7029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五   磋商及评审</w:t>
      </w:r>
      <w:r>
        <w:rPr>
          <w:color w:val="auto"/>
          <w:highlight w:val="none"/>
        </w:rPr>
        <w:tab/>
      </w:r>
      <w:r>
        <w:rPr>
          <w:color w:val="auto"/>
          <w:highlight w:val="none"/>
        </w:rPr>
        <w:fldChar w:fldCharType="begin"/>
      </w:r>
      <w:r>
        <w:rPr>
          <w:color w:val="auto"/>
          <w:highlight w:val="none"/>
        </w:rPr>
        <w:instrText xml:space="preserve"> PAGEREF _Toc7029 \h </w:instrText>
      </w:r>
      <w:r>
        <w:rPr>
          <w:color w:val="auto"/>
          <w:highlight w:val="none"/>
        </w:rPr>
        <w:fldChar w:fldCharType="separate"/>
      </w:r>
      <w:r>
        <w:rPr>
          <w:color w:val="auto"/>
          <w:highlight w:val="none"/>
        </w:rPr>
        <w:t>8</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6EC697FC">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_Toc26655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六   确定成交</w:t>
      </w:r>
      <w:r>
        <w:rPr>
          <w:color w:val="auto"/>
          <w:highlight w:val="none"/>
        </w:rPr>
        <w:tab/>
      </w:r>
      <w:r>
        <w:rPr>
          <w:color w:val="auto"/>
          <w:highlight w:val="none"/>
        </w:rPr>
        <w:fldChar w:fldCharType="begin"/>
      </w:r>
      <w:r>
        <w:rPr>
          <w:color w:val="auto"/>
          <w:highlight w:val="none"/>
        </w:rPr>
        <w:instrText xml:space="preserve"> PAGEREF _Toc26655 \h </w:instrText>
      </w:r>
      <w:r>
        <w:rPr>
          <w:color w:val="auto"/>
          <w:highlight w:val="none"/>
        </w:rPr>
        <w:fldChar w:fldCharType="separate"/>
      </w:r>
      <w:r>
        <w:rPr>
          <w:color w:val="auto"/>
          <w:highlight w:val="none"/>
        </w:rPr>
        <w:t>14</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65FE1B9C">
      <w:pPr>
        <w:pStyle w:val="24"/>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_Toc24045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第2章 响应文件格式</w:t>
      </w:r>
      <w:r>
        <w:rPr>
          <w:color w:val="auto"/>
          <w:highlight w:val="none"/>
        </w:rPr>
        <w:tab/>
      </w:r>
      <w:r>
        <w:rPr>
          <w:color w:val="auto"/>
          <w:highlight w:val="none"/>
        </w:rPr>
        <w:fldChar w:fldCharType="begin"/>
      </w:r>
      <w:r>
        <w:rPr>
          <w:color w:val="auto"/>
          <w:highlight w:val="none"/>
        </w:rPr>
        <w:instrText xml:space="preserve"> PAGEREF _Toc24045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4F0F6DFD">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_Toc14421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第一部分 磋商开启一览表及资格证明文件</w:t>
      </w:r>
      <w:r>
        <w:rPr>
          <w:color w:val="auto"/>
          <w:highlight w:val="none"/>
        </w:rPr>
        <w:tab/>
      </w:r>
      <w:r>
        <w:rPr>
          <w:color w:val="auto"/>
          <w:highlight w:val="none"/>
        </w:rPr>
        <w:fldChar w:fldCharType="begin"/>
      </w:r>
      <w:r>
        <w:rPr>
          <w:color w:val="auto"/>
          <w:highlight w:val="none"/>
        </w:rPr>
        <w:instrText xml:space="preserve"> PAGEREF _Toc14421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25128CD2">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_Toc18454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1、磋商报价一览表</w:t>
      </w:r>
      <w:r>
        <w:rPr>
          <w:color w:val="auto"/>
          <w:highlight w:val="none"/>
        </w:rPr>
        <w:tab/>
      </w:r>
      <w:r>
        <w:rPr>
          <w:color w:val="auto"/>
          <w:highlight w:val="none"/>
        </w:rPr>
        <w:fldChar w:fldCharType="begin"/>
      </w:r>
      <w:r>
        <w:rPr>
          <w:color w:val="auto"/>
          <w:highlight w:val="none"/>
        </w:rPr>
        <w:instrText xml:space="preserve"> PAGEREF _Toc18454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3AB21435">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_Toc1174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bCs/>
          <w:color w:val="auto"/>
          <w:highlight w:val="none"/>
        </w:rPr>
        <w:t>2  符合《中华人民共和国政府采购法》第二十二条的规定</w:t>
      </w:r>
      <w:r>
        <w:rPr>
          <w:color w:val="auto"/>
          <w:highlight w:val="none"/>
        </w:rPr>
        <w:tab/>
      </w:r>
      <w:r>
        <w:rPr>
          <w:color w:val="auto"/>
          <w:highlight w:val="none"/>
        </w:rPr>
        <w:fldChar w:fldCharType="begin"/>
      </w:r>
      <w:r>
        <w:rPr>
          <w:color w:val="auto"/>
          <w:highlight w:val="none"/>
        </w:rPr>
        <w:instrText xml:space="preserve"> PAGEREF _Toc1174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38F93635">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_Toc29123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kern w:val="0"/>
          <w:highlight w:val="none"/>
          <w:lang w:val="en-US" w:eastAsia="zh-CN"/>
        </w:rPr>
        <w:t>4</w:t>
      </w:r>
      <w:r>
        <w:rPr>
          <w:rFonts w:hint="eastAsia" w:ascii="微软雅黑" w:hAnsi="微软雅黑" w:eastAsia="微软雅黑" w:cs="微软雅黑"/>
          <w:color w:val="auto"/>
          <w:kern w:val="0"/>
          <w:highlight w:val="none"/>
        </w:rPr>
        <w:t>、缴纳磋商保证金有效凭证；</w:t>
      </w:r>
      <w:r>
        <w:rPr>
          <w:color w:val="auto"/>
          <w:highlight w:val="none"/>
        </w:rPr>
        <w:tab/>
      </w:r>
      <w:r>
        <w:rPr>
          <w:color w:val="auto"/>
          <w:highlight w:val="none"/>
        </w:rPr>
        <w:fldChar w:fldCharType="begin"/>
      </w:r>
      <w:r>
        <w:rPr>
          <w:color w:val="auto"/>
          <w:highlight w:val="none"/>
        </w:rPr>
        <w:instrText xml:space="preserve"> PAGEREF _Toc29123 \h </w:instrText>
      </w:r>
      <w:r>
        <w:rPr>
          <w:color w:val="auto"/>
          <w:highlight w:val="none"/>
        </w:rPr>
        <w:fldChar w:fldCharType="separate"/>
      </w:r>
      <w:r>
        <w:rPr>
          <w:color w:val="auto"/>
          <w:highlight w:val="none"/>
        </w:rPr>
        <w:t>36</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7EC83DB3">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_Toc20579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_Toc20579 \h </w:instrText>
      </w:r>
      <w:r>
        <w:rPr>
          <w:color w:val="auto"/>
          <w:highlight w:val="none"/>
        </w:rPr>
        <w:fldChar w:fldCharType="separate"/>
      </w:r>
      <w:r>
        <w:rPr>
          <w:color w:val="auto"/>
          <w:highlight w:val="none"/>
        </w:rPr>
        <w:t>37</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3715A173">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_Toc22398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1 、磋商书</w:t>
      </w:r>
      <w:r>
        <w:rPr>
          <w:color w:val="auto"/>
          <w:highlight w:val="none"/>
        </w:rPr>
        <w:tab/>
      </w:r>
      <w:r>
        <w:rPr>
          <w:color w:val="auto"/>
          <w:highlight w:val="none"/>
        </w:rPr>
        <w:fldChar w:fldCharType="begin"/>
      </w:r>
      <w:r>
        <w:rPr>
          <w:color w:val="auto"/>
          <w:highlight w:val="none"/>
        </w:rPr>
        <w:instrText xml:space="preserve"> PAGEREF _Toc22398 \h </w:instrText>
      </w:r>
      <w:r>
        <w:rPr>
          <w:color w:val="auto"/>
          <w:highlight w:val="none"/>
        </w:rPr>
        <w:fldChar w:fldCharType="separate"/>
      </w:r>
      <w:r>
        <w:rPr>
          <w:color w:val="auto"/>
          <w:highlight w:val="none"/>
        </w:rPr>
        <w:t>38</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452BB526">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_Toc22760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4"/>
          <w:highlight w:val="none"/>
        </w:rPr>
        <w:t>2 、</w:t>
      </w:r>
      <w:r>
        <w:rPr>
          <w:rFonts w:hint="eastAsia" w:ascii="微软雅黑" w:hAnsi="微软雅黑" w:eastAsia="微软雅黑" w:cs="微软雅黑"/>
          <w:bCs/>
          <w:color w:val="auto"/>
          <w:szCs w:val="24"/>
          <w:highlight w:val="none"/>
        </w:rPr>
        <w:t>磋商分项报价表</w:t>
      </w:r>
      <w:r>
        <w:rPr>
          <w:rFonts w:hint="eastAsia" w:ascii="微软雅黑" w:hAnsi="微软雅黑" w:eastAsia="微软雅黑" w:cs="微软雅黑"/>
          <w:bCs/>
          <w:color w:val="auto"/>
          <w:szCs w:val="24"/>
          <w:highlight w:val="none"/>
          <w:lang w:eastAsia="zh-CN"/>
        </w:rPr>
        <w:t>（已标价的工程量清单）</w:t>
      </w:r>
      <w:r>
        <w:rPr>
          <w:color w:val="auto"/>
          <w:highlight w:val="none"/>
        </w:rPr>
        <w:tab/>
      </w:r>
      <w:r>
        <w:rPr>
          <w:color w:val="auto"/>
          <w:highlight w:val="none"/>
        </w:rPr>
        <w:fldChar w:fldCharType="begin"/>
      </w:r>
      <w:r>
        <w:rPr>
          <w:color w:val="auto"/>
          <w:highlight w:val="none"/>
        </w:rPr>
        <w:instrText xml:space="preserve"> PAGEREF _Toc22760 \h </w:instrText>
      </w:r>
      <w:r>
        <w:rPr>
          <w:color w:val="auto"/>
          <w:highlight w:val="none"/>
        </w:rPr>
        <w:fldChar w:fldCharType="separate"/>
      </w:r>
      <w:r>
        <w:rPr>
          <w:color w:val="auto"/>
          <w:highlight w:val="none"/>
        </w:rPr>
        <w:t>39</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47A1A31A">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_Toc20839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bCs/>
          <w:color w:val="auto"/>
          <w:spacing w:val="-2"/>
          <w:szCs w:val="28"/>
          <w:highlight w:val="none"/>
          <w:lang w:val="en-US" w:eastAsia="zh-CN"/>
        </w:rPr>
        <w:t>3、</w:t>
      </w:r>
      <w:r>
        <w:rPr>
          <w:rFonts w:hint="eastAsia" w:ascii="微软雅黑" w:hAnsi="微软雅黑" w:eastAsia="微软雅黑" w:cs="微软雅黑"/>
          <w:bCs/>
          <w:color w:val="auto"/>
          <w:spacing w:val="-2"/>
          <w:szCs w:val="28"/>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_Toc20839 \h </w:instrText>
      </w:r>
      <w:r>
        <w:rPr>
          <w:color w:val="auto"/>
          <w:highlight w:val="none"/>
        </w:rPr>
        <w:fldChar w:fldCharType="separate"/>
      </w:r>
      <w:r>
        <w:rPr>
          <w:color w:val="auto"/>
          <w:highlight w:val="none"/>
        </w:rPr>
        <w:t>40</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3CDA72F9">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_Toc28385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bCs/>
          <w:color w:val="auto"/>
          <w:highlight w:val="none"/>
          <w:lang w:val="en-US" w:eastAsia="zh-CN"/>
        </w:rPr>
        <w:t>4、</w:t>
      </w:r>
      <w:r>
        <w:rPr>
          <w:rFonts w:hint="eastAsia" w:ascii="微软雅黑" w:hAnsi="微软雅黑" w:eastAsia="微软雅黑" w:cs="微软雅黑"/>
          <w:bCs/>
          <w:color w:val="auto"/>
          <w:highlight w:val="none"/>
        </w:rPr>
        <w:t>残疾人福利性单位声明函（若无，可不填）</w:t>
      </w:r>
      <w:r>
        <w:rPr>
          <w:color w:val="auto"/>
          <w:highlight w:val="none"/>
        </w:rPr>
        <w:tab/>
      </w:r>
      <w:r>
        <w:rPr>
          <w:color w:val="auto"/>
          <w:highlight w:val="none"/>
        </w:rPr>
        <w:fldChar w:fldCharType="begin"/>
      </w:r>
      <w:r>
        <w:rPr>
          <w:color w:val="auto"/>
          <w:highlight w:val="none"/>
        </w:rPr>
        <w:instrText xml:space="preserve"> PAGEREF _Toc28385 \h </w:instrText>
      </w:r>
      <w:r>
        <w:rPr>
          <w:color w:val="auto"/>
          <w:highlight w:val="none"/>
        </w:rPr>
        <w:fldChar w:fldCharType="separate"/>
      </w:r>
      <w:r>
        <w:rPr>
          <w:color w:val="auto"/>
          <w:highlight w:val="none"/>
        </w:rPr>
        <w:t>41</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5FABB411">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_Toc18942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kern w:val="0"/>
          <w:highlight w:val="none"/>
          <w:lang w:val="en-US" w:eastAsia="zh-CN"/>
        </w:rPr>
        <w:t>5、</w:t>
      </w:r>
      <w:r>
        <w:rPr>
          <w:rFonts w:hint="eastAsia" w:ascii="微软雅黑" w:hAnsi="微软雅黑" w:eastAsia="微软雅黑" w:cs="微软雅黑"/>
          <w:color w:val="auto"/>
          <w:kern w:val="0"/>
          <w:highlight w:val="none"/>
        </w:rPr>
        <w:t>《监狱企业声明函》（若无，可不填）</w:t>
      </w:r>
      <w:r>
        <w:rPr>
          <w:color w:val="auto"/>
          <w:highlight w:val="none"/>
        </w:rPr>
        <w:tab/>
      </w:r>
      <w:r>
        <w:rPr>
          <w:color w:val="auto"/>
          <w:highlight w:val="none"/>
        </w:rPr>
        <w:fldChar w:fldCharType="begin"/>
      </w:r>
      <w:r>
        <w:rPr>
          <w:color w:val="auto"/>
          <w:highlight w:val="none"/>
        </w:rPr>
        <w:instrText xml:space="preserve"> PAGEREF _Toc18942 \h </w:instrText>
      </w:r>
      <w:r>
        <w:rPr>
          <w:color w:val="auto"/>
          <w:highlight w:val="none"/>
        </w:rPr>
        <w:fldChar w:fldCharType="separate"/>
      </w:r>
      <w:r>
        <w:rPr>
          <w:color w:val="auto"/>
          <w:highlight w:val="none"/>
        </w:rPr>
        <w:t>42</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080BE8E0">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_Toc1209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bCs/>
          <w:color w:val="auto"/>
          <w:spacing w:val="-2"/>
          <w:szCs w:val="24"/>
          <w:highlight w:val="none"/>
          <w:lang w:val="en-US" w:eastAsia="zh-CN"/>
        </w:rPr>
        <w:t>6</w:t>
      </w:r>
      <w:r>
        <w:rPr>
          <w:rFonts w:hint="eastAsia" w:ascii="微软雅黑" w:hAnsi="微软雅黑" w:eastAsia="微软雅黑" w:cs="微软雅黑"/>
          <w:bCs/>
          <w:color w:val="auto"/>
          <w:spacing w:val="-2"/>
          <w:szCs w:val="24"/>
          <w:highlight w:val="none"/>
          <w:lang w:eastAsia="zh-CN"/>
        </w:rPr>
        <w:t>、</w:t>
      </w:r>
      <w:r>
        <w:rPr>
          <w:rFonts w:hint="eastAsia" w:ascii="微软雅黑" w:hAnsi="微软雅黑" w:eastAsia="微软雅黑" w:cs="微软雅黑"/>
          <w:bCs/>
          <w:color w:val="auto"/>
          <w:spacing w:val="-2"/>
          <w:szCs w:val="24"/>
          <w:highlight w:val="none"/>
        </w:rPr>
        <w:t>供应商关联单位的说明</w:t>
      </w:r>
      <w:r>
        <w:rPr>
          <w:color w:val="auto"/>
          <w:highlight w:val="none"/>
        </w:rPr>
        <w:tab/>
      </w:r>
      <w:r>
        <w:rPr>
          <w:color w:val="auto"/>
          <w:highlight w:val="none"/>
        </w:rPr>
        <w:fldChar w:fldCharType="begin"/>
      </w:r>
      <w:r>
        <w:rPr>
          <w:color w:val="auto"/>
          <w:highlight w:val="none"/>
        </w:rPr>
        <w:instrText xml:space="preserve"> PAGEREF _Toc1209 \h </w:instrText>
      </w:r>
      <w:r>
        <w:rPr>
          <w:color w:val="auto"/>
          <w:highlight w:val="none"/>
        </w:rPr>
        <w:fldChar w:fldCharType="separate"/>
      </w:r>
      <w:r>
        <w:rPr>
          <w:color w:val="auto"/>
          <w:highlight w:val="none"/>
        </w:rPr>
        <w:t>43</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6B2B88A7">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_Toc31809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bCs/>
          <w:color w:val="auto"/>
          <w:kern w:val="2"/>
          <w:szCs w:val="24"/>
          <w:highlight w:val="none"/>
          <w:lang w:val="en-US" w:eastAsia="zh-CN" w:bidi="ar-SA"/>
        </w:rPr>
        <w:t>7、技术部分主要包括下列内容：</w:t>
      </w:r>
      <w:r>
        <w:rPr>
          <w:color w:val="auto"/>
          <w:highlight w:val="none"/>
        </w:rPr>
        <w:tab/>
      </w:r>
      <w:r>
        <w:rPr>
          <w:color w:val="auto"/>
          <w:highlight w:val="none"/>
        </w:rPr>
        <w:fldChar w:fldCharType="begin"/>
      </w:r>
      <w:r>
        <w:rPr>
          <w:color w:val="auto"/>
          <w:highlight w:val="none"/>
        </w:rPr>
        <w:instrText xml:space="preserve"> PAGEREF _Toc31809 \h </w:instrText>
      </w:r>
      <w:r>
        <w:rPr>
          <w:color w:val="auto"/>
          <w:highlight w:val="none"/>
        </w:rPr>
        <w:fldChar w:fldCharType="separate"/>
      </w:r>
      <w:r>
        <w:rPr>
          <w:color w:val="auto"/>
          <w:highlight w:val="none"/>
        </w:rPr>
        <w:t>44</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14F9219C">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_Toc15022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bCs/>
          <w:color w:val="auto"/>
          <w:kern w:val="2"/>
          <w:szCs w:val="24"/>
          <w:highlight w:val="none"/>
          <w:lang w:val="en-US" w:eastAsia="zh-CN" w:bidi="ar-SA"/>
        </w:rPr>
        <w:t>8、有利于投标的其他资格证明材料</w:t>
      </w:r>
      <w:r>
        <w:rPr>
          <w:color w:val="auto"/>
          <w:highlight w:val="none"/>
        </w:rPr>
        <w:tab/>
      </w:r>
      <w:r>
        <w:rPr>
          <w:color w:val="auto"/>
          <w:highlight w:val="none"/>
        </w:rPr>
        <w:fldChar w:fldCharType="begin"/>
      </w:r>
      <w:r>
        <w:rPr>
          <w:color w:val="auto"/>
          <w:highlight w:val="none"/>
        </w:rPr>
        <w:instrText xml:space="preserve"> PAGEREF _Toc15022 \h </w:instrText>
      </w:r>
      <w:r>
        <w:rPr>
          <w:color w:val="auto"/>
          <w:highlight w:val="none"/>
        </w:rPr>
        <w:fldChar w:fldCharType="separate"/>
      </w:r>
      <w:r>
        <w:rPr>
          <w:color w:val="auto"/>
          <w:highlight w:val="none"/>
        </w:rPr>
        <w:t>46</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2FF0D8A8">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_Toc31692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kern w:val="0"/>
          <w:szCs w:val="20"/>
          <w:highlight w:val="none"/>
          <w:lang w:val="en-US" w:eastAsia="zh-CN"/>
        </w:rPr>
        <w:t>9</w:t>
      </w:r>
      <w:r>
        <w:rPr>
          <w:rFonts w:hint="eastAsia" w:ascii="微软雅黑" w:hAnsi="微软雅黑" w:eastAsia="微软雅黑" w:cs="微软雅黑"/>
          <w:color w:val="auto"/>
          <w:kern w:val="0"/>
          <w:szCs w:val="20"/>
          <w:highlight w:val="none"/>
        </w:rPr>
        <w:t>、响应文件格式范本</w:t>
      </w:r>
      <w:r>
        <w:rPr>
          <w:color w:val="auto"/>
          <w:highlight w:val="none"/>
        </w:rPr>
        <w:tab/>
      </w:r>
      <w:r>
        <w:rPr>
          <w:color w:val="auto"/>
          <w:highlight w:val="none"/>
        </w:rPr>
        <w:fldChar w:fldCharType="begin"/>
      </w:r>
      <w:r>
        <w:rPr>
          <w:color w:val="auto"/>
          <w:highlight w:val="none"/>
        </w:rPr>
        <w:instrText xml:space="preserve"> PAGEREF _Toc31692 \h </w:instrText>
      </w:r>
      <w:r>
        <w:rPr>
          <w:color w:val="auto"/>
          <w:highlight w:val="none"/>
        </w:rPr>
        <w:fldChar w:fldCharType="separate"/>
      </w:r>
      <w:r>
        <w:rPr>
          <w:color w:val="auto"/>
          <w:highlight w:val="none"/>
        </w:rPr>
        <w:t>48</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04A3F367">
      <w:pPr>
        <w:pStyle w:val="24"/>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_Toc16631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highlight w:val="none"/>
        </w:rPr>
        <w:t>第3章 磋商邀请</w:t>
      </w:r>
      <w:r>
        <w:rPr>
          <w:color w:val="auto"/>
          <w:highlight w:val="none"/>
        </w:rPr>
        <w:tab/>
      </w:r>
      <w:r>
        <w:rPr>
          <w:color w:val="auto"/>
          <w:highlight w:val="none"/>
        </w:rPr>
        <w:fldChar w:fldCharType="begin"/>
      </w:r>
      <w:r>
        <w:rPr>
          <w:color w:val="auto"/>
          <w:highlight w:val="none"/>
        </w:rPr>
        <w:instrText xml:space="preserve"> PAGEREF _Toc16631 \h </w:instrText>
      </w:r>
      <w:r>
        <w:rPr>
          <w:color w:val="auto"/>
          <w:highlight w:val="none"/>
        </w:rPr>
        <w:fldChar w:fldCharType="separate"/>
      </w:r>
      <w:r>
        <w:rPr>
          <w:color w:val="auto"/>
          <w:highlight w:val="none"/>
        </w:rPr>
        <w:t>50</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284E487A">
      <w:pPr>
        <w:pStyle w:val="24"/>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_Toc7895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32"/>
          <w:highlight w:val="none"/>
        </w:rPr>
        <w:t xml:space="preserve">第4章 </w:t>
      </w:r>
      <w:r>
        <w:rPr>
          <w:rFonts w:hint="eastAsia" w:ascii="微软雅黑" w:hAnsi="微软雅黑" w:eastAsia="微软雅黑" w:cs="微软雅黑"/>
          <w:color w:val="auto"/>
          <w:szCs w:val="32"/>
          <w:highlight w:val="none"/>
          <w:lang w:eastAsia="zh-CN"/>
        </w:rPr>
        <w:t>供应商</w:t>
      </w:r>
      <w:r>
        <w:rPr>
          <w:rFonts w:hint="eastAsia" w:ascii="微软雅黑" w:hAnsi="微软雅黑" w:eastAsia="微软雅黑" w:cs="微软雅黑"/>
          <w:color w:val="auto"/>
          <w:szCs w:val="32"/>
          <w:highlight w:val="none"/>
        </w:rPr>
        <w:t>须知资料表</w:t>
      </w:r>
      <w:r>
        <w:rPr>
          <w:color w:val="auto"/>
          <w:highlight w:val="none"/>
        </w:rPr>
        <w:tab/>
      </w:r>
      <w:r>
        <w:rPr>
          <w:color w:val="auto"/>
          <w:highlight w:val="none"/>
        </w:rPr>
        <w:fldChar w:fldCharType="begin"/>
      </w:r>
      <w:r>
        <w:rPr>
          <w:color w:val="auto"/>
          <w:highlight w:val="none"/>
        </w:rPr>
        <w:instrText xml:space="preserve"> PAGEREF _Toc7895 \h </w:instrText>
      </w:r>
      <w:r>
        <w:rPr>
          <w:color w:val="auto"/>
          <w:highlight w:val="none"/>
        </w:rPr>
        <w:fldChar w:fldCharType="separate"/>
      </w:r>
      <w:r>
        <w:rPr>
          <w:color w:val="auto"/>
          <w:highlight w:val="none"/>
        </w:rPr>
        <w:t>54</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58D32882">
      <w:pPr>
        <w:pStyle w:val="24"/>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_Toc26691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highlight w:val="none"/>
        </w:rPr>
        <w:t xml:space="preserve">第5章 </w:t>
      </w:r>
      <w:r>
        <w:rPr>
          <w:rFonts w:hint="eastAsia" w:ascii="微软雅黑" w:hAnsi="微软雅黑" w:eastAsia="微软雅黑" w:cs="微软雅黑"/>
          <w:color w:val="auto"/>
          <w:highlight w:val="none"/>
          <w:lang w:val="en-US" w:eastAsia="zh-CN"/>
        </w:rPr>
        <w:t>工程量清单及技术标准</w:t>
      </w:r>
      <w:r>
        <w:rPr>
          <w:color w:val="auto"/>
          <w:highlight w:val="none"/>
        </w:rPr>
        <w:tab/>
      </w:r>
      <w:r>
        <w:rPr>
          <w:color w:val="auto"/>
          <w:highlight w:val="none"/>
        </w:rPr>
        <w:fldChar w:fldCharType="begin"/>
      </w:r>
      <w:r>
        <w:rPr>
          <w:color w:val="auto"/>
          <w:highlight w:val="none"/>
        </w:rPr>
        <w:instrText xml:space="preserve"> PAGEREF _Toc26691 \h </w:instrText>
      </w:r>
      <w:r>
        <w:rPr>
          <w:color w:val="auto"/>
          <w:highlight w:val="none"/>
        </w:rPr>
        <w:fldChar w:fldCharType="separate"/>
      </w:r>
      <w:r>
        <w:rPr>
          <w:color w:val="auto"/>
          <w:highlight w:val="none"/>
        </w:rPr>
        <w:t>62</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3858955D">
      <w:pPr>
        <w:pStyle w:val="24"/>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_Toc24904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highlight w:val="none"/>
        </w:rPr>
        <w:t>第6章 评审方法和标准</w:t>
      </w:r>
      <w:r>
        <w:rPr>
          <w:color w:val="auto"/>
          <w:highlight w:val="none"/>
        </w:rPr>
        <w:tab/>
      </w:r>
      <w:r>
        <w:rPr>
          <w:color w:val="auto"/>
          <w:highlight w:val="none"/>
        </w:rPr>
        <w:fldChar w:fldCharType="begin"/>
      </w:r>
      <w:r>
        <w:rPr>
          <w:color w:val="auto"/>
          <w:highlight w:val="none"/>
        </w:rPr>
        <w:instrText xml:space="preserve"> PAGEREF _Toc24904 \h </w:instrText>
      </w:r>
      <w:r>
        <w:rPr>
          <w:color w:val="auto"/>
          <w:highlight w:val="none"/>
        </w:rPr>
        <w:fldChar w:fldCharType="separate"/>
      </w:r>
      <w:r>
        <w:rPr>
          <w:color w:val="auto"/>
          <w:highlight w:val="none"/>
        </w:rPr>
        <w:t>65</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67A65D35">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_Toc20789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bCs/>
          <w:color w:val="auto"/>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_Toc20789 \h </w:instrText>
      </w:r>
      <w:r>
        <w:rPr>
          <w:color w:val="auto"/>
          <w:highlight w:val="none"/>
        </w:rPr>
        <w:fldChar w:fldCharType="separate"/>
      </w:r>
      <w:r>
        <w:rPr>
          <w:color w:val="auto"/>
          <w:highlight w:val="none"/>
        </w:rPr>
        <w:t>75</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58F45DB2">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_Toc3723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8"/>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_Toc3723 \h </w:instrText>
      </w:r>
      <w:r>
        <w:rPr>
          <w:color w:val="auto"/>
          <w:highlight w:val="none"/>
        </w:rPr>
        <w:fldChar w:fldCharType="separate"/>
      </w:r>
      <w:r>
        <w:rPr>
          <w:color w:val="auto"/>
          <w:highlight w:val="none"/>
        </w:rPr>
        <w:t>77</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2654B67F">
      <w:pPr>
        <w:pStyle w:val="30"/>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_Toc22660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szCs w:val="28"/>
          <w:highlight w:val="none"/>
        </w:rPr>
        <w:t>综合评分表</w:t>
      </w:r>
      <w:r>
        <w:rPr>
          <w:color w:val="auto"/>
          <w:highlight w:val="none"/>
        </w:rPr>
        <w:tab/>
      </w:r>
      <w:r>
        <w:rPr>
          <w:color w:val="auto"/>
          <w:highlight w:val="none"/>
        </w:rPr>
        <w:fldChar w:fldCharType="begin"/>
      </w:r>
      <w:r>
        <w:rPr>
          <w:color w:val="auto"/>
          <w:highlight w:val="none"/>
        </w:rPr>
        <w:instrText xml:space="preserve"> PAGEREF _Toc22660 \h </w:instrText>
      </w:r>
      <w:r>
        <w:rPr>
          <w:color w:val="auto"/>
          <w:highlight w:val="none"/>
        </w:rPr>
        <w:fldChar w:fldCharType="separate"/>
      </w:r>
      <w:r>
        <w:rPr>
          <w:color w:val="auto"/>
          <w:highlight w:val="none"/>
        </w:rPr>
        <w:t>80</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p>
    <w:p w14:paraId="2B4C5361">
      <w:pPr>
        <w:pStyle w:val="24"/>
        <w:tabs>
          <w:tab w:val="right" w:leader="dot" w:pos="9746"/>
        </w:tabs>
        <w:rPr>
          <w:color w:val="auto"/>
          <w:highlight w:val="none"/>
        </w:rPr>
      </w:pPr>
      <w:r>
        <w:rPr>
          <w:rFonts w:hint="eastAsia" w:ascii="微软雅黑" w:hAnsi="微软雅黑" w:eastAsia="微软雅黑" w:cs="微软雅黑"/>
          <w:color w:val="auto"/>
          <w:kern w:val="0"/>
          <w:szCs w:val="24"/>
          <w:highlight w:val="none"/>
        </w:rPr>
        <w:fldChar w:fldCharType="begin"/>
      </w:r>
      <w:r>
        <w:rPr>
          <w:rFonts w:hint="eastAsia" w:ascii="微软雅黑" w:hAnsi="微软雅黑" w:eastAsia="微软雅黑" w:cs="微软雅黑"/>
          <w:color w:val="auto"/>
          <w:kern w:val="0"/>
          <w:szCs w:val="24"/>
          <w:highlight w:val="none"/>
        </w:rPr>
        <w:instrText xml:space="preserve"> HYPERLINK \l _Toc12376 </w:instrText>
      </w:r>
      <w:r>
        <w:rPr>
          <w:rFonts w:hint="eastAsia" w:ascii="微软雅黑" w:hAnsi="微软雅黑" w:eastAsia="微软雅黑" w:cs="微软雅黑"/>
          <w:color w:val="auto"/>
          <w:kern w:val="0"/>
          <w:szCs w:val="24"/>
          <w:highlight w:val="none"/>
        </w:rPr>
        <w:fldChar w:fldCharType="separate"/>
      </w:r>
      <w:r>
        <w:rPr>
          <w:rFonts w:hint="eastAsia" w:ascii="微软雅黑" w:hAnsi="微软雅黑" w:eastAsia="微软雅黑" w:cs="微软雅黑"/>
          <w:color w:val="auto"/>
          <w:highlight w:val="none"/>
        </w:rPr>
        <w:t>第7章  建设工程施工合同</w:t>
      </w:r>
      <w:r>
        <w:rPr>
          <w:color w:val="auto"/>
          <w:highlight w:val="none"/>
        </w:rPr>
        <w:tab/>
      </w:r>
      <w:r>
        <w:rPr>
          <w:color w:val="auto"/>
          <w:highlight w:val="none"/>
        </w:rPr>
        <w:fldChar w:fldCharType="begin"/>
      </w:r>
      <w:r>
        <w:rPr>
          <w:color w:val="auto"/>
          <w:highlight w:val="none"/>
        </w:rPr>
        <w:instrText xml:space="preserve"> PAGEREF _Toc12376 \h </w:instrText>
      </w:r>
      <w:r>
        <w:rPr>
          <w:color w:val="auto"/>
          <w:highlight w:val="none"/>
        </w:rPr>
        <w:fldChar w:fldCharType="separate"/>
      </w:r>
      <w:r>
        <w:rPr>
          <w:color w:val="auto"/>
          <w:highlight w:val="none"/>
        </w:rPr>
        <w:t>84</w:t>
      </w:r>
      <w:r>
        <w:rPr>
          <w:color w:val="auto"/>
          <w:highlight w:val="none"/>
        </w:rPr>
        <w:fldChar w:fldCharType="end"/>
      </w:r>
      <w:r>
        <w:rPr>
          <w:rFonts w:hint="eastAsia" w:ascii="微软雅黑" w:hAnsi="微软雅黑" w:eastAsia="微软雅黑" w:cs="微软雅黑"/>
          <w:color w:val="auto"/>
          <w:kern w:val="0"/>
          <w:szCs w:val="24"/>
          <w:highlight w:val="none"/>
        </w:rPr>
        <w:fldChar w:fldCharType="end"/>
      </w:r>
      <w:bookmarkEnd w:id="1392"/>
    </w:p>
    <w:p w14:paraId="17668CFC">
      <w:pPr>
        <w:keepNext w:val="0"/>
        <w:keepLines w:val="0"/>
        <w:pageBreakBefore w:val="0"/>
        <w:widowControl w:val="0"/>
        <w:tabs>
          <w:tab w:val="left" w:pos="0"/>
        </w:tabs>
        <w:kinsoku/>
        <w:wordWrap/>
        <w:overflowPunct/>
        <w:topLinePunct w:val="0"/>
        <w:autoSpaceDE/>
        <w:autoSpaceDN/>
        <w:bidi w:val="0"/>
        <w:adjustRightInd/>
        <w:snapToGrid w:val="0"/>
        <w:spacing w:line="400" w:lineRule="exact"/>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Cs w:val="24"/>
          <w:highlight w:val="none"/>
        </w:rPr>
        <w:fldChar w:fldCharType="end"/>
      </w:r>
    </w:p>
    <w:p w14:paraId="0E5BF68C">
      <w:pPr>
        <w:pStyle w:val="2"/>
        <w:rPr>
          <w:rFonts w:hint="eastAsia" w:ascii="微软雅黑" w:hAnsi="微软雅黑" w:eastAsia="微软雅黑" w:cs="微软雅黑"/>
          <w:color w:val="auto"/>
          <w:sz w:val="24"/>
          <w:szCs w:val="24"/>
          <w:highlight w:val="none"/>
        </w:rPr>
      </w:pPr>
    </w:p>
    <w:p w14:paraId="360A1B95">
      <w:pPr>
        <w:rPr>
          <w:rFonts w:hint="eastAsia" w:ascii="微软雅黑" w:hAnsi="微软雅黑" w:eastAsia="微软雅黑" w:cs="微软雅黑"/>
          <w:color w:val="auto"/>
          <w:sz w:val="24"/>
          <w:szCs w:val="24"/>
          <w:highlight w:val="none"/>
        </w:rPr>
      </w:pPr>
    </w:p>
    <w:p w14:paraId="31C1B7C6">
      <w:pPr>
        <w:rPr>
          <w:rFonts w:hint="eastAsia"/>
          <w:color w:val="auto"/>
          <w:highlight w:val="none"/>
        </w:rPr>
      </w:pPr>
    </w:p>
    <w:p w14:paraId="0EAE87F2">
      <w:pPr>
        <w:pStyle w:val="3"/>
        <w:pageBreakBefore w:val="0"/>
        <w:tabs>
          <w:tab w:val="left" w:pos="0"/>
        </w:tabs>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kern w:val="0"/>
          <w:sz w:val="24"/>
          <w:szCs w:val="24"/>
          <w:highlight w:val="none"/>
        </w:rPr>
        <w:sectPr>
          <w:footerReference r:id="rId4" w:type="default"/>
          <w:pgSz w:w="11906" w:h="16839"/>
          <w:pgMar w:top="1440" w:right="1080" w:bottom="1440" w:left="1080" w:header="0" w:footer="1225" w:gutter="0"/>
          <w:cols w:space="720" w:num="1"/>
        </w:sectPr>
      </w:pPr>
      <w:bookmarkStart w:id="3" w:name="_Toc9179"/>
    </w:p>
    <w:p w14:paraId="37AD5D56">
      <w:pPr>
        <w:pStyle w:val="3"/>
        <w:pageBreakBefore w:val="0"/>
        <w:tabs>
          <w:tab w:val="left" w:pos="0"/>
        </w:tabs>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rPr>
      </w:pPr>
      <w:bookmarkStart w:id="4" w:name="_Toc25123"/>
      <w:r>
        <w:rPr>
          <w:rFonts w:hint="eastAsia" w:ascii="微软雅黑" w:hAnsi="微软雅黑" w:eastAsia="微软雅黑" w:cs="微软雅黑"/>
          <w:color w:val="auto"/>
          <w:kern w:val="0"/>
          <w:sz w:val="24"/>
          <w:szCs w:val="24"/>
          <w:highlight w:val="none"/>
        </w:rPr>
        <w:t xml:space="preserve">第1章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w:t>
      </w:r>
      <w:bookmarkEnd w:id="0"/>
      <w:bookmarkEnd w:id="1"/>
      <w:bookmarkEnd w:id="2"/>
      <w:bookmarkEnd w:id="3"/>
      <w:bookmarkEnd w:id="4"/>
    </w:p>
    <w:p w14:paraId="300B54A6">
      <w:pPr>
        <w:pStyle w:val="4"/>
        <w:pageBreakBefore w:val="0"/>
        <w:kinsoku/>
        <w:wordWrap/>
        <w:overflowPunct/>
        <w:topLinePunct w:val="0"/>
        <w:bidi w:val="0"/>
        <w:snapToGrid w:val="0"/>
        <w:spacing w:before="0" w:line="520" w:lineRule="exact"/>
        <w:ind w:left="1080" w:leftChars="257" w:hanging="540"/>
        <w:textAlignment w:val="baseline"/>
        <w:rPr>
          <w:rFonts w:hint="eastAsia" w:ascii="微软雅黑" w:hAnsi="微软雅黑" w:eastAsia="微软雅黑" w:cs="微软雅黑"/>
          <w:color w:val="auto"/>
          <w:sz w:val="24"/>
          <w:szCs w:val="24"/>
          <w:highlight w:val="none"/>
        </w:rPr>
      </w:pPr>
      <w:bookmarkStart w:id="5" w:name="_Toc520356143"/>
      <w:bookmarkStart w:id="6" w:name="_Toc515647757"/>
      <w:bookmarkStart w:id="7" w:name="_Toc216582805"/>
      <w:bookmarkStart w:id="8" w:name="_Toc30837"/>
      <w:bookmarkStart w:id="9" w:name="_Toc14057"/>
      <w:bookmarkStart w:id="10" w:name="_Toc21015"/>
      <w:bookmarkStart w:id="11" w:name="_Toc21215"/>
      <w:r>
        <w:rPr>
          <w:rFonts w:hint="eastAsia" w:ascii="微软雅黑" w:hAnsi="微软雅黑" w:eastAsia="微软雅黑" w:cs="微软雅黑"/>
          <w:color w:val="auto"/>
          <w:sz w:val="24"/>
          <w:szCs w:val="24"/>
          <w:highlight w:val="none"/>
        </w:rPr>
        <w:t xml:space="preserve">一   </w:t>
      </w:r>
      <w:bookmarkEnd w:id="5"/>
      <w:bookmarkEnd w:id="6"/>
      <w:bookmarkEnd w:id="7"/>
      <w:r>
        <w:rPr>
          <w:rFonts w:hint="eastAsia" w:ascii="微软雅黑" w:hAnsi="微软雅黑" w:eastAsia="微软雅黑" w:cs="微软雅黑"/>
          <w:color w:val="auto"/>
          <w:sz w:val="24"/>
          <w:szCs w:val="24"/>
          <w:highlight w:val="none"/>
        </w:rPr>
        <w:t>总 则</w:t>
      </w:r>
      <w:bookmarkEnd w:id="8"/>
      <w:bookmarkEnd w:id="9"/>
      <w:bookmarkEnd w:id="10"/>
      <w:bookmarkEnd w:id="11"/>
    </w:p>
    <w:p w14:paraId="2F84C758">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lang w:eastAsia="zh-CN"/>
        </w:rPr>
      </w:pPr>
      <w:bookmarkStart w:id="12" w:name="_Toc32623"/>
      <w:bookmarkStart w:id="13" w:name="_Toc19826"/>
      <w:bookmarkStart w:id="14" w:name="_Toc16501"/>
      <w:bookmarkStart w:id="15" w:name="_Toc27535"/>
      <w:bookmarkStart w:id="16" w:name="_Toc16079"/>
      <w:bookmarkStart w:id="17" w:name="_Toc6040"/>
      <w:bookmarkStart w:id="18" w:name="_Toc20385"/>
      <w:bookmarkStart w:id="19" w:name="_Toc520356144"/>
      <w:bookmarkStart w:id="20" w:name="_Toc32189"/>
      <w:bookmarkStart w:id="21" w:name="_Toc19219"/>
      <w:bookmarkStart w:id="22" w:name="_Toc11217"/>
      <w:bookmarkStart w:id="23" w:name="_Toc28974"/>
      <w:bookmarkStart w:id="24" w:name="_Toc515647758"/>
      <w:r>
        <w:rPr>
          <w:rFonts w:hint="eastAsia" w:ascii="微软雅黑" w:hAnsi="微软雅黑" w:eastAsia="微软雅黑" w:cs="微软雅黑"/>
          <w:color w:val="auto"/>
          <w:sz w:val="24"/>
          <w:szCs w:val="24"/>
          <w:highlight w:val="none"/>
          <w:u w:color="000000"/>
        </w:rPr>
        <w:t>1.</w:t>
      </w:r>
      <w:r>
        <w:rPr>
          <w:rFonts w:hint="eastAsia" w:ascii="微软雅黑" w:hAnsi="微软雅黑" w:eastAsia="微软雅黑" w:cs="微软雅黑"/>
          <w:color w:val="auto"/>
          <w:sz w:val="24"/>
          <w:szCs w:val="24"/>
          <w:highlight w:val="none"/>
          <w:u w:color="000000"/>
          <w:lang w:eastAsia="zh-CN"/>
        </w:rPr>
        <w:t>采购人</w:t>
      </w:r>
      <w:r>
        <w:rPr>
          <w:rFonts w:hint="eastAsia" w:ascii="微软雅黑" w:hAnsi="微软雅黑" w:eastAsia="微软雅黑" w:cs="微软雅黑"/>
          <w:color w:val="auto"/>
          <w:sz w:val="24"/>
          <w:szCs w:val="24"/>
          <w:highlight w:val="none"/>
          <w:u w:color="000000"/>
        </w:rPr>
        <w:t>、</w:t>
      </w:r>
      <w:r>
        <w:rPr>
          <w:rFonts w:hint="eastAsia" w:ascii="微软雅黑" w:hAnsi="微软雅黑" w:eastAsia="微软雅黑" w:cs="微软雅黑"/>
          <w:color w:val="auto"/>
          <w:sz w:val="24"/>
          <w:szCs w:val="24"/>
          <w:highlight w:val="none"/>
          <w:u w:color="000000"/>
          <w:lang w:eastAsia="zh-CN"/>
        </w:rPr>
        <w:t>采购代理机构</w:t>
      </w:r>
      <w:r>
        <w:rPr>
          <w:rFonts w:hint="eastAsia" w:ascii="微软雅黑" w:hAnsi="微软雅黑" w:eastAsia="微软雅黑" w:cs="微软雅黑"/>
          <w:color w:val="auto"/>
          <w:sz w:val="24"/>
          <w:szCs w:val="24"/>
          <w:highlight w:val="none"/>
          <w:u w:color="000000"/>
        </w:rPr>
        <w:t>及</w:t>
      </w:r>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微软雅黑" w:hAnsi="微软雅黑" w:eastAsia="微软雅黑" w:cs="微软雅黑"/>
          <w:color w:val="auto"/>
          <w:sz w:val="24"/>
          <w:szCs w:val="24"/>
          <w:highlight w:val="none"/>
          <w:u w:color="000000"/>
          <w:lang w:eastAsia="zh-CN"/>
        </w:rPr>
        <w:t>供应商</w:t>
      </w:r>
    </w:p>
    <w:p w14:paraId="64D3E15F">
      <w:pPr>
        <w:pageBreakBefore w:val="0"/>
        <w:tabs>
          <w:tab w:val="left" w:pos="0"/>
        </w:tabs>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1.1    </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：是指依法开展政府采购活动的国家机关、事业单位、团体组织。</w:t>
      </w:r>
    </w:p>
    <w:p w14:paraId="5DEE0D35">
      <w:pPr>
        <w:pageBreakBefore w:val="0"/>
        <w:tabs>
          <w:tab w:val="left" w:pos="0"/>
        </w:tabs>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本项目的</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见</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w:t>
      </w:r>
    </w:p>
    <w:p w14:paraId="1E996BCA">
      <w:pPr>
        <w:pageBreakBefore w:val="0"/>
        <w:tabs>
          <w:tab w:val="left" w:pos="0"/>
        </w:tabs>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1.2   </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：是指在集中采购机构或从事采购代理业务的社会中介机构。本项目的</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见</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w:t>
      </w:r>
    </w:p>
    <w:p w14:paraId="7410F21A">
      <w:pPr>
        <w:pageBreakBefore w:val="0"/>
        <w:numPr>
          <w:ilvl w:val="1"/>
          <w:numId w:val="2"/>
        </w:numPr>
        <w:kinsoku/>
        <w:wordWrap/>
        <w:overflowPunct/>
        <w:topLinePunct w:val="0"/>
        <w:bidi w:val="0"/>
        <w:snapToGrid w:val="0"/>
        <w:spacing w:line="520" w:lineRule="exact"/>
        <w:ind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：是指向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提供货物、工程或者服务的法人、非法人组织或者自然人。</w:t>
      </w:r>
    </w:p>
    <w:p w14:paraId="44CBC403">
      <w:pPr>
        <w:pageBreakBefore w:val="0"/>
        <w:kinsoku/>
        <w:wordWrap/>
        <w:overflowPunct/>
        <w:topLinePunct w:val="0"/>
        <w:bidi w:val="0"/>
        <w:snapToGrid w:val="0"/>
        <w:spacing w:line="520" w:lineRule="exact"/>
        <w:ind w:left="850" w:hanging="849" w:hangingChars="354"/>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在中华人民共和国境内注册，能够独立承担民事责任，有生产或供应能力的本国</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w:t>
      </w:r>
    </w:p>
    <w:p w14:paraId="7609DB0F">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  具备《中华人民共和国政府采购法》第二十二条关于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条件的规定，遵守本项目</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本级和上级财政部门政府采购的有关规定。</w:t>
      </w:r>
    </w:p>
    <w:p w14:paraId="491F1CCC">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1.3.3   以</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认可的方式获得了本项目的磋商文件。</w:t>
      </w:r>
    </w:p>
    <w:p w14:paraId="1F79B9C1">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   符合</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中规定的其他要求。</w:t>
      </w:r>
    </w:p>
    <w:p w14:paraId="14C1633D">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1.3.5   若</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中写明允许采购进口产品，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应保证所投产品可履行合法报通关手续进入中国关境内。</w:t>
      </w:r>
    </w:p>
    <w:p w14:paraId="0EF3AB31">
      <w:pPr>
        <w:pageBreakBefore w:val="0"/>
        <w:kinsoku/>
        <w:wordWrap/>
        <w:overflowPunct/>
        <w:topLinePunct w:val="0"/>
        <w:bidi w:val="0"/>
        <w:snapToGrid w:val="0"/>
        <w:spacing w:line="520" w:lineRule="exact"/>
        <w:ind w:left="958" w:leftChars="456"/>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若</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中未写明允许采购进口产品，如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所投产品为进口产品，其磋商将被认定为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78F7ECA9">
      <w:pPr>
        <w:pageBreakBefore w:val="0"/>
        <w:kinsoku/>
        <w:wordWrap/>
        <w:overflowPunct/>
        <w:topLinePunct w:val="0"/>
        <w:bidi w:val="0"/>
        <w:snapToGrid w:val="0"/>
        <w:spacing w:line="520" w:lineRule="exact"/>
        <w:ind w:left="840" w:hanging="840" w:hangingChars="35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  若</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中写明专门面向中小企业采购的，如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为非中小企业且所投产品为非中小企业产品，其磋商将被认定为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7F3BB81A">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如</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中允许联合体磋商，对联合体规定如下：</w:t>
      </w:r>
    </w:p>
    <w:p w14:paraId="362A6A9C">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两个以上</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可以组成一个磋商联合体，以一个</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的身份磋商。</w:t>
      </w:r>
    </w:p>
    <w:p w14:paraId="1F5DF1E3">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联合体各方均应符合《中华人民共和国政府采购法》第二十二条规定的条件。</w:t>
      </w:r>
    </w:p>
    <w:p w14:paraId="3932F6BD">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1.4.3   </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根据采购项目对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的特殊要求，联合体中至少应当有一方符合相关规定。</w:t>
      </w:r>
    </w:p>
    <w:p w14:paraId="39B8E39A">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yellow"/>
        </w:rPr>
      </w:pPr>
      <w:r>
        <w:rPr>
          <w:rFonts w:hint="eastAsia" w:ascii="微软雅黑" w:hAnsi="微软雅黑" w:eastAsia="微软雅黑" w:cs="微软雅黑"/>
          <w:color w:val="auto"/>
          <w:sz w:val="24"/>
          <w:szCs w:val="24"/>
          <w:highlight w:val="none"/>
        </w:rPr>
        <w:t>1.4.4   联合体各方应签订共同磋商协议，明确约定联合体各方承担的工作和相应的责任，并将共同磋商协议</w:t>
      </w:r>
      <w:r>
        <w:rPr>
          <w:rFonts w:hint="eastAsia" w:ascii="微软雅黑" w:hAnsi="微软雅黑" w:eastAsia="微软雅黑" w:cs="微软雅黑"/>
          <w:color w:val="auto"/>
          <w:sz w:val="24"/>
          <w:szCs w:val="24"/>
          <w:highlight w:val="none"/>
          <w:shd w:val="clear" w:color="FFFFFF" w:fill="D9D9D9"/>
        </w:rPr>
        <w:t>连同作为磋商文件第一部分的内容提交。</w:t>
      </w:r>
    </w:p>
    <w:p w14:paraId="5970EB02">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1.4.5   大中型企业、其他自然人、法人或者非法人组织与小型、微型企业组成联合体共同参加磋商，共同磋商协议中应写明小型、微型企业的协议合同金额占到共同磋商协议磋商总金额的比例。</w:t>
      </w:r>
    </w:p>
    <w:p w14:paraId="2A93D983">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1.4.6  联合体中有同类资质的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按照联合体分工承担相同工作的，按照较低的资质等级确定联合体的资质等级。</w:t>
      </w:r>
    </w:p>
    <w:p w14:paraId="1D125285">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1.4.7  以联合体形式参加政府采购活动的，联合体各方不得再单独参加或者与其他</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另外组成联合体参加本项目磋商，否则相关磋商将被认定为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51D6878D">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   对联合体磋商的其他资格要求见</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w:t>
      </w:r>
    </w:p>
    <w:p w14:paraId="23BD4F65">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单位负责人为同一人或者存在直接控股、管理关系的不同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，其相关磋商将被认定为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0953D55D">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    为本项目提供过整体设计、规范编制或者项目管理、监理、检测等服务的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，不得再参加本项目上述货物以外的其他采购活动。否则其磋商将被认定为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455BC19D">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在磋商过程中不得向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提供、给予任何有价值的物品，影响其正常决策行为。一经发现，其将被认定为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606687B0">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rPr>
      </w:pPr>
      <w:bookmarkStart w:id="25" w:name="_Toc12994"/>
      <w:bookmarkStart w:id="26" w:name="_Toc12139"/>
      <w:bookmarkStart w:id="27" w:name="_Toc12082"/>
      <w:bookmarkStart w:id="28" w:name="_Toc32017"/>
      <w:bookmarkStart w:id="29" w:name="_Toc17959"/>
      <w:bookmarkStart w:id="30" w:name="_Toc1145"/>
      <w:bookmarkStart w:id="31" w:name="_Toc5286"/>
      <w:bookmarkStart w:id="32" w:name="_Toc515647759"/>
      <w:bookmarkStart w:id="33" w:name="_Toc31303"/>
      <w:bookmarkStart w:id="34" w:name="_Toc20993"/>
      <w:bookmarkStart w:id="35" w:name="_Toc21415"/>
      <w:bookmarkStart w:id="36" w:name="_Toc17954"/>
      <w:r>
        <w:rPr>
          <w:rFonts w:hint="eastAsia" w:ascii="微软雅黑" w:hAnsi="微软雅黑" w:eastAsia="微软雅黑" w:cs="微软雅黑"/>
          <w:color w:val="auto"/>
          <w:sz w:val="24"/>
          <w:szCs w:val="24"/>
          <w:highlight w:val="none"/>
          <w:u w:color="000000"/>
        </w:rPr>
        <w:t>2.资金来源</w:t>
      </w:r>
      <w:bookmarkEnd w:id="25"/>
      <w:bookmarkEnd w:id="26"/>
      <w:bookmarkEnd w:id="27"/>
      <w:bookmarkEnd w:id="28"/>
      <w:bookmarkEnd w:id="29"/>
      <w:bookmarkEnd w:id="30"/>
      <w:bookmarkEnd w:id="31"/>
      <w:bookmarkEnd w:id="32"/>
      <w:bookmarkEnd w:id="33"/>
      <w:bookmarkEnd w:id="34"/>
      <w:bookmarkEnd w:id="35"/>
      <w:bookmarkEnd w:id="36"/>
    </w:p>
    <w:p w14:paraId="65039836">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本项目的</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已获得足以支付本次招标后所签订的合同项下的资金（包括财政性资金和本项目采购中无法与财政性资金分割的非财政性资金）。</w:t>
      </w:r>
    </w:p>
    <w:p w14:paraId="7D2618D5">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    项目预算金额和分项或分包最高限价</w:t>
      </w:r>
      <w:r>
        <w:rPr>
          <w:rFonts w:hint="eastAsia" w:ascii="微软雅黑" w:hAnsi="微软雅黑" w:eastAsia="微软雅黑" w:cs="微软雅黑"/>
          <w:color w:val="auto"/>
          <w:sz w:val="24"/>
          <w:szCs w:val="24"/>
          <w:highlight w:val="none"/>
          <w:u w:val="single" w:color="000000"/>
        </w:rPr>
        <w:t>见</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w:t>
      </w:r>
    </w:p>
    <w:p w14:paraId="227A9216">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2.3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报价超过磋商文件规定的预算金额或者分项、分包最高限价的，其磋商将被认定为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530E85E2">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rPr>
      </w:pPr>
      <w:bookmarkStart w:id="37" w:name="_Toc4556"/>
      <w:bookmarkStart w:id="38" w:name="_Toc18168"/>
      <w:bookmarkStart w:id="39" w:name="_Toc6076"/>
      <w:bookmarkStart w:id="40" w:name="_Toc20149"/>
      <w:bookmarkStart w:id="41" w:name="_Toc23939"/>
      <w:bookmarkStart w:id="42" w:name="_Toc3164"/>
      <w:bookmarkStart w:id="43" w:name="_Toc15302"/>
      <w:bookmarkStart w:id="44" w:name="_Toc520356145"/>
      <w:bookmarkStart w:id="45" w:name="_Toc20526"/>
      <w:bookmarkStart w:id="46" w:name="_Toc515647760"/>
      <w:bookmarkStart w:id="47" w:name="_Toc3987"/>
      <w:bookmarkStart w:id="48" w:name="_Toc15936"/>
      <w:bookmarkStart w:id="49" w:name="_Toc91"/>
      <w:r>
        <w:rPr>
          <w:rFonts w:hint="eastAsia" w:ascii="微软雅黑" w:hAnsi="微软雅黑" w:eastAsia="微软雅黑" w:cs="微软雅黑"/>
          <w:color w:val="auto"/>
          <w:sz w:val="24"/>
          <w:szCs w:val="24"/>
          <w:highlight w:val="none"/>
          <w:u w:color="000000"/>
        </w:rPr>
        <w:t>3.磋商费用</w:t>
      </w:r>
      <w:bookmarkEnd w:id="37"/>
      <w:bookmarkEnd w:id="38"/>
      <w:bookmarkEnd w:id="39"/>
      <w:bookmarkEnd w:id="40"/>
      <w:bookmarkEnd w:id="41"/>
      <w:bookmarkEnd w:id="42"/>
      <w:bookmarkEnd w:id="43"/>
      <w:bookmarkEnd w:id="44"/>
      <w:bookmarkEnd w:id="45"/>
      <w:bookmarkEnd w:id="46"/>
      <w:bookmarkEnd w:id="47"/>
      <w:bookmarkEnd w:id="48"/>
      <w:bookmarkEnd w:id="49"/>
    </w:p>
    <w:p w14:paraId="39DA4EAF">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不论磋商的结果如何，</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应承担所有与准备和参加磋商有关的费用。</w:t>
      </w:r>
    </w:p>
    <w:p w14:paraId="26625A7F">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rPr>
      </w:pPr>
      <w:bookmarkStart w:id="50" w:name="_Toc15164"/>
      <w:bookmarkStart w:id="51" w:name="_Toc6116"/>
      <w:bookmarkStart w:id="52" w:name="_Toc4463"/>
      <w:bookmarkStart w:id="53" w:name="_Toc515647761"/>
      <w:bookmarkStart w:id="54" w:name="_Toc14158"/>
      <w:bookmarkStart w:id="55" w:name="_Toc32069"/>
      <w:bookmarkStart w:id="56" w:name="_Toc26501"/>
      <w:bookmarkStart w:id="57" w:name="_Toc23425"/>
      <w:bookmarkStart w:id="58" w:name="_Toc29823"/>
      <w:bookmarkStart w:id="59" w:name="_Toc15428"/>
      <w:bookmarkStart w:id="60" w:name="_Toc2317"/>
      <w:bookmarkStart w:id="61" w:name="_Toc7327"/>
      <w:r>
        <w:rPr>
          <w:rFonts w:hint="eastAsia" w:ascii="微软雅黑" w:hAnsi="微软雅黑" w:eastAsia="微软雅黑" w:cs="微软雅黑"/>
          <w:color w:val="auto"/>
          <w:sz w:val="24"/>
          <w:szCs w:val="24"/>
          <w:highlight w:val="none"/>
          <w:u w:color="000000"/>
        </w:rPr>
        <w:t>4.适用法律</w:t>
      </w:r>
      <w:bookmarkEnd w:id="50"/>
      <w:bookmarkEnd w:id="51"/>
      <w:bookmarkEnd w:id="52"/>
      <w:bookmarkEnd w:id="53"/>
      <w:bookmarkEnd w:id="54"/>
      <w:bookmarkEnd w:id="55"/>
      <w:bookmarkEnd w:id="56"/>
      <w:bookmarkEnd w:id="57"/>
      <w:bookmarkEnd w:id="58"/>
      <w:bookmarkEnd w:id="59"/>
      <w:bookmarkEnd w:id="60"/>
      <w:bookmarkEnd w:id="61"/>
    </w:p>
    <w:p w14:paraId="73E3D1CA">
      <w:pPr>
        <w:pageBreakBefore w:val="0"/>
        <w:kinsoku/>
        <w:wordWrap/>
        <w:overflowPunct/>
        <w:topLinePunct w:val="0"/>
        <w:bidi w:val="0"/>
        <w:snapToGrid w:val="0"/>
        <w:spacing w:line="520" w:lineRule="exact"/>
        <w:ind w:left="958" w:leftChars="456" w:firstLine="60" w:firstLineChars="2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采购人、采购代理机构、投标人、评标委员会的相关行为均受《中华人民共和国政府采购法》、《中华人民共和国政府采购法实施条例》《财政部关于印发&lt;政府采购竞争性磋商采购方式管理暂行办法&gt;的通知》（财库〔2014〕214 号）及财政部关于政府采购竞争性磋商采购方式管理暂行办法有关问题的补充通知（财库〔2015〕124 号），本项目本级和上级财政部门政府采购有关规定的约束，其权利受到上述法律法规的保护。</w:t>
      </w:r>
    </w:p>
    <w:p w14:paraId="64820DC4">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p>
    <w:p w14:paraId="6A29BE77">
      <w:pPr>
        <w:pStyle w:val="4"/>
        <w:pageBreakBefore w:val="0"/>
        <w:kinsoku/>
        <w:wordWrap/>
        <w:overflowPunct/>
        <w:topLinePunct w:val="0"/>
        <w:bidi w:val="0"/>
        <w:snapToGrid w:val="0"/>
        <w:spacing w:before="0" w:line="520" w:lineRule="exact"/>
        <w:ind w:hanging="540"/>
        <w:textAlignment w:val="baseline"/>
        <w:rPr>
          <w:rFonts w:hint="eastAsia" w:ascii="微软雅黑" w:hAnsi="微软雅黑" w:eastAsia="微软雅黑" w:cs="微软雅黑"/>
          <w:color w:val="auto"/>
          <w:sz w:val="24"/>
          <w:szCs w:val="24"/>
          <w:highlight w:val="none"/>
        </w:rPr>
      </w:pPr>
      <w:bookmarkStart w:id="62" w:name="_Toc4365"/>
      <w:bookmarkStart w:id="63" w:name="_Toc515647762"/>
      <w:bookmarkStart w:id="64" w:name="_Toc216582806"/>
      <w:bookmarkStart w:id="65" w:name="_Toc21566"/>
      <w:bookmarkStart w:id="66" w:name="_Toc520356146"/>
      <w:bookmarkStart w:id="67" w:name="_Toc13692"/>
      <w:bookmarkStart w:id="68" w:name="_Toc19024"/>
      <w:bookmarkStart w:id="69" w:name="_Toc8754"/>
      <w:r>
        <w:rPr>
          <w:rFonts w:hint="eastAsia" w:ascii="微软雅黑" w:hAnsi="微软雅黑" w:eastAsia="微软雅黑" w:cs="微软雅黑"/>
          <w:color w:val="auto"/>
          <w:sz w:val="24"/>
          <w:szCs w:val="24"/>
          <w:highlight w:val="none"/>
        </w:rPr>
        <w:t xml:space="preserve">二   </w:t>
      </w:r>
      <w:bookmarkEnd w:id="62"/>
      <w:bookmarkEnd w:id="63"/>
      <w:bookmarkEnd w:id="64"/>
      <w:bookmarkEnd w:id="65"/>
      <w:bookmarkEnd w:id="66"/>
      <w:r>
        <w:rPr>
          <w:rFonts w:hint="eastAsia" w:ascii="微软雅黑" w:hAnsi="微软雅黑" w:eastAsia="微软雅黑" w:cs="微软雅黑"/>
          <w:color w:val="auto"/>
          <w:sz w:val="24"/>
          <w:szCs w:val="24"/>
          <w:highlight w:val="none"/>
        </w:rPr>
        <w:t>磋商文件</w:t>
      </w:r>
      <w:bookmarkEnd w:id="67"/>
      <w:bookmarkEnd w:id="68"/>
      <w:bookmarkEnd w:id="69"/>
    </w:p>
    <w:p w14:paraId="7F4D37C2">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rPr>
      </w:pPr>
      <w:bookmarkStart w:id="70" w:name="_Toc9520"/>
      <w:bookmarkStart w:id="71" w:name="_Toc12447"/>
      <w:bookmarkStart w:id="72" w:name="_Toc4254"/>
      <w:bookmarkStart w:id="73" w:name="_Toc20128"/>
      <w:bookmarkStart w:id="74" w:name="_Toc515647763"/>
      <w:bookmarkStart w:id="75" w:name="_Toc14084"/>
      <w:bookmarkStart w:id="76" w:name="_Toc520356147"/>
      <w:bookmarkStart w:id="77" w:name="_Toc14409"/>
      <w:bookmarkStart w:id="78" w:name="_Toc25743"/>
      <w:bookmarkStart w:id="79" w:name="_Toc16521"/>
      <w:bookmarkStart w:id="80" w:name="_Toc4773"/>
      <w:bookmarkStart w:id="81" w:name="_Toc27545"/>
      <w:bookmarkStart w:id="82" w:name="_Toc16061"/>
      <w:r>
        <w:rPr>
          <w:rFonts w:hint="eastAsia" w:ascii="微软雅黑" w:hAnsi="微软雅黑" w:eastAsia="微软雅黑" w:cs="微软雅黑"/>
          <w:color w:val="auto"/>
          <w:sz w:val="24"/>
          <w:szCs w:val="24"/>
          <w:highlight w:val="none"/>
          <w:u w:color="000000"/>
        </w:rPr>
        <w:t>5.磋商文件构成</w:t>
      </w:r>
      <w:bookmarkEnd w:id="70"/>
      <w:bookmarkEnd w:id="71"/>
      <w:bookmarkEnd w:id="72"/>
      <w:bookmarkEnd w:id="73"/>
      <w:bookmarkEnd w:id="74"/>
      <w:bookmarkEnd w:id="75"/>
      <w:bookmarkEnd w:id="76"/>
      <w:bookmarkEnd w:id="77"/>
      <w:bookmarkEnd w:id="78"/>
      <w:bookmarkEnd w:id="79"/>
      <w:bookmarkEnd w:id="80"/>
      <w:bookmarkEnd w:id="81"/>
      <w:bookmarkEnd w:id="82"/>
    </w:p>
    <w:p w14:paraId="2E002221">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磋商文件分为三册共7章，内容如下：</w:t>
      </w:r>
    </w:p>
    <w:p w14:paraId="0FC678A9">
      <w:pPr>
        <w:pageBreakBefore w:val="0"/>
        <w:kinsoku/>
        <w:wordWrap/>
        <w:overflowPunct/>
        <w:topLinePunct w:val="0"/>
        <w:bidi w:val="0"/>
        <w:snapToGrid w:val="0"/>
        <w:spacing w:line="520" w:lineRule="exact"/>
        <w:ind w:left="180" w:hanging="180" w:hangingChars="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第一册</w:t>
      </w:r>
    </w:p>
    <w:p w14:paraId="6B25F439">
      <w:pPr>
        <w:pageBreakBefore w:val="0"/>
        <w:tabs>
          <w:tab w:val="left" w:pos="0"/>
        </w:tabs>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第1章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w:t>
      </w:r>
    </w:p>
    <w:p w14:paraId="0C7025B1">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第2章 响应文件格式</w:t>
      </w:r>
    </w:p>
    <w:p w14:paraId="35EAD71B">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第二册</w:t>
      </w:r>
    </w:p>
    <w:p w14:paraId="031F144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第3章 磋商邀请</w:t>
      </w:r>
    </w:p>
    <w:p w14:paraId="70A6537B">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第4章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14:paraId="3B0609C8">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第5章 </w:t>
      </w:r>
      <w:r>
        <w:rPr>
          <w:rFonts w:hint="eastAsia" w:ascii="微软雅黑" w:hAnsi="微软雅黑" w:eastAsia="微软雅黑" w:cs="微软雅黑"/>
          <w:color w:val="auto"/>
          <w:sz w:val="24"/>
          <w:szCs w:val="24"/>
          <w:highlight w:val="none"/>
          <w:lang w:val="en-US" w:eastAsia="zh-CN"/>
        </w:rPr>
        <w:t>工程量清单及技术标准</w:t>
      </w:r>
    </w:p>
    <w:p w14:paraId="254EFBE3">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第6章 评审方法和标准</w:t>
      </w:r>
    </w:p>
    <w:p w14:paraId="03D5D37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第三册</w:t>
      </w:r>
    </w:p>
    <w:p w14:paraId="73ECE291">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第7章 政府采购合同格式</w:t>
      </w:r>
    </w:p>
    <w:p w14:paraId="4804EFF7">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如本文件的前后内容不一致，以最后描述为准。</w:t>
      </w:r>
    </w:p>
    <w:p w14:paraId="489C719B">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5.3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应认真阅读磋商文件所有的事项、格式、条款和技术规范等。如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0342B3F8">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rPr>
      </w:pPr>
      <w:bookmarkStart w:id="83" w:name="_Toc520356148"/>
      <w:bookmarkStart w:id="84" w:name="_Toc515904805"/>
      <w:bookmarkStart w:id="85" w:name="_Toc9232"/>
      <w:bookmarkStart w:id="86" w:name="_Toc6163"/>
      <w:bookmarkStart w:id="87" w:name="_Toc26044"/>
      <w:bookmarkStart w:id="88" w:name="_Toc9693"/>
      <w:bookmarkStart w:id="89" w:name="_Toc73"/>
      <w:bookmarkStart w:id="90" w:name="_Toc24794"/>
      <w:bookmarkStart w:id="91" w:name="_Toc5443"/>
      <w:bookmarkStart w:id="92" w:name="_Toc19969"/>
      <w:bookmarkStart w:id="93" w:name="_Toc12118"/>
      <w:bookmarkStart w:id="94" w:name="_Toc11954"/>
      <w:bookmarkStart w:id="95" w:name="_Toc17695"/>
      <w:r>
        <w:rPr>
          <w:rFonts w:hint="eastAsia" w:ascii="微软雅黑" w:hAnsi="微软雅黑" w:eastAsia="微软雅黑" w:cs="微软雅黑"/>
          <w:color w:val="auto"/>
          <w:sz w:val="24"/>
          <w:szCs w:val="24"/>
          <w:highlight w:val="none"/>
          <w:u w:color="000000"/>
        </w:rPr>
        <w:t>6.磋商文件的澄清</w:t>
      </w:r>
      <w:bookmarkEnd w:id="83"/>
      <w:bookmarkEnd w:id="84"/>
      <w:r>
        <w:rPr>
          <w:rFonts w:hint="eastAsia" w:ascii="微软雅黑" w:hAnsi="微软雅黑" w:eastAsia="微软雅黑" w:cs="微软雅黑"/>
          <w:color w:val="auto"/>
          <w:sz w:val="24"/>
          <w:szCs w:val="24"/>
          <w:highlight w:val="none"/>
          <w:u w:color="000000"/>
        </w:rPr>
        <w:t>与修改</w:t>
      </w:r>
      <w:bookmarkEnd w:id="85"/>
      <w:bookmarkEnd w:id="86"/>
      <w:bookmarkEnd w:id="87"/>
      <w:bookmarkEnd w:id="88"/>
      <w:bookmarkEnd w:id="89"/>
      <w:bookmarkEnd w:id="90"/>
      <w:bookmarkEnd w:id="91"/>
      <w:bookmarkEnd w:id="92"/>
      <w:bookmarkEnd w:id="93"/>
      <w:bookmarkEnd w:id="94"/>
      <w:bookmarkEnd w:id="95"/>
    </w:p>
    <w:p w14:paraId="62852A39">
      <w:pPr>
        <w:pStyle w:val="8"/>
        <w:pageBreakBefore w:val="0"/>
        <w:kinsoku/>
        <w:wordWrap/>
        <w:overflowPunct/>
        <w:topLinePunct w:val="0"/>
        <w:bidi w:val="0"/>
        <w:snapToGrid w:val="0"/>
        <w:spacing w:line="520" w:lineRule="exact"/>
        <w:ind w:left="840" w:hanging="840" w:hangingChars="35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    为了保证对磋商文件的澄清和修改满足法律的时限要求，任何要求对磋商文件进行澄清的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，均应在磋商截止时间至少5日前，以书面形式将澄清要求通知</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w:t>
      </w:r>
    </w:p>
    <w:p w14:paraId="316510AA">
      <w:pPr>
        <w:pStyle w:val="8"/>
        <w:pageBreakBefore w:val="0"/>
        <w:kinsoku/>
        <w:wordWrap/>
        <w:overflowPunct/>
        <w:topLinePunct w:val="0"/>
        <w:bidi w:val="0"/>
        <w:snapToGrid w:val="0"/>
        <w:spacing w:line="520" w:lineRule="exact"/>
        <w:ind w:left="840" w:hanging="840" w:hangingChars="350"/>
        <w:textAlignment w:val="baseline"/>
        <w:rPr>
          <w:rFonts w:hint="eastAsia" w:ascii="微软雅黑" w:hAnsi="微软雅黑" w:eastAsia="微软雅黑" w:cs="微软雅黑"/>
          <w:color w:val="auto"/>
          <w:sz w:val="24"/>
          <w:szCs w:val="24"/>
          <w:highlight w:val="none"/>
        </w:rPr>
      </w:pPr>
      <w:bookmarkStart w:id="96" w:name="_Ref467378678"/>
      <w:bookmarkStart w:id="97" w:name="_Toc520356149"/>
      <w:bookmarkStart w:id="98" w:name="_Toc515904806"/>
      <w:r>
        <w:rPr>
          <w:rFonts w:hint="eastAsia" w:ascii="微软雅黑" w:hAnsi="微软雅黑" w:eastAsia="微软雅黑" w:cs="微软雅黑"/>
          <w:color w:val="auto"/>
          <w:sz w:val="24"/>
          <w:szCs w:val="24"/>
          <w:highlight w:val="none"/>
        </w:rPr>
        <w:t>6.2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可主动地或在解答</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提出的澄清问题时对磋商文件进行澄清或修改。</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将以发布澄清（更正）公告的方式，澄清或修改磋商文件，澄清或修改内容作为磋商文件的组成部分。</w:t>
      </w:r>
    </w:p>
    <w:p w14:paraId="7083124D">
      <w:pPr>
        <w:pStyle w:val="8"/>
        <w:pageBreakBefore w:val="0"/>
        <w:kinsoku/>
        <w:wordWrap/>
        <w:overflowPunct/>
        <w:topLinePunct w:val="0"/>
        <w:bidi w:val="0"/>
        <w:snapToGrid w:val="0"/>
        <w:spacing w:line="520" w:lineRule="exact"/>
        <w:ind w:left="840" w:hanging="840" w:hangingChars="35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澄清或者修改的内容可能影响磋商文件编制的，采购代理机构将以发布澄清（更正）公告形式通知所有</w:t>
      </w:r>
      <w:r>
        <w:rPr>
          <w:rFonts w:hint="eastAsia" w:ascii="微软雅黑" w:hAnsi="微软雅黑" w:eastAsia="微软雅黑" w:cs="微软雅黑"/>
          <w:color w:val="auto"/>
          <w:sz w:val="24"/>
          <w:szCs w:val="24"/>
          <w:highlight w:val="none"/>
          <w:lang w:val="en-US" w:eastAsia="zh-CN"/>
        </w:rPr>
        <w:t>领取</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文件的潜在</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，并对其具有约束力。</w:t>
      </w:r>
    </w:p>
    <w:p w14:paraId="2EFE91B9">
      <w:pPr>
        <w:pStyle w:val="5"/>
        <w:pageBreakBefore w:val="0"/>
        <w:tabs>
          <w:tab w:val="left" w:pos="900"/>
        </w:tabs>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99" w:name="_Toc14294"/>
      <w:bookmarkStart w:id="100" w:name="_Toc12058"/>
      <w:bookmarkStart w:id="101" w:name="_Toc5970"/>
      <w:bookmarkStart w:id="102" w:name="_Toc6738"/>
      <w:bookmarkStart w:id="103" w:name="_Toc14569"/>
      <w:bookmarkStart w:id="104" w:name="_Toc16843"/>
      <w:bookmarkStart w:id="105" w:name="_Toc3801"/>
      <w:bookmarkStart w:id="106" w:name="_Toc16792"/>
      <w:bookmarkStart w:id="107" w:name="_Toc18879"/>
      <w:bookmarkStart w:id="108" w:name="_Toc28181"/>
      <w:bookmarkStart w:id="109" w:name="_Toc25635"/>
      <w:r>
        <w:rPr>
          <w:rFonts w:hint="eastAsia" w:ascii="微软雅黑" w:hAnsi="微软雅黑" w:eastAsia="微软雅黑" w:cs="微软雅黑"/>
          <w:color w:val="auto"/>
          <w:sz w:val="24"/>
          <w:szCs w:val="24"/>
          <w:highlight w:val="none"/>
          <w:u w:val="none" w:color="auto"/>
        </w:rPr>
        <w:t>7</w:t>
      </w:r>
      <w:bookmarkEnd w:id="96"/>
      <w:bookmarkEnd w:id="97"/>
      <w:bookmarkEnd w:id="98"/>
      <w:r>
        <w:rPr>
          <w:rFonts w:hint="eastAsia" w:ascii="微软雅黑" w:hAnsi="微软雅黑" w:eastAsia="微软雅黑" w:cs="微软雅黑"/>
          <w:color w:val="auto"/>
          <w:sz w:val="24"/>
          <w:szCs w:val="24"/>
          <w:highlight w:val="none"/>
          <w:u w:val="none" w:color="auto"/>
        </w:rPr>
        <w:t>.磋商截止时间的顺延</w:t>
      </w:r>
      <w:bookmarkEnd w:id="99"/>
      <w:bookmarkEnd w:id="100"/>
      <w:bookmarkEnd w:id="101"/>
      <w:bookmarkEnd w:id="102"/>
      <w:bookmarkEnd w:id="103"/>
      <w:bookmarkEnd w:id="104"/>
      <w:bookmarkEnd w:id="105"/>
      <w:bookmarkEnd w:id="106"/>
      <w:bookmarkEnd w:id="107"/>
      <w:bookmarkEnd w:id="108"/>
      <w:bookmarkEnd w:id="109"/>
    </w:p>
    <w:p w14:paraId="211DE0D2">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为使</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准备磋商时有足够的时间对磋商文件的澄清或者修改部分进行研究，</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将依法决定是否顺延磋商截止时间。</w:t>
      </w:r>
    </w:p>
    <w:p w14:paraId="0EBA8A22">
      <w:pPr>
        <w:pStyle w:val="4"/>
        <w:pageBreakBefore w:val="0"/>
        <w:tabs>
          <w:tab w:val="left" w:pos="900"/>
        </w:tabs>
        <w:kinsoku/>
        <w:wordWrap/>
        <w:overflowPunct/>
        <w:topLinePunct w:val="0"/>
        <w:bidi w:val="0"/>
        <w:snapToGrid w:val="0"/>
        <w:spacing w:before="0" w:line="520" w:lineRule="exact"/>
        <w:ind w:hanging="540"/>
        <w:textAlignment w:val="baseline"/>
        <w:rPr>
          <w:rFonts w:hint="eastAsia" w:ascii="微软雅黑" w:hAnsi="微软雅黑" w:eastAsia="微软雅黑" w:cs="微软雅黑"/>
          <w:color w:val="auto"/>
          <w:sz w:val="24"/>
          <w:szCs w:val="24"/>
          <w:highlight w:val="none"/>
        </w:rPr>
      </w:pPr>
      <w:bookmarkStart w:id="110" w:name="_Toc516367020"/>
      <w:bookmarkStart w:id="111" w:name="_Toc3638"/>
      <w:bookmarkStart w:id="112" w:name="_Toc520356150"/>
      <w:bookmarkStart w:id="113" w:name="_Toc30808"/>
      <w:bookmarkStart w:id="114" w:name="_Toc16906"/>
      <w:bookmarkStart w:id="115" w:name="_Toc18070"/>
      <w:bookmarkStart w:id="116" w:name="_Toc515647766"/>
      <w:bookmarkStart w:id="117" w:name="_Toc6744"/>
      <w:bookmarkStart w:id="118" w:name="_Toc7636"/>
      <w:bookmarkStart w:id="119" w:name="_Toc216582807"/>
      <w:r>
        <w:rPr>
          <w:rFonts w:hint="eastAsia" w:ascii="微软雅黑" w:hAnsi="微软雅黑" w:eastAsia="微软雅黑" w:cs="微软雅黑"/>
          <w:color w:val="auto"/>
          <w:sz w:val="24"/>
          <w:szCs w:val="24"/>
          <w:highlight w:val="none"/>
        </w:rPr>
        <w:t xml:space="preserve">三   </w:t>
      </w:r>
      <w:bookmarkEnd w:id="110"/>
      <w:r>
        <w:rPr>
          <w:rFonts w:hint="eastAsia" w:ascii="微软雅黑" w:hAnsi="微软雅黑" w:eastAsia="微软雅黑" w:cs="微软雅黑"/>
          <w:color w:val="auto"/>
          <w:sz w:val="24"/>
          <w:szCs w:val="24"/>
          <w:highlight w:val="none"/>
        </w:rPr>
        <w:t>响应文件的编制</w:t>
      </w:r>
      <w:bookmarkEnd w:id="111"/>
      <w:bookmarkEnd w:id="112"/>
      <w:bookmarkEnd w:id="113"/>
      <w:bookmarkEnd w:id="114"/>
      <w:bookmarkEnd w:id="115"/>
      <w:bookmarkEnd w:id="116"/>
      <w:bookmarkEnd w:id="117"/>
      <w:bookmarkEnd w:id="118"/>
      <w:bookmarkEnd w:id="119"/>
    </w:p>
    <w:p w14:paraId="0C32B82D">
      <w:pPr>
        <w:pStyle w:val="8"/>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p>
    <w:p w14:paraId="093AA1D0">
      <w:pPr>
        <w:pStyle w:val="5"/>
        <w:pageBreakBefore w:val="0"/>
        <w:tabs>
          <w:tab w:val="left" w:pos="900"/>
        </w:tabs>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120" w:name="_Toc516367021"/>
      <w:bookmarkStart w:id="121" w:name="_Toc13379"/>
      <w:bookmarkStart w:id="122" w:name="_Toc20168"/>
      <w:bookmarkStart w:id="123" w:name="_Toc515647767"/>
      <w:bookmarkStart w:id="124" w:name="_Toc8762"/>
      <w:bookmarkStart w:id="125" w:name="_Toc520356151"/>
      <w:bookmarkStart w:id="126" w:name="_Toc7786"/>
      <w:bookmarkStart w:id="127" w:name="_Toc31904"/>
      <w:bookmarkStart w:id="128" w:name="_Toc3553"/>
      <w:bookmarkStart w:id="129" w:name="_Toc4525"/>
      <w:bookmarkStart w:id="130" w:name="_Toc19644"/>
      <w:bookmarkStart w:id="131" w:name="_Toc14330"/>
      <w:bookmarkStart w:id="132" w:name="_Toc21848"/>
      <w:bookmarkStart w:id="133" w:name="_Toc21065"/>
      <w:bookmarkStart w:id="134" w:name="_Toc19003"/>
      <w:r>
        <w:rPr>
          <w:rFonts w:hint="eastAsia" w:ascii="微软雅黑" w:hAnsi="微软雅黑" w:eastAsia="微软雅黑" w:cs="微软雅黑"/>
          <w:color w:val="auto"/>
          <w:sz w:val="24"/>
          <w:szCs w:val="24"/>
          <w:highlight w:val="none"/>
          <w:u w:val="none" w:color="auto"/>
        </w:rPr>
        <w:t>8.</w:t>
      </w:r>
      <w:r>
        <w:rPr>
          <w:rFonts w:hint="eastAsia" w:ascii="微软雅黑" w:hAnsi="微软雅黑" w:eastAsia="微软雅黑" w:cs="微软雅黑"/>
          <w:color w:val="auto"/>
          <w:sz w:val="24"/>
          <w:szCs w:val="24"/>
          <w:highlight w:val="none"/>
          <w:u w:val="none" w:color="auto"/>
        </w:rPr>
        <w:tab/>
      </w:r>
      <w:r>
        <w:rPr>
          <w:rFonts w:hint="eastAsia" w:ascii="微软雅黑" w:hAnsi="微软雅黑" w:eastAsia="微软雅黑" w:cs="微软雅黑"/>
          <w:color w:val="auto"/>
          <w:sz w:val="24"/>
          <w:szCs w:val="24"/>
          <w:highlight w:val="none"/>
          <w:u w:val="none" w:color="auto"/>
        </w:rPr>
        <w:t>磋商范围及响应文件成交准和计量单位的使用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0144B4A">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项目有分包的，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可对磋商文件其中某一个或几个分包货物进行磋商，除非在</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中另有规定。</w:t>
      </w:r>
    </w:p>
    <w:p w14:paraId="2F63B026">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8.2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应当对所投分包磋商文件中“</w:t>
      </w:r>
      <w:r>
        <w:rPr>
          <w:rFonts w:hint="eastAsia" w:ascii="微软雅黑" w:hAnsi="微软雅黑" w:eastAsia="微软雅黑" w:cs="微软雅黑"/>
          <w:color w:val="auto"/>
          <w:sz w:val="24"/>
          <w:szCs w:val="24"/>
          <w:highlight w:val="none"/>
          <w:lang w:eastAsia="zh-CN"/>
        </w:rPr>
        <w:t>工程量清单</w:t>
      </w:r>
      <w:r>
        <w:rPr>
          <w:rFonts w:hint="eastAsia" w:ascii="微软雅黑" w:hAnsi="微软雅黑" w:eastAsia="微软雅黑" w:cs="微软雅黑"/>
          <w:color w:val="auto"/>
          <w:sz w:val="24"/>
          <w:szCs w:val="24"/>
          <w:highlight w:val="none"/>
        </w:rPr>
        <w:t>”所列的所有内容进行磋商，如仅响应分包中的部分内容，其该包磋商将被认定为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4E7C705A">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8.3     无论</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第5章</w:t>
      </w:r>
      <w:r>
        <w:rPr>
          <w:rFonts w:hint="eastAsia" w:ascii="微软雅黑" w:hAnsi="微软雅黑" w:eastAsia="微软雅黑" w:cs="微软雅黑"/>
          <w:color w:val="auto"/>
          <w:sz w:val="24"/>
          <w:szCs w:val="24"/>
          <w:highlight w:val="none"/>
          <w:lang w:eastAsia="zh-CN"/>
        </w:rPr>
        <w:t>工程量清单</w:t>
      </w:r>
      <w:r>
        <w:rPr>
          <w:rFonts w:hint="eastAsia" w:ascii="微软雅黑" w:hAnsi="微软雅黑" w:eastAsia="微软雅黑" w:cs="微软雅黑"/>
          <w:color w:val="auto"/>
          <w:sz w:val="24"/>
          <w:szCs w:val="24"/>
          <w:highlight w:val="none"/>
        </w:rPr>
        <w:t>中是否要求，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所投服务均应符合国家强制性标准。</w:t>
      </w:r>
    </w:p>
    <w:p w14:paraId="651F347C">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8.4     除磋商文件中有特殊要求外，响应文件中所使用的计量单位，应采用中华人民共和国法定计量单位。</w:t>
      </w:r>
    </w:p>
    <w:p w14:paraId="36FC90FA">
      <w:pPr>
        <w:pStyle w:val="5"/>
        <w:pageBreakBefore w:val="0"/>
        <w:tabs>
          <w:tab w:val="left" w:pos="900"/>
        </w:tabs>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rPr>
      </w:pPr>
      <w:bookmarkStart w:id="135" w:name="_Ref467306676"/>
      <w:bookmarkStart w:id="136" w:name="_Toc516367022"/>
      <w:bookmarkStart w:id="137" w:name="_Ref467306195"/>
      <w:bookmarkStart w:id="138" w:name="_Toc515647768"/>
      <w:bookmarkStart w:id="139" w:name="_Toc520356152"/>
      <w:bookmarkStart w:id="140" w:name="_Toc26502"/>
      <w:bookmarkStart w:id="141" w:name="_Toc19752"/>
      <w:bookmarkStart w:id="142" w:name="_Toc13837"/>
      <w:bookmarkStart w:id="143" w:name="_Toc10364"/>
      <w:bookmarkStart w:id="144" w:name="_Toc28307"/>
      <w:bookmarkStart w:id="145" w:name="_Toc3006"/>
      <w:bookmarkStart w:id="146" w:name="_Toc28670"/>
      <w:bookmarkStart w:id="147" w:name="_Toc2709"/>
      <w:bookmarkStart w:id="148" w:name="_Toc8989"/>
      <w:bookmarkStart w:id="149" w:name="_Toc2582"/>
      <w:bookmarkStart w:id="150" w:name="_Toc14931"/>
      <w:bookmarkStart w:id="151" w:name="_Toc16896"/>
      <w:r>
        <w:rPr>
          <w:rFonts w:hint="eastAsia" w:ascii="微软雅黑" w:hAnsi="微软雅黑" w:eastAsia="微软雅黑" w:cs="微软雅黑"/>
          <w:color w:val="auto"/>
          <w:sz w:val="24"/>
          <w:szCs w:val="24"/>
          <w:highlight w:val="none"/>
          <w:u w:color="000000"/>
        </w:rPr>
        <w:t>9.</w:t>
      </w:r>
      <w:bookmarkEnd w:id="135"/>
      <w:bookmarkEnd w:id="136"/>
      <w:bookmarkEnd w:id="137"/>
      <w:r>
        <w:rPr>
          <w:rFonts w:hint="eastAsia" w:ascii="微软雅黑" w:hAnsi="微软雅黑" w:eastAsia="微软雅黑" w:cs="微软雅黑"/>
          <w:color w:val="auto"/>
          <w:sz w:val="24"/>
          <w:szCs w:val="24"/>
          <w:highlight w:val="none"/>
          <w:u w:color="000000"/>
        </w:rPr>
        <w:t>响应文件构成</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2149A7C">
      <w:pPr>
        <w:pageBreakBefore w:val="0"/>
        <w:tabs>
          <w:tab w:val="left" w:pos="900"/>
          <w:tab w:val="left" w:pos="5580"/>
        </w:tabs>
        <w:kinsoku/>
        <w:wordWrap/>
        <w:overflowPunct/>
        <w:topLinePunct w:val="0"/>
        <w:bidi w:val="0"/>
        <w:snapToGrid w:val="0"/>
        <w:spacing w:line="520" w:lineRule="exact"/>
        <w:ind w:left="960" w:hanging="960" w:hangingChars="400"/>
        <w:jc w:val="left"/>
        <w:textAlignment w:val="baseline"/>
        <w:rPr>
          <w:rFonts w:hint="eastAsia" w:ascii="微软雅黑" w:hAnsi="微软雅黑" w:eastAsia="微软雅黑" w:cs="微软雅黑"/>
          <w:color w:val="auto"/>
          <w:sz w:val="24"/>
          <w:szCs w:val="24"/>
          <w:highlight w:val="none"/>
          <w:u w:val="single" w:color="000000"/>
        </w:rPr>
      </w:pPr>
      <w:bookmarkStart w:id="152" w:name="_Ref467052588"/>
      <w:r>
        <w:rPr>
          <w:rFonts w:hint="eastAsia" w:ascii="微软雅黑" w:hAnsi="微软雅黑" w:eastAsia="微软雅黑" w:cs="微软雅黑"/>
          <w:color w:val="auto"/>
          <w:sz w:val="24"/>
          <w:szCs w:val="24"/>
          <w:highlight w:val="none"/>
        </w:rPr>
        <w:t xml:space="preserve">9.1     </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应完整地按</w:t>
      </w:r>
      <w:r>
        <w:rPr>
          <w:rFonts w:hint="eastAsia" w:ascii="微软雅黑" w:hAnsi="微软雅黑" w:eastAsia="微软雅黑" w:cs="微软雅黑"/>
          <w:b/>
          <w:bCs/>
          <w:color w:val="auto"/>
          <w:sz w:val="24"/>
          <w:szCs w:val="24"/>
          <w:highlight w:val="none"/>
          <w:u w:val="single"/>
          <w:lang w:eastAsia="zh-CN"/>
        </w:rPr>
        <w:t>磋商文件</w:t>
      </w:r>
      <w:r>
        <w:rPr>
          <w:rFonts w:hint="eastAsia" w:ascii="微软雅黑" w:hAnsi="微软雅黑" w:eastAsia="微软雅黑" w:cs="微软雅黑"/>
          <w:b/>
          <w:bCs/>
          <w:color w:val="auto"/>
          <w:sz w:val="24"/>
          <w:szCs w:val="24"/>
          <w:highlight w:val="none"/>
          <w:u w:val="single"/>
        </w:rPr>
        <w:t>提供的</w:t>
      </w:r>
      <w:r>
        <w:rPr>
          <w:rFonts w:hint="eastAsia" w:ascii="微软雅黑" w:hAnsi="微软雅黑" w:eastAsia="微软雅黑" w:cs="微软雅黑"/>
          <w:b/>
          <w:bCs/>
          <w:color w:val="auto"/>
          <w:sz w:val="24"/>
          <w:szCs w:val="24"/>
          <w:highlight w:val="none"/>
          <w:u w:val="single"/>
          <w:lang w:eastAsia="zh-CN"/>
        </w:rPr>
        <w:t>响应文件</w:t>
      </w:r>
      <w:r>
        <w:rPr>
          <w:rFonts w:hint="eastAsia" w:ascii="微软雅黑" w:hAnsi="微软雅黑" w:eastAsia="微软雅黑" w:cs="微软雅黑"/>
          <w:b/>
          <w:bCs/>
          <w:color w:val="auto"/>
          <w:sz w:val="24"/>
          <w:szCs w:val="24"/>
          <w:highlight w:val="none"/>
          <w:u w:val="single"/>
        </w:rPr>
        <w:t>格式及要求编写</w:t>
      </w:r>
      <w:r>
        <w:rPr>
          <w:rFonts w:hint="eastAsia" w:ascii="微软雅黑" w:hAnsi="微软雅黑" w:eastAsia="微软雅黑" w:cs="微软雅黑"/>
          <w:b/>
          <w:bCs/>
          <w:color w:val="auto"/>
          <w:sz w:val="24"/>
          <w:szCs w:val="24"/>
          <w:highlight w:val="none"/>
          <w:u w:val="single"/>
          <w:lang w:eastAsia="zh-CN"/>
        </w:rPr>
        <w:t>响应文件</w:t>
      </w:r>
      <w:r>
        <w:rPr>
          <w:rFonts w:hint="eastAsia" w:ascii="微软雅黑" w:hAnsi="微软雅黑" w:eastAsia="微软雅黑" w:cs="微软雅黑"/>
          <w:b/>
          <w:bCs/>
          <w:color w:val="auto"/>
          <w:sz w:val="24"/>
          <w:szCs w:val="24"/>
          <w:highlight w:val="none"/>
          <w:u w:val="single"/>
        </w:rPr>
        <w:t>，根据平台关联点上传对应佐证资料，</w:t>
      </w:r>
      <w:r>
        <w:rPr>
          <w:rFonts w:hint="eastAsia" w:ascii="微软雅黑" w:hAnsi="微软雅黑" w:eastAsia="微软雅黑" w:cs="微软雅黑"/>
          <w:b/>
          <w:bCs/>
          <w:color w:val="auto"/>
          <w:sz w:val="24"/>
          <w:szCs w:val="24"/>
          <w:highlight w:val="none"/>
          <w:u w:val="single"/>
          <w:lang w:eastAsia="zh-CN"/>
        </w:rPr>
        <w:t>响应文件</w:t>
      </w:r>
      <w:r>
        <w:rPr>
          <w:rFonts w:hint="eastAsia" w:ascii="微软雅黑" w:hAnsi="微软雅黑" w:eastAsia="微软雅黑" w:cs="微软雅黑"/>
          <w:b/>
          <w:bCs/>
          <w:color w:val="auto"/>
          <w:sz w:val="24"/>
          <w:szCs w:val="24"/>
          <w:highlight w:val="none"/>
          <w:u w:val="single"/>
        </w:rPr>
        <w:t>应包括“</w:t>
      </w:r>
      <w:r>
        <w:rPr>
          <w:rFonts w:hint="eastAsia" w:ascii="微软雅黑" w:hAnsi="微软雅黑" w:eastAsia="微软雅黑" w:cs="微软雅黑"/>
          <w:b/>
          <w:bCs/>
          <w:color w:val="auto"/>
          <w:sz w:val="24"/>
          <w:szCs w:val="24"/>
          <w:highlight w:val="none"/>
          <w:u w:val="single"/>
          <w:lang w:eastAsia="zh-CN"/>
        </w:rPr>
        <w:t>磋商一览表</w:t>
      </w:r>
      <w:r>
        <w:rPr>
          <w:rFonts w:hint="eastAsia" w:ascii="微软雅黑" w:hAnsi="微软雅黑" w:eastAsia="微软雅黑" w:cs="微软雅黑"/>
          <w:b/>
          <w:bCs/>
          <w:color w:val="auto"/>
          <w:sz w:val="24"/>
          <w:szCs w:val="24"/>
          <w:highlight w:val="none"/>
          <w:u w:val="single"/>
        </w:rPr>
        <w:t>及资格证明文件”和“商务及技术文件”两部分，两部分合并成完整一册</w:t>
      </w:r>
      <w:r>
        <w:rPr>
          <w:rFonts w:hint="eastAsia" w:ascii="微软雅黑" w:hAnsi="微软雅黑" w:eastAsia="微软雅黑" w:cs="微软雅黑"/>
          <w:b/>
          <w:bCs/>
          <w:color w:val="auto"/>
          <w:sz w:val="24"/>
          <w:szCs w:val="24"/>
          <w:highlight w:val="none"/>
          <w:u w:val="single"/>
          <w:lang w:val="en-US" w:eastAsia="zh-CN"/>
        </w:rPr>
        <w:t>经CA证书加密后上传提交</w:t>
      </w:r>
      <w:r>
        <w:rPr>
          <w:rFonts w:hint="eastAsia" w:ascii="微软雅黑" w:hAnsi="微软雅黑" w:eastAsia="微软雅黑" w:cs="微软雅黑"/>
          <w:b/>
          <w:bCs/>
          <w:color w:val="auto"/>
          <w:sz w:val="24"/>
          <w:szCs w:val="24"/>
          <w:highlight w:val="none"/>
          <w:u w:val="single"/>
        </w:rPr>
        <w:t>至政采云平台</w:t>
      </w:r>
      <w:r>
        <w:rPr>
          <w:rFonts w:hint="eastAsia" w:ascii="微软雅黑" w:hAnsi="微软雅黑" w:eastAsia="微软雅黑" w:cs="微软雅黑"/>
          <w:b/>
          <w:bCs/>
          <w:color w:val="auto"/>
          <w:sz w:val="24"/>
          <w:szCs w:val="24"/>
          <w:highlight w:val="none"/>
          <w:u w:val="single"/>
          <w:lang w:val="en-US" w:eastAsia="zh-CN"/>
        </w:rPr>
        <w:t>（严格按照政采云电子投标流程制作并上传电子响应文件）。</w:t>
      </w:r>
      <w:r>
        <w:rPr>
          <w:rFonts w:hint="eastAsia" w:asciiTheme="minorEastAsia" w:hAnsiTheme="minorEastAsia" w:eastAsiaTheme="minorEastAsia" w:cstheme="minorEastAsia"/>
          <w:b/>
          <w:bCs/>
          <w:i w:val="0"/>
          <w:iCs w:val="0"/>
          <w:color w:val="auto"/>
          <w:sz w:val="24"/>
          <w:highlight w:val="none"/>
          <w:u w:val="single"/>
        </w:rPr>
        <w:t>任何单位或个人均无法在响应文件递交截止(即开标时间)之前查看或篡改，不存在泄密风险。</w:t>
      </w:r>
    </w:p>
    <w:p w14:paraId="71FD1818">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    上述文件应按照磋商文件规定的格式填写、签署和盖章。</w:t>
      </w:r>
      <w:bookmarkEnd w:id="152"/>
    </w:p>
    <w:p w14:paraId="6A5986F6">
      <w:pPr>
        <w:pStyle w:val="5"/>
        <w:pageBreakBefore w:val="0"/>
        <w:tabs>
          <w:tab w:val="left" w:pos="900"/>
        </w:tabs>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153" w:name="_Toc15064"/>
      <w:bookmarkStart w:id="154" w:name="_Toc5860"/>
      <w:bookmarkStart w:id="155" w:name="_Toc32014"/>
      <w:bookmarkStart w:id="156" w:name="_Toc6860"/>
      <w:bookmarkStart w:id="157" w:name="_Toc25631"/>
      <w:bookmarkStart w:id="158" w:name="_Toc10379"/>
      <w:bookmarkStart w:id="159" w:name="_Toc4601"/>
      <w:bookmarkStart w:id="160" w:name="_Toc4291"/>
      <w:bookmarkStart w:id="161" w:name="_Toc28330"/>
      <w:bookmarkStart w:id="162" w:name="_Toc18944"/>
      <w:bookmarkStart w:id="163" w:name="_Toc520356153"/>
      <w:bookmarkStart w:id="164" w:name="_Toc8626"/>
      <w:bookmarkStart w:id="165" w:name="_Toc870"/>
      <w:bookmarkStart w:id="166" w:name="_Toc516367023"/>
      <w:bookmarkStart w:id="167" w:name="_Toc515647769"/>
      <w:r>
        <w:rPr>
          <w:rFonts w:hint="eastAsia" w:ascii="微软雅黑" w:hAnsi="微软雅黑" w:eastAsia="微软雅黑" w:cs="微软雅黑"/>
          <w:color w:val="auto"/>
          <w:sz w:val="24"/>
          <w:szCs w:val="24"/>
          <w:highlight w:val="none"/>
          <w:u w:val="none" w:color="auto"/>
        </w:rPr>
        <w:t>10.</w:t>
      </w:r>
      <w:r>
        <w:rPr>
          <w:rFonts w:hint="eastAsia" w:ascii="微软雅黑" w:hAnsi="微软雅黑" w:eastAsia="微软雅黑" w:cs="微软雅黑"/>
          <w:color w:val="auto"/>
          <w:sz w:val="24"/>
          <w:szCs w:val="24"/>
          <w:highlight w:val="none"/>
          <w:u w:val="none" w:color="auto"/>
        </w:rPr>
        <w:tab/>
      </w:r>
      <w:r>
        <w:rPr>
          <w:rFonts w:hint="eastAsia" w:ascii="微软雅黑" w:hAnsi="微软雅黑" w:eastAsia="微软雅黑" w:cs="微软雅黑"/>
          <w:color w:val="auto"/>
          <w:sz w:val="24"/>
          <w:szCs w:val="24"/>
          <w:highlight w:val="none"/>
          <w:u w:val="none" w:color="auto"/>
        </w:rPr>
        <w:t>证明磋商标的的合格性和符合磋商文件规定的技术文件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9270B4C">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应提交证明文件，证明其磋商内容符合磋商文件规定。该证明文件是响应文件的一部分。</w:t>
      </w:r>
    </w:p>
    <w:p w14:paraId="43912295">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lang w:eastAsia="zh-CN"/>
        </w:rPr>
      </w:pPr>
      <w:bookmarkStart w:id="168" w:name="_Ref467306244"/>
      <w:r>
        <w:rPr>
          <w:rFonts w:hint="eastAsia" w:ascii="微软雅黑" w:hAnsi="微软雅黑" w:eastAsia="微软雅黑" w:cs="微软雅黑"/>
          <w:color w:val="auto"/>
          <w:sz w:val="24"/>
          <w:szCs w:val="24"/>
          <w:highlight w:val="none"/>
        </w:rPr>
        <w:t>10.2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上款所述的证明文件，可以是文字资料、图纸和数据</w:t>
      </w:r>
      <w:bookmarkEnd w:id="168"/>
      <w:r>
        <w:rPr>
          <w:rFonts w:hint="eastAsia" w:ascii="微软雅黑" w:hAnsi="微软雅黑" w:eastAsia="微软雅黑" w:cs="微软雅黑"/>
          <w:color w:val="auto"/>
          <w:sz w:val="24"/>
          <w:szCs w:val="24"/>
          <w:highlight w:val="none"/>
          <w:lang w:eastAsia="zh-CN"/>
        </w:rPr>
        <w:t>。</w:t>
      </w:r>
    </w:p>
    <w:p w14:paraId="214E410B">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169" w:name="_Toc2248"/>
      <w:bookmarkStart w:id="170" w:name="_Toc5239"/>
      <w:bookmarkStart w:id="171" w:name="_Toc15870"/>
      <w:bookmarkStart w:id="172" w:name="_Toc7506"/>
      <w:bookmarkStart w:id="173" w:name="_Toc16854"/>
      <w:bookmarkStart w:id="174" w:name="_Toc515647770"/>
      <w:bookmarkStart w:id="175" w:name="_Toc27117"/>
      <w:bookmarkStart w:id="176" w:name="_Toc4935"/>
      <w:bookmarkStart w:id="177" w:name="_Toc520356155"/>
      <w:bookmarkStart w:id="178" w:name="_Toc5859"/>
      <w:bookmarkStart w:id="179" w:name="_Toc7688"/>
      <w:bookmarkStart w:id="180" w:name="_Toc23231"/>
      <w:bookmarkStart w:id="181" w:name="_Toc9025"/>
      <w:bookmarkStart w:id="182" w:name="_Toc6864"/>
      <w:r>
        <w:rPr>
          <w:rFonts w:hint="eastAsia" w:ascii="微软雅黑" w:hAnsi="微软雅黑" w:eastAsia="微软雅黑" w:cs="微软雅黑"/>
          <w:color w:val="auto"/>
          <w:sz w:val="24"/>
          <w:szCs w:val="24"/>
          <w:highlight w:val="none"/>
          <w:u w:val="none" w:color="auto"/>
        </w:rPr>
        <w:t>11.磋商报价</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51A875C">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bookmarkStart w:id="183" w:name="_Toc11514"/>
      <w:bookmarkStart w:id="184" w:name="_Toc5302"/>
      <w:bookmarkStart w:id="185" w:name="_Toc16693"/>
      <w:bookmarkStart w:id="186" w:name="_Toc17788"/>
      <w:bookmarkStart w:id="187" w:name="_Toc1651"/>
      <w:bookmarkStart w:id="188" w:name="_Toc9763"/>
      <w:bookmarkStart w:id="189" w:name="_Toc31526"/>
      <w:bookmarkStart w:id="190" w:name="_Toc29901"/>
      <w:bookmarkStart w:id="191" w:name="_Ref467306513"/>
      <w:bookmarkStart w:id="192" w:name="_Toc20519"/>
      <w:bookmarkStart w:id="193" w:name="_Toc520356156"/>
      <w:bookmarkStart w:id="194" w:name="_Toc515647771"/>
      <w:bookmarkStart w:id="195" w:name="_Toc30640"/>
      <w:bookmarkStart w:id="196" w:name="_Toc8505"/>
      <w:bookmarkStart w:id="197" w:name="_Toc19405"/>
      <w:r>
        <w:rPr>
          <w:rFonts w:hint="eastAsia" w:ascii="微软雅黑" w:hAnsi="微软雅黑" w:eastAsia="微软雅黑" w:cs="微软雅黑"/>
          <w:color w:val="auto"/>
          <w:sz w:val="24"/>
          <w:szCs w:val="24"/>
          <w:highlight w:val="none"/>
        </w:rPr>
        <w:t>11.1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所有响应文件均以人民币报价。</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的磋商报价应遵守《中华人民共和国价格法》。同时，根据《中华人民共和国政府采购法》第二条的规定，为保证公平竞争，如有主体磋商标的的赠与行为，其磋商将被认定为磋商无效。</w:t>
      </w:r>
    </w:p>
    <w:p w14:paraId="6CF12F5A">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应在标的分项报价表上标明分项服务的价格（如适用）和总价，并由法定代表人或其委托代理人签署。</w:t>
      </w:r>
    </w:p>
    <w:p w14:paraId="2E2043DC">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不接受具有附加条件的报价。</w:t>
      </w:r>
    </w:p>
    <w:p w14:paraId="025BB101">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所报的各分项磋商报价在合同履行过程中是固定不变的，不得以任何理由予以变更。任何包含价格调整要求的磋商，将被认定为磋商无效。</w:t>
      </w:r>
    </w:p>
    <w:p w14:paraId="7E01008F">
      <w:pPr>
        <w:pageBreakBefore w:val="0"/>
        <w:kinsoku/>
        <w:wordWrap/>
        <w:overflowPunct/>
        <w:topLinePunct w:val="0"/>
        <w:bidi w:val="0"/>
        <w:spacing w:line="520" w:lineRule="exact"/>
        <w:ind w:left="900" w:hanging="900" w:hangingChars="375"/>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color w:val="auto"/>
          <w:sz w:val="24"/>
          <w:szCs w:val="24"/>
          <w:highlight w:val="none"/>
        </w:rPr>
        <w:t xml:space="preserve">11.5   </w:t>
      </w:r>
      <w:r>
        <w:rPr>
          <w:rFonts w:hint="eastAsia" w:ascii="微软雅黑" w:hAnsi="微软雅黑" w:eastAsia="微软雅黑" w:cs="微软雅黑"/>
          <w:b/>
          <w:bCs/>
          <w:color w:val="auto"/>
          <w:sz w:val="24"/>
          <w:szCs w:val="24"/>
          <w:highlight w:val="none"/>
          <w:u w:val="single"/>
        </w:rPr>
        <w:t>竞争性磋商共有两次报价，二次报价为最终报价，磋商小组所有成员集中与单一</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分别进行磋商，并给予所有参加磋商的</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平等的磋商机会， 磋商小组要求所有实质性响应的</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在规定时间内提交最后报价，最后报价是</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响应文件的有效组成部分，经磋商确定最终采购需求和提交最后报价的</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后，由磋商小组采用综合评分法对提交最后报价的</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的响应文件和最后报价进行综合评分。磋商小组应当从质量和服务均能满足采购文件实质性响应要求的</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中，按照综合评分由高到低的顺序提出成交候选人，并编写评审报告，将结果通知所有参加磋商的未成交的</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w:t>
      </w:r>
    </w:p>
    <w:p w14:paraId="08728F4C">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r>
        <w:rPr>
          <w:rFonts w:hint="eastAsia" w:ascii="微软雅黑" w:hAnsi="微软雅黑" w:eastAsia="微软雅黑" w:cs="微软雅黑"/>
          <w:color w:val="auto"/>
          <w:sz w:val="24"/>
          <w:szCs w:val="24"/>
          <w:highlight w:val="none"/>
          <w:u w:val="none" w:color="auto"/>
        </w:rPr>
        <w:t>12.磋商保证金</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42E398A">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bookmarkStart w:id="198" w:name="_Ref467306302"/>
      <w:r>
        <w:rPr>
          <w:rFonts w:hint="eastAsia" w:ascii="微软雅黑" w:hAnsi="微软雅黑" w:eastAsia="微软雅黑" w:cs="微软雅黑"/>
          <w:color w:val="auto"/>
          <w:sz w:val="24"/>
          <w:szCs w:val="24"/>
          <w:highlight w:val="none"/>
        </w:rPr>
        <w:t>12.1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应提交</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中规定的磋商保证金</w:t>
      </w:r>
      <w:bookmarkEnd w:id="198"/>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并将银行开户许可证或基本存款账户信息一并放入响应文件内</w:t>
      </w:r>
      <w:r>
        <w:rPr>
          <w:rFonts w:hint="eastAsia" w:ascii="微软雅黑" w:hAnsi="微软雅黑" w:eastAsia="微软雅黑" w:cs="微软雅黑"/>
          <w:color w:val="auto"/>
          <w:sz w:val="24"/>
          <w:szCs w:val="24"/>
          <w:highlight w:val="none"/>
        </w:rPr>
        <w:t>作为其</w:t>
      </w: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的一部分。并作为其磋商的一部分。</w:t>
      </w:r>
    </w:p>
    <w:p w14:paraId="41E892E0">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存在下列情形的，磋商保证金不予退还：</w:t>
      </w:r>
    </w:p>
    <w:p w14:paraId="228E36DE">
      <w:pPr>
        <w:pStyle w:val="16"/>
        <w:pageBreakBefore w:val="0"/>
        <w:tabs>
          <w:tab w:val="left" w:pos="2240"/>
        </w:tabs>
        <w:kinsoku/>
        <w:wordWrap/>
        <w:overflowPunct/>
        <w:topLinePunct w:val="0"/>
        <w:bidi w:val="0"/>
        <w:snapToGrid w:val="0"/>
        <w:spacing w:line="520" w:lineRule="exact"/>
        <w:ind w:left="300" w:hanging="300" w:hangingChars="12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（1）在磋商有效期内，撤销磋商的；</w:t>
      </w:r>
    </w:p>
    <w:p w14:paraId="2D11755A">
      <w:pPr>
        <w:pStyle w:val="16"/>
        <w:pageBreakBefore w:val="0"/>
        <w:tabs>
          <w:tab w:val="left" w:pos="2240"/>
        </w:tabs>
        <w:kinsoku/>
        <w:wordWrap/>
        <w:overflowPunct/>
        <w:topLinePunct w:val="0"/>
        <w:bidi w:val="0"/>
        <w:snapToGrid w:val="0"/>
        <w:spacing w:line="520" w:lineRule="exact"/>
        <w:ind w:left="300" w:hanging="300" w:hangingChars="12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（2）成交后不按本须知第30条的规定与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签订合同的；</w:t>
      </w:r>
    </w:p>
    <w:p w14:paraId="63C6BD85">
      <w:pPr>
        <w:pStyle w:val="16"/>
        <w:pageBreakBefore w:val="0"/>
        <w:tabs>
          <w:tab w:val="left" w:pos="2240"/>
        </w:tabs>
        <w:kinsoku/>
        <w:wordWrap/>
        <w:overflowPunct/>
        <w:topLinePunct w:val="0"/>
        <w:bidi w:val="0"/>
        <w:snapToGrid w:val="0"/>
        <w:spacing w:line="520" w:lineRule="exact"/>
        <w:ind w:left="300" w:hanging="300" w:hangingChars="12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（3）成交后不按本须知第31条的规定提交履约保证金的；</w:t>
      </w:r>
    </w:p>
    <w:p w14:paraId="0144E44B">
      <w:pPr>
        <w:pStyle w:val="16"/>
        <w:pageBreakBefore w:val="0"/>
        <w:tabs>
          <w:tab w:val="left" w:pos="2240"/>
        </w:tabs>
        <w:kinsoku/>
        <w:wordWrap/>
        <w:overflowPunct/>
        <w:topLinePunct w:val="0"/>
        <w:bidi w:val="0"/>
        <w:snapToGrid w:val="0"/>
        <w:spacing w:line="520" w:lineRule="exact"/>
        <w:ind w:left="300" w:hanging="300" w:hangingChars="12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（4）成交后不按本须知第32条的规定缴纳成交代理费的；</w:t>
      </w:r>
    </w:p>
    <w:p w14:paraId="5BF8C007">
      <w:pPr>
        <w:pStyle w:val="16"/>
        <w:pageBreakBefore w:val="0"/>
        <w:tabs>
          <w:tab w:val="left" w:pos="2240"/>
        </w:tabs>
        <w:kinsoku/>
        <w:wordWrap/>
        <w:overflowPunct/>
        <w:topLinePunct w:val="0"/>
        <w:bidi w:val="0"/>
        <w:snapToGrid w:val="0"/>
        <w:spacing w:line="520" w:lineRule="exact"/>
        <w:ind w:left="300" w:hanging="300" w:hangingChars="12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（5）存在其他违法违规行为的。</w:t>
      </w:r>
    </w:p>
    <w:p w14:paraId="4D89D88D">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bookmarkStart w:id="199" w:name="_Ref467306336"/>
      <w:r>
        <w:rPr>
          <w:rFonts w:hint="eastAsia" w:ascii="微软雅黑" w:hAnsi="微软雅黑" w:eastAsia="微软雅黑" w:cs="微软雅黑"/>
          <w:color w:val="auto"/>
          <w:sz w:val="24"/>
          <w:szCs w:val="24"/>
          <w:highlight w:val="none"/>
        </w:rPr>
        <w:t>12.3</w:t>
      </w:r>
      <w:r>
        <w:rPr>
          <w:rFonts w:hint="eastAsia" w:ascii="微软雅黑" w:hAnsi="微软雅黑" w:eastAsia="微软雅黑" w:cs="微软雅黑"/>
          <w:color w:val="auto"/>
          <w:sz w:val="24"/>
          <w:szCs w:val="24"/>
          <w:highlight w:val="none"/>
        </w:rPr>
        <w:tab/>
      </w:r>
      <w:bookmarkEnd w:id="199"/>
      <w:r>
        <w:rPr>
          <w:rFonts w:hint="eastAsia" w:ascii="微软雅黑" w:hAnsi="微软雅黑" w:eastAsia="微软雅黑" w:cs="微软雅黑"/>
          <w:color w:val="auto"/>
          <w:sz w:val="24"/>
          <w:szCs w:val="24"/>
          <w:highlight w:val="none"/>
        </w:rPr>
        <w:t>政府采购信用担保试点范围内的项目，接受符合财政部门规定的政府采购磋商担保函原件。</w:t>
      </w:r>
    </w:p>
    <w:p w14:paraId="769603DC">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未按本须知第12.1和12.3条规定提交磋商保证金的，其磋商将被认定为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73825C3E">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12.4.1  采用电汇形式的，一般可以实时入账。</w:t>
      </w:r>
    </w:p>
    <w:p w14:paraId="59FC50F9">
      <w:pPr>
        <w:pageBreakBefore w:val="0"/>
        <w:kinsoku/>
        <w:wordWrap/>
        <w:overflowPunct/>
        <w:topLinePunct w:val="0"/>
        <w:bidi w:val="0"/>
        <w:snapToGrid w:val="0"/>
        <w:spacing w:line="520" w:lineRule="exact"/>
        <w:ind w:left="960" w:hanging="960" w:hangingChars="4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12.4.2  采用支票形式的，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则应充分考虑支票入账时间，以确保磋商保证金能按时进入指定账户。根据银行信息交换和付款时间，支票从递交至实际入账一般需要4-5个工作日。如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未及时提交支票或支票不符合银行委托收款要求（如污损、折叠、胶装等），导致磋商保证金不能按时进入指定账户的，将按照磋商文件的第22.2条相关规定处理。</w:t>
      </w:r>
    </w:p>
    <w:p w14:paraId="55DE4506">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   联合体磋商的，可以由联合体中的一方或者共同提交磋商保证金。以一方名义提交磋商保证金的，对联合体各方均具有约束力。</w:t>
      </w:r>
    </w:p>
    <w:p w14:paraId="02D8ECA0">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磋商保证金的退还</w:t>
      </w:r>
    </w:p>
    <w:p w14:paraId="1C53F4BB">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12.6.1  成交人应在与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签订合同之日起5个工作日内，及时联系保证金收受机构办理磋商保证金无息退还手续。</w:t>
      </w:r>
    </w:p>
    <w:p w14:paraId="3BCD0706">
      <w:pPr>
        <w:pageBreakBefore w:val="0"/>
        <w:kinsoku/>
        <w:wordWrap/>
        <w:overflowPunct/>
        <w:topLinePunct w:val="0"/>
        <w:bidi w:val="0"/>
        <w:snapToGrid w:val="0"/>
        <w:spacing w:line="520" w:lineRule="exact"/>
        <w:ind w:left="960" w:hanging="960" w:hangingChars="4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12.6.2  未成交</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的磋商保证金将在成交通知书发出之日暨成交结果公告公布之日起5个工作日内无息退还。</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应及时联系保证金收受机构办理退还磋商保证金手续。</w:t>
      </w:r>
    </w:p>
    <w:p w14:paraId="416C0FD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12.6.3  政府采购磋商担保函不予退回。</w:t>
      </w:r>
    </w:p>
    <w:p w14:paraId="5448B9FF">
      <w:pPr>
        <w:pageBreakBefore w:val="0"/>
        <w:kinsoku/>
        <w:wordWrap/>
        <w:overflowPunct/>
        <w:topLinePunct w:val="0"/>
        <w:bidi w:val="0"/>
        <w:snapToGrid w:val="0"/>
        <w:spacing w:line="520" w:lineRule="exact"/>
        <w:ind w:left="960" w:hanging="960" w:hangingChars="4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    因</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自身原因导致无法及时退还的，</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将不承担相应责任。</w:t>
      </w:r>
    </w:p>
    <w:p w14:paraId="0A7D7C68">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200" w:name="_Toc277"/>
      <w:bookmarkStart w:id="201" w:name="_Toc3815"/>
      <w:bookmarkStart w:id="202" w:name="_Toc325"/>
      <w:bookmarkStart w:id="203" w:name="_Toc20387"/>
      <w:bookmarkStart w:id="204" w:name="_Toc520356157"/>
      <w:bookmarkStart w:id="205" w:name="_Toc12769"/>
      <w:bookmarkStart w:id="206" w:name="_Toc13463"/>
      <w:bookmarkStart w:id="207" w:name="_Toc1400"/>
      <w:bookmarkStart w:id="208" w:name="_Toc8146"/>
      <w:bookmarkStart w:id="209" w:name="_Toc32569"/>
      <w:bookmarkStart w:id="210" w:name="_Toc29124"/>
      <w:bookmarkStart w:id="211" w:name="_Toc515647772"/>
      <w:bookmarkStart w:id="212" w:name="_Toc21509"/>
      <w:bookmarkStart w:id="213" w:name="_Toc23590"/>
      <w:r>
        <w:rPr>
          <w:rFonts w:hint="eastAsia" w:ascii="微软雅黑" w:hAnsi="微软雅黑" w:eastAsia="微软雅黑" w:cs="微软雅黑"/>
          <w:color w:val="auto"/>
          <w:sz w:val="24"/>
          <w:szCs w:val="24"/>
          <w:highlight w:val="none"/>
          <w:u w:val="none" w:color="auto"/>
        </w:rPr>
        <w:t>13.磋商有效期</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28EE2C2">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磋商应在</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中规定时间内保持有效。磋商有效期不满足要求的磋商，其磋商将被认定为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572BE7BB">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为保证有充分时间签订合同，</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可根据实际情况，在原磋商有效期截止之前，要求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延长响应文件的有效期。接受该要求的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将不会被要求和允许修正其磋商，且本须知中有关磋商保证金的要求须在延长的有效期内继续有效。</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可以拒绝延长磋商有效期的要求，其磋商保证金将及时</w:t>
      </w:r>
      <w:r>
        <w:rPr>
          <w:rFonts w:hint="eastAsia" w:ascii="微软雅黑" w:hAnsi="微软雅黑" w:eastAsia="微软雅黑" w:cs="微软雅黑"/>
          <w:color w:val="auto"/>
          <w:sz w:val="24"/>
          <w:szCs w:val="24"/>
          <w:highlight w:val="none"/>
          <w:lang w:eastAsia="zh-CN"/>
        </w:rPr>
        <w:t>按规定</w:t>
      </w:r>
      <w:r>
        <w:rPr>
          <w:rFonts w:hint="eastAsia" w:ascii="微软雅黑" w:hAnsi="微软雅黑" w:eastAsia="微软雅黑" w:cs="微软雅黑"/>
          <w:color w:val="auto"/>
          <w:sz w:val="24"/>
          <w:szCs w:val="24"/>
          <w:highlight w:val="none"/>
        </w:rPr>
        <w:t>无息退还。上述要求和答复都应以书面形式提交。</w:t>
      </w:r>
    </w:p>
    <w:p w14:paraId="52872157">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214" w:name="_Toc520356158"/>
      <w:bookmarkStart w:id="215" w:name="_Toc26606"/>
      <w:bookmarkStart w:id="216" w:name="_Toc29649"/>
      <w:bookmarkStart w:id="217" w:name="_Toc540"/>
      <w:bookmarkStart w:id="218" w:name="_Toc21843"/>
      <w:bookmarkStart w:id="219" w:name="_Toc515647773"/>
      <w:bookmarkStart w:id="220" w:name="_Toc14581"/>
      <w:bookmarkStart w:id="221" w:name="_Toc19311"/>
      <w:bookmarkStart w:id="222" w:name="_Toc493"/>
      <w:bookmarkStart w:id="223" w:name="_Toc13016"/>
      <w:bookmarkStart w:id="224" w:name="_Toc4551"/>
      <w:bookmarkStart w:id="225" w:name="_Toc17074"/>
      <w:bookmarkStart w:id="226" w:name="_Toc28395"/>
      <w:bookmarkStart w:id="227" w:name="_Toc24880"/>
      <w:r>
        <w:rPr>
          <w:rFonts w:hint="eastAsia" w:ascii="微软雅黑" w:hAnsi="微软雅黑" w:eastAsia="微软雅黑" w:cs="微软雅黑"/>
          <w:color w:val="auto"/>
          <w:sz w:val="24"/>
          <w:szCs w:val="24"/>
          <w:highlight w:val="none"/>
          <w:u w:val="none" w:color="auto"/>
        </w:rPr>
        <w:t>14.响应文件的签署</w:t>
      </w:r>
      <w:bookmarkEnd w:id="214"/>
      <w:r>
        <w:rPr>
          <w:rFonts w:hint="eastAsia" w:ascii="微软雅黑" w:hAnsi="微软雅黑" w:eastAsia="微软雅黑" w:cs="微软雅黑"/>
          <w:color w:val="auto"/>
          <w:sz w:val="24"/>
          <w:szCs w:val="24"/>
          <w:highlight w:val="none"/>
          <w:u w:val="none" w:color="auto"/>
        </w:rPr>
        <w:t>及规定</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3AF91DEB">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bookmarkStart w:id="228" w:name="_Toc3461"/>
      <w:bookmarkStart w:id="229" w:name="_Toc520356159"/>
      <w:bookmarkStart w:id="230" w:name="_Toc8711"/>
      <w:bookmarkStart w:id="231" w:name="_Toc16865"/>
      <w:bookmarkStart w:id="232" w:name="_Toc32551"/>
      <w:bookmarkStart w:id="233" w:name="_Toc11179"/>
      <w:bookmarkStart w:id="234" w:name="_Toc515647774"/>
      <w:bookmarkStart w:id="235" w:name="_Toc216582808"/>
      <w:r>
        <w:rPr>
          <w:rFonts w:hint="eastAsia" w:ascii="微软雅黑" w:hAnsi="微软雅黑" w:eastAsia="微软雅黑" w:cs="微软雅黑"/>
          <w:color w:val="auto"/>
          <w:sz w:val="24"/>
          <w:szCs w:val="24"/>
          <w:highlight w:val="none"/>
        </w:rPr>
        <w:t>14.1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应按</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须知资料表中的规定，准备和</w:t>
      </w:r>
      <w:r>
        <w:rPr>
          <w:rFonts w:hint="eastAsia" w:ascii="微软雅黑" w:hAnsi="微软雅黑" w:eastAsia="微软雅黑" w:cs="微软雅黑"/>
          <w:color w:val="auto"/>
          <w:sz w:val="24"/>
          <w:szCs w:val="24"/>
          <w:highlight w:val="none"/>
          <w:lang w:val="en-US" w:eastAsia="zh-CN"/>
        </w:rPr>
        <w:t>上传</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w:t>
      </w:r>
    </w:p>
    <w:p w14:paraId="345B7E2A">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由</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的法定代表人或经其正式委托代理人按</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规定在</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上签字或盖章并加盖单位印章。委托代理人须有书面的“法定代表人授权委托书”，并将其附在</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中。如对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进行了修改，则应由</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的法定代表人或其委托代理人在每一修改处签字。</w:t>
      </w:r>
    </w:p>
    <w:p w14:paraId="1C0AD559">
      <w:pPr>
        <w:pageBreakBefore w:val="0"/>
        <w:kinsoku/>
        <w:wordWrap/>
        <w:overflowPunct/>
        <w:topLinePunct w:val="0"/>
        <w:bidi w:val="0"/>
        <w:spacing w:line="520" w:lineRule="exact"/>
        <w:ind w:left="900" w:hanging="900" w:hangingChars="375"/>
        <w:jc w:val="both"/>
        <w:outlineLvl w:val="1"/>
        <w:rPr>
          <w:rFonts w:hint="eastAsia" w:ascii="微软雅黑" w:hAnsi="微软雅黑" w:eastAsia="微软雅黑" w:cs="微软雅黑"/>
          <w:color w:val="auto"/>
          <w:sz w:val="24"/>
          <w:szCs w:val="24"/>
          <w:highlight w:val="none"/>
        </w:rPr>
      </w:pPr>
      <w:bookmarkStart w:id="236" w:name="_Toc23621"/>
      <w:bookmarkStart w:id="237" w:name="_Toc9747"/>
      <w:bookmarkStart w:id="238" w:name="_Toc13050"/>
      <w:bookmarkStart w:id="239" w:name="_Toc11881"/>
      <w:bookmarkStart w:id="240" w:name="_Toc16509"/>
      <w:bookmarkStart w:id="241" w:name="_Toc1384"/>
      <w:bookmarkStart w:id="242" w:name="_Toc21617"/>
      <w:bookmarkStart w:id="243" w:name="_Toc20576"/>
      <w:bookmarkStart w:id="244" w:name="_Toc21045"/>
      <w:r>
        <w:rPr>
          <w:rFonts w:hint="eastAsia" w:ascii="微软雅黑" w:hAnsi="微软雅黑" w:eastAsia="微软雅黑" w:cs="微软雅黑"/>
          <w:color w:val="auto"/>
          <w:sz w:val="24"/>
          <w:szCs w:val="24"/>
          <w:highlight w:val="none"/>
        </w:rPr>
        <w:t>14.3  响应文件因字迹潦草、表达不清所引起的后果由</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负责</w:t>
      </w:r>
      <w:bookmarkEnd w:id="236"/>
      <w:bookmarkEnd w:id="237"/>
      <w:bookmarkEnd w:id="238"/>
      <w:bookmarkEnd w:id="239"/>
      <w:bookmarkEnd w:id="240"/>
      <w:bookmarkEnd w:id="241"/>
      <w:bookmarkEnd w:id="242"/>
      <w:bookmarkEnd w:id="243"/>
      <w:bookmarkEnd w:id="244"/>
    </w:p>
    <w:p w14:paraId="12CBBE8A">
      <w:pPr>
        <w:pageBreakBefore w:val="0"/>
        <w:kinsoku/>
        <w:wordWrap/>
        <w:overflowPunct/>
        <w:topLinePunct w:val="0"/>
        <w:bidi w:val="0"/>
        <w:spacing w:line="520" w:lineRule="exact"/>
        <w:ind w:left="900" w:hanging="900" w:hangingChars="375"/>
        <w:jc w:val="both"/>
        <w:outlineLvl w:val="9"/>
        <w:rPr>
          <w:rFonts w:hint="eastAsia" w:ascii="微软雅黑" w:hAnsi="微软雅黑" w:eastAsia="微软雅黑" w:cs="微软雅黑"/>
          <w:color w:val="auto"/>
          <w:sz w:val="24"/>
          <w:szCs w:val="24"/>
          <w:highlight w:val="none"/>
        </w:rPr>
      </w:pPr>
    </w:p>
    <w:p w14:paraId="5D757066">
      <w:pPr>
        <w:pageBreakBefore w:val="0"/>
        <w:kinsoku/>
        <w:wordWrap/>
        <w:overflowPunct/>
        <w:topLinePunct w:val="0"/>
        <w:bidi w:val="0"/>
        <w:spacing w:line="520" w:lineRule="exact"/>
        <w:ind w:left="900" w:hanging="900" w:hangingChars="375"/>
        <w:jc w:val="center"/>
        <w:outlineLvl w:val="1"/>
        <w:rPr>
          <w:rFonts w:hint="eastAsia" w:ascii="微软雅黑" w:hAnsi="微软雅黑" w:eastAsia="微软雅黑" w:cs="微软雅黑"/>
          <w:color w:val="auto"/>
          <w:sz w:val="24"/>
          <w:szCs w:val="24"/>
          <w:highlight w:val="none"/>
        </w:rPr>
      </w:pPr>
      <w:bookmarkStart w:id="245" w:name="_Toc1763"/>
      <w:r>
        <w:rPr>
          <w:rFonts w:hint="eastAsia" w:ascii="微软雅黑" w:hAnsi="微软雅黑" w:eastAsia="微软雅黑" w:cs="微软雅黑"/>
          <w:b/>
          <w:color w:val="auto"/>
          <w:sz w:val="24"/>
          <w:szCs w:val="24"/>
          <w:highlight w:val="none"/>
        </w:rPr>
        <w:t>四   响应文件的递交</w:t>
      </w:r>
      <w:bookmarkEnd w:id="228"/>
      <w:bookmarkEnd w:id="229"/>
      <w:bookmarkEnd w:id="230"/>
      <w:bookmarkEnd w:id="231"/>
      <w:bookmarkEnd w:id="232"/>
      <w:bookmarkEnd w:id="233"/>
      <w:bookmarkEnd w:id="234"/>
      <w:bookmarkEnd w:id="235"/>
      <w:bookmarkEnd w:id="245"/>
    </w:p>
    <w:p w14:paraId="2BCBDE88">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lang w:eastAsia="zh-CN"/>
        </w:rPr>
      </w:pPr>
      <w:bookmarkStart w:id="246" w:name="_Toc6188"/>
      <w:bookmarkStart w:id="247" w:name="_Toc1332"/>
      <w:bookmarkStart w:id="248" w:name="_Toc30799"/>
      <w:bookmarkStart w:id="249" w:name="_Toc515647775"/>
      <w:bookmarkStart w:id="250" w:name="_Toc16507"/>
      <w:bookmarkStart w:id="251" w:name="_Toc32337"/>
      <w:bookmarkStart w:id="252" w:name="_Toc24069"/>
      <w:bookmarkStart w:id="253" w:name="_Toc13617"/>
      <w:bookmarkStart w:id="254" w:name="_Toc9759"/>
      <w:bookmarkStart w:id="255" w:name="_Toc6764"/>
      <w:bookmarkStart w:id="256" w:name="_Toc415"/>
      <w:bookmarkStart w:id="257" w:name="_Toc22380"/>
      <w:bookmarkStart w:id="258" w:name="_Toc520356160"/>
      <w:bookmarkStart w:id="259" w:name="_Toc21645"/>
      <w:r>
        <w:rPr>
          <w:rFonts w:hint="eastAsia" w:ascii="微软雅黑" w:hAnsi="微软雅黑" w:eastAsia="微软雅黑" w:cs="微软雅黑"/>
          <w:color w:val="auto"/>
          <w:sz w:val="24"/>
          <w:szCs w:val="24"/>
          <w:highlight w:val="none"/>
          <w:u w:val="none" w:color="auto"/>
        </w:rPr>
        <w:t>15.响应文件的密封和标记</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微软雅黑" w:hAnsi="微软雅黑" w:eastAsia="微软雅黑" w:cs="微软雅黑"/>
          <w:color w:val="auto"/>
          <w:sz w:val="24"/>
          <w:szCs w:val="24"/>
          <w:highlight w:val="none"/>
          <w:u w:val="none" w:color="auto"/>
          <w:lang w:eastAsia="zh-CN"/>
        </w:rPr>
        <w:t>（全面电子化开评标）</w:t>
      </w:r>
    </w:p>
    <w:p w14:paraId="2FAABB7D">
      <w:pPr>
        <w:pageBreakBefore w:val="0"/>
        <w:kinsoku/>
        <w:wordWrap/>
        <w:overflowPunct/>
        <w:topLinePunct w:val="0"/>
        <w:bidi w:val="0"/>
        <w:spacing w:line="520" w:lineRule="exact"/>
        <w:ind w:left="900" w:hanging="900" w:hangingChars="375"/>
        <w:jc w:val="left"/>
        <w:rPr>
          <w:rFonts w:hint="eastAsia" w:ascii="微软雅黑" w:hAnsi="微软雅黑" w:eastAsia="微软雅黑" w:cs="微软雅黑"/>
          <w:b/>
          <w:bCs/>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 xml:space="preserve">15.1    </w:t>
      </w:r>
      <w:r>
        <w:rPr>
          <w:rFonts w:hint="eastAsia" w:ascii="微软雅黑" w:hAnsi="微软雅黑" w:eastAsia="微软雅黑" w:cs="微软雅黑"/>
          <w:b/>
          <w:bCs/>
          <w:color w:val="auto"/>
          <w:sz w:val="24"/>
          <w:szCs w:val="24"/>
          <w:highlight w:val="none"/>
          <w:u w:val="single"/>
        </w:rPr>
        <w:t>为方便</w:t>
      </w:r>
      <w:r>
        <w:rPr>
          <w:rFonts w:hint="eastAsia" w:ascii="微软雅黑" w:hAnsi="微软雅黑" w:eastAsia="微软雅黑" w:cs="微软雅黑"/>
          <w:b/>
          <w:bCs/>
          <w:color w:val="auto"/>
          <w:sz w:val="24"/>
          <w:szCs w:val="24"/>
          <w:highlight w:val="none"/>
          <w:u w:val="single"/>
          <w:lang w:val="en-US" w:eastAsia="zh-CN"/>
        </w:rPr>
        <w:t>评审</w:t>
      </w:r>
      <w:r>
        <w:rPr>
          <w:rFonts w:hint="eastAsia" w:ascii="微软雅黑" w:hAnsi="微软雅黑" w:eastAsia="微软雅黑" w:cs="微软雅黑"/>
          <w:b/>
          <w:bCs/>
          <w:color w:val="auto"/>
          <w:sz w:val="24"/>
          <w:szCs w:val="24"/>
          <w:highlight w:val="none"/>
          <w:u w:val="single"/>
        </w:rPr>
        <w:t>及进行资格审查，</w:t>
      </w:r>
      <w:r>
        <w:rPr>
          <w:rFonts w:hint="eastAsia" w:ascii="微软雅黑" w:hAnsi="微软雅黑" w:eastAsia="微软雅黑" w:cs="微软雅黑"/>
          <w:b/>
          <w:bCs/>
          <w:color w:val="auto"/>
          <w:sz w:val="24"/>
          <w:szCs w:val="24"/>
          <w:highlight w:val="none"/>
          <w:u w:val="single"/>
          <w:lang w:eastAsia="zh-CN"/>
        </w:rPr>
        <w:t>供应商</w:t>
      </w:r>
      <w:r>
        <w:rPr>
          <w:rFonts w:hint="eastAsia" w:ascii="微软雅黑" w:hAnsi="微软雅黑" w:eastAsia="微软雅黑" w:cs="微软雅黑"/>
          <w:b/>
          <w:bCs/>
          <w:color w:val="auto"/>
          <w:sz w:val="24"/>
          <w:szCs w:val="24"/>
          <w:highlight w:val="none"/>
          <w:u w:val="single"/>
        </w:rPr>
        <w:t>应完整地按</w:t>
      </w:r>
      <w:r>
        <w:rPr>
          <w:rFonts w:hint="eastAsia" w:ascii="微软雅黑" w:hAnsi="微软雅黑" w:eastAsia="微软雅黑" w:cs="微软雅黑"/>
          <w:b/>
          <w:bCs/>
          <w:color w:val="auto"/>
          <w:sz w:val="24"/>
          <w:szCs w:val="24"/>
          <w:highlight w:val="none"/>
          <w:u w:val="single"/>
          <w:lang w:eastAsia="zh-CN"/>
        </w:rPr>
        <w:t>磋商文件</w:t>
      </w:r>
      <w:r>
        <w:rPr>
          <w:rFonts w:hint="eastAsia" w:ascii="微软雅黑" w:hAnsi="微软雅黑" w:eastAsia="微软雅黑" w:cs="微软雅黑"/>
          <w:b/>
          <w:bCs/>
          <w:color w:val="auto"/>
          <w:sz w:val="24"/>
          <w:szCs w:val="24"/>
          <w:highlight w:val="none"/>
          <w:u w:val="single"/>
        </w:rPr>
        <w:t>提供的</w:t>
      </w:r>
      <w:r>
        <w:rPr>
          <w:rFonts w:hint="eastAsia" w:ascii="微软雅黑" w:hAnsi="微软雅黑" w:eastAsia="微软雅黑" w:cs="微软雅黑"/>
          <w:b/>
          <w:bCs/>
          <w:color w:val="auto"/>
          <w:sz w:val="24"/>
          <w:szCs w:val="24"/>
          <w:highlight w:val="none"/>
          <w:u w:val="single"/>
          <w:lang w:eastAsia="zh-CN"/>
        </w:rPr>
        <w:t>响应文件</w:t>
      </w:r>
      <w:r>
        <w:rPr>
          <w:rFonts w:hint="eastAsia" w:ascii="微软雅黑" w:hAnsi="微软雅黑" w:eastAsia="微软雅黑" w:cs="微软雅黑"/>
          <w:b/>
          <w:bCs/>
          <w:color w:val="auto"/>
          <w:sz w:val="24"/>
          <w:szCs w:val="24"/>
          <w:highlight w:val="none"/>
          <w:u w:val="single"/>
        </w:rPr>
        <w:t>格式及要求编写</w:t>
      </w:r>
      <w:r>
        <w:rPr>
          <w:rFonts w:hint="eastAsia" w:ascii="微软雅黑" w:hAnsi="微软雅黑" w:eastAsia="微软雅黑" w:cs="微软雅黑"/>
          <w:b/>
          <w:bCs/>
          <w:color w:val="auto"/>
          <w:sz w:val="24"/>
          <w:szCs w:val="24"/>
          <w:highlight w:val="none"/>
          <w:u w:val="single"/>
          <w:lang w:eastAsia="zh-CN"/>
        </w:rPr>
        <w:t>响应文件</w:t>
      </w:r>
      <w:r>
        <w:rPr>
          <w:rFonts w:hint="eastAsia" w:ascii="微软雅黑" w:hAnsi="微软雅黑" w:eastAsia="微软雅黑" w:cs="微软雅黑"/>
          <w:b/>
          <w:bCs/>
          <w:color w:val="auto"/>
          <w:sz w:val="24"/>
          <w:szCs w:val="24"/>
          <w:highlight w:val="none"/>
          <w:u w:val="single"/>
        </w:rPr>
        <w:t>，根据平台关联点上传对应佐证资料，</w:t>
      </w:r>
      <w:r>
        <w:rPr>
          <w:rFonts w:hint="eastAsia" w:ascii="微软雅黑" w:hAnsi="微软雅黑" w:eastAsia="微软雅黑" w:cs="微软雅黑"/>
          <w:b/>
          <w:bCs/>
          <w:color w:val="auto"/>
          <w:sz w:val="24"/>
          <w:szCs w:val="24"/>
          <w:highlight w:val="none"/>
          <w:u w:val="single"/>
          <w:lang w:eastAsia="zh-CN"/>
        </w:rPr>
        <w:t>响应文件</w:t>
      </w:r>
      <w:r>
        <w:rPr>
          <w:rFonts w:hint="eastAsia" w:ascii="微软雅黑" w:hAnsi="微软雅黑" w:eastAsia="微软雅黑" w:cs="微软雅黑"/>
          <w:b/>
          <w:bCs/>
          <w:color w:val="auto"/>
          <w:sz w:val="24"/>
          <w:szCs w:val="24"/>
          <w:highlight w:val="none"/>
          <w:u w:val="single"/>
        </w:rPr>
        <w:t>应包括“</w:t>
      </w:r>
      <w:r>
        <w:rPr>
          <w:rFonts w:hint="eastAsia" w:ascii="微软雅黑" w:hAnsi="微软雅黑" w:eastAsia="微软雅黑" w:cs="微软雅黑"/>
          <w:b/>
          <w:bCs/>
          <w:color w:val="auto"/>
          <w:sz w:val="24"/>
          <w:szCs w:val="24"/>
          <w:highlight w:val="none"/>
          <w:u w:val="single"/>
          <w:lang w:eastAsia="zh-CN"/>
        </w:rPr>
        <w:t>磋商一览表</w:t>
      </w:r>
      <w:r>
        <w:rPr>
          <w:rFonts w:hint="eastAsia" w:ascii="微软雅黑" w:hAnsi="微软雅黑" w:eastAsia="微软雅黑" w:cs="微软雅黑"/>
          <w:b/>
          <w:bCs/>
          <w:color w:val="auto"/>
          <w:sz w:val="24"/>
          <w:szCs w:val="24"/>
          <w:highlight w:val="none"/>
          <w:u w:val="single"/>
        </w:rPr>
        <w:t>及资格证明文件”和“商务及技术文件”两部分，两部分合并成完整一册</w:t>
      </w:r>
      <w:r>
        <w:rPr>
          <w:rFonts w:hint="eastAsia" w:ascii="微软雅黑" w:hAnsi="微软雅黑" w:eastAsia="微软雅黑" w:cs="微软雅黑"/>
          <w:b/>
          <w:bCs/>
          <w:color w:val="auto"/>
          <w:sz w:val="24"/>
          <w:szCs w:val="24"/>
          <w:highlight w:val="none"/>
          <w:u w:val="single"/>
          <w:lang w:val="en-US" w:eastAsia="zh-CN"/>
        </w:rPr>
        <w:t>经CA证书加密后上传提交</w:t>
      </w:r>
      <w:r>
        <w:rPr>
          <w:rFonts w:hint="eastAsia" w:ascii="微软雅黑" w:hAnsi="微软雅黑" w:eastAsia="微软雅黑" w:cs="微软雅黑"/>
          <w:b/>
          <w:bCs/>
          <w:color w:val="auto"/>
          <w:sz w:val="24"/>
          <w:szCs w:val="24"/>
          <w:highlight w:val="none"/>
          <w:u w:val="single"/>
        </w:rPr>
        <w:t>至政采云平台</w:t>
      </w:r>
      <w:r>
        <w:rPr>
          <w:rFonts w:hint="eastAsia" w:ascii="微软雅黑" w:hAnsi="微软雅黑" w:eastAsia="微软雅黑" w:cs="微软雅黑"/>
          <w:b/>
          <w:bCs/>
          <w:color w:val="auto"/>
          <w:sz w:val="24"/>
          <w:szCs w:val="24"/>
          <w:highlight w:val="none"/>
          <w:u w:val="single"/>
          <w:lang w:eastAsia="zh-CN"/>
        </w:rPr>
        <w:t>（商务技术响应文件模块附件），</w:t>
      </w:r>
      <w:r>
        <w:rPr>
          <w:rFonts w:hint="eastAsia" w:ascii="微软雅黑" w:hAnsi="微软雅黑" w:eastAsia="微软雅黑" w:cs="微软雅黑"/>
          <w:b/>
          <w:bCs/>
          <w:color w:val="auto"/>
          <w:sz w:val="24"/>
          <w:szCs w:val="24"/>
          <w:highlight w:val="none"/>
          <w:u w:val="single"/>
          <w:lang w:val="en-US" w:eastAsia="zh-CN"/>
        </w:rPr>
        <w:t>任何单位或个人均无法在投标截止时间(即投标时间)之前查看或篡改，不存在泄密风险。（严格按照政采云电子投标流程制作并上传电子响应文件。</w:t>
      </w:r>
    </w:p>
    <w:p w14:paraId="152186F2">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u w:val="none"/>
          <w:lang w:val="en-US" w:eastAsia="zh-CN"/>
        </w:rPr>
        <w:t xml:space="preserve">15.2    </w:t>
      </w:r>
      <w:r>
        <w:rPr>
          <w:rFonts w:hint="eastAsia" w:ascii="微软雅黑" w:hAnsi="微软雅黑" w:eastAsia="微软雅黑" w:cs="微软雅黑"/>
          <w:color w:val="auto"/>
          <w:sz w:val="24"/>
          <w:szCs w:val="24"/>
          <w:highlight w:val="none"/>
        </w:rPr>
        <w:t>如果</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未按上述要求标记</w:t>
      </w:r>
      <w:r>
        <w:rPr>
          <w:rFonts w:hint="eastAsia" w:ascii="微软雅黑" w:hAnsi="微软雅黑" w:eastAsia="微软雅黑" w:cs="微软雅黑"/>
          <w:color w:val="auto"/>
          <w:sz w:val="24"/>
          <w:szCs w:val="24"/>
          <w:highlight w:val="none"/>
          <w:lang w:eastAsia="zh-CN"/>
        </w:rPr>
        <w:t>上传响应文件</w:t>
      </w:r>
      <w:r>
        <w:rPr>
          <w:rFonts w:hint="eastAsia" w:ascii="微软雅黑" w:hAnsi="微软雅黑" w:eastAsia="微软雅黑" w:cs="微软雅黑"/>
          <w:color w:val="auto"/>
          <w:sz w:val="24"/>
          <w:szCs w:val="24"/>
          <w:highlight w:val="none"/>
        </w:rPr>
        <w:t>的，将承担相应的后果。</w:t>
      </w:r>
    </w:p>
    <w:p w14:paraId="734F4D08">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260" w:name="_Toc12751"/>
      <w:bookmarkStart w:id="261" w:name="_Toc9840"/>
      <w:bookmarkStart w:id="262" w:name="_Toc7478"/>
      <w:bookmarkStart w:id="263" w:name="_Toc12690"/>
      <w:bookmarkStart w:id="264" w:name="_Toc24025"/>
      <w:bookmarkStart w:id="265" w:name="_Toc8557"/>
      <w:bookmarkStart w:id="266" w:name="_Toc31921"/>
      <w:bookmarkStart w:id="267" w:name="_Toc2068"/>
      <w:bookmarkStart w:id="268" w:name="_Toc3372"/>
      <w:bookmarkStart w:id="269" w:name="_Toc9452"/>
      <w:bookmarkStart w:id="270" w:name="_Toc26069"/>
      <w:bookmarkStart w:id="271" w:name="_Toc515647776"/>
      <w:bookmarkStart w:id="272" w:name="_Toc18350"/>
      <w:bookmarkStart w:id="273" w:name="_Toc520356161"/>
      <w:r>
        <w:rPr>
          <w:rFonts w:hint="eastAsia" w:ascii="微软雅黑" w:hAnsi="微软雅黑" w:eastAsia="微软雅黑" w:cs="微软雅黑"/>
          <w:color w:val="auto"/>
          <w:sz w:val="24"/>
          <w:szCs w:val="24"/>
          <w:highlight w:val="none"/>
          <w:u w:val="none" w:color="auto"/>
        </w:rPr>
        <w:t>16.磋商截止</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219A838">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bookmarkStart w:id="274" w:name="_Toc515647777"/>
      <w:bookmarkStart w:id="275" w:name="_Toc12952"/>
      <w:bookmarkStart w:id="276" w:name="_Toc18594"/>
      <w:bookmarkStart w:id="277" w:name="_Toc3014"/>
      <w:bookmarkStart w:id="278" w:name="_Toc24275"/>
      <w:bookmarkStart w:id="279" w:name="_Toc23557"/>
      <w:bookmarkStart w:id="280" w:name="_Toc520356162"/>
      <w:bookmarkStart w:id="281" w:name="_Toc18537"/>
      <w:bookmarkStart w:id="282" w:name="_Toc11003"/>
      <w:bookmarkStart w:id="283" w:name="_Toc10299"/>
      <w:bookmarkStart w:id="284" w:name="_Toc9478"/>
      <w:bookmarkStart w:id="285" w:name="_Toc7274"/>
      <w:bookmarkStart w:id="286" w:name="_Toc29943"/>
      <w:bookmarkStart w:id="287" w:name="_Toc22201"/>
      <w:r>
        <w:rPr>
          <w:rFonts w:hint="eastAsia" w:ascii="微软雅黑" w:hAnsi="微软雅黑" w:eastAsia="微软雅黑" w:cs="微软雅黑"/>
          <w:color w:val="auto"/>
          <w:sz w:val="24"/>
          <w:szCs w:val="24"/>
          <w:highlight w:val="none"/>
          <w:u w:val="none" w:color="auto"/>
        </w:rPr>
        <w:t>16.1</w:t>
      </w:r>
      <w:r>
        <w:rPr>
          <w:rFonts w:hint="eastAsia" w:ascii="微软雅黑" w:hAnsi="微软雅黑" w:eastAsia="微软雅黑" w:cs="微软雅黑"/>
          <w:color w:val="auto"/>
          <w:sz w:val="24"/>
          <w:szCs w:val="24"/>
          <w:highlight w:val="none"/>
          <w:u w:val="none" w:color="auto"/>
        </w:rPr>
        <w:tab/>
      </w:r>
      <w:r>
        <w:rPr>
          <w:rFonts w:hint="eastAsia" w:ascii="微软雅黑" w:hAnsi="微软雅黑" w:eastAsia="微软雅黑" w:cs="微软雅黑"/>
          <w:color w:val="auto"/>
          <w:sz w:val="24"/>
          <w:szCs w:val="24"/>
          <w:highlight w:val="none"/>
          <w:u w:val="none" w:color="auto"/>
          <w:lang w:eastAsia="zh-CN"/>
        </w:rPr>
        <w:t>供应商</w:t>
      </w:r>
      <w:r>
        <w:rPr>
          <w:rFonts w:hint="eastAsia" w:ascii="微软雅黑" w:hAnsi="微软雅黑" w:eastAsia="微软雅黑" w:cs="微软雅黑"/>
          <w:color w:val="auto"/>
          <w:sz w:val="24"/>
          <w:szCs w:val="24"/>
          <w:highlight w:val="none"/>
        </w:rPr>
        <w:t>应在</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须知资料表中规定的截止时间前，将响应文件上传到磋商公告中规定的地点。</w:t>
      </w:r>
    </w:p>
    <w:p w14:paraId="2489C6AD">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和</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有权按本须知的规定，延迟磋商截止时间。在此情况下，</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受磋商截止时间制约的所有权利和义务均应延长至新的截止时间。</w:t>
      </w:r>
    </w:p>
    <w:p w14:paraId="5E402653">
      <w:pPr>
        <w:pStyle w:val="105"/>
        <w:pageBreakBefore w:val="0"/>
        <w:kinsoku/>
        <w:wordWrap/>
        <w:overflowPunct/>
        <w:topLinePunct w:val="0"/>
        <w:bidi w:val="0"/>
        <w:spacing w:line="520" w:lineRule="exact"/>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16.3   采购人和采购代理机构将拒绝接收在磋商截止时间后上传的响应文件。</w:t>
      </w:r>
    </w:p>
    <w:p w14:paraId="16ABC0B7">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r>
        <w:rPr>
          <w:rFonts w:hint="eastAsia" w:ascii="微软雅黑" w:hAnsi="微软雅黑" w:eastAsia="微软雅黑" w:cs="微软雅黑"/>
          <w:color w:val="auto"/>
          <w:sz w:val="24"/>
          <w:szCs w:val="24"/>
          <w:highlight w:val="none"/>
          <w:u w:val="none" w:color="auto"/>
        </w:rPr>
        <w:t>17.响应文件的接收、修改与撤回</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52081E4">
      <w:pPr>
        <w:pageBreakBefore w:val="0"/>
        <w:kinsoku/>
        <w:wordWrap/>
        <w:overflowPunct/>
        <w:topLinePunct w:val="0"/>
        <w:bidi w:val="0"/>
        <w:spacing w:line="520" w:lineRule="exact"/>
        <w:ind w:left="900" w:hanging="900" w:hangingChars="375"/>
        <w:rPr>
          <w:rFonts w:hint="eastAsia" w:ascii="微软雅黑" w:hAnsi="微软雅黑" w:eastAsia="微软雅黑" w:cs="微软雅黑"/>
          <w:b/>
          <w:color w:val="auto"/>
          <w:sz w:val="24"/>
          <w:szCs w:val="24"/>
          <w:highlight w:val="none"/>
        </w:rPr>
      </w:pPr>
      <w:bookmarkStart w:id="288" w:name="_Toc216582809"/>
      <w:bookmarkStart w:id="289" w:name="_Toc12436"/>
      <w:bookmarkStart w:id="290" w:name="_Toc16124"/>
      <w:bookmarkStart w:id="291" w:name="_Toc27283"/>
      <w:bookmarkStart w:id="292" w:name="_Toc28398"/>
      <w:bookmarkStart w:id="293" w:name="_Toc520356163"/>
      <w:bookmarkStart w:id="294" w:name="_Toc515647778"/>
      <w:bookmarkStart w:id="295" w:name="_Toc6161"/>
      <w:r>
        <w:rPr>
          <w:rFonts w:hint="eastAsia" w:ascii="微软雅黑" w:hAnsi="微软雅黑" w:eastAsia="微软雅黑" w:cs="微软雅黑"/>
          <w:color w:val="auto"/>
          <w:sz w:val="24"/>
          <w:szCs w:val="24"/>
          <w:highlight w:val="none"/>
        </w:rPr>
        <w:t>17.1   在磋商截止时间后上传的响应文件的，</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和</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将拒绝接收。</w:t>
      </w:r>
    </w:p>
    <w:p w14:paraId="3E181113">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上传响应文件以后，如果</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要进行修改或撤回磋商，</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对响应文件的修改或撤回通知应按本须知规定编制、标记。</w:t>
      </w:r>
    </w:p>
    <w:p w14:paraId="5196C2BA">
      <w:pPr>
        <w:pStyle w:val="105"/>
        <w:pageBreakBefore w:val="0"/>
        <w:kinsoku/>
        <w:wordWrap/>
        <w:overflowPunct/>
        <w:topLinePunct w:val="0"/>
        <w:bidi w:val="0"/>
        <w:spacing w:line="520" w:lineRule="exact"/>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highlight w:val="none"/>
          <w:lang w:val="en-US" w:eastAsia="zh-CN" w:bidi="ar-SA"/>
        </w:rPr>
        <w:t>采购人和采购代理机构将予以接收，并视为响应文件的组成部分。</w:t>
      </w:r>
    </w:p>
    <w:p w14:paraId="3AF9FA27">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17.3   在磋商截止期之后，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和</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不接受</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主动对其响应文件做任何修改。</w:t>
      </w:r>
    </w:p>
    <w:p w14:paraId="33F2D9E4">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和</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对所接收响应文件概不退回。</w:t>
      </w:r>
    </w:p>
    <w:p w14:paraId="67BC353C">
      <w:pPr>
        <w:pStyle w:val="4"/>
        <w:pageBreakBefore w:val="0"/>
        <w:kinsoku/>
        <w:wordWrap/>
        <w:overflowPunct/>
        <w:topLinePunct w:val="0"/>
        <w:bidi w:val="0"/>
        <w:snapToGrid w:val="0"/>
        <w:spacing w:before="0" w:line="520" w:lineRule="exact"/>
        <w:ind w:hanging="540"/>
        <w:textAlignment w:val="baseline"/>
        <w:rPr>
          <w:rFonts w:hint="eastAsia" w:ascii="微软雅黑" w:hAnsi="微软雅黑" w:eastAsia="微软雅黑" w:cs="微软雅黑"/>
          <w:color w:val="auto"/>
          <w:sz w:val="24"/>
          <w:szCs w:val="24"/>
          <w:highlight w:val="none"/>
        </w:rPr>
      </w:pPr>
      <w:bookmarkStart w:id="296" w:name="_Toc7029"/>
      <w:r>
        <w:rPr>
          <w:rFonts w:hint="eastAsia" w:ascii="微软雅黑" w:hAnsi="微软雅黑" w:eastAsia="微软雅黑" w:cs="微软雅黑"/>
          <w:color w:val="auto"/>
          <w:sz w:val="24"/>
          <w:szCs w:val="24"/>
          <w:highlight w:val="none"/>
        </w:rPr>
        <w:t>五   磋商及评</w:t>
      </w:r>
      <w:bookmarkEnd w:id="288"/>
      <w:bookmarkEnd w:id="289"/>
      <w:bookmarkEnd w:id="290"/>
      <w:bookmarkEnd w:id="291"/>
      <w:bookmarkEnd w:id="292"/>
      <w:bookmarkEnd w:id="293"/>
      <w:bookmarkEnd w:id="294"/>
      <w:r>
        <w:rPr>
          <w:rFonts w:hint="eastAsia" w:ascii="微软雅黑" w:hAnsi="微软雅黑" w:eastAsia="微软雅黑" w:cs="微软雅黑"/>
          <w:color w:val="auto"/>
          <w:sz w:val="24"/>
          <w:szCs w:val="24"/>
          <w:highlight w:val="none"/>
        </w:rPr>
        <w:t>审</w:t>
      </w:r>
      <w:bookmarkEnd w:id="295"/>
      <w:bookmarkEnd w:id="296"/>
    </w:p>
    <w:p w14:paraId="6BF5393B">
      <w:pPr>
        <w:pStyle w:val="5"/>
        <w:pageBreakBefore w:val="0"/>
        <w:numPr>
          <w:ilvl w:val="0"/>
          <w:numId w:val="3"/>
        </w:numPr>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297" w:name="_Toc32056"/>
      <w:bookmarkStart w:id="298" w:name="_Toc5344"/>
      <w:bookmarkStart w:id="299" w:name="_Toc20787"/>
      <w:r>
        <w:rPr>
          <w:rFonts w:hint="eastAsia" w:ascii="微软雅黑" w:hAnsi="微软雅黑" w:eastAsia="微软雅黑" w:cs="微软雅黑"/>
          <w:color w:val="auto"/>
          <w:sz w:val="24"/>
          <w:szCs w:val="24"/>
          <w:highlight w:val="none"/>
          <w:u w:val="none" w:color="auto"/>
        </w:rPr>
        <w:t>磋商</w:t>
      </w:r>
      <w:bookmarkEnd w:id="297"/>
      <w:bookmarkEnd w:id="298"/>
      <w:bookmarkEnd w:id="299"/>
    </w:p>
    <w:p w14:paraId="0A74A10F">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bookmarkStart w:id="300" w:name="_Toc520356165"/>
      <w:r>
        <w:rPr>
          <w:rFonts w:hint="eastAsia" w:ascii="微软雅黑" w:hAnsi="微软雅黑" w:eastAsia="微软雅黑" w:cs="微软雅黑"/>
          <w:color w:val="auto"/>
          <w:sz w:val="24"/>
          <w:szCs w:val="24"/>
          <w:highlight w:val="none"/>
        </w:rPr>
        <w:t>18.1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采购人和采购代理机构将按投标人须知资料表中规定的开标时间和地点组织开标，并邀请所有投标人代表在线（新疆政府采购网政采云平台开标大厅）参加。</w:t>
      </w:r>
    </w:p>
    <w:p w14:paraId="297609F0">
      <w:pPr>
        <w:pageBreakBefore w:val="0"/>
        <w:kinsoku/>
        <w:wordWrap/>
        <w:overflowPunct/>
        <w:topLinePunct w:val="0"/>
        <w:bidi w:val="0"/>
        <w:spacing w:line="520" w:lineRule="exact"/>
        <w:ind w:left="898" w:leftChars="342" w:hanging="180" w:hangingChars="7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投标人不足3家的，不得开标。</w:t>
      </w:r>
    </w:p>
    <w:p w14:paraId="6BD8FE11">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18.2    开标时，投标企业应登录新疆政府采购网政采云平台开标大厅签到并在规定的解锁电子投标文件时间内解锁其电子投标文件。未在规定时间解密的作无效处理。</w:t>
      </w:r>
    </w:p>
    <w:p w14:paraId="0C8FC3BE">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18.3    采购人或采购代理机构将对开标过程进行记录，由参加开标的各投标人代表在线确认和相关工作人员签字确认，并存档备查。</w:t>
      </w:r>
    </w:p>
    <w:p w14:paraId="53882784">
      <w:pPr>
        <w:pageBreakBefore w:val="0"/>
        <w:kinsoku/>
        <w:wordWrap/>
        <w:overflowPunct/>
        <w:topLinePunct w:val="0"/>
        <w:bidi w:val="0"/>
        <w:spacing w:line="520" w:lineRule="exact"/>
        <w:ind w:left="900" w:hanging="900" w:hanging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18.4    投标人代表对开标过程和开标记录有疑义，以及认为采购人、采购代理机构相关工作人员有需要回避的情形的，应当场提出询问或者回避申请。</w:t>
      </w:r>
    </w:p>
    <w:p w14:paraId="5270A450">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301" w:name="_Toc21372"/>
      <w:bookmarkStart w:id="302" w:name="_Toc515647780"/>
      <w:bookmarkStart w:id="303" w:name="_Toc19296"/>
      <w:bookmarkStart w:id="304" w:name="_Toc5428"/>
      <w:bookmarkStart w:id="305" w:name="_Toc6401"/>
      <w:bookmarkStart w:id="306" w:name="_Toc5402"/>
      <w:bookmarkStart w:id="307" w:name="_Toc18658"/>
      <w:bookmarkStart w:id="308" w:name="_Toc5768"/>
      <w:bookmarkStart w:id="309" w:name="_Toc9240"/>
      <w:bookmarkStart w:id="310" w:name="_Toc14954"/>
      <w:bookmarkStart w:id="311" w:name="_Toc28768"/>
      <w:bookmarkStart w:id="312" w:name="_Toc24447"/>
      <w:bookmarkStart w:id="313" w:name="_Toc18057"/>
      <w:r>
        <w:rPr>
          <w:rFonts w:hint="eastAsia" w:ascii="微软雅黑" w:hAnsi="微软雅黑" w:eastAsia="微软雅黑" w:cs="微软雅黑"/>
          <w:color w:val="auto"/>
          <w:sz w:val="24"/>
          <w:szCs w:val="24"/>
          <w:highlight w:val="none"/>
          <w:u w:val="none" w:color="auto"/>
        </w:rPr>
        <w:t>19.</w:t>
      </w:r>
      <w:bookmarkEnd w:id="300"/>
      <w:r>
        <w:rPr>
          <w:rFonts w:hint="eastAsia" w:ascii="微软雅黑" w:hAnsi="微软雅黑" w:eastAsia="微软雅黑" w:cs="微软雅黑"/>
          <w:color w:val="auto"/>
          <w:sz w:val="24"/>
          <w:szCs w:val="24"/>
          <w:highlight w:val="none"/>
          <w:u w:val="none" w:color="auto"/>
        </w:rPr>
        <w:t>资格审查及组建</w:t>
      </w:r>
      <w:bookmarkEnd w:id="301"/>
      <w:bookmarkEnd w:id="302"/>
      <w:bookmarkEnd w:id="303"/>
      <w:bookmarkEnd w:id="304"/>
      <w:r>
        <w:rPr>
          <w:rFonts w:hint="eastAsia" w:ascii="微软雅黑" w:hAnsi="微软雅黑" w:eastAsia="微软雅黑" w:cs="微软雅黑"/>
          <w:color w:val="auto"/>
          <w:sz w:val="24"/>
          <w:szCs w:val="24"/>
          <w:highlight w:val="none"/>
          <w:u w:val="none" w:color="auto"/>
        </w:rPr>
        <w:t>磋商小组</w:t>
      </w:r>
      <w:bookmarkEnd w:id="305"/>
      <w:bookmarkEnd w:id="306"/>
      <w:bookmarkEnd w:id="307"/>
      <w:bookmarkEnd w:id="308"/>
      <w:bookmarkEnd w:id="309"/>
      <w:bookmarkEnd w:id="310"/>
      <w:bookmarkEnd w:id="311"/>
      <w:bookmarkEnd w:id="312"/>
      <w:bookmarkEnd w:id="313"/>
    </w:p>
    <w:p w14:paraId="37A52184">
      <w:pPr>
        <w:pageBreakBefore w:val="0"/>
        <w:kinsoku/>
        <w:wordWrap/>
        <w:overflowPunct/>
        <w:topLinePunct w:val="0"/>
        <w:bidi w:val="0"/>
        <w:snapToGrid w:val="0"/>
        <w:spacing w:line="520" w:lineRule="exact"/>
        <w:ind w:left="960" w:hanging="960" w:hangingChars="4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19.1    </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依据法律法规和磋商文件中规定的内容，对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资格进行审查，未通过资格审查的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不进入评标。</w:t>
      </w:r>
    </w:p>
    <w:p w14:paraId="133E1562">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如下：合格供应商的其他资格要求：</w:t>
      </w:r>
    </w:p>
    <w:p w14:paraId="6A6AAFC5">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1、满足《中华人民共和国政府采购法》第二十二条规定；</w:t>
      </w:r>
    </w:p>
    <w:p w14:paraId="4A8E1E42">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①具有独立承担民事责任的能力；（投标时，提供在中华人民共和国境内注册的法人或其他组织的营业执照或事业单位法人证书或社会团体法人登记证书）</w:t>
      </w:r>
    </w:p>
    <w:p w14:paraId="1929EBD1">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②提供法定代表人资格证明及授权书、被授权人身份证；(法定代表人投标需提供法定代表人身份证)；</w:t>
      </w:r>
    </w:p>
    <w:p w14:paraId="0F40C604">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③提供本单位依法缴纳近6个月内任意一个月的社会保险证明（新成立公司提供相关证明文件）；</w:t>
      </w:r>
    </w:p>
    <w:p w14:paraId="09C7A71F">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④提供税务部门出具的本单位近6个月内任意一个月的完税证明（依法免缴的应提供依法免缴的相关证明文件或零申报报表或无欠税证明）；</w:t>
      </w:r>
    </w:p>
    <w:p w14:paraId="3C3FF6A6">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⑤提供近两年任意一年完整的财务审计报告（或近一个月的银行资信证明）。</w:t>
      </w:r>
    </w:p>
    <w:p w14:paraId="2CF5B21F">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⑥参与政府采购活动前3年内未被列入失信、重大税收违法案件、财政部门禁止参加政府采购活动的承诺书；</w:t>
      </w:r>
    </w:p>
    <w:p w14:paraId="1EBE2313">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⑦提供针对本次项目的反商业贿赂承诺书。</w:t>
      </w:r>
    </w:p>
    <w:p w14:paraId="148A0108">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079D1FA8">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⑨中小企业声明函（施工）</w:t>
      </w:r>
    </w:p>
    <w:p w14:paraId="6955CCB0">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本项目的特定资格要求：①企业资质要求：【建筑工程施工总承包三级】（含）及以上资质或【建筑装饰装修工程施工专业承包二级】（含）及以上资质，并具备有效的安全生产许可证。②项目负责人资质要求：【建筑工程专业二级】（含）及二级以上注册建造师执业资格，具备有效的B类安全生产考核合格证书，且不得担任其他在建工程的项目负责人（提供无在建项目承诺书）。</w:t>
      </w:r>
    </w:p>
    <w:p w14:paraId="79B2643F">
      <w:pPr>
        <w:keepNext w:val="0"/>
        <w:keepLines w:val="0"/>
        <w:pageBreakBefore w:val="0"/>
        <w:widowControl w:val="0"/>
        <w:kinsoku/>
        <w:wordWrap/>
        <w:overflowPunct/>
        <w:topLinePunct w:val="0"/>
        <w:bidi w:val="0"/>
        <w:snapToGrid/>
        <w:spacing w:line="520" w:lineRule="exact"/>
        <w:ind w:left="840" w:leftChars="400" w:firstLine="0" w:firstLineChars="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提示：①完税证明中“税种”非养老保险、医疗保险、失业保险、工伤保险和生育保险。请各供应商注意！②未通过资格审查的供应商不进入评标；通过资格审查的供应商少于不足三家的，不得评标。</w:t>
      </w:r>
    </w:p>
    <w:p w14:paraId="00515F18">
      <w:pPr>
        <w:pageBreakBefore w:val="0"/>
        <w:kinsoku/>
        <w:wordWrap/>
        <w:overflowPunct/>
        <w:topLinePunct w:val="0"/>
        <w:bidi w:val="0"/>
        <w:snapToGrid w:val="0"/>
        <w:spacing w:line="520" w:lineRule="exact"/>
        <w:ind w:left="734" w:hanging="734" w:hangingChars="306"/>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19.2   </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将在开标前1个工作日至磋商截止后1小时的期间内查询</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的信用记录。</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存在不良信用记录的，其磋商将被认定为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77848182">
      <w:pPr>
        <w:pageBreakBefore w:val="0"/>
        <w:kinsoku/>
        <w:wordWrap/>
        <w:overflowPunct/>
        <w:topLinePunct w:val="0"/>
        <w:bidi w:val="0"/>
        <w:snapToGrid w:val="0"/>
        <w:spacing w:line="520" w:lineRule="exact"/>
        <w:ind w:left="734" w:hanging="734" w:hangingChars="306"/>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19.2.1 不良信用记录指：在“信用中国”网站（ www.creditchina.gov.cn） 被列入失信被执行人、重大税收违法案件当事人名单</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中国政府采购网（http://www.ccgp.gov.cn/search/cr/）严重违法失信行为记录名单的（尚在处罚期内的）</w:t>
      </w:r>
      <w:r>
        <w:rPr>
          <w:rFonts w:hint="eastAsia" w:ascii="微软雅黑" w:hAnsi="微软雅黑" w:eastAsia="微软雅黑" w:cs="微软雅黑"/>
          <w:color w:val="auto"/>
          <w:sz w:val="24"/>
          <w:szCs w:val="24"/>
          <w:highlight w:val="none"/>
          <w:lang w:eastAsia="zh-CN"/>
        </w:rPr>
        <w:t>，国家企业公司信息系统</w:t>
      </w:r>
      <w:r>
        <w:rPr>
          <w:rFonts w:hint="eastAsia" w:ascii="微软雅黑" w:hAnsi="微软雅黑" w:eastAsia="微软雅黑" w:cs="微软雅黑"/>
          <w:color w:val="auto"/>
          <w:sz w:val="24"/>
          <w:szCs w:val="24"/>
          <w:highlight w:val="none"/>
          <w:lang w:val="en-US" w:eastAsia="zh-CN"/>
        </w:rPr>
        <w:t>（www.gsxt.gov.cn）（严重违法失信名单）的</w:t>
      </w:r>
      <w:r>
        <w:rPr>
          <w:rFonts w:hint="eastAsia" w:ascii="微软雅黑" w:hAnsi="微软雅黑" w:eastAsia="微软雅黑" w:cs="微软雅黑"/>
          <w:color w:val="auto"/>
          <w:sz w:val="24"/>
          <w:szCs w:val="24"/>
          <w:highlight w:val="none"/>
        </w:rPr>
        <w:t>将拒绝其参加本次招标活动</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以及存在《中华人民共和国政府采购法实施条例》第十九条规定的行政处罚记录。</w:t>
      </w:r>
    </w:p>
    <w:p w14:paraId="5485CCA2">
      <w:pPr>
        <w:pageBreakBefore w:val="0"/>
        <w:kinsoku/>
        <w:wordWrap/>
        <w:overflowPunct/>
        <w:topLinePunct w:val="0"/>
        <w:bidi w:val="0"/>
        <w:snapToGrid w:val="0"/>
        <w:spacing w:line="520" w:lineRule="exact"/>
        <w:ind w:left="718" w:leftChars="341" w:hanging="2" w:hangingChars="1"/>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以联合体形式参加磋商的，联合体任何成员存在以上不良信用记录的，联合体磋商将被认定为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33803460">
      <w:pPr>
        <w:pageBreakBefore w:val="0"/>
        <w:kinsoku/>
        <w:wordWrap/>
        <w:overflowPunct/>
        <w:topLinePunct w:val="0"/>
        <w:bidi w:val="0"/>
        <w:snapToGrid w:val="0"/>
        <w:spacing w:line="520" w:lineRule="exact"/>
        <w:ind w:left="850" w:hanging="849" w:hangingChars="354"/>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19.2.2 查询及记录方式：</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经办人将查询网页打印、签字并存档备查。</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不良信用记录以</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查询结果为准。</w:t>
      </w:r>
      <w:r>
        <w:rPr>
          <w:rFonts w:hint="eastAsia" w:ascii="微软雅黑" w:hAnsi="微软雅黑" w:eastAsia="微软雅黑" w:cs="微软雅黑"/>
          <w:b/>
          <w:bCs/>
          <w:color w:val="auto"/>
          <w:sz w:val="24"/>
          <w:szCs w:val="24"/>
          <w:highlight w:val="none"/>
        </w:rPr>
        <w:t>在本磋商文件规定的查询时间之后，网站信息发生的任何变更均不再作为评审依据。</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自行提供的与网站信息不一致的其他证明材料亦不作为资格审查的依据。</w:t>
      </w:r>
    </w:p>
    <w:p w14:paraId="7B8BA1ED">
      <w:pPr>
        <w:pageBreakBefore w:val="0"/>
        <w:kinsoku/>
        <w:wordWrap/>
        <w:overflowPunct/>
        <w:topLinePunct w:val="0"/>
        <w:bidi w:val="0"/>
        <w:snapToGrid w:val="0"/>
        <w:spacing w:line="520" w:lineRule="exact"/>
        <w:ind w:left="850" w:hanging="849" w:hangingChars="354"/>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19.3   </w:t>
      </w:r>
      <w:r>
        <w:rPr>
          <w:rFonts w:hint="eastAsia" w:ascii="微软雅黑" w:hAnsi="微软雅黑" w:eastAsia="微软雅黑" w:cs="微软雅黑"/>
          <w:b/>
          <w:bCs/>
          <w:color w:val="auto"/>
          <w:sz w:val="24"/>
          <w:szCs w:val="24"/>
          <w:highlight w:val="none"/>
        </w:rPr>
        <w:t>按照《中华人民共和国政府采购法》、《中华人民共和国政府采购法实施条例》、《政府采购竞争性磋商采购方式管理暂行办法》及本项目本级和上级财政部门的有关规定依法</w:t>
      </w:r>
      <w:r>
        <w:rPr>
          <w:rFonts w:hint="eastAsia" w:ascii="微软雅黑" w:hAnsi="微软雅黑" w:eastAsia="微软雅黑" w:cs="微软雅黑"/>
          <w:b/>
          <w:bCs/>
          <w:color w:val="auto"/>
          <w:sz w:val="24"/>
          <w:szCs w:val="24"/>
          <w:highlight w:val="none"/>
          <w:lang w:eastAsia="zh-CN"/>
        </w:rPr>
        <w:t>组建</w:t>
      </w: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人，组成磋商小组，负责评审工作。</w:t>
      </w:r>
      <w:bookmarkStart w:id="314" w:name="_Toc520356166"/>
    </w:p>
    <w:p w14:paraId="35B7BC1A">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b w:val="0"/>
          <w:bCs/>
          <w:color w:val="auto"/>
          <w:sz w:val="24"/>
          <w:szCs w:val="24"/>
          <w:highlight w:val="none"/>
          <w:u w:val="none" w:color="auto"/>
          <w:bdr w:val="single" w:color="auto" w:sz="4" w:space="0"/>
        </w:rPr>
      </w:pPr>
      <w:bookmarkStart w:id="315" w:name="_Toc15335"/>
      <w:bookmarkStart w:id="316" w:name="_Toc7742"/>
      <w:bookmarkStart w:id="317" w:name="_Toc19949"/>
      <w:bookmarkStart w:id="318" w:name="_Toc17520"/>
      <w:bookmarkStart w:id="319" w:name="_Toc27625"/>
      <w:bookmarkStart w:id="320" w:name="_Toc28479"/>
      <w:bookmarkStart w:id="321" w:name="_Toc17557"/>
      <w:bookmarkStart w:id="322" w:name="_Toc19498"/>
      <w:bookmarkStart w:id="323" w:name="_Toc29938"/>
      <w:bookmarkStart w:id="324" w:name="_Toc22740"/>
      <w:bookmarkStart w:id="325" w:name="_Toc656"/>
      <w:bookmarkStart w:id="326" w:name="_Toc29043"/>
      <w:bookmarkStart w:id="327" w:name="_Toc515647781"/>
      <w:r>
        <w:rPr>
          <w:rFonts w:hint="eastAsia" w:ascii="微软雅黑" w:hAnsi="微软雅黑" w:eastAsia="微软雅黑" w:cs="微软雅黑"/>
          <w:color w:val="auto"/>
          <w:sz w:val="24"/>
          <w:szCs w:val="24"/>
          <w:highlight w:val="none"/>
          <w:u w:val="none" w:color="auto"/>
        </w:rPr>
        <w:t>20.</w:t>
      </w:r>
      <w:bookmarkEnd w:id="314"/>
      <w:r>
        <w:rPr>
          <w:rFonts w:hint="eastAsia" w:ascii="微软雅黑" w:hAnsi="微软雅黑" w:eastAsia="微软雅黑" w:cs="微软雅黑"/>
          <w:color w:val="auto"/>
          <w:sz w:val="24"/>
          <w:szCs w:val="24"/>
          <w:highlight w:val="none"/>
          <w:u w:val="none" w:color="auto"/>
        </w:rPr>
        <w:t>响应文件符合性审查与澄清</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0254E1CC">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20.1   符合性审查是指依据磋商文件的规定，从响应文件的有效性和完整性对磋商文件的响应程度进行审查，以确定是否对磋商文件的实质性要求做出响应。</w:t>
      </w:r>
      <w:bookmarkStart w:id="328" w:name="_Hlt522424701"/>
      <w:bookmarkEnd w:id="328"/>
      <w:bookmarkStart w:id="329" w:name="_Toc520356167"/>
    </w:p>
    <w:p w14:paraId="5A395FF9">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20.2</w:t>
      </w:r>
      <w:r>
        <w:rPr>
          <w:rFonts w:hint="eastAsia" w:ascii="微软雅黑" w:hAnsi="微软雅黑" w:eastAsia="微软雅黑" w:cs="微软雅黑"/>
          <w:b/>
          <w:bCs/>
          <w:color w:val="auto"/>
          <w:sz w:val="24"/>
          <w:szCs w:val="24"/>
          <w:highlight w:val="none"/>
        </w:rPr>
        <w:tab/>
      </w:r>
      <w:r>
        <w:rPr>
          <w:rFonts w:hint="eastAsia" w:ascii="微软雅黑" w:hAnsi="微软雅黑" w:eastAsia="微软雅黑" w:cs="微软雅黑"/>
          <w:b/>
          <w:bCs/>
          <w:color w:val="auto"/>
          <w:sz w:val="24"/>
          <w:szCs w:val="24"/>
          <w:highlight w:val="none"/>
        </w:rPr>
        <w:t>响应文件的澄清</w:t>
      </w:r>
    </w:p>
    <w:p w14:paraId="3A12C744">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20.2.1  在</w:t>
      </w:r>
      <w:r>
        <w:rPr>
          <w:rFonts w:hint="eastAsia" w:ascii="微软雅黑" w:hAnsi="微软雅黑" w:eastAsia="微软雅黑" w:cs="微软雅黑"/>
          <w:color w:val="auto"/>
          <w:sz w:val="24"/>
          <w:szCs w:val="24"/>
          <w:highlight w:val="none"/>
          <w:lang w:val="en-US" w:eastAsia="zh-CN"/>
        </w:rPr>
        <w:t>评审</w:t>
      </w:r>
      <w:r>
        <w:rPr>
          <w:rFonts w:hint="eastAsia" w:ascii="微软雅黑" w:hAnsi="微软雅黑" w:eastAsia="微软雅黑" w:cs="微软雅黑"/>
          <w:color w:val="auto"/>
          <w:sz w:val="24"/>
          <w:szCs w:val="24"/>
          <w:highlight w:val="none"/>
        </w:rPr>
        <w:t>期间，磋商小组将以书面方式要求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对其响应文件中含义不明确、对同类问题表述不一致或者有明显文字和计算错误的内容，以及磋商小组认为</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的报价明显低于其他通过符合性检查</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的报价，有可能影响履约的情况作必要的澄清、说明或补正。</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的澄清、说明或补正应在磋商小组规定的时间内以书面方式进行，并不得超出响应文件范围或者改变响应文件的实质性内容。</w:t>
      </w:r>
    </w:p>
    <w:p w14:paraId="04DBE018">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20.2.2  投标人的澄清、说明或补正将作为投标文件的一部分。磋商小组要求供应商澄清、说明或者更正响应文件应当以书面形式作出。供应商的澄清、说明或者更正应当由法定代表人或其授权代表签字或者加盖公章。</w:t>
      </w:r>
    </w:p>
    <w:p w14:paraId="16413AC1">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  响应文件报价出现前后不一致的，按照下列规定修正：</w:t>
      </w:r>
    </w:p>
    <w:p w14:paraId="7033C08B">
      <w:pPr>
        <w:pageBreakBefore w:val="0"/>
        <w:kinsoku/>
        <w:wordWrap/>
        <w:overflowPunct/>
        <w:topLinePunct w:val="0"/>
        <w:bidi w:val="0"/>
        <w:snapToGrid w:val="0"/>
        <w:spacing w:line="520" w:lineRule="exact"/>
        <w:ind w:left="1020" w:hanging="1020" w:hangingChars="42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（一）响应文件中开标一览表（报价表）内容与响应文件中相应内容不一致的，以开标一览表（报价表）为准；</w:t>
      </w:r>
    </w:p>
    <w:p w14:paraId="373E4037">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（二）大写金额和小写金额不一致的，以大写金额为准；</w:t>
      </w:r>
    </w:p>
    <w:p w14:paraId="65A9AECC">
      <w:pPr>
        <w:pageBreakBefore w:val="0"/>
        <w:kinsoku/>
        <w:wordWrap/>
        <w:overflowPunct/>
        <w:topLinePunct w:val="0"/>
        <w:bidi w:val="0"/>
        <w:snapToGrid w:val="0"/>
        <w:spacing w:line="520" w:lineRule="exact"/>
        <w:ind w:left="1020" w:hanging="1020" w:hangingChars="42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（三）单价金额小数点或者百分比有明显错位的，以开标一览表的总价为准，并修改单价；</w:t>
      </w:r>
    </w:p>
    <w:p w14:paraId="5C6BDE7B">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（四）总价金额与按单价汇总金额不一致的，以单价金额计算结果为准。</w:t>
      </w:r>
    </w:p>
    <w:p w14:paraId="6171A65E">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同时出现两种以上不一致的，按照前款规定的顺序修正。修正后的报价按照第20.2条的规定经</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确认后产生约束力，</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不确认的，其磋商将被认定为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p>
    <w:p w14:paraId="0FB3A3C6">
      <w:pPr>
        <w:pageBreakBefore w:val="0"/>
        <w:kinsoku/>
        <w:wordWrap/>
        <w:overflowPunct/>
        <w:topLinePunct w:val="0"/>
        <w:bidi w:val="0"/>
        <w:snapToGrid w:val="0"/>
        <w:spacing w:line="520" w:lineRule="exact"/>
        <w:ind w:firstLine="840" w:firstLineChars="35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对不同文字文本响应文件的解释发生异议的，以中文文本为准。</w:t>
      </w:r>
    </w:p>
    <w:p w14:paraId="74489273">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20.4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14:paraId="33DCE230">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rPr>
      </w:pPr>
      <w:bookmarkStart w:id="330" w:name="_Toc28934"/>
      <w:bookmarkStart w:id="331" w:name="_Toc515647782"/>
      <w:bookmarkStart w:id="332" w:name="_Toc18222"/>
      <w:bookmarkStart w:id="333" w:name="_Toc29782"/>
      <w:bookmarkStart w:id="334" w:name="_Toc12693"/>
      <w:bookmarkStart w:id="335" w:name="_Toc30430"/>
      <w:bookmarkStart w:id="336" w:name="_Toc27164"/>
      <w:bookmarkStart w:id="337" w:name="_Toc14136"/>
      <w:bookmarkStart w:id="338" w:name="_Toc6364"/>
      <w:bookmarkStart w:id="339" w:name="_Toc1939"/>
      <w:bookmarkStart w:id="340" w:name="_Toc6695"/>
      <w:bookmarkStart w:id="341" w:name="_Toc12340"/>
      <w:bookmarkStart w:id="342" w:name="_Toc9469"/>
      <w:r>
        <w:rPr>
          <w:rFonts w:hint="eastAsia" w:ascii="微软雅黑" w:hAnsi="微软雅黑" w:eastAsia="微软雅黑" w:cs="微软雅黑"/>
          <w:color w:val="auto"/>
          <w:sz w:val="24"/>
          <w:szCs w:val="24"/>
          <w:highlight w:val="none"/>
          <w:u w:color="000000"/>
        </w:rPr>
        <w:t>21.磋商偏离</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24DB9D0A">
      <w:pPr>
        <w:pageBreakBefore w:val="0"/>
        <w:kinsoku/>
        <w:wordWrap/>
        <w:overflowPunct/>
        <w:topLinePunct w:val="0"/>
        <w:bidi w:val="0"/>
        <w:snapToGrid w:val="0"/>
        <w:spacing w:line="520" w:lineRule="exact"/>
        <w:ind w:left="641" w:hanging="640" w:hangingChars="267"/>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磋商小组可以接受响应文件中不构成实质性偏离的不正规或不一致。</w:t>
      </w:r>
    </w:p>
    <w:p w14:paraId="4CA86C85">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color="000000"/>
        </w:rPr>
      </w:pPr>
      <w:bookmarkStart w:id="343" w:name="_Toc515647783"/>
      <w:bookmarkStart w:id="344" w:name="_Toc4950"/>
      <w:bookmarkStart w:id="345" w:name="_Toc9173"/>
      <w:bookmarkStart w:id="346" w:name="_Toc108"/>
      <w:bookmarkStart w:id="347" w:name="_Toc30267"/>
      <w:bookmarkStart w:id="348" w:name="_Toc27656"/>
      <w:bookmarkStart w:id="349" w:name="_Toc2275"/>
      <w:bookmarkStart w:id="350" w:name="_Toc23480"/>
      <w:bookmarkStart w:id="351" w:name="_Toc13775"/>
      <w:bookmarkStart w:id="352" w:name="_Toc16242"/>
      <w:bookmarkStart w:id="353" w:name="_Toc31191"/>
      <w:bookmarkStart w:id="354" w:name="_Toc27546"/>
      <w:bookmarkStart w:id="355" w:name="_Toc6092"/>
      <w:r>
        <w:rPr>
          <w:rFonts w:hint="eastAsia" w:ascii="微软雅黑" w:hAnsi="微软雅黑" w:eastAsia="微软雅黑" w:cs="微软雅黑"/>
          <w:color w:val="auto"/>
          <w:sz w:val="24"/>
          <w:szCs w:val="24"/>
          <w:highlight w:val="none"/>
          <w:u w:color="000000"/>
        </w:rPr>
        <w:t>22.</w:t>
      </w:r>
      <w:bookmarkEnd w:id="343"/>
      <w:r>
        <w:rPr>
          <w:rFonts w:hint="eastAsia" w:ascii="微软雅黑" w:hAnsi="微软雅黑" w:eastAsia="微软雅黑" w:cs="微软雅黑"/>
          <w:color w:val="auto"/>
          <w:sz w:val="24"/>
          <w:szCs w:val="24"/>
          <w:highlight w:val="none"/>
          <w:u w:color="000000"/>
        </w:rPr>
        <w:t>磋商无效</w:t>
      </w:r>
      <w:bookmarkEnd w:id="344"/>
      <w:bookmarkEnd w:id="345"/>
      <w:bookmarkEnd w:id="346"/>
      <w:bookmarkEnd w:id="347"/>
      <w:bookmarkEnd w:id="348"/>
      <w:bookmarkEnd w:id="349"/>
      <w:bookmarkEnd w:id="350"/>
      <w:bookmarkEnd w:id="351"/>
      <w:bookmarkEnd w:id="352"/>
      <w:bookmarkEnd w:id="353"/>
      <w:bookmarkEnd w:id="354"/>
      <w:bookmarkEnd w:id="355"/>
    </w:p>
    <w:p w14:paraId="1EA8AB28">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color w:val="auto"/>
          <w:sz w:val="24"/>
          <w:szCs w:val="24"/>
          <w:highlight w:val="none"/>
        </w:rPr>
        <w:t>磋商无效</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不得通过修正或撤销不符合要求的偏离，从而使其磋商成为实质上响应的磋商。</w:t>
      </w:r>
    </w:p>
    <w:p w14:paraId="28285D3A">
      <w:pPr>
        <w:pageBreakBefore w:val="0"/>
        <w:kinsoku/>
        <w:wordWrap/>
        <w:overflowPunct/>
        <w:topLinePunct w:val="0"/>
        <w:bidi w:val="0"/>
        <w:snapToGrid w:val="0"/>
        <w:spacing w:line="520" w:lineRule="exact"/>
        <w:ind w:left="958" w:leftChars="456"/>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磋商小组决定磋商的响应性只根据磋商文件要求、响应文件内容及财政主管部门指定相关信息发布媒体。</w:t>
      </w:r>
    </w:p>
    <w:p w14:paraId="7E818D64">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22.2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b/>
          <w:bCs/>
          <w:color w:val="auto"/>
          <w:sz w:val="24"/>
          <w:szCs w:val="24"/>
          <w:highlight w:val="none"/>
        </w:rPr>
        <w:t>如发现下列情况之一的，其磋商将被认定为磋商无效：（以下情形应当在磋商文件中规定，并以醒目的方式标明）</w:t>
      </w:r>
    </w:p>
    <w:p w14:paraId="6950CE43">
      <w:pPr>
        <w:pageBreakBefore w:val="0"/>
        <w:kinsoku/>
        <w:wordWrap/>
        <w:overflowPunct/>
        <w:topLinePunct w:val="0"/>
        <w:bidi w:val="0"/>
        <w:snapToGrid w:val="0"/>
        <w:spacing w:line="520" w:lineRule="exact"/>
        <w:ind w:left="-180" w:firstLine="960" w:firstLineChars="4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（1）未按磋商文件规定的形式和金额提交磋商保证金的；</w:t>
      </w:r>
    </w:p>
    <w:p w14:paraId="47CFF634">
      <w:pPr>
        <w:pageBreakBefore w:val="0"/>
        <w:kinsoku/>
        <w:wordWrap/>
        <w:overflowPunct/>
        <w:topLinePunct w:val="0"/>
        <w:bidi w:val="0"/>
        <w:snapToGrid w:val="0"/>
        <w:spacing w:line="520" w:lineRule="exact"/>
        <w:ind w:left="-180" w:firstLine="960" w:firstLineChars="4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（2）未按照磋商文件规定要求签署、盖章的；</w:t>
      </w:r>
    </w:p>
    <w:p w14:paraId="5351E2B7">
      <w:pPr>
        <w:pageBreakBefore w:val="0"/>
        <w:kinsoku/>
        <w:wordWrap/>
        <w:overflowPunct/>
        <w:topLinePunct w:val="0"/>
        <w:bidi w:val="0"/>
        <w:snapToGrid w:val="0"/>
        <w:spacing w:line="520" w:lineRule="exact"/>
        <w:ind w:left="-180" w:firstLine="960" w:firstLineChars="4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（3）未满足磋商文件中技术条款的实质性要求；</w:t>
      </w:r>
    </w:p>
    <w:p w14:paraId="5901A17F">
      <w:pPr>
        <w:pageBreakBefore w:val="0"/>
        <w:kinsoku/>
        <w:wordWrap/>
        <w:overflowPunct/>
        <w:topLinePunct w:val="0"/>
        <w:bidi w:val="0"/>
        <w:snapToGrid w:val="0"/>
        <w:spacing w:line="520" w:lineRule="exact"/>
        <w:ind w:left="-180" w:firstLine="960" w:firstLineChars="4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（4）与其他</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串通磋商，或者与</w:t>
      </w:r>
      <w:r>
        <w:rPr>
          <w:rFonts w:hint="eastAsia" w:ascii="微软雅黑" w:hAnsi="微软雅黑" w:eastAsia="微软雅黑" w:cs="微软雅黑"/>
          <w:b/>
          <w:bCs/>
          <w:color w:val="auto"/>
          <w:sz w:val="24"/>
          <w:szCs w:val="24"/>
          <w:highlight w:val="none"/>
          <w:lang w:eastAsia="zh-CN"/>
        </w:rPr>
        <w:t>采购人</w:t>
      </w:r>
      <w:r>
        <w:rPr>
          <w:rFonts w:hint="eastAsia" w:ascii="微软雅黑" w:hAnsi="微软雅黑" w:eastAsia="微软雅黑" w:cs="微软雅黑"/>
          <w:b/>
          <w:bCs/>
          <w:color w:val="auto"/>
          <w:sz w:val="24"/>
          <w:szCs w:val="24"/>
          <w:highlight w:val="none"/>
        </w:rPr>
        <w:t>串通磋商；</w:t>
      </w:r>
    </w:p>
    <w:p w14:paraId="72CB8F4D">
      <w:pPr>
        <w:pageBreakBefore w:val="0"/>
        <w:kinsoku/>
        <w:wordWrap/>
        <w:overflowPunct/>
        <w:topLinePunct w:val="0"/>
        <w:bidi w:val="0"/>
        <w:snapToGrid w:val="0"/>
        <w:spacing w:line="520" w:lineRule="exact"/>
        <w:ind w:left="-180" w:firstLine="960" w:firstLineChars="4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（5）属于磋商文件规定的其他磋商无效情形；</w:t>
      </w:r>
    </w:p>
    <w:p w14:paraId="4182E3F9">
      <w:pPr>
        <w:pageBreakBefore w:val="0"/>
        <w:kinsoku/>
        <w:wordWrap/>
        <w:overflowPunct/>
        <w:topLinePunct w:val="0"/>
        <w:bidi w:val="0"/>
        <w:snapToGrid w:val="0"/>
        <w:spacing w:line="520" w:lineRule="exact"/>
        <w:ind w:left="1257" w:leftChars="370" w:hanging="480" w:hangingChars="2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（6）磋商小组认为</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的报价明显低于其他通过符合性检查</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的报价，有可能影响履约的，且</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未按照规定证明其报价合理性的；</w:t>
      </w:r>
    </w:p>
    <w:p w14:paraId="6546DAF5">
      <w:pPr>
        <w:pageBreakBefore w:val="0"/>
        <w:kinsoku/>
        <w:wordWrap/>
        <w:overflowPunct/>
        <w:topLinePunct w:val="0"/>
        <w:bidi w:val="0"/>
        <w:snapToGrid w:val="0"/>
        <w:spacing w:line="520" w:lineRule="exact"/>
        <w:ind w:firstLine="720" w:firstLineChars="3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（7）响应文件含有</w:t>
      </w:r>
      <w:r>
        <w:rPr>
          <w:rFonts w:hint="eastAsia" w:ascii="微软雅黑" w:hAnsi="微软雅黑" w:eastAsia="微软雅黑" w:cs="微软雅黑"/>
          <w:b/>
          <w:bCs/>
          <w:color w:val="auto"/>
          <w:sz w:val="24"/>
          <w:szCs w:val="24"/>
          <w:highlight w:val="none"/>
          <w:lang w:eastAsia="zh-CN"/>
        </w:rPr>
        <w:t>采购人</w:t>
      </w:r>
      <w:r>
        <w:rPr>
          <w:rFonts w:hint="eastAsia" w:ascii="微软雅黑" w:hAnsi="微软雅黑" w:eastAsia="微软雅黑" w:cs="微软雅黑"/>
          <w:b/>
          <w:bCs/>
          <w:color w:val="auto"/>
          <w:sz w:val="24"/>
          <w:szCs w:val="24"/>
          <w:highlight w:val="none"/>
        </w:rPr>
        <w:t>不能接受的附加条件的；</w:t>
      </w:r>
    </w:p>
    <w:p w14:paraId="5D33641E">
      <w:pPr>
        <w:pageBreakBefore w:val="0"/>
        <w:tabs>
          <w:tab w:val="left" w:pos="0"/>
        </w:tabs>
        <w:kinsoku/>
        <w:wordWrap/>
        <w:overflowPunct/>
        <w:topLinePunct w:val="0"/>
        <w:bidi w:val="0"/>
        <w:snapToGrid w:val="0"/>
        <w:spacing w:line="520" w:lineRule="exact"/>
        <w:ind w:left="-180" w:firstLine="960" w:firstLineChars="4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（8）不符合法规和磋商文件中规定的其他实质性要求的。</w:t>
      </w:r>
    </w:p>
    <w:p w14:paraId="028B6478">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22.3   有下列情形之一的，属于恶意串通，对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依照政府采购法第七十七条第一款的规定追究法律责任，对</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及其工作人员依照政府采购法第七十二条的规定追究法律责任：</w:t>
      </w:r>
    </w:p>
    <w:p w14:paraId="3DD12913">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（1）</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直接或者间接从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或者</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处获得其他</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的相关情况并修改其响应文件或者响应文件；</w:t>
      </w:r>
    </w:p>
    <w:p w14:paraId="05396039">
      <w:pPr>
        <w:pageBreakBefore w:val="0"/>
        <w:kinsoku/>
        <w:wordWrap/>
        <w:overflowPunct/>
        <w:topLinePunct w:val="0"/>
        <w:bidi w:val="0"/>
        <w:snapToGrid w:val="0"/>
        <w:spacing w:line="520" w:lineRule="exact"/>
        <w:ind w:left="898" w:leftChars="342" w:hanging="180" w:hangingChars="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按照</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或者</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的授意撤换、修改响应文件或者响应文件；</w:t>
      </w:r>
    </w:p>
    <w:p w14:paraId="393D8E23">
      <w:pPr>
        <w:pageBreakBefore w:val="0"/>
        <w:kinsoku/>
        <w:wordWrap/>
        <w:overflowPunct/>
        <w:topLinePunct w:val="0"/>
        <w:bidi w:val="0"/>
        <w:snapToGrid w:val="0"/>
        <w:spacing w:line="520" w:lineRule="exact"/>
        <w:ind w:left="898" w:leftChars="342" w:hanging="180" w:hangingChars="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之间协商报价、技术方案等响应文件或者响应文件的实质性内容；</w:t>
      </w:r>
    </w:p>
    <w:p w14:paraId="3675BC0A">
      <w:pPr>
        <w:pageBreakBefore w:val="0"/>
        <w:kinsoku/>
        <w:wordWrap/>
        <w:overflowPunct/>
        <w:topLinePunct w:val="0"/>
        <w:bidi w:val="0"/>
        <w:snapToGrid w:val="0"/>
        <w:spacing w:line="520" w:lineRule="exact"/>
        <w:ind w:left="898" w:leftChars="342" w:hanging="180" w:hangingChars="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（4）属于同一集团、协会、商会等组织成员的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按照该组织要求协同参加政府采购活动；</w:t>
      </w:r>
    </w:p>
    <w:p w14:paraId="38704762">
      <w:pPr>
        <w:pageBreakBefore w:val="0"/>
        <w:kinsoku/>
        <w:wordWrap/>
        <w:overflowPunct/>
        <w:topLinePunct w:val="0"/>
        <w:bidi w:val="0"/>
        <w:snapToGrid w:val="0"/>
        <w:spacing w:line="520" w:lineRule="exact"/>
        <w:ind w:left="898" w:leftChars="342" w:hanging="180" w:hangingChars="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之间事先约定由某一特定</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中标、成交；</w:t>
      </w:r>
    </w:p>
    <w:p w14:paraId="3899BA4C">
      <w:pPr>
        <w:pageBreakBefore w:val="0"/>
        <w:kinsoku/>
        <w:wordWrap/>
        <w:overflowPunct/>
        <w:topLinePunct w:val="0"/>
        <w:bidi w:val="0"/>
        <w:snapToGrid w:val="0"/>
        <w:spacing w:line="520" w:lineRule="exact"/>
        <w:ind w:left="898" w:leftChars="342" w:hanging="180" w:hangingChars="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之间商定部分</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放弃参加政府采购活动或者放弃中标、成交；</w:t>
      </w:r>
    </w:p>
    <w:p w14:paraId="28D8E602">
      <w:pPr>
        <w:pageBreakBefore w:val="0"/>
        <w:kinsoku/>
        <w:wordWrap/>
        <w:overflowPunct/>
        <w:topLinePunct w:val="0"/>
        <w:bidi w:val="0"/>
        <w:snapToGrid w:val="0"/>
        <w:spacing w:line="520" w:lineRule="exact"/>
        <w:ind w:left="898" w:leftChars="342" w:hanging="180" w:hangingChars="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或者</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之间、</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相互之间，为谋求特定</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中标、成交或者排斥其他</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的其他串通行为。</w:t>
      </w:r>
    </w:p>
    <w:p w14:paraId="16B08D17">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356" w:name="_Toc6450"/>
      <w:bookmarkStart w:id="357" w:name="_Toc515647784"/>
      <w:bookmarkStart w:id="358" w:name="_Toc30567"/>
      <w:bookmarkStart w:id="359" w:name="_Toc22903"/>
      <w:bookmarkStart w:id="360" w:name="_Toc4263"/>
      <w:bookmarkStart w:id="361" w:name="_Toc3834"/>
      <w:bookmarkStart w:id="362" w:name="_Toc13652"/>
      <w:bookmarkStart w:id="363" w:name="_Toc28827"/>
      <w:bookmarkStart w:id="364" w:name="_Toc5075"/>
      <w:bookmarkStart w:id="365" w:name="_Toc31440"/>
      <w:bookmarkStart w:id="366" w:name="_Toc22941"/>
      <w:bookmarkStart w:id="367" w:name="_Toc31260"/>
      <w:bookmarkStart w:id="368" w:name="_Toc21841"/>
      <w:r>
        <w:rPr>
          <w:rFonts w:hint="eastAsia" w:ascii="微软雅黑" w:hAnsi="微软雅黑" w:eastAsia="微软雅黑" w:cs="微软雅黑"/>
          <w:color w:val="auto"/>
          <w:sz w:val="24"/>
          <w:szCs w:val="24"/>
          <w:highlight w:val="none"/>
          <w:u w:val="none" w:color="auto"/>
        </w:rPr>
        <w:t>23.</w:t>
      </w:r>
      <w:bookmarkEnd w:id="329"/>
      <w:r>
        <w:rPr>
          <w:rFonts w:hint="eastAsia" w:ascii="微软雅黑" w:hAnsi="微软雅黑" w:eastAsia="微软雅黑" w:cs="微软雅黑"/>
          <w:color w:val="auto"/>
          <w:sz w:val="24"/>
          <w:szCs w:val="24"/>
          <w:highlight w:val="none"/>
          <w:u w:val="none" w:color="auto"/>
        </w:rPr>
        <w:t>比较与评价</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68BD3F51">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经符合性审查合格的响应文件，磋商小组将根据磋商文件确定的评标方法和标准，对其技术部分和商务部分作进一步的比较和评价。</w:t>
      </w:r>
    </w:p>
    <w:p w14:paraId="6070A264">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23.2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评标严格按照磋商文件的要求和条件进行。根据实际情况，在</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r>
        <w:rPr>
          <w:rFonts w:hint="eastAsia" w:ascii="微软雅黑" w:hAnsi="微软雅黑" w:eastAsia="微软雅黑" w:cs="微软雅黑"/>
          <w:color w:val="auto"/>
          <w:sz w:val="24"/>
          <w:szCs w:val="24"/>
          <w:highlight w:val="none"/>
        </w:rPr>
        <w:t>中规定采用下列一种评标方法，详细评标标准见磋商文件</w:t>
      </w:r>
      <w:r>
        <w:rPr>
          <w:rFonts w:hint="eastAsia" w:ascii="微软雅黑" w:hAnsi="微软雅黑" w:eastAsia="微软雅黑" w:cs="微软雅黑"/>
          <w:b/>
          <w:color w:val="auto"/>
          <w:sz w:val="24"/>
          <w:szCs w:val="24"/>
          <w:highlight w:val="none"/>
        </w:rPr>
        <w:t>第六章：</w:t>
      </w:r>
    </w:p>
    <w:p w14:paraId="4255A91A">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综合评分法，是指响应文件满足磋商文件全部实质性要求，且按照评审因素的量化指标评审得分最高的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为成交候选人的评标方法。</w:t>
      </w:r>
    </w:p>
    <w:p w14:paraId="66EF2D19">
      <w:pPr>
        <w:pStyle w:val="16"/>
        <w:pageBreakBefore w:val="0"/>
        <w:kinsoku/>
        <w:wordWrap/>
        <w:overflowPunct/>
        <w:topLinePunct w:val="0"/>
        <w:bidi w:val="0"/>
        <w:snapToGrid w:val="0"/>
        <w:spacing w:line="520" w:lineRule="exact"/>
        <w:ind w:left="720" w:hanging="720" w:hangingChars="300"/>
        <w:textAlignment w:val="baseline"/>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369" w:name="sendNo"/>
      <w:r>
        <w:rPr>
          <w:rFonts w:hint="eastAsia" w:ascii="微软雅黑" w:hAnsi="微软雅黑" w:eastAsia="微软雅黑" w:cs="微软雅黑"/>
          <w:b w:val="0"/>
          <w:bCs w:val="0"/>
          <w:color w:val="auto"/>
          <w:sz w:val="24"/>
          <w:szCs w:val="24"/>
          <w:highlight w:val="none"/>
        </w:rPr>
        <w:t>财库〔</w:t>
      </w:r>
      <w:bookmarkEnd w:id="369"/>
      <w:r>
        <w:rPr>
          <w:rFonts w:hint="eastAsia" w:ascii="微软雅黑" w:hAnsi="微软雅黑" w:eastAsia="微软雅黑" w:cs="微软雅黑"/>
          <w:b w:val="0"/>
          <w:bCs w:val="0"/>
          <w:color w:val="auto"/>
          <w:sz w:val="24"/>
          <w:szCs w:val="24"/>
          <w:highlight w:val="none"/>
        </w:rPr>
        <w:t>2017〕141号）</w:t>
      </w:r>
      <w:r>
        <w:rPr>
          <w:rFonts w:hint="eastAsia" w:ascii="微软雅黑" w:hAnsi="微软雅黑" w:eastAsia="微软雅黑" w:cs="微软雅黑"/>
          <w:b w:val="0"/>
          <w:bCs w:val="0"/>
          <w:color w:val="auto"/>
          <w:sz w:val="24"/>
          <w:szCs w:val="24"/>
          <w:highlight w:val="none"/>
          <w:lang w:eastAsia="zh-CN"/>
        </w:rPr>
        <w:t>、《关于进一步加大政府采购支持中小企业力度的通知》（财库〔2022〕19号）</w:t>
      </w:r>
      <w:r>
        <w:rPr>
          <w:rFonts w:hint="eastAsia" w:ascii="微软雅黑" w:hAnsi="微软雅黑" w:eastAsia="微软雅黑" w:cs="微软雅黑"/>
          <w:b w:val="0"/>
          <w:bCs w:val="0"/>
          <w:color w:val="auto"/>
          <w:sz w:val="24"/>
          <w:szCs w:val="24"/>
          <w:highlight w:val="none"/>
        </w:rPr>
        <w:t>的规定，对满足价格扣除条件且在</w:t>
      </w:r>
      <w:r>
        <w:rPr>
          <w:rFonts w:hint="eastAsia" w:ascii="微软雅黑" w:hAnsi="微软雅黑" w:eastAsia="微软雅黑" w:cs="微软雅黑"/>
          <w:b w:val="0"/>
          <w:bCs w:val="0"/>
          <w:color w:val="auto"/>
          <w:sz w:val="24"/>
          <w:szCs w:val="24"/>
          <w:highlight w:val="none"/>
          <w:lang w:eastAsia="zh-CN"/>
        </w:rPr>
        <w:t>响应文件</w:t>
      </w:r>
      <w:r>
        <w:rPr>
          <w:rFonts w:hint="eastAsia" w:ascii="微软雅黑" w:hAnsi="微软雅黑" w:eastAsia="微软雅黑" w:cs="微软雅黑"/>
          <w:b w:val="0"/>
          <w:bCs w:val="0"/>
          <w:color w:val="auto"/>
          <w:sz w:val="24"/>
          <w:szCs w:val="24"/>
          <w:highlight w:val="none"/>
        </w:rPr>
        <w:t>中提交了《中小企业声明函》或省级以上监狱管理局、戒毒管理局（含新疆生产建设兵团）出具的属于监狱企业的证明文件的</w:t>
      </w:r>
      <w:r>
        <w:rPr>
          <w:rFonts w:hint="eastAsia" w:ascii="微软雅黑" w:hAnsi="微软雅黑" w:eastAsia="微软雅黑" w:cs="微软雅黑"/>
          <w:b w:val="0"/>
          <w:bCs w:val="0"/>
          <w:color w:val="auto"/>
          <w:sz w:val="24"/>
          <w:szCs w:val="24"/>
          <w:highlight w:val="none"/>
          <w:lang w:eastAsia="zh-CN"/>
        </w:rPr>
        <w:t>供应商</w:t>
      </w:r>
      <w:r>
        <w:rPr>
          <w:rFonts w:hint="eastAsia" w:ascii="微软雅黑" w:hAnsi="微软雅黑" w:eastAsia="微软雅黑" w:cs="微软雅黑"/>
          <w:b w:val="0"/>
          <w:bCs w:val="0"/>
          <w:color w:val="auto"/>
          <w:sz w:val="24"/>
          <w:szCs w:val="24"/>
          <w:highlight w:val="none"/>
        </w:rPr>
        <w:t>，其投标报价扣除</w:t>
      </w:r>
      <w:r>
        <w:rPr>
          <w:rFonts w:hint="eastAsia" w:ascii="微软雅黑" w:hAnsi="微软雅黑" w:eastAsia="微软雅黑" w:cs="微软雅黑"/>
          <w:b w:val="0"/>
          <w:bCs w:val="0"/>
          <w:color w:val="auto"/>
          <w:sz w:val="24"/>
          <w:szCs w:val="24"/>
          <w:highlight w:val="none"/>
          <w:lang w:val="en-US" w:eastAsia="zh-CN"/>
        </w:rPr>
        <w:t>10%-20%</w:t>
      </w:r>
      <w:r>
        <w:rPr>
          <w:rFonts w:hint="eastAsia" w:ascii="微软雅黑" w:hAnsi="微软雅黑" w:eastAsia="微软雅黑" w:cs="微软雅黑"/>
          <w:b w:val="0"/>
          <w:bCs w:val="0"/>
          <w:color w:val="auto"/>
          <w:sz w:val="24"/>
          <w:szCs w:val="24"/>
          <w:highlight w:val="none"/>
        </w:rPr>
        <w:t>后参与</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。具体办法详见磋商文件第6章。</w:t>
      </w:r>
    </w:p>
    <w:p w14:paraId="798A4EA1">
      <w:pPr>
        <w:pStyle w:val="16"/>
        <w:pageBreakBefore w:val="0"/>
        <w:kinsoku/>
        <w:wordWrap/>
        <w:overflowPunct/>
        <w:topLinePunct w:val="0"/>
        <w:bidi w:val="0"/>
        <w:spacing w:line="520" w:lineRule="exact"/>
        <w:ind w:left="900" w:hanging="900" w:hangingChars="375"/>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  </w:t>
      </w:r>
    </w:p>
    <w:p w14:paraId="54314D88">
      <w:pPr>
        <w:pStyle w:val="16"/>
        <w:pageBreakBefore w:val="0"/>
        <w:kinsoku/>
        <w:wordWrap/>
        <w:overflowPunct/>
        <w:topLinePunct w:val="0"/>
        <w:bidi w:val="0"/>
        <w:snapToGrid w:val="0"/>
        <w:spacing w:line="520" w:lineRule="exact"/>
        <w:ind w:left="720" w:hanging="720" w:hangingChars="300"/>
        <w:textAlignment w:val="baseline"/>
        <w:rPr>
          <w:rFonts w:hint="eastAsia" w:ascii="微软雅黑" w:hAnsi="微软雅黑" w:eastAsia="微软雅黑" w:cs="微软雅黑"/>
          <w:b w:val="0"/>
          <w:bCs w:val="0"/>
          <w:color w:val="auto"/>
          <w:sz w:val="24"/>
          <w:szCs w:val="24"/>
          <w:highlight w:val="none"/>
        </w:rPr>
      </w:pPr>
    </w:p>
    <w:p w14:paraId="1FF2F0F7">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370" w:name="_Toc520356168"/>
      <w:bookmarkStart w:id="371" w:name="_Toc14935"/>
      <w:bookmarkStart w:id="372" w:name="_Toc6912"/>
      <w:bookmarkStart w:id="373" w:name="_Toc9378"/>
      <w:bookmarkStart w:id="374" w:name="_Toc18922"/>
      <w:bookmarkStart w:id="375" w:name="_Toc20227"/>
      <w:bookmarkStart w:id="376" w:name="_Toc28843"/>
      <w:bookmarkStart w:id="377" w:name="_Toc2539"/>
      <w:bookmarkStart w:id="378" w:name="_Toc16201"/>
      <w:bookmarkStart w:id="379" w:name="_Toc4586"/>
      <w:bookmarkStart w:id="380" w:name="_Toc2218"/>
      <w:bookmarkStart w:id="381" w:name="_Toc515647785"/>
      <w:bookmarkStart w:id="382" w:name="_Toc28413"/>
      <w:bookmarkStart w:id="383" w:name="_Toc4445"/>
      <w:r>
        <w:rPr>
          <w:rFonts w:hint="eastAsia" w:ascii="微软雅黑" w:hAnsi="微软雅黑" w:eastAsia="微软雅黑" w:cs="微软雅黑"/>
          <w:color w:val="auto"/>
          <w:sz w:val="24"/>
          <w:szCs w:val="24"/>
          <w:highlight w:val="none"/>
          <w:u w:val="none" w:color="auto"/>
        </w:rPr>
        <w:t>24</w:t>
      </w:r>
      <w:bookmarkEnd w:id="370"/>
      <w:r>
        <w:rPr>
          <w:rFonts w:hint="eastAsia" w:ascii="微软雅黑" w:hAnsi="微软雅黑" w:eastAsia="微软雅黑" w:cs="微软雅黑"/>
          <w:color w:val="auto"/>
          <w:sz w:val="24"/>
          <w:szCs w:val="24"/>
          <w:highlight w:val="none"/>
          <w:u w:val="none" w:color="auto"/>
        </w:rPr>
        <w:t>.废标</w:t>
      </w:r>
      <w:bookmarkEnd w:id="371"/>
      <w:bookmarkEnd w:id="372"/>
      <w:bookmarkEnd w:id="373"/>
      <w:bookmarkEnd w:id="374"/>
      <w:bookmarkEnd w:id="375"/>
      <w:bookmarkEnd w:id="376"/>
      <w:bookmarkEnd w:id="377"/>
      <w:bookmarkEnd w:id="378"/>
      <w:bookmarkEnd w:id="379"/>
      <w:bookmarkEnd w:id="380"/>
      <w:bookmarkEnd w:id="381"/>
      <w:bookmarkEnd w:id="382"/>
      <w:bookmarkEnd w:id="383"/>
    </w:p>
    <w:p w14:paraId="56F1578F">
      <w:pPr>
        <w:pageBreakBefore w:val="0"/>
        <w:kinsoku/>
        <w:wordWrap/>
        <w:overflowPunct/>
        <w:topLinePunct w:val="0"/>
        <w:bidi w:val="0"/>
        <w:snapToGrid w:val="0"/>
        <w:spacing w:line="520" w:lineRule="exact"/>
        <w:ind w:left="239" w:leftChars="114" w:firstLine="660" w:firstLineChars="275"/>
        <w:textAlignment w:val="baseline"/>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 xml:space="preserve">出现下列情形之一，将导致项目废标： </w:t>
      </w:r>
    </w:p>
    <w:p w14:paraId="72BD2351">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b/>
      </w:r>
      <w:r>
        <w:rPr>
          <w:rFonts w:hint="eastAsia" w:ascii="微软雅黑" w:hAnsi="微软雅黑" w:eastAsia="微软雅黑" w:cs="微软雅黑"/>
          <w:b w:val="0"/>
          <w:bCs w:val="0"/>
          <w:color w:val="auto"/>
          <w:sz w:val="24"/>
          <w:szCs w:val="24"/>
          <w:highlight w:val="none"/>
        </w:rPr>
        <w:t>（1）出现影响采购公正的违法、违规行为的；</w:t>
      </w:r>
    </w:p>
    <w:p w14:paraId="1FC8A527">
      <w:pPr>
        <w:pageBreakBefore w:val="0"/>
        <w:kinsoku/>
        <w:wordWrap/>
        <w:overflowPunct/>
        <w:topLinePunct w:val="0"/>
        <w:bidi w:val="0"/>
        <w:snapToGrid w:val="0"/>
        <w:spacing w:line="520" w:lineRule="exact"/>
        <w:ind w:firstLine="840" w:firstLineChars="350"/>
        <w:textAlignment w:val="baseline"/>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（2）</w:t>
      </w:r>
      <w:r>
        <w:rPr>
          <w:rFonts w:hint="eastAsia" w:ascii="微软雅黑" w:hAnsi="微软雅黑" w:eastAsia="微软雅黑" w:cs="微软雅黑"/>
          <w:b w:val="0"/>
          <w:bCs w:val="0"/>
          <w:color w:val="auto"/>
          <w:sz w:val="24"/>
          <w:szCs w:val="24"/>
          <w:highlight w:val="none"/>
          <w:lang w:eastAsia="zh-CN"/>
        </w:rPr>
        <w:t>供应商</w:t>
      </w:r>
      <w:r>
        <w:rPr>
          <w:rFonts w:hint="eastAsia" w:ascii="微软雅黑" w:hAnsi="微软雅黑" w:eastAsia="微软雅黑" w:cs="微软雅黑"/>
          <w:b w:val="0"/>
          <w:bCs w:val="0"/>
          <w:color w:val="auto"/>
          <w:sz w:val="24"/>
          <w:szCs w:val="24"/>
          <w:highlight w:val="none"/>
        </w:rPr>
        <w:t>的报价均超过了采购预算，</w:t>
      </w:r>
      <w:r>
        <w:rPr>
          <w:rFonts w:hint="eastAsia" w:ascii="微软雅黑" w:hAnsi="微软雅黑" w:eastAsia="微软雅黑" w:cs="微软雅黑"/>
          <w:b w:val="0"/>
          <w:bCs w:val="0"/>
          <w:color w:val="auto"/>
          <w:sz w:val="24"/>
          <w:szCs w:val="24"/>
          <w:highlight w:val="none"/>
          <w:lang w:eastAsia="zh-CN"/>
        </w:rPr>
        <w:t>采购人</w:t>
      </w:r>
      <w:r>
        <w:rPr>
          <w:rFonts w:hint="eastAsia" w:ascii="微软雅黑" w:hAnsi="微软雅黑" w:eastAsia="微软雅黑" w:cs="微软雅黑"/>
          <w:b w:val="0"/>
          <w:bCs w:val="0"/>
          <w:color w:val="auto"/>
          <w:sz w:val="24"/>
          <w:szCs w:val="24"/>
          <w:highlight w:val="none"/>
        </w:rPr>
        <w:t>不能支付的；</w:t>
      </w:r>
    </w:p>
    <w:p w14:paraId="1DB385E1">
      <w:pPr>
        <w:pageBreakBefore w:val="0"/>
        <w:kinsoku/>
        <w:wordWrap/>
        <w:overflowPunct/>
        <w:topLinePunct w:val="0"/>
        <w:bidi w:val="0"/>
        <w:snapToGrid w:val="0"/>
        <w:spacing w:line="520" w:lineRule="exact"/>
        <w:ind w:firstLine="840" w:firstLineChars="350"/>
        <w:textAlignment w:val="baseline"/>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（3）因重大变故，采购任务取消的。</w:t>
      </w:r>
    </w:p>
    <w:p w14:paraId="0081AA6A">
      <w:pPr>
        <w:pageBreakBefore w:val="0"/>
        <w:kinsoku/>
        <w:wordWrap/>
        <w:overflowPunct/>
        <w:topLinePunct w:val="0"/>
        <w:bidi w:val="0"/>
        <w:snapToGrid w:val="0"/>
        <w:spacing w:line="520" w:lineRule="exact"/>
        <w:ind w:firstLine="840" w:firstLineChars="35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lang w:val="en-US" w:eastAsia="zh-CN"/>
        </w:rPr>
        <w:t>4</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符合专业条件的供应商或者对</w:t>
      </w:r>
      <w:r>
        <w:rPr>
          <w:rFonts w:hint="eastAsia" w:ascii="微软雅黑" w:hAnsi="微软雅黑" w:eastAsia="微软雅黑" w:cs="微软雅黑"/>
          <w:b w:val="0"/>
          <w:bCs w:val="0"/>
          <w:color w:val="auto"/>
          <w:sz w:val="24"/>
          <w:szCs w:val="24"/>
          <w:highlight w:val="none"/>
          <w:lang w:eastAsia="zh-CN"/>
        </w:rPr>
        <w:t>磋商</w:t>
      </w:r>
      <w:r>
        <w:rPr>
          <w:rFonts w:hint="eastAsia" w:ascii="微软雅黑" w:hAnsi="微软雅黑" w:eastAsia="微软雅黑" w:cs="微软雅黑"/>
          <w:b w:val="0"/>
          <w:bCs w:val="0"/>
          <w:color w:val="auto"/>
          <w:sz w:val="24"/>
          <w:szCs w:val="24"/>
          <w:highlight w:val="none"/>
        </w:rPr>
        <w:t xml:space="preserve">文件做实质性响应的供应商不足三家； </w:t>
      </w:r>
      <w:r>
        <w:rPr>
          <w:rFonts w:hint="eastAsia" w:ascii="微软雅黑" w:hAnsi="微软雅黑" w:eastAsia="微软雅黑" w:cs="微软雅黑"/>
          <w:b/>
          <w:bCs/>
          <w:color w:val="auto"/>
          <w:sz w:val="24"/>
          <w:szCs w:val="24"/>
          <w:highlight w:val="none"/>
        </w:rPr>
        <w:t xml:space="preserve">  </w:t>
      </w:r>
    </w:p>
    <w:p w14:paraId="46B2CF23">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384" w:name="_Toc24972"/>
      <w:bookmarkStart w:id="385" w:name="_Toc25920"/>
      <w:bookmarkStart w:id="386" w:name="_Toc515647786"/>
      <w:bookmarkStart w:id="387" w:name="_Toc23141"/>
      <w:bookmarkStart w:id="388" w:name="_Toc31289"/>
      <w:bookmarkStart w:id="389" w:name="_Toc11249"/>
      <w:bookmarkStart w:id="390" w:name="_Toc27162"/>
      <w:bookmarkStart w:id="391" w:name="_Toc15505"/>
      <w:bookmarkStart w:id="392" w:name="_Toc1106"/>
      <w:bookmarkStart w:id="393" w:name="_Toc8176"/>
      <w:bookmarkStart w:id="394" w:name="_Toc4481"/>
      <w:bookmarkStart w:id="395" w:name="_Toc8444"/>
      <w:bookmarkStart w:id="396" w:name="_Toc20205"/>
      <w:bookmarkStart w:id="397" w:name="_Toc520356169"/>
      <w:r>
        <w:rPr>
          <w:rFonts w:hint="eastAsia" w:ascii="微软雅黑" w:hAnsi="微软雅黑" w:eastAsia="微软雅黑" w:cs="微软雅黑"/>
          <w:color w:val="auto"/>
          <w:sz w:val="24"/>
          <w:szCs w:val="24"/>
          <w:highlight w:val="none"/>
          <w:u w:val="none" w:color="auto"/>
        </w:rPr>
        <w:t>25.保密原则</w:t>
      </w:r>
      <w:bookmarkEnd w:id="384"/>
      <w:bookmarkEnd w:id="385"/>
      <w:bookmarkEnd w:id="386"/>
      <w:bookmarkEnd w:id="387"/>
      <w:bookmarkEnd w:id="388"/>
      <w:bookmarkEnd w:id="389"/>
      <w:bookmarkEnd w:id="390"/>
      <w:bookmarkEnd w:id="391"/>
      <w:bookmarkEnd w:id="392"/>
      <w:bookmarkEnd w:id="393"/>
      <w:bookmarkEnd w:id="394"/>
      <w:bookmarkEnd w:id="395"/>
      <w:bookmarkEnd w:id="396"/>
    </w:p>
    <w:p w14:paraId="43995394">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评审</w:t>
      </w:r>
      <w:r>
        <w:rPr>
          <w:rFonts w:hint="eastAsia" w:ascii="微软雅黑" w:hAnsi="微软雅黑" w:eastAsia="微软雅黑" w:cs="微软雅黑"/>
          <w:color w:val="auto"/>
          <w:sz w:val="24"/>
          <w:szCs w:val="24"/>
          <w:highlight w:val="none"/>
        </w:rPr>
        <w:t>将在严格保密的情况下进行。</w:t>
      </w:r>
    </w:p>
    <w:p w14:paraId="455F6FCF">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政府采购评审专家应当遵守评审工作纪律，不得泄露评审文件、评审情况和评审中获悉的商业秘密。</w:t>
      </w:r>
    </w:p>
    <w:p w14:paraId="1AC5404F">
      <w:pPr>
        <w:pStyle w:val="4"/>
        <w:pageBreakBefore w:val="0"/>
        <w:kinsoku/>
        <w:wordWrap/>
        <w:overflowPunct/>
        <w:topLinePunct w:val="0"/>
        <w:bidi w:val="0"/>
        <w:snapToGrid w:val="0"/>
        <w:spacing w:before="0" w:line="520" w:lineRule="exact"/>
        <w:ind w:hanging="540"/>
        <w:textAlignment w:val="baseline"/>
        <w:rPr>
          <w:rFonts w:hint="eastAsia" w:ascii="微软雅黑" w:hAnsi="微软雅黑" w:eastAsia="微软雅黑" w:cs="微软雅黑"/>
          <w:color w:val="auto"/>
          <w:sz w:val="24"/>
          <w:szCs w:val="24"/>
          <w:highlight w:val="none"/>
        </w:rPr>
      </w:pPr>
      <w:bookmarkStart w:id="398" w:name="_Toc31195"/>
      <w:bookmarkStart w:id="399" w:name="_Toc515647787"/>
      <w:bookmarkStart w:id="400" w:name="_Toc12143"/>
      <w:bookmarkStart w:id="401" w:name="_Toc216582810"/>
      <w:bookmarkStart w:id="402" w:name="_Toc23904"/>
      <w:bookmarkStart w:id="403" w:name="_Toc18876"/>
      <w:bookmarkStart w:id="404" w:name="_Toc27482"/>
      <w:bookmarkStart w:id="405" w:name="_Toc26655"/>
      <w:r>
        <w:rPr>
          <w:rFonts w:hint="eastAsia" w:ascii="微软雅黑" w:hAnsi="微软雅黑" w:eastAsia="微软雅黑" w:cs="微软雅黑"/>
          <w:color w:val="auto"/>
          <w:sz w:val="24"/>
          <w:szCs w:val="24"/>
          <w:highlight w:val="none"/>
        </w:rPr>
        <w:t xml:space="preserve">六   </w:t>
      </w:r>
      <w:bookmarkEnd w:id="397"/>
      <w:r>
        <w:rPr>
          <w:rFonts w:hint="eastAsia" w:ascii="微软雅黑" w:hAnsi="微软雅黑" w:eastAsia="微软雅黑" w:cs="微软雅黑"/>
          <w:color w:val="auto"/>
          <w:sz w:val="24"/>
          <w:szCs w:val="24"/>
          <w:highlight w:val="none"/>
        </w:rPr>
        <w:t>确定</w:t>
      </w:r>
      <w:bookmarkEnd w:id="398"/>
      <w:bookmarkEnd w:id="399"/>
      <w:bookmarkEnd w:id="400"/>
      <w:bookmarkEnd w:id="401"/>
      <w:bookmarkEnd w:id="402"/>
      <w:r>
        <w:rPr>
          <w:rFonts w:hint="eastAsia" w:ascii="微软雅黑" w:hAnsi="微软雅黑" w:eastAsia="微软雅黑" w:cs="微软雅黑"/>
          <w:color w:val="auto"/>
          <w:sz w:val="24"/>
          <w:szCs w:val="24"/>
          <w:highlight w:val="none"/>
        </w:rPr>
        <w:t>成交</w:t>
      </w:r>
      <w:bookmarkEnd w:id="403"/>
      <w:bookmarkEnd w:id="404"/>
      <w:bookmarkEnd w:id="405"/>
    </w:p>
    <w:p w14:paraId="7DE4123E">
      <w:pPr>
        <w:pStyle w:val="8"/>
        <w:pageBreakBefore w:val="0"/>
        <w:kinsoku/>
        <w:wordWrap/>
        <w:overflowPunct/>
        <w:topLinePunct w:val="0"/>
        <w:bidi w:val="0"/>
        <w:snapToGrid w:val="0"/>
        <w:spacing w:line="520" w:lineRule="exact"/>
        <w:ind w:firstLine="0"/>
        <w:textAlignment w:val="baseline"/>
        <w:rPr>
          <w:rFonts w:hint="eastAsia" w:ascii="微软雅黑" w:hAnsi="微软雅黑" w:eastAsia="微软雅黑" w:cs="微软雅黑"/>
          <w:color w:val="auto"/>
          <w:sz w:val="24"/>
          <w:szCs w:val="24"/>
          <w:highlight w:val="none"/>
        </w:rPr>
      </w:pPr>
    </w:p>
    <w:p w14:paraId="0AF0F573">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406" w:name="_Toc20156"/>
      <w:bookmarkStart w:id="407" w:name="_Toc520356170"/>
      <w:bookmarkStart w:id="408" w:name="_Toc19391"/>
      <w:bookmarkStart w:id="409" w:name="_Toc20286"/>
      <w:bookmarkStart w:id="410" w:name="_Toc10858"/>
      <w:bookmarkStart w:id="411" w:name="_Toc7632"/>
      <w:bookmarkStart w:id="412" w:name="_Toc23617"/>
      <w:bookmarkStart w:id="413" w:name="_Ref467307010"/>
      <w:bookmarkStart w:id="414" w:name="_Toc23762"/>
      <w:bookmarkStart w:id="415" w:name="_Toc4774"/>
      <w:bookmarkStart w:id="416" w:name="_Toc515647788"/>
      <w:bookmarkStart w:id="417" w:name="_Toc1360"/>
      <w:bookmarkStart w:id="418" w:name="_Toc8936"/>
      <w:bookmarkStart w:id="419" w:name="_Toc29606"/>
      <w:bookmarkStart w:id="420" w:name="_Toc15848"/>
      <w:r>
        <w:rPr>
          <w:rFonts w:hint="eastAsia" w:ascii="微软雅黑" w:hAnsi="微软雅黑" w:eastAsia="微软雅黑" w:cs="微软雅黑"/>
          <w:color w:val="auto"/>
          <w:sz w:val="24"/>
          <w:szCs w:val="24"/>
          <w:highlight w:val="none"/>
          <w:u w:val="none" w:color="auto"/>
        </w:rPr>
        <w:t>26.成交候选人的确定原则及标准</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37299F7">
      <w:pPr>
        <w:pageBreakBefore w:val="0"/>
        <w:kinsoku/>
        <w:wordWrap/>
        <w:overflowPunct/>
        <w:topLinePunct w:val="0"/>
        <w:bidi w:val="0"/>
        <w:snapToGrid w:val="0"/>
        <w:spacing w:line="520" w:lineRule="exact"/>
        <w:ind w:firstLine="480" w:firstLineChars="200"/>
        <w:textAlignment w:val="baseline"/>
        <w:rPr>
          <w:rFonts w:hint="eastAsia" w:ascii="微软雅黑" w:hAnsi="微软雅黑" w:eastAsia="微软雅黑" w:cs="微软雅黑"/>
          <w:color w:val="auto"/>
          <w:sz w:val="24"/>
          <w:szCs w:val="24"/>
          <w:highlight w:val="none"/>
        </w:rPr>
      </w:pPr>
      <w:bookmarkStart w:id="421" w:name="_Toc520356171"/>
      <w:bookmarkStart w:id="422" w:name="_Toc515647789"/>
      <w:r>
        <w:rPr>
          <w:rFonts w:hint="eastAsia" w:ascii="微软雅黑" w:hAnsi="微软雅黑" w:eastAsia="微软雅黑" w:cs="微软雅黑"/>
          <w:color w:val="auto"/>
          <w:sz w:val="24"/>
          <w:szCs w:val="24"/>
          <w:highlight w:val="none"/>
        </w:rPr>
        <w:t>除第28条规定外，对实质上响应磋商文件的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按下列方法进行排序，确定</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选人：</w:t>
      </w:r>
    </w:p>
    <w:p w14:paraId="3F7EF315">
      <w:pPr>
        <w:pageBreakBefore w:val="0"/>
        <w:kinsoku/>
        <w:wordWrap/>
        <w:overflowPunct/>
        <w:topLinePunct w:val="0"/>
        <w:bidi w:val="0"/>
        <w:snapToGrid w:val="0"/>
        <w:spacing w:line="520" w:lineRule="exact"/>
        <w:ind w:left="479" w:leftChars="228"/>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采用综合评分法，是经磋商确定最终采购需求和提交最后报价的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后，由磋商小组采用综合评分法对提交最后报价的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的响应文件和最后报价进行综合评分。响应文件满足磋商文件全部实质性要求且按评审因素的量化指标评审得分最高的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为成交候选</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的评审方法。评审得分且最后报价相同的，按照技术指标优劣顺序推荐。得分与投标报价均相同的处理方式详见磋商文件第6章。</w:t>
      </w:r>
    </w:p>
    <w:p w14:paraId="21236EEA">
      <w:pPr>
        <w:pageBreakBefore w:val="0"/>
        <w:kinsoku/>
        <w:wordWrap/>
        <w:overflowPunct/>
        <w:topLinePunct w:val="0"/>
        <w:bidi w:val="0"/>
        <w:snapToGrid w:val="0"/>
        <w:spacing w:line="520" w:lineRule="exact"/>
        <w:ind w:firstLine="480" w:firstLineChars="2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本项目采用综合评分法。</w:t>
      </w:r>
    </w:p>
    <w:p w14:paraId="4BDFC03F">
      <w:pPr>
        <w:pStyle w:val="5"/>
        <w:pageBreakBefore w:val="0"/>
        <w:tabs>
          <w:tab w:val="left" w:pos="900"/>
        </w:tabs>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423" w:name="_Toc17933"/>
      <w:bookmarkStart w:id="424" w:name="_Toc23951"/>
      <w:bookmarkStart w:id="425" w:name="_Toc9653"/>
      <w:bookmarkStart w:id="426" w:name="_Toc24948"/>
      <w:bookmarkStart w:id="427" w:name="_Toc1227"/>
      <w:bookmarkStart w:id="428" w:name="_Toc1644"/>
      <w:bookmarkStart w:id="429" w:name="_Toc17164"/>
      <w:bookmarkStart w:id="430" w:name="_Toc15116"/>
      <w:bookmarkStart w:id="431" w:name="_Toc16846"/>
      <w:bookmarkStart w:id="432" w:name="_Toc14558"/>
      <w:bookmarkStart w:id="433" w:name="_Toc5598"/>
      <w:bookmarkStart w:id="434" w:name="_Toc3720"/>
      <w:r>
        <w:rPr>
          <w:rFonts w:hint="eastAsia" w:ascii="微软雅黑" w:hAnsi="微软雅黑" w:eastAsia="微软雅黑" w:cs="微软雅黑"/>
          <w:color w:val="auto"/>
          <w:sz w:val="24"/>
          <w:szCs w:val="24"/>
          <w:highlight w:val="none"/>
          <w:u w:val="none" w:color="auto"/>
        </w:rPr>
        <w:t>27</w:t>
      </w:r>
      <w:bookmarkEnd w:id="421"/>
      <w:r>
        <w:rPr>
          <w:rFonts w:hint="eastAsia" w:ascii="微软雅黑" w:hAnsi="微软雅黑" w:eastAsia="微软雅黑" w:cs="微软雅黑"/>
          <w:color w:val="auto"/>
          <w:sz w:val="24"/>
          <w:szCs w:val="24"/>
          <w:highlight w:val="none"/>
          <w:u w:val="none" w:color="auto"/>
        </w:rPr>
        <w:t>.确定成交候选人和</w:t>
      </w:r>
      <w:bookmarkEnd w:id="422"/>
      <w:bookmarkEnd w:id="423"/>
      <w:bookmarkEnd w:id="424"/>
      <w:bookmarkEnd w:id="425"/>
      <w:r>
        <w:rPr>
          <w:rFonts w:hint="eastAsia" w:ascii="微软雅黑" w:hAnsi="微软雅黑" w:eastAsia="微软雅黑" w:cs="微软雅黑"/>
          <w:color w:val="auto"/>
          <w:sz w:val="24"/>
          <w:szCs w:val="24"/>
          <w:highlight w:val="none"/>
          <w:u w:val="none" w:color="auto"/>
        </w:rPr>
        <w:t>成交人</w:t>
      </w:r>
      <w:bookmarkEnd w:id="426"/>
      <w:bookmarkEnd w:id="427"/>
      <w:bookmarkEnd w:id="428"/>
      <w:bookmarkEnd w:id="429"/>
      <w:bookmarkEnd w:id="430"/>
      <w:bookmarkEnd w:id="431"/>
      <w:bookmarkEnd w:id="432"/>
      <w:bookmarkEnd w:id="433"/>
      <w:bookmarkEnd w:id="434"/>
    </w:p>
    <w:p w14:paraId="740E226C">
      <w:pPr>
        <w:pageBreakBefore w:val="0"/>
        <w:kinsoku/>
        <w:wordWrap/>
        <w:overflowPunct/>
        <w:topLinePunct w:val="0"/>
        <w:bidi w:val="0"/>
        <w:snapToGrid w:val="0"/>
        <w:spacing w:line="520" w:lineRule="exact"/>
        <w:ind w:left="898" w:leftChars="342" w:hanging="180" w:hangingChars="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磋商小组将根据评标标准，按</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须知资料表中</w:t>
      </w:r>
      <w:r>
        <w:rPr>
          <w:rFonts w:hint="eastAsia" w:ascii="微软雅黑" w:hAnsi="微软雅黑" w:eastAsia="微软雅黑" w:cs="微软雅黑"/>
          <w:color w:val="auto"/>
          <w:sz w:val="24"/>
          <w:szCs w:val="24"/>
          <w:highlight w:val="none"/>
        </w:rPr>
        <w:t>规定数量推荐成交候选人；或根据</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的委托，直接确定成交人。</w:t>
      </w:r>
    </w:p>
    <w:p w14:paraId="301BF130">
      <w:pPr>
        <w:pStyle w:val="5"/>
        <w:pageBreakBefore w:val="0"/>
        <w:tabs>
          <w:tab w:val="left" w:pos="900"/>
        </w:tabs>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435" w:name="_Toc520356173"/>
      <w:bookmarkStart w:id="436" w:name="_Ref467306874"/>
      <w:bookmarkStart w:id="437" w:name="_Toc8389"/>
      <w:bookmarkStart w:id="438" w:name="_Toc27133"/>
      <w:bookmarkStart w:id="439" w:name="_Toc515647790"/>
      <w:bookmarkStart w:id="440" w:name="_Toc28562"/>
      <w:bookmarkStart w:id="441" w:name="_Toc24602"/>
      <w:bookmarkStart w:id="442" w:name="_Toc12652"/>
      <w:bookmarkStart w:id="443" w:name="_Toc249"/>
      <w:bookmarkStart w:id="444" w:name="_Toc20633"/>
      <w:bookmarkStart w:id="445" w:name="_Toc27036"/>
      <w:bookmarkStart w:id="446" w:name="_Toc31900"/>
      <w:bookmarkStart w:id="447" w:name="_Toc27308"/>
      <w:bookmarkStart w:id="448" w:name="_Toc7729"/>
      <w:bookmarkStart w:id="449" w:name="_Toc2091"/>
      <w:r>
        <w:rPr>
          <w:rFonts w:hint="eastAsia" w:ascii="微软雅黑" w:hAnsi="微软雅黑" w:eastAsia="微软雅黑" w:cs="微软雅黑"/>
          <w:color w:val="auto"/>
          <w:sz w:val="24"/>
          <w:szCs w:val="24"/>
          <w:highlight w:val="none"/>
          <w:u w:val="none" w:color="auto"/>
        </w:rPr>
        <w:t>28.</w:t>
      </w:r>
      <w:bookmarkEnd w:id="435"/>
      <w:bookmarkEnd w:id="436"/>
      <w:r>
        <w:rPr>
          <w:rFonts w:hint="eastAsia" w:ascii="微软雅黑" w:hAnsi="微软雅黑" w:eastAsia="微软雅黑" w:cs="微软雅黑"/>
          <w:color w:val="auto"/>
          <w:sz w:val="24"/>
          <w:szCs w:val="24"/>
          <w:highlight w:val="none"/>
          <w:u w:val="none" w:color="auto"/>
        </w:rPr>
        <w:t>采购任务取消</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42CFDF75">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因重大变故采购任务取消时，</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有权拒绝任何</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成交，且对受影响的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不承担任何责任。</w:t>
      </w:r>
      <w:bookmarkStart w:id="450" w:name="_Toc520356174"/>
    </w:p>
    <w:p w14:paraId="238C833E">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451" w:name="_Toc30170"/>
      <w:bookmarkStart w:id="452" w:name="_Toc31099"/>
      <w:bookmarkStart w:id="453" w:name="_Toc2401"/>
      <w:bookmarkStart w:id="454" w:name="_Toc515647791"/>
      <w:bookmarkStart w:id="455" w:name="_Toc27516"/>
      <w:bookmarkStart w:id="456" w:name="_Toc6223"/>
      <w:bookmarkStart w:id="457" w:name="_Toc7938"/>
      <w:bookmarkStart w:id="458" w:name="_Toc31506"/>
      <w:bookmarkStart w:id="459" w:name="_Toc20620"/>
      <w:bookmarkStart w:id="460" w:name="_Toc15270"/>
      <w:bookmarkStart w:id="461" w:name="_Toc11134"/>
      <w:bookmarkStart w:id="462" w:name="_Toc29249"/>
      <w:bookmarkStart w:id="463" w:name="_Toc26091"/>
      <w:r>
        <w:rPr>
          <w:rFonts w:hint="eastAsia" w:ascii="微软雅黑" w:hAnsi="微软雅黑" w:eastAsia="微软雅黑" w:cs="微软雅黑"/>
          <w:color w:val="auto"/>
          <w:sz w:val="24"/>
          <w:szCs w:val="24"/>
          <w:highlight w:val="none"/>
          <w:u w:val="none" w:color="auto"/>
        </w:rPr>
        <w:t>29.</w:t>
      </w:r>
      <w:bookmarkEnd w:id="450"/>
      <w:r>
        <w:rPr>
          <w:rFonts w:hint="eastAsia" w:ascii="微软雅黑" w:hAnsi="微软雅黑" w:eastAsia="微软雅黑" w:cs="微软雅黑"/>
          <w:color w:val="auto"/>
          <w:sz w:val="24"/>
          <w:szCs w:val="24"/>
          <w:highlight w:val="none"/>
          <w:u w:val="none" w:color="auto"/>
        </w:rPr>
        <w:t>成交通知书和</w:t>
      </w:r>
      <w:r>
        <w:rPr>
          <w:rFonts w:hint="eastAsia" w:ascii="微软雅黑" w:hAnsi="微软雅黑" w:eastAsia="微软雅黑" w:cs="微软雅黑"/>
          <w:color w:val="auto"/>
          <w:sz w:val="24"/>
          <w:szCs w:val="24"/>
          <w:highlight w:val="none"/>
          <w:u w:val="none" w:color="auto"/>
          <w:lang w:val="en-US" w:eastAsia="zh-CN"/>
        </w:rPr>
        <w:t>成交</w:t>
      </w:r>
      <w:r>
        <w:rPr>
          <w:rFonts w:hint="eastAsia" w:ascii="微软雅黑" w:hAnsi="微软雅黑" w:eastAsia="微软雅黑" w:cs="微软雅黑"/>
          <w:color w:val="auto"/>
          <w:sz w:val="24"/>
          <w:szCs w:val="24"/>
          <w:highlight w:val="none"/>
          <w:u w:val="none" w:color="auto"/>
        </w:rPr>
        <w:t>结果通知书</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5B75E4C8">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在磋商有效期内，成交人确定后，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或者</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发布成交公告，同时以书面形式向成交人发出成交通知书。</w:t>
      </w:r>
    </w:p>
    <w:p w14:paraId="2A3A1F79">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成交通知书是合同的组成部分。</w:t>
      </w:r>
    </w:p>
    <w:p w14:paraId="59F65743">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29.3    </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结果通知书和成交通知书同时发出。</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结果通知书中将告知未通过资格审查的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未通过的原因；采用综合评分法评审的，还将告知未成交人本人的评审得分和排序。</w:t>
      </w:r>
    </w:p>
    <w:p w14:paraId="1D5D7C30">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rPr>
      </w:pPr>
      <w:bookmarkStart w:id="464" w:name="_Ref467307204"/>
      <w:bookmarkStart w:id="465" w:name="_Ref467306377"/>
      <w:bookmarkStart w:id="466" w:name="_Ref467307062"/>
      <w:bookmarkStart w:id="467" w:name="_Toc20587"/>
      <w:bookmarkStart w:id="468" w:name="_Toc29762"/>
      <w:bookmarkStart w:id="469" w:name="_Ref467306978"/>
      <w:bookmarkStart w:id="470" w:name="_Toc8912"/>
      <w:bookmarkStart w:id="471" w:name="_Toc515647792"/>
      <w:bookmarkStart w:id="472" w:name="_Toc520356175"/>
      <w:bookmarkStart w:id="473" w:name="_Toc1076"/>
      <w:bookmarkStart w:id="474" w:name="_Toc13301"/>
      <w:bookmarkStart w:id="475" w:name="_Toc307"/>
      <w:bookmarkStart w:id="476" w:name="_Toc11296"/>
      <w:bookmarkStart w:id="477" w:name="_Toc22868"/>
      <w:bookmarkStart w:id="478" w:name="_Toc7779"/>
      <w:bookmarkStart w:id="479" w:name="_Toc790"/>
      <w:bookmarkStart w:id="480" w:name="_Toc15063"/>
      <w:bookmarkStart w:id="481" w:name="_Toc19431"/>
      <w:r>
        <w:rPr>
          <w:rFonts w:hint="eastAsia" w:ascii="微软雅黑" w:hAnsi="微软雅黑" w:eastAsia="微软雅黑" w:cs="微软雅黑"/>
          <w:color w:val="auto"/>
          <w:sz w:val="24"/>
          <w:szCs w:val="24"/>
          <w:highlight w:val="none"/>
          <w:u w:val="none"/>
        </w:rPr>
        <w:t>30.签订合同</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8B1D3D2">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成交人应当自发出成交通知书之日起30日内，与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签订合同。</w:t>
      </w:r>
    </w:p>
    <w:p w14:paraId="75DFD801">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30.2</w:t>
      </w:r>
      <w:r>
        <w:rPr>
          <w:rFonts w:hint="eastAsia" w:ascii="微软雅黑" w:hAnsi="微软雅黑" w:eastAsia="微软雅黑" w:cs="微软雅黑"/>
          <w:color w:val="auto"/>
          <w:sz w:val="24"/>
          <w:szCs w:val="24"/>
          <w:highlight w:val="none"/>
        </w:rPr>
        <w:tab/>
      </w:r>
      <w:bookmarkStart w:id="482" w:name="_Toc520356176"/>
      <w:bookmarkStart w:id="483" w:name="_Ref467306425"/>
      <w:bookmarkStart w:id="484" w:name="_Ref467307090"/>
      <w:r>
        <w:rPr>
          <w:rFonts w:hint="eastAsia" w:ascii="微软雅黑" w:hAnsi="微软雅黑" w:eastAsia="微软雅黑" w:cs="微软雅黑"/>
          <w:color w:val="auto"/>
          <w:sz w:val="24"/>
          <w:szCs w:val="24"/>
          <w:highlight w:val="none"/>
        </w:rPr>
        <w:t>磋商文件、成交人的响应文件及其澄清文件等，均为签订合同的依据。</w:t>
      </w:r>
    </w:p>
    <w:p w14:paraId="42C35CFE">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30.3   成交人拒绝与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签订合同的，</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可以按照评审报告推荐的成交候选人名单排序，确定下一成交候选人为成交人，也可以重新开展政府采购活动。</w:t>
      </w:r>
    </w:p>
    <w:p w14:paraId="66243CF4">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30.4   当出现法规规定的成交无效或成交结果无效情形时，</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可与排名下一位的成交候选人另行签订合同，或依法重新开展采购活动。</w:t>
      </w:r>
    </w:p>
    <w:p w14:paraId="1482F1A7">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rPr>
      </w:pPr>
      <w:bookmarkStart w:id="485" w:name="_Toc14839"/>
      <w:bookmarkStart w:id="486" w:name="_Toc14080"/>
      <w:bookmarkStart w:id="487" w:name="_Toc32532"/>
      <w:bookmarkStart w:id="488" w:name="_Toc515647793"/>
      <w:bookmarkStart w:id="489" w:name="_Toc22126"/>
      <w:bookmarkStart w:id="490" w:name="_Toc15573"/>
      <w:bookmarkStart w:id="491" w:name="_Toc10911"/>
      <w:bookmarkStart w:id="492" w:name="_Toc5437"/>
      <w:bookmarkStart w:id="493" w:name="_Toc13164"/>
      <w:bookmarkStart w:id="494" w:name="_Toc22555"/>
      <w:bookmarkStart w:id="495" w:name="_Toc26893"/>
      <w:bookmarkStart w:id="496" w:name="_Toc6921"/>
      <w:bookmarkStart w:id="497" w:name="_Toc24808"/>
      <w:r>
        <w:rPr>
          <w:rFonts w:hint="eastAsia" w:ascii="微软雅黑" w:hAnsi="微软雅黑" w:eastAsia="微软雅黑" w:cs="微软雅黑"/>
          <w:color w:val="auto"/>
          <w:sz w:val="24"/>
          <w:szCs w:val="24"/>
          <w:highlight w:val="none"/>
          <w:u w:val="none"/>
        </w:rPr>
        <w:t>31.履约保证金</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249CF497">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成交人应按照</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须知资料表规定向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缴纳履约保证金（如采用保函形式，格式见本章附件1）。</w:t>
      </w:r>
    </w:p>
    <w:p w14:paraId="44522C42">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政府采购利用担保试点范围内的项目，除31.1规定的情形外，成交人也可以按照财政部门的规定，向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提供合格的履约担保函（格式见本章附件2）。</w:t>
      </w:r>
    </w:p>
    <w:p w14:paraId="3C38524A">
      <w:pPr>
        <w:pageBreakBefore w:val="0"/>
        <w:kinsoku/>
        <w:wordWrap/>
        <w:overflowPunct/>
        <w:topLinePunct w:val="0"/>
        <w:bidi w:val="0"/>
        <w:snapToGrid w:val="0"/>
        <w:spacing w:line="520" w:lineRule="exact"/>
        <w:ind w:left="960" w:hanging="960" w:hangingChars="400"/>
        <w:jc w:val="left"/>
        <w:textAlignment w:val="baseline"/>
        <w:rPr>
          <w:rFonts w:hint="eastAsia" w:ascii="微软雅黑" w:hAnsi="微软雅黑" w:eastAsia="微软雅黑" w:cs="微软雅黑"/>
          <w:bCs/>
          <w:color w:val="auto"/>
          <w:sz w:val="24"/>
          <w:szCs w:val="24"/>
          <w:highlight w:val="none"/>
          <w:u w:val="single" w:color="000000"/>
        </w:rPr>
      </w:pPr>
      <w:bookmarkStart w:id="498" w:name="_Toc7088"/>
      <w:bookmarkStart w:id="499" w:name="_Toc864"/>
      <w:bookmarkStart w:id="500" w:name="_Toc13783"/>
      <w:bookmarkStart w:id="501" w:name="_Toc5352"/>
      <w:bookmarkStart w:id="502" w:name="_Toc1888"/>
      <w:bookmarkStart w:id="503" w:name="_Toc14350"/>
      <w:bookmarkStart w:id="504" w:name="_Toc32107"/>
      <w:r>
        <w:rPr>
          <w:rFonts w:hint="eastAsia" w:ascii="微软雅黑" w:hAnsi="微软雅黑" w:eastAsia="微软雅黑" w:cs="微软雅黑"/>
          <w:color w:val="auto"/>
          <w:sz w:val="24"/>
          <w:szCs w:val="24"/>
          <w:highlight w:val="none"/>
        </w:rPr>
        <w:t>31.3   如果成交人没有按照上述履约保证金的规定执行，将视为放弃成交资格，成交人的磋商保证金将不予退还。在此情况下，</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可确定下一候选</w:t>
      </w:r>
      <w:r>
        <w:rPr>
          <w:rFonts w:hint="eastAsia" w:ascii="微软雅黑" w:hAnsi="微软雅黑" w:eastAsia="微软雅黑" w:cs="微软雅黑"/>
          <w:bCs/>
          <w:color w:val="auto"/>
          <w:sz w:val="24"/>
          <w:szCs w:val="24"/>
          <w:highlight w:val="none"/>
        </w:rPr>
        <w:t>人为成交人，也可以重新开展采购活动。</w:t>
      </w:r>
      <w:bookmarkEnd w:id="498"/>
      <w:bookmarkEnd w:id="499"/>
      <w:bookmarkEnd w:id="500"/>
      <w:bookmarkEnd w:id="501"/>
      <w:bookmarkEnd w:id="502"/>
      <w:bookmarkEnd w:id="503"/>
      <w:bookmarkEnd w:id="504"/>
    </w:p>
    <w:p w14:paraId="6737B0CF">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rPr>
      </w:pPr>
      <w:bookmarkStart w:id="505" w:name="_Toc11939"/>
      <w:bookmarkStart w:id="506" w:name="_Toc8658"/>
      <w:bookmarkStart w:id="507" w:name="_Toc16384"/>
      <w:bookmarkStart w:id="508" w:name="_Toc27934"/>
      <w:bookmarkStart w:id="509" w:name="_Toc515647794"/>
      <w:bookmarkStart w:id="510" w:name="_Toc31215"/>
      <w:bookmarkStart w:id="511" w:name="_Toc3090"/>
      <w:bookmarkStart w:id="512" w:name="_Toc10734"/>
      <w:bookmarkStart w:id="513" w:name="_Toc29408"/>
      <w:bookmarkStart w:id="514" w:name="_Toc12971"/>
      <w:bookmarkStart w:id="515" w:name="_Toc29652"/>
      <w:bookmarkStart w:id="516" w:name="_Toc23392"/>
      <w:bookmarkStart w:id="517" w:name="_Toc26452"/>
      <w:r>
        <w:rPr>
          <w:rFonts w:hint="eastAsia" w:ascii="微软雅黑" w:hAnsi="微软雅黑" w:eastAsia="微软雅黑" w:cs="微软雅黑"/>
          <w:color w:val="auto"/>
          <w:sz w:val="24"/>
          <w:szCs w:val="24"/>
          <w:highlight w:val="none"/>
          <w:u w:val="none"/>
        </w:rPr>
        <w:t>32.成交服务费</w:t>
      </w:r>
      <w:bookmarkEnd w:id="505"/>
      <w:bookmarkEnd w:id="506"/>
      <w:bookmarkEnd w:id="507"/>
      <w:bookmarkEnd w:id="508"/>
      <w:bookmarkEnd w:id="509"/>
      <w:bookmarkEnd w:id="510"/>
      <w:bookmarkEnd w:id="511"/>
      <w:bookmarkEnd w:id="512"/>
      <w:bookmarkEnd w:id="513"/>
      <w:bookmarkEnd w:id="514"/>
      <w:bookmarkEnd w:id="515"/>
      <w:bookmarkEnd w:id="516"/>
      <w:bookmarkEnd w:id="517"/>
    </w:p>
    <w:p w14:paraId="5F7D8A2D">
      <w:pPr>
        <w:pageBreakBefore w:val="0"/>
        <w:kinsoku/>
        <w:wordWrap/>
        <w:overflowPunct/>
        <w:topLinePunct w:val="0"/>
        <w:bidi w:val="0"/>
        <w:snapToGrid w:val="0"/>
        <w:spacing w:line="520" w:lineRule="exact"/>
        <w:jc w:val="left"/>
        <w:textAlignment w:val="baseline"/>
        <w:rPr>
          <w:rFonts w:hint="eastAsia" w:ascii="微软雅黑" w:hAnsi="微软雅黑" w:eastAsia="微软雅黑" w:cs="微软雅黑"/>
          <w:bCs/>
          <w:color w:val="auto"/>
          <w:sz w:val="24"/>
          <w:szCs w:val="24"/>
          <w:highlight w:val="none"/>
          <w:u w:val="none"/>
        </w:rPr>
      </w:pPr>
      <w:r>
        <w:rPr>
          <w:rFonts w:hint="eastAsia" w:ascii="微软雅黑" w:hAnsi="微软雅黑" w:eastAsia="微软雅黑" w:cs="微软雅黑"/>
          <w:bCs/>
          <w:color w:val="auto"/>
          <w:sz w:val="24"/>
          <w:szCs w:val="24"/>
          <w:highlight w:val="none"/>
          <w:u w:val="none"/>
        </w:rPr>
        <w:t xml:space="preserve">   </w:t>
      </w:r>
      <w:bookmarkStart w:id="518" w:name="_Toc23886"/>
      <w:bookmarkStart w:id="519" w:name="_Toc2958"/>
      <w:bookmarkStart w:id="520" w:name="_Toc6649"/>
      <w:bookmarkStart w:id="521" w:name="_Toc30285"/>
      <w:bookmarkStart w:id="522" w:name="_Toc3808"/>
      <w:bookmarkStart w:id="523" w:name="_Toc31147"/>
      <w:bookmarkStart w:id="524" w:name="_Toc30095"/>
      <w:r>
        <w:rPr>
          <w:rFonts w:hint="eastAsia" w:ascii="微软雅黑" w:hAnsi="微软雅黑" w:eastAsia="微软雅黑" w:cs="微软雅黑"/>
          <w:bCs/>
          <w:color w:val="auto"/>
          <w:sz w:val="24"/>
          <w:szCs w:val="24"/>
          <w:highlight w:val="none"/>
          <w:u w:val="none"/>
        </w:rPr>
        <w:t xml:space="preserve">   成交人须按照磋商须知资料表规定，向</w:t>
      </w:r>
      <w:r>
        <w:rPr>
          <w:rFonts w:hint="eastAsia" w:ascii="微软雅黑" w:hAnsi="微软雅黑" w:eastAsia="微软雅黑" w:cs="微软雅黑"/>
          <w:bCs/>
          <w:color w:val="auto"/>
          <w:sz w:val="24"/>
          <w:szCs w:val="24"/>
          <w:highlight w:val="none"/>
          <w:u w:val="none"/>
          <w:lang w:eastAsia="zh-CN"/>
        </w:rPr>
        <w:t>采购代理机构</w:t>
      </w:r>
      <w:r>
        <w:rPr>
          <w:rFonts w:hint="eastAsia" w:ascii="微软雅黑" w:hAnsi="微软雅黑" w:eastAsia="微软雅黑" w:cs="微软雅黑"/>
          <w:bCs/>
          <w:color w:val="auto"/>
          <w:sz w:val="24"/>
          <w:szCs w:val="24"/>
          <w:highlight w:val="none"/>
          <w:u w:val="none"/>
        </w:rPr>
        <w:t>支付成交服务费。</w:t>
      </w:r>
      <w:bookmarkEnd w:id="518"/>
      <w:bookmarkEnd w:id="519"/>
      <w:bookmarkEnd w:id="520"/>
      <w:bookmarkEnd w:id="521"/>
      <w:bookmarkEnd w:id="522"/>
      <w:bookmarkEnd w:id="523"/>
      <w:bookmarkEnd w:id="524"/>
    </w:p>
    <w:p w14:paraId="5AC6E2FD">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rPr>
      </w:pPr>
      <w:bookmarkStart w:id="525" w:name="_Toc32437"/>
      <w:bookmarkStart w:id="526" w:name="_Toc26134"/>
      <w:bookmarkStart w:id="527" w:name="_Toc24064"/>
      <w:bookmarkStart w:id="528" w:name="_Toc3754"/>
      <w:bookmarkStart w:id="529" w:name="_Toc18898"/>
      <w:bookmarkStart w:id="530" w:name="_Toc7049"/>
      <w:bookmarkStart w:id="531" w:name="_Toc1343"/>
      <w:bookmarkStart w:id="532" w:name="_Toc6923"/>
      <w:bookmarkStart w:id="533" w:name="_Toc31549"/>
      <w:bookmarkStart w:id="534" w:name="_Toc15699"/>
      <w:bookmarkStart w:id="535" w:name="_Toc5403"/>
      <w:bookmarkStart w:id="536" w:name="_Toc28128"/>
      <w:bookmarkStart w:id="537" w:name="_Toc515647795"/>
      <w:r>
        <w:rPr>
          <w:rFonts w:hint="eastAsia" w:ascii="微软雅黑" w:hAnsi="微软雅黑" w:eastAsia="微软雅黑" w:cs="微软雅黑"/>
          <w:color w:val="auto"/>
          <w:sz w:val="24"/>
          <w:szCs w:val="24"/>
          <w:highlight w:val="none"/>
          <w:u w:val="none"/>
        </w:rPr>
        <w:t>33.政府采购信用担保</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1A770940">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   本项目是否属于信用担保试点范围见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14:paraId="0BD6BCAE">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   如属于政府采购信用担保试点范围内，中小型企业</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可以自由按照财政部门的规定，采用磋商担保、履约担保和融资担保。</w:t>
      </w:r>
    </w:p>
    <w:p w14:paraId="55AF0A59">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33.2.1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递交的磋商担保函和履约担保函应符合本磋商文件的规定。</w:t>
      </w:r>
    </w:p>
    <w:p w14:paraId="1983261E">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33.2.2 成交人可以采取融资担保的形式为政府采购项目履约进行融资。</w:t>
      </w:r>
    </w:p>
    <w:p w14:paraId="7105D62D">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33.2.3 合格的政府采购专业信用担保机构名单见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须知资料表。</w:t>
      </w:r>
    </w:p>
    <w:p w14:paraId="0BD65307">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538" w:name="_Toc7616"/>
      <w:bookmarkStart w:id="539" w:name="_Toc26887"/>
      <w:bookmarkStart w:id="540" w:name="_Toc15842"/>
      <w:bookmarkStart w:id="541" w:name="_Toc25781"/>
      <w:bookmarkStart w:id="542" w:name="_Toc515647796"/>
      <w:bookmarkStart w:id="543" w:name="_Toc28874"/>
      <w:bookmarkStart w:id="544" w:name="_Toc9559"/>
      <w:bookmarkStart w:id="545" w:name="_Toc27619"/>
      <w:bookmarkStart w:id="546" w:name="_Toc23999"/>
      <w:bookmarkStart w:id="547" w:name="_Toc24726"/>
      <w:bookmarkStart w:id="548" w:name="_Toc9673"/>
      <w:bookmarkStart w:id="549" w:name="_Toc2133"/>
      <w:bookmarkStart w:id="550" w:name="_Toc16394"/>
      <w:r>
        <w:rPr>
          <w:rFonts w:hint="eastAsia" w:ascii="微软雅黑" w:hAnsi="微软雅黑" w:eastAsia="微软雅黑" w:cs="微软雅黑"/>
          <w:color w:val="auto"/>
          <w:sz w:val="24"/>
          <w:szCs w:val="24"/>
          <w:highlight w:val="none"/>
          <w:u w:val="none" w:color="auto"/>
        </w:rPr>
        <w:t>34.廉洁自律规定</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28A1E66C">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34.1   </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工作人员不得以不正当手段获取政府采购代理业务，不得与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恶意串通操纵政府采购活动。</w:t>
      </w:r>
    </w:p>
    <w:p w14:paraId="288FD0CE">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34.2   </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工作人员不得接受</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或者</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组织的宴请、旅游、娱乐，不得收受礼品、现金、有价证券等，不得向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或者</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报销应当由个人承担的费用。</w:t>
      </w:r>
    </w:p>
    <w:p w14:paraId="3904B505">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34.3   为强化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内部监督机制，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可按</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须知资料表中的</w:t>
      </w:r>
      <w:r>
        <w:rPr>
          <w:rFonts w:hint="eastAsia" w:ascii="微软雅黑" w:hAnsi="微软雅黑" w:eastAsia="微软雅黑" w:cs="微软雅黑"/>
          <w:color w:val="auto"/>
          <w:sz w:val="24"/>
          <w:szCs w:val="24"/>
          <w:highlight w:val="none"/>
        </w:rPr>
        <w:t>监督电话和邮箱，反映</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的廉洁自律等问题。</w:t>
      </w:r>
    </w:p>
    <w:p w14:paraId="26371282">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551" w:name="_Toc3386"/>
      <w:bookmarkStart w:id="552" w:name="_Toc22851"/>
      <w:bookmarkStart w:id="553" w:name="_Toc15647"/>
      <w:bookmarkStart w:id="554" w:name="_Toc25440"/>
      <w:bookmarkStart w:id="555" w:name="_Toc515647797"/>
      <w:bookmarkStart w:id="556" w:name="_Toc8702"/>
      <w:bookmarkStart w:id="557" w:name="_Toc1011"/>
      <w:bookmarkStart w:id="558" w:name="_Toc20804"/>
      <w:bookmarkStart w:id="559" w:name="_Toc24873"/>
      <w:bookmarkStart w:id="560" w:name="_Toc17910"/>
      <w:bookmarkStart w:id="561" w:name="_Toc32457"/>
      <w:bookmarkStart w:id="562" w:name="_Toc11586"/>
      <w:bookmarkStart w:id="563" w:name="_Toc25480"/>
      <w:r>
        <w:rPr>
          <w:rFonts w:hint="eastAsia" w:ascii="微软雅黑" w:hAnsi="微软雅黑" w:eastAsia="微软雅黑" w:cs="微软雅黑"/>
          <w:color w:val="auto"/>
          <w:sz w:val="24"/>
          <w:szCs w:val="24"/>
          <w:highlight w:val="none"/>
          <w:u w:val="none" w:color="auto"/>
        </w:rPr>
        <w:t>35.人员回避</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6F6A07F2">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认为</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员及其相关人员有法律法规所列与其他</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有利害关系的，可以向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书面提出回避申请，并说明理由。</w:t>
      </w:r>
    </w:p>
    <w:p w14:paraId="33CAEC05">
      <w:pPr>
        <w:pStyle w:val="5"/>
        <w:pageBreakBefore w:val="0"/>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none" w:color="auto"/>
        </w:rPr>
      </w:pPr>
      <w:bookmarkStart w:id="564" w:name="_Toc24595"/>
      <w:bookmarkStart w:id="565" w:name="_Toc30280"/>
      <w:bookmarkStart w:id="566" w:name="_Toc25962"/>
      <w:bookmarkStart w:id="567" w:name="_Toc23729"/>
      <w:bookmarkStart w:id="568" w:name="_Toc515647798"/>
      <w:bookmarkStart w:id="569" w:name="_Toc15825"/>
      <w:bookmarkStart w:id="570" w:name="_Toc31508"/>
      <w:bookmarkStart w:id="571" w:name="_Toc9031"/>
      <w:bookmarkStart w:id="572" w:name="_Toc14325"/>
      <w:bookmarkStart w:id="573" w:name="_Toc11115"/>
      <w:bookmarkStart w:id="574" w:name="_Toc1148"/>
      <w:bookmarkStart w:id="575" w:name="_Toc17952"/>
      <w:bookmarkStart w:id="576" w:name="_Toc24801"/>
      <w:r>
        <w:rPr>
          <w:rFonts w:hint="eastAsia" w:ascii="微软雅黑" w:hAnsi="微软雅黑" w:eastAsia="微软雅黑" w:cs="微软雅黑"/>
          <w:color w:val="auto"/>
          <w:sz w:val="24"/>
          <w:szCs w:val="24"/>
          <w:highlight w:val="none"/>
          <w:u w:val="none" w:color="auto"/>
        </w:rPr>
        <w:t>36.质疑与接收</w:t>
      </w:r>
      <w:bookmarkEnd w:id="564"/>
      <w:bookmarkEnd w:id="565"/>
      <w:bookmarkEnd w:id="566"/>
      <w:bookmarkEnd w:id="567"/>
      <w:bookmarkEnd w:id="568"/>
      <w:bookmarkEnd w:id="569"/>
      <w:bookmarkEnd w:id="570"/>
      <w:bookmarkEnd w:id="571"/>
      <w:bookmarkEnd w:id="572"/>
      <w:bookmarkEnd w:id="573"/>
      <w:bookmarkEnd w:id="574"/>
      <w:bookmarkEnd w:id="575"/>
      <w:bookmarkEnd w:id="576"/>
    </w:p>
    <w:p w14:paraId="23AD143F">
      <w:pPr>
        <w:pageBreakBefore w:val="0"/>
        <w:kinsoku/>
        <w:wordWrap/>
        <w:overflowPunct/>
        <w:topLinePunct w:val="0"/>
        <w:bidi w:val="0"/>
        <w:snapToGrid w:val="0"/>
        <w:spacing w:line="520" w:lineRule="exact"/>
        <w:ind w:left="708" w:hanging="708" w:hangingChars="29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36.1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或其委托的</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提出质疑。</w:t>
      </w:r>
    </w:p>
    <w:p w14:paraId="5D6E7E8F">
      <w:pPr>
        <w:pageBreakBefore w:val="0"/>
        <w:kinsoku/>
        <w:wordWrap/>
        <w:overflowPunct/>
        <w:topLinePunct w:val="0"/>
        <w:bidi w:val="0"/>
        <w:snapToGrid w:val="0"/>
        <w:spacing w:line="520" w:lineRule="exact"/>
        <w:ind w:left="708" w:hanging="708" w:hangingChars="29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36.2  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w:t>
      </w:r>
    </w:p>
    <w:p w14:paraId="3442B5E4">
      <w:pPr>
        <w:pageBreakBefore w:val="0"/>
        <w:kinsoku/>
        <w:wordWrap/>
        <w:overflowPunct/>
        <w:topLinePunct w:val="0"/>
        <w:bidi w:val="0"/>
        <w:snapToGrid w:val="0"/>
        <w:spacing w:line="520" w:lineRule="exact"/>
        <w:ind w:left="718" w:leftChars="342"/>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超出法定质疑期的、重复提出的、分次提出的或内容、形式不符合《政府采购质疑和投诉办法》的，质疑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将依法承担不利后果。</w:t>
      </w:r>
    </w:p>
    <w:p w14:paraId="00AA3138">
      <w:pPr>
        <w:pageBreakBefore w:val="0"/>
        <w:kinsoku/>
        <w:wordWrap/>
        <w:overflowPunct/>
        <w:topLinePunct w:val="0"/>
        <w:bidi w:val="0"/>
        <w:snapToGrid w:val="0"/>
        <w:spacing w:line="520" w:lineRule="exact"/>
        <w:ind w:left="708" w:hanging="708" w:hangingChars="29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36.3  </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质疑函接收部门、联系电话和通讯地址, 见</w:t>
      </w:r>
      <w:r>
        <w:rPr>
          <w:rFonts w:hint="eastAsia" w:ascii="微软雅黑" w:hAnsi="微软雅黑" w:eastAsia="微软雅黑" w:cs="微软雅黑"/>
          <w:color w:val="auto"/>
          <w:sz w:val="24"/>
          <w:szCs w:val="24"/>
          <w:highlight w:val="none"/>
          <w:u w:val="single" w:color="000000"/>
          <w:lang w:eastAsia="zh-CN"/>
        </w:rPr>
        <w:t>供应商</w:t>
      </w:r>
      <w:r>
        <w:rPr>
          <w:rFonts w:hint="eastAsia" w:ascii="微软雅黑" w:hAnsi="微软雅黑" w:eastAsia="微软雅黑" w:cs="微软雅黑"/>
          <w:color w:val="auto"/>
          <w:sz w:val="24"/>
          <w:szCs w:val="24"/>
          <w:highlight w:val="none"/>
          <w:u w:val="single" w:color="000000"/>
        </w:rPr>
        <w:t>须知资料表。</w:t>
      </w:r>
    </w:p>
    <w:p w14:paraId="73777707">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质疑的提出</w:t>
      </w:r>
    </w:p>
    <w:p w14:paraId="1AEFEB8B">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.5   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中所称质疑及答复，是指参加本次采购活动的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对政府采购活动中的</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、采购过程和成交结果向采购方提出质疑，采购方答复质疑的行为。</w:t>
      </w:r>
    </w:p>
    <w:p w14:paraId="0DF1274B">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.6   </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认为</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、采购过程和成交结果使自己的权益受到损害的，可以在知道或者应知其权益受到损害之日起7个工作日内，以书面形式向采购方提出质疑。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应知其权益受到损害之日，是指：</w:t>
      </w:r>
    </w:p>
    <w:p w14:paraId="31F25798">
      <w:pPr>
        <w:pageBreakBefore w:val="0"/>
        <w:kinsoku/>
        <w:wordWrap/>
        <w:overflowPunct/>
        <w:topLinePunct w:val="0"/>
        <w:bidi w:val="0"/>
        <w:snapToGrid w:val="0"/>
        <w:spacing w:line="520" w:lineRule="exact"/>
        <w:ind w:left="718" w:leftChars="342" w:firstLine="60" w:firstLineChars="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（一）对可以质疑的</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提出质疑的，为收到</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之日或者</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公告期限届满之日；</w:t>
      </w:r>
    </w:p>
    <w:p w14:paraId="1CAC147B">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（二）对采购过程提出质疑的，为各采购程序环节结束之日；</w:t>
      </w:r>
    </w:p>
    <w:p w14:paraId="51D14BBD">
      <w:pPr>
        <w:pageBreakBefore w:val="0"/>
        <w:kinsoku/>
        <w:wordWrap/>
        <w:overflowPunct/>
        <w:topLinePunct w:val="0"/>
        <w:bidi w:val="0"/>
        <w:snapToGrid w:val="0"/>
        <w:spacing w:line="520" w:lineRule="exact"/>
        <w:ind w:firstLine="720" w:firstLineChars="3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（三）对成交结果提出质疑的，为成交结果公告期限届满之日。</w:t>
      </w:r>
    </w:p>
    <w:p w14:paraId="2B8B5DEB">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.7   对可以质疑的</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提出质疑的，质疑人为参与本项目的报价方或潜在报价方。可质疑的文件为采购公告以及</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（包括属于其组成部分的澄清、修改、补充文件和评审标准、合同文本等）。</w:t>
      </w:r>
    </w:p>
    <w:p w14:paraId="0A03CB9D">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.8   对采购过程和成交结果提出质疑的，质疑人为直接参与本项目的报价方。采购过程,即从采购项目信息公告发布起到成交结果公告止，包括</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的发出、提交响应文件、响应文件开启、评审等各个采购程序环节。</w:t>
      </w:r>
    </w:p>
    <w:p w14:paraId="6AE30F46">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.9   提出质疑应当符合下列条件：</w:t>
      </w:r>
    </w:p>
    <w:p w14:paraId="1190575C">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（一）质疑主体应当符合有关规定；</w:t>
      </w:r>
    </w:p>
    <w:p w14:paraId="6D47FDE9">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（二）在质疑法定期限内提出；</w:t>
      </w:r>
    </w:p>
    <w:p w14:paraId="5F014935">
      <w:pPr>
        <w:pageBreakBefore w:val="0"/>
        <w:kinsoku/>
        <w:wordWrap/>
        <w:overflowPunct/>
        <w:topLinePunct w:val="0"/>
        <w:bidi w:val="0"/>
        <w:snapToGrid w:val="0"/>
        <w:spacing w:line="520" w:lineRule="exact"/>
        <w:ind w:left="1138" w:leftChars="456" w:hanging="180" w:hangingChars="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（三）属于可以提出质疑的政府采购事项受理范围和本项目</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的管辖权范围；</w:t>
      </w:r>
    </w:p>
    <w:p w14:paraId="1CF06A46">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（四）政府采购法律、法规、规章规定的其他条件。</w:t>
      </w:r>
    </w:p>
    <w:p w14:paraId="43AF3E7F">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78A356F">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.11  质疑人所提供的证明材料应当具有真实性、合法性以及与质疑事项的关联性和证明力，否则不能作为认定该质疑事项成立的依据。</w:t>
      </w:r>
    </w:p>
    <w:p w14:paraId="03ED6E21">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.12  质疑人提出质疑时应当提交质疑函。质疑函包括下列内容：</w:t>
      </w:r>
    </w:p>
    <w:p w14:paraId="5BA0E25E">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（一）提出质疑的质疑人的名称、地址、邮编、联系人及联系电话等；</w:t>
      </w:r>
    </w:p>
    <w:p w14:paraId="24AE6EA4">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（二）质疑项目的名称、编号；</w:t>
      </w:r>
    </w:p>
    <w:p w14:paraId="65423617">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（三）质疑事项；</w:t>
      </w:r>
    </w:p>
    <w:p w14:paraId="052F6137">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（四）事实依据和证明材料；</w:t>
      </w:r>
    </w:p>
    <w:p w14:paraId="3419AC1A">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（五）法律依据；</w:t>
      </w:r>
    </w:p>
    <w:p w14:paraId="6889C615">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（六）提出质疑的日期。</w:t>
      </w:r>
    </w:p>
    <w:p w14:paraId="167A6678">
      <w:pPr>
        <w:pageBreakBefore w:val="0"/>
        <w:kinsoku/>
        <w:wordWrap/>
        <w:overflowPunct/>
        <w:topLinePunct w:val="0"/>
        <w:bidi w:val="0"/>
        <w:snapToGrid w:val="0"/>
        <w:spacing w:line="520" w:lineRule="exact"/>
        <w:ind w:left="958" w:leftChars="456" w:firstLine="60" w:firstLineChars="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4988076E">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.13  质疑人可以委托代理人进行质疑。代理人应当提交授权委托书。授权委托书应当载明委托代理的具体权限、期限和相关事项。</w:t>
      </w:r>
    </w:p>
    <w:p w14:paraId="3C83CB45">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.14  质疑的审查和受理</w:t>
      </w:r>
    </w:p>
    <w:p w14:paraId="56B49EC2">
      <w:pPr>
        <w:pageBreakBefore w:val="0"/>
        <w:kinsoku/>
        <w:wordWrap/>
        <w:overflowPunct/>
        <w:topLinePunct w:val="0"/>
        <w:bidi w:val="0"/>
        <w:snapToGrid w:val="0"/>
        <w:spacing w:line="520" w:lineRule="exact"/>
        <w:ind w:left="958" w:leftChars="456"/>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采购方在收到质疑函后应当及时审查是否符合质疑受理条件，对符合质疑受理条件的，及时予以受理。</w:t>
      </w:r>
    </w:p>
    <w:p w14:paraId="2959C07E">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.15  对不符合质疑受理条件的，分别按照下列不同情形予以处理：</w:t>
      </w:r>
    </w:p>
    <w:p w14:paraId="34CB5347">
      <w:pPr>
        <w:pageBreakBefore w:val="0"/>
        <w:kinsoku/>
        <w:wordWrap/>
        <w:overflowPunct/>
        <w:topLinePunct w:val="0"/>
        <w:bidi w:val="0"/>
        <w:snapToGrid w:val="0"/>
        <w:spacing w:line="520" w:lineRule="exact"/>
        <w:ind w:left="1138" w:leftChars="456" w:hanging="180" w:hangingChars="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6492B2F1">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（二）质疑主体不符合有关规定的，告知质疑人不予受理；</w:t>
      </w:r>
    </w:p>
    <w:p w14:paraId="0B6F9A6A">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（三）超过质疑法定期限提出质疑的，告知质疑人不予受理；</w:t>
      </w:r>
    </w:p>
    <w:p w14:paraId="4BE93B64">
      <w:pPr>
        <w:pageBreakBefore w:val="0"/>
        <w:kinsoku/>
        <w:wordWrap/>
        <w:overflowPunct/>
        <w:topLinePunct w:val="0"/>
        <w:bidi w:val="0"/>
        <w:snapToGrid w:val="0"/>
        <w:spacing w:line="520" w:lineRule="exact"/>
        <w:ind w:left="958" w:leftChars="342" w:hanging="240" w:hangingChars="1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（四）对不属于可以提出质疑的政府采购事项提出质疑的，告知质疑人不予受理；</w:t>
      </w:r>
    </w:p>
    <w:p w14:paraId="19440EA4">
      <w:pPr>
        <w:pageBreakBefore w:val="0"/>
        <w:kinsoku/>
        <w:wordWrap/>
        <w:overflowPunct/>
        <w:topLinePunct w:val="0"/>
        <w:bidi w:val="0"/>
        <w:snapToGrid w:val="0"/>
        <w:spacing w:line="520" w:lineRule="exact"/>
        <w:ind w:left="718" w:leftChars="342"/>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（五）质疑不属于本项目采购方管辖的，告知质疑人向有管辖权的</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提出质疑；</w:t>
      </w:r>
    </w:p>
    <w:p w14:paraId="1F56CFE7">
      <w:pPr>
        <w:pageBreakBefore w:val="0"/>
        <w:kinsoku/>
        <w:wordWrap/>
        <w:overflowPunct/>
        <w:topLinePunct w:val="0"/>
        <w:bidi w:val="0"/>
        <w:snapToGrid w:val="0"/>
        <w:spacing w:line="520" w:lineRule="exact"/>
        <w:ind w:left="239" w:leftChars="114" w:firstLine="540" w:firstLineChars="22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（六）质疑不符合其他条件的，告知质疑人不予受理。</w:t>
      </w:r>
    </w:p>
    <w:p w14:paraId="529E6C01">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.16  质疑的处理和答复</w:t>
      </w:r>
    </w:p>
    <w:p w14:paraId="3A40D923">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.17  采购方受理质疑后，将及时把质疑函发送给被质疑人，并要求其在一定限期内提交书面答复，同时提供有关证据、依据和相关材料。</w:t>
      </w:r>
    </w:p>
    <w:p w14:paraId="0745E3AF">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.18  对于质疑事项中涉及的问题较多、情况比较复杂的，为了全面查清事实、取得充分的证据，采购方认为有必要时，可以进行调查取证或者组织质证。</w:t>
      </w:r>
    </w:p>
    <w:p w14:paraId="253F0459">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.19  对评审过程、成交结果提出质疑的，采购方可以组织原评审委员会协助答复质疑。</w:t>
      </w:r>
    </w:p>
    <w:p w14:paraId="6DCADF9C">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.20  质疑处理过程中，质疑人书面申请撤回质疑的，将终止质疑处理程序。</w:t>
      </w:r>
    </w:p>
    <w:p w14:paraId="35C53AF4">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.21  质疑人拒绝配合采购方依法对质疑进行调查处理的，采购方将按质疑人自动撤回质疑处理；被质疑人拒绝配合采购方依法对质疑进行调查处理的，采购方将视同其认可质疑事项。</w:t>
      </w:r>
    </w:p>
    <w:p w14:paraId="7361E912">
      <w:pPr>
        <w:pageBreakBefore w:val="0"/>
        <w:kinsoku/>
        <w:wordWrap/>
        <w:overflowPunct/>
        <w:topLinePunct w:val="0"/>
        <w:bidi w:val="0"/>
        <w:snapToGrid w:val="0"/>
        <w:spacing w:line="520" w:lineRule="exact"/>
        <w:ind w:left="900" w:hanging="900" w:hangingChars="375"/>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 xml:space="preserve">  采购方将在正式受理质疑后7个工作日内作出答复。</w:t>
      </w:r>
    </w:p>
    <w:p w14:paraId="1C8ED7DD">
      <w:pPr>
        <w:pStyle w:val="63"/>
        <w:pageBreakBefore w:val="0"/>
        <w:kinsoku/>
        <w:wordWrap/>
        <w:overflowPunct/>
        <w:topLinePunct w:val="0"/>
        <w:bidi w:val="0"/>
        <w:snapToGrid w:val="0"/>
        <w:spacing w:line="520" w:lineRule="exact"/>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  质疑答复应当包括下列内容：</w:t>
      </w:r>
    </w:p>
    <w:p w14:paraId="73FAEB04">
      <w:pPr>
        <w:pStyle w:val="63"/>
        <w:pageBreakBefore w:val="0"/>
        <w:kinsoku/>
        <w:wordWrap/>
        <w:overflowPunct/>
        <w:topLinePunct w:val="0"/>
        <w:bidi w:val="0"/>
        <w:snapToGrid w:val="0"/>
        <w:spacing w:line="520" w:lineRule="exact"/>
        <w:ind w:firstLine="720" w:firstLineChars="30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（一）质疑人的姓名或者名称；</w:t>
      </w:r>
    </w:p>
    <w:p w14:paraId="0D07A33F">
      <w:pPr>
        <w:pStyle w:val="63"/>
        <w:pageBreakBefore w:val="0"/>
        <w:kinsoku/>
        <w:wordWrap/>
        <w:overflowPunct/>
        <w:topLinePunct w:val="0"/>
        <w:bidi w:val="0"/>
        <w:snapToGrid w:val="0"/>
        <w:spacing w:line="520" w:lineRule="exact"/>
        <w:ind w:firstLine="720" w:firstLineChars="30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（二）收到质疑函的日期、质疑项目名称及编号；</w:t>
      </w:r>
    </w:p>
    <w:p w14:paraId="3B0F8D1F">
      <w:pPr>
        <w:pStyle w:val="63"/>
        <w:pageBreakBefore w:val="0"/>
        <w:kinsoku/>
        <w:wordWrap/>
        <w:overflowPunct/>
        <w:topLinePunct w:val="0"/>
        <w:bidi w:val="0"/>
        <w:snapToGrid w:val="0"/>
        <w:spacing w:line="520" w:lineRule="exact"/>
        <w:ind w:firstLine="720" w:firstLineChars="30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（三）质疑事项、质疑答复的具体内容、事实依据和法律依据；</w:t>
      </w:r>
    </w:p>
    <w:p w14:paraId="03B6B3CD">
      <w:pPr>
        <w:pStyle w:val="63"/>
        <w:pageBreakBefore w:val="0"/>
        <w:kinsoku/>
        <w:wordWrap/>
        <w:overflowPunct/>
        <w:topLinePunct w:val="0"/>
        <w:bidi w:val="0"/>
        <w:snapToGrid w:val="0"/>
        <w:spacing w:line="520" w:lineRule="exact"/>
        <w:ind w:firstLine="720" w:firstLineChars="30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（四）告知质疑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依法投诉的权利；</w:t>
      </w:r>
    </w:p>
    <w:p w14:paraId="366820E1">
      <w:pPr>
        <w:pStyle w:val="63"/>
        <w:pageBreakBefore w:val="0"/>
        <w:kinsoku/>
        <w:wordWrap/>
        <w:overflowPunct/>
        <w:topLinePunct w:val="0"/>
        <w:bidi w:val="0"/>
        <w:snapToGrid w:val="0"/>
        <w:spacing w:line="520" w:lineRule="exact"/>
        <w:ind w:firstLine="720" w:firstLineChars="30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（五）质疑答复人名称；</w:t>
      </w:r>
    </w:p>
    <w:p w14:paraId="047EE148">
      <w:pPr>
        <w:pStyle w:val="63"/>
        <w:pageBreakBefore w:val="0"/>
        <w:kinsoku/>
        <w:wordWrap/>
        <w:overflowPunct/>
        <w:topLinePunct w:val="0"/>
        <w:bidi w:val="0"/>
        <w:snapToGrid w:val="0"/>
        <w:spacing w:line="520" w:lineRule="exact"/>
        <w:ind w:firstLine="720" w:firstLineChars="30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（六）答复质疑的日期。</w:t>
      </w:r>
    </w:p>
    <w:p w14:paraId="0102643F">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bCs/>
          <w:color w:val="auto"/>
          <w:sz w:val="24"/>
          <w:szCs w:val="24"/>
          <w:highlight w:val="none"/>
        </w:rPr>
      </w:pPr>
    </w:p>
    <w:p w14:paraId="62783379">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sz w:val="24"/>
          <w:szCs w:val="24"/>
          <w:highlight w:val="none"/>
        </w:rPr>
      </w:pPr>
      <w:bookmarkStart w:id="577" w:name="_Toc14949"/>
      <w:bookmarkStart w:id="578" w:name="_Toc24577"/>
    </w:p>
    <w:p w14:paraId="4C852EE6">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sz w:val="24"/>
          <w:szCs w:val="24"/>
          <w:highlight w:val="none"/>
        </w:rPr>
      </w:pPr>
    </w:p>
    <w:p w14:paraId="14C87357">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sz w:val="24"/>
          <w:szCs w:val="24"/>
          <w:highlight w:val="none"/>
        </w:rPr>
      </w:pPr>
    </w:p>
    <w:p w14:paraId="04E58A4A">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sz w:val="24"/>
          <w:szCs w:val="24"/>
          <w:highlight w:val="none"/>
        </w:rPr>
      </w:pPr>
    </w:p>
    <w:p w14:paraId="6FB28EAE">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质疑函范本</w:t>
      </w:r>
      <w:bookmarkEnd w:id="577"/>
      <w:bookmarkEnd w:id="578"/>
    </w:p>
    <w:p w14:paraId="44C5B55D">
      <w:pPr>
        <w:pageBreakBefore w:val="0"/>
        <w:kinsoku/>
        <w:wordWrap/>
        <w:overflowPunct/>
        <w:topLinePunct w:val="0"/>
        <w:bidi w:val="0"/>
        <w:snapToGrid w:val="0"/>
        <w:spacing w:line="520" w:lineRule="exact"/>
        <w:textAlignment w:val="baseline"/>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一、质疑</w:t>
      </w:r>
      <w:r>
        <w:rPr>
          <w:rFonts w:hint="eastAsia" w:ascii="微软雅黑" w:hAnsi="微软雅黑" w:eastAsia="微软雅黑" w:cs="微软雅黑"/>
          <w:bCs/>
          <w:color w:val="auto"/>
          <w:sz w:val="24"/>
          <w:szCs w:val="24"/>
          <w:highlight w:val="none"/>
          <w:lang w:eastAsia="zh-CN"/>
        </w:rPr>
        <w:t>供应商</w:t>
      </w:r>
      <w:r>
        <w:rPr>
          <w:rFonts w:hint="eastAsia" w:ascii="微软雅黑" w:hAnsi="微软雅黑" w:eastAsia="微软雅黑" w:cs="微软雅黑"/>
          <w:bCs/>
          <w:color w:val="auto"/>
          <w:sz w:val="24"/>
          <w:szCs w:val="24"/>
          <w:highlight w:val="none"/>
        </w:rPr>
        <w:t>基本信息</w:t>
      </w:r>
    </w:p>
    <w:p w14:paraId="7858D62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rPr>
        <w:t>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dotted" w:color="000000"/>
        </w:rPr>
        <w:t xml:space="preserve">                                        </w:t>
      </w:r>
    </w:p>
    <w:p w14:paraId="17DE2B9A">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dotted" w:color="000000"/>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dotted" w:color="000000"/>
        </w:rPr>
        <w:t xml:space="preserve">                                                   </w:t>
      </w:r>
    </w:p>
    <w:p w14:paraId="7E976EB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u w:val="dotted" w:color="000000"/>
        </w:rPr>
        <w:t xml:space="preserve">                      </w:t>
      </w: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dotted" w:color="000000"/>
        </w:rPr>
        <w:t xml:space="preserve">                              </w:t>
      </w:r>
    </w:p>
    <w:p w14:paraId="19F5E16C">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rPr>
        <w:t>授权代表：</w:t>
      </w:r>
      <w:r>
        <w:rPr>
          <w:rFonts w:hint="eastAsia" w:ascii="微软雅黑" w:hAnsi="微软雅黑" w:eastAsia="微软雅黑" w:cs="微软雅黑"/>
          <w:color w:val="auto"/>
          <w:sz w:val="24"/>
          <w:szCs w:val="24"/>
          <w:highlight w:val="none"/>
          <w:u w:val="dotted" w:color="000000"/>
        </w:rPr>
        <w:t xml:space="preserve">                                          </w:t>
      </w:r>
    </w:p>
    <w:p w14:paraId="396FD378">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dotted" w:color="000000"/>
        </w:rPr>
        <w:t xml:space="preserve">                                           </w:t>
      </w:r>
      <w:r>
        <w:rPr>
          <w:rFonts w:hint="eastAsia" w:ascii="微软雅黑" w:hAnsi="微软雅黑" w:eastAsia="微软雅黑" w:cs="微软雅黑"/>
          <w:color w:val="auto"/>
          <w:sz w:val="24"/>
          <w:szCs w:val="24"/>
          <w:highlight w:val="none"/>
        </w:rPr>
        <w:t xml:space="preserve"> </w:t>
      </w:r>
    </w:p>
    <w:p w14:paraId="019CCA9E">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r>
        <w:rPr>
          <w:rFonts w:hint="eastAsia" w:ascii="微软雅黑" w:hAnsi="微软雅黑" w:eastAsia="微软雅黑" w:cs="微软雅黑"/>
          <w:color w:val="auto"/>
          <w:sz w:val="24"/>
          <w:szCs w:val="24"/>
          <w:highlight w:val="none"/>
          <w:u w:val="dotted" w:color="000000"/>
        </w:rPr>
        <w:t xml:space="preserve">                        </w:t>
      </w:r>
      <w:r>
        <w:rPr>
          <w:rFonts w:hint="eastAsia" w:ascii="微软雅黑" w:hAnsi="微软雅黑" w:eastAsia="微软雅黑" w:cs="微软雅黑"/>
          <w:color w:val="auto"/>
          <w:sz w:val="24"/>
          <w:szCs w:val="24"/>
          <w:highlight w:val="none"/>
        </w:rPr>
        <w:t>邮编：</w:t>
      </w:r>
      <w:r>
        <w:rPr>
          <w:rFonts w:hint="eastAsia" w:ascii="微软雅黑" w:hAnsi="微软雅黑" w:eastAsia="微软雅黑" w:cs="微软雅黑"/>
          <w:color w:val="auto"/>
          <w:sz w:val="24"/>
          <w:szCs w:val="24"/>
          <w:highlight w:val="none"/>
          <w:u w:val="dotted" w:color="000000"/>
        </w:rPr>
        <w:t xml:space="preserve">                                                </w:t>
      </w:r>
    </w:p>
    <w:p w14:paraId="64BAA856">
      <w:pPr>
        <w:pageBreakBefore w:val="0"/>
        <w:kinsoku/>
        <w:wordWrap/>
        <w:overflowPunct/>
        <w:topLinePunct w:val="0"/>
        <w:bidi w:val="0"/>
        <w:snapToGrid w:val="0"/>
        <w:spacing w:line="520" w:lineRule="exact"/>
        <w:textAlignment w:val="baseline"/>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二、质疑项目基本情况</w:t>
      </w:r>
    </w:p>
    <w:p w14:paraId="56497C11">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质疑项目的名称：</w:t>
      </w:r>
      <w:r>
        <w:rPr>
          <w:rFonts w:hint="eastAsia" w:ascii="微软雅黑" w:hAnsi="微软雅黑" w:eastAsia="微软雅黑" w:cs="微软雅黑"/>
          <w:color w:val="auto"/>
          <w:sz w:val="24"/>
          <w:szCs w:val="24"/>
          <w:highlight w:val="none"/>
          <w:u w:val="dotted" w:color="000000"/>
        </w:rPr>
        <w:t xml:space="preserve">                                      </w:t>
      </w:r>
    </w:p>
    <w:p w14:paraId="671BC6BE">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质疑项目的编号：</w:t>
      </w:r>
      <w:r>
        <w:rPr>
          <w:rFonts w:hint="eastAsia" w:ascii="微软雅黑" w:hAnsi="微软雅黑" w:eastAsia="微软雅黑" w:cs="微软雅黑"/>
          <w:color w:val="auto"/>
          <w:sz w:val="24"/>
          <w:szCs w:val="24"/>
          <w:highlight w:val="none"/>
          <w:u w:val="dotted" w:color="000000"/>
        </w:rPr>
        <w:t xml:space="preserve">               </w:t>
      </w:r>
      <w:r>
        <w:rPr>
          <w:rFonts w:hint="eastAsia" w:ascii="微软雅黑" w:hAnsi="微软雅黑" w:eastAsia="微软雅黑" w:cs="微软雅黑"/>
          <w:color w:val="auto"/>
          <w:sz w:val="24"/>
          <w:szCs w:val="24"/>
          <w:highlight w:val="none"/>
        </w:rPr>
        <w:t>包号：</w:t>
      </w:r>
      <w:r>
        <w:rPr>
          <w:rFonts w:hint="eastAsia" w:ascii="微软雅黑" w:hAnsi="微软雅黑" w:eastAsia="微软雅黑" w:cs="微软雅黑"/>
          <w:color w:val="auto"/>
          <w:sz w:val="24"/>
          <w:szCs w:val="24"/>
          <w:highlight w:val="none"/>
          <w:u w:val="dotted" w:color="000000"/>
        </w:rPr>
        <w:t xml:space="preserve">                 </w:t>
      </w:r>
    </w:p>
    <w:p w14:paraId="0D25E835">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名称：</w:t>
      </w:r>
      <w:r>
        <w:rPr>
          <w:rFonts w:hint="eastAsia" w:ascii="微软雅黑" w:hAnsi="微软雅黑" w:eastAsia="微软雅黑" w:cs="微软雅黑"/>
          <w:color w:val="auto"/>
          <w:sz w:val="24"/>
          <w:szCs w:val="24"/>
          <w:highlight w:val="none"/>
          <w:u w:val="dotted" w:color="000000"/>
        </w:rPr>
        <w:t xml:space="preserve">                                         </w:t>
      </w:r>
    </w:p>
    <w:p w14:paraId="2433EA0C">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获取日期：</w:t>
      </w:r>
      <w:r>
        <w:rPr>
          <w:rFonts w:hint="eastAsia" w:ascii="微软雅黑" w:hAnsi="微软雅黑" w:eastAsia="微软雅黑" w:cs="微软雅黑"/>
          <w:color w:val="auto"/>
          <w:sz w:val="24"/>
          <w:szCs w:val="24"/>
          <w:highlight w:val="none"/>
          <w:u w:val="dotted" w:color="000000"/>
        </w:rPr>
        <w:t xml:space="preserve">                                           </w:t>
      </w:r>
    </w:p>
    <w:p w14:paraId="0E7651D0">
      <w:pPr>
        <w:pageBreakBefore w:val="0"/>
        <w:kinsoku/>
        <w:wordWrap/>
        <w:overflowPunct/>
        <w:topLinePunct w:val="0"/>
        <w:bidi w:val="0"/>
        <w:snapToGrid w:val="0"/>
        <w:spacing w:line="520" w:lineRule="exact"/>
        <w:textAlignment w:val="baseline"/>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三、质疑事项具体内容</w:t>
      </w:r>
    </w:p>
    <w:p w14:paraId="65954456">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rPr>
        <w:t>质疑事项1：</w:t>
      </w:r>
      <w:r>
        <w:rPr>
          <w:rFonts w:hint="eastAsia" w:ascii="微软雅黑" w:hAnsi="微软雅黑" w:eastAsia="微软雅黑" w:cs="微软雅黑"/>
          <w:color w:val="auto"/>
          <w:sz w:val="24"/>
          <w:szCs w:val="24"/>
          <w:highlight w:val="none"/>
          <w:u w:val="dotted" w:color="000000"/>
        </w:rPr>
        <w:t xml:space="preserve">                                         </w:t>
      </w:r>
    </w:p>
    <w:p w14:paraId="13079AC5">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rPr>
        <w:t>事实依据：</w:t>
      </w:r>
      <w:r>
        <w:rPr>
          <w:rFonts w:hint="eastAsia" w:ascii="微软雅黑" w:hAnsi="微软雅黑" w:eastAsia="微软雅黑" w:cs="微软雅黑"/>
          <w:color w:val="auto"/>
          <w:sz w:val="24"/>
          <w:szCs w:val="24"/>
          <w:highlight w:val="none"/>
          <w:u w:val="dotted" w:color="000000"/>
        </w:rPr>
        <w:t xml:space="preserve">                                          </w:t>
      </w:r>
    </w:p>
    <w:p w14:paraId="7DF7C5E3">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dotted" w:color="000000"/>
        </w:rPr>
        <w:t xml:space="preserve">                                                       </w:t>
      </w:r>
    </w:p>
    <w:p w14:paraId="7319A7B7">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rPr>
        <w:t>法律依据：</w:t>
      </w:r>
      <w:r>
        <w:rPr>
          <w:rFonts w:hint="eastAsia" w:ascii="微软雅黑" w:hAnsi="微软雅黑" w:eastAsia="微软雅黑" w:cs="微软雅黑"/>
          <w:color w:val="auto"/>
          <w:sz w:val="24"/>
          <w:szCs w:val="24"/>
          <w:highlight w:val="none"/>
          <w:u w:val="dotted" w:color="000000"/>
        </w:rPr>
        <w:t xml:space="preserve">                                          </w:t>
      </w:r>
    </w:p>
    <w:p w14:paraId="0E620B34">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u w:val="dotted" w:color="000000"/>
        </w:rPr>
        <w:t xml:space="preserve">                                                     </w:t>
      </w:r>
    </w:p>
    <w:p w14:paraId="002EC300">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rPr>
        <w:t>质疑事项2</w:t>
      </w:r>
    </w:p>
    <w:p w14:paraId="3F886AB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0243F47F">
      <w:pPr>
        <w:pageBreakBefore w:val="0"/>
        <w:kinsoku/>
        <w:wordWrap/>
        <w:overflowPunct/>
        <w:topLinePunct w:val="0"/>
        <w:bidi w:val="0"/>
        <w:snapToGrid w:val="0"/>
        <w:spacing w:line="520" w:lineRule="exact"/>
        <w:textAlignment w:val="baseline"/>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四、与质疑事项相关的质疑请求</w:t>
      </w:r>
    </w:p>
    <w:p w14:paraId="69FD6E2E">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dotted" w:color="000000"/>
        </w:rPr>
      </w:pPr>
      <w:r>
        <w:rPr>
          <w:rFonts w:hint="eastAsia" w:ascii="微软雅黑" w:hAnsi="微软雅黑" w:eastAsia="微软雅黑" w:cs="微软雅黑"/>
          <w:color w:val="auto"/>
          <w:sz w:val="24"/>
          <w:szCs w:val="24"/>
          <w:highlight w:val="none"/>
        </w:rPr>
        <w:t>请求：</w:t>
      </w:r>
      <w:r>
        <w:rPr>
          <w:rFonts w:hint="eastAsia" w:ascii="微软雅黑" w:hAnsi="微软雅黑" w:eastAsia="微软雅黑" w:cs="微软雅黑"/>
          <w:color w:val="auto"/>
          <w:sz w:val="24"/>
          <w:szCs w:val="24"/>
          <w:highlight w:val="none"/>
          <w:u w:val="dotted" w:color="000000"/>
        </w:rPr>
        <w:t xml:space="preserve">                                               </w:t>
      </w:r>
    </w:p>
    <w:p w14:paraId="746FCCE1">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签字(签章)：                   公章：                      </w:t>
      </w:r>
    </w:p>
    <w:p w14:paraId="24824B3A">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p>
    <w:p w14:paraId="4C89E866">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color w:val="auto"/>
          <w:sz w:val="24"/>
          <w:szCs w:val="24"/>
          <w:highlight w:val="none"/>
        </w:rPr>
      </w:pPr>
    </w:p>
    <w:p w14:paraId="6BE30D18">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质疑函制作说明：</w:t>
      </w:r>
    </w:p>
    <w:p w14:paraId="4053C203">
      <w:pPr>
        <w:pageBreakBefore w:val="0"/>
        <w:widowControl/>
        <w:kinsoku/>
        <w:wordWrap/>
        <w:overflowPunct/>
        <w:topLinePunct w:val="0"/>
        <w:bidi w:val="0"/>
        <w:snapToGrid w:val="0"/>
        <w:spacing w:line="520" w:lineRule="exact"/>
        <w:ind w:firstLine="480" w:firstLineChars="2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提出质疑时，应提交质疑函和必要的证明材料。</w:t>
      </w:r>
    </w:p>
    <w:p w14:paraId="0F5FB312">
      <w:pPr>
        <w:pageBreakBefore w:val="0"/>
        <w:widowControl/>
        <w:kinsoku/>
        <w:wordWrap/>
        <w:overflowPunct/>
        <w:topLinePunct w:val="0"/>
        <w:bidi w:val="0"/>
        <w:snapToGrid w:val="0"/>
        <w:spacing w:line="520" w:lineRule="exact"/>
        <w:ind w:firstLine="480" w:firstLineChars="2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若委托代理人进行质疑的，质疑函应按要求列明“授权代表”的有关内容，并在附件中提交由质疑</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签署的授权委托书。授权委托书应载明代理人的姓名或者名称、代理事项、具体权限、期限和相关事项。</w:t>
      </w:r>
    </w:p>
    <w:p w14:paraId="6EE81D46">
      <w:pPr>
        <w:pageBreakBefore w:val="0"/>
        <w:widowControl/>
        <w:kinsoku/>
        <w:wordWrap/>
        <w:overflowPunct/>
        <w:topLinePunct w:val="0"/>
        <w:bidi w:val="0"/>
        <w:snapToGrid w:val="0"/>
        <w:spacing w:line="520" w:lineRule="exact"/>
        <w:ind w:firstLine="480" w:firstLineChars="2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若对项目的某一分包进行质疑，质疑函中应列明具体分包号。</w:t>
      </w:r>
    </w:p>
    <w:p w14:paraId="5CDA02A0">
      <w:pPr>
        <w:pageBreakBefore w:val="0"/>
        <w:widowControl/>
        <w:kinsoku/>
        <w:wordWrap/>
        <w:overflowPunct/>
        <w:topLinePunct w:val="0"/>
        <w:bidi w:val="0"/>
        <w:snapToGrid w:val="0"/>
        <w:spacing w:line="520" w:lineRule="exact"/>
        <w:ind w:firstLine="480" w:firstLineChars="2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4.质疑函的质疑事项应具体、明确，并有必要的事实依据和法律依据。</w:t>
      </w:r>
    </w:p>
    <w:p w14:paraId="30D4CD4B">
      <w:pPr>
        <w:pageBreakBefore w:val="0"/>
        <w:widowControl/>
        <w:kinsoku/>
        <w:wordWrap/>
        <w:overflowPunct/>
        <w:topLinePunct w:val="0"/>
        <w:bidi w:val="0"/>
        <w:snapToGrid w:val="0"/>
        <w:spacing w:line="520" w:lineRule="exact"/>
        <w:ind w:firstLine="480" w:firstLineChars="2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5.质疑函的质疑请求应与质疑事项相关。</w:t>
      </w:r>
    </w:p>
    <w:p w14:paraId="5CEDE278">
      <w:pPr>
        <w:pageBreakBefore w:val="0"/>
        <w:widowControl/>
        <w:kinsoku/>
        <w:wordWrap/>
        <w:overflowPunct/>
        <w:topLinePunct w:val="0"/>
        <w:bidi w:val="0"/>
        <w:snapToGrid w:val="0"/>
        <w:spacing w:line="520" w:lineRule="exact"/>
        <w:ind w:firstLine="480" w:firstLineChars="2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为自然人的，质疑函应由本人签字；质疑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为法人或者其他组织的，质疑函应由法定代表人、主要负责人，或者其授权代表签字或者盖章，并加盖公章。</w:t>
      </w:r>
    </w:p>
    <w:p w14:paraId="7139D4E9">
      <w:pPr>
        <w:pStyle w:val="2"/>
        <w:rPr>
          <w:rFonts w:hint="eastAsia" w:ascii="微软雅黑" w:hAnsi="微软雅黑" w:eastAsia="微软雅黑" w:cs="微软雅黑"/>
          <w:color w:val="auto"/>
          <w:sz w:val="24"/>
          <w:szCs w:val="24"/>
          <w:highlight w:val="none"/>
        </w:rPr>
        <w:sectPr>
          <w:footerReference r:id="rId5" w:type="default"/>
          <w:pgSz w:w="11906" w:h="16839"/>
          <w:pgMar w:top="1440" w:right="1080" w:bottom="1440" w:left="1080" w:header="0" w:footer="1225" w:gutter="0"/>
          <w:pgNumType w:fmt="decimal" w:start="1"/>
          <w:cols w:space="720" w:num="1"/>
        </w:sectPr>
      </w:pPr>
    </w:p>
    <w:p w14:paraId="7C703699">
      <w:pPr>
        <w:pStyle w:val="4"/>
        <w:spacing w:before="0" w:line="240" w:lineRule="atLeast"/>
        <w:ind w:left="1080" w:leftChars="257" w:hanging="540"/>
        <w:rPr>
          <w:rFonts w:hint="eastAsia" w:ascii="微软雅黑" w:hAnsi="微软雅黑" w:eastAsia="微软雅黑" w:cs="微软雅黑"/>
          <w:color w:val="auto"/>
          <w:szCs w:val="24"/>
          <w:highlight w:val="none"/>
        </w:rPr>
      </w:pPr>
      <w:bookmarkStart w:id="579" w:name="_Toc9805"/>
      <w:bookmarkStart w:id="580" w:name="_Toc2062"/>
      <w:bookmarkStart w:id="581" w:name="_Toc23883"/>
      <w:bookmarkStart w:id="582" w:name="_Toc518923103"/>
      <w:bookmarkStart w:id="583" w:name="_Toc11702"/>
      <w:r>
        <w:rPr>
          <w:rFonts w:hint="eastAsia" w:ascii="微软雅黑" w:hAnsi="微软雅黑" w:eastAsia="微软雅黑" w:cs="微软雅黑"/>
          <w:color w:val="auto"/>
          <w:szCs w:val="24"/>
          <w:highlight w:val="none"/>
        </w:rPr>
        <w:t>附件1：履约保证金保函（格式）</w:t>
      </w:r>
      <w:bookmarkEnd w:id="579"/>
      <w:bookmarkEnd w:id="580"/>
      <w:bookmarkEnd w:id="581"/>
      <w:bookmarkEnd w:id="582"/>
      <w:bookmarkEnd w:id="583"/>
    </w:p>
    <w:p w14:paraId="2EE508CD">
      <w:pPr>
        <w:pStyle w:val="16"/>
        <w:spacing w:line="240" w:lineRule="atLeast"/>
        <w:ind w:left="1080" w:leftChars="257" w:hanging="54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 xml:space="preserve">                      </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
          <w:color w:val="auto"/>
          <w:sz w:val="24"/>
          <w:highlight w:val="none"/>
        </w:rPr>
        <w:t xml:space="preserve">   （中标后开具）</w:t>
      </w:r>
    </w:p>
    <w:p w14:paraId="6EA6E330">
      <w:pPr>
        <w:pStyle w:val="16"/>
        <w:spacing w:line="240" w:lineRule="atLeast"/>
        <w:ind w:left="1080" w:leftChars="257" w:hanging="540"/>
        <w:rPr>
          <w:rFonts w:hint="eastAsia" w:ascii="微软雅黑" w:hAnsi="微软雅黑" w:eastAsia="微软雅黑" w:cs="微软雅黑"/>
          <w:b/>
          <w:color w:val="auto"/>
          <w:sz w:val="24"/>
          <w:highlight w:val="none"/>
        </w:rPr>
      </w:pPr>
    </w:p>
    <w:p w14:paraId="64F9EFFD">
      <w:pPr>
        <w:pStyle w:val="16"/>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 (</w:t>
      </w:r>
      <w:r>
        <w:rPr>
          <w:rFonts w:hint="eastAsia" w:ascii="微软雅黑" w:hAnsi="微软雅黑" w:eastAsia="微软雅黑" w:cs="微软雅黑"/>
          <w:i/>
          <w:color w:val="auto"/>
          <w:sz w:val="24"/>
          <w:highlight w:val="none"/>
          <w:u w:val="single"/>
        </w:rPr>
        <w:t>买方名称</w:t>
      </w:r>
      <w:r>
        <w:rPr>
          <w:rFonts w:hint="eastAsia" w:ascii="微软雅黑" w:hAnsi="微软雅黑" w:eastAsia="微软雅黑" w:cs="微软雅黑"/>
          <w:color w:val="auto"/>
          <w:sz w:val="24"/>
          <w:highlight w:val="none"/>
        </w:rPr>
        <w:t>)</w:t>
      </w:r>
    </w:p>
    <w:p w14:paraId="36D4C157">
      <w:pPr>
        <w:pStyle w:val="16"/>
        <w:spacing w:line="240" w:lineRule="atLeast"/>
        <w:ind w:left="1080" w:leftChars="257" w:hanging="540"/>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号合同履约保函</w:t>
      </w:r>
    </w:p>
    <w:p w14:paraId="5BF2864F">
      <w:pPr>
        <w:pStyle w:val="16"/>
        <w:spacing w:line="240" w:lineRule="atLeast"/>
        <w:ind w:left="1080" w:leftChars="257" w:hanging="540"/>
        <w:jc w:val="center"/>
        <w:rPr>
          <w:rFonts w:hint="eastAsia" w:ascii="微软雅黑" w:hAnsi="微软雅黑" w:eastAsia="微软雅黑" w:cs="微软雅黑"/>
          <w:color w:val="auto"/>
          <w:sz w:val="24"/>
          <w:highlight w:val="none"/>
        </w:rPr>
      </w:pPr>
    </w:p>
    <w:p w14:paraId="7E584E8B">
      <w:pPr>
        <w:pStyle w:val="16"/>
        <w:spacing w:line="240" w:lineRule="atLeast"/>
        <w:ind w:firstLine="600" w:firstLineChars="2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本保函作为贵方与(</w:t>
      </w:r>
      <w:r>
        <w:rPr>
          <w:rFonts w:hint="eastAsia" w:ascii="微软雅黑" w:hAnsi="微软雅黑" w:eastAsia="微软雅黑" w:cs="微软雅黑"/>
          <w:i/>
          <w:color w:val="auto"/>
          <w:sz w:val="24"/>
          <w:highlight w:val="none"/>
          <w:u w:val="single"/>
        </w:rPr>
        <w:t>卖方名称</w:t>
      </w:r>
      <w:r>
        <w:rPr>
          <w:rFonts w:hint="eastAsia" w:ascii="微软雅黑" w:hAnsi="微软雅黑" w:eastAsia="微软雅黑" w:cs="微软雅黑"/>
          <w:color w:val="auto"/>
          <w:sz w:val="24"/>
          <w:highlight w:val="none"/>
        </w:rPr>
        <w:t>)(以下简称卖方)于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日就</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项目(以下简称项目)项下提供(</w:t>
      </w:r>
      <w:r>
        <w:rPr>
          <w:rFonts w:hint="eastAsia" w:ascii="微软雅黑" w:hAnsi="微软雅黑" w:eastAsia="微软雅黑" w:cs="微软雅黑"/>
          <w:i/>
          <w:color w:val="auto"/>
          <w:sz w:val="24"/>
          <w:highlight w:val="none"/>
          <w:u w:val="single"/>
        </w:rPr>
        <w:t>服务</w:t>
      </w:r>
      <w:r>
        <w:rPr>
          <w:rFonts w:hint="eastAsia" w:ascii="微软雅黑" w:hAnsi="微软雅黑" w:eastAsia="微软雅黑" w:cs="微软雅黑"/>
          <w:i/>
          <w:color w:val="auto"/>
          <w:sz w:val="24"/>
          <w:highlight w:val="none"/>
          <w:u w:val="single"/>
          <w:lang w:val="en-US" w:eastAsia="zh-CN"/>
        </w:rPr>
        <w:t>/货物</w:t>
      </w:r>
      <w:r>
        <w:rPr>
          <w:rFonts w:hint="eastAsia" w:ascii="微软雅黑" w:hAnsi="微软雅黑" w:eastAsia="微软雅黑" w:cs="微软雅黑"/>
          <w:i/>
          <w:color w:val="auto"/>
          <w:sz w:val="24"/>
          <w:highlight w:val="none"/>
          <w:u w:val="single"/>
        </w:rPr>
        <w:t>名称</w:t>
      </w:r>
      <w:r>
        <w:rPr>
          <w:rFonts w:hint="eastAsia" w:ascii="微软雅黑" w:hAnsi="微软雅黑" w:eastAsia="微软雅黑" w:cs="微软雅黑"/>
          <w:color w:val="auto"/>
          <w:sz w:val="24"/>
          <w:highlight w:val="none"/>
        </w:rPr>
        <w:t>)(以下简称服务</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)签订的(</w:t>
      </w:r>
      <w:r>
        <w:rPr>
          <w:rFonts w:hint="eastAsia" w:ascii="微软雅黑" w:hAnsi="微软雅黑" w:eastAsia="微软雅黑" w:cs="微软雅黑"/>
          <w:i/>
          <w:color w:val="auto"/>
          <w:sz w:val="24"/>
          <w:highlight w:val="none"/>
          <w:u w:val="single"/>
        </w:rPr>
        <w:t>合同号</w:t>
      </w:r>
      <w:r>
        <w:rPr>
          <w:rFonts w:hint="eastAsia" w:ascii="微软雅黑" w:hAnsi="微软雅黑" w:eastAsia="微软雅黑" w:cs="微软雅黑"/>
          <w:color w:val="auto"/>
          <w:sz w:val="24"/>
          <w:highlight w:val="none"/>
        </w:rPr>
        <w:t>)号合同的履约保函。</w:t>
      </w:r>
    </w:p>
    <w:p w14:paraId="53DCCA4B">
      <w:pPr>
        <w:pStyle w:val="16"/>
        <w:spacing w:line="240" w:lineRule="atLeast"/>
        <w:ind w:firstLine="540" w:firstLineChars="2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i/>
          <w:color w:val="auto"/>
          <w:sz w:val="24"/>
          <w:highlight w:val="none"/>
          <w:u w:val="single"/>
        </w:rPr>
        <w:t>出具保函的银行名称</w:t>
      </w:r>
      <w:r>
        <w:rPr>
          <w:rFonts w:hint="eastAsia" w:ascii="微软雅黑" w:hAnsi="微软雅黑" w:eastAsia="微软雅黑" w:cs="微软雅黑"/>
          <w:color w:val="auto"/>
          <w:sz w:val="24"/>
          <w:highlight w:val="none"/>
        </w:rPr>
        <w:t>)(以下简称银行)无条件地、不可撤销地具结保证本行、其继承人和受让人无追索地向贵方以(</w:t>
      </w:r>
      <w:r>
        <w:rPr>
          <w:rFonts w:hint="eastAsia" w:ascii="微软雅黑" w:hAnsi="微软雅黑" w:eastAsia="微软雅黑" w:cs="微软雅黑"/>
          <w:i/>
          <w:color w:val="auto"/>
          <w:sz w:val="24"/>
          <w:highlight w:val="none"/>
          <w:u w:val="single"/>
        </w:rPr>
        <w:t>货币名称</w:t>
      </w:r>
      <w:r>
        <w:rPr>
          <w:rFonts w:hint="eastAsia" w:ascii="微软雅黑" w:hAnsi="微软雅黑" w:eastAsia="微软雅黑" w:cs="微软雅黑"/>
          <w:color w:val="auto"/>
          <w:sz w:val="24"/>
          <w:highlight w:val="none"/>
        </w:rPr>
        <w:t>)支付总额不超过(</w:t>
      </w:r>
      <w:r>
        <w:rPr>
          <w:rFonts w:hint="eastAsia" w:ascii="微软雅黑" w:hAnsi="微软雅黑" w:eastAsia="微软雅黑" w:cs="微软雅黑"/>
          <w:i/>
          <w:color w:val="auto"/>
          <w:sz w:val="24"/>
          <w:highlight w:val="none"/>
          <w:u w:val="single"/>
        </w:rPr>
        <w:t>货币数量</w:t>
      </w:r>
      <w:r>
        <w:rPr>
          <w:rFonts w:hint="eastAsia" w:ascii="微软雅黑" w:hAnsi="微软雅黑" w:eastAsia="微软雅黑" w:cs="微软雅黑"/>
          <w:color w:val="auto"/>
          <w:sz w:val="24"/>
          <w:highlight w:val="none"/>
        </w:rPr>
        <w:t>),即相当于合同价格的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%,并以此约定如下:</w:t>
      </w:r>
    </w:p>
    <w:p w14:paraId="79FBFA7D">
      <w:pPr>
        <w:pStyle w:val="16"/>
        <w:spacing w:line="240" w:lineRule="atLeast"/>
        <w:ind w:left="540" w:leftChars="25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1.只要贵方确定卖方未能忠实地履行所有合同文件的规定和双方此后一致 同意的修改、补充和变动,包括更改和/或修补贵方认为有缺陷的服务</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(以下简称违约),无论卖方有任何反对,本行将凭贵方关于卖方违约说明的书面通知,立即按贵方提出的累计总额不超过上述金额的款项和按贵方通知规定的方式付给贵方。</w:t>
      </w:r>
    </w:p>
    <w:p w14:paraId="0623C9B8">
      <w:pPr>
        <w:pStyle w:val="16"/>
        <w:spacing w:line="240" w:lineRule="atLeast"/>
        <w:ind w:left="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0157B9FA">
      <w:pPr>
        <w:pStyle w:val="16"/>
        <w:spacing w:line="240" w:lineRule="atLeast"/>
        <w:ind w:left="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3167EE0">
      <w:pPr>
        <w:pStyle w:val="16"/>
        <w:spacing w:line="24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4.本保函在本合同规定的保证期期满前完全有效。</w:t>
      </w:r>
    </w:p>
    <w:p w14:paraId="57872057">
      <w:pPr>
        <w:pStyle w:val="16"/>
        <w:spacing w:line="240" w:lineRule="atLeast"/>
        <w:ind w:left="1080" w:leftChars="257" w:hanging="540"/>
        <w:rPr>
          <w:rFonts w:hint="eastAsia" w:ascii="微软雅黑" w:hAnsi="微软雅黑" w:eastAsia="微软雅黑" w:cs="微软雅黑"/>
          <w:color w:val="auto"/>
          <w:sz w:val="24"/>
          <w:highlight w:val="none"/>
        </w:rPr>
      </w:pPr>
    </w:p>
    <w:p w14:paraId="4FF97AE8">
      <w:pPr>
        <w:pStyle w:val="16"/>
        <w:spacing w:line="24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谨启</w:t>
      </w:r>
    </w:p>
    <w:p w14:paraId="5E247140">
      <w:pPr>
        <w:pStyle w:val="16"/>
        <w:spacing w:line="24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出具保函银行名称：</w:t>
      </w:r>
      <w:r>
        <w:rPr>
          <w:rFonts w:hint="eastAsia" w:ascii="微软雅黑" w:hAnsi="微软雅黑" w:eastAsia="微软雅黑" w:cs="微软雅黑"/>
          <w:color w:val="auto"/>
          <w:sz w:val="24"/>
          <w:highlight w:val="none"/>
          <w:u w:val="single"/>
        </w:rPr>
        <w:t xml:space="preserve">                             </w:t>
      </w:r>
    </w:p>
    <w:p w14:paraId="73D0F705">
      <w:pPr>
        <w:pStyle w:val="16"/>
        <w:spacing w:line="240" w:lineRule="atLeast"/>
        <w:ind w:left="1080" w:leftChars="257" w:hanging="54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签字人姓名和职务：</w:t>
      </w:r>
      <w:r>
        <w:rPr>
          <w:rFonts w:hint="eastAsia" w:ascii="微软雅黑" w:hAnsi="微软雅黑" w:eastAsia="微软雅黑" w:cs="微软雅黑"/>
          <w:color w:val="auto"/>
          <w:sz w:val="24"/>
          <w:highlight w:val="none"/>
          <w:u w:val="single"/>
        </w:rPr>
        <w:t xml:space="preserve">                             </w:t>
      </w:r>
    </w:p>
    <w:p w14:paraId="458F21F9">
      <w:pPr>
        <w:pStyle w:val="16"/>
        <w:spacing w:line="240" w:lineRule="atLeas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签字人签名：</w:t>
      </w:r>
      <w:r>
        <w:rPr>
          <w:rFonts w:hint="eastAsia" w:ascii="微软雅黑" w:hAnsi="微软雅黑" w:eastAsia="微软雅黑" w:cs="微软雅黑"/>
          <w:color w:val="auto"/>
          <w:sz w:val="24"/>
          <w:highlight w:val="none"/>
          <w:u w:val="single"/>
        </w:rPr>
        <w:t xml:space="preserve">                                   </w:t>
      </w:r>
    </w:p>
    <w:p w14:paraId="3497EFAC">
      <w:pPr>
        <w:pStyle w:val="16"/>
        <w:spacing w:line="240" w:lineRule="atLeast"/>
        <w:ind w:left="1080" w:leftChars="257" w:hanging="540"/>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公章：</w:t>
      </w:r>
      <w:r>
        <w:rPr>
          <w:rFonts w:hint="eastAsia" w:ascii="微软雅黑" w:hAnsi="微软雅黑" w:eastAsia="微软雅黑" w:cs="微软雅黑"/>
          <w:color w:val="auto"/>
          <w:sz w:val="24"/>
          <w:highlight w:val="none"/>
          <w:u w:val="single"/>
        </w:rPr>
        <w:t xml:space="preserve">                                         </w:t>
      </w:r>
    </w:p>
    <w:p w14:paraId="5973B1B6">
      <w:pPr>
        <w:pStyle w:val="4"/>
        <w:spacing w:before="0" w:line="240" w:lineRule="atLeast"/>
        <w:ind w:left="1080" w:leftChars="257" w:hanging="54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br w:type="page"/>
      </w:r>
      <w:bookmarkStart w:id="584" w:name="_Toc23367"/>
      <w:bookmarkStart w:id="585" w:name="_Toc25304"/>
      <w:bookmarkStart w:id="586" w:name="_Toc19866"/>
      <w:r>
        <w:rPr>
          <w:rFonts w:hint="eastAsia" w:ascii="微软雅黑" w:hAnsi="微软雅黑" w:eastAsia="微软雅黑" w:cs="微软雅黑"/>
          <w:color w:val="auto"/>
          <w:szCs w:val="24"/>
          <w:highlight w:val="none"/>
        </w:rPr>
        <w:t>附件2：履约担保函格式</w:t>
      </w:r>
      <w:bookmarkEnd w:id="584"/>
      <w:bookmarkEnd w:id="585"/>
      <w:bookmarkEnd w:id="586"/>
    </w:p>
    <w:p w14:paraId="109D8AA5">
      <w:pPr>
        <w:pStyle w:val="4"/>
        <w:spacing w:before="0" w:line="240" w:lineRule="atLeast"/>
        <w:ind w:left="1080" w:leftChars="257" w:hanging="540"/>
        <w:rPr>
          <w:rFonts w:hint="eastAsia" w:ascii="微软雅黑" w:hAnsi="微软雅黑" w:eastAsia="微软雅黑" w:cs="微软雅黑"/>
          <w:b w:val="0"/>
          <w:color w:val="auto"/>
          <w:highlight w:val="none"/>
        </w:rPr>
      </w:pPr>
      <w:bookmarkStart w:id="587" w:name="_Toc30995"/>
      <w:bookmarkStart w:id="588" w:name="_Toc3281"/>
      <w:bookmarkStart w:id="589" w:name="_Toc12515"/>
      <w:bookmarkStart w:id="590" w:name="_Toc32027"/>
      <w:bookmarkStart w:id="591" w:name="_Toc515904842"/>
      <w:bookmarkStart w:id="592" w:name="_Toc518923105"/>
      <w:r>
        <w:rPr>
          <w:rFonts w:hint="eastAsia" w:ascii="微软雅黑" w:hAnsi="微软雅黑" w:eastAsia="微软雅黑" w:cs="微软雅黑"/>
          <w:color w:val="auto"/>
          <w:szCs w:val="24"/>
          <w:highlight w:val="none"/>
        </w:rPr>
        <w:t>（采用政府采购信用担保形式时使用）</w:t>
      </w:r>
      <w:bookmarkEnd w:id="587"/>
      <w:bookmarkEnd w:id="588"/>
      <w:bookmarkEnd w:id="589"/>
      <w:bookmarkEnd w:id="590"/>
      <w:bookmarkEnd w:id="591"/>
      <w:bookmarkEnd w:id="592"/>
    </w:p>
    <w:p w14:paraId="1E026BF5">
      <w:pPr>
        <w:spacing w:line="240" w:lineRule="atLeast"/>
        <w:ind w:left="1080" w:leftChars="257" w:hanging="540"/>
        <w:rPr>
          <w:rFonts w:hint="eastAsia" w:ascii="微软雅黑" w:hAnsi="微软雅黑" w:eastAsia="微软雅黑" w:cs="微软雅黑"/>
          <w:b/>
          <w:color w:val="auto"/>
          <w:kern w:val="0"/>
          <w:sz w:val="24"/>
          <w:szCs w:val="20"/>
          <w:highlight w:val="none"/>
        </w:rPr>
      </w:pPr>
    </w:p>
    <w:p w14:paraId="6C98A600">
      <w:pPr>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政府采购履约担保函</w:t>
      </w:r>
    </w:p>
    <w:p w14:paraId="28328FF4">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编号：</w:t>
      </w:r>
    </w:p>
    <w:p w14:paraId="63184EC4">
      <w:pPr>
        <w:rPr>
          <w:rFonts w:hint="eastAsia" w:ascii="微软雅黑" w:hAnsi="微软雅黑" w:eastAsia="微软雅黑" w:cs="微软雅黑"/>
          <w:color w:val="auto"/>
          <w:sz w:val="24"/>
          <w:highlight w:val="none"/>
        </w:rPr>
      </w:pPr>
    </w:p>
    <w:p w14:paraId="4AB02D0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（采购人）：</w:t>
      </w:r>
    </w:p>
    <w:p w14:paraId="3EDDBF97">
      <w:pPr>
        <w:rPr>
          <w:rFonts w:hint="eastAsia" w:ascii="微软雅黑" w:hAnsi="微软雅黑" w:eastAsia="微软雅黑" w:cs="微软雅黑"/>
          <w:color w:val="auto"/>
          <w:sz w:val="24"/>
          <w:highlight w:val="none"/>
        </w:rPr>
      </w:pPr>
    </w:p>
    <w:p w14:paraId="72E19DE4">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鉴于你方与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（以下简称供应商）于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日签定编号为   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政府采购合同》（以下简称主合同），且依据该合同的约定，供应商应在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p>
    <w:p w14:paraId="0C2A6881">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日前向你方交纳履约保证金，且可以履约担保函的形式交纳履约保证金。应供应商的申请，我方以保证的方式向你方提供如下履约保证金担保：</w:t>
      </w:r>
    </w:p>
    <w:p w14:paraId="349BE8CD">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一、保证责任的情形及保证金额</w:t>
      </w:r>
    </w:p>
    <w:p w14:paraId="4EA91A8A">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（一）在供应商出现下列情形之一时，我方承担保证责任：</w:t>
      </w:r>
    </w:p>
    <w:p w14:paraId="00F5C92B">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1．将中标项目转让给他人，或者在投标文件中未说明，且未经采购招标机构人同意，将中标项目分包给他人的；</w:t>
      </w:r>
    </w:p>
    <w:p w14:paraId="56C4A8BA">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2．主合同约定的应当缴纳履约保证金的情形: </w:t>
      </w:r>
    </w:p>
    <w:p w14:paraId="168E2531">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（1）未按主合同约定的质量、数量和期限供应货物/提供服务/完成工程的；</w:t>
      </w:r>
    </w:p>
    <w:p w14:paraId="3864068C">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w:t>
      </w:r>
    </w:p>
    <w:p w14:paraId="1A22CEF0">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（二）我方的保证范围是主合同约定的合同价款总额的</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%数额为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元（大写</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），币种为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。（即主合同履约保证金金额）</w:t>
      </w:r>
    </w:p>
    <w:p w14:paraId="343374B4">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二、保证的方式及保证期间</w:t>
      </w:r>
    </w:p>
    <w:p w14:paraId="5D8FD0AA">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我方保证的方式为：连带责任保证。</w:t>
      </w:r>
    </w:p>
    <w:p w14:paraId="3373799B">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我方保证的期间为：自本合同生效之日起至供应商按照主合同约定的供货/完工期限届满后</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日内。</w:t>
      </w:r>
    </w:p>
    <w:p w14:paraId="3FF80A6E">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如果供应商未按主合同约定向贵方供应货物/提供服务/完成工程的，由我方在保证金额内向你方支付上述款项。</w:t>
      </w:r>
    </w:p>
    <w:p w14:paraId="4588FE7B">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三、承担保证责任的程序</w:t>
      </w:r>
    </w:p>
    <w:p w14:paraId="6EE15030">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0C76AD51">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如果你方与供应商因货物质量问题产生争议，你方还需同时提供</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部门出具的质量检测报告，或经诉讼（仲裁）程序裁决后的裁决书、调解书，本保证人即按照检测结果或裁决书、调解书决定是否承担保证责任。</w:t>
      </w:r>
    </w:p>
    <w:p w14:paraId="6857698E">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 我方收到你方的书面索赔通知及相应证明材料，在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工作日内进行核定后按照本保函的承诺承担保证责任。</w:t>
      </w:r>
    </w:p>
    <w:p w14:paraId="08907D91">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四、保证责任的终止</w:t>
      </w:r>
    </w:p>
    <w:p w14:paraId="13C3F062">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17D47BC">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2．我方按照本保函向你方履行了保证责任后，自我方向你方支付款项（支付款项从我方账户划出）之日起，保证责任即终止。</w:t>
      </w:r>
    </w:p>
    <w:p w14:paraId="0B73E9CA">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3．按照法律法规的规定或出现应终止我方保证责任的其它情形的，我方在本保函项下的保证责任亦终止。</w:t>
      </w:r>
    </w:p>
    <w:p w14:paraId="3632944D">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6627D9F">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五、免责条款</w:t>
      </w:r>
    </w:p>
    <w:p w14:paraId="52C70452">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1．因你方违反主合同约定致使供应商不能履行义务的，我方不承担保证责任。</w:t>
      </w:r>
    </w:p>
    <w:p w14:paraId="16D0B6FC">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2．依照法律法规的规定或你方与供应商的另行约定，全部或者部分免除供应商应缴纳的保证金义务的，我方亦免除相应的保证责任。</w:t>
      </w:r>
    </w:p>
    <w:p w14:paraId="0E906889">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3．因不可抗力造成供应商不能履行供货义务的，我方不承担保证责任。</w:t>
      </w:r>
    </w:p>
    <w:p w14:paraId="02F7172A">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六、争议的解决</w:t>
      </w:r>
    </w:p>
    <w:p w14:paraId="4D0307C3">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因本保函发生的纠纷，由你我双方协商解决，协商不成的，通过诉讼程序解决，诉讼管辖地法院为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法院。</w:t>
      </w:r>
    </w:p>
    <w:p w14:paraId="6A8D1BFE">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七、保函的生效</w:t>
      </w:r>
    </w:p>
    <w:p w14:paraId="5C5A67D3">
      <w:pP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本保函自我方加盖公章之日起生效。</w:t>
      </w:r>
    </w:p>
    <w:p w14:paraId="4A85D0A9">
      <w:pPr>
        <w:rPr>
          <w:rFonts w:hint="eastAsia" w:ascii="微软雅黑" w:hAnsi="微软雅黑" w:eastAsia="微软雅黑" w:cs="微软雅黑"/>
          <w:color w:val="auto"/>
          <w:sz w:val="24"/>
          <w:highlight w:val="none"/>
        </w:rPr>
      </w:pPr>
    </w:p>
    <w:p w14:paraId="566F489A">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1DD0FC55">
      <w:pPr>
        <w:ind w:firstLine="5400" w:firstLineChars="22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保证人：（公章）</w:t>
      </w:r>
    </w:p>
    <w:p w14:paraId="32154860">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4F4A09A8">
      <w:pPr>
        <w:rPr>
          <w:rFonts w:hint="eastAsia" w:ascii="微软雅黑" w:hAnsi="微软雅黑" w:eastAsia="微软雅黑" w:cs="微软雅黑"/>
        </w:rPr>
        <w:sectPr>
          <w:pgSz w:w="11906" w:h="16839"/>
          <w:pgMar w:top="1440" w:right="1080" w:bottom="1440" w:left="1080" w:header="0" w:footer="1225" w:gutter="0"/>
          <w:pgNumType w:fmt="decimal"/>
          <w:cols w:space="720" w:num="1"/>
        </w:sectPr>
      </w:pPr>
      <w:r>
        <w:rPr>
          <w:rFonts w:hint="eastAsia" w:ascii="微软雅黑" w:hAnsi="微软雅黑" w:eastAsia="微软雅黑" w:cs="微软雅黑"/>
          <w:color w:val="auto"/>
          <w:sz w:val="24"/>
          <w:highlight w:val="none"/>
        </w:rPr>
        <w:t xml:space="preserve">                                           年     月      日</w:t>
      </w:r>
    </w:p>
    <w:p w14:paraId="5CDB8A6B">
      <w:pPr>
        <w:pStyle w:val="3"/>
        <w:pageBreakBefore w:val="0"/>
        <w:kinsoku/>
        <w:wordWrap/>
        <w:overflowPunct/>
        <w:topLinePunct w:val="0"/>
        <w:bidi w:val="0"/>
        <w:snapToGrid w:val="0"/>
        <w:spacing w:before="0" w:after="0" w:line="520" w:lineRule="exact"/>
        <w:textAlignment w:val="baseline"/>
        <w:rPr>
          <w:rFonts w:ascii="微软雅黑" w:hAnsi="微软雅黑" w:eastAsia="微软雅黑" w:cs="微软雅黑"/>
          <w:color w:val="auto"/>
          <w:sz w:val="24"/>
          <w:highlight w:val="none"/>
        </w:rPr>
      </w:pPr>
      <w:bookmarkStart w:id="593" w:name="_Toc515647802"/>
      <w:bookmarkStart w:id="594" w:name="_Toc216582812"/>
      <w:bookmarkStart w:id="595" w:name="_Toc728"/>
      <w:bookmarkStart w:id="596" w:name="_Toc24045"/>
      <w:bookmarkStart w:id="597" w:name="_Toc12503"/>
      <w:bookmarkStart w:id="598" w:name="_Toc702"/>
      <w:r>
        <w:rPr>
          <w:rFonts w:hint="eastAsia" w:ascii="微软雅黑" w:hAnsi="微软雅黑" w:eastAsia="微软雅黑" w:cs="微软雅黑"/>
          <w:color w:val="auto"/>
          <w:sz w:val="24"/>
          <w:szCs w:val="24"/>
          <w:highlight w:val="none"/>
        </w:rPr>
        <w:t>第2章 响应文件格式</w:t>
      </w:r>
      <w:bookmarkEnd w:id="593"/>
      <w:bookmarkEnd w:id="594"/>
      <w:bookmarkEnd w:id="595"/>
      <w:bookmarkEnd w:id="596"/>
      <w:bookmarkEnd w:id="597"/>
      <w:bookmarkEnd w:id="598"/>
    </w:p>
    <w:p w14:paraId="04A3A263">
      <w:pPr>
        <w:pStyle w:val="4"/>
        <w:pageBreakBefore w:val="0"/>
        <w:kinsoku/>
        <w:wordWrap/>
        <w:overflowPunct/>
        <w:topLinePunct w:val="0"/>
        <w:bidi w:val="0"/>
        <w:snapToGrid w:val="0"/>
        <w:spacing w:before="0" w:line="520" w:lineRule="exact"/>
        <w:ind w:left="1080" w:leftChars="257" w:hanging="540"/>
        <w:textAlignment w:val="baseline"/>
        <w:rPr>
          <w:rFonts w:ascii="微软雅黑" w:hAnsi="微软雅黑" w:eastAsia="微软雅黑" w:cs="微软雅黑"/>
          <w:color w:val="auto"/>
          <w:sz w:val="24"/>
          <w:highlight w:val="none"/>
        </w:rPr>
      </w:pPr>
      <w:bookmarkStart w:id="599" w:name="_Toc1126"/>
      <w:bookmarkStart w:id="600" w:name="_Toc14421"/>
      <w:bookmarkStart w:id="601" w:name="_Toc19961"/>
      <w:bookmarkStart w:id="602" w:name="_Toc3315"/>
      <w:bookmarkStart w:id="603" w:name="_Toc27184"/>
      <w:bookmarkStart w:id="604" w:name="_Toc18974"/>
      <w:bookmarkStart w:id="605" w:name="_Toc18694"/>
      <w:bookmarkStart w:id="606" w:name="_Toc515647803"/>
      <w:bookmarkStart w:id="607" w:name="_Toc26489"/>
      <w:r>
        <w:rPr>
          <w:rFonts w:hint="eastAsia" w:ascii="微软雅黑" w:hAnsi="微软雅黑" w:eastAsia="微软雅黑" w:cs="微软雅黑"/>
          <w:color w:val="auto"/>
          <w:sz w:val="24"/>
          <w:szCs w:val="24"/>
          <w:highlight w:val="none"/>
        </w:rPr>
        <w:t>第一部分 磋商开启一览表及资格证明文件</w:t>
      </w:r>
      <w:bookmarkEnd w:id="599"/>
      <w:bookmarkEnd w:id="600"/>
      <w:bookmarkEnd w:id="601"/>
      <w:bookmarkEnd w:id="602"/>
      <w:bookmarkEnd w:id="603"/>
      <w:bookmarkEnd w:id="604"/>
      <w:bookmarkEnd w:id="605"/>
      <w:bookmarkEnd w:id="606"/>
      <w:bookmarkEnd w:id="607"/>
    </w:p>
    <w:p w14:paraId="6DB92F5E">
      <w:pPr>
        <w:keepNext w:val="0"/>
        <w:keepLines w:val="0"/>
        <w:pageBreakBefore w:val="0"/>
        <w:tabs>
          <w:tab w:val="left" w:pos="5580"/>
        </w:tabs>
        <w:kinsoku/>
        <w:wordWrap/>
        <w:overflowPunct/>
        <w:topLinePunct w:val="0"/>
        <w:autoSpaceDE/>
        <w:autoSpaceDN/>
        <w:bidi w:val="0"/>
        <w:adjustRightInd/>
        <w:snapToGrid w:val="0"/>
        <w:spacing w:line="480" w:lineRule="exact"/>
        <w:ind w:firstLine="480" w:firstLineChars="200"/>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磋商报价一览表;</w:t>
      </w:r>
    </w:p>
    <w:p w14:paraId="438F7194">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p>
    <w:p w14:paraId="05EEDE65">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①具有独立承担民事责任的能力；（投标时，提供在中华人民共和国境内注册的法人或其他组织的营业执照或事业单位法人证书或社会团体法人登记证书）</w:t>
      </w:r>
    </w:p>
    <w:p w14:paraId="19FB86DF">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②提供法定代表人资格证明及授权书、被授权人身份证；(法定代表人投标需提供法定代表人身份证)；</w:t>
      </w:r>
    </w:p>
    <w:p w14:paraId="4687FD6F">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lang w:val="en-US" w:eastAsia="zh-CN"/>
        </w:rPr>
        <w:t>③提供本单位依法缴纳近6个月内任意一个月的社会保险证明（新成立公司提供相关证明文件）</w:t>
      </w:r>
      <w:r>
        <w:rPr>
          <w:rFonts w:hint="eastAsia" w:ascii="微软雅黑" w:hAnsi="微软雅黑" w:eastAsia="微软雅黑" w:cs="微软雅黑"/>
          <w:color w:val="auto"/>
          <w:kern w:val="0"/>
          <w:sz w:val="24"/>
          <w:highlight w:val="none"/>
          <w:lang w:eastAsia="zh-CN"/>
        </w:rPr>
        <w:t>；</w:t>
      </w:r>
    </w:p>
    <w:p w14:paraId="7C4D4E5E">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④提供税务部门出具的本单位近6个月内任意一个月的完税证明（依法免缴的应提供依法免缴的相关证明文件或零申报报表或无欠税证明）</w:t>
      </w:r>
      <w:r>
        <w:rPr>
          <w:rFonts w:hint="eastAsia" w:ascii="微软雅黑" w:hAnsi="微软雅黑" w:eastAsia="微软雅黑" w:cs="微软雅黑"/>
          <w:color w:val="auto"/>
          <w:kern w:val="0"/>
          <w:sz w:val="24"/>
          <w:highlight w:val="none"/>
        </w:rPr>
        <w:t>；</w:t>
      </w:r>
    </w:p>
    <w:p w14:paraId="6268100E">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⑤提供近两年任意一年完整的财务审计报告（或近一个月的银行资信证明）</w:t>
      </w:r>
    </w:p>
    <w:p w14:paraId="449725F6">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⑥</w:t>
      </w:r>
      <w:r>
        <w:rPr>
          <w:rFonts w:hint="eastAsia" w:ascii="微软雅黑" w:hAnsi="微软雅黑" w:eastAsia="微软雅黑" w:cs="微软雅黑"/>
          <w:color w:val="auto"/>
          <w:kern w:val="0"/>
          <w:sz w:val="24"/>
          <w:highlight w:val="none"/>
        </w:rPr>
        <w:t>参与政府采购活动前3年内未被列入失信、重大税收违法案件、财政部门禁止参加政府采购活动的承诺书；</w:t>
      </w:r>
    </w:p>
    <w:p w14:paraId="2C619084">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⑦</w:t>
      </w:r>
      <w:r>
        <w:rPr>
          <w:rFonts w:hint="eastAsia" w:ascii="微软雅黑" w:hAnsi="微软雅黑" w:eastAsia="微软雅黑" w:cs="微软雅黑"/>
          <w:color w:val="auto"/>
          <w:kern w:val="0"/>
          <w:sz w:val="24"/>
          <w:highlight w:val="none"/>
        </w:rPr>
        <w:t>提供针对本次项目的反商业贿赂承诺书。</w:t>
      </w:r>
    </w:p>
    <w:p w14:paraId="5C51723B">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216DC770">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⑨中小企业声明函（施工）</w:t>
      </w:r>
    </w:p>
    <w:p w14:paraId="52894BD8">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3、本项目的特定资格要求：①企业资质要求：【建筑工程施工总承包三级】（含）及以上资质或【建筑装饰装修工程施工专业承包二级】（含）及以上资质，并具备有效的安全生产许可证。②项目负责人资质要求：【建筑工程专业二级】（含）及二级以上注册建造师执业资格，具备有效的B类安全生产考核合格证书，且不得担任其他在建工程的项目负责人</w:t>
      </w:r>
      <w:r>
        <w:rPr>
          <w:rFonts w:hint="eastAsia" w:ascii="微软雅黑" w:hAnsi="微软雅黑" w:eastAsia="微软雅黑" w:cs="微软雅黑"/>
          <w:b/>
          <w:bCs/>
          <w:color w:val="auto"/>
          <w:kern w:val="2"/>
          <w:sz w:val="24"/>
          <w:szCs w:val="24"/>
          <w:highlight w:val="none"/>
          <w:lang w:val="en-US" w:eastAsia="zh-CN" w:bidi="ar-SA"/>
        </w:rPr>
        <w:t>（提供无在建承项目诺书）</w:t>
      </w:r>
      <w:r>
        <w:rPr>
          <w:rFonts w:hint="eastAsia" w:ascii="微软雅黑" w:hAnsi="微软雅黑" w:eastAsia="微软雅黑" w:cs="微软雅黑"/>
          <w:color w:val="auto"/>
          <w:kern w:val="0"/>
          <w:sz w:val="24"/>
          <w:highlight w:val="none"/>
          <w:lang w:val="en-US" w:eastAsia="zh-CN"/>
        </w:rPr>
        <w:t>。</w:t>
      </w:r>
    </w:p>
    <w:p w14:paraId="2F00008D">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4、缴纳磋商保证金有效凭证；</w:t>
      </w:r>
    </w:p>
    <w:p w14:paraId="45EB4D15">
      <w:pPr>
        <w:pageBreakBefore w:val="0"/>
        <w:kinsoku/>
        <w:wordWrap/>
        <w:overflowPunct/>
        <w:topLinePunct w:val="0"/>
        <w:bidi w:val="0"/>
        <w:spacing w:line="520" w:lineRule="exact"/>
        <w:outlineLvl w:val="9"/>
        <w:rPr>
          <w:rFonts w:ascii="微软雅黑" w:hAnsi="微软雅黑" w:eastAsia="微软雅黑" w:cs="微软雅黑"/>
          <w:color w:val="auto"/>
          <w:sz w:val="21"/>
          <w:highlight w:val="none"/>
        </w:rPr>
      </w:pPr>
    </w:p>
    <w:p w14:paraId="59CDAE60">
      <w:pPr>
        <w:pStyle w:val="4"/>
        <w:pageBreakBefore w:val="0"/>
        <w:kinsoku/>
        <w:wordWrap/>
        <w:overflowPunct/>
        <w:topLinePunct w:val="0"/>
        <w:bidi w:val="0"/>
        <w:snapToGrid w:val="0"/>
        <w:spacing w:before="0" w:line="520" w:lineRule="exact"/>
        <w:jc w:val="both"/>
        <w:textAlignment w:val="baseline"/>
        <w:rPr>
          <w:rFonts w:ascii="微软雅黑" w:hAnsi="微软雅黑" w:eastAsia="微软雅黑" w:cs="微软雅黑"/>
          <w:color w:val="auto"/>
          <w:sz w:val="24"/>
          <w:szCs w:val="24"/>
          <w:highlight w:val="none"/>
        </w:rPr>
      </w:pPr>
      <w:bookmarkStart w:id="608" w:name="_Toc24216"/>
      <w:bookmarkStart w:id="609" w:name="_Toc18454"/>
      <w:bookmarkStart w:id="610" w:name="_Toc11175"/>
      <w:bookmarkStart w:id="611" w:name="_Toc520356217"/>
      <w:bookmarkStart w:id="612" w:name="_Toc216582813"/>
      <w:bookmarkStart w:id="613" w:name="_Ref467988698"/>
      <w:bookmarkStart w:id="614" w:name="_Toc480942349"/>
      <w:r>
        <w:rPr>
          <w:rFonts w:hint="eastAsia" w:ascii="微软雅黑" w:hAnsi="微软雅黑" w:eastAsia="微软雅黑" w:cs="微软雅黑"/>
          <w:color w:val="auto"/>
          <w:sz w:val="24"/>
          <w:szCs w:val="24"/>
          <w:highlight w:val="none"/>
        </w:rPr>
        <w:t>1、磋商报价一览表</w:t>
      </w:r>
      <w:bookmarkEnd w:id="608"/>
      <w:bookmarkEnd w:id="609"/>
      <w:bookmarkEnd w:id="610"/>
    </w:p>
    <w:p w14:paraId="04907D78">
      <w:pPr>
        <w:pStyle w:val="8"/>
        <w:pageBreakBefore w:val="0"/>
        <w:tabs>
          <w:tab w:val="left" w:pos="5580"/>
        </w:tabs>
        <w:kinsoku/>
        <w:wordWrap/>
        <w:overflowPunct/>
        <w:topLinePunct w:val="0"/>
        <w:bidi w:val="0"/>
        <w:snapToGrid w:val="0"/>
        <w:spacing w:line="520" w:lineRule="exact"/>
        <w:ind w:firstLine="0"/>
        <w:jc w:val="center"/>
        <w:textAlignment w:val="baseline"/>
        <w:rPr>
          <w:rFonts w:ascii="微软雅黑" w:hAnsi="微软雅黑" w:eastAsia="微软雅黑" w:cs="微软雅黑"/>
          <w:color w:val="auto"/>
          <w:szCs w:val="24"/>
          <w:highlight w:val="none"/>
        </w:rPr>
      </w:pPr>
      <w:bookmarkStart w:id="615" w:name="_Hlt520356241"/>
      <w:bookmarkEnd w:id="615"/>
      <w:r>
        <w:rPr>
          <w:rFonts w:hint="eastAsia" w:ascii="微软雅黑" w:hAnsi="微软雅黑" w:eastAsia="微软雅黑" w:cs="微软雅黑"/>
          <w:b/>
          <w:color w:val="auto"/>
          <w:szCs w:val="24"/>
          <w:highlight w:val="none"/>
        </w:rPr>
        <w:t>磋商报价一览表</w:t>
      </w:r>
    </w:p>
    <w:p w14:paraId="6331C0E0">
      <w:pPr>
        <w:pageBreakBefore w:val="0"/>
        <w:tabs>
          <w:tab w:val="left" w:pos="1800"/>
          <w:tab w:val="left" w:pos="5580"/>
        </w:tabs>
        <w:kinsoku/>
        <w:wordWrap/>
        <w:overflowPunct/>
        <w:topLinePunct w:val="0"/>
        <w:bidi w:val="0"/>
        <w:snapToGrid w:val="0"/>
        <w:spacing w:line="520" w:lineRule="exact"/>
        <w:ind w:left="1080" w:leftChars="257" w:right="-867" w:hanging="54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项目编号：                        </w:t>
      </w:r>
    </w:p>
    <w:p w14:paraId="07C09501">
      <w:pPr>
        <w:pageBreakBefore w:val="0"/>
        <w:tabs>
          <w:tab w:val="left" w:pos="1800"/>
          <w:tab w:val="left" w:pos="5580"/>
        </w:tabs>
        <w:kinsoku/>
        <w:wordWrap/>
        <w:overflowPunct/>
        <w:topLinePunct w:val="0"/>
        <w:bidi w:val="0"/>
        <w:snapToGrid w:val="0"/>
        <w:spacing w:line="520" w:lineRule="exact"/>
        <w:ind w:left="1080" w:leftChars="257" w:right="-867" w:hanging="54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报价单位：人民币  </w:t>
      </w:r>
      <w:r>
        <w:rPr>
          <w:rFonts w:hint="eastAsia" w:ascii="微软雅黑" w:hAnsi="微软雅黑" w:eastAsia="微软雅黑" w:cs="微软雅黑"/>
          <w:b/>
          <w:color w:val="auto"/>
          <w:sz w:val="24"/>
          <w:highlight w:val="none"/>
        </w:rPr>
        <w:t>万元</w:t>
      </w:r>
    </w:p>
    <w:tbl>
      <w:tblPr>
        <w:tblStyle w:val="38"/>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5"/>
        <w:gridCol w:w="1544"/>
        <w:gridCol w:w="2001"/>
        <w:gridCol w:w="1291"/>
        <w:gridCol w:w="1291"/>
        <w:gridCol w:w="1448"/>
        <w:gridCol w:w="1448"/>
      </w:tblGrid>
      <w:tr w14:paraId="48DB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295" w:type="dxa"/>
            <w:vAlign w:val="center"/>
          </w:tcPr>
          <w:p w14:paraId="78AB9EB5">
            <w:pPr>
              <w:pageBreakBefore w:val="0"/>
              <w:tabs>
                <w:tab w:val="left" w:pos="5580"/>
              </w:tabs>
              <w:kinsoku/>
              <w:wordWrap/>
              <w:overflowPunct/>
              <w:topLinePunct w:val="0"/>
              <w:bidi w:val="0"/>
              <w:snapToGrid w:val="0"/>
              <w:spacing w:line="520" w:lineRule="exact"/>
              <w:ind w:right="-199"/>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名称</w:t>
            </w:r>
          </w:p>
        </w:tc>
        <w:tc>
          <w:tcPr>
            <w:tcW w:w="1544" w:type="dxa"/>
            <w:vAlign w:val="center"/>
          </w:tcPr>
          <w:p w14:paraId="6A0A9A38">
            <w:pPr>
              <w:pageBreakBefore w:val="0"/>
              <w:tabs>
                <w:tab w:val="left" w:pos="5580"/>
              </w:tabs>
              <w:kinsoku/>
              <w:wordWrap/>
              <w:overflowPunct/>
              <w:topLinePunct w:val="0"/>
              <w:bidi w:val="0"/>
              <w:snapToGrid w:val="0"/>
              <w:spacing w:line="52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总报价</w:t>
            </w:r>
          </w:p>
        </w:tc>
        <w:tc>
          <w:tcPr>
            <w:tcW w:w="2001" w:type="dxa"/>
            <w:vAlign w:val="center"/>
          </w:tcPr>
          <w:p w14:paraId="7DB7B89E">
            <w:pPr>
              <w:pageBreakBefore w:val="0"/>
              <w:tabs>
                <w:tab w:val="left" w:pos="5580"/>
              </w:tabs>
              <w:kinsoku/>
              <w:wordWrap/>
              <w:overflowPunct/>
              <w:topLinePunct w:val="0"/>
              <w:bidi w:val="0"/>
              <w:snapToGrid w:val="0"/>
              <w:spacing w:line="520" w:lineRule="exact"/>
              <w:jc w:val="center"/>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保证金</w:t>
            </w:r>
            <w:r>
              <w:rPr>
                <w:rFonts w:hint="eastAsia" w:ascii="微软雅黑" w:hAnsi="微软雅黑" w:eastAsia="微软雅黑" w:cs="微软雅黑"/>
                <w:color w:val="auto"/>
                <w:sz w:val="24"/>
                <w:highlight w:val="none"/>
                <w:lang w:eastAsia="zh-CN"/>
              </w:rPr>
              <w:t>缴纳方式及金额</w:t>
            </w:r>
          </w:p>
        </w:tc>
        <w:tc>
          <w:tcPr>
            <w:tcW w:w="1291" w:type="dxa"/>
            <w:vAlign w:val="center"/>
          </w:tcPr>
          <w:p w14:paraId="63D7E1F9">
            <w:pPr>
              <w:pageBreakBefore w:val="0"/>
              <w:tabs>
                <w:tab w:val="left" w:pos="5580"/>
              </w:tabs>
              <w:kinsoku/>
              <w:wordWrap/>
              <w:overflowPunct/>
              <w:topLinePunct w:val="0"/>
              <w:bidi w:val="0"/>
              <w:snapToGrid w:val="0"/>
              <w:spacing w:line="520" w:lineRule="exact"/>
              <w:jc w:val="center"/>
              <w:textAlignment w:val="baseline"/>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项目负责人姓名及注册证号</w:t>
            </w:r>
          </w:p>
        </w:tc>
        <w:tc>
          <w:tcPr>
            <w:tcW w:w="1291" w:type="dxa"/>
            <w:vAlign w:val="center"/>
          </w:tcPr>
          <w:p w14:paraId="0FFE71A1">
            <w:pPr>
              <w:pageBreakBefore w:val="0"/>
              <w:tabs>
                <w:tab w:val="left" w:pos="5580"/>
              </w:tabs>
              <w:kinsoku/>
              <w:wordWrap/>
              <w:overflowPunct/>
              <w:topLinePunct w:val="0"/>
              <w:bidi w:val="0"/>
              <w:snapToGrid w:val="0"/>
              <w:spacing w:line="520" w:lineRule="exact"/>
              <w:jc w:val="center"/>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工期</w:t>
            </w:r>
          </w:p>
        </w:tc>
        <w:tc>
          <w:tcPr>
            <w:tcW w:w="1448" w:type="dxa"/>
            <w:vAlign w:val="center"/>
          </w:tcPr>
          <w:p w14:paraId="62239697">
            <w:pPr>
              <w:pageBreakBefore w:val="0"/>
              <w:tabs>
                <w:tab w:val="left" w:pos="5580"/>
              </w:tabs>
              <w:kinsoku/>
              <w:wordWrap/>
              <w:overflowPunct/>
              <w:topLinePunct w:val="0"/>
              <w:bidi w:val="0"/>
              <w:snapToGrid w:val="0"/>
              <w:spacing w:line="520" w:lineRule="exact"/>
              <w:jc w:val="center"/>
              <w:textAlignment w:val="baseline"/>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工程质量</w:t>
            </w:r>
          </w:p>
        </w:tc>
        <w:tc>
          <w:tcPr>
            <w:tcW w:w="1448" w:type="dxa"/>
            <w:vAlign w:val="center"/>
          </w:tcPr>
          <w:p w14:paraId="2B364DFE">
            <w:pPr>
              <w:pageBreakBefore w:val="0"/>
              <w:tabs>
                <w:tab w:val="left" w:pos="5580"/>
              </w:tabs>
              <w:kinsoku/>
              <w:wordWrap/>
              <w:overflowPunct/>
              <w:topLinePunct w:val="0"/>
              <w:bidi w:val="0"/>
              <w:snapToGrid w:val="0"/>
              <w:spacing w:line="52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40A6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6" w:hRule="atLeast"/>
          <w:jc w:val="center"/>
        </w:trPr>
        <w:tc>
          <w:tcPr>
            <w:tcW w:w="1295" w:type="dxa"/>
            <w:vAlign w:val="center"/>
          </w:tcPr>
          <w:p w14:paraId="17FF7E60">
            <w:pPr>
              <w:pageBreakBefore w:val="0"/>
              <w:tabs>
                <w:tab w:val="left" w:pos="5580"/>
              </w:tabs>
              <w:kinsoku/>
              <w:wordWrap/>
              <w:overflowPunct/>
              <w:topLinePunct w:val="0"/>
              <w:bidi w:val="0"/>
              <w:snapToGrid w:val="0"/>
              <w:spacing w:line="520" w:lineRule="exact"/>
              <w:ind w:left="1080" w:leftChars="257" w:hanging="540"/>
              <w:jc w:val="center"/>
              <w:textAlignment w:val="baseline"/>
              <w:rPr>
                <w:rFonts w:ascii="微软雅黑" w:hAnsi="微软雅黑" w:eastAsia="微软雅黑" w:cs="微软雅黑"/>
                <w:color w:val="auto"/>
                <w:sz w:val="24"/>
                <w:highlight w:val="none"/>
              </w:rPr>
            </w:pPr>
          </w:p>
        </w:tc>
        <w:tc>
          <w:tcPr>
            <w:tcW w:w="1544" w:type="dxa"/>
            <w:vAlign w:val="center"/>
          </w:tcPr>
          <w:p w14:paraId="490C83ED">
            <w:pPr>
              <w:pageBreakBefore w:val="0"/>
              <w:tabs>
                <w:tab w:val="left" w:pos="5580"/>
              </w:tabs>
              <w:kinsoku/>
              <w:wordWrap/>
              <w:overflowPunct/>
              <w:topLinePunct w:val="0"/>
              <w:bidi w:val="0"/>
              <w:snapToGrid w:val="0"/>
              <w:spacing w:line="520" w:lineRule="exact"/>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大写：</w:t>
            </w:r>
          </w:p>
          <w:p w14:paraId="7D1AE309">
            <w:pPr>
              <w:pageBreakBefore w:val="0"/>
              <w:tabs>
                <w:tab w:val="left" w:pos="5580"/>
              </w:tabs>
              <w:kinsoku/>
              <w:wordWrap/>
              <w:overflowPunct/>
              <w:topLinePunct w:val="0"/>
              <w:bidi w:val="0"/>
              <w:snapToGrid w:val="0"/>
              <w:spacing w:line="520" w:lineRule="exact"/>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小写：</w:t>
            </w:r>
          </w:p>
        </w:tc>
        <w:tc>
          <w:tcPr>
            <w:tcW w:w="2001" w:type="dxa"/>
            <w:vAlign w:val="center"/>
          </w:tcPr>
          <w:p w14:paraId="7A1E9F58">
            <w:pPr>
              <w:pageBreakBefore w:val="0"/>
              <w:tabs>
                <w:tab w:val="left" w:pos="5580"/>
              </w:tabs>
              <w:kinsoku/>
              <w:wordWrap/>
              <w:overflowPunct/>
              <w:topLinePunct w:val="0"/>
              <w:bidi w:val="0"/>
              <w:snapToGrid w:val="0"/>
              <w:spacing w:line="520" w:lineRule="exact"/>
              <w:ind w:left="1080" w:leftChars="257" w:hanging="540"/>
              <w:jc w:val="center"/>
              <w:textAlignment w:val="baseline"/>
              <w:rPr>
                <w:rFonts w:ascii="微软雅黑" w:hAnsi="微软雅黑" w:eastAsia="微软雅黑" w:cs="微软雅黑"/>
                <w:color w:val="auto"/>
                <w:sz w:val="24"/>
                <w:highlight w:val="none"/>
              </w:rPr>
            </w:pPr>
          </w:p>
        </w:tc>
        <w:tc>
          <w:tcPr>
            <w:tcW w:w="1291" w:type="dxa"/>
            <w:vAlign w:val="center"/>
          </w:tcPr>
          <w:p w14:paraId="7AFE8311">
            <w:pPr>
              <w:pageBreakBefore w:val="0"/>
              <w:tabs>
                <w:tab w:val="left" w:pos="5580"/>
              </w:tabs>
              <w:kinsoku/>
              <w:wordWrap/>
              <w:overflowPunct/>
              <w:topLinePunct w:val="0"/>
              <w:bidi w:val="0"/>
              <w:snapToGrid w:val="0"/>
              <w:spacing w:line="520" w:lineRule="exact"/>
              <w:ind w:left="1080" w:leftChars="257" w:hanging="540"/>
              <w:jc w:val="center"/>
              <w:textAlignment w:val="baseline"/>
              <w:rPr>
                <w:rFonts w:ascii="微软雅黑" w:hAnsi="微软雅黑" w:eastAsia="微软雅黑" w:cs="微软雅黑"/>
                <w:color w:val="auto"/>
                <w:sz w:val="24"/>
                <w:highlight w:val="none"/>
              </w:rPr>
            </w:pPr>
          </w:p>
        </w:tc>
        <w:tc>
          <w:tcPr>
            <w:tcW w:w="1291" w:type="dxa"/>
            <w:vAlign w:val="center"/>
          </w:tcPr>
          <w:p w14:paraId="36E57DBB">
            <w:pPr>
              <w:pageBreakBefore w:val="0"/>
              <w:tabs>
                <w:tab w:val="left" w:pos="5580"/>
              </w:tabs>
              <w:kinsoku/>
              <w:wordWrap/>
              <w:overflowPunct/>
              <w:topLinePunct w:val="0"/>
              <w:bidi w:val="0"/>
              <w:snapToGrid w:val="0"/>
              <w:spacing w:line="520" w:lineRule="exact"/>
              <w:ind w:firstLine="240" w:firstLineChars="100"/>
              <w:jc w:val="both"/>
              <w:textAlignment w:val="baseline"/>
              <w:rPr>
                <w:rFonts w:hint="default" w:ascii="微软雅黑" w:hAnsi="微软雅黑" w:eastAsia="微软雅黑" w:cs="微软雅黑"/>
                <w:color w:val="auto"/>
                <w:sz w:val="24"/>
                <w:highlight w:val="none"/>
                <w:lang w:val="en-US" w:eastAsia="zh-CN"/>
              </w:rPr>
            </w:pPr>
          </w:p>
        </w:tc>
        <w:tc>
          <w:tcPr>
            <w:tcW w:w="1448" w:type="dxa"/>
            <w:vAlign w:val="center"/>
          </w:tcPr>
          <w:p w14:paraId="4642AD35">
            <w:pPr>
              <w:pageBreakBefore w:val="0"/>
              <w:tabs>
                <w:tab w:val="left" w:pos="5580"/>
              </w:tabs>
              <w:kinsoku/>
              <w:wordWrap/>
              <w:overflowPunct/>
              <w:topLinePunct w:val="0"/>
              <w:bidi w:val="0"/>
              <w:snapToGrid w:val="0"/>
              <w:spacing w:line="520" w:lineRule="exact"/>
              <w:ind w:left="1080" w:leftChars="257" w:hanging="540"/>
              <w:jc w:val="center"/>
              <w:textAlignment w:val="baseline"/>
              <w:rPr>
                <w:rFonts w:ascii="微软雅黑" w:hAnsi="微软雅黑" w:eastAsia="微软雅黑" w:cs="微软雅黑"/>
                <w:color w:val="auto"/>
                <w:sz w:val="24"/>
                <w:highlight w:val="none"/>
              </w:rPr>
            </w:pPr>
          </w:p>
        </w:tc>
        <w:tc>
          <w:tcPr>
            <w:tcW w:w="1448" w:type="dxa"/>
            <w:vAlign w:val="center"/>
          </w:tcPr>
          <w:p w14:paraId="771E691F">
            <w:pPr>
              <w:pageBreakBefore w:val="0"/>
              <w:tabs>
                <w:tab w:val="left" w:pos="5580"/>
              </w:tabs>
              <w:kinsoku/>
              <w:wordWrap/>
              <w:overflowPunct/>
              <w:topLinePunct w:val="0"/>
              <w:bidi w:val="0"/>
              <w:snapToGrid w:val="0"/>
              <w:spacing w:line="520" w:lineRule="exact"/>
              <w:ind w:left="1080" w:leftChars="257" w:hanging="540"/>
              <w:jc w:val="center"/>
              <w:textAlignment w:val="baseline"/>
              <w:rPr>
                <w:rFonts w:ascii="微软雅黑" w:hAnsi="微软雅黑" w:eastAsia="微软雅黑" w:cs="微软雅黑"/>
                <w:color w:val="auto"/>
                <w:sz w:val="24"/>
                <w:highlight w:val="none"/>
              </w:rPr>
            </w:pPr>
          </w:p>
        </w:tc>
      </w:tr>
    </w:tbl>
    <w:p w14:paraId="0BD96064">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u w:val="single" w:color="000000"/>
        </w:rPr>
      </w:pPr>
    </w:p>
    <w:p w14:paraId="46173711">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名称（公章）：</w:t>
      </w:r>
    </w:p>
    <w:p w14:paraId="731D0155">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法定代表人或委托代理(签字):</w:t>
      </w:r>
    </w:p>
    <w:p w14:paraId="26716956">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p>
    <w:p w14:paraId="55CF3E64">
      <w:pPr>
        <w:pStyle w:val="29"/>
        <w:pageBreakBefore w:val="0"/>
        <w:kinsoku/>
        <w:wordWrap/>
        <w:overflowPunct/>
        <w:topLinePunct w:val="0"/>
        <w:bidi w:val="0"/>
        <w:spacing w:line="520" w:lineRule="exact"/>
        <w:ind w:left="0" w:leftChars="0" w:firstLine="0" w:firstLineChars="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注:1、此表中，磋商总价应和磋商分项报价表的总价相一致。</w:t>
      </w:r>
    </w:p>
    <w:p w14:paraId="48D21CF5">
      <w:pPr>
        <w:pStyle w:val="29"/>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5E2E01C9">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6EEFBEF5">
      <w:pPr>
        <w:pageBreakBefore w:val="0"/>
        <w:kinsoku/>
        <w:wordWrap/>
        <w:overflowPunct/>
        <w:topLinePunct w:val="0"/>
        <w:bidi w:val="0"/>
        <w:spacing w:line="520" w:lineRule="exact"/>
        <w:outlineLvl w:val="9"/>
        <w:rPr>
          <w:rFonts w:hint="eastAsia" w:ascii="微软雅黑" w:hAnsi="微软雅黑" w:eastAsia="微软雅黑" w:cs="微软雅黑"/>
          <w:color w:val="auto"/>
          <w:sz w:val="24"/>
          <w:szCs w:val="24"/>
          <w:highlight w:val="none"/>
        </w:rPr>
      </w:pPr>
    </w:p>
    <w:p w14:paraId="2F0E08DD">
      <w:pPr>
        <w:pageBreakBefore w:val="0"/>
        <w:kinsoku/>
        <w:wordWrap/>
        <w:overflowPunct/>
        <w:topLinePunct w:val="0"/>
        <w:bidi w:val="0"/>
        <w:spacing w:line="520" w:lineRule="exact"/>
        <w:outlineLvl w:val="9"/>
        <w:rPr>
          <w:rFonts w:hint="eastAsia" w:ascii="微软雅黑" w:hAnsi="微软雅黑" w:eastAsia="微软雅黑" w:cs="微软雅黑"/>
          <w:color w:val="auto"/>
          <w:sz w:val="24"/>
          <w:szCs w:val="24"/>
          <w:highlight w:val="none"/>
        </w:rPr>
      </w:pPr>
    </w:p>
    <w:p w14:paraId="281C50C8">
      <w:pPr>
        <w:pStyle w:val="36"/>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76BF19A1">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76F2F361">
      <w:pPr>
        <w:pStyle w:val="36"/>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608C4CC4">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7090A228">
      <w:pPr>
        <w:pStyle w:val="8"/>
        <w:pageBreakBefore w:val="0"/>
        <w:kinsoku/>
        <w:wordWrap/>
        <w:overflowPunct/>
        <w:topLinePunct w:val="0"/>
        <w:bidi w:val="0"/>
        <w:spacing w:line="520" w:lineRule="exact"/>
        <w:ind w:left="0" w:leftChars="0" w:firstLine="0" w:firstLineChars="0"/>
        <w:outlineLvl w:val="9"/>
        <w:rPr>
          <w:rFonts w:hint="eastAsia" w:ascii="微软雅黑" w:hAnsi="微软雅黑" w:eastAsia="微软雅黑" w:cs="微软雅黑"/>
          <w:b/>
          <w:bCs/>
          <w:color w:val="auto"/>
          <w:highlight w:val="none"/>
        </w:rPr>
      </w:pPr>
      <w:bookmarkStart w:id="616" w:name="_Toc32348"/>
      <w:bookmarkStart w:id="617" w:name="_Toc3218"/>
    </w:p>
    <w:p w14:paraId="4862B68C">
      <w:pPr>
        <w:rPr>
          <w:rFonts w:hint="eastAsia" w:ascii="微软雅黑" w:hAnsi="微软雅黑" w:eastAsia="微软雅黑" w:cs="微软雅黑"/>
          <w:b/>
          <w:bCs/>
          <w:color w:val="auto"/>
          <w:highlight w:val="none"/>
        </w:rPr>
      </w:pPr>
      <w:bookmarkStart w:id="618" w:name="_Toc15680"/>
      <w:bookmarkStart w:id="619" w:name="_Toc14643"/>
      <w:r>
        <w:rPr>
          <w:rFonts w:hint="eastAsia" w:ascii="微软雅黑" w:hAnsi="微软雅黑" w:eastAsia="微软雅黑" w:cs="微软雅黑"/>
          <w:b/>
          <w:bCs/>
          <w:color w:val="auto"/>
          <w:highlight w:val="none"/>
        </w:rPr>
        <w:br w:type="page"/>
      </w:r>
    </w:p>
    <w:p w14:paraId="53DF36DF">
      <w:pPr>
        <w:pStyle w:val="8"/>
        <w:pageBreakBefore w:val="0"/>
        <w:kinsoku/>
        <w:wordWrap/>
        <w:overflowPunct/>
        <w:topLinePunct w:val="0"/>
        <w:bidi w:val="0"/>
        <w:spacing w:line="520" w:lineRule="exact"/>
        <w:outlineLvl w:val="1"/>
        <w:rPr>
          <w:rFonts w:hint="eastAsia" w:ascii="微软雅黑" w:hAnsi="微软雅黑" w:eastAsia="微软雅黑" w:cs="微软雅黑"/>
          <w:b/>
          <w:bCs/>
          <w:color w:val="auto"/>
          <w:highlight w:val="none"/>
        </w:rPr>
      </w:pPr>
      <w:bookmarkStart w:id="620" w:name="_Toc1174"/>
      <w:r>
        <w:rPr>
          <w:rFonts w:hint="eastAsia" w:ascii="微软雅黑" w:hAnsi="微软雅黑" w:eastAsia="微软雅黑" w:cs="微软雅黑"/>
          <w:b/>
          <w:bCs/>
          <w:color w:val="auto"/>
          <w:highlight w:val="none"/>
        </w:rPr>
        <w:t xml:space="preserve">2  </w:t>
      </w:r>
      <w:bookmarkEnd w:id="616"/>
      <w:r>
        <w:rPr>
          <w:rFonts w:hint="eastAsia" w:ascii="微软雅黑" w:hAnsi="微软雅黑" w:eastAsia="微软雅黑" w:cs="微软雅黑"/>
          <w:b/>
          <w:bCs/>
          <w:color w:val="auto"/>
          <w:highlight w:val="none"/>
        </w:rPr>
        <w:t>符合《中华人民共和国政府采购法》第二十二条的规定</w:t>
      </w:r>
      <w:bookmarkEnd w:id="617"/>
      <w:bookmarkEnd w:id="618"/>
      <w:bookmarkEnd w:id="619"/>
      <w:bookmarkEnd w:id="620"/>
    </w:p>
    <w:p w14:paraId="4B38DC71">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b/>
          <w:color w:val="auto"/>
          <w:sz w:val="24"/>
          <w:szCs w:val="24"/>
          <w:highlight w:val="none"/>
        </w:rPr>
      </w:pPr>
    </w:p>
    <w:p w14:paraId="3120D2D1">
      <w:pPr>
        <w:pStyle w:val="8"/>
        <w:pageBreakBefore w:val="0"/>
        <w:kinsoku/>
        <w:wordWrap/>
        <w:overflowPunct/>
        <w:topLinePunct w:val="0"/>
        <w:bidi w:val="0"/>
        <w:spacing w:line="520" w:lineRule="exact"/>
        <w:outlineLvl w:val="9"/>
        <w:rPr>
          <w:rFonts w:hint="eastAsia" w:ascii="微软雅黑" w:hAnsi="微软雅黑" w:eastAsia="微软雅黑" w:cs="微软雅黑"/>
          <w:b/>
          <w:bCs/>
          <w:color w:val="auto"/>
          <w:highlight w:val="none"/>
        </w:rPr>
      </w:pPr>
      <w:bookmarkStart w:id="621" w:name="_Toc22089"/>
      <w:bookmarkStart w:id="622" w:name="_Toc16516"/>
      <w:bookmarkStart w:id="623" w:name="_Toc8241"/>
      <w:bookmarkStart w:id="624" w:name="_Toc16088"/>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0FB51571">
      <w:pPr>
        <w:pStyle w:val="8"/>
        <w:pageBreakBefore w:val="0"/>
        <w:kinsoku/>
        <w:wordWrap/>
        <w:overflowPunct/>
        <w:topLinePunct w:val="0"/>
        <w:bidi w:val="0"/>
        <w:spacing w:line="520" w:lineRule="exact"/>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说明：营业执照正本或副本，须上传扫描件并加盖本单位公章。</w:t>
      </w:r>
    </w:p>
    <w:p w14:paraId="5A55EB3B">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1F83D3A2">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1A802E73">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50FD72E4">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74E8243C">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7D459716">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5B4DDC61">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5FDE6929">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44BFB80B">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2BA24F63">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117EA127">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26C81EC8">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4C8FF392">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6FCE8135">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57AD1EAB">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2365697E">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1D379B09">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2E965FAF">
      <w:pPr>
        <w:pStyle w:val="11"/>
        <w:rPr>
          <w:rFonts w:ascii="微软雅黑" w:hAnsi="微软雅黑" w:eastAsia="微软雅黑" w:cs="微软雅黑"/>
          <w:color w:val="auto"/>
          <w:highlight w:val="none"/>
        </w:rPr>
      </w:pPr>
    </w:p>
    <w:p w14:paraId="13EF4F92">
      <w:pPr>
        <w:pStyle w:val="11"/>
        <w:rPr>
          <w:rFonts w:ascii="微软雅黑" w:hAnsi="微软雅黑" w:eastAsia="微软雅黑" w:cs="微软雅黑"/>
          <w:color w:val="auto"/>
          <w:highlight w:val="none"/>
        </w:rPr>
      </w:pPr>
    </w:p>
    <w:p w14:paraId="13FFAF6D">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p w14:paraId="1953636D">
      <w:pPr>
        <w:pStyle w:val="26"/>
        <w:pageBreakBefore w:val="0"/>
        <w:kinsoku/>
        <w:wordWrap/>
        <w:overflowPunct/>
        <w:topLinePunct w:val="0"/>
        <w:bidi w:val="0"/>
        <w:spacing w:line="520" w:lineRule="exact"/>
        <w:textAlignment w:val="baseline"/>
        <w:rPr>
          <w:rFonts w:ascii="微软雅黑" w:hAnsi="微软雅黑" w:eastAsia="微软雅黑" w:cs="微软雅黑"/>
          <w:color w:val="auto"/>
          <w:highlight w:val="none"/>
        </w:rPr>
      </w:pPr>
    </w:p>
    <w:bookmarkEnd w:id="621"/>
    <w:bookmarkEnd w:id="622"/>
    <w:bookmarkEnd w:id="623"/>
    <w:bookmarkEnd w:id="624"/>
    <w:p w14:paraId="104EAB2D">
      <w:pPr>
        <w:pStyle w:val="2"/>
        <w:pageBreakBefore w:val="0"/>
        <w:kinsoku/>
        <w:wordWrap/>
        <w:overflowPunct/>
        <w:topLinePunct w:val="0"/>
        <w:bidi w:val="0"/>
        <w:snapToGrid w:val="0"/>
        <w:spacing w:line="520" w:lineRule="exact"/>
        <w:textAlignment w:val="baseline"/>
        <w:outlineLvl w:val="9"/>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②法人投标需提供法人身份证明及身份证复印件，被授权委托人需提供法人授权委托书及身份证复印件</w:t>
      </w:r>
    </w:p>
    <w:p w14:paraId="6FFB7813">
      <w:pPr>
        <w:pageBreakBefore w:val="0"/>
        <w:kinsoku/>
        <w:wordWrap/>
        <w:overflowPunct/>
        <w:topLinePunct w:val="0"/>
        <w:bidi w:val="0"/>
        <w:snapToGrid w:val="0"/>
        <w:spacing w:before="312" w:after="312" w:line="52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b/>
          <w:color w:val="auto"/>
          <w:sz w:val="24"/>
          <w:highlight w:val="none"/>
        </w:rPr>
        <w:t>法定代表人资格证明书</w:t>
      </w:r>
    </w:p>
    <w:p w14:paraId="407F4C7C">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同志，现任我单位          职务，为法定代表人，特此证明。</w:t>
      </w:r>
    </w:p>
    <w:p w14:paraId="13FF9406">
      <w:pPr>
        <w:pageBreakBefore w:val="0"/>
        <w:kinsoku/>
        <w:wordWrap/>
        <w:overflowPunct/>
        <w:topLinePunct w:val="0"/>
        <w:bidi w:val="0"/>
        <w:snapToGrid w:val="0"/>
        <w:spacing w:line="520" w:lineRule="exact"/>
        <w:ind w:firstLine="240" w:firstLineChars="10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签发日期：                  单位：         </w:t>
      </w:r>
    </w:p>
    <w:p w14:paraId="60F9288D">
      <w:pPr>
        <w:pageBreakBefore w:val="0"/>
        <w:kinsoku/>
        <w:wordWrap/>
        <w:overflowPunct/>
        <w:topLinePunct w:val="0"/>
        <w:bidi w:val="0"/>
        <w:snapToGrid w:val="0"/>
        <w:spacing w:line="520" w:lineRule="exact"/>
        <w:ind w:firstLine="240" w:firstLineChars="10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附：代表人性别：            年龄：           身份证号码：</w:t>
      </w:r>
    </w:p>
    <w:p w14:paraId="7634D754">
      <w:pPr>
        <w:pageBreakBefore w:val="0"/>
        <w:kinsoku/>
        <w:wordWrap/>
        <w:overflowPunct/>
        <w:topLinePunct w:val="0"/>
        <w:bidi w:val="0"/>
        <w:snapToGrid w:val="0"/>
        <w:spacing w:line="520" w:lineRule="exact"/>
        <w:ind w:firstLine="240" w:firstLineChars="10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14:paraId="4E758AD7">
      <w:pPr>
        <w:pageBreakBefore w:val="0"/>
        <w:kinsoku/>
        <w:wordWrap/>
        <w:overflowPunct/>
        <w:topLinePunct w:val="0"/>
        <w:bidi w:val="0"/>
        <w:snapToGrid w:val="0"/>
        <w:spacing w:line="520" w:lineRule="exact"/>
        <w:ind w:firstLine="240" w:firstLineChars="10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营业执照号码：              经济性质：</w:t>
      </w:r>
    </w:p>
    <w:p w14:paraId="7F1E9E24">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14:paraId="06C3D043">
      <w:pPr>
        <w:pageBreakBefore w:val="0"/>
        <w:kinsoku/>
        <w:wordWrap/>
        <w:overflowPunct/>
        <w:topLinePunct w:val="0"/>
        <w:bidi w:val="0"/>
        <w:snapToGrid w:val="0"/>
        <w:spacing w:line="520" w:lineRule="exact"/>
        <w:ind w:firstLine="240" w:firstLineChars="10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1、法定代表人为企业事业单位、国家机关、社会团体的主要行政负责人。</w:t>
      </w:r>
    </w:p>
    <w:p w14:paraId="139348AE">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2、内容必须填写真实、清楚、涂改无效，不得转让。</w:t>
      </w:r>
    </w:p>
    <w:p w14:paraId="26A98BD1">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698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9443C8">
                            <w:pPr>
                              <w:jc w:val="center"/>
                              <w:rPr>
                                <w:rFonts w:hAnsi="宋体"/>
                                <w:szCs w:val="21"/>
                              </w:rPr>
                            </w:pPr>
                          </w:p>
                          <w:p w14:paraId="7B2E6201">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359443C8">
                      <w:pPr>
                        <w:jc w:val="center"/>
                        <w:rPr>
                          <w:rFonts w:hAnsi="宋体"/>
                          <w:szCs w:val="21"/>
                        </w:rPr>
                      </w:pPr>
                    </w:p>
                    <w:p w14:paraId="7B2E6201">
                      <w:pPr>
                        <w:jc w:val="both"/>
                        <w:rPr>
                          <w:szCs w:val="21"/>
                        </w:rPr>
                      </w:pPr>
                    </w:p>
                  </w:txbxContent>
                </v:textbox>
              </v:shape>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8415" b="889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48E32841">
                            <w:pPr>
                              <w:jc w:val="center"/>
                              <w:rPr>
                                <w:rFonts w:hAnsi="宋体"/>
                                <w:szCs w:val="21"/>
                              </w:rPr>
                            </w:pPr>
                            <w:r>
                              <w:rPr>
                                <w:rFonts w:hint="eastAsia" w:hAnsi="宋体"/>
                                <w:szCs w:val="21"/>
                              </w:rPr>
                              <w:t xml:space="preserve">  </w:t>
                            </w:r>
                          </w:p>
                          <w:p w14:paraId="7C1E14D8">
                            <w:pPr>
                              <w:jc w:val="center"/>
                              <w:rPr>
                                <w:rFonts w:hAnsi="宋体"/>
                                <w:szCs w:val="21"/>
                              </w:rPr>
                            </w:pPr>
                          </w:p>
                          <w:p w14:paraId="014520C2">
                            <w:pPr>
                              <w:jc w:val="center"/>
                              <w:rPr>
                                <w:rFonts w:hAnsi="宋体"/>
                                <w:szCs w:val="21"/>
                              </w:rPr>
                            </w:pPr>
                          </w:p>
                          <w:p w14:paraId="103168ED">
                            <w:pPr>
                              <w:jc w:val="center"/>
                              <w:rPr>
                                <w:szCs w:val="21"/>
                              </w:rPr>
                            </w:pPr>
                          </w:p>
                          <w:p w14:paraId="5CCE5985"/>
                          <w:p w14:paraId="6B1F7B62">
                            <w:pPr>
                              <w:pStyle w:val="8"/>
                            </w:pPr>
                          </w:p>
                          <w:p w14:paraId="027994AB">
                            <w:pPr>
                              <w:pStyle w:val="8"/>
                            </w:pPr>
                          </w:p>
                          <w:p w14:paraId="416FA213">
                            <w:pPr>
                              <w:pStyle w:val="8"/>
                            </w:pPr>
                          </w:p>
                          <w:p w14:paraId="5C7CD624">
                            <w:pPr>
                              <w:pStyle w:val="8"/>
                            </w:pPr>
                          </w:p>
                        </w:txbxContent>
                      </wps:txbx>
                      <wps:bodyPr upright="1"/>
                    </wps:wsp>
                  </a:graphicData>
                </a:graphic>
              </wp:anchor>
            </w:drawing>
          </mc:Choice>
          <mc:Fallback>
            <w:pict>
              <v:roundrect id="圆角矩形 18" o:spid="_x0000_s1026" o:spt="2" style="position:absolute;left:0pt;margin-left:229.8pt;margin-top:2.25pt;height:109.1pt;width:163.55pt;z-index:251659264;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14:paraId="48E32841">
                      <w:pPr>
                        <w:jc w:val="center"/>
                        <w:rPr>
                          <w:rFonts w:hAnsi="宋体"/>
                          <w:szCs w:val="21"/>
                        </w:rPr>
                      </w:pPr>
                      <w:r>
                        <w:rPr>
                          <w:rFonts w:hint="eastAsia" w:hAnsi="宋体"/>
                          <w:szCs w:val="21"/>
                        </w:rPr>
                        <w:t xml:space="preserve">  </w:t>
                      </w:r>
                    </w:p>
                    <w:p w14:paraId="7C1E14D8">
                      <w:pPr>
                        <w:jc w:val="center"/>
                        <w:rPr>
                          <w:rFonts w:hAnsi="宋体"/>
                          <w:szCs w:val="21"/>
                        </w:rPr>
                      </w:pPr>
                    </w:p>
                    <w:p w14:paraId="014520C2">
                      <w:pPr>
                        <w:jc w:val="center"/>
                        <w:rPr>
                          <w:rFonts w:hAnsi="宋体"/>
                          <w:szCs w:val="21"/>
                        </w:rPr>
                      </w:pPr>
                    </w:p>
                    <w:p w14:paraId="103168ED">
                      <w:pPr>
                        <w:jc w:val="center"/>
                        <w:rPr>
                          <w:szCs w:val="21"/>
                        </w:rPr>
                      </w:pPr>
                    </w:p>
                    <w:p w14:paraId="5CCE5985"/>
                    <w:p w14:paraId="6B1F7B62">
                      <w:pPr>
                        <w:pStyle w:val="8"/>
                      </w:pPr>
                    </w:p>
                    <w:p w14:paraId="027994AB">
                      <w:pPr>
                        <w:pStyle w:val="8"/>
                      </w:pPr>
                    </w:p>
                    <w:p w14:paraId="416FA213">
                      <w:pPr>
                        <w:pStyle w:val="8"/>
                      </w:pPr>
                    </w:p>
                    <w:p w14:paraId="5C7CD624">
                      <w:pPr>
                        <w:pStyle w:val="8"/>
                      </w:pPr>
                    </w:p>
                  </w:txbxContent>
                </v:textbox>
              </v:roundrect>
            </w:pict>
          </mc:Fallback>
        </mc:AlternateContent>
      </w:r>
    </w:p>
    <w:p w14:paraId="01E3252D">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p>
    <w:p w14:paraId="71FD7809">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p>
    <w:p w14:paraId="03712193">
      <w:pPr>
        <w:pStyle w:val="26"/>
        <w:pageBreakBefore w:val="0"/>
        <w:kinsoku/>
        <w:wordWrap/>
        <w:overflowPunct/>
        <w:topLinePunct w:val="0"/>
        <w:bidi w:val="0"/>
        <w:spacing w:line="520" w:lineRule="exact"/>
        <w:rPr>
          <w:rFonts w:ascii="微软雅黑" w:hAnsi="微软雅黑" w:eastAsia="微软雅黑" w:cs="微软雅黑"/>
          <w:color w:val="auto"/>
          <w:sz w:val="24"/>
          <w:highlight w:val="none"/>
        </w:rPr>
      </w:pPr>
    </w:p>
    <w:p w14:paraId="69C73B38">
      <w:pPr>
        <w:pageBreakBefore w:val="0"/>
        <w:kinsoku/>
        <w:wordWrap/>
        <w:overflowPunct/>
        <w:topLinePunct w:val="0"/>
        <w:bidi w:val="0"/>
        <w:snapToGrid w:val="0"/>
        <w:spacing w:line="520" w:lineRule="exact"/>
        <w:ind w:right="246"/>
        <w:textAlignment w:val="baseline"/>
        <w:rPr>
          <w:rFonts w:ascii="微软雅黑" w:hAnsi="微软雅黑" w:eastAsia="微软雅黑" w:cs="微软雅黑"/>
          <w:color w:val="auto"/>
          <w:sz w:val="24"/>
          <w:highlight w:val="none"/>
        </w:rPr>
      </w:pPr>
    </w:p>
    <w:p w14:paraId="5D938884">
      <w:pPr>
        <w:pageBreakBefore w:val="0"/>
        <w:kinsoku/>
        <w:wordWrap/>
        <w:overflowPunct/>
        <w:topLinePunct w:val="0"/>
        <w:bidi w:val="0"/>
        <w:snapToGrid w:val="0"/>
        <w:spacing w:line="520" w:lineRule="exact"/>
        <w:ind w:right="246" w:firstLine="784" w:firstLineChars="327"/>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 xml:space="preserve">（盖章）：                              </w:t>
      </w:r>
    </w:p>
    <w:p w14:paraId="741E8F47">
      <w:pPr>
        <w:pageBreakBefore w:val="0"/>
        <w:kinsoku/>
        <w:wordWrap/>
        <w:overflowPunct/>
        <w:topLinePunct w:val="0"/>
        <w:bidi w:val="0"/>
        <w:snapToGrid w:val="0"/>
        <w:spacing w:line="520" w:lineRule="exact"/>
        <w:ind w:firstLine="784" w:firstLineChars="327"/>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法定代表人(签/章)： </w:t>
      </w:r>
    </w:p>
    <w:p w14:paraId="20BC0942">
      <w:pPr>
        <w:pStyle w:val="16"/>
        <w:pageBreakBefore w:val="0"/>
        <w:tabs>
          <w:tab w:val="left" w:pos="5370"/>
        </w:tabs>
        <w:kinsoku/>
        <w:wordWrap/>
        <w:overflowPunct/>
        <w:topLinePunct w:val="0"/>
        <w:bidi w:val="0"/>
        <w:snapToGrid w:val="0"/>
        <w:spacing w:line="520" w:lineRule="exact"/>
        <w:ind w:left="1155" w:leftChars="371" w:hanging="376" w:hangingChars="157"/>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highlight w:val="none"/>
        </w:rPr>
        <w:t xml:space="preserve">                   </w:t>
      </w:r>
    </w:p>
    <w:p w14:paraId="4433A174">
      <w:pPr>
        <w:pageBreakBefore w:val="0"/>
        <w:kinsoku/>
        <w:wordWrap/>
        <w:overflowPunct/>
        <w:topLinePunct w:val="0"/>
        <w:bidi w:val="0"/>
        <w:snapToGrid w:val="0"/>
        <w:spacing w:line="520" w:lineRule="exact"/>
        <w:ind w:firstLine="784" w:firstLineChars="327"/>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14:paraId="40451FD2">
      <w:pPr>
        <w:pStyle w:val="29"/>
        <w:rPr>
          <w:rFonts w:hint="eastAsia" w:ascii="微软雅黑" w:hAnsi="微软雅黑" w:eastAsia="微软雅黑" w:cs="微软雅黑"/>
          <w:color w:val="auto"/>
          <w:sz w:val="24"/>
          <w:szCs w:val="24"/>
          <w:highlight w:val="none"/>
        </w:rPr>
      </w:pPr>
    </w:p>
    <w:p w14:paraId="7FAA6DAB">
      <w:pPr>
        <w:rPr>
          <w:rFonts w:hint="eastAsia" w:ascii="微软雅黑" w:hAnsi="微软雅黑" w:eastAsia="微软雅黑" w:cs="微软雅黑"/>
          <w:color w:val="auto"/>
          <w:sz w:val="24"/>
          <w:szCs w:val="24"/>
          <w:highlight w:val="none"/>
        </w:rPr>
      </w:pPr>
    </w:p>
    <w:p w14:paraId="6419D327">
      <w:pPr>
        <w:rPr>
          <w:rFonts w:hint="eastAsia" w:ascii="微软雅黑" w:hAnsi="微软雅黑" w:eastAsia="微软雅黑" w:cs="微软雅黑"/>
          <w:color w:val="auto"/>
          <w:sz w:val="24"/>
          <w:szCs w:val="24"/>
          <w:highlight w:val="none"/>
        </w:rPr>
      </w:pPr>
    </w:p>
    <w:p w14:paraId="7D2CB2DA">
      <w:pPr>
        <w:rPr>
          <w:rFonts w:hint="eastAsia" w:ascii="微软雅黑" w:hAnsi="微软雅黑" w:eastAsia="微软雅黑" w:cs="微软雅黑"/>
          <w:color w:val="auto"/>
          <w:sz w:val="24"/>
          <w:szCs w:val="24"/>
          <w:highlight w:val="none"/>
        </w:rPr>
      </w:pPr>
    </w:p>
    <w:p w14:paraId="2BB0AB4A">
      <w:pPr>
        <w:rPr>
          <w:rFonts w:hint="eastAsia" w:ascii="微软雅黑" w:hAnsi="微软雅黑" w:eastAsia="微软雅黑" w:cs="微软雅黑"/>
          <w:color w:val="auto"/>
          <w:sz w:val="24"/>
          <w:szCs w:val="24"/>
          <w:highlight w:val="none"/>
        </w:rPr>
      </w:pPr>
    </w:p>
    <w:p w14:paraId="29BBC86E">
      <w:pPr>
        <w:rPr>
          <w:rFonts w:hint="eastAsia" w:ascii="微软雅黑" w:hAnsi="微软雅黑" w:eastAsia="微软雅黑" w:cs="微软雅黑"/>
          <w:color w:val="auto"/>
          <w:sz w:val="24"/>
          <w:szCs w:val="24"/>
          <w:highlight w:val="none"/>
        </w:rPr>
      </w:pPr>
    </w:p>
    <w:p w14:paraId="767B6F91">
      <w:pPr>
        <w:pageBreakBefore w:val="0"/>
        <w:kinsoku/>
        <w:wordWrap/>
        <w:overflowPunct/>
        <w:topLinePunct w:val="0"/>
        <w:bidi w:val="0"/>
        <w:snapToGrid w:val="0"/>
        <w:spacing w:line="520" w:lineRule="exact"/>
        <w:ind w:left="1080" w:leftChars="257" w:hanging="540"/>
        <w:jc w:val="center"/>
        <w:textAlignment w:val="baseline"/>
        <w:rPr>
          <w:rFonts w:ascii="微软雅黑" w:hAnsi="微软雅黑" w:eastAsia="微软雅黑" w:cs="微软雅黑"/>
          <w:b/>
          <w:bCs/>
          <w:color w:val="auto"/>
          <w:sz w:val="24"/>
          <w:highlight w:val="none"/>
          <w:u w:val="single" w:color="000000"/>
        </w:rPr>
      </w:pPr>
      <w:r>
        <w:rPr>
          <w:rFonts w:hint="eastAsia" w:ascii="微软雅黑" w:hAnsi="微软雅黑" w:eastAsia="微软雅黑" w:cs="微软雅黑"/>
          <w:color w:val="auto"/>
          <w:sz w:val="24"/>
          <w:szCs w:val="24"/>
          <w:highlight w:val="none"/>
        </w:rPr>
        <w:t xml:space="preserve">  </w:t>
      </w:r>
      <w:bookmarkStart w:id="625" w:name="_Toc4082"/>
      <w:bookmarkStart w:id="626" w:name="_Toc16640"/>
      <w:bookmarkStart w:id="627" w:name="_Toc21867"/>
      <w:bookmarkStart w:id="628" w:name="_Toc16635"/>
      <w:bookmarkStart w:id="629" w:name="_Toc22472"/>
      <w:bookmarkStart w:id="630" w:name="_Toc7748"/>
      <w:bookmarkStart w:id="631" w:name="_Toc27943"/>
      <w:bookmarkStart w:id="632" w:name="_Toc8491"/>
      <w:bookmarkStart w:id="633" w:name="_Toc4926"/>
      <w:bookmarkStart w:id="634" w:name="_Toc5436"/>
      <w:bookmarkStart w:id="635" w:name="_Toc6829"/>
      <w:bookmarkStart w:id="636" w:name="_Toc14483"/>
      <w:bookmarkStart w:id="637" w:name="_Toc515647807"/>
      <w:bookmarkStart w:id="638" w:name="_Toc13107"/>
      <w:bookmarkStart w:id="639" w:name="_Toc1083"/>
      <w:r>
        <w:rPr>
          <w:rFonts w:hint="eastAsia" w:ascii="微软雅黑" w:hAnsi="微软雅黑" w:eastAsia="微软雅黑" w:cs="微软雅黑"/>
          <w:b/>
          <w:bCs/>
          <w:color w:val="auto"/>
          <w:sz w:val="24"/>
          <w:highlight w:val="none"/>
        </w:rPr>
        <w:t>法定代表人授权委托书</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0AB9FF83">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bookmarkStart w:id="640" w:name="_Toc32520"/>
      <w:bookmarkStart w:id="641" w:name="_Toc7039"/>
      <w:bookmarkStart w:id="642" w:name="_Toc515647808"/>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本授权书声明：注册于（国家或地区的名称）的（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）的在下面签字的（法人代表姓名、职务）代表我单位授权（单位名称）的在下面签字的（被授权人的姓名、职务）为我单位的合法代理人，就（项目名称）的磋商，以我单位名义处理一切与之有关的事务。　　</w:t>
      </w:r>
    </w:p>
    <w:p w14:paraId="4BDAA258">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           年     月     日签字生效,特此声明。</w:t>
      </w:r>
    </w:p>
    <w:p w14:paraId="61911320">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13335" b="2222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BF02DA1">
                            <w:pPr>
                              <w:rPr>
                                <w:rFonts w:hAnsi="宋体"/>
                              </w:rPr>
                            </w:pPr>
                          </w:p>
                          <w:p w14:paraId="3874BDE1">
                            <w:pPr>
                              <w:rPr>
                                <w:rFonts w:hAnsi="宋体"/>
                              </w:rPr>
                            </w:pPr>
                          </w:p>
                          <w:p w14:paraId="0722BD3E">
                            <w:pPr>
                              <w:rPr>
                                <w:rFonts w:hAnsi="宋体"/>
                              </w:rPr>
                            </w:pPr>
                          </w:p>
                          <w:p w14:paraId="3661BB45">
                            <w:pPr>
                              <w:ind w:firstLine="420" w:firstLineChars="200"/>
                            </w:pPr>
                            <w:r>
                              <w:rPr>
                                <w:rFonts w:hint="eastAsia" w:hAnsi="宋体"/>
                              </w:rPr>
                              <w:t>授权委托人身份证复印件</w:t>
                            </w:r>
                          </w:p>
                          <w:p w14:paraId="450FBDC2"/>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14:paraId="3BF02DA1">
                      <w:pPr>
                        <w:rPr>
                          <w:rFonts w:hAnsi="宋体"/>
                        </w:rPr>
                      </w:pPr>
                    </w:p>
                    <w:p w14:paraId="3874BDE1">
                      <w:pPr>
                        <w:rPr>
                          <w:rFonts w:hAnsi="宋体"/>
                        </w:rPr>
                      </w:pPr>
                    </w:p>
                    <w:p w14:paraId="0722BD3E">
                      <w:pPr>
                        <w:rPr>
                          <w:rFonts w:hAnsi="宋体"/>
                        </w:rPr>
                      </w:pPr>
                    </w:p>
                    <w:p w14:paraId="3661BB45">
                      <w:pPr>
                        <w:ind w:firstLine="420" w:firstLineChars="200"/>
                      </w:pPr>
                      <w:r>
                        <w:rPr>
                          <w:rFonts w:hint="eastAsia" w:hAnsi="宋体"/>
                        </w:rPr>
                        <w:t>授权委托人身份证复印件</w:t>
                      </w:r>
                    </w:p>
                    <w:p w14:paraId="450FBDC2"/>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17780" b="698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6F1A8D">
                            <w:pPr>
                              <w:jc w:val="center"/>
                              <w:rPr>
                                <w:rFonts w:hAnsi="宋体"/>
                              </w:rPr>
                            </w:pPr>
                          </w:p>
                          <w:p w14:paraId="0DABBBA5">
                            <w:pPr>
                              <w:jc w:val="center"/>
                              <w:rPr>
                                <w:rFonts w:hAnsi="宋体"/>
                              </w:rPr>
                            </w:pPr>
                          </w:p>
                          <w:p w14:paraId="6664D8AD">
                            <w:pPr>
                              <w:jc w:val="center"/>
                              <w:rPr>
                                <w:rFonts w:hAnsi="宋体"/>
                              </w:rPr>
                            </w:pPr>
                          </w:p>
                          <w:p w14:paraId="061FBA03">
                            <w:pPr>
                              <w:jc w:val="center"/>
                            </w:pPr>
                            <w:r>
                              <w:rPr>
                                <w:rFonts w:hint="eastAsia" w:hAnsi="宋体"/>
                              </w:rPr>
                              <w:t>授权委托人身份证复印件</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14:paraId="4C6F1A8D">
                      <w:pPr>
                        <w:jc w:val="center"/>
                        <w:rPr>
                          <w:rFonts w:hAnsi="宋体"/>
                        </w:rPr>
                      </w:pPr>
                    </w:p>
                    <w:p w14:paraId="0DABBBA5">
                      <w:pPr>
                        <w:jc w:val="center"/>
                        <w:rPr>
                          <w:rFonts w:hAnsi="宋体"/>
                        </w:rPr>
                      </w:pPr>
                    </w:p>
                    <w:p w14:paraId="6664D8AD">
                      <w:pPr>
                        <w:jc w:val="center"/>
                        <w:rPr>
                          <w:rFonts w:hAnsi="宋体"/>
                        </w:rPr>
                      </w:pPr>
                    </w:p>
                    <w:p w14:paraId="061FBA03">
                      <w:pPr>
                        <w:jc w:val="center"/>
                      </w:pPr>
                      <w:r>
                        <w:rPr>
                          <w:rFonts w:hint="eastAsia" w:hAnsi="宋体"/>
                        </w:rPr>
                        <w:t>授权委托人身份证复印件</w:t>
                      </w:r>
                    </w:p>
                  </w:txbxContent>
                </v:textbox>
              </v:shape>
            </w:pict>
          </mc:Fallback>
        </mc:AlternateContent>
      </w:r>
    </w:p>
    <w:p w14:paraId="1A69BD7D">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p>
    <w:p w14:paraId="27984B2A">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27FFB93A">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6E29357B">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5BF93E38">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12700" b="1587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E8AE437">
                            <w:pPr>
                              <w:jc w:val="center"/>
                              <w:rPr>
                                <w:rFonts w:hAnsi="宋体"/>
                              </w:rPr>
                            </w:pPr>
                          </w:p>
                          <w:p w14:paraId="3626B239">
                            <w:pPr>
                              <w:jc w:val="center"/>
                              <w:rPr>
                                <w:rFonts w:hAnsi="宋体"/>
                              </w:rPr>
                            </w:pPr>
                          </w:p>
                          <w:p w14:paraId="67891743">
                            <w:pPr>
                              <w:jc w:val="center"/>
                              <w:rPr>
                                <w:rFonts w:hAnsi="宋体"/>
                              </w:rPr>
                            </w:pPr>
                          </w:p>
                          <w:p w14:paraId="70E599A3">
                            <w:pPr>
                              <w:jc w:val="center"/>
                            </w:pPr>
                            <w:r>
                              <w:rPr>
                                <w:rFonts w:hint="eastAsia" w:hAnsi="宋体"/>
                              </w:rPr>
                              <w:t>法人身份证复印件</w:t>
                            </w:r>
                          </w:p>
                          <w:p w14:paraId="75724D81"/>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14:paraId="6E8AE437">
                      <w:pPr>
                        <w:jc w:val="center"/>
                        <w:rPr>
                          <w:rFonts w:hAnsi="宋体"/>
                        </w:rPr>
                      </w:pPr>
                    </w:p>
                    <w:p w14:paraId="3626B239">
                      <w:pPr>
                        <w:jc w:val="center"/>
                        <w:rPr>
                          <w:rFonts w:hAnsi="宋体"/>
                        </w:rPr>
                      </w:pPr>
                    </w:p>
                    <w:p w14:paraId="67891743">
                      <w:pPr>
                        <w:jc w:val="center"/>
                        <w:rPr>
                          <w:rFonts w:hAnsi="宋体"/>
                        </w:rPr>
                      </w:pPr>
                    </w:p>
                    <w:p w14:paraId="70E599A3">
                      <w:pPr>
                        <w:jc w:val="center"/>
                      </w:pPr>
                      <w:r>
                        <w:rPr>
                          <w:rFonts w:hint="eastAsia" w:hAnsi="宋体"/>
                        </w:rPr>
                        <w:t>法人身份证复印件</w:t>
                      </w:r>
                    </w:p>
                    <w:p w14:paraId="75724D81"/>
                  </w:txbxContent>
                </v:textbox>
              </v:roundrect>
            </w:pict>
          </mc:Fallback>
        </mc:AlternateContent>
      </w:r>
    </w:p>
    <w:p w14:paraId="5A5D8F32">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3028315</wp:posOffset>
                </wp:positionH>
                <wp:positionV relativeFrom="paragraph">
                  <wp:posOffset>140335</wp:posOffset>
                </wp:positionV>
                <wp:extent cx="2535555" cy="1252220"/>
                <wp:effectExtent l="7620" t="7620" r="17145" b="2032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EE36D3A">
                            <w:pPr>
                              <w:jc w:val="center"/>
                              <w:rPr>
                                <w:rFonts w:hAnsi="宋体"/>
                              </w:rPr>
                            </w:pPr>
                            <w:r>
                              <w:rPr>
                                <w:rFonts w:hint="eastAsia" w:hAnsi="宋体"/>
                              </w:rPr>
                              <w:t xml:space="preserve">  </w:t>
                            </w:r>
                          </w:p>
                          <w:p w14:paraId="40EA34E1">
                            <w:pPr>
                              <w:jc w:val="center"/>
                              <w:rPr>
                                <w:rFonts w:hAnsi="宋体"/>
                              </w:rPr>
                            </w:pPr>
                          </w:p>
                          <w:p w14:paraId="7D75C26C">
                            <w:pPr>
                              <w:jc w:val="center"/>
                            </w:pPr>
                            <w:r>
                              <w:rPr>
                                <w:rFonts w:hint="eastAsia" w:hAnsi="宋体"/>
                              </w:rPr>
                              <w:t>法人身份证复印件</w:t>
                            </w:r>
                          </w:p>
                          <w:p w14:paraId="01F8C354"/>
                        </w:txbxContent>
                      </wps:txbx>
                      <wps:bodyPr upright="1"/>
                    </wps:wsp>
                  </a:graphicData>
                </a:graphic>
              </wp:anchor>
            </w:drawing>
          </mc:Choice>
          <mc:Fallback>
            <w:pict>
              <v:roundrect id="圆角矩形 13" o:spid="_x0000_s1026" o:spt="2" style="position:absolute;left:0pt;margin-left:238.45pt;margin-top:11.05pt;height:98.6pt;width:199.65pt;z-index:25165926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14:paraId="3EE36D3A">
                      <w:pPr>
                        <w:jc w:val="center"/>
                        <w:rPr>
                          <w:rFonts w:hAnsi="宋体"/>
                        </w:rPr>
                      </w:pPr>
                      <w:r>
                        <w:rPr>
                          <w:rFonts w:hint="eastAsia" w:hAnsi="宋体"/>
                        </w:rPr>
                        <w:t xml:space="preserve">  </w:t>
                      </w:r>
                    </w:p>
                    <w:p w14:paraId="40EA34E1">
                      <w:pPr>
                        <w:jc w:val="center"/>
                        <w:rPr>
                          <w:rFonts w:hAnsi="宋体"/>
                        </w:rPr>
                      </w:pPr>
                    </w:p>
                    <w:p w14:paraId="7D75C26C">
                      <w:pPr>
                        <w:jc w:val="center"/>
                      </w:pPr>
                      <w:r>
                        <w:rPr>
                          <w:rFonts w:hint="eastAsia" w:hAnsi="宋体"/>
                        </w:rPr>
                        <w:t>法人身份证复印件</w:t>
                      </w:r>
                    </w:p>
                    <w:p w14:paraId="01F8C354"/>
                  </w:txbxContent>
                </v:textbox>
              </v:roundrect>
            </w:pict>
          </mc:Fallback>
        </mc:AlternateContent>
      </w:r>
    </w:p>
    <w:p w14:paraId="0F9D985D">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66805B27">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751E2A21">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 xml:space="preserve">（盖单位章）;               </w:t>
      </w:r>
    </w:p>
    <w:p w14:paraId="0B7A2460">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27A4EDE1">
      <w:pPr>
        <w:pStyle w:val="16"/>
        <w:pageBreakBefore w:val="0"/>
        <w:tabs>
          <w:tab w:val="left" w:pos="5370"/>
        </w:tabs>
        <w:kinsoku/>
        <w:wordWrap/>
        <w:overflowPunct/>
        <w:topLinePunct w:val="0"/>
        <w:bidi w:val="0"/>
        <w:snapToGrid w:val="0"/>
        <w:spacing w:line="520" w:lineRule="exact"/>
        <w:ind w:firstLine="480" w:firstLineChars="20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(公章):</w:t>
      </w:r>
    </w:p>
    <w:p w14:paraId="676A9D11">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法定代表人（签/章）：                     </w:t>
      </w:r>
    </w:p>
    <w:p w14:paraId="1749059F">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身份证号码： </w:t>
      </w:r>
    </w:p>
    <w:p w14:paraId="2BF55403">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委托代理人（签/章）：                                   </w:t>
      </w:r>
    </w:p>
    <w:p w14:paraId="455EF04F">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身份证号码：                                   </w:t>
      </w:r>
    </w:p>
    <w:p w14:paraId="49CDD82D">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详细通讯地址：                                 </w:t>
      </w:r>
    </w:p>
    <w:p w14:paraId="310C8C7D">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邮 政 编 码 ：                                 </w:t>
      </w:r>
    </w:p>
    <w:p w14:paraId="1484EA27">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传　　　　真：                                 </w:t>
      </w:r>
    </w:p>
    <w:p w14:paraId="5F68D6ED">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电　　　　话：                                 </w:t>
      </w:r>
      <w:bookmarkEnd w:id="640"/>
      <w:bookmarkEnd w:id="641"/>
      <w:bookmarkEnd w:id="642"/>
    </w:p>
    <w:p w14:paraId="1EE72987">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33505AE1">
      <w:pPr>
        <w:pStyle w:val="37"/>
        <w:pageBreakBefore w:val="0"/>
        <w:kinsoku/>
        <w:wordWrap/>
        <w:overflowPunct/>
        <w:topLinePunct w:val="0"/>
        <w:bidi w:val="0"/>
        <w:snapToGrid w:val="0"/>
        <w:spacing w:line="520" w:lineRule="exact"/>
        <w:ind w:firstLine="480"/>
        <w:textAlignment w:val="baseline"/>
        <w:outlineLvl w:val="9"/>
        <w:rPr>
          <w:rFonts w:ascii="微软雅黑" w:hAnsi="微软雅黑" w:eastAsia="微软雅黑" w:cs="微软雅黑"/>
          <w:b/>
          <w:color w:val="auto"/>
          <w:kern w:val="0"/>
          <w:highlight w:val="none"/>
        </w:rPr>
      </w:pPr>
      <w:r>
        <w:rPr>
          <w:rFonts w:hint="eastAsia" w:ascii="微软雅黑" w:hAnsi="微软雅黑" w:eastAsia="微软雅黑" w:cs="微软雅黑"/>
          <w:b/>
          <w:color w:val="auto"/>
          <w:kern w:val="0"/>
          <w:highlight w:val="none"/>
          <w:lang w:val="en-US" w:eastAsia="zh-CN"/>
        </w:rPr>
        <w:t>③提供本单位依法缴纳近6个月内任意一个月的社会保险证明（新成立公司提供相关证明文件）</w:t>
      </w:r>
      <w:r>
        <w:rPr>
          <w:rFonts w:hint="eastAsia" w:ascii="微软雅黑" w:hAnsi="微软雅黑" w:eastAsia="微软雅黑" w:cs="微软雅黑"/>
          <w:b/>
          <w:color w:val="auto"/>
          <w:kern w:val="0"/>
          <w:highlight w:val="none"/>
          <w:lang w:eastAsia="zh-CN"/>
        </w:rPr>
        <w:t>；</w:t>
      </w:r>
    </w:p>
    <w:p w14:paraId="0D6DF905">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说明：1、社保证明可含：社保缴费凭证或社保缴费证明或社保缴费汇总单或依法缴纳社保的完税证明。</w:t>
      </w:r>
    </w:p>
    <w:p w14:paraId="0637140D">
      <w:pPr>
        <w:pStyle w:val="16"/>
        <w:pageBreakBefore w:val="0"/>
        <w:numPr>
          <w:ilvl w:val="0"/>
          <w:numId w:val="0"/>
        </w:numPr>
        <w:tabs>
          <w:tab w:val="left" w:pos="5580"/>
        </w:tabs>
        <w:kinsoku/>
        <w:wordWrap/>
        <w:overflowPunct/>
        <w:topLinePunct w:val="0"/>
        <w:bidi w:val="0"/>
        <w:snapToGrid w:val="0"/>
        <w:spacing w:line="520" w:lineRule="exact"/>
        <w:ind w:firstLine="720" w:firstLineChars="3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2、近6个月是指磋商文件开启前6个月。</w:t>
      </w:r>
    </w:p>
    <w:p w14:paraId="78A86BBA">
      <w:pPr>
        <w:pStyle w:val="37"/>
        <w:pageBreakBefore w:val="0"/>
        <w:kinsoku/>
        <w:wordWrap/>
        <w:overflowPunct/>
        <w:topLinePunct w:val="0"/>
        <w:bidi w:val="0"/>
        <w:snapToGrid w:val="0"/>
        <w:spacing w:line="520" w:lineRule="exact"/>
        <w:ind w:left="0" w:leftChars="0" w:firstLine="0" w:firstLineChars="0"/>
        <w:textAlignment w:val="baseline"/>
        <w:rPr>
          <w:rFonts w:ascii="微软雅黑" w:hAnsi="微软雅黑" w:eastAsia="微软雅黑" w:cs="微软雅黑"/>
          <w:b/>
          <w:color w:val="auto"/>
          <w:kern w:val="0"/>
          <w:sz w:val="21"/>
          <w:highlight w:val="none"/>
        </w:rPr>
      </w:pPr>
    </w:p>
    <w:p w14:paraId="11322AFA">
      <w:pPr>
        <w:pStyle w:val="8"/>
        <w:rPr>
          <w:color w:val="auto"/>
          <w:highlight w:val="none"/>
        </w:rPr>
      </w:pPr>
    </w:p>
    <w:p w14:paraId="0BC50325">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④提供税务部门出具的本单位近6个月内任意一个月的完税证明（依法免缴的应提供依法免缴的相关证明文件或零申报报表或无欠税证明）；</w:t>
      </w:r>
    </w:p>
    <w:p w14:paraId="725A2823">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说明：1、新成立公司若无纳税记录，可开具无欠税证明或零申报报表。</w:t>
      </w:r>
    </w:p>
    <w:p w14:paraId="045448BC">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2、完税证明中“税种”非养老保险、医疗保险、失业保险、工伤保险和生育保险。</w:t>
      </w:r>
    </w:p>
    <w:p w14:paraId="53AB9E7D">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3、近6个月是指磋商文件开启前6个月</w:t>
      </w:r>
    </w:p>
    <w:p w14:paraId="720E9453">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b/>
          <w:color w:val="auto"/>
          <w:kern w:val="0"/>
          <w:sz w:val="24"/>
          <w:szCs w:val="24"/>
          <w:highlight w:val="none"/>
        </w:rPr>
      </w:pPr>
    </w:p>
    <w:p w14:paraId="4ADB6603">
      <w:pPr>
        <w:pStyle w:val="29"/>
        <w:rPr>
          <w:color w:val="auto"/>
          <w:highlight w:val="none"/>
        </w:rPr>
      </w:pPr>
    </w:p>
    <w:p w14:paraId="320CE4A3">
      <w:pPr>
        <w:pageBreakBefore w:val="0"/>
        <w:tabs>
          <w:tab w:val="left" w:pos="5580"/>
        </w:tabs>
        <w:kinsoku/>
        <w:wordWrap/>
        <w:overflowPunct/>
        <w:topLinePunct w:val="0"/>
        <w:bidi w:val="0"/>
        <w:spacing w:line="520" w:lineRule="exact"/>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⑤提供近两年任意一年完整的财务审计报告（或近一个月的银行资信证明）</w:t>
      </w:r>
    </w:p>
    <w:p w14:paraId="6432F03C">
      <w:pPr>
        <w:pageBreakBefore w:val="0"/>
        <w:tabs>
          <w:tab w:val="left" w:pos="5580"/>
        </w:tabs>
        <w:kinsoku/>
        <w:wordWrap/>
        <w:overflowPunct/>
        <w:topLinePunct w:val="0"/>
        <w:bidi w:val="0"/>
        <w:spacing w:line="520" w:lineRule="exac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14:paraId="2AA8CB0A">
      <w:pPr>
        <w:pageBreakBefore w:val="0"/>
        <w:tabs>
          <w:tab w:val="left" w:pos="5580"/>
        </w:tabs>
        <w:kinsoku/>
        <w:wordWrap/>
        <w:overflowPunct/>
        <w:topLinePunct w:val="0"/>
        <w:bidi w:val="0"/>
        <w:spacing w:line="520" w:lineRule="exac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1、如提供本单位上年度经会计师事务所出具的完整审计报告复印件须加盖本单位章。</w:t>
      </w:r>
    </w:p>
    <w:p w14:paraId="1F09325A">
      <w:pPr>
        <w:pStyle w:val="8"/>
        <w:pageBreakBefore w:val="0"/>
        <w:kinsoku/>
        <w:wordWrap/>
        <w:overflowPunct/>
        <w:topLinePunct w:val="0"/>
        <w:bidi w:val="0"/>
        <w:spacing w:line="520" w:lineRule="exact"/>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2、如果是联合体投标，联合体各方均需提供上述证明。</w:t>
      </w:r>
    </w:p>
    <w:p w14:paraId="06FC2FED">
      <w:pPr>
        <w:pStyle w:val="2"/>
        <w:pageBreakBefore w:val="0"/>
        <w:kinsoku/>
        <w:wordWrap/>
        <w:overflowPunct/>
        <w:topLinePunct w:val="0"/>
        <w:bidi w:val="0"/>
        <w:spacing w:line="520" w:lineRule="exact"/>
        <w:ind w:firstLine="480" w:firstLineChars="200"/>
        <w:rPr>
          <w:rFonts w:hint="default"/>
          <w:color w:val="auto"/>
          <w:highlight w:val="none"/>
          <w:lang w:val="en-US"/>
        </w:rPr>
      </w:pPr>
      <w:r>
        <w:rPr>
          <w:rFonts w:hint="eastAsia" w:ascii="微软雅黑" w:hAnsi="微软雅黑" w:eastAsia="微软雅黑" w:cs="微软雅黑"/>
          <w:b w:val="0"/>
          <w:bCs/>
          <w:color w:val="auto"/>
          <w:kern w:val="0"/>
          <w:sz w:val="24"/>
          <w:szCs w:val="20"/>
          <w:highlight w:val="none"/>
          <w:lang w:val="en-US" w:eastAsia="zh-CN" w:bidi="ar-SA"/>
        </w:rPr>
        <w:t>3、近两年任意一年指2024年或2025年，近一个月是指磋商文件开启前一个月。</w:t>
      </w:r>
    </w:p>
    <w:p w14:paraId="400B69A5">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b/>
          <w:color w:val="auto"/>
          <w:kern w:val="0"/>
          <w:sz w:val="24"/>
          <w:szCs w:val="24"/>
          <w:highlight w:val="none"/>
        </w:rPr>
      </w:pPr>
    </w:p>
    <w:p w14:paraId="2CCAA7D8">
      <w:pPr>
        <w:pStyle w:val="29"/>
        <w:rPr>
          <w:color w:val="auto"/>
          <w:highlight w:val="none"/>
        </w:rPr>
      </w:pPr>
    </w:p>
    <w:p w14:paraId="44C9180A">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⑥参与政府采购活动前3年内未被列入失信、重大税收违法案件、财政部门禁止参加政府采购活动的承诺书；</w:t>
      </w:r>
    </w:p>
    <w:p w14:paraId="496E3311">
      <w:pPr>
        <w:pStyle w:val="8"/>
        <w:pageBreakBefore w:val="0"/>
        <w:kinsoku/>
        <w:wordWrap/>
        <w:overflowPunct/>
        <w:topLinePunct w:val="0"/>
        <w:bidi w:val="0"/>
        <w:spacing w:line="520" w:lineRule="exact"/>
        <w:ind w:left="0" w:leftChars="0" w:firstLine="720" w:firstLineChars="300"/>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color w:val="auto"/>
          <w:highlight w:val="none"/>
          <w:lang w:val="en-US" w:eastAsia="zh-CN"/>
        </w:rPr>
        <w:t>说明：1.供应商应按照相关法规规定如实作出说明。</w:t>
      </w:r>
    </w:p>
    <w:p w14:paraId="255E24DC">
      <w:pPr>
        <w:pStyle w:val="29"/>
        <w:rPr>
          <w:color w:val="auto"/>
          <w:highlight w:val="none"/>
        </w:rPr>
      </w:pPr>
    </w:p>
    <w:p w14:paraId="048C6192">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ascii="微软雅黑" w:hAnsi="微软雅黑" w:eastAsia="微软雅黑" w:cs="微软雅黑"/>
          <w:b/>
          <w:color w:val="auto"/>
          <w:kern w:val="0"/>
          <w:sz w:val="24"/>
          <w:highlight w:val="none"/>
        </w:rPr>
      </w:pPr>
      <w:bookmarkStart w:id="643" w:name="_Toc20720"/>
      <w:bookmarkStart w:id="644" w:name="_Toc28525"/>
      <w:bookmarkStart w:id="645" w:name="_Toc16326"/>
      <w:bookmarkStart w:id="646" w:name="_Toc494296665"/>
      <w:bookmarkStart w:id="647" w:name="_Toc16480"/>
      <w:bookmarkStart w:id="648" w:name="_Toc10102"/>
      <w:bookmarkStart w:id="649" w:name="_Toc494296991"/>
      <w:r>
        <w:rPr>
          <w:rFonts w:hint="eastAsia" w:ascii="微软雅黑" w:hAnsi="微软雅黑" w:eastAsia="微软雅黑" w:cs="微软雅黑"/>
          <w:b/>
          <w:color w:val="auto"/>
          <w:kern w:val="0"/>
          <w:sz w:val="24"/>
          <w:szCs w:val="24"/>
          <w:highlight w:val="none"/>
          <w:lang w:val="en-US" w:eastAsia="zh-CN" w:bidi="ar-SA"/>
        </w:rPr>
        <w:t>⑦提供针对本次项目的反商业贿赂承诺书。</w:t>
      </w:r>
    </w:p>
    <w:p w14:paraId="351B47FD">
      <w:pPr>
        <w:pStyle w:val="8"/>
        <w:pageBreakBefore w:val="0"/>
        <w:kinsoku/>
        <w:wordWrap/>
        <w:overflowPunct/>
        <w:topLinePunct w:val="0"/>
        <w:bidi w:val="0"/>
        <w:spacing w:line="520" w:lineRule="exact"/>
        <w:ind w:left="0" w:leftChars="0" w:firstLine="720" w:firstLineChars="3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说明：1.供应商应按照相关法规规定如实作出说明。</w:t>
      </w:r>
    </w:p>
    <w:p w14:paraId="43A01C78">
      <w:pPr>
        <w:pageBreakBefore w:val="0"/>
        <w:kinsoku/>
        <w:wordWrap/>
        <w:overflowPunct/>
        <w:topLinePunct w:val="0"/>
        <w:bidi w:val="0"/>
        <w:spacing w:line="520" w:lineRule="exact"/>
        <w:rPr>
          <w:rFonts w:hint="eastAsia" w:ascii="微软雅黑" w:hAnsi="微软雅黑" w:eastAsia="微软雅黑" w:cs="微软雅黑"/>
          <w:color w:val="auto"/>
          <w:highlight w:val="none"/>
          <w:lang w:val="en-US" w:eastAsia="zh-CN"/>
        </w:rPr>
      </w:pPr>
    </w:p>
    <w:p w14:paraId="69DF8838">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5CD5DED1">
      <w:pPr>
        <w:pStyle w:val="16"/>
        <w:pageBreakBefore w:val="0"/>
        <w:numPr>
          <w:ilvl w:val="0"/>
          <w:numId w:val="0"/>
        </w:numPr>
        <w:tabs>
          <w:tab w:val="left" w:pos="5580"/>
        </w:tabs>
        <w:kinsoku/>
        <w:wordWrap/>
        <w:overflowPunct/>
        <w:topLinePunct w:val="0"/>
        <w:bidi w:val="0"/>
        <w:snapToGrid w:val="0"/>
        <w:spacing w:line="520" w:lineRule="exact"/>
        <w:ind w:firstLine="240" w:firstLineChars="100"/>
        <w:textAlignment w:val="baseline"/>
        <w:rPr>
          <w:rFonts w:hint="eastAsia" w:ascii="微软雅黑" w:hAnsi="微软雅黑" w:eastAsia="微软雅黑" w:cs="微软雅黑"/>
          <w:b/>
          <w:color w:val="auto"/>
          <w:kern w:val="0"/>
          <w:sz w:val="24"/>
          <w:szCs w:val="24"/>
          <w:highlight w:val="none"/>
          <w:lang w:val="en-US" w:eastAsia="zh-CN" w:bidi="ar-SA"/>
        </w:rPr>
      </w:pPr>
    </w:p>
    <w:p w14:paraId="3FC6F231">
      <w:pPr>
        <w:pStyle w:val="36"/>
        <w:pageBreakBefore w:val="0"/>
        <w:kinsoku/>
        <w:wordWrap/>
        <w:overflowPunct/>
        <w:topLinePunct w:val="0"/>
        <w:bidi w:val="0"/>
        <w:spacing w:line="520" w:lineRule="exact"/>
        <w:ind w:left="0" w:leftChars="0" w:firstLine="0" w:firstLineChars="0"/>
        <w:rPr>
          <w:rFonts w:hint="eastAsia"/>
          <w:color w:val="auto"/>
          <w:highlight w:val="none"/>
          <w:lang w:val="en-US" w:eastAsia="zh-CN"/>
        </w:rPr>
      </w:pPr>
    </w:p>
    <w:p w14:paraId="6108BCFB">
      <w:pPr>
        <w:rPr>
          <w:rFonts w:hint="eastAsia"/>
          <w:color w:val="auto"/>
          <w:highlight w:val="none"/>
          <w:lang w:val="en-US" w:eastAsia="zh-CN"/>
        </w:rPr>
      </w:pPr>
    </w:p>
    <w:p w14:paraId="324D6DA3">
      <w:pPr>
        <w:rPr>
          <w:rFonts w:hint="eastAsia"/>
          <w:color w:val="auto"/>
          <w:highlight w:val="none"/>
          <w:lang w:val="en-US" w:eastAsia="zh-CN"/>
        </w:rPr>
      </w:pPr>
    </w:p>
    <w:p w14:paraId="5E22F4B4">
      <w:pPr>
        <w:rPr>
          <w:rFonts w:hint="eastAsia"/>
          <w:color w:val="auto"/>
          <w:highlight w:val="none"/>
          <w:lang w:val="en-US" w:eastAsia="zh-CN"/>
        </w:rPr>
      </w:pPr>
    </w:p>
    <w:p w14:paraId="429AE08D">
      <w:pPr>
        <w:rPr>
          <w:rFonts w:hint="eastAsia"/>
          <w:color w:val="auto"/>
          <w:highlight w:val="none"/>
          <w:lang w:val="en-US" w:eastAsia="zh-CN"/>
        </w:rPr>
      </w:pPr>
    </w:p>
    <w:p w14:paraId="2DBCDC43">
      <w:pPr>
        <w:rPr>
          <w:rFonts w:hint="eastAsia"/>
          <w:color w:val="auto"/>
          <w:highlight w:val="none"/>
          <w:lang w:val="en-US" w:eastAsia="zh-CN"/>
        </w:rPr>
      </w:pPr>
    </w:p>
    <w:p w14:paraId="249EDA37">
      <w:pPr>
        <w:rPr>
          <w:rFonts w:hint="eastAsia"/>
          <w:color w:val="auto"/>
          <w:highlight w:val="none"/>
          <w:lang w:val="en-US" w:eastAsia="zh-CN"/>
        </w:rPr>
      </w:pPr>
    </w:p>
    <w:p w14:paraId="1E108039">
      <w:pPr>
        <w:rPr>
          <w:rFonts w:hint="eastAsia"/>
          <w:color w:val="auto"/>
          <w:highlight w:val="none"/>
          <w:lang w:val="en-US" w:eastAsia="zh-CN"/>
        </w:rPr>
      </w:pPr>
    </w:p>
    <w:p w14:paraId="209626E4">
      <w:pPr>
        <w:rPr>
          <w:rFonts w:hint="eastAsia"/>
          <w:color w:val="auto"/>
          <w:highlight w:val="none"/>
          <w:lang w:val="en-US" w:eastAsia="zh-CN"/>
        </w:rPr>
      </w:pPr>
    </w:p>
    <w:p w14:paraId="5CA05914">
      <w:pPr>
        <w:rPr>
          <w:rFonts w:hint="eastAsia"/>
          <w:color w:val="auto"/>
          <w:highlight w:val="none"/>
          <w:lang w:val="en-US" w:eastAsia="zh-CN"/>
        </w:rPr>
      </w:pPr>
    </w:p>
    <w:p w14:paraId="67093D81">
      <w:pPr>
        <w:rPr>
          <w:rFonts w:hint="eastAsia"/>
          <w:color w:val="auto"/>
          <w:highlight w:val="none"/>
          <w:lang w:val="en-US" w:eastAsia="zh-CN"/>
        </w:rPr>
      </w:pPr>
    </w:p>
    <w:p w14:paraId="33F2C707">
      <w:pPr>
        <w:rPr>
          <w:rFonts w:hint="eastAsia"/>
          <w:color w:val="auto"/>
          <w:highlight w:val="none"/>
          <w:lang w:val="en-US" w:eastAsia="zh-CN"/>
        </w:rPr>
      </w:pPr>
    </w:p>
    <w:p w14:paraId="47092154">
      <w:pPr>
        <w:rPr>
          <w:rFonts w:hint="eastAsia"/>
          <w:color w:val="auto"/>
          <w:highlight w:val="none"/>
          <w:lang w:val="en-US" w:eastAsia="zh-CN"/>
        </w:rPr>
      </w:pPr>
    </w:p>
    <w:p w14:paraId="597E46F6">
      <w:pPr>
        <w:rPr>
          <w:rFonts w:hint="eastAsia"/>
          <w:color w:val="auto"/>
          <w:highlight w:val="none"/>
          <w:lang w:val="en-US" w:eastAsia="zh-CN"/>
        </w:rPr>
      </w:pPr>
    </w:p>
    <w:p w14:paraId="195A4346">
      <w:pPr>
        <w:rPr>
          <w:rFonts w:hint="eastAsia"/>
          <w:color w:val="auto"/>
          <w:highlight w:val="none"/>
          <w:lang w:val="en-US" w:eastAsia="zh-CN"/>
        </w:rPr>
      </w:pPr>
    </w:p>
    <w:p w14:paraId="6328CEDF">
      <w:pPr>
        <w:rPr>
          <w:rFonts w:hint="eastAsia"/>
          <w:color w:val="auto"/>
          <w:highlight w:val="none"/>
          <w:lang w:val="en-US" w:eastAsia="zh-CN"/>
        </w:rPr>
      </w:pPr>
    </w:p>
    <w:p w14:paraId="374D6E56">
      <w:pPr>
        <w:rPr>
          <w:rFonts w:hint="eastAsia"/>
          <w:color w:val="auto"/>
          <w:highlight w:val="none"/>
          <w:lang w:val="en-US" w:eastAsia="zh-CN"/>
        </w:rPr>
      </w:pPr>
    </w:p>
    <w:p w14:paraId="0EC1214C">
      <w:pPr>
        <w:rPr>
          <w:rFonts w:hint="eastAsia"/>
          <w:color w:val="auto"/>
          <w:highlight w:val="none"/>
          <w:lang w:val="en-US" w:eastAsia="zh-CN"/>
        </w:rPr>
      </w:pPr>
    </w:p>
    <w:p w14:paraId="1AA99294">
      <w:pPr>
        <w:rPr>
          <w:rFonts w:hint="eastAsia"/>
          <w:color w:val="auto"/>
          <w:highlight w:val="none"/>
          <w:lang w:val="en-US" w:eastAsia="zh-CN"/>
        </w:rPr>
      </w:pPr>
    </w:p>
    <w:p w14:paraId="08CB5C02">
      <w:pPr>
        <w:rPr>
          <w:rFonts w:hint="eastAsia"/>
          <w:color w:val="auto"/>
          <w:highlight w:val="none"/>
          <w:lang w:val="en-US" w:eastAsia="zh-CN"/>
        </w:rPr>
      </w:pPr>
    </w:p>
    <w:p w14:paraId="62FB42ED">
      <w:pPr>
        <w:rPr>
          <w:rFonts w:hint="eastAsia"/>
          <w:color w:val="auto"/>
          <w:highlight w:val="none"/>
          <w:lang w:val="en-US" w:eastAsia="zh-CN"/>
        </w:rPr>
      </w:pPr>
    </w:p>
    <w:p w14:paraId="54E0C53A">
      <w:pPr>
        <w:rPr>
          <w:rFonts w:hint="eastAsia"/>
          <w:color w:val="auto"/>
          <w:highlight w:val="none"/>
          <w:lang w:val="en-US" w:eastAsia="zh-CN"/>
        </w:rPr>
      </w:pPr>
    </w:p>
    <w:p w14:paraId="698CF5ED">
      <w:pPr>
        <w:rPr>
          <w:rFonts w:hint="eastAsia"/>
          <w:color w:val="auto"/>
          <w:highlight w:val="none"/>
          <w:lang w:val="en-US" w:eastAsia="zh-CN"/>
        </w:rPr>
      </w:pPr>
    </w:p>
    <w:p w14:paraId="34443E7C">
      <w:pPr>
        <w:rPr>
          <w:rFonts w:hint="eastAsia"/>
          <w:color w:val="auto"/>
          <w:highlight w:val="none"/>
          <w:lang w:val="en-US" w:eastAsia="zh-CN"/>
        </w:rPr>
      </w:pPr>
    </w:p>
    <w:p w14:paraId="36C1B81D">
      <w:pPr>
        <w:rPr>
          <w:rFonts w:hint="eastAsia"/>
          <w:color w:val="auto"/>
          <w:highlight w:val="none"/>
          <w:lang w:val="en-US" w:eastAsia="zh-CN"/>
        </w:rPr>
      </w:pPr>
    </w:p>
    <w:p w14:paraId="10C5FA5A">
      <w:pPr>
        <w:rPr>
          <w:rFonts w:hint="eastAsia"/>
          <w:color w:val="auto"/>
          <w:highlight w:val="none"/>
          <w:lang w:val="en-US" w:eastAsia="zh-CN"/>
        </w:rPr>
      </w:pPr>
    </w:p>
    <w:p w14:paraId="061A6D36">
      <w:pPr>
        <w:rPr>
          <w:rFonts w:hint="eastAsia"/>
          <w:color w:val="auto"/>
          <w:highlight w:val="none"/>
          <w:lang w:val="en-US" w:eastAsia="zh-CN"/>
        </w:rPr>
      </w:pPr>
    </w:p>
    <w:p w14:paraId="45FD82FC">
      <w:pPr>
        <w:rPr>
          <w:rFonts w:hint="eastAsia"/>
          <w:color w:val="auto"/>
          <w:highlight w:val="none"/>
          <w:lang w:val="en-US" w:eastAsia="zh-CN"/>
        </w:rPr>
      </w:pPr>
    </w:p>
    <w:p w14:paraId="10E4834E">
      <w:pPr>
        <w:rPr>
          <w:rFonts w:hint="eastAsia"/>
          <w:color w:val="auto"/>
          <w:highlight w:val="none"/>
          <w:lang w:val="en-US" w:eastAsia="zh-CN"/>
        </w:rPr>
      </w:pPr>
    </w:p>
    <w:p w14:paraId="0A6CBC94">
      <w:pPr>
        <w:rPr>
          <w:rFonts w:hint="eastAsia"/>
          <w:color w:val="auto"/>
          <w:highlight w:val="none"/>
          <w:lang w:val="en-US" w:eastAsia="zh-CN"/>
        </w:rPr>
      </w:pPr>
    </w:p>
    <w:p w14:paraId="59D1373D">
      <w:pPr>
        <w:rPr>
          <w:rFonts w:hint="eastAsia"/>
          <w:color w:val="auto"/>
          <w:highlight w:val="none"/>
          <w:lang w:val="en-US" w:eastAsia="zh-CN"/>
        </w:rPr>
      </w:pPr>
    </w:p>
    <w:p w14:paraId="41A22669">
      <w:pPr>
        <w:rPr>
          <w:rFonts w:hint="eastAsia"/>
          <w:color w:val="auto"/>
          <w:highlight w:val="none"/>
          <w:lang w:val="en-US" w:eastAsia="zh-CN"/>
        </w:rPr>
      </w:pPr>
    </w:p>
    <w:p w14:paraId="38C87C91">
      <w:pPr>
        <w:rPr>
          <w:rFonts w:hint="eastAsia"/>
          <w:color w:val="auto"/>
          <w:highlight w:val="none"/>
          <w:lang w:val="en-US" w:eastAsia="zh-CN"/>
        </w:rPr>
      </w:pPr>
    </w:p>
    <w:p w14:paraId="412F7061">
      <w:pPr>
        <w:rPr>
          <w:rFonts w:hint="eastAsia"/>
          <w:color w:val="auto"/>
          <w:highlight w:val="none"/>
          <w:lang w:val="en-US" w:eastAsia="zh-CN"/>
        </w:rPr>
      </w:pPr>
    </w:p>
    <w:p w14:paraId="6ACDF9FC">
      <w:pPr>
        <w:rPr>
          <w:rFonts w:hint="eastAsia"/>
          <w:color w:val="auto"/>
          <w:highlight w:val="none"/>
          <w:lang w:val="en-US" w:eastAsia="zh-CN"/>
        </w:rPr>
      </w:pPr>
    </w:p>
    <w:p w14:paraId="75717A7B">
      <w:pPr>
        <w:rPr>
          <w:rFonts w:hint="eastAsia"/>
          <w:color w:val="auto"/>
          <w:highlight w:val="none"/>
          <w:lang w:val="en-US" w:eastAsia="zh-CN"/>
        </w:rPr>
      </w:pPr>
    </w:p>
    <w:p w14:paraId="31EF4C36">
      <w:pPr>
        <w:rPr>
          <w:rFonts w:hint="eastAsia"/>
          <w:color w:val="auto"/>
          <w:highlight w:val="none"/>
          <w:lang w:val="en-US" w:eastAsia="zh-CN"/>
        </w:rPr>
      </w:pPr>
    </w:p>
    <w:p w14:paraId="5B3D8673">
      <w:pPr>
        <w:rPr>
          <w:rFonts w:hint="eastAsia"/>
          <w:color w:val="auto"/>
          <w:highlight w:val="none"/>
          <w:lang w:val="en-US" w:eastAsia="zh-CN"/>
        </w:rPr>
      </w:pPr>
    </w:p>
    <w:p w14:paraId="5474CECF">
      <w:pPr>
        <w:pageBreakBefore w:val="0"/>
        <w:kinsoku/>
        <w:wordWrap/>
        <w:overflowPunct/>
        <w:topLinePunct w:val="0"/>
        <w:bidi w:val="0"/>
        <w:spacing w:before="0" w:line="520" w:lineRule="exact"/>
        <w:outlineLvl w:val="9"/>
        <w:rPr>
          <w:rFonts w:hint="eastAsia" w:ascii="微软雅黑" w:hAnsi="微软雅黑" w:eastAsia="微软雅黑" w:cs="微软雅黑"/>
          <w:b/>
          <w:bCs w:val="0"/>
          <w:color w:val="auto"/>
          <w:kern w:val="0"/>
          <w:sz w:val="24"/>
          <w:szCs w:val="24"/>
          <w:highlight w:val="none"/>
          <w:lang w:val="en-US" w:eastAsia="zh-CN" w:bidi="ar-SA"/>
        </w:rPr>
      </w:pPr>
    </w:p>
    <w:p w14:paraId="27C975A0">
      <w:pPr>
        <w:pageBreakBefore w:val="0"/>
        <w:kinsoku/>
        <w:wordWrap/>
        <w:overflowPunct/>
        <w:topLinePunct w:val="0"/>
        <w:bidi w:val="0"/>
        <w:spacing w:before="0" w:line="520" w:lineRule="exact"/>
        <w:jc w:val="center"/>
        <w:outlineLvl w:val="9"/>
        <w:rPr>
          <w:rStyle w:val="97"/>
          <w:rFonts w:ascii="微软雅黑" w:hAnsi="微软雅黑" w:eastAsia="微软雅黑" w:cs="微软雅黑"/>
          <w:b/>
          <w:bCs w:val="0"/>
          <w:color w:val="auto"/>
          <w:sz w:val="24"/>
          <w:highlight w:val="none"/>
        </w:rPr>
      </w:pPr>
      <w:r>
        <w:rPr>
          <w:rStyle w:val="97"/>
          <w:rFonts w:hint="eastAsia" w:ascii="微软雅黑" w:hAnsi="微软雅黑" w:eastAsia="微软雅黑" w:cs="微软雅黑"/>
          <w:b/>
          <w:bCs w:val="0"/>
          <w:color w:val="auto"/>
          <w:sz w:val="24"/>
          <w:highlight w:val="none"/>
        </w:rPr>
        <w:t>⑨中小企业声明函（工程）</w:t>
      </w:r>
    </w:p>
    <w:p w14:paraId="7EC5CA98">
      <w:pPr>
        <w:pageBreakBefore w:val="0"/>
        <w:widowControl/>
        <w:kinsoku/>
        <w:wordWrap/>
        <w:overflowPunct/>
        <w:topLinePunct w:val="0"/>
        <w:bidi w:val="0"/>
        <w:spacing w:before="100" w:beforeAutospacing="1" w:after="100" w:afterAutospacing="1" w:line="520" w:lineRule="exact"/>
        <w:ind w:firstLine="420" w:firstLineChars="200"/>
        <w:jc w:val="lef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Cs w:val="21"/>
          <w:highlight w:val="none"/>
          <w:u w:val="single"/>
        </w:rPr>
        <w:t>（单位名称  ）</w:t>
      </w:r>
      <w:r>
        <w:rPr>
          <w:rFonts w:hint="eastAsia" w:ascii="微软雅黑" w:hAnsi="微软雅黑" w:eastAsia="微软雅黑" w:cs="微软雅黑"/>
          <w:color w:val="auto"/>
          <w:kern w:val="0"/>
          <w:szCs w:val="21"/>
          <w:highlight w:val="none"/>
        </w:rPr>
        <w:t>的</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i/>
          <w:iCs/>
          <w:color w:val="auto"/>
          <w:kern w:val="0"/>
          <w:szCs w:val="21"/>
          <w:highlight w:val="none"/>
          <w:u w:val="single"/>
        </w:rPr>
        <w:t>（项目名称）</w:t>
      </w:r>
      <w:r>
        <w:rPr>
          <w:rFonts w:hint="eastAsia" w:ascii="微软雅黑" w:hAnsi="微软雅黑" w:eastAsia="微软雅黑" w:cs="微软雅黑"/>
          <w:color w:val="auto"/>
          <w:kern w:val="0"/>
          <w:szCs w:val="21"/>
          <w:highlight w:val="none"/>
        </w:rPr>
        <w:t>采购活动，</w:t>
      </w:r>
      <w:r>
        <w:rPr>
          <w:rFonts w:hint="eastAsia" w:ascii="微软雅黑" w:hAnsi="微软雅黑" w:eastAsia="微软雅黑" w:cs="微软雅黑"/>
          <w:color w:val="auto"/>
          <w:kern w:val="0"/>
          <w:szCs w:val="21"/>
          <w:highlight w:val="none"/>
          <w:lang w:eastAsia="zh-CN"/>
        </w:rPr>
        <w:t>工程的施工单位</w:t>
      </w:r>
      <w:r>
        <w:rPr>
          <w:rFonts w:hint="eastAsia" w:ascii="微软雅黑" w:hAnsi="微软雅黑" w:eastAsia="微软雅黑" w:cs="微软雅黑"/>
          <w:color w:val="auto"/>
          <w:kern w:val="0"/>
          <w:szCs w:val="21"/>
          <w:highlight w:val="none"/>
        </w:rPr>
        <w:t>全部由符合政策要求的中小企业承接。相关企业（含联合 体中的中小企业、签订分包意向协议的中小企业）的具体情况如下：</w:t>
      </w:r>
    </w:p>
    <w:p w14:paraId="568FD00F">
      <w:pPr>
        <w:pStyle w:val="94"/>
        <w:pageBreakBefore w:val="0"/>
        <w:tabs>
          <w:tab w:val="left" w:pos="1243"/>
        </w:tabs>
        <w:kinsoku/>
        <w:wordWrap/>
        <w:overflowPunct/>
        <w:topLinePunct w:val="0"/>
        <w:bidi w:val="0"/>
        <w:spacing w:line="52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1.</w:t>
      </w:r>
      <w:r>
        <w:rPr>
          <w:rFonts w:hint="eastAsia" w:ascii="微软雅黑" w:hAnsi="微软雅黑" w:eastAsia="微软雅黑" w:cs="微软雅黑"/>
          <w:i/>
          <w:iCs/>
          <w:color w:val="auto"/>
          <w:kern w:val="0"/>
          <w:szCs w:val="21"/>
          <w:highlight w:val="none"/>
          <w:u w:val="single"/>
        </w:rPr>
        <w:t>（</w:t>
      </w:r>
      <w:r>
        <w:rPr>
          <w:rFonts w:hint="eastAsia" w:ascii="微软雅黑" w:hAnsi="微软雅黑" w:eastAsia="微软雅黑" w:cs="微软雅黑"/>
          <w:i/>
          <w:iCs/>
          <w:color w:val="auto"/>
          <w:kern w:val="0"/>
          <w:szCs w:val="21"/>
          <w:highlight w:val="none"/>
          <w:u w:val="single"/>
          <w:lang w:eastAsia="zh-CN"/>
        </w:rPr>
        <w:t>标</w:t>
      </w:r>
      <w:r>
        <w:rPr>
          <w:rFonts w:hint="eastAsia" w:ascii="微软雅黑" w:hAnsi="微软雅黑" w:eastAsia="微软雅黑" w:cs="微软雅黑"/>
          <w:i/>
          <w:iCs/>
          <w:color w:val="auto"/>
          <w:kern w:val="0"/>
          <w:szCs w:val="21"/>
          <w:highlight w:val="none"/>
          <w:u w:val="single"/>
        </w:rPr>
        <w:t>的名称）</w:t>
      </w:r>
      <w:r>
        <w:rPr>
          <w:rFonts w:hint="eastAsia" w:ascii="微软雅黑" w:hAnsi="微软雅黑" w:eastAsia="微软雅黑" w:cs="微软雅黑"/>
          <w:color w:val="auto"/>
          <w:kern w:val="0"/>
          <w:szCs w:val="21"/>
          <w:highlight w:val="none"/>
        </w:rPr>
        <w:t>，属于</w:t>
      </w:r>
      <w:r>
        <w:rPr>
          <w:rFonts w:hint="eastAsia" w:ascii="微软雅黑" w:hAnsi="微软雅黑" w:eastAsia="微软雅黑" w:cs="微软雅黑"/>
          <w:i/>
          <w:iCs/>
          <w:color w:val="auto"/>
          <w:kern w:val="0"/>
          <w:szCs w:val="21"/>
          <w:highlight w:val="none"/>
          <w:u w:val="single"/>
        </w:rPr>
        <w:t>（采购文件中明确的所属行业）</w:t>
      </w:r>
      <w:r>
        <w:rPr>
          <w:rFonts w:hint="eastAsia" w:ascii="微软雅黑" w:hAnsi="微软雅黑" w:eastAsia="微软雅黑" w:cs="微软雅黑"/>
          <w:color w:val="auto"/>
          <w:kern w:val="0"/>
          <w:szCs w:val="21"/>
          <w:highlight w:val="none"/>
        </w:rPr>
        <w:t xml:space="preserve">；承接企业为 </w:t>
      </w:r>
      <w:r>
        <w:rPr>
          <w:rFonts w:hint="eastAsia" w:ascii="微软雅黑" w:hAnsi="微软雅黑" w:eastAsia="微软雅黑" w:cs="微软雅黑"/>
          <w:i/>
          <w:iCs/>
          <w:color w:val="auto"/>
          <w:kern w:val="0"/>
          <w:szCs w:val="21"/>
          <w:highlight w:val="none"/>
          <w:u w:val="single"/>
        </w:rPr>
        <w:t xml:space="preserve">  （企业名称） </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rPr>
        <w:t>，从业人员</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u w:val="single"/>
        </w:rPr>
        <w:tab/>
      </w:r>
      <w:r>
        <w:rPr>
          <w:rFonts w:hint="eastAsia" w:ascii="微软雅黑" w:hAnsi="微软雅黑" w:eastAsia="微软雅黑" w:cs="微软雅黑"/>
          <w:color w:val="auto"/>
          <w:kern w:val="0"/>
          <w:szCs w:val="21"/>
          <w:highlight w:val="none"/>
        </w:rPr>
        <w:t>人，营业收入为</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u w:val="single"/>
        </w:rPr>
        <w:tab/>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rPr>
        <w:t>万元，资产总额为</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u w:val="single"/>
        </w:rPr>
        <w:tab/>
      </w:r>
      <w:r>
        <w:rPr>
          <w:rFonts w:hint="eastAsia" w:ascii="微软雅黑" w:hAnsi="微软雅黑" w:eastAsia="微软雅黑" w:cs="微软雅黑"/>
          <w:color w:val="auto"/>
          <w:kern w:val="0"/>
          <w:szCs w:val="21"/>
          <w:highlight w:val="none"/>
        </w:rPr>
        <w:t>万元，属于</w:t>
      </w:r>
      <w:r>
        <w:rPr>
          <w:rFonts w:hint="eastAsia" w:ascii="微软雅黑" w:hAnsi="微软雅黑" w:eastAsia="微软雅黑" w:cs="微软雅黑"/>
          <w:i/>
          <w:iCs/>
          <w:color w:val="auto"/>
          <w:kern w:val="0"/>
          <w:szCs w:val="21"/>
          <w:highlight w:val="none"/>
          <w:u w:val="single"/>
        </w:rPr>
        <w:t>（中型企业、小型企业、微型企业）</w:t>
      </w:r>
      <w:r>
        <w:rPr>
          <w:rFonts w:hint="eastAsia" w:ascii="微软雅黑" w:hAnsi="微软雅黑" w:eastAsia="微软雅黑" w:cs="微软雅黑"/>
          <w:color w:val="auto"/>
          <w:kern w:val="0"/>
          <w:szCs w:val="21"/>
          <w:highlight w:val="none"/>
        </w:rPr>
        <w:t>；</w:t>
      </w:r>
    </w:p>
    <w:p w14:paraId="69002227">
      <w:pPr>
        <w:pStyle w:val="94"/>
        <w:pageBreakBefore w:val="0"/>
        <w:tabs>
          <w:tab w:val="left" w:pos="1243"/>
        </w:tabs>
        <w:kinsoku/>
        <w:wordWrap/>
        <w:overflowPunct/>
        <w:topLinePunct w:val="0"/>
        <w:bidi w:val="0"/>
        <w:spacing w:line="520" w:lineRule="exact"/>
        <w:rPr>
          <w:rFonts w:ascii="微软雅黑" w:hAnsi="微软雅黑" w:eastAsia="微软雅黑" w:cs="微软雅黑"/>
          <w:color w:val="auto"/>
          <w:kern w:val="0"/>
          <w:szCs w:val="21"/>
          <w:highlight w:val="none"/>
          <w:u w:val="single"/>
        </w:rPr>
      </w:pPr>
      <w:r>
        <w:rPr>
          <w:rFonts w:hint="eastAsia" w:ascii="微软雅黑" w:hAnsi="微软雅黑" w:eastAsia="微软雅黑" w:cs="微软雅黑"/>
          <w:color w:val="auto"/>
          <w:kern w:val="0"/>
          <w:szCs w:val="21"/>
          <w:highlight w:val="none"/>
        </w:rPr>
        <w:t>2.</w:t>
      </w:r>
      <w:r>
        <w:rPr>
          <w:rFonts w:hint="eastAsia" w:ascii="微软雅黑" w:hAnsi="微软雅黑" w:eastAsia="微软雅黑" w:cs="微软雅黑"/>
          <w:i/>
          <w:iCs/>
          <w:color w:val="auto"/>
          <w:kern w:val="0"/>
          <w:szCs w:val="21"/>
          <w:highlight w:val="none"/>
          <w:u w:val="single"/>
        </w:rPr>
        <w:t>（</w:t>
      </w:r>
      <w:r>
        <w:rPr>
          <w:rFonts w:hint="eastAsia" w:ascii="微软雅黑" w:hAnsi="微软雅黑" w:eastAsia="微软雅黑" w:cs="微软雅黑"/>
          <w:i/>
          <w:iCs/>
          <w:color w:val="auto"/>
          <w:kern w:val="0"/>
          <w:szCs w:val="21"/>
          <w:highlight w:val="none"/>
          <w:u w:val="single"/>
          <w:lang w:eastAsia="zh-CN"/>
        </w:rPr>
        <w:t>标</w:t>
      </w:r>
      <w:r>
        <w:rPr>
          <w:rFonts w:hint="eastAsia" w:ascii="微软雅黑" w:hAnsi="微软雅黑" w:eastAsia="微软雅黑" w:cs="微软雅黑"/>
          <w:i/>
          <w:iCs/>
          <w:color w:val="auto"/>
          <w:kern w:val="0"/>
          <w:szCs w:val="21"/>
          <w:highlight w:val="none"/>
          <w:u w:val="single"/>
        </w:rPr>
        <w:t>的名称）</w:t>
      </w:r>
      <w:r>
        <w:rPr>
          <w:rFonts w:hint="eastAsia" w:ascii="微软雅黑" w:hAnsi="微软雅黑" w:eastAsia="微软雅黑" w:cs="微软雅黑"/>
          <w:color w:val="auto"/>
          <w:kern w:val="0"/>
          <w:szCs w:val="21"/>
          <w:highlight w:val="none"/>
          <w:u w:val="single"/>
        </w:rPr>
        <w:t>，</w:t>
      </w:r>
      <w:r>
        <w:rPr>
          <w:rFonts w:hint="eastAsia" w:ascii="微软雅黑" w:hAnsi="微软雅黑" w:eastAsia="微软雅黑" w:cs="微软雅黑"/>
          <w:color w:val="auto"/>
          <w:kern w:val="0"/>
          <w:szCs w:val="21"/>
          <w:highlight w:val="none"/>
        </w:rPr>
        <w:t>属于</w:t>
      </w:r>
      <w:r>
        <w:rPr>
          <w:rFonts w:hint="eastAsia" w:ascii="微软雅黑" w:hAnsi="微软雅黑" w:eastAsia="微软雅黑" w:cs="微软雅黑"/>
          <w:i/>
          <w:iCs/>
          <w:color w:val="auto"/>
          <w:kern w:val="0"/>
          <w:szCs w:val="21"/>
          <w:highlight w:val="none"/>
          <w:u w:val="single"/>
        </w:rPr>
        <w:t>（采购文件中明确的所属行业）</w:t>
      </w:r>
      <w:r>
        <w:rPr>
          <w:rFonts w:hint="eastAsia" w:ascii="微软雅黑" w:hAnsi="微软雅黑" w:eastAsia="微软雅黑" w:cs="微软雅黑"/>
          <w:color w:val="auto"/>
          <w:kern w:val="0"/>
          <w:szCs w:val="21"/>
          <w:highlight w:val="none"/>
        </w:rPr>
        <w:t>；承接企业为</w:t>
      </w:r>
      <w:r>
        <w:rPr>
          <w:rFonts w:hint="eastAsia" w:ascii="微软雅黑" w:hAnsi="微软雅黑" w:eastAsia="微软雅黑" w:cs="微软雅黑"/>
          <w:i/>
          <w:iCs/>
          <w:color w:val="auto"/>
          <w:kern w:val="0"/>
          <w:szCs w:val="21"/>
          <w:highlight w:val="none"/>
          <w:u w:val="single"/>
        </w:rPr>
        <w:t>（企业名称）</w:t>
      </w:r>
      <w:r>
        <w:rPr>
          <w:rFonts w:hint="eastAsia" w:ascii="微软雅黑" w:hAnsi="微软雅黑" w:eastAsia="微软雅黑" w:cs="微软雅黑"/>
          <w:color w:val="auto"/>
          <w:kern w:val="0"/>
          <w:szCs w:val="21"/>
          <w:highlight w:val="none"/>
        </w:rPr>
        <w:t>，从业人员</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u w:val="single"/>
        </w:rPr>
        <w:tab/>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rPr>
        <w:t>人，营业收入为</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u w:val="single"/>
        </w:rPr>
        <w:tab/>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rPr>
        <w:t>万元，资产总额为</w:t>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u w:val="single"/>
        </w:rPr>
        <w:tab/>
      </w:r>
      <w:r>
        <w:rPr>
          <w:rFonts w:hint="eastAsia" w:ascii="微软雅黑" w:hAnsi="微软雅黑" w:eastAsia="微软雅黑" w:cs="微软雅黑"/>
          <w:color w:val="auto"/>
          <w:kern w:val="0"/>
          <w:szCs w:val="21"/>
          <w:highlight w:val="none"/>
          <w:u w:val="single"/>
        </w:rPr>
        <w:t xml:space="preserve">  </w:t>
      </w:r>
      <w:r>
        <w:rPr>
          <w:rFonts w:hint="eastAsia" w:ascii="微软雅黑" w:hAnsi="微软雅黑" w:eastAsia="微软雅黑" w:cs="微软雅黑"/>
          <w:color w:val="auto"/>
          <w:kern w:val="0"/>
          <w:szCs w:val="21"/>
          <w:highlight w:val="none"/>
        </w:rPr>
        <w:t>万元，属于</w:t>
      </w:r>
      <w:r>
        <w:rPr>
          <w:rFonts w:hint="eastAsia" w:ascii="微软雅黑" w:hAnsi="微软雅黑" w:eastAsia="微软雅黑" w:cs="微软雅黑"/>
          <w:i/>
          <w:iCs/>
          <w:color w:val="auto"/>
          <w:kern w:val="0"/>
          <w:szCs w:val="21"/>
          <w:highlight w:val="none"/>
          <w:u w:val="single"/>
        </w:rPr>
        <w:t>（中型企业、小型企业、微型企业）</w:t>
      </w:r>
      <w:r>
        <w:rPr>
          <w:rFonts w:hint="eastAsia" w:ascii="微软雅黑" w:hAnsi="微软雅黑" w:eastAsia="微软雅黑" w:cs="微软雅黑"/>
          <w:color w:val="auto"/>
          <w:kern w:val="0"/>
          <w:szCs w:val="21"/>
          <w:highlight w:val="none"/>
        </w:rPr>
        <w:t>；</w:t>
      </w:r>
    </w:p>
    <w:p w14:paraId="43270BCA">
      <w:pPr>
        <w:pStyle w:val="11"/>
        <w:pageBreakBefore w:val="0"/>
        <w:kinsoku/>
        <w:wordWrap/>
        <w:overflowPunct/>
        <w:topLinePunct w:val="0"/>
        <w:bidi w:val="0"/>
        <w:spacing w:before="11" w:line="520" w:lineRule="exact"/>
        <w:ind w:left="860"/>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w:t>
      </w:r>
    </w:p>
    <w:p w14:paraId="328BC2CB">
      <w:pPr>
        <w:pStyle w:val="11"/>
        <w:pageBreakBefore w:val="0"/>
        <w:kinsoku/>
        <w:wordWrap/>
        <w:overflowPunct/>
        <w:topLinePunct w:val="0"/>
        <w:bidi w:val="0"/>
        <w:spacing w:before="108" w:line="520" w:lineRule="exact"/>
        <w:ind w:right="417" w:firstLine="420" w:firstLineChars="200"/>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以上企业，不属于大企业的分支机构，不存在控股股东为大企业的情形，也不存在与大企业的负责人为同一人的情形。</w:t>
      </w:r>
    </w:p>
    <w:p w14:paraId="5BEA06AB">
      <w:pPr>
        <w:pStyle w:val="11"/>
        <w:pageBreakBefore w:val="0"/>
        <w:kinsoku/>
        <w:wordWrap/>
        <w:overflowPunct/>
        <w:topLinePunct w:val="0"/>
        <w:bidi w:val="0"/>
        <w:spacing w:before="108" w:line="520" w:lineRule="exact"/>
        <w:ind w:right="417" w:firstLine="420" w:firstLineChars="200"/>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本企业对上述声明内容的真实性负责。如有虚假，将依法承担相应责任。</w:t>
      </w:r>
    </w:p>
    <w:p w14:paraId="6DA7A7A3">
      <w:pPr>
        <w:pStyle w:val="94"/>
        <w:pageBreakBefore w:val="0"/>
        <w:tabs>
          <w:tab w:val="left" w:pos="1243"/>
        </w:tabs>
        <w:kinsoku/>
        <w:wordWrap/>
        <w:overflowPunct/>
        <w:topLinePunct w:val="0"/>
        <w:bidi w:val="0"/>
        <w:spacing w:line="520" w:lineRule="exact"/>
        <w:ind w:left="420" w:leftChars="200" w:firstLine="0" w:firstLineChars="0"/>
        <w:rPr>
          <w:rFonts w:ascii="微软雅黑" w:hAnsi="微软雅黑" w:eastAsia="微软雅黑" w:cs="微软雅黑"/>
          <w:color w:val="auto"/>
          <w:kern w:val="0"/>
          <w:szCs w:val="21"/>
          <w:highlight w:val="none"/>
        </w:rPr>
      </w:pPr>
    </w:p>
    <w:p w14:paraId="57DBF462">
      <w:pPr>
        <w:pStyle w:val="94"/>
        <w:pageBreakBefore w:val="0"/>
        <w:tabs>
          <w:tab w:val="left" w:pos="1243"/>
        </w:tabs>
        <w:kinsoku/>
        <w:wordWrap/>
        <w:overflowPunct/>
        <w:topLinePunct w:val="0"/>
        <w:bidi w:val="0"/>
        <w:spacing w:line="520" w:lineRule="exact"/>
        <w:ind w:left="0" w:leftChars="0" w:firstLine="0" w:firstLineChars="0"/>
        <w:rPr>
          <w:rFonts w:ascii="微软雅黑" w:hAnsi="微软雅黑" w:eastAsia="微软雅黑" w:cs="微软雅黑"/>
          <w:color w:val="auto"/>
          <w:kern w:val="0"/>
          <w:szCs w:val="21"/>
          <w:highlight w:val="none"/>
        </w:rPr>
      </w:pPr>
    </w:p>
    <w:p w14:paraId="402EDF88">
      <w:pPr>
        <w:pStyle w:val="94"/>
        <w:pageBreakBefore w:val="0"/>
        <w:tabs>
          <w:tab w:val="left" w:pos="1243"/>
        </w:tabs>
        <w:kinsoku/>
        <w:wordWrap/>
        <w:overflowPunct/>
        <w:topLinePunct w:val="0"/>
        <w:bidi w:val="0"/>
        <w:spacing w:line="520" w:lineRule="exact"/>
        <w:ind w:left="420" w:leftChars="200" w:firstLine="0" w:firstLineChars="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lang w:eastAsia="zh-CN"/>
        </w:rPr>
        <w:t>供应商</w:t>
      </w:r>
      <w:r>
        <w:rPr>
          <w:rFonts w:hint="eastAsia" w:ascii="微软雅黑" w:hAnsi="微软雅黑" w:eastAsia="微软雅黑" w:cs="微软雅黑"/>
          <w:color w:val="auto"/>
          <w:kern w:val="0"/>
          <w:szCs w:val="21"/>
          <w:highlight w:val="none"/>
        </w:rPr>
        <w:t>名称（盖章）：</w:t>
      </w:r>
    </w:p>
    <w:p w14:paraId="1BAEFBC9">
      <w:pPr>
        <w:pStyle w:val="94"/>
        <w:pageBreakBefore w:val="0"/>
        <w:tabs>
          <w:tab w:val="left" w:pos="1243"/>
        </w:tabs>
        <w:kinsoku/>
        <w:wordWrap/>
        <w:overflowPunct/>
        <w:topLinePunct w:val="0"/>
        <w:bidi w:val="0"/>
        <w:spacing w:line="520" w:lineRule="exact"/>
        <w:ind w:left="0" w:leftChars="0" w:firstLine="0" w:firstLineChars="0"/>
        <w:rPr>
          <w:rFonts w:ascii="微软雅黑" w:hAnsi="微软雅黑" w:eastAsia="微软雅黑" w:cs="微软雅黑"/>
          <w:color w:val="auto"/>
          <w:kern w:val="0"/>
          <w:szCs w:val="21"/>
          <w:highlight w:val="none"/>
        </w:rPr>
      </w:pPr>
    </w:p>
    <w:p w14:paraId="0058AA20">
      <w:pPr>
        <w:pStyle w:val="94"/>
        <w:pageBreakBefore w:val="0"/>
        <w:tabs>
          <w:tab w:val="left" w:pos="1243"/>
        </w:tabs>
        <w:kinsoku/>
        <w:wordWrap/>
        <w:overflowPunct/>
        <w:topLinePunct w:val="0"/>
        <w:bidi w:val="0"/>
        <w:spacing w:line="520" w:lineRule="exact"/>
        <w:ind w:left="420" w:leftChars="200" w:firstLine="0" w:firstLineChars="0"/>
        <w:rPr>
          <w:rFonts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日期：</w:t>
      </w:r>
    </w:p>
    <w:p w14:paraId="29E88A92">
      <w:pPr>
        <w:pStyle w:val="94"/>
        <w:pageBreakBefore w:val="0"/>
        <w:tabs>
          <w:tab w:val="left" w:pos="1243"/>
        </w:tabs>
        <w:kinsoku/>
        <w:wordWrap/>
        <w:overflowPunct/>
        <w:topLinePunct w:val="0"/>
        <w:bidi w:val="0"/>
        <w:spacing w:line="520" w:lineRule="exact"/>
        <w:ind w:left="0" w:leftChars="0" w:firstLine="0" w:firstLineChars="0"/>
        <w:rPr>
          <w:rFonts w:ascii="微软雅黑" w:hAnsi="微软雅黑" w:eastAsia="微软雅黑" w:cs="微软雅黑"/>
          <w:color w:val="auto"/>
          <w:kern w:val="0"/>
          <w:szCs w:val="21"/>
          <w:highlight w:val="none"/>
        </w:rPr>
      </w:pPr>
    </w:p>
    <w:p w14:paraId="31B41C2A">
      <w:pPr>
        <w:pageBreakBefore w:val="0"/>
        <w:widowControl/>
        <w:kinsoku/>
        <w:wordWrap/>
        <w:overflowPunct/>
        <w:topLinePunct w:val="0"/>
        <w:bidi w:val="0"/>
        <w:spacing w:before="100" w:beforeAutospacing="1" w:after="100" w:afterAutospacing="1" w:line="520" w:lineRule="exact"/>
        <w:ind w:left="420" w:hanging="420" w:hangingChars="200"/>
        <w:jc w:val="both"/>
        <w:rPr>
          <w:rFonts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注：</w:t>
      </w:r>
      <w:r>
        <w:rPr>
          <w:rFonts w:hint="eastAsia" w:ascii="微软雅黑" w:hAnsi="微软雅黑" w:eastAsia="微软雅黑" w:cs="微软雅黑"/>
          <w:b/>
          <w:bCs/>
          <w:color w:val="auto"/>
          <w:szCs w:val="21"/>
          <w:highlight w:val="none"/>
          <w:lang w:val="en-US" w:eastAsia="zh-CN"/>
        </w:rPr>
        <w:t xml:space="preserve">1、潜在供应商属于中小微企业的，应在响应文件中提供‘’中小企业声明函”如果未提供或提供“中小企业声明函”内容不实的，供应商将承担由此造成的一切不利后果。  </w:t>
      </w:r>
      <w:r>
        <w:rPr>
          <w:rFonts w:hint="eastAsia" w:ascii="微软雅黑" w:hAnsi="微软雅黑" w:eastAsia="微软雅黑" w:cs="微软雅黑"/>
          <w:color w:val="auto"/>
          <w:szCs w:val="21"/>
          <w:highlight w:val="none"/>
          <w:lang w:val="en-US" w:eastAsia="zh-CN"/>
        </w:rPr>
        <w:t xml:space="preserve">    </w:t>
      </w:r>
    </w:p>
    <w:p w14:paraId="18700935">
      <w:pPr>
        <w:pageBreakBefore w:val="0"/>
        <w:widowControl/>
        <w:numPr>
          <w:ilvl w:val="0"/>
          <w:numId w:val="4"/>
        </w:numPr>
        <w:kinsoku/>
        <w:wordWrap/>
        <w:overflowPunct/>
        <w:topLinePunct w:val="0"/>
        <w:bidi w:val="0"/>
        <w:spacing w:before="100" w:beforeAutospacing="1" w:after="100" w:afterAutospacing="1" w:line="520" w:lineRule="exact"/>
        <w:ind w:left="420" w:leftChars="200" w:firstLine="0" w:firstLineChars="0"/>
        <w:jc w:val="both"/>
        <w:rPr>
          <w:rFonts w:hint="eastAsia" w:ascii="微软雅黑" w:hAnsi="微软雅黑" w:eastAsia="微软雅黑" w:cs="微软雅黑"/>
          <w:b/>
          <w:bCs/>
          <w:color w:val="auto"/>
          <w:szCs w:val="21"/>
          <w:highlight w:val="none"/>
          <w:lang w:val="en-US" w:eastAsia="zh-CN"/>
        </w:rPr>
      </w:pPr>
      <w:r>
        <w:rPr>
          <w:rFonts w:hint="eastAsia" w:ascii="微软雅黑" w:hAnsi="微软雅黑" w:eastAsia="微软雅黑" w:cs="微软雅黑"/>
          <w:b/>
          <w:bCs/>
          <w:color w:val="auto"/>
          <w:szCs w:val="21"/>
          <w:highlight w:val="none"/>
          <w:lang w:val="en-US" w:eastAsia="zh-CN"/>
        </w:rPr>
        <w:t>本项目所属行业：建筑业。</w:t>
      </w:r>
    </w:p>
    <w:p w14:paraId="1DCEBAA5">
      <w:pPr>
        <w:pageBreakBefore w:val="0"/>
        <w:widowControl/>
        <w:numPr>
          <w:ilvl w:val="0"/>
          <w:numId w:val="4"/>
        </w:numPr>
        <w:kinsoku/>
        <w:wordWrap/>
        <w:overflowPunct/>
        <w:topLinePunct w:val="0"/>
        <w:bidi w:val="0"/>
        <w:spacing w:before="100" w:beforeAutospacing="1" w:after="100" w:afterAutospacing="1" w:line="520" w:lineRule="exact"/>
        <w:ind w:left="420" w:leftChars="200" w:firstLine="0" w:firstLineChars="0"/>
        <w:jc w:val="both"/>
        <w:rPr>
          <w:rFonts w:hint="eastAsia" w:ascii="微软雅黑" w:hAnsi="微软雅黑" w:eastAsia="微软雅黑" w:cs="微软雅黑"/>
          <w:b/>
          <w:bCs/>
          <w:color w:val="auto"/>
          <w:szCs w:val="21"/>
          <w:highlight w:val="none"/>
          <w:lang w:val="en-US" w:eastAsia="zh-CN"/>
        </w:rPr>
      </w:pPr>
      <w:r>
        <w:rPr>
          <w:rFonts w:hint="eastAsia" w:ascii="微软雅黑" w:hAnsi="微软雅黑" w:eastAsia="微软雅黑" w:cs="微软雅黑"/>
          <w:b/>
          <w:bCs/>
          <w:color w:val="auto"/>
          <w:szCs w:val="21"/>
          <w:highlight w:val="none"/>
          <w:lang w:val="en-US" w:eastAsia="zh-CN"/>
        </w:rPr>
        <w:t>从业人员、营业收入、资产总额填报上一年度数据 ，无上一年度数据的新成立企业可不填报。</w:t>
      </w:r>
    </w:p>
    <w:p w14:paraId="3EE298E8">
      <w:pPr>
        <w:pageBreakBefore w:val="0"/>
        <w:kinsoku/>
        <w:wordWrap/>
        <w:overflowPunct/>
        <w:topLinePunct w:val="0"/>
        <w:bidi w:val="0"/>
        <w:spacing w:line="520" w:lineRule="exact"/>
        <w:jc w:val="left"/>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附：</w:t>
      </w:r>
    </w:p>
    <w:p w14:paraId="70DC427D">
      <w:pPr>
        <w:pageBreakBefore w:val="0"/>
        <w:kinsoku/>
        <w:wordWrap/>
        <w:overflowPunct/>
        <w:topLinePunct w:val="0"/>
        <w:bidi w:val="0"/>
        <w:spacing w:line="520" w:lineRule="exact"/>
        <w:jc w:val="center"/>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中小微企业划型标准</w:t>
      </w:r>
    </w:p>
    <w:p w14:paraId="57E020A8">
      <w:pPr>
        <w:pageBreakBefore w:val="0"/>
        <w:kinsoku/>
        <w:wordWrap/>
        <w:overflowPunct/>
        <w:topLinePunct w:val="0"/>
        <w:bidi w:val="0"/>
        <w:spacing w:line="520" w:lineRule="exact"/>
        <w:ind w:firstLine="480" w:firstLineChars="200"/>
        <w:jc w:val="left"/>
        <w:rPr>
          <w:rFonts w:ascii="微软雅黑" w:hAnsi="微软雅黑" w:eastAsia="微软雅黑" w:cs="微软雅黑"/>
          <w:b/>
          <w:bCs/>
          <w:color w:val="auto"/>
          <w:kern w:val="0"/>
          <w:sz w:val="24"/>
          <w:highlight w:val="none"/>
        </w:rPr>
      </w:pPr>
      <w:bookmarkStart w:id="650" w:name="bookmark4"/>
      <w:bookmarkStart w:id="651" w:name="bookmark5"/>
      <w:r>
        <w:rPr>
          <w:rFonts w:hint="eastAsia" w:ascii="微软雅黑" w:hAnsi="微软雅黑" w:eastAsia="微软雅黑" w:cs="微软雅黑"/>
          <w:color w:val="auto"/>
          <w:kern w:val="0"/>
          <w:sz w:val="24"/>
          <w:highlight w:val="none"/>
        </w:rPr>
        <w:t>工业和信息化部、国家统计局、发展改革委、财政部等四部门《关于印发中 小企业划型标准规定的通知》（工信部联企业〔2011〕300号）规定中小企业划型标准如表所示：</w:t>
      </w:r>
      <w:bookmarkEnd w:id="650"/>
      <w:bookmarkEnd w:id="651"/>
    </w:p>
    <w:tbl>
      <w:tblPr>
        <w:tblStyle w:val="38"/>
        <w:tblW w:w="9793" w:type="dxa"/>
        <w:jc w:val="center"/>
        <w:tblLayout w:type="autofit"/>
        <w:tblCellMar>
          <w:top w:w="0" w:type="dxa"/>
          <w:left w:w="108" w:type="dxa"/>
          <w:bottom w:w="0" w:type="dxa"/>
          <w:right w:w="108" w:type="dxa"/>
        </w:tblCellMar>
      </w:tblPr>
      <w:tblGrid>
        <w:gridCol w:w="2391"/>
        <w:gridCol w:w="849"/>
        <w:gridCol w:w="6553"/>
      </w:tblGrid>
      <w:tr w14:paraId="63FB65FE">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FCA0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4322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营业收入20000万元以下的为中小微型企业。</w:t>
            </w:r>
          </w:p>
        </w:tc>
      </w:tr>
      <w:tr w14:paraId="7273FB89">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D621">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249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648B">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500万元-20000万元</w:t>
            </w:r>
          </w:p>
        </w:tc>
      </w:tr>
      <w:tr w14:paraId="4FDE006D">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6A7E">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477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A7D">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50万元-500万元</w:t>
            </w:r>
          </w:p>
        </w:tc>
      </w:tr>
      <w:tr w14:paraId="25064A50">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6F54">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28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B687">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50万元以下</w:t>
            </w:r>
          </w:p>
        </w:tc>
      </w:tr>
      <w:tr w14:paraId="022D6D96">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A0D0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工业</w:t>
            </w:r>
            <w:r>
              <w:rPr>
                <w:rFonts w:hint="eastAsia" w:ascii="微软雅黑" w:hAnsi="微软雅黑" w:eastAsia="微软雅黑" w:cs="微软雅黑"/>
                <w:color w:val="auto"/>
                <w:kern w:val="0"/>
                <w:szCs w:val="21"/>
                <w:highlight w:val="none"/>
              </w:rPr>
              <w:br w:type="textWrapping"/>
            </w:r>
            <w:r>
              <w:rPr>
                <w:rFonts w:hint="eastAsia" w:ascii="微软雅黑" w:hAnsi="微软雅黑" w:eastAsia="微软雅黑" w:cs="微软雅黑"/>
                <w:color w:val="auto"/>
                <w:kern w:val="0"/>
                <w:szCs w:val="21"/>
                <w:highlight w:val="none"/>
              </w:rPr>
              <w:t>（包括采矿业，制造 业，电力、热力、燃 气及水生产和供应</w:t>
            </w:r>
            <w:r>
              <w:rPr>
                <w:rFonts w:hint="eastAsia" w:ascii="微软雅黑" w:hAnsi="微软雅黑" w:eastAsia="微软雅黑" w:cs="微软雅黑"/>
                <w:color w:val="auto"/>
                <w:kern w:val="0"/>
                <w:szCs w:val="21"/>
                <w:highlight w:val="none"/>
              </w:rPr>
              <w:br w:type="textWrapping"/>
            </w:r>
            <w:r>
              <w:rPr>
                <w:rFonts w:hint="eastAsia" w:ascii="微软雅黑" w:hAnsi="微软雅黑" w:eastAsia="微软雅黑" w:cs="微软雅黑"/>
                <w:color w:val="auto"/>
                <w:kern w:val="0"/>
                <w:szCs w:val="21"/>
                <w:highlight w:val="none"/>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E178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从业人员1000人以下或营业收入 40000万元以下的为中小微型企业。</w:t>
            </w:r>
          </w:p>
        </w:tc>
      </w:tr>
      <w:tr w14:paraId="7769B8D1">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CE8A">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EF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61EF">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 300人一1000人，且营业收入 2000万元一40000万元</w:t>
            </w:r>
          </w:p>
        </w:tc>
      </w:tr>
      <w:tr w14:paraId="645B212E">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B87C">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917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4888">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从业人员20人一300人，且营业收入 300万元一2000万元</w:t>
            </w:r>
          </w:p>
        </w:tc>
      </w:tr>
      <w:tr w14:paraId="46E529A1">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EDC7">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0ED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277F">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从业人员20人以下或营业收入 300万元以下</w:t>
            </w:r>
          </w:p>
        </w:tc>
      </w:tr>
      <w:tr w14:paraId="457DC21E">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0054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688C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rPr>
              <w:t>营业收入80000万元以下或资产总额 80000万元以下的为中小微型企业。</w:t>
            </w:r>
          </w:p>
        </w:tc>
      </w:tr>
      <w:tr w14:paraId="0A0552CF">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8B80">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b/>
                <w:bCs/>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F6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66DB">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rPr>
              <w:t>营业收入6000万元一80000万元，且资产总额 5000万元一80000万元</w:t>
            </w:r>
          </w:p>
        </w:tc>
      </w:tr>
      <w:tr w14:paraId="30BFD3F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4D5D">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b/>
                <w:bCs/>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B2A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B581">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rPr>
              <w:t>营业收入 300万元一6000万元，且资产总额 300万一5000万元</w:t>
            </w:r>
          </w:p>
        </w:tc>
      </w:tr>
      <w:tr w14:paraId="7874BD9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B11B">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b/>
                <w:bCs/>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08C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74F2">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kern w:val="0"/>
                <w:szCs w:val="21"/>
                <w:highlight w:val="none"/>
              </w:rPr>
              <w:t>营业收入300万元以下或资产总额 300万元以下</w:t>
            </w:r>
          </w:p>
        </w:tc>
      </w:tr>
      <w:tr w14:paraId="085A493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39AE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38D1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从业人员200人以下或营业收入40000万元以下的为中小微型企业。</w:t>
            </w:r>
          </w:p>
        </w:tc>
      </w:tr>
      <w:tr w14:paraId="63AB43C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8256">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43C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639B">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从业人员20人一200人，且营业收入5000万元一40000万元</w:t>
            </w:r>
          </w:p>
        </w:tc>
      </w:tr>
      <w:tr w14:paraId="1748916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45B0">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207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5815">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从业人员5人一20人，且营业收入1000万元一5000万元</w:t>
            </w:r>
          </w:p>
        </w:tc>
      </w:tr>
      <w:tr w14:paraId="003ECD8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1BD2">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60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09D7">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从业人员5人以下或营业收入1000万元以下</w:t>
            </w:r>
          </w:p>
        </w:tc>
      </w:tr>
      <w:tr w14:paraId="5C11FA21">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A50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4FBB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从业人员300人以下或营业收入 20000万元以下的为中小微型企业。</w:t>
            </w:r>
          </w:p>
        </w:tc>
      </w:tr>
      <w:tr w14:paraId="3E7D02D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C339">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41D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4AD5">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 50人一300人，且营业收入500万元一20000万元</w:t>
            </w:r>
          </w:p>
        </w:tc>
      </w:tr>
      <w:tr w14:paraId="0446A8C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BF0E">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A03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A0C1">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从业人员10人一50人，且营业收入100万元一500万元</w:t>
            </w:r>
          </w:p>
        </w:tc>
      </w:tr>
      <w:tr w14:paraId="7730ABA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C40C">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77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F49D">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从业人员10人以下或营业收入100万元以下</w:t>
            </w:r>
          </w:p>
        </w:tc>
      </w:tr>
      <w:tr w14:paraId="0D738845">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A860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17A9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从业人员1000人以下或营业收入 30000万元以下的为中小微型企业。</w:t>
            </w:r>
          </w:p>
        </w:tc>
      </w:tr>
      <w:tr w14:paraId="4E2A9A5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DA5D">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669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BCBD">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 300人一1000人，且营业收入 3000万元一30000万元</w:t>
            </w:r>
          </w:p>
        </w:tc>
      </w:tr>
      <w:tr w14:paraId="17DE8D3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5FFA">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BE8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3DA5">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从业人员20人一300人，且营业收入 200万元一3000万元</w:t>
            </w:r>
          </w:p>
        </w:tc>
      </w:tr>
      <w:tr w14:paraId="6492051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7120">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1B2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9229">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从业人员20人以下或营业收入200万元以下</w:t>
            </w:r>
          </w:p>
        </w:tc>
      </w:tr>
      <w:tr w14:paraId="6291052A">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E7FA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ACE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从业人员200人以下或营业收入 30000万元以下的为中小微型企业。</w:t>
            </w:r>
          </w:p>
        </w:tc>
      </w:tr>
      <w:tr w14:paraId="5037D4B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2792">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21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B35">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从业人员100人一200人，且营业收入 1000万元一30000万元</w:t>
            </w:r>
          </w:p>
        </w:tc>
      </w:tr>
      <w:tr w14:paraId="5C64768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6488A">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9A9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374A">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从业人员20人一100人，且营业收入 100万元一1000万元</w:t>
            </w:r>
          </w:p>
        </w:tc>
      </w:tr>
      <w:tr w14:paraId="7815DB2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7EC0">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3FA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3288">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从业人员20人以下或营业收入 100万元以下</w:t>
            </w:r>
          </w:p>
        </w:tc>
      </w:tr>
      <w:tr w14:paraId="400787A8">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F51E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4D57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从业人员1000人以下或营业收入 30000万元以下的为中小微型企业。</w:t>
            </w:r>
          </w:p>
        </w:tc>
      </w:tr>
      <w:tr w14:paraId="6FCD295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ACCC">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3EC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0307">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 300人一1000人，且营业收入 2000万元一30000万元</w:t>
            </w:r>
          </w:p>
        </w:tc>
      </w:tr>
      <w:tr w14:paraId="0A77E05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EE87">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6B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399B">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从业人员20人一300人，且营业收入 100万元一2000万元</w:t>
            </w:r>
          </w:p>
        </w:tc>
      </w:tr>
      <w:tr w14:paraId="5FF507F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2B3D">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B05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42BD">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从业人员20人以下或营业收入 100万元以下</w:t>
            </w:r>
          </w:p>
        </w:tc>
      </w:tr>
      <w:tr w14:paraId="74E98116">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405C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ABC7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从业人员300人以下或营业收入 10000万元以下的为中小微型企业。</w:t>
            </w:r>
          </w:p>
        </w:tc>
      </w:tr>
      <w:tr w14:paraId="387E383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C9BA">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3F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F87">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从业人员100人一300人，且营业收入 2000万元一10000万元</w:t>
            </w:r>
          </w:p>
        </w:tc>
      </w:tr>
      <w:tr w14:paraId="2BDBD8F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1A92">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BCA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129F">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从业人员10人一100人，且营业收入 100万元一2000万元</w:t>
            </w:r>
          </w:p>
        </w:tc>
      </w:tr>
      <w:tr w14:paraId="6950303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4D1AD">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85B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4841">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从业人员10人以下或营业收入 100万元以下</w:t>
            </w:r>
          </w:p>
        </w:tc>
      </w:tr>
      <w:tr w14:paraId="54E704A9">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ACC2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9908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从业人员300人以下或营业收入 10000万元以下的为中小微型企业。</w:t>
            </w:r>
          </w:p>
        </w:tc>
      </w:tr>
      <w:tr w14:paraId="73B93B1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E898">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E8E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5F7C">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 300人，且营业收入 2000万元一10000万元</w:t>
            </w:r>
          </w:p>
        </w:tc>
      </w:tr>
      <w:tr w14:paraId="35A4326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6A68">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BA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0AC">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从业人员10人一100人，且营业收入 100万元一2000万元</w:t>
            </w:r>
          </w:p>
        </w:tc>
      </w:tr>
      <w:tr w14:paraId="0F7E534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5EC5">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CB0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8FCA">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从业人员10人以下或营业收入 100万元以下</w:t>
            </w:r>
          </w:p>
        </w:tc>
      </w:tr>
      <w:tr w14:paraId="2906FE44">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5399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A289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从业人员2000人以下或营业收入 100000万元以下的为中小微型企业。</w:t>
            </w:r>
          </w:p>
        </w:tc>
      </w:tr>
      <w:tr w14:paraId="73D54F7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ACA7">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AE4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10C4">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从业人员100人一2000人，且营业收入 1000万元一10000万元</w:t>
            </w:r>
          </w:p>
        </w:tc>
      </w:tr>
      <w:tr w14:paraId="52126DC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F993">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630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A22F">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从业人员10人一100人，且营业收入 100万元一1000万元</w:t>
            </w:r>
          </w:p>
        </w:tc>
      </w:tr>
      <w:tr w14:paraId="0FBF14C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6D312">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D1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616">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从业人员10人以下或营业收入 100万元以下</w:t>
            </w:r>
          </w:p>
        </w:tc>
      </w:tr>
      <w:tr w14:paraId="59DEB110">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FE2C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42F8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从业人员300人以下或营业收入 10000万元以下的为中小微型企业。</w:t>
            </w:r>
          </w:p>
        </w:tc>
      </w:tr>
      <w:tr w14:paraId="35E99AB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DC0A">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017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932">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 300人，且营业收入 1000万元一10000万元</w:t>
            </w:r>
          </w:p>
        </w:tc>
      </w:tr>
      <w:tr w14:paraId="1BCC14B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7011">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4A5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249F">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从业人员10人一100人，且营业收入 50万元一1000万元</w:t>
            </w:r>
          </w:p>
        </w:tc>
      </w:tr>
      <w:tr w14:paraId="30C768C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093E">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BDC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EAC">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从业人员10人以下或营业收入 50万元以下</w:t>
            </w:r>
          </w:p>
        </w:tc>
      </w:tr>
      <w:tr w14:paraId="1C132D77">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28A7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8498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营业收入200000万元以下或资产总额 10000万元以下的为中小微型企业。</w:t>
            </w:r>
          </w:p>
        </w:tc>
      </w:tr>
      <w:tr w14:paraId="2FAFE686">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34DA4">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49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4A07">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营业收入1000万元一200000万元，且资产总额 5000万元一10000万元</w:t>
            </w:r>
          </w:p>
        </w:tc>
      </w:tr>
      <w:tr w14:paraId="494D8491">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902A">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9E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909E">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营业收入100万元一1000万元，且资产总额 2 000万元一5000 万元</w:t>
            </w:r>
          </w:p>
        </w:tc>
      </w:tr>
      <w:tr w14:paraId="5BF5D89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30B8">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1D5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85BE">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营业收入100万元以下或资产总额 2000万元以下的为微型企业</w:t>
            </w:r>
          </w:p>
        </w:tc>
      </w:tr>
      <w:tr w14:paraId="77EB94C5">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0685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891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从业人员1000人以下或营业收入 5000万元以下的为中小微型企业。</w:t>
            </w:r>
          </w:p>
        </w:tc>
      </w:tr>
      <w:tr w14:paraId="5548DB1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C551">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017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C80C">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 300人一1 000人，且营业收入 1000万元一5000万元</w:t>
            </w:r>
          </w:p>
        </w:tc>
      </w:tr>
      <w:tr w14:paraId="519F941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2B32">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24A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AF08">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从业人员100人一300人，且营业收入 500万元一1000万元</w:t>
            </w:r>
          </w:p>
        </w:tc>
      </w:tr>
      <w:tr w14:paraId="28F8EA0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1F9C">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433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27A4">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从业人员100人以下或营业收入 500万元以下</w:t>
            </w:r>
          </w:p>
        </w:tc>
      </w:tr>
      <w:tr w14:paraId="1592660C">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B21DE">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07674">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2909155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B02F">
            <w:pPr>
              <w:keepNext w:val="0"/>
              <w:keepLines w:val="0"/>
              <w:pageBreakBefore w:val="0"/>
              <w:kinsoku/>
              <w:wordWrap/>
              <w:overflowPunct/>
              <w:topLinePunct w:val="0"/>
              <w:autoSpaceDE/>
              <w:autoSpaceDN/>
              <w:bidi w:val="0"/>
              <w:adjustRightInd/>
              <w:snapToGrid/>
              <w:spacing w:line="480" w:lineRule="exact"/>
              <w:jc w:val="left"/>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A39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0C64">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从业人员100人一300人，且资产总额 8000万元一120000万元</w:t>
            </w:r>
          </w:p>
        </w:tc>
      </w:tr>
      <w:tr w14:paraId="5CBB99F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FC8B">
            <w:pPr>
              <w:keepNext w:val="0"/>
              <w:keepLines w:val="0"/>
              <w:pageBreakBefore w:val="0"/>
              <w:kinsoku/>
              <w:wordWrap/>
              <w:overflowPunct/>
              <w:topLinePunct w:val="0"/>
              <w:autoSpaceDE/>
              <w:autoSpaceDN/>
              <w:bidi w:val="0"/>
              <w:adjustRightInd/>
              <w:snapToGrid/>
              <w:spacing w:line="480" w:lineRule="exact"/>
              <w:jc w:val="left"/>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E84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3BCD">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从业人员10人一100人，且资产总额 100万元一8000万元</w:t>
            </w:r>
          </w:p>
        </w:tc>
      </w:tr>
      <w:tr w14:paraId="526819E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0E4C">
            <w:pPr>
              <w:keepNext w:val="0"/>
              <w:keepLines w:val="0"/>
              <w:pageBreakBefore w:val="0"/>
              <w:kinsoku/>
              <w:wordWrap/>
              <w:overflowPunct/>
              <w:topLinePunct w:val="0"/>
              <w:autoSpaceDE/>
              <w:autoSpaceDN/>
              <w:bidi w:val="0"/>
              <w:adjustRightInd/>
              <w:snapToGrid/>
              <w:spacing w:line="480" w:lineRule="exact"/>
              <w:jc w:val="left"/>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49A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E45">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从业人员10人以下或资产总额 100万元以下</w:t>
            </w:r>
          </w:p>
        </w:tc>
      </w:tr>
      <w:tr w14:paraId="1B8E9BC0">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405F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09F7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从业人员300人以下的为中小微型企业。</w:t>
            </w:r>
          </w:p>
        </w:tc>
      </w:tr>
      <w:tr w14:paraId="69DECCB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F0158">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EF9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B4E2">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从业人员100— 300人</w:t>
            </w:r>
          </w:p>
        </w:tc>
      </w:tr>
      <w:tr w14:paraId="537C277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5541">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BF9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20E">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从业人员10人一100人</w:t>
            </w:r>
          </w:p>
        </w:tc>
      </w:tr>
      <w:tr w14:paraId="530F3FA6">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A2BF">
            <w:pPr>
              <w:keepNext w:val="0"/>
              <w:keepLines w:val="0"/>
              <w:pageBreakBefore w:val="0"/>
              <w:kinsoku/>
              <w:wordWrap/>
              <w:overflowPunct/>
              <w:topLinePunct w:val="0"/>
              <w:autoSpaceDE/>
              <w:autoSpaceDN/>
              <w:bidi w:val="0"/>
              <w:adjustRightInd/>
              <w:snapToGrid/>
              <w:spacing w:line="480" w:lineRule="exact"/>
              <w:jc w:val="center"/>
              <w:rPr>
                <w:rFonts w:ascii="微软雅黑" w:hAnsi="微软雅黑" w:eastAsia="微软雅黑" w:cs="微软雅黑"/>
                <w:color w:val="auto"/>
                <w:szCs w:val="21"/>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FAB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A8DB">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ascii="微软雅黑" w:hAnsi="微软雅黑" w:eastAsia="微软雅黑" w:cs="微软雅黑"/>
                <w:color w:val="auto"/>
                <w:szCs w:val="21"/>
                <w:highlight w:val="none"/>
              </w:rPr>
            </w:pPr>
            <w:r>
              <w:rPr>
                <w:rFonts w:hint="eastAsia" w:ascii="微软雅黑" w:hAnsi="微软雅黑" w:eastAsia="微软雅黑" w:cs="微软雅黑"/>
                <w:color w:val="auto"/>
                <w:kern w:val="0"/>
                <w:szCs w:val="21"/>
                <w:highlight w:val="none"/>
              </w:rPr>
              <w:t>从业人员10人以下</w:t>
            </w:r>
          </w:p>
        </w:tc>
      </w:tr>
    </w:tbl>
    <w:p w14:paraId="5DF91792">
      <w:pPr>
        <w:keepNext w:val="0"/>
        <w:keepLines w:val="0"/>
        <w:pageBreakBefore w:val="0"/>
        <w:widowControl w:val="0"/>
        <w:kinsoku/>
        <w:wordWrap/>
        <w:overflowPunct/>
        <w:topLinePunct w:val="0"/>
        <w:autoSpaceDE/>
        <w:autoSpaceDN/>
        <w:bidi w:val="0"/>
        <w:adjustRightInd/>
        <w:snapToGrid w:val="0"/>
        <w:spacing w:line="480" w:lineRule="exact"/>
        <w:contextualSpacing/>
        <w:jc w:val="left"/>
        <w:rPr>
          <w:rFonts w:ascii="微软雅黑" w:hAnsi="微软雅黑" w:eastAsia="微软雅黑" w:cs="微软雅黑"/>
          <w:b/>
          <w:color w:val="auto"/>
          <w:sz w:val="24"/>
          <w:highlight w:val="none"/>
        </w:rPr>
      </w:pPr>
    </w:p>
    <w:p w14:paraId="040F1EA3">
      <w:pPr>
        <w:keepNext w:val="0"/>
        <w:keepLines w:val="0"/>
        <w:pageBreakBefore w:val="0"/>
        <w:widowControl w:val="0"/>
        <w:kinsoku/>
        <w:wordWrap/>
        <w:overflowPunct/>
        <w:topLinePunct w:val="0"/>
        <w:autoSpaceDE/>
        <w:autoSpaceDN/>
        <w:bidi w:val="0"/>
        <w:adjustRightInd/>
        <w:snapToGrid w:val="0"/>
        <w:spacing w:line="480" w:lineRule="exact"/>
        <w:ind w:firstLine="240" w:firstLineChars="100"/>
        <w:contextualSpacing/>
        <w:jc w:val="left"/>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行业包括：</w:t>
      </w:r>
      <w:r>
        <w:rPr>
          <w:rFonts w:hint="eastAsia" w:ascii="微软雅黑" w:hAnsi="微软雅黑" w:eastAsia="微软雅黑" w:cs="微软雅黑"/>
          <w:bCs/>
          <w:color w:val="auto"/>
          <w:sz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highlight w:val="none"/>
        </w:rPr>
        <w:t>。</w:t>
      </w:r>
    </w:p>
    <w:p w14:paraId="34A691D5">
      <w:pPr>
        <w:keepNext w:val="0"/>
        <w:keepLines w:val="0"/>
        <w:pageBreakBefore w:val="0"/>
        <w:widowControl w:val="0"/>
        <w:kinsoku/>
        <w:wordWrap/>
        <w:overflowPunct/>
        <w:topLinePunct w:val="0"/>
        <w:autoSpaceDE/>
        <w:autoSpaceDN/>
        <w:bidi w:val="0"/>
        <w:adjustRightInd/>
        <w:snapToGrid w:val="0"/>
        <w:spacing w:line="480" w:lineRule="exact"/>
        <w:contextualSpacing/>
        <w:jc w:val="left"/>
        <w:rPr>
          <w:rFonts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说明：</w:t>
      </w:r>
    </w:p>
    <w:p w14:paraId="7AC7444E">
      <w:pPr>
        <w:keepNext w:val="0"/>
        <w:keepLines w:val="0"/>
        <w:pageBreakBefore w:val="0"/>
        <w:widowControl w:val="0"/>
        <w:kinsoku/>
        <w:wordWrap/>
        <w:overflowPunct/>
        <w:topLinePunct w:val="0"/>
        <w:autoSpaceDE/>
        <w:autoSpaceDN/>
        <w:bidi w:val="0"/>
        <w:adjustRightInd/>
        <w:snapToGrid w:val="0"/>
        <w:spacing w:line="480" w:lineRule="exact"/>
        <w:contextualSpacing/>
        <w:jc w:val="lef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6D30DF0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jc w:val="left"/>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本磋商文件所称中小企业，是指在中华人民共和国境内依法设立，依据国务院批准的</w:t>
      </w:r>
    </w:p>
    <w:p w14:paraId="3BC23F5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jc w:val="left"/>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提供的货物、工程或者服务符合下列情形的，享受本磋商文件规定的中小企业扶持政策：</w:t>
      </w:r>
    </w:p>
    <w:p w14:paraId="0648C53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（1）在货物采购项目中，货物由中小企业制造，即货物由中小企业生产且使用该中小企业商号或者注册商标，不对其中涉及的工程承建商和服务的承接商作出要求；</w:t>
      </w:r>
    </w:p>
    <w:p w14:paraId="39E7EB2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（2）在工程采购项目中，工程由中小企业承建，即工程施工单位为中小企业，不对其中涉及的货物的制造商和服务的承接商作出要求；</w:t>
      </w:r>
    </w:p>
    <w:p w14:paraId="243037F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jc w:val="lef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314335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jc w:val="left"/>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在货物采购项目中，</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B4590D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contextualSpacing/>
        <w:jc w:val="left"/>
        <w:textAlignment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依据本磋商文件规定享受扶持政策获得政府采购合同的，小微企业不得将合同分包给大中型企业，中型企业不得将合同分包给大型企业。</w:t>
      </w:r>
    </w:p>
    <w:p w14:paraId="5544587B">
      <w:pPr>
        <w:pStyle w:val="16"/>
        <w:pageBreakBefore w:val="0"/>
        <w:numPr>
          <w:ilvl w:val="0"/>
          <w:numId w:val="0"/>
        </w:numPr>
        <w:tabs>
          <w:tab w:val="left" w:pos="5580"/>
        </w:tabs>
        <w:kinsoku/>
        <w:wordWrap/>
        <w:overflowPunct/>
        <w:topLinePunct w:val="0"/>
        <w:bidi w:val="0"/>
        <w:snapToGrid w:val="0"/>
        <w:spacing w:line="520" w:lineRule="exact"/>
        <w:textAlignment w:val="baseline"/>
        <w:rPr>
          <w:rFonts w:hint="eastAsia" w:ascii="微软雅黑" w:hAnsi="微软雅黑" w:eastAsia="微软雅黑" w:cs="微软雅黑"/>
          <w:b/>
          <w:color w:val="auto"/>
          <w:kern w:val="0"/>
          <w:sz w:val="24"/>
          <w:szCs w:val="24"/>
          <w:highlight w:val="none"/>
          <w:lang w:val="en-US" w:eastAsia="zh-CN" w:bidi="ar-SA"/>
        </w:rPr>
      </w:pPr>
    </w:p>
    <w:p w14:paraId="128F50BE">
      <w:pPr>
        <w:pStyle w:val="29"/>
        <w:pageBreakBefore w:val="0"/>
        <w:kinsoku/>
        <w:wordWrap/>
        <w:overflowPunct/>
        <w:topLinePunct w:val="0"/>
        <w:bidi w:val="0"/>
        <w:spacing w:line="520" w:lineRule="exact"/>
        <w:ind w:left="0" w:leftChars="0" w:firstLine="0" w:firstLineChars="0"/>
        <w:rPr>
          <w:rFonts w:hint="eastAsia" w:ascii="微软雅黑" w:hAnsi="微软雅黑" w:eastAsia="微软雅黑" w:cs="微软雅黑"/>
          <w:b/>
          <w:color w:val="auto"/>
          <w:kern w:val="0"/>
          <w:sz w:val="24"/>
          <w:highlight w:val="none"/>
          <w:lang w:val="en-US" w:eastAsia="zh-CN"/>
        </w:rPr>
      </w:pPr>
      <w:r>
        <w:rPr>
          <w:rFonts w:hint="eastAsia" w:ascii="微软雅黑" w:hAnsi="微软雅黑" w:eastAsia="微软雅黑" w:cs="微软雅黑"/>
          <w:b/>
          <w:color w:val="auto"/>
          <w:kern w:val="0"/>
          <w:sz w:val="24"/>
          <w:highlight w:val="none"/>
          <w:lang w:val="en-US" w:eastAsia="zh-CN"/>
        </w:rPr>
        <w:t>3、本项目的特定资格要求：①企业资质要求：【建筑工程施工总承包三级】（含）及以上资质或【建筑装饰装修工程施工专业承包二级】（含）及以上资质，并具备有效的安全生产许可证。②项目负责人资质要求：【建筑工程专业二级】（含）及二级以上注册建造师执业资格，具备有效的B类安全生产考核合格证书，且不得担任其他在建工程的项目负责人</w:t>
      </w:r>
      <w:r>
        <w:rPr>
          <w:rFonts w:hint="eastAsia" w:ascii="微软雅黑" w:hAnsi="微软雅黑" w:eastAsia="微软雅黑" w:cs="微软雅黑"/>
          <w:b/>
          <w:bCs/>
          <w:color w:val="auto"/>
          <w:kern w:val="2"/>
          <w:sz w:val="24"/>
          <w:szCs w:val="24"/>
          <w:highlight w:val="none"/>
          <w:lang w:val="en-US" w:eastAsia="zh-CN" w:bidi="ar-SA"/>
        </w:rPr>
        <w:t>（提供无在建项目承诺书）</w:t>
      </w:r>
      <w:r>
        <w:rPr>
          <w:rFonts w:hint="eastAsia" w:ascii="微软雅黑" w:hAnsi="微软雅黑" w:eastAsia="微软雅黑" w:cs="微软雅黑"/>
          <w:b/>
          <w:color w:val="auto"/>
          <w:kern w:val="0"/>
          <w:sz w:val="24"/>
          <w:highlight w:val="none"/>
          <w:lang w:val="en-US" w:eastAsia="zh-CN"/>
        </w:rPr>
        <w:t>。</w:t>
      </w:r>
    </w:p>
    <w:p w14:paraId="7566CD7A">
      <w:pPr>
        <w:rPr>
          <w:rFonts w:hint="eastAsia"/>
          <w:color w:val="auto"/>
          <w:highlight w:val="none"/>
          <w:lang w:val="en-US" w:eastAsia="zh-CN"/>
        </w:rPr>
      </w:pPr>
    </w:p>
    <w:p w14:paraId="6E8C0A22">
      <w:pPr>
        <w:pageBreakBefore w:val="0"/>
        <w:kinsoku/>
        <w:wordWrap/>
        <w:overflowPunct/>
        <w:topLinePunct w:val="0"/>
        <w:bidi w:val="0"/>
        <w:spacing w:line="520" w:lineRule="exact"/>
        <w:rPr>
          <w:rFonts w:hint="eastAsia" w:ascii="微软雅黑" w:hAnsi="微软雅黑" w:eastAsia="微软雅黑" w:cs="微软雅黑"/>
          <w:b w:val="0"/>
          <w:bCs/>
          <w:color w:val="auto"/>
          <w:kern w:val="0"/>
          <w:sz w:val="24"/>
          <w:szCs w:val="24"/>
          <w:highlight w:val="none"/>
          <w:lang w:val="en-US" w:eastAsia="zh-CN" w:bidi="ar-SA"/>
        </w:rPr>
      </w:pPr>
      <w:r>
        <w:rPr>
          <w:rFonts w:hint="eastAsia" w:ascii="微软雅黑" w:hAnsi="微软雅黑" w:eastAsia="微软雅黑" w:cs="微软雅黑"/>
          <w:b w:val="0"/>
          <w:bCs/>
          <w:color w:val="auto"/>
          <w:kern w:val="0"/>
          <w:sz w:val="24"/>
          <w:szCs w:val="24"/>
          <w:highlight w:val="none"/>
          <w:lang w:val="en-US" w:eastAsia="zh-CN" w:bidi="ar-SA"/>
        </w:rPr>
        <w:t>说明：按要求上传相关资质及承诺书原件扫描件并加盖公章。</w:t>
      </w:r>
    </w:p>
    <w:p w14:paraId="1338B3DF">
      <w:pPr>
        <w:pageBreakBefore w:val="0"/>
        <w:kinsoku/>
        <w:wordWrap/>
        <w:overflowPunct/>
        <w:topLinePunct w:val="0"/>
        <w:bidi w:val="0"/>
        <w:spacing w:line="520" w:lineRule="exact"/>
        <w:rPr>
          <w:rFonts w:hint="eastAsia" w:ascii="微软雅黑" w:hAnsi="微软雅黑" w:eastAsia="微软雅黑" w:cs="微软雅黑"/>
          <w:b/>
          <w:color w:val="auto"/>
          <w:kern w:val="0"/>
          <w:sz w:val="24"/>
          <w:szCs w:val="24"/>
          <w:highlight w:val="none"/>
          <w:lang w:val="en-US" w:eastAsia="zh-CN" w:bidi="ar-SA"/>
        </w:rPr>
      </w:pPr>
    </w:p>
    <w:p w14:paraId="05C62480">
      <w:pPr>
        <w:pageBreakBefore w:val="0"/>
        <w:kinsoku/>
        <w:wordWrap/>
        <w:overflowPunct/>
        <w:topLinePunct w:val="0"/>
        <w:bidi w:val="0"/>
        <w:spacing w:line="520" w:lineRule="exact"/>
        <w:rPr>
          <w:rFonts w:hint="eastAsia" w:ascii="微软雅黑" w:hAnsi="微软雅黑" w:eastAsia="微软雅黑" w:cs="微软雅黑"/>
          <w:b/>
          <w:color w:val="auto"/>
          <w:kern w:val="0"/>
          <w:sz w:val="24"/>
          <w:szCs w:val="24"/>
          <w:highlight w:val="none"/>
          <w:lang w:val="en-US" w:eastAsia="zh-CN" w:bidi="ar-SA"/>
        </w:rPr>
      </w:pPr>
    </w:p>
    <w:p w14:paraId="45329069">
      <w:pPr>
        <w:pageBreakBefore w:val="0"/>
        <w:kinsoku/>
        <w:wordWrap/>
        <w:overflowPunct/>
        <w:topLinePunct w:val="0"/>
        <w:bidi w:val="0"/>
        <w:snapToGrid w:val="0"/>
        <w:spacing w:line="520" w:lineRule="exact"/>
        <w:textAlignment w:val="baseline"/>
        <w:rPr>
          <w:rFonts w:ascii="微软雅黑" w:hAnsi="微软雅黑" w:eastAsia="微软雅黑" w:cs="微软雅黑"/>
          <w:b/>
          <w:color w:val="auto"/>
          <w:kern w:val="0"/>
          <w:sz w:val="24"/>
          <w:highlight w:val="none"/>
        </w:rPr>
      </w:pPr>
    </w:p>
    <w:p w14:paraId="0DEE0572">
      <w:pPr>
        <w:pageBreakBefore w:val="0"/>
        <w:kinsoku/>
        <w:wordWrap/>
        <w:overflowPunct/>
        <w:topLinePunct w:val="0"/>
        <w:bidi w:val="0"/>
        <w:snapToGrid w:val="0"/>
        <w:spacing w:line="520" w:lineRule="exact"/>
        <w:textAlignment w:val="baseline"/>
        <w:outlineLvl w:val="1"/>
        <w:rPr>
          <w:rFonts w:ascii="微软雅黑" w:hAnsi="微软雅黑" w:eastAsia="微软雅黑" w:cs="微软雅黑"/>
          <w:b/>
          <w:color w:val="auto"/>
          <w:kern w:val="0"/>
          <w:sz w:val="24"/>
          <w:highlight w:val="none"/>
        </w:rPr>
      </w:pPr>
      <w:bookmarkStart w:id="652" w:name="_Toc6231"/>
      <w:bookmarkStart w:id="653" w:name="_Toc30299"/>
      <w:bookmarkStart w:id="654" w:name="_Toc29123"/>
      <w:r>
        <w:rPr>
          <w:rFonts w:hint="eastAsia" w:ascii="微软雅黑" w:hAnsi="微软雅黑" w:eastAsia="微软雅黑" w:cs="微软雅黑"/>
          <w:b/>
          <w:color w:val="auto"/>
          <w:kern w:val="0"/>
          <w:sz w:val="24"/>
          <w:highlight w:val="none"/>
          <w:lang w:val="en-US" w:eastAsia="zh-CN"/>
        </w:rPr>
        <w:t>4</w:t>
      </w:r>
      <w:r>
        <w:rPr>
          <w:rFonts w:hint="eastAsia" w:ascii="微软雅黑" w:hAnsi="微软雅黑" w:eastAsia="微软雅黑" w:cs="微软雅黑"/>
          <w:b/>
          <w:color w:val="auto"/>
          <w:kern w:val="0"/>
          <w:sz w:val="24"/>
          <w:highlight w:val="none"/>
        </w:rPr>
        <w:t>、</w:t>
      </w:r>
      <w:bookmarkEnd w:id="643"/>
      <w:bookmarkEnd w:id="644"/>
      <w:bookmarkEnd w:id="645"/>
      <w:bookmarkEnd w:id="646"/>
      <w:bookmarkEnd w:id="647"/>
      <w:bookmarkEnd w:id="648"/>
      <w:bookmarkEnd w:id="649"/>
      <w:r>
        <w:rPr>
          <w:rFonts w:hint="eastAsia" w:ascii="微软雅黑" w:hAnsi="微软雅黑" w:eastAsia="微软雅黑" w:cs="微软雅黑"/>
          <w:b/>
          <w:color w:val="auto"/>
          <w:kern w:val="0"/>
          <w:sz w:val="24"/>
          <w:highlight w:val="none"/>
        </w:rPr>
        <w:t>缴纳磋商保证金有效凭证；</w:t>
      </w:r>
      <w:bookmarkEnd w:id="652"/>
      <w:bookmarkEnd w:id="653"/>
      <w:bookmarkEnd w:id="654"/>
    </w:p>
    <w:p w14:paraId="09BA3CED">
      <w:pPr>
        <w:pageBreakBefore w:val="0"/>
        <w:kinsoku/>
        <w:wordWrap/>
        <w:overflowPunct/>
        <w:topLinePunct w:val="0"/>
        <w:bidi w:val="0"/>
        <w:snapToGrid w:val="0"/>
        <w:spacing w:line="520" w:lineRule="exact"/>
        <w:textAlignment w:val="baseline"/>
        <w:rPr>
          <w:rFonts w:ascii="微软雅黑" w:hAnsi="微软雅黑" w:eastAsia="微软雅黑" w:cs="微软雅黑"/>
          <w:b w:val="0"/>
          <w:bCs w:val="0"/>
          <w:color w:val="auto"/>
          <w:sz w:val="24"/>
          <w:highlight w:val="none"/>
        </w:rPr>
      </w:pPr>
    </w:p>
    <w:p w14:paraId="1DE69C31">
      <w:pPr>
        <w:pageBreakBefore w:val="0"/>
        <w:kinsoku/>
        <w:wordWrap/>
        <w:overflowPunct/>
        <w:topLinePunct w:val="0"/>
        <w:bidi w:val="0"/>
        <w:snapToGrid w:val="0"/>
        <w:spacing w:line="520" w:lineRule="exact"/>
        <w:textAlignment w:val="baseline"/>
        <w:rPr>
          <w:rFonts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注：本项目以缴纳磋商保证金有效凭证</w:t>
      </w:r>
      <w:r>
        <w:rPr>
          <w:rFonts w:hint="eastAsia" w:ascii="微软雅黑" w:hAnsi="微软雅黑" w:eastAsia="微软雅黑" w:cs="微软雅黑"/>
          <w:b w:val="0"/>
          <w:bCs w:val="0"/>
          <w:color w:val="auto"/>
          <w:sz w:val="24"/>
          <w:highlight w:val="none"/>
          <w:lang w:eastAsia="zh-CN"/>
        </w:rPr>
        <w:t>加</w:t>
      </w:r>
      <w:r>
        <w:rPr>
          <w:rFonts w:hint="eastAsia" w:ascii="微软雅黑" w:hAnsi="微软雅黑" w:eastAsia="微软雅黑" w:cs="微软雅黑"/>
          <w:b w:val="0"/>
          <w:bCs w:val="0"/>
          <w:color w:val="auto"/>
          <w:sz w:val="24"/>
          <w:highlight w:val="none"/>
        </w:rPr>
        <w:t>盖公章为准。</w:t>
      </w:r>
    </w:p>
    <w:p w14:paraId="06B83B9D">
      <w:pPr>
        <w:pStyle w:val="37"/>
        <w:pageBreakBefore w:val="0"/>
        <w:kinsoku/>
        <w:wordWrap/>
        <w:overflowPunct/>
        <w:topLinePunct w:val="0"/>
        <w:bidi w:val="0"/>
        <w:snapToGrid w:val="0"/>
        <w:spacing w:line="520" w:lineRule="exact"/>
        <w:ind w:left="0" w:leftChars="0" w:firstLine="0" w:firstLineChars="0"/>
        <w:textAlignment w:val="baseline"/>
        <w:rPr>
          <w:rFonts w:ascii="微软雅黑" w:hAnsi="微软雅黑" w:eastAsia="微软雅黑" w:cs="微软雅黑"/>
          <w:color w:val="auto"/>
          <w:sz w:val="21"/>
          <w:highlight w:val="none"/>
        </w:rPr>
      </w:pPr>
    </w:p>
    <w:p w14:paraId="57A81537">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u w:val="single" w:color="000000"/>
        </w:rPr>
      </w:pPr>
    </w:p>
    <w:p w14:paraId="1BFC4CF1">
      <w:pPr>
        <w:pStyle w:val="29"/>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0DEAA90E">
      <w:pPr>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09D7ED83">
      <w:pPr>
        <w:pStyle w:val="36"/>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5FC84DD0">
      <w:pPr>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4E282BAD">
      <w:pPr>
        <w:pStyle w:val="36"/>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0B2D3DD5">
      <w:pPr>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20A9FB5F">
      <w:pPr>
        <w:pStyle w:val="36"/>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4C22B39F">
      <w:pPr>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62123BA0">
      <w:pPr>
        <w:pStyle w:val="36"/>
        <w:pageBreakBefore w:val="0"/>
        <w:kinsoku/>
        <w:wordWrap/>
        <w:overflowPunct/>
        <w:topLinePunct w:val="0"/>
        <w:bidi w:val="0"/>
        <w:spacing w:line="520" w:lineRule="exact"/>
        <w:rPr>
          <w:rFonts w:ascii="微软雅黑" w:hAnsi="微软雅黑" w:eastAsia="微软雅黑" w:cs="微软雅黑"/>
          <w:color w:val="auto"/>
          <w:sz w:val="24"/>
          <w:szCs w:val="24"/>
          <w:highlight w:val="none"/>
          <w:u w:val="single" w:color="000000"/>
        </w:rPr>
      </w:pPr>
    </w:p>
    <w:p w14:paraId="1D74D4F6">
      <w:pPr>
        <w:pageBreakBefore w:val="0"/>
        <w:kinsoku/>
        <w:wordWrap/>
        <w:overflowPunct/>
        <w:topLinePunct w:val="0"/>
        <w:bidi w:val="0"/>
        <w:snapToGrid w:val="0"/>
        <w:spacing w:line="520" w:lineRule="exact"/>
        <w:jc w:val="both"/>
        <w:textAlignment w:val="baseline"/>
        <w:rPr>
          <w:rFonts w:ascii="微软雅黑" w:hAnsi="微软雅黑" w:eastAsia="微软雅黑" w:cs="微软雅黑"/>
          <w:b/>
          <w:color w:val="auto"/>
          <w:sz w:val="24"/>
          <w:highlight w:val="none"/>
        </w:rPr>
      </w:pPr>
      <w:bookmarkStart w:id="655" w:name="_Toc22967"/>
      <w:bookmarkStart w:id="656" w:name="_Toc12440"/>
      <w:bookmarkStart w:id="657" w:name="_Toc11180"/>
      <w:bookmarkStart w:id="658" w:name="_Toc3552"/>
      <w:bookmarkStart w:id="659" w:name="_Toc515647816"/>
      <w:bookmarkStart w:id="660" w:name="_Toc11956"/>
      <w:bookmarkStart w:id="661" w:name="_Toc25827"/>
    </w:p>
    <w:p w14:paraId="625C35DA">
      <w:pPr>
        <w:pStyle w:val="4"/>
        <w:pageBreakBefore w:val="0"/>
        <w:kinsoku/>
        <w:wordWrap/>
        <w:overflowPunct/>
        <w:topLinePunct w:val="0"/>
        <w:bidi w:val="0"/>
        <w:snapToGrid w:val="0"/>
        <w:spacing w:before="0" w:line="520" w:lineRule="exact"/>
        <w:ind w:left="1080" w:leftChars="257" w:hanging="540"/>
        <w:textAlignment w:val="baseline"/>
        <w:rPr>
          <w:rFonts w:ascii="微软雅黑" w:hAnsi="微软雅黑" w:eastAsia="微软雅黑" w:cs="微软雅黑"/>
          <w:color w:val="auto"/>
          <w:sz w:val="24"/>
          <w:szCs w:val="24"/>
          <w:highlight w:val="none"/>
        </w:rPr>
      </w:pPr>
      <w:bookmarkStart w:id="662" w:name="_Toc20579"/>
      <w:bookmarkStart w:id="663" w:name="_Toc15018"/>
      <w:r>
        <w:rPr>
          <w:rFonts w:hint="eastAsia" w:ascii="微软雅黑" w:hAnsi="微软雅黑" w:eastAsia="微软雅黑" w:cs="微软雅黑"/>
          <w:color w:val="auto"/>
          <w:sz w:val="24"/>
          <w:szCs w:val="24"/>
          <w:highlight w:val="none"/>
        </w:rPr>
        <w:t>第二部分  商务及技术文件</w:t>
      </w:r>
      <w:bookmarkEnd w:id="655"/>
      <w:bookmarkEnd w:id="656"/>
      <w:bookmarkEnd w:id="657"/>
      <w:bookmarkEnd w:id="658"/>
      <w:bookmarkEnd w:id="659"/>
      <w:bookmarkEnd w:id="660"/>
      <w:bookmarkEnd w:id="661"/>
      <w:bookmarkEnd w:id="662"/>
      <w:bookmarkEnd w:id="663"/>
    </w:p>
    <w:p w14:paraId="23260DDD">
      <w:pPr>
        <w:pageBreakBefore w:val="0"/>
        <w:kinsoku/>
        <w:wordWrap/>
        <w:overflowPunct/>
        <w:topLinePunct w:val="0"/>
        <w:bidi w:val="0"/>
        <w:spacing w:before="25" w:line="520" w:lineRule="exact"/>
        <w:ind w:left="578"/>
        <w:rPr>
          <w:rFonts w:hint="eastAsia" w:ascii="微软雅黑" w:hAnsi="微软雅黑" w:eastAsia="微软雅黑" w:cs="微软雅黑"/>
          <w:color w:val="auto"/>
          <w:sz w:val="24"/>
          <w:szCs w:val="24"/>
          <w:highlight w:val="none"/>
        </w:rPr>
      </w:pPr>
      <w:bookmarkStart w:id="664" w:name="_Toc1459"/>
      <w:bookmarkStart w:id="665" w:name="_Toc26156"/>
      <w:r>
        <w:rPr>
          <w:rFonts w:hint="eastAsia" w:ascii="微软雅黑" w:hAnsi="微软雅黑" w:eastAsia="微软雅黑" w:cs="微软雅黑"/>
          <w:color w:val="auto"/>
          <w:spacing w:val="5"/>
          <w:position w:val="1"/>
          <w:sz w:val="24"/>
          <w:szCs w:val="24"/>
          <w:highlight w:val="none"/>
        </w:rPr>
        <w:t>1</w:t>
      </w:r>
      <w:r>
        <w:rPr>
          <w:rFonts w:hint="eastAsia" w:ascii="微软雅黑" w:hAnsi="微软雅黑" w:eastAsia="微软雅黑" w:cs="微软雅黑"/>
          <w:color w:val="auto"/>
          <w:spacing w:val="3"/>
          <w:position w:val="1"/>
          <w:sz w:val="24"/>
          <w:szCs w:val="24"/>
          <w:highlight w:val="none"/>
        </w:rPr>
        <w:t>、磋商书</w:t>
      </w:r>
    </w:p>
    <w:p w14:paraId="18346F01">
      <w:pPr>
        <w:pageBreakBefore w:val="0"/>
        <w:kinsoku/>
        <w:wordWrap/>
        <w:overflowPunct/>
        <w:topLinePunct w:val="0"/>
        <w:bidi w:val="0"/>
        <w:spacing w:line="520" w:lineRule="exact"/>
        <w:ind w:left="56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9"/>
          <w:position w:val="1"/>
          <w:sz w:val="24"/>
          <w:szCs w:val="24"/>
          <w:highlight w:val="none"/>
        </w:rPr>
        <w:t>2</w:t>
      </w:r>
      <w:r>
        <w:rPr>
          <w:rFonts w:hint="eastAsia" w:ascii="微软雅黑" w:hAnsi="微软雅黑" w:eastAsia="微软雅黑" w:cs="微软雅黑"/>
          <w:color w:val="auto"/>
          <w:spacing w:val="7"/>
          <w:position w:val="1"/>
          <w:sz w:val="24"/>
          <w:szCs w:val="24"/>
          <w:highlight w:val="none"/>
        </w:rPr>
        <w:t>、磋商分项报价表</w:t>
      </w:r>
      <w:r>
        <w:rPr>
          <w:rFonts w:hint="eastAsia" w:ascii="微软雅黑" w:hAnsi="微软雅黑" w:eastAsia="微软雅黑" w:cs="微软雅黑"/>
          <w:color w:val="auto"/>
          <w:spacing w:val="7"/>
          <w:position w:val="1"/>
          <w:sz w:val="24"/>
          <w:szCs w:val="24"/>
          <w:highlight w:val="none"/>
          <w:lang w:eastAsia="zh-CN"/>
        </w:rPr>
        <w:t>（已标价的工程量清单）</w:t>
      </w:r>
    </w:p>
    <w:p w14:paraId="7011E3DF">
      <w:pPr>
        <w:pageBreakBefore w:val="0"/>
        <w:kinsoku/>
        <w:wordWrap/>
        <w:overflowPunct/>
        <w:topLinePunct w:val="0"/>
        <w:bidi w:val="0"/>
        <w:spacing w:line="520" w:lineRule="exact"/>
        <w:ind w:left="56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pacing w:val="9"/>
          <w:position w:val="1"/>
          <w:sz w:val="24"/>
          <w:szCs w:val="24"/>
          <w:highlight w:val="none"/>
        </w:rPr>
        <w:t>3</w:t>
      </w:r>
      <w:r>
        <w:rPr>
          <w:rFonts w:hint="eastAsia" w:ascii="微软雅黑" w:hAnsi="微软雅黑" w:eastAsia="微软雅黑" w:cs="微软雅黑"/>
          <w:color w:val="auto"/>
          <w:spacing w:val="7"/>
          <w:position w:val="1"/>
          <w:sz w:val="24"/>
          <w:szCs w:val="24"/>
          <w:highlight w:val="none"/>
        </w:rPr>
        <w:t>、商务条款偏离表</w:t>
      </w:r>
    </w:p>
    <w:p w14:paraId="50A47FF1">
      <w:pPr>
        <w:pageBreakBefore w:val="0"/>
        <w:kinsoku/>
        <w:wordWrap/>
        <w:overflowPunct/>
        <w:topLinePunct w:val="0"/>
        <w:bidi w:val="0"/>
        <w:spacing w:line="520" w:lineRule="exact"/>
        <w:ind w:left="565"/>
        <w:rPr>
          <w:rFonts w:hint="eastAsia" w:ascii="微软雅黑" w:hAnsi="微软雅黑" w:eastAsia="微软雅黑" w:cs="微软雅黑"/>
          <w:color w:val="auto"/>
          <w:spacing w:val="7"/>
          <w:position w:val="1"/>
          <w:sz w:val="24"/>
          <w:szCs w:val="24"/>
          <w:highlight w:val="none"/>
        </w:rPr>
      </w:pPr>
      <w:r>
        <w:rPr>
          <w:rFonts w:hint="eastAsia" w:ascii="微软雅黑" w:hAnsi="微软雅黑" w:eastAsia="微软雅黑" w:cs="微软雅黑"/>
          <w:color w:val="auto"/>
          <w:spacing w:val="10"/>
          <w:position w:val="1"/>
          <w:sz w:val="24"/>
          <w:szCs w:val="24"/>
          <w:highlight w:val="none"/>
        </w:rPr>
        <w:t>4</w:t>
      </w:r>
      <w:r>
        <w:rPr>
          <w:rFonts w:hint="eastAsia" w:ascii="微软雅黑" w:hAnsi="微软雅黑" w:eastAsia="微软雅黑" w:cs="微软雅黑"/>
          <w:color w:val="auto"/>
          <w:spacing w:val="7"/>
          <w:position w:val="1"/>
          <w:sz w:val="24"/>
          <w:szCs w:val="24"/>
          <w:highlight w:val="none"/>
        </w:rPr>
        <w:t>、残疾人福利性单位声明函</w:t>
      </w:r>
    </w:p>
    <w:p w14:paraId="0C4DCD88">
      <w:pPr>
        <w:pageBreakBefore w:val="0"/>
        <w:kinsoku/>
        <w:wordWrap/>
        <w:overflowPunct/>
        <w:topLinePunct w:val="0"/>
        <w:bidi w:val="0"/>
        <w:spacing w:line="520" w:lineRule="exact"/>
        <w:ind w:left="565"/>
        <w:rPr>
          <w:rFonts w:hint="eastAsia" w:eastAsia="微软雅黑"/>
          <w:color w:val="auto"/>
          <w:highlight w:val="none"/>
          <w:lang w:val="en-US" w:eastAsia="zh-CN"/>
        </w:rPr>
      </w:pPr>
      <w:r>
        <w:rPr>
          <w:rFonts w:hint="eastAsia" w:ascii="微软雅黑" w:hAnsi="微软雅黑" w:eastAsia="微软雅黑" w:cs="微软雅黑"/>
          <w:color w:val="auto"/>
          <w:spacing w:val="7"/>
          <w:position w:val="1"/>
          <w:sz w:val="24"/>
          <w:szCs w:val="24"/>
          <w:highlight w:val="none"/>
          <w:lang w:val="en-US" w:eastAsia="zh-CN"/>
        </w:rPr>
        <w:t>5、监狱企业声明函</w:t>
      </w:r>
    </w:p>
    <w:p w14:paraId="1AECD289">
      <w:pPr>
        <w:pageBreakBefore w:val="0"/>
        <w:kinsoku/>
        <w:wordWrap/>
        <w:overflowPunct/>
        <w:topLinePunct w:val="0"/>
        <w:bidi w:val="0"/>
        <w:spacing w:line="520" w:lineRule="exact"/>
        <w:ind w:left="565"/>
        <w:rPr>
          <w:rFonts w:hint="eastAsia" w:ascii="微软雅黑" w:hAnsi="微软雅黑" w:eastAsia="微软雅黑" w:cs="微软雅黑"/>
          <w:color w:val="auto"/>
          <w:spacing w:val="7"/>
          <w:position w:val="1"/>
          <w:sz w:val="24"/>
          <w:szCs w:val="24"/>
          <w:highlight w:val="none"/>
          <w:lang w:val="en-US" w:eastAsia="zh-CN"/>
        </w:rPr>
      </w:pPr>
      <w:r>
        <w:rPr>
          <w:rFonts w:hint="eastAsia" w:ascii="微软雅黑" w:hAnsi="微软雅黑" w:eastAsia="微软雅黑" w:cs="微软雅黑"/>
          <w:color w:val="auto"/>
          <w:spacing w:val="7"/>
          <w:position w:val="1"/>
          <w:sz w:val="24"/>
          <w:szCs w:val="24"/>
          <w:highlight w:val="none"/>
          <w:lang w:val="en-US" w:eastAsia="zh-CN"/>
        </w:rPr>
        <w:t>6、供应商关联关系说明</w:t>
      </w:r>
    </w:p>
    <w:p w14:paraId="4A9DE465">
      <w:pPr>
        <w:pageBreakBefore w:val="0"/>
        <w:kinsoku/>
        <w:wordWrap/>
        <w:overflowPunct/>
        <w:topLinePunct w:val="0"/>
        <w:bidi w:val="0"/>
        <w:spacing w:before="27" w:line="520" w:lineRule="exact"/>
        <w:ind w:left="56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lang w:val="en-US" w:eastAsia="zh-CN"/>
        </w:rPr>
        <w:t>7</w:t>
      </w:r>
      <w:r>
        <w:rPr>
          <w:rFonts w:hint="eastAsia" w:ascii="微软雅黑" w:hAnsi="微软雅黑" w:eastAsia="微软雅黑" w:cs="微软雅黑"/>
          <w:color w:val="auto"/>
          <w:spacing w:val="8"/>
          <w:sz w:val="24"/>
          <w:szCs w:val="24"/>
          <w:highlight w:val="none"/>
        </w:rPr>
        <w:t>、</w:t>
      </w:r>
      <w:r>
        <w:rPr>
          <w:rFonts w:hint="eastAsia" w:ascii="微软雅黑" w:hAnsi="微软雅黑" w:eastAsia="微软雅黑" w:cs="微软雅黑"/>
          <w:color w:val="auto"/>
          <w:spacing w:val="8"/>
          <w:position w:val="1"/>
          <w:sz w:val="24"/>
          <w:szCs w:val="24"/>
          <w:highlight w:val="none"/>
        </w:rPr>
        <w:t>技术部分主要内容</w:t>
      </w:r>
    </w:p>
    <w:p w14:paraId="2E7417F9">
      <w:pPr>
        <w:pageBreakBefore w:val="0"/>
        <w:kinsoku/>
        <w:wordWrap/>
        <w:overflowPunct/>
        <w:topLinePunct w:val="0"/>
        <w:bidi w:val="0"/>
        <w:spacing w:before="3" w:line="520" w:lineRule="exact"/>
        <w:ind w:left="56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9"/>
          <w:position w:val="1"/>
          <w:sz w:val="24"/>
          <w:szCs w:val="24"/>
          <w:highlight w:val="none"/>
          <w:lang w:val="en-US" w:eastAsia="zh-CN"/>
        </w:rPr>
        <w:t>8</w:t>
      </w:r>
      <w:r>
        <w:rPr>
          <w:rFonts w:hint="eastAsia" w:ascii="微软雅黑" w:hAnsi="微软雅黑" w:eastAsia="微软雅黑" w:cs="微软雅黑"/>
          <w:color w:val="auto"/>
          <w:spacing w:val="9"/>
          <w:position w:val="1"/>
          <w:sz w:val="24"/>
          <w:szCs w:val="24"/>
          <w:highlight w:val="none"/>
        </w:rPr>
        <w:t>、有利于投标的其他资格证明材料</w:t>
      </w:r>
    </w:p>
    <w:p w14:paraId="42B04C0A">
      <w:pPr>
        <w:pageBreakBefore w:val="0"/>
        <w:kinsoku/>
        <w:wordWrap/>
        <w:overflowPunct/>
        <w:topLinePunct w:val="0"/>
        <w:bidi w:val="0"/>
        <w:spacing w:before="3" w:line="520" w:lineRule="exact"/>
        <w:ind w:left="56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position w:val="1"/>
          <w:sz w:val="24"/>
          <w:szCs w:val="24"/>
          <w:highlight w:val="none"/>
          <w:lang w:val="en-US" w:eastAsia="zh-CN"/>
        </w:rPr>
        <w:t>9</w:t>
      </w:r>
      <w:r>
        <w:rPr>
          <w:rFonts w:hint="eastAsia" w:ascii="微软雅黑" w:hAnsi="微软雅黑" w:eastAsia="微软雅黑" w:cs="微软雅黑"/>
          <w:color w:val="auto"/>
          <w:spacing w:val="8"/>
          <w:position w:val="1"/>
          <w:sz w:val="24"/>
          <w:szCs w:val="24"/>
          <w:highlight w:val="none"/>
        </w:rPr>
        <w:t>、磋商文件格式范本</w:t>
      </w:r>
    </w:p>
    <w:p w14:paraId="4FC9FC64">
      <w:pPr>
        <w:pStyle w:val="16"/>
        <w:pageBreakBefore w:val="0"/>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rPr>
      </w:pPr>
    </w:p>
    <w:p w14:paraId="42433D4E">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043EE1ED">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17A6F409">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64C9B648">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3E61ED4C">
      <w:pPr>
        <w:pStyle w:val="16"/>
        <w:pageBreakBefore w:val="0"/>
        <w:tabs>
          <w:tab w:val="left" w:pos="5580"/>
        </w:tabs>
        <w:kinsoku/>
        <w:wordWrap/>
        <w:overflowPunct/>
        <w:topLinePunct w:val="0"/>
        <w:bidi w:val="0"/>
        <w:snapToGrid w:val="0"/>
        <w:spacing w:line="520" w:lineRule="exact"/>
        <w:textAlignment w:val="baseline"/>
        <w:rPr>
          <w:rFonts w:ascii="微软雅黑" w:hAnsi="微软雅黑" w:eastAsia="微软雅黑" w:cs="微软雅黑"/>
          <w:color w:val="auto"/>
          <w:sz w:val="24"/>
          <w:szCs w:val="24"/>
          <w:highlight w:val="none"/>
        </w:rPr>
      </w:pPr>
    </w:p>
    <w:p w14:paraId="5D703319">
      <w:pPr>
        <w:pStyle w:val="29"/>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7CFC07A0">
      <w:pPr>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01E7F584">
      <w:pPr>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027FE37C">
      <w:pPr>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64750475">
      <w:pPr>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498783BD">
      <w:pPr>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71F93990">
      <w:pPr>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619B6BFD">
      <w:pPr>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3BDDDADB">
      <w:pPr>
        <w:pageBreakBefore w:val="0"/>
        <w:kinsoku/>
        <w:wordWrap/>
        <w:overflowPunct/>
        <w:topLinePunct w:val="0"/>
        <w:bidi w:val="0"/>
        <w:spacing w:line="520" w:lineRule="exact"/>
        <w:rPr>
          <w:rFonts w:ascii="微软雅黑" w:hAnsi="微软雅黑" w:eastAsia="微软雅黑" w:cs="微软雅黑"/>
          <w:color w:val="auto"/>
          <w:sz w:val="24"/>
          <w:szCs w:val="24"/>
          <w:highlight w:val="none"/>
        </w:rPr>
      </w:pPr>
    </w:p>
    <w:p w14:paraId="44D2F6E1">
      <w:pPr>
        <w:pStyle w:val="4"/>
        <w:pageBreakBefore w:val="0"/>
        <w:kinsoku/>
        <w:wordWrap/>
        <w:overflowPunct/>
        <w:topLinePunct w:val="0"/>
        <w:bidi w:val="0"/>
        <w:snapToGrid w:val="0"/>
        <w:spacing w:before="0" w:line="520" w:lineRule="exact"/>
        <w:ind w:firstLine="3842" w:firstLineChars="1600"/>
        <w:jc w:val="both"/>
        <w:textAlignment w:val="baseline"/>
        <w:rPr>
          <w:rFonts w:ascii="微软雅黑" w:hAnsi="微软雅黑" w:eastAsia="微软雅黑" w:cs="微软雅黑"/>
          <w:color w:val="auto"/>
          <w:sz w:val="24"/>
          <w:highlight w:val="none"/>
        </w:rPr>
      </w:pPr>
      <w:bookmarkStart w:id="666" w:name="_Toc4701"/>
      <w:bookmarkStart w:id="667" w:name="_Toc22398"/>
      <w:bookmarkStart w:id="668" w:name="_Toc19532"/>
      <w:bookmarkStart w:id="669" w:name="_Toc9541"/>
      <w:r>
        <w:rPr>
          <w:rFonts w:hint="eastAsia" w:ascii="微软雅黑" w:hAnsi="微软雅黑" w:eastAsia="微软雅黑" w:cs="微软雅黑"/>
          <w:color w:val="auto"/>
          <w:sz w:val="24"/>
          <w:szCs w:val="24"/>
          <w:highlight w:val="none"/>
        </w:rPr>
        <w:t>1 、磋商书</w:t>
      </w:r>
      <w:bookmarkEnd w:id="666"/>
      <w:bookmarkEnd w:id="667"/>
      <w:bookmarkEnd w:id="668"/>
      <w:bookmarkEnd w:id="669"/>
    </w:p>
    <w:p w14:paraId="264D14D6">
      <w:pPr>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hanging="108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p>
    <w:p w14:paraId="3B6C8710">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2" w:leftChars="1" w:firstLine="480" w:firstLineChars="20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color w:val="auto"/>
          <w:sz w:val="24"/>
          <w:szCs w:val="24"/>
          <w:highlight w:val="none"/>
          <w:u w:val="single" w:color="000000"/>
        </w:rPr>
        <w:t>项目名称</w:t>
      </w:r>
      <w:r>
        <w:rPr>
          <w:rFonts w:hint="eastAsia" w:ascii="微软雅黑" w:hAnsi="微软雅黑" w:eastAsia="微软雅黑" w:cs="微软雅黑"/>
          <w:color w:val="auto"/>
          <w:sz w:val="24"/>
          <w:szCs w:val="24"/>
          <w:highlight w:val="none"/>
        </w:rPr>
        <w:t>)项目的磋商邀请(</w:t>
      </w:r>
      <w:r>
        <w:rPr>
          <w:rFonts w:hint="eastAsia" w:ascii="微软雅黑" w:hAnsi="微软雅黑" w:eastAsia="微软雅黑" w:cs="微软雅黑"/>
          <w:i/>
          <w:color w:val="auto"/>
          <w:sz w:val="24"/>
          <w:szCs w:val="24"/>
          <w:highlight w:val="none"/>
          <w:u w:val="single" w:color="000000"/>
        </w:rPr>
        <w:t>项目编号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color w:val="auto"/>
          <w:sz w:val="24"/>
          <w:szCs w:val="24"/>
          <w:highlight w:val="none"/>
          <w:u w:val="single" w:color="000000"/>
        </w:rPr>
        <w:t>姓名、职务</w:t>
      </w:r>
      <w:r>
        <w:rPr>
          <w:rFonts w:hint="eastAsia" w:ascii="微软雅黑" w:hAnsi="微软雅黑" w:eastAsia="微软雅黑" w:cs="微软雅黑"/>
          <w:color w:val="auto"/>
          <w:sz w:val="24"/>
          <w:szCs w:val="24"/>
          <w:highlight w:val="none"/>
        </w:rPr>
        <w:t>)经正式授权并代表</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i/>
          <w:color w:val="auto"/>
          <w:sz w:val="24"/>
          <w:szCs w:val="24"/>
          <w:highlight w:val="none"/>
          <w:u w:val="single" w:color="000000"/>
        </w:rPr>
        <w:t>名称、地址</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提交并签署响应文件</w:t>
      </w:r>
      <w:r>
        <w:rPr>
          <w:rFonts w:hint="eastAsia" w:ascii="微软雅黑" w:hAnsi="微软雅黑" w:eastAsia="微软雅黑" w:cs="微软雅黑"/>
          <w:color w:val="auto"/>
          <w:sz w:val="24"/>
          <w:szCs w:val="24"/>
          <w:highlight w:val="none"/>
        </w:rPr>
        <w:t>，并以</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color="000000"/>
        </w:rPr>
        <w:t>　　　　</w:t>
      </w:r>
      <w:r>
        <w:rPr>
          <w:rFonts w:hint="eastAsia" w:ascii="微软雅黑" w:hAnsi="微软雅黑" w:eastAsia="微软雅黑" w:cs="微软雅黑"/>
          <w:color w:val="auto"/>
          <w:sz w:val="24"/>
          <w:szCs w:val="24"/>
          <w:highlight w:val="none"/>
        </w:rPr>
        <w:t>元的磋商保证金。</w:t>
      </w:r>
    </w:p>
    <w:p w14:paraId="5F955A93">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121EBAE5">
      <w:pPr>
        <w:pStyle w:val="16"/>
        <w:keepNext w:val="0"/>
        <w:keepLines w:val="0"/>
        <w:pageBreakBefore w:val="0"/>
        <w:widowControl w:val="0"/>
        <w:tabs>
          <w:tab w:val="left" w:pos="720"/>
          <w:tab w:val="left" w:pos="900"/>
        </w:tabs>
        <w:kinsoku/>
        <w:wordWrap/>
        <w:overflowPunct/>
        <w:topLinePunct w:val="0"/>
        <w:autoSpaceDE/>
        <w:autoSpaceDN/>
        <w:bidi w:val="0"/>
        <w:adjustRightInd/>
        <w:snapToGrid w:val="0"/>
        <w:spacing w:line="480" w:lineRule="exact"/>
        <w:ind w:left="769" w:leftChars="257" w:hanging="229"/>
        <w:textAlignment w:val="baseline"/>
        <w:rPr>
          <w:rFonts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（1）附磋商价格表中规定的应提供</w:t>
      </w:r>
      <w:r>
        <w:rPr>
          <w:rFonts w:hint="eastAsia" w:ascii="微软雅黑" w:hAnsi="微软雅黑" w:eastAsia="微软雅黑" w:cs="微软雅黑"/>
          <w:color w:val="auto"/>
          <w:sz w:val="24"/>
          <w:szCs w:val="24"/>
          <w:highlight w:val="none"/>
          <w:lang w:eastAsia="zh-CN"/>
        </w:rPr>
        <w:t>工程</w:t>
      </w:r>
      <w:r>
        <w:rPr>
          <w:rFonts w:hint="eastAsia" w:ascii="微软雅黑" w:hAnsi="微软雅黑" w:eastAsia="微软雅黑" w:cs="微软雅黑"/>
          <w:color w:val="auto"/>
          <w:sz w:val="24"/>
          <w:szCs w:val="24"/>
          <w:highlight w:val="none"/>
        </w:rPr>
        <w:t>的磋商总价详见磋商开启一览表，</w:t>
      </w:r>
      <w:r>
        <w:rPr>
          <w:rFonts w:hint="eastAsia" w:ascii="微软雅黑" w:hAnsi="微软雅黑" w:eastAsia="微软雅黑" w:cs="微软雅黑"/>
          <w:color w:val="auto"/>
          <w:sz w:val="24"/>
          <w:szCs w:val="24"/>
          <w:highlight w:val="none"/>
          <w:u w:val="single" w:color="000000"/>
        </w:rPr>
        <w:t>其中由小型和</w:t>
      </w:r>
      <w:r>
        <w:rPr>
          <w:rFonts w:hint="eastAsia" w:ascii="微软雅黑" w:hAnsi="微软雅黑" w:eastAsia="微软雅黑" w:cs="微软雅黑"/>
          <w:color w:val="auto"/>
          <w:sz w:val="24"/>
          <w:szCs w:val="24"/>
          <w:highlight w:val="none"/>
        </w:rPr>
        <w:t>微型企业</w:t>
      </w:r>
      <w:r>
        <w:rPr>
          <w:rFonts w:hint="eastAsia" w:ascii="微软雅黑" w:hAnsi="微软雅黑" w:eastAsia="微软雅黑" w:cs="微软雅黑"/>
          <w:color w:val="auto"/>
          <w:sz w:val="24"/>
          <w:szCs w:val="24"/>
          <w:highlight w:val="none"/>
          <w:lang w:eastAsia="zh-CN"/>
        </w:rPr>
        <w:t>承接的施工</w:t>
      </w:r>
      <w:r>
        <w:rPr>
          <w:rFonts w:hint="eastAsia" w:ascii="微软雅黑" w:hAnsi="微软雅黑" w:eastAsia="微软雅黑" w:cs="微软雅黑"/>
          <w:color w:val="auto"/>
          <w:sz w:val="24"/>
          <w:szCs w:val="24"/>
          <w:highlight w:val="none"/>
        </w:rPr>
        <w:t>价格为</w:t>
      </w:r>
      <w:r>
        <w:rPr>
          <w:rFonts w:hint="eastAsia" w:ascii="微软雅黑" w:hAnsi="微软雅黑" w:eastAsia="微软雅黑" w:cs="微软雅黑"/>
          <w:color w:val="auto"/>
          <w:sz w:val="24"/>
          <w:szCs w:val="24"/>
          <w:highlight w:val="none"/>
          <w:u w:val="single" w:color="000000"/>
        </w:rPr>
        <w:t>　　  （用文字和数字表示），占磋商总价   %</w:t>
      </w:r>
      <w:r>
        <w:rPr>
          <w:rFonts w:hint="eastAsia" w:ascii="微软雅黑" w:hAnsi="微软雅黑" w:eastAsia="微软雅黑" w:cs="微软雅黑"/>
          <w:color w:val="auto"/>
          <w:sz w:val="24"/>
          <w:szCs w:val="24"/>
          <w:highlight w:val="none"/>
        </w:rPr>
        <w:t>。</w:t>
      </w:r>
    </w:p>
    <w:p w14:paraId="2FB23984">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（2）本磋商有效期为自磋商截止之日起</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rPr>
        <w:t>个日历日。</w:t>
      </w:r>
    </w:p>
    <w:p w14:paraId="1F78E674">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rPr>
        <w:t>存在、不存在）投资关系（如果是联合体的话）。</w:t>
      </w:r>
    </w:p>
    <w:p w14:paraId="3F6288A9">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（4）已详细审查全部磋商文件，包括所有补充通知（如果有的话），完全理解并同意放弃对这方面有不明、误解和质疑的权力。</w:t>
      </w:r>
    </w:p>
    <w:p w14:paraId="3503943F">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（5）在规定的磋商开启时间后，遵守磋商文件中有关保证金的规定。</w:t>
      </w:r>
    </w:p>
    <w:p w14:paraId="661D58E3">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，我方不是</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的附属机构。</w:t>
      </w:r>
    </w:p>
    <w:p w14:paraId="08B043C0">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（7）在领取成交通知书的同时按磋商文件规定的形式，向贵方一次性支付成交服务费。</w:t>
      </w:r>
    </w:p>
    <w:p w14:paraId="5409767A">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（8）按照贵方可能要求，提供与其磋商有关的一切数据或资料，完全理解贵方不一定接受最低价的磋商或收到的任何磋商。</w:t>
      </w:r>
    </w:p>
    <w:p w14:paraId="60A5C902">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（9）按照磋商文件的规定履行合同责任和义务。</w:t>
      </w:r>
    </w:p>
    <w:p w14:paraId="2F402E60">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359" w:leftChars="68" w:hanging="216" w:hangingChars="9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与本磋商有关的一切正式往来信函请寄：</w:t>
      </w:r>
    </w:p>
    <w:p w14:paraId="3B302223">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color="000000"/>
        </w:rPr>
        <w:t xml:space="preserve">                             </w:t>
      </w:r>
    </w:p>
    <w:p w14:paraId="7E533CB7">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color="000000"/>
        </w:rPr>
        <w:t xml:space="preserve">                         </w:t>
      </w:r>
    </w:p>
    <w:p w14:paraId="66967C3D">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color="000000"/>
        </w:rPr>
        <w:t xml:space="preserve">　　　　　　 </w:t>
      </w:r>
    </w:p>
    <w:p w14:paraId="32F0FD17">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名称（全称）</w:t>
      </w:r>
      <w:r>
        <w:rPr>
          <w:rFonts w:hint="eastAsia" w:ascii="微软雅黑" w:hAnsi="微软雅黑" w:eastAsia="微软雅黑" w:cs="微软雅黑"/>
          <w:color w:val="auto"/>
          <w:sz w:val="24"/>
          <w:szCs w:val="24"/>
          <w:highlight w:val="none"/>
          <w:u w:val="single" w:color="000000"/>
        </w:rPr>
        <w:t xml:space="preserve">　　　　　　 </w:t>
      </w:r>
    </w:p>
    <w:p w14:paraId="7BEB07D3">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开户银行（全称）</w:t>
      </w:r>
      <w:r>
        <w:rPr>
          <w:rFonts w:hint="eastAsia" w:ascii="微软雅黑" w:hAnsi="微软雅黑" w:eastAsia="微软雅黑" w:cs="微软雅黑"/>
          <w:color w:val="auto"/>
          <w:sz w:val="24"/>
          <w:szCs w:val="24"/>
          <w:highlight w:val="none"/>
          <w:u w:val="single" w:color="000000"/>
        </w:rPr>
        <w:t xml:space="preserve">　　　　　　 </w:t>
      </w:r>
    </w:p>
    <w:p w14:paraId="3C79DB30">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银行帐号</w:t>
      </w:r>
      <w:r>
        <w:rPr>
          <w:rFonts w:hint="eastAsia" w:ascii="微软雅黑" w:hAnsi="微软雅黑" w:eastAsia="微软雅黑" w:cs="微软雅黑"/>
          <w:color w:val="auto"/>
          <w:sz w:val="24"/>
          <w:szCs w:val="24"/>
          <w:highlight w:val="none"/>
          <w:u w:val="single" w:color="000000"/>
        </w:rPr>
        <w:t>　　　　　　　　 　　</w:t>
      </w:r>
    </w:p>
    <w:p w14:paraId="51C6029F">
      <w:pPr>
        <w:pStyle w:val="16"/>
        <w:keepNext w:val="0"/>
        <w:keepLines w:val="0"/>
        <w:pageBreakBefore w:val="0"/>
        <w:widowControl w:val="0"/>
        <w:tabs>
          <w:tab w:val="left" w:pos="5580"/>
        </w:tabs>
        <w:kinsoku/>
        <w:wordWrap/>
        <w:overflowPunct/>
        <w:topLinePunct w:val="0"/>
        <w:autoSpaceDE/>
        <w:autoSpaceDN/>
        <w:bidi w:val="0"/>
        <w:adjustRightInd/>
        <w:snapToGrid w:val="0"/>
        <w:spacing w:line="480" w:lineRule="exact"/>
        <w:ind w:left="1080" w:leftChars="257" w:hanging="540"/>
        <w:textAlignment w:val="baseline"/>
        <w:rPr>
          <w:rFonts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color="000000"/>
        </w:rPr>
        <w:t>　　　　　　</w:t>
      </w:r>
    </w:p>
    <w:p w14:paraId="4920C52F">
      <w:pPr>
        <w:pageBreakBefore w:val="0"/>
        <w:kinsoku/>
        <w:wordWrap/>
        <w:overflowPunct/>
        <w:topLinePunct w:val="0"/>
        <w:bidi w:val="0"/>
        <w:spacing w:line="520" w:lineRule="exact"/>
        <w:rPr>
          <w:color w:val="auto"/>
          <w:highlight w:val="none"/>
        </w:rPr>
      </w:pPr>
    </w:p>
    <w:p w14:paraId="51536825">
      <w:pPr>
        <w:pStyle w:val="4"/>
        <w:pageBreakBefore w:val="0"/>
        <w:kinsoku/>
        <w:wordWrap/>
        <w:overflowPunct/>
        <w:topLinePunct w:val="0"/>
        <w:bidi w:val="0"/>
        <w:spacing w:before="0" w:line="520" w:lineRule="exact"/>
        <w:ind w:left="1080" w:leftChars="257" w:hanging="540"/>
        <w:rPr>
          <w:rFonts w:hint="eastAsia" w:ascii="微软雅黑" w:hAnsi="微软雅黑" w:eastAsia="微软雅黑" w:cs="微软雅黑"/>
          <w:color w:val="auto"/>
          <w:sz w:val="24"/>
          <w:szCs w:val="24"/>
          <w:highlight w:val="none"/>
          <w:lang w:eastAsia="zh-CN"/>
        </w:rPr>
      </w:pPr>
      <w:bookmarkStart w:id="670" w:name="_Toc12710"/>
      <w:bookmarkStart w:id="671" w:name="_Toc5524"/>
      <w:bookmarkStart w:id="672" w:name="_Toc22760"/>
      <w:bookmarkStart w:id="673" w:name="_Toc11350"/>
      <w:r>
        <w:rPr>
          <w:rFonts w:hint="eastAsia" w:ascii="微软雅黑" w:hAnsi="微软雅黑" w:eastAsia="微软雅黑" w:cs="微软雅黑"/>
          <w:color w:val="auto"/>
          <w:sz w:val="24"/>
          <w:szCs w:val="24"/>
          <w:highlight w:val="none"/>
        </w:rPr>
        <w:t>2 、</w:t>
      </w:r>
      <w:r>
        <w:rPr>
          <w:rFonts w:hint="eastAsia" w:ascii="微软雅黑" w:hAnsi="微软雅黑" w:eastAsia="微软雅黑" w:cs="微软雅黑"/>
          <w:bCs/>
          <w:color w:val="auto"/>
          <w:sz w:val="24"/>
          <w:szCs w:val="24"/>
          <w:highlight w:val="none"/>
        </w:rPr>
        <w:t>磋商分项报价表</w:t>
      </w:r>
      <w:bookmarkEnd w:id="670"/>
      <w:r>
        <w:rPr>
          <w:rFonts w:hint="eastAsia" w:ascii="微软雅黑" w:hAnsi="微软雅黑" w:eastAsia="微软雅黑" w:cs="微软雅黑"/>
          <w:bCs/>
          <w:color w:val="auto"/>
          <w:sz w:val="24"/>
          <w:szCs w:val="24"/>
          <w:highlight w:val="none"/>
          <w:lang w:eastAsia="zh-CN"/>
        </w:rPr>
        <w:t>（已标价的工程量清单）</w:t>
      </w:r>
      <w:bookmarkEnd w:id="671"/>
      <w:bookmarkEnd w:id="672"/>
      <w:bookmarkEnd w:id="673"/>
    </w:p>
    <w:p w14:paraId="052FBADB">
      <w:pPr>
        <w:pStyle w:val="16"/>
        <w:pageBreakBefore w:val="0"/>
        <w:kinsoku/>
        <w:wordWrap/>
        <w:overflowPunct/>
        <w:topLinePunct w:val="0"/>
        <w:bidi w:val="0"/>
        <w:spacing w:line="520" w:lineRule="exact"/>
        <w:jc w:val="left"/>
        <w:rPr>
          <w:rFonts w:ascii="微软雅黑" w:hAnsi="微软雅黑" w:eastAsia="微软雅黑" w:cs="微软雅黑"/>
          <w:color w:val="auto"/>
          <w:sz w:val="24"/>
          <w:szCs w:val="24"/>
          <w:highlight w:val="none"/>
        </w:rPr>
      </w:pPr>
    </w:p>
    <w:p w14:paraId="42DF3F34">
      <w:pPr>
        <w:pStyle w:val="16"/>
        <w:pageBreakBefore w:val="0"/>
        <w:numPr>
          <w:ilvl w:val="0"/>
          <w:numId w:val="5"/>
        </w:numPr>
        <w:kinsoku/>
        <w:wordWrap/>
        <w:overflowPunct/>
        <w:topLinePunct w:val="0"/>
        <w:bidi w:val="0"/>
        <w:spacing w:line="520" w:lineRule="exact"/>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工程量清单包括：工程量清单所有内容；内容不全的做</w:t>
      </w:r>
      <w:r>
        <w:rPr>
          <w:rFonts w:hint="eastAsia" w:ascii="微软雅黑" w:hAnsi="微软雅黑" w:eastAsia="微软雅黑" w:cs="微软雅黑"/>
          <w:b/>
          <w:bCs/>
          <w:color w:val="auto"/>
          <w:sz w:val="24"/>
          <w:szCs w:val="24"/>
          <w:highlight w:val="none"/>
          <w:lang w:val="en-US" w:eastAsia="zh-CN"/>
        </w:rPr>
        <w:t>无效投标处理；</w:t>
      </w:r>
    </w:p>
    <w:p w14:paraId="3BB6FCFD">
      <w:pPr>
        <w:pStyle w:val="16"/>
        <w:pageBreakBefore w:val="0"/>
        <w:numPr>
          <w:ilvl w:val="0"/>
          <w:numId w:val="5"/>
        </w:numPr>
        <w:kinsoku/>
        <w:wordWrap/>
        <w:overflowPunct/>
        <w:topLinePunct w:val="0"/>
        <w:bidi w:val="0"/>
        <w:spacing w:line="520" w:lineRule="exact"/>
        <w:jc w:val="left"/>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工程量清单须预算员签字盖章，无预算员签字盖章的做</w:t>
      </w:r>
      <w:r>
        <w:rPr>
          <w:rFonts w:hint="eastAsia" w:ascii="微软雅黑" w:hAnsi="微软雅黑" w:eastAsia="微软雅黑" w:cs="微软雅黑"/>
          <w:b/>
          <w:bCs/>
          <w:color w:val="auto"/>
          <w:sz w:val="24"/>
          <w:szCs w:val="24"/>
          <w:highlight w:val="none"/>
          <w:lang w:val="en-US" w:eastAsia="zh-CN"/>
        </w:rPr>
        <w:t>无效投标处理；</w:t>
      </w:r>
    </w:p>
    <w:p w14:paraId="1B10DE53">
      <w:pPr>
        <w:pStyle w:val="16"/>
        <w:pageBreakBefore w:val="0"/>
        <w:kinsoku/>
        <w:wordWrap/>
        <w:overflowPunct/>
        <w:topLinePunct w:val="0"/>
        <w:bidi w:val="0"/>
        <w:spacing w:line="520" w:lineRule="exact"/>
        <w:jc w:val="left"/>
        <w:rPr>
          <w:rFonts w:ascii="微软雅黑" w:hAnsi="微软雅黑" w:eastAsia="微软雅黑" w:cs="微软雅黑"/>
          <w:color w:val="auto"/>
          <w:sz w:val="24"/>
          <w:szCs w:val="24"/>
          <w:highlight w:val="none"/>
        </w:rPr>
      </w:pPr>
    </w:p>
    <w:p w14:paraId="1B235020">
      <w:pPr>
        <w:pStyle w:val="16"/>
        <w:pageBreakBefore w:val="0"/>
        <w:kinsoku/>
        <w:wordWrap/>
        <w:overflowPunct/>
        <w:topLinePunct w:val="0"/>
        <w:bidi w:val="0"/>
        <w:spacing w:line="520" w:lineRule="exact"/>
        <w:jc w:val="left"/>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w:t>投标报价应包括本工程的设计施工图纸、工程量清单范围内全部工作内容。</w:t>
      </w:r>
    </w:p>
    <w:p w14:paraId="71CD91A6">
      <w:pPr>
        <w:pStyle w:val="16"/>
        <w:pageBreakBefore w:val="0"/>
        <w:kinsoku/>
        <w:wordWrap/>
        <w:overflowPunct/>
        <w:topLinePunct w:val="0"/>
        <w:bidi w:val="0"/>
        <w:spacing w:line="520" w:lineRule="exact"/>
        <w:jc w:val="left"/>
        <w:outlineLvl w:val="9"/>
        <w:rPr>
          <w:rFonts w:ascii="微软雅黑" w:hAnsi="微软雅黑" w:eastAsia="微软雅黑" w:cs="微软雅黑"/>
          <w:color w:val="auto"/>
          <w:sz w:val="24"/>
          <w:szCs w:val="24"/>
          <w:highlight w:val="none"/>
        </w:rPr>
      </w:pPr>
    </w:p>
    <w:p w14:paraId="299D4CE0">
      <w:pPr>
        <w:pStyle w:val="16"/>
        <w:pageBreakBefore w:val="0"/>
        <w:kinsoku/>
        <w:wordWrap/>
        <w:overflowPunct/>
        <w:topLinePunct w:val="0"/>
        <w:bidi w:val="0"/>
        <w:spacing w:line="520" w:lineRule="exact"/>
        <w:jc w:val="left"/>
        <w:outlineLvl w:val="9"/>
        <w:rPr>
          <w:rFonts w:ascii="微软雅黑" w:hAnsi="微软雅黑" w:eastAsia="微软雅黑" w:cs="微软雅黑"/>
          <w:color w:val="auto"/>
          <w:sz w:val="24"/>
          <w:szCs w:val="24"/>
          <w:highlight w:val="none"/>
        </w:rPr>
      </w:pPr>
    </w:p>
    <w:p w14:paraId="20505229">
      <w:pPr>
        <w:pStyle w:val="29"/>
        <w:pageBreakBefore w:val="0"/>
        <w:kinsoku/>
        <w:wordWrap/>
        <w:overflowPunct/>
        <w:topLinePunct w:val="0"/>
        <w:bidi w:val="0"/>
        <w:spacing w:line="520" w:lineRule="exact"/>
        <w:outlineLvl w:val="9"/>
        <w:rPr>
          <w:rFonts w:hint="eastAsia" w:ascii="微软雅黑" w:hAnsi="微软雅黑" w:eastAsia="微软雅黑" w:cs="微软雅黑"/>
          <w:color w:val="auto"/>
          <w:sz w:val="24"/>
          <w:szCs w:val="24"/>
          <w:highlight w:val="none"/>
          <w:lang w:eastAsia="zh-CN"/>
        </w:rPr>
      </w:pPr>
    </w:p>
    <w:p w14:paraId="50435526">
      <w:pPr>
        <w:pStyle w:val="11"/>
        <w:pageBreakBefore w:val="0"/>
        <w:kinsoku/>
        <w:wordWrap/>
        <w:overflowPunct/>
        <w:topLinePunct w:val="0"/>
        <w:bidi w:val="0"/>
        <w:spacing w:before="103" w:line="520" w:lineRule="exact"/>
        <w:outlineLvl w:val="9"/>
        <w:rPr>
          <w:rFonts w:hint="eastAsia" w:eastAsia="宋体"/>
          <w:color w:val="auto"/>
          <w:highlight w:val="none"/>
          <w:lang w:eastAsia="zh-CN"/>
        </w:rPr>
      </w:pPr>
      <w:bookmarkStart w:id="674" w:name="_Toc10704"/>
      <w:bookmarkStart w:id="675" w:name="_Toc18432"/>
    </w:p>
    <w:p w14:paraId="3D7683E8">
      <w:pPr>
        <w:pStyle w:val="11"/>
        <w:pageBreakBefore w:val="0"/>
        <w:kinsoku/>
        <w:wordWrap/>
        <w:overflowPunct/>
        <w:topLinePunct w:val="0"/>
        <w:bidi w:val="0"/>
        <w:spacing w:before="103" w:line="520" w:lineRule="exact"/>
        <w:outlineLvl w:val="9"/>
        <w:rPr>
          <w:color w:val="auto"/>
          <w:highlight w:val="none"/>
        </w:rPr>
      </w:pPr>
    </w:p>
    <w:p w14:paraId="6D06080D">
      <w:pPr>
        <w:pStyle w:val="11"/>
        <w:pageBreakBefore w:val="0"/>
        <w:kinsoku/>
        <w:wordWrap/>
        <w:overflowPunct/>
        <w:topLinePunct w:val="0"/>
        <w:bidi w:val="0"/>
        <w:spacing w:before="103" w:line="520" w:lineRule="exact"/>
        <w:outlineLvl w:val="9"/>
        <w:rPr>
          <w:rFonts w:hint="eastAsia" w:eastAsia="宋体"/>
          <w:color w:val="auto"/>
          <w:highlight w:val="none"/>
          <w:lang w:eastAsia="zh-CN"/>
        </w:rPr>
      </w:pPr>
    </w:p>
    <w:p w14:paraId="095EDCCC">
      <w:pPr>
        <w:rPr>
          <w:rFonts w:hint="eastAsia" w:ascii="微软雅黑" w:hAnsi="微软雅黑" w:eastAsia="微软雅黑" w:cs="微软雅黑"/>
          <w:b/>
          <w:bCs/>
          <w:color w:val="auto"/>
          <w:spacing w:val="-2"/>
          <w:sz w:val="28"/>
          <w:szCs w:val="28"/>
          <w:highlight w:val="none"/>
          <w:lang w:val="en-US" w:eastAsia="zh-CN"/>
        </w:rPr>
      </w:pPr>
      <w:r>
        <w:rPr>
          <w:rFonts w:hint="eastAsia" w:ascii="微软雅黑" w:hAnsi="微软雅黑" w:eastAsia="微软雅黑" w:cs="微软雅黑"/>
          <w:b/>
          <w:bCs/>
          <w:color w:val="auto"/>
          <w:spacing w:val="-2"/>
          <w:sz w:val="28"/>
          <w:szCs w:val="28"/>
          <w:highlight w:val="none"/>
          <w:lang w:val="en-US" w:eastAsia="zh-CN"/>
        </w:rPr>
        <w:br w:type="page"/>
      </w:r>
    </w:p>
    <w:p w14:paraId="5EE8E472">
      <w:pPr>
        <w:pStyle w:val="11"/>
        <w:pageBreakBefore w:val="0"/>
        <w:kinsoku/>
        <w:wordWrap/>
        <w:overflowPunct/>
        <w:topLinePunct w:val="0"/>
        <w:bidi w:val="0"/>
        <w:spacing w:before="56" w:line="520" w:lineRule="exact"/>
        <w:ind w:left="3562"/>
        <w:outlineLvl w:val="1"/>
        <w:rPr>
          <w:rFonts w:hint="eastAsia" w:ascii="微软雅黑" w:hAnsi="微软雅黑" w:eastAsia="微软雅黑" w:cs="微软雅黑"/>
          <w:color w:val="auto"/>
          <w:sz w:val="28"/>
          <w:szCs w:val="28"/>
          <w:highlight w:val="none"/>
        </w:rPr>
      </w:pPr>
      <w:bookmarkStart w:id="676" w:name="_Toc20839"/>
      <w:bookmarkStart w:id="677" w:name="_Toc23989"/>
      <w:r>
        <w:rPr>
          <w:rFonts w:hint="eastAsia" w:ascii="微软雅黑" w:hAnsi="微软雅黑" w:eastAsia="微软雅黑" w:cs="微软雅黑"/>
          <w:b/>
          <w:bCs/>
          <w:color w:val="auto"/>
          <w:spacing w:val="-2"/>
          <w:sz w:val="28"/>
          <w:szCs w:val="28"/>
          <w:highlight w:val="none"/>
          <w:lang w:val="en-US" w:eastAsia="zh-CN"/>
        </w:rPr>
        <w:t>3、</w:t>
      </w:r>
      <w:r>
        <w:rPr>
          <w:rFonts w:hint="eastAsia" w:ascii="微软雅黑" w:hAnsi="微软雅黑" w:eastAsia="微软雅黑" w:cs="微软雅黑"/>
          <w:b/>
          <w:bCs/>
          <w:color w:val="auto"/>
          <w:spacing w:val="-2"/>
          <w:sz w:val="28"/>
          <w:szCs w:val="28"/>
          <w:highlight w:val="none"/>
        </w:rPr>
        <w:t>商务条款偏离表</w:t>
      </w:r>
      <w:bookmarkEnd w:id="676"/>
      <w:bookmarkEnd w:id="677"/>
    </w:p>
    <w:p w14:paraId="35CED706">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p w14:paraId="3174B71A">
      <w:pPr>
        <w:pStyle w:val="11"/>
        <w:pageBreakBefore w:val="0"/>
        <w:kinsoku/>
        <w:wordWrap/>
        <w:overflowPunct/>
        <w:topLinePunct w:val="0"/>
        <w:bidi w:val="0"/>
        <w:spacing w:before="103" w:line="52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项目名称:                                         项目编号:</w:t>
      </w:r>
    </w:p>
    <w:p w14:paraId="49AF95A7">
      <w:pPr>
        <w:pageBreakBefore w:val="0"/>
        <w:kinsoku/>
        <w:wordWrap/>
        <w:overflowPunct/>
        <w:topLinePunct w:val="0"/>
        <w:bidi w:val="0"/>
        <w:spacing w:before="170" w:line="520" w:lineRule="exact"/>
        <w:rPr>
          <w:rFonts w:hint="eastAsia" w:ascii="微软雅黑" w:hAnsi="微软雅黑" w:eastAsia="微软雅黑" w:cs="微软雅黑"/>
          <w:color w:val="auto"/>
          <w:highlight w:val="none"/>
        </w:rPr>
      </w:pPr>
    </w:p>
    <w:tbl>
      <w:tblPr>
        <w:tblStyle w:val="104"/>
        <w:tblW w:w="96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3802"/>
        <w:gridCol w:w="3236"/>
        <w:gridCol w:w="1204"/>
      </w:tblGrid>
      <w:tr w14:paraId="163D8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54343C1E">
            <w:pPr>
              <w:pStyle w:val="106"/>
              <w:pageBreakBefore w:val="0"/>
              <w:kinsoku/>
              <w:wordWrap/>
              <w:overflowPunct/>
              <w:topLinePunct w:val="0"/>
              <w:bidi w:val="0"/>
              <w:spacing w:before="135" w:line="520" w:lineRule="exact"/>
              <w:ind w:left="442"/>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
                <w:highlight w:val="none"/>
              </w:rPr>
              <w:t>序号</w:t>
            </w:r>
          </w:p>
        </w:tc>
        <w:tc>
          <w:tcPr>
            <w:tcW w:w="3802" w:type="dxa"/>
            <w:vAlign w:val="top"/>
          </w:tcPr>
          <w:p w14:paraId="4C5633B2">
            <w:pPr>
              <w:pStyle w:val="106"/>
              <w:pageBreakBefore w:val="0"/>
              <w:kinsoku/>
              <w:wordWrap/>
              <w:overflowPunct/>
              <w:topLinePunct w:val="0"/>
              <w:bidi w:val="0"/>
              <w:spacing w:before="135" w:line="520" w:lineRule="exact"/>
              <w:ind w:left="578"/>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
                <w:highlight w:val="none"/>
              </w:rPr>
              <w:t>磋商文件的商务条款内容</w:t>
            </w:r>
          </w:p>
        </w:tc>
        <w:tc>
          <w:tcPr>
            <w:tcW w:w="3236" w:type="dxa"/>
            <w:vAlign w:val="top"/>
          </w:tcPr>
          <w:p w14:paraId="51B2735C">
            <w:pPr>
              <w:pStyle w:val="106"/>
              <w:pageBreakBefore w:val="0"/>
              <w:kinsoku/>
              <w:wordWrap/>
              <w:overflowPunct/>
              <w:topLinePunct w:val="0"/>
              <w:bidi w:val="0"/>
              <w:spacing w:before="135" w:line="520" w:lineRule="exact"/>
              <w:ind w:left="311"/>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2"/>
                <w:highlight w:val="none"/>
              </w:rPr>
              <w:t>响应文件的商务条款内容</w:t>
            </w:r>
          </w:p>
        </w:tc>
        <w:tc>
          <w:tcPr>
            <w:tcW w:w="1204" w:type="dxa"/>
            <w:vAlign w:val="top"/>
          </w:tcPr>
          <w:p w14:paraId="01E4151E">
            <w:pPr>
              <w:pStyle w:val="106"/>
              <w:pageBreakBefore w:val="0"/>
              <w:kinsoku/>
              <w:wordWrap/>
              <w:overflowPunct/>
              <w:topLinePunct w:val="0"/>
              <w:bidi w:val="0"/>
              <w:spacing w:before="139" w:line="520" w:lineRule="exact"/>
              <w:ind w:left="363"/>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2"/>
                <w:highlight w:val="none"/>
              </w:rPr>
              <w:t>说明</w:t>
            </w:r>
          </w:p>
        </w:tc>
      </w:tr>
      <w:tr w14:paraId="4F13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BD78344">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7A1622AA">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1056D1C1">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08B6F3EC">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0578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09BC34C5">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36C5DBF3">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6FD156B3">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4D781958">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13A1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75EB743">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0EC9A4E0">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70EC378A">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5414E318">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4A46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3D8750C0">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51BF9117">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385AE92E">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35C0DE60">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5A782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0F55FBE0">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211BE5D1">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2FF9B8B5">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0EB16D4A">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4D6D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087030B1">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44D5A957">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7E751C28">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5C523FA5">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42A63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56C0FECB">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3CC220CA">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648779FD">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0CA67986">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3365F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5ADC46AC">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154418C9">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1C2DB7C9">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5452796C">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6920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222A241B">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28B3A825">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42F35864">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644F62A8">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384C7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6C39E15E">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57C0803F">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084752F3">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7A7FADBD">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28AF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77FCE8F4">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549B5697">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4B394CEC">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1B20B846">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33F49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39CAB3D5">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769D486D">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3708B8D2">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0B25224C">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08F0C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6CE05D93">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5EE7C10C">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0E2BF2EB">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4A2276E2">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5365B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69D1925D">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236CC84A">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3947436D">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2ED3578E">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7D0E2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0C6510E9">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32F30684">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4BA74174">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21508A5A">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77B32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B988B31">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1C20FA1B">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4DB12317">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1FE38052">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r w14:paraId="579F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4F972F6E">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802" w:type="dxa"/>
            <w:vAlign w:val="top"/>
          </w:tcPr>
          <w:p w14:paraId="587A46E0">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3236" w:type="dxa"/>
            <w:vAlign w:val="top"/>
          </w:tcPr>
          <w:p w14:paraId="34EB36AC">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c>
          <w:tcPr>
            <w:tcW w:w="1204" w:type="dxa"/>
            <w:vAlign w:val="top"/>
          </w:tcPr>
          <w:p w14:paraId="0E032963">
            <w:pPr>
              <w:pageBreakBefore w:val="0"/>
              <w:kinsoku/>
              <w:wordWrap/>
              <w:overflowPunct/>
              <w:topLinePunct w:val="0"/>
              <w:bidi w:val="0"/>
              <w:spacing w:line="520" w:lineRule="exact"/>
              <w:rPr>
                <w:rFonts w:hint="eastAsia" w:ascii="微软雅黑" w:hAnsi="微软雅黑" w:eastAsia="微软雅黑" w:cs="微软雅黑"/>
                <w:color w:val="auto"/>
                <w:sz w:val="21"/>
                <w:highlight w:val="none"/>
              </w:rPr>
            </w:pPr>
          </w:p>
        </w:tc>
      </w:tr>
    </w:tbl>
    <w:p w14:paraId="05246BE7">
      <w:pPr>
        <w:pStyle w:val="16"/>
        <w:pageBreakBefore w:val="0"/>
        <w:tabs>
          <w:tab w:val="left" w:pos="5580"/>
        </w:tabs>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名称（公章）：</w:t>
      </w:r>
    </w:p>
    <w:p w14:paraId="284E5B50">
      <w:pPr>
        <w:pStyle w:val="29"/>
        <w:rPr>
          <w:rFonts w:hint="eastAsia"/>
          <w:color w:val="auto"/>
          <w:highlight w:val="none"/>
        </w:rPr>
      </w:pPr>
    </w:p>
    <w:p w14:paraId="6B88A05F">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法定代表人或委托代理(签字):</w:t>
      </w:r>
    </w:p>
    <w:p w14:paraId="1FCD2CA3">
      <w:pPr>
        <w:pStyle w:val="11"/>
        <w:pageBreakBefore w:val="0"/>
        <w:kinsoku/>
        <w:wordWrap/>
        <w:overflowPunct/>
        <w:topLinePunct w:val="0"/>
        <w:bidi w:val="0"/>
        <w:spacing w:before="103" w:line="520" w:lineRule="exact"/>
        <w:ind w:left="570"/>
        <w:outlineLvl w:val="9"/>
        <w:rPr>
          <w:color w:val="auto"/>
          <w:highlight w:val="none"/>
        </w:rPr>
      </w:pPr>
    </w:p>
    <w:bookmarkEnd w:id="674"/>
    <w:bookmarkEnd w:id="675"/>
    <w:p w14:paraId="1F3389B2">
      <w:pPr>
        <w:pStyle w:val="32"/>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i w:val="0"/>
          <w:iCs w:val="0"/>
          <w:caps w:val="0"/>
          <w:color w:val="auto"/>
          <w:spacing w:val="0"/>
          <w:sz w:val="21"/>
          <w:szCs w:val="21"/>
          <w:highlight w:val="none"/>
        </w:rPr>
      </w:pPr>
    </w:p>
    <w:p w14:paraId="1EA9884F">
      <w:pPr>
        <w:pageBreakBefore w:val="0"/>
        <w:kinsoku/>
        <w:wordWrap/>
        <w:overflowPunct/>
        <w:topLinePunct w:val="0"/>
        <w:bidi w:val="0"/>
        <w:spacing w:line="520" w:lineRule="exact"/>
        <w:outlineLvl w:val="1"/>
        <w:rPr>
          <w:rFonts w:ascii="微软雅黑" w:hAnsi="微软雅黑" w:eastAsia="微软雅黑" w:cs="微软雅黑"/>
          <w:b/>
          <w:bCs/>
          <w:color w:val="auto"/>
          <w:sz w:val="24"/>
          <w:highlight w:val="none"/>
        </w:rPr>
      </w:pPr>
      <w:bookmarkStart w:id="678" w:name="_Toc10205"/>
      <w:bookmarkStart w:id="679" w:name="_Toc30772"/>
      <w:bookmarkStart w:id="680" w:name="_Toc25045"/>
      <w:bookmarkStart w:id="681" w:name="_Toc28385"/>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rPr>
        <w:t>残疾人福利性单位声明函</w:t>
      </w:r>
      <w:bookmarkEnd w:id="678"/>
      <w:bookmarkEnd w:id="679"/>
      <w:r>
        <w:rPr>
          <w:rFonts w:hint="eastAsia" w:ascii="微软雅黑" w:hAnsi="微软雅黑" w:eastAsia="微软雅黑" w:cs="微软雅黑"/>
          <w:b/>
          <w:bCs/>
          <w:color w:val="auto"/>
          <w:sz w:val="24"/>
          <w:highlight w:val="none"/>
        </w:rPr>
        <w:t>（若无，可不填）</w:t>
      </w:r>
      <w:bookmarkEnd w:id="680"/>
      <w:bookmarkEnd w:id="681"/>
    </w:p>
    <w:p w14:paraId="5D56A5C7">
      <w:pPr>
        <w:pageBreakBefore w:val="0"/>
        <w:kinsoku/>
        <w:wordWrap/>
        <w:overflowPunct/>
        <w:topLinePunct w:val="0"/>
        <w:bidi w:val="0"/>
        <w:spacing w:line="520" w:lineRule="exact"/>
        <w:ind w:left="1080" w:leftChars="257" w:hanging="540"/>
        <w:jc w:val="center"/>
        <w:rPr>
          <w:rFonts w:ascii="微软雅黑" w:hAnsi="微软雅黑" w:eastAsia="微软雅黑" w:cs="微软雅黑"/>
          <w:color w:val="auto"/>
          <w:kern w:val="0"/>
          <w:sz w:val="24"/>
          <w:highlight w:val="none"/>
        </w:rPr>
      </w:pPr>
    </w:p>
    <w:p w14:paraId="5AFEDA4B">
      <w:pPr>
        <w:pageBreakBefore w:val="0"/>
        <w:kinsoku/>
        <w:wordWrap/>
        <w:overflowPunct/>
        <w:topLinePunct w:val="0"/>
        <w:bidi w:val="0"/>
        <w:spacing w:line="520" w:lineRule="exact"/>
        <w:ind w:firstLine="567"/>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7ADD8C6">
      <w:pPr>
        <w:pageBreakBefore w:val="0"/>
        <w:kinsoku/>
        <w:wordWrap/>
        <w:overflowPunct/>
        <w:topLinePunct w:val="0"/>
        <w:bidi w:val="0"/>
        <w:spacing w:line="520" w:lineRule="exact"/>
        <w:ind w:left="1080" w:leftChars="257" w:hanging="540"/>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本单位对上述声明的真实性负责。如有虚假，将依法承担相应责任。</w:t>
      </w:r>
    </w:p>
    <w:p w14:paraId="759C8ED3">
      <w:pPr>
        <w:pageBreakBefore w:val="0"/>
        <w:kinsoku/>
        <w:wordWrap/>
        <w:overflowPunct/>
        <w:topLinePunct w:val="0"/>
        <w:bidi w:val="0"/>
        <w:spacing w:line="520" w:lineRule="exact"/>
        <w:ind w:left="1080" w:leftChars="257" w:hanging="540"/>
        <w:jc w:val="center"/>
        <w:rPr>
          <w:rFonts w:ascii="微软雅黑" w:hAnsi="微软雅黑" w:eastAsia="微软雅黑" w:cs="微软雅黑"/>
          <w:color w:val="auto"/>
          <w:kern w:val="0"/>
          <w:sz w:val="24"/>
          <w:highlight w:val="none"/>
        </w:rPr>
      </w:pPr>
    </w:p>
    <w:p w14:paraId="727D413A">
      <w:pPr>
        <w:pageBreakBefore w:val="0"/>
        <w:kinsoku/>
        <w:wordWrap/>
        <w:overflowPunct/>
        <w:topLinePunct w:val="0"/>
        <w:bidi w:val="0"/>
        <w:spacing w:line="520" w:lineRule="exact"/>
        <w:ind w:left="1080" w:leftChars="257" w:hanging="540"/>
        <w:jc w:val="center"/>
        <w:rPr>
          <w:rFonts w:ascii="微软雅黑" w:hAnsi="微软雅黑" w:eastAsia="微软雅黑" w:cs="微软雅黑"/>
          <w:color w:val="auto"/>
          <w:kern w:val="0"/>
          <w:sz w:val="24"/>
          <w:highlight w:val="none"/>
        </w:rPr>
      </w:pPr>
    </w:p>
    <w:p w14:paraId="2C1F3EA2">
      <w:pPr>
        <w:pageBreakBefore w:val="0"/>
        <w:kinsoku/>
        <w:wordWrap/>
        <w:overflowPunct/>
        <w:topLinePunct w:val="0"/>
        <w:bidi w:val="0"/>
        <w:spacing w:line="520" w:lineRule="exact"/>
        <w:ind w:left="1080" w:leftChars="257" w:hanging="540"/>
        <w:jc w:val="center"/>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残疾人福利性单位名称（公章）：</w:t>
      </w:r>
    </w:p>
    <w:p w14:paraId="68608137">
      <w:pPr>
        <w:pageBreakBefore w:val="0"/>
        <w:kinsoku/>
        <w:wordWrap/>
        <w:overflowPunct/>
        <w:topLinePunct w:val="0"/>
        <w:bidi w:val="0"/>
        <w:spacing w:line="520" w:lineRule="exact"/>
        <w:ind w:left="1080" w:leftChars="257" w:hanging="54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xml:space="preserve">                 日  期：</w:t>
      </w:r>
    </w:p>
    <w:p w14:paraId="69C0777C">
      <w:pP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br w:type="page"/>
      </w:r>
    </w:p>
    <w:p w14:paraId="0DD05153">
      <w:pPr>
        <w:widowControl/>
        <w:spacing w:before="100" w:beforeAutospacing="1" w:after="100" w:afterAutospacing="1" w:line="400" w:lineRule="exact"/>
        <w:outlineLvl w:val="1"/>
        <w:rPr>
          <w:rFonts w:hint="eastAsia" w:ascii="微软雅黑" w:hAnsi="微软雅黑" w:eastAsia="微软雅黑" w:cs="微软雅黑"/>
          <w:b/>
          <w:color w:val="auto"/>
          <w:kern w:val="0"/>
          <w:sz w:val="24"/>
          <w:highlight w:val="none"/>
        </w:rPr>
      </w:pPr>
      <w:bookmarkStart w:id="682" w:name="_Toc9899"/>
      <w:bookmarkStart w:id="683" w:name="_Toc18942"/>
      <w:r>
        <w:rPr>
          <w:rFonts w:hint="eastAsia" w:ascii="微软雅黑" w:hAnsi="微软雅黑" w:eastAsia="微软雅黑" w:cs="微软雅黑"/>
          <w:b/>
          <w:color w:val="auto"/>
          <w:kern w:val="0"/>
          <w:sz w:val="24"/>
          <w:highlight w:val="none"/>
          <w:lang w:val="en-US" w:eastAsia="zh-CN"/>
        </w:rPr>
        <w:t>5、</w:t>
      </w:r>
      <w:r>
        <w:rPr>
          <w:rFonts w:hint="eastAsia" w:ascii="微软雅黑" w:hAnsi="微软雅黑" w:eastAsia="微软雅黑" w:cs="微软雅黑"/>
          <w:b/>
          <w:color w:val="auto"/>
          <w:kern w:val="0"/>
          <w:sz w:val="24"/>
          <w:highlight w:val="none"/>
        </w:rPr>
        <w:t>《监狱企业声明函》（若无，可不填）</w:t>
      </w:r>
      <w:bookmarkEnd w:id="682"/>
      <w:bookmarkEnd w:id="683"/>
    </w:p>
    <w:p w14:paraId="715AA16F">
      <w:pPr>
        <w:spacing w:line="400" w:lineRule="exact"/>
        <w:ind w:left="1080" w:leftChars="257" w:hanging="540"/>
        <w:jc w:val="center"/>
        <w:rPr>
          <w:rFonts w:hint="eastAsia" w:ascii="微软雅黑" w:hAnsi="微软雅黑" w:eastAsia="微软雅黑" w:cs="微软雅黑"/>
          <w:b/>
          <w:color w:val="auto"/>
          <w:kern w:val="0"/>
          <w:sz w:val="24"/>
          <w:highlight w:val="none"/>
        </w:rPr>
      </w:pPr>
    </w:p>
    <w:p w14:paraId="0E36200E">
      <w:pPr>
        <w:snapToGrid w:val="0"/>
        <w:spacing w:line="400" w:lineRule="exact"/>
        <w:ind w:firstLine="480" w:firstLineChars="200"/>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kern w:val="0"/>
          <w:sz w:val="24"/>
          <w:highlight w:val="none"/>
          <w:u w:val="single"/>
        </w:rPr>
        <w:t xml:space="preserve"> （单位名称）</w:t>
      </w:r>
      <w:r>
        <w:rPr>
          <w:rFonts w:hint="eastAsia" w:ascii="微软雅黑" w:hAnsi="微软雅黑" w:eastAsia="微软雅黑" w:cs="微软雅黑"/>
          <w:color w:val="auto"/>
          <w:kern w:val="0"/>
          <w:sz w:val="24"/>
          <w:highlight w:val="none"/>
        </w:rPr>
        <w:t xml:space="preserve"> 的 </w:t>
      </w:r>
      <w:r>
        <w:rPr>
          <w:rFonts w:hint="eastAsia" w:ascii="微软雅黑" w:hAnsi="微软雅黑" w:eastAsia="微软雅黑" w:cs="微软雅黑"/>
          <w:color w:val="auto"/>
          <w:kern w:val="0"/>
          <w:sz w:val="24"/>
          <w:highlight w:val="none"/>
          <w:u w:val="single"/>
        </w:rPr>
        <w:t>（项目名称）</w:t>
      </w:r>
      <w:r>
        <w:rPr>
          <w:rFonts w:hint="eastAsia" w:ascii="微软雅黑" w:hAnsi="微软雅黑" w:eastAsia="微软雅黑" w:cs="微软雅黑"/>
          <w:color w:val="auto"/>
          <w:kern w:val="0"/>
          <w:sz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150AB0BF">
      <w:pPr>
        <w:snapToGrid w:val="0"/>
        <w:spacing w:line="400" w:lineRule="exact"/>
        <w:ind w:firstLine="480" w:firstLineChars="2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u w:val="single"/>
        </w:rPr>
        <w:t>（标的名称）</w:t>
      </w:r>
      <w:r>
        <w:rPr>
          <w:rFonts w:hint="eastAsia" w:ascii="微软雅黑" w:hAnsi="微软雅黑" w:eastAsia="微软雅黑" w:cs="微软雅黑"/>
          <w:color w:val="auto"/>
          <w:sz w:val="24"/>
          <w:highlight w:val="none"/>
        </w:rPr>
        <w:t>，承接单位为</w:t>
      </w:r>
      <w:r>
        <w:rPr>
          <w:rFonts w:hint="eastAsia" w:ascii="微软雅黑" w:hAnsi="微软雅黑" w:eastAsia="微软雅黑" w:cs="微软雅黑"/>
          <w:color w:val="auto"/>
          <w:sz w:val="24"/>
          <w:highlight w:val="none"/>
          <w:u w:val="single"/>
        </w:rPr>
        <w:t>（企业名称）</w:t>
      </w:r>
      <w:r>
        <w:rPr>
          <w:rFonts w:hint="eastAsia" w:ascii="微软雅黑" w:hAnsi="微软雅黑" w:eastAsia="微软雅黑" w:cs="微软雅黑"/>
          <w:color w:val="auto"/>
          <w:sz w:val="24"/>
          <w:highlight w:val="none"/>
        </w:rPr>
        <w:t>，属于</w:t>
      </w:r>
      <w:r>
        <w:rPr>
          <w:rFonts w:hint="eastAsia" w:ascii="微软雅黑" w:hAnsi="微软雅黑" w:eastAsia="微软雅黑" w:cs="微软雅黑"/>
          <w:color w:val="auto"/>
          <w:sz w:val="24"/>
          <w:highlight w:val="none"/>
          <w:u w:val="single"/>
        </w:rPr>
        <w:t>监狱企业</w:t>
      </w:r>
      <w:r>
        <w:rPr>
          <w:rFonts w:hint="eastAsia" w:ascii="微软雅黑" w:hAnsi="微软雅黑" w:eastAsia="微软雅黑" w:cs="微软雅黑"/>
          <w:color w:val="auto"/>
          <w:sz w:val="24"/>
          <w:highlight w:val="none"/>
        </w:rPr>
        <w:t>；</w:t>
      </w:r>
    </w:p>
    <w:p w14:paraId="1F0B6C88">
      <w:pPr>
        <w:spacing w:after="60" w:afterLines="25"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u w:val="single"/>
        </w:rPr>
        <w:t>（标的名称）</w:t>
      </w:r>
      <w:r>
        <w:rPr>
          <w:rFonts w:hint="eastAsia" w:ascii="微软雅黑" w:hAnsi="微软雅黑" w:eastAsia="微软雅黑" w:cs="微软雅黑"/>
          <w:color w:val="auto"/>
          <w:sz w:val="24"/>
          <w:highlight w:val="none"/>
        </w:rPr>
        <w:t>，承接单位为</w:t>
      </w:r>
      <w:r>
        <w:rPr>
          <w:rFonts w:hint="eastAsia" w:ascii="微软雅黑" w:hAnsi="微软雅黑" w:eastAsia="微软雅黑" w:cs="微软雅黑"/>
          <w:color w:val="auto"/>
          <w:sz w:val="24"/>
          <w:highlight w:val="none"/>
          <w:u w:val="single"/>
        </w:rPr>
        <w:t>（企业名称）</w:t>
      </w:r>
      <w:r>
        <w:rPr>
          <w:rFonts w:hint="eastAsia" w:ascii="微软雅黑" w:hAnsi="微软雅黑" w:eastAsia="微软雅黑" w:cs="微软雅黑"/>
          <w:color w:val="auto"/>
          <w:sz w:val="24"/>
          <w:highlight w:val="none"/>
        </w:rPr>
        <w:t>，属于</w:t>
      </w:r>
      <w:r>
        <w:rPr>
          <w:rFonts w:hint="eastAsia" w:ascii="微软雅黑" w:hAnsi="微软雅黑" w:eastAsia="微软雅黑" w:cs="微软雅黑"/>
          <w:color w:val="auto"/>
          <w:sz w:val="24"/>
          <w:highlight w:val="none"/>
          <w:u w:val="single"/>
        </w:rPr>
        <w:t>监狱企业</w:t>
      </w:r>
      <w:r>
        <w:rPr>
          <w:rFonts w:hint="eastAsia" w:ascii="微软雅黑" w:hAnsi="微软雅黑" w:eastAsia="微软雅黑" w:cs="微软雅黑"/>
          <w:color w:val="auto"/>
          <w:sz w:val="24"/>
          <w:highlight w:val="none"/>
        </w:rPr>
        <w:t>。</w:t>
      </w:r>
    </w:p>
    <w:p w14:paraId="0FAC6B2A">
      <w:pPr>
        <w:spacing w:after="60" w:afterLines="25"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 xml:space="preserve">…… </w:t>
      </w:r>
    </w:p>
    <w:p w14:paraId="5FF5FE69">
      <w:pPr>
        <w:snapToGrid w:val="0"/>
        <w:spacing w:line="400" w:lineRule="exact"/>
        <w:ind w:firstLine="480" w:firstLineChars="200"/>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本单位对上述声明的真实性负责。如有虚假，依法承担相应责任。</w:t>
      </w:r>
    </w:p>
    <w:p w14:paraId="68563A98">
      <w:pPr>
        <w:snapToGrid w:val="0"/>
        <w:spacing w:line="400" w:lineRule="exact"/>
        <w:textAlignment w:val="baseline"/>
        <w:rPr>
          <w:rFonts w:hint="eastAsia" w:ascii="微软雅黑" w:hAnsi="微软雅黑" w:eastAsia="微软雅黑" w:cs="微软雅黑"/>
          <w:color w:val="auto"/>
          <w:kern w:val="0"/>
          <w:sz w:val="24"/>
          <w:highlight w:val="none"/>
        </w:rPr>
      </w:pPr>
    </w:p>
    <w:p w14:paraId="5AF3BE1F">
      <w:pPr>
        <w:snapToGrid w:val="0"/>
        <w:spacing w:line="400" w:lineRule="exact"/>
        <w:ind w:left="1080" w:leftChars="257" w:hanging="540"/>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附：省级以上监狱管理局、戒毒管理局（含新疆生产建设兵团）出具的监狱企业证明文件。</w:t>
      </w:r>
    </w:p>
    <w:p w14:paraId="41166B9F">
      <w:pPr>
        <w:snapToGrid w:val="0"/>
        <w:spacing w:line="400" w:lineRule="exact"/>
        <w:ind w:left="1080" w:leftChars="257" w:hanging="540"/>
        <w:textAlignment w:val="baseline"/>
        <w:rPr>
          <w:rFonts w:hint="eastAsia" w:ascii="微软雅黑" w:hAnsi="微软雅黑" w:eastAsia="微软雅黑" w:cs="微软雅黑"/>
          <w:color w:val="auto"/>
          <w:kern w:val="0"/>
          <w:sz w:val="24"/>
          <w:highlight w:val="none"/>
        </w:rPr>
      </w:pPr>
    </w:p>
    <w:p w14:paraId="1F443A37">
      <w:pPr>
        <w:snapToGrid w:val="0"/>
        <w:spacing w:line="400" w:lineRule="exact"/>
        <w:ind w:left="1080" w:leftChars="257" w:hanging="540"/>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投标人（单位盖章）：________</w:t>
      </w:r>
    </w:p>
    <w:p w14:paraId="3A929CAE">
      <w:pPr>
        <w:snapToGrid w:val="0"/>
        <w:spacing w:line="400" w:lineRule="exact"/>
        <w:ind w:left="1080" w:leftChars="257" w:hanging="540"/>
        <w:textAlignment w:val="baseline"/>
        <w:rPr>
          <w:rFonts w:hint="eastAsia" w:ascii="微软雅黑" w:hAnsi="微软雅黑" w:eastAsia="微软雅黑" w:cs="微软雅黑"/>
          <w:color w:val="auto"/>
          <w:kern w:val="0"/>
          <w:sz w:val="24"/>
          <w:highlight w:val="none"/>
          <w:u w:val="single"/>
        </w:rPr>
      </w:pPr>
      <w:r>
        <w:rPr>
          <w:rFonts w:hint="eastAsia" w:ascii="微软雅黑" w:hAnsi="微软雅黑" w:eastAsia="微软雅黑" w:cs="微软雅黑"/>
          <w:color w:val="auto"/>
          <w:kern w:val="0"/>
          <w:sz w:val="24"/>
          <w:highlight w:val="none"/>
        </w:rPr>
        <w:t>日  期：_______</w:t>
      </w:r>
    </w:p>
    <w:p w14:paraId="11E53596">
      <w:pPr>
        <w:pStyle w:val="8"/>
        <w:spacing w:line="400" w:lineRule="exact"/>
        <w:rPr>
          <w:rFonts w:hint="eastAsia" w:hAnsi="宋体" w:cs="宋体"/>
          <w:color w:val="auto"/>
          <w:szCs w:val="24"/>
          <w:highlight w:val="none"/>
        </w:rPr>
      </w:pPr>
    </w:p>
    <w:p w14:paraId="2D4FACE4">
      <w:pPr>
        <w:pStyle w:val="8"/>
        <w:spacing w:line="360" w:lineRule="auto"/>
        <w:ind w:firstLine="964" w:firstLineChars="400"/>
        <w:rPr>
          <w:rFonts w:hint="eastAsia" w:ascii="Times New Roman" w:eastAsia="仿宋"/>
          <w:b/>
          <w:bCs/>
          <w:color w:val="auto"/>
          <w:highlight w:val="none"/>
        </w:rPr>
      </w:pPr>
    </w:p>
    <w:p w14:paraId="5F10DE27">
      <w:pPr>
        <w:pStyle w:val="8"/>
        <w:spacing w:line="360" w:lineRule="auto"/>
        <w:ind w:firstLine="964" w:firstLineChars="400"/>
        <w:rPr>
          <w:rFonts w:hint="eastAsia" w:ascii="Times New Roman" w:eastAsia="仿宋"/>
          <w:b/>
          <w:bCs/>
          <w:color w:val="auto"/>
          <w:highlight w:val="none"/>
        </w:rPr>
      </w:pPr>
    </w:p>
    <w:p w14:paraId="0FA16B59">
      <w:pPr>
        <w:pStyle w:val="8"/>
        <w:spacing w:line="360" w:lineRule="auto"/>
        <w:ind w:firstLine="964" w:firstLineChars="400"/>
        <w:rPr>
          <w:rFonts w:hint="eastAsia" w:ascii="Times New Roman" w:eastAsia="仿宋"/>
          <w:b/>
          <w:bCs/>
          <w:color w:val="auto"/>
          <w:highlight w:val="none"/>
        </w:rPr>
      </w:pPr>
    </w:p>
    <w:p w14:paraId="543F097E">
      <w:pPr>
        <w:pStyle w:val="8"/>
        <w:spacing w:line="360" w:lineRule="auto"/>
        <w:ind w:firstLine="964" w:firstLineChars="400"/>
        <w:rPr>
          <w:rFonts w:hint="eastAsia" w:ascii="Times New Roman" w:eastAsia="仿宋"/>
          <w:b/>
          <w:bCs/>
          <w:color w:val="auto"/>
          <w:highlight w:val="none"/>
        </w:rPr>
      </w:pPr>
    </w:p>
    <w:p w14:paraId="62CED6E4">
      <w:pPr>
        <w:pageBreakBefore w:val="0"/>
        <w:kinsoku/>
        <w:wordWrap/>
        <w:overflowPunct/>
        <w:topLinePunct w:val="0"/>
        <w:bidi w:val="0"/>
        <w:spacing w:line="520" w:lineRule="exact"/>
        <w:ind w:left="1080" w:leftChars="257" w:hanging="540"/>
        <w:jc w:val="center"/>
        <w:rPr>
          <w:rFonts w:hint="eastAsia" w:ascii="微软雅黑" w:hAnsi="微软雅黑" w:eastAsia="微软雅黑" w:cs="微软雅黑"/>
          <w:color w:val="auto"/>
          <w:kern w:val="0"/>
          <w:sz w:val="24"/>
          <w:highlight w:val="none"/>
        </w:rPr>
      </w:pPr>
    </w:p>
    <w:p w14:paraId="1B897D4B">
      <w:pPr>
        <w:pageBreakBefore w:val="0"/>
        <w:kinsoku/>
        <w:wordWrap/>
        <w:overflowPunct/>
        <w:topLinePunct w:val="0"/>
        <w:bidi w:val="0"/>
        <w:spacing w:line="520" w:lineRule="exact"/>
        <w:ind w:left="1080" w:leftChars="257" w:hanging="540"/>
        <w:jc w:val="center"/>
        <w:rPr>
          <w:rFonts w:ascii="微软雅黑" w:hAnsi="微软雅黑" w:eastAsia="微软雅黑" w:cs="微软雅黑"/>
          <w:b/>
          <w:color w:val="auto"/>
          <w:kern w:val="0"/>
          <w:sz w:val="24"/>
          <w:highlight w:val="none"/>
        </w:rPr>
      </w:pPr>
    </w:p>
    <w:p w14:paraId="1AB4501D">
      <w:pPr>
        <w:pageBreakBefore w:val="0"/>
        <w:widowControl/>
        <w:kinsoku/>
        <w:wordWrap/>
        <w:overflowPunct/>
        <w:topLinePunct w:val="0"/>
        <w:bidi w:val="0"/>
        <w:spacing w:before="100" w:beforeAutospacing="1" w:after="100" w:afterAutospacing="1" w:line="520" w:lineRule="exact"/>
        <w:ind w:firstLine="2730" w:firstLineChars="1300"/>
        <w:jc w:val="left"/>
        <w:rPr>
          <w:rFonts w:ascii="微软雅黑" w:hAnsi="微软雅黑" w:eastAsia="微软雅黑" w:cs="微软雅黑"/>
          <w:color w:val="auto"/>
          <w:szCs w:val="21"/>
          <w:highlight w:val="none"/>
        </w:rPr>
      </w:pPr>
    </w:p>
    <w:p w14:paraId="3B4573CA">
      <w:pPr>
        <w:pStyle w:val="36"/>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0425C2D1">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5A84F45E">
      <w:pPr>
        <w:pStyle w:val="36"/>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1181DA2C">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0547092E">
      <w:pPr>
        <w:pStyle w:val="36"/>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2901467D">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4B1C753E">
      <w:pPr>
        <w:pStyle w:val="11"/>
        <w:pageBreakBefore w:val="0"/>
        <w:kinsoku/>
        <w:wordWrap/>
        <w:overflowPunct/>
        <w:topLinePunct w:val="0"/>
        <w:bidi w:val="0"/>
        <w:spacing w:before="55" w:line="520" w:lineRule="exact"/>
        <w:outlineLvl w:val="1"/>
        <w:rPr>
          <w:rFonts w:hint="eastAsia" w:ascii="微软雅黑" w:hAnsi="微软雅黑" w:eastAsia="微软雅黑" w:cs="微软雅黑"/>
          <w:color w:val="auto"/>
          <w:sz w:val="24"/>
          <w:szCs w:val="24"/>
          <w:highlight w:val="none"/>
        </w:rPr>
      </w:pPr>
      <w:bookmarkStart w:id="684" w:name="_Toc22198"/>
      <w:bookmarkStart w:id="685" w:name="_Toc1209"/>
      <w:r>
        <w:rPr>
          <w:rFonts w:hint="eastAsia" w:ascii="微软雅黑" w:hAnsi="微软雅黑" w:eastAsia="微软雅黑" w:cs="微软雅黑"/>
          <w:b/>
          <w:bCs/>
          <w:color w:val="auto"/>
          <w:spacing w:val="-2"/>
          <w:sz w:val="24"/>
          <w:szCs w:val="24"/>
          <w:highlight w:val="none"/>
          <w:lang w:val="en-US" w:eastAsia="zh-CN"/>
        </w:rPr>
        <w:t>6</w:t>
      </w:r>
      <w:r>
        <w:rPr>
          <w:rFonts w:hint="eastAsia" w:ascii="微软雅黑" w:hAnsi="微软雅黑" w:eastAsia="微软雅黑" w:cs="微软雅黑"/>
          <w:b/>
          <w:bCs/>
          <w:color w:val="auto"/>
          <w:spacing w:val="-2"/>
          <w:sz w:val="24"/>
          <w:szCs w:val="24"/>
          <w:highlight w:val="none"/>
          <w:lang w:eastAsia="zh-CN"/>
        </w:rPr>
        <w:t>、</w:t>
      </w:r>
      <w:r>
        <w:rPr>
          <w:rFonts w:hint="eastAsia" w:ascii="微软雅黑" w:hAnsi="微软雅黑" w:eastAsia="微软雅黑" w:cs="微软雅黑"/>
          <w:b/>
          <w:bCs/>
          <w:color w:val="auto"/>
          <w:spacing w:val="-2"/>
          <w:sz w:val="24"/>
          <w:szCs w:val="24"/>
          <w:highlight w:val="none"/>
        </w:rPr>
        <w:t>供应商关联单位的说明</w:t>
      </w:r>
      <w:bookmarkEnd w:id="684"/>
      <w:bookmarkEnd w:id="685"/>
    </w:p>
    <w:p w14:paraId="26FDF75D">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266668CE">
      <w:pPr>
        <w:pStyle w:val="11"/>
        <w:pageBreakBefore w:val="0"/>
        <w:kinsoku/>
        <w:wordWrap/>
        <w:overflowPunct/>
        <w:topLinePunct w:val="0"/>
        <w:bidi w:val="0"/>
        <w:spacing w:before="103" w:line="5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说明 ：供应商应当如实披露与本单位存在下列关联关系的单位名称 ：</w:t>
      </w:r>
    </w:p>
    <w:p w14:paraId="7E441759">
      <w:pPr>
        <w:pStyle w:val="11"/>
        <w:pageBreakBefore w:val="0"/>
        <w:kinsoku/>
        <w:wordWrap/>
        <w:overflowPunct/>
        <w:topLinePunct w:val="0"/>
        <w:bidi w:val="0"/>
        <w:spacing w:before="257" w:line="520" w:lineRule="exact"/>
        <w:ind w:left="45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sz w:val="24"/>
          <w:szCs w:val="24"/>
          <w:highlight w:val="none"/>
        </w:rPr>
        <w:t>（ 1 ）与供应商单位负责人为同一人的其他单位 ；</w:t>
      </w:r>
    </w:p>
    <w:p w14:paraId="7F7BA799">
      <w:pPr>
        <w:pStyle w:val="11"/>
        <w:pageBreakBefore w:val="0"/>
        <w:kinsoku/>
        <w:wordWrap/>
        <w:overflowPunct/>
        <w:topLinePunct w:val="0"/>
        <w:bidi w:val="0"/>
        <w:spacing w:before="240" w:line="520" w:lineRule="exact"/>
        <w:ind w:left="45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 2 ）与供应商存在直接控股、管理关系的其他单位。</w:t>
      </w:r>
    </w:p>
    <w:p w14:paraId="3E2EE7D5">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0E780F55">
      <w:pPr>
        <w:pStyle w:val="36"/>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09EB24B1">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64E443C3">
      <w:pPr>
        <w:pStyle w:val="36"/>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4CF1D0EB">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64180083">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2F856F68">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6FA0CEDB">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6ECF8AB0">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2EB53CCA">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6769FDAB">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1D5AD012">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226276C2">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3F794400">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15523B4A">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44B761E3">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6A1822DF">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4E19644A">
      <w:pPr>
        <w:pageBreakBefore w:val="0"/>
        <w:kinsoku/>
        <w:wordWrap/>
        <w:overflowPunct/>
        <w:topLinePunct w:val="0"/>
        <w:bidi w:val="0"/>
        <w:spacing w:line="520" w:lineRule="exact"/>
        <w:rPr>
          <w:rFonts w:ascii="微软雅黑" w:hAnsi="微软雅黑" w:eastAsia="微软雅黑" w:cs="微软雅黑"/>
          <w:color w:val="auto"/>
          <w:szCs w:val="21"/>
          <w:highlight w:val="none"/>
        </w:rPr>
      </w:pPr>
    </w:p>
    <w:p w14:paraId="6D91C759">
      <w:pPr>
        <w:pStyle w:val="36"/>
        <w:pageBreakBefore w:val="0"/>
        <w:kinsoku/>
        <w:wordWrap/>
        <w:overflowPunct/>
        <w:topLinePunct w:val="0"/>
        <w:bidi w:val="0"/>
        <w:spacing w:line="520" w:lineRule="exact"/>
        <w:ind w:left="0" w:leftChars="0" w:firstLine="0" w:firstLineChars="0"/>
        <w:rPr>
          <w:color w:val="auto"/>
          <w:highlight w:val="none"/>
        </w:rPr>
      </w:pPr>
    </w:p>
    <w:p w14:paraId="3500DBF0">
      <w:pPr>
        <w:pStyle w:val="8"/>
        <w:keepNext w:val="0"/>
        <w:keepLines w:val="0"/>
        <w:pageBreakBefore w:val="0"/>
        <w:widowControl w:val="0"/>
        <w:kinsoku/>
        <w:wordWrap/>
        <w:overflowPunct/>
        <w:topLinePunct w:val="0"/>
        <w:bidi w:val="0"/>
        <w:snapToGrid/>
        <w:spacing w:line="520" w:lineRule="exact"/>
        <w:ind w:left="0" w:leftChars="0" w:firstLine="480" w:firstLineChars="200"/>
        <w:textAlignment w:val="auto"/>
        <w:outlineLvl w:val="1"/>
        <w:rPr>
          <w:rFonts w:hint="eastAsia" w:ascii="微软雅黑" w:hAnsi="微软雅黑" w:eastAsia="微软雅黑" w:cs="微软雅黑"/>
          <w:color w:val="auto"/>
          <w:spacing w:val="3"/>
          <w:sz w:val="24"/>
          <w:szCs w:val="24"/>
          <w:highlight w:val="none"/>
        </w:rPr>
      </w:pPr>
      <w:bookmarkStart w:id="686" w:name="_Toc13322"/>
      <w:bookmarkStart w:id="687" w:name="_Toc13410"/>
      <w:bookmarkStart w:id="688" w:name="_Toc31249"/>
      <w:bookmarkStart w:id="689" w:name="_Toc17432"/>
      <w:bookmarkStart w:id="690" w:name="_Toc31809"/>
      <w:r>
        <w:rPr>
          <w:rFonts w:hint="eastAsia" w:ascii="微软雅黑" w:hAnsi="微软雅黑" w:eastAsia="微软雅黑" w:cs="微软雅黑"/>
          <w:b/>
          <w:bCs/>
          <w:color w:val="auto"/>
          <w:kern w:val="2"/>
          <w:sz w:val="24"/>
          <w:szCs w:val="24"/>
          <w:highlight w:val="none"/>
          <w:lang w:val="en-US" w:eastAsia="zh-CN" w:bidi="ar-SA"/>
        </w:rPr>
        <w:t>7、技术部分主要包括下列内容：</w:t>
      </w:r>
      <w:bookmarkEnd w:id="686"/>
      <w:bookmarkEnd w:id="687"/>
      <w:bookmarkEnd w:id="688"/>
      <w:bookmarkEnd w:id="689"/>
      <w:bookmarkEnd w:id="690"/>
    </w:p>
    <w:p w14:paraId="63E284F8">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1. 全面性</w:t>
      </w:r>
    </w:p>
    <w:p w14:paraId="3D85FB7F">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1.1 工程概况、施工组织方案</w:t>
      </w:r>
    </w:p>
    <w:p w14:paraId="7199872C">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1.2 施工机械设备、劳动力投入计划</w:t>
      </w:r>
    </w:p>
    <w:p w14:paraId="6AD98574">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1.3 质量、工期、投资控制方案</w:t>
      </w:r>
    </w:p>
    <w:p w14:paraId="518CA86F">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1.4 文明施工措施</w:t>
      </w:r>
    </w:p>
    <w:p w14:paraId="6C5EC00F">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1.5 施工总进度计划（ 附图 ）</w:t>
      </w:r>
    </w:p>
    <w:p w14:paraId="0A57CBD2">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1.6 施工现场平面布置（ 附图 ）</w:t>
      </w:r>
    </w:p>
    <w:p w14:paraId="532A6BC2">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2. 可行性</w:t>
      </w:r>
    </w:p>
    <w:p w14:paraId="75259E81">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2.1 施工措施及计划</w:t>
      </w:r>
    </w:p>
    <w:p w14:paraId="2DE9BC8D">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2.2 施工现场流水段的划分</w:t>
      </w:r>
    </w:p>
    <w:p w14:paraId="7D453163">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2.3 施工现场流水作业</w:t>
      </w:r>
    </w:p>
    <w:p w14:paraId="1779FE7F">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2.4 施工现场交叉作业</w:t>
      </w:r>
    </w:p>
    <w:p w14:paraId="2FD8F89D">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2.5 施工现场机具配置和布置</w:t>
      </w:r>
    </w:p>
    <w:p w14:paraId="4FD20D16">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3. 针对性</w:t>
      </w:r>
    </w:p>
    <w:p w14:paraId="39C4124B">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3.1 施工的重点和关键部位处理</w:t>
      </w:r>
    </w:p>
    <w:p w14:paraId="3B83EDE7">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3.2 质保体系</w:t>
      </w:r>
    </w:p>
    <w:p w14:paraId="1DA1C78C">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3.3 安保体系</w:t>
      </w:r>
    </w:p>
    <w:p w14:paraId="4201C602">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3.4 创优措施</w:t>
      </w:r>
    </w:p>
    <w:p w14:paraId="67A438C8">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3.5 安全措施</w:t>
      </w:r>
    </w:p>
    <w:p w14:paraId="7752AE49">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3.6 文明施工和防止扰民措施</w:t>
      </w:r>
    </w:p>
    <w:p w14:paraId="6B5EF507">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4. 先进性</w:t>
      </w:r>
    </w:p>
    <w:p w14:paraId="5E7060FF">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4.1 采用的新工艺、新技术、新设备</w:t>
      </w:r>
    </w:p>
    <w:p w14:paraId="69E0E504">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4.2 在确保工程质量前提下 ，有降低成本、缩短工期、减轻劳动强度 、提高进度的方案</w:t>
      </w:r>
    </w:p>
    <w:p w14:paraId="7493D15F">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4.3 在执行国家强制性条文前提下体现施工的先进性措施等</w:t>
      </w:r>
    </w:p>
    <w:p w14:paraId="7FCAD9B1">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5. 强制性</w:t>
      </w:r>
    </w:p>
    <w:p w14:paraId="24606F92">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5.1 防治质量通病的措施</w:t>
      </w:r>
    </w:p>
    <w:p w14:paraId="5908F8DB">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5.2 执行国家强制性条文的保证措施等</w:t>
      </w:r>
    </w:p>
    <w:p w14:paraId="33C30F1A">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6. 承诺</w:t>
      </w:r>
    </w:p>
    <w:p w14:paraId="009BB6E7">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6.1 保修承诺和违约经济处罚承诺</w:t>
      </w:r>
    </w:p>
    <w:p w14:paraId="33CD808D">
      <w:pPr>
        <w:keepNext w:val="0"/>
        <w:keepLines w:val="0"/>
        <w:pageBreakBefore w:val="0"/>
        <w:widowControl w:val="0"/>
        <w:kinsoku/>
        <w:wordWrap/>
        <w:overflowPunct/>
        <w:topLinePunct w:val="0"/>
        <w:bidi w:val="0"/>
        <w:snapToGrid/>
        <w:spacing w:before="155" w:line="520" w:lineRule="exact"/>
        <w:ind w:left="447"/>
        <w:textAlignment w:val="auto"/>
        <w:rPr>
          <w:rFonts w:ascii="微软雅黑" w:hAnsi="微软雅黑" w:eastAsia="微软雅黑" w:cs="微软雅黑"/>
          <w:color w:val="auto"/>
          <w:szCs w:val="21"/>
          <w:highlight w:val="none"/>
        </w:rPr>
      </w:pPr>
      <w:r>
        <w:rPr>
          <w:rFonts w:ascii="微软雅黑" w:hAnsi="微软雅黑" w:eastAsia="微软雅黑" w:cs="微软雅黑"/>
          <w:color w:val="auto"/>
          <w:szCs w:val="21"/>
          <w:highlight w:val="none"/>
        </w:rPr>
        <w:t>6.2 工程质量争优承诺及保证质量措施承诺等</w:t>
      </w:r>
    </w:p>
    <w:p w14:paraId="1B5F2115">
      <w:pPr>
        <w:pageBreakBefore w:val="0"/>
        <w:kinsoku/>
        <w:wordWrap/>
        <w:overflowPunct/>
        <w:topLinePunct w:val="0"/>
        <w:bidi w:val="0"/>
        <w:spacing w:line="520" w:lineRule="exact"/>
        <w:ind w:firstLine="567"/>
        <w:rPr>
          <w:rFonts w:hint="eastAsia" w:ascii="微软雅黑" w:hAnsi="微软雅黑" w:eastAsia="微软雅黑" w:cs="微软雅黑"/>
          <w:color w:val="auto"/>
          <w:kern w:val="0"/>
          <w:sz w:val="24"/>
          <w:highlight w:val="none"/>
          <w:lang w:val="en-US" w:eastAsia="zh-CN"/>
        </w:rPr>
      </w:pPr>
    </w:p>
    <w:p w14:paraId="6DEE38DA">
      <w:pPr>
        <w:keepNext w:val="0"/>
        <w:keepLines w:val="0"/>
        <w:pageBreakBefore w:val="0"/>
        <w:widowControl w:val="0"/>
        <w:kinsoku/>
        <w:wordWrap/>
        <w:overflowPunct/>
        <w:topLinePunct w:val="0"/>
        <w:bidi w:val="0"/>
        <w:snapToGrid/>
        <w:spacing w:before="155" w:line="520" w:lineRule="exact"/>
        <w:textAlignment w:val="auto"/>
        <w:rPr>
          <w:rFonts w:hint="eastAsia" w:ascii="微软雅黑" w:hAnsi="微软雅黑" w:eastAsia="微软雅黑" w:cs="微软雅黑"/>
          <w:color w:val="auto"/>
          <w:spacing w:val="7"/>
          <w:sz w:val="24"/>
          <w:szCs w:val="24"/>
          <w:highlight w:val="none"/>
        </w:rPr>
      </w:pPr>
    </w:p>
    <w:p w14:paraId="39FC1B0B">
      <w:pPr>
        <w:keepNext w:val="0"/>
        <w:keepLines w:val="0"/>
        <w:pageBreakBefore w:val="0"/>
        <w:widowControl w:val="0"/>
        <w:kinsoku/>
        <w:wordWrap/>
        <w:overflowPunct/>
        <w:topLinePunct w:val="0"/>
        <w:bidi w:val="0"/>
        <w:snapToGrid/>
        <w:spacing w:before="155" w:line="520" w:lineRule="exact"/>
        <w:textAlignment w:val="auto"/>
        <w:rPr>
          <w:rFonts w:hint="eastAsia" w:ascii="微软雅黑" w:hAnsi="微软雅黑" w:eastAsia="微软雅黑" w:cs="微软雅黑"/>
          <w:color w:val="auto"/>
          <w:spacing w:val="7"/>
          <w:sz w:val="24"/>
          <w:szCs w:val="24"/>
          <w:highlight w:val="none"/>
        </w:rPr>
      </w:pPr>
    </w:p>
    <w:p w14:paraId="25827FE0">
      <w:pPr>
        <w:keepNext w:val="0"/>
        <w:keepLines w:val="0"/>
        <w:pageBreakBefore w:val="0"/>
        <w:widowControl w:val="0"/>
        <w:kinsoku/>
        <w:wordWrap/>
        <w:overflowPunct/>
        <w:topLinePunct w:val="0"/>
        <w:bidi w:val="0"/>
        <w:snapToGrid/>
        <w:spacing w:before="155" w:line="520" w:lineRule="exact"/>
        <w:textAlignment w:val="auto"/>
        <w:rPr>
          <w:rFonts w:hint="eastAsia" w:ascii="微软雅黑" w:hAnsi="微软雅黑" w:eastAsia="微软雅黑" w:cs="微软雅黑"/>
          <w:color w:val="auto"/>
          <w:spacing w:val="7"/>
          <w:sz w:val="24"/>
          <w:szCs w:val="24"/>
          <w:highlight w:val="none"/>
        </w:rPr>
      </w:pPr>
    </w:p>
    <w:p w14:paraId="46999435">
      <w:pPr>
        <w:keepNext w:val="0"/>
        <w:keepLines w:val="0"/>
        <w:pageBreakBefore w:val="0"/>
        <w:widowControl w:val="0"/>
        <w:kinsoku/>
        <w:wordWrap/>
        <w:overflowPunct/>
        <w:topLinePunct w:val="0"/>
        <w:bidi w:val="0"/>
        <w:snapToGrid/>
        <w:spacing w:before="155" w:line="520" w:lineRule="exact"/>
        <w:textAlignment w:val="auto"/>
        <w:rPr>
          <w:rFonts w:hint="eastAsia" w:ascii="微软雅黑" w:hAnsi="微软雅黑" w:eastAsia="微软雅黑" w:cs="微软雅黑"/>
          <w:color w:val="auto"/>
          <w:spacing w:val="7"/>
          <w:sz w:val="24"/>
          <w:szCs w:val="24"/>
          <w:highlight w:val="none"/>
        </w:rPr>
      </w:pPr>
    </w:p>
    <w:p w14:paraId="454443FB">
      <w:pPr>
        <w:keepNext w:val="0"/>
        <w:keepLines w:val="0"/>
        <w:pageBreakBefore w:val="0"/>
        <w:widowControl w:val="0"/>
        <w:kinsoku/>
        <w:wordWrap/>
        <w:overflowPunct/>
        <w:topLinePunct w:val="0"/>
        <w:bidi w:val="0"/>
        <w:snapToGrid/>
        <w:spacing w:before="155" w:line="520" w:lineRule="exact"/>
        <w:textAlignment w:val="auto"/>
        <w:rPr>
          <w:rFonts w:hint="eastAsia" w:ascii="微软雅黑" w:hAnsi="微软雅黑" w:eastAsia="微软雅黑" w:cs="微软雅黑"/>
          <w:color w:val="auto"/>
          <w:spacing w:val="7"/>
          <w:sz w:val="24"/>
          <w:szCs w:val="24"/>
          <w:highlight w:val="none"/>
        </w:rPr>
      </w:pPr>
    </w:p>
    <w:p w14:paraId="2B66F60C">
      <w:pPr>
        <w:keepNext w:val="0"/>
        <w:keepLines w:val="0"/>
        <w:pageBreakBefore w:val="0"/>
        <w:widowControl w:val="0"/>
        <w:kinsoku/>
        <w:wordWrap/>
        <w:overflowPunct/>
        <w:topLinePunct w:val="0"/>
        <w:bidi w:val="0"/>
        <w:snapToGrid/>
        <w:spacing w:before="155" w:line="520" w:lineRule="exact"/>
        <w:textAlignment w:val="auto"/>
        <w:rPr>
          <w:rFonts w:hint="eastAsia" w:ascii="微软雅黑" w:hAnsi="微软雅黑" w:eastAsia="微软雅黑" w:cs="微软雅黑"/>
          <w:color w:val="auto"/>
          <w:spacing w:val="7"/>
          <w:sz w:val="24"/>
          <w:szCs w:val="24"/>
          <w:highlight w:val="none"/>
        </w:rPr>
      </w:pPr>
    </w:p>
    <w:p w14:paraId="533246E0">
      <w:pPr>
        <w:keepNext w:val="0"/>
        <w:keepLines w:val="0"/>
        <w:pageBreakBefore w:val="0"/>
        <w:widowControl w:val="0"/>
        <w:kinsoku/>
        <w:wordWrap/>
        <w:overflowPunct/>
        <w:topLinePunct w:val="0"/>
        <w:bidi w:val="0"/>
        <w:snapToGrid/>
        <w:spacing w:before="155" w:line="520" w:lineRule="exact"/>
        <w:textAlignment w:val="auto"/>
        <w:rPr>
          <w:rFonts w:hint="eastAsia" w:ascii="微软雅黑" w:hAnsi="微软雅黑" w:eastAsia="微软雅黑" w:cs="微软雅黑"/>
          <w:color w:val="auto"/>
          <w:spacing w:val="7"/>
          <w:sz w:val="24"/>
          <w:szCs w:val="24"/>
          <w:highlight w:val="none"/>
        </w:rPr>
      </w:pPr>
    </w:p>
    <w:p w14:paraId="3312C0C5">
      <w:pPr>
        <w:keepNext w:val="0"/>
        <w:keepLines w:val="0"/>
        <w:pageBreakBefore w:val="0"/>
        <w:widowControl w:val="0"/>
        <w:kinsoku/>
        <w:wordWrap/>
        <w:overflowPunct/>
        <w:topLinePunct w:val="0"/>
        <w:bidi w:val="0"/>
        <w:snapToGrid/>
        <w:spacing w:before="155" w:line="520" w:lineRule="exact"/>
        <w:textAlignment w:val="auto"/>
        <w:rPr>
          <w:rFonts w:hint="eastAsia" w:ascii="微软雅黑" w:hAnsi="微软雅黑" w:eastAsia="微软雅黑" w:cs="微软雅黑"/>
          <w:color w:val="auto"/>
          <w:spacing w:val="7"/>
          <w:sz w:val="24"/>
          <w:szCs w:val="24"/>
          <w:highlight w:val="none"/>
        </w:rPr>
      </w:pPr>
    </w:p>
    <w:p w14:paraId="4C2920A2">
      <w:pPr>
        <w:rPr>
          <w:rFonts w:hint="eastAsia" w:ascii="微软雅黑" w:hAnsi="微软雅黑" w:eastAsia="微软雅黑" w:cs="微软雅黑"/>
          <w:b/>
          <w:bCs/>
          <w:color w:val="auto"/>
          <w:kern w:val="2"/>
          <w:sz w:val="24"/>
          <w:szCs w:val="24"/>
          <w:highlight w:val="none"/>
          <w:lang w:val="en-US" w:eastAsia="zh-CN" w:bidi="ar-SA"/>
        </w:rPr>
      </w:pPr>
      <w:bookmarkStart w:id="691" w:name="_Toc5089"/>
      <w:bookmarkStart w:id="692" w:name="_Toc18621"/>
      <w:r>
        <w:rPr>
          <w:rFonts w:hint="eastAsia" w:ascii="微软雅黑" w:hAnsi="微软雅黑" w:eastAsia="微软雅黑" w:cs="微软雅黑"/>
          <w:b/>
          <w:bCs/>
          <w:color w:val="auto"/>
          <w:kern w:val="2"/>
          <w:sz w:val="24"/>
          <w:szCs w:val="24"/>
          <w:highlight w:val="none"/>
          <w:lang w:val="en-US" w:eastAsia="zh-CN" w:bidi="ar-SA"/>
        </w:rPr>
        <w:br w:type="page"/>
      </w:r>
    </w:p>
    <w:p w14:paraId="767FE430">
      <w:pPr>
        <w:pageBreakBefore w:val="0"/>
        <w:numPr>
          <w:ilvl w:val="0"/>
          <w:numId w:val="0"/>
        </w:numPr>
        <w:kinsoku/>
        <w:wordWrap/>
        <w:overflowPunct/>
        <w:topLinePunct w:val="0"/>
        <w:bidi w:val="0"/>
        <w:spacing w:before="74" w:line="520" w:lineRule="exact"/>
        <w:outlineLvl w:val="1"/>
        <w:rPr>
          <w:rFonts w:hint="eastAsia" w:ascii="微软雅黑" w:hAnsi="微软雅黑" w:eastAsia="微软雅黑" w:cs="微软雅黑"/>
          <w:color w:val="auto"/>
          <w:sz w:val="24"/>
          <w:szCs w:val="24"/>
          <w:highlight w:val="none"/>
        </w:rPr>
      </w:pPr>
      <w:bookmarkStart w:id="693" w:name="_Toc21925"/>
      <w:bookmarkStart w:id="694" w:name="_Toc15022"/>
      <w:r>
        <w:rPr>
          <w:rFonts w:hint="eastAsia" w:ascii="微软雅黑" w:hAnsi="微软雅黑" w:eastAsia="微软雅黑" w:cs="微软雅黑"/>
          <w:b/>
          <w:bCs/>
          <w:color w:val="auto"/>
          <w:kern w:val="2"/>
          <w:sz w:val="24"/>
          <w:szCs w:val="24"/>
          <w:highlight w:val="none"/>
          <w:lang w:val="en-US" w:eastAsia="zh-CN" w:bidi="ar-SA"/>
        </w:rPr>
        <w:t>8、有利于投标的其他资格证明材料</w:t>
      </w:r>
      <w:bookmarkEnd w:id="691"/>
      <w:bookmarkEnd w:id="692"/>
      <w:bookmarkEnd w:id="693"/>
      <w:bookmarkEnd w:id="694"/>
    </w:p>
    <w:p w14:paraId="2A3D4557">
      <w:pPr>
        <w:pStyle w:val="11"/>
        <w:pageBreakBefore w:val="0"/>
        <w:kinsoku/>
        <w:wordWrap/>
        <w:overflowPunct/>
        <w:topLinePunct w:val="0"/>
        <w:bidi w:val="0"/>
        <w:spacing w:before="103" w:line="520" w:lineRule="exact"/>
        <w:ind w:left="111" w:right="1146" w:firstLine="46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注 ：参照“第六章评分方法和标准” ，</w:t>
      </w:r>
      <w:r>
        <w:rPr>
          <w:rFonts w:hint="eastAsia" w:ascii="微软雅黑" w:hAnsi="微软雅黑" w:eastAsia="微软雅黑" w:cs="微软雅黑"/>
          <w:color w:val="auto"/>
          <w:spacing w:val="-6"/>
          <w:sz w:val="24"/>
          <w:szCs w:val="24"/>
          <w:highlight w:val="none"/>
        </w:rPr>
        <w:t>提供有力于供应商的其他证明材料等。</w:t>
      </w:r>
      <w:r>
        <w:rPr>
          <w:rFonts w:hint="eastAsia" w:ascii="微软雅黑" w:hAnsi="微软雅黑" w:eastAsia="微软雅黑" w:cs="微软雅黑"/>
          <w:color w:val="auto"/>
          <w:sz w:val="24"/>
          <w:szCs w:val="24"/>
          <w:highlight w:val="none"/>
        </w:rPr>
        <w:t xml:space="preserve"> </w:t>
      </w:r>
    </w:p>
    <w:p w14:paraId="322AEA86">
      <w:pPr>
        <w:pStyle w:val="11"/>
        <w:pageBreakBefore w:val="0"/>
        <w:kinsoku/>
        <w:wordWrap/>
        <w:overflowPunct/>
        <w:topLinePunct w:val="0"/>
        <w:bidi w:val="0"/>
        <w:spacing w:before="103" w:line="520" w:lineRule="exact"/>
        <w:ind w:left="111" w:right="1146" w:firstLine="467"/>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pacing w:val="-5"/>
          <w:sz w:val="24"/>
          <w:szCs w:val="24"/>
          <w:highlight w:val="none"/>
        </w:rPr>
        <w:t>附</w:t>
      </w:r>
      <w:r>
        <w:rPr>
          <w:rFonts w:hint="eastAsia" w:ascii="微软雅黑" w:hAnsi="微软雅黑" w:eastAsia="微软雅黑" w:cs="微软雅黑"/>
          <w:color w:val="auto"/>
          <w:spacing w:val="-5"/>
          <w:sz w:val="24"/>
          <w:szCs w:val="24"/>
          <w:highlight w:val="none"/>
          <w:lang w:eastAsia="zh-CN"/>
        </w:rPr>
        <w:t>件</w:t>
      </w:r>
      <w:r>
        <w:rPr>
          <w:rFonts w:hint="eastAsia" w:ascii="微软雅黑" w:hAnsi="微软雅黑" w:eastAsia="微软雅黑" w:cs="微软雅黑"/>
          <w:color w:val="auto"/>
          <w:spacing w:val="-5"/>
          <w:sz w:val="24"/>
          <w:szCs w:val="24"/>
          <w:highlight w:val="none"/>
          <w:lang w:val="en-US" w:eastAsia="zh-CN"/>
        </w:rPr>
        <w:t>7.1</w:t>
      </w:r>
    </w:p>
    <w:p w14:paraId="5F444CF4">
      <w:pPr>
        <w:pStyle w:val="11"/>
        <w:pageBreakBefore w:val="0"/>
        <w:kinsoku/>
        <w:wordWrap/>
        <w:overflowPunct/>
        <w:topLinePunct w:val="0"/>
        <w:bidi w:val="0"/>
        <w:spacing w:before="210" w:line="520" w:lineRule="exact"/>
        <w:ind w:left="3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
          <w:sz w:val="24"/>
          <w:szCs w:val="24"/>
          <w:highlight w:val="none"/>
        </w:rPr>
        <w:t>拟投入本项目的人员一览表</w:t>
      </w:r>
    </w:p>
    <w:tbl>
      <w:tblPr>
        <w:tblStyle w:val="104"/>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869"/>
        <w:gridCol w:w="899"/>
        <w:gridCol w:w="707"/>
        <w:gridCol w:w="649"/>
        <w:gridCol w:w="1346"/>
        <w:gridCol w:w="800"/>
        <w:gridCol w:w="1147"/>
        <w:gridCol w:w="1060"/>
        <w:gridCol w:w="827"/>
      </w:tblGrid>
      <w:tr w14:paraId="04AA9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523" w:type="dxa"/>
            <w:vAlign w:val="top"/>
          </w:tcPr>
          <w:p w14:paraId="2E1FFEEB">
            <w:pPr>
              <w:pStyle w:val="106"/>
              <w:keepNext w:val="0"/>
              <w:keepLines w:val="0"/>
              <w:pageBreakBefore w:val="0"/>
              <w:widowControl w:val="0"/>
              <w:kinsoku/>
              <w:wordWrap/>
              <w:overflowPunct/>
              <w:topLinePunct w:val="0"/>
              <w:autoSpaceDE/>
              <w:autoSpaceDN/>
              <w:bidi w:val="0"/>
              <w:adjustRightInd/>
              <w:snapToGrid/>
              <w:spacing w:before="326" w:line="420" w:lineRule="exact"/>
              <w:ind w:left="342"/>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职责分工</w:t>
            </w:r>
          </w:p>
        </w:tc>
        <w:tc>
          <w:tcPr>
            <w:tcW w:w="869" w:type="dxa"/>
            <w:vAlign w:val="top"/>
          </w:tcPr>
          <w:p w14:paraId="4D094832">
            <w:pPr>
              <w:pStyle w:val="106"/>
              <w:keepNext w:val="0"/>
              <w:keepLines w:val="0"/>
              <w:pageBreakBefore w:val="0"/>
              <w:widowControl w:val="0"/>
              <w:kinsoku/>
              <w:wordWrap/>
              <w:overflowPunct/>
              <w:topLinePunct w:val="0"/>
              <w:autoSpaceDE/>
              <w:autoSpaceDN/>
              <w:bidi w:val="0"/>
              <w:adjustRightInd/>
              <w:snapToGrid/>
              <w:spacing w:before="326" w:line="420" w:lineRule="exact"/>
              <w:ind w:left="223"/>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7"/>
                <w:sz w:val="24"/>
                <w:szCs w:val="24"/>
                <w:highlight w:val="none"/>
              </w:rPr>
              <w:t>姓名</w:t>
            </w:r>
          </w:p>
        </w:tc>
        <w:tc>
          <w:tcPr>
            <w:tcW w:w="899" w:type="dxa"/>
            <w:vAlign w:val="top"/>
          </w:tcPr>
          <w:p w14:paraId="633FA155">
            <w:pPr>
              <w:pStyle w:val="106"/>
              <w:keepNext w:val="0"/>
              <w:keepLines w:val="0"/>
              <w:pageBreakBefore w:val="0"/>
              <w:widowControl w:val="0"/>
              <w:kinsoku/>
              <w:wordWrap/>
              <w:overflowPunct/>
              <w:topLinePunct w:val="0"/>
              <w:autoSpaceDE/>
              <w:autoSpaceDN/>
              <w:bidi w:val="0"/>
              <w:adjustRightInd/>
              <w:snapToGrid/>
              <w:spacing w:before="324" w:line="420" w:lineRule="exact"/>
              <w:ind w:left="2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sz w:val="24"/>
                <w:szCs w:val="24"/>
                <w:highlight w:val="none"/>
              </w:rPr>
              <w:t>年龄</w:t>
            </w:r>
          </w:p>
        </w:tc>
        <w:tc>
          <w:tcPr>
            <w:tcW w:w="707" w:type="dxa"/>
            <w:vAlign w:val="top"/>
          </w:tcPr>
          <w:p w14:paraId="14CECA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0796D45A">
            <w:pPr>
              <w:pStyle w:val="106"/>
              <w:keepNext w:val="0"/>
              <w:keepLines w:val="0"/>
              <w:pageBreakBefore w:val="0"/>
              <w:widowControl w:val="0"/>
              <w:kinsoku/>
              <w:wordWrap/>
              <w:overflowPunct/>
              <w:topLinePunct w:val="0"/>
              <w:autoSpaceDE/>
              <w:autoSpaceDN/>
              <w:bidi w:val="0"/>
              <w:adjustRightInd/>
              <w:snapToGrid/>
              <w:spacing w:before="86" w:line="420" w:lineRule="exact"/>
              <w:ind w:left="143"/>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sz w:val="24"/>
                <w:szCs w:val="24"/>
                <w:highlight w:val="none"/>
              </w:rPr>
              <w:t>专业</w:t>
            </w:r>
          </w:p>
        </w:tc>
        <w:tc>
          <w:tcPr>
            <w:tcW w:w="649" w:type="dxa"/>
            <w:vAlign w:val="top"/>
          </w:tcPr>
          <w:p w14:paraId="5F0F49F6">
            <w:pPr>
              <w:pStyle w:val="106"/>
              <w:keepNext w:val="0"/>
              <w:keepLines w:val="0"/>
              <w:pageBreakBefore w:val="0"/>
              <w:widowControl w:val="0"/>
              <w:kinsoku/>
              <w:wordWrap/>
              <w:overflowPunct/>
              <w:topLinePunct w:val="0"/>
              <w:autoSpaceDE/>
              <w:autoSpaceDN/>
              <w:bidi w:val="0"/>
              <w:adjustRightInd/>
              <w:snapToGrid/>
              <w:spacing w:before="326" w:line="420" w:lineRule="exact"/>
              <w:ind w:left="131"/>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岗位</w:t>
            </w:r>
          </w:p>
        </w:tc>
        <w:tc>
          <w:tcPr>
            <w:tcW w:w="1346" w:type="dxa"/>
            <w:vAlign w:val="top"/>
          </w:tcPr>
          <w:p w14:paraId="561D6B3D">
            <w:pPr>
              <w:pStyle w:val="106"/>
              <w:keepNext w:val="0"/>
              <w:keepLines w:val="0"/>
              <w:pageBreakBefore w:val="0"/>
              <w:widowControl w:val="0"/>
              <w:kinsoku/>
              <w:wordWrap/>
              <w:overflowPunct/>
              <w:topLinePunct w:val="0"/>
              <w:autoSpaceDE/>
              <w:autoSpaceDN/>
              <w:bidi w:val="0"/>
              <w:adjustRightInd/>
              <w:snapToGrid/>
              <w:spacing w:before="148" w:line="420" w:lineRule="exact"/>
              <w:ind w:left="252" w:right="148" w:hanging="106"/>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9"/>
                <w:sz w:val="24"/>
                <w:szCs w:val="24"/>
                <w:highlight w:val="none"/>
              </w:rPr>
              <w:t>执业或职业</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pacing w:val="8"/>
                <w:sz w:val="24"/>
                <w:szCs w:val="24"/>
                <w:highlight w:val="none"/>
              </w:rPr>
              <w:t>资格证明</w:t>
            </w:r>
          </w:p>
        </w:tc>
        <w:tc>
          <w:tcPr>
            <w:tcW w:w="800" w:type="dxa"/>
            <w:vAlign w:val="top"/>
          </w:tcPr>
          <w:p w14:paraId="27A8142C">
            <w:pPr>
              <w:pStyle w:val="106"/>
              <w:keepNext w:val="0"/>
              <w:keepLines w:val="0"/>
              <w:pageBreakBefore w:val="0"/>
              <w:widowControl w:val="0"/>
              <w:kinsoku/>
              <w:wordWrap/>
              <w:overflowPunct/>
              <w:topLinePunct w:val="0"/>
              <w:autoSpaceDE/>
              <w:autoSpaceDN/>
              <w:bidi w:val="0"/>
              <w:adjustRightInd/>
              <w:snapToGrid/>
              <w:spacing w:before="148" w:line="420" w:lineRule="exact"/>
              <w:ind w:left="190" w:right="189"/>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7"/>
                <w:sz w:val="24"/>
                <w:szCs w:val="24"/>
                <w:highlight w:val="none"/>
              </w:rPr>
              <w:t>证件</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pacing w:val="7"/>
                <w:sz w:val="24"/>
                <w:szCs w:val="24"/>
                <w:highlight w:val="none"/>
              </w:rPr>
              <w:t>种类</w:t>
            </w:r>
          </w:p>
        </w:tc>
        <w:tc>
          <w:tcPr>
            <w:tcW w:w="1147" w:type="dxa"/>
            <w:vAlign w:val="top"/>
          </w:tcPr>
          <w:p w14:paraId="2B74046A">
            <w:pPr>
              <w:pStyle w:val="106"/>
              <w:keepNext w:val="0"/>
              <w:keepLines w:val="0"/>
              <w:pageBreakBefore w:val="0"/>
              <w:widowControl w:val="0"/>
              <w:kinsoku/>
              <w:wordWrap/>
              <w:overflowPunct/>
              <w:topLinePunct w:val="0"/>
              <w:autoSpaceDE/>
              <w:autoSpaceDN/>
              <w:bidi w:val="0"/>
              <w:adjustRightInd/>
              <w:snapToGrid/>
              <w:spacing w:before="108" w:line="420" w:lineRule="exact"/>
              <w:ind w:left="363" w:right="146" w:hanging="202"/>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职称（若</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pacing w:val="15"/>
                <w:sz w:val="24"/>
                <w:szCs w:val="24"/>
                <w:highlight w:val="none"/>
              </w:rPr>
              <w:t>有）</w:t>
            </w:r>
          </w:p>
        </w:tc>
        <w:tc>
          <w:tcPr>
            <w:tcW w:w="1060" w:type="dxa"/>
            <w:vAlign w:val="top"/>
          </w:tcPr>
          <w:p w14:paraId="599C6C42">
            <w:pPr>
              <w:pStyle w:val="106"/>
              <w:keepNext w:val="0"/>
              <w:keepLines w:val="0"/>
              <w:pageBreakBefore w:val="0"/>
              <w:widowControl w:val="0"/>
              <w:kinsoku/>
              <w:wordWrap/>
              <w:overflowPunct/>
              <w:topLinePunct w:val="0"/>
              <w:autoSpaceDE/>
              <w:autoSpaceDN/>
              <w:bidi w:val="0"/>
              <w:adjustRightInd/>
              <w:snapToGrid/>
              <w:spacing w:before="145" w:line="420" w:lineRule="exact"/>
              <w:ind w:left="437" w:right="205" w:hanging="21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驻场时</w:t>
            </w:r>
            <w:r>
              <w:rPr>
                <w:rFonts w:hint="eastAsia" w:ascii="微软雅黑" w:hAnsi="微软雅黑" w:eastAsia="微软雅黑" w:cs="微软雅黑"/>
                <w:color w:val="auto"/>
                <w:spacing w:val="1"/>
                <w:sz w:val="24"/>
                <w:szCs w:val="24"/>
                <w:highlight w:val="none"/>
              </w:rPr>
              <w:t xml:space="preserve"> </w:t>
            </w:r>
            <w:r>
              <w:rPr>
                <w:rFonts w:hint="eastAsia" w:ascii="微软雅黑" w:hAnsi="微软雅黑" w:eastAsia="微软雅黑" w:cs="微软雅黑"/>
                <w:color w:val="auto"/>
                <w:sz w:val="24"/>
                <w:szCs w:val="24"/>
                <w:highlight w:val="none"/>
              </w:rPr>
              <w:t>间</w:t>
            </w:r>
          </w:p>
        </w:tc>
        <w:tc>
          <w:tcPr>
            <w:tcW w:w="827" w:type="dxa"/>
            <w:vAlign w:val="top"/>
          </w:tcPr>
          <w:p w14:paraId="42B7860F">
            <w:pPr>
              <w:pStyle w:val="106"/>
              <w:keepNext w:val="0"/>
              <w:keepLines w:val="0"/>
              <w:pageBreakBefore w:val="0"/>
              <w:widowControl w:val="0"/>
              <w:kinsoku/>
              <w:wordWrap/>
              <w:overflowPunct/>
              <w:topLinePunct w:val="0"/>
              <w:autoSpaceDE/>
              <w:autoSpaceDN/>
              <w:bidi w:val="0"/>
              <w:adjustRightInd/>
              <w:snapToGrid/>
              <w:spacing w:before="324" w:line="420" w:lineRule="exact"/>
              <w:ind w:left="20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备注</w:t>
            </w:r>
          </w:p>
        </w:tc>
      </w:tr>
      <w:tr w14:paraId="17078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restart"/>
            <w:tcBorders>
              <w:bottom w:val="nil"/>
            </w:tcBorders>
            <w:vAlign w:val="top"/>
          </w:tcPr>
          <w:p w14:paraId="5F12A82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44EAB2D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56152FD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5D114EF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65F0B80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4DFA88E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30FF25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2F6CB76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p w14:paraId="7141349C">
            <w:pPr>
              <w:pStyle w:val="106"/>
              <w:keepNext w:val="0"/>
              <w:keepLines w:val="0"/>
              <w:pageBreakBefore w:val="0"/>
              <w:widowControl w:val="0"/>
              <w:kinsoku/>
              <w:wordWrap/>
              <w:overflowPunct/>
              <w:topLinePunct w:val="0"/>
              <w:autoSpaceDE/>
              <w:autoSpaceDN/>
              <w:bidi w:val="0"/>
              <w:adjustRightInd/>
              <w:snapToGrid/>
              <w:spacing w:before="86" w:line="420" w:lineRule="exact"/>
              <w:ind w:left="23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9"/>
                <w:sz w:val="24"/>
                <w:szCs w:val="24"/>
                <w:highlight w:val="none"/>
              </w:rPr>
              <w:t>项目组人员</w:t>
            </w:r>
          </w:p>
        </w:tc>
        <w:tc>
          <w:tcPr>
            <w:tcW w:w="869" w:type="dxa"/>
            <w:vAlign w:val="top"/>
          </w:tcPr>
          <w:p w14:paraId="6994BB8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20822BB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24919A0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590A41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798E7DF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6B04FB0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1AA0513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437C5EC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1592926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534F4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14:paraId="21CA7D3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6FD08D2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5F04F75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66EE93B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39BF00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1BE4C43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69CC6C2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303050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5D2E071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3AC186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3C4F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14:paraId="5A1D7C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5BDCB2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31C152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25E9BAB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53D34E7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4B16EE3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59372B4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330BD49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377E088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7E033F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61842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continue"/>
            <w:tcBorders>
              <w:top w:val="nil"/>
              <w:bottom w:val="nil"/>
            </w:tcBorders>
            <w:vAlign w:val="top"/>
          </w:tcPr>
          <w:p w14:paraId="2301FCC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6DEC3A8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7CA2DD7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54C70CC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186184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23C298D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5E3C74E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5939E0B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54DDAE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076DEA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3F1A6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continue"/>
            <w:tcBorders>
              <w:top w:val="nil"/>
              <w:bottom w:val="nil"/>
            </w:tcBorders>
            <w:vAlign w:val="top"/>
          </w:tcPr>
          <w:p w14:paraId="3CDDCAB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4AC170A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0ADCF6A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227126A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546BFDC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011CDF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4F642E2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740D71A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0217F4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012AFBE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24D55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14:paraId="34F449D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3FB3F49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40270DE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73DBABA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245D01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4B4386C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2056983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6C68457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252C45D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081A5A7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7EA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bottom w:val="nil"/>
            </w:tcBorders>
            <w:vAlign w:val="top"/>
          </w:tcPr>
          <w:p w14:paraId="49C90EC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0B55BED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7F5BC2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7194C45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3EDB67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410A389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74C3919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5D9274D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1ADB525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033A417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14E7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tcBorders>
              <w:top w:val="nil"/>
            </w:tcBorders>
            <w:vAlign w:val="top"/>
          </w:tcPr>
          <w:p w14:paraId="52F2870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5A15AB4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2669280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39FF827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78803E9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284E69F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01C1E3D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73C1FFF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4A3BB60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63B294E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54F87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Align w:val="top"/>
          </w:tcPr>
          <w:p w14:paraId="5889B9E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3FD2B86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26566F7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31AB5BB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07A7B7F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2C941A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2EC263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4919A63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6FFCF98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0102A87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4873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Align w:val="top"/>
          </w:tcPr>
          <w:p w14:paraId="5D0D628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40D59F5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52190F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7650A32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4D4F150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39AE31C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4F17C68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45C3DB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677779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0CE9A5D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6C212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Align w:val="top"/>
          </w:tcPr>
          <w:p w14:paraId="1442EC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5925EEC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0CEB6B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1F5F6EB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27BFE4E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44DB7F4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48E547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62AE4D1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5CB599E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60F78B0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r w14:paraId="55EDC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523" w:type="dxa"/>
            <w:vAlign w:val="top"/>
          </w:tcPr>
          <w:p w14:paraId="480DD81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69" w:type="dxa"/>
            <w:vAlign w:val="top"/>
          </w:tcPr>
          <w:p w14:paraId="284F38C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99" w:type="dxa"/>
            <w:vAlign w:val="top"/>
          </w:tcPr>
          <w:p w14:paraId="37879FD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707" w:type="dxa"/>
            <w:vAlign w:val="top"/>
          </w:tcPr>
          <w:p w14:paraId="7958A6A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649" w:type="dxa"/>
            <w:vAlign w:val="top"/>
          </w:tcPr>
          <w:p w14:paraId="1F64CB8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346" w:type="dxa"/>
            <w:vAlign w:val="top"/>
          </w:tcPr>
          <w:p w14:paraId="7E34A50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00" w:type="dxa"/>
            <w:vAlign w:val="top"/>
          </w:tcPr>
          <w:p w14:paraId="6B044C1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147" w:type="dxa"/>
            <w:vAlign w:val="top"/>
          </w:tcPr>
          <w:p w14:paraId="7C091BC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1060" w:type="dxa"/>
            <w:vAlign w:val="top"/>
          </w:tcPr>
          <w:p w14:paraId="2B53B25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c>
          <w:tcPr>
            <w:tcW w:w="827" w:type="dxa"/>
            <w:vAlign w:val="top"/>
          </w:tcPr>
          <w:p w14:paraId="0344086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color w:val="auto"/>
                <w:sz w:val="24"/>
                <w:szCs w:val="24"/>
                <w:highlight w:val="none"/>
              </w:rPr>
            </w:pPr>
          </w:p>
        </w:tc>
      </w:tr>
    </w:tbl>
    <w:p w14:paraId="2823DC80">
      <w:pPr>
        <w:pStyle w:val="11"/>
        <w:pageBreakBefore w:val="0"/>
        <w:kinsoku/>
        <w:wordWrap/>
        <w:overflowPunct/>
        <w:topLinePunct w:val="0"/>
        <w:bidi w:val="0"/>
        <w:spacing w:before="140" w:line="520" w:lineRule="exact"/>
        <w:ind w:left="97" w:right="173" w:right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pacing w:val="5"/>
          <w:sz w:val="24"/>
          <w:szCs w:val="24"/>
          <w:highlight w:val="none"/>
        </w:rPr>
        <w:t>备</w:t>
      </w:r>
      <w:r>
        <w:rPr>
          <w:rFonts w:hint="eastAsia" w:ascii="微软雅黑" w:hAnsi="微软雅黑" w:eastAsia="微软雅黑" w:cs="微软雅黑"/>
          <w:color w:val="auto"/>
          <w:kern w:val="2"/>
          <w:sz w:val="24"/>
          <w:szCs w:val="24"/>
          <w:highlight w:val="none"/>
          <w:lang w:val="en-US" w:eastAsia="zh-CN" w:bidi="ar-SA"/>
        </w:rPr>
        <w:t xml:space="preserve">   注：1、附以上人员相关注册证书或专业技术职称证书等扫件、加盖公章。</w:t>
      </w:r>
    </w:p>
    <w:p w14:paraId="33F0EBEA">
      <w:pPr>
        <w:pStyle w:val="16"/>
        <w:pageBreakBefore w:val="0"/>
        <w:tabs>
          <w:tab w:val="left" w:pos="5580"/>
        </w:tabs>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名称（公章）：</w:t>
      </w:r>
    </w:p>
    <w:p w14:paraId="614EDC24">
      <w:pPr>
        <w:pStyle w:val="29"/>
        <w:rPr>
          <w:rFonts w:hint="eastAsia"/>
          <w:color w:val="auto"/>
          <w:highlight w:val="none"/>
        </w:rPr>
      </w:pPr>
    </w:p>
    <w:p w14:paraId="0B443419">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法定代表人或委托代理(签字):</w:t>
      </w:r>
    </w:p>
    <w:p w14:paraId="5C15F174">
      <w:pPr>
        <w:pStyle w:val="11"/>
        <w:pageBreakBefore w:val="0"/>
        <w:kinsoku/>
        <w:wordWrap/>
        <w:overflowPunct/>
        <w:topLinePunct w:val="0"/>
        <w:bidi w:val="0"/>
        <w:spacing w:before="250" w:line="520" w:lineRule="exact"/>
        <w:ind w:left="128" w:firstLine="236"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日</w:t>
      </w:r>
      <w:r>
        <w:rPr>
          <w:rFonts w:hint="eastAsia" w:ascii="微软雅黑" w:hAnsi="微软雅黑" w:eastAsia="微软雅黑" w:cs="微软雅黑"/>
          <w:color w:val="auto"/>
          <w:spacing w:val="4"/>
          <w:sz w:val="24"/>
          <w:szCs w:val="24"/>
          <w:highlight w:val="none"/>
        </w:rPr>
        <w:t xml:space="preserve">  </w:t>
      </w:r>
      <w:r>
        <w:rPr>
          <w:rFonts w:hint="eastAsia" w:ascii="微软雅黑" w:hAnsi="微软雅黑" w:eastAsia="微软雅黑" w:cs="微软雅黑"/>
          <w:color w:val="auto"/>
          <w:spacing w:val="-2"/>
          <w:sz w:val="24"/>
          <w:szCs w:val="24"/>
          <w:highlight w:val="none"/>
        </w:rPr>
        <w:t>期 ：</w:t>
      </w:r>
      <w:r>
        <w:rPr>
          <w:rFonts w:hint="eastAsia" w:ascii="微软雅黑" w:hAnsi="微软雅黑" w:eastAsia="微软雅黑" w:cs="微软雅黑"/>
          <w:color w:val="auto"/>
          <w:spacing w:val="-2"/>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年</w:t>
      </w:r>
      <w:r>
        <w:rPr>
          <w:rFonts w:hint="eastAsia" w:ascii="微软雅黑" w:hAnsi="微软雅黑" w:eastAsia="微软雅黑" w:cs="微软雅黑"/>
          <w:color w:val="auto"/>
          <w:spacing w:val="-2"/>
          <w:sz w:val="24"/>
          <w:szCs w:val="24"/>
          <w:highlight w:val="none"/>
          <w:lang w:val="en-US" w:eastAsia="zh-CN"/>
        </w:rPr>
        <w:t xml:space="preserve">   </w:t>
      </w:r>
      <w:r>
        <w:rPr>
          <w:rFonts w:hint="eastAsia" w:ascii="微软雅黑" w:hAnsi="微软雅黑" w:eastAsia="微软雅黑" w:cs="微软雅黑"/>
          <w:color w:val="auto"/>
          <w:spacing w:val="46"/>
          <w:sz w:val="24"/>
          <w:szCs w:val="24"/>
          <w:highlight w:val="none"/>
        </w:rPr>
        <w:t xml:space="preserve"> </w:t>
      </w:r>
      <w:r>
        <w:rPr>
          <w:rFonts w:hint="eastAsia" w:ascii="微软雅黑" w:hAnsi="微软雅黑" w:eastAsia="微软雅黑" w:cs="微软雅黑"/>
          <w:color w:val="auto"/>
          <w:spacing w:val="46"/>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月</w:t>
      </w:r>
      <w:r>
        <w:rPr>
          <w:rFonts w:hint="eastAsia" w:ascii="微软雅黑" w:hAnsi="微软雅黑" w:eastAsia="微软雅黑" w:cs="微软雅黑"/>
          <w:color w:val="auto"/>
          <w:spacing w:val="11"/>
          <w:sz w:val="24"/>
          <w:szCs w:val="24"/>
          <w:highlight w:val="none"/>
        </w:rPr>
        <w:t xml:space="preserve"> </w:t>
      </w:r>
      <w:r>
        <w:rPr>
          <w:rFonts w:hint="eastAsia" w:ascii="微软雅黑" w:hAnsi="微软雅黑" w:eastAsia="微软雅黑" w:cs="微软雅黑"/>
          <w:color w:val="auto"/>
          <w:spacing w:val="11"/>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日</w:t>
      </w:r>
    </w:p>
    <w:p w14:paraId="384F8846">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sectPr>
          <w:pgSz w:w="11906" w:h="16839"/>
          <w:pgMar w:top="1440" w:right="1080" w:bottom="1440" w:left="1080" w:header="0" w:footer="1225" w:gutter="0"/>
          <w:pgNumType w:fmt="decimal"/>
          <w:cols w:space="720" w:num="1"/>
        </w:sectPr>
      </w:pPr>
    </w:p>
    <w:p w14:paraId="0C061629">
      <w:pPr>
        <w:pStyle w:val="11"/>
        <w:pageBreakBefore w:val="0"/>
        <w:kinsoku/>
        <w:wordWrap/>
        <w:overflowPunct/>
        <w:topLinePunct w:val="0"/>
        <w:bidi w:val="0"/>
        <w:spacing w:before="47" w:line="520" w:lineRule="exact"/>
        <w:ind w:left="10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 xml:space="preserve">附件 </w:t>
      </w:r>
      <w:r>
        <w:rPr>
          <w:rFonts w:hint="eastAsia" w:ascii="微软雅黑" w:hAnsi="微软雅黑" w:eastAsia="微软雅黑" w:cs="微软雅黑"/>
          <w:color w:val="auto"/>
          <w:spacing w:val="-5"/>
          <w:sz w:val="24"/>
          <w:szCs w:val="24"/>
          <w:highlight w:val="none"/>
          <w:lang w:val="en-US" w:eastAsia="zh-CN"/>
        </w:rPr>
        <w:t>7</w:t>
      </w:r>
      <w:r>
        <w:rPr>
          <w:rFonts w:hint="eastAsia" w:ascii="微软雅黑" w:hAnsi="微软雅黑" w:eastAsia="微软雅黑" w:cs="微软雅黑"/>
          <w:color w:val="auto"/>
          <w:spacing w:val="-5"/>
          <w:sz w:val="24"/>
          <w:szCs w:val="24"/>
          <w:highlight w:val="none"/>
        </w:rPr>
        <w:t>.2</w:t>
      </w:r>
    </w:p>
    <w:p w14:paraId="62E91124">
      <w:pPr>
        <w:pStyle w:val="11"/>
        <w:pageBreakBefore w:val="0"/>
        <w:kinsoku/>
        <w:wordWrap/>
        <w:overflowPunct/>
        <w:topLinePunct w:val="0"/>
        <w:bidi w:val="0"/>
        <w:spacing w:before="305" w:line="520" w:lineRule="exact"/>
        <w:ind w:left="390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
          <w:sz w:val="24"/>
          <w:szCs w:val="24"/>
          <w:highlight w:val="none"/>
        </w:rPr>
        <w:t>类似项目业绩一览表</w:t>
      </w:r>
    </w:p>
    <w:p w14:paraId="13544E99">
      <w:pPr>
        <w:pageBreakBefore w:val="0"/>
        <w:kinsoku/>
        <w:wordWrap/>
        <w:overflowPunct/>
        <w:topLinePunct w:val="0"/>
        <w:bidi w:val="0"/>
        <w:spacing w:before="178" w:line="520" w:lineRule="exact"/>
        <w:rPr>
          <w:rFonts w:hint="eastAsia" w:ascii="微软雅黑" w:hAnsi="微软雅黑" w:eastAsia="微软雅黑" w:cs="微软雅黑"/>
          <w:color w:val="auto"/>
          <w:sz w:val="24"/>
          <w:szCs w:val="24"/>
          <w:highlight w:val="none"/>
        </w:rPr>
      </w:pPr>
    </w:p>
    <w:tbl>
      <w:tblPr>
        <w:tblStyle w:val="104"/>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507"/>
        <w:gridCol w:w="1272"/>
        <w:gridCol w:w="1226"/>
        <w:gridCol w:w="1437"/>
        <w:gridCol w:w="1328"/>
        <w:gridCol w:w="1332"/>
      </w:tblGrid>
      <w:tr w14:paraId="5C6E9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07" w:type="dxa"/>
            <w:vAlign w:val="top"/>
          </w:tcPr>
          <w:p w14:paraId="55DA2657">
            <w:pPr>
              <w:pStyle w:val="106"/>
              <w:pageBreakBefore w:val="0"/>
              <w:kinsoku/>
              <w:wordWrap/>
              <w:overflowPunct/>
              <w:topLinePunct w:val="0"/>
              <w:bidi w:val="0"/>
              <w:spacing w:before="320" w:line="520" w:lineRule="exact"/>
              <w:ind w:left="14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序号</w:t>
            </w:r>
          </w:p>
        </w:tc>
        <w:tc>
          <w:tcPr>
            <w:tcW w:w="2507" w:type="dxa"/>
            <w:vAlign w:val="top"/>
          </w:tcPr>
          <w:p w14:paraId="19964A96">
            <w:pPr>
              <w:pStyle w:val="106"/>
              <w:pageBreakBefore w:val="0"/>
              <w:kinsoku/>
              <w:wordWrap/>
              <w:overflowPunct/>
              <w:topLinePunct w:val="0"/>
              <w:bidi w:val="0"/>
              <w:spacing w:before="322" w:line="520" w:lineRule="exact"/>
              <w:ind w:left="82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9"/>
                <w:sz w:val="24"/>
                <w:szCs w:val="24"/>
                <w:highlight w:val="none"/>
              </w:rPr>
              <w:t>项目名称</w:t>
            </w:r>
          </w:p>
        </w:tc>
        <w:tc>
          <w:tcPr>
            <w:tcW w:w="1272" w:type="dxa"/>
            <w:vAlign w:val="top"/>
          </w:tcPr>
          <w:p w14:paraId="487078A5">
            <w:pPr>
              <w:pStyle w:val="106"/>
              <w:pageBreakBefore w:val="0"/>
              <w:kinsoku/>
              <w:wordWrap/>
              <w:overflowPunct/>
              <w:topLinePunct w:val="0"/>
              <w:bidi w:val="0"/>
              <w:spacing w:before="322" w:line="520" w:lineRule="exact"/>
              <w:ind w:left="21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合同金额</w:t>
            </w:r>
          </w:p>
        </w:tc>
        <w:tc>
          <w:tcPr>
            <w:tcW w:w="1226" w:type="dxa"/>
            <w:vAlign w:val="top"/>
          </w:tcPr>
          <w:p w14:paraId="259FAFF3">
            <w:pPr>
              <w:pStyle w:val="106"/>
              <w:pageBreakBefore w:val="0"/>
              <w:kinsoku/>
              <w:wordWrap/>
              <w:overflowPunct/>
              <w:topLinePunct w:val="0"/>
              <w:bidi w:val="0"/>
              <w:spacing w:before="322" w:line="520" w:lineRule="exact"/>
              <w:ind w:left="19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业主名称</w:t>
            </w:r>
          </w:p>
        </w:tc>
        <w:tc>
          <w:tcPr>
            <w:tcW w:w="1437" w:type="dxa"/>
            <w:vAlign w:val="top"/>
          </w:tcPr>
          <w:p w14:paraId="24034990">
            <w:pPr>
              <w:pStyle w:val="106"/>
              <w:pageBreakBefore w:val="0"/>
              <w:kinsoku/>
              <w:wordWrap/>
              <w:overflowPunct/>
              <w:topLinePunct w:val="0"/>
              <w:bidi w:val="0"/>
              <w:spacing w:before="321" w:line="520" w:lineRule="exact"/>
              <w:ind w:left="29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签约时间</w:t>
            </w:r>
          </w:p>
        </w:tc>
        <w:tc>
          <w:tcPr>
            <w:tcW w:w="1328" w:type="dxa"/>
            <w:vAlign w:val="top"/>
          </w:tcPr>
          <w:p w14:paraId="5FDD2F16">
            <w:pPr>
              <w:pStyle w:val="106"/>
              <w:pageBreakBefore w:val="0"/>
              <w:kinsoku/>
              <w:wordWrap/>
              <w:overflowPunct/>
              <w:topLinePunct w:val="0"/>
              <w:bidi w:val="0"/>
              <w:spacing w:before="322" w:line="520" w:lineRule="exact"/>
              <w:ind w:left="24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完成情况</w:t>
            </w:r>
          </w:p>
        </w:tc>
        <w:tc>
          <w:tcPr>
            <w:tcW w:w="1332" w:type="dxa"/>
            <w:vAlign w:val="top"/>
          </w:tcPr>
          <w:p w14:paraId="7C65AB81">
            <w:pPr>
              <w:pStyle w:val="106"/>
              <w:pageBreakBefore w:val="0"/>
              <w:kinsoku/>
              <w:wordWrap/>
              <w:overflowPunct/>
              <w:topLinePunct w:val="0"/>
              <w:bidi w:val="0"/>
              <w:spacing w:before="320" w:line="520" w:lineRule="exact"/>
              <w:ind w:left="45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备注</w:t>
            </w:r>
          </w:p>
        </w:tc>
      </w:tr>
      <w:tr w14:paraId="32DF3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4E9C6FAE">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2507" w:type="dxa"/>
            <w:vAlign w:val="top"/>
          </w:tcPr>
          <w:p w14:paraId="2E5F4858">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72" w:type="dxa"/>
            <w:vAlign w:val="top"/>
          </w:tcPr>
          <w:p w14:paraId="2EC2BCBE">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26" w:type="dxa"/>
            <w:vAlign w:val="top"/>
          </w:tcPr>
          <w:p w14:paraId="45C5186C">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437" w:type="dxa"/>
            <w:vAlign w:val="top"/>
          </w:tcPr>
          <w:p w14:paraId="7020323E">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28" w:type="dxa"/>
            <w:vAlign w:val="top"/>
          </w:tcPr>
          <w:p w14:paraId="6D70B2AB">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32" w:type="dxa"/>
            <w:vAlign w:val="top"/>
          </w:tcPr>
          <w:p w14:paraId="4A52DF3C">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r>
      <w:tr w14:paraId="49A8B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2BAFBE7B">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2507" w:type="dxa"/>
            <w:vAlign w:val="top"/>
          </w:tcPr>
          <w:p w14:paraId="7A4828F7">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72" w:type="dxa"/>
            <w:vAlign w:val="top"/>
          </w:tcPr>
          <w:p w14:paraId="2F034433">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26" w:type="dxa"/>
            <w:vAlign w:val="top"/>
          </w:tcPr>
          <w:p w14:paraId="5C4536D3">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437" w:type="dxa"/>
            <w:vAlign w:val="top"/>
          </w:tcPr>
          <w:p w14:paraId="6169812C">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28" w:type="dxa"/>
            <w:vAlign w:val="top"/>
          </w:tcPr>
          <w:p w14:paraId="5DB95029">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32" w:type="dxa"/>
            <w:vAlign w:val="top"/>
          </w:tcPr>
          <w:p w14:paraId="0DAD652D">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r>
      <w:tr w14:paraId="7402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3E8CD784">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2507" w:type="dxa"/>
            <w:vAlign w:val="top"/>
          </w:tcPr>
          <w:p w14:paraId="4019986B">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72" w:type="dxa"/>
            <w:vAlign w:val="top"/>
          </w:tcPr>
          <w:p w14:paraId="44D29B6C">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26" w:type="dxa"/>
            <w:vAlign w:val="top"/>
          </w:tcPr>
          <w:p w14:paraId="55AF8864">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437" w:type="dxa"/>
            <w:vAlign w:val="top"/>
          </w:tcPr>
          <w:p w14:paraId="138E1BDF">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28" w:type="dxa"/>
            <w:vAlign w:val="top"/>
          </w:tcPr>
          <w:p w14:paraId="3E4AFD0B">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32" w:type="dxa"/>
            <w:vAlign w:val="top"/>
          </w:tcPr>
          <w:p w14:paraId="29DDD9D3">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r>
      <w:tr w14:paraId="30864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23D248B5">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2507" w:type="dxa"/>
            <w:vAlign w:val="top"/>
          </w:tcPr>
          <w:p w14:paraId="7FF9E02A">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72" w:type="dxa"/>
            <w:vAlign w:val="top"/>
          </w:tcPr>
          <w:p w14:paraId="7F3A715B">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26" w:type="dxa"/>
            <w:vAlign w:val="top"/>
          </w:tcPr>
          <w:p w14:paraId="4489A82E">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437" w:type="dxa"/>
            <w:vAlign w:val="top"/>
          </w:tcPr>
          <w:p w14:paraId="0EACE1EA">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28" w:type="dxa"/>
            <w:vAlign w:val="top"/>
          </w:tcPr>
          <w:p w14:paraId="700E5205">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32" w:type="dxa"/>
            <w:vAlign w:val="top"/>
          </w:tcPr>
          <w:p w14:paraId="55072FAA">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r>
      <w:tr w14:paraId="0511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6B7745A7">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2507" w:type="dxa"/>
            <w:vAlign w:val="top"/>
          </w:tcPr>
          <w:p w14:paraId="30521620">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72" w:type="dxa"/>
            <w:vAlign w:val="top"/>
          </w:tcPr>
          <w:p w14:paraId="5E43D172">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26" w:type="dxa"/>
            <w:vAlign w:val="top"/>
          </w:tcPr>
          <w:p w14:paraId="56611DA5">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437" w:type="dxa"/>
            <w:vAlign w:val="top"/>
          </w:tcPr>
          <w:p w14:paraId="37A3479A">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28" w:type="dxa"/>
            <w:vAlign w:val="top"/>
          </w:tcPr>
          <w:p w14:paraId="0A91B200">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32" w:type="dxa"/>
            <w:vAlign w:val="top"/>
          </w:tcPr>
          <w:p w14:paraId="0BE257AF">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r>
      <w:tr w14:paraId="5CCA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1A793C0E">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2507" w:type="dxa"/>
            <w:vAlign w:val="top"/>
          </w:tcPr>
          <w:p w14:paraId="4CF59FCC">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72" w:type="dxa"/>
            <w:vAlign w:val="top"/>
          </w:tcPr>
          <w:p w14:paraId="41C1565F">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26" w:type="dxa"/>
            <w:vAlign w:val="top"/>
          </w:tcPr>
          <w:p w14:paraId="710B8C46">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437" w:type="dxa"/>
            <w:vAlign w:val="top"/>
          </w:tcPr>
          <w:p w14:paraId="2BF41BCC">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28" w:type="dxa"/>
            <w:vAlign w:val="top"/>
          </w:tcPr>
          <w:p w14:paraId="798D4EE3">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32" w:type="dxa"/>
            <w:vAlign w:val="top"/>
          </w:tcPr>
          <w:p w14:paraId="0262ECEA">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r>
      <w:tr w14:paraId="00615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0F9FA0CE">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2507" w:type="dxa"/>
            <w:vAlign w:val="top"/>
          </w:tcPr>
          <w:p w14:paraId="73E21A26">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72" w:type="dxa"/>
            <w:vAlign w:val="top"/>
          </w:tcPr>
          <w:p w14:paraId="7A73686D">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26" w:type="dxa"/>
            <w:vAlign w:val="top"/>
          </w:tcPr>
          <w:p w14:paraId="7965EA51">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437" w:type="dxa"/>
            <w:vAlign w:val="top"/>
          </w:tcPr>
          <w:p w14:paraId="40F41D62">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28" w:type="dxa"/>
            <w:vAlign w:val="top"/>
          </w:tcPr>
          <w:p w14:paraId="059802A9">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32" w:type="dxa"/>
            <w:vAlign w:val="top"/>
          </w:tcPr>
          <w:p w14:paraId="245F5F8B">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r>
      <w:tr w14:paraId="224DE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7" w:type="dxa"/>
            <w:vAlign w:val="top"/>
          </w:tcPr>
          <w:p w14:paraId="0BEDC358">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2507" w:type="dxa"/>
            <w:vAlign w:val="top"/>
          </w:tcPr>
          <w:p w14:paraId="6570152F">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72" w:type="dxa"/>
            <w:vAlign w:val="top"/>
          </w:tcPr>
          <w:p w14:paraId="30D2A1C0">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226" w:type="dxa"/>
            <w:vAlign w:val="top"/>
          </w:tcPr>
          <w:p w14:paraId="571ADAD7">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437" w:type="dxa"/>
            <w:vAlign w:val="top"/>
          </w:tcPr>
          <w:p w14:paraId="5FD9372E">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28" w:type="dxa"/>
            <w:vAlign w:val="top"/>
          </w:tcPr>
          <w:p w14:paraId="713A5B54">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c>
          <w:tcPr>
            <w:tcW w:w="1332" w:type="dxa"/>
            <w:vAlign w:val="top"/>
          </w:tcPr>
          <w:p w14:paraId="5C597B78">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tc>
      </w:tr>
    </w:tbl>
    <w:p w14:paraId="55A267D7">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4ED2FEB6">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74897C6A">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6576AEE5">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78AD6638">
      <w:pPr>
        <w:pStyle w:val="16"/>
        <w:pageBreakBefore w:val="0"/>
        <w:tabs>
          <w:tab w:val="left" w:pos="5580"/>
        </w:tabs>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名称（公章）：</w:t>
      </w:r>
    </w:p>
    <w:p w14:paraId="05C5B964">
      <w:pPr>
        <w:pStyle w:val="29"/>
        <w:rPr>
          <w:rFonts w:hint="eastAsia"/>
          <w:color w:val="auto"/>
          <w:highlight w:val="none"/>
        </w:rPr>
      </w:pPr>
    </w:p>
    <w:p w14:paraId="68B9668F">
      <w:pPr>
        <w:pStyle w:val="16"/>
        <w:pageBreakBefore w:val="0"/>
        <w:tabs>
          <w:tab w:val="left" w:pos="5580"/>
        </w:tabs>
        <w:kinsoku/>
        <w:wordWrap/>
        <w:overflowPunct/>
        <w:topLinePunct w:val="0"/>
        <w:bidi w:val="0"/>
        <w:snapToGrid w:val="0"/>
        <w:spacing w:line="520" w:lineRule="exact"/>
        <w:ind w:left="1080" w:leftChars="257" w:hanging="540"/>
        <w:textAlignment w:val="baseline"/>
        <w:rPr>
          <w:rFonts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法定代表人或委托代理(签字):</w:t>
      </w:r>
    </w:p>
    <w:p w14:paraId="56B89455">
      <w:pPr>
        <w:pStyle w:val="11"/>
        <w:pageBreakBefore w:val="0"/>
        <w:kinsoku/>
        <w:wordWrap/>
        <w:overflowPunct/>
        <w:topLinePunct w:val="0"/>
        <w:bidi w:val="0"/>
        <w:spacing w:before="250" w:line="520" w:lineRule="exact"/>
        <w:ind w:left="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日</w:t>
      </w:r>
      <w:r>
        <w:rPr>
          <w:rFonts w:hint="eastAsia" w:ascii="微软雅黑" w:hAnsi="微软雅黑" w:eastAsia="微软雅黑" w:cs="微软雅黑"/>
          <w:color w:val="auto"/>
          <w:spacing w:val="4"/>
          <w:sz w:val="24"/>
          <w:szCs w:val="24"/>
          <w:highlight w:val="none"/>
        </w:rPr>
        <w:t xml:space="preserve"> </w:t>
      </w:r>
      <w:r>
        <w:rPr>
          <w:rFonts w:hint="eastAsia" w:ascii="微软雅黑" w:hAnsi="微软雅黑" w:eastAsia="微软雅黑" w:cs="微软雅黑"/>
          <w:color w:val="auto"/>
          <w:spacing w:val="-2"/>
          <w:sz w:val="24"/>
          <w:szCs w:val="24"/>
          <w:highlight w:val="none"/>
        </w:rPr>
        <w:t>期 ：</w:t>
      </w:r>
      <w:r>
        <w:rPr>
          <w:rFonts w:hint="eastAsia" w:ascii="微软雅黑" w:hAnsi="微软雅黑" w:eastAsia="微软雅黑" w:cs="微软雅黑"/>
          <w:color w:val="auto"/>
          <w:spacing w:val="51"/>
          <w:w w:val="101"/>
          <w:sz w:val="24"/>
          <w:szCs w:val="24"/>
          <w:highlight w:val="none"/>
        </w:rPr>
        <w:t xml:space="preserve"> </w:t>
      </w:r>
      <w:r>
        <w:rPr>
          <w:rFonts w:hint="eastAsia" w:ascii="微软雅黑" w:hAnsi="微软雅黑" w:eastAsia="微软雅黑" w:cs="微软雅黑"/>
          <w:color w:val="auto"/>
          <w:spacing w:val="51"/>
          <w:w w:val="101"/>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年</w:t>
      </w:r>
      <w:r>
        <w:rPr>
          <w:rFonts w:hint="eastAsia" w:ascii="微软雅黑" w:hAnsi="微软雅黑" w:eastAsia="微软雅黑" w:cs="微软雅黑"/>
          <w:color w:val="auto"/>
          <w:spacing w:val="46"/>
          <w:sz w:val="24"/>
          <w:szCs w:val="24"/>
          <w:highlight w:val="none"/>
        </w:rPr>
        <w:t xml:space="preserve"> </w:t>
      </w:r>
      <w:r>
        <w:rPr>
          <w:rFonts w:hint="eastAsia" w:ascii="微软雅黑" w:hAnsi="微软雅黑" w:eastAsia="微软雅黑" w:cs="微软雅黑"/>
          <w:color w:val="auto"/>
          <w:spacing w:val="46"/>
          <w:sz w:val="24"/>
          <w:szCs w:val="24"/>
          <w:highlight w:val="none"/>
          <w:lang w:val="en-US" w:eastAsia="zh-CN"/>
        </w:rPr>
        <w:t xml:space="preserve"> </w:t>
      </w:r>
      <w:r>
        <w:rPr>
          <w:rFonts w:hint="eastAsia" w:ascii="微软雅黑" w:hAnsi="微软雅黑" w:eastAsia="微软雅黑" w:cs="微软雅黑"/>
          <w:color w:val="auto"/>
          <w:spacing w:val="60"/>
          <w:sz w:val="24"/>
          <w:szCs w:val="24"/>
          <w:highlight w:val="none"/>
        </w:rPr>
        <w:t xml:space="preserve"> </w:t>
      </w:r>
      <w:r>
        <w:rPr>
          <w:rFonts w:hint="eastAsia" w:ascii="微软雅黑" w:hAnsi="微软雅黑" w:eastAsia="微软雅黑" w:cs="微软雅黑"/>
          <w:color w:val="auto"/>
          <w:spacing w:val="-2"/>
          <w:sz w:val="24"/>
          <w:szCs w:val="24"/>
          <w:highlight w:val="none"/>
        </w:rPr>
        <w:t>月</w:t>
      </w:r>
      <w:r>
        <w:rPr>
          <w:rFonts w:hint="eastAsia" w:ascii="微软雅黑" w:hAnsi="微软雅黑" w:eastAsia="微软雅黑" w:cs="微软雅黑"/>
          <w:color w:val="auto"/>
          <w:spacing w:val="46"/>
          <w:sz w:val="24"/>
          <w:szCs w:val="24"/>
          <w:highlight w:val="none"/>
        </w:rPr>
        <w:t xml:space="preserve"> </w:t>
      </w:r>
      <w:r>
        <w:rPr>
          <w:rFonts w:hint="eastAsia" w:ascii="微软雅黑" w:hAnsi="微软雅黑" w:eastAsia="微软雅黑" w:cs="微软雅黑"/>
          <w:color w:val="auto"/>
          <w:spacing w:val="46"/>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日</w:t>
      </w:r>
    </w:p>
    <w:p w14:paraId="10546F21">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429216BA">
      <w:pPr>
        <w:pageBreakBefore w:val="0"/>
        <w:widowControl w:val="0"/>
        <w:numPr>
          <w:ilvl w:val="0"/>
          <w:numId w:val="0"/>
        </w:numPr>
        <w:kinsoku/>
        <w:wordWrap/>
        <w:overflowPunct/>
        <w:topLinePunct w:val="0"/>
        <w:bidi w:val="0"/>
        <w:spacing w:before="74" w:line="520" w:lineRule="exact"/>
        <w:jc w:val="both"/>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color w:val="auto"/>
          <w:spacing w:val="-4"/>
          <w:sz w:val="24"/>
          <w:szCs w:val="24"/>
          <w:highlight w:val="none"/>
        </w:rPr>
        <w:t>注 ：参照“第六章评分方法和标准” ，提供其他有力于供应商的其他证明材料等</w:t>
      </w:r>
    </w:p>
    <w:p w14:paraId="2810B539">
      <w:pPr>
        <w:pageBreakBefore w:val="0"/>
        <w:kinsoku/>
        <w:wordWrap/>
        <w:overflowPunct/>
        <w:topLinePunct w:val="0"/>
        <w:bidi w:val="0"/>
        <w:snapToGrid w:val="0"/>
        <w:spacing w:line="520" w:lineRule="exact"/>
        <w:ind w:left="1079" w:leftChars="257" w:hanging="539"/>
        <w:jc w:val="left"/>
        <w:textAlignment w:val="baseline"/>
        <w:outlineLvl w:val="9"/>
        <w:rPr>
          <w:rFonts w:hint="eastAsia" w:ascii="微软雅黑" w:hAnsi="微软雅黑" w:eastAsia="微软雅黑" w:cs="微软雅黑"/>
          <w:b/>
          <w:color w:val="auto"/>
          <w:kern w:val="0"/>
          <w:sz w:val="24"/>
          <w:szCs w:val="20"/>
          <w:highlight w:val="none"/>
          <w:lang w:val="en-US" w:eastAsia="zh-CN"/>
        </w:rPr>
      </w:pPr>
      <w:r>
        <w:rPr>
          <w:rFonts w:hint="eastAsia" w:ascii="微软雅黑" w:hAnsi="微软雅黑" w:eastAsia="微软雅黑" w:cs="微软雅黑"/>
          <w:b/>
          <w:color w:val="auto"/>
          <w:kern w:val="0"/>
          <w:sz w:val="24"/>
          <w:szCs w:val="20"/>
          <w:highlight w:val="none"/>
          <w:lang w:val="en-US" w:eastAsia="zh-CN"/>
        </w:rPr>
        <w:br w:type="textWrapping"/>
      </w:r>
    </w:p>
    <w:p w14:paraId="3F1D3BAF">
      <w:pPr>
        <w:rPr>
          <w:rFonts w:hint="eastAsia" w:ascii="微软雅黑" w:hAnsi="微软雅黑" w:eastAsia="微软雅黑" w:cs="微软雅黑"/>
          <w:b/>
          <w:color w:val="auto"/>
          <w:kern w:val="0"/>
          <w:sz w:val="24"/>
          <w:szCs w:val="20"/>
          <w:highlight w:val="none"/>
          <w:lang w:val="en-US" w:eastAsia="zh-CN"/>
        </w:rPr>
      </w:pPr>
      <w:r>
        <w:rPr>
          <w:rFonts w:hint="eastAsia" w:ascii="微软雅黑" w:hAnsi="微软雅黑" w:eastAsia="微软雅黑" w:cs="微软雅黑"/>
          <w:b/>
          <w:color w:val="auto"/>
          <w:kern w:val="0"/>
          <w:sz w:val="24"/>
          <w:szCs w:val="20"/>
          <w:highlight w:val="none"/>
          <w:lang w:val="en-US" w:eastAsia="zh-CN"/>
        </w:rPr>
        <w:br w:type="page"/>
      </w:r>
    </w:p>
    <w:p w14:paraId="3DF83851">
      <w:pPr>
        <w:pageBreakBefore w:val="0"/>
        <w:kinsoku/>
        <w:wordWrap/>
        <w:overflowPunct/>
        <w:topLinePunct w:val="0"/>
        <w:bidi w:val="0"/>
        <w:snapToGrid w:val="0"/>
        <w:spacing w:line="520" w:lineRule="exact"/>
        <w:ind w:left="1079" w:leftChars="257" w:hanging="539"/>
        <w:jc w:val="left"/>
        <w:textAlignment w:val="baseline"/>
        <w:outlineLvl w:val="1"/>
        <w:rPr>
          <w:rFonts w:hint="eastAsia" w:ascii="微软雅黑" w:hAnsi="微软雅黑" w:eastAsia="微软雅黑" w:cs="微软雅黑"/>
          <w:b/>
          <w:color w:val="auto"/>
          <w:kern w:val="0"/>
          <w:sz w:val="24"/>
          <w:szCs w:val="20"/>
          <w:highlight w:val="none"/>
        </w:rPr>
      </w:pPr>
      <w:bookmarkStart w:id="695" w:name="_Toc31692"/>
      <w:r>
        <w:rPr>
          <w:rFonts w:hint="eastAsia" w:ascii="微软雅黑" w:hAnsi="微软雅黑" w:eastAsia="微软雅黑" w:cs="微软雅黑"/>
          <w:b/>
          <w:color w:val="auto"/>
          <w:kern w:val="0"/>
          <w:sz w:val="24"/>
          <w:szCs w:val="20"/>
          <w:highlight w:val="none"/>
          <w:lang w:val="en-US" w:eastAsia="zh-CN"/>
        </w:rPr>
        <w:t>9</w:t>
      </w:r>
      <w:r>
        <w:rPr>
          <w:rFonts w:hint="eastAsia" w:ascii="微软雅黑" w:hAnsi="微软雅黑" w:eastAsia="微软雅黑" w:cs="微软雅黑"/>
          <w:b/>
          <w:color w:val="auto"/>
          <w:kern w:val="0"/>
          <w:sz w:val="24"/>
          <w:szCs w:val="20"/>
          <w:highlight w:val="none"/>
        </w:rPr>
        <w:t>、响应文件格式范本</w:t>
      </w:r>
      <w:bookmarkEnd w:id="664"/>
      <w:bookmarkEnd w:id="665"/>
      <w:bookmarkEnd w:id="695"/>
    </w:p>
    <w:tbl>
      <w:tblPr>
        <w:tblStyle w:val="38"/>
        <w:tblpPr w:leftFromText="180" w:rightFromText="180" w:vertAnchor="text" w:horzAnchor="page" w:tblpX="1343" w:tblpY="413"/>
        <w:tblOverlap w:val="never"/>
        <w:tblW w:w="960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600"/>
      </w:tblGrid>
      <w:tr w14:paraId="54570089">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979" w:hRule="atLeast"/>
        </w:trPr>
        <w:tc>
          <w:tcPr>
            <w:tcW w:w="9600" w:type="dxa"/>
            <w:shd w:val="clear" w:color="auto" w:fill="FCFEEA"/>
          </w:tcPr>
          <w:p w14:paraId="2CED1AD2">
            <w:pPr>
              <w:pStyle w:val="11"/>
              <w:pageBreakBefore w:val="0"/>
              <w:kinsoku/>
              <w:wordWrap/>
              <w:overflowPunct/>
              <w:topLinePunct w:val="0"/>
              <w:bidi w:val="0"/>
              <w:snapToGrid w:val="0"/>
              <w:spacing w:line="520" w:lineRule="exact"/>
              <w:jc w:val="center"/>
              <w:textAlignment w:val="baseline"/>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（正本/副本）</w:t>
            </w:r>
          </w:p>
          <w:p w14:paraId="4970BCD0">
            <w:pPr>
              <w:pStyle w:val="11"/>
              <w:pageBreakBefore w:val="0"/>
              <w:kinsoku/>
              <w:wordWrap/>
              <w:overflowPunct/>
              <w:topLinePunct w:val="0"/>
              <w:bidi w:val="0"/>
              <w:snapToGrid w:val="0"/>
              <w:spacing w:line="520" w:lineRule="exact"/>
              <w:ind w:firstLine="4202" w:firstLineChars="1500"/>
              <w:textAlignment w:val="baseline"/>
              <w:rPr>
                <w:rFonts w:ascii="微软雅黑" w:hAnsi="微软雅黑" w:eastAsia="微软雅黑" w:cs="微软雅黑"/>
                <w:b/>
                <w:bCs/>
                <w:color w:val="auto"/>
                <w:sz w:val="28"/>
                <w:szCs w:val="28"/>
                <w:highlight w:val="none"/>
              </w:rPr>
            </w:pPr>
          </w:p>
          <w:p w14:paraId="283D0E9F">
            <w:pPr>
              <w:pStyle w:val="11"/>
              <w:pageBreakBefore w:val="0"/>
              <w:kinsoku/>
              <w:wordWrap/>
              <w:overflowPunct/>
              <w:topLinePunct w:val="0"/>
              <w:bidi w:val="0"/>
              <w:snapToGrid w:val="0"/>
              <w:spacing w:line="520" w:lineRule="exact"/>
              <w:textAlignment w:val="baseline"/>
              <w:rPr>
                <w:rFonts w:ascii="微软雅黑" w:hAnsi="微软雅黑" w:eastAsia="微软雅黑" w:cs="微软雅黑"/>
                <w:b/>
                <w:bCs/>
                <w:color w:val="auto"/>
                <w:sz w:val="28"/>
                <w:szCs w:val="28"/>
                <w:highlight w:val="none"/>
              </w:rPr>
            </w:pPr>
          </w:p>
          <w:p w14:paraId="35531C53">
            <w:pPr>
              <w:pStyle w:val="11"/>
              <w:pageBreakBefore w:val="0"/>
              <w:kinsoku/>
              <w:wordWrap/>
              <w:overflowPunct/>
              <w:topLinePunct w:val="0"/>
              <w:bidi w:val="0"/>
              <w:snapToGrid w:val="0"/>
              <w:spacing w:line="520" w:lineRule="exact"/>
              <w:ind w:firstLine="2521" w:firstLineChars="900"/>
              <w:textAlignment w:val="baseline"/>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14:paraId="25A4C4CF">
            <w:pPr>
              <w:pStyle w:val="11"/>
              <w:pageBreakBefore w:val="0"/>
              <w:kinsoku/>
              <w:wordWrap/>
              <w:overflowPunct/>
              <w:topLinePunct w:val="0"/>
              <w:bidi w:val="0"/>
              <w:snapToGrid w:val="0"/>
              <w:spacing w:line="520" w:lineRule="exact"/>
              <w:jc w:val="center"/>
              <w:textAlignment w:val="baseline"/>
              <w:rPr>
                <w:rFonts w:ascii="微软雅黑" w:hAnsi="微软雅黑" w:eastAsia="微软雅黑" w:cs="微软雅黑"/>
                <w:b/>
                <w:bCs/>
                <w:color w:val="auto"/>
                <w:sz w:val="21"/>
                <w:szCs w:val="21"/>
                <w:highlight w:val="none"/>
              </w:rPr>
            </w:pPr>
          </w:p>
          <w:p w14:paraId="7560C5FC">
            <w:pPr>
              <w:pStyle w:val="11"/>
              <w:pageBreakBefore w:val="0"/>
              <w:kinsoku/>
              <w:wordWrap/>
              <w:overflowPunct/>
              <w:topLinePunct w:val="0"/>
              <w:bidi w:val="0"/>
              <w:snapToGrid w:val="0"/>
              <w:spacing w:line="520" w:lineRule="exact"/>
              <w:ind w:firstLine="3152" w:firstLineChars="1500"/>
              <w:textAlignment w:val="baseline"/>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编号 ＊＊＊</w:t>
            </w:r>
          </w:p>
          <w:p w14:paraId="22D89447">
            <w:pPr>
              <w:pStyle w:val="11"/>
              <w:pageBreakBefore w:val="0"/>
              <w:kinsoku/>
              <w:wordWrap/>
              <w:overflowPunct/>
              <w:topLinePunct w:val="0"/>
              <w:bidi w:val="0"/>
              <w:snapToGrid w:val="0"/>
              <w:spacing w:line="520" w:lineRule="exact"/>
              <w:jc w:val="both"/>
              <w:textAlignment w:val="baseline"/>
              <w:rPr>
                <w:rFonts w:ascii="微软雅黑" w:hAnsi="微软雅黑" w:eastAsia="微软雅黑" w:cs="微软雅黑"/>
                <w:b/>
                <w:bCs/>
                <w:color w:val="auto"/>
                <w:sz w:val="48"/>
                <w:highlight w:val="none"/>
              </w:rPr>
            </w:pPr>
          </w:p>
          <w:p w14:paraId="441A626C">
            <w:pPr>
              <w:pStyle w:val="11"/>
              <w:pageBreakBefore w:val="0"/>
              <w:kinsoku/>
              <w:wordWrap/>
              <w:overflowPunct/>
              <w:topLinePunct w:val="0"/>
              <w:bidi w:val="0"/>
              <w:snapToGrid w:val="0"/>
              <w:spacing w:line="520" w:lineRule="exact"/>
              <w:jc w:val="center"/>
              <w:textAlignment w:val="baseline"/>
              <w:rPr>
                <w:rFonts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rPr>
              <w:t>响 应 文 件</w:t>
            </w:r>
          </w:p>
          <w:p w14:paraId="77CD9706">
            <w:pPr>
              <w:pStyle w:val="8"/>
              <w:pageBreakBefore w:val="0"/>
              <w:kinsoku/>
              <w:wordWrap/>
              <w:overflowPunct/>
              <w:topLinePunct w:val="0"/>
              <w:bidi w:val="0"/>
              <w:snapToGrid w:val="0"/>
              <w:spacing w:line="520" w:lineRule="exact"/>
              <w:ind w:firstLine="0"/>
              <w:textAlignment w:val="baseline"/>
              <w:rPr>
                <w:rFonts w:ascii="微软雅黑" w:hAnsi="微软雅黑" w:eastAsia="微软雅黑" w:cs="微软雅黑"/>
                <w:b/>
                <w:color w:val="auto"/>
                <w:sz w:val="32"/>
                <w:highlight w:val="none"/>
              </w:rPr>
            </w:pPr>
          </w:p>
          <w:p w14:paraId="5D370061">
            <w:pPr>
              <w:pageBreakBefore w:val="0"/>
              <w:kinsoku/>
              <w:wordWrap/>
              <w:overflowPunct/>
              <w:topLinePunct w:val="0"/>
              <w:bidi w:val="0"/>
              <w:snapToGrid w:val="0"/>
              <w:spacing w:line="520" w:lineRule="exact"/>
              <w:ind w:left="176" w:leftChars="84" w:firstLine="840" w:firstLineChars="400"/>
              <w:textAlignment w:val="baseline"/>
              <w:rPr>
                <w:rFonts w:ascii="微软雅黑" w:hAnsi="微软雅黑" w:eastAsia="微软雅黑" w:cs="微软雅黑"/>
                <w:color w:val="auto"/>
                <w:sz w:val="20"/>
                <w:szCs w:val="21"/>
                <w:highlight w:val="none"/>
              </w:rPr>
            </w:pPr>
            <w:r>
              <w:rPr>
                <w:rFonts w:hint="eastAsia" w:ascii="微软雅黑" w:hAnsi="微软雅黑" w:eastAsia="微软雅黑" w:cs="微软雅黑"/>
                <w:color w:val="auto"/>
                <w:szCs w:val="21"/>
                <w:highlight w:val="none"/>
              </w:rPr>
              <w:t>磋商单位：</w:t>
            </w:r>
            <w:r>
              <w:rPr>
                <w:rFonts w:hint="eastAsia" w:ascii="微软雅黑" w:hAnsi="微软雅黑" w:eastAsia="微软雅黑" w:cs="微软雅黑"/>
                <w:color w:val="auto"/>
                <w:szCs w:val="21"/>
                <w:highlight w:val="none"/>
                <w:u w:val="single" w:color="000000"/>
              </w:rPr>
              <w:t xml:space="preserve">                                       </w:t>
            </w:r>
            <w:r>
              <w:rPr>
                <w:rFonts w:hint="eastAsia" w:ascii="微软雅黑" w:hAnsi="微软雅黑" w:eastAsia="微软雅黑" w:cs="微软雅黑"/>
                <w:color w:val="auto"/>
                <w:szCs w:val="21"/>
                <w:highlight w:val="none"/>
              </w:rPr>
              <w:t>（公章）</w:t>
            </w:r>
          </w:p>
          <w:p w14:paraId="1105EB90">
            <w:pPr>
              <w:pageBreakBefore w:val="0"/>
              <w:kinsoku/>
              <w:wordWrap/>
              <w:overflowPunct/>
              <w:topLinePunct w:val="0"/>
              <w:bidi w:val="0"/>
              <w:snapToGrid w:val="0"/>
              <w:spacing w:line="520" w:lineRule="exact"/>
              <w:ind w:left="176" w:leftChars="84" w:firstLine="840" w:firstLineChars="400"/>
              <w:textAlignment w:val="baseline"/>
              <w:rPr>
                <w:rFonts w:ascii="微软雅黑" w:hAnsi="微软雅黑" w:eastAsia="微软雅黑" w:cs="微软雅黑"/>
                <w:color w:val="auto"/>
                <w:sz w:val="20"/>
                <w:szCs w:val="21"/>
                <w:highlight w:val="none"/>
                <w:u w:val="single" w:color="000000"/>
              </w:rPr>
            </w:pPr>
            <w:r>
              <w:rPr>
                <w:rFonts w:hint="eastAsia" w:ascii="微软雅黑" w:hAnsi="微软雅黑" w:eastAsia="微软雅黑" w:cs="微软雅黑"/>
                <w:color w:val="auto"/>
                <w:szCs w:val="21"/>
                <w:highlight w:val="none"/>
              </w:rPr>
              <w:t>项目名称：</w:t>
            </w:r>
            <w:r>
              <w:rPr>
                <w:rFonts w:hint="eastAsia" w:ascii="微软雅黑" w:hAnsi="微软雅黑" w:eastAsia="微软雅黑" w:cs="微软雅黑"/>
                <w:color w:val="auto"/>
                <w:szCs w:val="21"/>
                <w:highlight w:val="none"/>
                <w:u w:val="single" w:color="000000"/>
              </w:rPr>
              <w:t xml:space="preserve">                                          </w:t>
            </w:r>
          </w:p>
          <w:p w14:paraId="6E4A71D8">
            <w:pPr>
              <w:pageBreakBefore w:val="0"/>
              <w:kinsoku/>
              <w:wordWrap/>
              <w:overflowPunct/>
              <w:topLinePunct w:val="0"/>
              <w:bidi w:val="0"/>
              <w:snapToGrid w:val="0"/>
              <w:spacing w:line="520" w:lineRule="exact"/>
              <w:ind w:left="176" w:leftChars="84" w:firstLine="840" w:firstLineChars="400"/>
              <w:textAlignment w:val="baseline"/>
              <w:rPr>
                <w:rFonts w:ascii="微软雅黑" w:hAnsi="微软雅黑" w:eastAsia="微软雅黑" w:cs="微软雅黑"/>
                <w:color w:val="auto"/>
                <w:sz w:val="20"/>
                <w:szCs w:val="21"/>
                <w:highlight w:val="none"/>
                <w:u w:val="single" w:color="000000"/>
              </w:rPr>
            </w:pPr>
            <w:r>
              <w:rPr>
                <w:rFonts w:hint="eastAsia" w:ascii="微软雅黑" w:hAnsi="微软雅黑" w:eastAsia="微软雅黑" w:cs="微软雅黑"/>
                <w:color w:val="auto"/>
                <w:szCs w:val="21"/>
                <w:highlight w:val="none"/>
              </w:rPr>
              <w:t>项目编号：</w:t>
            </w:r>
            <w:r>
              <w:rPr>
                <w:rFonts w:hint="eastAsia" w:ascii="微软雅黑" w:hAnsi="微软雅黑" w:eastAsia="微软雅黑" w:cs="微软雅黑"/>
                <w:color w:val="auto"/>
                <w:szCs w:val="21"/>
                <w:highlight w:val="none"/>
                <w:u w:val="single" w:color="000000"/>
              </w:rPr>
              <w:t xml:space="preserve">                                        </w:t>
            </w:r>
          </w:p>
          <w:p w14:paraId="37698FE2">
            <w:pPr>
              <w:pageBreakBefore w:val="0"/>
              <w:kinsoku/>
              <w:wordWrap/>
              <w:overflowPunct/>
              <w:topLinePunct w:val="0"/>
              <w:bidi w:val="0"/>
              <w:snapToGrid w:val="0"/>
              <w:spacing w:line="520" w:lineRule="exact"/>
              <w:ind w:left="176" w:leftChars="84" w:firstLine="840" w:firstLineChars="400"/>
              <w:textAlignment w:val="baseline"/>
              <w:rPr>
                <w:rFonts w:ascii="微软雅黑" w:hAnsi="微软雅黑" w:eastAsia="微软雅黑" w:cs="微软雅黑"/>
                <w:color w:val="auto"/>
                <w:sz w:val="20"/>
                <w:szCs w:val="21"/>
                <w:highlight w:val="none"/>
                <w:u w:val="single" w:color="000000"/>
              </w:rPr>
            </w:pPr>
            <w:r>
              <w:rPr>
                <w:rFonts w:hint="eastAsia" w:ascii="微软雅黑" w:hAnsi="微软雅黑" w:eastAsia="微软雅黑" w:cs="微软雅黑"/>
                <w:color w:val="auto"/>
                <w:szCs w:val="21"/>
                <w:highlight w:val="none"/>
              </w:rPr>
              <w:t>联 系 人：</w:t>
            </w:r>
            <w:r>
              <w:rPr>
                <w:rFonts w:hint="eastAsia" w:ascii="微软雅黑" w:hAnsi="微软雅黑" w:eastAsia="微软雅黑" w:cs="微软雅黑"/>
                <w:color w:val="auto"/>
                <w:szCs w:val="21"/>
                <w:highlight w:val="none"/>
                <w:u w:val="single" w:color="000000"/>
              </w:rPr>
              <w:t xml:space="preserve">                                        </w:t>
            </w:r>
          </w:p>
          <w:p w14:paraId="7B43F925">
            <w:pPr>
              <w:pageBreakBefore w:val="0"/>
              <w:kinsoku/>
              <w:wordWrap/>
              <w:overflowPunct/>
              <w:topLinePunct w:val="0"/>
              <w:bidi w:val="0"/>
              <w:snapToGrid w:val="0"/>
              <w:spacing w:line="520" w:lineRule="exact"/>
              <w:ind w:left="176" w:leftChars="84" w:firstLine="840" w:firstLineChars="400"/>
              <w:textAlignment w:val="baseline"/>
              <w:rPr>
                <w:rFonts w:ascii="微软雅黑" w:hAnsi="微软雅黑" w:eastAsia="微软雅黑" w:cs="微软雅黑"/>
                <w:color w:val="auto"/>
                <w:sz w:val="20"/>
                <w:szCs w:val="21"/>
                <w:highlight w:val="none"/>
              </w:rPr>
            </w:pPr>
            <w:r>
              <w:rPr>
                <w:rFonts w:hint="eastAsia" w:ascii="微软雅黑" w:hAnsi="微软雅黑" w:eastAsia="微软雅黑" w:cs="微软雅黑"/>
                <w:color w:val="auto"/>
                <w:szCs w:val="21"/>
                <w:highlight w:val="none"/>
              </w:rPr>
              <w:t>电    话：</w:t>
            </w:r>
            <w:r>
              <w:rPr>
                <w:rFonts w:hint="eastAsia" w:ascii="微软雅黑" w:hAnsi="微软雅黑" w:eastAsia="微软雅黑" w:cs="微软雅黑"/>
                <w:color w:val="auto"/>
                <w:szCs w:val="21"/>
                <w:highlight w:val="none"/>
                <w:u w:val="single" w:color="000000"/>
              </w:rPr>
              <w:t xml:space="preserve">                                        </w:t>
            </w:r>
          </w:p>
          <w:p w14:paraId="21231D58">
            <w:pPr>
              <w:pageBreakBefore w:val="0"/>
              <w:kinsoku/>
              <w:wordWrap/>
              <w:overflowPunct/>
              <w:topLinePunct w:val="0"/>
              <w:bidi w:val="0"/>
              <w:snapToGrid w:val="0"/>
              <w:spacing w:line="520" w:lineRule="exact"/>
              <w:ind w:left="176" w:leftChars="84" w:firstLine="840" w:firstLineChars="400"/>
              <w:textAlignment w:val="baseline"/>
              <w:rPr>
                <w:rFonts w:ascii="微软雅黑" w:hAnsi="微软雅黑" w:eastAsia="微软雅黑" w:cs="微软雅黑"/>
                <w:color w:val="auto"/>
                <w:sz w:val="20"/>
                <w:szCs w:val="21"/>
                <w:highlight w:val="none"/>
                <w:u w:val="single" w:color="000000"/>
              </w:rPr>
            </w:pPr>
            <w:r>
              <w:rPr>
                <w:rFonts w:hint="eastAsia" w:ascii="微软雅黑" w:hAnsi="微软雅黑" w:eastAsia="微软雅黑" w:cs="微软雅黑"/>
                <w:color w:val="auto"/>
                <w:szCs w:val="21"/>
                <w:highlight w:val="none"/>
              </w:rPr>
              <w:t xml:space="preserve">地    址  ：  </w:t>
            </w:r>
            <w:r>
              <w:rPr>
                <w:rFonts w:hint="eastAsia" w:ascii="微软雅黑" w:hAnsi="微软雅黑" w:eastAsia="微软雅黑" w:cs="微软雅黑"/>
                <w:color w:val="auto"/>
                <w:szCs w:val="21"/>
                <w:highlight w:val="none"/>
                <w:u w:val="single" w:color="000000"/>
              </w:rPr>
              <w:t xml:space="preserve">                                    </w:t>
            </w:r>
          </w:p>
          <w:p w14:paraId="54E89694">
            <w:pPr>
              <w:pageBreakBefore w:val="0"/>
              <w:kinsoku/>
              <w:wordWrap/>
              <w:overflowPunct/>
              <w:topLinePunct w:val="0"/>
              <w:bidi w:val="0"/>
              <w:snapToGrid w:val="0"/>
              <w:spacing w:line="520" w:lineRule="exact"/>
              <w:jc w:val="both"/>
              <w:textAlignment w:val="baseline"/>
              <w:rPr>
                <w:rFonts w:ascii="微软雅黑" w:hAnsi="微软雅黑" w:eastAsia="微软雅黑" w:cs="微软雅黑"/>
                <w:b/>
                <w:bCs/>
                <w:color w:val="auto"/>
                <w:sz w:val="20"/>
                <w:highlight w:val="none"/>
              </w:rPr>
            </w:pPr>
          </w:p>
          <w:p w14:paraId="1B20E69D">
            <w:pPr>
              <w:pageBreakBefore w:val="0"/>
              <w:kinsoku/>
              <w:wordWrap/>
              <w:overflowPunct/>
              <w:topLinePunct w:val="0"/>
              <w:bidi w:val="0"/>
              <w:snapToGrid w:val="0"/>
              <w:spacing w:line="520" w:lineRule="exact"/>
              <w:jc w:val="center"/>
              <w:textAlignment w:val="baseline"/>
              <w:rPr>
                <w:rFonts w:ascii="微软雅黑" w:hAnsi="微软雅黑" w:eastAsia="微软雅黑" w:cs="微软雅黑"/>
                <w:b/>
                <w:bCs/>
                <w:color w:val="auto"/>
                <w:sz w:val="20"/>
                <w:highlight w:val="none"/>
              </w:rPr>
            </w:pPr>
          </w:p>
          <w:p w14:paraId="6756E449">
            <w:pPr>
              <w:pageBreakBefore w:val="0"/>
              <w:kinsoku/>
              <w:wordWrap/>
              <w:overflowPunct/>
              <w:topLinePunct w:val="0"/>
              <w:bidi w:val="0"/>
              <w:snapToGrid w:val="0"/>
              <w:spacing w:line="520" w:lineRule="exact"/>
              <w:jc w:val="center"/>
              <w:textAlignment w:val="baseline"/>
              <w:rPr>
                <w:rFonts w:ascii="微软雅黑" w:hAnsi="微软雅黑" w:eastAsia="微软雅黑" w:cs="微软雅黑"/>
                <w:b/>
                <w:bCs/>
                <w:color w:val="auto"/>
                <w:sz w:val="20"/>
                <w:highlight w:val="none"/>
              </w:rPr>
            </w:pPr>
            <w:r>
              <w:rPr>
                <w:rFonts w:hint="eastAsia" w:ascii="微软雅黑" w:hAnsi="微软雅黑" w:eastAsia="微软雅黑" w:cs="微软雅黑"/>
                <w:b/>
                <w:bCs/>
                <w:color w:val="auto"/>
                <w:highlight w:val="none"/>
              </w:rPr>
              <w:t>注：   在20XX年   月  日 X午</w:t>
            </w:r>
            <w:r>
              <w:rPr>
                <w:rFonts w:hint="eastAsia" w:ascii="微软雅黑" w:hAnsi="微软雅黑" w:eastAsia="微软雅黑" w:cs="微软雅黑"/>
                <w:color w:val="auto"/>
                <w:kern w:val="0"/>
                <w:szCs w:val="21"/>
                <w:highlight w:val="none"/>
              </w:rPr>
              <w:t>XX</w:t>
            </w:r>
            <w:r>
              <w:rPr>
                <w:rFonts w:hint="eastAsia" w:ascii="微软雅黑" w:hAnsi="微软雅黑" w:eastAsia="微软雅黑" w:cs="微软雅黑"/>
                <w:b/>
                <w:bCs/>
                <w:color w:val="auto"/>
                <w:highlight w:val="none"/>
              </w:rPr>
              <w:t>之前不得启封</w:t>
            </w:r>
          </w:p>
          <w:p w14:paraId="2AA929AC">
            <w:pPr>
              <w:pageBreakBefore w:val="0"/>
              <w:kinsoku/>
              <w:wordWrap/>
              <w:overflowPunct/>
              <w:topLinePunct w:val="0"/>
              <w:bidi w:val="0"/>
              <w:snapToGrid w:val="0"/>
              <w:spacing w:line="520" w:lineRule="exact"/>
              <w:jc w:val="center"/>
              <w:textAlignment w:val="baseline"/>
              <w:rPr>
                <w:rFonts w:ascii="微软雅黑" w:hAnsi="微软雅黑" w:eastAsia="微软雅黑" w:cs="微软雅黑"/>
                <w:b/>
                <w:bCs/>
                <w:color w:val="auto"/>
                <w:sz w:val="20"/>
                <w:highlight w:val="none"/>
              </w:rPr>
            </w:pPr>
          </w:p>
        </w:tc>
      </w:tr>
    </w:tbl>
    <w:p w14:paraId="3ADF1D7D">
      <w:pPr>
        <w:pageBreakBefore w:val="0"/>
        <w:kinsoku/>
        <w:wordWrap/>
        <w:overflowPunct/>
        <w:topLinePunct w:val="0"/>
        <w:bidi w:val="0"/>
        <w:snapToGrid w:val="0"/>
        <w:spacing w:line="520" w:lineRule="exact"/>
        <w:textAlignment w:val="baseline"/>
        <w:rPr>
          <w:rFonts w:ascii="微软雅黑" w:hAnsi="微软雅黑" w:eastAsia="微软雅黑" w:cs="微软雅黑"/>
          <w:b/>
          <w:color w:val="auto"/>
          <w:sz w:val="30"/>
          <w:szCs w:val="30"/>
          <w:highlight w:val="none"/>
        </w:rPr>
      </w:pPr>
    </w:p>
    <w:bookmarkEnd w:id="611"/>
    <w:bookmarkEnd w:id="612"/>
    <w:bookmarkEnd w:id="613"/>
    <w:bookmarkEnd w:id="614"/>
    <w:p w14:paraId="796906AD">
      <w:pPr>
        <w:pageBreakBefore w:val="0"/>
        <w:kinsoku/>
        <w:wordWrap/>
        <w:overflowPunct/>
        <w:topLinePunct w:val="0"/>
        <w:bidi w:val="0"/>
        <w:snapToGrid w:val="0"/>
        <w:spacing w:line="520" w:lineRule="exact"/>
        <w:jc w:val="center"/>
        <w:textAlignment w:val="baseline"/>
        <w:outlineLvl w:val="9"/>
        <w:rPr>
          <w:rFonts w:ascii="微软雅黑" w:hAnsi="微软雅黑" w:eastAsia="微软雅黑" w:cs="微软雅黑"/>
          <w:b/>
          <w:color w:val="auto"/>
          <w:sz w:val="44"/>
          <w:szCs w:val="44"/>
          <w:highlight w:val="none"/>
        </w:rPr>
      </w:pPr>
      <w:bookmarkStart w:id="696" w:name="_Toc216582822"/>
      <w:bookmarkStart w:id="697" w:name="_Toc507399902"/>
      <w:bookmarkStart w:id="698" w:name="_Toc218935350"/>
      <w:bookmarkStart w:id="699" w:name="_Toc219175634"/>
      <w:bookmarkStart w:id="700" w:name="_Toc515647829"/>
      <w:bookmarkStart w:id="701" w:name="_Toc28765"/>
      <w:bookmarkStart w:id="702" w:name="_Toc16370"/>
    </w:p>
    <w:p w14:paraId="244336C9">
      <w:pPr>
        <w:pageBreakBefore w:val="0"/>
        <w:kinsoku/>
        <w:wordWrap/>
        <w:overflowPunct/>
        <w:topLinePunct w:val="0"/>
        <w:bidi w:val="0"/>
        <w:spacing w:line="520" w:lineRule="exact"/>
        <w:outlineLvl w:val="9"/>
        <w:rPr>
          <w:rFonts w:ascii="微软雅黑" w:hAnsi="微软雅黑" w:eastAsia="微软雅黑" w:cs="微软雅黑"/>
          <w:b/>
          <w:color w:val="auto"/>
          <w:sz w:val="44"/>
          <w:szCs w:val="44"/>
          <w:highlight w:val="none"/>
        </w:rPr>
      </w:pPr>
    </w:p>
    <w:p w14:paraId="6653DF21">
      <w:pPr>
        <w:pStyle w:val="36"/>
        <w:pageBreakBefore w:val="0"/>
        <w:kinsoku/>
        <w:wordWrap/>
        <w:overflowPunct/>
        <w:topLinePunct w:val="0"/>
        <w:bidi w:val="0"/>
        <w:spacing w:line="520" w:lineRule="exact"/>
        <w:rPr>
          <w:rFonts w:ascii="微软雅黑" w:hAnsi="微软雅黑" w:eastAsia="微软雅黑" w:cs="微软雅黑"/>
          <w:b/>
          <w:color w:val="auto"/>
          <w:sz w:val="44"/>
          <w:szCs w:val="44"/>
          <w:highlight w:val="none"/>
        </w:rPr>
      </w:pPr>
    </w:p>
    <w:p w14:paraId="54612E15">
      <w:pPr>
        <w:pageBreakBefore w:val="0"/>
        <w:kinsoku/>
        <w:wordWrap/>
        <w:overflowPunct/>
        <w:topLinePunct w:val="0"/>
        <w:bidi w:val="0"/>
        <w:spacing w:line="520" w:lineRule="exact"/>
        <w:rPr>
          <w:rFonts w:ascii="微软雅黑" w:hAnsi="微软雅黑" w:eastAsia="微软雅黑" w:cs="微软雅黑"/>
          <w:b/>
          <w:color w:val="auto"/>
          <w:sz w:val="44"/>
          <w:szCs w:val="44"/>
          <w:highlight w:val="none"/>
        </w:rPr>
      </w:pPr>
    </w:p>
    <w:p w14:paraId="37A3B98D">
      <w:pPr>
        <w:pStyle w:val="36"/>
        <w:pageBreakBefore w:val="0"/>
        <w:kinsoku/>
        <w:wordWrap/>
        <w:overflowPunct/>
        <w:topLinePunct w:val="0"/>
        <w:bidi w:val="0"/>
        <w:spacing w:line="520" w:lineRule="exact"/>
        <w:rPr>
          <w:color w:val="auto"/>
          <w:highlight w:val="none"/>
        </w:rPr>
      </w:pPr>
    </w:p>
    <w:p w14:paraId="721DF4C0">
      <w:pPr>
        <w:pageBreakBefore w:val="0"/>
        <w:kinsoku/>
        <w:wordWrap/>
        <w:overflowPunct/>
        <w:topLinePunct w:val="0"/>
        <w:bidi w:val="0"/>
        <w:spacing w:line="520" w:lineRule="exact"/>
        <w:outlineLvl w:val="9"/>
        <w:rPr>
          <w:rFonts w:ascii="微软雅黑" w:hAnsi="微软雅黑" w:eastAsia="微软雅黑" w:cs="微软雅黑"/>
          <w:b/>
          <w:color w:val="auto"/>
          <w:sz w:val="44"/>
          <w:szCs w:val="44"/>
          <w:highlight w:val="none"/>
        </w:rPr>
      </w:pPr>
    </w:p>
    <w:p w14:paraId="53903D02">
      <w:pPr>
        <w:pageBreakBefore w:val="0"/>
        <w:kinsoku/>
        <w:wordWrap/>
        <w:overflowPunct/>
        <w:topLinePunct w:val="0"/>
        <w:bidi w:val="0"/>
        <w:spacing w:line="520" w:lineRule="exact"/>
        <w:outlineLvl w:val="9"/>
        <w:rPr>
          <w:rFonts w:ascii="微软雅黑" w:hAnsi="微软雅黑" w:eastAsia="微软雅黑" w:cs="微软雅黑"/>
          <w:b/>
          <w:color w:val="auto"/>
          <w:sz w:val="44"/>
          <w:szCs w:val="44"/>
          <w:highlight w:val="none"/>
        </w:rPr>
      </w:pPr>
    </w:p>
    <w:p w14:paraId="5A875D82">
      <w:pPr>
        <w:pageBreakBefore w:val="0"/>
        <w:kinsoku/>
        <w:wordWrap/>
        <w:overflowPunct/>
        <w:topLinePunct w:val="0"/>
        <w:bidi w:val="0"/>
        <w:spacing w:line="360" w:lineRule="auto"/>
        <w:rPr>
          <w:color w:val="auto"/>
          <w:highlight w:val="none"/>
        </w:rPr>
      </w:pPr>
    </w:p>
    <w:p w14:paraId="6254E440">
      <w:pPr>
        <w:pageBreakBefore w:val="0"/>
        <w:kinsoku/>
        <w:wordWrap/>
        <w:overflowPunct/>
        <w:topLinePunct w:val="0"/>
        <w:bidi w:val="0"/>
        <w:snapToGrid w:val="0"/>
        <w:spacing w:line="360" w:lineRule="auto"/>
        <w:jc w:val="center"/>
        <w:textAlignment w:val="baseline"/>
        <w:rPr>
          <w:rFonts w:hint="eastAsia" w:ascii="微软雅黑" w:hAnsi="微软雅黑" w:eastAsia="微软雅黑" w:cs="微软雅黑"/>
          <w:b/>
          <w:color w:val="auto"/>
          <w:sz w:val="48"/>
          <w:szCs w:val="48"/>
          <w:highlight w:val="none"/>
        </w:rPr>
      </w:pPr>
      <w:r>
        <w:rPr>
          <w:rFonts w:hint="eastAsia" w:ascii="微软雅黑" w:hAnsi="微软雅黑" w:eastAsia="微软雅黑" w:cs="微软雅黑"/>
          <w:b/>
          <w:color w:val="auto"/>
          <w:sz w:val="52"/>
          <w:szCs w:val="52"/>
          <w:highlight w:val="none"/>
        </w:rPr>
        <w:t>竞争性磋商文件</w:t>
      </w:r>
    </w:p>
    <w:p w14:paraId="68764F73">
      <w:pPr>
        <w:pageBreakBefore w:val="0"/>
        <w:kinsoku/>
        <w:wordWrap/>
        <w:overflowPunct/>
        <w:topLinePunct w:val="0"/>
        <w:bidi w:val="0"/>
        <w:snapToGrid w:val="0"/>
        <w:spacing w:line="360" w:lineRule="auto"/>
        <w:jc w:val="center"/>
        <w:textAlignment w:val="baseline"/>
        <w:rPr>
          <w:rFonts w:ascii="微软雅黑" w:hAnsi="微软雅黑" w:eastAsia="微软雅黑" w:cs="微软雅黑"/>
          <w:b/>
          <w:color w:val="auto"/>
          <w:sz w:val="48"/>
          <w:szCs w:val="48"/>
          <w:highlight w:val="none"/>
        </w:rPr>
      </w:pPr>
      <w:r>
        <w:rPr>
          <w:rFonts w:hint="eastAsia" w:ascii="微软雅黑" w:hAnsi="微软雅黑" w:eastAsia="微软雅黑" w:cs="微软雅黑"/>
          <w:b/>
          <w:color w:val="auto"/>
          <w:sz w:val="48"/>
          <w:szCs w:val="48"/>
          <w:highlight w:val="none"/>
        </w:rPr>
        <w:t>第二册</w:t>
      </w:r>
    </w:p>
    <w:p w14:paraId="6A1CF8EB">
      <w:pPr>
        <w:pageBreakBefore w:val="0"/>
        <w:kinsoku/>
        <w:wordWrap/>
        <w:overflowPunct/>
        <w:topLinePunct w:val="0"/>
        <w:bidi w:val="0"/>
        <w:snapToGrid w:val="0"/>
        <w:spacing w:line="520" w:lineRule="exact"/>
        <w:ind w:left="1080" w:leftChars="257" w:hanging="540"/>
        <w:textAlignment w:val="baseline"/>
        <w:rPr>
          <w:rFonts w:ascii="微软雅黑" w:hAnsi="微软雅黑" w:eastAsia="微软雅黑" w:cs="微软雅黑"/>
          <w:b/>
          <w:color w:val="auto"/>
          <w:sz w:val="28"/>
          <w:highlight w:val="none"/>
        </w:rPr>
      </w:pPr>
    </w:p>
    <w:p w14:paraId="280E299A">
      <w:pPr>
        <w:pageBreakBefore w:val="0"/>
        <w:kinsoku/>
        <w:wordWrap/>
        <w:overflowPunct/>
        <w:topLinePunct w:val="0"/>
        <w:bidi w:val="0"/>
        <w:snapToGrid w:val="0"/>
        <w:spacing w:line="520" w:lineRule="exact"/>
        <w:ind w:left="1080" w:leftChars="257" w:hanging="540"/>
        <w:textAlignment w:val="baseline"/>
        <w:rPr>
          <w:rFonts w:ascii="微软雅黑" w:hAnsi="微软雅黑" w:eastAsia="微软雅黑" w:cs="微软雅黑"/>
          <w:b/>
          <w:color w:val="auto"/>
          <w:sz w:val="28"/>
          <w:highlight w:val="none"/>
        </w:rPr>
      </w:pPr>
    </w:p>
    <w:p w14:paraId="153A397A">
      <w:pPr>
        <w:pageBreakBefore w:val="0"/>
        <w:kinsoku/>
        <w:wordWrap/>
        <w:overflowPunct/>
        <w:topLinePunct w:val="0"/>
        <w:bidi w:val="0"/>
        <w:snapToGrid w:val="0"/>
        <w:spacing w:line="520" w:lineRule="exact"/>
        <w:ind w:left="1080" w:leftChars="257" w:hanging="540"/>
        <w:textAlignment w:val="baseline"/>
        <w:rPr>
          <w:rFonts w:ascii="微软雅黑" w:hAnsi="微软雅黑" w:eastAsia="微软雅黑" w:cs="微软雅黑"/>
          <w:b/>
          <w:color w:val="auto"/>
          <w:sz w:val="28"/>
          <w:highlight w:val="none"/>
        </w:rPr>
      </w:pPr>
    </w:p>
    <w:p w14:paraId="05F29E71">
      <w:pPr>
        <w:pageBreakBefore w:val="0"/>
        <w:kinsoku/>
        <w:wordWrap/>
        <w:overflowPunct/>
        <w:topLinePunct w:val="0"/>
        <w:bidi w:val="0"/>
        <w:snapToGrid w:val="0"/>
        <w:spacing w:line="520" w:lineRule="exact"/>
        <w:ind w:left="1080" w:leftChars="257" w:hanging="540"/>
        <w:textAlignment w:val="baseline"/>
        <w:rPr>
          <w:rFonts w:ascii="微软雅黑" w:hAnsi="微软雅黑" w:eastAsia="微软雅黑" w:cs="微软雅黑"/>
          <w:b/>
          <w:color w:val="auto"/>
          <w:sz w:val="28"/>
          <w:highlight w:val="none"/>
        </w:rPr>
      </w:pPr>
    </w:p>
    <w:p w14:paraId="6BCEEC93">
      <w:pPr>
        <w:pageBreakBefore w:val="0"/>
        <w:kinsoku/>
        <w:wordWrap/>
        <w:overflowPunct/>
        <w:topLinePunct w:val="0"/>
        <w:bidi w:val="0"/>
        <w:snapToGrid w:val="0"/>
        <w:spacing w:line="520" w:lineRule="exact"/>
        <w:ind w:left="1080" w:leftChars="257" w:hanging="540"/>
        <w:textAlignment w:val="baseline"/>
        <w:rPr>
          <w:rFonts w:ascii="微软雅黑" w:hAnsi="微软雅黑" w:eastAsia="微软雅黑" w:cs="微软雅黑"/>
          <w:b/>
          <w:color w:val="auto"/>
          <w:sz w:val="28"/>
          <w:highlight w:val="none"/>
        </w:rPr>
      </w:pPr>
    </w:p>
    <w:p w14:paraId="15947D9F">
      <w:pPr>
        <w:pageBreakBefore w:val="0"/>
        <w:kinsoku/>
        <w:wordWrap/>
        <w:overflowPunct/>
        <w:topLinePunct w:val="0"/>
        <w:bidi w:val="0"/>
        <w:snapToGrid w:val="0"/>
        <w:spacing w:line="520" w:lineRule="exact"/>
        <w:ind w:left="1080" w:leftChars="257" w:hanging="540"/>
        <w:textAlignment w:val="baseline"/>
        <w:rPr>
          <w:rFonts w:ascii="微软雅黑" w:hAnsi="微软雅黑" w:eastAsia="微软雅黑" w:cs="微软雅黑"/>
          <w:b/>
          <w:color w:val="auto"/>
          <w:sz w:val="28"/>
          <w:highlight w:val="none"/>
        </w:rPr>
      </w:pPr>
    </w:p>
    <w:p w14:paraId="18DFE5A6">
      <w:pPr>
        <w:pStyle w:val="37"/>
        <w:pageBreakBefore w:val="0"/>
        <w:kinsoku/>
        <w:wordWrap/>
        <w:overflowPunct/>
        <w:topLinePunct w:val="0"/>
        <w:bidi w:val="0"/>
        <w:snapToGrid w:val="0"/>
        <w:spacing w:line="520" w:lineRule="exact"/>
        <w:ind w:firstLine="560"/>
        <w:textAlignment w:val="baseline"/>
        <w:rPr>
          <w:rFonts w:ascii="微软雅黑" w:hAnsi="微软雅黑" w:eastAsia="微软雅黑" w:cs="微软雅黑"/>
          <w:b/>
          <w:color w:val="auto"/>
          <w:sz w:val="28"/>
          <w:highlight w:val="none"/>
        </w:rPr>
      </w:pPr>
    </w:p>
    <w:p w14:paraId="0F319D7D">
      <w:pPr>
        <w:pStyle w:val="37"/>
        <w:pageBreakBefore w:val="0"/>
        <w:kinsoku/>
        <w:wordWrap/>
        <w:overflowPunct/>
        <w:topLinePunct w:val="0"/>
        <w:bidi w:val="0"/>
        <w:snapToGrid w:val="0"/>
        <w:spacing w:line="520" w:lineRule="exact"/>
        <w:ind w:firstLine="560"/>
        <w:textAlignment w:val="baseline"/>
        <w:rPr>
          <w:rFonts w:ascii="微软雅黑" w:hAnsi="微软雅黑" w:eastAsia="微软雅黑" w:cs="微软雅黑"/>
          <w:b/>
          <w:color w:val="auto"/>
          <w:sz w:val="28"/>
          <w:highlight w:val="none"/>
        </w:rPr>
      </w:pPr>
    </w:p>
    <w:p w14:paraId="6892EBB4">
      <w:pPr>
        <w:pStyle w:val="37"/>
        <w:pageBreakBefore w:val="0"/>
        <w:kinsoku/>
        <w:wordWrap/>
        <w:overflowPunct/>
        <w:topLinePunct w:val="0"/>
        <w:bidi w:val="0"/>
        <w:snapToGrid w:val="0"/>
        <w:spacing w:line="520" w:lineRule="exact"/>
        <w:ind w:firstLine="560"/>
        <w:textAlignment w:val="baseline"/>
        <w:rPr>
          <w:rFonts w:ascii="微软雅黑" w:hAnsi="微软雅黑" w:eastAsia="微软雅黑" w:cs="微软雅黑"/>
          <w:b/>
          <w:color w:val="auto"/>
          <w:sz w:val="28"/>
          <w:highlight w:val="none"/>
        </w:rPr>
      </w:pPr>
    </w:p>
    <w:p w14:paraId="4F3FA4FB">
      <w:pPr>
        <w:pageBreakBefore w:val="0"/>
        <w:kinsoku/>
        <w:wordWrap/>
        <w:overflowPunct/>
        <w:topLinePunct w:val="0"/>
        <w:bidi w:val="0"/>
        <w:snapToGrid w:val="0"/>
        <w:spacing w:line="520" w:lineRule="exact"/>
        <w:ind w:left="1080" w:leftChars="257" w:hanging="540"/>
        <w:textAlignment w:val="baseline"/>
        <w:rPr>
          <w:rFonts w:ascii="微软雅黑" w:hAnsi="微软雅黑" w:eastAsia="微软雅黑" w:cs="微软雅黑"/>
          <w:b/>
          <w:color w:val="auto"/>
          <w:sz w:val="28"/>
          <w:highlight w:val="none"/>
        </w:rPr>
      </w:pPr>
    </w:p>
    <w:p w14:paraId="1FC29BDA">
      <w:pPr>
        <w:pStyle w:val="8"/>
        <w:pageBreakBefore w:val="0"/>
        <w:kinsoku/>
        <w:wordWrap/>
        <w:overflowPunct/>
        <w:topLinePunct w:val="0"/>
        <w:bidi w:val="0"/>
        <w:snapToGrid w:val="0"/>
        <w:spacing w:line="520" w:lineRule="exact"/>
        <w:ind w:firstLine="0"/>
        <w:textAlignment w:val="baseline"/>
        <w:rPr>
          <w:rFonts w:ascii="微软雅黑" w:hAnsi="微软雅黑" w:eastAsia="微软雅黑" w:cs="微软雅黑"/>
          <w:b/>
          <w:color w:val="auto"/>
          <w:sz w:val="52"/>
          <w:highlight w:val="none"/>
        </w:rPr>
      </w:pPr>
    </w:p>
    <w:p w14:paraId="264F32C3">
      <w:pPr>
        <w:pStyle w:val="3"/>
        <w:pageBreakBefore w:val="0"/>
        <w:tabs>
          <w:tab w:val="left" w:pos="0"/>
        </w:tabs>
        <w:kinsoku/>
        <w:wordWrap/>
        <w:overflowPunct/>
        <w:topLinePunct w:val="0"/>
        <w:bidi w:val="0"/>
        <w:snapToGrid w:val="0"/>
        <w:spacing w:before="0" w:after="0" w:line="520" w:lineRule="exact"/>
        <w:textAlignment w:val="baseline"/>
        <w:rPr>
          <w:rFonts w:ascii="微软雅黑" w:hAnsi="微软雅黑" w:eastAsia="微软雅黑" w:cs="微软雅黑"/>
          <w:color w:val="auto"/>
          <w:highlight w:val="none"/>
        </w:rPr>
      </w:pPr>
      <w:bookmarkStart w:id="703" w:name="_Toc16631"/>
      <w:bookmarkStart w:id="704" w:name="_Toc22088"/>
      <w:r>
        <w:rPr>
          <w:rFonts w:hint="eastAsia" w:ascii="微软雅黑" w:hAnsi="微软雅黑" w:eastAsia="微软雅黑" w:cs="微软雅黑"/>
          <w:color w:val="auto"/>
          <w:highlight w:val="none"/>
        </w:rPr>
        <w:t>第3章 磋商邀请</w:t>
      </w:r>
      <w:bookmarkEnd w:id="696"/>
      <w:bookmarkEnd w:id="697"/>
      <w:bookmarkEnd w:id="698"/>
      <w:bookmarkEnd w:id="699"/>
      <w:bookmarkEnd w:id="700"/>
      <w:bookmarkEnd w:id="701"/>
      <w:bookmarkEnd w:id="702"/>
      <w:bookmarkEnd w:id="703"/>
      <w:bookmarkEnd w:id="704"/>
    </w:p>
    <w:p w14:paraId="537D45E7">
      <w:pPr>
        <w:keepNext/>
        <w:keepLines/>
        <w:pageBreakBefore w:val="0"/>
        <w:tabs>
          <w:tab w:val="left" w:pos="0"/>
        </w:tabs>
        <w:kinsoku/>
        <w:wordWrap/>
        <w:overflowPunct/>
        <w:topLinePunct w:val="0"/>
        <w:autoSpaceDE w:val="0"/>
        <w:autoSpaceDN w:val="0"/>
        <w:bidi w:val="0"/>
        <w:adjustRightInd w:val="0"/>
        <w:spacing w:line="500" w:lineRule="exact"/>
        <w:jc w:val="center"/>
        <w:rPr>
          <w:rFonts w:hint="eastAsia" w:ascii="微软雅黑" w:hAnsi="微软雅黑" w:eastAsia="微软雅黑" w:cs="微软雅黑"/>
          <w:b/>
          <w:bCs/>
          <w:color w:val="auto"/>
          <w:kern w:val="44"/>
          <w:sz w:val="28"/>
          <w:szCs w:val="28"/>
          <w:highlight w:val="none"/>
        </w:rPr>
      </w:pPr>
      <w:bookmarkStart w:id="705" w:name="_Toc35393797"/>
      <w:bookmarkStart w:id="706" w:name="_Toc28359011"/>
      <w:bookmarkStart w:id="707" w:name="_Toc216582823"/>
      <w:bookmarkStart w:id="708" w:name="_Toc10488"/>
      <w:bookmarkStart w:id="709" w:name="_Toc21562"/>
      <w:bookmarkStart w:id="710" w:name="_Toc507399903"/>
      <w:bookmarkStart w:id="711" w:name="_Toc512937850"/>
      <w:bookmarkStart w:id="712" w:name="_Toc515647830"/>
      <w:bookmarkStart w:id="713" w:name="_Toc31583"/>
      <w:r>
        <w:rPr>
          <w:rFonts w:hint="eastAsia" w:ascii="微软雅黑" w:hAnsi="微软雅黑" w:eastAsia="微软雅黑" w:cs="微软雅黑"/>
          <w:b/>
          <w:bCs/>
          <w:color w:val="auto"/>
          <w:kern w:val="44"/>
          <w:sz w:val="28"/>
          <w:szCs w:val="28"/>
          <w:highlight w:val="none"/>
          <w:lang w:val="en-US" w:eastAsia="zh-CN"/>
        </w:rPr>
        <w:t>喀什地区社会福利院普惠养老服务能力提升项目</w:t>
      </w:r>
    </w:p>
    <w:p w14:paraId="1D1F6620">
      <w:pPr>
        <w:keepNext/>
        <w:keepLines/>
        <w:pageBreakBefore w:val="0"/>
        <w:tabs>
          <w:tab w:val="left" w:pos="0"/>
        </w:tabs>
        <w:kinsoku/>
        <w:wordWrap/>
        <w:overflowPunct/>
        <w:topLinePunct w:val="0"/>
        <w:autoSpaceDE w:val="0"/>
        <w:autoSpaceDN w:val="0"/>
        <w:bidi w:val="0"/>
        <w:adjustRightInd w:val="0"/>
        <w:spacing w:line="50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b/>
          <w:bCs/>
          <w:color w:val="auto"/>
          <w:kern w:val="44"/>
          <w:sz w:val="28"/>
          <w:szCs w:val="28"/>
          <w:highlight w:val="none"/>
        </w:rPr>
        <w:t>竞争性磋商公告</w:t>
      </w:r>
      <w:bookmarkEnd w:id="705"/>
      <w:bookmarkEnd w:id="706"/>
    </w:p>
    <w:p w14:paraId="2C4EA313">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03DFDC63">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喀什地区社会福利院普惠养老服务能力提升项目</w:t>
      </w:r>
      <w:r>
        <w:rPr>
          <w:rFonts w:hint="eastAsia" w:ascii="微软雅黑" w:hAnsi="微软雅黑" w:eastAsia="微软雅黑" w:cs="微软雅黑"/>
          <w:color w:val="auto"/>
          <w:sz w:val="24"/>
          <w:szCs w:val="24"/>
          <w:highlight w:val="none"/>
          <w:lang w:eastAsia="zh-CN"/>
        </w:rPr>
        <w:t>的潜</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应在政采云平台（https://www.zcygov.cn/） 获取采购文件，并于</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11 </w:t>
      </w:r>
      <w:r>
        <w:rPr>
          <w:rFonts w:hint="eastAsia" w:ascii="微软雅黑" w:hAnsi="微软雅黑" w:eastAsia="微软雅黑" w:cs="微软雅黑"/>
          <w:color w:val="auto"/>
          <w:sz w:val="24"/>
          <w:szCs w:val="24"/>
          <w:highlight w:val="none"/>
        </w:rPr>
        <w:t>点00分（北京时间）</w:t>
      </w:r>
      <w:r>
        <w:rPr>
          <w:rFonts w:hint="eastAsia" w:ascii="微软雅黑" w:hAnsi="微软雅黑" w:eastAsia="微软雅黑" w:cs="微软雅黑"/>
          <w:bCs/>
          <w:color w:val="auto"/>
          <w:sz w:val="24"/>
          <w:szCs w:val="24"/>
          <w:highlight w:val="none"/>
        </w:rPr>
        <w:t>前提交响应文件</w:t>
      </w:r>
      <w:r>
        <w:rPr>
          <w:rFonts w:hint="eastAsia" w:ascii="微软雅黑" w:hAnsi="微软雅黑" w:eastAsia="微软雅黑" w:cs="微软雅黑"/>
          <w:color w:val="auto"/>
          <w:sz w:val="24"/>
          <w:szCs w:val="24"/>
          <w:highlight w:val="none"/>
        </w:rPr>
        <w:t>。</w:t>
      </w:r>
    </w:p>
    <w:p w14:paraId="208C9614">
      <w:pPr>
        <w:keepNext/>
        <w:keepLines/>
        <w:pageBreakBefore w:val="0"/>
        <w:kinsoku/>
        <w:wordWrap/>
        <w:overflowPunct/>
        <w:topLinePunct w:val="0"/>
        <w:autoSpaceDE/>
        <w:autoSpaceDN/>
        <w:bidi w:val="0"/>
        <w:adjustRightInd/>
        <w:spacing w:line="500" w:lineRule="exact"/>
        <w:rPr>
          <w:rFonts w:hint="eastAsia" w:ascii="微软雅黑" w:hAnsi="微软雅黑" w:eastAsia="微软雅黑" w:cs="微软雅黑"/>
          <w:b/>
          <w:color w:val="auto"/>
          <w:sz w:val="24"/>
          <w:szCs w:val="24"/>
          <w:highlight w:val="none"/>
        </w:rPr>
      </w:pPr>
      <w:bookmarkStart w:id="714" w:name="_Toc28359012"/>
      <w:bookmarkStart w:id="715" w:name="_Toc35393798"/>
      <w:bookmarkStart w:id="716" w:name="_Toc28359089"/>
      <w:bookmarkStart w:id="717" w:name="_Toc35393629"/>
      <w:r>
        <w:rPr>
          <w:rFonts w:hint="eastAsia" w:ascii="微软雅黑" w:hAnsi="微软雅黑" w:eastAsia="微软雅黑" w:cs="微软雅黑"/>
          <w:b/>
          <w:color w:val="auto"/>
          <w:sz w:val="24"/>
          <w:szCs w:val="24"/>
          <w:highlight w:val="none"/>
        </w:rPr>
        <w:t>一、项目基本情况</w:t>
      </w:r>
      <w:bookmarkEnd w:id="714"/>
      <w:bookmarkEnd w:id="715"/>
      <w:bookmarkEnd w:id="716"/>
      <w:bookmarkEnd w:id="717"/>
    </w:p>
    <w:p w14:paraId="3586B7CE">
      <w:pPr>
        <w:pageBreakBefore w:val="0"/>
        <w:kinsoku/>
        <w:wordWrap/>
        <w:overflowPunct/>
        <w:topLinePunct w:val="0"/>
        <w:autoSpaceDE/>
        <w:autoSpaceDN/>
        <w:bidi w:val="0"/>
        <w:adjustRightInd/>
        <w:spacing w:line="5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val="en-US" w:eastAsia="zh-CN"/>
        </w:rPr>
        <w:t>YXGJ(CS)2026-07号</w:t>
      </w:r>
    </w:p>
    <w:p w14:paraId="68696D0C">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val="en-US" w:eastAsia="zh-CN"/>
        </w:rPr>
        <w:t>喀什地区社会福利院普惠养老服务能力提升项目</w:t>
      </w:r>
    </w:p>
    <w:p w14:paraId="7D0865B6">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采购方式：竞争性磋商</w:t>
      </w:r>
    </w:p>
    <w:p w14:paraId="37589A6D">
      <w:pPr>
        <w:pageBreakBefore w:val="0"/>
        <w:kinsoku/>
        <w:wordWrap/>
        <w:overflowPunct/>
        <w:topLinePunct w:val="0"/>
        <w:autoSpaceDE/>
        <w:autoSpaceDN/>
        <w:bidi w:val="0"/>
        <w:adjustRightInd/>
        <w:spacing w:line="5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招标控制价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3520487.08 元。</w:t>
      </w:r>
    </w:p>
    <w:p w14:paraId="0E3AC062">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建设内容</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对居室、卫生间、室内公共区域适老化改造及购置适老化设施设备等;拆除新建及加固院内破损坍塌砖围墙改造，新建洗衣房、库房、值班室、活动室、卫生间等附属用房，建筑面积553.09平方米;配套建设大门3座、地面硬化(含活动区步道)平方米及绿化3800平方米、院内亮化(安装路灯12盏)、监控设施8套。</w:t>
      </w:r>
      <w:r>
        <w:rPr>
          <w:rFonts w:hint="eastAsia" w:ascii="微软雅黑" w:hAnsi="微软雅黑" w:eastAsia="微软雅黑" w:cs="微软雅黑"/>
          <w:color w:val="auto"/>
          <w:sz w:val="24"/>
          <w:szCs w:val="24"/>
          <w:highlight w:val="none"/>
          <w:lang w:val="en-US" w:eastAsia="zh-CN"/>
        </w:rPr>
        <w:t>（具体详见工程量清单及施工图纸）。</w:t>
      </w:r>
    </w:p>
    <w:p w14:paraId="28168D2A">
      <w:pPr>
        <w:pageBreakBefore w:val="0"/>
        <w:kinsoku/>
        <w:wordWrap/>
        <w:overflowPunct/>
        <w:topLinePunct w:val="0"/>
        <w:autoSpaceDE/>
        <w:autoSpaceDN/>
        <w:bidi w:val="0"/>
        <w:adjustRightInd/>
        <w:spacing w:line="5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6、资金来源：自治区彩票公益金。</w:t>
      </w:r>
    </w:p>
    <w:p w14:paraId="32AB6C65">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本项目</w:t>
      </w:r>
      <w:r>
        <w:rPr>
          <w:rFonts w:hint="eastAsia" w:ascii="微软雅黑" w:hAnsi="微软雅黑" w:eastAsia="微软雅黑" w:cs="微软雅黑"/>
          <w:strike w:val="0"/>
          <w:dstrike w:val="0"/>
          <w:color w:val="auto"/>
          <w:sz w:val="24"/>
          <w:szCs w:val="24"/>
          <w:highlight w:val="none"/>
          <w:lang w:eastAsia="zh-CN"/>
        </w:rPr>
        <w:t>不</w:t>
      </w:r>
      <w:r>
        <w:rPr>
          <w:rFonts w:hint="eastAsia" w:ascii="微软雅黑" w:hAnsi="微软雅黑" w:eastAsia="微软雅黑" w:cs="微软雅黑"/>
          <w:color w:val="auto"/>
          <w:sz w:val="24"/>
          <w:szCs w:val="24"/>
          <w:highlight w:val="none"/>
        </w:rPr>
        <w:t>接受联合体。</w:t>
      </w:r>
      <w:bookmarkStart w:id="718" w:name="_Toc35393630"/>
      <w:bookmarkStart w:id="719" w:name="_Toc28359013"/>
      <w:bookmarkStart w:id="720" w:name="_Toc35393799"/>
      <w:bookmarkStart w:id="721" w:name="_Toc28359090"/>
    </w:p>
    <w:p w14:paraId="59C2AA36">
      <w:pPr>
        <w:pageBreakBefore w:val="0"/>
        <w:kinsoku/>
        <w:wordWrap/>
        <w:overflowPunct/>
        <w:topLinePunct w:val="0"/>
        <w:autoSpaceDE/>
        <w:autoSpaceDN/>
        <w:bidi w:val="0"/>
        <w:adjustRightInd/>
        <w:spacing w:line="5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w:t>
      </w:r>
      <w:r>
        <w:rPr>
          <w:rFonts w:hint="eastAsia" w:ascii="微软雅黑" w:hAnsi="微软雅黑" w:eastAsia="微软雅黑" w:cs="微软雅黑"/>
          <w:b/>
          <w:color w:val="auto"/>
          <w:sz w:val="24"/>
          <w:szCs w:val="24"/>
          <w:highlight w:val="none"/>
          <w:lang w:eastAsia="zh-CN"/>
        </w:rPr>
        <w:t>供应商</w:t>
      </w:r>
      <w:r>
        <w:rPr>
          <w:rFonts w:hint="eastAsia" w:ascii="微软雅黑" w:hAnsi="微软雅黑" w:eastAsia="微软雅黑" w:cs="微软雅黑"/>
          <w:b/>
          <w:color w:val="auto"/>
          <w:sz w:val="24"/>
          <w:szCs w:val="24"/>
          <w:highlight w:val="none"/>
        </w:rPr>
        <w:t>资格要求：</w:t>
      </w:r>
      <w:bookmarkEnd w:id="718"/>
      <w:bookmarkEnd w:id="719"/>
      <w:bookmarkEnd w:id="720"/>
      <w:bookmarkEnd w:id="721"/>
      <w:bookmarkStart w:id="722" w:name="_Toc28359015"/>
      <w:bookmarkStart w:id="723" w:name="_Toc35393801"/>
      <w:bookmarkStart w:id="724" w:name="_Toc28359092"/>
      <w:bookmarkStart w:id="725" w:name="_Toc35393632"/>
    </w:p>
    <w:p w14:paraId="637FC189">
      <w:pPr>
        <w:pStyle w:val="32"/>
        <w:pageBreakBefore w:val="0"/>
        <w:widowControl/>
        <w:kinsoku/>
        <w:wordWrap/>
        <w:overflowPunct/>
        <w:topLinePunct w:val="0"/>
        <w:autoSpaceDE/>
        <w:autoSpaceDN/>
        <w:bidi w:val="0"/>
        <w:adjustRightInd/>
        <w:spacing w:before="75" w:beforeAutospacing="0" w:after="75" w:afterAutospacing="0" w:line="500" w:lineRule="exact"/>
        <w:ind w:left="458" w:leftChars="218"/>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1、符合《中华人民共和国政府采购法》第二十二条的规定；</w:t>
      </w:r>
    </w:p>
    <w:p w14:paraId="6CF87492">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371A9972">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02DFCD7D">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color w:val="auto"/>
          <w:highlight w:val="none"/>
          <w:lang w:val="en-US" w:eastAsia="zh-CN"/>
        </w:rPr>
        <w:t>提供本单位依法缴纳近</w:t>
      </w:r>
      <w:r>
        <w:rPr>
          <w:rFonts w:hint="eastAsia" w:ascii="微软雅黑" w:hAnsi="微软雅黑" w:eastAsia="微软雅黑" w:cs="微软雅黑"/>
          <w:strike w:val="0"/>
          <w:dstrike w:val="0"/>
          <w:color w:val="auto"/>
          <w:highlight w:val="none"/>
          <w:lang w:val="en-US" w:eastAsia="zh-CN"/>
        </w:rPr>
        <w:t>6</w:t>
      </w:r>
      <w:r>
        <w:rPr>
          <w:rFonts w:hint="eastAsia" w:ascii="微软雅黑" w:hAnsi="微软雅黑" w:eastAsia="微软雅黑" w:cs="微软雅黑"/>
          <w:color w:val="auto"/>
          <w:highlight w:val="none"/>
          <w:lang w:val="en-US" w:eastAsia="zh-CN"/>
        </w:rPr>
        <w:t>个月内任意一个月的社会保险证明（新成立公司提供相关证明文件）</w:t>
      </w:r>
      <w:r>
        <w:rPr>
          <w:rFonts w:hint="eastAsia" w:ascii="微软雅黑" w:hAnsi="微软雅黑" w:eastAsia="微软雅黑" w:cs="微软雅黑"/>
          <w:color w:val="auto"/>
          <w:highlight w:val="none"/>
        </w:rPr>
        <w:t>；</w:t>
      </w:r>
    </w:p>
    <w:p w14:paraId="56D9C23A">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color w:val="auto"/>
          <w:highlight w:val="none"/>
          <w:lang w:val="en-US" w:eastAsia="zh-CN"/>
        </w:rPr>
        <w:t>提供</w:t>
      </w:r>
      <w:r>
        <w:rPr>
          <w:rFonts w:hint="eastAsia" w:ascii="微软雅黑" w:hAnsi="微软雅黑" w:eastAsia="微软雅黑" w:cs="微软雅黑"/>
          <w:color w:val="auto"/>
          <w:highlight w:val="none"/>
        </w:rPr>
        <w:t>税务部门出具的</w:t>
      </w:r>
      <w:r>
        <w:rPr>
          <w:rFonts w:hint="eastAsia" w:ascii="微软雅黑" w:hAnsi="微软雅黑" w:eastAsia="微软雅黑" w:cs="微软雅黑"/>
          <w:color w:val="auto"/>
          <w:highlight w:val="none"/>
          <w:lang w:val="en-US" w:eastAsia="zh-CN"/>
        </w:rPr>
        <w:t>本单位</w:t>
      </w:r>
      <w:r>
        <w:rPr>
          <w:rFonts w:hint="eastAsia" w:ascii="微软雅黑" w:hAnsi="微软雅黑" w:eastAsia="微软雅黑" w:cs="微软雅黑"/>
          <w:color w:val="auto"/>
          <w:highlight w:val="none"/>
        </w:rPr>
        <w:t>近</w:t>
      </w: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个月内任意一个月的完税证明（依法免缴的应提供依法免缴的相关证明文件或零申报报表</w:t>
      </w:r>
      <w:r>
        <w:rPr>
          <w:rFonts w:hint="eastAsia" w:ascii="微软雅黑" w:hAnsi="微软雅黑" w:eastAsia="微软雅黑" w:cs="微软雅黑"/>
          <w:color w:val="auto"/>
          <w:highlight w:val="none"/>
          <w:lang w:eastAsia="zh-CN"/>
        </w:rPr>
        <w:t>或无欠税证明</w:t>
      </w:r>
      <w:r>
        <w:rPr>
          <w:rFonts w:hint="eastAsia" w:ascii="微软雅黑" w:hAnsi="微软雅黑" w:eastAsia="微软雅黑" w:cs="微软雅黑"/>
          <w:color w:val="auto"/>
          <w:highlight w:val="none"/>
        </w:rPr>
        <w:t>）</w:t>
      </w:r>
      <w:r>
        <w:rPr>
          <w:rFonts w:hint="eastAsia" w:ascii="微软雅黑" w:hAnsi="微软雅黑" w:eastAsia="微软雅黑" w:cs="微软雅黑"/>
          <w:i w:val="0"/>
          <w:iCs w:val="0"/>
          <w:caps w:val="0"/>
          <w:color w:val="auto"/>
          <w:spacing w:val="0"/>
          <w:sz w:val="24"/>
          <w:szCs w:val="24"/>
          <w:highlight w:val="none"/>
        </w:rPr>
        <w:t>；</w:t>
      </w:r>
    </w:p>
    <w:p w14:paraId="413EC71A">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⑤提供近两年任意一年完整的财务审计报告（或近一个月的银行资信证明）；</w:t>
      </w:r>
    </w:p>
    <w:p w14:paraId="45572A7A">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0FDA8974">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14:paraId="6ACA1F0E">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i w:val="0"/>
          <w:iCs w:val="0"/>
          <w:caps w:val="0"/>
          <w:color w:val="auto"/>
          <w:spacing w:val="0"/>
          <w:sz w:val="24"/>
          <w:szCs w:val="24"/>
          <w:highlight w:val="none"/>
        </w:rPr>
        <w:t>；</w:t>
      </w:r>
    </w:p>
    <w:p w14:paraId="57C3EE47">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500" w:lineRule="exact"/>
        <w:ind w:left="0" w:leftChars="0" w:right="0" w:rightChars="0" w:firstLine="480" w:firstLineChars="200"/>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kern w:val="0"/>
          <w:sz w:val="24"/>
          <w:szCs w:val="24"/>
          <w:highlight w:val="none"/>
          <w:lang w:val="en-US" w:eastAsia="zh-CN" w:bidi="ar-SA"/>
        </w:rPr>
        <w:t>2、</w:t>
      </w: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落实政府采购政策需满足的资格要求：专门面向中小企业采购;</w:t>
      </w:r>
    </w:p>
    <w:p w14:paraId="33A5D08E">
      <w:pPr>
        <w:keepNext/>
        <w:keepLines/>
        <w:pageBreakBefore w:val="0"/>
        <w:kinsoku/>
        <w:wordWrap/>
        <w:overflowPunct/>
        <w:topLinePunct w:val="0"/>
        <w:autoSpaceDE/>
        <w:autoSpaceDN/>
        <w:bidi w:val="0"/>
        <w:adjustRightInd/>
        <w:spacing w:line="500" w:lineRule="exact"/>
        <w:ind w:firstLine="480" w:firstLineChars="200"/>
        <w:jc w:val="left"/>
        <w:rPr>
          <w:rFonts w:hint="eastAsia" w:ascii="微软雅黑" w:hAnsi="微软雅黑" w:eastAsia="微软雅黑" w:cs="微软雅黑"/>
          <w:b w:val="0"/>
          <w:bCs w:val="0"/>
          <w:i w:val="0"/>
          <w:iCs w:val="0"/>
          <w:caps w:val="0"/>
          <w:color w:val="auto"/>
          <w:spacing w:val="0"/>
          <w:sz w:val="24"/>
          <w:szCs w:val="24"/>
          <w:highlight w:val="none"/>
          <w:lang w:val="en-US" w:eastAsia="zh-CN"/>
        </w:rPr>
      </w:pPr>
      <w:r>
        <w:rPr>
          <w:rFonts w:hint="eastAsia" w:ascii="微软雅黑" w:hAnsi="微软雅黑" w:eastAsia="微软雅黑" w:cs="微软雅黑"/>
          <w:color w:val="auto"/>
          <w:kern w:val="2"/>
          <w:sz w:val="24"/>
          <w:szCs w:val="24"/>
          <w:highlight w:val="none"/>
          <w:lang w:val="en-US" w:eastAsia="zh-CN" w:bidi="ar-SA"/>
        </w:rPr>
        <w:t>3、</w:t>
      </w:r>
      <w:r>
        <w:rPr>
          <w:rFonts w:hint="eastAsia" w:ascii="微软雅黑" w:hAnsi="微软雅黑" w:eastAsia="微软雅黑" w:cs="微软雅黑"/>
          <w:b w:val="0"/>
          <w:bCs w:val="0"/>
          <w:i w:val="0"/>
          <w:iCs w:val="0"/>
          <w:caps w:val="0"/>
          <w:color w:val="auto"/>
          <w:spacing w:val="0"/>
          <w:sz w:val="24"/>
          <w:szCs w:val="24"/>
          <w:highlight w:val="none"/>
          <w:lang w:val="en-US" w:eastAsia="zh-CN"/>
        </w:rPr>
        <w:t>本项</w:t>
      </w:r>
      <w:r>
        <w:rPr>
          <w:rFonts w:hint="eastAsia" w:ascii="微软雅黑" w:hAnsi="微软雅黑" w:eastAsia="微软雅黑" w:cs="微软雅黑"/>
          <w:i w:val="0"/>
          <w:iCs w:val="0"/>
          <w:caps w:val="0"/>
          <w:color w:val="auto"/>
          <w:spacing w:val="0"/>
          <w:sz w:val="24"/>
          <w:szCs w:val="24"/>
          <w:highlight w:val="none"/>
          <w:lang w:val="en-US" w:eastAsia="zh-CN"/>
        </w:rPr>
        <w:t>目的特定资格要</w:t>
      </w:r>
      <w:r>
        <w:rPr>
          <w:rFonts w:hint="eastAsia" w:ascii="微软雅黑" w:hAnsi="微软雅黑" w:eastAsia="微软雅黑" w:cs="微软雅黑"/>
          <w:b w:val="0"/>
          <w:bCs w:val="0"/>
          <w:i w:val="0"/>
          <w:iCs w:val="0"/>
          <w:caps w:val="0"/>
          <w:color w:val="auto"/>
          <w:spacing w:val="0"/>
          <w:sz w:val="24"/>
          <w:szCs w:val="24"/>
          <w:highlight w:val="none"/>
          <w:lang w:val="en-US" w:eastAsia="zh-CN"/>
        </w:rPr>
        <w:t>求：①企业资质要求：【建筑工程施工总承包三级】（含）及以上资质或【建筑装饰装修工程施工专业承包二级】（含）及以上资质，并具备有效的安全生产许可证。②项目负责人资质要求：【建筑工程专业二级】（含）及二级以上注册建造师执业资格，具备有效的B类安全生产考核合格证书，且不得担任其他在建工程的项目负责人</w:t>
      </w:r>
      <w:r>
        <w:rPr>
          <w:rFonts w:hint="eastAsia" w:ascii="微软雅黑" w:hAnsi="微软雅黑" w:eastAsia="微软雅黑" w:cs="微软雅黑"/>
          <w:b/>
          <w:bCs/>
          <w:color w:val="auto"/>
          <w:kern w:val="2"/>
          <w:sz w:val="24"/>
          <w:szCs w:val="24"/>
          <w:highlight w:val="none"/>
          <w:lang w:val="en-US" w:eastAsia="zh-CN" w:bidi="ar-SA"/>
        </w:rPr>
        <w:t>（提供无在建项目承诺书）</w:t>
      </w:r>
      <w:r>
        <w:rPr>
          <w:rFonts w:hint="eastAsia" w:ascii="微软雅黑" w:hAnsi="微软雅黑" w:eastAsia="微软雅黑" w:cs="微软雅黑"/>
          <w:b w:val="0"/>
          <w:bCs w:val="0"/>
          <w:i w:val="0"/>
          <w:iCs w:val="0"/>
          <w:caps w:val="0"/>
          <w:color w:val="auto"/>
          <w:spacing w:val="0"/>
          <w:sz w:val="24"/>
          <w:szCs w:val="24"/>
          <w:highlight w:val="none"/>
          <w:lang w:val="en-US" w:eastAsia="zh-CN"/>
        </w:rPr>
        <w:t>。</w:t>
      </w:r>
    </w:p>
    <w:p w14:paraId="55205000">
      <w:pPr>
        <w:keepNext/>
        <w:keepLines/>
        <w:pageBreakBefore w:val="0"/>
        <w:kinsoku/>
        <w:wordWrap/>
        <w:overflowPunct/>
        <w:topLinePunct w:val="0"/>
        <w:autoSpaceDE/>
        <w:autoSpaceDN/>
        <w:bidi w:val="0"/>
        <w:adjustRightInd/>
        <w:spacing w:line="500" w:lineRule="exact"/>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sz w:val="24"/>
          <w:szCs w:val="24"/>
          <w:highlight w:val="none"/>
        </w:rPr>
        <w:t>三、获取采购文件</w:t>
      </w:r>
    </w:p>
    <w:p w14:paraId="78A029ED">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27</w:t>
      </w:r>
      <w:r>
        <w:rPr>
          <w:rFonts w:hint="eastAsia" w:ascii="微软雅黑" w:hAnsi="微软雅黑" w:eastAsia="微软雅黑" w:cs="微软雅黑"/>
          <w:color w:val="auto"/>
          <w:sz w:val="24"/>
          <w:szCs w:val="24"/>
          <w:highlight w:val="none"/>
        </w:rPr>
        <w:t>日至202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5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i w:val="0"/>
          <w:iCs w:val="0"/>
          <w:caps w:val="0"/>
          <w:color w:val="auto"/>
          <w:spacing w:val="0"/>
          <w:sz w:val="24"/>
          <w:szCs w:val="24"/>
          <w:highlight w:val="none"/>
        </w:rPr>
        <w:t>每天上午00:00至12:00，下午12:00至23:59（北京时间，法定节假日除外）</w:t>
      </w:r>
      <w:r>
        <w:rPr>
          <w:rFonts w:hint="eastAsia" w:ascii="微软雅黑" w:hAnsi="微软雅黑" w:eastAsia="微软雅黑" w:cs="微软雅黑"/>
          <w:color w:val="auto"/>
          <w:sz w:val="24"/>
          <w:szCs w:val="24"/>
          <w:highlight w:val="none"/>
        </w:rPr>
        <w:t>）</w:t>
      </w:r>
    </w:p>
    <w:p w14:paraId="124FBC21">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14:paraId="318E981D">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14:paraId="32721978">
      <w:pPr>
        <w:keepNext/>
        <w:keepLines/>
        <w:pageBreakBefore w:val="0"/>
        <w:kinsoku/>
        <w:wordWrap/>
        <w:overflowPunct/>
        <w:topLinePunct w:val="0"/>
        <w:autoSpaceDE/>
        <w:autoSpaceDN/>
        <w:bidi w:val="0"/>
        <w:adjustRightInd/>
        <w:spacing w:line="5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四、响应文件提交</w:t>
      </w:r>
      <w:bookmarkEnd w:id="722"/>
      <w:bookmarkEnd w:id="723"/>
      <w:bookmarkEnd w:id="724"/>
      <w:bookmarkEnd w:id="725"/>
      <w:r>
        <w:rPr>
          <w:rFonts w:hint="eastAsia" w:ascii="微软雅黑" w:hAnsi="微软雅黑" w:eastAsia="微软雅黑" w:cs="微软雅黑"/>
          <w:b/>
          <w:color w:val="auto"/>
          <w:sz w:val="24"/>
          <w:szCs w:val="24"/>
          <w:highlight w:val="none"/>
        </w:rPr>
        <w:t>及开启</w:t>
      </w:r>
    </w:p>
    <w:p w14:paraId="47BFC2EC">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11 </w:t>
      </w:r>
      <w:r>
        <w:rPr>
          <w:rFonts w:hint="eastAsia" w:ascii="微软雅黑" w:hAnsi="微软雅黑" w:eastAsia="微软雅黑" w:cs="微软雅黑"/>
          <w:color w:val="auto"/>
          <w:sz w:val="24"/>
          <w:szCs w:val="24"/>
          <w:highlight w:val="none"/>
        </w:rPr>
        <w:t>点00分（北京时间）</w:t>
      </w:r>
    </w:p>
    <w:p w14:paraId="3645B1EC">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w:t>
      </w:r>
    </w:p>
    <w:p w14:paraId="6117012F">
      <w:pPr>
        <w:keepNext/>
        <w:keepLines/>
        <w:pageBreakBefore w:val="0"/>
        <w:kinsoku/>
        <w:wordWrap/>
        <w:overflowPunct/>
        <w:topLinePunct w:val="0"/>
        <w:autoSpaceDE/>
        <w:autoSpaceDN/>
        <w:bidi w:val="0"/>
        <w:adjustRightInd/>
        <w:spacing w:line="500" w:lineRule="exact"/>
        <w:rPr>
          <w:rFonts w:hint="eastAsia" w:ascii="微软雅黑" w:hAnsi="微软雅黑" w:eastAsia="微软雅黑" w:cs="微软雅黑"/>
          <w:b/>
          <w:color w:val="auto"/>
          <w:sz w:val="24"/>
          <w:szCs w:val="24"/>
          <w:highlight w:val="none"/>
        </w:rPr>
      </w:pPr>
      <w:bookmarkStart w:id="726" w:name="_Toc35393633"/>
      <w:bookmarkStart w:id="727" w:name="_Toc28359093"/>
      <w:bookmarkStart w:id="728" w:name="_Toc35393802"/>
      <w:bookmarkStart w:id="729" w:name="_Toc28359016"/>
      <w:r>
        <w:rPr>
          <w:rFonts w:hint="eastAsia" w:ascii="微软雅黑" w:hAnsi="微软雅黑" w:eastAsia="微软雅黑" w:cs="微软雅黑"/>
          <w:b/>
          <w:color w:val="auto"/>
          <w:sz w:val="24"/>
          <w:szCs w:val="24"/>
          <w:highlight w:val="none"/>
        </w:rPr>
        <w:t>五、</w:t>
      </w:r>
      <w:bookmarkEnd w:id="726"/>
      <w:bookmarkEnd w:id="727"/>
      <w:bookmarkEnd w:id="728"/>
      <w:bookmarkEnd w:id="729"/>
      <w:bookmarkStart w:id="730" w:name="_Toc28359017"/>
      <w:bookmarkStart w:id="731" w:name="_Toc35393634"/>
      <w:bookmarkStart w:id="732" w:name="_Toc35393803"/>
      <w:bookmarkStart w:id="733" w:name="_Toc28359094"/>
      <w:r>
        <w:rPr>
          <w:rFonts w:hint="eastAsia" w:ascii="微软雅黑" w:hAnsi="微软雅黑" w:eastAsia="微软雅黑" w:cs="微软雅黑"/>
          <w:b/>
          <w:color w:val="auto"/>
          <w:sz w:val="24"/>
          <w:szCs w:val="24"/>
          <w:highlight w:val="none"/>
        </w:rPr>
        <w:t>公告期限</w:t>
      </w:r>
      <w:bookmarkEnd w:id="730"/>
      <w:bookmarkEnd w:id="731"/>
      <w:bookmarkEnd w:id="732"/>
      <w:bookmarkEnd w:id="733"/>
    </w:p>
    <w:p w14:paraId="2EDBF954">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自本公告发布之日起3个工作日。</w:t>
      </w:r>
    </w:p>
    <w:p w14:paraId="0811B434">
      <w:pPr>
        <w:keepNext/>
        <w:keepLines/>
        <w:pageBreakBefore w:val="0"/>
        <w:kinsoku/>
        <w:wordWrap/>
        <w:overflowPunct/>
        <w:topLinePunct w:val="0"/>
        <w:autoSpaceDE/>
        <w:autoSpaceDN/>
        <w:bidi w:val="0"/>
        <w:adjustRightInd/>
        <w:spacing w:line="500" w:lineRule="exact"/>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rPr>
        <w:t>六、其他补充事宜</w:t>
      </w:r>
      <w:r>
        <w:rPr>
          <w:rFonts w:hint="eastAsia" w:ascii="微软雅黑" w:hAnsi="微软雅黑" w:eastAsia="微软雅黑" w:cs="微软雅黑"/>
          <w:b/>
          <w:color w:val="auto"/>
          <w:sz w:val="24"/>
          <w:szCs w:val="24"/>
          <w:highlight w:val="none"/>
          <w:lang w:eastAsia="zh-CN"/>
        </w:rPr>
        <w:t>：</w:t>
      </w:r>
    </w:p>
    <w:p w14:paraId="779410E7">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bookmarkStart w:id="734" w:name="_Toc35393804"/>
      <w:bookmarkStart w:id="735" w:name="_Toc35393635"/>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184CDBC1">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14:paraId="1EFB90F1">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6ED9F4A5">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5D1A4A48">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14:paraId="48BE28C6">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959"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486341DB">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959" w:firstLineChars="0"/>
        <w:textAlignment w:val="auto"/>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A32A9D8">
      <w:pPr>
        <w:pStyle w:val="26"/>
        <w:pageBreakBefore w:val="0"/>
        <w:kinsoku/>
        <w:wordWrap/>
        <w:overflowPunct/>
        <w:topLinePunct w:val="0"/>
        <w:autoSpaceDE/>
        <w:autoSpaceDN/>
        <w:bidi w:val="0"/>
        <w:adjustRightInd/>
        <w:spacing w:line="500" w:lineRule="exact"/>
        <w:ind w:firstLine="240" w:firstLineChars="100"/>
        <w:textAlignment w:val="auto"/>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特别提示：</w:t>
      </w:r>
    </w:p>
    <w:p w14:paraId="2F44AADD">
      <w:pPr>
        <w:pStyle w:val="26"/>
        <w:pageBreakBefore w:val="0"/>
        <w:kinsoku/>
        <w:wordWrap/>
        <w:overflowPunct/>
        <w:topLinePunct w:val="0"/>
        <w:autoSpaceDE/>
        <w:autoSpaceDN/>
        <w:bidi w:val="0"/>
        <w:adjustRightInd/>
        <w:spacing w:line="500" w:lineRule="exact"/>
        <w:ind w:firstLine="480" w:firstLineChars="200"/>
        <w:textAlignment w:val="auto"/>
        <w:rPr>
          <w:rFonts w:ascii="微软雅黑" w:hAnsi="微软雅黑" w:eastAsia="微软雅黑" w:cs="微软雅黑"/>
          <w:b w:val="0"/>
          <w:bCs w:val="0"/>
          <w:color w:val="auto"/>
          <w:kern w:val="0"/>
          <w:sz w:val="24"/>
          <w:highlight w:val="none"/>
        </w:rPr>
      </w:pPr>
      <w:r>
        <w:rPr>
          <w:rFonts w:hint="eastAsia" w:ascii="微软雅黑" w:hAnsi="微软雅黑" w:eastAsia="微软雅黑" w:cs="微软雅黑"/>
          <w:b w:val="0"/>
          <w:bCs w:val="0"/>
          <w:color w:val="auto"/>
          <w:kern w:val="0"/>
          <w:sz w:val="24"/>
          <w:highlight w:val="none"/>
        </w:rPr>
        <w:t>1、超过200万元的货物和服务采购项目、超过400万元的工程采购项目中适宜由中小企业提供的，预留该部分采购项目预算总额的</w:t>
      </w:r>
      <w:r>
        <w:rPr>
          <w:rFonts w:hint="eastAsia" w:ascii="微软雅黑" w:hAnsi="微软雅黑" w:eastAsia="微软雅黑" w:cs="微软雅黑"/>
          <w:b w:val="0"/>
          <w:bCs w:val="0"/>
          <w:color w:val="auto"/>
          <w:kern w:val="0"/>
          <w:sz w:val="24"/>
          <w:highlight w:val="none"/>
          <w:lang w:val="en-US" w:eastAsia="zh-CN"/>
        </w:rPr>
        <w:t>30</w:t>
      </w:r>
      <w:r>
        <w:rPr>
          <w:rFonts w:hint="eastAsia" w:ascii="微软雅黑" w:hAnsi="微软雅黑" w:eastAsia="微软雅黑" w:cs="微软雅黑"/>
          <w:b w:val="0"/>
          <w:bCs w:val="0"/>
          <w:color w:val="auto"/>
          <w:kern w:val="0"/>
          <w:sz w:val="24"/>
          <w:highlight w:val="none"/>
        </w:rPr>
        <w:t>%以上专门面向中小企业采购，其中预留给小微企业的比例不低于60%。</w:t>
      </w:r>
    </w:p>
    <w:p w14:paraId="26D94002">
      <w:pPr>
        <w:pStyle w:val="26"/>
        <w:pageBreakBefore w:val="0"/>
        <w:kinsoku/>
        <w:wordWrap/>
        <w:overflowPunct/>
        <w:topLinePunct w:val="0"/>
        <w:autoSpaceDE/>
        <w:autoSpaceDN/>
        <w:bidi w:val="0"/>
        <w:adjustRightInd/>
        <w:spacing w:line="500" w:lineRule="exact"/>
        <w:ind w:firstLine="480" w:firstLineChars="200"/>
        <w:textAlignment w:val="auto"/>
        <w:rPr>
          <w:rFonts w:ascii="微软雅黑" w:hAnsi="微软雅黑" w:eastAsia="微软雅黑" w:cs="微软雅黑"/>
          <w:b w:val="0"/>
          <w:bCs w:val="0"/>
          <w:color w:val="auto"/>
          <w:kern w:val="0"/>
          <w:sz w:val="24"/>
          <w:highlight w:val="none"/>
        </w:rPr>
      </w:pPr>
      <w:r>
        <w:rPr>
          <w:rFonts w:hint="eastAsia" w:ascii="微软雅黑" w:hAnsi="微软雅黑" w:eastAsia="微软雅黑" w:cs="微软雅黑"/>
          <w:b w:val="0"/>
          <w:bCs w:val="0"/>
          <w:color w:val="auto"/>
          <w:kern w:val="0"/>
          <w:sz w:val="24"/>
          <w:highlight w:val="none"/>
        </w:rPr>
        <w:t>2、对于未预留份额专门面向中小企业的采购项目，以及预留份额项目中的非预留部分采购包，</w:t>
      </w:r>
      <w:r>
        <w:rPr>
          <w:rFonts w:hint="eastAsia" w:ascii="微软雅黑" w:hAnsi="微软雅黑" w:eastAsia="微软雅黑" w:cs="微软雅黑"/>
          <w:b w:val="0"/>
          <w:bCs w:val="0"/>
          <w:color w:val="auto"/>
          <w:kern w:val="0"/>
          <w:sz w:val="24"/>
          <w:highlight w:val="none"/>
          <w:lang w:eastAsia="zh-CN"/>
        </w:rPr>
        <w:t>采购人</w:t>
      </w:r>
      <w:r>
        <w:rPr>
          <w:rFonts w:hint="eastAsia" w:ascii="微软雅黑" w:hAnsi="微软雅黑" w:eastAsia="微软雅黑" w:cs="微软雅黑"/>
          <w:b w:val="0"/>
          <w:bCs w:val="0"/>
          <w:color w:val="auto"/>
          <w:kern w:val="0"/>
          <w:sz w:val="24"/>
          <w:highlight w:val="none"/>
        </w:rPr>
        <w:t>、</w:t>
      </w:r>
      <w:r>
        <w:rPr>
          <w:rFonts w:hint="eastAsia" w:ascii="微软雅黑" w:hAnsi="微软雅黑" w:eastAsia="微软雅黑" w:cs="微软雅黑"/>
          <w:b w:val="0"/>
          <w:bCs w:val="0"/>
          <w:color w:val="auto"/>
          <w:kern w:val="0"/>
          <w:sz w:val="24"/>
          <w:highlight w:val="none"/>
          <w:lang w:eastAsia="zh-CN"/>
        </w:rPr>
        <w:t>采购代理机构</w:t>
      </w:r>
      <w:r>
        <w:rPr>
          <w:rFonts w:hint="eastAsia" w:ascii="微软雅黑" w:hAnsi="微软雅黑" w:eastAsia="微软雅黑" w:cs="微软雅黑"/>
          <w:b w:val="0"/>
          <w:bCs w:val="0"/>
          <w:color w:val="auto"/>
          <w:kern w:val="0"/>
          <w:sz w:val="24"/>
          <w:highlight w:val="none"/>
        </w:rPr>
        <w:t>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99CDB06">
      <w:pPr>
        <w:pStyle w:val="26"/>
        <w:pageBreakBefore w:val="0"/>
        <w:kinsoku/>
        <w:wordWrap/>
        <w:overflowPunct/>
        <w:topLinePunct w:val="0"/>
        <w:autoSpaceDE/>
        <w:autoSpaceDN/>
        <w:bidi w:val="0"/>
        <w:adjustRightInd/>
        <w:spacing w:line="500" w:lineRule="exact"/>
        <w:ind w:firstLine="480" w:firstLineChars="200"/>
        <w:textAlignment w:val="auto"/>
        <w:rPr>
          <w:rFonts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kern w:val="0"/>
          <w:sz w:val="24"/>
          <w:highlight w:val="none"/>
        </w:rPr>
        <w:t>3、接受大中型企业与小微企业组成联合体或者允许大中型企业向一家或者多家小微企业分包的采购项目，对于联合协议或者分包意向协议约定小微企业的合同份额占到合同总金额40%以上的，</w:t>
      </w:r>
      <w:r>
        <w:rPr>
          <w:rFonts w:hint="eastAsia" w:ascii="微软雅黑" w:hAnsi="微软雅黑" w:eastAsia="微软雅黑" w:cs="微软雅黑"/>
          <w:b w:val="0"/>
          <w:bCs w:val="0"/>
          <w:color w:val="auto"/>
          <w:kern w:val="0"/>
          <w:sz w:val="24"/>
          <w:highlight w:val="none"/>
          <w:lang w:eastAsia="zh-CN"/>
        </w:rPr>
        <w:t>采购人</w:t>
      </w:r>
      <w:r>
        <w:rPr>
          <w:rFonts w:hint="eastAsia" w:ascii="微软雅黑" w:hAnsi="微软雅黑" w:eastAsia="微软雅黑" w:cs="微软雅黑"/>
          <w:b w:val="0"/>
          <w:bCs w:val="0"/>
          <w:color w:val="auto"/>
          <w:kern w:val="0"/>
          <w:sz w:val="24"/>
          <w:highlight w:val="none"/>
        </w:rPr>
        <w:t>、</w:t>
      </w:r>
      <w:r>
        <w:rPr>
          <w:rFonts w:hint="eastAsia" w:ascii="微软雅黑" w:hAnsi="微软雅黑" w:eastAsia="微软雅黑" w:cs="微软雅黑"/>
          <w:b w:val="0"/>
          <w:bCs w:val="0"/>
          <w:color w:val="auto"/>
          <w:kern w:val="0"/>
          <w:sz w:val="24"/>
          <w:highlight w:val="none"/>
          <w:lang w:eastAsia="zh-CN"/>
        </w:rPr>
        <w:t>采购代理机构</w:t>
      </w:r>
      <w:r>
        <w:rPr>
          <w:rFonts w:hint="eastAsia" w:ascii="微软雅黑" w:hAnsi="微软雅黑" w:eastAsia="微软雅黑" w:cs="微软雅黑"/>
          <w:b w:val="0"/>
          <w:bCs w:val="0"/>
          <w:color w:val="auto"/>
          <w:kern w:val="0"/>
          <w:sz w:val="24"/>
          <w:highlight w:val="none"/>
        </w:rPr>
        <w:t>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highlight w:val="none"/>
          <w:lang w:val="en-US" w:eastAsia="zh-CN"/>
        </w:rPr>
        <w:t>6</w:t>
      </w:r>
      <w:r>
        <w:rPr>
          <w:rFonts w:hint="eastAsia" w:ascii="微软雅黑" w:hAnsi="微软雅黑" w:eastAsia="微软雅黑" w:cs="微软雅黑"/>
          <w:b w:val="0"/>
          <w:bCs w:val="0"/>
          <w:color w:val="auto"/>
          <w:kern w:val="0"/>
          <w:sz w:val="24"/>
          <w:highlight w:val="none"/>
        </w:rPr>
        <w:t>%~</w:t>
      </w:r>
      <w:r>
        <w:rPr>
          <w:rFonts w:hint="eastAsia" w:ascii="微软雅黑" w:hAnsi="微软雅黑" w:eastAsia="微软雅黑" w:cs="微软雅黑"/>
          <w:b w:val="0"/>
          <w:bCs w:val="0"/>
          <w:color w:val="auto"/>
          <w:kern w:val="0"/>
          <w:sz w:val="24"/>
          <w:highlight w:val="none"/>
          <w:lang w:val="en-US" w:eastAsia="zh-CN"/>
        </w:rPr>
        <w:t>10</w:t>
      </w:r>
      <w:r>
        <w:rPr>
          <w:rFonts w:hint="eastAsia" w:ascii="微软雅黑" w:hAnsi="微软雅黑" w:eastAsia="微软雅黑" w:cs="微软雅黑"/>
          <w:b w:val="0"/>
          <w:bCs w:val="0"/>
          <w:color w:val="auto"/>
          <w:kern w:val="0"/>
          <w:sz w:val="24"/>
          <w:highlight w:val="none"/>
        </w:rPr>
        <w:t>%作为其价格分。</w:t>
      </w:r>
    </w:p>
    <w:p w14:paraId="10E1C567">
      <w:pPr>
        <w:pStyle w:val="26"/>
        <w:pageBreakBefore w:val="0"/>
        <w:kinsoku/>
        <w:wordWrap/>
        <w:overflowPunct/>
        <w:topLinePunct w:val="0"/>
        <w:autoSpaceDE/>
        <w:autoSpaceDN/>
        <w:bidi w:val="0"/>
        <w:adjustRightInd/>
        <w:spacing w:line="5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七、</w:t>
      </w:r>
      <w:bookmarkEnd w:id="734"/>
      <w:bookmarkEnd w:id="735"/>
      <w:bookmarkStart w:id="736" w:name="_Toc35393636"/>
      <w:bookmarkStart w:id="737" w:name="_Toc28359095"/>
      <w:bookmarkStart w:id="738" w:name="_Toc28359018"/>
      <w:bookmarkStart w:id="739" w:name="_Toc35393805"/>
      <w:r>
        <w:rPr>
          <w:rFonts w:hint="eastAsia" w:ascii="微软雅黑" w:hAnsi="微软雅黑" w:eastAsia="微软雅黑" w:cs="微软雅黑"/>
          <w:b/>
          <w:color w:val="auto"/>
          <w:sz w:val="24"/>
          <w:szCs w:val="24"/>
          <w:highlight w:val="none"/>
        </w:rPr>
        <w:t>凡对本次采购提出询问，请按以下方式联系。</w:t>
      </w:r>
      <w:bookmarkEnd w:id="736"/>
      <w:bookmarkEnd w:id="737"/>
      <w:bookmarkEnd w:id="738"/>
      <w:bookmarkEnd w:id="739"/>
      <w:bookmarkStart w:id="740" w:name="_Toc28359096"/>
      <w:bookmarkStart w:id="741" w:name="_Toc4002"/>
      <w:bookmarkStart w:id="742" w:name="_Toc28359019"/>
      <w:bookmarkStart w:id="743" w:name="_Toc35393637"/>
      <w:bookmarkStart w:id="744" w:name="_Toc35393806"/>
    </w:p>
    <w:p w14:paraId="7EC92CD4">
      <w:pPr>
        <w:pStyle w:val="26"/>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w:t>
      </w:r>
      <w:r>
        <w:rPr>
          <w:rFonts w:hint="eastAsia" w:ascii="微软雅黑" w:hAnsi="微软雅黑" w:eastAsia="微软雅黑" w:cs="微软雅黑"/>
          <w:b w:val="0"/>
          <w:bCs/>
          <w:color w:val="auto"/>
          <w:sz w:val="24"/>
          <w:szCs w:val="24"/>
          <w:highlight w:val="none"/>
          <w:lang w:eastAsia="zh-CN"/>
        </w:rPr>
        <w:t>采购人</w:t>
      </w:r>
      <w:r>
        <w:rPr>
          <w:rFonts w:hint="eastAsia" w:ascii="微软雅黑" w:hAnsi="微软雅黑" w:eastAsia="微软雅黑" w:cs="微软雅黑"/>
          <w:b w:val="0"/>
          <w:bCs/>
          <w:color w:val="auto"/>
          <w:sz w:val="24"/>
          <w:szCs w:val="24"/>
          <w:highlight w:val="none"/>
        </w:rPr>
        <w:t>信息</w:t>
      </w:r>
      <w:bookmarkEnd w:id="740"/>
      <w:bookmarkEnd w:id="741"/>
      <w:bookmarkEnd w:id="742"/>
      <w:bookmarkEnd w:id="743"/>
      <w:bookmarkEnd w:id="744"/>
      <w:bookmarkStart w:id="745" w:name="_Toc29470"/>
      <w:bookmarkStart w:id="746" w:name="_Toc28359097"/>
      <w:bookmarkStart w:id="747" w:name="_Toc35393807"/>
      <w:bookmarkStart w:id="748" w:name="_Toc35393638"/>
      <w:bookmarkStart w:id="749" w:name="_Toc28359020"/>
    </w:p>
    <w:p w14:paraId="17C4AC37">
      <w:pPr>
        <w:pStyle w:val="26"/>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rPr>
        <w:t>名    称：</w:t>
      </w:r>
      <w:bookmarkEnd w:id="745"/>
      <w:bookmarkStart w:id="750" w:name="_Toc21820"/>
      <w:r>
        <w:rPr>
          <w:rFonts w:hint="eastAsia" w:ascii="微软雅黑" w:hAnsi="微软雅黑" w:eastAsia="微软雅黑" w:cs="微软雅黑"/>
          <w:bCs/>
          <w:color w:val="auto"/>
          <w:sz w:val="24"/>
          <w:szCs w:val="24"/>
          <w:highlight w:val="none"/>
          <w:lang w:eastAsia="zh-CN"/>
        </w:rPr>
        <w:t>喀什地区社会福利院</w:t>
      </w:r>
    </w:p>
    <w:p w14:paraId="42BA1E95">
      <w:pPr>
        <w:pStyle w:val="26"/>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rPr>
        <w:t>地    址：</w:t>
      </w:r>
      <w:bookmarkEnd w:id="750"/>
      <w:bookmarkStart w:id="751" w:name="_Toc7391"/>
      <w:r>
        <w:rPr>
          <w:rFonts w:hint="eastAsia" w:ascii="微软雅黑" w:hAnsi="微软雅黑" w:eastAsia="微软雅黑" w:cs="微软雅黑"/>
          <w:bCs/>
          <w:color w:val="auto"/>
          <w:sz w:val="24"/>
          <w:szCs w:val="24"/>
          <w:highlight w:val="none"/>
          <w:lang w:eastAsia="zh-CN"/>
        </w:rPr>
        <w:t>喀什市</w:t>
      </w:r>
    </w:p>
    <w:p w14:paraId="4C102F53">
      <w:pPr>
        <w:pStyle w:val="26"/>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rPr>
        <w:t>联 系 人：</w:t>
      </w:r>
      <w:bookmarkEnd w:id="751"/>
      <w:r>
        <w:rPr>
          <w:rFonts w:hint="eastAsia" w:ascii="微软雅黑" w:hAnsi="微软雅黑" w:eastAsia="微软雅黑" w:cs="微软雅黑"/>
          <w:bCs/>
          <w:color w:val="auto"/>
          <w:sz w:val="24"/>
          <w:szCs w:val="24"/>
          <w:highlight w:val="none"/>
          <w:lang w:eastAsia="zh-CN"/>
        </w:rPr>
        <w:t>路璐</w:t>
      </w:r>
    </w:p>
    <w:p w14:paraId="21C93CF3">
      <w:pPr>
        <w:pStyle w:val="26"/>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Cs/>
          <w:color w:val="auto"/>
          <w:sz w:val="24"/>
          <w:szCs w:val="24"/>
          <w:highlight w:val="none"/>
          <w:lang w:val="en-US" w:eastAsia="zh-CN"/>
        </w:rPr>
      </w:pPr>
      <w:bookmarkStart w:id="752" w:name="_Toc15683"/>
      <w:bookmarkStart w:id="753" w:name="_Toc242"/>
      <w:r>
        <w:rPr>
          <w:rFonts w:hint="eastAsia" w:ascii="微软雅黑" w:hAnsi="微软雅黑" w:eastAsia="微软雅黑" w:cs="微软雅黑"/>
          <w:bCs/>
          <w:color w:val="auto"/>
          <w:sz w:val="24"/>
          <w:szCs w:val="24"/>
          <w:highlight w:val="none"/>
        </w:rPr>
        <w:t>联系方式：</w:t>
      </w:r>
      <w:bookmarkEnd w:id="752"/>
      <w:bookmarkEnd w:id="753"/>
      <w:r>
        <w:rPr>
          <w:rFonts w:hint="eastAsia" w:ascii="微软雅黑" w:hAnsi="微软雅黑" w:eastAsia="微软雅黑" w:cs="微软雅黑"/>
          <w:bCs/>
          <w:color w:val="auto"/>
          <w:sz w:val="24"/>
          <w:szCs w:val="24"/>
          <w:highlight w:val="none"/>
          <w:lang w:eastAsia="zh-CN"/>
        </w:rPr>
        <w:t xml:space="preserve"> 17690766815</w:t>
      </w:r>
    </w:p>
    <w:p w14:paraId="2BEB1644">
      <w:pPr>
        <w:pageBreakBefore w:val="0"/>
        <w:kinsoku/>
        <w:wordWrap/>
        <w:overflowPunct/>
        <w:topLinePunct w:val="0"/>
        <w:autoSpaceDE/>
        <w:autoSpaceDN/>
        <w:bidi w:val="0"/>
        <w:adjustRightInd/>
        <w:spacing w:before="0" w:line="500" w:lineRule="exact"/>
        <w:ind w:firstLine="480" w:firstLineChars="200"/>
        <w:jc w:val="left"/>
        <w:outlineLvl w:val="9"/>
        <w:rPr>
          <w:rFonts w:hint="eastAsia" w:ascii="微软雅黑" w:hAnsi="微软雅黑" w:eastAsia="微软雅黑" w:cs="微软雅黑"/>
          <w:bCs/>
          <w:color w:val="auto"/>
          <w:kern w:val="2"/>
          <w:sz w:val="24"/>
          <w:szCs w:val="24"/>
          <w:highlight w:val="none"/>
        </w:rPr>
      </w:pPr>
      <w:bookmarkStart w:id="754" w:name="_Toc15983"/>
      <w:bookmarkStart w:id="755" w:name="_Toc1170"/>
      <w:bookmarkStart w:id="756" w:name="_Toc24525"/>
      <w:bookmarkStart w:id="757" w:name="_Toc19222"/>
      <w:r>
        <w:rPr>
          <w:rFonts w:hint="eastAsia" w:ascii="微软雅黑" w:hAnsi="微软雅黑" w:eastAsia="微软雅黑" w:cs="微软雅黑"/>
          <w:bCs/>
          <w:color w:val="auto"/>
          <w:kern w:val="2"/>
          <w:sz w:val="24"/>
          <w:szCs w:val="24"/>
          <w:highlight w:val="none"/>
        </w:rPr>
        <w:t>2.</w:t>
      </w:r>
      <w:r>
        <w:rPr>
          <w:rFonts w:hint="eastAsia" w:ascii="微软雅黑" w:hAnsi="微软雅黑" w:eastAsia="微软雅黑" w:cs="微软雅黑"/>
          <w:bCs/>
          <w:color w:val="auto"/>
          <w:kern w:val="2"/>
          <w:sz w:val="24"/>
          <w:szCs w:val="24"/>
          <w:highlight w:val="none"/>
          <w:lang w:eastAsia="zh-CN"/>
        </w:rPr>
        <w:t>采购代理机构</w:t>
      </w:r>
      <w:r>
        <w:rPr>
          <w:rFonts w:hint="eastAsia" w:ascii="微软雅黑" w:hAnsi="微软雅黑" w:eastAsia="微软雅黑" w:cs="微软雅黑"/>
          <w:bCs/>
          <w:color w:val="auto"/>
          <w:kern w:val="2"/>
          <w:sz w:val="24"/>
          <w:szCs w:val="24"/>
          <w:highlight w:val="none"/>
        </w:rPr>
        <w:t>信息</w:t>
      </w:r>
      <w:bookmarkEnd w:id="746"/>
      <w:bookmarkEnd w:id="747"/>
      <w:bookmarkEnd w:id="748"/>
      <w:bookmarkEnd w:id="749"/>
      <w:bookmarkEnd w:id="754"/>
      <w:bookmarkEnd w:id="755"/>
      <w:bookmarkEnd w:id="756"/>
      <w:bookmarkEnd w:id="757"/>
    </w:p>
    <w:p w14:paraId="1F8E4297">
      <w:pPr>
        <w:pStyle w:val="26"/>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名 称：新疆永信国金工程管理咨询有限公司</w:t>
      </w:r>
    </w:p>
    <w:p w14:paraId="79D64100">
      <w:pPr>
        <w:pStyle w:val="26"/>
        <w:pageBreakBefore w:val="0"/>
        <w:kinsoku/>
        <w:wordWrap/>
        <w:overflowPunct/>
        <w:topLinePunct w:val="0"/>
        <w:autoSpaceDE/>
        <w:autoSpaceDN/>
        <w:bidi w:val="0"/>
        <w:adjustRightInd/>
        <w:spacing w:line="500" w:lineRule="exact"/>
        <w:ind w:firstLine="480" w:firstLineChars="200"/>
        <w:textAlignment w:val="auto"/>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地 址：</w:t>
      </w:r>
      <w:r>
        <w:rPr>
          <w:rFonts w:hint="eastAsia" w:ascii="微软雅黑" w:hAnsi="微软雅黑" w:eastAsia="微软雅黑" w:cs="微软雅黑"/>
          <w:bCs/>
          <w:color w:val="auto"/>
          <w:sz w:val="24"/>
          <w:szCs w:val="24"/>
          <w:highlight w:val="none"/>
          <w:lang w:eastAsia="zh-CN"/>
        </w:rPr>
        <w:t>喀什市明宇广场写字楼</w:t>
      </w:r>
      <w:r>
        <w:rPr>
          <w:rFonts w:hint="eastAsia" w:ascii="微软雅黑" w:hAnsi="微软雅黑" w:eastAsia="微软雅黑" w:cs="微软雅黑"/>
          <w:bCs/>
          <w:color w:val="auto"/>
          <w:sz w:val="24"/>
          <w:szCs w:val="24"/>
          <w:highlight w:val="none"/>
          <w:lang w:val="en-US" w:eastAsia="zh-CN"/>
        </w:rPr>
        <w:t>519室</w:t>
      </w:r>
    </w:p>
    <w:p w14:paraId="1E3C8D85">
      <w:pPr>
        <w:pStyle w:val="26"/>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项目联系人：陈玉杰</w:t>
      </w:r>
    </w:p>
    <w:p w14:paraId="22D173AE">
      <w:pPr>
        <w:pStyle w:val="26"/>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color w:val="auto"/>
          <w:szCs w:val="32"/>
          <w:highlight w:val="none"/>
        </w:rPr>
      </w:pPr>
      <w:r>
        <w:rPr>
          <w:rFonts w:hint="eastAsia" w:ascii="微软雅黑" w:hAnsi="微软雅黑" w:eastAsia="微软雅黑" w:cs="微软雅黑"/>
          <w:bCs/>
          <w:color w:val="auto"/>
          <w:sz w:val="24"/>
          <w:szCs w:val="24"/>
          <w:highlight w:val="none"/>
          <w:lang w:val="en-US" w:eastAsia="zh-CN"/>
        </w:rPr>
        <w:t>联系方式：15569228338</w:t>
      </w:r>
    </w:p>
    <w:p w14:paraId="46AB838A">
      <w:pPr>
        <w:rPr>
          <w:color w:val="auto"/>
          <w:highlight w:val="none"/>
        </w:rPr>
      </w:pPr>
    </w:p>
    <w:p w14:paraId="4D241D74">
      <w:pPr>
        <w:pStyle w:val="3"/>
        <w:pageBreakBefore w:val="0"/>
        <w:tabs>
          <w:tab w:val="left" w:pos="0"/>
        </w:tabs>
        <w:kinsoku/>
        <w:wordWrap/>
        <w:overflowPunct/>
        <w:topLinePunct w:val="0"/>
        <w:bidi w:val="0"/>
        <w:snapToGrid w:val="0"/>
        <w:spacing w:before="0" w:after="0" w:line="520" w:lineRule="exact"/>
        <w:textAlignment w:val="baseline"/>
        <w:rPr>
          <w:rFonts w:ascii="微软雅黑" w:hAnsi="微软雅黑" w:eastAsia="微软雅黑" w:cs="微软雅黑"/>
          <w:color w:val="auto"/>
          <w:szCs w:val="32"/>
          <w:highlight w:val="none"/>
        </w:rPr>
      </w:pPr>
      <w:bookmarkStart w:id="758" w:name="_Toc7895"/>
      <w:r>
        <w:rPr>
          <w:rFonts w:hint="eastAsia" w:ascii="微软雅黑" w:hAnsi="微软雅黑" w:eastAsia="微软雅黑" w:cs="微软雅黑"/>
          <w:color w:val="auto"/>
          <w:szCs w:val="32"/>
          <w:highlight w:val="none"/>
        </w:rPr>
        <w:t xml:space="preserve">第4章 </w:t>
      </w:r>
      <w:r>
        <w:rPr>
          <w:rFonts w:hint="eastAsia" w:ascii="微软雅黑" w:hAnsi="微软雅黑" w:eastAsia="微软雅黑" w:cs="微软雅黑"/>
          <w:color w:val="auto"/>
          <w:szCs w:val="32"/>
          <w:highlight w:val="none"/>
          <w:lang w:eastAsia="zh-CN"/>
        </w:rPr>
        <w:t>供应商</w:t>
      </w:r>
      <w:r>
        <w:rPr>
          <w:rFonts w:hint="eastAsia" w:ascii="微软雅黑" w:hAnsi="微软雅黑" w:eastAsia="微软雅黑" w:cs="微软雅黑"/>
          <w:color w:val="auto"/>
          <w:szCs w:val="32"/>
          <w:highlight w:val="none"/>
        </w:rPr>
        <w:t>须知资料表</w:t>
      </w:r>
      <w:bookmarkEnd w:id="707"/>
      <w:bookmarkEnd w:id="708"/>
      <w:bookmarkEnd w:id="709"/>
      <w:bookmarkEnd w:id="710"/>
      <w:bookmarkEnd w:id="711"/>
      <w:bookmarkEnd w:id="712"/>
      <w:bookmarkEnd w:id="713"/>
      <w:bookmarkEnd w:id="758"/>
    </w:p>
    <w:p w14:paraId="415DE779">
      <w:pPr>
        <w:pageBreakBefore w:val="0"/>
        <w:kinsoku/>
        <w:wordWrap/>
        <w:overflowPunct/>
        <w:topLinePunct w:val="0"/>
        <w:bidi w:val="0"/>
        <w:snapToGrid w:val="0"/>
        <w:spacing w:line="520" w:lineRule="exact"/>
        <w:ind w:firstLine="360" w:firstLineChars="150"/>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本表是本采购项目的具体资料，是对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须知的具体补充和修改，如有矛盾，应以本资料表为准。</w:t>
      </w:r>
    </w:p>
    <w:tbl>
      <w:tblPr>
        <w:tblStyle w:val="38"/>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14:paraId="65097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95" w:type="dxa"/>
            <w:vAlign w:val="center"/>
          </w:tcPr>
          <w:p w14:paraId="062A3E18">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115" w:type="dxa"/>
            <w:vAlign w:val="center"/>
          </w:tcPr>
          <w:p w14:paraId="34110947">
            <w:pPr>
              <w:pageBreakBefore w:val="0"/>
              <w:kinsoku/>
              <w:wordWrap/>
              <w:overflowPunct/>
              <w:topLinePunct w:val="0"/>
              <w:bidi w:val="0"/>
              <w:snapToGrid w:val="0"/>
              <w:spacing w:line="520" w:lineRule="exact"/>
              <w:ind w:left="1258" w:leftChars="599" w:firstLine="1782" w:firstLineChars="742"/>
              <w:textAlignment w:val="baseline"/>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内      容</w:t>
            </w:r>
          </w:p>
        </w:tc>
      </w:tr>
      <w:tr w14:paraId="156A7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95" w:type="dxa"/>
            <w:vAlign w:val="center"/>
          </w:tcPr>
          <w:p w14:paraId="3075C97C">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115" w:type="dxa"/>
            <w:vAlign w:val="center"/>
          </w:tcPr>
          <w:p w14:paraId="38E70E54">
            <w:pPr>
              <w:pStyle w:val="32"/>
              <w:pageBreakBefore w:val="0"/>
              <w:widowControl/>
              <w:kinsoku/>
              <w:wordWrap/>
              <w:overflowPunct/>
              <w:topLinePunct w:val="0"/>
              <w:bidi w:val="0"/>
              <w:snapToGrid w:val="0"/>
              <w:spacing w:before="0" w:after="0" w:line="520" w:lineRule="exact"/>
              <w:textAlignment w:val="baseline"/>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Cs/>
                <w:color w:val="auto"/>
                <w:sz w:val="24"/>
                <w:szCs w:val="24"/>
                <w:highlight w:val="none"/>
                <w:lang w:eastAsia="zh-CN"/>
              </w:rPr>
              <w:t>喀什地区社会福利院</w:t>
            </w:r>
          </w:p>
          <w:p w14:paraId="2E8A9A56">
            <w:pPr>
              <w:pStyle w:val="26"/>
              <w:pageBreakBefore w:val="0"/>
              <w:kinsoku/>
              <w:wordWrap/>
              <w:overflowPunct/>
              <w:topLinePunct w:val="0"/>
              <w:autoSpaceDE/>
              <w:autoSpaceDN/>
              <w:bidi w:val="0"/>
              <w:adjustRightInd/>
              <w:spacing w:line="52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 系 人：</w:t>
            </w:r>
            <w:r>
              <w:rPr>
                <w:rFonts w:hint="eastAsia" w:ascii="微软雅黑" w:hAnsi="微软雅黑" w:eastAsia="微软雅黑" w:cs="微软雅黑"/>
                <w:color w:val="auto"/>
                <w:sz w:val="24"/>
                <w:szCs w:val="24"/>
                <w:highlight w:val="none"/>
                <w:lang w:eastAsia="zh-CN"/>
              </w:rPr>
              <w:t>路璐</w:t>
            </w:r>
            <w:r>
              <w:rPr>
                <w:rFonts w:hint="eastAsia" w:ascii="微软雅黑" w:hAnsi="微软雅黑" w:eastAsia="微软雅黑" w:cs="微软雅黑"/>
                <w:color w:val="auto"/>
                <w:sz w:val="24"/>
                <w:szCs w:val="24"/>
                <w:highlight w:val="none"/>
                <w:u w:val="none"/>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rPr>
              <w:t xml:space="preserve"> </w:t>
            </w:r>
            <w:r>
              <w:rPr>
                <w:rFonts w:hint="eastAsia" w:ascii="微软雅黑" w:hAnsi="微软雅黑" w:eastAsia="微软雅黑" w:cs="微软雅黑"/>
                <w:color w:val="auto"/>
                <w:sz w:val="24"/>
                <w:szCs w:val="24"/>
                <w:highlight w:val="none"/>
              </w:rPr>
              <w:t xml:space="preserve">  联系电话：</w:t>
            </w:r>
            <w:r>
              <w:rPr>
                <w:rFonts w:hint="eastAsia" w:ascii="微软雅黑" w:hAnsi="微软雅黑" w:eastAsia="微软雅黑" w:cs="微软雅黑"/>
                <w:color w:val="auto"/>
                <w:sz w:val="24"/>
                <w:szCs w:val="24"/>
                <w:highlight w:val="none"/>
                <w:lang w:eastAsia="zh-CN"/>
              </w:rPr>
              <w:t xml:space="preserve"> 17690766815</w:t>
            </w:r>
          </w:p>
        </w:tc>
      </w:tr>
      <w:tr w14:paraId="6EF9A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14:paraId="44CDCADA">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115" w:type="dxa"/>
            <w:vAlign w:val="center"/>
          </w:tcPr>
          <w:p w14:paraId="17AEE22E">
            <w:pPr>
              <w:spacing w:line="3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采购代理机构</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新疆永信国金工程管理咨询有限公司</w:t>
            </w:r>
          </w:p>
          <w:p w14:paraId="5DFAEE19">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lang w:eastAsia="zh-CN"/>
              </w:rPr>
              <w:t>陈玉杰</w:t>
            </w:r>
            <w:r>
              <w:rPr>
                <w:rStyle w:val="54"/>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lang w:val="en-US" w:eastAsia="zh-CN"/>
              </w:rPr>
              <w:t>15569228338</w:t>
            </w:r>
          </w:p>
        </w:tc>
      </w:tr>
      <w:tr w14:paraId="4B32B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95" w:type="dxa"/>
            <w:vAlign w:val="center"/>
          </w:tcPr>
          <w:p w14:paraId="0917F8A0">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w:t>
            </w:r>
          </w:p>
        </w:tc>
        <w:tc>
          <w:tcPr>
            <w:tcW w:w="8115" w:type="dxa"/>
            <w:vAlign w:val="center"/>
          </w:tcPr>
          <w:p w14:paraId="3A4E0D06">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合格</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的其他资格要求：</w:t>
            </w:r>
          </w:p>
          <w:p w14:paraId="071B9819">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1、满足《中华人民共和国政府采购法》第二十二条规定；</w:t>
            </w:r>
          </w:p>
          <w:p w14:paraId="48AAB7F1">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789A970F">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②提供法定代表人资格证明及授权书、被授权人身份证；(法定代表人投标需提供法定代表人身份证)；</w:t>
            </w:r>
          </w:p>
          <w:p w14:paraId="5C2E03FF">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③提供本单位依法缴纳近6个月内任意一个月的社会保险证明（新成立公司提供相关证明文件）；</w:t>
            </w:r>
          </w:p>
          <w:p w14:paraId="22110439">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④提供税务部门出具的本单位近6个月内任意一个月的完税证明（依法免缴的应提供依法免缴的相关证明文件或零申报报表或无欠税证明）；</w:t>
            </w:r>
          </w:p>
          <w:p w14:paraId="4C24DA89">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⑤提供近两年任意一年完整的财务审计报告（或近一个月的银行资信证明）。</w:t>
            </w:r>
          </w:p>
          <w:p w14:paraId="0B18DCE0">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⑥参与政府采购活动前3年内未被列入失信、重大税收违法案件、财政部门禁止参加政府采购活动的承诺书；</w:t>
            </w:r>
          </w:p>
          <w:p w14:paraId="0725F494">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⑦提供针对本次项目的反商业贿赂承诺书。</w:t>
            </w:r>
          </w:p>
          <w:p w14:paraId="4EAA8AA4">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2EB54B8C">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⑨中小企业声明函（施工）。</w:t>
            </w:r>
          </w:p>
          <w:p w14:paraId="02B2561E">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3、本项目的特定资格要求：①企业资质要求：【建筑工程施工总承包三级】（含）及以上资质或【建筑装饰装修工程施工专业承包二级】（含）及以上资质，并具备有效的安全生产许可证。②项目负责人资质要求：【建筑工程专业二级】（含）及二级以上注册建造师执业资格，具备有效的B类安全生产考核合格证书，且不得担任其他在建工程的项目负责人</w:t>
            </w:r>
            <w:r>
              <w:rPr>
                <w:rFonts w:hint="eastAsia" w:ascii="微软雅黑" w:hAnsi="微软雅黑" w:eastAsia="微软雅黑" w:cs="微软雅黑"/>
                <w:b/>
                <w:bCs/>
                <w:color w:val="auto"/>
                <w:kern w:val="2"/>
                <w:sz w:val="24"/>
                <w:szCs w:val="24"/>
                <w:highlight w:val="none"/>
                <w:lang w:val="en-US" w:eastAsia="zh-CN" w:bidi="ar-SA"/>
              </w:rPr>
              <w:t>（提供无在建项目承诺书）</w:t>
            </w:r>
            <w:r>
              <w:rPr>
                <w:rFonts w:hint="eastAsia" w:ascii="微软雅黑" w:hAnsi="微软雅黑" w:eastAsia="微软雅黑" w:cs="微软雅黑"/>
                <w:b/>
                <w:bCs/>
                <w:color w:val="auto"/>
                <w:sz w:val="24"/>
                <w:szCs w:val="24"/>
                <w:highlight w:val="none"/>
                <w:lang w:val="en-US" w:eastAsia="zh-CN"/>
              </w:rPr>
              <w:t>。</w:t>
            </w:r>
          </w:p>
          <w:p w14:paraId="1BBF1975">
            <w:pPr>
              <w:pageBreakBefore w:val="0"/>
              <w:widowControl/>
              <w:kinsoku/>
              <w:wordWrap/>
              <w:overflowPunct/>
              <w:topLinePunct w:val="0"/>
              <w:bidi w:val="0"/>
              <w:snapToGrid w:val="0"/>
              <w:spacing w:line="520" w:lineRule="exact"/>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注：1、“税务部门出具的完税证明”：完税证明中“税种”非养老保险、医疗保险、失业保险、工伤保险和生育保险。请各投标</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注意！</w:t>
            </w:r>
          </w:p>
        </w:tc>
      </w:tr>
      <w:tr w14:paraId="0A514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14:paraId="148FEE16">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1.3.5   </w:t>
            </w:r>
          </w:p>
        </w:tc>
        <w:tc>
          <w:tcPr>
            <w:tcW w:w="8115" w:type="dxa"/>
            <w:vAlign w:val="center"/>
          </w:tcPr>
          <w:p w14:paraId="356B4D6D">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是否允许采购进口产品：</w:t>
            </w:r>
            <w:r>
              <w:rPr>
                <w:rFonts w:hint="eastAsia" w:ascii="微软雅黑" w:hAnsi="微软雅黑" w:eastAsia="微软雅黑" w:cs="微软雅黑"/>
                <w:color w:val="auto"/>
                <w:sz w:val="24"/>
                <w:szCs w:val="24"/>
                <w:highlight w:val="none"/>
                <w:u w:val="single" w:color="000000"/>
              </w:rPr>
              <w:t xml:space="preserve">  否  </w:t>
            </w:r>
          </w:p>
        </w:tc>
      </w:tr>
      <w:tr w14:paraId="32FEE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14:paraId="37E575E1">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8115" w:type="dxa"/>
            <w:vAlign w:val="center"/>
          </w:tcPr>
          <w:p w14:paraId="054D39CE">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u w:val="single" w:color="000000"/>
                <w:lang w:val="en-US" w:eastAsia="zh-CN"/>
              </w:rPr>
              <w:t xml:space="preserve">是  </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b/>
                <w:bCs/>
                <w:color w:val="auto"/>
                <w:sz w:val="24"/>
                <w:szCs w:val="24"/>
                <w:highlight w:val="none"/>
                <w:u w:val="none" w:color="auto"/>
                <w:lang w:val="en-US" w:eastAsia="zh-CN"/>
              </w:rPr>
              <w:t>潜在供应商属于中小微企业的，应在响应文件中提供‘’中小企业声明函”如果未提供或提供“中小企业声明函”内容不实的，供应商将承担由此造成的一切不利后果。</w:t>
            </w:r>
          </w:p>
        </w:tc>
      </w:tr>
      <w:tr w14:paraId="7EC9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jc w:val="center"/>
        </w:trPr>
        <w:tc>
          <w:tcPr>
            <w:tcW w:w="1395" w:type="dxa"/>
            <w:vAlign w:val="center"/>
          </w:tcPr>
          <w:p w14:paraId="2DE05386">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8115" w:type="dxa"/>
            <w:vAlign w:val="center"/>
          </w:tcPr>
          <w:p w14:paraId="60B300B8">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是否允许联合体磋商：</w:t>
            </w:r>
            <w:r>
              <w:rPr>
                <w:rFonts w:hint="eastAsia" w:ascii="微软雅黑" w:hAnsi="微软雅黑" w:eastAsia="微软雅黑" w:cs="微软雅黑"/>
                <w:color w:val="auto"/>
                <w:sz w:val="24"/>
                <w:szCs w:val="24"/>
                <w:highlight w:val="none"/>
                <w:u w:val="single" w:color="000000"/>
              </w:rPr>
              <w:t xml:space="preserve">   否   </w:t>
            </w:r>
          </w:p>
        </w:tc>
      </w:tr>
      <w:tr w14:paraId="583F8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95" w:type="dxa"/>
            <w:vAlign w:val="center"/>
          </w:tcPr>
          <w:p w14:paraId="2AAF2E3E">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w:t>
            </w:r>
          </w:p>
        </w:tc>
        <w:tc>
          <w:tcPr>
            <w:tcW w:w="8115" w:type="dxa"/>
            <w:vAlign w:val="center"/>
          </w:tcPr>
          <w:p w14:paraId="054279AB">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联合体的其他资格要求：无</w:t>
            </w:r>
          </w:p>
        </w:tc>
      </w:tr>
      <w:tr w14:paraId="5CF6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95" w:type="dxa"/>
            <w:vAlign w:val="center"/>
          </w:tcPr>
          <w:p w14:paraId="36F7FCE9">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8115" w:type="dxa"/>
            <w:vAlign w:val="center"/>
          </w:tcPr>
          <w:p w14:paraId="32A26A40">
            <w:pPr>
              <w:pStyle w:val="8"/>
              <w:pageBreakBefore w:val="0"/>
              <w:kinsoku/>
              <w:wordWrap/>
              <w:overflowPunct/>
              <w:topLinePunct w:val="0"/>
              <w:bidi w:val="0"/>
              <w:snapToGrid w:val="0"/>
              <w:spacing w:line="520" w:lineRule="exact"/>
              <w:ind w:firstLine="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2"/>
                <w:sz w:val="24"/>
                <w:szCs w:val="24"/>
                <w:highlight w:val="none"/>
                <w:lang w:val="en-US" w:eastAsia="zh-CN"/>
              </w:rPr>
              <w:t>招标控制价：3520487.08 元（叁佰伍拾贰万零肆佰捌拾柒元零捌分）</w:t>
            </w:r>
            <w:r>
              <w:rPr>
                <w:rFonts w:ascii="宋体" w:hAnsi="宋体" w:eastAsia="宋体" w:cs="宋体"/>
                <w:color w:val="auto"/>
                <w:sz w:val="24"/>
                <w:szCs w:val="24"/>
                <w:highlight w:val="none"/>
              </w:rPr>
              <w:t>，</w:t>
            </w:r>
            <w:r>
              <w:rPr>
                <w:rFonts w:hint="eastAsia" w:ascii="微软雅黑" w:hAnsi="微软雅黑" w:eastAsia="微软雅黑" w:cs="微软雅黑"/>
                <w:b/>
                <w:bCs/>
                <w:color w:val="auto"/>
                <w:kern w:val="2"/>
                <w:sz w:val="24"/>
                <w:szCs w:val="24"/>
                <w:highlight w:val="none"/>
                <w:lang w:val="en-US" w:eastAsia="zh-CN"/>
              </w:rPr>
              <w:t>超过招标控制价的做废标处理</w:t>
            </w:r>
            <w:r>
              <w:rPr>
                <w:rFonts w:hint="eastAsia" w:ascii="微软雅黑" w:hAnsi="微软雅黑" w:eastAsia="微软雅黑" w:cs="微软雅黑"/>
                <w:b/>
                <w:bCs/>
                <w:color w:val="auto"/>
                <w:kern w:val="2"/>
                <w:sz w:val="24"/>
                <w:szCs w:val="24"/>
                <w:highlight w:val="none"/>
              </w:rPr>
              <w:t>；</w:t>
            </w:r>
            <w:r>
              <w:rPr>
                <w:rFonts w:hint="eastAsia" w:ascii="微软雅黑" w:hAnsi="微软雅黑" w:eastAsia="微软雅黑" w:cs="微软雅黑"/>
                <w:b/>
                <w:bCs/>
                <w:color w:val="auto"/>
                <w:kern w:val="2"/>
                <w:sz w:val="24"/>
                <w:szCs w:val="24"/>
                <w:highlight w:val="none"/>
                <w:lang w:val="en-US" w:eastAsia="zh-CN"/>
              </w:rPr>
              <w:t xml:space="preserve"> </w:t>
            </w:r>
          </w:p>
        </w:tc>
      </w:tr>
      <w:tr w14:paraId="10694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95" w:type="dxa"/>
            <w:vAlign w:val="center"/>
          </w:tcPr>
          <w:p w14:paraId="0E3BB292">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8115" w:type="dxa"/>
            <w:vAlign w:val="center"/>
          </w:tcPr>
          <w:p w14:paraId="6B917B87">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保证金形式：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保函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☑对公转账   </w:t>
            </w:r>
          </w:p>
          <w:p w14:paraId="11B7488E">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保证金金额：70000元(大写：柒万元整）</w:t>
            </w:r>
          </w:p>
          <w:p w14:paraId="0E757428">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i/>
                <w:color w:val="auto"/>
                <w:sz w:val="24"/>
                <w:szCs w:val="24"/>
                <w:highlight w:val="none"/>
              </w:rPr>
              <w:t>（按照各分包控制金额2%以内的整数计算）</w:t>
            </w:r>
          </w:p>
          <w:p w14:paraId="03A63F17">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保证金收款人：</w:t>
            </w:r>
          </w:p>
          <w:p w14:paraId="48916BF9">
            <w:pPr>
              <w:spacing w:line="38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保证金收款人：</w:t>
            </w:r>
            <w:r>
              <w:rPr>
                <w:rFonts w:hint="eastAsia" w:ascii="微软雅黑" w:hAnsi="微软雅黑" w:eastAsia="微软雅黑" w:cs="微软雅黑"/>
                <w:b/>
                <w:bCs/>
                <w:color w:val="auto"/>
                <w:sz w:val="24"/>
                <w:szCs w:val="24"/>
                <w:highlight w:val="none"/>
                <w:lang w:eastAsia="zh-CN"/>
              </w:rPr>
              <w:t>新疆永信国金工程管理咨询有限公司</w:t>
            </w:r>
          </w:p>
          <w:p w14:paraId="7287FFFF">
            <w:pPr>
              <w:spacing w:line="38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开 户 行：中国银行喀什市西域大道支行</w:t>
            </w:r>
          </w:p>
          <w:p w14:paraId="755DE6B4">
            <w:pPr>
              <w:spacing w:line="38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账   号：107086326183 </w:t>
            </w:r>
          </w:p>
          <w:p w14:paraId="7617102C">
            <w:pPr>
              <w:spacing w:line="380" w:lineRule="exact"/>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联系人：</w:t>
            </w:r>
            <w:r>
              <w:rPr>
                <w:rFonts w:hint="eastAsia" w:ascii="微软雅黑" w:hAnsi="微软雅黑" w:eastAsia="微软雅黑" w:cs="微软雅黑"/>
                <w:b/>
                <w:bCs/>
                <w:color w:val="auto"/>
                <w:sz w:val="24"/>
                <w:szCs w:val="24"/>
                <w:highlight w:val="none"/>
                <w:lang w:val="en-US" w:eastAsia="zh-CN"/>
              </w:rPr>
              <w:t>陈玉杰</w:t>
            </w:r>
            <w:r>
              <w:rPr>
                <w:rFonts w:hint="eastAsia" w:ascii="微软雅黑" w:hAnsi="微软雅黑" w:eastAsia="微软雅黑" w:cs="微软雅黑"/>
                <w:b/>
                <w:bCs/>
                <w:color w:val="auto"/>
                <w:sz w:val="24"/>
                <w:szCs w:val="24"/>
                <w:highlight w:val="none"/>
              </w:rPr>
              <w:t>　    联系电话：</w:t>
            </w:r>
            <w:r>
              <w:rPr>
                <w:rFonts w:hint="eastAsia" w:ascii="微软雅黑" w:hAnsi="微软雅黑" w:eastAsia="微软雅黑" w:cs="微软雅黑"/>
                <w:b/>
                <w:bCs/>
                <w:color w:val="auto"/>
                <w:sz w:val="24"/>
                <w:szCs w:val="24"/>
                <w:highlight w:val="none"/>
                <w:lang w:val="en-US" w:eastAsia="zh-CN"/>
              </w:rPr>
              <w:t>15569228338</w:t>
            </w:r>
          </w:p>
          <w:p w14:paraId="541EEDDA">
            <w:pPr>
              <w:spacing w:line="380" w:lineRule="exac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（电汇时请在汇款备注栏注明：</w:t>
            </w:r>
            <w:r>
              <w:rPr>
                <w:rFonts w:hint="eastAsia" w:ascii="微软雅黑" w:hAnsi="微软雅黑" w:eastAsia="微软雅黑" w:cs="微软雅黑"/>
                <w:b/>
                <w:bCs/>
                <w:color w:val="auto"/>
                <w:sz w:val="24"/>
                <w:szCs w:val="24"/>
                <w:highlight w:val="none"/>
                <w:lang w:eastAsia="zh-CN"/>
              </w:rPr>
              <w:t>项目名称（简称）</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投标保证金。）</w:t>
            </w:r>
          </w:p>
          <w:p w14:paraId="2E91602F">
            <w:pPr>
              <w:pageBreakBefore w:val="0"/>
              <w:kinsoku/>
              <w:wordWrap/>
              <w:overflowPunct/>
              <w:topLinePunct w:val="0"/>
              <w:bidi w:val="0"/>
              <w:spacing w:line="5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A:缴纳保证金要求：</w:t>
            </w:r>
            <w:r>
              <w:rPr>
                <w:rFonts w:hint="eastAsia" w:ascii="微软雅黑" w:hAnsi="微软雅黑" w:eastAsia="微软雅黑" w:cs="微软雅黑"/>
                <w:b w:val="0"/>
                <w:bCs w:val="0"/>
                <w:color w:val="auto"/>
                <w:sz w:val="24"/>
                <w:szCs w:val="24"/>
                <w:highlight w:val="none"/>
                <w:lang w:eastAsia="zh-CN"/>
              </w:rPr>
              <w:t>供应商</w:t>
            </w:r>
            <w:r>
              <w:rPr>
                <w:rFonts w:hint="eastAsia" w:ascii="微软雅黑" w:hAnsi="微软雅黑" w:eastAsia="微软雅黑" w:cs="微软雅黑"/>
                <w:b w:val="0"/>
                <w:bCs w:val="0"/>
                <w:color w:val="auto"/>
                <w:sz w:val="24"/>
                <w:szCs w:val="24"/>
                <w:highlight w:val="none"/>
              </w:rPr>
              <w:t>向银行办理保证金汇（转）款时，应在用途栏（备注栏）注明项目名称，并注明是</w:t>
            </w:r>
            <w:r>
              <w:rPr>
                <w:rFonts w:hint="eastAsia" w:ascii="微软雅黑" w:hAnsi="微软雅黑" w:eastAsia="微软雅黑" w:cs="微软雅黑"/>
                <w:b w:val="0"/>
                <w:bCs w:val="0"/>
                <w:color w:val="auto"/>
                <w:sz w:val="24"/>
                <w:szCs w:val="24"/>
                <w:highlight w:val="none"/>
                <w:lang w:eastAsia="zh-CN"/>
              </w:rPr>
              <w:t>磋商</w:t>
            </w:r>
            <w:r>
              <w:rPr>
                <w:rFonts w:hint="eastAsia" w:ascii="微软雅黑" w:hAnsi="微软雅黑" w:eastAsia="微软雅黑" w:cs="微软雅黑"/>
                <w:b w:val="0"/>
                <w:bCs w:val="0"/>
                <w:color w:val="auto"/>
                <w:sz w:val="24"/>
                <w:szCs w:val="24"/>
                <w:highlight w:val="none"/>
              </w:rPr>
              <w:t>保证金字样，如填写字数有要求可简写项目名称，由于未按要求注明信息而导致的一切后果由</w:t>
            </w:r>
            <w:r>
              <w:rPr>
                <w:rFonts w:hint="eastAsia" w:ascii="微软雅黑" w:hAnsi="微软雅黑" w:eastAsia="微软雅黑" w:cs="微软雅黑"/>
                <w:b w:val="0"/>
                <w:bCs w:val="0"/>
                <w:color w:val="auto"/>
                <w:sz w:val="24"/>
                <w:szCs w:val="24"/>
                <w:highlight w:val="none"/>
                <w:lang w:eastAsia="zh-CN"/>
              </w:rPr>
              <w:t>供应商</w:t>
            </w:r>
            <w:r>
              <w:rPr>
                <w:rFonts w:hint="eastAsia" w:ascii="微软雅黑" w:hAnsi="微软雅黑" w:eastAsia="微软雅黑" w:cs="微软雅黑"/>
                <w:b w:val="0"/>
                <w:bCs w:val="0"/>
                <w:color w:val="auto"/>
                <w:sz w:val="24"/>
                <w:szCs w:val="24"/>
                <w:highlight w:val="none"/>
              </w:rPr>
              <w:t>自行承担。</w:t>
            </w:r>
          </w:p>
          <w:p w14:paraId="138F87D0">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B：</w:t>
            </w:r>
            <w:r>
              <w:rPr>
                <w:rFonts w:hint="eastAsia" w:ascii="微软雅黑" w:hAnsi="微软雅黑" w:eastAsia="微软雅黑" w:cs="微软雅黑"/>
                <w:b/>
                <w:bCs/>
                <w:color w:val="auto"/>
                <w:sz w:val="24"/>
                <w:szCs w:val="24"/>
                <w:highlight w:val="none"/>
                <w:lang w:eastAsia="zh-CN"/>
              </w:rPr>
              <w:t>保证金的退还</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val="0"/>
                <w:bCs w:val="0"/>
                <w:color w:val="auto"/>
                <w:sz w:val="24"/>
                <w:szCs w:val="24"/>
                <w:highlight w:val="none"/>
                <w:lang w:eastAsia="zh-CN"/>
              </w:rPr>
              <w:t>根据</w:t>
            </w:r>
            <w:r>
              <w:rPr>
                <w:rFonts w:hint="eastAsia" w:ascii="微软雅黑" w:hAnsi="微软雅黑" w:eastAsia="微软雅黑" w:cs="微软雅黑"/>
                <w:b w:val="0"/>
                <w:bCs w:val="0"/>
                <w:color w:val="auto"/>
                <w:sz w:val="24"/>
                <w:szCs w:val="24"/>
                <w:highlight w:val="none"/>
                <w:lang w:val="en-US" w:eastAsia="zh-CN"/>
              </w:rPr>
              <w:fldChar w:fldCharType="begin"/>
            </w:r>
            <w:r>
              <w:rPr>
                <w:rFonts w:hint="eastAsia" w:ascii="微软雅黑" w:hAnsi="微软雅黑" w:eastAsia="微软雅黑" w:cs="微软雅黑"/>
                <w:b w:val="0"/>
                <w:bCs w:val="0"/>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b w:val="0"/>
                <w:bCs w:val="0"/>
                <w:color w:val="auto"/>
                <w:sz w:val="24"/>
                <w:szCs w:val="24"/>
                <w:highlight w:val="none"/>
                <w:lang w:val="en-US" w:eastAsia="zh-CN"/>
              </w:rPr>
              <w:fldChar w:fldCharType="separate"/>
            </w:r>
            <w:r>
              <w:rPr>
                <w:rFonts w:hint="eastAsia" w:ascii="微软雅黑" w:hAnsi="微软雅黑" w:eastAsia="微软雅黑" w:cs="微软雅黑"/>
                <w:b w:val="0"/>
                <w:bCs w:val="0"/>
                <w:color w:val="auto"/>
                <w:sz w:val="24"/>
                <w:szCs w:val="24"/>
                <w:highlight w:val="none"/>
                <w:lang w:val="en-US" w:eastAsia="zh-CN"/>
              </w:rPr>
              <w:t>《政府采购竞争性磋商采购方式管理暂行办法》第三十一条规定，①未成交供应商的磋商保证金应在成交通知书发出后5个工作日内退还；②成交供应商的磋商保证金应在采购合同签订后5个工作日内退还（供应商需将采购合同发至邮箱</w:t>
            </w:r>
            <w:r>
              <w:rPr>
                <w:rFonts w:hint="eastAsia" w:ascii="微软雅黑" w:hAnsi="微软雅黑" w:eastAsia="微软雅黑" w:cs="微软雅黑"/>
                <w:color w:val="auto"/>
                <w:sz w:val="24"/>
                <w:szCs w:val="24"/>
                <w:highlight w:val="none"/>
                <w:lang w:val="en-US" w:eastAsia="zh-CN"/>
              </w:rPr>
              <w:t>1543019885</w:t>
            </w:r>
            <w:r>
              <w:rPr>
                <w:rFonts w:hint="eastAsia" w:ascii="微软雅黑" w:hAnsi="微软雅黑" w:eastAsia="微软雅黑" w:cs="微软雅黑"/>
                <w:color w:val="auto"/>
                <w:sz w:val="24"/>
                <w:szCs w:val="24"/>
                <w:highlight w:val="none"/>
              </w:rPr>
              <w:t>@qq.com</w:t>
            </w:r>
            <w:r>
              <w:rPr>
                <w:rFonts w:hint="eastAsia" w:ascii="微软雅黑" w:hAnsi="微软雅黑" w:eastAsia="微软雅黑" w:cs="微软雅黑"/>
                <w:b w:val="0"/>
                <w:bCs w:val="0"/>
                <w:color w:val="auto"/>
                <w:sz w:val="24"/>
                <w:szCs w:val="24"/>
                <w:highlight w:val="none"/>
                <w:lang w:val="en-US" w:eastAsia="zh-CN"/>
              </w:rPr>
              <w:t>后</w:t>
            </w:r>
            <w:r>
              <w:rPr>
                <w:rFonts w:hint="eastAsia" w:ascii="微软雅黑" w:hAnsi="微软雅黑" w:eastAsia="微软雅黑" w:cs="微软雅黑"/>
                <w:b w:val="0"/>
                <w:bCs w:val="0"/>
                <w:color w:val="auto"/>
                <w:sz w:val="24"/>
                <w:szCs w:val="24"/>
                <w:highlight w:val="none"/>
                <w:lang w:val="en-US" w:eastAsia="zh-CN"/>
              </w:rPr>
              <w:fldChar w:fldCharType="end"/>
            </w:r>
            <w:r>
              <w:rPr>
                <w:rFonts w:hint="eastAsia" w:ascii="微软雅黑" w:hAnsi="微软雅黑" w:eastAsia="微软雅黑" w:cs="微软雅黑"/>
                <w:b w:val="0"/>
                <w:bCs w:val="0"/>
                <w:color w:val="auto"/>
                <w:sz w:val="24"/>
                <w:szCs w:val="24"/>
                <w:highlight w:val="none"/>
                <w:lang w:val="en-US" w:eastAsia="zh-CN"/>
              </w:rPr>
              <w:t>，5个工作日内原账户退回）。</w:t>
            </w:r>
          </w:p>
        </w:tc>
      </w:tr>
      <w:tr w14:paraId="1710A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14:paraId="628F9793">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8115" w:type="dxa"/>
            <w:vAlign w:val="center"/>
          </w:tcPr>
          <w:p w14:paraId="187EDA5B">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磋商有效期：</w:t>
            </w:r>
            <w:r>
              <w:rPr>
                <w:rFonts w:hint="eastAsia" w:ascii="微软雅黑" w:hAnsi="微软雅黑" w:eastAsia="微软雅黑" w:cs="微软雅黑"/>
                <w:color w:val="auto"/>
                <w:sz w:val="24"/>
                <w:szCs w:val="24"/>
                <w:highlight w:val="none"/>
                <w:u w:val="single" w:color="000000"/>
              </w:rPr>
              <w:t>　</w:t>
            </w:r>
            <w:r>
              <w:rPr>
                <w:rFonts w:hint="eastAsia" w:ascii="微软雅黑" w:hAnsi="微软雅黑" w:eastAsia="微软雅黑" w:cs="微软雅黑"/>
                <w:color w:val="auto"/>
                <w:sz w:val="24"/>
                <w:szCs w:val="24"/>
                <w:highlight w:val="none"/>
                <w:u w:val="single" w:color="000000"/>
                <w:lang w:val="en-US" w:eastAsia="zh-CN"/>
              </w:rPr>
              <w:t>90</w:t>
            </w:r>
            <w:r>
              <w:rPr>
                <w:rFonts w:hint="eastAsia" w:ascii="微软雅黑" w:hAnsi="微软雅黑" w:eastAsia="微软雅黑" w:cs="微软雅黑"/>
                <w:color w:val="auto"/>
                <w:sz w:val="24"/>
                <w:szCs w:val="24"/>
                <w:highlight w:val="none"/>
                <w:u w:val="single" w:color="000000"/>
              </w:rPr>
              <w:t>　</w:t>
            </w:r>
            <w:r>
              <w:rPr>
                <w:rFonts w:hint="eastAsia" w:ascii="微软雅黑" w:hAnsi="微软雅黑" w:eastAsia="微软雅黑" w:cs="微软雅黑"/>
                <w:color w:val="auto"/>
                <w:sz w:val="24"/>
                <w:szCs w:val="24"/>
                <w:highlight w:val="none"/>
              </w:rPr>
              <w:t>日历日</w:t>
            </w:r>
          </w:p>
        </w:tc>
      </w:tr>
      <w:tr w14:paraId="2EB06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95" w:type="dxa"/>
            <w:vAlign w:val="center"/>
          </w:tcPr>
          <w:p w14:paraId="1228C3EA">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8115" w:type="dxa"/>
            <w:vAlign w:val="center"/>
          </w:tcPr>
          <w:p w14:paraId="5E387F61">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本项目为电子招投标，供应商需要使用CA加密设备，凡参加本项目必须自主通过新疆CA申领渠道“新疆政务通”申请政采云平台可使用的CA设备，如原有兵团或公共资源使用的CA，可与新疆CA联系，申请增加电子证书即可，无需重复申领。</w:t>
            </w:r>
          </w:p>
          <w:p w14:paraId="44746081">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（2）本项目实行网上投标，采用电子响应文件（供应商须使用CA加密设备通过政采云电子投标客户端制作响应文件）。若供应商参与投标，自行承担投标一切费用。</w:t>
            </w:r>
          </w:p>
          <w:p w14:paraId="34255E06">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（3）各供应商应在开标前应确保成为新疆政府采购网正式注册入库供应商，并完成CA数字证书申领。因未注册入库、未办理CA数字证书等原因造成无法投标或投标失败等后果由供应商自行承担。</w:t>
            </w:r>
          </w:p>
          <w:p w14:paraId="433F8CB4">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905EC0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（5）供应商在开标时须使用制作加密电子响应文件所使用的CA锁及电脑，电脑须提前配置好浏览器（建议使用谷歌浏览器），以便开标时解锁。</w:t>
            </w:r>
          </w:p>
          <w:p w14:paraId="7F94D6B7">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5D1D1395">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634DD7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8）各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14:paraId="745A610F">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本项目采用远程不见面交易的模式。招标当日，供应商无需到达开标现场，仅需在任意地点通过政采云平台完成投标截止时间前签到、开标过程中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14:paraId="154DD6F6">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lang w:eastAsia="zh-CN"/>
              </w:rPr>
              <w:t>）参与“不见面”开标的采购人或其委托采购代理机构、供应商等各交易主体，应当按照规定使用CA数字证书及电子签章。各方主体在系统中所有操作均具有法律效力，并承担法律责任。</w:t>
            </w:r>
          </w:p>
          <w:p w14:paraId="53A42F1A">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）供应商由于数字证书遗失、损坏、更换、续期等情况导致响应文件无法解密，由供应商自行承担责任。</w:t>
            </w:r>
          </w:p>
          <w:p w14:paraId="20B517B4">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lang w:eastAsia="zh-CN"/>
              </w:rPr>
              <w:t>）各供应商在项目开标、评标（审）期间应随时保持在线状态，及时查阅消息，并根据消息提醒进行响应文件在线解密等操作。随时通过交易系统接受评标（审）委员会发出的询标信息，并在规定时间内作出答复，未能按时答复的，评标（审）委员会将视同其放弃澄清。</w:t>
            </w:r>
          </w:p>
          <w:p w14:paraId="22BD848E">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lang w:eastAsia="zh-CN"/>
              </w:rPr>
              <w:t>）开标、评标过程中，供应商参与远程音视频交互（以下简称“交互”）的法定代表人或授权委托人应始终为同一人，中途不得更换，并保持签到的通信畅通。供应商端口操作人员均被视为供应商法人代表或授权委托人，供应商自行承担随意更换人员所导致的一切后果。</w:t>
            </w:r>
          </w:p>
          <w:p w14:paraId="464A07AA">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lang w:eastAsia="zh-CN"/>
              </w:rPr>
              <w:t>）响应文件中供应商法定代表人或授权委托人的签字，手写签字与签字章具有同等法律效力。</w:t>
            </w:r>
          </w:p>
          <w:p w14:paraId="091E78D4">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15</w:t>
            </w:r>
            <w:r>
              <w:rPr>
                <w:rFonts w:hint="eastAsia" w:ascii="微软雅黑" w:hAnsi="微软雅黑" w:eastAsia="微软雅黑" w:cs="微软雅黑"/>
                <w:b/>
                <w:bCs/>
                <w:color w:val="auto"/>
                <w:sz w:val="24"/>
                <w:szCs w:val="24"/>
                <w:highlight w:val="none"/>
                <w:lang w:eastAsia="zh-CN"/>
              </w:rPr>
              <w:t>）响应文件解密时长为30分钟。</w:t>
            </w:r>
          </w:p>
        </w:tc>
      </w:tr>
      <w:tr w14:paraId="22992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95" w:type="dxa"/>
            <w:vAlign w:val="center"/>
          </w:tcPr>
          <w:p w14:paraId="2D3461E4">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115" w:type="dxa"/>
            <w:vAlign w:val="center"/>
          </w:tcPr>
          <w:p w14:paraId="125B0163">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磋商截止时间：</w:t>
            </w:r>
            <w:r>
              <w:rPr>
                <w:rFonts w:hint="eastAsia" w:ascii="微软雅黑" w:hAnsi="微软雅黑" w:eastAsia="微软雅黑" w:cs="微软雅黑"/>
                <w:b/>
                <w:bCs/>
                <w:color w:val="auto"/>
                <w:sz w:val="24"/>
                <w:szCs w:val="24"/>
                <w:highlight w:val="none"/>
                <w:lang w:val="en-US" w:eastAsia="zh-CN"/>
              </w:rPr>
              <w:t>2</w:t>
            </w:r>
            <w:r>
              <w:rPr>
                <w:rFonts w:hint="eastAsia" w:ascii="微软雅黑" w:hAnsi="微软雅黑" w:eastAsia="微软雅黑" w:cs="微软雅黑"/>
                <w:b/>
                <w:bCs/>
                <w:color w:val="auto"/>
                <w:sz w:val="24"/>
                <w:szCs w:val="24"/>
                <w:highlight w:val="none"/>
              </w:rPr>
              <w:t>02</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年</w:t>
            </w: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月</w:t>
            </w:r>
            <w:r>
              <w:rPr>
                <w:rFonts w:hint="eastAsia" w:ascii="微软雅黑" w:hAnsi="微软雅黑" w:eastAsia="微软雅黑" w:cs="微软雅黑"/>
                <w:b/>
                <w:bCs/>
                <w:color w:val="auto"/>
                <w:sz w:val="24"/>
                <w:szCs w:val="24"/>
                <w:highlight w:val="none"/>
                <w:lang w:val="en-US" w:eastAsia="zh-CN"/>
              </w:rPr>
              <w:t>9</w:t>
            </w:r>
            <w:r>
              <w:rPr>
                <w:rFonts w:hint="eastAsia" w:ascii="微软雅黑" w:hAnsi="微软雅黑" w:eastAsia="微软雅黑" w:cs="微软雅黑"/>
                <w:b/>
                <w:bCs/>
                <w:color w:val="auto"/>
                <w:sz w:val="24"/>
                <w:szCs w:val="24"/>
                <w:highlight w:val="none"/>
              </w:rPr>
              <w:t>日</w:t>
            </w:r>
            <w:r>
              <w:rPr>
                <w:rFonts w:hint="eastAsia" w:ascii="微软雅黑" w:hAnsi="微软雅黑" w:eastAsia="微软雅黑" w:cs="微软雅黑"/>
                <w:b/>
                <w:bCs/>
                <w:color w:val="auto"/>
                <w:sz w:val="24"/>
                <w:szCs w:val="24"/>
                <w:highlight w:val="none"/>
                <w:lang w:val="en-US" w:eastAsia="zh-CN"/>
              </w:rPr>
              <w:t xml:space="preserve">11 </w:t>
            </w:r>
            <w:r>
              <w:rPr>
                <w:rFonts w:hint="eastAsia" w:ascii="微软雅黑" w:hAnsi="微软雅黑" w:eastAsia="微软雅黑" w:cs="微软雅黑"/>
                <w:b/>
                <w:bCs/>
                <w:color w:val="auto"/>
                <w:sz w:val="24"/>
                <w:szCs w:val="24"/>
                <w:highlight w:val="none"/>
              </w:rPr>
              <w:t>点00分（北京时间）</w:t>
            </w:r>
          </w:p>
        </w:tc>
      </w:tr>
      <w:tr w14:paraId="6D2DC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14:paraId="68E8E590">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115" w:type="dxa"/>
            <w:vAlign w:val="center"/>
          </w:tcPr>
          <w:p w14:paraId="232C8C73">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sz w:val="24"/>
                <w:szCs w:val="24"/>
                <w:highlight w:val="none"/>
              </w:rPr>
              <w:t>磋商</w:t>
            </w:r>
            <w:r>
              <w:rPr>
                <w:rFonts w:hint="eastAsia" w:ascii="微软雅黑" w:hAnsi="微软雅黑" w:eastAsia="微软雅黑" w:cs="微软雅黑"/>
                <w:b/>
                <w:bCs/>
                <w:color w:val="auto"/>
                <w:sz w:val="24"/>
                <w:szCs w:val="24"/>
                <w:highlight w:val="none"/>
                <w:lang w:eastAsia="zh-CN"/>
              </w:rPr>
              <w:t>开启</w:t>
            </w:r>
            <w:r>
              <w:rPr>
                <w:rFonts w:hint="eastAsia" w:ascii="微软雅黑" w:hAnsi="微软雅黑" w:eastAsia="微软雅黑" w:cs="微软雅黑"/>
                <w:b/>
                <w:bCs/>
                <w:color w:val="auto"/>
                <w:kern w:val="0"/>
                <w:sz w:val="24"/>
                <w:szCs w:val="24"/>
                <w:highlight w:val="none"/>
              </w:rPr>
              <w:t>时间：</w:t>
            </w:r>
            <w:r>
              <w:rPr>
                <w:rFonts w:hint="eastAsia" w:ascii="微软雅黑" w:hAnsi="微软雅黑" w:eastAsia="微软雅黑" w:cs="微软雅黑"/>
                <w:b/>
                <w:bCs/>
                <w:color w:val="auto"/>
                <w:kern w:val="0"/>
                <w:sz w:val="24"/>
                <w:szCs w:val="24"/>
                <w:highlight w:val="none"/>
                <w:lang w:val="en-US" w:eastAsia="zh-CN"/>
              </w:rPr>
              <w:t>2</w:t>
            </w:r>
            <w:r>
              <w:rPr>
                <w:rFonts w:hint="eastAsia" w:ascii="微软雅黑" w:hAnsi="微软雅黑" w:eastAsia="微软雅黑" w:cs="微软雅黑"/>
                <w:b/>
                <w:bCs/>
                <w:color w:val="auto"/>
                <w:kern w:val="0"/>
                <w:sz w:val="24"/>
                <w:szCs w:val="24"/>
                <w:highlight w:val="none"/>
              </w:rPr>
              <w:t>02</w:t>
            </w:r>
            <w:r>
              <w:rPr>
                <w:rFonts w:hint="eastAsia" w:ascii="微软雅黑" w:hAnsi="微软雅黑" w:eastAsia="微软雅黑" w:cs="微软雅黑"/>
                <w:b/>
                <w:bCs/>
                <w:color w:val="auto"/>
                <w:kern w:val="0"/>
                <w:sz w:val="24"/>
                <w:szCs w:val="24"/>
                <w:highlight w:val="none"/>
                <w:lang w:val="en-US" w:eastAsia="zh-CN"/>
              </w:rPr>
              <w:t>6</w:t>
            </w:r>
            <w:r>
              <w:rPr>
                <w:rFonts w:hint="eastAsia" w:ascii="微软雅黑" w:hAnsi="微软雅黑" w:eastAsia="微软雅黑" w:cs="微软雅黑"/>
                <w:b/>
                <w:bCs/>
                <w:color w:val="auto"/>
                <w:kern w:val="0"/>
                <w:sz w:val="24"/>
                <w:szCs w:val="24"/>
                <w:highlight w:val="none"/>
              </w:rPr>
              <w:t>年</w:t>
            </w:r>
            <w:r>
              <w:rPr>
                <w:rFonts w:hint="eastAsia" w:ascii="微软雅黑" w:hAnsi="微软雅黑" w:eastAsia="微软雅黑" w:cs="微软雅黑"/>
                <w:b/>
                <w:bCs/>
                <w:color w:val="auto"/>
                <w:kern w:val="0"/>
                <w:sz w:val="24"/>
                <w:szCs w:val="24"/>
                <w:highlight w:val="none"/>
                <w:lang w:val="en-US" w:eastAsia="zh-CN"/>
              </w:rPr>
              <w:t>6</w:t>
            </w:r>
            <w:r>
              <w:rPr>
                <w:rFonts w:hint="eastAsia" w:ascii="微软雅黑" w:hAnsi="微软雅黑" w:eastAsia="微软雅黑" w:cs="微软雅黑"/>
                <w:b/>
                <w:bCs/>
                <w:color w:val="auto"/>
                <w:kern w:val="0"/>
                <w:sz w:val="24"/>
                <w:szCs w:val="24"/>
                <w:highlight w:val="none"/>
              </w:rPr>
              <w:t>月</w:t>
            </w:r>
            <w:r>
              <w:rPr>
                <w:rFonts w:hint="eastAsia" w:ascii="微软雅黑" w:hAnsi="微软雅黑" w:eastAsia="微软雅黑" w:cs="微软雅黑"/>
                <w:b/>
                <w:bCs/>
                <w:color w:val="auto"/>
                <w:kern w:val="0"/>
                <w:sz w:val="24"/>
                <w:szCs w:val="24"/>
                <w:highlight w:val="none"/>
                <w:lang w:val="en-US" w:eastAsia="zh-CN"/>
              </w:rPr>
              <w:t>9</w:t>
            </w:r>
            <w:r>
              <w:rPr>
                <w:rFonts w:hint="eastAsia" w:ascii="微软雅黑" w:hAnsi="微软雅黑" w:eastAsia="微软雅黑" w:cs="微软雅黑"/>
                <w:b/>
                <w:bCs/>
                <w:color w:val="auto"/>
                <w:kern w:val="0"/>
                <w:sz w:val="24"/>
                <w:szCs w:val="24"/>
                <w:highlight w:val="none"/>
              </w:rPr>
              <w:t>日</w:t>
            </w:r>
            <w:r>
              <w:rPr>
                <w:rFonts w:hint="eastAsia" w:ascii="微软雅黑" w:hAnsi="微软雅黑" w:eastAsia="微软雅黑" w:cs="微软雅黑"/>
                <w:b/>
                <w:bCs/>
                <w:color w:val="auto"/>
                <w:kern w:val="0"/>
                <w:sz w:val="24"/>
                <w:szCs w:val="24"/>
                <w:highlight w:val="none"/>
                <w:lang w:val="en-US" w:eastAsia="zh-CN"/>
              </w:rPr>
              <w:t xml:space="preserve">11 </w:t>
            </w:r>
            <w:r>
              <w:rPr>
                <w:rFonts w:hint="eastAsia" w:ascii="微软雅黑" w:hAnsi="微软雅黑" w:eastAsia="微软雅黑" w:cs="微软雅黑"/>
                <w:b/>
                <w:bCs/>
                <w:color w:val="auto"/>
                <w:kern w:val="0"/>
                <w:sz w:val="24"/>
                <w:szCs w:val="24"/>
                <w:highlight w:val="none"/>
              </w:rPr>
              <w:t>点00分（北京时间）</w:t>
            </w:r>
          </w:p>
          <w:p w14:paraId="255F1E5A">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0"/>
                <w:sz w:val="24"/>
                <w:szCs w:val="24"/>
                <w:highlight w:val="none"/>
              </w:rPr>
              <w:t>磋商</w:t>
            </w:r>
            <w:r>
              <w:rPr>
                <w:rFonts w:hint="eastAsia" w:ascii="微软雅黑" w:hAnsi="微软雅黑" w:eastAsia="微软雅黑" w:cs="微软雅黑"/>
                <w:color w:val="auto"/>
                <w:kern w:val="0"/>
                <w:sz w:val="24"/>
                <w:szCs w:val="24"/>
                <w:highlight w:val="none"/>
                <w:lang w:eastAsia="zh-CN"/>
              </w:rPr>
              <w:t>开启</w:t>
            </w:r>
            <w:r>
              <w:rPr>
                <w:rFonts w:hint="eastAsia" w:ascii="微软雅黑" w:hAnsi="微软雅黑" w:eastAsia="微软雅黑" w:cs="微软雅黑"/>
                <w:color w:val="auto"/>
                <w:kern w:val="0"/>
                <w:sz w:val="24"/>
                <w:szCs w:val="24"/>
                <w:highlight w:val="none"/>
              </w:rPr>
              <w:t>地点：</w:t>
            </w:r>
            <w:r>
              <w:rPr>
                <w:rFonts w:hint="eastAsia" w:ascii="微软雅黑" w:hAnsi="微软雅黑" w:eastAsia="微软雅黑" w:cs="微软雅黑"/>
                <w:color w:val="auto"/>
                <w:kern w:val="0"/>
                <w:sz w:val="24"/>
                <w:szCs w:val="24"/>
                <w:highlight w:val="none"/>
                <w:lang w:val="en-US" w:eastAsia="zh-CN"/>
              </w:rPr>
              <w:t>政采云平台投标客户端</w:t>
            </w:r>
          </w:p>
        </w:tc>
      </w:tr>
      <w:tr w14:paraId="422D2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95" w:type="dxa"/>
            <w:vAlign w:val="center"/>
          </w:tcPr>
          <w:p w14:paraId="1DD09221">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115" w:type="dxa"/>
            <w:vAlign w:val="center"/>
          </w:tcPr>
          <w:p w14:paraId="22E2F4C1">
            <w:pPr>
              <w:pageBreakBefore w:val="0"/>
              <w:kinsoku/>
              <w:wordWrap/>
              <w:overflowPunct/>
              <w:topLinePunct w:val="0"/>
              <w:bidi w:val="0"/>
              <w:snapToGrid w:val="0"/>
              <w:spacing w:line="520" w:lineRule="exact"/>
              <w:textAlignment w:val="baseline"/>
              <w:rPr>
                <w:rFonts w:hint="eastAsia" w:ascii="微软雅黑" w:hAnsi="微软雅黑" w:eastAsia="微软雅黑" w:cs="微软雅黑"/>
                <w:i/>
                <w:color w:val="auto"/>
                <w:sz w:val="24"/>
                <w:szCs w:val="24"/>
                <w:highlight w:val="none"/>
              </w:rPr>
            </w:pPr>
            <w:r>
              <w:rPr>
                <w:rFonts w:hint="eastAsia" w:ascii="微软雅黑" w:hAnsi="微软雅黑" w:eastAsia="微软雅黑" w:cs="微软雅黑"/>
                <w:color w:val="auto"/>
                <w:sz w:val="24"/>
                <w:szCs w:val="24"/>
                <w:highlight w:val="none"/>
              </w:rPr>
              <w:t>评审方法：</w:t>
            </w:r>
            <w:r>
              <w:rPr>
                <w:rFonts w:hint="eastAsia" w:ascii="微软雅黑" w:hAnsi="微软雅黑" w:eastAsia="微软雅黑" w:cs="微软雅黑"/>
                <w:color w:val="auto"/>
                <w:sz w:val="24"/>
                <w:szCs w:val="24"/>
                <w:highlight w:val="none"/>
                <w:u w:val="single" w:color="000000"/>
              </w:rPr>
              <w:t>　综合评分法　</w:t>
            </w:r>
            <w:r>
              <w:rPr>
                <w:rFonts w:hint="eastAsia" w:ascii="微软雅黑" w:hAnsi="微软雅黑" w:eastAsia="微软雅黑" w:cs="微软雅黑"/>
                <w:color w:val="auto"/>
                <w:sz w:val="24"/>
                <w:szCs w:val="24"/>
                <w:highlight w:val="none"/>
              </w:rPr>
              <w:t>　　　　　</w:t>
            </w:r>
          </w:p>
        </w:tc>
      </w:tr>
      <w:tr w14:paraId="4F295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95" w:type="dxa"/>
            <w:vAlign w:val="center"/>
          </w:tcPr>
          <w:p w14:paraId="27BB42AC">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115" w:type="dxa"/>
            <w:vAlign w:val="center"/>
          </w:tcPr>
          <w:p w14:paraId="10744A22">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推荐成交候选</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的数量：</w:t>
            </w:r>
            <w:r>
              <w:rPr>
                <w:rFonts w:hint="eastAsia" w:ascii="微软雅黑" w:hAnsi="微软雅黑" w:eastAsia="微软雅黑" w:cs="微软雅黑"/>
                <w:color w:val="auto"/>
                <w:sz w:val="24"/>
                <w:szCs w:val="24"/>
                <w:highlight w:val="none"/>
                <w:u w:val="single" w:color="000000"/>
              </w:rPr>
              <w:t>　   3　　</w:t>
            </w:r>
          </w:p>
        </w:tc>
      </w:tr>
      <w:tr w14:paraId="6DFBF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14:paraId="4C39A5A3">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115" w:type="dxa"/>
            <w:vAlign w:val="center"/>
          </w:tcPr>
          <w:p w14:paraId="54A405DD">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是否委托评审委员会直接确定成交人：</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u w:val="single" w:color="000000"/>
                <w:lang w:eastAsia="zh-CN"/>
              </w:rPr>
              <w:t>否</w:t>
            </w:r>
            <w:r>
              <w:rPr>
                <w:rFonts w:hint="eastAsia" w:ascii="微软雅黑" w:hAnsi="微软雅黑" w:eastAsia="微软雅黑" w:cs="微软雅黑"/>
                <w:color w:val="auto"/>
                <w:sz w:val="24"/>
                <w:szCs w:val="24"/>
                <w:highlight w:val="none"/>
                <w:u w:val="single" w:color="000000"/>
              </w:rPr>
              <w:t xml:space="preserve">  </w:t>
            </w:r>
            <w:r>
              <w:rPr>
                <w:rFonts w:hint="eastAsia" w:ascii="微软雅黑" w:hAnsi="微软雅黑" w:eastAsia="微软雅黑" w:cs="微软雅黑"/>
                <w:color w:val="auto"/>
                <w:sz w:val="24"/>
                <w:szCs w:val="24"/>
                <w:highlight w:val="none"/>
              </w:rPr>
              <w:t xml:space="preserve"> </w:t>
            </w:r>
          </w:p>
        </w:tc>
      </w:tr>
      <w:tr w14:paraId="5A8BB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95" w:type="dxa"/>
            <w:vAlign w:val="center"/>
          </w:tcPr>
          <w:p w14:paraId="324739B8">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8115" w:type="dxa"/>
            <w:vAlign w:val="center"/>
          </w:tcPr>
          <w:p w14:paraId="0B17A3D7">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color="000000"/>
              </w:rPr>
              <w:t>　</w:t>
            </w:r>
            <w:r>
              <w:rPr>
                <w:rFonts w:hint="eastAsia" w:ascii="微软雅黑" w:hAnsi="微软雅黑" w:eastAsia="微软雅黑" w:cs="微软雅黑"/>
                <w:color w:val="auto"/>
                <w:sz w:val="24"/>
                <w:szCs w:val="24"/>
                <w:highlight w:val="none"/>
                <w:u w:val="single" w:color="000000"/>
                <w:lang w:val="en-US" w:eastAsia="zh-CN"/>
              </w:rPr>
              <w:t>5</w:t>
            </w:r>
            <w:r>
              <w:rPr>
                <w:rFonts w:hint="eastAsia" w:ascii="微软雅黑" w:hAnsi="微软雅黑" w:eastAsia="微软雅黑" w:cs="微软雅黑"/>
                <w:color w:val="auto"/>
                <w:sz w:val="24"/>
                <w:szCs w:val="24"/>
                <w:highlight w:val="none"/>
                <w:u w:val="single" w:color="000000"/>
              </w:rPr>
              <w:t>%　（打入甲方账号）</w:t>
            </w:r>
          </w:p>
          <w:p w14:paraId="752A4B14">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rPr>
              <w:t xml:space="preserve">履约保证金形式：☑保函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☑对公转账 </w:t>
            </w:r>
          </w:p>
          <w:p w14:paraId="428CA25C">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u w:val="single" w:color="000000"/>
              </w:rPr>
            </w:pPr>
            <w:r>
              <w:rPr>
                <w:rFonts w:hint="eastAsia" w:ascii="微软雅黑" w:hAnsi="微软雅黑" w:eastAsia="微软雅黑" w:cs="微软雅黑"/>
                <w:color w:val="auto"/>
                <w:sz w:val="24"/>
                <w:szCs w:val="24"/>
                <w:highlight w:val="none"/>
                <w:u w:val="single" w:color="000000"/>
              </w:rPr>
              <w:t>提交履约保证金的时间：签订合同</w:t>
            </w:r>
            <w:r>
              <w:rPr>
                <w:rFonts w:hint="eastAsia" w:ascii="微软雅黑" w:hAnsi="微软雅黑" w:eastAsia="微软雅黑" w:cs="微软雅黑"/>
                <w:color w:val="auto"/>
                <w:sz w:val="24"/>
                <w:szCs w:val="24"/>
                <w:highlight w:val="none"/>
                <w:u w:val="single" w:color="000000"/>
                <w:lang w:eastAsia="zh-CN"/>
              </w:rPr>
              <w:t>后</w:t>
            </w:r>
            <w:r>
              <w:rPr>
                <w:rFonts w:hint="eastAsia" w:ascii="微软雅黑" w:hAnsi="微软雅黑" w:eastAsia="微软雅黑" w:cs="微软雅黑"/>
                <w:color w:val="auto"/>
                <w:sz w:val="24"/>
                <w:szCs w:val="24"/>
                <w:highlight w:val="none"/>
                <w:u w:val="single" w:color="000000"/>
              </w:rPr>
              <w:t>2日历日</w:t>
            </w:r>
          </w:p>
        </w:tc>
      </w:tr>
      <w:tr w14:paraId="6D253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14:paraId="671E2D9E">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8115" w:type="dxa"/>
            <w:vAlign w:val="center"/>
          </w:tcPr>
          <w:p w14:paraId="50CDA1A0">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成交服务费：</w:t>
            </w:r>
            <w:r>
              <w:rPr>
                <w:rFonts w:hint="eastAsia" w:ascii="微软雅黑" w:hAnsi="微软雅黑" w:eastAsia="微软雅黑" w:cs="微软雅黑"/>
                <w:color w:val="auto"/>
                <w:sz w:val="24"/>
                <w:szCs w:val="24"/>
                <w:highlight w:val="none"/>
                <w:lang w:val="en-US" w:eastAsia="zh-CN"/>
              </w:rPr>
              <w:t>根据发改委价格[2015]299文件：以成交金额为基准，按差额定率累进法计算后下浮</w:t>
            </w:r>
            <w:r>
              <w:rPr>
                <w:rFonts w:hint="eastAsia" w:ascii="微软雅黑" w:hAnsi="微软雅黑" w:eastAsia="微软雅黑" w:cs="微软雅黑"/>
                <w:color w:val="auto"/>
                <w:sz w:val="24"/>
                <w:szCs w:val="24"/>
                <w:highlight w:val="none"/>
                <w:u w:val="single"/>
                <w:lang w:val="en-US" w:eastAsia="zh-CN"/>
              </w:rPr>
              <w:t xml:space="preserve">  5%   </w:t>
            </w:r>
            <w:r>
              <w:rPr>
                <w:rFonts w:hint="eastAsia" w:ascii="微软雅黑" w:hAnsi="微软雅黑" w:eastAsia="微软雅黑" w:cs="微软雅黑"/>
                <w:color w:val="auto"/>
                <w:sz w:val="24"/>
                <w:szCs w:val="24"/>
                <w:highlight w:val="none"/>
                <w:lang w:val="en-US" w:eastAsia="zh-CN"/>
              </w:rPr>
              <w:t>收取代理服务费（由成交供应商支付）</w:t>
            </w:r>
          </w:p>
          <w:p w14:paraId="0EA5F88F">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标准如下：</w:t>
            </w:r>
          </w:p>
          <w:p w14:paraId="2E2254E4">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成交金额100万元以下的部分,工程类采购费率1.0%；</w:t>
            </w:r>
          </w:p>
          <w:p w14:paraId="7141D0E3">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成交金额100万元至500万元的部分,工程类采购费率0.7%；</w:t>
            </w:r>
          </w:p>
          <w:p w14:paraId="5EB48D2A">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成交金额500万元至1000万元的部分,工程类采购费率0.55%；</w:t>
            </w:r>
          </w:p>
          <w:p w14:paraId="3D0E4BF9">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成交金额1000万元至5000万元的部分，工程类采购费率0.35%。</w:t>
            </w:r>
          </w:p>
          <w:p w14:paraId="46223907">
            <w:pPr>
              <w:pageBreakBefore w:val="0"/>
              <w:kinsoku/>
              <w:wordWrap/>
              <w:overflowPunct/>
              <w:topLinePunct w:val="0"/>
              <w:bidi w:val="0"/>
              <w:snapToGrid w:val="0"/>
              <w:spacing w:line="520" w:lineRule="exact"/>
              <w:ind w:left="900" w:hanging="900" w:hangingChars="375"/>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color="000000"/>
              </w:rPr>
              <w:t xml:space="preserve"> 对公转账  </w:t>
            </w:r>
          </w:p>
          <w:p w14:paraId="64F8C52D">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color="000000"/>
              </w:rPr>
              <w:t xml:space="preserve"> 领取成交通知书时 </w:t>
            </w:r>
          </w:p>
        </w:tc>
      </w:tr>
      <w:tr w14:paraId="1E8BF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14:paraId="720630C8">
            <w:pPr>
              <w:pageBreakBefore w:val="0"/>
              <w:kinsoku/>
              <w:wordWrap/>
              <w:overflowPunct/>
              <w:topLinePunct w:val="0"/>
              <w:bidi w:val="0"/>
              <w:snapToGrid w:val="0"/>
              <w:spacing w:line="520" w:lineRule="exact"/>
              <w:ind w:left="1080" w:leftChars="257" w:hanging="54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8115" w:type="dxa"/>
            <w:vAlign w:val="center"/>
          </w:tcPr>
          <w:p w14:paraId="6DC33BEA">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color="000000"/>
              </w:rPr>
              <w:t xml:space="preserve">  否 </w:t>
            </w:r>
            <w:r>
              <w:rPr>
                <w:rFonts w:hint="eastAsia" w:ascii="微软雅黑" w:hAnsi="微软雅黑" w:eastAsia="微软雅黑" w:cs="微软雅黑"/>
                <w:color w:val="auto"/>
                <w:sz w:val="24"/>
                <w:szCs w:val="24"/>
                <w:highlight w:val="none"/>
              </w:rPr>
              <w:t xml:space="preserve"> </w:t>
            </w:r>
          </w:p>
        </w:tc>
      </w:tr>
      <w:tr w14:paraId="44DCD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62AE2555">
            <w:pPr>
              <w:pageBreakBefore w:val="0"/>
              <w:kinsoku/>
              <w:wordWrap/>
              <w:overflowPunct/>
              <w:topLinePunct w:val="0"/>
              <w:bidi w:val="0"/>
              <w:snapToGrid w:val="0"/>
              <w:spacing w:line="520" w:lineRule="exact"/>
              <w:textAlignment w:val="baseline"/>
              <w:rPr>
                <w:rFonts w:hint="eastAsia" w:ascii="微软雅黑" w:hAnsi="微软雅黑" w:eastAsia="微软雅黑" w:cs="微软雅黑"/>
                <w:color w:val="auto"/>
                <w:sz w:val="24"/>
                <w:szCs w:val="24"/>
                <w:highlight w:val="none"/>
              </w:rPr>
            </w:pPr>
            <w:bookmarkStart w:id="759" w:name="_Toc216582826"/>
            <w:bookmarkStart w:id="760" w:name="_Toc218935355"/>
            <w:bookmarkStart w:id="761" w:name="_Toc219175639"/>
            <w:r>
              <w:rPr>
                <w:rFonts w:hint="eastAsia" w:ascii="微软雅黑" w:hAnsi="微软雅黑" w:eastAsia="微软雅黑" w:cs="微软雅黑"/>
                <w:b/>
                <w:bCs/>
                <w:color w:val="auto"/>
                <w:sz w:val="24"/>
                <w:szCs w:val="24"/>
                <w:highlight w:val="none"/>
              </w:rPr>
              <w:t>适用于本</w:t>
            </w:r>
            <w:r>
              <w:rPr>
                <w:rFonts w:hint="eastAsia" w:ascii="微软雅黑" w:hAnsi="微软雅黑" w:eastAsia="微软雅黑" w:cs="微软雅黑"/>
                <w:b/>
                <w:bCs/>
                <w:color w:val="auto"/>
                <w:sz w:val="24"/>
                <w:szCs w:val="24"/>
                <w:highlight w:val="none"/>
                <w:lang w:eastAsia="zh-CN"/>
              </w:rPr>
              <w:t>供应商</w:t>
            </w:r>
            <w:r>
              <w:rPr>
                <w:rFonts w:hint="eastAsia" w:ascii="微软雅黑" w:hAnsi="微软雅黑" w:eastAsia="微软雅黑" w:cs="微软雅黑"/>
                <w:b/>
                <w:bCs/>
                <w:color w:val="auto"/>
                <w:sz w:val="24"/>
                <w:szCs w:val="24"/>
                <w:highlight w:val="none"/>
              </w:rPr>
              <w:t>须知的额外增加的变动：</w:t>
            </w:r>
          </w:p>
        </w:tc>
      </w:tr>
      <w:tr w14:paraId="64F13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14:paraId="1128E3AC">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2"/>
                <w:szCs w:val="22"/>
                <w:highlight w:val="none"/>
              </w:rPr>
              <w:t>1</w:t>
            </w:r>
          </w:p>
        </w:tc>
        <w:tc>
          <w:tcPr>
            <w:tcW w:w="8115" w:type="dxa"/>
            <w:vAlign w:val="center"/>
          </w:tcPr>
          <w:p w14:paraId="50345551">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本项目所属行业：</w:t>
            </w:r>
            <w:r>
              <w:rPr>
                <w:rFonts w:hint="eastAsia" w:ascii="微软雅黑" w:hAnsi="微软雅黑" w:eastAsia="微软雅黑" w:cs="微软雅黑"/>
                <w:b/>
                <w:bCs/>
                <w:color w:val="auto"/>
                <w:sz w:val="24"/>
                <w:szCs w:val="24"/>
                <w:highlight w:val="none"/>
                <w:u w:val="single"/>
                <w:lang w:val="en-US" w:eastAsia="zh-CN"/>
              </w:rPr>
              <w:t>建筑业</w:t>
            </w:r>
          </w:p>
        </w:tc>
      </w:tr>
      <w:tr w14:paraId="60041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14:paraId="5EC01F4E">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2"/>
                <w:szCs w:val="22"/>
                <w:highlight w:val="none"/>
              </w:rPr>
              <w:t>2</w:t>
            </w:r>
          </w:p>
        </w:tc>
        <w:tc>
          <w:tcPr>
            <w:tcW w:w="8115" w:type="dxa"/>
            <w:vAlign w:val="center"/>
          </w:tcPr>
          <w:p w14:paraId="2DD4ED17">
            <w:pPr>
              <w:keepNext w:val="0"/>
              <w:keepLines w:val="0"/>
              <w:pageBreakBefore w:val="0"/>
              <w:kinsoku/>
              <w:wordWrap/>
              <w:overflowPunct/>
              <w:topLinePunct w:val="0"/>
              <w:bidi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为保证本项目服务质量，最低报价不作为中标的唯一依据。</w:t>
            </w:r>
          </w:p>
        </w:tc>
      </w:tr>
      <w:tr w14:paraId="45459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14:paraId="13BC009C">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异常低价不正当竞争预防措施</w:t>
            </w:r>
          </w:p>
        </w:tc>
        <w:tc>
          <w:tcPr>
            <w:tcW w:w="8115" w:type="dxa"/>
            <w:vAlign w:val="center"/>
          </w:tcPr>
          <w:p w14:paraId="3ED6C0CB">
            <w:pPr>
              <w:keepNext w:val="0"/>
              <w:keepLines w:val="0"/>
              <w:pageBreakBefore w:val="0"/>
              <w:widowControl w:val="0"/>
              <w:kinsoku/>
              <w:wordWrap/>
              <w:overflowPunct/>
              <w:topLinePunct w:val="0"/>
              <w:bidi w:val="0"/>
              <w:spacing w:before="47" w:line="500" w:lineRule="exact"/>
              <w:ind w:left="24" w:right="25" w:firstLine="22"/>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1.在评标过程中，</w:t>
            </w:r>
            <w:r>
              <w:rPr>
                <w:rFonts w:hint="eastAsia" w:ascii="微软雅黑" w:hAnsi="微软雅黑" w:eastAsia="微软雅黑" w:cs="微软雅黑"/>
                <w:color w:val="auto"/>
                <w:spacing w:val="-37"/>
                <w:sz w:val="24"/>
                <w:szCs w:val="24"/>
                <w:highlight w:val="none"/>
              </w:rPr>
              <w:t xml:space="preserve"> </w:t>
            </w:r>
            <w:r>
              <w:rPr>
                <w:rFonts w:hint="eastAsia" w:ascii="微软雅黑" w:hAnsi="微软雅黑" w:eastAsia="微软雅黑" w:cs="微软雅黑"/>
                <w:color w:val="auto"/>
                <w:spacing w:val="-2"/>
                <w:sz w:val="24"/>
                <w:szCs w:val="24"/>
                <w:highlight w:val="none"/>
              </w:rPr>
              <w:t>评标委员会认为</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的报价明显低于其他通过符合性审查</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3"/>
                <w:sz w:val="24"/>
                <w:szCs w:val="24"/>
                <w:highlight w:val="none"/>
              </w:rPr>
              <w:t>的报</w:t>
            </w:r>
            <w:r>
              <w:rPr>
                <w:rFonts w:hint="eastAsia" w:ascii="微软雅黑" w:hAnsi="微软雅黑" w:eastAsia="微软雅黑" w:cs="微软雅黑"/>
                <w:color w:val="auto"/>
                <w:spacing w:val="-2"/>
                <w:sz w:val="24"/>
                <w:szCs w:val="24"/>
                <w:highlight w:val="none"/>
              </w:rPr>
              <w:t>价，有可能影响产品质量或者不能诚信履约的，应当要求其在评标现场合理的时间内提供</w:t>
            </w:r>
            <w:r>
              <w:rPr>
                <w:rFonts w:hint="eastAsia" w:ascii="微软雅黑" w:hAnsi="微软雅黑" w:eastAsia="微软雅黑" w:cs="微软雅黑"/>
                <w:color w:val="auto"/>
                <w:spacing w:val="-4"/>
                <w:sz w:val="24"/>
                <w:szCs w:val="24"/>
                <w:highlight w:val="none"/>
              </w:rPr>
              <w:t>书面说明，</w:t>
            </w:r>
            <w:r>
              <w:rPr>
                <w:rFonts w:hint="eastAsia" w:ascii="微软雅黑" w:hAnsi="微软雅黑" w:eastAsia="微软雅黑" w:cs="微软雅黑"/>
                <w:color w:val="auto"/>
                <w:spacing w:val="-32"/>
                <w:sz w:val="24"/>
                <w:szCs w:val="24"/>
                <w:highlight w:val="none"/>
              </w:rPr>
              <w:t xml:space="preserve"> </w:t>
            </w:r>
            <w:r>
              <w:rPr>
                <w:rFonts w:hint="eastAsia" w:ascii="微软雅黑" w:hAnsi="微软雅黑" w:eastAsia="微软雅黑" w:cs="微软雅黑"/>
                <w:color w:val="auto"/>
                <w:spacing w:val="-4"/>
                <w:sz w:val="24"/>
                <w:szCs w:val="24"/>
                <w:highlight w:val="none"/>
              </w:rPr>
              <w:t>必要时提交相关证明材料；</w:t>
            </w:r>
            <w:r>
              <w:rPr>
                <w:rFonts w:hint="eastAsia" w:ascii="微软雅黑" w:hAnsi="微软雅黑" w:eastAsia="微软雅黑" w:cs="微软雅黑"/>
                <w:color w:val="auto"/>
                <w:spacing w:val="-33"/>
                <w:sz w:val="24"/>
                <w:szCs w:val="24"/>
                <w:highlight w:val="none"/>
              </w:rPr>
              <w:t xml:space="preserve"> </w:t>
            </w:r>
            <w:r>
              <w:rPr>
                <w:rFonts w:hint="eastAsia" w:ascii="微软雅黑" w:hAnsi="微软雅黑" w:eastAsia="微软雅黑" w:cs="微软雅黑"/>
                <w:color w:val="auto"/>
                <w:spacing w:val="-4"/>
                <w:sz w:val="24"/>
                <w:szCs w:val="24"/>
                <w:highlight w:val="none"/>
                <w:lang w:eastAsia="zh-CN"/>
              </w:rPr>
              <w:t>供应商</w:t>
            </w:r>
            <w:r>
              <w:rPr>
                <w:rFonts w:hint="eastAsia" w:ascii="微软雅黑" w:hAnsi="微软雅黑" w:eastAsia="微软雅黑" w:cs="微软雅黑"/>
                <w:color w:val="auto"/>
                <w:spacing w:val="-4"/>
                <w:sz w:val="24"/>
                <w:szCs w:val="24"/>
                <w:highlight w:val="none"/>
              </w:rPr>
              <w:t>不能证</w:t>
            </w:r>
            <w:r>
              <w:rPr>
                <w:rFonts w:hint="eastAsia" w:ascii="微软雅黑" w:hAnsi="微软雅黑" w:eastAsia="微软雅黑" w:cs="微软雅黑"/>
                <w:color w:val="auto"/>
                <w:spacing w:val="-5"/>
                <w:sz w:val="24"/>
                <w:szCs w:val="24"/>
                <w:highlight w:val="none"/>
              </w:rPr>
              <w:t>明其报价合理性的，</w:t>
            </w:r>
            <w:r>
              <w:rPr>
                <w:rFonts w:hint="eastAsia" w:ascii="微软雅黑" w:hAnsi="微软雅黑" w:eastAsia="微软雅黑" w:cs="微软雅黑"/>
                <w:color w:val="auto"/>
                <w:spacing w:val="-32"/>
                <w:sz w:val="24"/>
                <w:szCs w:val="24"/>
                <w:highlight w:val="none"/>
              </w:rPr>
              <w:t xml:space="preserve"> </w:t>
            </w:r>
            <w:r>
              <w:rPr>
                <w:rFonts w:hint="eastAsia" w:ascii="微软雅黑" w:hAnsi="微软雅黑" w:eastAsia="微软雅黑" w:cs="微软雅黑"/>
                <w:color w:val="auto"/>
                <w:spacing w:val="-5"/>
                <w:sz w:val="24"/>
                <w:szCs w:val="24"/>
                <w:highlight w:val="none"/>
              </w:rPr>
              <w:t>评标委员会应当</w:t>
            </w:r>
            <w:r>
              <w:rPr>
                <w:rFonts w:hint="eastAsia" w:ascii="微软雅黑" w:hAnsi="微软雅黑" w:eastAsia="微软雅黑" w:cs="微软雅黑"/>
                <w:color w:val="auto"/>
                <w:sz w:val="24"/>
                <w:szCs w:val="24"/>
                <w:highlight w:val="none"/>
              </w:rPr>
              <w:t>将其作为</w:t>
            </w:r>
            <w:r>
              <w:rPr>
                <w:rFonts w:hint="eastAsia" w:ascii="微软雅黑" w:hAnsi="微软雅黑" w:eastAsia="微软雅黑" w:cs="微软雅黑"/>
                <w:b/>
                <w:bCs/>
                <w:color w:val="auto"/>
                <w:sz w:val="24"/>
                <w:szCs w:val="24"/>
                <w:highlight w:val="none"/>
              </w:rPr>
              <w:t>无效投标处理</w:t>
            </w:r>
            <w:r>
              <w:rPr>
                <w:rFonts w:hint="eastAsia" w:ascii="微软雅黑" w:hAnsi="微软雅黑" w:eastAsia="微软雅黑" w:cs="微软雅黑"/>
                <w:color w:val="auto"/>
                <w:sz w:val="24"/>
                <w:szCs w:val="24"/>
                <w:highlight w:val="none"/>
              </w:rPr>
              <w:t>。</w:t>
            </w:r>
          </w:p>
          <w:p w14:paraId="3B74211D">
            <w:pPr>
              <w:keepNext w:val="0"/>
              <w:keepLines w:val="0"/>
              <w:pageBreakBefore w:val="0"/>
              <w:widowControl w:val="0"/>
              <w:kinsoku/>
              <w:wordWrap/>
              <w:overflowPunct/>
              <w:topLinePunct w:val="0"/>
              <w:bidi w:val="0"/>
              <w:spacing w:before="1" w:line="500" w:lineRule="exact"/>
              <w:ind w:left="27" w:right="27" w:firstLine="9"/>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4"/>
                <w:sz w:val="24"/>
                <w:szCs w:val="24"/>
                <w:highlight w:val="none"/>
              </w:rPr>
              <w:t>2.</w:t>
            </w:r>
            <w:r>
              <w:rPr>
                <w:rFonts w:hint="eastAsia" w:ascii="微软雅黑" w:hAnsi="微软雅黑" w:eastAsia="微软雅黑" w:cs="微软雅黑"/>
                <w:color w:val="auto"/>
                <w:spacing w:val="-4"/>
                <w:sz w:val="24"/>
                <w:szCs w:val="24"/>
                <w:highlight w:val="none"/>
                <w:lang w:eastAsia="zh-CN"/>
              </w:rPr>
              <w:t>供应商</w:t>
            </w:r>
            <w:r>
              <w:rPr>
                <w:rFonts w:hint="eastAsia" w:ascii="微软雅黑" w:hAnsi="微软雅黑" w:eastAsia="微软雅黑" w:cs="微软雅黑"/>
                <w:color w:val="auto"/>
                <w:spacing w:val="-4"/>
                <w:sz w:val="24"/>
                <w:szCs w:val="24"/>
                <w:highlight w:val="none"/>
              </w:rPr>
              <w:t>书面说明应当签字确认并且加盖公章，</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pacing w:val="-4"/>
                <w:sz w:val="24"/>
                <w:szCs w:val="24"/>
                <w:highlight w:val="none"/>
              </w:rPr>
              <w:t>否则无效。书面说明的签字确认，</w:t>
            </w:r>
            <w:r>
              <w:rPr>
                <w:rFonts w:hint="eastAsia" w:ascii="微软雅黑" w:hAnsi="微软雅黑" w:eastAsia="微软雅黑" w:cs="微软雅黑"/>
                <w:color w:val="auto"/>
                <w:spacing w:val="-18"/>
                <w:sz w:val="24"/>
                <w:szCs w:val="24"/>
                <w:highlight w:val="none"/>
              </w:rPr>
              <w:t xml:space="preserve"> </w:t>
            </w:r>
            <w:r>
              <w:rPr>
                <w:rFonts w:hint="eastAsia" w:ascii="微软雅黑" w:hAnsi="微软雅黑" w:eastAsia="微软雅黑" w:cs="微软雅黑"/>
                <w:color w:val="auto"/>
                <w:spacing w:val="-4"/>
                <w:sz w:val="24"/>
                <w:szCs w:val="24"/>
                <w:highlight w:val="none"/>
                <w:lang w:eastAsia="zh-CN"/>
              </w:rPr>
              <w:t>供应商</w:t>
            </w:r>
            <w:r>
              <w:rPr>
                <w:rFonts w:hint="eastAsia" w:ascii="微软雅黑" w:hAnsi="微软雅黑" w:eastAsia="微软雅黑" w:cs="微软雅黑"/>
                <w:color w:val="auto"/>
                <w:spacing w:val="-5"/>
                <w:sz w:val="24"/>
                <w:szCs w:val="24"/>
                <w:highlight w:val="none"/>
              </w:rPr>
              <w:t>为法人的，</w:t>
            </w:r>
            <w:r>
              <w:rPr>
                <w:rFonts w:hint="eastAsia" w:ascii="微软雅黑" w:hAnsi="微软雅黑" w:eastAsia="微软雅黑" w:cs="微软雅黑"/>
                <w:color w:val="auto"/>
                <w:spacing w:val="-14"/>
                <w:sz w:val="24"/>
                <w:szCs w:val="24"/>
                <w:highlight w:val="none"/>
              </w:rPr>
              <w:t xml:space="preserve"> </w:t>
            </w:r>
            <w:r>
              <w:rPr>
                <w:rFonts w:hint="eastAsia" w:ascii="微软雅黑" w:hAnsi="微软雅黑" w:eastAsia="微软雅黑" w:cs="微软雅黑"/>
                <w:color w:val="auto"/>
                <w:spacing w:val="-5"/>
                <w:sz w:val="24"/>
                <w:szCs w:val="24"/>
                <w:highlight w:val="none"/>
              </w:rPr>
              <w:t>由其法定代表人或者代理人签字确</w:t>
            </w:r>
            <w:r>
              <w:rPr>
                <w:rFonts w:hint="eastAsia" w:ascii="微软雅黑" w:hAnsi="微软雅黑" w:eastAsia="微软雅黑" w:cs="微软雅黑"/>
                <w:color w:val="auto"/>
                <w:spacing w:val="-6"/>
                <w:sz w:val="24"/>
                <w:szCs w:val="24"/>
                <w:highlight w:val="none"/>
              </w:rPr>
              <w:t>认；</w:t>
            </w:r>
            <w:r>
              <w:rPr>
                <w:rFonts w:hint="eastAsia" w:ascii="微软雅黑" w:hAnsi="微软雅黑" w:eastAsia="微软雅黑" w:cs="微软雅黑"/>
                <w:color w:val="auto"/>
                <w:spacing w:val="-30"/>
                <w:sz w:val="24"/>
                <w:szCs w:val="24"/>
                <w:highlight w:val="none"/>
              </w:rPr>
              <w:t xml:space="preserve"> </w:t>
            </w:r>
            <w:r>
              <w:rPr>
                <w:rFonts w:hint="eastAsia" w:ascii="微软雅黑" w:hAnsi="微软雅黑" w:eastAsia="微软雅黑" w:cs="微软雅黑"/>
                <w:color w:val="auto"/>
                <w:spacing w:val="-6"/>
                <w:sz w:val="24"/>
                <w:szCs w:val="24"/>
                <w:highlight w:val="none"/>
                <w:lang w:eastAsia="zh-CN"/>
              </w:rPr>
              <w:t>供应商</w:t>
            </w:r>
            <w:r>
              <w:rPr>
                <w:rFonts w:hint="eastAsia" w:ascii="微软雅黑" w:hAnsi="微软雅黑" w:eastAsia="微软雅黑" w:cs="微软雅黑"/>
                <w:color w:val="auto"/>
                <w:spacing w:val="-6"/>
                <w:sz w:val="24"/>
                <w:szCs w:val="24"/>
                <w:highlight w:val="none"/>
              </w:rPr>
              <w:t>为其他组织的，</w:t>
            </w:r>
            <w:r>
              <w:rPr>
                <w:rFonts w:hint="eastAsia" w:ascii="微软雅黑" w:hAnsi="微软雅黑" w:eastAsia="微软雅黑" w:cs="微软雅黑"/>
                <w:color w:val="auto"/>
                <w:spacing w:val="-14"/>
                <w:sz w:val="24"/>
                <w:szCs w:val="24"/>
                <w:highlight w:val="none"/>
              </w:rPr>
              <w:t xml:space="preserve"> </w:t>
            </w:r>
            <w:r>
              <w:rPr>
                <w:rFonts w:hint="eastAsia" w:ascii="微软雅黑" w:hAnsi="微软雅黑" w:eastAsia="微软雅黑" w:cs="微软雅黑"/>
                <w:color w:val="auto"/>
                <w:spacing w:val="-6"/>
                <w:sz w:val="24"/>
                <w:szCs w:val="24"/>
                <w:highlight w:val="none"/>
              </w:rPr>
              <w:t>由其主要负责人</w:t>
            </w:r>
            <w:r>
              <w:rPr>
                <w:rFonts w:hint="eastAsia" w:ascii="微软雅黑" w:hAnsi="微软雅黑" w:eastAsia="微软雅黑" w:cs="微软雅黑"/>
                <w:color w:val="auto"/>
                <w:spacing w:val="-4"/>
                <w:sz w:val="24"/>
                <w:szCs w:val="24"/>
                <w:highlight w:val="none"/>
              </w:rPr>
              <w:t xml:space="preserve">或者代理人签字确认； </w:t>
            </w:r>
            <w:r>
              <w:rPr>
                <w:rFonts w:hint="eastAsia" w:ascii="微软雅黑" w:hAnsi="微软雅黑" w:eastAsia="微软雅黑" w:cs="微软雅黑"/>
                <w:color w:val="auto"/>
                <w:spacing w:val="-4"/>
                <w:sz w:val="24"/>
                <w:szCs w:val="24"/>
                <w:highlight w:val="none"/>
                <w:lang w:eastAsia="zh-CN"/>
              </w:rPr>
              <w:t>供应商</w:t>
            </w:r>
            <w:r>
              <w:rPr>
                <w:rFonts w:hint="eastAsia" w:ascii="微软雅黑" w:hAnsi="微软雅黑" w:eastAsia="微软雅黑" w:cs="微软雅黑"/>
                <w:color w:val="auto"/>
                <w:spacing w:val="-4"/>
                <w:sz w:val="24"/>
                <w:szCs w:val="24"/>
                <w:highlight w:val="none"/>
              </w:rPr>
              <w:t>为自然人的， 由其本人或者代理人签字确认。</w:t>
            </w:r>
          </w:p>
          <w:p w14:paraId="2B400F96">
            <w:pPr>
              <w:keepNext w:val="0"/>
              <w:keepLines w:val="0"/>
              <w:pageBreakBefore w:val="0"/>
              <w:widowControl w:val="0"/>
              <w:kinsoku/>
              <w:wordWrap/>
              <w:overflowPunct/>
              <w:topLinePunct w:val="0"/>
              <w:bidi w:val="0"/>
              <w:spacing w:before="4" w:line="500" w:lineRule="exact"/>
              <w:ind w:left="24" w:right="25" w:firstLine="1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3.</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提供书面说明后，</w:t>
            </w:r>
            <w:r>
              <w:rPr>
                <w:rFonts w:hint="eastAsia" w:ascii="微软雅黑" w:hAnsi="微软雅黑" w:eastAsia="微软雅黑" w:cs="微软雅黑"/>
                <w:color w:val="auto"/>
                <w:spacing w:val="-18"/>
                <w:sz w:val="24"/>
                <w:szCs w:val="24"/>
                <w:highlight w:val="none"/>
              </w:rPr>
              <w:t xml:space="preserve"> </w:t>
            </w:r>
            <w:r>
              <w:rPr>
                <w:rFonts w:hint="eastAsia" w:ascii="微软雅黑" w:hAnsi="微软雅黑" w:eastAsia="微软雅黑" w:cs="微软雅黑"/>
                <w:color w:val="auto"/>
                <w:spacing w:val="-2"/>
                <w:sz w:val="24"/>
                <w:szCs w:val="24"/>
                <w:highlight w:val="none"/>
              </w:rPr>
              <w:t>评标委员会应当结合采购项</w:t>
            </w:r>
            <w:r>
              <w:rPr>
                <w:rFonts w:hint="eastAsia" w:ascii="微软雅黑" w:hAnsi="微软雅黑" w:eastAsia="微软雅黑" w:cs="微软雅黑"/>
                <w:color w:val="auto"/>
                <w:spacing w:val="-3"/>
                <w:sz w:val="24"/>
                <w:szCs w:val="24"/>
                <w:highlight w:val="none"/>
              </w:rPr>
              <w:t>目采购需求、专业实际情况、</w:t>
            </w:r>
            <w:r>
              <w:rPr>
                <w:rFonts w:hint="eastAsia" w:ascii="微软雅黑" w:hAnsi="微软雅黑" w:eastAsia="微软雅黑" w:cs="微软雅黑"/>
                <w:color w:val="auto"/>
                <w:spacing w:val="-3"/>
                <w:sz w:val="24"/>
                <w:szCs w:val="24"/>
                <w:highlight w:val="none"/>
                <w:lang w:eastAsia="zh-CN"/>
              </w:rPr>
              <w:t>供应商</w:t>
            </w:r>
            <w:r>
              <w:rPr>
                <w:rFonts w:hint="eastAsia" w:ascii="微软雅黑" w:hAnsi="微软雅黑" w:eastAsia="微软雅黑" w:cs="微软雅黑"/>
                <w:color w:val="auto"/>
                <w:spacing w:val="-2"/>
                <w:sz w:val="24"/>
                <w:szCs w:val="24"/>
                <w:highlight w:val="none"/>
              </w:rPr>
              <w:t>财务状况报告、与其他</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比较情况等就</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书面说明进行审查评价。</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拒绝或者变相拒绝提供有效书面说明或者书面说明不能证明其报价合理性的，评标委员会应当</w:t>
            </w:r>
            <w:r>
              <w:rPr>
                <w:rFonts w:hint="eastAsia" w:ascii="微软雅黑" w:hAnsi="微软雅黑" w:eastAsia="微软雅黑" w:cs="微软雅黑"/>
                <w:color w:val="auto"/>
                <w:spacing w:val="-1"/>
                <w:sz w:val="24"/>
                <w:szCs w:val="24"/>
                <w:highlight w:val="none"/>
              </w:rPr>
              <w:t>将其投标文件作为</w:t>
            </w:r>
            <w:r>
              <w:rPr>
                <w:rFonts w:hint="eastAsia" w:ascii="微软雅黑" w:hAnsi="微软雅黑" w:eastAsia="微软雅黑" w:cs="微软雅黑"/>
                <w:b/>
                <w:bCs/>
                <w:color w:val="auto"/>
                <w:spacing w:val="-1"/>
                <w:sz w:val="24"/>
                <w:szCs w:val="24"/>
                <w:highlight w:val="none"/>
              </w:rPr>
              <w:t>无效处理</w:t>
            </w:r>
            <w:r>
              <w:rPr>
                <w:rFonts w:hint="eastAsia" w:ascii="微软雅黑" w:hAnsi="微软雅黑" w:eastAsia="微软雅黑" w:cs="微软雅黑"/>
                <w:color w:val="auto"/>
                <w:spacing w:val="-1"/>
                <w:sz w:val="24"/>
                <w:szCs w:val="24"/>
                <w:highlight w:val="none"/>
              </w:rPr>
              <w:t>。</w:t>
            </w:r>
          </w:p>
          <w:p w14:paraId="4808B816">
            <w:pPr>
              <w:keepNext w:val="0"/>
              <w:keepLines w:val="0"/>
              <w:pageBreakBefore w:val="0"/>
              <w:widowControl w:val="0"/>
              <w:kinsoku/>
              <w:wordWrap/>
              <w:overflowPunct/>
              <w:topLinePunct w:val="0"/>
              <w:bidi w:val="0"/>
              <w:spacing w:before="49" w:line="500" w:lineRule="exact"/>
              <w:ind w:left="24" w:right="25" w:firstLine="3"/>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4.根据关于推动解决政府采购异常低价问题的通知： 财库〔2026〕2号：</w:t>
            </w:r>
            <w:r>
              <w:rPr>
                <w:rFonts w:hint="eastAsia" w:ascii="微软雅黑" w:hAnsi="微软雅黑" w:eastAsia="微软雅黑" w:cs="微软雅黑"/>
                <w:color w:val="auto"/>
                <w:spacing w:val="68"/>
                <w:sz w:val="24"/>
                <w:szCs w:val="24"/>
                <w:highlight w:val="none"/>
              </w:rPr>
              <w:t xml:space="preserve"> </w:t>
            </w:r>
            <w:r>
              <w:rPr>
                <w:rFonts w:hint="eastAsia" w:ascii="微软雅黑" w:hAnsi="微软雅黑" w:eastAsia="微软雅黑" w:cs="微软雅黑"/>
                <w:color w:val="auto"/>
                <w:sz w:val="24"/>
                <w:szCs w:val="24"/>
                <w:highlight w:val="none"/>
              </w:rPr>
              <w:t>政府采购评审</w:t>
            </w:r>
            <w:r>
              <w:rPr>
                <w:rFonts w:hint="eastAsia" w:ascii="微软雅黑" w:hAnsi="微软雅黑" w:eastAsia="微软雅黑" w:cs="微软雅黑"/>
                <w:color w:val="auto"/>
                <w:spacing w:val="-6"/>
                <w:sz w:val="24"/>
                <w:szCs w:val="24"/>
                <w:highlight w:val="none"/>
              </w:rPr>
              <w:t>中出现下列情形之一的，</w:t>
            </w:r>
            <w:r>
              <w:rPr>
                <w:rFonts w:hint="eastAsia" w:ascii="微软雅黑" w:hAnsi="微软雅黑" w:eastAsia="微软雅黑" w:cs="微软雅黑"/>
                <w:color w:val="auto"/>
                <w:spacing w:val="-20"/>
                <w:sz w:val="24"/>
                <w:szCs w:val="24"/>
                <w:highlight w:val="none"/>
              </w:rPr>
              <w:t xml:space="preserve"> </w:t>
            </w:r>
            <w:r>
              <w:rPr>
                <w:rFonts w:hint="eastAsia" w:ascii="微软雅黑" w:hAnsi="微软雅黑" w:eastAsia="微软雅黑" w:cs="微软雅黑"/>
                <w:color w:val="auto"/>
                <w:spacing w:val="-6"/>
                <w:sz w:val="24"/>
                <w:szCs w:val="24"/>
                <w:highlight w:val="none"/>
              </w:rPr>
              <w:t>评审委员会应当启动异常低价投标</w:t>
            </w:r>
            <w:r>
              <w:rPr>
                <w:rFonts w:hint="eastAsia" w:ascii="微软雅黑" w:hAnsi="微软雅黑" w:eastAsia="微软雅黑" w:cs="微软雅黑"/>
                <w:color w:val="auto"/>
                <w:spacing w:val="-19"/>
                <w:sz w:val="24"/>
                <w:szCs w:val="24"/>
                <w:highlight w:val="none"/>
              </w:rPr>
              <w:t xml:space="preserve"> </w:t>
            </w:r>
            <w:r>
              <w:rPr>
                <w:rFonts w:hint="eastAsia" w:ascii="微软雅黑" w:hAnsi="微软雅黑" w:eastAsia="微软雅黑" w:cs="微软雅黑"/>
                <w:color w:val="auto"/>
                <w:spacing w:val="-6"/>
                <w:sz w:val="24"/>
                <w:szCs w:val="24"/>
                <w:highlight w:val="none"/>
              </w:rPr>
              <w:t>（响应） 审查</w:t>
            </w:r>
            <w:r>
              <w:rPr>
                <w:rFonts w:hint="eastAsia" w:ascii="微软雅黑" w:hAnsi="微软雅黑" w:eastAsia="微软雅黑" w:cs="微软雅黑"/>
                <w:color w:val="auto"/>
                <w:spacing w:val="-7"/>
                <w:sz w:val="24"/>
                <w:szCs w:val="24"/>
                <w:highlight w:val="none"/>
              </w:rPr>
              <w:t>程序</w:t>
            </w:r>
            <w:r>
              <w:rPr>
                <w:rFonts w:hint="eastAsia" w:ascii="微软雅黑" w:hAnsi="微软雅黑" w:eastAsia="微软雅黑" w:cs="微软雅黑"/>
                <w:color w:val="auto"/>
                <w:spacing w:val="-65"/>
                <w:sz w:val="24"/>
                <w:szCs w:val="24"/>
                <w:highlight w:val="none"/>
              </w:rPr>
              <w:t>：</w:t>
            </w:r>
            <w:r>
              <w:rPr>
                <w:rFonts w:hint="eastAsia" w:ascii="微软雅黑" w:hAnsi="微软雅黑" w:eastAsia="微软雅黑" w:cs="微软雅黑"/>
                <w:color w:val="auto"/>
                <w:spacing w:val="22"/>
                <w:sz w:val="24"/>
                <w:szCs w:val="24"/>
                <w:highlight w:val="none"/>
              </w:rPr>
              <w:t xml:space="preserve"> </w:t>
            </w:r>
            <w:r>
              <w:rPr>
                <w:rFonts w:hint="eastAsia" w:ascii="微软雅黑" w:hAnsi="微软雅黑" w:eastAsia="微软雅黑" w:cs="微软雅黑"/>
                <w:color w:val="auto"/>
                <w:spacing w:val="-65"/>
                <w:sz w:val="24"/>
                <w:szCs w:val="24"/>
                <w:highlight w:val="none"/>
                <w:lang w:eastAsia="zh-CN"/>
              </w:rPr>
              <w:t>（一）</w:t>
            </w:r>
            <w:r>
              <w:rPr>
                <w:rFonts w:hint="eastAsia" w:ascii="微软雅黑" w:hAnsi="微软雅黑" w:eastAsia="微软雅黑" w:cs="微软雅黑"/>
                <w:color w:val="auto"/>
                <w:spacing w:val="-7"/>
                <w:sz w:val="24"/>
                <w:szCs w:val="24"/>
                <w:highlight w:val="none"/>
              </w:rPr>
              <w:t>采</w:t>
            </w:r>
            <w:r>
              <w:rPr>
                <w:rFonts w:hint="eastAsia" w:ascii="微软雅黑" w:hAnsi="微软雅黑" w:eastAsia="微软雅黑" w:cs="微软雅黑"/>
                <w:color w:val="auto"/>
                <w:spacing w:val="-2"/>
                <w:sz w:val="24"/>
                <w:szCs w:val="24"/>
                <w:highlight w:val="none"/>
              </w:rPr>
              <w:t>购人应当在采购文件中明确，政府采购评审中出现下列情形之一的，评审委员会应当启动</w:t>
            </w:r>
            <w:r>
              <w:rPr>
                <w:rFonts w:hint="eastAsia" w:ascii="微软雅黑" w:hAnsi="微软雅黑" w:eastAsia="微软雅黑" w:cs="微软雅黑"/>
                <w:color w:val="auto"/>
                <w:spacing w:val="-7"/>
                <w:sz w:val="24"/>
                <w:szCs w:val="24"/>
                <w:highlight w:val="none"/>
              </w:rPr>
              <w:t>异常低价投标</w:t>
            </w:r>
            <w:r>
              <w:rPr>
                <w:rFonts w:hint="eastAsia" w:ascii="微软雅黑" w:hAnsi="微软雅黑" w:eastAsia="微软雅黑" w:cs="微软雅黑"/>
                <w:color w:val="auto"/>
                <w:spacing w:val="-17"/>
                <w:sz w:val="24"/>
                <w:szCs w:val="24"/>
                <w:highlight w:val="none"/>
              </w:rPr>
              <w:t xml:space="preserve"> </w:t>
            </w:r>
            <w:r>
              <w:rPr>
                <w:rFonts w:hint="eastAsia" w:ascii="微软雅黑" w:hAnsi="微软雅黑" w:eastAsia="微软雅黑" w:cs="微软雅黑"/>
                <w:color w:val="auto"/>
                <w:spacing w:val="-7"/>
                <w:sz w:val="24"/>
                <w:szCs w:val="24"/>
                <w:highlight w:val="none"/>
              </w:rPr>
              <w:t>（响应） 审查程序： 1.投</w:t>
            </w:r>
            <w:r>
              <w:rPr>
                <w:rFonts w:hint="eastAsia" w:ascii="微软雅黑" w:hAnsi="微软雅黑" w:eastAsia="微软雅黑" w:cs="微软雅黑"/>
                <w:color w:val="auto"/>
                <w:spacing w:val="-8"/>
                <w:sz w:val="24"/>
                <w:szCs w:val="24"/>
                <w:highlight w:val="none"/>
              </w:rPr>
              <w:t>标</w:t>
            </w:r>
            <w:r>
              <w:rPr>
                <w:rFonts w:hint="eastAsia" w:ascii="微软雅黑" w:hAnsi="微软雅黑" w:eastAsia="微软雅黑" w:cs="微软雅黑"/>
                <w:color w:val="auto"/>
                <w:spacing w:val="-17"/>
                <w:sz w:val="24"/>
                <w:szCs w:val="24"/>
                <w:highlight w:val="none"/>
              </w:rPr>
              <w:t xml:space="preserve"> </w:t>
            </w:r>
            <w:r>
              <w:rPr>
                <w:rFonts w:hint="eastAsia" w:ascii="微软雅黑" w:hAnsi="微软雅黑" w:eastAsia="微软雅黑" w:cs="微软雅黑"/>
                <w:color w:val="auto"/>
                <w:spacing w:val="-8"/>
                <w:sz w:val="24"/>
                <w:szCs w:val="24"/>
                <w:highlight w:val="none"/>
              </w:rPr>
              <w:t>（响应）</w:t>
            </w:r>
            <w:r>
              <w:rPr>
                <w:rFonts w:hint="eastAsia" w:ascii="微软雅黑" w:hAnsi="微软雅黑" w:eastAsia="微软雅黑" w:cs="微软雅黑"/>
                <w:color w:val="auto"/>
                <w:spacing w:val="-13"/>
                <w:sz w:val="24"/>
                <w:szCs w:val="24"/>
                <w:highlight w:val="none"/>
              </w:rPr>
              <w:t xml:space="preserve"> </w:t>
            </w:r>
            <w:r>
              <w:rPr>
                <w:rFonts w:hint="eastAsia" w:ascii="微软雅黑" w:hAnsi="微软雅黑" w:eastAsia="微软雅黑" w:cs="微软雅黑"/>
                <w:color w:val="auto"/>
                <w:spacing w:val="-8"/>
                <w:sz w:val="24"/>
                <w:szCs w:val="24"/>
                <w:highlight w:val="none"/>
              </w:rPr>
              <w:t>报价低于全部通过符合性审查供应商投</w:t>
            </w:r>
            <w:r>
              <w:rPr>
                <w:rFonts w:hint="eastAsia" w:ascii="微软雅黑" w:hAnsi="微软雅黑" w:eastAsia="微软雅黑" w:cs="微软雅黑"/>
                <w:color w:val="auto"/>
                <w:spacing w:val="-6"/>
                <w:sz w:val="24"/>
                <w:szCs w:val="24"/>
                <w:highlight w:val="none"/>
              </w:rPr>
              <w:t>标（响应）报价平均值50%的，即投标（响应）报价&lt;全部通过符合性审查供应商投</w:t>
            </w:r>
            <w:r>
              <w:rPr>
                <w:rFonts w:hint="eastAsia" w:ascii="微软雅黑" w:hAnsi="微软雅黑" w:eastAsia="微软雅黑" w:cs="微软雅黑"/>
                <w:color w:val="auto"/>
                <w:spacing w:val="-7"/>
                <w:sz w:val="24"/>
                <w:szCs w:val="24"/>
                <w:highlight w:val="none"/>
              </w:rPr>
              <w:t>标（响</w:t>
            </w:r>
            <w:r>
              <w:rPr>
                <w:rFonts w:hint="eastAsia" w:ascii="微软雅黑" w:hAnsi="微软雅黑" w:eastAsia="微软雅黑" w:cs="微软雅黑"/>
                <w:color w:val="auto"/>
                <w:spacing w:val="-6"/>
                <w:sz w:val="24"/>
                <w:szCs w:val="24"/>
                <w:highlight w:val="none"/>
              </w:rPr>
              <w:t>应） 报价平均值×</w:t>
            </w:r>
            <w:r>
              <w:rPr>
                <w:rFonts w:hint="eastAsia" w:ascii="微软雅黑" w:hAnsi="微软雅黑" w:eastAsia="微软雅黑" w:cs="微软雅黑"/>
                <w:color w:val="auto"/>
                <w:spacing w:val="-47"/>
                <w:sz w:val="24"/>
                <w:szCs w:val="24"/>
                <w:highlight w:val="none"/>
              </w:rPr>
              <w:t xml:space="preserve"> </w:t>
            </w:r>
            <w:r>
              <w:rPr>
                <w:rFonts w:hint="eastAsia" w:ascii="微软雅黑" w:hAnsi="微软雅黑" w:eastAsia="微软雅黑" w:cs="微软雅黑"/>
                <w:color w:val="auto"/>
                <w:spacing w:val="-6"/>
                <w:sz w:val="24"/>
                <w:szCs w:val="24"/>
                <w:highlight w:val="none"/>
              </w:rPr>
              <w:t>50%； 2.投标 （响应） 报价低于通过符合性审查的次低报价供应商</w:t>
            </w:r>
            <w:r>
              <w:rPr>
                <w:rFonts w:hint="eastAsia" w:ascii="微软雅黑" w:hAnsi="微软雅黑" w:eastAsia="微软雅黑" w:cs="微软雅黑"/>
                <w:color w:val="auto"/>
                <w:spacing w:val="-7"/>
                <w:sz w:val="24"/>
                <w:szCs w:val="24"/>
                <w:highlight w:val="none"/>
              </w:rPr>
              <w:t>投标（响应）</w:t>
            </w:r>
            <w:r>
              <w:rPr>
                <w:rFonts w:hint="eastAsia" w:ascii="微软雅黑" w:hAnsi="微软雅黑" w:eastAsia="微软雅黑" w:cs="微软雅黑"/>
                <w:color w:val="auto"/>
                <w:spacing w:val="-14"/>
                <w:sz w:val="24"/>
                <w:szCs w:val="24"/>
                <w:highlight w:val="none"/>
              </w:rPr>
              <w:t xml:space="preserve"> </w:t>
            </w:r>
            <w:r>
              <w:rPr>
                <w:rFonts w:hint="eastAsia" w:ascii="微软雅黑" w:hAnsi="微软雅黑" w:eastAsia="微软雅黑" w:cs="微软雅黑"/>
                <w:color w:val="auto"/>
                <w:spacing w:val="-7"/>
                <w:sz w:val="24"/>
                <w:szCs w:val="24"/>
                <w:highlight w:val="none"/>
              </w:rPr>
              <w:t>报价50%的， 即投标</w:t>
            </w:r>
            <w:r>
              <w:rPr>
                <w:rFonts w:hint="eastAsia" w:ascii="微软雅黑" w:hAnsi="微软雅黑" w:eastAsia="微软雅黑" w:cs="微软雅黑"/>
                <w:color w:val="auto"/>
                <w:spacing w:val="-14"/>
                <w:sz w:val="24"/>
                <w:szCs w:val="24"/>
                <w:highlight w:val="none"/>
              </w:rPr>
              <w:t xml:space="preserve"> </w:t>
            </w:r>
            <w:r>
              <w:rPr>
                <w:rFonts w:hint="eastAsia" w:ascii="微软雅黑" w:hAnsi="微软雅黑" w:eastAsia="微软雅黑" w:cs="微软雅黑"/>
                <w:color w:val="auto"/>
                <w:spacing w:val="-7"/>
                <w:sz w:val="24"/>
                <w:szCs w:val="24"/>
                <w:highlight w:val="none"/>
              </w:rPr>
              <w:t>（响应）</w:t>
            </w:r>
            <w:r>
              <w:rPr>
                <w:rFonts w:hint="eastAsia" w:ascii="微软雅黑" w:hAnsi="微软雅黑" w:eastAsia="微软雅黑" w:cs="微软雅黑"/>
                <w:color w:val="auto"/>
                <w:spacing w:val="-14"/>
                <w:sz w:val="24"/>
                <w:szCs w:val="24"/>
                <w:highlight w:val="none"/>
              </w:rPr>
              <w:t xml:space="preserve"> </w:t>
            </w:r>
            <w:r>
              <w:rPr>
                <w:rFonts w:hint="eastAsia" w:ascii="微软雅黑" w:hAnsi="微软雅黑" w:eastAsia="微软雅黑" w:cs="微软雅黑"/>
                <w:color w:val="auto"/>
                <w:spacing w:val="-7"/>
                <w:sz w:val="24"/>
                <w:szCs w:val="24"/>
                <w:highlight w:val="none"/>
              </w:rPr>
              <w:t>报价&lt;通过符合性审查的</w:t>
            </w:r>
            <w:r>
              <w:rPr>
                <w:rFonts w:hint="eastAsia" w:ascii="微软雅黑" w:hAnsi="微软雅黑" w:eastAsia="微软雅黑" w:cs="微软雅黑"/>
                <w:color w:val="auto"/>
                <w:spacing w:val="-8"/>
                <w:sz w:val="24"/>
                <w:szCs w:val="24"/>
                <w:highlight w:val="none"/>
              </w:rPr>
              <w:t>次低报价供应商投标</w:t>
            </w:r>
            <w:r>
              <w:rPr>
                <w:rFonts w:hint="eastAsia" w:ascii="微软雅黑" w:hAnsi="微软雅黑" w:eastAsia="微软雅黑" w:cs="微软雅黑"/>
                <w:color w:val="auto"/>
                <w:spacing w:val="-17"/>
                <w:sz w:val="24"/>
                <w:szCs w:val="24"/>
                <w:highlight w:val="none"/>
              </w:rPr>
              <w:t xml:space="preserve"> </w:t>
            </w:r>
            <w:r>
              <w:rPr>
                <w:rFonts w:hint="eastAsia" w:ascii="微软雅黑" w:hAnsi="微软雅黑" w:eastAsia="微软雅黑" w:cs="微软雅黑"/>
                <w:color w:val="auto"/>
                <w:spacing w:val="-8"/>
                <w:sz w:val="24"/>
                <w:szCs w:val="24"/>
                <w:highlight w:val="none"/>
              </w:rPr>
              <w:t>（响</w:t>
            </w:r>
            <w:r>
              <w:rPr>
                <w:rFonts w:hint="eastAsia" w:ascii="微软雅黑" w:hAnsi="微软雅黑" w:eastAsia="微软雅黑" w:cs="微软雅黑"/>
                <w:color w:val="auto"/>
                <w:spacing w:val="-10"/>
                <w:sz w:val="24"/>
                <w:szCs w:val="24"/>
                <w:highlight w:val="none"/>
              </w:rPr>
              <w:t>应） 报价×</w:t>
            </w:r>
            <w:r>
              <w:rPr>
                <w:rFonts w:hint="eastAsia" w:ascii="微软雅黑" w:hAnsi="微软雅黑" w:eastAsia="微软雅黑" w:cs="微软雅黑"/>
                <w:color w:val="auto"/>
                <w:spacing w:val="-35"/>
                <w:sz w:val="24"/>
                <w:szCs w:val="24"/>
                <w:highlight w:val="none"/>
              </w:rPr>
              <w:t xml:space="preserve"> </w:t>
            </w:r>
            <w:r>
              <w:rPr>
                <w:rFonts w:hint="eastAsia" w:ascii="微软雅黑" w:hAnsi="微软雅黑" w:eastAsia="微软雅黑" w:cs="微软雅黑"/>
                <w:color w:val="auto"/>
                <w:spacing w:val="-10"/>
                <w:sz w:val="24"/>
                <w:szCs w:val="24"/>
                <w:highlight w:val="none"/>
              </w:rPr>
              <w:t>50%； 3.投标 （响应） 报价低于采购项目最高限价45%的， 即投标 （响应） 报</w:t>
            </w:r>
            <w:r>
              <w:rPr>
                <w:rFonts w:hint="eastAsia" w:ascii="微软雅黑" w:hAnsi="微软雅黑" w:eastAsia="微软雅黑" w:cs="微软雅黑"/>
                <w:color w:val="auto"/>
                <w:spacing w:val="-4"/>
                <w:sz w:val="24"/>
                <w:szCs w:val="24"/>
                <w:highlight w:val="none"/>
              </w:rPr>
              <w:t>价</w:t>
            </w:r>
            <w:r>
              <w:rPr>
                <w:rFonts w:hint="eastAsia" w:ascii="微软雅黑" w:hAnsi="微软雅黑" w:eastAsia="微软雅黑" w:cs="微软雅黑"/>
                <w:color w:val="auto"/>
                <w:spacing w:val="-18"/>
                <w:sz w:val="24"/>
                <w:szCs w:val="24"/>
                <w:highlight w:val="none"/>
              </w:rPr>
              <w:t xml:space="preserve"> </w:t>
            </w:r>
            <w:r>
              <w:rPr>
                <w:rFonts w:hint="eastAsia" w:ascii="微软雅黑" w:hAnsi="微软雅黑" w:eastAsia="微软雅黑" w:cs="微软雅黑"/>
                <w:color w:val="auto"/>
                <w:spacing w:val="-4"/>
                <w:sz w:val="24"/>
                <w:szCs w:val="24"/>
                <w:highlight w:val="none"/>
              </w:rPr>
              <w:t>&lt;采购项目最高限价×45%； 4.评审委员会基于专业判断， 认为供应商报价过低， 有可</w:t>
            </w:r>
            <w:r>
              <w:rPr>
                <w:rFonts w:hint="eastAsia" w:ascii="微软雅黑" w:hAnsi="微软雅黑" w:eastAsia="微软雅黑" w:cs="微软雅黑"/>
                <w:color w:val="auto"/>
                <w:sz w:val="24"/>
                <w:szCs w:val="24"/>
                <w:highlight w:val="none"/>
              </w:rPr>
              <w:t>能影响产品质量或者不能诚信履约的其他情形。</w:t>
            </w:r>
          </w:p>
          <w:p w14:paraId="3BD8E223">
            <w:pPr>
              <w:keepNext w:val="0"/>
              <w:keepLines w:val="0"/>
              <w:pageBreakBefore w:val="0"/>
              <w:widowControl w:val="0"/>
              <w:kinsoku/>
              <w:wordWrap/>
              <w:overflowPunct/>
              <w:topLinePunct w:val="0"/>
              <w:bidi w:val="0"/>
              <w:spacing w:before="21" w:line="500" w:lineRule="exact"/>
              <w:ind w:left="27" w:right="25"/>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评审委员会启动异常低价投标</w:t>
            </w:r>
            <w:r>
              <w:rPr>
                <w:rFonts w:hint="eastAsia" w:ascii="微软雅黑" w:hAnsi="微软雅黑" w:eastAsia="微软雅黑" w:cs="微软雅黑"/>
                <w:color w:val="auto"/>
                <w:spacing w:val="-29"/>
                <w:sz w:val="24"/>
                <w:szCs w:val="24"/>
                <w:highlight w:val="none"/>
              </w:rPr>
              <w:t xml:space="preserve"> </w:t>
            </w:r>
            <w:r>
              <w:rPr>
                <w:rFonts w:hint="eastAsia" w:ascii="微软雅黑" w:hAnsi="微软雅黑" w:eastAsia="微软雅黑" w:cs="微软雅黑"/>
                <w:color w:val="auto"/>
                <w:spacing w:val="-5"/>
                <w:sz w:val="24"/>
                <w:szCs w:val="24"/>
                <w:highlight w:val="none"/>
              </w:rPr>
              <w:t>（响应）</w:t>
            </w:r>
            <w:r>
              <w:rPr>
                <w:rFonts w:hint="eastAsia" w:ascii="微软雅黑" w:hAnsi="微软雅黑" w:eastAsia="微软雅黑" w:cs="微软雅黑"/>
                <w:color w:val="auto"/>
                <w:spacing w:val="-17"/>
                <w:sz w:val="24"/>
                <w:szCs w:val="24"/>
                <w:highlight w:val="none"/>
              </w:rPr>
              <w:t xml:space="preserve"> </w:t>
            </w:r>
            <w:r>
              <w:rPr>
                <w:rFonts w:hint="eastAsia" w:ascii="微软雅黑" w:hAnsi="微软雅黑" w:eastAsia="微软雅黑" w:cs="微软雅黑"/>
                <w:color w:val="auto"/>
                <w:spacing w:val="-5"/>
                <w:sz w:val="24"/>
                <w:szCs w:val="24"/>
                <w:highlight w:val="none"/>
              </w:rPr>
              <w:t>审查程序，</w:t>
            </w:r>
            <w:r>
              <w:rPr>
                <w:rFonts w:hint="eastAsia" w:ascii="微软雅黑" w:hAnsi="微软雅黑" w:eastAsia="微软雅黑" w:cs="微软雅黑"/>
                <w:color w:val="auto"/>
                <w:spacing w:val="-26"/>
                <w:sz w:val="24"/>
                <w:szCs w:val="24"/>
                <w:highlight w:val="none"/>
              </w:rPr>
              <w:t xml:space="preserve"> </w:t>
            </w:r>
            <w:r>
              <w:rPr>
                <w:rFonts w:hint="eastAsia" w:ascii="微软雅黑" w:hAnsi="微软雅黑" w:eastAsia="微软雅黑" w:cs="微软雅黑"/>
                <w:color w:val="auto"/>
                <w:spacing w:val="-5"/>
                <w:sz w:val="24"/>
                <w:szCs w:val="24"/>
                <w:highlight w:val="none"/>
              </w:rPr>
              <w:t>对异常低价</w:t>
            </w:r>
            <w:r>
              <w:rPr>
                <w:rFonts w:hint="eastAsia" w:ascii="微软雅黑" w:hAnsi="微软雅黑" w:eastAsia="微软雅黑" w:cs="微软雅黑"/>
                <w:color w:val="auto"/>
                <w:spacing w:val="-5"/>
                <w:sz w:val="24"/>
                <w:szCs w:val="24"/>
                <w:highlight w:val="none"/>
                <w:lang w:eastAsia="zh-CN"/>
              </w:rPr>
              <w:t>供应商</w:t>
            </w:r>
            <w:r>
              <w:rPr>
                <w:rFonts w:hint="eastAsia" w:ascii="微软雅黑" w:hAnsi="微软雅黑" w:eastAsia="微软雅黑" w:cs="微软雅黑"/>
                <w:color w:val="auto"/>
                <w:spacing w:val="-5"/>
                <w:sz w:val="24"/>
                <w:szCs w:val="24"/>
                <w:highlight w:val="none"/>
              </w:rPr>
              <w:t>做出废标处理</w:t>
            </w:r>
            <w:r>
              <w:rPr>
                <w:rFonts w:hint="eastAsia" w:ascii="微软雅黑" w:hAnsi="微软雅黑" w:eastAsia="微软雅黑" w:cs="微软雅黑"/>
                <w:color w:val="auto"/>
                <w:spacing w:val="-6"/>
                <w:sz w:val="24"/>
                <w:szCs w:val="24"/>
                <w:highlight w:val="none"/>
              </w:rPr>
              <w:t>。采购</w:t>
            </w:r>
            <w:r>
              <w:rPr>
                <w:rFonts w:hint="eastAsia" w:ascii="微软雅黑" w:hAnsi="微软雅黑" w:eastAsia="微软雅黑" w:cs="微软雅黑"/>
                <w:color w:val="auto"/>
                <w:spacing w:val="-4"/>
                <w:sz w:val="24"/>
                <w:szCs w:val="24"/>
                <w:highlight w:val="none"/>
              </w:rPr>
              <w:t>人可以结合具体项目实际情况，提高上述第1项至第3项中启动异常低价投标（响应）</w:t>
            </w:r>
            <w:r>
              <w:rPr>
                <w:rFonts w:hint="eastAsia" w:ascii="微软雅黑" w:hAnsi="微软雅黑" w:eastAsia="微软雅黑" w:cs="微软雅黑"/>
                <w:color w:val="auto"/>
                <w:spacing w:val="-18"/>
                <w:sz w:val="24"/>
                <w:szCs w:val="24"/>
                <w:highlight w:val="none"/>
              </w:rPr>
              <w:t xml:space="preserve"> </w:t>
            </w:r>
            <w:r>
              <w:rPr>
                <w:rFonts w:hint="eastAsia" w:ascii="微软雅黑" w:hAnsi="微软雅黑" w:eastAsia="微软雅黑" w:cs="微软雅黑"/>
                <w:color w:val="auto"/>
                <w:spacing w:val="-4"/>
                <w:sz w:val="24"/>
                <w:szCs w:val="24"/>
                <w:highlight w:val="none"/>
              </w:rPr>
              <w:t>审查的数值标准， 但是最高不得超过65%。</w:t>
            </w:r>
          </w:p>
          <w:p w14:paraId="36EB044D">
            <w:pPr>
              <w:keepNext w:val="0"/>
              <w:keepLines w:val="0"/>
              <w:pageBreakBefore w:val="0"/>
              <w:widowControl w:val="0"/>
              <w:kinsoku/>
              <w:wordWrap/>
              <w:overflowPunct/>
              <w:topLinePunct w:val="0"/>
              <w:bidi w:val="0"/>
              <w:spacing w:before="17" w:line="500" w:lineRule="exact"/>
              <w:ind w:left="2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相关法律法规对供应商报价有规定的， 从其规定。</w:t>
            </w:r>
          </w:p>
          <w:p w14:paraId="63F7A78A">
            <w:pPr>
              <w:keepNext w:val="0"/>
              <w:keepLines w:val="0"/>
              <w:pageBreakBefore w:val="0"/>
              <w:widowControl w:val="0"/>
              <w:kinsoku/>
              <w:wordWrap/>
              <w:overflowPunct/>
              <w:topLinePunct w:val="0"/>
              <w:bidi w:val="0"/>
              <w:spacing w:before="160" w:line="500" w:lineRule="exact"/>
              <w:ind w:left="25" w:firstLine="32"/>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（二）</w:t>
            </w:r>
            <w:r>
              <w:rPr>
                <w:rFonts w:hint="eastAsia" w:ascii="微软雅黑" w:hAnsi="微软雅黑" w:eastAsia="微软雅黑" w:cs="微软雅黑"/>
                <w:color w:val="auto"/>
                <w:spacing w:val="-27"/>
                <w:sz w:val="24"/>
                <w:szCs w:val="24"/>
                <w:highlight w:val="none"/>
              </w:rPr>
              <w:t xml:space="preserve"> </w:t>
            </w:r>
            <w:r>
              <w:rPr>
                <w:rFonts w:hint="eastAsia" w:ascii="微软雅黑" w:hAnsi="微软雅黑" w:eastAsia="微软雅黑" w:cs="微软雅黑"/>
                <w:color w:val="auto"/>
                <w:spacing w:val="-8"/>
                <w:sz w:val="24"/>
                <w:szCs w:val="24"/>
                <w:highlight w:val="none"/>
              </w:rPr>
              <w:t>评审委员会启动异常低价投标</w:t>
            </w:r>
            <w:r>
              <w:rPr>
                <w:rFonts w:hint="eastAsia" w:ascii="微软雅黑" w:hAnsi="微软雅黑" w:eastAsia="微软雅黑" w:cs="微软雅黑"/>
                <w:color w:val="auto"/>
                <w:spacing w:val="-31"/>
                <w:sz w:val="24"/>
                <w:szCs w:val="24"/>
                <w:highlight w:val="none"/>
              </w:rPr>
              <w:t xml:space="preserve"> </w:t>
            </w:r>
            <w:r>
              <w:rPr>
                <w:rFonts w:hint="eastAsia" w:ascii="微软雅黑" w:hAnsi="微软雅黑" w:eastAsia="微软雅黑" w:cs="微软雅黑"/>
                <w:color w:val="auto"/>
                <w:spacing w:val="-8"/>
                <w:sz w:val="24"/>
                <w:szCs w:val="24"/>
                <w:highlight w:val="none"/>
              </w:rPr>
              <w:t>（响应）</w:t>
            </w:r>
            <w:r>
              <w:rPr>
                <w:rFonts w:hint="eastAsia" w:ascii="微软雅黑" w:hAnsi="微软雅黑" w:eastAsia="微软雅黑" w:cs="微软雅黑"/>
                <w:color w:val="auto"/>
                <w:spacing w:val="-20"/>
                <w:sz w:val="24"/>
                <w:szCs w:val="24"/>
                <w:highlight w:val="none"/>
              </w:rPr>
              <w:t xml:space="preserve"> </w:t>
            </w:r>
            <w:r>
              <w:rPr>
                <w:rFonts w:hint="eastAsia" w:ascii="微软雅黑" w:hAnsi="微软雅黑" w:eastAsia="微软雅黑" w:cs="微软雅黑"/>
                <w:color w:val="auto"/>
                <w:spacing w:val="-8"/>
                <w:sz w:val="24"/>
                <w:szCs w:val="24"/>
                <w:highlight w:val="none"/>
              </w:rPr>
              <w:t>审查后，</w:t>
            </w:r>
            <w:r>
              <w:rPr>
                <w:rFonts w:hint="eastAsia" w:ascii="微软雅黑" w:hAnsi="微软雅黑" w:eastAsia="微软雅黑" w:cs="微软雅黑"/>
                <w:color w:val="auto"/>
                <w:spacing w:val="-31"/>
                <w:sz w:val="24"/>
                <w:szCs w:val="24"/>
                <w:highlight w:val="none"/>
              </w:rPr>
              <w:t xml:space="preserve"> </w:t>
            </w:r>
            <w:r>
              <w:rPr>
                <w:rFonts w:hint="eastAsia" w:ascii="微软雅黑" w:hAnsi="微软雅黑" w:eastAsia="微软雅黑" w:cs="微软雅黑"/>
                <w:color w:val="auto"/>
                <w:spacing w:val="-8"/>
                <w:sz w:val="24"/>
                <w:szCs w:val="24"/>
                <w:highlight w:val="none"/>
              </w:rPr>
              <w:t>属于前述第1项</w:t>
            </w:r>
            <w:r>
              <w:rPr>
                <w:rFonts w:hint="eastAsia" w:ascii="微软雅黑" w:hAnsi="微软雅黑" w:eastAsia="微软雅黑" w:cs="微软雅黑"/>
                <w:color w:val="auto"/>
                <w:spacing w:val="-9"/>
                <w:sz w:val="24"/>
                <w:szCs w:val="24"/>
                <w:highlight w:val="none"/>
              </w:rPr>
              <w:t>至第4项情形的，</w:t>
            </w:r>
            <w:r>
              <w:rPr>
                <w:rFonts w:hint="eastAsia" w:ascii="微软雅黑" w:hAnsi="微软雅黑" w:eastAsia="微软雅黑" w:cs="微软雅黑"/>
                <w:color w:val="auto"/>
                <w:spacing w:val="-33"/>
                <w:sz w:val="24"/>
                <w:szCs w:val="24"/>
                <w:highlight w:val="none"/>
              </w:rPr>
              <w:t xml:space="preserve"> </w:t>
            </w:r>
            <w:r>
              <w:rPr>
                <w:rFonts w:hint="eastAsia" w:ascii="微软雅黑" w:hAnsi="微软雅黑" w:eastAsia="微软雅黑" w:cs="微软雅黑"/>
                <w:color w:val="auto"/>
                <w:spacing w:val="-9"/>
                <w:sz w:val="24"/>
                <w:szCs w:val="24"/>
                <w:highlight w:val="none"/>
              </w:rPr>
              <w:t>应</w:t>
            </w:r>
            <w:r>
              <w:rPr>
                <w:rFonts w:hint="eastAsia" w:ascii="微软雅黑" w:hAnsi="微软雅黑" w:eastAsia="微软雅黑" w:cs="微软雅黑"/>
                <w:color w:val="auto"/>
                <w:spacing w:val="-4"/>
                <w:sz w:val="24"/>
                <w:szCs w:val="24"/>
                <w:highlight w:val="none"/>
              </w:rPr>
              <w:t>当要求相关供应商在评审现场合理的时间内对投标</w:t>
            </w:r>
            <w:r>
              <w:rPr>
                <w:rFonts w:hint="eastAsia" w:ascii="微软雅黑" w:hAnsi="微软雅黑" w:eastAsia="微软雅黑" w:cs="微软雅黑"/>
                <w:color w:val="auto"/>
                <w:spacing w:val="-34"/>
                <w:sz w:val="24"/>
                <w:szCs w:val="24"/>
                <w:highlight w:val="none"/>
              </w:rPr>
              <w:t xml:space="preserve"> </w:t>
            </w:r>
            <w:r>
              <w:rPr>
                <w:rFonts w:hint="eastAsia" w:ascii="微软雅黑" w:hAnsi="微软雅黑" w:eastAsia="微软雅黑" w:cs="微软雅黑"/>
                <w:color w:val="auto"/>
                <w:spacing w:val="-4"/>
                <w:sz w:val="24"/>
                <w:szCs w:val="24"/>
                <w:highlight w:val="none"/>
              </w:rPr>
              <w:t>（</w:t>
            </w:r>
            <w:r>
              <w:rPr>
                <w:rFonts w:hint="eastAsia" w:ascii="微软雅黑" w:hAnsi="微软雅黑" w:eastAsia="微软雅黑" w:cs="微软雅黑"/>
                <w:color w:val="auto"/>
                <w:spacing w:val="-5"/>
                <w:sz w:val="24"/>
                <w:szCs w:val="24"/>
                <w:highlight w:val="none"/>
              </w:rPr>
              <w:t>响应）</w:t>
            </w:r>
            <w:r>
              <w:rPr>
                <w:rFonts w:hint="eastAsia" w:ascii="微软雅黑" w:hAnsi="微软雅黑" w:eastAsia="微软雅黑" w:cs="微软雅黑"/>
                <w:color w:val="auto"/>
                <w:spacing w:val="-33"/>
                <w:sz w:val="24"/>
                <w:szCs w:val="24"/>
                <w:highlight w:val="none"/>
              </w:rPr>
              <w:t xml:space="preserve"> </w:t>
            </w:r>
            <w:r>
              <w:rPr>
                <w:rFonts w:hint="eastAsia" w:ascii="微软雅黑" w:hAnsi="微软雅黑" w:eastAsia="微软雅黑" w:cs="微软雅黑"/>
                <w:color w:val="auto"/>
                <w:spacing w:val="-5"/>
                <w:sz w:val="24"/>
                <w:szCs w:val="24"/>
                <w:highlight w:val="none"/>
              </w:rPr>
              <w:t>价格作出解释，</w:t>
            </w:r>
            <w:r>
              <w:rPr>
                <w:rFonts w:hint="eastAsia" w:ascii="微软雅黑" w:hAnsi="微软雅黑" w:eastAsia="微软雅黑" w:cs="微软雅黑"/>
                <w:color w:val="auto"/>
                <w:spacing w:val="-31"/>
                <w:sz w:val="24"/>
                <w:szCs w:val="24"/>
                <w:highlight w:val="none"/>
              </w:rPr>
              <w:t xml:space="preserve"> </w:t>
            </w:r>
            <w:r>
              <w:rPr>
                <w:rFonts w:hint="eastAsia" w:ascii="微软雅黑" w:hAnsi="微软雅黑" w:eastAsia="微软雅黑" w:cs="微软雅黑"/>
                <w:color w:val="auto"/>
                <w:spacing w:val="-5"/>
                <w:sz w:val="24"/>
                <w:szCs w:val="24"/>
                <w:highlight w:val="none"/>
              </w:rPr>
              <w:t>提供项目具体</w:t>
            </w:r>
            <w:r>
              <w:rPr>
                <w:rFonts w:hint="eastAsia" w:ascii="微软雅黑" w:hAnsi="微软雅黑" w:eastAsia="微软雅黑" w:cs="微软雅黑"/>
                <w:color w:val="auto"/>
                <w:spacing w:val="-3"/>
                <w:sz w:val="24"/>
                <w:szCs w:val="24"/>
                <w:highlight w:val="none"/>
              </w:rPr>
              <w:t>成本测算等与报价合理性相关的书面说明及必要的证明材料， 包括但不限于原材料成本、人工成本、制造费用等， 给予相关供应商的合理时间一般</w:t>
            </w:r>
            <w:r>
              <w:rPr>
                <w:rFonts w:hint="eastAsia" w:ascii="微软雅黑" w:hAnsi="微软雅黑" w:eastAsia="微软雅黑" w:cs="微软雅黑"/>
                <w:color w:val="auto"/>
                <w:spacing w:val="-4"/>
                <w:sz w:val="24"/>
                <w:szCs w:val="24"/>
                <w:highlight w:val="none"/>
              </w:rPr>
              <w:t>不少于30分钟。其中，</w:t>
            </w:r>
            <w:r>
              <w:rPr>
                <w:rFonts w:hint="eastAsia" w:ascii="微软雅黑" w:hAnsi="微软雅黑" w:eastAsia="微软雅黑" w:cs="微软雅黑"/>
                <w:color w:val="auto"/>
                <w:spacing w:val="-14"/>
                <w:sz w:val="24"/>
                <w:szCs w:val="24"/>
                <w:highlight w:val="none"/>
              </w:rPr>
              <w:t xml:space="preserve"> </w:t>
            </w:r>
            <w:r>
              <w:rPr>
                <w:rFonts w:hint="eastAsia" w:ascii="微软雅黑" w:hAnsi="微软雅黑" w:eastAsia="微软雅黑" w:cs="微软雅黑"/>
                <w:color w:val="auto"/>
                <w:spacing w:val="-4"/>
                <w:sz w:val="24"/>
                <w:szCs w:val="24"/>
                <w:highlight w:val="none"/>
              </w:rPr>
              <w:t>属于第3</w:t>
            </w:r>
            <w:r>
              <w:rPr>
                <w:rFonts w:hint="eastAsia" w:ascii="微软雅黑" w:hAnsi="微软雅黑" w:eastAsia="微软雅黑" w:cs="微软雅黑"/>
                <w:color w:val="auto"/>
                <w:spacing w:val="-6"/>
                <w:sz w:val="24"/>
                <w:szCs w:val="24"/>
                <w:highlight w:val="none"/>
              </w:rPr>
              <w:t>项情形，</w:t>
            </w:r>
            <w:r>
              <w:rPr>
                <w:rFonts w:hint="eastAsia" w:ascii="微软雅黑" w:hAnsi="微软雅黑" w:eastAsia="微软雅黑" w:cs="微软雅黑"/>
                <w:color w:val="auto"/>
                <w:spacing w:val="-24"/>
                <w:sz w:val="24"/>
                <w:szCs w:val="24"/>
                <w:highlight w:val="none"/>
              </w:rPr>
              <w:t xml:space="preserve"> </w:t>
            </w:r>
            <w:r>
              <w:rPr>
                <w:rFonts w:hint="eastAsia" w:ascii="微软雅黑" w:hAnsi="微软雅黑" w:eastAsia="微软雅黑" w:cs="微软雅黑"/>
                <w:color w:val="auto"/>
                <w:spacing w:val="-6"/>
                <w:sz w:val="24"/>
                <w:szCs w:val="24"/>
                <w:highlight w:val="none"/>
              </w:rPr>
              <w:t>供应商已随投标</w:t>
            </w:r>
            <w:r>
              <w:rPr>
                <w:rFonts w:hint="eastAsia" w:ascii="微软雅黑" w:hAnsi="微软雅黑" w:eastAsia="微软雅黑" w:cs="微软雅黑"/>
                <w:color w:val="auto"/>
                <w:spacing w:val="-27"/>
                <w:sz w:val="24"/>
                <w:szCs w:val="24"/>
                <w:highlight w:val="none"/>
              </w:rPr>
              <w:t xml:space="preserve"> </w:t>
            </w:r>
            <w:r>
              <w:rPr>
                <w:rFonts w:hint="eastAsia" w:ascii="微软雅黑" w:hAnsi="微软雅黑" w:eastAsia="微软雅黑" w:cs="微软雅黑"/>
                <w:color w:val="auto"/>
                <w:spacing w:val="-6"/>
                <w:sz w:val="24"/>
                <w:szCs w:val="24"/>
                <w:highlight w:val="none"/>
              </w:rPr>
              <w:t>（响应）</w:t>
            </w:r>
            <w:r>
              <w:rPr>
                <w:rFonts w:hint="eastAsia" w:ascii="微软雅黑" w:hAnsi="微软雅黑" w:eastAsia="微软雅黑" w:cs="微软雅黑"/>
                <w:color w:val="auto"/>
                <w:spacing w:val="-24"/>
                <w:sz w:val="24"/>
                <w:szCs w:val="24"/>
                <w:highlight w:val="none"/>
              </w:rPr>
              <w:t xml:space="preserve"> </w:t>
            </w:r>
            <w:r>
              <w:rPr>
                <w:rFonts w:hint="eastAsia" w:ascii="微软雅黑" w:hAnsi="微软雅黑" w:eastAsia="微软雅黑" w:cs="微软雅黑"/>
                <w:color w:val="auto"/>
                <w:spacing w:val="-6"/>
                <w:sz w:val="24"/>
                <w:szCs w:val="24"/>
                <w:highlight w:val="none"/>
              </w:rPr>
              <w:t>文件一并提交相关书面说明及必要的证明材料的，</w:t>
            </w:r>
            <w:r>
              <w:rPr>
                <w:rFonts w:hint="eastAsia" w:ascii="微软雅黑" w:hAnsi="微软雅黑" w:eastAsia="微软雅黑" w:cs="微软雅黑"/>
                <w:color w:val="auto"/>
                <w:spacing w:val="-24"/>
                <w:sz w:val="24"/>
                <w:szCs w:val="24"/>
                <w:highlight w:val="none"/>
              </w:rPr>
              <w:t xml:space="preserve"> </w:t>
            </w:r>
            <w:r>
              <w:rPr>
                <w:rFonts w:hint="eastAsia" w:ascii="微软雅黑" w:hAnsi="微软雅黑" w:eastAsia="微软雅黑" w:cs="微软雅黑"/>
                <w:color w:val="auto"/>
                <w:spacing w:val="-6"/>
                <w:sz w:val="24"/>
                <w:szCs w:val="24"/>
                <w:highlight w:val="none"/>
              </w:rPr>
              <w:t>在评</w:t>
            </w:r>
            <w:r>
              <w:rPr>
                <w:rFonts w:hint="eastAsia" w:ascii="微软雅黑" w:hAnsi="微软雅黑" w:eastAsia="微软雅黑" w:cs="微软雅黑"/>
                <w:color w:val="auto"/>
                <w:spacing w:val="-1"/>
                <w:sz w:val="24"/>
                <w:szCs w:val="24"/>
                <w:highlight w:val="none"/>
              </w:rPr>
              <w:t>审现场可不再重复提交。</w:t>
            </w:r>
          </w:p>
          <w:p w14:paraId="767367E6">
            <w:pPr>
              <w:keepNext w:val="0"/>
              <w:keepLines w:val="0"/>
              <w:pageBreakBefore w:val="0"/>
              <w:widowControl w:val="0"/>
              <w:kinsoku/>
              <w:wordWrap/>
              <w:overflowPunct/>
              <w:topLinePunct w:val="0"/>
              <w:bidi w:val="0"/>
              <w:spacing w:line="500" w:lineRule="exact"/>
              <w:ind w:left="26" w:right="25"/>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评审委员会依据专业经验，</w:t>
            </w:r>
            <w:r>
              <w:rPr>
                <w:rFonts w:hint="eastAsia" w:ascii="微软雅黑" w:hAnsi="微软雅黑" w:eastAsia="微软雅黑" w:cs="微软雅黑"/>
                <w:color w:val="auto"/>
                <w:spacing w:val="-22"/>
                <w:sz w:val="24"/>
                <w:szCs w:val="24"/>
                <w:highlight w:val="none"/>
              </w:rPr>
              <w:t xml:space="preserve"> </w:t>
            </w:r>
            <w:r>
              <w:rPr>
                <w:rFonts w:hint="eastAsia" w:ascii="微软雅黑" w:hAnsi="微软雅黑" w:eastAsia="微软雅黑" w:cs="微软雅黑"/>
                <w:color w:val="auto"/>
                <w:spacing w:val="-5"/>
                <w:sz w:val="24"/>
                <w:szCs w:val="24"/>
                <w:highlight w:val="none"/>
              </w:rPr>
              <w:t>参考同类项目中标</w:t>
            </w:r>
            <w:r>
              <w:rPr>
                <w:rFonts w:hint="eastAsia" w:ascii="微软雅黑" w:hAnsi="微软雅黑" w:eastAsia="微软雅黑" w:cs="微软雅黑"/>
                <w:color w:val="auto"/>
                <w:spacing w:val="-27"/>
                <w:sz w:val="24"/>
                <w:szCs w:val="24"/>
                <w:highlight w:val="none"/>
              </w:rPr>
              <w:t xml:space="preserve"> </w:t>
            </w:r>
            <w:r>
              <w:rPr>
                <w:rFonts w:hint="eastAsia" w:ascii="微软雅黑" w:hAnsi="微软雅黑" w:eastAsia="微软雅黑" w:cs="微软雅黑"/>
                <w:color w:val="auto"/>
                <w:spacing w:val="-5"/>
                <w:sz w:val="24"/>
                <w:szCs w:val="24"/>
                <w:highlight w:val="none"/>
              </w:rPr>
              <w:t>（成交）</w:t>
            </w:r>
            <w:r>
              <w:rPr>
                <w:rFonts w:hint="eastAsia" w:ascii="微软雅黑" w:hAnsi="微软雅黑" w:eastAsia="微软雅黑" w:cs="微软雅黑"/>
                <w:color w:val="auto"/>
                <w:spacing w:val="-21"/>
                <w:sz w:val="24"/>
                <w:szCs w:val="24"/>
                <w:highlight w:val="none"/>
              </w:rPr>
              <w:t xml:space="preserve"> </w:t>
            </w:r>
            <w:r>
              <w:rPr>
                <w:rFonts w:hint="eastAsia" w:ascii="微软雅黑" w:hAnsi="微软雅黑" w:eastAsia="微软雅黑" w:cs="微软雅黑"/>
                <w:color w:val="auto"/>
                <w:spacing w:val="-5"/>
                <w:sz w:val="24"/>
                <w:szCs w:val="24"/>
                <w:highlight w:val="none"/>
              </w:rPr>
              <w:t>价格、类似产品市</w:t>
            </w:r>
            <w:r>
              <w:rPr>
                <w:rFonts w:hint="eastAsia" w:ascii="微软雅黑" w:hAnsi="微软雅黑" w:eastAsia="微软雅黑" w:cs="微软雅黑"/>
                <w:color w:val="auto"/>
                <w:spacing w:val="-6"/>
                <w:sz w:val="24"/>
                <w:szCs w:val="24"/>
                <w:highlight w:val="none"/>
              </w:rPr>
              <w:t>场价格水平、行</w:t>
            </w:r>
            <w:r>
              <w:rPr>
                <w:rFonts w:hint="eastAsia" w:ascii="微软雅黑" w:hAnsi="微软雅黑" w:eastAsia="微软雅黑" w:cs="微软雅黑"/>
                <w:color w:val="auto"/>
                <w:spacing w:val="-2"/>
                <w:sz w:val="24"/>
                <w:szCs w:val="24"/>
                <w:highlight w:val="none"/>
              </w:rPr>
              <w:t>业人工费用标准、国家有关部门指导行业协会发布的行业平均成本等情况，对报价合理性</w:t>
            </w:r>
            <w:r>
              <w:rPr>
                <w:rFonts w:hint="eastAsia" w:ascii="微软雅黑" w:hAnsi="微软雅黑" w:eastAsia="微软雅黑" w:cs="微软雅黑"/>
                <w:color w:val="auto"/>
                <w:spacing w:val="-5"/>
                <w:sz w:val="24"/>
                <w:szCs w:val="24"/>
                <w:highlight w:val="none"/>
              </w:rPr>
              <w:t>进行判断。投标</w:t>
            </w:r>
            <w:r>
              <w:rPr>
                <w:rFonts w:hint="eastAsia" w:ascii="微软雅黑" w:hAnsi="微软雅黑" w:eastAsia="微软雅黑" w:cs="微软雅黑"/>
                <w:color w:val="auto"/>
                <w:spacing w:val="-22"/>
                <w:sz w:val="24"/>
                <w:szCs w:val="24"/>
                <w:highlight w:val="none"/>
              </w:rPr>
              <w:t xml:space="preserve"> </w:t>
            </w:r>
            <w:r>
              <w:rPr>
                <w:rFonts w:hint="eastAsia" w:ascii="微软雅黑" w:hAnsi="微软雅黑" w:eastAsia="微软雅黑" w:cs="微软雅黑"/>
                <w:color w:val="auto"/>
                <w:spacing w:val="-5"/>
                <w:sz w:val="24"/>
                <w:szCs w:val="24"/>
                <w:highlight w:val="none"/>
              </w:rPr>
              <w:t>（响应）</w:t>
            </w:r>
            <w:r>
              <w:rPr>
                <w:rFonts w:hint="eastAsia" w:ascii="微软雅黑" w:hAnsi="微软雅黑" w:eastAsia="微软雅黑" w:cs="微软雅黑"/>
                <w:color w:val="auto"/>
                <w:spacing w:val="-23"/>
                <w:sz w:val="24"/>
                <w:szCs w:val="24"/>
                <w:highlight w:val="none"/>
              </w:rPr>
              <w:t xml:space="preserve"> </w:t>
            </w:r>
            <w:r>
              <w:rPr>
                <w:rFonts w:hint="eastAsia" w:ascii="微软雅黑" w:hAnsi="微软雅黑" w:eastAsia="微软雅黑" w:cs="微软雅黑"/>
                <w:color w:val="auto"/>
                <w:spacing w:val="-5"/>
                <w:sz w:val="24"/>
                <w:szCs w:val="24"/>
                <w:highlight w:val="none"/>
              </w:rPr>
              <w:t>供应商不能提供书面说明、证明材料，</w:t>
            </w:r>
            <w:r>
              <w:rPr>
                <w:rFonts w:hint="eastAsia" w:ascii="微软雅黑" w:hAnsi="微软雅黑" w:eastAsia="微软雅黑" w:cs="微软雅黑"/>
                <w:color w:val="auto"/>
                <w:spacing w:val="-18"/>
                <w:sz w:val="24"/>
                <w:szCs w:val="24"/>
                <w:highlight w:val="none"/>
              </w:rPr>
              <w:t xml:space="preserve"> </w:t>
            </w:r>
            <w:r>
              <w:rPr>
                <w:rFonts w:hint="eastAsia" w:ascii="微软雅黑" w:hAnsi="微软雅黑" w:eastAsia="微软雅黑" w:cs="微软雅黑"/>
                <w:color w:val="auto"/>
                <w:spacing w:val="-6"/>
                <w:sz w:val="24"/>
                <w:szCs w:val="24"/>
                <w:highlight w:val="none"/>
              </w:rPr>
              <w:t>或者提供的书面说明、证</w:t>
            </w:r>
            <w:r>
              <w:rPr>
                <w:rFonts w:hint="eastAsia" w:ascii="微软雅黑" w:hAnsi="微软雅黑" w:eastAsia="微软雅黑" w:cs="微软雅黑"/>
                <w:color w:val="auto"/>
                <w:spacing w:val="-5"/>
                <w:sz w:val="24"/>
                <w:szCs w:val="24"/>
                <w:highlight w:val="none"/>
              </w:rPr>
              <w:t>明材料不能证明其报价合理性的， 评审委员会应当将其作为无效投标 （响应） 处理。</w:t>
            </w:r>
          </w:p>
          <w:p w14:paraId="3DC6CEBA">
            <w:pPr>
              <w:keepNext w:val="0"/>
              <w:keepLines w:val="0"/>
              <w:pageBreakBefore w:val="0"/>
              <w:widowControl w:val="0"/>
              <w:kinsoku/>
              <w:wordWrap/>
              <w:overflowPunct/>
              <w:topLinePunct w:val="0"/>
              <w:bidi w:val="0"/>
              <w:spacing w:before="4" w:line="500" w:lineRule="exact"/>
              <w:ind w:left="25" w:firstLine="1"/>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7"/>
                <w:sz w:val="24"/>
                <w:szCs w:val="24"/>
                <w:highlight w:val="none"/>
              </w:rPr>
              <w:t>采购人、采购代理机构应当为评审委员会在评审现场及时获取同类项目中标（成交）价格、</w:t>
            </w:r>
            <w:r>
              <w:rPr>
                <w:rFonts w:hint="eastAsia" w:ascii="微软雅黑" w:hAnsi="微软雅黑" w:eastAsia="微软雅黑" w:cs="微软雅黑"/>
                <w:color w:val="auto"/>
                <w:spacing w:val="-3"/>
                <w:sz w:val="24"/>
                <w:szCs w:val="24"/>
                <w:highlight w:val="none"/>
              </w:rPr>
              <w:t>类似产品市场价格水平、行业人工费用标准、国家有关部门指导行业协会发布的行业平均成本等相关信息资料提供便利。评审委员会借助互联网等渠道查询相关信息的，应当严格</w:t>
            </w:r>
            <w:r>
              <w:rPr>
                <w:rFonts w:hint="eastAsia" w:ascii="微软雅黑" w:hAnsi="微软雅黑" w:eastAsia="微软雅黑" w:cs="微软雅黑"/>
                <w:color w:val="auto"/>
                <w:spacing w:val="-4"/>
                <w:sz w:val="24"/>
                <w:szCs w:val="24"/>
                <w:highlight w:val="none"/>
              </w:rPr>
              <w:t>遵守评审工作纪律， 不得实施影响评审公正的行为。</w:t>
            </w:r>
          </w:p>
          <w:p w14:paraId="3E06CBFE">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5"/>
                <w:sz w:val="24"/>
                <w:szCs w:val="24"/>
                <w:highlight w:val="none"/>
              </w:rPr>
              <w:t>异常低价投标</w:t>
            </w:r>
            <w:r>
              <w:rPr>
                <w:rFonts w:hint="eastAsia" w:ascii="微软雅黑" w:hAnsi="微软雅黑" w:eastAsia="微软雅黑" w:cs="微软雅黑"/>
                <w:color w:val="auto"/>
                <w:spacing w:val="-27"/>
                <w:sz w:val="24"/>
                <w:szCs w:val="24"/>
                <w:highlight w:val="none"/>
              </w:rPr>
              <w:t xml:space="preserve"> </w:t>
            </w:r>
            <w:r>
              <w:rPr>
                <w:rFonts w:hint="eastAsia" w:ascii="微软雅黑" w:hAnsi="微软雅黑" w:eastAsia="微软雅黑" w:cs="微软雅黑"/>
                <w:color w:val="auto"/>
                <w:spacing w:val="-5"/>
                <w:sz w:val="24"/>
                <w:szCs w:val="24"/>
                <w:highlight w:val="none"/>
              </w:rPr>
              <w:t>（响应）</w:t>
            </w:r>
            <w:r>
              <w:rPr>
                <w:rFonts w:hint="eastAsia" w:ascii="微软雅黑" w:hAnsi="微软雅黑" w:eastAsia="微软雅黑" w:cs="微软雅黑"/>
                <w:color w:val="auto"/>
                <w:spacing w:val="-14"/>
                <w:sz w:val="24"/>
                <w:szCs w:val="24"/>
                <w:highlight w:val="none"/>
              </w:rPr>
              <w:t xml:space="preserve"> </w:t>
            </w:r>
            <w:r>
              <w:rPr>
                <w:rFonts w:hint="eastAsia" w:ascii="微软雅黑" w:hAnsi="微软雅黑" w:eastAsia="微软雅黑" w:cs="微软雅黑"/>
                <w:color w:val="auto"/>
                <w:spacing w:val="-5"/>
                <w:sz w:val="24"/>
                <w:szCs w:val="24"/>
                <w:highlight w:val="none"/>
              </w:rPr>
              <w:t>审查的启动原因、审查意见和审查结</w:t>
            </w:r>
            <w:r>
              <w:rPr>
                <w:rFonts w:hint="eastAsia" w:ascii="微软雅黑" w:hAnsi="微软雅黑" w:eastAsia="微软雅黑" w:cs="微软雅黑"/>
                <w:color w:val="auto"/>
                <w:spacing w:val="-6"/>
                <w:sz w:val="24"/>
                <w:szCs w:val="24"/>
                <w:highlight w:val="none"/>
              </w:rPr>
              <w:t>果应当在评审报告中记录，</w:t>
            </w:r>
            <w:r>
              <w:rPr>
                <w:rFonts w:hint="eastAsia" w:ascii="微软雅黑" w:hAnsi="微软雅黑" w:eastAsia="微软雅黑" w:cs="微软雅黑"/>
                <w:color w:val="auto"/>
                <w:spacing w:val="-22"/>
                <w:sz w:val="24"/>
                <w:szCs w:val="24"/>
                <w:highlight w:val="none"/>
              </w:rPr>
              <w:t xml:space="preserve"> </w:t>
            </w:r>
            <w:r>
              <w:rPr>
                <w:rFonts w:hint="eastAsia" w:ascii="微软雅黑" w:hAnsi="微软雅黑" w:eastAsia="微软雅黑" w:cs="微软雅黑"/>
                <w:color w:val="auto"/>
                <w:spacing w:val="-6"/>
                <w:sz w:val="24"/>
                <w:szCs w:val="24"/>
                <w:highlight w:val="none"/>
              </w:rPr>
              <w:t>并</w:t>
            </w:r>
            <w:r>
              <w:rPr>
                <w:rFonts w:hint="eastAsia" w:ascii="微软雅黑" w:hAnsi="微软雅黑" w:eastAsia="微软雅黑" w:cs="微软雅黑"/>
                <w:color w:val="auto"/>
                <w:spacing w:val="-3"/>
                <w:sz w:val="24"/>
                <w:szCs w:val="24"/>
                <w:highlight w:val="none"/>
              </w:rPr>
              <w:t>随供应商提供的相关书面说明及证明材料，</w:t>
            </w:r>
            <w:r>
              <w:rPr>
                <w:rFonts w:hint="eastAsia" w:ascii="微软雅黑" w:hAnsi="微软雅黑" w:eastAsia="微软雅黑" w:cs="微软雅黑"/>
                <w:color w:val="auto"/>
                <w:spacing w:val="-23"/>
                <w:sz w:val="24"/>
                <w:szCs w:val="24"/>
                <w:highlight w:val="none"/>
              </w:rPr>
              <w:t xml:space="preserve"> </w:t>
            </w:r>
            <w:r>
              <w:rPr>
                <w:rFonts w:hint="eastAsia" w:ascii="微软雅黑" w:hAnsi="微软雅黑" w:eastAsia="微软雅黑" w:cs="微软雅黑"/>
                <w:color w:val="auto"/>
                <w:spacing w:val="-3"/>
                <w:sz w:val="24"/>
                <w:szCs w:val="24"/>
                <w:highlight w:val="none"/>
              </w:rPr>
              <w:t>以及评审委员会有关互联网浏览、查询历史一</w:t>
            </w:r>
            <w:r>
              <w:rPr>
                <w:rFonts w:hint="eastAsia" w:ascii="微软雅黑" w:hAnsi="微软雅黑" w:eastAsia="微软雅黑" w:cs="微软雅黑"/>
                <w:color w:val="auto"/>
                <w:spacing w:val="-2"/>
                <w:sz w:val="24"/>
                <w:szCs w:val="24"/>
                <w:highlight w:val="none"/>
              </w:rPr>
              <w:t>并归档。</w:t>
            </w:r>
          </w:p>
          <w:p w14:paraId="255665AF">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4"/>
                <w:sz w:val="24"/>
                <w:szCs w:val="24"/>
                <w:highlight w:val="none"/>
              </w:rPr>
              <w:t>（三）</w:t>
            </w:r>
            <w:r>
              <w:rPr>
                <w:rFonts w:hint="eastAsia" w:ascii="微软雅黑" w:hAnsi="微软雅黑" w:eastAsia="微软雅黑" w:cs="微软雅黑"/>
                <w:color w:val="auto"/>
                <w:spacing w:val="-33"/>
                <w:sz w:val="24"/>
                <w:szCs w:val="24"/>
                <w:highlight w:val="none"/>
              </w:rPr>
              <w:t xml:space="preserve"> </w:t>
            </w:r>
            <w:r>
              <w:rPr>
                <w:rFonts w:hint="eastAsia" w:ascii="微软雅黑" w:hAnsi="微软雅黑" w:eastAsia="微软雅黑" w:cs="微软雅黑"/>
                <w:color w:val="auto"/>
                <w:spacing w:val="-4"/>
                <w:sz w:val="24"/>
                <w:szCs w:val="24"/>
                <w:highlight w:val="none"/>
              </w:rPr>
              <w:t>各级财政部门应当加强对评审专家的指导</w:t>
            </w:r>
            <w:r>
              <w:rPr>
                <w:rFonts w:hint="eastAsia" w:ascii="微软雅黑" w:hAnsi="微软雅黑" w:eastAsia="微软雅黑" w:cs="微软雅黑"/>
                <w:color w:val="auto"/>
                <w:spacing w:val="-5"/>
                <w:sz w:val="24"/>
                <w:szCs w:val="24"/>
                <w:highlight w:val="none"/>
              </w:rPr>
              <w:t>和监管，</w:t>
            </w:r>
            <w:r>
              <w:rPr>
                <w:rFonts w:hint="eastAsia" w:ascii="微软雅黑" w:hAnsi="微软雅黑" w:eastAsia="微软雅黑" w:cs="微软雅黑"/>
                <w:color w:val="auto"/>
                <w:spacing w:val="-31"/>
                <w:sz w:val="24"/>
                <w:szCs w:val="24"/>
                <w:highlight w:val="none"/>
              </w:rPr>
              <w:t xml:space="preserve"> </w:t>
            </w:r>
            <w:r>
              <w:rPr>
                <w:rFonts w:hint="eastAsia" w:ascii="微软雅黑" w:hAnsi="微软雅黑" w:eastAsia="微软雅黑" w:cs="微软雅黑"/>
                <w:color w:val="auto"/>
                <w:spacing w:val="-5"/>
                <w:sz w:val="24"/>
                <w:szCs w:val="24"/>
                <w:highlight w:val="none"/>
              </w:rPr>
              <w:t>进一步压实评审专家的责任。财</w:t>
            </w:r>
            <w:r>
              <w:rPr>
                <w:rFonts w:hint="eastAsia" w:ascii="微软雅黑" w:hAnsi="微软雅黑" w:eastAsia="微软雅黑" w:cs="微软雅黑"/>
                <w:color w:val="auto"/>
                <w:spacing w:val="-2"/>
                <w:sz w:val="24"/>
                <w:szCs w:val="24"/>
                <w:highlight w:val="none"/>
              </w:rPr>
              <w:t>政部门在投诉处理、监督检查中发现评审委员会未按规定对异常低价开展审查的，依法予</w:t>
            </w:r>
            <w:r>
              <w:rPr>
                <w:rFonts w:hint="eastAsia" w:ascii="微软雅黑" w:hAnsi="微软雅黑" w:eastAsia="微软雅黑" w:cs="微软雅黑"/>
                <w:color w:val="auto"/>
                <w:spacing w:val="-1"/>
                <w:sz w:val="24"/>
                <w:szCs w:val="24"/>
                <w:highlight w:val="none"/>
              </w:rPr>
              <w:t>以纠正并追究评审专家的法律责任。</w:t>
            </w:r>
          </w:p>
        </w:tc>
      </w:tr>
      <w:tr w14:paraId="2C545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2DE5565D">
            <w:pPr>
              <w:keepNext w:val="0"/>
              <w:keepLines w:val="0"/>
              <w:pageBreakBefore w:val="0"/>
              <w:widowControl w:val="0"/>
              <w:kinsoku/>
              <w:wordWrap/>
              <w:overflowPunct/>
              <w:topLinePunct w:val="0"/>
              <w:bidi w:val="0"/>
              <w:snapToGrid/>
              <w:spacing w:line="5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注：供应商通过PS造假等手段提供虚假证明材料，隐瞒事实、虚假投标并中标，在验收过程中经过严格验收发现问题后，立即终止并反馈当地政府采购监管部门处理，供应商须承担造成的一切后果。 </w:t>
            </w:r>
          </w:p>
          <w:p w14:paraId="2264E829">
            <w:pPr>
              <w:keepNext w:val="0"/>
              <w:keepLines w:val="0"/>
              <w:pageBreakBefore w:val="0"/>
              <w:widowControl w:val="0"/>
              <w:kinsoku/>
              <w:wordWrap/>
              <w:overflowPunct/>
              <w:topLinePunct w:val="0"/>
              <w:bidi w:val="0"/>
              <w:spacing w:line="500" w:lineRule="exact"/>
              <w:textAlignment w:val="auto"/>
              <w:rPr>
                <w:rFonts w:hint="eastAsia" w:ascii="微软雅黑" w:hAnsi="微软雅黑" w:eastAsia="微软雅黑" w:cs="微软雅黑"/>
                <w:color w:val="auto"/>
                <w:spacing w:val="-4"/>
                <w:sz w:val="24"/>
                <w:szCs w:val="24"/>
                <w:highlight w:val="none"/>
              </w:rPr>
            </w:pPr>
            <w:r>
              <w:rPr>
                <w:rFonts w:hint="eastAsia" w:ascii="微软雅黑" w:hAnsi="微软雅黑" w:eastAsia="微软雅黑" w:cs="微软雅黑"/>
                <w:color w:val="auto"/>
                <w:sz w:val="24"/>
                <w:szCs w:val="24"/>
                <w:highlight w:val="none"/>
                <w:lang w:val="en-US" w:eastAsia="zh-CN"/>
              </w:rPr>
              <w:t>供应商以他人名义投标或者以其他方式弄虚作假，骗取中标的，中标无效，给采购人造成损失的，依法承担赔偿责任；构成犯罪的，依法追究刑事责任。</w:t>
            </w:r>
          </w:p>
        </w:tc>
      </w:tr>
    </w:tbl>
    <w:p w14:paraId="3CE9E3C2">
      <w:pPr>
        <w:pageBreakBefore w:val="0"/>
        <w:kinsoku/>
        <w:wordWrap/>
        <w:overflowPunct/>
        <w:topLinePunct w:val="0"/>
        <w:bidi w:val="0"/>
        <w:spacing w:line="520" w:lineRule="exact"/>
        <w:rPr>
          <w:color w:val="auto"/>
          <w:highlight w:val="none"/>
        </w:rPr>
        <w:sectPr>
          <w:headerReference r:id="rId6" w:type="default"/>
          <w:footerReference r:id="rId7" w:type="default"/>
          <w:pgSz w:w="11905" w:h="16838"/>
          <w:pgMar w:top="1440" w:right="1083" w:bottom="1440" w:left="1083" w:header="851" w:footer="992" w:gutter="0"/>
          <w:pgNumType w:fmt="decimal"/>
          <w:cols w:space="0" w:num="1"/>
          <w:rtlGutter w:val="0"/>
          <w:docGrid w:linePitch="462" w:charSpace="0"/>
        </w:sectPr>
      </w:pPr>
    </w:p>
    <w:p w14:paraId="318B1B3F">
      <w:pPr>
        <w:pStyle w:val="3"/>
        <w:pageBreakBefore w:val="0"/>
        <w:tabs>
          <w:tab w:val="left" w:pos="0"/>
        </w:tabs>
        <w:kinsoku/>
        <w:wordWrap/>
        <w:overflowPunct/>
        <w:topLinePunct w:val="0"/>
        <w:bidi w:val="0"/>
        <w:snapToGrid w:val="0"/>
        <w:spacing w:before="0" w:after="0" w:line="520" w:lineRule="exact"/>
        <w:jc w:val="center"/>
        <w:textAlignment w:val="baseline"/>
        <w:rPr>
          <w:rFonts w:ascii="微软雅黑" w:hAnsi="微软雅黑" w:eastAsia="微软雅黑" w:cs="微软雅黑"/>
          <w:bCs/>
          <w:color w:val="auto"/>
          <w:kern w:val="0"/>
          <w:sz w:val="24"/>
          <w:szCs w:val="24"/>
          <w:highlight w:val="none"/>
        </w:rPr>
      </w:pPr>
      <w:bookmarkStart w:id="762" w:name="_Toc25942"/>
      <w:bookmarkStart w:id="763" w:name="_Toc26691"/>
      <w:r>
        <w:rPr>
          <w:rFonts w:hint="eastAsia" w:ascii="微软雅黑" w:hAnsi="微软雅黑" w:eastAsia="微软雅黑" w:cs="微软雅黑"/>
          <w:color w:val="auto"/>
          <w:highlight w:val="none"/>
        </w:rPr>
        <w:t xml:space="preserve">第5章 </w:t>
      </w:r>
      <w:r>
        <w:rPr>
          <w:rFonts w:hint="eastAsia" w:ascii="微软雅黑" w:hAnsi="微软雅黑" w:eastAsia="微软雅黑" w:cs="微软雅黑"/>
          <w:color w:val="auto"/>
          <w:highlight w:val="none"/>
          <w:lang w:val="en-US" w:eastAsia="zh-CN"/>
        </w:rPr>
        <w:t>工程量清单及技术标准</w:t>
      </w:r>
      <w:bookmarkEnd w:id="762"/>
      <w:bookmarkEnd w:id="763"/>
    </w:p>
    <w:p w14:paraId="3D81CE12">
      <w:pPr>
        <w:pageBreakBefore w:val="0"/>
        <w:widowControl w:val="0"/>
        <w:kinsoku/>
        <w:wordWrap/>
        <w:overflowPunct/>
        <w:topLinePunct w:val="0"/>
        <w:bidi w:val="0"/>
        <w:snapToGrid/>
        <w:spacing w:line="520" w:lineRule="exact"/>
        <w:ind w:firstLine="480"/>
        <w:jc w:val="left"/>
        <w:textAlignment w:val="auto"/>
        <w:rPr>
          <w:rFonts w:hint="eastAsia" w:ascii="微软雅黑" w:hAnsi="微软雅黑" w:eastAsia="微软雅黑" w:cs="微软雅黑"/>
          <w:color w:val="auto"/>
          <w:sz w:val="21"/>
          <w:szCs w:val="21"/>
          <w:highlight w:val="none"/>
          <w:u w:val="single"/>
          <w:lang w:val="en-US" w:eastAsia="zh-CN"/>
        </w:rPr>
      </w:pPr>
      <w:bookmarkStart w:id="764" w:name="_Toc13274"/>
      <w:bookmarkStart w:id="765" w:name="_Toc17221"/>
      <w:bookmarkStart w:id="766" w:name="_Toc6341"/>
    </w:p>
    <w:p w14:paraId="0EBEF16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b/>
          <w:bCs/>
          <w:color w:val="auto"/>
          <w:kern w:val="0"/>
          <w:sz w:val="24"/>
          <w:szCs w:val="24"/>
          <w:highlight w:val="none"/>
          <w:lang w:val="en-US" w:eastAsia="zh-CN" w:bidi="ar"/>
        </w:rPr>
      </w:pPr>
      <w:bookmarkStart w:id="767" w:name="_Toc1972"/>
      <w:r>
        <w:rPr>
          <w:rFonts w:hint="eastAsia" w:ascii="微软雅黑" w:hAnsi="微软雅黑" w:eastAsia="微软雅黑" w:cs="微软雅黑"/>
          <w:b/>
          <w:bCs/>
          <w:color w:val="auto"/>
          <w:kern w:val="0"/>
          <w:sz w:val="24"/>
          <w:szCs w:val="24"/>
          <w:highlight w:val="none"/>
          <w:lang w:val="en-US" w:eastAsia="zh-CN" w:bidi="ar"/>
        </w:rPr>
        <w:t>一、工程概况</w:t>
      </w:r>
      <w:bookmarkEnd w:id="767"/>
      <w:r>
        <w:rPr>
          <w:rFonts w:hint="eastAsia" w:ascii="微软雅黑" w:hAnsi="微软雅黑" w:eastAsia="微软雅黑" w:cs="微软雅黑"/>
          <w:b/>
          <w:bCs/>
          <w:color w:val="auto"/>
          <w:kern w:val="0"/>
          <w:sz w:val="24"/>
          <w:szCs w:val="24"/>
          <w:highlight w:val="none"/>
          <w:lang w:val="en-US" w:eastAsia="zh-CN" w:bidi="ar"/>
        </w:rPr>
        <w:t xml:space="preserve"> </w:t>
      </w:r>
    </w:p>
    <w:p w14:paraId="1457147B">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①项目名称：喀什地区社会福利院普惠养老服务能力提升项目</w:t>
      </w:r>
    </w:p>
    <w:p w14:paraId="5FD7E91A">
      <w:pPr>
        <w:pageBreakBefore w:val="0"/>
        <w:kinsoku/>
        <w:wordWrap/>
        <w:overflowPunct/>
        <w:topLinePunct w:val="0"/>
        <w:autoSpaceDE/>
        <w:autoSpaceDN/>
        <w:bidi w:val="0"/>
        <w:adjustRightInd/>
        <w:spacing w:line="500" w:lineRule="exact"/>
        <w:ind w:firstLine="480" w:firstLineChars="200"/>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②建设规模：</w:t>
      </w:r>
      <w:r>
        <w:rPr>
          <w:rFonts w:hint="eastAsia" w:ascii="微软雅黑" w:hAnsi="微软雅黑" w:eastAsia="微软雅黑" w:cs="微软雅黑"/>
          <w:i w:val="0"/>
          <w:iCs w:val="0"/>
          <w:caps w:val="0"/>
          <w:color w:val="auto"/>
          <w:spacing w:val="0"/>
          <w:sz w:val="24"/>
          <w:szCs w:val="24"/>
          <w:highlight w:val="none"/>
          <w:lang w:val="en-US" w:eastAsia="zh-CN"/>
        </w:rPr>
        <w:t>对居室、卫生间、室内公共区域适老化改造及购置适老化设施设备等;拆除新建及加固院内破损坍塌砖围墙改造，新建洗衣房、库房、值班室、活动室、卫生间等附属用房，建筑面积553.09平方米;配套建设大门3座、地面硬化(含活动区步道)平方米及绿化3800平方米、院内亮化(安装路灯12盏)、监控设施8套。</w:t>
      </w:r>
      <w:r>
        <w:rPr>
          <w:rFonts w:hint="eastAsia" w:ascii="微软雅黑" w:hAnsi="微软雅黑" w:eastAsia="微软雅黑" w:cs="微软雅黑"/>
          <w:color w:val="auto"/>
          <w:sz w:val="24"/>
          <w:szCs w:val="24"/>
          <w:highlight w:val="none"/>
          <w:lang w:val="en-US" w:eastAsia="zh-CN"/>
        </w:rPr>
        <w:t>（具体详见工程量清单及施工图纸）</w:t>
      </w:r>
      <w:r>
        <w:rPr>
          <w:rFonts w:hint="eastAsia" w:ascii="微软雅黑" w:hAnsi="微软雅黑" w:eastAsia="微软雅黑" w:cs="微软雅黑"/>
          <w:color w:val="auto"/>
          <w:kern w:val="0"/>
          <w:sz w:val="24"/>
          <w:szCs w:val="24"/>
          <w:highlight w:val="none"/>
          <w:lang w:val="en-US" w:eastAsia="zh-CN" w:bidi="ar"/>
        </w:rPr>
        <w:t>。</w:t>
      </w:r>
    </w:p>
    <w:bookmarkEnd w:id="764"/>
    <w:bookmarkEnd w:id="765"/>
    <w:bookmarkEnd w:id="766"/>
    <w:p w14:paraId="3B79E2A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二、主要商务要求如下： </w:t>
      </w:r>
    </w:p>
    <w:p w14:paraId="432214B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1.项目实施地：喀什地区社会福利院。</w:t>
      </w:r>
    </w:p>
    <w:p w14:paraId="30963980">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2.工期要求：90天。（开工时间和竣工验收时间具体以合同签订为准）</w:t>
      </w:r>
    </w:p>
    <w:p w14:paraId="3C0691B0">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3.付款方式：合同签订后施工人员进场施工后支付合同价的 30% ；工程量完成 70%后支付至合同价的 60% ，竣工验收合格后支付至合同价的90% ，完成审计结算资料归档并联合验收备案完成后支付合同价的100% 。每笔费用支付前承包企业均需向建设单位提供等额有效的增值税普通发票 ，承包企业未向建设单位提供发票的，建设单位有权延迟支付款项，且对此不承担违约责任。【具体以实际签订合同为准】。 </w:t>
      </w:r>
    </w:p>
    <w:p w14:paraId="139F9188">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en-US" w:eastAsia="zh-CN" w:bidi="ar"/>
        </w:rPr>
        <w:t>4.履约保证金</w:t>
      </w:r>
      <w:r>
        <w:rPr>
          <w:rFonts w:hint="eastAsia" w:ascii="微软雅黑" w:hAnsi="微软雅黑" w:eastAsia="微软雅黑" w:cs="微软雅黑"/>
          <w:color w:val="auto"/>
          <w:kern w:val="0"/>
          <w:sz w:val="24"/>
          <w:szCs w:val="24"/>
          <w:highlight w:val="none"/>
          <w:lang w:val="zh-CN" w:eastAsia="zh-CN" w:bidi="ar"/>
        </w:rPr>
        <w:t>：</w:t>
      </w:r>
      <w:r>
        <w:rPr>
          <w:rFonts w:hint="eastAsia" w:ascii="微软雅黑" w:hAnsi="微软雅黑" w:eastAsia="微软雅黑" w:cs="微软雅黑"/>
          <w:color w:val="auto"/>
          <w:kern w:val="0"/>
          <w:sz w:val="24"/>
          <w:szCs w:val="24"/>
          <w:highlight w:val="none"/>
          <w:lang w:val="en-US" w:eastAsia="zh-CN" w:bidi="ar"/>
        </w:rPr>
        <w:t>合同总价的5%（具体缴纳时间以合同签订为准）</w:t>
      </w:r>
      <w:r>
        <w:rPr>
          <w:rFonts w:hint="eastAsia" w:ascii="微软雅黑" w:hAnsi="微软雅黑" w:eastAsia="微软雅黑" w:cs="微软雅黑"/>
          <w:color w:val="auto"/>
          <w:kern w:val="0"/>
          <w:sz w:val="24"/>
          <w:szCs w:val="24"/>
          <w:highlight w:val="none"/>
          <w:lang w:val="zh-CN" w:eastAsia="zh-CN" w:bidi="ar"/>
        </w:rPr>
        <w:t>。</w:t>
      </w:r>
    </w:p>
    <w:p w14:paraId="26CD449D">
      <w:pPr>
        <w:pStyle w:val="2"/>
        <w:rPr>
          <w:rFonts w:hint="eastAsia" w:ascii="微软雅黑" w:hAnsi="微软雅黑" w:eastAsia="微软雅黑" w:cs="微软雅黑"/>
          <w:b/>
          <w:bCs/>
          <w:color w:val="auto"/>
          <w:kern w:val="0"/>
          <w:sz w:val="24"/>
          <w:szCs w:val="24"/>
          <w:highlight w:val="none"/>
          <w:lang w:val="zh-CN" w:eastAsia="zh-CN" w:bidi="ar"/>
        </w:rPr>
      </w:pPr>
      <w:r>
        <w:rPr>
          <w:rFonts w:hint="eastAsia" w:ascii="微软雅黑" w:hAnsi="微软雅黑" w:eastAsia="微软雅黑" w:cs="微软雅黑"/>
          <w:b/>
          <w:bCs/>
          <w:color w:val="auto"/>
          <w:kern w:val="0"/>
          <w:sz w:val="24"/>
          <w:szCs w:val="24"/>
          <w:highlight w:val="none"/>
          <w:lang w:val="zh-CN" w:eastAsia="zh-CN" w:bidi="ar"/>
        </w:rPr>
        <w:t>三、质量要求和质量保修期</w:t>
      </w:r>
    </w:p>
    <w:p w14:paraId="3EEE90B9">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（1）质量：符合国家有关施工质量验收标准的合格工程或合同约定。工程规范以现行的或承担具体施工任务期间国家和行业新颁布施行的规范、规程为准。</w:t>
      </w:r>
    </w:p>
    <w:p w14:paraId="2523CDB1">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（2）材料、设备、施工须达到现行中华人民共和国以及省、自治区、直辖市或行业的工程建设标准、规范的要求及验收标准及有关规范为质量评定验收标准。</w:t>
      </w:r>
    </w:p>
    <w:p w14:paraId="3D1A18AB">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（3）质量保修期：2年。</w:t>
      </w:r>
    </w:p>
    <w:p w14:paraId="798DA29A">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（4）质保及售后服务：</w:t>
      </w:r>
    </w:p>
    <w:p w14:paraId="57468067">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工程质量标准必须符合现行国家有关工程施工质量验收规范和标准的要求。有关工程质量的特殊标准或要求由合同当事人在专用合同条款中约定。因采购人原因造成工程质量未达到合同约定标准的，由采购人承担由此增加的费用和（或）延误的工期，并支付供应商合理的利润。因供应商原因造成工程质量未达到合同约定标准的，采购人有权要求供应商返工直至工程质量达到合同约定的标准为止，并由供应承担由此增加的费用和（或）延误的工期。</w:t>
      </w:r>
    </w:p>
    <w:p w14:paraId="11DA2BDF">
      <w:pPr>
        <w:rPr>
          <w:rFonts w:hint="eastAsia" w:ascii="微软雅黑" w:hAnsi="微软雅黑" w:eastAsia="微软雅黑" w:cs="微软雅黑"/>
          <w:b/>
          <w:bCs/>
          <w:color w:val="auto"/>
          <w:kern w:val="0"/>
          <w:sz w:val="24"/>
          <w:szCs w:val="24"/>
          <w:highlight w:val="none"/>
          <w:lang w:val="zh-CN" w:eastAsia="zh-CN" w:bidi="ar"/>
        </w:rPr>
      </w:pPr>
      <w:r>
        <w:rPr>
          <w:rFonts w:hint="eastAsia" w:ascii="微软雅黑" w:hAnsi="微软雅黑" w:eastAsia="微软雅黑" w:cs="微软雅黑"/>
          <w:b/>
          <w:bCs/>
          <w:color w:val="auto"/>
          <w:kern w:val="0"/>
          <w:sz w:val="24"/>
          <w:szCs w:val="24"/>
          <w:highlight w:val="none"/>
          <w:lang w:val="zh-CN" w:eastAsia="zh-CN" w:bidi="ar"/>
        </w:rPr>
        <w:t>四、验收</w:t>
      </w:r>
    </w:p>
    <w:p w14:paraId="6A04B4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（1）采购人在收到成交供应商提交的竣工报告后组织验收，并在验收后14天内予以认可或提出修改意见。验收不合格，成交供应商应按要求修改后再次提请采购人验收，并承担因自身原因造成修改的费用。</w:t>
      </w:r>
    </w:p>
    <w:p w14:paraId="3AC808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（2）采购人在收到成交供应商提交的竣工报告后不组织验收，或验收后不提出修改意见，视为竣工报告已被认可。</w:t>
      </w:r>
    </w:p>
    <w:p w14:paraId="245DD6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3）验收时如发现所交付的设备有短装、次品、损坏或其它不符合磋商文件规定之情形者，采购人应做出详尽的现场记录，或由用户和成交供应商双方签署备忘录。此现场记录或备忘录可用作补充、缺失和更换损坏部件的有效证据。由此产生的有关费用由成交供应商承担。</w:t>
      </w:r>
    </w:p>
    <w:p w14:paraId="4B4A14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auto"/>
          <w:kern w:val="0"/>
          <w:sz w:val="24"/>
          <w:szCs w:val="24"/>
          <w:highlight w:val="none"/>
          <w:lang w:val="zh-CN" w:eastAsia="zh-CN" w:bidi="ar"/>
        </w:rPr>
      </w:pPr>
      <w:r>
        <w:rPr>
          <w:rFonts w:hint="eastAsia" w:ascii="微软雅黑" w:hAnsi="微软雅黑" w:eastAsia="微软雅黑" w:cs="微软雅黑"/>
          <w:color w:val="auto"/>
          <w:kern w:val="0"/>
          <w:sz w:val="24"/>
          <w:szCs w:val="24"/>
          <w:highlight w:val="none"/>
          <w:lang w:val="zh-CN" w:eastAsia="zh-CN" w:bidi="ar"/>
        </w:rPr>
        <w:t>（4）竣工报告被认可，则表明已完成合同工程，并视为通过竣工验收， 采购人应向成交供应商颁发工程竣工验收证书。</w:t>
      </w:r>
    </w:p>
    <w:p w14:paraId="6F3B8D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微软雅黑" w:hAnsi="微软雅黑" w:eastAsia="微软雅黑" w:cs="微软雅黑"/>
          <w:color w:val="auto"/>
          <w:kern w:val="0"/>
          <w:sz w:val="24"/>
          <w:szCs w:val="24"/>
          <w:highlight w:val="none"/>
          <w:lang w:val="zh-CN" w:eastAsia="zh-CN" w:bidi="ar"/>
        </w:rPr>
        <w:t>（5）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624B83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lang w:val="en-US" w:eastAsia="zh-CN"/>
        </w:rPr>
      </w:pPr>
      <w:r>
        <w:rPr>
          <w:rFonts w:hint="eastAsia" w:ascii="微软雅黑" w:hAnsi="微软雅黑" w:eastAsia="微软雅黑" w:cs="微软雅黑"/>
          <w:b/>
          <w:bCs/>
          <w:color w:val="auto"/>
          <w:kern w:val="0"/>
          <w:sz w:val="24"/>
          <w:szCs w:val="24"/>
          <w:highlight w:val="none"/>
          <w:lang w:val="en-US" w:eastAsia="zh-CN" w:bidi="ar"/>
        </w:rPr>
        <w:t>五、供应商需要自备的工作条件</w:t>
      </w:r>
    </w:p>
    <w:p w14:paraId="7FC208DF">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 供应商自备的工作手册：如本项目必备的规范标准、图集等</w:t>
      </w:r>
    </w:p>
    <w:p w14:paraId="37257B65">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2. 供应商自备的办公设备：如电脑、软件、打印机、复印机、照相机等</w:t>
      </w:r>
    </w:p>
    <w:p w14:paraId="3EA78F2A">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3. 供应商自备的交通工具：如出行车辆、设备车辆等</w:t>
      </w:r>
    </w:p>
    <w:p w14:paraId="48058E15">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4. 供应商自备的安全设施：如安全帽、安全带、安全鞋、手电筒等</w:t>
      </w:r>
    </w:p>
    <w:p w14:paraId="2A38CBB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六、服务要求：供应商需在施工期间需做好防尘措施、安全紧急避险措施、尽量避免扰民施工，确保施工人员安全的情况下施工。</w:t>
      </w:r>
    </w:p>
    <w:p w14:paraId="6484E5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七、供应商权利和义务</w:t>
      </w:r>
    </w:p>
    <w:p w14:paraId="3DF5C344">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1、负责组织施工机械、车辆及人员等按时进入施工现场，保证工期顺利完成。供应商自备施工人员及机械设备。机械设备、人工及垃圾清运手续费等各类费用由供应商自行承担。</w:t>
      </w:r>
    </w:p>
    <w:p w14:paraId="764371C6">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2、应做到文明施工，并按照相关规定，做好围挡、扬尘、噪音等防护措施，确保施工现场、道路及周边环境整洁，因违反有关规定造成的损失和处罚均由供应商承担。</w:t>
      </w:r>
    </w:p>
    <w:p w14:paraId="211AC196">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3、供应商不得对工程转包或分包，否则采购人可单方解除本协议且不承担违约责任。</w:t>
      </w:r>
    </w:p>
    <w:p w14:paraId="7D952C6C">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4、供应商主动接受采购人及相关单位的监督，施工工作结束时，须经采购人验收合格后方可撒离施工现场。</w:t>
      </w:r>
    </w:p>
    <w:p w14:paraId="57275E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微软雅黑" w:hAnsi="微软雅黑" w:eastAsia="微软雅黑" w:cs="微软雅黑"/>
          <w:color w:val="auto"/>
          <w:highlight w:val="none"/>
          <w:lang w:val="en-US" w:eastAsia="zh-CN"/>
        </w:rPr>
        <w:t>5、供应商须设立专门的农民工工资专户，落实保证金制度及实名制管理，并保证本地用工比例不低于90%。</w:t>
      </w:r>
    </w:p>
    <w:p w14:paraId="2A27F16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八、施工安全</w:t>
      </w:r>
    </w:p>
    <w:p w14:paraId="5150A2E3">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1、供应商应遵守工程建设安全生产有关管理规定，制定安全生产施工措施，严格按安全标准组织施工。随时接受安全检查人员依法实施的监督检查，采取必要的安全防护措施，消除事故隐患。</w:t>
      </w:r>
    </w:p>
    <w:p w14:paraId="1F62BA89">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2、供应商在施工过程中所造成的工伤等事故或给第三方造成人身、财产损失，概由供应商负责。</w:t>
      </w:r>
    </w:p>
    <w:p w14:paraId="3ACC23B1">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3、供应商在施工过程中应做好安全防护工作，如因供应商安全措施不当，造成的一切损失由供应商承担。</w:t>
      </w:r>
    </w:p>
    <w:p w14:paraId="488FA403">
      <w:pPr>
        <w:pStyle w:val="8"/>
        <w:keepNext w:val="0"/>
        <w:keepLines w:val="0"/>
        <w:pageBreakBefore w:val="0"/>
        <w:kinsoku/>
        <w:wordWrap/>
        <w:overflowPunct/>
        <w:topLinePunct w:val="0"/>
        <w:bidi w:val="0"/>
        <w:snapToGrid/>
        <w:spacing w:line="52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4、供应商按照约定的要求做好施工现场地下管线和邻近建筑物、构筑物的保护工作。</w:t>
      </w:r>
    </w:p>
    <w:p w14:paraId="42D8FCF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微软雅黑" w:hAnsi="微软雅黑" w:eastAsia="微软雅黑" w:cs="微软雅黑"/>
          <w:color w:val="auto"/>
          <w:kern w:val="0"/>
          <w:sz w:val="24"/>
          <w:szCs w:val="20"/>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
        </w:rPr>
        <w:t>九、验收标准：</w:t>
      </w:r>
      <w:r>
        <w:rPr>
          <w:rFonts w:hint="default" w:ascii="微软雅黑" w:hAnsi="微软雅黑" w:eastAsia="微软雅黑" w:cs="微软雅黑"/>
          <w:color w:val="auto"/>
          <w:kern w:val="0"/>
          <w:sz w:val="24"/>
          <w:szCs w:val="20"/>
          <w:highlight w:val="none"/>
          <w:lang w:val="en-US" w:eastAsia="zh-CN" w:bidi="ar-SA"/>
        </w:rPr>
        <w:t>工程质量要求符合行业强制性标准</w:t>
      </w:r>
      <w:r>
        <w:rPr>
          <w:rFonts w:hint="eastAsia" w:ascii="微软雅黑" w:hAnsi="微软雅黑" w:eastAsia="微软雅黑" w:cs="微软雅黑"/>
          <w:color w:val="auto"/>
          <w:kern w:val="0"/>
          <w:sz w:val="24"/>
          <w:szCs w:val="20"/>
          <w:highlight w:val="none"/>
          <w:lang w:val="en-US" w:eastAsia="zh-CN" w:bidi="ar-SA"/>
        </w:rPr>
        <w:t>、国家标准</w:t>
      </w:r>
      <w:r>
        <w:rPr>
          <w:rFonts w:hint="default" w:ascii="微软雅黑" w:hAnsi="微软雅黑" w:eastAsia="微软雅黑" w:cs="微软雅黑"/>
          <w:color w:val="auto"/>
          <w:kern w:val="0"/>
          <w:sz w:val="24"/>
          <w:szCs w:val="20"/>
          <w:highlight w:val="none"/>
          <w:lang w:val="en-US" w:eastAsia="zh-CN" w:bidi="ar-SA"/>
        </w:rPr>
        <w:t>，并达到一次性验收合格等级。</w:t>
      </w:r>
    </w:p>
    <w:p w14:paraId="3424874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十、工期延误违约责任</w:t>
      </w:r>
    </w:p>
    <w:p w14:paraId="7F2ACC2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因承包人原因造成工期延误，逾期竣工违约金的计算方法为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每逾期一日，应按签约合同价的千分之一向发包人支付违约金。</w:t>
      </w:r>
    </w:p>
    <w:p w14:paraId="4A319D5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因承包人原因造成工期延误，逾期竣工违约金的上限：逾期竣工违约金总额不超过签约合同价的</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p>
    <w:p w14:paraId="0134FA3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十一、磋商报价要求 </w:t>
      </w:r>
    </w:p>
    <w:p w14:paraId="1E2C8D4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1、供应商的报价应为所确定的招标范围内的全部工作内容的价格体现。 </w:t>
      </w:r>
    </w:p>
    <w:p w14:paraId="0C6AE221">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2、工程报价方式：工程量清单 </w:t>
      </w:r>
    </w:p>
    <w:p w14:paraId="3F352C36">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3、竞争性磋商报价以二次最终报价为准（二次报价须同时提交调整后的工程量清单）。</w:t>
      </w:r>
      <w:r>
        <w:rPr>
          <w:rFonts w:hint="eastAsia" w:ascii="微软雅黑" w:hAnsi="微软雅黑" w:eastAsia="微软雅黑" w:cs="微软雅黑"/>
          <w:color w:val="auto"/>
          <w:kern w:val="0"/>
          <w:sz w:val="24"/>
          <w:szCs w:val="24"/>
          <w:highlight w:val="none"/>
          <w:lang w:val="en-US" w:eastAsia="zh-CN" w:bidi="ar"/>
        </w:rPr>
        <w:t xml:space="preserve"> </w:t>
      </w:r>
    </w:p>
    <w:p w14:paraId="1FF0686F">
      <w:pPr>
        <w:keepNext w:val="0"/>
        <w:keepLines w:val="0"/>
        <w:pageBreakBefore w:val="0"/>
        <w:widowControl w:val="0"/>
        <w:kinsoku/>
        <w:wordWrap/>
        <w:overflowPunct/>
        <w:topLinePunct w:val="0"/>
        <w:bidi w:val="0"/>
        <w:snapToGrid/>
        <w:spacing w:line="520" w:lineRule="exact"/>
        <w:textAlignment w:val="auto"/>
        <w:rPr>
          <w:rFonts w:ascii="微软雅黑" w:hAnsi="微软雅黑" w:eastAsia="微软雅黑" w:cs="微软雅黑"/>
          <w:color w:val="auto"/>
          <w:sz w:val="24"/>
          <w:highlight w:val="none"/>
        </w:rPr>
      </w:pPr>
      <w:r>
        <w:rPr>
          <w:rFonts w:hint="eastAsia" w:ascii="微软雅黑" w:hAnsi="微软雅黑" w:eastAsia="微软雅黑" w:cs="微软雅黑"/>
          <w:b/>
          <w:bCs/>
          <w:color w:val="auto"/>
          <w:sz w:val="24"/>
          <w:szCs w:val="24"/>
          <w:highlight w:val="none"/>
          <w:lang w:val="en-US" w:eastAsia="zh-CN"/>
        </w:rPr>
        <w:t>十二、工程量清单：详见附件及图纸</w:t>
      </w:r>
    </w:p>
    <w:p w14:paraId="08EEABCA">
      <w:pPr>
        <w:pStyle w:val="37"/>
        <w:pageBreakBefore w:val="0"/>
        <w:kinsoku/>
        <w:wordWrap/>
        <w:overflowPunct/>
        <w:topLinePunct w:val="0"/>
        <w:bidi w:val="0"/>
        <w:spacing w:line="520" w:lineRule="exact"/>
        <w:ind w:left="0" w:leftChars="0" w:firstLine="0" w:firstLineChars="0"/>
        <w:rPr>
          <w:rFonts w:ascii="微软雅黑" w:hAnsi="微软雅黑" w:eastAsia="微软雅黑" w:cs="微软雅黑"/>
          <w:color w:val="auto"/>
          <w:highlight w:val="none"/>
        </w:rPr>
      </w:pPr>
    </w:p>
    <w:p w14:paraId="7356901F">
      <w:pPr>
        <w:rPr>
          <w:rFonts w:hint="default"/>
          <w:color w:val="auto"/>
          <w:highlight w:val="none"/>
          <w:lang w:val="en-US" w:eastAsia="zh-CN"/>
        </w:rPr>
      </w:pPr>
    </w:p>
    <w:p w14:paraId="696F188C">
      <w:pPr>
        <w:pStyle w:val="8"/>
        <w:pageBreakBefore w:val="0"/>
        <w:kinsoku/>
        <w:wordWrap/>
        <w:overflowPunct/>
        <w:topLinePunct w:val="0"/>
        <w:bidi w:val="0"/>
        <w:spacing w:line="520" w:lineRule="exact"/>
        <w:rPr>
          <w:rFonts w:ascii="微软雅黑" w:hAnsi="微软雅黑" w:eastAsia="微软雅黑" w:cs="微软雅黑"/>
          <w:color w:val="auto"/>
          <w:highlight w:val="none"/>
        </w:rPr>
      </w:pPr>
    </w:p>
    <w:p w14:paraId="62866A90">
      <w:pPr>
        <w:rPr>
          <w:rFonts w:hint="eastAsia" w:ascii="宋体" w:hAnsi="宋体" w:eastAsia="宋体" w:cs="宋体"/>
          <w:snapToGrid w:val="0"/>
          <w:color w:val="auto"/>
          <w:spacing w:val="9"/>
          <w:kern w:val="0"/>
          <w:sz w:val="31"/>
          <w:szCs w:val="31"/>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napToGrid w:val="0"/>
          <w:color w:val="auto"/>
          <w:spacing w:val="9"/>
          <w:kern w:val="0"/>
          <w:sz w:val="31"/>
          <w:szCs w:val="31"/>
          <w:highlight w:val="none"/>
          <w:lang w:val="en-US" w:eastAsia="zh-CN"/>
          <w14:textOutline w14:w="5793" w14:cap="sq" w14:cmpd="sng">
            <w14:solidFill>
              <w14:srgbClr w14:val="000000"/>
            </w14:solidFill>
            <w14:prstDash w14:val="solid"/>
            <w14:bevel/>
          </w14:textOutline>
        </w:rPr>
        <w:br w:type="page"/>
      </w:r>
    </w:p>
    <w:p w14:paraId="4AEBEF30">
      <w:pPr>
        <w:kinsoku w:val="0"/>
        <w:autoSpaceDE w:val="0"/>
        <w:autoSpaceDN w:val="0"/>
        <w:adjustRightInd w:val="0"/>
        <w:snapToGrid w:val="0"/>
        <w:spacing w:before="120" w:beforeLines="0" w:line="22" w:lineRule="atLeast"/>
        <w:jc w:val="both"/>
        <w:textAlignment w:val="baseline"/>
        <w:rPr>
          <w:rFonts w:hint="eastAsia" w:ascii="宋体" w:hAnsi="宋体" w:eastAsia="宋体" w:cs="宋体"/>
          <w:snapToGrid w:val="0"/>
          <w:color w:val="auto"/>
          <w:spacing w:val="9"/>
          <w:kern w:val="0"/>
          <w:sz w:val="31"/>
          <w:szCs w:val="31"/>
          <w:highlight w:val="none"/>
          <w:lang w:val="en-US" w:eastAsia="zh-CN"/>
          <w14:textOutline w14:w="5793" w14:cap="sq" w14:cmpd="sng">
            <w14:solidFill>
              <w14:srgbClr w14:val="000000"/>
            </w14:solidFill>
            <w14:prstDash w14:val="solid"/>
            <w14:bevel/>
          </w14:textOutline>
        </w:rPr>
      </w:pPr>
    </w:p>
    <w:p w14:paraId="21CB27FC">
      <w:pPr>
        <w:pStyle w:val="3"/>
        <w:pageBreakBefore w:val="0"/>
        <w:tabs>
          <w:tab w:val="left" w:pos="0"/>
        </w:tabs>
        <w:kinsoku/>
        <w:wordWrap/>
        <w:overflowPunct/>
        <w:topLinePunct w:val="0"/>
        <w:bidi w:val="0"/>
        <w:snapToGrid w:val="0"/>
        <w:spacing w:before="0" w:after="0" w:line="520" w:lineRule="exact"/>
        <w:jc w:val="center"/>
        <w:textAlignment w:val="baseline"/>
        <w:rPr>
          <w:rFonts w:ascii="微软雅黑" w:hAnsi="微软雅黑" w:eastAsia="微软雅黑" w:cs="微软雅黑"/>
          <w:b w:val="0"/>
          <w:color w:val="auto"/>
          <w:sz w:val="24"/>
          <w:highlight w:val="none"/>
        </w:rPr>
      </w:pPr>
      <w:bookmarkStart w:id="768" w:name="_Toc15856"/>
      <w:bookmarkStart w:id="769" w:name="_Toc24904"/>
      <w:r>
        <w:rPr>
          <w:rFonts w:hint="eastAsia" w:ascii="微软雅黑" w:hAnsi="微软雅黑" w:eastAsia="微软雅黑" w:cs="微软雅黑"/>
          <w:color w:val="auto"/>
          <w:highlight w:val="none"/>
        </w:rPr>
        <w:t xml:space="preserve">第6章 </w:t>
      </w:r>
      <w:bookmarkStart w:id="770" w:name="_Toc507399907"/>
      <w:bookmarkStart w:id="771" w:name="_Toc32647"/>
      <w:bookmarkStart w:id="772" w:name="_Toc515647832"/>
      <w:bookmarkStart w:id="773" w:name="_Toc7971"/>
      <w:r>
        <w:rPr>
          <w:rFonts w:hint="eastAsia" w:ascii="微软雅黑" w:hAnsi="微软雅黑" w:eastAsia="微软雅黑" w:cs="微软雅黑"/>
          <w:color w:val="auto"/>
          <w:highlight w:val="none"/>
        </w:rPr>
        <w:t>评审方法和标准</w:t>
      </w:r>
      <w:bookmarkEnd w:id="759"/>
      <w:bookmarkEnd w:id="760"/>
      <w:bookmarkEnd w:id="761"/>
      <w:bookmarkEnd w:id="768"/>
      <w:bookmarkEnd w:id="769"/>
      <w:bookmarkEnd w:id="770"/>
      <w:bookmarkEnd w:id="771"/>
      <w:bookmarkEnd w:id="772"/>
      <w:bookmarkEnd w:id="773"/>
    </w:p>
    <w:p w14:paraId="1D7AB9F7">
      <w:pPr>
        <w:pStyle w:val="11"/>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szCs w:val="24"/>
          <w:highlight w:val="none"/>
        </w:rPr>
      </w:pPr>
      <w:bookmarkStart w:id="774" w:name="_Toc5480"/>
      <w:bookmarkStart w:id="775" w:name="_Toc15607"/>
      <w:bookmarkStart w:id="776" w:name="_Toc4729"/>
      <w:bookmarkStart w:id="777" w:name="_Toc11629"/>
      <w:bookmarkStart w:id="778" w:name="_Toc3722"/>
      <w:bookmarkStart w:id="779" w:name="_Toc9048"/>
      <w:bookmarkStart w:id="780" w:name="_Toc25450"/>
      <w:bookmarkStart w:id="781" w:name="_Toc5997"/>
      <w:bookmarkStart w:id="782" w:name="_Toc19292"/>
      <w:bookmarkStart w:id="783" w:name="_Toc18284"/>
      <w:r>
        <w:rPr>
          <w:rFonts w:hint="eastAsia" w:ascii="微软雅黑" w:hAnsi="微软雅黑" w:eastAsia="微软雅黑" w:cs="微软雅黑"/>
          <w:b w:val="0"/>
          <w:i w:val="0"/>
          <w:caps w:val="0"/>
          <w:color w:val="auto"/>
          <w:spacing w:val="0"/>
          <w:w w:val="100"/>
          <w:sz w:val="24"/>
          <w:szCs w:val="24"/>
          <w:highlight w:val="none"/>
        </w:rPr>
        <w:t>本项目将按照磋商文件第一章</w:t>
      </w:r>
      <w:r>
        <w:rPr>
          <w:rFonts w:hint="eastAsia" w:ascii="微软雅黑" w:hAnsi="微软雅黑" w:eastAsia="微软雅黑" w:cs="微软雅黑"/>
          <w:b w:val="0"/>
          <w:i w:val="0"/>
          <w:caps w:val="0"/>
          <w:color w:val="auto"/>
          <w:spacing w:val="0"/>
          <w:w w:val="100"/>
          <w:sz w:val="24"/>
          <w:szCs w:val="24"/>
          <w:highlight w:val="none"/>
          <w:lang w:eastAsia="zh-CN"/>
        </w:rPr>
        <w:t>供应商</w:t>
      </w:r>
      <w:r>
        <w:rPr>
          <w:rFonts w:hint="eastAsia" w:ascii="微软雅黑" w:hAnsi="微软雅黑" w:eastAsia="微软雅黑" w:cs="微软雅黑"/>
          <w:b w:val="0"/>
          <w:i w:val="0"/>
          <w:caps w:val="0"/>
          <w:color w:val="auto"/>
          <w:spacing w:val="0"/>
          <w:w w:val="100"/>
          <w:sz w:val="24"/>
          <w:szCs w:val="24"/>
          <w:highlight w:val="none"/>
        </w:rPr>
        <w:t>须知中“五 磋商开启及评审”、“六 确定成交”及本章的规定评标。</w:t>
      </w:r>
    </w:p>
    <w:p w14:paraId="76CB6C0F">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1、落实政府采购政策</w:t>
      </w:r>
    </w:p>
    <w:p w14:paraId="6C8D2FB1">
      <w:pPr>
        <w:keepNext w:val="0"/>
        <w:keepLines w:val="0"/>
        <w:pageBreakBefore w:val="0"/>
        <w:widowControl/>
        <w:kinsoku/>
        <w:wordWrap/>
        <w:overflowPunct/>
        <w:topLinePunct w:val="0"/>
        <w:autoSpaceDE/>
        <w:autoSpaceDN/>
        <w:bidi w:val="0"/>
        <w:adjustRightInd/>
        <w:spacing w:line="520" w:lineRule="exact"/>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①根据《政府采购促进中小企业发展管理办法》（财库﹝2020﹞46 号）</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关于落实好政府采购支持中小企业发展的通知</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新财购 〔2022〕22号</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kern w:val="2"/>
          <w:sz w:val="24"/>
          <w:szCs w:val="24"/>
          <w:highlight w:val="none"/>
          <w:u w:val="single"/>
          <w:lang w:val="en-US" w:eastAsia="zh-CN" w:bidi="ar-SA"/>
        </w:rPr>
        <w:t xml:space="preserve">  /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w:t>
      </w:r>
    </w:p>
    <w:p w14:paraId="4B235BDD">
      <w:pPr>
        <w:pStyle w:val="8"/>
        <w:keepNext w:val="0"/>
        <w:keepLines w:val="0"/>
        <w:pageBreakBefore w:val="0"/>
        <w:widowControl w:val="0"/>
        <w:kinsoku/>
        <w:wordWrap/>
        <w:overflowPunct/>
        <w:topLinePunct w:val="0"/>
        <w:bidi w:val="0"/>
        <w:snapToGrid w:val="0"/>
        <w:spacing w:before="0" w:beforeAutospacing="0" w:after="0" w:afterAutospacing="0" w:line="52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②</w:t>
      </w:r>
      <w:r>
        <w:rPr>
          <w:rFonts w:hint="eastAsia" w:ascii="微软雅黑" w:hAnsi="微软雅黑" w:eastAsia="微软雅黑" w:cs="微软雅黑"/>
          <w:b/>
          <w:bCs/>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w:t>
      </w:r>
    </w:p>
    <w:p w14:paraId="5DC2C42B">
      <w:pPr>
        <w:pStyle w:val="8"/>
        <w:keepNext w:val="0"/>
        <w:keepLines w:val="0"/>
        <w:pageBreakBefore w:val="0"/>
        <w:widowControl w:val="0"/>
        <w:kinsoku/>
        <w:wordWrap/>
        <w:overflowPunct/>
        <w:topLinePunct w:val="0"/>
        <w:bidi w:val="0"/>
        <w:snapToGrid w:val="0"/>
        <w:spacing w:before="0" w:beforeAutospacing="0" w:after="0" w:afterAutospacing="0" w:line="520" w:lineRule="exact"/>
        <w:ind w:firstLine="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联合体各方均为小型、微型企业和监狱企业的，联合体视同为小型、微型企业和监狱企业。</w:t>
      </w:r>
    </w:p>
    <w:p w14:paraId="667DE746">
      <w:pPr>
        <w:pStyle w:val="8"/>
        <w:keepNext w:val="0"/>
        <w:keepLines w:val="0"/>
        <w:pageBreakBefore w:val="0"/>
        <w:widowControl w:val="0"/>
        <w:kinsoku/>
        <w:wordWrap/>
        <w:overflowPunct/>
        <w:topLinePunct w:val="0"/>
        <w:bidi w:val="0"/>
        <w:snapToGrid w:val="0"/>
        <w:spacing w:before="0" w:beforeAutospacing="0" w:after="0" w:afterAutospacing="0" w:line="52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③供应商</w:t>
      </w:r>
      <w:r>
        <w:rPr>
          <w:rFonts w:hint="eastAsia" w:ascii="微软雅黑" w:hAnsi="微软雅黑" w:eastAsia="微软雅黑" w:cs="微软雅黑"/>
          <w:b/>
          <w:bCs/>
          <w:i w:val="0"/>
          <w:caps w:val="0"/>
          <w:color w:val="auto"/>
          <w:spacing w:val="0"/>
          <w:w w:val="100"/>
          <w:sz w:val="24"/>
          <w:szCs w:val="24"/>
          <w:highlight w:val="none"/>
        </w:rPr>
        <w:t>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4AC9B7F6">
      <w:pPr>
        <w:pStyle w:val="8"/>
        <w:keepNext w:val="0"/>
        <w:keepLines w:val="0"/>
        <w:pageBreakBefore w:val="0"/>
        <w:widowControl w:val="0"/>
        <w:kinsoku/>
        <w:wordWrap/>
        <w:overflowPunct/>
        <w:topLinePunct w:val="0"/>
        <w:bidi w:val="0"/>
        <w:snapToGrid w:val="0"/>
        <w:spacing w:before="0" w:beforeAutospacing="0" w:after="0" w:afterAutospacing="0" w:line="52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④</w:t>
      </w:r>
      <w:r>
        <w:rPr>
          <w:rFonts w:hint="eastAsia" w:ascii="微软雅黑" w:hAnsi="微软雅黑" w:eastAsia="微软雅黑" w:cs="微软雅黑"/>
          <w:b/>
          <w:bCs/>
          <w:i w:val="0"/>
          <w:caps w:val="0"/>
          <w:color w:val="auto"/>
          <w:spacing w:val="0"/>
          <w:w w:val="100"/>
          <w:sz w:val="24"/>
          <w:szCs w:val="24"/>
          <w:highlight w:val="none"/>
        </w:rPr>
        <w:t>如</w:t>
      </w:r>
      <w:r>
        <w:rPr>
          <w:rFonts w:hint="eastAsia" w:ascii="微软雅黑" w:hAnsi="微软雅黑" w:eastAsia="微软雅黑" w:cs="微软雅黑"/>
          <w:b/>
          <w:bCs/>
          <w:i w:val="0"/>
          <w:caps w:val="0"/>
          <w:color w:val="auto"/>
          <w:spacing w:val="0"/>
          <w:w w:val="100"/>
          <w:sz w:val="24"/>
          <w:szCs w:val="24"/>
          <w:highlight w:val="none"/>
          <w:lang w:eastAsia="zh-CN"/>
        </w:rPr>
        <w:t>采购人</w:t>
      </w:r>
      <w:r>
        <w:rPr>
          <w:rFonts w:hint="eastAsia" w:ascii="微软雅黑" w:hAnsi="微软雅黑" w:eastAsia="微软雅黑" w:cs="微软雅黑"/>
          <w:b/>
          <w:bCs/>
          <w:i w:val="0"/>
          <w:caps w:val="0"/>
          <w:color w:val="auto"/>
          <w:spacing w:val="0"/>
          <w:w w:val="100"/>
          <w:sz w:val="24"/>
          <w:szCs w:val="24"/>
          <w:highlight w:val="none"/>
        </w:rPr>
        <w:t>所采购产品为政府强制采购的节能产品，</w:t>
      </w:r>
      <w:r>
        <w:rPr>
          <w:rFonts w:hint="eastAsia" w:ascii="微软雅黑" w:hAnsi="微软雅黑" w:eastAsia="微软雅黑" w:cs="微软雅黑"/>
          <w:b/>
          <w:bCs/>
          <w:i w:val="0"/>
          <w:caps w:val="0"/>
          <w:color w:val="auto"/>
          <w:spacing w:val="0"/>
          <w:w w:val="100"/>
          <w:sz w:val="24"/>
          <w:szCs w:val="24"/>
          <w:highlight w:val="none"/>
          <w:lang w:eastAsia="zh-CN"/>
        </w:rPr>
        <w:t>供应商</w:t>
      </w:r>
      <w:r>
        <w:rPr>
          <w:rFonts w:hint="eastAsia" w:ascii="微软雅黑" w:hAnsi="微软雅黑" w:eastAsia="微软雅黑" w:cs="微软雅黑"/>
          <w:b/>
          <w:bCs/>
          <w:i w:val="0"/>
          <w:caps w:val="0"/>
          <w:color w:val="auto"/>
          <w:spacing w:val="0"/>
          <w:w w:val="100"/>
          <w:sz w:val="24"/>
          <w:szCs w:val="24"/>
          <w:highlight w:val="none"/>
        </w:rPr>
        <w:t>所投产品的品牌及型号必须为清单中有效期内产品并提供证明文件，否则其投标将被认定为投标无效。</w:t>
      </w:r>
    </w:p>
    <w:p w14:paraId="248A7B4B">
      <w:pPr>
        <w:pageBreakBefore w:val="0"/>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⑤</w:t>
      </w:r>
      <w:r>
        <w:rPr>
          <w:rFonts w:hint="eastAsia" w:ascii="微软雅黑" w:hAnsi="微软雅黑" w:eastAsia="微软雅黑" w:cs="微软雅黑"/>
          <w:b/>
          <w:bCs/>
          <w:i w:val="0"/>
          <w:caps w:val="0"/>
          <w:color w:val="auto"/>
          <w:spacing w:val="0"/>
          <w:w w:val="100"/>
          <w:sz w:val="24"/>
          <w:szCs w:val="24"/>
          <w:highlight w:val="none"/>
        </w:rPr>
        <w:t>对创新产品或创新性企业的优惠措施为：</w:t>
      </w:r>
      <w:r>
        <w:rPr>
          <w:rFonts w:hint="eastAsia" w:ascii="微软雅黑" w:hAnsi="微软雅黑" w:eastAsia="微软雅黑" w:cs="微软雅黑"/>
          <w:b/>
          <w:bCs/>
          <w:i w:val="0"/>
          <w:caps w:val="0"/>
          <w:color w:val="auto"/>
          <w:spacing w:val="0"/>
          <w:w w:val="100"/>
          <w:sz w:val="24"/>
          <w:szCs w:val="24"/>
          <w:highlight w:val="none"/>
          <w:u w:val="single"/>
        </w:rPr>
        <w:t xml:space="preserve">    / </w:t>
      </w:r>
      <w:r>
        <w:rPr>
          <w:rFonts w:hint="eastAsia" w:ascii="微软雅黑" w:hAnsi="微软雅黑" w:eastAsia="微软雅黑" w:cs="微软雅黑"/>
          <w:b w:val="0"/>
          <w:color w:val="auto"/>
          <w:kern w:val="2"/>
          <w:sz w:val="24"/>
          <w:szCs w:val="24"/>
          <w:highlight w:val="none"/>
          <w:u w:val="single"/>
          <w:lang w:val="en-US" w:eastAsia="zh-CN" w:bidi="ar-SA"/>
        </w:rPr>
        <w:t xml:space="preserve">    </w:t>
      </w:r>
    </w:p>
    <w:p w14:paraId="58957E51">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 开标</w:t>
      </w:r>
    </w:p>
    <w:p w14:paraId="36DC1689">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84" w:name="_Toc73975822"/>
      <w:r>
        <w:rPr>
          <w:rFonts w:hint="eastAsia" w:ascii="微软雅黑" w:hAnsi="微软雅黑" w:eastAsia="微软雅黑" w:cs="微软雅黑"/>
          <w:b/>
          <w:bCs/>
          <w:color w:val="auto"/>
          <w:sz w:val="24"/>
          <w:szCs w:val="24"/>
          <w:highlight w:val="none"/>
          <w:lang w:val="en-US" w:eastAsia="zh-CN"/>
        </w:rPr>
        <w:t>2.1开标邀请</w:t>
      </w:r>
      <w:bookmarkEnd w:id="784"/>
    </w:p>
    <w:p w14:paraId="37B6C56B">
      <w:pPr>
        <w:pStyle w:val="16"/>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14:paraId="27C33056">
      <w:pPr>
        <w:pStyle w:val="16"/>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w:t>
      </w:r>
      <w:r>
        <w:rPr>
          <w:rFonts w:hint="eastAsia" w:ascii="微软雅黑" w:hAnsi="微软雅黑" w:eastAsia="微软雅黑" w:cs="微软雅黑"/>
          <w:b w:val="0"/>
          <w:bCs/>
          <w:color w:val="auto"/>
          <w:sz w:val="24"/>
          <w:szCs w:val="24"/>
          <w:highlight w:val="none"/>
          <w:lang w:eastAsia="zh-CN"/>
        </w:rPr>
        <w:t>采购人</w:t>
      </w:r>
      <w:r>
        <w:rPr>
          <w:rFonts w:hint="eastAsia" w:ascii="微软雅黑" w:hAnsi="微软雅黑" w:eastAsia="微软雅黑" w:cs="微软雅黑"/>
          <w:b w:val="0"/>
          <w:bCs/>
          <w:color w:val="auto"/>
          <w:sz w:val="24"/>
          <w:szCs w:val="24"/>
          <w:highlight w:val="none"/>
        </w:rPr>
        <w:t>或者</w:t>
      </w:r>
      <w:r>
        <w:rPr>
          <w:rFonts w:hint="eastAsia" w:ascii="微软雅黑" w:hAnsi="微软雅黑" w:eastAsia="微软雅黑" w:cs="微软雅黑"/>
          <w:b w:val="0"/>
          <w:bCs/>
          <w:color w:val="auto"/>
          <w:sz w:val="24"/>
          <w:szCs w:val="24"/>
          <w:highlight w:val="none"/>
          <w:lang w:eastAsia="zh-CN"/>
        </w:rPr>
        <w:t>采购代理机构</w:t>
      </w:r>
      <w:r>
        <w:rPr>
          <w:rFonts w:hint="eastAsia" w:ascii="微软雅黑" w:hAnsi="微软雅黑" w:eastAsia="微软雅黑" w:cs="微软雅黑"/>
          <w:b w:val="0"/>
          <w:bCs/>
          <w:color w:val="auto"/>
          <w:sz w:val="24"/>
          <w:szCs w:val="24"/>
          <w:highlight w:val="none"/>
        </w:rPr>
        <w:t>主持；</w:t>
      </w:r>
    </w:p>
    <w:p w14:paraId="7D0C1626">
      <w:pPr>
        <w:pStyle w:val="16"/>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竞争性磋商文件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49"/>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”组织开标、开启投标响应文件，所有</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均应当准时在线参加。</w:t>
      </w:r>
    </w:p>
    <w:p w14:paraId="39177EE7">
      <w:pPr>
        <w:pStyle w:val="16"/>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对开标过程和开标记录有疑义，以及认为</w:t>
      </w:r>
      <w:r>
        <w:rPr>
          <w:rFonts w:hint="eastAsia" w:ascii="微软雅黑" w:hAnsi="微软雅黑" w:eastAsia="微软雅黑" w:cs="微软雅黑"/>
          <w:b w:val="0"/>
          <w:color w:val="auto"/>
          <w:sz w:val="24"/>
          <w:szCs w:val="24"/>
          <w:highlight w:val="none"/>
          <w:lang w:eastAsia="zh-CN"/>
        </w:rPr>
        <w:t>采购人</w:t>
      </w:r>
      <w:r>
        <w:rPr>
          <w:rFonts w:hint="eastAsia" w:ascii="微软雅黑" w:hAnsi="微软雅黑" w:eastAsia="微软雅黑" w:cs="微软雅黑"/>
          <w:b w:val="0"/>
          <w:color w:val="auto"/>
          <w:sz w:val="24"/>
          <w:szCs w:val="24"/>
          <w:highlight w:val="none"/>
        </w:rPr>
        <w:t>、</w:t>
      </w:r>
      <w:r>
        <w:rPr>
          <w:rFonts w:hint="eastAsia" w:ascii="微软雅黑" w:hAnsi="微软雅黑" w:eastAsia="微软雅黑" w:cs="微软雅黑"/>
          <w:b w:val="0"/>
          <w:color w:val="auto"/>
          <w:sz w:val="24"/>
          <w:szCs w:val="24"/>
          <w:highlight w:val="none"/>
          <w:lang w:eastAsia="zh-CN"/>
        </w:rPr>
        <w:t>采购代理机构</w:t>
      </w:r>
      <w:r>
        <w:rPr>
          <w:rFonts w:hint="eastAsia" w:ascii="微软雅黑" w:hAnsi="微软雅黑" w:eastAsia="微软雅黑" w:cs="微软雅黑"/>
          <w:b w:val="0"/>
          <w:color w:val="auto"/>
          <w:sz w:val="24"/>
          <w:szCs w:val="24"/>
          <w:highlight w:val="none"/>
        </w:rPr>
        <w:t>相关工作人员有需要回避的情形的，应当场提出询问或回避申请。</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响应文件</w:t>
      </w:r>
      <w:r>
        <w:rPr>
          <w:rFonts w:hint="eastAsia" w:ascii="微软雅黑" w:hAnsi="微软雅黑" w:eastAsia="微软雅黑" w:cs="微软雅黑"/>
          <w:b w:val="0"/>
          <w:color w:val="auto"/>
          <w:sz w:val="24"/>
          <w:szCs w:val="24"/>
          <w:highlight w:val="none"/>
        </w:rPr>
        <w:t>无法按时解密等一切后果由</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自行承担。</w:t>
      </w:r>
    </w:p>
    <w:p w14:paraId="2D682992">
      <w:pPr>
        <w:keepNext w:val="0"/>
        <w:keepLines w:val="0"/>
        <w:pageBreakBefore w:val="0"/>
        <w:shd w:val="clear" w:color="auto" w:fill="auto"/>
        <w:kinsoku/>
        <w:wordWrap/>
        <w:overflowPunct/>
        <w:topLinePunct w:val="0"/>
        <w:bidi w:val="0"/>
        <w:snapToGrid w:val="0"/>
        <w:spacing w:line="520" w:lineRule="exact"/>
        <w:ind w:firstLine="480" w:firstLineChars="200"/>
        <w:outlineLvl w:val="9"/>
        <w:rPr>
          <w:rFonts w:hint="eastAsia" w:ascii="微软雅黑" w:hAnsi="微软雅黑" w:eastAsia="微软雅黑" w:cs="微软雅黑"/>
          <w:b/>
          <w:color w:val="auto"/>
          <w:sz w:val="24"/>
          <w:szCs w:val="24"/>
          <w:highlight w:val="none"/>
        </w:rPr>
      </w:pPr>
      <w:bookmarkStart w:id="785" w:name="_Toc22653"/>
      <w:bookmarkStart w:id="786" w:name="_Toc19065"/>
      <w:bookmarkStart w:id="787" w:name="_Toc21384"/>
      <w:bookmarkStart w:id="788" w:name="_Toc32193"/>
      <w:bookmarkStart w:id="789" w:name="_Toc27602"/>
      <w:bookmarkStart w:id="790" w:name="_Toc73975823"/>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后符合性、最终报价、再商务</w:t>
      </w:r>
      <w:r>
        <w:rPr>
          <w:rFonts w:hint="eastAsia" w:ascii="微软雅黑" w:hAnsi="微软雅黑" w:eastAsia="微软雅黑" w:cs="微软雅黑"/>
          <w:b/>
          <w:bCs/>
          <w:color w:val="auto"/>
          <w:sz w:val="24"/>
          <w:szCs w:val="24"/>
          <w:highlight w:val="none"/>
        </w:rPr>
        <w:t>技术）</w:t>
      </w:r>
      <w:bookmarkEnd w:id="785"/>
      <w:bookmarkEnd w:id="786"/>
      <w:bookmarkEnd w:id="787"/>
      <w:bookmarkEnd w:id="788"/>
      <w:bookmarkEnd w:id="789"/>
      <w:bookmarkEnd w:id="790"/>
    </w:p>
    <w:p w14:paraId="573FFC92">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14:paraId="71C8AF34">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7175A13A">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2854DC7D">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成功解密的</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名单等信息），组织签署</w:t>
      </w:r>
      <w:r>
        <w:rPr>
          <w:rFonts w:hint="eastAsia" w:ascii="微软雅黑" w:hAnsi="微软雅黑" w:eastAsia="微软雅黑" w:cs="微软雅黑"/>
          <w:b/>
          <w:bCs/>
          <w:color w:val="auto"/>
          <w:kern w:val="0"/>
          <w:sz w:val="24"/>
          <w:szCs w:val="24"/>
          <w:highlight w:val="none"/>
        </w:rPr>
        <w:t>《政府采购活动现场确认声明书》（疫情防控期间，将通过电子邮件形式组织签署），</w:t>
      </w:r>
      <w:r>
        <w:rPr>
          <w:rFonts w:hint="eastAsia" w:ascii="微软雅黑" w:hAnsi="微软雅黑" w:eastAsia="微软雅黑" w:cs="微软雅黑"/>
          <w:b/>
          <w:bCs/>
          <w:color w:val="auto"/>
          <w:kern w:val="0"/>
          <w:sz w:val="24"/>
          <w:szCs w:val="24"/>
          <w:highlight w:val="none"/>
          <w:lang w:eastAsia="zh-CN"/>
        </w:rPr>
        <w:t>供应商</w:t>
      </w:r>
      <w:r>
        <w:rPr>
          <w:rFonts w:hint="eastAsia" w:ascii="微软雅黑" w:hAnsi="微软雅黑" w:eastAsia="微软雅黑" w:cs="微软雅黑"/>
          <w:b/>
          <w:bCs/>
          <w:color w:val="auto"/>
          <w:kern w:val="0"/>
          <w:sz w:val="24"/>
          <w:szCs w:val="24"/>
          <w:highlight w:val="none"/>
        </w:rPr>
        <w:t>应在20分钟内通过邮件形式将经签署的《政府采购活动现场确认声明书》发送至</w:t>
      </w:r>
      <w:r>
        <w:rPr>
          <w:rFonts w:hint="eastAsia" w:ascii="微软雅黑" w:hAnsi="微软雅黑" w:eastAsia="微软雅黑" w:cs="微软雅黑"/>
          <w:b/>
          <w:bCs/>
          <w:color w:val="auto"/>
          <w:kern w:val="0"/>
          <w:sz w:val="24"/>
          <w:szCs w:val="24"/>
          <w:highlight w:val="none"/>
          <w:lang w:eastAsia="zh-CN"/>
        </w:rPr>
        <w:t>采购代理机构</w:t>
      </w:r>
      <w:r>
        <w:rPr>
          <w:rFonts w:hint="eastAsia" w:ascii="微软雅黑" w:hAnsi="微软雅黑" w:eastAsia="微软雅黑" w:cs="微软雅黑"/>
          <w:b/>
          <w:bCs/>
          <w:color w:val="auto"/>
          <w:kern w:val="0"/>
          <w:sz w:val="24"/>
          <w:szCs w:val="24"/>
          <w:highlight w:val="none"/>
        </w:rPr>
        <w:t>指定邮箱</w:t>
      </w:r>
      <w:r>
        <w:rPr>
          <w:rFonts w:hint="eastAsia" w:ascii="微软雅黑" w:hAnsi="微软雅黑" w:eastAsia="微软雅黑" w:cs="微软雅黑"/>
          <w:b/>
          <w:bCs/>
          <w:color w:val="auto"/>
          <w:kern w:val="0"/>
          <w:sz w:val="24"/>
          <w:szCs w:val="24"/>
          <w:highlight w:val="none"/>
          <w:lang w:val="en-US" w:eastAsia="zh-CN"/>
        </w:rPr>
        <w:t>1543019885@qq.com</w:t>
      </w:r>
      <w:r>
        <w:rPr>
          <w:rFonts w:hint="eastAsia" w:ascii="微软雅黑" w:hAnsi="微软雅黑" w:eastAsia="微软雅黑" w:cs="微软雅黑"/>
          <w:b/>
          <w:bCs/>
          <w:color w:val="auto"/>
          <w:kern w:val="0"/>
          <w:sz w:val="24"/>
          <w:szCs w:val="24"/>
          <w:highlight w:val="none"/>
        </w:rPr>
        <w:t xml:space="preserve"> ，逾期发送或未发送的视为无异议</w:t>
      </w:r>
      <w:r>
        <w:rPr>
          <w:rFonts w:hint="eastAsia" w:ascii="微软雅黑" w:hAnsi="微软雅黑" w:eastAsia="微软雅黑" w:cs="微软雅黑"/>
          <w:color w:val="auto"/>
          <w:kern w:val="0"/>
          <w:sz w:val="24"/>
          <w:szCs w:val="24"/>
          <w:highlight w:val="none"/>
        </w:rPr>
        <w:t>。</w:t>
      </w:r>
    </w:p>
    <w:p w14:paraId="4E264F94">
      <w:pPr>
        <w:keepNext w:val="0"/>
        <w:keepLines w:val="0"/>
        <w:pageBreakBefore w:val="0"/>
        <w:shd w:val="clear" w:color="auto" w:fill="auto"/>
        <w:kinsoku/>
        <w:wordWrap/>
        <w:overflowPunct/>
        <w:topLinePunct w:val="0"/>
        <w:bidi w:val="0"/>
        <w:snapToGrid w:val="0"/>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或</w:t>
      </w:r>
      <w:r>
        <w:rPr>
          <w:rFonts w:hint="eastAsia" w:ascii="微软雅黑" w:hAnsi="微软雅黑" w:eastAsia="微软雅黑" w:cs="微软雅黑"/>
          <w:color w:val="auto"/>
          <w:kern w:val="0"/>
          <w:sz w:val="24"/>
          <w:szCs w:val="24"/>
          <w:highlight w:val="none"/>
          <w:lang w:eastAsia="zh-CN"/>
        </w:rPr>
        <w:t>采购代理机构或评审小组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的资格符合情况。资格审查未获通过的</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14:paraId="2DAED19E">
      <w:pPr>
        <w:keepNext w:val="0"/>
        <w:keepLines w:val="0"/>
        <w:pageBreakBefore w:val="0"/>
        <w:shd w:val="clear" w:color="auto" w:fill="auto"/>
        <w:kinsoku/>
        <w:wordWrap/>
        <w:overflowPunct/>
        <w:topLinePunct w:val="0"/>
        <w:bidi w:val="0"/>
        <w:snapToGrid w:val="0"/>
        <w:spacing w:line="52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，其</w:t>
      </w:r>
      <w:r>
        <w:rPr>
          <w:rFonts w:hint="eastAsia" w:ascii="微软雅黑" w:hAnsi="微软雅黑" w:eastAsia="微软雅黑" w:cs="微软雅黑"/>
          <w:color w:val="auto"/>
          <w:kern w:val="0"/>
          <w:sz w:val="24"/>
          <w:szCs w:val="24"/>
          <w:highlight w:val="none"/>
          <w:lang w:eastAsia="zh-CN"/>
        </w:rPr>
        <w:t>不再进入磋商环节</w:t>
      </w:r>
      <w:r>
        <w:rPr>
          <w:rFonts w:hint="eastAsia" w:ascii="微软雅黑" w:hAnsi="微软雅黑" w:eastAsia="微软雅黑" w:cs="微软雅黑"/>
          <w:color w:val="auto"/>
          <w:kern w:val="0"/>
          <w:sz w:val="24"/>
          <w:szCs w:val="24"/>
          <w:highlight w:val="none"/>
        </w:rPr>
        <w:t>。</w:t>
      </w:r>
    </w:p>
    <w:p w14:paraId="50977F2F">
      <w:pPr>
        <w:keepNext w:val="0"/>
        <w:keepLines w:val="0"/>
        <w:pageBreakBefore w:val="0"/>
        <w:kinsoku/>
        <w:wordWrap/>
        <w:overflowPunct/>
        <w:topLinePunct w:val="0"/>
        <w:bidi w:val="0"/>
        <w:spacing w:line="520" w:lineRule="exact"/>
        <w:ind w:firstLine="480" w:firstLineChars="200"/>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（7）通过符合性审查的供应商，评审小组所有成员集中于单一供应商分别进行磋商；</w:t>
      </w:r>
      <w:r>
        <w:rPr>
          <w:rFonts w:hint="eastAsia" w:ascii="微软雅黑" w:hAnsi="微软雅黑" w:eastAsia="微软雅黑" w:cs="微软雅黑"/>
          <w:color w:val="auto"/>
          <w:sz w:val="24"/>
          <w:szCs w:val="24"/>
          <w:highlight w:val="none"/>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微软雅黑" w:hAnsi="微软雅黑" w:eastAsia="微软雅黑" w:cs="微软雅黑"/>
          <w:color w:val="auto"/>
          <w:kern w:val="0"/>
          <w:sz w:val="24"/>
          <w:szCs w:val="24"/>
          <w:highlight w:val="none"/>
          <w:lang w:val="en-US" w:eastAsia="zh-CN"/>
        </w:rPr>
        <w:t>形式通知所有参加磋商的供应商。</w:t>
      </w:r>
    </w:p>
    <w:p w14:paraId="0AD8BF91">
      <w:pPr>
        <w:keepNext w:val="0"/>
        <w:keepLines w:val="0"/>
        <w:pageBreakBefore w:val="0"/>
        <w:shd w:val="clear" w:color="auto" w:fill="auto"/>
        <w:kinsoku/>
        <w:wordWrap/>
        <w:overflowPunct/>
        <w:topLinePunct w:val="0"/>
        <w:bidi w:val="0"/>
        <w:snapToGrid w:val="0"/>
        <w:spacing w:line="520" w:lineRule="exac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（8）磋商结束后，磋商小组应当要求所有实质性响应的供应商在规定时间内提交最终报，</w:t>
      </w:r>
      <w:r>
        <w:rPr>
          <w:rFonts w:hint="eastAsia" w:ascii="微软雅黑" w:hAnsi="微软雅黑" w:eastAsia="微软雅黑" w:cs="微软雅黑"/>
          <w:color w:val="auto"/>
          <w:sz w:val="24"/>
          <w:szCs w:val="24"/>
          <w:highlight w:val="none"/>
          <w:lang w:bidi="zh-CN"/>
        </w:rPr>
        <w:t>供应商对开标纪录进行在线签字确认（不予确认的应说明理由，否则视为无异议）</w:t>
      </w:r>
      <w:r>
        <w:rPr>
          <w:rFonts w:hint="eastAsia" w:ascii="微软雅黑" w:hAnsi="微软雅黑" w:eastAsia="微软雅黑" w:cs="微软雅黑"/>
          <w:color w:val="auto"/>
          <w:kern w:val="0"/>
          <w:sz w:val="24"/>
          <w:szCs w:val="24"/>
          <w:highlight w:val="none"/>
        </w:rPr>
        <w:t>。开标结束后，由评标委员会对报价的合理性、准确性等进行审查核实</w:t>
      </w:r>
      <w:r>
        <w:rPr>
          <w:rFonts w:hint="eastAsia" w:ascii="微软雅黑" w:hAnsi="微软雅黑" w:eastAsia="微软雅黑" w:cs="微软雅黑"/>
          <w:color w:val="auto"/>
          <w:sz w:val="24"/>
          <w:szCs w:val="24"/>
          <w:highlight w:val="none"/>
        </w:rPr>
        <w:t>。</w:t>
      </w:r>
    </w:p>
    <w:p w14:paraId="2A992781">
      <w:pPr>
        <w:keepNext w:val="0"/>
        <w:keepLines w:val="0"/>
        <w:pageBreakBefore w:val="0"/>
        <w:shd w:val="clear" w:color="auto" w:fill="auto"/>
        <w:kinsoku/>
        <w:wordWrap/>
        <w:overflowPunct/>
        <w:topLinePunct w:val="0"/>
        <w:bidi w:val="0"/>
        <w:snapToGrid w:val="0"/>
        <w:spacing w:line="520" w:lineRule="exact"/>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（9）最终报价结束后，</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eastAsia="zh-CN"/>
        </w:rPr>
        <w:t>商务</w:t>
      </w:r>
      <w:r>
        <w:rPr>
          <w:rFonts w:hint="eastAsia" w:ascii="微软雅黑" w:hAnsi="微软雅黑" w:eastAsia="微软雅黑" w:cs="微软雅黑"/>
          <w:color w:val="auto"/>
          <w:kern w:val="0"/>
          <w:sz w:val="24"/>
          <w:szCs w:val="24"/>
          <w:highlight w:val="none"/>
          <w:lang w:val="en-US" w:eastAsia="zh-CN"/>
        </w:rPr>
        <w:t>技术</w:t>
      </w:r>
      <w:r>
        <w:rPr>
          <w:rFonts w:hint="eastAsia" w:ascii="微软雅黑" w:hAnsi="微软雅黑" w:eastAsia="微软雅黑" w:cs="微软雅黑"/>
          <w:color w:val="auto"/>
          <w:kern w:val="0"/>
          <w:sz w:val="24"/>
          <w:szCs w:val="24"/>
          <w:highlight w:val="none"/>
        </w:rPr>
        <w:t>进行</w:t>
      </w:r>
      <w:r>
        <w:rPr>
          <w:rFonts w:hint="eastAsia" w:ascii="微软雅黑" w:hAnsi="微软雅黑" w:eastAsia="微软雅黑" w:cs="微软雅黑"/>
          <w:color w:val="auto"/>
          <w:kern w:val="0"/>
          <w:sz w:val="24"/>
          <w:szCs w:val="24"/>
          <w:highlight w:val="none"/>
          <w:lang w:val="en-US" w:eastAsia="zh-CN"/>
        </w:rPr>
        <w:t>评分</w:t>
      </w:r>
      <w:r>
        <w:rPr>
          <w:rFonts w:hint="eastAsia" w:ascii="微软雅黑" w:hAnsi="微软雅黑" w:eastAsia="微软雅黑" w:cs="微软雅黑"/>
          <w:color w:val="auto"/>
          <w:kern w:val="0"/>
          <w:sz w:val="24"/>
          <w:szCs w:val="24"/>
          <w:highlight w:val="none"/>
          <w:lang w:eastAsia="zh-CN"/>
        </w:rPr>
        <w:t>。</w:t>
      </w:r>
    </w:p>
    <w:p w14:paraId="1CA26EC2">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评审结束后，</w:t>
      </w:r>
      <w:r>
        <w:rPr>
          <w:rFonts w:hint="eastAsia" w:ascii="微软雅黑" w:hAnsi="微软雅黑" w:eastAsia="微软雅黑" w:cs="微软雅黑"/>
          <w:color w:val="auto"/>
          <w:kern w:val="0"/>
          <w:sz w:val="24"/>
          <w:szCs w:val="24"/>
          <w:highlight w:val="none"/>
          <w:lang w:eastAsia="zh-CN"/>
        </w:rPr>
        <w:t>采购代理机构</w:t>
      </w:r>
      <w:r>
        <w:rPr>
          <w:rFonts w:hint="eastAsia" w:ascii="微软雅黑" w:hAnsi="微软雅黑" w:eastAsia="微软雅黑" w:cs="微软雅黑"/>
          <w:color w:val="auto"/>
          <w:kern w:val="0"/>
          <w:sz w:val="24"/>
          <w:szCs w:val="24"/>
          <w:highlight w:val="none"/>
        </w:rPr>
        <w:t>在系统上公布评审结果。</w:t>
      </w:r>
    </w:p>
    <w:p w14:paraId="3D6403F5">
      <w:pPr>
        <w:keepNext w:val="0"/>
        <w:keepLines w:val="0"/>
        <w:pageBreakBefore w:val="0"/>
        <w:shd w:val="clear" w:color="auto" w:fill="auto"/>
        <w:kinsoku/>
        <w:wordWrap/>
        <w:overflowPunct/>
        <w:topLinePunct w:val="0"/>
        <w:bidi w:val="0"/>
        <w:snapToGrid w:val="0"/>
        <w:spacing w:line="52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0A14A0BC">
      <w:pPr>
        <w:keepNext w:val="0"/>
        <w:keepLines w:val="0"/>
        <w:pageBreakBefore w:val="0"/>
        <w:shd w:val="clear" w:color="auto" w:fill="auto"/>
        <w:kinsoku/>
        <w:wordWrap/>
        <w:overflowPunct/>
        <w:topLinePunct w:val="0"/>
        <w:bidi w:val="0"/>
        <w:snapToGrid w:val="0"/>
        <w:spacing w:line="52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政府采购云平台”电子化开标或评审程序调整的，按调整后程序执行。</w:t>
      </w:r>
    </w:p>
    <w:p w14:paraId="0BC5795B">
      <w:pPr>
        <w:keepNext w:val="0"/>
        <w:keepLines w:val="0"/>
        <w:pageBreakBefore w:val="0"/>
        <w:shd w:val="clear" w:color="auto" w:fill="auto"/>
        <w:kinsoku/>
        <w:wordWrap/>
        <w:overflowPunct/>
        <w:topLinePunct w:val="0"/>
        <w:bidi w:val="0"/>
        <w:snapToGrid w:val="0"/>
        <w:spacing w:line="52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w:t>
      </w:r>
      <w:r>
        <w:rPr>
          <w:rFonts w:hint="eastAsia" w:ascii="微软雅黑" w:hAnsi="微软雅黑" w:eastAsia="微软雅黑" w:cs="微软雅黑"/>
          <w:b/>
          <w:color w:val="auto"/>
          <w:kern w:val="0"/>
          <w:sz w:val="24"/>
          <w:szCs w:val="24"/>
          <w:highlight w:val="none"/>
          <w:u w:val="single"/>
          <w:lang w:eastAsia="zh-CN"/>
        </w:rPr>
        <w:t>供应商</w:t>
      </w:r>
      <w:r>
        <w:rPr>
          <w:rFonts w:hint="eastAsia" w:ascii="微软雅黑" w:hAnsi="微软雅黑" w:eastAsia="微软雅黑" w:cs="微软雅黑"/>
          <w:b/>
          <w:color w:val="auto"/>
          <w:kern w:val="0"/>
          <w:sz w:val="24"/>
          <w:szCs w:val="24"/>
          <w:highlight w:val="none"/>
          <w:u w:val="single"/>
        </w:rPr>
        <w:t>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75434F78">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14:paraId="30B2FB60">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w:t>
      </w:r>
      <w:r>
        <w:rPr>
          <w:rFonts w:hint="eastAsia" w:ascii="微软雅黑" w:hAnsi="微软雅黑" w:eastAsia="微软雅黑" w:cs="微软雅黑"/>
          <w:bCs/>
          <w:color w:val="auto"/>
          <w:kern w:val="0"/>
          <w:sz w:val="24"/>
          <w:szCs w:val="24"/>
          <w:highlight w:val="none"/>
          <w:lang w:eastAsia="zh-CN"/>
        </w:rPr>
        <w:t>采购人</w:t>
      </w:r>
      <w:r>
        <w:rPr>
          <w:rFonts w:hint="eastAsia" w:ascii="微软雅黑" w:hAnsi="微软雅黑" w:eastAsia="微软雅黑" w:cs="微软雅黑"/>
          <w:bCs/>
          <w:color w:val="auto"/>
          <w:kern w:val="0"/>
          <w:sz w:val="24"/>
          <w:szCs w:val="24"/>
          <w:highlight w:val="none"/>
        </w:rPr>
        <w:t>或</w:t>
      </w:r>
      <w:r>
        <w:rPr>
          <w:rFonts w:hint="eastAsia" w:ascii="微软雅黑" w:hAnsi="微软雅黑" w:eastAsia="微软雅黑" w:cs="微软雅黑"/>
          <w:bCs/>
          <w:color w:val="auto"/>
          <w:kern w:val="0"/>
          <w:sz w:val="24"/>
          <w:szCs w:val="24"/>
          <w:highlight w:val="none"/>
          <w:lang w:eastAsia="zh-CN"/>
        </w:rPr>
        <w:t>采购代理机构或</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bCs/>
          <w:color w:val="auto"/>
          <w:kern w:val="0"/>
          <w:sz w:val="24"/>
          <w:szCs w:val="24"/>
          <w:highlight w:val="none"/>
        </w:rPr>
        <w:t>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所提交的资格证明材料仅负审核的责任。如发现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可取消其中标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14:paraId="26C0A490">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将对其作“资格审查不合格”处理（无效投标），并不再将其投标提交评标委员会进行后续评审。</w:t>
      </w:r>
    </w:p>
    <w:p w14:paraId="293330C6">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信用记录查询与使用：见《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须知前附表》。</w:t>
      </w:r>
    </w:p>
    <w:p w14:paraId="2EAEF6CB">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14:paraId="74DB0162">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负责组织本项目的评审工作，并依据《政府采购货物和服务招标投标管理办法（财政部第87号令）》第四十五条的相关规定履行职责。</w:t>
      </w:r>
    </w:p>
    <w:p w14:paraId="44C8DEDB">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14:paraId="74DE0628">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依法组建，成员由</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代表和评审专家组成，成员人数为</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人或以上单数，其中评审专家不少于成员总数的三分之二。</w:t>
      </w:r>
    </w:p>
    <w:p w14:paraId="43D6826A">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szCs w:val="24"/>
          <w:highlight w:val="none"/>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auto"/>
          <w:sz w:val="24"/>
          <w:szCs w:val="24"/>
          <w:highlight w:val="none"/>
          <w:lang w:eastAsia="zh-CN"/>
        </w:rPr>
        <w:t>组建</w:t>
      </w: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人，组成</w:t>
      </w:r>
      <w:r>
        <w:rPr>
          <w:rFonts w:hint="eastAsia" w:ascii="微软雅黑" w:hAnsi="微软雅黑" w:eastAsia="微软雅黑" w:cs="微软雅黑"/>
          <w:b/>
          <w:bCs/>
          <w:color w:val="auto"/>
          <w:sz w:val="24"/>
          <w:szCs w:val="24"/>
          <w:highlight w:val="none"/>
          <w:lang w:eastAsia="zh-CN"/>
        </w:rPr>
        <w:t>磋商</w:t>
      </w:r>
      <w:r>
        <w:rPr>
          <w:rFonts w:hint="eastAsia" w:ascii="微软雅黑" w:hAnsi="微软雅黑" w:eastAsia="微软雅黑" w:cs="微软雅黑"/>
          <w:b/>
          <w:bCs/>
          <w:color w:val="auto"/>
          <w:sz w:val="24"/>
          <w:szCs w:val="24"/>
          <w:highlight w:val="none"/>
        </w:rPr>
        <w:t>小组，负责评审工作</w:t>
      </w:r>
      <w:r>
        <w:rPr>
          <w:rFonts w:hint="eastAsia" w:ascii="微软雅黑" w:hAnsi="微软雅黑" w:eastAsia="微软雅黑" w:cs="微软雅黑"/>
          <w:color w:val="auto"/>
          <w:sz w:val="24"/>
          <w:szCs w:val="24"/>
          <w:highlight w:val="none"/>
        </w:rPr>
        <w:t>。</w:t>
      </w:r>
    </w:p>
    <w:p w14:paraId="49EA8366">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14:paraId="4D02F528">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的商务、技术等实质性要求。</w:t>
      </w:r>
    </w:p>
    <w:p w14:paraId="5921CF68">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有关事项作出澄清或者说明。</w:t>
      </w:r>
    </w:p>
    <w:p w14:paraId="4E6571A0">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进行比较和评价。</w:t>
      </w:r>
    </w:p>
    <w:p w14:paraId="0466636B">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委托直接确定中标人。</w:t>
      </w:r>
    </w:p>
    <w:p w14:paraId="74C6920E">
      <w:pPr>
        <w:keepNext w:val="0"/>
        <w:keepLines w:val="0"/>
        <w:pageBreakBefore w:val="0"/>
        <w:shd w:val="clear" w:color="auto" w:fill="auto"/>
        <w:kinsoku/>
        <w:wordWrap/>
        <w:overflowPunct/>
        <w:topLinePunct w:val="0"/>
        <w:bidi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或者有关部门报告评审中发现的违法行为。</w:t>
      </w:r>
    </w:p>
    <w:p w14:paraId="7891F3CF">
      <w:pPr>
        <w:keepNext w:val="0"/>
        <w:keepLines w:val="0"/>
        <w:pageBreakBefore w:val="0"/>
        <w:widowControl/>
        <w:shd w:val="clear" w:color="auto" w:fill="auto"/>
        <w:kinsoku/>
        <w:wordWrap/>
        <w:overflowPunct/>
        <w:topLinePunct w:val="0"/>
        <w:autoSpaceDE/>
        <w:autoSpaceDN/>
        <w:bidi w:val="0"/>
        <w:spacing w:line="52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14:paraId="0FF45610">
      <w:pPr>
        <w:keepNext w:val="0"/>
        <w:keepLines w:val="0"/>
        <w:pageBreakBefore w:val="0"/>
        <w:widowControl/>
        <w:shd w:val="clear" w:color="auto" w:fill="auto"/>
        <w:kinsoku/>
        <w:wordWrap/>
        <w:overflowPunct/>
        <w:topLinePunct w:val="0"/>
        <w:autoSpaceDE/>
        <w:autoSpaceDN/>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规定的评标细则进行评分。</w:t>
      </w:r>
    </w:p>
    <w:p w14:paraId="6C78D4CA">
      <w:pPr>
        <w:keepNext w:val="0"/>
        <w:keepLines w:val="0"/>
        <w:pageBreakBefore w:val="0"/>
        <w:widowControl/>
        <w:shd w:val="clear" w:color="auto" w:fill="auto"/>
        <w:kinsoku/>
        <w:wordWrap/>
        <w:overflowPunct/>
        <w:topLinePunct w:val="0"/>
        <w:autoSpaceDE/>
        <w:autoSpaceDN/>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.2客观公正对待所有</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 xml:space="preserve">，对所有投标评价均采用相同的程序和标准。 </w:t>
      </w:r>
    </w:p>
    <w:p w14:paraId="2966F7A5">
      <w:pPr>
        <w:keepNext w:val="0"/>
        <w:keepLines w:val="0"/>
        <w:pageBreakBefore w:val="0"/>
        <w:widowControl/>
        <w:shd w:val="clear" w:color="auto" w:fill="auto"/>
        <w:kinsoku/>
        <w:wordWrap/>
        <w:overflowPunct/>
        <w:topLinePunct w:val="0"/>
        <w:autoSpaceDE/>
        <w:autoSpaceDN/>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66D4525D">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参加同一合同项下投标的，按一家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计算，评审后得分最高的同品牌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或者</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委托评标委员会按照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规定的方式确定一个</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未规定的采取随机抽取方式确定，其他同品牌</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不作为中标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14:paraId="1D1736D5">
      <w:pPr>
        <w:keepNext w:val="0"/>
        <w:keepLines w:val="0"/>
        <w:pageBreakBefore w:val="0"/>
        <w:widowControl/>
        <w:shd w:val="clear" w:color="auto" w:fill="auto"/>
        <w:kinsoku/>
        <w:wordWrap/>
        <w:overflowPunct/>
        <w:topLinePunct w:val="0"/>
        <w:bidi w:val="0"/>
        <w:spacing w:line="52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中载明。多家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 xml:space="preserve">提供的核心产品品牌相同的，按前款规定处理。      </w:t>
      </w:r>
    </w:p>
    <w:p w14:paraId="5B7CCEA1">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14:paraId="5864D5ED">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14:paraId="7B6F0E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7.2</w:t>
      </w:r>
      <w:r>
        <w:rPr>
          <w:rFonts w:hint="eastAsia" w:ascii="微软雅黑" w:hAnsi="微软雅黑" w:eastAsia="微软雅黑" w:cs="微软雅黑"/>
          <w:b/>
          <w:bCs/>
          <w:color w:val="auto"/>
          <w:sz w:val="24"/>
          <w:szCs w:val="24"/>
          <w:highlight w:val="none"/>
        </w:rPr>
        <w:t>评标专家</w:t>
      </w:r>
      <w:r>
        <w:rPr>
          <w:rFonts w:hint="eastAsia" w:ascii="微软雅黑" w:hAnsi="微软雅黑" w:eastAsia="微软雅黑" w:cs="微软雅黑"/>
          <w:b/>
          <w:bCs/>
          <w:color w:val="auto"/>
          <w:kern w:val="0"/>
          <w:sz w:val="24"/>
          <w:szCs w:val="24"/>
          <w:highlight w:val="none"/>
        </w:rPr>
        <w:t>与</w:t>
      </w:r>
      <w:r>
        <w:rPr>
          <w:rFonts w:hint="eastAsia" w:ascii="微软雅黑" w:hAnsi="微软雅黑" w:eastAsia="微软雅黑" w:cs="微软雅黑"/>
          <w:b/>
          <w:bCs/>
          <w:color w:val="auto"/>
          <w:kern w:val="0"/>
          <w:sz w:val="24"/>
          <w:szCs w:val="24"/>
          <w:highlight w:val="none"/>
          <w:lang w:eastAsia="zh-CN"/>
        </w:rPr>
        <w:t>供应商</w:t>
      </w:r>
      <w:r>
        <w:rPr>
          <w:rFonts w:hint="eastAsia" w:ascii="微软雅黑" w:hAnsi="微软雅黑" w:eastAsia="微软雅黑" w:cs="微软雅黑"/>
          <w:b/>
          <w:bCs/>
          <w:color w:val="auto"/>
          <w:kern w:val="0"/>
          <w:sz w:val="24"/>
          <w:szCs w:val="24"/>
          <w:highlight w:val="none"/>
        </w:rPr>
        <w:t>有下列利害关系之一的人员，应当回避</w:t>
      </w:r>
    </w:p>
    <w:p w14:paraId="13BAFF0E">
      <w:pPr>
        <w:pStyle w:val="59"/>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1）参加采购活动前3年内与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存在劳动关系；</w:t>
      </w:r>
    </w:p>
    <w:p w14:paraId="0B2822A1">
      <w:pPr>
        <w:pStyle w:val="59"/>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2）参加采购活动前3年内担任</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的董事、监事；</w:t>
      </w:r>
    </w:p>
    <w:p w14:paraId="0BE9457C">
      <w:pPr>
        <w:pStyle w:val="59"/>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3）参加采购活动前3年内是</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的控股股东或者实际控制人；</w:t>
      </w:r>
    </w:p>
    <w:p w14:paraId="1B8D8D03">
      <w:pPr>
        <w:pStyle w:val="59"/>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4）与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的法定代表人或者负责人有夫妻、直系血亲、三代以内旁系血亲或者近姻亲关系。</w:t>
      </w:r>
    </w:p>
    <w:p w14:paraId="2899999F">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14:paraId="49DF09FD">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在评审专家中推选评标委员会组长，</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代表不得担任评标委员会组长。</w:t>
      </w:r>
    </w:p>
    <w:p w14:paraId="3FE008D5">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无效情形，评审方法、评审依据、评审标准等。</w:t>
      </w:r>
    </w:p>
    <w:p w14:paraId="4132D94A">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对符合资格的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作出实质性响应。</w:t>
      </w:r>
    </w:p>
    <w:p w14:paraId="3B388976">
      <w:pPr>
        <w:pageBreakBefore w:val="0"/>
        <w:kinsoku/>
        <w:wordWrap/>
        <w:overflowPunct/>
        <w:topLinePunct w:val="0"/>
        <w:bidi w:val="0"/>
        <w:spacing w:line="520" w:lineRule="exact"/>
        <w:ind w:firstLine="480" w:firstLineChars="200"/>
        <w:jc w:val="both"/>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14:paraId="424E939E">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8.5</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规定的评审方法和评审标准，依法独立对</w:t>
      </w:r>
      <w:r>
        <w:rPr>
          <w:rFonts w:hint="eastAsia" w:ascii="微软雅黑" w:hAnsi="微软雅黑" w:eastAsia="微软雅黑" w:cs="微软雅黑"/>
          <w:color w:val="auto"/>
          <w:sz w:val="24"/>
          <w:szCs w:val="24"/>
          <w:highlight w:val="none"/>
          <w:lang w:eastAsia="zh-CN"/>
        </w:rPr>
        <w:t>供应商响应文件</w:t>
      </w:r>
      <w:r>
        <w:rPr>
          <w:rFonts w:hint="eastAsia" w:ascii="微软雅黑" w:hAnsi="微软雅黑" w:eastAsia="微软雅黑" w:cs="微软雅黑"/>
          <w:color w:val="auto"/>
          <w:sz w:val="24"/>
          <w:szCs w:val="24"/>
          <w:highlight w:val="none"/>
        </w:rPr>
        <w:t>进行评估、比较，并给予评价或打分，不受任何单位和个人的干预。</w:t>
      </w:r>
    </w:p>
    <w:p w14:paraId="5D5BC142">
      <w:pPr>
        <w:keepNext w:val="0"/>
        <w:keepLines w:val="0"/>
        <w:pageBreakBefore w:val="0"/>
        <w:widowControl/>
        <w:shd w:val="clear" w:color="auto" w:fill="auto"/>
        <w:kinsoku/>
        <w:wordWrap/>
        <w:overflowPunct/>
        <w:topLinePunct w:val="0"/>
        <w:bidi w:val="0"/>
        <w:spacing w:line="52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是指响应文件满足磋商文件全部实质性要求且按评审因素的量化指标评审得分最高的</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为成交候选</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的评审方法。</w:t>
      </w:r>
    </w:p>
    <w:p w14:paraId="5874426D">
      <w:pPr>
        <w:keepNext w:val="0"/>
        <w:keepLines w:val="0"/>
        <w:pageBreakBefore w:val="0"/>
        <w:widowControl/>
        <w:shd w:val="clear" w:color="auto" w:fill="auto"/>
        <w:kinsoku/>
        <w:wordWrap/>
        <w:overflowPunct/>
        <w:topLinePunct w:val="0"/>
        <w:bidi w:val="0"/>
        <w:spacing w:line="52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要求且最后报价最低的</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基准价，其价格分为满分。其他</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的价格分统一按照下列公式计算：</w:t>
      </w:r>
    </w:p>
    <w:p w14:paraId="47F8C801">
      <w:pPr>
        <w:keepNext w:val="0"/>
        <w:keepLines w:val="0"/>
        <w:pageBreakBefore w:val="0"/>
        <w:widowControl/>
        <w:shd w:val="clear" w:color="auto" w:fill="auto"/>
        <w:kinsoku/>
        <w:wordWrap/>
        <w:overflowPunct/>
        <w:topLinePunct w:val="0"/>
        <w:bidi w:val="0"/>
        <w:spacing w:line="520" w:lineRule="exact"/>
        <w:ind w:firstLine="480"/>
        <w:rPr>
          <w:rFonts w:hint="eastAsia" w:ascii="微软雅黑" w:hAnsi="微软雅黑" w:eastAsia="微软雅黑" w:cs="微软雅黑"/>
          <w:color w:val="auto"/>
          <w:kern w:val="0"/>
          <w:sz w:val="24"/>
          <w:szCs w:val="24"/>
          <w:highlight w:val="none"/>
          <w:lang w:val="en-US"/>
        </w:rPr>
      </w:pP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报价得分=（基准价/</w:t>
      </w: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w:t>
      </w:r>
      <w:r>
        <w:rPr>
          <w:rFonts w:hint="eastAsia" w:ascii="微软雅黑" w:hAnsi="微软雅黑" w:eastAsia="微软雅黑" w:cs="微软雅黑"/>
          <w:color w:val="auto"/>
          <w:kern w:val="0"/>
          <w:sz w:val="24"/>
          <w:szCs w:val="24"/>
          <w:highlight w:val="none"/>
          <w:lang w:val="en-US" w:eastAsia="zh-CN"/>
        </w:rPr>
        <w:t>价格分</w:t>
      </w:r>
    </w:p>
    <w:p w14:paraId="1F4E7586">
      <w:pPr>
        <w:keepNext w:val="0"/>
        <w:keepLines w:val="0"/>
        <w:pageBreakBefore w:val="0"/>
        <w:widowControl/>
        <w:shd w:val="clear" w:color="auto" w:fill="auto"/>
        <w:kinsoku/>
        <w:wordWrap/>
        <w:overflowPunct/>
        <w:topLinePunct w:val="0"/>
        <w:bidi w:val="0"/>
        <w:spacing w:line="52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14:paraId="1BE21756">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对各</w:t>
      </w:r>
      <w:r>
        <w:rPr>
          <w:rFonts w:hint="eastAsia" w:ascii="微软雅黑" w:hAnsi="微软雅黑" w:eastAsia="微软雅黑" w:cs="微软雅黑"/>
          <w:color w:val="auto"/>
          <w:sz w:val="24"/>
          <w:szCs w:val="24"/>
          <w:highlight w:val="none"/>
          <w:lang w:eastAsia="zh-CN"/>
        </w:rPr>
        <w:t>供应商响应文件</w:t>
      </w:r>
      <w:r>
        <w:rPr>
          <w:rFonts w:hint="eastAsia" w:ascii="微软雅黑" w:hAnsi="微软雅黑" w:eastAsia="微软雅黑" w:cs="微软雅黑"/>
          <w:color w:val="auto"/>
          <w:sz w:val="24"/>
          <w:szCs w:val="24"/>
          <w:highlight w:val="none"/>
        </w:rPr>
        <w:t>非实质性内容有疑议或异议，或者审查发现明显的文字或计算错误等，及时向评标委员会组长提出。经评标委员会商议认为需要</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作出必要澄清、说明或者补正的，应当以在线询标形式要求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作出必要的澄清、说明或者补正。澄清、说明或者补正的内容应作为政府采购项目档案归档留存。</w:t>
      </w:r>
    </w:p>
    <w:p w14:paraId="204F38A6">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0AA997E5">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w:t>
      </w:r>
      <w:r>
        <w:rPr>
          <w:rFonts w:hint="eastAsia" w:ascii="微软雅黑" w:hAnsi="微软雅黑" w:eastAsia="微软雅黑" w:cs="微软雅黑"/>
          <w:color w:val="auto"/>
          <w:sz w:val="24"/>
          <w:szCs w:val="24"/>
          <w:highlight w:val="none"/>
        </w:rPr>
        <w:t>中标中标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排序名单。</w:t>
      </w:r>
    </w:p>
    <w:p w14:paraId="757AF329">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起草评审报告，所有</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 xml:space="preserve">须在评审报告上签字确认，对自己的评审意见承担法律责任。 </w:t>
      </w:r>
    </w:p>
    <w:p w14:paraId="2753FF9D">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采购组织机构对评标委员会评审专家进行评价。</w:t>
      </w:r>
    </w:p>
    <w:p w14:paraId="7FEA5A31">
      <w:pPr>
        <w:keepNext w:val="0"/>
        <w:keepLines w:val="0"/>
        <w:pageBreakBefore w:val="0"/>
        <w:widowControl/>
        <w:shd w:val="clear" w:color="auto" w:fill="auto"/>
        <w:kinsoku/>
        <w:wordWrap/>
        <w:overflowPunct/>
        <w:topLinePunct w:val="0"/>
        <w:bidi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14:paraId="7F77A072">
      <w:pPr>
        <w:keepNext w:val="0"/>
        <w:keepLines w:val="0"/>
        <w:pageBreakBefore w:val="0"/>
        <w:widowControl/>
        <w:shd w:val="clear" w:color="auto" w:fill="auto"/>
        <w:kinsoku/>
        <w:wordWrap/>
        <w:overflowPunct/>
        <w:topLinePunct w:val="0"/>
        <w:bidi w:val="0"/>
        <w:spacing w:line="52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1F9658B8">
      <w:pPr>
        <w:keepNext w:val="0"/>
        <w:keepLines w:val="0"/>
        <w:pageBreakBefore w:val="0"/>
        <w:widowControl/>
        <w:shd w:val="clear" w:color="auto" w:fill="auto"/>
        <w:kinsoku/>
        <w:wordWrap/>
        <w:overflowPunct/>
        <w:topLinePunct w:val="0"/>
        <w:bidi w:val="0"/>
        <w:spacing w:line="52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7D49D6AA">
      <w:pPr>
        <w:keepNext w:val="0"/>
        <w:keepLines w:val="0"/>
        <w:pageBreakBefore w:val="0"/>
        <w:widowControl/>
        <w:shd w:val="clear" w:color="auto" w:fill="auto"/>
        <w:kinsoku/>
        <w:wordWrap/>
        <w:overflowPunct/>
        <w:topLinePunct w:val="0"/>
        <w:bidi w:val="0"/>
        <w:spacing w:line="52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647A9F48">
      <w:pPr>
        <w:keepNext w:val="0"/>
        <w:keepLines w:val="0"/>
        <w:pageBreakBefore w:val="0"/>
        <w:widowControl/>
        <w:shd w:val="clear" w:color="auto" w:fill="auto"/>
        <w:kinsoku/>
        <w:wordWrap/>
        <w:overflowPunct/>
        <w:topLinePunct w:val="0"/>
        <w:bidi w:val="0"/>
        <w:spacing w:line="52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3541B9A0">
      <w:pPr>
        <w:keepNext w:val="0"/>
        <w:keepLines w:val="0"/>
        <w:pageBreakBefore w:val="0"/>
        <w:widowControl/>
        <w:shd w:val="clear" w:color="auto" w:fill="auto"/>
        <w:kinsoku/>
        <w:wordWrap/>
        <w:overflowPunct/>
        <w:topLinePunct w:val="0"/>
        <w:bidi w:val="0"/>
        <w:spacing w:line="52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2DF272DC">
      <w:pPr>
        <w:keepNext w:val="0"/>
        <w:keepLines w:val="0"/>
        <w:pageBreakBefore w:val="0"/>
        <w:widowControl/>
        <w:shd w:val="clear" w:color="auto" w:fill="auto"/>
        <w:kinsoku/>
        <w:wordWrap/>
        <w:overflowPunct/>
        <w:topLinePunct w:val="0"/>
        <w:bidi w:val="0"/>
        <w:spacing w:line="52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或者</w:t>
      </w:r>
      <w:r>
        <w:rPr>
          <w:rFonts w:hint="eastAsia" w:ascii="微软雅黑" w:hAnsi="微软雅黑" w:eastAsia="微软雅黑" w:cs="微软雅黑"/>
          <w:color w:val="auto"/>
          <w:sz w:val="24"/>
          <w:szCs w:val="24"/>
          <w:highlight w:val="none"/>
          <w:lang w:eastAsia="zh-CN"/>
        </w:rPr>
        <w:t>采购代理机构</w:t>
      </w:r>
      <w:r>
        <w:rPr>
          <w:rFonts w:hint="eastAsia" w:ascii="微软雅黑" w:hAnsi="微软雅黑" w:eastAsia="微软雅黑" w:cs="微软雅黑"/>
          <w:color w:val="auto"/>
          <w:sz w:val="24"/>
          <w:szCs w:val="24"/>
          <w:highlight w:val="none"/>
        </w:rPr>
        <w:t>发现存在以上情形之一的，应当组织原评标委员会进行重新评审，重新评审改变评标结果的，书面报告本级财政部门。</w:t>
      </w:r>
    </w:p>
    <w:p w14:paraId="3FC8C899">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14:paraId="3FF39A11">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供应商澄清、说明或补正时间为30分钟</w:t>
      </w:r>
      <w:r>
        <w:rPr>
          <w:rFonts w:hint="eastAsia" w:ascii="微软雅黑" w:hAnsi="微软雅黑" w:eastAsia="微软雅黑" w:cs="微软雅黑"/>
          <w:b w:val="0"/>
          <w:bCs w:val="0"/>
          <w:color w:val="auto"/>
          <w:sz w:val="24"/>
          <w:szCs w:val="24"/>
          <w:highlight w:val="none"/>
          <w:lang w:val="en-US" w:eastAsia="zh-CN"/>
        </w:rPr>
        <w:t>。</w:t>
      </w:r>
    </w:p>
    <w:p w14:paraId="3D9259B8">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14:paraId="22E1F803">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85217E4">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14:paraId="7E3BD27E">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10.1电子交易平台客户端里开标一览表录入的投标报价或优惠率与扫描上传的报价文件信息不一致的，以扫描上传的报价文件信息为准进行修正。</w:t>
      </w:r>
    </w:p>
    <w:p w14:paraId="1B2E84F4">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10.2响应文件报价出现前后不一致的，除竞争性磋商文件另有规定外，按照下列规定修正：</w:t>
      </w:r>
    </w:p>
    <w:p w14:paraId="7964950A">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14:paraId="07F6321F">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10.4响应文件中的大写金额和小写金额不一致的，以大写金额为准；</w:t>
      </w:r>
    </w:p>
    <w:p w14:paraId="20FCC47F">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14:paraId="42D14C14">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14:paraId="4EC58C35">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14:paraId="33E584E1">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如有多报（指数量超出竞争性磋商文件需求）、重报（指同一货物重复报价），其投标总价在评标过程中不予调整，如其中标，其合同价按其投标单价予以调整；</w:t>
      </w:r>
    </w:p>
    <w:p w14:paraId="5DA3837C">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10.9对不同文字文本响应文件的解释发生异议的，以中文文本为准；</w:t>
      </w:r>
    </w:p>
    <w:p w14:paraId="61054F52">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14:paraId="0EA20750">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11、有下列情形之一的，响应文件按无效标处理：</w:t>
      </w:r>
    </w:p>
    <w:p w14:paraId="4E5990E8">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14:paraId="751AFCD7">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11.2供应商提交两份或两份以上内容不同的响应文件，未声明哪一份有效的；</w:t>
      </w:r>
    </w:p>
    <w:p w14:paraId="381D4D0F">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响应文件非供应商法定代表人签署的，未提供或提供无效的法定代表人授权书的；</w:t>
      </w:r>
    </w:p>
    <w:p w14:paraId="54E7CB6C">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11.4响应文件内容未按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磋商文件规定签字或盖章的；</w:t>
      </w:r>
    </w:p>
    <w:p w14:paraId="6AF86A07">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14:paraId="5B3EDA6C">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磋商文件变更通知更改响应文件的；</w:t>
      </w:r>
    </w:p>
    <w:p w14:paraId="2A5D12DF">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14:paraId="21D5E693">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磋商文件规定的预算金额或最高限价；</w:t>
      </w:r>
    </w:p>
    <w:p w14:paraId="24436C08">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14:paraId="5262647F">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70C90589">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磋商文件中条款要求的响应文件；</w:t>
      </w:r>
    </w:p>
    <w:p w14:paraId="4AA053BF">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14:paraId="2949E3EF">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响应文件附有采购人不能接受的条款；</w:t>
      </w:r>
    </w:p>
    <w:p w14:paraId="10AE1ABA">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响应文件中提供了赠品或者与本项目采购无关的其他商品、服务；</w:t>
      </w:r>
    </w:p>
    <w:p w14:paraId="0376DB48">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11.15响应文件中承诺的投标有效期少于磋商文件中载明的投标有效期；</w:t>
      </w:r>
    </w:p>
    <w:p w14:paraId="4DE9BBFA">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14:paraId="0D36531B">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14:paraId="0D7965F1">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14:paraId="59AB8D66">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磋商文件规定废标情形的；</w:t>
      </w:r>
    </w:p>
    <w:p w14:paraId="748D4FBE">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14:paraId="701C5785">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14:paraId="631BEFA3">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14:paraId="615991B0">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14:paraId="24AEAC5C">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14:paraId="78BFAEC3">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14:paraId="0FCEA861">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14:paraId="784F1447">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14:paraId="19350E5F">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14:paraId="393FD530">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14:paraId="2972BA7A">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19BD5268">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采购代理机构或评审小组因不可抗力（不可抗力包括但不限于自然灾害、断电、传播疫病等）原因造成电子交易活动无法正常运行的，将采取以下措施：</w:t>
      </w:r>
    </w:p>
    <w:p w14:paraId="1CD76E9A">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5F4A4BC7">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49E6B7A9">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52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14:paraId="696E207C">
      <w:pPr>
        <w:keepNext w:val="0"/>
        <w:keepLines w:val="0"/>
        <w:pageBreakBefore w:val="0"/>
        <w:widowControl/>
        <w:kinsoku/>
        <w:wordWrap/>
        <w:overflowPunct/>
        <w:topLinePunct w:val="0"/>
        <w:autoSpaceDE/>
        <w:autoSpaceDN/>
        <w:bidi w:val="0"/>
        <w:adjustRightInd/>
        <w:snapToGrid/>
        <w:spacing w:line="520" w:lineRule="exact"/>
        <w:ind w:firstLine="240" w:firstLineChars="1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采购代理机构</w:t>
      </w:r>
      <w:r>
        <w:rPr>
          <w:rFonts w:hint="eastAsia" w:ascii="微软雅黑" w:hAnsi="微软雅黑" w:eastAsia="微软雅黑" w:cs="微软雅黑"/>
          <w:color w:val="auto"/>
          <w:kern w:val="0"/>
          <w:sz w:val="24"/>
          <w:szCs w:val="24"/>
          <w:highlight w:val="none"/>
        </w:rPr>
        <w:t>确保</w:t>
      </w:r>
      <w:r>
        <w:rPr>
          <w:rFonts w:hint="eastAsia" w:ascii="微软雅黑" w:hAnsi="微软雅黑" w:eastAsia="微软雅黑" w:cs="微软雅黑"/>
          <w:color w:val="auto"/>
          <w:kern w:val="0"/>
          <w:sz w:val="24"/>
          <w:szCs w:val="24"/>
          <w:highlight w:val="none"/>
          <w:lang w:val="en-US" w:eastAsia="zh-CN"/>
        </w:rPr>
        <w:t>评标</w:t>
      </w:r>
      <w:r>
        <w:rPr>
          <w:rFonts w:hint="eastAsia" w:ascii="微软雅黑" w:hAnsi="微软雅黑" w:eastAsia="微软雅黑" w:cs="微软雅黑"/>
          <w:color w:val="auto"/>
          <w:kern w:val="0"/>
          <w:sz w:val="24"/>
          <w:szCs w:val="24"/>
          <w:highlight w:val="none"/>
        </w:rPr>
        <w:t>活动在严格保密的情况下进行。在采购结果确定前，</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采购代理机构</w:t>
      </w:r>
      <w:r>
        <w:rPr>
          <w:rFonts w:hint="eastAsia" w:ascii="微软雅黑" w:hAnsi="微软雅黑" w:eastAsia="微软雅黑" w:cs="微软雅黑"/>
          <w:color w:val="auto"/>
          <w:kern w:val="0"/>
          <w:sz w:val="24"/>
          <w:szCs w:val="24"/>
          <w:highlight w:val="none"/>
        </w:rPr>
        <w:t>对</w:t>
      </w:r>
      <w:r>
        <w:rPr>
          <w:rFonts w:hint="eastAsia" w:ascii="微软雅黑" w:hAnsi="微软雅黑" w:eastAsia="微软雅黑" w:cs="微软雅黑"/>
          <w:color w:val="auto"/>
          <w:kern w:val="0"/>
          <w:sz w:val="24"/>
          <w:szCs w:val="24"/>
          <w:highlight w:val="none"/>
          <w:lang w:val="en-US" w:eastAsia="zh-CN"/>
        </w:rPr>
        <w:t>评审专家</w:t>
      </w:r>
      <w:r>
        <w:rPr>
          <w:rFonts w:hint="eastAsia" w:ascii="微软雅黑" w:hAnsi="微软雅黑" w:eastAsia="微软雅黑" w:cs="微软雅黑"/>
          <w:color w:val="auto"/>
          <w:kern w:val="0"/>
          <w:sz w:val="24"/>
          <w:szCs w:val="24"/>
          <w:highlight w:val="none"/>
        </w:rPr>
        <w:t>名单保密。</w:t>
      </w:r>
      <w:r>
        <w:rPr>
          <w:rFonts w:hint="eastAsia" w:ascii="微软雅黑" w:hAnsi="微软雅黑" w:eastAsia="微软雅黑" w:cs="微软雅黑"/>
          <w:color w:val="auto"/>
          <w:sz w:val="24"/>
          <w:szCs w:val="24"/>
          <w:highlight w:val="none"/>
        </w:rPr>
        <w:t>与</w:t>
      </w:r>
      <w:r>
        <w:rPr>
          <w:rFonts w:hint="eastAsia" w:ascii="微软雅黑" w:hAnsi="微软雅黑" w:eastAsia="微软雅黑" w:cs="微软雅黑"/>
          <w:color w:val="auto"/>
          <w:sz w:val="24"/>
          <w:szCs w:val="24"/>
          <w:highlight w:val="none"/>
          <w:lang w:eastAsia="zh-CN"/>
        </w:rPr>
        <w:t>评审</w:t>
      </w:r>
      <w:r>
        <w:rPr>
          <w:rFonts w:hint="eastAsia" w:ascii="微软雅黑" w:hAnsi="微软雅黑" w:eastAsia="微软雅黑" w:cs="微软雅黑"/>
          <w:color w:val="auto"/>
          <w:sz w:val="24"/>
          <w:szCs w:val="24"/>
          <w:highlight w:val="none"/>
        </w:rPr>
        <w:t>工作无关的人员不得进入现场</w:t>
      </w:r>
      <w:r>
        <w:rPr>
          <w:rFonts w:hint="eastAsia" w:ascii="微软雅黑" w:hAnsi="微软雅黑" w:eastAsia="微软雅黑" w:cs="微软雅黑"/>
          <w:color w:val="auto"/>
          <w:kern w:val="0"/>
          <w:sz w:val="24"/>
          <w:szCs w:val="24"/>
          <w:highlight w:val="none"/>
          <w:lang w:val="en-US" w:eastAsia="zh-CN"/>
        </w:rPr>
        <w:t>。有关人员须对评审情况以及在评审过程中获悉的国家秘密、商业秘密负有保密责任</w:t>
      </w:r>
      <w:r>
        <w:rPr>
          <w:rFonts w:hint="eastAsia" w:ascii="微软雅黑" w:hAnsi="微软雅黑" w:eastAsia="微软雅黑" w:cs="微软雅黑"/>
          <w:color w:val="auto"/>
          <w:kern w:val="0"/>
          <w:sz w:val="24"/>
          <w:szCs w:val="24"/>
          <w:highlight w:val="none"/>
        </w:rPr>
        <w:t>。</w:t>
      </w:r>
    </w:p>
    <w:p w14:paraId="42F6DEF2">
      <w:pPr>
        <w:keepNext w:val="0"/>
        <w:keepLines w:val="0"/>
        <w:pageBreakBefore w:val="0"/>
        <w:shd w:val="clear" w:color="auto" w:fill="auto"/>
        <w:kinsoku/>
        <w:wordWrap/>
        <w:overflowPunct/>
        <w:topLinePunct w:val="0"/>
        <w:bidi w:val="0"/>
        <w:snapToGrid w:val="0"/>
        <w:spacing w:line="52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 xml:space="preserve"> 定标</w:t>
      </w:r>
    </w:p>
    <w:p w14:paraId="1E23BC9B">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14:paraId="05ECBD16">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14:paraId="4E882B14">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（1）采购代理机构将在评审结束后2个工作日内将评审报告送采购人，同时在政采云平台提交采购结果至采购人确认。</w:t>
      </w:r>
    </w:p>
    <w:p w14:paraId="1EA1BC97">
      <w:pPr>
        <w:keepNext w:val="0"/>
        <w:keepLines w:val="0"/>
        <w:pageBreakBefore w:val="0"/>
        <w:shd w:val="clear" w:color="auto" w:fill="auto"/>
        <w:kinsoku/>
        <w:wordWrap/>
        <w:overflowPunct/>
        <w:topLinePunct w:val="0"/>
        <w:bidi w:val="0"/>
        <w:spacing w:line="52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（2）采购人将在收到评审报告之日起5个工作日内，在评审报告推荐的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14:paraId="286E43DA">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14:paraId="60797A30">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14:paraId="20E5501E">
      <w:pPr>
        <w:keepNext w:val="0"/>
        <w:keepLines w:val="0"/>
        <w:pageBreakBefore w:val="0"/>
        <w:shd w:val="clear" w:color="auto" w:fill="auto"/>
        <w:kinsoku/>
        <w:wordWrap/>
        <w:overflowPunct/>
        <w:topLinePunct w:val="0"/>
        <w:bidi w:val="0"/>
        <w:spacing w:line="52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lang w:eastAsia="zh-CN"/>
        </w:rPr>
        <w:t>采购人或采购代理机构</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color w:val="auto"/>
          <w:sz w:val="24"/>
          <w:szCs w:val="24"/>
          <w:highlight w:val="none"/>
          <w:lang w:val="en-US" w:eastAsia="zh-CN"/>
        </w:rPr>
        <w:t>同时</w:t>
      </w:r>
      <w:r>
        <w:rPr>
          <w:rFonts w:hint="eastAsia" w:ascii="微软雅黑" w:hAnsi="微软雅黑" w:eastAsia="微软雅黑" w:cs="微软雅黑"/>
          <w:b w:val="0"/>
          <w:bCs w:val="0"/>
          <w:color w:val="auto"/>
          <w:sz w:val="24"/>
          <w:szCs w:val="24"/>
          <w:highlight w:val="none"/>
          <w:lang w:val="en-US" w:eastAsia="zh-CN"/>
        </w:rPr>
        <w:t>采购代理机构向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14:paraId="57BA51F4">
      <w:pPr>
        <w:pStyle w:val="8"/>
        <w:keepNext w:val="0"/>
        <w:keepLines w:val="0"/>
        <w:pageBreakBefore w:val="0"/>
        <w:widowControl w:val="0"/>
        <w:kinsoku/>
        <w:wordWrap/>
        <w:overflowPunct/>
        <w:topLinePunct w:val="0"/>
        <w:bidi w:val="0"/>
        <w:snapToGrid w:val="0"/>
        <w:spacing w:before="0" w:beforeAutospacing="0" w:after="0" w:afterAutospacing="0" w:line="520" w:lineRule="exact"/>
        <w:ind w:firstLine="480" w:firstLineChars="200"/>
        <w:jc w:val="left"/>
        <w:textAlignment w:val="baseline"/>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0BA686C5">
      <w:pPr>
        <w:pStyle w:val="36"/>
        <w:keepNext w:val="0"/>
        <w:keepLines w:val="0"/>
        <w:pageBreakBefore w:val="0"/>
        <w:kinsoku/>
        <w:wordWrap/>
        <w:overflowPunct/>
        <w:topLinePunct w:val="0"/>
        <w:bidi w:val="0"/>
        <w:spacing w:line="520" w:lineRule="exac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17、磋商小组推荐成交供应商的数量</w:t>
      </w:r>
      <w:r>
        <w:rPr>
          <w:rFonts w:hint="eastAsia" w:ascii="微软雅黑" w:hAnsi="微软雅黑" w:eastAsia="微软雅黑" w:cs="微软雅黑"/>
          <w:b/>
          <w:bCs/>
          <w:color w:val="auto"/>
          <w:kern w:val="2"/>
          <w:sz w:val="24"/>
          <w:szCs w:val="24"/>
          <w:highlight w:val="none"/>
          <w:u w:val="single"/>
          <w:lang w:val="en-US" w:eastAsia="zh-CN" w:bidi="ar-SA"/>
        </w:rPr>
        <w:t>：1</w:t>
      </w:r>
      <w:r>
        <w:rPr>
          <w:rFonts w:hint="eastAsia" w:ascii="微软雅黑" w:hAnsi="微软雅黑" w:eastAsia="微软雅黑" w:cs="微软雅黑"/>
          <w:b/>
          <w:bCs/>
          <w:color w:val="auto"/>
          <w:kern w:val="2"/>
          <w:sz w:val="24"/>
          <w:szCs w:val="24"/>
          <w:highlight w:val="none"/>
          <w:lang w:val="en-US" w:eastAsia="zh-CN" w:bidi="ar-SA"/>
        </w:rPr>
        <w:t xml:space="preserve">。 </w:t>
      </w:r>
    </w:p>
    <w:p w14:paraId="2E79F842">
      <w:pPr>
        <w:pStyle w:val="2"/>
        <w:pageBreakBefore w:val="0"/>
        <w:kinsoku/>
        <w:wordWrap/>
        <w:overflowPunct/>
        <w:topLinePunct w:val="0"/>
        <w:bidi w:val="0"/>
        <w:spacing w:line="520" w:lineRule="exact"/>
        <w:rPr>
          <w:color w:val="auto"/>
          <w:highlight w:val="none"/>
        </w:rPr>
      </w:pPr>
    </w:p>
    <w:p w14:paraId="185C589B">
      <w:pPr>
        <w:rPr>
          <w:color w:val="auto"/>
          <w:highlight w:val="none"/>
        </w:rPr>
      </w:pPr>
    </w:p>
    <w:p w14:paraId="3D7392F9">
      <w:pPr>
        <w:rPr>
          <w:rFonts w:hint="eastAsia" w:ascii="微软雅黑" w:hAnsi="微软雅黑" w:eastAsia="微软雅黑" w:cs="微软雅黑"/>
          <w:b/>
          <w:bCs/>
          <w:color w:val="auto"/>
          <w:sz w:val="24"/>
          <w:highlight w:val="none"/>
        </w:rPr>
      </w:pPr>
      <w:bookmarkStart w:id="791" w:name="_Toc18832"/>
      <w:bookmarkStart w:id="792" w:name="_Toc10077"/>
      <w:bookmarkStart w:id="793" w:name="_Toc1826"/>
      <w:r>
        <w:rPr>
          <w:rFonts w:hint="eastAsia" w:ascii="微软雅黑" w:hAnsi="微软雅黑" w:eastAsia="微软雅黑" w:cs="微软雅黑"/>
          <w:b/>
          <w:bCs/>
          <w:color w:val="auto"/>
          <w:sz w:val="24"/>
          <w:highlight w:val="none"/>
        </w:rPr>
        <w:br w:type="page"/>
      </w:r>
    </w:p>
    <w:p w14:paraId="6ADFFFA3">
      <w:pPr>
        <w:pageBreakBefore w:val="0"/>
        <w:kinsoku/>
        <w:wordWrap/>
        <w:overflowPunct/>
        <w:topLinePunct w:val="0"/>
        <w:bidi w:val="0"/>
        <w:snapToGrid w:val="0"/>
        <w:spacing w:line="520" w:lineRule="exact"/>
        <w:jc w:val="center"/>
        <w:textAlignment w:val="baseline"/>
        <w:outlineLvl w:val="1"/>
        <w:rPr>
          <w:rFonts w:ascii="微软雅黑" w:hAnsi="微软雅黑" w:eastAsia="微软雅黑" w:cs="微软雅黑"/>
          <w:b/>
          <w:bCs/>
          <w:color w:val="auto"/>
          <w:sz w:val="24"/>
          <w:highlight w:val="none"/>
        </w:rPr>
      </w:pPr>
      <w:bookmarkStart w:id="794" w:name="_Toc20789"/>
      <w:r>
        <w:rPr>
          <w:rFonts w:hint="eastAsia" w:ascii="微软雅黑" w:hAnsi="微软雅黑" w:eastAsia="微软雅黑" w:cs="微软雅黑"/>
          <w:b/>
          <w:bCs/>
          <w:color w:val="auto"/>
          <w:sz w:val="24"/>
          <w:highlight w:val="none"/>
        </w:rPr>
        <w:t>初步评审—资格性审查表</w:t>
      </w:r>
      <w:bookmarkEnd w:id="774"/>
      <w:bookmarkEnd w:id="775"/>
      <w:bookmarkEnd w:id="776"/>
      <w:bookmarkEnd w:id="777"/>
      <w:bookmarkEnd w:id="778"/>
      <w:bookmarkEnd w:id="779"/>
      <w:bookmarkEnd w:id="780"/>
      <w:bookmarkEnd w:id="781"/>
      <w:bookmarkEnd w:id="782"/>
      <w:bookmarkEnd w:id="783"/>
      <w:bookmarkEnd w:id="791"/>
      <w:bookmarkEnd w:id="792"/>
      <w:bookmarkEnd w:id="793"/>
      <w:bookmarkEnd w:id="794"/>
    </w:p>
    <w:tbl>
      <w:tblPr>
        <w:tblStyle w:val="38"/>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14:paraId="0082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14:paraId="72C3F5FA">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序号</w:t>
            </w:r>
          </w:p>
        </w:tc>
        <w:tc>
          <w:tcPr>
            <w:tcW w:w="7225" w:type="dxa"/>
            <w:vMerge w:val="restart"/>
            <w:vAlign w:val="center"/>
          </w:tcPr>
          <w:p w14:paraId="4FCD33A8">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评审内容</w:t>
            </w:r>
          </w:p>
        </w:tc>
        <w:tc>
          <w:tcPr>
            <w:tcW w:w="2389" w:type="dxa"/>
            <w:gridSpan w:val="3"/>
            <w:vAlign w:val="center"/>
          </w:tcPr>
          <w:p w14:paraId="6AE5FBB4">
            <w:pPr>
              <w:keepNext w:val="0"/>
              <w:keepLines w:val="0"/>
              <w:pageBreakBefore w:val="0"/>
              <w:kinsoku/>
              <w:wordWrap/>
              <w:overflowPunct/>
              <w:topLinePunct w:val="0"/>
              <w:autoSpaceDE/>
              <w:autoSpaceDN/>
              <w:bidi w:val="0"/>
              <w:adjustRightInd/>
              <w:snapToGrid w:val="0"/>
              <w:spacing w:line="360" w:lineRule="auto"/>
              <w:jc w:val="center"/>
              <w:textAlignment w:val="baseline"/>
              <w:rPr>
                <w:rFonts w:hint="eastAsia" w:ascii="微软雅黑" w:hAnsi="微软雅黑" w:eastAsia="微软雅黑" w:cs="微软雅黑"/>
                <w:b/>
                <w:color w:val="auto"/>
                <w:sz w:val="21"/>
                <w:szCs w:val="21"/>
                <w:highlight w:val="none"/>
                <w:lang w:eastAsia="zh-CN"/>
              </w:rPr>
            </w:pPr>
            <w:r>
              <w:rPr>
                <w:rFonts w:hint="eastAsia" w:ascii="微软雅黑" w:hAnsi="微软雅黑" w:eastAsia="微软雅黑" w:cs="微软雅黑"/>
                <w:b/>
                <w:color w:val="auto"/>
                <w:sz w:val="21"/>
                <w:szCs w:val="21"/>
                <w:highlight w:val="none"/>
                <w:lang w:eastAsia="zh-CN"/>
              </w:rPr>
              <w:t>供应商</w:t>
            </w:r>
          </w:p>
        </w:tc>
      </w:tr>
      <w:tr w14:paraId="1AC1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14:paraId="1455936B">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bCs/>
                <w:color w:val="auto"/>
                <w:sz w:val="21"/>
                <w:szCs w:val="21"/>
                <w:highlight w:val="none"/>
              </w:rPr>
            </w:pPr>
          </w:p>
        </w:tc>
        <w:tc>
          <w:tcPr>
            <w:tcW w:w="7225" w:type="dxa"/>
            <w:vMerge w:val="continue"/>
            <w:vAlign w:val="center"/>
          </w:tcPr>
          <w:p w14:paraId="3A5F446B">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bCs/>
                <w:color w:val="auto"/>
                <w:sz w:val="21"/>
                <w:szCs w:val="21"/>
                <w:highlight w:val="none"/>
              </w:rPr>
            </w:pPr>
          </w:p>
        </w:tc>
        <w:tc>
          <w:tcPr>
            <w:tcW w:w="912" w:type="dxa"/>
            <w:vAlign w:val="center"/>
          </w:tcPr>
          <w:p w14:paraId="132E7C71">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是否合格</w:t>
            </w:r>
          </w:p>
        </w:tc>
        <w:tc>
          <w:tcPr>
            <w:tcW w:w="750" w:type="dxa"/>
            <w:vAlign w:val="center"/>
          </w:tcPr>
          <w:p w14:paraId="04803154">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是否合格</w:t>
            </w:r>
          </w:p>
        </w:tc>
        <w:tc>
          <w:tcPr>
            <w:tcW w:w="727" w:type="dxa"/>
            <w:vAlign w:val="center"/>
          </w:tcPr>
          <w:p w14:paraId="511A8FD1">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是否合格</w:t>
            </w:r>
          </w:p>
        </w:tc>
      </w:tr>
      <w:tr w14:paraId="5C60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14:paraId="20108319">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7225" w:type="dxa"/>
            <w:vAlign w:val="center"/>
          </w:tcPr>
          <w:p w14:paraId="5A0C2379">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具有独立承担民事责任的能力；（投标时，提供在中华人民共和国境内注册的法人或其他组织的营业执照或事业单位法人证书或社会团体法人登记证书）</w:t>
            </w:r>
          </w:p>
        </w:tc>
        <w:tc>
          <w:tcPr>
            <w:tcW w:w="912" w:type="dxa"/>
          </w:tcPr>
          <w:p w14:paraId="433B209B">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0753DA04">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59CFDB89">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7C98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53" w:type="dxa"/>
            <w:vAlign w:val="center"/>
          </w:tcPr>
          <w:p w14:paraId="54A99F07">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7225" w:type="dxa"/>
            <w:vAlign w:val="center"/>
          </w:tcPr>
          <w:p w14:paraId="3355B3D2">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提供法定代表人资格证明及授权书、被授权人身份证；(法定代表人投标需提供法定代表人身份证)；</w:t>
            </w:r>
          </w:p>
        </w:tc>
        <w:tc>
          <w:tcPr>
            <w:tcW w:w="912" w:type="dxa"/>
          </w:tcPr>
          <w:p w14:paraId="2DBC41F9">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00F76B53">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5DA96D08">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1599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14:paraId="117AB163">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7225" w:type="dxa"/>
            <w:vAlign w:val="center"/>
          </w:tcPr>
          <w:p w14:paraId="7B47AFD3">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提供本单位依法缴纳近6个月内任意一个月的社会保险证明（新成立公司提供相关证明文件）；</w:t>
            </w:r>
          </w:p>
        </w:tc>
        <w:tc>
          <w:tcPr>
            <w:tcW w:w="912" w:type="dxa"/>
          </w:tcPr>
          <w:p w14:paraId="3D1EC907">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19C1AE3B">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4DE96C4F">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54FD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14:paraId="5751FF18">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bCs/>
                <w:color w:val="auto"/>
                <w:sz w:val="21"/>
                <w:szCs w:val="21"/>
                <w:highlight w:val="none"/>
              </w:rPr>
            </w:pPr>
            <w:r>
              <w:rPr>
                <w:rFonts w:hint="eastAsia" w:ascii="微软雅黑" w:hAnsi="微软雅黑" w:eastAsia="微软雅黑" w:cs="微软雅黑"/>
                <w:bCs/>
                <w:color w:val="auto"/>
                <w:sz w:val="21"/>
                <w:szCs w:val="21"/>
                <w:highlight w:val="none"/>
              </w:rPr>
              <w:t>4</w:t>
            </w:r>
          </w:p>
        </w:tc>
        <w:tc>
          <w:tcPr>
            <w:tcW w:w="7225" w:type="dxa"/>
            <w:vAlign w:val="center"/>
          </w:tcPr>
          <w:p w14:paraId="76751DD5">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提供税务部门出具的本单位近6个月内任意一个月的完税证明（依法免缴的应提供依法免缴的相关证明文件或零申报报表或无欠税证明）；</w:t>
            </w:r>
          </w:p>
        </w:tc>
        <w:tc>
          <w:tcPr>
            <w:tcW w:w="912" w:type="dxa"/>
          </w:tcPr>
          <w:p w14:paraId="0C943D55">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69EC5EAF">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08E7F1E9">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484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14:paraId="4FE46BA2">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bCs/>
                <w:color w:val="auto"/>
                <w:sz w:val="21"/>
                <w:szCs w:val="21"/>
                <w:highlight w:val="none"/>
              </w:rPr>
            </w:pPr>
            <w:r>
              <w:rPr>
                <w:rFonts w:hint="eastAsia" w:ascii="微软雅黑" w:hAnsi="微软雅黑" w:eastAsia="微软雅黑" w:cs="微软雅黑"/>
                <w:color w:val="auto"/>
                <w:kern w:val="0"/>
                <w:sz w:val="21"/>
                <w:szCs w:val="21"/>
                <w:highlight w:val="none"/>
              </w:rPr>
              <w:t>5</w:t>
            </w:r>
          </w:p>
        </w:tc>
        <w:tc>
          <w:tcPr>
            <w:tcW w:w="7225" w:type="dxa"/>
            <w:vAlign w:val="center"/>
          </w:tcPr>
          <w:p w14:paraId="09BCE5A2">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提供近两年任意一年完整的财务审计报告（或近一个月的银行资信证明）；</w:t>
            </w:r>
          </w:p>
        </w:tc>
        <w:tc>
          <w:tcPr>
            <w:tcW w:w="912" w:type="dxa"/>
          </w:tcPr>
          <w:p w14:paraId="5EC96A0D">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1C4B21CD">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3056BDE6">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2498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14:paraId="1A0AD4FF">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6</w:t>
            </w:r>
          </w:p>
        </w:tc>
        <w:tc>
          <w:tcPr>
            <w:tcW w:w="7225" w:type="dxa"/>
            <w:vAlign w:val="center"/>
          </w:tcPr>
          <w:p w14:paraId="6CF3C5D1">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参与政府采购活动前3年内未被列入失信、重大税收违法案件、财政部门禁止参加政府采购活动的承诺书；</w:t>
            </w:r>
          </w:p>
        </w:tc>
        <w:tc>
          <w:tcPr>
            <w:tcW w:w="912" w:type="dxa"/>
          </w:tcPr>
          <w:p w14:paraId="275ED8CB">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275A7306">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5C23BE98">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0BF1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3B5CFEF4">
            <w:pPr>
              <w:keepNext w:val="0"/>
              <w:keepLines w:val="0"/>
              <w:pageBreakBefore w:val="0"/>
              <w:kinsoku/>
              <w:wordWrap/>
              <w:overflowPunct/>
              <w:topLinePunct w:val="0"/>
              <w:autoSpaceDE/>
              <w:autoSpaceDN/>
              <w:bidi w:val="0"/>
              <w:adjustRightInd/>
              <w:snapToGrid w:val="0"/>
              <w:spacing w:line="360" w:lineRule="auto"/>
              <w:jc w:val="center"/>
              <w:textAlignment w:val="baseline"/>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7</w:t>
            </w:r>
          </w:p>
        </w:tc>
        <w:tc>
          <w:tcPr>
            <w:tcW w:w="7225" w:type="dxa"/>
            <w:vAlign w:val="center"/>
          </w:tcPr>
          <w:p w14:paraId="55ADEAFC">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提供针对本次项目的反商业贿赂承诺书。</w:t>
            </w:r>
          </w:p>
        </w:tc>
        <w:tc>
          <w:tcPr>
            <w:tcW w:w="912" w:type="dxa"/>
          </w:tcPr>
          <w:p w14:paraId="30E6BB62">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3BA9A42A">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1F2A7C29">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0A48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51A95304">
            <w:pPr>
              <w:keepNext w:val="0"/>
              <w:keepLines w:val="0"/>
              <w:pageBreakBefore w:val="0"/>
              <w:kinsoku/>
              <w:wordWrap/>
              <w:overflowPunct/>
              <w:topLinePunct w:val="0"/>
              <w:autoSpaceDE/>
              <w:autoSpaceDN/>
              <w:bidi w:val="0"/>
              <w:adjustRightInd/>
              <w:snapToGrid w:val="0"/>
              <w:spacing w:line="360" w:lineRule="auto"/>
              <w:jc w:val="center"/>
              <w:textAlignment w:val="baseline"/>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8</w:t>
            </w:r>
          </w:p>
        </w:tc>
        <w:tc>
          <w:tcPr>
            <w:tcW w:w="7225" w:type="dxa"/>
            <w:vAlign w:val="center"/>
          </w:tcPr>
          <w:p w14:paraId="456DDD26">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tc>
        <w:tc>
          <w:tcPr>
            <w:tcW w:w="912" w:type="dxa"/>
          </w:tcPr>
          <w:p w14:paraId="5DA8FB58">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3A1D6F89">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0A906AD7">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6C2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64A11A6C">
            <w:pPr>
              <w:keepNext w:val="0"/>
              <w:keepLines w:val="0"/>
              <w:pageBreakBefore w:val="0"/>
              <w:kinsoku/>
              <w:wordWrap/>
              <w:overflowPunct/>
              <w:topLinePunct w:val="0"/>
              <w:autoSpaceDE/>
              <w:autoSpaceDN/>
              <w:bidi w:val="0"/>
              <w:adjustRightInd/>
              <w:snapToGrid w:val="0"/>
              <w:spacing w:line="360" w:lineRule="auto"/>
              <w:jc w:val="center"/>
              <w:textAlignment w:val="baseline"/>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9</w:t>
            </w:r>
          </w:p>
        </w:tc>
        <w:tc>
          <w:tcPr>
            <w:tcW w:w="7225" w:type="dxa"/>
            <w:vAlign w:val="center"/>
          </w:tcPr>
          <w:p w14:paraId="635EAD49">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中小企业声明函（施工）</w:t>
            </w:r>
          </w:p>
        </w:tc>
        <w:tc>
          <w:tcPr>
            <w:tcW w:w="912" w:type="dxa"/>
          </w:tcPr>
          <w:p w14:paraId="0D9A485A">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149B8194">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513E49E9">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67C3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14:paraId="2F4CA425">
            <w:pPr>
              <w:keepNext w:val="0"/>
              <w:keepLines w:val="0"/>
              <w:pageBreakBefore w:val="0"/>
              <w:kinsoku/>
              <w:wordWrap/>
              <w:overflowPunct/>
              <w:topLinePunct w:val="0"/>
              <w:autoSpaceDE/>
              <w:autoSpaceDN/>
              <w:bidi w:val="0"/>
              <w:adjustRightInd/>
              <w:snapToGrid w:val="0"/>
              <w:spacing w:line="360" w:lineRule="auto"/>
              <w:jc w:val="center"/>
              <w:textAlignment w:val="baseline"/>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10</w:t>
            </w:r>
          </w:p>
        </w:tc>
        <w:tc>
          <w:tcPr>
            <w:tcW w:w="7225" w:type="dxa"/>
            <w:vAlign w:val="center"/>
          </w:tcPr>
          <w:p w14:paraId="0F29A5F2">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本项目的特定资格要求：①企业资质要求：【建筑工程施工总承包三级】（含）及以上资质或【建筑装饰装修工程施工专业承包二级】（含）及以上资质，并具备有效的安全生产许可证。②项目负责人资质要求：【建筑工程专业二级】（含）及二级以上注册建造师执业资格，具备有效的B类安全生产考核合格证书，且不得担任其他在建工程的项目负责人</w:t>
            </w:r>
            <w:r>
              <w:rPr>
                <w:rFonts w:hint="eastAsia" w:ascii="微软雅黑" w:hAnsi="微软雅黑" w:eastAsia="微软雅黑" w:cs="微软雅黑"/>
                <w:b/>
                <w:bCs/>
                <w:color w:val="auto"/>
                <w:kern w:val="2"/>
                <w:sz w:val="24"/>
                <w:szCs w:val="24"/>
                <w:highlight w:val="none"/>
                <w:lang w:val="en-US" w:eastAsia="zh-CN" w:bidi="ar-SA"/>
              </w:rPr>
              <w:t>（提供无在建项目承诺书）</w:t>
            </w:r>
            <w:r>
              <w:rPr>
                <w:rFonts w:hint="eastAsia" w:ascii="微软雅黑" w:hAnsi="微软雅黑" w:eastAsia="微软雅黑" w:cs="微软雅黑"/>
                <w:color w:val="auto"/>
                <w:sz w:val="21"/>
                <w:szCs w:val="21"/>
                <w:highlight w:val="none"/>
                <w:lang w:val="en-US" w:eastAsia="zh-CN"/>
              </w:rPr>
              <w:t>。</w:t>
            </w:r>
          </w:p>
        </w:tc>
        <w:tc>
          <w:tcPr>
            <w:tcW w:w="912" w:type="dxa"/>
          </w:tcPr>
          <w:p w14:paraId="47D6151C">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6111674A">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6FC96109">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52E7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14:paraId="5CD8F68C">
            <w:pPr>
              <w:keepNext w:val="0"/>
              <w:keepLines w:val="0"/>
              <w:pageBreakBefore w:val="0"/>
              <w:kinsoku/>
              <w:wordWrap/>
              <w:overflowPunct/>
              <w:topLinePunct w:val="0"/>
              <w:autoSpaceDE/>
              <w:autoSpaceDN/>
              <w:bidi w:val="0"/>
              <w:adjustRightInd/>
              <w:snapToGrid w:val="0"/>
              <w:spacing w:line="360" w:lineRule="auto"/>
              <w:jc w:val="center"/>
              <w:textAlignment w:val="baseline"/>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11</w:t>
            </w:r>
          </w:p>
        </w:tc>
        <w:tc>
          <w:tcPr>
            <w:tcW w:w="7225" w:type="dxa"/>
            <w:vAlign w:val="center"/>
          </w:tcPr>
          <w:p w14:paraId="0B103A0A">
            <w:pPr>
              <w:keepNext w:val="0"/>
              <w:keepLines w:val="0"/>
              <w:pageBreakBefore w:val="0"/>
              <w:kinsoku/>
              <w:wordWrap/>
              <w:overflowPunct/>
              <w:topLinePunct w:val="0"/>
              <w:autoSpaceDE/>
              <w:autoSpaceDN/>
              <w:bidi w:val="0"/>
              <w:adjustRightInd/>
              <w:snapToGrid w:val="0"/>
              <w:spacing w:line="360" w:lineRule="auto"/>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磋商保证金有效凭证。</w:t>
            </w:r>
          </w:p>
        </w:tc>
        <w:tc>
          <w:tcPr>
            <w:tcW w:w="912" w:type="dxa"/>
          </w:tcPr>
          <w:p w14:paraId="65396E16">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0271F8E3">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64AE8AF9">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r w14:paraId="5A6D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14:paraId="08F72639">
            <w:pPr>
              <w:keepNext w:val="0"/>
              <w:keepLines w:val="0"/>
              <w:pageBreakBefore w:val="0"/>
              <w:kinsoku/>
              <w:wordWrap/>
              <w:overflowPunct/>
              <w:topLinePunct w:val="0"/>
              <w:autoSpaceDE/>
              <w:autoSpaceDN/>
              <w:bidi w:val="0"/>
              <w:adjustRightInd/>
              <w:snapToGrid w:val="0"/>
              <w:spacing w:line="360" w:lineRule="auto"/>
              <w:jc w:val="center"/>
              <w:textAlignment w:val="baseline"/>
              <w:rPr>
                <w:rFonts w:ascii="微软雅黑" w:hAnsi="微软雅黑" w:eastAsia="微软雅黑" w:cs="微软雅黑"/>
                <w:color w:val="auto"/>
                <w:sz w:val="21"/>
                <w:szCs w:val="21"/>
                <w:highlight w:val="none"/>
              </w:rPr>
            </w:pPr>
          </w:p>
        </w:tc>
        <w:tc>
          <w:tcPr>
            <w:tcW w:w="7225" w:type="dxa"/>
            <w:vAlign w:val="center"/>
          </w:tcPr>
          <w:p w14:paraId="02819EA3">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结论</w:t>
            </w:r>
          </w:p>
        </w:tc>
        <w:tc>
          <w:tcPr>
            <w:tcW w:w="912" w:type="dxa"/>
          </w:tcPr>
          <w:p w14:paraId="6D0A55B7">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50" w:type="dxa"/>
          </w:tcPr>
          <w:p w14:paraId="6F0FD3BC">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c>
          <w:tcPr>
            <w:tcW w:w="727" w:type="dxa"/>
          </w:tcPr>
          <w:p w14:paraId="40023320">
            <w:pPr>
              <w:keepNext w:val="0"/>
              <w:keepLines w:val="0"/>
              <w:pageBreakBefore w:val="0"/>
              <w:kinsoku/>
              <w:wordWrap/>
              <w:overflowPunct/>
              <w:topLinePunct w:val="0"/>
              <w:autoSpaceDE/>
              <w:autoSpaceDN/>
              <w:bidi w:val="0"/>
              <w:adjustRightInd/>
              <w:snapToGrid w:val="0"/>
              <w:spacing w:line="360" w:lineRule="auto"/>
              <w:textAlignment w:val="baseline"/>
              <w:rPr>
                <w:rFonts w:ascii="微软雅黑" w:hAnsi="微软雅黑" w:eastAsia="微软雅黑" w:cs="微软雅黑"/>
                <w:color w:val="auto"/>
                <w:sz w:val="21"/>
                <w:szCs w:val="21"/>
                <w:highlight w:val="none"/>
              </w:rPr>
            </w:pPr>
          </w:p>
        </w:tc>
      </w:tr>
    </w:tbl>
    <w:p w14:paraId="3DA53989">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说明：（1）上述各项中用“√”表示通过，“×”表示不通过；</w:t>
      </w:r>
    </w:p>
    <w:p w14:paraId="25F18F99">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（2）上述各项中如有一项为“×”，则结论为“×”，表示该磋商文件中存在重大偏差，不能通过初步评审；评委对某一分项评审认为不合格时，必须要写明原因。</w:t>
      </w:r>
    </w:p>
    <w:p w14:paraId="14CB8000">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（3）磋商文件最终合格与否，以所有评委的评审意见中少数服从多数为原则定论。</w:t>
      </w:r>
    </w:p>
    <w:p w14:paraId="2EFC8F1F">
      <w:pPr>
        <w:pageBreakBefore w:val="0"/>
        <w:kinsoku/>
        <w:wordWrap/>
        <w:overflowPunct/>
        <w:topLinePunct w:val="0"/>
        <w:bidi w:val="0"/>
        <w:snapToGrid w:val="0"/>
        <w:spacing w:line="520" w:lineRule="exac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备注：如果磋商文件中有一项未通过上述审查标准，评审委员会将认定整个磋商文件未响应磋商文件而予以废标处理。</w:t>
      </w:r>
      <w:bookmarkStart w:id="795" w:name="_Toc22896"/>
      <w:bookmarkStart w:id="796" w:name="_Toc19552"/>
    </w:p>
    <w:p w14:paraId="3186CE0B">
      <w:pPr>
        <w:pStyle w:val="26"/>
        <w:pageBreakBefore w:val="0"/>
        <w:kinsoku/>
        <w:wordWrap/>
        <w:overflowPunct/>
        <w:topLinePunct w:val="0"/>
        <w:bidi w:val="0"/>
        <w:spacing w:line="520" w:lineRule="exact"/>
        <w:rPr>
          <w:rFonts w:hint="eastAsia" w:ascii="微软雅黑" w:hAnsi="微软雅黑" w:eastAsia="微软雅黑" w:cs="微软雅黑"/>
          <w:b/>
          <w:bCs/>
          <w:color w:val="auto"/>
          <w:sz w:val="24"/>
          <w:highlight w:val="none"/>
        </w:rPr>
      </w:pPr>
    </w:p>
    <w:p w14:paraId="04EEBF82">
      <w:pPr>
        <w:pStyle w:val="26"/>
        <w:pageBreakBefore w:val="0"/>
        <w:kinsoku/>
        <w:wordWrap/>
        <w:overflowPunct/>
        <w:topLinePunct w:val="0"/>
        <w:bidi w:val="0"/>
        <w:spacing w:line="520" w:lineRule="exact"/>
        <w:rPr>
          <w:rFonts w:hint="eastAsia" w:ascii="微软雅黑" w:hAnsi="微软雅黑" w:eastAsia="微软雅黑" w:cs="微软雅黑"/>
          <w:b/>
          <w:bCs/>
          <w:color w:val="auto"/>
          <w:sz w:val="24"/>
          <w:highlight w:val="none"/>
        </w:rPr>
      </w:pPr>
    </w:p>
    <w:p w14:paraId="7C1B1AB5">
      <w:pPr>
        <w:pStyle w:val="11"/>
        <w:rPr>
          <w:rFonts w:hint="eastAsia" w:ascii="微软雅黑" w:hAnsi="微软雅黑" w:eastAsia="微软雅黑" w:cs="微软雅黑"/>
          <w:b/>
          <w:bCs/>
          <w:color w:val="auto"/>
          <w:sz w:val="24"/>
          <w:highlight w:val="none"/>
        </w:rPr>
      </w:pPr>
    </w:p>
    <w:p w14:paraId="12E6A036">
      <w:pPr>
        <w:pStyle w:val="11"/>
        <w:rPr>
          <w:rFonts w:hint="eastAsia" w:ascii="微软雅黑" w:hAnsi="微软雅黑" w:eastAsia="微软雅黑" w:cs="微软雅黑"/>
          <w:b/>
          <w:bCs/>
          <w:color w:val="auto"/>
          <w:sz w:val="24"/>
          <w:highlight w:val="none"/>
        </w:rPr>
      </w:pPr>
    </w:p>
    <w:p w14:paraId="3360F1E0">
      <w:pPr>
        <w:pStyle w:val="11"/>
        <w:rPr>
          <w:rFonts w:hint="eastAsia" w:ascii="微软雅黑" w:hAnsi="微软雅黑" w:eastAsia="微软雅黑" w:cs="微软雅黑"/>
          <w:b/>
          <w:bCs/>
          <w:color w:val="auto"/>
          <w:sz w:val="24"/>
          <w:highlight w:val="none"/>
        </w:rPr>
      </w:pPr>
    </w:p>
    <w:p w14:paraId="23322B23">
      <w:pPr>
        <w:pStyle w:val="11"/>
        <w:rPr>
          <w:rFonts w:hint="eastAsia" w:ascii="微软雅黑" w:hAnsi="微软雅黑" w:eastAsia="微软雅黑" w:cs="微软雅黑"/>
          <w:b/>
          <w:bCs/>
          <w:color w:val="auto"/>
          <w:sz w:val="24"/>
          <w:highlight w:val="none"/>
        </w:rPr>
      </w:pPr>
    </w:p>
    <w:p w14:paraId="54D72203">
      <w:pPr>
        <w:pStyle w:val="11"/>
        <w:rPr>
          <w:rFonts w:hint="eastAsia" w:ascii="微软雅黑" w:hAnsi="微软雅黑" w:eastAsia="微软雅黑" w:cs="微软雅黑"/>
          <w:b/>
          <w:bCs/>
          <w:color w:val="auto"/>
          <w:sz w:val="24"/>
          <w:highlight w:val="none"/>
        </w:rPr>
      </w:pPr>
    </w:p>
    <w:p w14:paraId="68E6B476">
      <w:pPr>
        <w:pStyle w:val="11"/>
        <w:rPr>
          <w:rFonts w:hint="eastAsia" w:ascii="微软雅黑" w:hAnsi="微软雅黑" w:eastAsia="微软雅黑" w:cs="微软雅黑"/>
          <w:b/>
          <w:bCs/>
          <w:color w:val="auto"/>
          <w:sz w:val="24"/>
          <w:highlight w:val="none"/>
        </w:rPr>
      </w:pPr>
    </w:p>
    <w:p w14:paraId="6A3C1183">
      <w:pPr>
        <w:pStyle w:val="11"/>
        <w:rPr>
          <w:rFonts w:hint="eastAsia" w:ascii="微软雅黑" w:hAnsi="微软雅黑" w:eastAsia="微软雅黑" w:cs="微软雅黑"/>
          <w:b/>
          <w:bCs/>
          <w:color w:val="auto"/>
          <w:sz w:val="24"/>
          <w:highlight w:val="none"/>
        </w:rPr>
      </w:pPr>
    </w:p>
    <w:p w14:paraId="3F560330">
      <w:pPr>
        <w:pStyle w:val="11"/>
        <w:rPr>
          <w:rFonts w:hint="eastAsia" w:ascii="微软雅黑" w:hAnsi="微软雅黑" w:eastAsia="微软雅黑" w:cs="微软雅黑"/>
          <w:b/>
          <w:bCs/>
          <w:color w:val="auto"/>
          <w:sz w:val="24"/>
          <w:highlight w:val="none"/>
        </w:rPr>
      </w:pPr>
    </w:p>
    <w:p w14:paraId="3BAE05D0">
      <w:pPr>
        <w:pStyle w:val="11"/>
        <w:rPr>
          <w:rFonts w:hint="eastAsia" w:ascii="微软雅黑" w:hAnsi="微软雅黑" w:eastAsia="微软雅黑" w:cs="微软雅黑"/>
          <w:b/>
          <w:bCs/>
          <w:color w:val="auto"/>
          <w:sz w:val="24"/>
          <w:highlight w:val="none"/>
        </w:rPr>
      </w:pPr>
    </w:p>
    <w:p w14:paraId="0606108E">
      <w:pPr>
        <w:rPr>
          <w:rFonts w:hint="eastAsia" w:ascii="微软雅黑" w:hAnsi="微软雅黑" w:eastAsia="微软雅黑" w:cs="微软雅黑"/>
          <w:b/>
          <w:color w:val="auto"/>
          <w:sz w:val="28"/>
          <w:szCs w:val="28"/>
          <w:highlight w:val="none"/>
        </w:rPr>
      </w:pPr>
      <w:bookmarkStart w:id="797" w:name="_Toc13650"/>
      <w:bookmarkStart w:id="798" w:name="_Toc13208"/>
      <w:bookmarkStart w:id="799" w:name="_Toc10503"/>
      <w:bookmarkStart w:id="800" w:name="_Toc347"/>
      <w:bookmarkStart w:id="801" w:name="_Toc11623"/>
      <w:bookmarkStart w:id="802" w:name="_Toc29597"/>
      <w:bookmarkStart w:id="803" w:name="_Toc17473"/>
      <w:bookmarkStart w:id="804" w:name="_Toc23517"/>
      <w:bookmarkStart w:id="805" w:name="_Toc25729"/>
      <w:bookmarkStart w:id="806" w:name="_Toc17652"/>
      <w:bookmarkStart w:id="807" w:name="_Toc22949"/>
      <w:r>
        <w:rPr>
          <w:rFonts w:hint="eastAsia" w:ascii="微软雅黑" w:hAnsi="微软雅黑" w:eastAsia="微软雅黑" w:cs="微软雅黑"/>
          <w:b/>
          <w:color w:val="auto"/>
          <w:sz w:val="28"/>
          <w:szCs w:val="28"/>
          <w:highlight w:val="none"/>
        </w:rPr>
        <w:br w:type="page"/>
      </w:r>
    </w:p>
    <w:p w14:paraId="06F1196F">
      <w:pPr>
        <w:pStyle w:val="8"/>
        <w:pageBreakBefore w:val="0"/>
        <w:kinsoku/>
        <w:wordWrap/>
        <w:overflowPunct/>
        <w:topLinePunct w:val="0"/>
        <w:bidi w:val="0"/>
        <w:snapToGrid w:val="0"/>
        <w:spacing w:line="520" w:lineRule="exact"/>
        <w:ind w:firstLine="0"/>
        <w:jc w:val="center"/>
        <w:textAlignment w:val="baseline"/>
        <w:outlineLvl w:val="1"/>
        <w:rPr>
          <w:rFonts w:ascii="微软雅黑" w:hAnsi="微软雅黑" w:eastAsia="微软雅黑" w:cs="微软雅黑"/>
          <w:b/>
          <w:color w:val="auto"/>
          <w:sz w:val="28"/>
          <w:szCs w:val="28"/>
          <w:highlight w:val="none"/>
        </w:rPr>
      </w:pPr>
      <w:bookmarkStart w:id="808" w:name="_Toc3723"/>
      <w:r>
        <w:rPr>
          <w:rFonts w:hint="eastAsia" w:ascii="微软雅黑" w:hAnsi="微软雅黑" w:eastAsia="微软雅黑" w:cs="微软雅黑"/>
          <w:b/>
          <w:color w:val="auto"/>
          <w:sz w:val="28"/>
          <w:szCs w:val="28"/>
          <w:highlight w:val="none"/>
        </w:rPr>
        <w:t>初步评审—符合性审查表</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tbl>
      <w:tblPr>
        <w:tblStyle w:val="38"/>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14:paraId="2B71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14:paraId="17802D68">
            <w:pPr>
              <w:pageBreakBefore w:val="0"/>
              <w:kinsoku/>
              <w:wordWrap/>
              <w:overflowPunct/>
              <w:topLinePunct w:val="0"/>
              <w:bidi w:val="0"/>
              <w:spacing w:line="520" w:lineRule="exact"/>
              <w:jc w:val="center"/>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评审内容</w:t>
            </w:r>
          </w:p>
        </w:tc>
        <w:tc>
          <w:tcPr>
            <w:tcW w:w="1668" w:type="dxa"/>
            <w:vAlign w:val="center"/>
          </w:tcPr>
          <w:p w14:paraId="45B61D7F">
            <w:pPr>
              <w:pageBreakBefore w:val="0"/>
              <w:kinsoku/>
              <w:wordWrap/>
              <w:overflowPunct/>
              <w:topLinePunct w:val="0"/>
              <w:bidi w:val="0"/>
              <w:spacing w:line="520" w:lineRule="exact"/>
              <w:jc w:val="center"/>
              <w:rPr>
                <w:rFonts w:ascii="微软雅黑" w:hAnsi="微软雅黑" w:eastAsia="微软雅黑" w:cs="微软雅黑"/>
                <w:color w:val="auto"/>
                <w:spacing w:val="-2"/>
                <w:sz w:val="24"/>
                <w:highlight w:val="none"/>
              </w:rPr>
            </w:pPr>
            <w:r>
              <w:rPr>
                <w:rFonts w:hint="eastAsia" w:ascii="微软雅黑" w:hAnsi="微软雅黑" w:eastAsia="微软雅黑" w:cs="微软雅黑"/>
                <w:b/>
                <w:color w:val="auto"/>
                <w:sz w:val="24"/>
                <w:highlight w:val="none"/>
              </w:rPr>
              <w:t>评审意见</w:t>
            </w:r>
          </w:p>
        </w:tc>
      </w:tr>
      <w:tr w14:paraId="0A00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14:paraId="269BEEED">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6887" w:type="dxa"/>
            <w:vAlign w:val="center"/>
          </w:tcPr>
          <w:p w14:paraId="2872C795">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c>
          <w:tcPr>
            <w:tcW w:w="1668" w:type="dxa"/>
            <w:vAlign w:val="center"/>
          </w:tcPr>
          <w:p w14:paraId="4959DE34">
            <w:pPr>
              <w:pageBreakBefore w:val="0"/>
              <w:kinsoku/>
              <w:wordWrap/>
              <w:overflowPunct/>
              <w:topLinePunct w:val="0"/>
              <w:bidi w:val="0"/>
              <w:spacing w:line="520" w:lineRule="exact"/>
              <w:jc w:val="center"/>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是否合格</w:t>
            </w:r>
          </w:p>
        </w:tc>
      </w:tr>
      <w:tr w14:paraId="2B9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7A232A10">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6887" w:type="dxa"/>
            <w:vAlign w:val="center"/>
          </w:tcPr>
          <w:p w14:paraId="52B43E2A">
            <w:pPr>
              <w:pageBreakBefore w:val="0"/>
              <w:kinsoku/>
              <w:wordWrap/>
              <w:overflowPunct/>
              <w:topLinePunct w:val="0"/>
              <w:bidi w:val="0"/>
              <w:spacing w:line="520" w:lineRule="exact"/>
              <w:jc w:val="left"/>
              <w:rPr>
                <w:rFonts w:hint="default" w:ascii="微软雅黑" w:hAnsi="微软雅黑" w:eastAsia="微软雅黑" w:cs="微软雅黑"/>
                <w:color w:val="auto"/>
                <w:spacing w:val="-2"/>
                <w:sz w:val="24"/>
                <w:highlight w:val="none"/>
                <w:lang w:val="en-US" w:eastAsia="zh-CN"/>
              </w:rPr>
            </w:pPr>
            <w:r>
              <w:rPr>
                <w:rFonts w:hint="eastAsia" w:ascii="微软雅黑" w:hAnsi="微软雅黑" w:eastAsia="微软雅黑" w:cs="微软雅黑"/>
                <w:color w:val="auto"/>
                <w:spacing w:val="-2"/>
                <w:sz w:val="24"/>
                <w:highlight w:val="none"/>
              </w:rPr>
              <w:t>各</w:t>
            </w:r>
            <w:r>
              <w:rPr>
                <w:rFonts w:hint="eastAsia" w:ascii="微软雅黑" w:hAnsi="微软雅黑" w:eastAsia="微软雅黑" w:cs="微软雅黑"/>
                <w:color w:val="auto"/>
                <w:spacing w:val="-2"/>
                <w:sz w:val="24"/>
                <w:highlight w:val="none"/>
                <w:lang w:eastAsia="zh-CN"/>
              </w:rPr>
              <w:t>供应商</w:t>
            </w:r>
            <w:r>
              <w:rPr>
                <w:rFonts w:hint="eastAsia" w:ascii="微软雅黑" w:hAnsi="微软雅黑" w:eastAsia="微软雅黑" w:cs="微软雅黑"/>
                <w:color w:val="auto"/>
                <w:spacing w:val="-2"/>
                <w:sz w:val="24"/>
                <w:highlight w:val="none"/>
                <w:lang w:val="en-US" w:eastAsia="zh-CN"/>
              </w:rPr>
              <w:t>磋商</w:t>
            </w:r>
            <w:r>
              <w:rPr>
                <w:rFonts w:hint="eastAsia" w:ascii="微软雅黑" w:hAnsi="微软雅黑" w:eastAsia="微软雅黑" w:cs="微软雅黑"/>
                <w:color w:val="auto"/>
                <w:spacing w:val="-2"/>
                <w:sz w:val="24"/>
                <w:highlight w:val="none"/>
              </w:rPr>
              <w:t>报价未高于</w:t>
            </w:r>
            <w:r>
              <w:rPr>
                <w:rFonts w:hint="eastAsia" w:ascii="微软雅黑" w:hAnsi="微软雅黑" w:eastAsia="微软雅黑" w:cs="微软雅黑"/>
                <w:color w:val="auto"/>
                <w:spacing w:val="-2"/>
                <w:sz w:val="24"/>
                <w:highlight w:val="none"/>
                <w:lang w:eastAsia="zh-CN"/>
              </w:rPr>
              <w:t>招标控制价</w:t>
            </w:r>
            <w:r>
              <w:rPr>
                <w:rFonts w:hint="eastAsia" w:ascii="微软雅黑" w:hAnsi="微软雅黑" w:eastAsia="微软雅黑" w:cs="微软雅黑"/>
                <w:color w:val="auto"/>
                <w:spacing w:val="-2"/>
                <w:sz w:val="24"/>
                <w:highlight w:val="none"/>
                <w:lang w:val="en-US" w:eastAsia="zh-CN"/>
              </w:rPr>
              <w:t>(即最高限价）</w:t>
            </w:r>
            <w:r>
              <w:rPr>
                <w:rFonts w:hint="eastAsia" w:ascii="微软雅黑" w:hAnsi="微软雅黑" w:eastAsia="微软雅黑" w:cs="微软雅黑"/>
                <w:color w:val="auto"/>
                <w:spacing w:val="-2"/>
                <w:sz w:val="24"/>
                <w:highlight w:val="none"/>
                <w:lang w:eastAsia="zh-CN"/>
              </w:rPr>
              <w:t>。</w:t>
            </w:r>
          </w:p>
        </w:tc>
        <w:tc>
          <w:tcPr>
            <w:tcW w:w="1668" w:type="dxa"/>
            <w:vAlign w:val="center"/>
          </w:tcPr>
          <w:p w14:paraId="3BECBF5E">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r>
      <w:tr w14:paraId="4A70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49BE0A04">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6887" w:type="dxa"/>
            <w:vAlign w:val="center"/>
          </w:tcPr>
          <w:p w14:paraId="74B77363">
            <w:pPr>
              <w:pageBreakBefore w:val="0"/>
              <w:kinsoku/>
              <w:wordWrap/>
              <w:overflowPunct/>
              <w:topLinePunct w:val="0"/>
              <w:bidi w:val="0"/>
              <w:spacing w:line="520" w:lineRule="exact"/>
              <w:jc w:val="left"/>
              <w:rPr>
                <w:rFonts w:hint="eastAsia" w:ascii="微软雅黑" w:hAnsi="微软雅黑" w:eastAsia="微软雅黑" w:cs="微软雅黑"/>
                <w:color w:val="auto"/>
                <w:spacing w:val="-2"/>
                <w:sz w:val="24"/>
                <w:highlight w:val="none"/>
                <w:lang w:eastAsia="zh-CN"/>
              </w:rPr>
            </w:pPr>
            <w:r>
              <w:rPr>
                <w:rFonts w:hint="eastAsia" w:ascii="微软雅黑" w:hAnsi="微软雅黑" w:eastAsia="微软雅黑" w:cs="微软雅黑"/>
                <w:color w:val="auto"/>
                <w:spacing w:val="-2"/>
                <w:sz w:val="24"/>
                <w:highlight w:val="none"/>
              </w:rPr>
              <w:t>磋商小组认为</w:t>
            </w:r>
            <w:r>
              <w:rPr>
                <w:rFonts w:hint="eastAsia" w:ascii="微软雅黑" w:hAnsi="微软雅黑" w:eastAsia="微软雅黑" w:cs="微软雅黑"/>
                <w:color w:val="auto"/>
                <w:spacing w:val="-2"/>
                <w:sz w:val="24"/>
                <w:highlight w:val="none"/>
                <w:lang w:eastAsia="zh-CN"/>
              </w:rPr>
              <w:t>供应商</w:t>
            </w:r>
            <w:r>
              <w:rPr>
                <w:rFonts w:hint="eastAsia" w:ascii="微软雅黑" w:hAnsi="微软雅黑" w:eastAsia="微软雅黑" w:cs="微软雅黑"/>
                <w:color w:val="auto"/>
                <w:spacing w:val="-2"/>
                <w:sz w:val="24"/>
                <w:highlight w:val="none"/>
              </w:rPr>
              <w:t>的报价无明显低于其他通过资格性审查</w:t>
            </w:r>
            <w:r>
              <w:rPr>
                <w:rFonts w:hint="eastAsia" w:ascii="微软雅黑" w:hAnsi="微软雅黑" w:eastAsia="微软雅黑" w:cs="微软雅黑"/>
                <w:color w:val="auto"/>
                <w:spacing w:val="-2"/>
                <w:sz w:val="24"/>
                <w:highlight w:val="none"/>
                <w:lang w:eastAsia="zh-CN"/>
              </w:rPr>
              <w:t>供应商</w:t>
            </w:r>
            <w:r>
              <w:rPr>
                <w:rFonts w:hint="eastAsia" w:ascii="微软雅黑" w:hAnsi="微软雅黑" w:eastAsia="微软雅黑" w:cs="微软雅黑"/>
                <w:color w:val="auto"/>
                <w:spacing w:val="-2"/>
                <w:sz w:val="24"/>
                <w:highlight w:val="none"/>
              </w:rPr>
              <w:t>的报价的，</w:t>
            </w:r>
            <w:r>
              <w:rPr>
                <w:rFonts w:hint="eastAsia" w:ascii="微软雅黑" w:hAnsi="微软雅黑" w:eastAsia="微软雅黑" w:cs="微软雅黑"/>
                <w:color w:val="auto"/>
                <w:spacing w:val="-2"/>
                <w:sz w:val="24"/>
                <w:highlight w:val="none"/>
                <w:lang w:eastAsia="zh-CN"/>
              </w:rPr>
              <w:t>供应商</w:t>
            </w:r>
            <w:r>
              <w:rPr>
                <w:rFonts w:hint="eastAsia" w:ascii="微软雅黑" w:hAnsi="微软雅黑" w:eastAsia="微软雅黑" w:cs="微软雅黑"/>
                <w:color w:val="auto"/>
                <w:spacing w:val="-2"/>
                <w:sz w:val="24"/>
                <w:highlight w:val="none"/>
              </w:rPr>
              <w:t>的报价不存在异常一致并成规律性的，其报价合理</w:t>
            </w:r>
            <w:r>
              <w:rPr>
                <w:rFonts w:hint="eastAsia" w:ascii="微软雅黑" w:hAnsi="微软雅黑" w:eastAsia="微软雅黑" w:cs="微软雅黑"/>
                <w:color w:val="auto"/>
                <w:spacing w:val="-2"/>
                <w:sz w:val="24"/>
                <w:highlight w:val="none"/>
                <w:lang w:eastAsia="zh-CN"/>
              </w:rPr>
              <w:t>。</w:t>
            </w:r>
          </w:p>
        </w:tc>
        <w:tc>
          <w:tcPr>
            <w:tcW w:w="1668" w:type="dxa"/>
            <w:vAlign w:val="center"/>
          </w:tcPr>
          <w:p w14:paraId="48560B0A">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r>
      <w:tr w14:paraId="0A1F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72081D62">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6887" w:type="dxa"/>
            <w:vAlign w:val="center"/>
          </w:tcPr>
          <w:p w14:paraId="094C505F">
            <w:pPr>
              <w:pageBreakBefore w:val="0"/>
              <w:kinsoku/>
              <w:wordWrap/>
              <w:overflowPunct/>
              <w:topLinePunct w:val="0"/>
              <w:bidi w:val="0"/>
              <w:spacing w:line="520" w:lineRule="exact"/>
              <w:jc w:val="left"/>
              <w:rPr>
                <w:rFonts w:hint="eastAsia" w:ascii="微软雅黑" w:hAnsi="微软雅黑" w:eastAsia="微软雅黑" w:cs="微软雅黑"/>
                <w:color w:val="auto"/>
                <w:spacing w:val="-2"/>
                <w:sz w:val="24"/>
                <w:highlight w:val="none"/>
                <w:lang w:eastAsia="zh-CN"/>
              </w:rPr>
            </w:pPr>
            <w:r>
              <w:rPr>
                <w:rFonts w:hint="eastAsia" w:ascii="微软雅黑" w:hAnsi="微软雅黑" w:eastAsia="微软雅黑" w:cs="微软雅黑"/>
                <w:color w:val="auto"/>
                <w:spacing w:val="-2"/>
                <w:sz w:val="24"/>
                <w:highlight w:val="none"/>
                <w:lang w:val="en-US" w:eastAsia="zh-CN"/>
              </w:rPr>
              <w:t>响应</w:t>
            </w:r>
            <w:r>
              <w:rPr>
                <w:rFonts w:hint="eastAsia" w:ascii="微软雅黑" w:hAnsi="微软雅黑" w:eastAsia="微软雅黑" w:cs="微软雅黑"/>
                <w:color w:val="auto"/>
                <w:spacing w:val="-2"/>
                <w:sz w:val="24"/>
                <w:highlight w:val="none"/>
              </w:rPr>
              <w:t>文件按照磋商文件的规定编制、标记及签署盖章的，法定代表人或其授权代表签字（章）和加盖</w:t>
            </w:r>
            <w:r>
              <w:rPr>
                <w:rFonts w:hint="eastAsia" w:ascii="微软雅黑" w:hAnsi="微软雅黑" w:eastAsia="微软雅黑" w:cs="微软雅黑"/>
                <w:color w:val="auto"/>
                <w:spacing w:val="-2"/>
                <w:sz w:val="24"/>
                <w:highlight w:val="none"/>
                <w:lang w:eastAsia="zh-CN"/>
              </w:rPr>
              <w:t>供应商</w:t>
            </w:r>
            <w:r>
              <w:rPr>
                <w:rFonts w:hint="eastAsia" w:ascii="微软雅黑" w:hAnsi="微软雅黑" w:eastAsia="微软雅黑" w:cs="微软雅黑"/>
                <w:color w:val="auto"/>
                <w:spacing w:val="-2"/>
                <w:sz w:val="24"/>
                <w:highlight w:val="none"/>
              </w:rPr>
              <w:t>公章的（</w:t>
            </w:r>
            <w:r>
              <w:rPr>
                <w:rFonts w:hint="eastAsia" w:ascii="微软雅黑" w:hAnsi="微软雅黑" w:eastAsia="微软雅黑" w:cs="微软雅黑"/>
                <w:color w:val="auto"/>
                <w:spacing w:val="-2"/>
                <w:sz w:val="24"/>
                <w:highlight w:val="none"/>
                <w:lang w:eastAsia="zh-CN"/>
              </w:rPr>
              <w:t>所上传的响应</w:t>
            </w:r>
            <w:r>
              <w:rPr>
                <w:rFonts w:hint="eastAsia" w:ascii="微软雅黑" w:hAnsi="微软雅黑" w:eastAsia="微软雅黑" w:cs="微软雅黑"/>
                <w:color w:val="auto"/>
                <w:spacing w:val="-2"/>
                <w:sz w:val="24"/>
                <w:highlight w:val="none"/>
              </w:rPr>
              <w:t>文件印章和签字不能为复印件）</w:t>
            </w:r>
            <w:r>
              <w:rPr>
                <w:rFonts w:hint="eastAsia" w:ascii="微软雅黑" w:hAnsi="微软雅黑" w:eastAsia="微软雅黑" w:cs="微软雅黑"/>
                <w:color w:val="auto"/>
                <w:spacing w:val="-2"/>
                <w:sz w:val="24"/>
                <w:highlight w:val="none"/>
                <w:lang w:eastAsia="zh-CN"/>
              </w:rPr>
              <w:t>。</w:t>
            </w:r>
          </w:p>
        </w:tc>
        <w:tc>
          <w:tcPr>
            <w:tcW w:w="1668" w:type="dxa"/>
            <w:vAlign w:val="center"/>
          </w:tcPr>
          <w:p w14:paraId="0223216C">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r>
      <w:tr w14:paraId="3278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0B791B59">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6887" w:type="dxa"/>
            <w:vAlign w:val="center"/>
          </w:tcPr>
          <w:p w14:paraId="141BC301">
            <w:pPr>
              <w:pageBreakBefore w:val="0"/>
              <w:kinsoku/>
              <w:wordWrap/>
              <w:overflowPunct/>
              <w:topLinePunct w:val="0"/>
              <w:bidi w:val="0"/>
              <w:spacing w:line="520" w:lineRule="exact"/>
              <w:jc w:val="left"/>
              <w:rPr>
                <w:rFonts w:hint="eastAsia" w:ascii="微软雅黑" w:hAnsi="微软雅黑" w:eastAsia="微软雅黑" w:cs="微软雅黑"/>
                <w:color w:val="auto"/>
                <w:spacing w:val="-2"/>
                <w:sz w:val="24"/>
                <w:highlight w:val="none"/>
                <w:lang w:eastAsia="zh-CN"/>
              </w:rPr>
            </w:pPr>
            <w:r>
              <w:rPr>
                <w:rFonts w:hint="eastAsia" w:ascii="微软雅黑" w:hAnsi="微软雅黑" w:eastAsia="微软雅黑" w:cs="微软雅黑"/>
                <w:color w:val="auto"/>
                <w:spacing w:val="-2"/>
                <w:sz w:val="24"/>
                <w:highlight w:val="none"/>
              </w:rPr>
              <w:t>按磋商文件规定的格式填写，内容全或关键字迹清晰等</w:t>
            </w:r>
            <w:r>
              <w:rPr>
                <w:rFonts w:hint="eastAsia" w:ascii="微软雅黑" w:hAnsi="微软雅黑" w:eastAsia="微软雅黑" w:cs="微软雅黑"/>
                <w:color w:val="auto"/>
                <w:spacing w:val="-2"/>
                <w:sz w:val="24"/>
                <w:highlight w:val="none"/>
                <w:lang w:eastAsia="zh-CN"/>
              </w:rPr>
              <w:t>。</w:t>
            </w:r>
          </w:p>
        </w:tc>
        <w:tc>
          <w:tcPr>
            <w:tcW w:w="1668" w:type="dxa"/>
            <w:vAlign w:val="center"/>
          </w:tcPr>
          <w:p w14:paraId="27A29449">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r>
      <w:tr w14:paraId="2BF1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0EDDEDAA">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6887" w:type="dxa"/>
            <w:vAlign w:val="center"/>
          </w:tcPr>
          <w:p w14:paraId="70EBCAB4">
            <w:pPr>
              <w:pageBreakBefore w:val="0"/>
              <w:kinsoku/>
              <w:wordWrap/>
              <w:overflowPunct/>
              <w:topLinePunct w:val="0"/>
              <w:bidi w:val="0"/>
              <w:spacing w:line="520" w:lineRule="exact"/>
              <w:jc w:val="left"/>
              <w:rPr>
                <w:rFonts w:hint="eastAsia" w:ascii="微软雅黑" w:hAnsi="微软雅黑" w:eastAsia="微软雅黑" w:cs="微软雅黑"/>
                <w:color w:val="auto"/>
                <w:spacing w:val="-2"/>
                <w:sz w:val="24"/>
                <w:highlight w:val="none"/>
                <w:lang w:eastAsia="zh-CN"/>
              </w:rPr>
            </w:pPr>
            <w:r>
              <w:rPr>
                <w:rFonts w:hint="eastAsia" w:ascii="微软雅黑" w:hAnsi="微软雅黑" w:eastAsia="微软雅黑" w:cs="微软雅黑"/>
                <w:color w:val="auto"/>
                <w:spacing w:val="-2"/>
                <w:sz w:val="24"/>
                <w:highlight w:val="none"/>
              </w:rPr>
              <w:t>符合磋商文件中规定的其他实质性要求</w:t>
            </w:r>
            <w:r>
              <w:rPr>
                <w:rFonts w:hint="eastAsia" w:ascii="微软雅黑" w:hAnsi="微软雅黑" w:eastAsia="微软雅黑" w:cs="微软雅黑"/>
                <w:color w:val="auto"/>
                <w:spacing w:val="-2"/>
                <w:sz w:val="24"/>
                <w:highlight w:val="none"/>
                <w:lang w:eastAsia="zh-CN"/>
              </w:rPr>
              <w:t>（工程量清单完整，没有缺项漏项，工期、质量满足磋商文件要求）。</w:t>
            </w:r>
          </w:p>
        </w:tc>
        <w:tc>
          <w:tcPr>
            <w:tcW w:w="1668" w:type="dxa"/>
            <w:vAlign w:val="center"/>
          </w:tcPr>
          <w:p w14:paraId="1EEECB92">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r>
      <w:tr w14:paraId="2117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2983034B">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6887" w:type="dxa"/>
            <w:vAlign w:val="center"/>
          </w:tcPr>
          <w:p w14:paraId="50AC799D">
            <w:pPr>
              <w:pageBreakBefore w:val="0"/>
              <w:kinsoku/>
              <w:wordWrap/>
              <w:overflowPunct/>
              <w:topLinePunct w:val="0"/>
              <w:bidi w:val="0"/>
              <w:spacing w:line="520" w:lineRule="exact"/>
              <w:jc w:val="left"/>
              <w:rPr>
                <w:rFonts w:hint="eastAsia" w:ascii="微软雅黑" w:hAnsi="微软雅黑" w:eastAsia="微软雅黑" w:cs="微软雅黑"/>
                <w:color w:val="auto"/>
                <w:spacing w:val="-2"/>
                <w:sz w:val="24"/>
                <w:highlight w:val="none"/>
                <w:lang w:eastAsia="zh-CN"/>
              </w:rPr>
            </w:pPr>
            <w:r>
              <w:rPr>
                <w:rFonts w:hint="eastAsia" w:ascii="微软雅黑" w:hAnsi="微软雅黑" w:eastAsia="微软雅黑" w:cs="微软雅黑"/>
                <w:color w:val="auto"/>
                <w:spacing w:val="-2"/>
                <w:sz w:val="24"/>
                <w:highlight w:val="none"/>
              </w:rPr>
              <w:t>没有</w:t>
            </w:r>
            <w:r>
              <w:rPr>
                <w:rFonts w:hint="eastAsia" w:ascii="微软雅黑" w:hAnsi="微软雅黑" w:eastAsia="微软雅黑" w:cs="微软雅黑"/>
                <w:color w:val="auto"/>
                <w:spacing w:val="-2"/>
                <w:sz w:val="24"/>
                <w:highlight w:val="none"/>
                <w:lang w:eastAsia="zh-CN"/>
              </w:rPr>
              <w:t>采购人</w:t>
            </w:r>
            <w:r>
              <w:rPr>
                <w:rFonts w:hint="eastAsia" w:ascii="微软雅黑" w:hAnsi="微软雅黑" w:eastAsia="微软雅黑" w:cs="微软雅黑"/>
                <w:color w:val="auto"/>
                <w:spacing w:val="-2"/>
                <w:sz w:val="24"/>
                <w:highlight w:val="none"/>
              </w:rPr>
              <w:t>不能接受的附加条件的</w:t>
            </w:r>
            <w:r>
              <w:rPr>
                <w:rFonts w:hint="eastAsia" w:ascii="微软雅黑" w:hAnsi="微软雅黑" w:eastAsia="微软雅黑" w:cs="微软雅黑"/>
                <w:color w:val="auto"/>
                <w:spacing w:val="-2"/>
                <w:sz w:val="24"/>
                <w:highlight w:val="none"/>
                <w:lang w:eastAsia="zh-CN"/>
              </w:rPr>
              <w:t>。</w:t>
            </w:r>
          </w:p>
        </w:tc>
        <w:tc>
          <w:tcPr>
            <w:tcW w:w="1668" w:type="dxa"/>
            <w:vAlign w:val="center"/>
          </w:tcPr>
          <w:p w14:paraId="0D849676">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r>
      <w:tr w14:paraId="6F31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27FBF371">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6887" w:type="dxa"/>
            <w:vAlign w:val="center"/>
          </w:tcPr>
          <w:p w14:paraId="3E8EAADB">
            <w:pPr>
              <w:pageBreakBefore w:val="0"/>
              <w:kinsoku/>
              <w:wordWrap/>
              <w:overflowPunct/>
              <w:topLinePunct w:val="0"/>
              <w:bidi w:val="0"/>
              <w:spacing w:line="520" w:lineRule="exact"/>
              <w:jc w:val="left"/>
              <w:rPr>
                <w:rFonts w:hint="eastAsia" w:ascii="微软雅黑" w:hAnsi="微软雅黑" w:eastAsia="微软雅黑" w:cs="微软雅黑"/>
                <w:color w:val="auto"/>
                <w:spacing w:val="-2"/>
                <w:sz w:val="24"/>
                <w:highlight w:val="none"/>
                <w:lang w:eastAsia="zh-CN"/>
              </w:rPr>
            </w:pPr>
            <w:r>
              <w:rPr>
                <w:rFonts w:hint="eastAsia" w:ascii="微软雅黑" w:hAnsi="微软雅黑" w:eastAsia="微软雅黑" w:cs="微软雅黑"/>
                <w:color w:val="auto"/>
                <w:spacing w:val="-2"/>
                <w:sz w:val="24"/>
                <w:highlight w:val="none"/>
              </w:rPr>
              <w:t>不同</w:t>
            </w:r>
            <w:r>
              <w:rPr>
                <w:rFonts w:hint="eastAsia" w:ascii="微软雅黑" w:hAnsi="微软雅黑" w:eastAsia="微软雅黑" w:cs="微软雅黑"/>
                <w:color w:val="auto"/>
                <w:spacing w:val="-2"/>
                <w:sz w:val="24"/>
                <w:highlight w:val="none"/>
                <w:lang w:eastAsia="zh-CN"/>
              </w:rPr>
              <w:t>供应商</w:t>
            </w:r>
            <w:r>
              <w:rPr>
                <w:rFonts w:hint="eastAsia" w:ascii="微软雅黑" w:hAnsi="微软雅黑" w:eastAsia="微软雅黑" w:cs="微软雅黑"/>
                <w:color w:val="auto"/>
                <w:spacing w:val="-2"/>
                <w:sz w:val="24"/>
                <w:highlight w:val="none"/>
              </w:rPr>
              <w:t>的响应文件没有错漏一致的情况</w:t>
            </w:r>
            <w:r>
              <w:rPr>
                <w:rFonts w:hint="eastAsia" w:ascii="微软雅黑" w:hAnsi="微软雅黑" w:eastAsia="微软雅黑" w:cs="微软雅黑"/>
                <w:color w:val="auto"/>
                <w:spacing w:val="-2"/>
                <w:sz w:val="24"/>
                <w:highlight w:val="none"/>
                <w:lang w:eastAsia="zh-CN"/>
              </w:rPr>
              <w:t>。</w:t>
            </w:r>
          </w:p>
        </w:tc>
        <w:tc>
          <w:tcPr>
            <w:tcW w:w="1668" w:type="dxa"/>
            <w:vAlign w:val="center"/>
          </w:tcPr>
          <w:p w14:paraId="12EB4881">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r>
      <w:tr w14:paraId="6EDE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14:paraId="65A7C0D5">
            <w:pPr>
              <w:pageBreakBefore w:val="0"/>
              <w:kinsoku/>
              <w:wordWrap/>
              <w:overflowPunct/>
              <w:topLinePunct w:val="0"/>
              <w:bidi w:val="0"/>
              <w:spacing w:line="520" w:lineRule="exact"/>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6887" w:type="dxa"/>
            <w:vAlign w:val="center"/>
          </w:tcPr>
          <w:p w14:paraId="403FC102">
            <w:pPr>
              <w:pageBreakBefore w:val="0"/>
              <w:kinsoku/>
              <w:wordWrap/>
              <w:overflowPunct/>
              <w:topLinePunct w:val="0"/>
              <w:bidi w:val="0"/>
              <w:spacing w:line="520" w:lineRule="exact"/>
              <w:jc w:val="left"/>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lang w:eastAsia="zh-CN"/>
              </w:rPr>
              <w:t>供应商</w:t>
            </w:r>
            <w:r>
              <w:rPr>
                <w:rFonts w:hint="eastAsia" w:ascii="微软雅黑" w:hAnsi="微软雅黑" w:eastAsia="微软雅黑" w:cs="微软雅黑"/>
                <w:color w:val="auto"/>
                <w:spacing w:val="-2"/>
                <w:sz w:val="24"/>
                <w:highlight w:val="none"/>
              </w:rPr>
              <w:t>附有详细地址、联系人、电话标明的。</w:t>
            </w:r>
          </w:p>
        </w:tc>
        <w:tc>
          <w:tcPr>
            <w:tcW w:w="1668" w:type="dxa"/>
            <w:vAlign w:val="center"/>
          </w:tcPr>
          <w:p w14:paraId="26480AE9">
            <w:pPr>
              <w:pageBreakBefore w:val="0"/>
              <w:kinsoku/>
              <w:wordWrap/>
              <w:overflowPunct/>
              <w:topLinePunct w:val="0"/>
              <w:bidi w:val="0"/>
              <w:spacing w:line="520" w:lineRule="exact"/>
              <w:rPr>
                <w:rFonts w:ascii="微软雅黑" w:hAnsi="微软雅黑" w:eastAsia="微软雅黑" w:cs="微软雅黑"/>
                <w:color w:val="auto"/>
                <w:spacing w:val="-2"/>
                <w:sz w:val="24"/>
                <w:highlight w:val="none"/>
              </w:rPr>
            </w:pPr>
          </w:p>
        </w:tc>
      </w:tr>
      <w:tr w14:paraId="1C5D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14:paraId="7ADB57BD">
            <w:pPr>
              <w:pageBreakBefore w:val="0"/>
              <w:kinsoku/>
              <w:wordWrap/>
              <w:overflowPunct/>
              <w:topLinePunct w:val="0"/>
              <w:bidi w:val="0"/>
              <w:spacing w:line="520" w:lineRule="exact"/>
              <w:ind w:firstLine="424" w:firstLineChars="180"/>
              <w:rPr>
                <w:rFonts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 w:val="24"/>
                <w:highlight w:val="none"/>
              </w:rPr>
              <w:t>结论：通过评审打“√”，未通过评审打“×”</w:t>
            </w:r>
          </w:p>
        </w:tc>
        <w:tc>
          <w:tcPr>
            <w:tcW w:w="1668" w:type="dxa"/>
            <w:vAlign w:val="center"/>
          </w:tcPr>
          <w:p w14:paraId="50A68A89">
            <w:pPr>
              <w:pageBreakBefore w:val="0"/>
              <w:kinsoku/>
              <w:wordWrap/>
              <w:overflowPunct/>
              <w:topLinePunct w:val="0"/>
              <w:bidi w:val="0"/>
              <w:spacing w:line="520" w:lineRule="exact"/>
              <w:ind w:firstLine="424" w:firstLineChars="180"/>
              <w:rPr>
                <w:rFonts w:ascii="微软雅黑" w:hAnsi="微软雅黑" w:eastAsia="微软雅黑" w:cs="微软雅黑"/>
                <w:color w:val="auto"/>
                <w:spacing w:val="-2"/>
                <w:sz w:val="24"/>
                <w:highlight w:val="none"/>
              </w:rPr>
            </w:pPr>
          </w:p>
        </w:tc>
      </w:tr>
    </w:tbl>
    <w:p w14:paraId="1E13D933">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p>
    <w:p w14:paraId="0B81ED6D">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14:paraId="41E4B1B7">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（1）上述各项中用“√”表示通过，“×”表示不通过；</w:t>
      </w:r>
    </w:p>
    <w:p w14:paraId="2BBACBFC">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（2）上述各项中如有一项为“×”，则结论为“×”，表示该磋商文件中存在重大偏差，不能通过初步评审；评委对某一分项评审认为不合格时，必须要写明原因。</w:t>
      </w:r>
    </w:p>
    <w:p w14:paraId="552CAF77">
      <w:pPr>
        <w:pageBreakBefore w:val="0"/>
        <w:kinsoku/>
        <w:wordWrap/>
        <w:overflowPunct/>
        <w:topLinePunct w:val="0"/>
        <w:bidi w:val="0"/>
        <w:snapToGrid w:val="0"/>
        <w:spacing w:line="520" w:lineRule="exac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（3）磋商文件最终合格与否，以所有评委的评审意见中少数服从多数为原则定论。</w:t>
      </w:r>
    </w:p>
    <w:p w14:paraId="038B1A76">
      <w:pPr>
        <w:pageBreakBefore w:val="0"/>
        <w:kinsoku/>
        <w:wordWrap/>
        <w:overflowPunct/>
        <w:topLinePunct w:val="0"/>
        <w:bidi w:val="0"/>
        <w:snapToGrid w:val="0"/>
        <w:spacing w:line="520" w:lineRule="exact"/>
        <w:ind w:left="1080" w:leftChars="257" w:hanging="540"/>
        <w:jc w:val="left"/>
        <w:textAlignment w:val="baseline"/>
        <w:rPr>
          <w:rFonts w:ascii="微软雅黑" w:hAnsi="微软雅黑" w:eastAsia="微软雅黑" w:cs="微软雅黑"/>
          <w:b/>
          <w:color w:val="auto"/>
          <w:sz w:val="28"/>
          <w:szCs w:val="28"/>
          <w:highlight w:val="none"/>
        </w:rPr>
      </w:pPr>
      <w:r>
        <w:rPr>
          <w:rFonts w:hint="eastAsia" w:ascii="微软雅黑" w:hAnsi="微软雅黑" w:eastAsia="微软雅黑" w:cs="微软雅黑"/>
          <w:b/>
          <w:bCs/>
          <w:color w:val="auto"/>
          <w:sz w:val="24"/>
          <w:highlight w:val="none"/>
        </w:rPr>
        <w:t>备注：如果磋商文件中有一项未通过上述审查标准，评审委员会将认定整个磋商文件未响应磋商文件而予以废标处理。</w:t>
      </w:r>
      <w:bookmarkStart w:id="809" w:name="_Toc20930"/>
      <w:bookmarkStart w:id="810" w:name="_Toc25310"/>
      <w:bookmarkStart w:id="811" w:name="_Toc507399904"/>
    </w:p>
    <w:p w14:paraId="61E1CED3">
      <w:pPr>
        <w:pStyle w:val="8"/>
        <w:pageBreakBefore w:val="0"/>
        <w:kinsoku/>
        <w:wordWrap/>
        <w:overflowPunct/>
        <w:topLinePunct w:val="0"/>
        <w:bidi w:val="0"/>
        <w:spacing w:line="520" w:lineRule="exact"/>
        <w:ind w:firstLine="0"/>
        <w:rPr>
          <w:rFonts w:ascii="微软雅黑" w:hAnsi="微软雅黑" w:eastAsia="微软雅黑" w:cs="微软雅黑"/>
          <w:color w:val="auto"/>
          <w:highlight w:val="none"/>
        </w:rPr>
      </w:pPr>
    </w:p>
    <w:tbl>
      <w:tblPr>
        <w:tblStyle w:val="38"/>
        <w:tblW w:w="10035" w:type="dxa"/>
        <w:jc w:val="center"/>
        <w:tblLayout w:type="fixed"/>
        <w:tblCellMar>
          <w:top w:w="0" w:type="dxa"/>
          <w:left w:w="108" w:type="dxa"/>
          <w:bottom w:w="0" w:type="dxa"/>
          <w:right w:w="108" w:type="dxa"/>
        </w:tblCellMar>
      </w:tblPr>
      <w:tblGrid>
        <w:gridCol w:w="2790"/>
        <w:gridCol w:w="4470"/>
        <w:gridCol w:w="930"/>
        <w:gridCol w:w="855"/>
        <w:gridCol w:w="990"/>
      </w:tblGrid>
      <w:tr w14:paraId="282C689B">
        <w:tblPrEx>
          <w:tblCellMar>
            <w:top w:w="0" w:type="dxa"/>
            <w:left w:w="108" w:type="dxa"/>
            <w:bottom w:w="0" w:type="dxa"/>
            <w:right w:w="108" w:type="dxa"/>
          </w:tblCellMar>
        </w:tblPrEx>
        <w:trPr>
          <w:trHeight w:val="368" w:hRule="atLeast"/>
          <w:jc w:val="center"/>
        </w:trPr>
        <w:tc>
          <w:tcPr>
            <w:tcW w:w="10035" w:type="dxa"/>
            <w:gridSpan w:val="5"/>
            <w:tcBorders>
              <w:top w:val="nil"/>
              <w:left w:val="nil"/>
              <w:bottom w:val="single" w:color="auto" w:sz="4" w:space="0"/>
              <w:right w:val="nil"/>
            </w:tcBorders>
            <w:vAlign w:val="center"/>
          </w:tcPr>
          <w:p w14:paraId="5D2DAF08">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一、商务符合性审查表</w:t>
            </w:r>
          </w:p>
        </w:tc>
      </w:tr>
      <w:tr w14:paraId="17D06370">
        <w:tblPrEx>
          <w:tblCellMar>
            <w:top w:w="0" w:type="dxa"/>
            <w:left w:w="108" w:type="dxa"/>
            <w:bottom w:w="0" w:type="dxa"/>
            <w:right w:w="108" w:type="dxa"/>
          </w:tblCellMar>
        </w:tblPrEx>
        <w:trPr>
          <w:trHeight w:val="90"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14:paraId="0B8B010E">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14:paraId="7D93DE55">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lang w:eastAsia="zh-CN"/>
              </w:rPr>
              <w:t>供应商</w:t>
            </w:r>
            <w:r>
              <w:rPr>
                <w:rFonts w:hint="eastAsia" w:ascii="微软雅黑" w:hAnsi="微软雅黑" w:eastAsia="微软雅黑" w:cs="微软雅黑"/>
                <w:b/>
                <w:color w:val="auto"/>
                <w:kern w:val="0"/>
                <w:sz w:val="24"/>
                <w:highlight w:val="none"/>
              </w:rPr>
              <w:t>名称及审查情况</w:t>
            </w:r>
          </w:p>
        </w:tc>
      </w:tr>
      <w:tr w14:paraId="49A4F479">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FE707AF">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磋商文件条款（</w:t>
            </w:r>
            <w:r>
              <w:rPr>
                <w:rFonts w:hint="eastAsia" w:ascii="微软雅黑" w:hAnsi="微软雅黑" w:eastAsia="微软雅黑" w:cs="微软雅黑"/>
                <w:b/>
                <w:color w:val="auto"/>
                <w:kern w:val="0"/>
                <w:sz w:val="24"/>
                <w:highlight w:val="none"/>
                <w:lang w:eastAsia="zh-CN"/>
              </w:rPr>
              <w:t>供应商</w:t>
            </w:r>
            <w:r>
              <w:rPr>
                <w:rFonts w:hint="eastAsia" w:ascii="微软雅黑" w:hAnsi="微软雅黑" w:eastAsia="微软雅黑" w:cs="微软雅黑"/>
                <w:b/>
                <w:color w:val="auto"/>
                <w:kern w:val="0"/>
                <w:sz w:val="24"/>
                <w:highlight w:val="none"/>
              </w:rPr>
              <w:t>须知、</w:t>
            </w:r>
            <w:r>
              <w:rPr>
                <w:rFonts w:hint="eastAsia" w:ascii="微软雅黑" w:hAnsi="微软雅黑" w:eastAsia="微软雅黑" w:cs="微软雅黑"/>
                <w:b/>
                <w:color w:val="auto"/>
                <w:kern w:val="0"/>
                <w:sz w:val="24"/>
                <w:highlight w:val="none"/>
                <w:lang w:eastAsia="zh-CN"/>
              </w:rPr>
              <w:t>供应商</w:t>
            </w:r>
            <w:r>
              <w:rPr>
                <w:rFonts w:hint="eastAsia" w:ascii="微软雅黑" w:hAnsi="微软雅黑" w:eastAsia="微软雅黑" w:cs="微软雅黑"/>
                <w:b/>
                <w:color w:val="auto"/>
                <w:kern w:val="0"/>
                <w:sz w:val="24"/>
                <w:highlight w:val="none"/>
              </w:rPr>
              <w:t>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14:paraId="4A99BED2">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14:paraId="10C8BD87">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7FB1490D">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28C446B6">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0E037F66">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7CF83A4B">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中小企业投标要求（1.3.6）</w:t>
            </w:r>
          </w:p>
        </w:tc>
        <w:tc>
          <w:tcPr>
            <w:tcW w:w="4470" w:type="dxa"/>
            <w:tcBorders>
              <w:top w:val="single" w:color="auto" w:sz="4" w:space="0"/>
              <w:left w:val="nil"/>
              <w:bottom w:val="single" w:color="auto" w:sz="4" w:space="0"/>
              <w:right w:val="single" w:color="auto" w:sz="4" w:space="0"/>
            </w:tcBorders>
            <w:vAlign w:val="center"/>
          </w:tcPr>
          <w:p w14:paraId="57D8CBDF">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本项目</w:t>
            </w:r>
            <w:r>
              <w:rPr>
                <w:rFonts w:hint="eastAsia" w:ascii="微软雅黑" w:hAnsi="微软雅黑" w:eastAsia="微软雅黑" w:cs="微软雅黑"/>
                <w:i/>
                <w:iCs/>
                <w:color w:val="auto"/>
                <w:kern w:val="0"/>
                <w:sz w:val="24"/>
                <w:highlight w:val="none"/>
                <w:u w:val="single" w:color="000000"/>
              </w:rPr>
              <w:t>适用</w:t>
            </w:r>
          </w:p>
        </w:tc>
        <w:tc>
          <w:tcPr>
            <w:tcW w:w="930" w:type="dxa"/>
            <w:tcBorders>
              <w:top w:val="single" w:color="auto" w:sz="4" w:space="0"/>
              <w:left w:val="nil"/>
              <w:bottom w:val="single" w:color="auto" w:sz="4" w:space="0"/>
              <w:right w:val="single" w:color="auto" w:sz="4" w:space="0"/>
            </w:tcBorders>
            <w:vAlign w:val="center"/>
          </w:tcPr>
          <w:p w14:paraId="2BB602F3">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855" w:type="dxa"/>
            <w:tcBorders>
              <w:top w:val="single" w:color="auto" w:sz="4" w:space="0"/>
              <w:left w:val="nil"/>
              <w:bottom w:val="single" w:color="auto" w:sz="4" w:space="0"/>
              <w:right w:val="single" w:color="auto" w:sz="4" w:space="0"/>
            </w:tcBorders>
            <w:vAlign w:val="center"/>
          </w:tcPr>
          <w:p w14:paraId="6A27779C">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990" w:type="dxa"/>
            <w:tcBorders>
              <w:top w:val="single" w:color="auto" w:sz="4" w:space="0"/>
              <w:left w:val="nil"/>
              <w:bottom w:val="single" w:color="auto" w:sz="4" w:space="0"/>
              <w:right w:val="single" w:color="auto" w:sz="4" w:space="0"/>
            </w:tcBorders>
            <w:vAlign w:val="center"/>
          </w:tcPr>
          <w:p w14:paraId="06606365">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r>
      <w:tr w14:paraId="69614963">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89B0C6D">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联合体投标规定</w:t>
            </w:r>
          </w:p>
          <w:p w14:paraId="3D6DC539">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（1.4）</w:t>
            </w:r>
          </w:p>
        </w:tc>
        <w:tc>
          <w:tcPr>
            <w:tcW w:w="4470" w:type="dxa"/>
            <w:tcBorders>
              <w:top w:val="single" w:color="auto" w:sz="4" w:space="0"/>
              <w:left w:val="nil"/>
              <w:bottom w:val="single" w:color="auto" w:sz="4" w:space="0"/>
              <w:right w:val="single" w:color="auto" w:sz="4" w:space="0"/>
            </w:tcBorders>
            <w:vAlign w:val="center"/>
          </w:tcPr>
          <w:p w14:paraId="25E03337">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本项目</w:t>
            </w:r>
            <w:r>
              <w:rPr>
                <w:rFonts w:hint="eastAsia" w:ascii="微软雅黑" w:hAnsi="微软雅黑" w:eastAsia="微软雅黑" w:cs="微软雅黑"/>
                <w:i/>
                <w:iCs/>
                <w:color w:val="auto"/>
                <w:kern w:val="0"/>
                <w:sz w:val="24"/>
                <w:highlight w:val="none"/>
                <w:u w:val="single" w:color="000000"/>
              </w:rPr>
              <w:t>不接受</w:t>
            </w:r>
            <w:r>
              <w:rPr>
                <w:rFonts w:hint="eastAsia" w:ascii="微软雅黑" w:hAnsi="微软雅黑" w:eastAsia="微软雅黑" w:cs="微软雅黑"/>
                <w:color w:val="auto"/>
                <w:kern w:val="0"/>
                <w:sz w:val="24"/>
                <w:highlight w:val="none"/>
              </w:rPr>
              <w:t>联合体投标</w:t>
            </w:r>
          </w:p>
        </w:tc>
        <w:tc>
          <w:tcPr>
            <w:tcW w:w="930" w:type="dxa"/>
            <w:tcBorders>
              <w:top w:val="single" w:color="auto" w:sz="4" w:space="0"/>
              <w:left w:val="nil"/>
              <w:bottom w:val="single" w:color="auto" w:sz="4" w:space="0"/>
              <w:right w:val="single" w:color="auto" w:sz="4" w:space="0"/>
            </w:tcBorders>
            <w:vAlign w:val="center"/>
          </w:tcPr>
          <w:p w14:paraId="7D2922F8">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07EE6FB1">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5FF5E690">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09BD7694">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53E76FAD">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的关联性</w:t>
            </w:r>
          </w:p>
          <w:p w14:paraId="0914E1F2">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（1.5）</w:t>
            </w:r>
          </w:p>
        </w:tc>
        <w:tc>
          <w:tcPr>
            <w:tcW w:w="4470" w:type="dxa"/>
            <w:tcBorders>
              <w:top w:val="single" w:color="auto" w:sz="4" w:space="0"/>
              <w:left w:val="nil"/>
              <w:bottom w:val="single" w:color="auto" w:sz="4" w:space="0"/>
              <w:right w:val="single" w:color="auto" w:sz="4" w:space="0"/>
            </w:tcBorders>
            <w:vAlign w:val="center"/>
          </w:tcPr>
          <w:p w14:paraId="0592CF6A">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在同一标包内，单位负责人为非同一人或者不存在直接控股、管理关系的不同</w:t>
            </w: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w:t>
            </w:r>
          </w:p>
        </w:tc>
        <w:tc>
          <w:tcPr>
            <w:tcW w:w="930" w:type="dxa"/>
            <w:tcBorders>
              <w:top w:val="single" w:color="auto" w:sz="4" w:space="0"/>
              <w:left w:val="nil"/>
              <w:bottom w:val="single" w:color="auto" w:sz="4" w:space="0"/>
              <w:right w:val="single" w:color="auto" w:sz="4" w:space="0"/>
            </w:tcBorders>
            <w:vAlign w:val="center"/>
          </w:tcPr>
          <w:p w14:paraId="3EA9A37B">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5D19307A">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66DD619A">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722EA0F8">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3ED97A86">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未发现影响</w:t>
            </w:r>
            <w:r>
              <w:rPr>
                <w:rFonts w:hint="eastAsia" w:ascii="微软雅黑" w:hAnsi="微软雅黑" w:eastAsia="微软雅黑" w:cs="微软雅黑"/>
                <w:color w:val="auto"/>
                <w:kern w:val="0"/>
                <w:sz w:val="24"/>
                <w:highlight w:val="none"/>
                <w:lang w:eastAsia="zh-CN"/>
              </w:rPr>
              <w:t>采购人</w:t>
            </w:r>
            <w:r>
              <w:rPr>
                <w:rFonts w:hint="eastAsia" w:ascii="微软雅黑" w:hAnsi="微软雅黑" w:eastAsia="微软雅黑" w:cs="微软雅黑"/>
                <w:color w:val="auto"/>
                <w:kern w:val="0"/>
                <w:sz w:val="24"/>
                <w:highlight w:val="none"/>
              </w:rPr>
              <w:t>决策行为（1.5）</w:t>
            </w:r>
          </w:p>
        </w:tc>
        <w:tc>
          <w:tcPr>
            <w:tcW w:w="4470" w:type="dxa"/>
            <w:tcBorders>
              <w:top w:val="single" w:color="auto" w:sz="4" w:space="0"/>
              <w:left w:val="nil"/>
              <w:bottom w:val="single" w:color="auto" w:sz="4" w:space="0"/>
              <w:right w:val="single" w:color="auto" w:sz="4" w:space="0"/>
            </w:tcBorders>
            <w:vAlign w:val="center"/>
          </w:tcPr>
          <w:p w14:paraId="1E74E13A">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在投标过程中未向</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14:paraId="5181E665">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855" w:type="dxa"/>
            <w:tcBorders>
              <w:top w:val="single" w:color="auto" w:sz="4" w:space="0"/>
              <w:left w:val="nil"/>
              <w:bottom w:val="single" w:color="auto" w:sz="4" w:space="0"/>
              <w:right w:val="single" w:color="auto" w:sz="4" w:space="0"/>
            </w:tcBorders>
            <w:vAlign w:val="center"/>
          </w:tcPr>
          <w:p w14:paraId="34C9D07A">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990" w:type="dxa"/>
            <w:tcBorders>
              <w:top w:val="single" w:color="auto" w:sz="4" w:space="0"/>
              <w:left w:val="nil"/>
              <w:bottom w:val="single" w:color="auto" w:sz="4" w:space="0"/>
              <w:right w:val="single" w:color="auto" w:sz="4" w:space="0"/>
            </w:tcBorders>
            <w:vAlign w:val="center"/>
          </w:tcPr>
          <w:p w14:paraId="422E38E9">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r>
      <w:tr w14:paraId="7F534672">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2B93420A">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14:paraId="38BAA713">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对所投分包磋商文件中所列的所有内容进行投标。</w:t>
            </w:r>
          </w:p>
        </w:tc>
        <w:tc>
          <w:tcPr>
            <w:tcW w:w="930" w:type="dxa"/>
            <w:tcBorders>
              <w:top w:val="single" w:color="auto" w:sz="4" w:space="0"/>
              <w:left w:val="nil"/>
              <w:bottom w:val="single" w:color="auto" w:sz="4" w:space="0"/>
              <w:right w:val="single" w:color="auto" w:sz="4" w:space="0"/>
            </w:tcBorders>
            <w:vAlign w:val="center"/>
          </w:tcPr>
          <w:p w14:paraId="35D293C6">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855" w:type="dxa"/>
            <w:tcBorders>
              <w:top w:val="single" w:color="auto" w:sz="4" w:space="0"/>
              <w:left w:val="nil"/>
              <w:bottom w:val="single" w:color="auto" w:sz="4" w:space="0"/>
              <w:right w:val="single" w:color="auto" w:sz="4" w:space="0"/>
            </w:tcBorders>
            <w:vAlign w:val="center"/>
          </w:tcPr>
          <w:p w14:paraId="34B601DE">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990" w:type="dxa"/>
            <w:tcBorders>
              <w:top w:val="single" w:color="auto" w:sz="4" w:space="0"/>
              <w:left w:val="nil"/>
              <w:bottom w:val="single" w:color="auto" w:sz="4" w:space="0"/>
              <w:right w:val="single" w:color="auto" w:sz="4" w:space="0"/>
            </w:tcBorders>
            <w:vAlign w:val="center"/>
          </w:tcPr>
          <w:p w14:paraId="1902F9A7">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r>
      <w:tr w14:paraId="2EA7AE9A">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1588842">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未包含价格调整要求（11.4）</w:t>
            </w:r>
          </w:p>
        </w:tc>
        <w:tc>
          <w:tcPr>
            <w:tcW w:w="4470" w:type="dxa"/>
            <w:tcBorders>
              <w:top w:val="single" w:color="auto" w:sz="4" w:space="0"/>
              <w:left w:val="nil"/>
              <w:bottom w:val="single" w:color="auto" w:sz="4" w:space="0"/>
              <w:right w:val="single" w:color="auto" w:sz="4" w:space="0"/>
            </w:tcBorders>
            <w:vAlign w:val="center"/>
          </w:tcPr>
          <w:p w14:paraId="62AFB413">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14:paraId="756D16BB">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4AA9CABE">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2D44269C">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41C3580C">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311E9133">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投标保证金（12.1）</w:t>
            </w:r>
          </w:p>
        </w:tc>
        <w:tc>
          <w:tcPr>
            <w:tcW w:w="4470" w:type="dxa"/>
            <w:tcBorders>
              <w:top w:val="single" w:color="auto" w:sz="4" w:space="0"/>
              <w:left w:val="nil"/>
              <w:bottom w:val="single" w:color="auto" w:sz="4" w:space="0"/>
              <w:right w:val="single" w:color="auto" w:sz="4" w:space="0"/>
            </w:tcBorders>
            <w:vAlign w:val="center"/>
          </w:tcPr>
          <w:p w14:paraId="4BC2373C">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符合磋商文件要求</w:t>
            </w:r>
          </w:p>
        </w:tc>
        <w:tc>
          <w:tcPr>
            <w:tcW w:w="930" w:type="dxa"/>
            <w:tcBorders>
              <w:top w:val="single" w:color="auto" w:sz="4" w:space="0"/>
              <w:left w:val="nil"/>
              <w:bottom w:val="single" w:color="auto" w:sz="4" w:space="0"/>
              <w:right w:val="single" w:color="auto" w:sz="4" w:space="0"/>
            </w:tcBorders>
            <w:vAlign w:val="center"/>
          </w:tcPr>
          <w:p w14:paraId="4569DAF1">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855" w:type="dxa"/>
            <w:tcBorders>
              <w:top w:val="single" w:color="auto" w:sz="4" w:space="0"/>
              <w:left w:val="nil"/>
              <w:bottom w:val="single" w:color="auto" w:sz="4" w:space="0"/>
              <w:right w:val="single" w:color="auto" w:sz="4" w:space="0"/>
            </w:tcBorders>
            <w:vAlign w:val="center"/>
          </w:tcPr>
          <w:p w14:paraId="7C09C5AA">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990" w:type="dxa"/>
            <w:tcBorders>
              <w:top w:val="single" w:color="auto" w:sz="4" w:space="0"/>
              <w:left w:val="nil"/>
              <w:bottom w:val="single" w:color="auto" w:sz="4" w:space="0"/>
              <w:right w:val="single" w:color="auto" w:sz="4" w:space="0"/>
            </w:tcBorders>
            <w:vAlign w:val="center"/>
          </w:tcPr>
          <w:p w14:paraId="79F90E49">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r>
      <w:tr w14:paraId="1C4FC41D">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6285CFE4">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投标有效期满足要求（13.1）</w:t>
            </w:r>
          </w:p>
        </w:tc>
        <w:tc>
          <w:tcPr>
            <w:tcW w:w="4470" w:type="dxa"/>
            <w:tcBorders>
              <w:top w:val="single" w:color="auto" w:sz="4" w:space="0"/>
              <w:left w:val="nil"/>
              <w:bottom w:val="single" w:color="auto" w:sz="4" w:space="0"/>
              <w:right w:val="single" w:color="auto" w:sz="4" w:space="0"/>
            </w:tcBorders>
            <w:vAlign w:val="center"/>
          </w:tcPr>
          <w:p w14:paraId="2191B197">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自提交响应文件截止之日起</w:t>
            </w:r>
            <w:r>
              <w:rPr>
                <w:rFonts w:hint="eastAsia" w:ascii="微软雅黑" w:hAnsi="微软雅黑" w:eastAsia="微软雅黑" w:cs="微软雅黑"/>
                <w:color w:val="auto"/>
                <w:sz w:val="24"/>
                <w:highlight w:val="none"/>
                <w:u w:val="single" w:color="000000"/>
                <w:lang w:val="en-US" w:eastAsia="zh-CN"/>
              </w:rPr>
              <w:t>90</w:t>
            </w:r>
            <w:r>
              <w:rPr>
                <w:rFonts w:hint="eastAsia" w:ascii="微软雅黑" w:hAnsi="微软雅黑" w:eastAsia="微软雅黑" w:cs="微软雅黑"/>
                <w:color w:val="auto"/>
                <w:sz w:val="24"/>
                <w:highlight w:val="none"/>
                <w:u w:val="single" w:color="000000"/>
              </w:rPr>
              <w:t>日</w:t>
            </w:r>
            <w:r>
              <w:rPr>
                <w:rFonts w:hint="eastAsia" w:ascii="微软雅黑" w:hAnsi="微软雅黑" w:eastAsia="微软雅黑" w:cs="微软雅黑"/>
                <w:color w:val="auto"/>
                <w:sz w:val="24"/>
                <w:highlight w:val="none"/>
              </w:rPr>
              <w:t>历日</w:t>
            </w:r>
          </w:p>
        </w:tc>
        <w:tc>
          <w:tcPr>
            <w:tcW w:w="930" w:type="dxa"/>
            <w:tcBorders>
              <w:top w:val="single" w:color="auto" w:sz="4" w:space="0"/>
              <w:left w:val="nil"/>
              <w:bottom w:val="single" w:color="auto" w:sz="4" w:space="0"/>
              <w:right w:val="single" w:color="auto" w:sz="4" w:space="0"/>
            </w:tcBorders>
            <w:vAlign w:val="center"/>
          </w:tcPr>
          <w:p w14:paraId="21018B09">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0281D4D2">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03C8BC33">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2C4A577E">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532AD068">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响应文件的签署和盖章符合要求</w:t>
            </w:r>
          </w:p>
          <w:p w14:paraId="0515501A">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（14.2、14.4）</w:t>
            </w:r>
          </w:p>
        </w:tc>
        <w:tc>
          <w:tcPr>
            <w:tcW w:w="4470" w:type="dxa"/>
            <w:tcBorders>
              <w:top w:val="single" w:color="auto" w:sz="4" w:space="0"/>
              <w:left w:val="nil"/>
              <w:bottom w:val="single" w:color="auto" w:sz="4" w:space="0"/>
              <w:right w:val="single" w:color="auto" w:sz="4" w:space="0"/>
            </w:tcBorders>
            <w:vAlign w:val="center"/>
          </w:tcPr>
          <w:p w14:paraId="65724D27">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按照磋商文件规定要求签署、盖章。</w:t>
            </w:r>
          </w:p>
        </w:tc>
        <w:tc>
          <w:tcPr>
            <w:tcW w:w="930" w:type="dxa"/>
            <w:tcBorders>
              <w:top w:val="single" w:color="auto" w:sz="4" w:space="0"/>
              <w:left w:val="nil"/>
              <w:bottom w:val="single" w:color="auto" w:sz="4" w:space="0"/>
              <w:right w:val="single" w:color="auto" w:sz="4" w:space="0"/>
            </w:tcBorders>
            <w:vAlign w:val="center"/>
          </w:tcPr>
          <w:p w14:paraId="5277802A">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855" w:type="dxa"/>
            <w:tcBorders>
              <w:top w:val="single" w:color="auto" w:sz="4" w:space="0"/>
              <w:left w:val="nil"/>
              <w:bottom w:val="single" w:color="auto" w:sz="4" w:space="0"/>
              <w:right w:val="single" w:color="auto" w:sz="4" w:space="0"/>
            </w:tcBorders>
            <w:vAlign w:val="center"/>
          </w:tcPr>
          <w:p w14:paraId="1D9DF64A">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990" w:type="dxa"/>
            <w:tcBorders>
              <w:top w:val="single" w:color="auto" w:sz="4" w:space="0"/>
              <w:left w:val="nil"/>
              <w:bottom w:val="single" w:color="auto" w:sz="4" w:space="0"/>
              <w:right w:val="single" w:color="auto" w:sz="4" w:space="0"/>
            </w:tcBorders>
            <w:vAlign w:val="center"/>
          </w:tcPr>
          <w:p w14:paraId="0B51BE9D">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r>
      <w:tr w14:paraId="47FAFEB5">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21B7C2AF">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接受价格的算术修正（20.3）</w:t>
            </w:r>
          </w:p>
        </w:tc>
        <w:tc>
          <w:tcPr>
            <w:tcW w:w="4470" w:type="dxa"/>
            <w:tcBorders>
              <w:top w:val="single" w:color="auto" w:sz="4" w:space="0"/>
              <w:left w:val="nil"/>
              <w:bottom w:val="single" w:color="auto" w:sz="4" w:space="0"/>
              <w:right w:val="single" w:color="auto" w:sz="4" w:space="0"/>
            </w:tcBorders>
            <w:vAlign w:val="center"/>
          </w:tcPr>
          <w:p w14:paraId="41914231">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响应文件报价出现前后不一致的，应按照磋商文件规定的顺序修正。修正后的报价经</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确认后产生约束力。</w:t>
            </w:r>
          </w:p>
        </w:tc>
        <w:tc>
          <w:tcPr>
            <w:tcW w:w="930" w:type="dxa"/>
            <w:tcBorders>
              <w:top w:val="single" w:color="auto" w:sz="4" w:space="0"/>
              <w:left w:val="nil"/>
              <w:bottom w:val="single" w:color="auto" w:sz="4" w:space="0"/>
              <w:right w:val="single" w:color="auto" w:sz="4" w:space="0"/>
            </w:tcBorders>
            <w:vAlign w:val="center"/>
          </w:tcPr>
          <w:p w14:paraId="155E59E9">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240DD4E1">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13D5A3C6">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263777E7">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7A9E5DFC">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14:paraId="78496DB5">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本项目</w:t>
            </w:r>
            <w:r>
              <w:rPr>
                <w:rFonts w:hint="eastAsia" w:ascii="微软雅黑" w:hAnsi="微软雅黑" w:eastAsia="微软雅黑" w:cs="微软雅黑"/>
                <w:i/>
                <w:iCs/>
                <w:color w:val="auto"/>
                <w:kern w:val="0"/>
                <w:sz w:val="24"/>
                <w:highlight w:val="none"/>
                <w:u w:val="single" w:color="000000"/>
              </w:rPr>
              <w:t>适用</w:t>
            </w:r>
          </w:p>
        </w:tc>
        <w:tc>
          <w:tcPr>
            <w:tcW w:w="930" w:type="dxa"/>
            <w:tcBorders>
              <w:top w:val="single" w:color="auto" w:sz="4" w:space="0"/>
              <w:left w:val="nil"/>
              <w:bottom w:val="single" w:color="auto" w:sz="4" w:space="0"/>
              <w:right w:val="single" w:color="auto" w:sz="4" w:space="0"/>
            </w:tcBorders>
            <w:vAlign w:val="center"/>
          </w:tcPr>
          <w:p w14:paraId="602CE6B9">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1B7E7903">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4DCE4CE0">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0765E76E">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387F0603">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未发现串通投标（22.2）</w:t>
            </w:r>
          </w:p>
        </w:tc>
        <w:tc>
          <w:tcPr>
            <w:tcW w:w="4470" w:type="dxa"/>
            <w:tcBorders>
              <w:top w:val="single" w:color="auto" w:sz="4" w:space="0"/>
              <w:left w:val="nil"/>
              <w:bottom w:val="single" w:color="auto" w:sz="4" w:space="0"/>
              <w:right w:val="single" w:color="auto" w:sz="4" w:space="0"/>
            </w:tcBorders>
            <w:vAlign w:val="center"/>
          </w:tcPr>
          <w:p w14:paraId="59CAD094">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未与其他</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串通投标，或者与</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串通投标。</w:t>
            </w:r>
          </w:p>
        </w:tc>
        <w:tc>
          <w:tcPr>
            <w:tcW w:w="930" w:type="dxa"/>
            <w:tcBorders>
              <w:top w:val="single" w:color="auto" w:sz="4" w:space="0"/>
              <w:left w:val="nil"/>
              <w:bottom w:val="single" w:color="auto" w:sz="4" w:space="0"/>
              <w:right w:val="single" w:color="auto" w:sz="4" w:space="0"/>
            </w:tcBorders>
            <w:vAlign w:val="center"/>
          </w:tcPr>
          <w:p w14:paraId="49FE4CAC">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06351FFE">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330CBB7C">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560B9A71">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545B7FBA">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报价说明可以接受（22.2）</w:t>
            </w:r>
          </w:p>
        </w:tc>
        <w:tc>
          <w:tcPr>
            <w:tcW w:w="4470" w:type="dxa"/>
            <w:tcBorders>
              <w:top w:val="single" w:color="auto" w:sz="4" w:space="0"/>
              <w:left w:val="nil"/>
              <w:bottom w:val="single" w:color="auto" w:sz="4" w:space="0"/>
              <w:right w:val="single" w:color="auto" w:sz="4" w:space="0"/>
            </w:tcBorders>
            <w:vAlign w:val="center"/>
          </w:tcPr>
          <w:p w14:paraId="0BF880B7">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的报价明显低于其他通过符合性检查</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的报价，有可能影响履约的，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能按照规定证明其报价合理性。</w:t>
            </w:r>
          </w:p>
        </w:tc>
        <w:tc>
          <w:tcPr>
            <w:tcW w:w="930" w:type="dxa"/>
            <w:tcBorders>
              <w:top w:val="single" w:color="auto" w:sz="4" w:space="0"/>
              <w:left w:val="nil"/>
              <w:bottom w:val="single" w:color="auto" w:sz="4" w:space="0"/>
              <w:right w:val="single" w:color="auto" w:sz="4" w:space="0"/>
            </w:tcBorders>
            <w:vAlign w:val="center"/>
          </w:tcPr>
          <w:p w14:paraId="2205C8E4">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855" w:type="dxa"/>
            <w:tcBorders>
              <w:top w:val="single" w:color="auto" w:sz="4" w:space="0"/>
              <w:left w:val="nil"/>
              <w:bottom w:val="single" w:color="auto" w:sz="4" w:space="0"/>
              <w:right w:val="single" w:color="auto" w:sz="4" w:space="0"/>
            </w:tcBorders>
            <w:vAlign w:val="center"/>
          </w:tcPr>
          <w:p w14:paraId="37999813">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c>
          <w:tcPr>
            <w:tcW w:w="990" w:type="dxa"/>
            <w:tcBorders>
              <w:top w:val="single" w:color="auto" w:sz="4" w:space="0"/>
              <w:left w:val="nil"/>
              <w:bottom w:val="single" w:color="auto" w:sz="4" w:space="0"/>
              <w:right w:val="single" w:color="auto" w:sz="4" w:space="0"/>
            </w:tcBorders>
            <w:vAlign w:val="center"/>
          </w:tcPr>
          <w:p w14:paraId="48193F38">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　</w:t>
            </w:r>
          </w:p>
        </w:tc>
      </w:tr>
      <w:tr w14:paraId="3805ACE1">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748AD71C">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无</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不能接受的附加条件（22.2）</w:t>
            </w:r>
          </w:p>
        </w:tc>
        <w:tc>
          <w:tcPr>
            <w:tcW w:w="4470" w:type="dxa"/>
            <w:tcBorders>
              <w:top w:val="single" w:color="auto" w:sz="4" w:space="0"/>
              <w:left w:val="nil"/>
              <w:bottom w:val="single" w:color="auto" w:sz="4" w:space="0"/>
              <w:right w:val="single" w:color="auto" w:sz="4" w:space="0"/>
            </w:tcBorders>
            <w:vAlign w:val="center"/>
          </w:tcPr>
          <w:p w14:paraId="4E1979B5">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响应文件未含有</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不能接受的附加条件。</w:t>
            </w:r>
          </w:p>
        </w:tc>
        <w:tc>
          <w:tcPr>
            <w:tcW w:w="930" w:type="dxa"/>
            <w:tcBorders>
              <w:top w:val="single" w:color="auto" w:sz="4" w:space="0"/>
              <w:left w:val="nil"/>
              <w:bottom w:val="single" w:color="auto" w:sz="4" w:space="0"/>
              <w:right w:val="single" w:color="auto" w:sz="4" w:space="0"/>
            </w:tcBorders>
            <w:vAlign w:val="center"/>
          </w:tcPr>
          <w:p w14:paraId="2FD6EB8A">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855" w:type="dxa"/>
            <w:tcBorders>
              <w:top w:val="single" w:color="auto" w:sz="4" w:space="0"/>
              <w:left w:val="nil"/>
              <w:bottom w:val="single" w:color="auto" w:sz="4" w:space="0"/>
              <w:right w:val="single" w:color="auto" w:sz="4" w:space="0"/>
            </w:tcBorders>
            <w:vAlign w:val="center"/>
          </w:tcPr>
          <w:p w14:paraId="66935BCC">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c>
          <w:tcPr>
            <w:tcW w:w="990" w:type="dxa"/>
            <w:tcBorders>
              <w:top w:val="single" w:color="auto" w:sz="4" w:space="0"/>
              <w:left w:val="nil"/>
              <w:bottom w:val="single" w:color="auto" w:sz="4" w:space="0"/>
              <w:right w:val="single" w:color="auto" w:sz="4" w:space="0"/>
            </w:tcBorders>
            <w:vAlign w:val="center"/>
          </w:tcPr>
          <w:p w14:paraId="25425EA3">
            <w:pPr>
              <w:pageBreakBefore w:val="0"/>
              <w:widowControl/>
              <w:kinsoku/>
              <w:wordWrap/>
              <w:overflowPunct/>
              <w:topLinePunct w:val="0"/>
              <w:bidi w:val="0"/>
              <w:snapToGrid w:val="0"/>
              <w:spacing w:line="520" w:lineRule="exact"/>
              <w:jc w:val="left"/>
              <w:textAlignment w:val="baseline"/>
              <w:rPr>
                <w:rFonts w:ascii="微软雅黑" w:hAnsi="微软雅黑" w:eastAsia="微软雅黑" w:cs="微软雅黑"/>
                <w:color w:val="auto"/>
                <w:kern w:val="0"/>
                <w:sz w:val="24"/>
                <w:highlight w:val="none"/>
              </w:rPr>
            </w:pPr>
          </w:p>
        </w:tc>
      </w:tr>
      <w:tr w14:paraId="0F2F8735">
        <w:tblPrEx>
          <w:tblCellMar>
            <w:top w:w="0" w:type="dxa"/>
            <w:left w:w="108" w:type="dxa"/>
            <w:bottom w:w="0" w:type="dxa"/>
            <w:right w:w="108" w:type="dxa"/>
          </w:tblCellMar>
        </w:tblPrEx>
        <w:trPr>
          <w:trHeight w:val="774"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14:paraId="0523BBDB">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b/>
                <w:color w:val="auto"/>
                <w:sz w:val="24"/>
                <w:highlight w:val="none"/>
              </w:rPr>
            </w:pPr>
            <w:r>
              <w:rPr>
                <w:rFonts w:hint="eastAsia" w:ascii="微软雅黑" w:hAnsi="微软雅黑" w:eastAsia="微软雅黑" w:cs="微软雅黑"/>
                <w:b/>
                <w:color w:val="auto"/>
                <w:kern w:val="0"/>
                <w:sz w:val="24"/>
                <w:highlight w:val="none"/>
              </w:rPr>
              <w:t>结论</w:t>
            </w:r>
          </w:p>
        </w:tc>
        <w:tc>
          <w:tcPr>
            <w:tcW w:w="930" w:type="dxa"/>
            <w:tcBorders>
              <w:top w:val="single" w:color="auto" w:sz="4" w:space="0"/>
              <w:left w:val="nil"/>
              <w:bottom w:val="single" w:color="auto" w:sz="4" w:space="0"/>
              <w:right w:val="single" w:color="auto" w:sz="4" w:space="0"/>
            </w:tcBorders>
            <w:vAlign w:val="center"/>
          </w:tcPr>
          <w:p w14:paraId="6F1E235A">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p>
        </w:tc>
        <w:tc>
          <w:tcPr>
            <w:tcW w:w="855" w:type="dxa"/>
            <w:tcBorders>
              <w:top w:val="single" w:color="auto" w:sz="4" w:space="0"/>
              <w:left w:val="nil"/>
              <w:bottom w:val="single" w:color="auto" w:sz="4" w:space="0"/>
              <w:right w:val="single" w:color="auto" w:sz="4" w:space="0"/>
            </w:tcBorders>
            <w:vAlign w:val="center"/>
          </w:tcPr>
          <w:p w14:paraId="63FEBD63">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p>
        </w:tc>
        <w:tc>
          <w:tcPr>
            <w:tcW w:w="990" w:type="dxa"/>
            <w:tcBorders>
              <w:top w:val="single" w:color="auto" w:sz="4" w:space="0"/>
              <w:left w:val="nil"/>
              <w:bottom w:val="single" w:color="auto" w:sz="4" w:space="0"/>
              <w:right w:val="single" w:color="auto" w:sz="4" w:space="0"/>
            </w:tcBorders>
            <w:vAlign w:val="center"/>
          </w:tcPr>
          <w:p w14:paraId="359CB786">
            <w:pPr>
              <w:pageBreakBefore w:val="0"/>
              <w:widowControl/>
              <w:kinsoku/>
              <w:wordWrap/>
              <w:overflowPunct/>
              <w:topLinePunct w:val="0"/>
              <w:bidi w:val="0"/>
              <w:snapToGrid w:val="0"/>
              <w:spacing w:line="520" w:lineRule="exact"/>
              <w:jc w:val="center"/>
              <w:textAlignment w:val="baseline"/>
              <w:rPr>
                <w:rFonts w:ascii="微软雅黑" w:hAnsi="微软雅黑" w:eastAsia="微软雅黑" w:cs="微软雅黑"/>
                <w:color w:val="auto"/>
                <w:kern w:val="0"/>
                <w:sz w:val="24"/>
                <w:highlight w:val="none"/>
              </w:rPr>
            </w:pPr>
          </w:p>
        </w:tc>
      </w:tr>
    </w:tbl>
    <w:p w14:paraId="7E68BEEC">
      <w:pPr>
        <w:pStyle w:val="11"/>
        <w:pageBreakBefore w:val="0"/>
        <w:kinsoku/>
        <w:wordWrap/>
        <w:overflowPunct/>
        <w:topLinePunct w:val="0"/>
        <w:bidi w:val="0"/>
        <w:snapToGrid w:val="0"/>
        <w:spacing w:before="0" w:line="520" w:lineRule="exact"/>
        <w:ind w:left="-181" w:leftChars="-86" w:firstLine="660" w:firstLineChars="275"/>
        <w:textAlignment w:val="baseline"/>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4496E2B3">
      <w:pPr>
        <w:pageBreakBefore w:val="0"/>
        <w:kinsoku/>
        <w:wordWrap/>
        <w:overflowPunct/>
        <w:topLinePunct w:val="0"/>
        <w:bidi w:val="0"/>
        <w:snapToGrid w:val="0"/>
        <w:spacing w:line="520" w:lineRule="exact"/>
        <w:ind w:left="1080" w:leftChars="257" w:hanging="540"/>
        <w:jc w:val="center"/>
        <w:textAlignment w:val="baseline"/>
        <w:outlineLvl w:val="1"/>
        <w:rPr>
          <w:rFonts w:ascii="微软雅黑" w:hAnsi="微软雅黑" w:eastAsia="微软雅黑" w:cs="微软雅黑"/>
          <w:b/>
          <w:color w:val="auto"/>
          <w:sz w:val="28"/>
          <w:szCs w:val="28"/>
          <w:highlight w:val="none"/>
        </w:rPr>
      </w:pPr>
      <w:bookmarkStart w:id="812" w:name="_Toc27185"/>
      <w:bookmarkStart w:id="813" w:name="_Toc15320"/>
      <w:bookmarkStart w:id="814" w:name="_Toc29461"/>
      <w:bookmarkStart w:id="815" w:name="_Toc19042"/>
      <w:bookmarkStart w:id="816" w:name="_Toc11236"/>
      <w:bookmarkStart w:id="817" w:name="_Toc21660"/>
      <w:bookmarkStart w:id="818" w:name="_Toc20547"/>
      <w:bookmarkStart w:id="819" w:name="_Toc9113"/>
      <w:bookmarkStart w:id="820" w:name="_Toc10809"/>
      <w:bookmarkStart w:id="821" w:name="_Toc20034"/>
      <w:bookmarkStart w:id="822" w:name="_Toc26098"/>
      <w:bookmarkStart w:id="823" w:name="_Toc22660"/>
      <w:r>
        <w:rPr>
          <w:rFonts w:hint="eastAsia" w:ascii="微软雅黑" w:hAnsi="微软雅黑" w:eastAsia="微软雅黑" w:cs="微软雅黑"/>
          <w:b/>
          <w:color w:val="auto"/>
          <w:sz w:val="28"/>
          <w:szCs w:val="28"/>
          <w:highlight w:val="none"/>
        </w:rPr>
        <w:t>综合评分表</w:t>
      </w:r>
      <w:bookmarkEnd w:id="809"/>
      <w:bookmarkEnd w:id="810"/>
      <w:bookmarkEnd w:id="812"/>
      <w:bookmarkEnd w:id="813"/>
      <w:bookmarkEnd w:id="814"/>
      <w:bookmarkEnd w:id="815"/>
      <w:bookmarkEnd w:id="816"/>
      <w:bookmarkEnd w:id="817"/>
      <w:bookmarkEnd w:id="818"/>
      <w:bookmarkEnd w:id="819"/>
      <w:bookmarkEnd w:id="820"/>
      <w:bookmarkEnd w:id="821"/>
      <w:bookmarkEnd w:id="822"/>
      <w:bookmarkEnd w:id="823"/>
      <w:r>
        <w:rPr>
          <w:rFonts w:hint="eastAsia" w:ascii="微软雅黑" w:hAnsi="微软雅黑" w:eastAsia="微软雅黑" w:cs="微软雅黑"/>
          <w:b/>
          <w:color w:val="auto"/>
          <w:sz w:val="28"/>
          <w:szCs w:val="28"/>
          <w:highlight w:val="none"/>
        </w:rPr>
        <w:t xml:space="preserve"> </w:t>
      </w:r>
    </w:p>
    <w:tbl>
      <w:tblPr>
        <w:tblStyle w:val="38"/>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53"/>
        <w:gridCol w:w="965"/>
        <w:gridCol w:w="6689"/>
        <w:gridCol w:w="762"/>
      </w:tblGrid>
      <w:tr w14:paraId="1EB5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70" w:type="dxa"/>
            <w:noWrap w:val="0"/>
            <w:vAlign w:val="center"/>
          </w:tcPr>
          <w:p w14:paraId="6745BDA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b/>
                <w:color w:val="auto"/>
                <w:kern w:val="2"/>
                <w:sz w:val="21"/>
                <w:szCs w:val="21"/>
                <w:highlight w:val="none"/>
              </w:rPr>
            </w:pPr>
            <w:r>
              <w:rPr>
                <w:rFonts w:hint="eastAsia" w:ascii="微软雅黑" w:hAnsi="微软雅黑" w:eastAsia="微软雅黑" w:cs="微软雅黑"/>
                <w:b/>
                <w:color w:val="auto"/>
                <w:sz w:val="21"/>
                <w:szCs w:val="21"/>
                <w:highlight w:val="none"/>
              </w:rPr>
              <w:t>序号</w:t>
            </w:r>
          </w:p>
        </w:tc>
        <w:tc>
          <w:tcPr>
            <w:tcW w:w="1718" w:type="dxa"/>
            <w:gridSpan w:val="2"/>
            <w:noWrap w:val="0"/>
            <w:vAlign w:val="center"/>
          </w:tcPr>
          <w:p w14:paraId="3C26DF0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评审项目</w:t>
            </w:r>
          </w:p>
        </w:tc>
        <w:tc>
          <w:tcPr>
            <w:tcW w:w="6689" w:type="dxa"/>
            <w:noWrap w:val="0"/>
            <w:vAlign w:val="center"/>
          </w:tcPr>
          <w:p w14:paraId="6C05DB6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b/>
                <w:color w:val="auto"/>
                <w:kern w:val="2"/>
                <w:sz w:val="21"/>
                <w:szCs w:val="21"/>
                <w:highlight w:val="none"/>
              </w:rPr>
            </w:pPr>
            <w:r>
              <w:rPr>
                <w:rFonts w:hint="eastAsia" w:ascii="微软雅黑" w:hAnsi="微软雅黑" w:eastAsia="微软雅黑" w:cs="微软雅黑"/>
                <w:b/>
                <w:color w:val="auto"/>
                <w:sz w:val="21"/>
                <w:szCs w:val="21"/>
                <w:highlight w:val="none"/>
              </w:rPr>
              <w:t>评审内容及规则</w:t>
            </w:r>
          </w:p>
        </w:tc>
        <w:tc>
          <w:tcPr>
            <w:tcW w:w="762" w:type="dxa"/>
            <w:noWrap w:val="0"/>
            <w:vAlign w:val="center"/>
          </w:tcPr>
          <w:p w14:paraId="18016858">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标准分值</w:t>
            </w:r>
          </w:p>
        </w:tc>
      </w:tr>
      <w:tr w14:paraId="6F30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70" w:type="dxa"/>
            <w:noWrap w:val="0"/>
            <w:vAlign w:val="center"/>
          </w:tcPr>
          <w:p w14:paraId="3F38D87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sz w:val="21"/>
                <w:szCs w:val="21"/>
                <w:highlight w:val="none"/>
              </w:rPr>
              <w:t>1</w:t>
            </w:r>
          </w:p>
        </w:tc>
        <w:tc>
          <w:tcPr>
            <w:tcW w:w="753" w:type="dxa"/>
            <w:noWrap w:val="0"/>
            <w:vAlign w:val="center"/>
          </w:tcPr>
          <w:p w14:paraId="6177F76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价格评审</w:t>
            </w:r>
          </w:p>
        </w:tc>
        <w:tc>
          <w:tcPr>
            <w:tcW w:w="965" w:type="dxa"/>
            <w:noWrap w:val="0"/>
            <w:vAlign w:val="center"/>
          </w:tcPr>
          <w:p w14:paraId="788DFA60">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价格</w:t>
            </w:r>
          </w:p>
        </w:tc>
        <w:tc>
          <w:tcPr>
            <w:tcW w:w="6689" w:type="dxa"/>
            <w:noWrap w:val="0"/>
            <w:vAlign w:val="center"/>
          </w:tcPr>
          <w:p w14:paraId="2430FFC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sz w:val="22"/>
                <w:szCs w:val="22"/>
                <w:highlight w:val="none"/>
                <w:vertAlign w:val="baseline"/>
              </w:rPr>
              <w:t>评标基准价=有效投标报价的最低值，有效投标报价等于基准值的得满分</w:t>
            </w:r>
            <w:r>
              <w:rPr>
                <w:rFonts w:hint="eastAsia" w:ascii="微软雅黑" w:hAnsi="微软雅黑" w:eastAsia="微软雅黑" w:cs="微软雅黑"/>
                <w:color w:val="auto"/>
                <w:sz w:val="22"/>
                <w:szCs w:val="22"/>
                <w:highlight w:val="none"/>
                <w:vertAlign w:val="baseline"/>
                <w:lang w:val="en-US" w:eastAsia="zh-CN"/>
              </w:rPr>
              <w:t>30</w:t>
            </w:r>
            <w:r>
              <w:rPr>
                <w:rFonts w:hint="eastAsia" w:ascii="微软雅黑" w:hAnsi="微软雅黑" w:eastAsia="微软雅黑" w:cs="微软雅黑"/>
                <w:color w:val="auto"/>
                <w:sz w:val="22"/>
                <w:szCs w:val="22"/>
                <w:highlight w:val="none"/>
                <w:vertAlign w:val="baseline"/>
              </w:rPr>
              <w:t>分，投标报价得分=(评标基准价/投标报价)×价格权重×100；有效投标报价为通过初步审查的投标人报价。</w:t>
            </w:r>
          </w:p>
        </w:tc>
        <w:tc>
          <w:tcPr>
            <w:tcW w:w="762" w:type="dxa"/>
            <w:noWrap w:val="0"/>
            <w:vAlign w:val="center"/>
          </w:tcPr>
          <w:p w14:paraId="5F28BC4A">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30</w:t>
            </w:r>
          </w:p>
        </w:tc>
      </w:tr>
      <w:tr w14:paraId="4F8C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70" w:type="dxa"/>
            <w:noWrap w:val="0"/>
            <w:vAlign w:val="center"/>
          </w:tcPr>
          <w:p w14:paraId="54C68861">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2</w:t>
            </w:r>
          </w:p>
        </w:tc>
        <w:tc>
          <w:tcPr>
            <w:tcW w:w="753" w:type="dxa"/>
            <w:vMerge w:val="restart"/>
            <w:noWrap w:val="0"/>
            <w:vAlign w:val="center"/>
          </w:tcPr>
          <w:p w14:paraId="5B6147CE">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商务评审</w:t>
            </w:r>
          </w:p>
        </w:tc>
        <w:tc>
          <w:tcPr>
            <w:tcW w:w="965" w:type="dxa"/>
            <w:noWrap w:val="0"/>
            <w:vAlign w:val="center"/>
          </w:tcPr>
          <w:p w14:paraId="5CCC4E90">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rPr>
              <w:t>业绩</w:t>
            </w:r>
          </w:p>
        </w:tc>
        <w:tc>
          <w:tcPr>
            <w:tcW w:w="6689" w:type="dxa"/>
            <w:noWrap w:val="0"/>
            <w:vAlign w:val="center"/>
          </w:tcPr>
          <w:p w14:paraId="1FC4914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val="en-US" w:eastAsia="zh-CN"/>
              </w:rPr>
              <w:t>提供近三年</w:t>
            </w:r>
            <w:r>
              <w:rPr>
                <w:rFonts w:hint="eastAsia" w:ascii="微软雅黑" w:hAnsi="微软雅黑" w:eastAsia="微软雅黑" w:cs="微软雅黑"/>
                <w:color w:val="auto"/>
                <w:sz w:val="22"/>
                <w:szCs w:val="22"/>
                <w:highlight w:val="none"/>
                <w:vertAlign w:val="baseline"/>
              </w:rPr>
              <w:t>类似项目成功案例1个加</w:t>
            </w:r>
            <w:r>
              <w:rPr>
                <w:rFonts w:hint="eastAsia" w:ascii="微软雅黑" w:hAnsi="微软雅黑" w:eastAsia="微软雅黑" w:cs="微软雅黑"/>
                <w:color w:val="auto"/>
                <w:sz w:val="22"/>
                <w:szCs w:val="22"/>
                <w:highlight w:val="none"/>
                <w:vertAlign w:val="baseline"/>
                <w:lang w:val="en-US" w:eastAsia="zh-CN"/>
              </w:rPr>
              <w:t>2</w:t>
            </w:r>
            <w:r>
              <w:rPr>
                <w:rFonts w:hint="eastAsia" w:ascii="微软雅黑" w:hAnsi="微软雅黑" w:eastAsia="微软雅黑" w:cs="微软雅黑"/>
                <w:color w:val="auto"/>
                <w:sz w:val="22"/>
                <w:szCs w:val="22"/>
                <w:highlight w:val="none"/>
                <w:vertAlign w:val="baseline"/>
              </w:rPr>
              <w:t>分，满分为</w:t>
            </w:r>
            <w:r>
              <w:rPr>
                <w:rFonts w:hint="eastAsia" w:ascii="微软雅黑" w:hAnsi="微软雅黑" w:eastAsia="微软雅黑" w:cs="微软雅黑"/>
                <w:color w:val="auto"/>
                <w:sz w:val="22"/>
                <w:szCs w:val="22"/>
                <w:highlight w:val="none"/>
                <w:vertAlign w:val="baseline"/>
                <w:lang w:val="en-US" w:eastAsia="zh-CN"/>
              </w:rPr>
              <w:t>4</w:t>
            </w:r>
            <w:r>
              <w:rPr>
                <w:rFonts w:hint="eastAsia" w:ascii="微软雅黑" w:hAnsi="微软雅黑" w:eastAsia="微软雅黑" w:cs="微软雅黑"/>
                <w:color w:val="auto"/>
                <w:sz w:val="22"/>
                <w:szCs w:val="22"/>
                <w:highlight w:val="none"/>
                <w:vertAlign w:val="baseline"/>
              </w:rPr>
              <w:t>分。（</w:t>
            </w:r>
            <w:r>
              <w:rPr>
                <w:rFonts w:hint="eastAsia" w:ascii="微软雅黑" w:hAnsi="微软雅黑" w:eastAsia="微软雅黑" w:cs="微软雅黑"/>
                <w:color w:val="auto"/>
                <w:sz w:val="22"/>
                <w:szCs w:val="22"/>
                <w:highlight w:val="none"/>
                <w:vertAlign w:val="baseline"/>
                <w:lang w:val="en-US" w:eastAsia="zh-CN"/>
              </w:rPr>
              <w:t>提供</w:t>
            </w:r>
            <w:r>
              <w:rPr>
                <w:rFonts w:hint="eastAsia" w:ascii="微软雅黑" w:hAnsi="微软雅黑" w:eastAsia="微软雅黑" w:cs="微软雅黑"/>
                <w:color w:val="auto"/>
                <w:sz w:val="22"/>
                <w:szCs w:val="22"/>
                <w:highlight w:val="none"/>
                <w:vertAlign w:val="baseline"/>
              </w:rPr>
              <w:t>中标通知书</w:t>
            </w:r>
            <w:r>
              <w:rPr>
                <w:rFonts w:hint="eastAsia" w:ascii="微软雅黑" w:hAnsi="微软雅黑" w:eastAsia="微软雅黑" w:cs="微软雅黑"/>
                <w:color w:val="auto"/>
                <w:sz w:val="22"/>
                <w:szCs w:val="22"/>
                <w:highlight w:val="none"/>
                <w:vertAlign w:val="baseline"/>
                <w:lang w:val="en-US" w:eastAsia="zh-CN"/>
              </w:rPr>
              <w:t>及</w:t>
            </w:r>
            <w:r>
              <w:rPr>
                <w:rFonts w:hint="eastAsia" w:ascii="微软雅黑" w:hAnsi="微软雅黑" w:eastAsia="微软雅黑" w:cs="微软雅黑"/>
                <w:color w:val="auto"/>
                <w:sz w:val="22"/>
                <w:szCs w:val="22"/>
                <w:highlight w:val="none"/>
                <w:vertAlign w:val="baseline"/>
              </w:rPr>
              <w:t>合同</w:t>
            </w:r>
            <w:r>
              <w:rPr>
                <w:rFonts w:hint="eastAsia" w:ascii="微软雅黑" w:hAnsi="微软雅黑" w:eastAsia="微软雅黑" w:cs="微软雅黑"/>
                <w:color w:val="auto"/>
                <w:sz w:val="22"/>
                <w:szCs w:val="22"/>
                <w:highlight w:val="none"/>
                <w:vertAlign w:val="baseline"/>
                <w:lang w:val="en-US" w:eastAsia="zh-CN"/>
              </w:rPr>
              <w:t>为一个有效业绩</w:t>
            </w:r>
            <w:r>
              <w:rPr>
                <w:rFonts w:hint="eastAsia" w:ascii="微软雅黑" w:hAnsi="微软雅黑" w:eastAsia="微软雅黑" w:cs="微软雅黑"/>
                <w:color w:val="auto"/>
                <w:sz w:val="22"/>
                <w:szCs w:val="22"/>
                <w:highlight w:val="none"/>
                <w:vertAlign w:val="baseline"/>
              </w:rPr>
              <w:t>）</w:t>
            </w:r>
            <w:r>
              <w:rPr>
                <w:rFonts w:hint="eastAsia" w:ascii="微软雅黑" w:hAnsi="微软雅黑" w:eastAsia="微软雅黑" w:cs="微软雅黑"/>
                <w:color w:val="auto"/>
                <w:sz w:val="22"/>
                <w:szCs w:val="22"/>
                <w:highlight w:val="none"/>
                <w:vertAlign w:val="baseline"/>
                <w:lang w:eastAsia="zh-CN"/>
              </w:rPr>
              <w:t>。</w:t>
            </w:r>
          </w:p>
        </w:tc>
        <w:tc>
          <w:tcPr>
            <w:tcW w:w="762" w:type="dxa"/>
            <w:noWrap w:val="0"/>
            <w:vAlign w:val="center"/>
          </w:tcPr>
          <w:p w14:paraId="7D2C2C31">
            <w:pPr>
              <w:keepNext w:val="0"/>
              <w:keepLines w:val="0"/>
              <w:pageBreakBefore w:val="0"/>
              <w:kinsoku/>
              <w:wordWrap/>
              <w:overflowPunct/>
              <w:topLinePunct w:val="0"/>
              <w:autoSpaceDE/>
              <w:autoSpaceDN/>
              <w:bidi w:val="0"/>
              <w:adjustRightInd/>
              <w:spacing w:line="44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r>
      <w:tr w14:paraId="6A2C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770" w:type="dxa"/>
            <w:noWrap w:val="0"/>
            <w:vAlign w:val="center"/>
          </w:tcPr>
          <w:p w14:paraId="7FE04D84">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3</w:t>
            </w:r>
          </w:p>
        </w:tc>
        <w:tc>
          <w:tcPr>
            <w:tcW w:w="753" w:type="dxa"/>
            <w:vMerge w:val="continue"/>
            <w:noWrap w:val="0"/>
            <w:vAlign w:val="center"/>
          </w:tcPr>
          <w:p w14:paraId="603A6BC6">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sz w:val="21"/>
                <w:szCs w:val="21"/>
                <w:highlight w:val="none"/>
              </w:rPr>
            </w:pPr>
          </w:p>
        </w:tc>
        <w:tc>
          <w:tcPr>
            <w:tcW w:w="965" w:type="dxa"/>
            <w:noWrap w:val="0"/>
            <w:vAlign w:val="center"/>
          </w:tcPr>
          <w:p w14:paraId="39E8B60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val="en-US" w:eastAsia="zh-CN"/>
              </w:rPr>
              <w:t>项目负责人</w:t>
            </w:r>
          </w:p>
          <w:p w14:paraId="2120327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2"/>
                <w:szCs w:val="22"/>
                <w:highlight w:val="none"/>
                <w:vertAlign w:val="baseline"/>
                <w:lang w:val="en-US" w:eastAsia="zh-CN"/>
              </w:rPr>
            </w:pPr>
          </w:p>
        </w:tc>
        <w:tc>
          <w:tcPr>
            <w:tcW w:w="6689" w:type="dxa"/>
            <w:noWrap w:val="0"/>
            <w:vAlign w:val="center"/>
          </w:tcPr>
          <w:p w14:paraId="42CEC6DF">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val="en-US" w:eastAsia="zh-CN"/>
              </w:rPr>
              <w:t>项目负责人类似工程业绩：</w:t>
            </w:r>
          </w:p>
          <w:p w14:paraId="599D340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val="en-US" w:eastAsia="zh-CN"/>
              </w:rPr>
              <w:t>提供项目负责人近三年至今竣工验收合格的类似工程业绩，提供1项得3分， 最多得6分。注:（须提供中标通知书或者施工合同，业绩证明材料须反映项目负责人。以合同签订时间为准，项目负责人业绩不可与企业项目业绩重复，重复提供不得分） 。</w:t>
            </w:r>
          </w:p>
        </w:tc>
        <w:tc>
          <w:tcPr>
            <w:tcW w:w="762" w:type="dxa"/>
            <w:noWrap w:val="0"/>
            <w:vAlign w:val="center"/>
          </w:tcPr>
          <w:p w14:paraId="5EF9FC28">
            <w:pPr>
              <w:keepNext w:val="0"/>
              <w:keepLines w:val="0"/>
              <w:pageBreakBefore w:val="0"/>
              <w:kinsoku/>
              <w:wordWrap/>
              <w:overflowPunct/>
              <w:topLinePunct w:val="0"/>
              <w:autoSpaceDE/>
              <w:autoSpaceDN/>
              <w:bidi w:val="0"/>
              <w:adjustRightInd/>
              <w:spacing w:line="44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r>
      <w:tr w14:paraId="2765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770" w:type="dxa"/>
            <w:noWrap w:val="0"/>
            <w:vAlign w:val="center"/>
          </w:tcPr>
          <w:p w14:paraId="3B610173">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4</w:t>
            </w:r>
          </w:p>
        </w:tc>
        <w:tc>
          <w:tcPr>
            <w:tcW w:w="753" w:type="dxa"/>
            <w:vMerge w:val="continue"/>
            <w:noWrap w:val="0"/>
            <w:vAlign w:val="center"/>
          </w:tcPr>
          <w:p w14:paraId="43843B76">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sz w:val="21"/>
                <w:szCs w:val="21"/>
                <w:highlight w:val="none"/>
              </w:rPr>
            </w:pPr>
          </w:p>
        </w:tc>
        <w:tc>
          <w:tcPr>
            <w:tcW w:w="965" w:type="dxa"/>
            <w:noWrap w:val="0"/>
            <w:vAlign w:val="center"/>
          </w:tcPr>
          <w:p w14:paraId="1A87CCD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eastAsia="zh-CN"/>
              </w:rPr>
              <w:t>项目管理人员情况</w:t>
            </w:r>
          </w:p>
        </w:tc>
        <w:tc>
          <w:tcPr>
            <w:tcW w:w="6689" w:type="dxa"/>
            <w:noWrap w:val="0"/>
            <w:vAlign w:val="center"/>
          </w:tcPr>
          <w:p w14:paraId="1A23B562">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2"/>
                <w:szCs w:val="22"/>
                <w:highlight w:val="none"/>
                <w:vertAlign w:val="baseline"/>
                <w:lang w:val="en-US" w:eastAsia="zh-CN"/>
              </w:rPr>
            </w:pPr>
            <w:r>
              <w:rPr>
                <w:rFonts w:hint="eastAsia" w:ascii="微软雅黑" w:hAnsi="微软雅黑" w:eastAsia="微软雅黑" w:cs="微软雅黑"/>
                <w:color w:val="auto"/>
                <w:sz w:val="22"/>
                <w:szCs w:val="22"/>
                <w:highlight w:val="none"/>
                <w:vertAlign w:val="baseline"/>
                <w:lang w:eastAsia="zh-CN"/>
              </w:rPr>
              <w:t>项目技术负责人、消防设施操作员、消防工程师、注册安全工程师、电工操作证、质检员、安全员、施工员、其他人员等配备情况。（投标人需提供人员</w:t>
            </w:r>
            <w:r>
              <w:rPr>
                <w:rFonts w:hint="eastAsia" w:ascii="微软雅黑" w:hAnsi="微软雅黑" w:eastAsia="微软雅黑" w:cs="微软雅黑"/>
                <w:color w:val="auto"/>
                <w:sz w:val="22"/>
                <w:szCs w:val="22"/>
                <w:highlight w:val="none"/>
                <w:vertAlign w:val="baseline"/>
                <w:lang w:val="en-US" w:eastAsia="zh-CN"/>
              </w:rPr>
              <w:t>基本情况表及</w:t>
            </w:r>
            <w:r>
              <w:rPr>
                <w:rFonts w:hint="eastAsia" w:ascii="微软雅黑" w:hAnsi="微软雅黑" w:eastAsia="微软雅黑" w:cs="微软雅黑"/>
                <w:color w:val="auto"/>
                <w:sz w:val="22"/>
                <w:szCs w:val="22"/>
                <w:highlight w:val="none"/>
                <w:vertAlign w:val="baseline"/>
                <w:lang w:eastAsia="zh-CN"/>
              </w:rPr>
              <w:t>社保缴纳证明（</w:t>
            </w:r>
            <w:r>
              <w:rPr>
                <w:rFonts w:hint="eastAsia" w:ascii="微软雅黑" w:hAnsi="微软雅黑" w:eastAsia="微软雅黑" w:cs="微软雅黑"/>
                <w:color w:val="auto"/>
                <w:sz w:val="22"/>
                <w:szCs w:val="22"/>
                <w:highlight w:val="none"/>
                <w:vertAlign w:val="baseline"/>
                <w:lang w:val="en-US" w:eastAsia="zh-CN"/>
              </w:rPr>
              <w:t>近6个月任意一个月</w:t>
            </w:r>
            <w:r>
              <w:rPr>
                <w:rFonts w:hint="eastAsia" w:ascii="微软雅黑" w:hAnsi="微软雅黑" w:eastAsia="微软雅黑" w:cs="微软雅黑"/>
                <w:color w:val="auto"/>
                <w:sz w:val="22"/>
                <w:szCs w:val="22"/>
                <w:highlight w:val="none"/>
                <w:vertAlign w:val="baseline"/>
                <w:lang w:eastAsia="zh-CN"/>
              </w:rPr>
              <w:t>），每提供</w:t>
            </w:r>
            <w:r>
              <w:rPr>
                <w:rFonts w:hint="eastAsia" w:ascii="微软雅黑" w:hAnsi="微软雅黑" w:eastAsia="微软雅黑" w:cs="微软雅黑"/>
                <w:color w:val="auto"/>
                <w:sz w:val="22"/>
                <w:szCs w:val="22"/>
                <w:highlight w:val="none"/>
                <w:vertAlign w:val="baseline"/>
                <w:lang w:val="en-US" w:eastAsia="zh-CN"/>
              </w:rPr>
              <w:t>以上任意一人基本情况表及社保证明材料</w:t>
            </w:r>
            <w:r>
              <w:rPr>
                <w:rFonts w:hint="eastAsia" w:ascii="微软雅黑" w:hAnsi="微软雅黑" w:eastAsia="微软雅黑" w:cs="微软雅黑"/>
                <w:color w:val="auto"/>
                <w:sz w:val="22"/>
                <w:szCs w:val="22"/>
                <w:highlight w:val="none"/>
                <w:vertAlign w:val="baseline"/>
                <w:lang w:eastAsia="zh-CN"/>
              </w:rPr>
              <w:t>得</w:t>
            </w:r>
            <w:r>
              <w:rPr>
                <w:rFonts w:hint="eastAsia" w:ascii="微软雅黑" w:hAnsi="微软雅黑" w:eastAsia="微软雅黑" w:cs="微软雅黑"/>
                <w:color w:val="auto"/>
                <w:sz w:val="22"/>
                <w:szCs w:val="22"/>
                <w:highlight w:val="none"/>
                <w:vertAlign w:val="baseline"/>
                <w:lang w:val="en-US" w:eastAsia="zh-CN"/>
              </w:rPr>
              <w:t>1</w:t>
            </w:r>
            <w:r>
              <w:rPr>
                <w:rFonts w:hint="eastAsia" w:ascii="微软雅黑" w:hAnsi="微软雅黑" w:eastAsia="微软雅黑" w:cs="微软雅黑"/>
                <w:color w:val="auto"/>
                <w:sz w:val="22"/>
                <w:szCs w:val="22"/>
                <w:highlight w:val="none"/>
                <w:vertAlign w:val="baseline"/>
                <w:lang w:eastAsia="zh-CN"/>
              </w:rPr>
              <w:t>分，共</w:t>
            </w:r>
            <w:r>
              <w:rPr>
                <w:rFonts w:hint="eastAsia" w:ascii="微软雅黑" w:hAnsi="微软雅黑" w:eastAsia="微软雅黑" w:cs="微软雅黑"/>
                <w:color w:val="auto"/>
                <w:sz w:val="22"/>
                <w:szCs w:val="22"/>
                <w:highlight w:val="none"/>
                <w:vertAlign w:val="baseline"/>
                <w:lang w:val="en-US" w:eastAsia="zh-CN"/>
              </w:rPr>
              <w:t>6</w:t>
            </w:r>
            <w:r>
              <w:rPr>
                <w:rFonts w:hint="eastAsia" w:ascii="微软雅黑" w:hAnsi="微软雅黑" w:eastAsia="微软雅黑" w:cs="微软雅黑"/>
                <w:color w:val="auto"/>
                <w:sz w:val="22"/>
                <w:szCs w:val="22"/>
                <w:highlight w:val="none"/>
                <w:vertAlign w:val="baseline"/>
                <w:lang w:eastAsia="zh-CN"/>
              </w:rPr>
              <w:t>分）</w:t>
            </w:r>
          </w:p>
        </w:tc>
        <w:tc>
          <w:tcPr>
            <w:tcW w:w="762" w:type="dxa"/>
            <w:noWrap w:val="0"/>
            <w:vAlign w:val="center"/>
          </w:tcPr>
          <w:p w14:paraId="7FCB6B12">
            <w:pPr>
              <w:keepNext w:val="0"/>
              <w:keepLines w:val="0"/>
              <w:pageBreakBefore w:val="0"/>
              <w:kinsoku/>
              <w:wordWrap/>
              <w:overflowPunct/>
              <w:topLinePunct w:val="0"/>
              <w:autoSpaceDE/>
              <w:autoSpaceDN/>
              <w:bidi w:val="0"/>
              <w:adjustRightInd/>
              <w:spacing w:line="44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r>
      <w:tr w14:paraId="1E48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70" w:type="dxa"/>
            <w:noWrap w:val="0"/>
            <w:vAlign w:val="center"/>
          </w:tcPr>
          <w:p w14:paraId="1324429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753" w:type="dxa"/>
            <w:vMerge w:val="restart"/>
            <w:noWrap w:val="0"/>
            <w:vAlign w:val="center"/>
          </w:tcPr>
          <w:p w14:paraId="2A226CA0">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技术评审</w:t>
            </w:r>
          </w:p>
        </w:tc>
        <w:tc>
          <w:tcPr>
            <w:tcW w:w="965" w:type="dxa"/>
            <w:noWrap w:val="0"/>
            <w:vAlign w:val="center"/>
          </w:tcPr>
          <w:p w14:paraId="5BB693E2">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总体施工组织布置及规划`</w:t>
            </w:r>
          </w:p>
        </w:tc>
        <w:tc>
          <w:tcPr>
            <w:tcW w:w="6689" w:type="dxa"/>
            <w:noWrap w:val="0"/>
            <w:vAlign w:val="center"/>
          </w:tcPr>
          <w:p w14:paraId="2A802CEE">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①水平工程概况、施工组织方案</w:t>
            </w:r>
          </w:p>
          <w:p w14:paraId="5C51CFD6">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②施工机械设备、劳动力投入计划</w:t>
            </w:r>
          </w:p>
          <w:p w14:paraId="16B5351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③质量、工期、投资控制方案</w:t>
            </w:r>
          </w:p>
          <w:p w14:paraId="58E1453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④文明施工措施</w:t>
            </w:r>
          </w:p>
          <w:p w14:paraId="0911E23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⑤施工总进度计划（ 附图 ）</w:t>
            </w:r>
          </w:p>
          <w:p w14:paraId="063BC95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⑥施工现场平面布置（ 附图 ）</w:t>
            </w:r>
          </w:p>
          <w:p w14:paraId="47AEC311">
            <w:pPr>
              <w:pStyle w:val="107"/>
              <w:keepNext w:val="0"/>
              <w:keepLines w:val="0"/>
              <w:pageBreakBefore w:val="0"/>
              <w:kinsoku/>
              <w:wordWrap/>
              <w:overflowPunct/>
              <w:topLinePunct w:val="0"/>
              <w:bidi w:val="0"/>
              <w:adjustRightInd/>
              <w:snapToGrid/>
              <w:spacing w:line="440" w:lineRule="exact"/>
              <w:jc w:val="left"/>
              <w:textAlignment w:val="auto"/>
              <w:rPr>
                <w:rFonts w:hint="eastAsia" w:ascii="微软雅黑" w:hAnsi="微软雅黑" w:eastAsia="微软雅黑" w:cs="微软雅黑"/>
                <w:snapToGrid w:val="0"/>
                <w:color w:val="auto"/>
                <w:spacing w:val="8"/>
                <w:kern w:val="0"/>
                <w:sz w:val="21"/>
                <w:szCs w:val="21"/>
                <w:highlight w:val="none"/>
                <w:lang w:val="en-US" w:eastAsia="zh-CN" w:bidi="ar-SA"/>
              </w:rPr>
            </w:pPr>
            <w:r>
              <w:rPr>
                <w:rFonts w:hint="eastAsia" w:ascii="微软雅黑" w:hAnsi="微软雅黑" w:eastAsia="微软雅黑" w:cs="微软雅黑"/>
                <w:snapToGrid w:val="0"/>
                <w:color w:val="auto"/>
                <w:spacing w:val="8"/>
                <w:kern w:val="0"/>
                <w:sz w:val="21"/>
                <w:szCs w:val="21"/>
                <w:highlight w:val="none"/>
                <w:lang w:val="en-US" w:eastAsia="zh-CN" w:bidi="ar-SA"/>
              </w:rPr>
              <w:t>提供上述6项目方案内容且6项方案内容均无缺陷的得18分，其中缺少1项方案内容扣3分，每项方案内容中存在1处缺陷的扣1分（每项方案内容最多可扣3分），扣完为止。</w:t>
            </w:r>
          </w:p>
          <w:p w14:paraId="62AE563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注：缺陷是指：同一内容前后不一致（无合理说明）、前后逻辑错误、涉及的规范及标准错误、地点区域错误、存在项目实施对象错误，单项内容存在缺项漏项等情况。</w:t>
            </w:r>
          </w:p>
        </w:tc>
        <w:tc>
          <w:tcPr>
            <w:tcW w:w="762" w:type="dxa"/>
            <w:noWrap w:val="0"/>
            <w:vAlign w:val="center"/>
          </w:tcPr>
          <w:p w14:paraId="225FD945">
            <w:pPr>
              <w:keepNext w:val="0"/>
              <w:keepLines w:val="0"/>
              <w:pageBreakBefore w:val="0"/>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18</w:t>
            </w:r>
          </w:p>
        </w:tc>
      </w:tr>
      <w:tr w14:paraId="0049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70" w:type="dxa"/>
            <w:noWrap w:val="0"/>
            <w:vAlign w:val="center"/>
          </w:tcPr>
          <w:p w14:paraId="1BE02A0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753" w:type="dxa"/>
            <w:vMerge w:val="continue"/>
            <w:noWrap w:val="0"/>
            <w:vAlign w:val="top"/>
          </w:tcPr>
          <w:p w14:paraId="5750229F">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1"/>
                <w:szCs w:val="21"/>
                <w:highlight w:val="none"/>
              </w:rPr>
            </w:pPr>
          </w:p>
        </w:tc>
        <w:tc>
          <w:tcPr>
            <w:tcW w:w="965" w:type="dxa"/>
            <w:noWrap w:val="0"/>
            <w:vAlign w:val="center"/>
          </w:tcPr>
          <w:p w14:paraId="3956141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kern w:val="2"/>
                <w:sz w:val="21"/>
                <w:szCs w:val="21"/>
                <w:highlight w:val="none"/>
                <w:lang w:val="en-US"/>
              </w:rPr>
            </w:pPr>
            <w:r>
              <w:rPr>
                <w:rFonts w:hint="eastAsia" w:ascii="微软雅黑" w:hAnsi="微软雅黑" w:eastAsia="微软雅黑" w:cs="微软雅黑"/>
                <w:color w:val="auto"/>
                <w:kern w:val="2"/>
                <w:sz w:val="21"/>
                <w:szCs w:val="21"/>
                <w:highlight w:val="none"/>
                <w:lang w:val="en-US"/>
              </w:rPr>
              <w:t>施工方  案、方 法</w:t>
            </w:r>
          </w:p>
        </w:tc>
        <w:tc>
          <w:tcPr>
            <w:tcW w:w="6689" w:type="dxa"/>
            <w:noWrap w:val="0"/>
            <w:vAlign w:val="center"/>
          </w:tcPr>
          <w:p w14:paraId="4F66EE11">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cs="微软雅黑"/>
                <w:color w:val="auto"/>
                <w:sz w:val="21"/>
                <w:szCs w:val="21"/>
                <w:highlight w:val="none"/>
                <w:lang w:val="en-US" w:eastAsia="zh-CN"/>
              </w:rPr>
              <w:t>①</w:t>
            </w:r>
            <w:r>
              <w:rPr>
                <w:rFonts w:hint="eastAsia" w:ascii="微软雅黑" w:hAnsi="微软雅黑" w:eastAsia="微软雅黑" w:cs="微软雅黑"/>
                <w:color w:val="auto"/>
                <w:sz w:val="21"/>
                <w:szCs w:val="21"/>
                <w:highlight w:val="none"/>
                <w:lang w:val="en-US" w:eastAsia="zh-CN"/>
              </w:rPr>
              <w:t>施工方案与技术措施 施工措施及计划</w:t>
            </w:r>
          </w:p>
          <w:p w14:paraId="59F1C284">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cs="微软雅黑"/>
                <w:color w:val="auto"/>
                <w:sz w:val="21"/>
                <w:szCs w:val="21"/>
                <w:highlight w:val="none"/>
                <w:lang w:val="en-US" w:eastAsia="zh-CN"/>
              </w:rPr>
              <w:t>②</w:t>
            </w:r>
            <w:r>
              <w:rPr>
                <w:rFonts w:hint="eastAsia" w:ascii="微软雅黑" w:hAnsi="微软雅黑" w:eastAsia="微软雅黑" w:cs="微软雅黑"/>
                <w:color w:val="auto"/>
                <w:sz w:val="21"/>
                <w:szCs w:val="21"/>
                <w:highlight w:val="none"/>
                <w:lang w:val="en-US" w:eastAsia="zh-CN"/>
              </w:rPr>
              <w:t xml:space="preserve"> 施工现场流水段的划分</w:t>
            </w:r>
          </w:p>
          <w:p w14:paraId="7AD6CC47">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cs="微软雅黑"/>
                <w:color w:val="auto"/>
                <w:sz w:val="21"/>
                <w:szCs w:val="21"/>
                <w:highlight w:val="none"/>
                <w:lang w:val="en-US" w:eastAsia="zh-CN"/>
              </w:rPr>
              <w:t>③</w:t>
            </w:r>
            <w:r>
              <w:rPr>
                <w:rFonts w:hint="eastAsia" w:ascii="微软雅黑" w:hAnsi="微软雅黑" w:eastAsia="微软雅黑" w:cs="微软雅黑"/>
                <w:color w:val="auto"/>
                <w:sz w:val="21"/>
                <w:szCs w:val="21"/>
                <w:highlight w:val="none"/>
                <w:lang w:val="en-US" w:eastAsia="zh-CN"/>
              </w:rPr>
              <w:t>施工现场流水作业</w:t>
            </w:r>
          </w:p>
          <w:p w14:paraId="1ABA0D46">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cs="微软雅黑"/>
                <w:color w:val="auto"/>
                <w:sz w:val="21"/>
                <w:szCs w:val="21"/>
                <w:highlight w:val="none"/>
                <w:lang w:val="en-US" w:eastAsia="zh-CN"/>
              </w:rPr>
              <w:t>④</w:t>
            </w:r>
            <w:r>
              <w:rPr>
                <w:rFonts w:hint="eastAsia" w:ascii="微软雅黑" w:hAnsi="微软雅黑" w:eastAsia="微软雅黑" w:cs="微软雅黑"/>
                <w:color w:val="auto"/>
                <w:sz w:val="21"/>
                <w:szCs w:val="21"/>
                <w:highlight w:val="none"/>
                <w:lang w:val="en-US" w:eastAsia="zh-CN"/>
              </w:rPr>
              <w:t>施工现场交叉作业</w:t>
            </w:r>
          </w:p>
          <w:p w14:paraId="56A5B374">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cs="微软雅黑"/>
                <w:color w:val="auto"/>
                <w:sz w:val="21"/>
                <w:szCs w:val="21"/>
                <w:highlight w:val="none"/>
                <w:lang w:val="en-US" w:eastAsia="zh-CN"/>
              </w:rPr>
              <w:t>⑤</w:t>
            </w:r>
            <w:r>
              <w:rPr>
                <w:rFonts w:hint="eastAsia" w:ascii="微软雅黑" w:hAnsi="微软雅黑" w:eastAsia="微软雅黑" w:cs="微软雅黑"/>
                <w:color w:val="auto"/>
                <w:sz w:val="21"/>
                <w:szCs w:val="21"/>
                <w:highlight w:val="none"/>
                <w:lang w:val="en-US" w:eastAsia="zh-CN"/>
              </w:rPr>
              <w:t>施工现场机具配置和布置</w:t>
            </w:r>
          </w:p>
          <w:p w14:paraId="3E51ACB0">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提供上述</w:t>
            </w:r>
            <w:r>
              <w:rPr>
                <w:rFonts w:hint="eastAsia"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lang w:val="en-US" w:eastAsia="zh-CN"/>
              </w:rPr>
              <w:t>项目方案内容且</w:t>
            </w:r>
            <w:r>
              <w:rPr>
                <w:rFonts w:hint="eastAsia"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lang w:val="en-US" w:eastAsia="zh-CN"/>
              </w:rPr>
              <w:t>项方案内容均无缺陷的得</w:t>
            </w:r>
            <w:r>
              <w:rPr>
                <w:rFonts w:hint="eastAsia" w:cs="微软雅黑"/>
                <w:color w:val="auto"/>
                <w:sz w:val="21"/>
                <w:szCs w:val="21"/>
                <w:highlight w:val="none"/>
                <w:lang w:val="en-US" w:eastAsia="zh-CN"/>
              </w:rPr>
              <w:t>10</w:t>
            </w:r>
            <w:r>
              <w:rPr>
                <w:rFonts w:hint="eastAsia" w:ascii="微软雅黑" w:hAnsi="微软雅黑" w:eastAsia="微软雅黑" w:cs="微软雅黑"/>
                <w:color w:val="auto"/>
                <w:sz w:val="21"/>
                <w:szCs w:val="21"/>
                <w:highlight w:val="none"/>
                <w:lang w:val="en-US" w:eastAsia="zh-CN"/>
              </w:rPr>
              <w:t>分，其中缺少1项方案内容扣2分，每项方案内容中存在1处缺陷的扣1分（每项方案内容最多可扣2分），扣完为止。</w:t>
            </w:r>
          </w:p>
          <w:p w14:paraId="59AA4B8C">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注：缺陷是指：同一内容前后不一致（无合理说明）、前后逻辑错误、涉及的规范及标准错误、地点区域错误、存在项目实施对象错误，单项内容存在缺项漏项等情况。</w:t>
            </w:r>
          </w:p>
        </w:tc>
        <w:tc>
          <w:tcPr>
            <w:tcW w:w="762" w:type="dxa"/>
            <w:noWrap w:val="0"/>
            <w:vAlign w:val="center"/>
          </w:tcPr>
          <w:p w14:paraId="6CF0C83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10</w:t>
            </w:r>
          </w:p>
        </w:tc>
      </w:tr>
      <w:tr w14:paraId="30CC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0" w:type="dxa"/>
            <w:noWrap w:val="0"/>
            <w:vAlign w:val="center"/>
          </w:tcPr>
          <w:p w14:paraId="0D078F8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w:t>
            </w:r>
          </w:p>
        </w:tc>
        <w:tc>
          <w:tcPr>
            <w:tcW w:w="753" w:type="dxa"/>
            <w:vMerge w:val="continue"/>
            <w:noWrap w:val="0"/>
            <w:vAlign w:val="top"/>
          </w:tcPr>
          <w:p w14:paraId="7CFE62A3">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1"/>
                <w:szCs w:val="21"/>
                <w:highlight w:val="none"/>
              </w:rPr>
            </w:pPr>
          </w:p>
        </w:tc>
        <w:tc>
          <w:tcPr>
            <w:tcW w:w="965" w:type="dxa"/>
            <w:noWrap w:val="0"/>
            <w:vAlign w:val="center"/>
          </w:tcPr>
          <w:p w14:paraId="75A381C7">
            <w:pPr>
              <w:pStyle w:val="106"/>
              <w:keepNext w:val="0"/>
              <w:keepLines w:val="0"/>
              <w:pageBreakBefore w:val="0"/>
              <w:kinsoku/>
              <w:wordWrap/>
              <w:overflowPunct/>
              <w:topLinePunct w:val="0"/>
              <w:autoSpaceDE/>
              <w:autoSpaceDN/>
              <w:bidi w:val="0"/>
              <w:adjustRightInd/>
              <w:spacing w:before="2" w:line="440" w:lineRule="exact"/>
              <w:ind w:left="12" w:right="11" w:firstLine="8"/>
              <w:jc w:val="center"/>
              <w:textAlignment w:val="auto"/>
              <w:rPr>
                <w:rFonts w:hint="eastAsia" w:ascii="微软雅黑" w:hAnsi="微软雅黑" w:eastAsia="微软雅黑" w:cs="微软雅黑"/>
                <w:color w:val="auto"/>
                <w:spacing w:val="-3"/>
                <w:sz w:val="21"/>
                <w:szCs w:val="21"/>
                <w:highlight w:val="none"/>
                <w:lang w:val="en-US" w:eastAsia="zh-CN"/>
              </w:rPr>
            </w:pPr>
            <w:r>
              <w:rPr>
                <w:rFonts w:hint="eastAsia" w:cs="微软雅黑"/>
                <w:color w:val="auto"/>
                <w:spacing w:val="-3"/>
                <w:sz w:val="21"/>
                <w:szCs w:val="21"/>
                <w:highlight w:val="none"/>
                <w:lang w:val="en-US" w:eastAsia="zh-CN"/>
              </w:rPr>
              <w:t>施工保障措施</w:t>
            </w:r>
          </w:p>
        </w:tc>
        <w:tc>
          <w:tcPr>
            <w:tcW w:w="6689" w:type="dxa"/>
            <w:noWrap w:val="0"/>
            <w:vAlign w:val="center"/>
          </w:tcPr>
          <w:p w14:paraId="6A933D75">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①施工的重点和关键部位处理</w:t>
            </w:r>
          </w:p>
          <w:p w14:paraId="14C88CE1">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② 质保体系</w:t>
            </w:r>
          </w:p>
          <w:p w14:paraId="51C3AD77">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③安保体系</w:t>
            </w:r>
          </w:p>
          <w:p w14:paraId="7AE71424">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④创优措施</w:t>
            </w:r>
          </w:p>
          <w:p w14:paraId="6F18954C">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⑤安全措施</w:t>
            </w:r>
          </w:p>
          <w:p w14:paraId="56A05675">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⑥文明施工和防止扰民措施</w:t>
            </w:r>
          </w:p>
          <w:p w14:paraId="56BC209A">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提供上述6项目方案内容且6项方案内容均无缺陷的得</w:t>
            </w:r>
            <w:r>
              <w:rPr>
                <w:rFonts w:hint="eastAsia" w:cs="微软雅黑"/>
                <w:color w:val="auto"/>
                <w:sz w:val="21"/>
                <w:szCs w:val="21"/>
                <w:highlight w:val="none"/>
                <w:lang w:val="en-US" w:eastAsia="zh-CN"/>
              </w:rPr>
              <w:t>12</w:t>
            </w:r>
            <w:r>
              <w:rPr>
                <w:rFonts w:hint="eastAsia" w:ascii="微软雅黑" w:hAnsi="微软雅黑" w:eastAsia="微软雅黑" w:cs="微软雅黑"/>
                <w:color w:val="auto"/>
                <w:sz w:val="21"/>
                <w:szCs w:val="21"/>
                <w:highlight w:val="none"/>
                <w:lang w:val="en-US" w:eastAsia="zh-CN"/>
              </w:rPr>
              <w:t>分，其中缺少1项方案内容扣</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分，每项方案内容中存在1处缺陷的扣1分（每项方案内容最多可扣</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分），扣完为止。</w:t>
            </w:r>
          </w:p>
          <w:p w14:paraId="2FDBD61C">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pacing w:val="-3"/>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注：缺陷是指：同一内容前后不一致（无合理说明）、前后逻辑错误、涉及的规范及标准错误、地点区域错误、存在项目实施对象错误，单项内容存在缺项漏项等情况。</w:t>
            </w:r>
          </w:p>
        </w:tc>
        <w:tc>
          <w:tcPr>
            <w:tcW w:w="762" w:type="dxa"/>
            <w:noWrap w:val="0"/>
            <w:vAlign w:val="center"/>
          </w:tcPr>
          <w:p w14:paraId="52085D86">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12</w:t>
            </w:r>
          </w:p>
        </w:tc>
      </w:tr>
      <w:tr w14:paraId="0843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70" w:type="dxa"/>
            <w:noWrap w:val="0"/>
            <w:vAlign w:val="center"/>
          </w:tcPr>
          <w:p w14:paraId="629D3945">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8</w:t>
            </w:r>
          </w:p>
        </w:tc>
        <w:tc>
          <w:tcPr>
            <w:tcW w:w="753" w:type="dxa"/>
            <w:vMerge w:val="continue"/>
            <w:noWrap w:val="0"/>
            <w:vAlign w:val="top"/>
          </w:tcPr>
          <w:p w14:paraId="1909695A">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1"/>
                <w:szCs w:val="21"/>
                <w:highlight w:val="none"/>
              </w:rPr>
            </w:pPr>
          </w:p>
        </w:tc>
        <w:tc>
          <w:tcPr>
            <w:tcW w:w="965" w:type="dxa"/>
            <w:noWrap w:val="0"/>
            <w:vAlign w:val="center"/>
          </w:tcPr>
          <w:p w14:paraId="4A95E273">
            <w:pPr>
              <w:keepNext w:val="0"/>
              <w:keepLines w:val="0"/>
              <w:pageBreakBefore w:val="0"/>
              <w:numPr>
                <w:ilvl w:val="0"/>
                <w:numId w:val="0"/>
              </w:numPr>
              <w:kinsoku/>
              <w:wordWrap/>
              <w:overflowPunct/>
              <w:topLinePunct w:val="0"/>
              <w:autoSpaceDE/>
              <w:autoSpaceDN/>
              <w:bidi w:val="0"/>
              <w:adjustRightInd/>
              <w:spacing w:line="440" w:lineRule="exact"/>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rPr>
              <w:t>施工</w:t>
            </w:r>
            <w:r>
              <w:rPr>
                <w:rFonts w:hint="eastAsia" w:ascii="微软雅黑" w:hAnsi="微软雅黑" w:eastAsia="微软雅黑" w:cs="微软雅黑"/>
                <w:color w:val="auto"/>
                <w:kern w:val="2"/>
                <w:sz w:val="21"/>
                <w:szCs w:val="21"/>
                <w:highlight w:val="none"/>
                <w:lang w:val="en-US"/>
              </w:rPr>
              <w:t>技术</w:t>
            </w:r>
            <w:r>
              <w:rPr>
                <w:rFonts w:hint="eastAsia" w:ascii="微软雅黑" w:hAnsi="微软雅黑" w:eastAsia="微软雅黑" w:cs="微软雅黑"/>
                <w:color w:val="auto"/>
                <w:kern w:val="2"/>
                <w:sz w:val="21"/>
                <w:szCs w:val="21"/>
                <w:highlight w:val="none"/>
                <w:lang w:val="en-US" w:eastAsia="zh-CN"/>
              </w:rPr>
              <w:t>方案</w:t>
            </w:r>
            <w:r>
              <w:rPr>
                <w:rFonts w:ascii="微软雅黑" w:hAnsi="微软雅黑" w:eastAsia="微软雅黑" w:cs="微软雅黑"/>
                <w:color w:val="auto"/>
                <w:szCs w:val="21"/>
                <w:highlight w:val="none"/>
              </w:rPr>
              <w:t xml:space="preserve"> </w:t>
            </w:r>
          </w:p>
        </w:tc>
        <w:tc>
          <w:tcPr>
            <w:tcW w:w="6689" w:type="dxa"/>
            <w:noWrap w:val="0"/>
            <w:vAlign w:val="center"/>
          </w:tcPr>
          <w:p w14:paraId="1817B1BA">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①采用的新工艺、新技术、新设备；</w:t>
            </w:r>
          </w:p>
          <w:p w14:paraId="0B27A74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②在确保工程质量前提下 ，有降低成本、缩短工期、减轻劳动强度 、提高进度的方案；</w:t>
            </w:r>
          </w:p>
          <w:p w14:paraId="75AB0C08">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③在执行国家强制性条文前提下体现施工的先进性措施等；</w:t>
            </w:r>
          </w:p>
          <w:p w14:paraId="2B48784E">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cs="微软雅黑"/>
                <w:color w:val="auto"/>
                <w:sz w:val="21"/>
                <w:szCs w:val="21"/>
                <w:highlight w:val="none"/>
                <w:lang w:val="en-US" w:eastAsia="zh-CN"/>
              </w:rPr>
              <w:t>提供</w:t>
            </w:r>
            <w:r>
              <w:rPr>
                <w:rFonts w:hint="eastAsia" w:ascii="微软雅黑" w:hAnsi="微软雅黑" w:eastAsia="微软雅黑" w:cs="微软雅黑"/>
                <w:color w:val="auto"/>
                <w:sz w:val="21"/>
                <w:szCs w:val="21"/>
                <w:highlight w:val="none"/>
                <w:lang w:val="en-US" w:eastAsia="zh-CN"/>
              </w:rPr>
              <w:t>上述</w:t>
            </w:r>
            <w:r>
              <w:rPr>
                <w:rFonts w:hint="eastAsia"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val="en-US" w:eastAsia="zh-CN"/>
              </w:rPr>
              <w:t>项目方案内容且</w:t>
            </w:r>
            <w:r>
              <w:rPr>
                <w:rFonts w:hint="eastAsia"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lang w:val="en-US" w:eastAsia="zh-CN"/>
              </w:rPr>
              <w:t>项方案内容均无缺陷的得</w:t>
            </w:r>
            <w:r>
              <w:rPr>
                <w:rFonts w:hint="eastAsia"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lang w:val="en-US" w:eastAsia="zh-CN"/>
              </w:rPr>
              <w:t>分，其中缺少1项方案内容扣</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分，每项方案内容中存在1处缺陷的扣1分（每项方案内容最多可扣</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分），扣完为止。</w:t>
            </w:r>
          </w:p>
          <w:p w14:paraId="495FD06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rPr>
              <w:t>注：缺陷是指：同一内容前后不一致（无合理说明）、前后逻辑错误、涉及的规范及标准错误、地点区域错误、存在项目实施对象错误，单项内容存在缺项漏项等情况。</w:t>
            </w:r>
          </w:p>
        </w:tc>
        <w:tc>
          <w:tcPr>
            <w:tcW w:w="762" w:type="dxa"/>
            <w:noWrap w:val="0"/>
            <w:vAlign w:val="center"/>
          </w:tcPr>
          <w:p w14:paraId="3929D60C">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r>
      <w:tr w14:paraId="4654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770" w:type="dxa"/>
            <w:noWrap w:val="0"/>
            <w:vAlign w:val="center"/>
          </w:tcPr>
          <w:p w14:paraId="002DE029">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9</w:t>
            </w:r>
          </w:p>
        </w:tc>
        <w:tc>
          <w:tcPr>
            <w:tcW w:w="753" w:type="dxa"/>
            <w:vMerge w:val="continue"/>
            <w:noWrap w:val="0"/>
            <w:vAlign w:val="top"/>
          </w:tcPr>
          <w:p w14:paraId="5AC4A087">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1"/>
                <w:szCs w:val="21"/>
                <w:highlight w:val="none"/>
              </w:rPr>
            </w:pPr>
          </w:p>
        </w:tc>
        <w:tc>
          <w:tcPr>
            <w:tcW w:w="965" w:type="dxa"/>
            <w:noWrap w:val="0"/>
            <w:vAlign w:val="center"/>
          </w:tcPr>
          <w:p w14:paraId="2C98C61E">
            <w:pPr>
              <w:keepNext w:val="0"/>
              <w:keepLines w:val="0"/>
              <w:pageBreakBefore w:val="0"/>
              <w:numPr>
                <w:ilvl w:val="0"/>
                <w:numId w:val="0"/>
              </w:numPr>
              <w:kinsoku/>
              <w:wordWrap/>
              <w:overflowPunct/>
              <w:topLinePunct w:val="0"/>
              <w:autoSpaceDE/>
              <w:autoSpaceDN/>
              <w:bidi w:val="0"/>
              <w:adjustRightInd/>
              <w:spacing w:line="440" w:lineRule="exact"/>
              <w:jc w:val="center"/>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szCs w:val="21"/>
                <w:highlight w:val="none"/>
                <w:lang w:eastAsia="zh-CN"/>
              </w:rPr>
              <w:t>强制措施</w:t>
            </w:r>
          </w:p>
        </w:tc>
        <w:tc>
          <w:tcPr>
            <w:tcW w:w="6689" w:type="dxa"/>
            <w:noWrap w:val="0"/>
            <w:vAlign w:val="center"/>
          </w:tcPr>
          <w:p w14:paraId="48BE5EE5">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①防治质量通病的措施</w:t>
            </w:r>
          </w:p>
          <w:p w14:paraId="1974D25C">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②执行国家强制性条文的保证措施等</w:t>
            </w:r>
          </w:p>
          <w:p w14:paraId="2001688E">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cs="微软雅黑"/>
                <w:color w:val="auto"/>
                <w:sz w:val="21"/>
                <w:szCs w:val="21"/>
                <w:highlight w:val="none"/>
                <w:lang w:val="en-US" w:eastAsia="zh-CN"/>
              </w:rPr>
              <w:t>提供</w:t>
            </w:r>
            <w:r>
              <w:rPr>
                <w:rFonts w:hint="eastAsia" w:ascii="微软雅黑" w:hAnsi="微软雅黑" w:eastAsia="微软雅黑" w:cs="微软雅黑"/>
                <w:color w:val="auto"/>
                <w:sz w:val="21"/>
                <w:szCs w:val="21"/>
                <w:highlight w:val="none"/>
                <w:lang w:val="en-US" w:eastAsia="zh-CN"/>
              </w:rPr>
              <w:t>上述</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项目</w:t>
            </w:r>
            <w:r>
              <w:rPr>
                <w:rFonts w:hint="eastAsia" w:cs="微软雅黑"/>
                <w:color w:val="auto"/>
                <w:sz w:val="21"/>
                <w:szCs w:val="21"/>
                <w:highlight w:val="none"/>
                <w:lang w:val="en-US" w:eastAsia="zh-CN"/>
              </w:rPr>
              <w:t>措施</w:t>
            </w:r>
            <w:r>
              <w:rPr>
                <w:rFonts w:hint="eastAsia" w:ascii="微软雅黑" w:hAnsi="微软雅黑" w:eastAsia="微软雅黑" w:cs="微软雅黑"/>
                <w:color w:val="auto"/>
                <w:sz w:val="21"/>
                <w:szCs w:val="21"/>
                <w:highlight w:val="none"/>
                <w:lang w:val="en-US" w:eastAsia="zh-CN"/>
              </w:rPr>
              <w:t>内容且</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项</w:t>
            </w:r>
            <w:r>
              <w:rPr>
                <w:rFonts w:hint="eastAsia" w:cs="微软雅黑"/>
                <w:color w:val="auto"/>
                <w:sz w:val="21"/>
                <w:szCs w:val="21"/>
                <w:highlight w:val="none"/>
                <w:lang w:val="en-US" w:eastAsia="zh-CN"/>
              </w:rPr>
              <w:t>措施</w:t>
            </w:r>
            <w:r>
              <w:rPr>
                <w:rFonts w:hint="eastAsia" w:ascii="微软雅黑" w:hAnsi="微软雅黑" w:eastAsia="微软雅黑" w:cs="微软雅黑"/>
                <w:color w:val="auto"/>
                <w:sz w:val="21"/>
                <w:szCs w:val="21"/>
                <w:highlight w:val="none"/>
                <w:lang w:val="en-US" w:eastAsia="zh-CN"/>
              </w:rPr>
              <w:t>内容均无缺陷的得</w:t>
            </w:r>
            <w:r>
              <w:rPr>
                <w:rFonts w:hint="eastAsia"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lang w:val="en-US" w:eastAsia="zh-CN"/>
              </w:rPr>
              <w:t>分，其中缺少1项</w:t>
            </w:r>
            <w:r>
              <w:rPr>
                <w:rFonts w:hint="eastAsia" w:cs="微软雅黑"/>
                <w:color w:val="auto"/>
                <w:sz w:val="21"/>
                <w:szCs w:val="21"/>
                <w:highlight w:val="none"/>
                <w:lang w:val="en-US" w:eastAsia="zh-CN"/>
              </w:rPr>
              <w:t>措施</w:t>
            </w:r>
            <w:r>
              <w:rPr>
                <w:rFonts w:hint="eastAsia" w:ascii="微软雅黑" w:hAnsi="微软雅黑" w:eastAsia="微软雅黑" w:cs="微软雅黑"/>
                <w:color w:val="auto"/>
                <w:sz w:val="21"/>
                <w:szCs w:val="21"/>
                <w:highlight w:val="none"/>
                <w:lang w:val="en-US" w:eastAsia="zh-CN"/>
              </w:rPr>
              <w:t>内容扣</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分，每项</w:t>
            </w:r>
            <w:r>
              <w:rPr>
                <w:rFonts w:hint="eastAsia" w:cs="微软雅黑"/>
                <w:color w:val="auto"/>
                <w:sz w:val="21"/>
                <w:szCs w:val="21"/>
                <w:highlight w:val="none"/>
                <w:lang w:val="en-US" w:eastAsia="zh-CN"/>
              </w:rPr>
              <w:t>措施</w:t>
            </w:r>
            <w:r>
              <w:rPr>
                <w:rFonts w:hint="eastAsia" w:ascii="微软雅黑" w:hAnsi="微软雅黑" w:eastAsia="微软雅黑" w:cs="微软雅黑"/>
                <w:color w:val="auto"/>
                <w:sz w:val="21"/>
                <w:szCs w:val="21"/>
                <w:highlight w:val="none"/>
                <w:lang w:val="en-US" w:eastAsia="zh-CN"/>
              </w:rPr>
              <w:t>内容中存在1处缺陷的扣1分（每项方案内容最多可扣</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分），扣完为止。</w:t>
            </w:r>
          </w:p>
          <w:p w14:paraId="1BB32744">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注：缺陷是指：同一内容前后不一致（无合理说明）、前后逻辑错误、涉及的规范及标准错误、地点区域错误、存在项目实施对象错误，单项内容存在缺项漏项等情况。</w:t>
            </w:r>
          </w:p>
        </w:tc>
        <w:tc>
          <w:tcPr>
            <w:tcW w:w="762" w:type="dxa"/>
            <w:noWrap w:val="0"/>
            <w:vAlign w:val="center"/>
          </w:tcPr>
          <w:p w14:paraId="0B30B76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4</w:t>
            </w:r>
          </w:p>
        </w:tc>
      </w:tr>
      <w:tr w14:paraId="13EC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70" w:type="dxa"/>
            <w:noWrap w:val="0"/>
            <w:vAlign w:val="center"/>
          </w:tcPr>
          <w:p w14:paraId="3DCB423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w:t>
            </w:r>
          </w:p>
        </w:tc>
        <w:tc>
          <w:tcPr>
            <w:tcW w:w="753" w:type="dxa"/>
            <w:vMerge w:val="continue"/>
            <w:noWrap w:val="0"/>
            <w:vAlign w:val="top"/>
          </w:tcPr>
          <w:p w14:paraId="041D1A1F">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sz w:val="21"/>
                <w:szCs w:val="21"/>
                <w:highlight w:val="none"/>
              </w:rPr>
            </w:pPr>
          </w:p>
        </w:tc>
        <w:tc>
          <w:tcPr>
            <w:tcW w:w="965" w:type="dxa"/>
            <w:noWrap w:val="0"/>
            <w:vAlign w:val="center"/>
          </w:tcPr>
          <w:p w14:paraId="02F3FCBC">
            <w:pPr>
              <w:keepNext w:val="0"/>
              <w:keepLines w:val="0"/>
              <w:pageBreakBefore w:val="0"/>
              <w:numPr>
                <w:ilvl w:val="0"/>
                <w:numId w:val="0"/>
              </w:numPr>
              <w:kinsoku/>
              <w:wordWrap/>
              <w:overflowPunct/>
              <w:topLinePunct w:val="0"/>
              <w:autoSpaceDE/>
              <w:autoSpaceDN/>
              <w:bidi w:val="0"/>
              <w:adjustRightInd/>
              <w:spacing w:line="440" w:lineRule="exact"/>
              <w:jc w:val="center"/>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承诺</w:t>
            </w:r>
          </w:p>
        </w:tc>
        <w:tc>
          <w:tcPr>
            <w:tcW w:w="6689" w:type="dxa"/>
            <w:noWrap w:val="0"/>
            <w:vAlign w:val="center"/>
          </w:tcPr>
          <w:p w14:paraId="7AA84127">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①保修承诺和违约经济处罚承诺</w:t>
            </w:r>
          </w:p>
          <w:p w14:paraId="401A99FD">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②工程质量争优承诺及保证质量措施承诺等</w:t>
            </w:r>
          </w:p>
          <w:p w14:paraId="0DEAD846">
            <w:pPr>
              <w:pStyle w:val="106"/>
              <w:keepNext w:val="0"/>
              <w:keepLines w:val="0"/>
              <w:pageBreakBefore w:val="0"/>
              <w:kinsoku/>
              <w:wordWrap/>
              <w:overflowPunct/>
              <w:topLinePunct w:val="0"/>
              <w:autoSpaceDE/>
              <w:autoSpaceDN/>
              <w:bidi w:val="0"/>
              <w:adjustRightInd/>
              <w:spacing w:before="2" w:line="440" w:lineRule="exact"/>
              <w:ind w:left="12" w:right="11" w:firstLine="8"/>
              <w:textAlignment w:val="auto"/>
              <w:rPr>
                <w:rFonts w:hint="eastAsia" w:ascii="微软雅黑" w:hAnsi="微软雅黑" w:eastAsia="微软雅黑" w:cs="微软雅黑"/>
                <w:color w:val="auto"/>
                <w:sz w:val="21"/>
                <w:szCs w:val="21"/>
                <w:highlight w:val="none"/>
                <w:lang w:val="en-US" w:eastAsia="zh-CN"/>
              </w:rPr>
            </w:pPr>
            <w:r>
              <w:rPr>
                <w:rFonts w:hint="eastAsia" w:cs="微软雅黑"/>
                <w:color w:val="auto"/>
                <w:sz w:val="21"/>
                <w:szCs w:val="21"/>
                <w:highlight w:val="none"/>
                <w:lang w:val="en-US" w:eastAsia="zh-CN"/>
              </w:rPr>
              <w:t>提供</w:t>
            </w:r>
            <w:r>
              <w:rPr>
                <w:rFonts w:hint="eastAsia" w:ascii="微软雅黑" w:hAnsi="微软雅黑" w:eastAsia="微软雅黑" w:cs="微软雅黑"/>
                <w:color w:val="auto"/>
                <w:sz w:val="21"/>
                <w:szCs w:val="21"/>
                <w:highlight w:val="none"/>
                <w:lang w:val="en-US" w:eastAsia="zh-CN"/>
              </w:rPr>
              <w:t>上述</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项目</w:t>
            </w:r>
            <w:r>
              <w:rPr>
                <w:rFonts w:hint="eastAsia" w:cs="微软雅黑"/>
                <w:color w:val="auto"/>
                <w:sz w:val="21"/>
                <w:szCs w:val="21"/>
                <w:highlight w:val="none"/>
                <w:lang w:val="en-US" w:eastAsia="zh-CN"/>
              </w:rPr>
              <w:t>措施</w:t>
            </w:r>
            <w:r>
              <w:rPr>
                <w:rFonts w:hint="eastAsia" w:ascii="微软雅黑" w:hAnsi="微软雅黑" w:eastAsia="微软雅黑" w:cs="微软雅黑"/>
                <w:color w:val="auto"/>
                <w:sz w:val="21"/>
                <w:szCs w:val="21"/>
                <w:highlight w:val="none"/>
                <w:lang w:val="en-US" w:eastAsia="zh-CN"/>
              </w:rPr>
              <w:t>内容且</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项</w:t>
            </w:r>
            <w:r>
              <w:rPr>
                <w:rFonts w:hint="eastAsia" w:cs="微软雅黑"/>
                <w:color w:val="auto"/>
                <w:sz w:val="21"/>
                <w:szCs w:val="21"/>
                <w:highlight w:val="none"/>
                <w:lang w:val="en-US" w:eastAsia="zh-CN"/>
              </w:rPr>
              <w:t>措施</w:t>
            </w:r>
            <w:r>
              <w:rPr>
                <w:rFonts w:hint="eastAsia" w:ascii="微软雅黑" w:hAnsi="微软雅黑" w:eastAsia="微软雅黑" w:cs="微软雅黑"/>
                <w:color w:val="auto"/>
                <w:sz w:val="21"/>
                <w:szCs w:val="21"/>
                <w:highlight w:val="none"/>
                <w:lang w:val="en-US" w:eastAsia="zh-CN"/>
              </w:rPr>
              <w:t>内容均无缺陷的得</w:t>
            </w:r>
            <w:r>
              <w:rPr>
                <w:rFonts w:hint="eastAsia"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lang w:val="en-US" w:eastAsia="zh-CN"/>
              </w:rPr>
              <w:t>分，其中缺少1项</w:t>
            </w:r>
            <w:r>
              <w:rPr>
                <w:rFonts w:hint="eastAsia" w:cs="微软雅黑"/>
                <w:color w:val="auto"/>
                <w:sz w:val="21"/>
                <w:szCs w:val="21"/>
                <w:highlight w:val="none"/>
                <w:lang w:val="en-US" w:eastAsia="zh-CN"/>
              </w:rPr>
              <w:t>措施</w:t>
            </w:r>
            <w:r>
              <w:rPr>
                <w:rFonts w:hint="eastAsia" w:ascii="微软雅黑" w:hAnsi="微软雅黑" w:eastAsia="微软雅黑" w:cs="微软雅黑"/>
                <w:color w:val="auto"/>
                <w:sz w:val="21"/>
                <w:szCs w:val="21"/>
                <w:highlight w:val="none"/>
                <w:lang w:val="en-US" w:eastAsia="zh-CN"/>
              </w:rPr>
              <w:t>内容扣</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分，每项</w:t>
            </w:r>
            <w:r>
              <w:rPr>
                <w:rFonts w:hint="eastAsia" w:cs="微软雅黑"/>
                <w:color w:val="auto"/>
                <w:sz w:val="21"/>
                <w:szCs w:val="21"/>
                <w:highlight w:val="none"/>
                <w:lang w:val="en-US" w:eastAsia="zh-CN"/>
              </w:rPr>
              <w:t>措施</w:t>
            </w:r>
            <w:r>
              <w:rPr>
                <w:rFonts w:hint="eastAsia" w:ascii="微软雅黑" w:hAnsi="微软雅黑" w:eastAsia="微软雅黑" w:cs="微软雅黑"/>
                <w:color w:val="auto"/>
                <w:sz w:val="21"/>
                <w:szCs w:val="21"/>
                <w:highlight w:val="none"/>
                <w:lang w:val="en-US" w:eastAsia="zh-CN"/>
              </w:rPr>
              <w:t>内容中存在1处缺陷的扣1分（每项方案内容最多可扣</w:t>
            </w:r>
            <w:r>
              <w:rPr>
                <w:rFonts w:hint="eastAsia"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分），扣完为止。</w:t>
            </w:r>
          </w:p>
          <w:p w14:paraId="27ABD2D1">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注：缺陷是指：同一内容前后不一致（无合理说明）、前后逻辑错误、涉及的规范及标准错误、地点区域错误、存在项目实施对象错误，单项内容存在缺项漏项等情况。</w:t>
            </w:r>
          </w:p>
        </w:tc>
        <w:tc>
          <w:tcPr>
            <w:tcW w:w="762" w:type="dxa"/>
            <w:noWrap w:val="0"/>
            <w:vAlign w:val="center"/>
          </w:tcPr>
          <w:p w14:paraId="3105693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4</w:t>
            </w:r>
          </w:p>
        </w:tc>
      </w:tr>
      <w:tr w14:paraId="45C6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77" w:type="dxa"/>
            <w:gridSpan w:val="4"/>
            <w:noWrap w:val="0"/>
            <w:vAlign w:val="center"/>
          </w:tcPr>
          <w:p w14:paraId="2069F87F">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sz w:val="21"/>
                <w:szCs w:val="21"/>
                <w:highlight w:val="none"/>
              </w:rPr>
              <w:t>合    计</w:t>
            </w:r>
          </w:p>
        </w:tc>
        <w:tc>
          <w:tcPr>
            <w:tcW w:w="762" w:type="dxa"/>
            <w:noWrap w:val="0"/>
            <w:vAlign w:val="center"/>
          </w:tcPr>
          <w:p w14:paraId="75522D42">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微软雅黑" w:hAnsi="微软雅黑" w:eastAsia="微软雅黑" w:cs="微软雅黑"/>
                <w:color w:val="auto"/>
                <w:kern w:val="2"/>
                <w:sz w:val="21"/>
                <w:szCs w:val="21"/>
                <w:highlight w:val="none"/>
              </w:rPr>
            </w:pPr>
          </w:p>
        </w:tc>
      </w:tr>
      <w:tr w14:paraId="0283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939" w:type="dxa"/>
            <w:gridSpan w:val="5"/>
            <w:noWrap w:val="0"/>
            <w:vAlign w:val="center"/>
          </w:tcPr>
          <w:p w14:paraId="392E818B">
            <w:pPr>
              <w:keepNext w:val="0"/>
              <w:keepLines w:val="0"/>
              <w:pageBreakBefore w:val="0"/>
              <w:numPr>
                <w:ilvl w:val="0"/>
                <w:numId w:val="0"/>
              </w:numPr>
              <w:kinsoku/>
              <w:wordWrap/>
              <w:overflowPunct/>
              <w:topLinePunct w:val="0"/>
              <w:autoSpaceDE/>
              <w:autoSpaceDN/>
              <w:bidi w:val="0"/>
              <w:adjustRightInd/>
              <w:spacing w:line="440" w:lineRule="exac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价格评审：30分</w:t>
            </w:r>
          </w:p>
          <w:p w14:paraId="2D786A08">
            <w:pPr>
              <w:keepNext w:val="0"/>
              <w:keepLines w:val="0"/>
              <w:pageBreakBefore w:val="0"/>
              <w:numPr>
                <w:ilvl w:val="0"/>
                <w:numId w:val="0"/>
              </w:numPr>
              <w:kinsoku/>
              <w:wordWrap/>
              <w:overflowPunct/>
              <w:topLinePunct w:val="0"/>
              <w:autoSpaceDE/>
              <w:autoSpaceDN/>
              <w:bidi w:val="0"/>
              <w:adjustRightInd/>
              <w:spacing w:line="440" w:lineRule="exact"/>
              <w:textAlignment w:val="auto"/>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商务评审：16分</w:t>
            </w:r>
          </w:p>
          <w:p w14:paraId="33567504">
            <w:pPr>
              <w:keepNext w:val="0"/>
              <w:keepLines w:val="0"/>
              <w:pageBreakBefore w:val="0"/>
              <w:numPr>
                <w:ilvl w:val="0"/>
                <w:numId w:val="0"/>
              </w:numPr>
              <w:kinsoku/>
              <w:wordWrap/>
              <w:overflowPunct/>
              <w:topLinePunct w:val="0"/>
              <w:autoSpaceDE/>
              <w:autoSpaceDN/>
              <w:bidi w:val="0"/>
              <w:adjustRightInd/>
              <w:spacing w:line="440" w:lineRule="exact"/>
              <w:textAlignment w:val="auto"/>
              <w:rPr>
                <w:rFonts w:hint="eastAsia" w:ascii="微软雅黑" w:hAnsi="微软雅黑" w:eastAsia="微软雅黑" w:cs="微软雅黑"/>
                <w:i/>
                <w:color w:val="auto"/>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技术评审：54分</w:t>
            </w:r>
          </w:p>
        </w:tc>
      </w:tr>
    </w:tbl>
    <w:p w14:paraId="565D2395">
      <w:pPr>
        <w:pStyle w:val="26"/>
        <w:pageBreakBefore w:val="0"/>
        <w:kinsoku/>
        <w:wordWrap/>
        <w:overflowPunct/>
        <w:topLinePunct w:val="0"/>
        <w:bidi w:val="0"/>
        <w:spacing w:line="520" w:lineRule="exact"/>
        <w:rPr>
          <w:rFonts w:ascii="微软雅黑" w:hAnsi="微软雅黑" w:eastAsia="微软雅黑" w:cs="微软雅黑"/>
          <w:color w:val="auto"/>
          <w:highlight w:val="none"/>
        </w:rPr>
      </w:pPr>
    </w:p>
    <w:p w14:paraId="2CE950F8">
      <w:pPr>
        <w:pStyle w:val="26"/>
        <w:pageBreakBefore w:val="0"/>
        <w:kinsoku/>
        <w:wordWrap/>
        <w:overflowPunct/>
        <w:topLinePunct w:val="0"/>
        <w:bidi w:val="0"/>
        <w:spacing w:line="520" w:lineRule="exact"/>
        <w:rPr>
          <w:rFonts w:ascii="微软雅黑" w:hAnsi="微软雅黑" w:eastAsia="微软雅黑" w:cs="微软雅黑"/>
          <w:color w:val="auto"/>
          <w:highlight w:val="none"/>
        </w:rPr>
      </w:pPr>
    </w:p>
    <w:p w14:paraId="4D3FDF61">
      <w:pPr>
        <w:pageBreakBefore w:val="0"/>
        <w:kinsoku/>
        <w:wordWrap/>
        <w:overflowPunct/>
        <w:topLinePunct w:val="0"/>
        <w:bidi w:val="0"/>
        <w:spacing w:line="520" w:lineRule="exact"/>
        <w:rPr>
          <w:rFonts w:ascii="微软雅黑" w:hAnsi="微软雅黑" w:eastAsia="微软雅黑" w:cs="微软雅黑"/>
          <w:color w:val="auto"/>
          <w:highlight w:val="none"/>
        </w:rPr>
      </w:pPr>
    </w:p>
    <w:p w14:paraId="2FEA8F21">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2CEBA05B">
      <w:pPr>
        <w:rPr>
          <w:rFonts w:hint="eastAsia" w:ascii="微软雅黑" w:hAnsi="微软雅黑" w:eastAsia="微软雅黑" w:cs="微软雅黑"/>
          <w:b/>
          <w:color w:val="auto"/>
          <w:sz w:val="48"/>
          <w:szCs w:val="48"/>
          <w:highlight w:val="none"/>
        </w:rPr>
      </w:pPr>
      <w:r>
        <w:rPr>
          <w:rFonts w:hint="eastAsia" w:ascii="微软雅黑" w:hAnsi="微软雅黑" w:eastAsia="微软雅黑" w:cs="微软雅黑"/>
          <w:b/>
          <w:color w:val="auto"/>
          <w:sz w:val="48"/>
          <w:szCs w:val="48"/>
          <w:highlight w:val="none"/>
        </w:rPr>
        <w:br w:type="page"/>
      </w:r>
    </w:p>
    <w:p w14:paraId="15DB30E0">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04269C33">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6C8B953F">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5975B215">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442090BE">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170084F7">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64950750">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3C9287A1">
      <w:pPr>
        <w:pageBreakBefore w:val="0"/>
        <w:kinsoku/>
        <w:wordWrap/>
        <w:overflowPunct/>
        <w:topLinePunct w:val="0"/>
        <w:bidi w:val="0"/>
        <w:snapToGrid w:val="0"/>
        <w:spacing w:line="520" w:lineRule="exact"/>
        <w:jc w:val="center"/>
        <w:textAlignment w:val="baseline"/>
        <w:rPr>
          <w:rFonts w:hint="eastAsia" w:ascii="微软雅黑" w:hAnsi="微软雅黑" w:eastAsia="微软雅黑" w:cs="微软雅黑"/>
          <w:b/>
          <w:color w:val="auto"/>
          <w:sz w:val="48"/>
          <w:szCs w:val="48"/>
          <w:highlight w:val="none"/>
        </w:rPr>
      </w:pPr>
    </w:p>
    <w:p w14:paraId="35D1E4A4">
      <w:pPr>
        <w:pageBreakBefore w:val="0"/>
        <w:kinsoku/>
        <w:wordWrap/>
        <w:overflowPunct/>
        <w:topLinePunct w:val="0"/>
        <w:bidi w:val="0"/>
        <w:snapToGrid w:val="0"/>
        <w:spacing w:line="520" w:lineRule="exact"/>
        <w:jc w:val="center"/>
        <w:textAlignment w:val="baseline"/>
        <w:rPr>
          <w:rFonts w:ascii="微软雅黑" w:hAnsi="微软雅黑" w:eastAsia="微软雅黑" w:cs="微软雅黑"/>
          <w:b/>
          <w:color w:val="auto"/>
          <w:sz w:val="48"/>
          <w:szCs w:val="48"/>
          <w:highlight w:val="none"/>
        </w:rPr>
      </w:pPr>
      <w:r>
        <w:rPr>
          <w:rFonts w:hint="eastAsia" w:ascii="微软雅黑" w:hAnsi="微软雅黑" w:eastAsia="微软雅黑" w:cs="微软雅黑"/>
          <w:b/>
          <w:color w:val="auto"/>
          <w:sz w:val="48"/>
          <w:szCs w:val="48"/>
          <w:highlight w:val="none"/>
        </w:rPr>
        <w:t>竞争性磋商文件</w:t>
      </w:r>
    </w:p>
    <w:p w14:paraId="63635853">
      <w:pPr>
        <w:pageBreakBefore w:val="0"/>
        <w:kinsoku/>
        <w:wordWrap/>
        <w:overflowPunct/>
        <w:topLinePunct w:val="0"/>
        <w:bidi w:val="0"/>
        <w:snapToGrid w:val="0"/>
        <w:spacing w:line="520" w:lineRule="exact"/>
        <w:jc w:val="both"/>
        <w:textAlignment w:val="baseline"/>
        <w:rPr>
          <w:rFonts w:ascii="微软雅黑" w:hAnsi="微软雅黑" w:eastAsia="微软雅黑" w:cs="微软雅黑"/>
          <w:b/>
          <w:color w:val="auto"/>
          <w:sz w:val="48"/>
          <w:szCs w:val="48"/>
          <w:highlight w:val="none"/>
        </w:rPr>
      </w:pPr>
    </w:p>
    <w:p w14:paraId="49E71D69">
      <w:pPr>
        <w:pageBreakBefore w:val="0"/>
        <w:kinsoku/>
        <w:wordWrap/>
        <w:overflowPunct/>
        <w:topLinePunct w:val="0"/>
        <w:bidi w:val="0"/>
        <w:snapToGrid w:val="0"/>
        <w:spacing w:line="520" w:lineRule="exact"/>
        <w:textAlignment w:val="baseline"/>
        <w:rPr>
          <w:rFonts w:ascii="微软雅黑" w:hAnsi="微软雅黑" w:eastAsia="微软雅黑" w:cs="微软雅黑"/>
          <w:b/>
          <w:color w:val="auto"/>
          <w:sz w:val="28"/>
          <w:highlight w:val="none"/>
        </w:rPr>
      </w:pPr>
    </w:p>
    <w:p w14:paraId="363749C1">
      <w:pPr>
        <w:pageBreakBefore w:val="0"/>
        <w:kinsoku/>
        <w:wordWrap/>
        <w:overflowPunct/>
        <w:topLinePunct w:val="0"/>
        <w:bidi w:val="0"/>
        <w:snapToGrid w:val="0"/>
        <w:spacing w:line="520" w:lineRule="exact"/>
        <w:textAlignment w:val="baseline"/>
        <w:rPr>
          <w:rFonts w:ascii="微软雅黑" w:hAnsi="微软雅黑" w:eastAsia="微软雅黑" w:cs="微软雅黑"/>
          <w:b/>
          <w:color w:val="auto"/>
          <w:sz w:val="28"/>
          <w:highlight w:val="none"/>
        </w:rPr>
      </w:pPr>
    </w:p>
    <w:p w14:paraId="029EEFEC">
      <w:pPr>
        <w:pageBreakBefore w:val="0"/>
        <w:kinsoku/>
        <w:wordWrap/>
        <w:overflowPunct/>
        <w:topLinePunct w:val="0"/>
        <w:bidi w:val="0"/>
        <w:snapToGrid w:val="0"/>
        <w:spacing w:line="520" w:lineRule="exact"/>
        <w:textAlignment w:val="baseline"/>
        <w:rPr>
          <w:rFonts w:ascii="微软雅黑" w:hAnsi="微软雅黑" w:eastAsia="微软雅黑" w:cs="微软雅黑"/>
          <w:b/>
          <w:color w:val="auto"/>
          <w:sz w:val="28"/>
          <w:highlight w:val="none"/>
        </w:rPr>
      </w:pPr>
    </w:p>
    <w:p w14:paraId="5B630E4D">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r>
        <w:rPr>
          <w:rFonts w:hint="eastAsia" w:ascii="微软雅黑" w:hAnsi="微软雅黑" w:eastAsia="微软雅黑" w:cs="微软雅黑"/>
          <w:b/>
          <w:color w:val="auto"/>
          <w:sz w:val="48"/>
          <w:szCs w:val="48"/>
          <w:highlight w:val="none"/>
        </w:rPr>
        <w:t>第三册</w:t>
      </w:r>
    </w:p>
    <w:p w14:paraId="5A4DF250">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432EB11B">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1583CD4C">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63C27854">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50698F92">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7FFEF010">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3FB46345">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66CB7803">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68715F18">
      <w:pPr>
        <w:pageBreakBefore w:val="0"/>
        <w:kinsoku/>
        <w:wordWrap/>
        <w:overflowPunct/>
        <w:topLinePunct w:val="0"/>
        <w:bidi w:val="0"/>
        <w:snapToGrid w:val="0"/>
        <w:spacing w:line="520" w:lineRule="exact"/>
        <w:ind w:left="1976" w:leftChars="941" w:firstLine="2123" w:firstLineChars="442"/>
        <w:textAlignment w:val="baseline"/>
        <w:rPr>
          <w:rFonts w:hint="eastAsia" w:ascii="微软雅黑" w:hAnsi="微软雅黑" w:eastAsia="微软雅黑" w:cs="微软雅黑"/>
          <w:b/>
          <w:color w:val="auto"/>
          <w:sz w:val="48"/>
          <w:szCs w:val="48"/>
          <w:highlight w:val="none"/>
        </w:rPr>
      </w:pPr>
    </w:p>
    <w:p w14:paraId="48982D58">
      <w:pPr>
        <w:pStyle w:val="37"/>
        <w:pageBreakBefore w:val="0"/>
        <w:kinsoku/>
        <w:wordWrap/>
        <w:overflowPunct/>
        <w:topLinePunct w:val="0"/>
        <w:bidi w:val="0"/>
        <w:spacing w:line="520" w:lineRule="exact"/>
        <w:ind w:firstLine="960"/>
        <w:rPr>
          <w:rFonts w:ascii="微软雅黑" w:hAnsi="微软雅黑" w:eastAsia="微软雅黑" w:cs="微软雅黑"/>
          <w:b/>
          <w:color w:val="auto"/>
          <w:sz w:val="48"/>
          <w:szCs w:val="48"/>
          <w:highlight w:val="none"/>
        </w:rPr>
      </w:pPr>
    </w:p>
    <w:bookmarkEnd w:id="811"/>
    <w:p w14:paraId="72B372F8">
      <w:pPr>
        <w:pStyle w:val="8"/>
        <w:pageBreakBefore w:val="0"/>
        <w:kinsoku/>
        <w:wordWrap/>
        <w:overflowPunct/>
        <w:topLinePunct w:val="0"/>
        <w:bidi w:val="0"/>
        <w:spacing w:line="520" w:lineRule="exact"/>
        <w:ind w:left="0" w:leftChars="0" w:firstLine="0" w:firstLineChars="0"/>
        <w:rPr>
          <w:rFonts w:ascii="微软雅黑" w:hAnsi="微软雅黑" w:eastAsia="微软雅黑" w:cs="微软雅黑"/>
          <w:color w:val="auto"/>
          <w:highlight w:val="none"/>
        </w:rPr>
      </w:pPr>
      <w:bookmarkStart w:id="824" w:name="_Toc5754"/>
      <w:bookmarkStart w:id="825" w:name="_Toc514"/>
    </w:p>
    <w:p w14:paraId="4AEF588C">
      <w:pPr>
        <w:rPr>
          <w:rFonts w:hint="eastAsia" w:ascii="微软雅黑" w:hAnsi="微软雅黑" w:eastAsia="微软雅黑" w:cs="微软雅黑"/>
          <w:color w:val="auto"/>
          <w:highlight w:val="none"/>
        </w:rPr>
      </w:pPr>
      <w:bookmarkStart w:id="826" w:name="_Toc10709"/>
      <w:r>
        <w:rPr>
          <w:rFonts w:hint="eastAsia" w:ascii="微软雅黑" w:hAnsi="微软雅黑" w:eastAsia="微软雅黑" w:cs="微软雅黑"/>
          <w:color w:val="auto"/>
          <w:highlight w:val="none"/>
        </w:rPr>
        <w:br w:type="page"/>
      </w:r>
    </w:p>
    <w:p w14:paraId="078AEB52">
      <w:pPr>
        <w:pStyle w:val="3"/>
        <w:pageBreakBefore w:val="0"/>
        <w:tabs>
          <w:tab w:val="left" w:pos="0"/>
        </w:tabs>
        <w:kinsoku/>
        <w:wordWrap/>
        <w:overflowPunct/>
        <w:topLinePunct w:val="0"/>
        <w:bidi w:val="0"/>
        <w:spacing w:before="0" w:after="0" w:line="520" w:lineRule="exact"/>
        <w:jc w:val="center"/>
        <w:rPr>
          <w:rFonts w:hint="eastAsia" w:ascii="微软雅黑" w:hAnsi="微软雅黑" w:eastAsia="微软雅黑" w:cs="微软雅黑"/>
          <w:color w:val="auto"/>
          <w:highlight w:val="none"/>
        </w:rPr>
      </w:pPr>
      <w:bookmarkStart w:id="827" w:name="_Toc12376"/>
      <w:r>
        <w:rPr>
          <w:rFonts w:hint="eastAsia" w:ascii="微软雅黑" w:hAnsi="微软雅黑" w:eastAsia="微软雅黑" w:cs="微软雅黑"/>
          <w:color w:val="auto"/>
          <w:highlight w:val="none"/>
        </w:rPr>
        <w:t xml:space="preserve">第7章  </w:t>
      </w:r>
      <w:bookmarkEnd w:id="824"/>
      <w:bookmarkEnd w:id="825"/>
      <w:bookmarkEnd w:id="826"/>
      <w:r>
        <w:rPr>
          <w:rFonts w:hint="eastAsia" w:ascii="微软雅黑" w:hAnsi="微软雅黑" w:eastAsia="微软雅黑" w:cs="微软雅黑"/>
          <w:color w:val="auto"/>
          <w:highlight w:val="none"/>
        </w:rPr>
        <w:t>建设工程施工合同</w:t>
      </w:r>
      <w:bookmarkEnd w:id="827"/>
    </w:p>
    <w:p w14:paraId="0990DF44">
      <w:pPr>
        <w:pStyle w:val="3"/>
        <w:pageBreakBefore w:val="0"/>
        <w:tabs>
          <w:tab w:val="left" w:pos="0"/>
        </w:tabs>
        <w:kinsoku/>
        <w:wordWrap/>
        <w:overflowPunct/>
        <w:topLinePunct w:val="0"/>
        <w:bidi w:val="0"/>
        <w:spacing w:before="0" w:after="0" w:line="520" w:lineRule="exact"/>
        <w:jc w:val="center"/>
        <w:rPr>
          <w:rFonts w:ascii="微软雅黑" w:hAnsi="微软雅黑" w:eastAsia="微软雅黑" w:cs="微软雅黑"/>
          <w:color w:val="auto"/>
          <w:highlight w:val="none"/>
        </w:rPr>
      </w:pPr>
    </w:p>
    <w:p w14:paraId="7334D02D">
      <w:pPr>
        <w:pageBreakBefore w:val="0"/>
        <w:kinsoku/>
        <w:wordWrap/>
        <w:overflowPunct/>
        <w:topLinePunct w:val="0"/>
        <w:bidi w:val="0"/>
        <w:spacing w:line="520" w:lineRule="exact"/>
        <w:rPr>
          <w:rFonts w:hint="eastAsia" w:ascii="微软雅黑" w:hAnsi="微软雅黑" w:eastAsia="微软雅黑" w:cs="微软雅黑"/>
          <w:color w:val="auto"/>
          <w:sz w:val="24"/>
          <w:highlight w:val="none"/>
        </w:rPr>
      </w:pPr>
    </w:p>
    <w:p w14:paraId="0F3D44E3">
      <w:pPr>
        <w:pageBreakBefore w:val="0"/>
        <w:kinsoku/>
        <w:wordWrap/>
        <w:overflowPunct/>
        <w:topLinePunct w:val="0"/>
        <w:bidi w:val="0"/>
        <w:spacing w:line="520" w:lineRule="exact"/>
        <w:rPr>
          <w:rFonts w:hint="eastAsia" w:ascii="微软雅黑" w:hAnsi="微软雅黑" w:eastAsia="微软雅黑" w:cs="微软雅黑"/>
          <w:color w:val="auto"/>
          <w:sz w:val="24"/>
          <w:highlight w:val="none"/>
        </w:rPr>
      </w:pPr>
    </w:p>
    <w:p w14:paraId="32B1B826">
      <w:pPr>
        <w:pageBreakBefore w:val="0"/>
        <w:kinsoku/>
        <w:wordWrap/>
        <w:overflowPunct/>
        <w:topLinePunct w:val="0"/>
        <w:bidi w:val="0"/>
        <w:spacing w:line="52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参考：《建设工程施工合同 (示范文本) 》  (GF-2017-0201)</w:t>
      </w:r>
    </w:p>
    <w:p w14:paraId="54DD0E54">
      <w:pPr>
        <w:pageBreakBefore w:val="0"/>
        <w:kinsoku/>
        <w:wordWrap/>
        <w:overflowPunct/>
        <w:topLinePunct w:val="0"/>
        <w:bidi w:val="0"/>
        <w:spacing w:line="520" w:lineRule="exact"/>
        <w:rPr>
          <w:rFonts w:hint="eastAsia" w:ascii="微软雅黑" w:hAnsi="微软雅黑" w:eastAsia="微软雅黑" w:cs="微软雅黑"/>
          <w:color w:val="auto"/>
          <w:sz w:val="24"/>
          <w:highlight w:val="none"/>
        </w:rPr>
      </w:pPr>
    </w:p>
    <w:p w14:paraId="6B8346A3">
      <w:pPr>
        <w:pageBreakBefore w:val="0"/>
        <w:kinsoku/>
        <w:wordWrap/>
        <w:overflowPunct/>
        <w:topLinePunct w:val="0"/>
        <w:bidi w:val="0"/>
        <w:spacing w:before="293" w:line="5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sz w:val="24"/>
          <w:szCs w:val="24"/>
          <w:highlight w:val="none"/>
        </w:rPr>
        <w:t>(</w:t>
      </w:r>
      <w:r>
        <w:rPr>
          <w:rFonts w:hint="eastAsia" w:ascii="微软雅黑" w:hAnsi="微软雅黑" w:eastAsia="微软雅黑" w:cs="微软雅黑"/>
          <w:color w:val="auto"/>
          <w:spacing w:val="-3"/>
          <w:sz w:val="24"/>
          <w:szCs w:val="24"/>
          <w:highlight w:val="none"/>
        </w:rPr>
        <w:t>GF</w:t>
      </w:r>
      <w:r>
        <w:rPr>
          <w:rFonts w:hint="eastAsia" w:ascii="微软雅黑" w:hAnsi="微软雅黑" w:eastAsia="微软雅黑" w:cs="微软雅黑"/>
          <w:color w:val="auto"/>
          <w:spacing w:val="-6"/>
          <w:sz w:val="24"/>
          <w:szCs w:val="24"/>
          <w:highlight w:val="none"/>
        </w:rPr>
        <w:t xml:space="preserve">— </w:t>
      </w:r>
      <w:r>
        <w:rPr>
          <w:rFonts w:hint="eastAsia" w:ascii="微软雅黑" w:hAnsi="微软雅黑" w:eastAsia="微软雅黑" w:cs="微软雅黑"/>
          <w:color w:val="auto"/>
          <w:spacing w:val="-5"/>
          <w:sz w:val="24"/>
          <w:szCs w:val="24"/>
          <w:highlight w:val="none"/>
        </w:rPr>
        <w:t>2</w:t>
      </w:r>
      <w:r>
        <w:rPr>
          <w:rFonts w:hint="eastAsia" w:ascii="微软雅黑" w:hAnsi="微软雅黑" w:eastAsia="微软雅黑" w:cs="微软雅黑"/>
          <w:color w:val="auto"/>
          <w:spacing w:val="-3"/>
          <w:sz w:val="24"/>
          <w:szCs w:val="24"/>
          <w:highlight w:val="none"/>
        </w:rPr>
        <w:t>017— 0201)</w:t>
      </w:r>
    </w:p>
    <w:p w14:paraId="3A61CBDD">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27689D3A">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3DBA8D7D">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41F4CAFB">
      <w:pPr>
        <w:pageBreakBefore w:val="0"/>
        <w:kinsoku/>
        <w:wordWrap/>
        <w:overflowPunct/>
        <w:topLinePunct w:val="0"/>
        <w:bidi w:val="0"/>
        <w:spacing w:line="520" w:lineRule="exact"/>
        <w:rPr>
          <w:rFonts w:hint="eastAsia" w:ascii="微软雅黑" w:hAnsi="微软雅黑" w:eastAsia="微软雅黑" w:cs="微软雅黑"/>
          <w:color w:val="auto"/>
          <w:sz w:val="40"/>
          <w:szCs w:val="40"/>
          <w:highlight w:val="none"/>
        </w:rPr>
      </w:pPr>
    </w:p>
    <w:p w14:paraId="168642C6">
      <w:pPr>
        <w:pStyle w:val="36"/>
        <w:pageBreakBefore w:val="0"/>
        <w:kinsoku/>
        <w:wordWrap/>
        <w:overflowPunct/>
        <w:topLinePunct w:val="0"/>
        <w:bidi w:val="0"/>
        <w:spacing w:line="520" w:lineRule="exact"/>
        <w:rPr>
          <w:rFonts w:hint="eastAsia" w:ascii="微软雅黑" w:hAnsi="微软雅黑" w:eastAsia="微软雅黑" w:cs="微软雅黑"/>
          <w:color w:val="auto"/>
          <w:sz w:val="40"/>
          <w:szCs w:val="40"/>
          <w:highlight w:val="none"/>
        </w:rPr>
      </w:pPr>
    </w:p>
    <w:p w14:paraId="5384840F">
      <w:pPr>
        <w:pageBreakBefore w:val="0"/>
        <w:kinsoku/>
        <w:wordWrap/>
        <w:overflowPunct/>
        <w:topLinePunct w:val="0"/>
        <w:bidi w:val="0"/>
        <w:spacing w:line="520" w:lineRule="exact"/>
        <w:rPr>
          <w:rFonts w:hint="eastAsia"/>
          <w:color w:val="auto"/>
          <w:highlight w:val="none"/>
        </w:rPr>
      </w:pPr>
    </w:p>
    <w:p w14:paraId="064265A1">
      <w:pPr>
        <w:pStyle w:val="36"/>
        <w:pageBreakBefore w:val="0"/>
        <w:kinsoku/>
        <w:wordWrap/>
        <w:overflowPunct/>
        <w:topLinePunct w:val="0"/>
        <w:bidi w:val="0"/>
        <w:spacing w:line="520" w:lineRule="exact"/>
        <w:ind w:left="0" w:leftChars="0" w:firstLine="0" w:firstLineChars="0"/>
        <w:rPr>
          <w:rFonts w:hint="eastAsia"/>
          <w:color w:val="auto"/>
          <w:highlight w:val="none"/>
        </w:rPr>
      </w:pPr>
    </w:p>
    <w:p w14:paraId="023C540C">
      <w:pPr>
        <w:pageBreakBefore w:val="0"/>
        <w:kinsoku/>
        <w:wordWrap/>
        <w:overflowPunct/>
        <w:topLinePunct w:val="0"/>
        <w:bidi w:val="0"/>
        <w:spacing w:before="114" w:line="520" w:lineRule="exact"/>
        <w:ind w:left="3092"/>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pacing w:val="7"/>
          <w:sz w:val="40"/>
          <w:szCs w:val="40"/>
          <w:highlight w:val="none"/>
        </w:rPr>
        <w:t>建设工程施工合同</w:t>
      </w:r>
    </w:p>
    <w:p w14:paraId="4536C365">
      <w:pPr>
        <w:pageBreakBefore w:val="0"/>
        <w:kinsoku/>
        <w:wordWrap/>
        <w:overflowPunct/>
        <w:topLinePunct w:val="0"/>
        <w:bidi w:val="0"/>
        <w:spacing w:line="520" w:lineRule="exact"/>
        <w:rPr>
          <w:rFonts w:hint="eastAsia" w:ascii="微软雅黑" w:hAnsi="微软雅黑" w:eastAsia="微软雅黑" w:cs="微软雅黑"/>
          <w:color w:val="auto"/>
          <w:sz w:val="40"/>
          <w:szCs w:val="40"/>
          <w:highlight w:val="none"/>
        </w:rPr>
      </w:pPr>
    </w:p>
    <w:p w14:paraId="69CC0CB1">
      <w:pPr>
        <w:pageBreakBefore w:val="0"/>
        <w:kinsoku/>
        <w:wordWrap/>
        <w:overflowPunct/>
        <w:topLinePunct w:val="0"/>
        <w:bidi w:val="0"/>
        <w:spacing w:line="520" w:lineRule="exact"/>
        <w:outlineLvl w:val="9"/>
        <w:rPr>
          <w:rFonts w:hint="eastAsia" w:ascii="微软雅黑" w:hAnsi="微软雅黑" w:eastAsia="微软雅黑" w:cs="微软雅黑"/>
          <w:color w:val="auto"/>
          <w:sz w:val="40"/>
          <w:szCs w:val="40"/>
          <w:highlight w:val="none"/>
        </w:rPr>
      </w:pPr>
    </w:p>
    <w:p w14:paraId="0E1A5C88">
      <w:pPr>
        <w:pageBreakBefore w:val="0"/>
        <w:kinsoku/>
        <w:wordWrap/>
        <w:overflowPunct/>
        <w:topLinePunct w:val="0"/>
        <w:bidi w:val="0"/>
        <w:spacing w:line="520" w:lineRule="exact"/>
        <w:rPr>
          <w:rFonts w:hint="eastAsia" w:ascii="微软雅黑" w:hAnsi="微软雅黑" w:eastAsia="微软雅黑" w:cs="微软雅黑"/>
          <w:color w:val="auto"/>
          <w:sz w:val="40"/>
          <w:szCs w:val="40"/>
          <w:highlight w:val="none"/>
        </w:rPr>
      </w:pPr>
    </w:p>
    <w:p w14:paraId="1C9CAF31">
      <w:pPr>
        <w:pageBreakBefore w:val="0"/>
        <w:kinsoku/>
        <w:wordWrap/>
        <w:overflowPunct/>
        <w:topLinePunct w:val="0"/>
        <w:bidi w:val="0"/>
        <w:spacing w:before="113" w:line="520" w:lineRule="exact"/>
        <w:ind w:left="3451"/>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pacing w:val="-41"/>
          <w:sz w:val="40"/>
          <w:szCs w:val="40"/>
          <w:highlight w:val="none"/>
        </w:rPr>
        <w:t>(</w:t>
      </w:r>
      <w:r>
        <w:rPr>
          <w:rFonts w:hint="eastAsia" w:ascii="微软雅黑" w:hAnsi="微软雅黑" w:eastAsia="微软雅黑" w:cs="微软雅黑"/>
          <w:color w:val="auto"/>
          <w:spacing w:val="-40"/>
          <w:sz w:val="40"/>
          <w:szCs w:val="40"/>
          <w:highlight w:val="none"/>
        </w:rPr>
        <w:t>示 范 文 本 )</w:t>
      </w:r>
    </w:p>
    <w:p w14:paraId="3D844FA1">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1A643B9B">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295AD6A7">
      <w:pPr>
        <w:pStyle w:val="36"/>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79CBD5EF">
      <w:pPr>
        <w:pageBreakBefore w:val="0"/>
        <w:kinsoku/>
        <w:wordWrap/>
        <w:overflowPunct/>
        <w:topLinePunct w:val="0"/>
        <w:bidi w:val="0"/>
        <w:spacing w:line="520" w:lineRule="exact"/>
        <w:rPr>
          <w:rFonts w:hint="eastAsia"/>
          <w:color w:val="auto"/>
          <w:highlight w:val="none"/>
        </w:rPr>
      </w:pPr>
    </w:p>
    <w:p w14:paraId="3C27D606">
      <w:pPr>
        <w:pageBreakBefore w:val="0"/>
        <w:kinsoku/>
        <w:wordWrap/>
        <w:overflowPunct/>
        <w:topLinePunct w:val="0"/>
        <w:bidi w:val="0"/>
        <w:spacing w:line="520" w:lineRule="exact"/>
        <w:rPr>
          <w:rFonts w:hint="eastAsia" w:ascii="微软雅黑" w:hAnsi="微软雅黑" w:eastAsia="微软雅黑" w:cs="微软雅黑"/>
          <w:color w:val="auto"/>
          <w:sz w:val="24"/>
          <w:szCs w:val="24"/>
          <w:highlight w:val="none"/>
        </w:rPr>
      </w:pPr>
    </w:p>
    <w:p w14:paraId="4A022CCD">
      <w:pPr>
        <w:pStyle w:val="36"/>
        <w:pageBreakBefore w:val="0"/>
        <w:kinsoku/>
        <w:wordWrap/>
        <w:overflowPunct/>
        <w:topLinePunct w:val="0"/>
        <w:bidi w:val="0"/>
        <w:spacing w:line="520" w:lineRule="exact"/>
        <w:rPr>
          <w:rFonts w:hint="eastAsia" w:ascii="微软雅黑" w:hAnsi="微软雅黑" w:eastAsia="微软雅黑" w:cs="微软雅黑"/>
          <w:color w:val="auto"/>
          <w:sz w:val="24"/>
          <w:highlight w:val="none"/>
        </w:rPr>
      </w:pPr>
    </w:p>
    <w:p w14:paraId="28D3B1BC">
      <w:pPr>
        <w:pageBreakBefore w:val="0"/>
        <w:kinsoku/>
        <w:wordWrap/>
        <w:overflowPunct/>
        <w:topLinePunct w:val="0"/>
        <w:bidi w:val="0"/>
        <w:spacing w:line="520" w:lineRule="exact"/>
        <w:rPr>
          <w:rFonts w:hint="eastAsia" w:ascii="微软雅黑" w:hAnsi="微软雅黑" w:eastAsia="微软雅黑" w:cs="微软雅黑"/>
          <w:color w:val="auto"/>
          <w:sz w:val="24"/>
          <w:highlight w:val="none"/>
        </w:rPr>
      </w:pPr>
    </w:p>
    <w:p w14:paraId="75C523AC">
      <w:pPr>
        <w:pageBreakBefore w:val="0"/>
        <w:kinsoku/>
        <w:wordWrap/>
        <w:overflowPunct/>
        <w:topLinePunct w:val="0"/>
        <w:bidi w:val="0"/>
        <w:spacing w:line="520" w:lineRule="exact"/>
        <w:rPr>
          <w:rFonts w:hint="eastAsia" w:ascii="微软雅黑" w:hAnsi="微软雅黑" w:eastAsia="微软雅黑" w:cs="微软雅黑"/>
          <w:color w:val="auto"/>
          <w:sz w:val="24"/>
          <w:highlight w:val="none"/>
        </w:rPr>
      </w:pPr>
    </w:p>
    <w:p w14:paraId="33187404">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val="0"/>
          <w:color w:val="auto"/>
          <w:sz w:val="24"/>
          <w:szCs w:val="24"/>
          <w:highlight w:val="none"/>
        </w:rPr>
        <w:t xml:space="preserve"> </w:t>
      </w:r>
      <w:bookmarkStart w:id="828" w:name="_Toc351203480"/>
      <w:r>
        <w:rPr>
          <w:rFonts w:hint="eastAsia" w:ascii="微软雅黑" w:hAnsi="微软雅黑" w:eastAsia="微软雅黑" w:cs="微软雅黑"/>
          <w:color w:val="auto"/>
          <w:sz w:val="24"/>
          <w:szCs w:val="24"/>
          <w:highlight w:val="none"/>
        </w:rPr>
        <w:t>第一部分 合同协议书</w:t>
      </w:r>
      <w:bookmarkEnd w:id="828"/>
    </w:p>
    <w:p w14:paraId="7F2404D3">
      <w:pPr>
        <w:keepLines w:val="0"/>
        <w:pageBreakBefore w:val="0"/>
        <w:kinsoku/>
        <w:wordWrap/>
        <w:overflowPunct/>
        <w:topLinePunct w:val="0"/>
        <w:bidi w:val="0"/>
        <w:spacing w:line="520" w:lineRule="exact"/>
        <w:ind w:right="-19" w:rightChars="-9" w:firstLine="475" w:firstLineChars="198"/>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发包人（全称）：</w:t>
      </w:r>
      <w:r>
        <w:rPr>
          <w:rFonts w:hint="eastAsia" w:ascii="微软雅黑" w:hAnsi="微软雅黑" w:eastAsia="微软雅黑" w:cs="微软雅黑"/>
          <w:b/>
          <w:color w:val="auto"/>
          <w:sz w:val="24"/>
          <w:szCs w:val="24"/>
          <w:highlight w:val="none"/>
          <w:u w:val="single"/>
        </w:rPr>
        <w:t xml:space="preserve">                   </w:t>
      </w:r>
    </w:p>
    <w:p w14:paraId="69157E64">
      <w:pPr>
        <w:keepLines w:val="0"/>
        <w:pageBreakBefore w:val="0"/>
        <w:kinsoku/>
        <w:wordWrap/>
        <w:overflowPunct/>
        <w:topLinePunct w:val="0"/>
        <w:bidi w:val="0"/>
        <w:spacing w:line="520" w:lineRule="exact"/>
        <w:ind w:right="-19" w:rightChars="-9" w:firstLine="475" w:firstLineChars="198"/>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b/>
          <w:color w:val="auto"/>
          <w:sz w:val="24"/>
          <w:szCs w:val="24"/>
          <w:highlight w:val="none"/>
        </w:rPr>
        <w:t>承包人（全称）：</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color w:val="auto"/>
          <w:sz w:val="24"/>
          <w:szCs w:val="24"/>
          <w:highlight w:val="none"/>
          <w:u w:val="single"/>
        </w:rPr>
        <w:t xml:space="preserve">                    </w:t>
      </w:r>
    </w:p>
    <w:p w14:paraId="1E31E6EB">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根据《中华人民共和国合同法》、《中华人民共和国建筑法》及有关法律规定，遵循平等、自愿、公平和诚实信用的原则，双方就</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工程施工及有关事项协商一致，共同达成如下协议：</w:t>
      </w:r>
    </w:p>
    <w:p w14:paraId="26BA2D1B">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
          <w:color w:val="auto"/>
          <w:sz w:val="24"/>
          <w:szCs w:val="24"/>
          <w:highlight w:val="none"/>
        </w:rPr>
      </w:pPr>
      <w:bookmarkStart w:id="829" w:name="_Toc351203481"/>
      <w:r>
        <w:rPr>
          <w:rFonts w:hint="eastAsia" w:ascii="微软雅黑" w:hAnsi="微软雅黑" w:eastAsia="微软雅黑" w:cs="微软雅黑"/>
          <w:b/>
          <w:color w:val="auto"/>
          <w:sz w:val="24"/>
          <w:szCs w:val="24"/>
          <w:highlight w:val="none"/>
        </w:rPr>
        <w:t>一、工程概况</w:t>
      </w:r>
      <w:bookmarkEnd w:id="829"/>
    </w:p>
    <w:p w14:paraId="6F4D732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Cs/>
          <w:color w:val="auto"/>
          <w:sz w:val="24"/>
          <w:szCs w:val="24"/>
          <w:highlight w:val="none"/>
        </w:rPr>
        <w:t xml:space="preserve">    1.工程名称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F24B862">
      <w:pPr>
        <w:keepLines w:val="0"/>
        <w:pageBreakBefore w:val="0"/>
        <w:kinsoku/>
        <w:wordWrap/>
        <w:overflowPunct/>
        <w:topLinePunct w:val="0"/>
        <w:bidi w:val="0"/>
        <w:spacing w:line="52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2.工程地点：</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2B9687E0">
      <w:pPr>
        <w:keepLines w:val="0"/>
        <w:pageBreakBefore w:val="0"/>
        <w:kinsoku/>
        <w:wordWrap/>
        <w:overflowPunct/>
        <w:topLinePunct w:val="0"/>
        <w:bidi w:val="0"/>
        <w:spacing w:line="52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3.工程立项批准文号：</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bCs/>
          <w:color w:val="auto"/>
          <w:sz w:val="24"/>
          <w:szCs w:val="24"/>
          <w:highlight w:val="none"/>
        </w:rPr>
        <w:t>。</w:t>
      </w:r>
    </w:p>
    <w:p w14:paraId="65822524">
      <w:pPr>
        <w:keepLines w:val="0"/>
        <w:pageBreakBefore w:val="0"/>
        <w:kinsoku/>
        <w:wordWrap/>
        <w:overflowPunct/>
        <w:topLinePunct w:val="0"/>
        <w:bidi w:val="0"/>
        <w:spacing w:line="52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4.资金来源：</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bCs/>
          <w:color w:val="auto"/>
          <w:sz w:val="24"/>
          <w:szCs w:val="24"/>
          <w:highlight w:val="none"/>
        </w:rPr>
        <w:t>。</w:t>
      </w:r>
    </w:p>
    <w:p w14:paraId="111C516C">
      <w:pPr>
        <w:keepLines w:val="0"/>
        <w:pageBreakBefore w:val="0"/>
        <w:kinsoku/>
        <w:wordWrap/>
        <w:overflowPunct/>
        <w:topLinePunct w:val="0"/>
        <w:bidi w:val="0"/>
        <w:spacing w:line="52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5.工程内容：</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bCs/>
          <w:color w:val="auto"/>
          <w:sz w:val="24"/>
          <w:szCs w:val="24"/>
          <w:highlight w:val="none"/>
        </w:rPr>
        <w:t>。</w:t>
      </w:r>
    </w:p>
    <w:p w14:paraId="5D02924C">
      <w:pPr>
        <w:keepLines w:val="0"/>
        <w:pageBreakBefore w:val="0"/>
        <w:kinsoku/>
        <w:wordWrap/>
        <w:overflowPunct/>
        <w:topLinePunct w:val="0"/>
        <w:bidi w:val="0"/>
        <w:spacing w:line="52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群体工程应附《承包人承揽工程项目一览表》（附件1）。</w:t>
      </w:r>
    </w:p>
    <w:p w14:paraId="75E91885">
      <w:pPr>
        <w:keepLines w:val="0"/>
        <w:pageBreakBefore w:val="0"/>
        <w:kinsoku/>
        <w:wordWrap/>
        <w:overflowPunct/>
        <w:topLinePunct w:val="0"/>
        <w:bidi w:val="0"/>
        <w:spacing w:line="520" w:lineRule="exact"/>
        <w:ind w:right="-19" w:rightChars="-9" w:firstLine="470" w:firstLineChars="196"/>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6.工程承包范围：</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5E72CDB2">
      <w:pPr>
        <w:keepLines w:val="0"/>
        <w:pageBreakBefore w:val="0"/>
        <w:kinsoku/>
        <w:wordWrap/>
        <w:overflowPunct/>
        <w:topLinePunct w:val="0"/>
        <w:bidi w:val="0"/>
        <w:spacing w:line="520" w:lineRule="exact"/>
        <w:ind w:right="-19" w:rightChars="-9" w:firstLine="360" w:firstLineChars="150"/>
        <w:outlineLvl w:val="9"/>
        <w:rPr>
          <w:rFonts w:hint="eastAsia" w:ascii="微软雅黑" w:hAnsi="微软雅黑" w:eastAsia="微软雅黑" w:cs="微软雅黑"/>
          <w:b/>
          <w:color w:val="auto"/>
          <w:sz w:val="24"/>
          <w:szCs w:val="24"/>
          <w:highlight w:val="none"/>
        </w:rPr>
      </w:pPr>
      <w:bookmarkStart w:id="830" w:name="_Toc351203482"/>
      <w:r>
        <w:rPr>
          <w:rFonts w:hint="eastAsia" w:ascii="微软雅黑" w:hAnsi="微软雅黑" w:eastAsia="微软雅黑" w:cs="微软雅黑"/>
          <w:b/>
          <w:color w:val="auto"/>
          <w:sz w:val="24"/>
          <w:szCs w:val="24"/>
          <w:highlight w:val="none"/>
        </w:rPr>
        <w:t>二、合同工期</w:t>
      </w:r>
      <w:bookmarkEnd w:id="830"/>
    </w:p>
    <w:p w14:paraId="17494BE0">
      <w:pPr>
        <w:keepLines w:val="0"/>
        <w:pageBreakBefore w:val="0"/>
        <w:kinsoku/>
        <w:wordWrap/>
        <w:overflowPunct/>
        <w:topLinePunct w:val="0"/>
        <w:bidi w:val="0"/>
        <w:spacing w:line="52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计划开工日期：</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年</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月</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日</w:t>
      </w:r>
      <w:r>
        <w:rPr>
          <w:rFonts w:hint="eastAsia" w:ascii="微软雅黑" w:hAnsi="微软雅黑" w:eastAsia="微软雅黑" w:cs="微软雅黑"/>
          <w:color w:val="auto"/>
          <w:sz w:val="24"/>
          <w:szCs w:val="24"/>
          <w:highlight w:val="none"/>
        </w:rPr>
        <w:t>。</w:t>
      </w:r>
    </w:p>
    <w:p w14:paraId="615025D3">
      <w:pPr>
        <w:keepLines w:val="0"/>
        <w:pageBreakBefore w:val="0"/>
        <w:kinsoku/>
        <w:wordWrap/>
        <w:overflowPunct/>
        <w:topLinePunct w:val="0"/>
        <w:bidi w:val="0"/>
        <w:spacing w:line="52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计划竣工日期：</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年</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月</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日</w:t>
      </w:r>
      <w:r>
        <w:rPr>
          <w:rFonts w:hint="eastAsia" w:ascii="微软雅黑" w:hAnsi="微软雅黑" w:eastAsia="微软雅黑" w:cs="微软雅黑"/>
          <w:color w:val="auto"/>
          <w:sz w:val="24"/>
          <w:szCs w:val="24"/>
          <w:highlight w:val="none"/>
        </w:rPr>
        <w:t>。</w:t>
      </w:r>
    </w:p>
    <w:p w14:paraId="314A1B34">
      <w:pPr>
        <w:keepLines w:val="0"/>
        <w:pageBreakBefore w:val="0"/>
        <w:kinsoku/>
        <w:wordWrap/>
        <w:overflowPunct/>
        <w:topLinePunct w:val="0"/>
        <w:bidi w:val="0"/>
        <w:spacing w:line="52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工期总日历天数：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天。工期总日历天数与根据前述计划开竣工日期计算的工期天数不一致的，以工期总日历天数为准。</w:t>
      </w:r>
    </w:p>
    <w:p w14:paraId="117E4DEC">
      <w:pPr>
        <w:keepLines w:val="0"/>
        <w:pageBreakBefore w:val="0"/>
        <w:kinsoku/>
        <w:wordWrap/>
        <w:overflowPunct/>
        <w:topLinePunct w:val="0"/>
        <w:bidi w:val="0"/>
        <w:spacing w:line="520" w:lineRule="exact"/>
        <w:ind w:right="-19" w:rightChars="-9" w:firstLine="459"/>
        <w:outlineLvl w:val="9"/>
        <w:rPr>
          <w:rFonts w:hint="eastAsia" w:ascii="微软雅黑" w:hAnsi="微软雅黑" w:eastAsia="微软雅黑" w:cs="微软雅黑"/>
          <w:b/>
          <w:color w:val="auto"/>
          <w:sz w:val="24"/>
          <w:szCs w:val="24"/>
          <w:highlight w:val="none"/>
        </w:rPr>
      </w:pPr>
      <w:bookmarkStart w:id="831" w:name="_Toc351203483"/>
      <w:r>
        <w:rPr>
          <w:rFonts w:hint="eastAsia" w:ascii="微软雅黑" w:hAnsi="微软雅黑" w:eastAsia="微软雅黑" w:cs="微软雅黑"/>
          <w:b/>
          <w:color w:val="auto"/>
          <w:sz w:val="24"/>
          <w:szCs w:val="24"/>
          <w:highlight w:val="none"/>
        </w:rPr>
        <w:t>三、质量标准</w:t>
      </w:r>
      <w:bookmarkEnd w:id="831"/>
    </w:p>
    <w:p w14:paraId="7A639D4A">
      <w:pPr>
        <w:keepLines w:val="0"/>
        <w:pageBreakBefore w:val="0"/>
        <w:kinsoku/>
        <w:wordWrap/>
        <w:overflowPunct/>
        <w:topLinePunct w:val="0"/>
        <w:bidi w:val="0"/>
        <w:spacing w:line="52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工程质量符合</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b/>
          <w:color w:val="auto"/>
          <w:sz w:val="24"/>
          <w:szCs w:val="24"/>
          <w:highlight w:val="none"/>
          <w:u w:val="single"/>
        </w:rPr>
        <w:t>合格</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标准。</w:t>
      </w:r>
    </w:p>
    <w:p w14:paraId="361AC886">
      <w:pPr>
        <w:keepLines w:val="0"/>
        <w:pageBreakBefore w:val="0"/>
        <w:kinsoku/>
        <w:wordWrap/>
        <w:overflowPunct/>
        <w:topLinePunct w:val="0"/>
        <w:bidi w:val="0"/>
        <w:spacing w:line="520" w:lineRule="exact"/>
        <w:ind w:right="-19" w:rightChars="-9" w:firstLine="459"/>
        <w:outlineLvl w:val="9"/>
        <w:rPr>
          <w:rFonts w:hint="eastAsia" w:ascii="微软雅黑" w:hAnsi="微软雅黑" w:eastAsia="微软雅黑" w:cs="微软雅黑"/>
          <w:b/>
          <w:color w:val="auto"/>
          <w:sz w:val="24"/>
          <w:szCs w:val="24"/>
          <w:highlight w:val="none"/>
        </w:rPr>
      </w:pPr>
      <w:bookmarkStart w:id="832" w:name="_Toc351203484"/>
      <w:r>
        <w:rPr>
          <w:rFonts w:hint="eastAsia" w:ascii="微软雅黑" w:hAnsi="微软雅黑" w:eastAsia="微软雅黑" w:cs="微软雅黑"/>
          <w:b/>
          <w:color w:val="auto"/>
          <w:sz w:val="24"/>
          <w:szCs w:val="24"/>
          <w:highlight w:val="none"/>
        </w:rPr>
        <w:t>四、签约合同价与合同价格形式</w:t>
      </w:r>
      <w:bookmarkEnd w:id="832"/>
      <w:r>
        <w:rPr>
          <w:rFonts w:hint="eastAsia" w:ascii="微软雅黑" w:hAnsi="微软雅黑" w:eastAsia="微软雅黑" w:cs="微软雅黑"/>
          <w:b/>
          <w:color w:val="auto"/>
          <w:sz w:val="24"/>
          <w:szCs w:val="24"/>
          <w:highlight w:val="none"/>
        </w:rPr>
        <w:tab/>
      </w:r>
    </w:p>
    <w:p w14:paraId="7E98E5A0">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1.签约合同价为：</w:t>
      </w:r>
    </w:p>
    <w:p w14:paraId="511A8F91">
      <w:pPr>
        <w:keepLines w:val="0"/>
        <w:pageBreakBefore w:val="0"/>
        <w:kinsoku/>
        <w:wordWrap/>
        <w:overflowPunct/>
        <w:topLinePunct w:val="0"/>
        <w:bidi w:val="0"/>
        <w:spacing w:line="520" w:lineRule="exact"/>
        <w:ind w:right="-19" w:rightChars="-9" w:firstLine="600" w:firstLineChars="2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b/>
          <w:color w:val="auto"/>
          <w:spacing w:val="-6"/>
          <w:sz w:val="24"/>
          <w:szCs w:val="24"/>
          <w:highlight w:val="none"/>
          <w:u w:val="single"/>
        </w:rPr>
        <w:t>元</w:t>
      </w:r>
      <w:r>
        <w:rPr>
          <w:rFonts w:hint="eastAsia" w:ascii="微软雅黑" w:hAnsi="微软雅黑" w:eastAsia="微软雅黑" w:cs="微软雅黑"/>
          <w:color w:val="auto"/>
          <w:sz w:val="24"/>
          <w:szCs w:val="24"/>
          <w:highlight w:val="none"/>
        </w:rPr>
        <w:t>)；</w:t>
      </w:r>
    </w:p>
    <w:p w14:paraId="3D2E54F4">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其中：</w:t>
      </w:r>
    </w:p>
    <w:p w14:paraId="7FEBE219">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（1）安全文明施工费：</w:t>
      </w:r>
    </w:p>
    <w:p w14:paraId="2BC3D21A">
      <w:pPr>
        <w:keepLines w:val="0"/>
        <w:pageBreakBefore w:val="0"/>
        <w:kinsoku/>
        <w:wordWrap/>
        <w:overflowPunct/>
        <w:topLinePunct w:val="0"/>
        <w:bidi w:val="0"/>
        <w:spacing w:line="52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14:paraId="3BF189D4">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（2）材料和工程设备暂估价金额：</w:t>
      </w:r>
    </w:p>
    <w:p w14:paraId="149930BD">
      <w:pPr>
        <w:keepLines w:val="0"/>
        <w:pageBreakBefore w:val="0"/>
        <w:kinsoku/>
        <w:wordWrap/>
        <w:overflowPunct/>
        <w:topLinePunct w:val="0"/>
        <w:bidi w:val="0"/>
        <w:spacing w:line="52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14:paraId="0F036C09">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（3）专业工程暂估价金额：</w:t>
      </w:r>
    </w:p>
    <w:p w14:paraId="0B9E4380">
      <w:pPr>
        <w:keepLines w:val="0"/>
        <w:pageBreakBefore w:val="0"/>
        <w:kinsoku/>
        <w:wordWrap/>
        <w:overflowPunct/>
        <w:topLinePunct w:val="0"/>
        <w:bidi w:val="0"/>
        <w:spacing w:line="52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14:paraId="79FE5894">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（4）暂列金额：</w:t>
      </w:r>
    </w:p>
    <w:p w14:paraId="2A99E36F">
      <w:pPr>
        <w:keepLines w:val="0"/>
        <w:pageBreakBefore w:val="0"/>
        <w:kinsoku/>
        <w:wordWrap/>
        <w:overflowPunct/>
        <w:topLinePunct w:val="0"/>
        <w:bidi w:val="0"/>
        <w:spacing w:line="52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14:paraId="7C39D3D1">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2.合同价格形式：</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b/>
          <w:color w:val="auto"/>
          <w:spacing w:val="-6"/>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225D3152">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33" w:name="_Toc351203485"/>
      <w:r>
        <w:rPr>
          <w:rFonts w:hint="eastAsia" w:ascii="微软雅黑" w:hAnsi="微软雅黑" w:eastAsia="微软雅黑" w:cs="微软雅黑"/>
          <w:color w:val="auto"/>
          <w:sz w:val="24"/>
          <w:szCs w:val="24"/>
          <w:highlight w:val="none"/>
        </w:rPr>
        <w:t>五、</w:t>
      </w:r>
      <w:bookmarkEnd w:id="833"/>
      <w:r>
        <w:rPr>
          <w:rFonts w:hint="eastAsia" w:ascii="微软雅黑" w:hAnsi="微软雅黑" w:eastAsia="微软雅黑" w:cs="微软雅黑"/>
          <w:color w:val="auto"/>
          <w:sz w:val="24"/>
          <w:szCs w:val="24"/>
          <w:highlight w:val="none"/>
        </w:rPr>
        <w:t>项目经理</w:t>
      </w:r>
    </w:p>
    <w:p w14:paraId="4DF88662">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承包人项目经理：</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7B057EAF">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34" w:name="_Toc351203486"/>
      <w:r>
        <w:rPr>
          <w:rFonts w:hint="eastAsia" w:ascii="微软雅黑" w:hAnsi="微软雅黑" w:eastAsia="微软雅黑" w:cs="微软雅黑"/>
          <w:color w:val="auto"/>
          <w:sz w:val="24"/>
          <w:szCs w:val="24"/>
          <w:highlight w:val="none"/>
        </w:rPr>
        <w:t>六、合同文件构成</w:t>
      </w:r>
      <w:bookmarkEnd w:id="834"/>
    </w:p>
    <w:p w14:paraId="4744063A">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本协议书与下列文件一起构成合同文件：</w:t>
      </w:r>
    </w:p>
    <w:p w14:paraId="33FC786B">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（1）中标通知书（如果有）；</w:t>
      </w:r>
    </w:p>
    <w:p w14:paraId="4A90A406">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（2）资格审查文件及其附录（如果有）； </w:t>
      </w:r>
    </w:p>
    <w:p w14:paraId="22B179E7">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（3）专用合同条款及其附件；</w:t>
      </w:r>
    </w:p>
    <w:p w14:paraId="5FF23210">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（4）通用合同条款；</w:t>
      </w:r>
    </w:p>
    <w:p w14:paraId="3326A289">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（5）技术标准和要求；</w:t>
      </w:r>
    </w:p>
    <w:p w14:paraId="54846CD2">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（6）图纸；</w:t>
      </w:r>
    </w:p>
    <w:p w14:paraId="52F94706">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（7）已标价工程量清单或预算书；</w:t>
      </w:r>
    </w:p>
    <w:p w14:paraId="52E87929">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（8）其他合同文件。</w:t>
      </w:r>
    </w:p>
    <w:p w14:paraId="5FD159B9">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在合同订立及履行过程中形成的与合同有关的文件均构成合同文件组成部分。</w:t>
      </w:r>
    </w:p>
    <w:p w14:paraId="38EA7621">
      <w:pPr>
        <w:keepLines w:val="0"/>
        <w:pageBreakBefore w:val="0"/>
        <w:kinsoku/>
        <w:wordWrap/>
        <w:overflowPunct/>
        <w:topLinePunct w:val="0"/>
        <w:autoSpaceDE w:val="0"/>
        <w:autoSpaceDN w:val="0"/>
        <w:bidi w:val="0"/>
        <w:adjustRightIn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216962B">
      <w:pPr>
        <w:keepLines w:val="0"/>
        <w:pageBreakBefore w:val="0"/>
        <w:kinsoku/>
        <w:wordWrap/>
        <w:overflowPunct/>
        <w:topLinePunct w:val="0"/>
        <w:bidi w:val="0"/>
        <w:spacing w:before="0" w:after="0" w:line="520" w:lineRule="exact"/>
        <w:ind w:right="-19" w:rightChars="-9"/>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color w:val="auto"/>
          <w:sz w:val="24"/>
          <w:szCs w:val="24"/>
          <w:highlight w:val="none"/>
        </w:rPr>
        <w:t xml:space="preserve"> </w:t>
      </w:r>
      <w:bookmarkStart w:id="835" w:name="_Toc351203487"/>
      <w:r>
        <w:rPr>
          <w:rFonts w:hint="eastAsia" w:ascii="微软雅黑" w:hAnsi="微软雅黑" w:eastAsia="微软雅黑" w:cs="微软雅黑"/>
          <w:b w:val="0"/>
          <w:color w:val="auto"/>
          <w:sz w:val="24"/>
          <w:szCs w:val="24"/>
          <w:highlight w:val="none"/>
        </w:rPr>
        <w:t>七、承诺</w:t>
      </w:r>
      <w:bookmarkEnd w:id="835"/>
    </w:p>
    <w:p w14:paraId="57F4AB2B">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1.发包人承诺按照法律规定履行项目审批手续、筹集工程建设资金并按照合同约定的期限和方式支付合同价款。</w:t>
      </w:r>
    </w:p>
    <w:p w14:paraId="68AF5EB3">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13703372">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3.发包人和承包人通过招投标形式签订合同的，双方理解并承诺不再就同一工程另行签订与合同实质性内容相背离的协议。</w:t>
      </w:r>
    </w:p>
    <w:p w14:paraId="3B652D1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bCs/>
          <w:color w:val="auto"/>
          <w:sz w:val="24"/>
          <w:szCs w:val="24"/>
          <w:highlight w:val="none"/>
        </w:rPr>
      </w:pPr>
      <w:bookmarkStart w:id="836" w:name="_Toc351203488"/>
      <w:r>
        <w:rPr>
          <w:rFonts w:hint="eastAsia" w:ascii="微软雅黑" w:hAnsi="微软雅黑" w:eastAsia="微软雅黑" w:cs="微软雅黑"/>
          <w:b/>
          <w:color w:val="auto"/>
          <w:sz w:val="24"/>
          <w:szCs w:val="24"/>
          <w:highlight w:val="none"/>
        </w:rPr>
        <w:t xml:space="preserve">    八、词语含义</w:t>
      </w:r>
      <w:bookmarkEnd w:id="836"/>
    </w:p>
    <w:p w14:paraId="576A73A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本协议书中词语含义与第二部分通用合同条款中赋予的含义相同。</w:t>
      </w:r>
    </w:p>
    <w:p w14:paraId="3669D50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
          <w:color w:val="auto"/>
          <w:sz w:val="24"/>
          <w:szCs w:val="24"/>
          <w:highlight w:val="none"/>
        </w:rPr>
        <w:t xml:space="preserve">  </w:t>
      </w:r>
      <w:bookmarkStart w:id="837" w:name="_Toc351203489"/>
      <w:r>
        <w:rPr>
          <w:rFonts w:hint="eastAsia" w:ascii="微软雅黑" w:hAnsi="微软雅黑" w:eastAsia="微软雅黑" w:cs="微软雅黑"/>
          <w:b/>
          <w:color w:val="auto"/>
          <w:sz w:val="24"/>
          <w:szCs w:val="24"/>
          <w:highlight w:val="none"/>
        </w:rPr>
        <w:t>九、签订时间</w:t>
      </w:r>
      <w:bookmarkEnd w:id="837"/>
    </w:p>
    <w:p w14:paraId="671745C5">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本合同于</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年</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月</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日签订。</w:t>
      </w:r>
    </w:p>
    <w:p w14:paraId="7CD555E8">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38" w:name="_Toc351203490"/>
      <w:r>
        <w:rPr>
          <w:rFonts w:hint="eastAsia" w:ascii="微软雅黑" w:hAnsi="微软雅黑" w:eastAsia="微软雅黑" w:cs="微软雅黑"/>
          <w:b/>
          <w:color w:val="auto"/>
          <w:sz w:val="24"/>
          <w:szCs w:val="24"/>
          <w:highlight w:val="none"/>
        </w:rPr>
        <w:t>十、签订地点</w:t>
      </w:r>
      <w:bookmarkEnd w:id="838"/>
    </w:p>
    <w:p w14:paraId="769AA623">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本合同在</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签订。</w:t>
      </w:r>
    </w:p>
    <w:p w14:paraId="5741406C">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39" w:name="_Toc351203491"/>
      <w:r>
        <w:rPr>
          <w:rFonts w:hint="eastAsia" w:ascii="微软雅黑" w:hAnsi="微软雅黑" w:eastAsia="微软雅黑" w:cs="微软雅黑"/>
          <w:b/>
          <w:color w:val="auto"/>
          <w:sz w:val="24"/>
          <w:szCs w:val="24"/>
          <w:highlight w:val="none"/>
        </w:rPr>
        <w:t>十一、补充协议</w:t>
      </w:r>
      <w:bookmarkEnd w:id="839"/>
    </w:p>
    <w:p w14:paraId="1F25A207">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合同未尽事宜，合同当事人另行签订补充协议，补充协议是合同的组成部分。</w:t>
      </w:r>
    </w:p>
    <w:p w14:paraId="26296478">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
          <w:bCs/>
          <w:color w:val="auto"/>
          <w:sz w:val="24"/>
          <w:szCs w:val="24"/>
          <w:highlight w:val="none"/>
        </w:rPr>
      </w:pPr>
      <w:bookmarkStart w:id="840" w:name="_Toc351203492"/>
      <w:r>
        <w:rPr>
          <w:rFonts w:hint="eastAsia" w:ascii="微软雅黑" w:hAnsi="微软雅黑" w:eastAsia="微软雅黑" w:cs="微软雅黑"/>
          <w:b/>
          <w:color w:val="auto"/>
          <w:sz w:val="24"/>
          <w:szCs w:val="24"/>
          <w:highlight w:val="none"/>
        </w:rPr>
        <w:t>十二、合同生效</w:t>
      </w:r>
      <w:bookmarkEnd w:id="840"/>
    </w:p>
    <w:p w14:paraId="10EC5BC9">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本合同自</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生效。</w:t>
      </w:r>
    </w:p>
    <w:p w14:paraId="56AA31C1">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41" w:name="_Toc351203493"/>
      <w:r>
        <w:rPr>
          <w:rFonts w:hint="eastAsia" w:ascii="微软雅黑" w:hAnsi="微软雅黑" w:eastAsia="微软雅黑" w:cs="微软雅黑"/>
          <w:b/>
          <w:color w:val="auto"/>
          <w:sz w:val="24"/>
          <w:szCs w:val="24"/>
          <w:highlight w:val="none"/>
        </w:rPr>
        <w:t>十三、合同份数</w:t>
      </w:r>
      <w:bookmarkEnd w:id="841"/>
    </w:p>
    <w:p w14:paraId="09011313">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本合同一式</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份，均具有同等法律效力，发包人执</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份，承包人执</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w:t>
      </w:r>
    </w:p>
    <w:tbl>
      <w:tblPr>
        <w:tblStyle w:val="38"/>
        <w:tblW w:w="9962" w:type="dxa"/>
        <w:tblInd w:w="0" w:type="dxa"/>
        <w:tblLayout w:type="fixed"/>
        <w:tblCellMar>
          <w:top w:w="0" w:type="dxa"/>
          <w:left w:w="108" w:type="dxa"/>
          <w:bottom w:w="0" w:type="dxa"/>
          <w:right w:w="108" w:type="dxa"/>
        </w:tblCellMar>
      </w:tblPr>
      <w:tblGrid>
        <w:gridCol w:w="4981"/>
        <w:gridCol w:w="4981"/>
      </w:tblGrid>
      <w:tr w14:paraId="7756040C">
        <w:tblPrEx>
          <w:tblCellMar>
            <w:top w:w="0" w:type="dxa"/>
            <w:left w:w="108" w:type="dxa"/>
            <w:bottom w:w="0" w:type="dxa"/>
            <w:right w:w="108" w:type="dxa"/>
          </w:tblCellMar>
        </w:tblPrEx>
        <w:trPr>
          <w:trHeight w:val="1085" w:hRule="atLeast"/>
        </w:trPr>
        <w:tc>
          <w:tcPr>
            <w:tcW w:w="4981" w:type="dxa"/>
            <w:noWrap w:val="0"/>
            <w:vAlign w:val="top"/>
          </w:tcPr>
          <w:p w14:paraId="66492B7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bookmarkStart w:id="842" w:name="_Toc351203494"/>
            <w:r>
              <w:rPr>
                <w:rFonts w:hint="eastAsia" w:ascii="微软雅黑" w:hAnsi="微软雅黑" w:eastAsia="微软雅黑" w:cs="微软雅黑"/>
                <w:color w:val="auto"/>
                <w:sz w:val="24"/>
                <w:szCs w:val="24"/>
                <w:highlight w:val="none"/>
              </w:rPr>
              <w:t>发包人：（公章）</w:t>
            </w:r>
          </w:p>
          <w:p w14:paraId="70E7686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w:t>
            </w:r>
          </w:p>
          <w:p w14:paraId="7B160E06">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组织机构代码：</w:t>
            </w:r>
            <w:r>
              <w:rPr>
                <w:rFonts w:hint="eastAsia" w:ascii="微软雅黑" w:hAnsi="微软雅黑" w:eastAsia="微软雅黑" w:cs="微软雅黑"/>
                <w:color w:val="auto"/>
                <w:sz w:val="24"/>
                <w:szCs w:val="24"/>
                <w:highlight w:val="none"/>
                <w:u w:val="single"/>
              </w:rPr>
              <w:t xml:space="preserve">                   </w:t>
            </w:r>
          </w:p>
          <w:p w14:paraId="4382FD1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p>
          <w:p w14:paraId="0FE5292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w:t>
            </w:r>
          </w:p>
          <w:p w14:paraId="6393B2D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p>
          <w:p w14:paraId="3B2EF3E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u w:val="single"/>
              </w:rPr>
              <w:t xml:space="preserve">                     </w:t>
            </w:r>
          </w:p>
          <w:p w14:paraId="271EE5E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p>
          <w:p w14:paraId="451B22A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传真：</w:t>
            </w:r>
            <w:r>
              <w:rPr>
                <w:rFonts w:hint="eastAsia" w:ascii="微软雅黑" w:hAnsi="微软雅黑" w:eastAsia="微软雅黑" w:cs="微软雅黑"/>
                <w:color w:val="auto"/>
                <w:sz w:val="24"/>
                <w:szCs w:val="24"/>
                <w:highlight w:val="none"/>
                <w:u w:val="single"/>
              </w:rPr>
              <w:t xml:space="preserve">                           </w:t>
            </w:r>
          </w:p>
          <w:p w14:paraId="654A4286">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w:t>
            </w:r>
          </w:p>
          <w:p w14:paraId="3D3A4E0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u w:val="single"/>
              </w:rPr>
              <w:t xml:space="preserve">                       </w:t>
            </w:r>
          </w:p>
          <w:p w14:paraId="0DD8C86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账号：</w:t>
            </w:r>
            <w:r>
              <w:rPr>
                <w:rFonts w:hint="eastAsia" w:ascii="微软雅黑" w:hAnsi="微软雅黑" w:eastAsia="微软雅黑" w:cs="微软雅黑"/>
                <w:color w:val="auto"/>
                <w:sz w:val="24"/>
                <w:szCs w:val="24"/>
                <w:highlight w:val="none"/>
                <w:u w:val="single"/>
              </w:rPr>
              <w:t xml:space="preserve">                           </w:t>
            </w:r>
          </w:p>
        </w:tc>
        <w:tc>
          <w:tcPr>
            <w:tcW w:w="4981" w:type="dxa"/>
            <w:noWrap w:val="0"/>
            <w:vAlign w:val="top"/>
          </w:tcPr>
          <w:p w14:paraId="6281BE31">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承包人：（公章）</w:t>
            </w:r>
          </w:p>
          <w:p w14:paraId="4B08B95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w:t>
            </w:r>
          </w:p>
          <w:p w14:paraId="680B9CE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组织机构代码：</w:t>
            </w:r>
            <w:r>
              <w:rPr>
                <w:rFonts w:hint="eastAsia" w:ascii="微软雅黑" w:hAnsi="微软雅黑" w:eastAsia="微软雅黑" w:cs="微软雅黑"/>
                <w:b/>
                <w:color w:val="auto"/>
                <w:sz w:val="24"/>
                <w:szCs w:val="24"/>
                <w:highlight w:val="none"/>
                <w:u w:val="single"/>
              </w:rPr>
              <w:t xml:space="preserve">                </w:t>
            </w:r>
          </w:p>
          <w:p w14:paraId="05D6BC2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b/>
                <w:color w:val="auto"/>
                <w:sz w:val="24"/>
                <w:szCs w:val="24"/>
                <w:highlight w:val="none"/>
                <w:u w:val="single"/>
              </w:rPr>
              <w:t xml:space="preserve">                        </w:t>
            </w:r>
          </w:p>
          <w:p w14:paraId="4CE3428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b/>
                <w:color w:val="auto"/>
                <w:sz w:val="24"/>
                <w:szCs w:val="24"/>
                <w:highlight w:val="none"/>
                <w:u w:val="single"/>
              </w:rPr>
              <w:t xml:space="preserve">                    </w:t>
            </w:r>
          </w:p>
          <w:p w14:paraId="6A52DD8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b/>
                <w:color w:val="auto"/>
                <w:sz w:val="24"/>
                <w:szCs w:val="24"/>
                <w:highlight w:val="none"/>
                <w:u w:val="single"/>
              </w:rPr>
              <w:t xml:space="preserve">                  </w:t>
            </w:r>
          </w:p>
          <w:p w14:paraId="38D90BD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u w:val="single"/>
              </w:rPr>
              <w:t xml:space="preserve">                  </w:t>
            </w:r>
          </w:p>
          <w:p w14:paraId="7DBE55D9">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b/>
                <w:color w:val="auto"/>
                <w:sz w:val="24"/>
                <w:szCs w:val="24"/>
                <w:highlight w:val="none"/>
                <w:u w:val="single"/>
              </w:rPr>
              <w:t xml:space="preserve">                        </w:t>
            </w:r>
          </w:p>
          <w:p w14:paraId="39B9A18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传真：</w:t>
            </w:r>
            <w:r>
              <w:rPr>
                <w:rFonts w:hint="eastAsia" w:ascii="微软雅黑" w:hAnsi="微软雅黑" w:eastAsia="微软雅黑" w:cs="微软雅黑"/>
                <w:b/>
                <w:color w:val="auto"/>
                <w:sz w:val="24"/>
                <w:szCs w:val="24"/>
                <w:highlight w:val="none"/>
                <w:u w:val="single"/>
              </w:rPr>
              <w:t xml:space="preserve">                        </w:t>
            </w:r>
          </w:p>
          <w:p w14:paraId="2E76D37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b/>
                <w:color w:val="auto"/>
                <w:sz w:val="24"/>
                <w:szCs w:val="24"/>
                <w:highlight w:val="none"/>
                <w:u w:val="single"/>
              </w:rPr>
              <w:t xml:space="preserve">                    </w:t>
            </w:r>
          </w:p>
          <w:p w14:paraId="3E226199">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b/>
                <w:color w:val="auto"/>
                <w:sz w:val="24"/>
                <w:szCs w:val="24"/>
                <w:highlight w:val="none"/>
                <w:u w:val="single"/>
              </w:rPr>
              <w:t xml:space="preserve">                    </w:t>
            </w:r>
          </w:p>
          <w:p w14:paraId="4F2EE249">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账号：</w:t>
            </w:r>
            <w:r>
              <w:rPr>
                <w:rFonts w:hint="eastAsia" w:ascii="微软雅黑" w:hAnsi="微软雅黑" w:eastAsia="微软雅黑" w:cs="微软雅黑"/>
                <w:b/>
                <w:color w:val="auto"/>
                <w:sz w:val="24"/>
                <w:szCs w:val="24"/>
                <w:highlight w:val="none"/>
                <w:u w:val="single"/>
              </w:rPr>
              <w:t xml:space="preserve">                        </w:t>
            </w:r>
          </w:p>
        </w:tc>
      </w:tr>
    </w:tbl>
    <w:p w14:paraId="5B5AFE79">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p w14:paraId="5A00BDB9">
      <w:pPr>
        <w:keepLines w:val="0"/>
        <w:pageBreakBefore w:val="0"/>
        <w:kinsoku/>
        <w:wordWrap/>
        <w:overflowPunct/>
        <w:topLinePunct w:val="0"/>
        <w:bidi w:val="0"/>
        <w:spacing w:line="520" w:lineRule="exact"/>
        <w:jc w:val="center"/>
        <w:outlineLvl w:val="9"/>
        <w:rPr>
          <w:rFonts w:hint="eastAsia" w:ascii="微软雅黑" w:hAnsi="微软雅黑" w:eastAsia="微软雅黑" w:cs="微软雅黑"/>
          <w:color w:val="auto"/>
          <w:sz w:val="24"/>
          <w:szCs w:val="24"/>
          <w:highlight w:val="none"/>
        </w:rPr>
      </w:pPr>
      <w:bookmarkStart w:id="843" w:name="_Toc17781_WPSOffice_Level1"/>
      <w:bookmarkStart w:id="844" w:name="_Toc4216"/>
      <w:r>
        <w:rPr>
          <w:rFonts w:hint="eastAsia" w:ascii="微软雅黑" w:hAnsi="微软雅黑" w:eastAsia="微软雅黑" w:cs="微软雅黑"/>
          <w:color w:val="auto"/>
          <w:sz w:val="24"/>
          <w:szCs w:val="24"/>
          <w:highlight w:val="none"/>
        </w:rPr>
        <w:t>第二节 通用合同条款</w:t>
      </w:r>
      <w:bookmarkEnd w:id="843"/>
      <w:bookmarkEnd w:id="844"/>
    </w:p>
    <w:p w14:paraId="18602084">
      <w:pPr>
        <w:keepLines w:val="0"/>
        <w:pageBreakBefore w:val="0"/>
        <w:kinsoku/>
        <w:wordWrap/>
        <w:overflowPunct/>
        <w:topLinePunct w:val="0"/>
        <w:bidi w:val="0"/>
        <w:spacing w:line="52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使用住房城乡建设部、国家工商行政管理局2017年9月22日联合印发的《建设工程施工合同（GF-2017-0201示范文本）》第二部分通用条款。</w:t>
      </w:r>
    </w:p>
    <w:p w14:paraId="1E9BE51C">
      <w:pPr>
        <w:keepLines w:val="0"/>
        <w:pageBreakBefore w:val="0"/>
        <w:tabs>
          <w:tab w:val="center" w:pos="4479"/>
        </w:tabs>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bookmarkEnd w:id="842"/>
    <w:p w14:paraId="2AEE1678">
      <w:pPr>
        <w:keepLines w:val="0"/>
        <w:pageBreakBefore w:val="0"/>
        <w:tabs>
          <w:tab w:val="left" w:pos="2324"/>
          <w:tab w:val="center" w:pos="4214"/>
        </w:tabs>
        <w:kinsoku/>
        <w:wordWrap/>
        <w:overflowPunct/>
        <w:topLinePunct w:val="0"/>
        <w:bidi w:val="0"/>
        <w:adjustRightInd w:val="0"/>
        <w:snapToGrid w:val="0"/>
        <w:spacing w:line="520" w:lineRule="exact"/>
        <w:ind w:right="-19" w:rightChars="-9"/>
        <w:jc w:val="left"/>
        <w:outlineLvl w:val="9"/>
        <w:rPr>
          <w:rFonts w:hint="eastAsia" w:ascii="微软雅黑" w:hAnsi="微软雅黑" w:eastAsia="微软雅黑" w:cs="微软雅黑"/>
          <w:color w:val="auto"/>
          <w:sz w:val="24"/>
          <w:szCs w:val="24"/>
          <w:highlight w:val="none"/>
        </w:rPr>
      </w:pPr>
      <w:bookmarkStart w:id="845" w:name="_Toc351203632"/>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第三部分 专用合同条款</w:t>
      </w:r>
      <w:bookmarkEnd w:id="845"/>
    </w:p>
    <w:p w14:paraId="0CD13A0A">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846" w:name="_Toc351203633"/>
      <w:r>
        <w:rPr>
          <w:rFonts w:hint="eastAsia" w:ascii="微软雅黑" w:hAnsi="微软雅黑" w:eastAsia="微软雅黑" w:cs="微软雅黑"/>
          <w:b w:val="0"/>
          <w:color w:val="auto"/>
          <w:sz w:val="24"/>
          <w:szCs w:val="24"/>
          <w:highlight w:val="none"/>
        </w:rPr>
        <w:t>1</w:t>
      </w:r>
      <w:bookmarkStart w:id="847" w:name="_Toc292559361"/>
      <w:bookmarkStart w:id="848" w:name="_Toc296891196"/>
      <w:bookmarkStart w:id="849" w:name="_Toc296503156"/>
      <w:bookmarkStart w:id="850" w:name="_Toc297120456"/>
      <w:bookmarkStart w:id="851" w:name="_Toc297048342"/>
      <w:bookmarkStart w:id="852" w:name="_Toc296347155"/>
      <w:bookmarkStart w:id="853" w:name="_Toc296944495"/>
      <w:bookmarkStart w:id="854" w:name="_Toc296346657"/>
      <w:bookmarkStart w:id="855" w:name="_Toc296890984"/>
      <w:bookmarkStart w:id="856" w:name="_Toc292559866"/>
      <w:r>
        <w:rPr>
          <w:rFonts w:hint="eastAsia" w:ascii="微软雅黑" w:hAnsi="微软雅黑" w:eastAsia="微软雅黑" w:cs="微软雅黑"/>
          <w:b w:val="0"/>
          <w:color w:val="auto"/>
          <w:sz w:val="24"/>
          <w:szCs w:val="24"/>
          <w:highlight w:val="none"/>
        </w:rPr>
        <w:t>. 一般约定</w:t>
      </w:r>
      <w:bookmarkEnd w:id="846"/>
    </w:p>
    <w:bookmarkEnd w:id="847"/>
    <w:bookmarkEnd w:id="848"/>
    <w:bookmarkEnd w:id="849"/>
    <w:bookmarkEnd w:id="850"/>
    <w:bookmarkEnd w:id="851"/>
    <w:bookmarkEnd w:id="852"/>
    <w:bookmarkEnd w:id="853"/>
    <w:bookmarkEnd w:id="854"/>
    <w:bookmarkEnd w:id="855"/>
    <w:bookmarkEnd w:id="856"/>
    <w:p w14:paraId="2E2C0477">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 词语定义</w:t>
      </w:r>
    </w:p>
    <w:p w14:paraId="2D00D18E">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1.1.1合同</w:t>
      </w:r>
    </w:p>
    <w:p w14:paraId="46768219">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1.1.1.10其他合同文件包括：</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14:paraId="2B48A1B6">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合同当事人及其他相关方</w:t>
      </w:r>
    </w:p>
    <w:p w14:paraId="1E8833CE">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1.1.2.4监理人：</w:t>
      </w:r>
    </w:p>
    <w:p w14:paraId="54D67D9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74329D82">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资质类别和等级：</w:t>
      </w:r>
      <w:r>
        <w:rPr>
          <w:rFonts w:hint="eastAsia" w:ascii="微软雅黑" w:hAnsi="微软雅黑" w:eastAsia="微软雅黑" w:cs="微软雅黑"/>
          <w:color w:val="auto"/>
          <w:sz w:val="24"/>
          <w:szCs w:val="24"/>
          <w:highlight w:val="none"/>
          <w:u w:val="single"/>
        </w:rPr>
        <w:t xml:space="preserve">                       </w:t>
      </w:r>
      <w:r>
        <w:rPr>
          <w:rFonts w:hint="eastAsia" w:ascii="微软雅黑" w:hAnsi="微软雅黑" w:eastAsia="微软雅黑" w:cs="微软雅黑"/>
          <w:color w:val="auto"/>
          <w:sz w:val="24"/>
          <w:szCs w:val="24"/>
          <w:highlight w:val="none"/>
        </w:rPr>
        <w:t>；</w:t>
      </w:r>
    </w:p>
    <w:p w14:paraId="33F93CD3">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14:paraId="67749426">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14:paraId="468D387F">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14:paraId="67C72E6A">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1.1.2.5 设计人：</w:t>
      </w:r>
    </w:p>
    <w:p w14:paraId="11A57FE7">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6B9CFAF6">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资质类别和等级：</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14:paraId="48B132A4">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14:paraId="717F3796">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563CF14E">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14:paraId="7B5AC000">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工程和设备</w:t>
      </w:r>
    </w:p>
    <w:p w14:paraId="127B51E0">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1.1.3.7 作为施工现场组成部分的其他场所包括：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1EAA166">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1.1.3.9 永久占地包括：</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05795FB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1.1.3.10 临时占地包括：</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2C3058E0">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1.3法律 </w:t>
      </w:r>
    </w:p>
    <w:p w14:paraId="3EDC8BC6">
      <w:pPr>
        <w:keepLines w:val="0"/>
        <w:pageBreakBefore w:val="0"/>
        <w:kinsoku/>
        <w:wordWrap/>
        <w:overflowPunct/>
        <w:topLinePunct w:val="0"/>
        <w:autoSpaceDE w:val="0"/>
        <w:autoSpaceDN w:val="0"/>
        <w:bidi w:val="0"/>
        <w:adjustRightInd w:val="0"/>
        <w:snapToGrid w:val="0"/>
        <w:spacing w:line="520" w:lineRule="exact"/>
        <w:ind w:left="596" w:leftChars="284" w:right="-19" w:rightChars="-9"/>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适用于合同的其他规范性文件：</w:t>
      </w:r>
      <w:r>
        <w:rPr>
          <w:rFonts w:hint="eastAsia" w:ascii="微软雅黑" w:hAnsi="微软雅黑" w:eastAsia="微软雅黑" w:cs="微软雅黑"/>
          <w:color w:val="auto"/>
          <w:sz w:val="24"/>
          <w:szCs w:val="24"/>
          <w:highlight w:val="none"/>
          <w:u w:val="single"/>
        </w:rPr>
        <w:t xml:space="preserve">                 。</w:t>
      </w:r>
    </w:p>
    <w:p w14:paraId="08C6A100">
      <w:pPr>
        <w:keepLines w:val="0"/>
        <w:pageBreakBefore w:val="0"/>
        <w:kinsoku/>
        <w:wordWrap/>
        <w:overflowPunct/>
        <w:topLinePunct w:val="0"/>
        <w:autoSpaceDE w:val="0"/>
        <w:autoSpaceDN w:val="0"/>
        <w:bidi w:val="0"/>
        <w:adjustRightInd w:val="0"/>
        <w:snapToGrid w:val="0"/>
        <w:spacing w:line="520" w:lineRule="exact"/>
        <w:ind w:left="596" w:leftChars="28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标准和规范</w:t>
      </w:r>
    </w:p>
    <w:p w14:paraId="5CE7E41A">
      <w:pPr>
        <w:keepLines w:val="0"/>
        <w:pageBreakBefore w:val="0"/>
        <w:kinsoku/>
        <w:wordWrap/>
        <w:overflowPunct/>
        <w:topLinePunct w:val="0"/>
        <w:bidi w:val="0"/>
        <w:adjustRightInd w:val="0"/>
        <w:snapToGrid w:val="0"/>
        <w:spacing w:line="520" w:lineRule="exact"/>
        <w:ind w:left="596" w:leftChars="284"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1.4.1适用于工程的标准规范包括：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7D619BF">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1.4.2 发包人提供国外标准、规范的名称：</w:t>
      </w:r>
      <w:r>
        <w:rPr>
          <w:rFonts w:hint="eastAsia" w:ascii="微软雅黑" w:hAnsi="微软雅黑" w:eastAsia="微软雅黑" w:cs="微软雅黑"/>
          <w:color w:val="auto"/>
          <w:kern w:val="0"/>
          <w:sz w:val="24"/>
          <w:szCs w:val="24"/>
          <w:highlight w:val="none"/>
          <w:u w:val="single"/>
        </w:rPr>
        <w:t xml:space="preserve">        /         </w:t>
      </w:r>
    </w:p>
    <w:p w14:paraId="70AD3646">
      <w:pPr>
        <w:keepLines w:val="0"/>
        <w:pageBreakBefore w:val="0"/>
        <w:kinsoku/>
        <w:wordWrap/>
        <w:overflowPunct/>
        <w:topLinePunct w:val="0"/>
        <w:bidi w:val="0"/>
        <w:adjustRightInd w:val="0"/>
        <w:snapToGrid w:val="0"/>
        <w:spacing w:line="520" w:lineRule="exact"/>
        <w:ind w:right="-19" w:rightChars="-9"/>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265F2911">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发包人提供国外标准、规范的份数：</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7DB6EA9A">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发包人提供国外标准、规范的名称：</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56A2D750">
      <w:pPr>
        <w:keepLines w:val="0"/>
        <w:pageBreakBefore w:val="0"/>
        <w:kinsoku/>
        <w:wordWrap/>
        <w:overflowPunct/>
        <w:topLinePunct w:val="0"/>
        <w:bidi w:val="0"/>
        <w:adjustRightInd w:val="0"/>
        <w:snapToGrid w:val="0"/>
        <w:spacing w:line="520" w:lineRule="exact"/>
        <w:ind w:left="596" w:leftChars="284"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1.4.3发包人对工程的技术标准和功能要求的特殊要求：</w:t>
      </w:r>
    </w:p>
    <w:p w14:paraId="71D230F2">
      <w:pPr>
        <w:keepLines w:val="0"/>
        <w:pageBreakBefore w:val="0"/>
        <w:kinsoku/>
        <w:wordWrap/>
        <w:overflowPunct/>
        <w:topLinePunct w:val="0"/>
        <w:bidi w:val="0"/>
        <w:adjustRightInd w:val="0"/>
        <w:snapToGrid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3347A08">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合同文件的优先顺序</w:t>
      </w:r>
    </w:p>
    <w:p w14:paraId="65E0C8F7">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合同文件组成及优先顺序为：</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4C6C1817">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 图纸和承包人文件</w:t>
      </w:r>
      <w:r>
        <w:rPr>
          <w:rFonts w:hint="eastAsia" w:ascii="微软雅黑" w:hAnsi="微软雅黑" w:eastAsia="微软雅黑" w:cs="微软雅黑"/>
          <w:color w:val="auto"/>
          <w:sz w:val="24"/>
          <w:szCs w:val="24"/>
          <w:highlight w:val="none"/>
        </w:rPr>
        <w:tab/>
      </w:r>
    </w:p>
    <w:p w14:paraId="05594281">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图纸的提供</w:t>
      </w:r>
    </w:p>
    <w:p w14:paraId="593AE78E">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发包人向承包人提供图纸的期限：</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728A8796">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发包人向承包人提供图纸的数量：</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2577EA23">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发包人向承包人提供图纸的内容：</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0F1BEF69">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承包人文件</w:t>
      </w:r>
    </w:p>
    <w:p w14:paraId="4CAD2ED3">
      <w:pPr>
        <w:keepLines w:val="0"/>
        <w:pageBreakBefore w:val="0"/>
        <w:kinsoku/>
        <w:wordWrap/>
        <w:overflowPunct/>
        <w:topLinePunct w:val="0"/>
        <w:bidi w:val="0"/>
        <w:adjustRightInd w:val="0"/>
        <w:snapToGrid w:val="0"/>
        <w:spacing w:line="520" w:lineRule="exact"/>
        <w:ind w:left="596" w:leftChars="284" w:right="-19" w:rightChars="-9"/>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需要由承包人提供的文件，包括：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2EED847">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承包人提供的文件的期限为：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0F0CF0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承包人提供的文件的数量为：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58D22DD">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承包人提供的文件的形式为：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44730A6">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发包人审批承包人文件的期限：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7C132F2">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现场图纸准备</w:t>
      </w:r>
    </w:p>
    <w:p w14:paraId="586C8C9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关于现场图纸准备的约定：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02F5E7B">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 联络</w:t>
      </w:r>
    </w:p>
    <w:p w14:paraId="58EC9E02">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1.7.1发包人和承包人应当在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天内将与合同有关的通知、批准、证明、证书、指示、指令、要求、请求、同意、意见、确定和决定等书面函件送达对方当事人。</w:t>
      </w:r>
    </w:p>
    <w:p w14:paraId="2947AC72">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1.7.2 发包人接收文件的地点：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94119F7">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发包人指定的接收人为：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68F5001">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承包人接收文件的地点：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6CEF79D0">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承包人指定的接收人为：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00C98EE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监理人接收文件的地点：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63592FC7">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监理人指定的接收人为：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2978F88F">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1.10 交通运输</w:t>
      </w:r>
    </w:p>
    <w:p w14:paraId="59C95E91">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857" w:name="_Toc312677986"/>
      <w:bookmarkStart w:id="858" w:name="_Toc300934943"/>
      <w:bookmarkStart w:id="859" w:name="_Toc304295521"/>
      <w:bookmarkStart w:id="860" w:name="_Toc318581155"/>
      <w:bookmarkStart w:id="861" w:name="_Toc303539100"/>
      <w:r>
        <w:rPr>
          <w:rFonts w:hint="eastAsia" w:ascii="微软雅黑" w:hAnsi="微软雅黑" w:eastAsia="微软雅黑" w:cs="微软雅黑"/>
          <w:color w:val="auto"/>
          <w:sz w:val="24"/>
          <w:szCs w:val="24"/>
          <w:highlight w:val="none"/>
        </w:rPr>
        <w:t>.10.1 出入现场的权利</w:t>
      </w:r>
    </w:p>
    <w:p w14:paraId="4453173F">
      <w:pPr>
        <w:keepLines w:val="0"/>
        <w:pageBreakBefore w:val="0"/>
        <w:kinsoku/>
        <w:wordWrap/>
        <w:overflowPunct/>
        <w:topLinePunct w:val="0"/>
        <w:bidi w:val="0"/>
        <w:adjustRightInd w:val="0"/>
        <w:snapToGrid w:val="0"/>
        <w:spacing w:line="520" w:lineRule="exact"/>
        <w:ind w:left="596" w:leftChars="28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关于出入现场的权利的约定：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857"/>
    <w:bookmarkEnd w:id="858"/>
    <w:bookmarkEnd w:id="859"/>
    <w:bookmarkEnd w:id="860"/>
    <w:bookmarkEnd w:id="861"/>
    <w:p w14:paraId="572DAD9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862" w:name="_Toc304295522"/>
      <w:bookmarkStart w:id="863" w:name="_Toc318581156"/>
      <w:bookmarkStart w:id="864" w:name="_Toc303539101"/>
      <w:bookmarkStart w:id="865" w:name="_Toc312677987"/>
      <w:bookmarkStart w:id="866" w:name="_Toc300934944"/>
      <w:r>
        <w:rPr>
          <w:rFonts w:hint="eastAsia" w:ascii="微软雅黑" w:hAnsi="微软雅黑" w:eastAsia="微软雅黑" w:cs="微软雅黑"/>
          <w:color w:val="auto"/>
          <w:sz w:val="24"/>
          <w:szCs w:val="24"/>
          <w:highlight w:val="none"/>
        </w:rPr>
        <w:t>.10.3 场内交通</w:t>
      </w:r>
    </w:p>
    <w:p w14:paraId="1850B6A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关于场外交通和场内交通的边界的约定：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17A93C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关于发包人向承包人免费提供满足工程施工需要的场内道路和交通设施的约定：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bookmarkEnd w:id="862"/>
      <w:bookmarkEnd w:id="863"/>
      <w:bookmarkEnd w:id="864"/>
      <w:bookmarkEnd w:id="865"/>
      <w:bookmarkEnd w:id="866"/>
      <w:r>
        <w:rPr>
          <w:rFonts w:hint="eastAsia" w:ascii="微软雅黑" w:hAnsi="微软雅黑" w:eastAsia="微软雅黑" w:cs="微软雅黑"/>
          <w:color w:val="auto"/>
          <w:sz w:val="24"/>
          <w:szCs w:val="24"/>
          <w:highlight w:val="none"/>
        </w:rPr>
        <w:t xml:space="preserve">  </w:t>
      </w:r>
      <w:bookmarkStart w:id="867" w:name="_Toc318581157"/>
    </w:p>
    <w:p w14:paraId="70C8AB9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1.10.4超大件和超重件的运输</w:t>
      </w:r>
    </w:p>
    <w:p w14:paraId="45C5892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运输超大件或超重件所需的道路和桥梁临时加固改造费用和其他有关费用由</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承担。</w:t>
      </w:r>
    </w:p>
    <w:bookmarkEnd w:id="867"/>
    <w:p w14:paraId="4E4A7D9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 知识产权</w:t>
      </w:r>
    </w:p>
    <w:p w14:paraId="67DCC33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7CC51F0A">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关于发包人提供的上述文件的使用限制的要求：</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289D35B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1.11.2 关于承包人为实施工程所编制文件的著作权的归属：</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189A4F4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关于承包人提供的上述文件的使用限制的要求：</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28AEB48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1.11.4 承包人在施工过程中所采用的专利、专有技术、技术秘密的使用费的承担方式：</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5674F5B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1.13工程量清单错误的修正</w:t>
      </w:r>
    </w:p>
    <w:p w14:paraId="2987D4F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出现工程量清单错误时，是否调整合同价格：</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57F84624">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允许调整合同价格的工程量偏差范围：</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76148C1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bookmarkStart w:id="868" w:name="_Toc351203634"/>
      <w:r>
        <w:rPr>
          <w:rFonts w:hint="eastAsia" w:ascii="微软雅黑" w:hAnsi="微软雅黑" w:eastAsia="微软雅黑" w:cs="微软雅黑"/>
          <w:color w:val="auto"/>
          <w:kern w:val="0"/>
          <w:sz w:val="24"/>
          <w:szCs w:val="24"/>
          <w:highlight w:val="none"/>
        </w:rPr>
        <w:t>2</w:t>
      </w:r>
      <w:bookmarkStart w:id="869" w:name="_Toc292559867"/>
      <w:bookmarkStart w:id="870" w:name="_Toc296503157"/>
      <w:bookmarkStart w:id="871" w:name="_Toc296346658"/>
      <w:bookmarkStart w:id="872" w:name="_Toc297048343"/>
      <w:bookmarkStart w:id="873" w:name="_Toc296890985"/>
      <w:bookmarkStart w:id="874" w:name="_Toc297120457"/>
      <w:bookmarkStart w:id="875" w:name="_Toc296347156"/>
      <w:bookmarkStart w:id="876" w:name="_Toc292559362"/>
      <w:bookmarkStart w:id="877" w:name="_Toc296891197"/>
      <w:bookmarkStart w:id="878" w:name="_Toc296944496"/>
      <w:r>
        <w:rPr>
          <w:rFonts w:hint="eastAsia" w:ascii="微软雅黑" w:hAnsi="微软雅黑" w:eastAsia="微软雅黑" w:cs="微软雅黑"/>
          <w:color w:val="auto"/>
          <w:kern w:val="0"/>
          <w:sz w:val="24"/>
          <w:szCs w:val="24"/>
          <w:highlight w:val="none"/>
        </w:rPr>
        <w:t>. 发包人</w:t>
      </w:r>
      <w:bookmarkEnd w:id="868"/>
    </w:p>
    <w:bookmarkEnd w:id="869"/>
    <w:bookmarkEnd w:id="870"/>
    <w:bookmarkEnd w:id="871"/>
    <w:bookmarkEnd w:id="872"/>
    <w:bookmarkEnd w:id="873"/>
    <w:bookmarkEnd w:id="874"/>
    <w:bookmarkEnd w:id="875"/>
    <w:bookmarkEnd w:id="876"/>
    <w:bookmarkEnd w:id="877"/>
    <w:bookmarkEnd w:id="878"/>
    <w:p w14:paraId="5BED849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2.2 发包人代表</w:t>
      </w:r>
    </w:p>
    <w:p w14:paraId="4CC4E4F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发包人代表：</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D11DD6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姓    名：</w:t>
      </w:r>
      <w:r>
        <w:rPr>
          <w:rFonts w:hint="eastAsia" w:ascii="微软雅黑" w:hAnsi="微软雅黑" w:eastAsia="微软雅黑" w:cs="微软雅黑"/>
          <w:color w:val="auto"/>
          <w:kern w:val="0"/>
          <w:sz w:val="24"/>
          <w:szCs w:val="24"/>
          <w:highlight w:val="none"/>
          <w:u w:val="single"/>
        </w:rPr>
        <w:t>           </w:t>
      </w:r>
      <w:r>
        <w:rPr>
          <w:rFonts w:hint="eastAsia" w:ascii="微软雅黑" w:hAnsi="微软雅黑" w:eastAsia="微软雅黑" w:cs="微软雅黑"/>
          <w:color w:val="auto"/>
          <w:kern w:val="0"/>
          <w:sz w:val="24"/>
          <w:szCs w:val="24"/>
          <w:highlight w:val="none"/>
        </w:rPr>
        <w:t>；</w:t>
      </w:r>
    </w:p>
    <w:p w14:paraId="429B4CC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身份证号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14:paraId="70225017">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    务：</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14:paraId="76D60C6D">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14:paraId="0769C2D4">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14:paraId="4EF2CED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14:paraId="5C58126A">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发包人对发包人代表的授权范围如下：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9F5C141">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 施工现场、施工条件和基础资料的提供</w:t>
      </w:r>
    </w:p>
    <w:p w14:paraId="5ECBB528">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 提供施工现场</w:t>
      </w:r>
    </w:p>
    <w:p w14:paraId="57B9019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关于发包人移交施工现场的期限要求：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6FDA1FF">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提供施工条件</w:t>
      </w:r>
    </w:p>
    <w:p w14:paraId="69F5C2C4">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关于发包人应负责提供施工所需要的条件，包括：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7708C747">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 资金来源证明及支付担保</w:t>
      </w:r>
    </w:p>
    <w:p w14:paraId="14CE04D2">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发包人提供资金来源证明的期限要求：</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14:paraId="4DC5E3C8">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发包人是否提供支付担保：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14:paraId="71D1D2FE">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发包人提供支付担保的形式：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50FE0E0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79" w:name="_Toc351203635"/>
      <w:r>
        <w:rPr>
          <w:rFonts w:hint="eastAsia" w:ascii="微软雅黑" w:hAnsi="微软雅黑" w:eastAsia="微软雅黑" w:cs="微软雅黑"/>
          <w:color w:val="auto"/>
          <w:sz w:val="24"/>
          <w:szCs w:val="24"/>
          <w:highlight w:val="none"/>
        </w:rPr>
        <w:t>3</w:t>
      </w:r>
      <w:bookmarkStart w:id="880" w:name="_Toc296346659"/>
      <w:bookmarkStart w:id="881" w:name="_Toc292559363"/>
      <w:bookmarkStart w:id="882" w:name="_Toc292559868"/>
      <w:bookmarkStart w:id="883" w:name="_Toc296503158"/>
      <w:bookmarkStart w:id="884" w:name="_Toc297048344"/>
      <w:bookmarkStart w:id="885" w:name="_Toc296891198"/>
      <w:bookmarkStart w:id="886" w:name="_Toc296890986"/>
      <w:bookmarkStart w:id="887" w:name="_Toc296944497"/>
      <w:bookmarkStart w:id="888" w:name="_Toc297120458"/>
      <w:bookmarkStart w:id="889" w:name="_Toc296347157"/>
      <w:r>
        <w:rPr>
          <w:rFonts w:hint="eastAsia" w:ascii="微软雅黑" w:hAnsi="微软雅黑" w:eastAsia="微软雅黑" w:cs="微软雅黑"/>
          <w:color w:val="auto"/>
          <w:sz w:val="24"/>
          <w:szCs w:val="24"/>
          <w:highlight w:val="none"/>
        </w:rPr>
        <w:t>. 承包人</w:t>
      </w:r>
      <w:bookmarkEnd w:id="879"/>
    </w:p>
    <w:bookmarkEnd w:id="880"/>
    <w:bookmarkEnd w:id="881"/>
    <w:bookmarkEnd w:id="882"/>
    <w:bookmarkEnd w:id="883"/>
    <w:bookmarkEnd w:id="884"/>
    <w:bookmarkEnd w:id="885"/>
    <w:bookmarkEnd w:id="886"/>
    <w:bookmarkEnd w:id="887"/>
    <w:bookmarkEnd w:id="888"/>
    <w:bookmarkEnd w:id="889"/>
    <w:p w14:paraId="20649BC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 承包人的一般义务</w:t>
      </w:r>
    </w:p>
    <w:p w14:paraId="5A588D1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（5）</w:t>
      </w:r>
      <w:r>
        <w:rPr>
          <w:rFonts w:hint="eastAsia" w:ascii="微软雅黑" w:hAnsi="微软雅黑" w:eastAsia="微软雅黑" w:cs="微软雅黑"/>
          <w:color w:val="auto"/>
          <w:sz w:val="24"/>
          <w:szCs w:val="24"/>
          <w:highlight w:val="none"/>
        </w:rPr>
        <w:t>承包人提交的竣工资料的内容：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711C39E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承包人需要提交的竣工资料套数：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E7AE469">
      <w:pPr>
        <w:keepLines w:val="0"/>
        <w:pageBreakBefore w:val="0"/>
        <w:kinsoku/>
        <w:wordWrap/>
        <w:overflowPunct/>
        <w:topLinePunct w:val="0"/>
        <w:bidi w:val="0"/>
        <w:adjustRightInd w:val="0"/>
        <w:snapToGrid w:val="0"/>
        <w:spacing w:line="520" w:lineRule="exact"/>
        <w:ind w:left="638" w:leftChars="30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承包人提交的竣工资料的费用承担：</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A776319">
      <w:pPr>
        <w:keepLines w:val="0"/>
        <w:pageBreakBefore w:val="0"/>
        <w:kinsoku/>
        <w:wordWrap/>
        <w:overflowPunct/>
        <w:topLinePunct w:val="0"/>
        <w:bidi w:val="0"/>
        <w:adjustRightInd w:val="0"/>
        <w:snapToGrid w:val="0"/>
        <w:spacing w:line="520" w:lineRule="exact"/>
        <w:ind w:left="638" w:leftChars="30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承包人提交的竣工资料移交时间：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10456B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承包人提交的竣工资料形式要求：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091DB3C">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（6）承包人应履行的其他义务：</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78B00146">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p>
    <w:p w14:paraId="1C07D0FF">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 项目经理</w:t>
      </w:r>
    </w:p>
    <w:p w14:paraId="6BDDC1A4">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 xml:space="preserve">3.2.1 </w:t>
      </w:r>
      <w:r>
        <w:rPr>
          <w:rFonts w:hint="eastAsia" w:ascii="微软雅黑" w:hAnsi="微软雅黑" w:eastAsia="微软雅黑" w:cs="微软雅黑"/>
          <w:color w:val="auto"/>
          <w:sz w:val="24"/>
          <w:szCs w:val="24"/>
          <w:highlight w:val="none"/>
        </w:rPr>
        <w:t>项目经理：</w:t>
      </w:r>
    </w:p>
    <w:p w14:paraId="585A6F13">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04B65D32">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14:paraId="1CB76AFF">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建造师执业资格等级：</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23C43773">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建造师注册证书号：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3EED6B27">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建造师执业印章号：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201C7910">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安全生产考核合格证书号：</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003CE7C2">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14:paraId="037A7DB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14:paraId="02D43B02">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41F085B3">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承包人对项目经理的授权范围如下：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B99819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关于项目经理每月在施工现场的时间要求：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54C2304">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承包人未提交劳动合同，以及没有为项目经理缴纳社会保险证明的违约责任：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7650B87">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项目经理未经批准，擅自离开施工现场的违约责任：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D2C991D">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3.2.3 承包人擅自更换项目经理的违约责任：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497FC10">
      <w:pPr>
        <w:keepLines w:val="0"/>
        <w:pageBreakBefore w:val="0"/>
        <w:kinsoku/>
        <w:wordWrap/>
        <w:overflowPunct/>
        <w:topLinePunct w:val="0"/>
        <w:bidi w:val="0"/>
        <w:adjustRightInd w:val="0"/>
        <w:snapToGrid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3.2.4 承包人无正当理由拒绝更换项目经理的违约责任：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53088F8">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 承包人人员</w:t>
      </w:r>
    </w:p>
    <w:p w14:paraId="5A3F2803">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 承包人提交项目管理机构及施工现场管理人员安排报告的期限：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A465C9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3.3.3 承包人无正当理由拒绝撤换主要施工管理人员的违约责任：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0BD00DE">
      <w:pPr>
        <w:keepLines w:val="0"/>
        <w:pageBreakBefore w:val="0"/>
        <w:kinsoku/>
        <w:wordWrap/>
        <w:overflowPunct/>
        <w:topLinePunct w:val="0"/>
        <w:bidi w:val="0"/>
        <w:adjustRightInd w:val="0"/>
        <w:snapToGrid w:val="0"/>
        <w:spacing w:line="52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    3.3.4 承包人主要施工管理人员离开施工现场的批准要求：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B4646C1">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3.3.5承包人擅自更换主要施工管理人员的违约责任：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B65E1EA">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承包人主要施工管理人员擅自离开施工现场的违约责任：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D18517B">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bookmarkStart w:id="890" w:name="_Toc297120459"/>
      <w:bookmarkStart w:id="891" w:name="_Toc303539102"/>
      <w:bookmarkStart w:id="892" w:name="_Toc297048345"/>
      <w:bookmarkStart w:id="893" w:name="_Toc312677988"/>
      <w:bookmarkStart w:id="894" w:name="_Toc296503159"/>
      <w:bookmarkStart w:id="895" w:name="_Toc296346660"/>
      <w:bookmarkStart w:id="896" w:name="_Toc296944498"/>
      <w:bookmarkStart w:id="897" w:name="_Toc296347158"/>
      <w:bookmarkStart w:id="898" w:name="_Toc296890987"/>
      <w:bookmarkStart w:id="899" w:name="_Toc296891199"/>
      <w:bookmarkStart w:id="900" w:name="_Toc297123492"/>
      <w:bookmarkStart w:id="901" w:name="_Toc292559869"/>
      <w:bookmarkStart w:id="902" w:name="_Toc292559364"/>
      <w:bookmarkStart w:id="903" w:name="_Toc304295523"/>
      <w:bookmarkStart w:id="904" w:name="_Toc300934945"/>
      <w:bookmarkStart w:id="905" w:name="_Toc297216151"/>
      <w:r>
        <w:rPr>
          <w:rFonts w:hint="eastAsia" w:ascii="微软雅黑" w:hAnsi="微软雅黑" w:eastAsia="微软雅黑" w:cs="微软雅黑"/>
          <w:color w:val="auto"/>
          <w:sz w:val="24"/>
          <w:szCs w:val="24"/>
          <w:highlight w:val="none"/>
        </w:rPr>
        <w:t>.5 分包</w:t>
      </w:r>
    </w:p>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14:paraId="13A36FB4">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bookmarkStart w:id="906" w:name="_Toc297123493"/>
      <w:bookmarkStart w:id="907" w:name="_Toc292559365"/>
      <w:bookmarkStart w:id="908" w:name="_Toc300934946"/>
      <w:bookmarkStart w:id="909" w:name="_Toc296347159"/>
      <w:bookmarkStart w:id="910" w:name="_Toc296503160"/>
      <w:bookmarkStart w:id="911" w:name="_Toc292559870"/>
      <w:bookmarkStart w:id="912" w:name="_Toc304295524"/>
      <w:bookmarkStart w:id="913" w:name="_Toc296891200"/>
      <w:bookmarkStart w:id="914" w:name="_Toc296346661"/>
      <w:bookmarkStart w:id="915" w:name="_Toc296890988"/>
      <w:bookmarkStart w:id="916" w:name="_Toc297120460"/>
      <w:bookmarkStart w:id="917" w:name="_Toc303539103"/>
      <w:bookmarkStart w:id="918" w:name="_Toc297216152"/>
      <w:bookmarkStart w:id="919" w:name="_Toc297048346"/>
      <w:bookmarkStart w:id="920" w:name="_Toc296944499"/>
      <w:bookmarkStart w:id="921" w:name="_Toc312677989"/>
      <w:bookmarkStart w:id="922" w:name="_Toc318581158"/>
      <w:r>
        <w:rPr>
          <w:rFonts w:hint="eastAsia" w:ascii="微软雅黑" w:hAnsi="微软雅黑" w:eastAsia="微软雅黑" w:cs="微软雅黑"/>
          <w:color w:val="auto"/>
          <w:sz w:val="24"/>
          <w:szCs w:val="24"/>
          <w:highlight w:val="none"/>
        </w:rPr>
        <w:t>.5.1 分包的一般约定</w:t>
      </w:r>
    </w:p>
    <w:p w14:paraId="52AB9BB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禁止分包的工程包括：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968154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主体结构、关键性工作的范围：</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Start w:id="923" w:name="_Toc296503161"/>
      <w:bookmarkStart w:id="924" w:name="_Toc304295525"/>
      <w:bookmarkStart w:id="925" w:name="_Toc297120461"/>
      <w:bookmarkStart w:id="926" w:name="_Toc296346662"/>
      <w:bookmarkStart w:id="927" w:name="_Toc296891201"/>
      <w:bookmarkStart w:id="928" w:name="_Toc297216153"/>
      <w:bookmarkStart w:id="929" w:name="_Toc303539104"/>
      <w:bookmarkStart w:id="930" w:name="_Toc296347160"/>
      <w:bookmarkStart w:id="931" w:name="_Toc296944500"/>
      <w:bookmarkStart w:id="932" w:name="_Toc297048347"/>
      <w:bookmarkStart w:id="933" w:name="_Toc296890989"/>
      <w:bookmarkStart w:id="934" w:name="_Toc300934947"/>
      <w:bookmarkStart w:id="935" w:name="_Toc297123494"/>
    </w:p>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14:paraId="107782F7">
      <w:pPr>
        <w:keepLines w:val="0"/>
        <w:pageBreakBefore w:val="0"/>
        <w:kinsoku/>
        <w:wordWrap/>
        <w:overflowPunct/>
        <w:topLinePunct w:val="0"/>
        <w:bidi w:val="0"/>
        <w:adjustRightInd w:val="0"/>
        <w:snapToGrid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w:t>
      </w:r>
      <w:bookmarkStart w:id="936" w:name="_Toc312677990"/>
      <w:bookmarkStart w:id="937" w:name="_Toc318581159"/>
      <w:r>
        <w:rPr>
          <w:rFonts w:hint="eastAsia" w:ascii="微软雅黑" w:hAnsi="微软雅黑" w:eastAsia="微软雅黑" w:cs="微软雅黑"/>
          <w:color w:val="auto"/>
          <w:sz w:val="24"/>
          <w:szCs w:val="24"/>
          <w:highlight w:val="none"/>
        </w:rPr>
        <w:t>.5.2分包的确定</w:t>
      </w:r>
    </w:p>
    <w:p w14:paraId="6136E2D9">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允许分包的专业工程包括：</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14:paraId="5BBAC4A0">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其他关于分包的约定：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2668122F">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3.5.4 分包合同价款</w:t>
      </w:r>
    </w:p>
    <w:p w14:paraId="17FA3561">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关于分包合同价款支付的约定：</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bookmarkEnd w:id="936"/>
    <w:bookmarkEnd w:id="937"/>
    <w:p w14:paraId="170BAAC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 工程照管与成品、半成品保护</w:t>
      </w:r>
    </w:p>
    <w:p w14:paraId="1D99B614">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承包人负责照管工程及工程相关的材料、工程设备的起始时间：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CD850D4">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3.7 履约担保</w:t>
      </w:r>
    </w:p>
    <w:p w14:paraId="54B9B05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承包人是否提供履约担保：</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14:paraId="04521FC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承包人提供履约担保的形式、金额及期限的：</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14:paraId="0EF6FDCD">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38" w:name="_Toc351203636"/>
      <w:r>
        <w:rPr>
          <w:rFonts w:hint="eastAsia" w:ascii="微软雅黑" w:hAnsi="微软雅黑" w:eastAsia="微软雅黑" w:cs="微软雅黑"/>
          <w:b w:val="0"/>
          <w:color w:val="auto"/>
          <w:sz w:val="24"/>
          <w:szCs w:val="24"/>
          <w:highlight w:val="none"/>
        </w:rPr>
        <w:t>4</w:t>
      </w:r>
      <w:bookmarkStart w:id="939" w:name="_Toc296503162"/>
      <w:bookmarkStart w:id="940" w:name="_Toc297120462"/>
      <w:bookmarkStart w:id="941" w:name="_Toc297048348"/>
      <w:bookmarkStart w:id="942" w:name="_Toc296346663"/>
      <w:bookmarkStart w:id="943" w:name="_Toc296944501"/>
      <w:bookmarkStart w:id="944" w:name="_Toc296347161"/>
      <w:bookmarkStart w:id="945" w:name="_Toc296890990"/>
      <w:bookmarkStart w:id="946" w:name="_Toc292559871"/>
      <w:bookmarkStart w:id="947" w:name="_Toc296891202"/>
      <w:bookmarkStart w:id="948" w:name="_Toc267251413"/>
      <w:bookmarkStart w:id="949" w:name="_Toc292559366"/>
      <w:r>
        <w:rPr>
          <w:rFonts w:hint="eastAsia" w:ascii="微软雅黑" w:hAnsi="微软雅黑" w:eastAsia="微软雅黑" w:cs="微软雅黑"/>
          <w:b w:val="0"/>
          <w:color w:val="auto"/>
          <w:sz w:val="24"/>
          <w:szCs w:val="24"/>
          <w:highlight w:val="none"/>
        </w:rPr>
        <w:t>. 监</w:t>
      </w:r>
      <w:bookmarkEnd w:id="939"/>
      <w:bookmarkEnd w:id="940"/>
      <w:bookmarkEnd w:id="941"/>
      <w:bookmarkEnd w:id="942"/>
      <w:bookmarkEnd w:id="943"/>
      <w:bookmarkEnd w:id="944"/>
      <w:bookmarkEnd w:id="945"/>
      <w:bookmarkEnd w:id="946"/>
      <w:bookmarkEnd w:id="947"/>
      <w:bookmarkEnd w:id="948"/>
      <w:bookmarkEnd w:id="949"/>
      <w:r>
        <w:rPr>
          <w:rFonts w:hint="eastAsia" w:ascii="微软雅黑" w:hAnsi="微软雅黑" w:eastAsia="微软雅黑" w:cs="微软雅黑"/>
          <w:b w:val="0"/>
          <w:color w:val="auto"/>
          <w:sz w:val="24"/>
          <w:szCs w:val="24"/>
          <w:highlight w:val="none"/>
        </w:rPr>
        <w:t>理人</w:t>
      </w:r>
      <w:bookmarkEnd w:id="938"/>
    </w:p>
    <w:p w14:paraId="40B963BF">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4.1监理人的一般规定</w:t>
      </w:r>
    </w:p>
    <w:p w14:paraId="577A1D6A">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关于监理人的监理内容：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E0513FA">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关于监理人的监理权限：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61F0859E">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关于监理人在施工现场的办公场所、生活场所的提供和费用承担的约定：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EEEF7B4">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 监理人员</w:t>
      </w:r>
    </w:p>
    <w:p w14:paraId="5D2D9D08">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总监理工程师：</w:t>
      </w:r>
    </w:p>
    <w:p w14:paraId="736068DE">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2E918299">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    务：</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14:paraId="1813350F">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监理工程师执业资格证书号：</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14:paraId="7A81D6B5">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14:paraId="221BA31F">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14:paraId="3D59193B">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14:paraId="4E20DE58">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关于监理人的其他约定：</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14:paraId="69A7ED7A">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4.4 商定或确定</w:t>
      </w:r>
    </w:p>
    <w:p w14:paraId="2F665116">
      <w:pPr>
        <w:keepLines w:val="0"/>
        <w:pageBreakBefore w:val="0"/>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950" w:name="_Toc267251418"/>
      <w:r>
        <w:rPr>
          <w:rFonts w:hint="eastAsia" w:ascii="微软雅黑" w:hAnsi="微软雅黑" w:eastAsia="微软雅黑" w:cs="微软雅黑"/>
          <w:color w:val="auto"/>
          <w:sz w:val="24"/>
          <w:szCs w:val="24"/>
          <w:highlight w:val="none"/>
        </w:rPr>
        <w:t>在发包人和承包人不能通过协商达成一致意见时，发包人授权监理人对以下事项进行确定：</w:t>
      </w:r>
    </w:p>
    <w:p w14:paraId="2B805439">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C4D00BA">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2AE3B2EA">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1E0C9C8F">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51" w:name="_Toc351203637"/>
      <w:r>
        <w:rPr>
          <w:rFonts w:hint="eastAsia" w:ascii="微软雅黑" w:hAnsi="微软雅黑" w:eastAsia="微软雅黑" w:cs="微软雅黑"/>
          <w:b w:val="0"/>
          <w:color w:val="auto"/>
          <w:sz w:val="24"/>
          <w:szCs w:val="24"/>
          <w:highlight w:val="none"/>
        </w:rPr>
        <w:t>5</w:t>
      </w:r>
      <w:bookmarkEnd w:id="950"/>
      <w:bookmarkStart w:id="952" w:name="_Toc296347162"/>
      <w:bookmarkStart w:id="953" w:name="_Toc296890991"/>
      <w:bookmarkStart w:id="954" w:name="_Toc297120463"/>
      <w:bookmarkStart w:id="955" w:name="_Toc296346664"/>
      <w:bookmarkStart w:id="956" w:name="_Toc292559367"/>
      <w:bookmarkStart w:id="957" w:name="_Toc297048349"/>
      <w:bookmarkStart w:id="958" w:name="_Toc296891203"/>
      <w:bookmarkStart w:id="959" w:name="_Toc292559872"/>
      <w:bookmarkStart w:id="960" w:name="_Toc296944502"/>
      <w:bookmarkStart w:id="961" w:name="_Toc296503163"/>
      <w:r>
        <w:rPr>
          <w:rFonts w:hint="eastAsia" w:ascii="微软雅黑" w:hAnsi="微软雅黑" w:eastAsia="微软雅黑" w:cs="微软雅黑"/>
          <w:b w:val="0"/>
          <w:color w:val="auto"/>
          <w:sz w:val="24"/>
          <w:szCs w:val="24"/>
          <w:highlight w:val="none"/>
        </w:rPr>
        <w:t>. 工程质量</w:t>
      </w:r>
      <w:bookmarkEnd w:id="951"/>
    </w:p>
    <w:p w14:paraId="523C310E">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 质量要求</w:t>
      </w:r>
    </w:p>
    <w:p w14:paraId="4368384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bookmarkStart w:id="962" w:name="_Toc297216155"/>
      <w:bookmarkStart w:id="963" w:name="_Toc318581164"/>
      <w:bookmarkStart w:id="964" w:name="_Toc300934949"/>
      <w:bookmarkStart w:id="965" w:name="_Toc297123496"/>
      <w:bookmarkStart w:id="966" w:name="_Toc304295527"/>
      <w:bookmarkStart w:id="967" w:name="_Toc303539106"/>
      <w:bookmarkStart w:id="968" w:name="_Toc312677997"/>
      <w:r>
        <w:rPr>
          <w:rFonts w:hint="eastAsia" w:ascii="微软雅黑" w:hAnsi="微软雅黑" w:eastAsia="微软雅黑" w:cs="微软雅黑"/>
          <w:color w:val="auto"/>
          <w:sz w:val="24"/>
          <w:szCs w:val="24"/>
          <w:highlight w:val="none"/>
        </w:rPr>
        <w:t>.1.1 特殊质量标准和要求：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D46E95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关于工程奖项的约定：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350068F7">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 隐蔽工程检查</w:t>
      </w:r>
    </w:p>
    <w:p w14:paraId="11E21B5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5.3.2承包人提前通知监理人隐蔽工程检查的期限的约定：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5CE631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监理人不能按时进行检查时，应提前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小时提交书面延期要求。</w:t>
      </w:r>
    </w:p>
    <w:p w14:paraId="6F4F372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关于延期最长不得超过：</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w:t>
      </w:r>
    </w:p>
    <w:p w14:paraId="79F44909">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69" w:name="_Toc351203638"/>
      <w:r>
        <w:rPr>
          <w:rFonts w:hint="eastAsia" w:ascii="微软雅黑" w:hAnsi="微软雅黑" w:eastAsia="微软雅黑" w:cs="微软雅黑"/>
          <w:b w:val="0"/>
          <w:color w:val="auto"/>
          <w:sz w:val="24"/>
          <w:szCs w:val="24"/>
          <w:highlight w:val="none"/>
        </w:rPr>
        <w:t>6. 安全文明施工与环境保护</w:t>
      </w:r>
      <w:bookmarkEnd w:id="969"/>
    </w:p>
    <w:p w14:paraId="1B5656E2">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6.1安全文明施工</w:t>
      </w:r>
    </w:p>
    <w:p w14:paraId="01CD2C6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6.1.1 项目安全生产的达标目标及相应事项的约定：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59DBCB7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6.1.4 关于治安保卫的特别约定：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51CA86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关于编制施工场地治安管理计划的约定：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EFBDCE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6.1.5 文明施工</w:t>
      </w:r>
    </w:p>
    <w:p w14:paraId="30E3667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合同当事人对文明施工的要求：</w:t>
      </w:r>
      <w:r>
        <w:rPr>
          <w:rFonts w:hint="eastAsia" w:ascii="微软雅黑" w:hAnsi="微软雅黑" w:eastAsia="微软雅黑" w:cs="微软雅黑"/>
          <w:color w:val="auto"/>
          <w:kern w:val="0"/>
          <w:sz w:val="24"/>
          <w:szCs w:val="24"/>
          <w:highlight w:val="none"/>
          <w:u w:val="single"/>
        </w:rPr>
        <w:t xml:space="preserve">            。</w:t>
      </w:r>
    </w:p>
    <w:p w14:paraId="05705C1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6.1.6 关于安全文明施工费支付比例和支付期限的约定：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bookmarkEnd w:id="962"/>
    <w:bookmarkEnd w:id="963"/>
    <w:bookmarkEnd w:id="964"/>
    <w:bookmarkEnd w:id="965"/>
    <w:bookmarkEnd w:id="966"/>
    <w:bookmarkEnd w:id="967"/>
    <w:bookmarkEnd w:id="968"/>
    <w:p w14:paraId="6099D1A1">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70" w:name="_Toc351203639"/>
      <w:r>
        <w:rPr>
          <w:rFonts w:hint="eastAsia" w:ascii="微软雅黑" w:hAnsi="微软雅黑" w:eastAsia="微软雅黑" w:cs="微软雅黑"/>
          <w:b w:val="0"/>
          <w:color w:val="auto"/>
          <w:sz w:val="24"/>
          <w:szCs w:val="24"/>
          <w:highlight w:val="none"/>
        </w:rPr>
        <w:t>7. 工期和进度</w:t>
      </w:r>
      <w:bookmarkEnd w:id="970"/>
    </w:p>
    <w:p w14:paraId="6DE827D4">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 施工组织设计</w:t>
      </w:r>
    </w:p>
    <w:p w14:paraId="0F782D4F">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7.1.1 合</w:t>
      </w:r>
      <w:r>
        <w:rPr>
          <w:rFonts w:hint="eastAsia" w:ascii="微软雅黑" w:hAnsi="微软雅黑" w:eastAsia="微软雅黑" w:cs="微软雅黑"/>
          <w:color w:val="auto"/>
          <w:kern w:val="0"/>
          <w:sz w:val="24"/>
          <w:szCs w:val="24"/>
          <w:highlight w:val="none"/>
        </w:rPr>
        <w:t>同当事人约定的施工组织设计应包括的其他内容：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771F2139">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7.1.2 </w:t>
      </w:r>
      <w:r>
        <w:rPr>
          <w:rFonts w:hint="eastAsia" w:ascii="微软雅黑" w:hAnsi="微软雅黑" w:eastAsia="微软雅黑" w:cs="微软雅黑"/>
          <w:color w:val="auto"/>
          <w:kern w:val="0"/>
          <w:sz w:val="24"/>
          <w:szCs w:val="24"/>
          <w:highlight w:val="none"/>
        </w:rPr>
        <w:t>施工组织设计的提交和修改</w:t>
      </w:r>
    </w:p>
    <w:p w14:paraId="249F6590">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承包人提交详细施工组织设计的期限的约定：</w:t>
      </w:r>
      <w:r>
        <w:rPr>
          <w:rFonts w:hint="eastAsia" w:ascii="微软雅黑" w:hAnsi="微软雅黑" w:eastAsia="微软雅黑" w:cs="微软雅黑"/>
          <w:color w:val="auto"/>
          <w:sz w:val="24"/>
          <w:szCs w:val="24"/>
          <w:highlight w:val="none"/>
          <w:u w:val="single"/>
        </w:rPr>
        <w:t xml:space="preserve">                     。</w:t>
      </w:r>
    </w:p>
    <w:p w14:paraId="5CCB228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发包人和监理人在收到详细的施工组织设计后确认或提出修改意见的期限：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767AA6C5">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71" w:name="_Toc312678005"/>
      <w:bookmarkStart w:id="972" w:name="_Toc312677479"/>
      <w:bookmarkStart w:id="973" w:name="_Toc304295541"/>
      <w:bookmarkStart w:id="974" w:name="_Toc303539123"/>
      <w:bookmarkStart w:id="975" w:name="_Toc297123514"/>
      <w:bookmarkStart w:id="976" w:name="_Toc297216173"/>
      <w:bookmarkStart w:id="977" w:name="_Toc300934966"/>
      <w:r>
        <w:rPr>
          <w:rFonts w:hint="eastAsia" w:ascii="微软雅黑" w:hAnsi="微软雅黑" w:eastAsia="微软雅黑" w:cs="微软雅黑"/>
          <w:color w:val="auto"/>
          <w:sz w:val="24"/>
          <w:szCs w:val="24"/>
          <w:highlight w:val="none"/>
        </w:rPr>
        <w:t>.2 施工进度计划</w:t>
      </w:r>
    </w:p>
    <w:p w14:paraId="2BDAC11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7.2.2 施工进度计划的修订</w:t>
      </w:r>
    </w:p>
    <w:p w14:paraId="167ED00A">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发包人和监理人在收到修订的施工进度计划后确认或提出修改意见的期限：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7BDD703">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 开工</w:t>
      </w:r>
    </w:p>
    <w:p w14:paraId="0449AE3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7.3.1 开工准备</w:t>
      </w:r>
    </w:p>
    <w:p w14:paraId="3ADD8129">
      <w:pPr>
        <w:keepLines w:val="0"/>
        <w:pageBreakBefore w:val="0"/>
        <w:kinsoku/>
        <w:wordWrap/>
        <w:overflowPunct/>
        <w:topLinePunct w:val="0"/>
        <w:bidi w:val="0"/>
        <w:adjustRightInd w:val="0"/>
        <w:snapToGrid w:val="0"/>
        <w:spacing w:line="520" w:lineRule="exact"/>
        <w:ind w:right="-19" w:rightChars="-9" w:firstLine="645"/>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关于承包人提交</w:t>
      </w:r>
      <w:r>
        <w:rPr>
          <w:rFonts w:hint="eastAsia" w:ascii="微软雅黑" w:hAnsi="微软雅黑" w:eastAsia="微软雅黑" w:cs="微软雅黑"/>
          <w:color w:val="auto"/>
          <w:kern w:val="0"/>
          <w:sz w:val="24"/>
          <w:szCs w:val="24"/>
          <w:highlight w:val="none"/>
        </w:rPr>
        <w:t>工程开工报审表的期限：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E2D30F2">
      <w:pPr>
        <w:keepLines w:val="0"/>
        <w:pageBreakBefore w:val="0"/>
        <w:kinsoku/>
        <w:wordWrap/>
        <w:overflowPunct/>
        <w:topLinePunct w:val="0"/>
        <w:bidi w:val="0"/>
        <w:adjustRightInd w:val="0"/>
        <w:snapToGrid w:val="0"/>
        <w:spacing w:line="520" w:lineRule="exact"/>
        <w:ind w:right="-19" w:rightChars="-9" w:firstLine="64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关于发包人应完成的其他开工准备工作及期限：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C7BA4A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关于承包人应完成的其他开工准备工作及期限：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6D41CA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7.3.2开工通知</w:t>
      </w:r>
    </w:p>
    <w:p w14:paraId="7DF75A0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因发包人原因造成监理人未能在计划开工日期之日起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天内发出开工通知的，承包人有权提出价格调整要求，或者解除合同。</w:t>
      </w:r>
    </w:p>
    <w:bookmarkEnd w:id="971"/>
    <w:bookmarkEnd w:id="972"/>
    <w:bookmarkEnd w:id="973"/>
    <w:bookmarkEnd w:id="974"/>
    <w:bookmarkEnd w:id="975"/>
    <w:bookmarkEnd w:id="976"/>
    <w:bookmarkEnd w:id="977"/>
    <w:p w14:paraId="128E7EF2">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7.4 测量放线</w:t>
      </w:r>
    </w:p>
    <w:p w14:paraId="57C2B89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7.4.1发包人通过监理人向承包人提供测量基准点、基准线和水准点及其书面资料的期限：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5C156796">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78" w:name="_Toc312677484"/>
      <w:bookmarkStart w:id="979" w:name="_Toc300934968"/>
      <w:bookmarkStart w:id="980" w:name="_Toc304295546"/>
      <w:bookmarkStart w:id="981" w:name="_Toc303539125"/>
      <w:bookmarkStart w:id="982" w:name="_Toc312678010"/>
      <w:bookmarkStart w:id="983" w:name="_Toc297216175"/>
      <w:bookmarkStart w:id="984" w:name="_Toc297123516"/>
      <w:r>
        <w:rPr>
          <w:rFonts w:hint="eastAsia" w:ascii="微软雅黑" w:hAnsi="微软雅黑" w:eastAsia="微软雅黑" w:cs="微软雅黑"/>
          <w:color w:val="auto"/>
          <w:sz w:val="24"/>
          <w:szCs w:val="24"/>
          <w:highlight w:val="none"/>
        </w:rPr>
        <w:t>.5 工期延误</w:t>
      </w:r>
    </w:p>
    <w:bookmarkEnd w:id="978"/>
    <w:bookmarkEnd w:id="979"/>
    <w:bookmarkEnd w:id="980"/>
    <w:bookmarkEnd w:id="981"/>
    <w:bookmarkEnd w:id="982"/>
    <w:bookmarkEnd w:id="983"/>
    <w:bookmarkEnd w:id="984"/>
    <w:p w14:paraId="1AF513B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7.5.1 因发包人原因导致工期延误</w:t>
      </w:r>
    </w:p>
    <w:p w14:paraId="70847A7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（7）因发包人原因导致工期延误的其他情形：</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1D922EF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85" w:name="_Toc312678012"/>
      <w:bookmarkStart w:id="986" w:name="_Toc312677486"/>
      <w:bookmarkStart w:id="987" w:name="_Toc318581169"/>
      <w:bookmarkStart w:id="988" w:name="_Toc303539127"/>
      <w:bookmarkStart w:id="989" w:name="_Toc304295548"/>
      <w:bookmarkStart w:id="990" w:name="_Toc300934970"/>
      <w:bookmarkStart w:id="991" w:name="_Toc297123518"/>
      <w:bookmarkStart w:id="992" w:name="_Toc297216177"/>
      <w:r>
        <w:rPr>
          <w:rFonts w:hint="eastAsia" w:ascii="微软雅黑" w:hAnsi="微软雅黑" w:eastAsia="微软雅黑" w:cs="微软雅黑"/>
          <w:color w:val="auto"/>
          <w:sz w:val="24"/>
          <w:szCs w:val="24"/>
          <w:highlight w:val="none"/>
        </w:rPr>
        <w:t>.5.2 因承包人原因导致工期延误</w:t>
      </w:r>
    </w:p>
    <w:bookmarkEnd w:id="985"/>
    <w:bookmarkEnd w:id="986"/>
    <w:bookmarkEnd w:id="987"/>
    <w:p w14:paraId="0CC9606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因</w:t>
      </w:r>
      <w:bookmarkStart w:id="993" w:name="_Toc312677487"/>
      <w:bookmarkStart w:id="994" w:name="_Toc312678013"/>
      <w:bookmarkStart w:id="995" w:name="_Toc318581170"/>
      <w:r>
        <w:rPr>
          <w:rFonts w:hint="eastAsia" w:ascii="微软雅黑" w:hAnsi="微软雅黑" w:eastAsia="微软雅黑" w:cs="微软雅黑"/>
          <w:color w:val="auto"/>
          <w:sz w:val="24"/>
          <w:szCs w:val="24"/>
          <w:highlight w:val="none"/>
        </w:rPr>
        <w:t>承包人原因造成工期延误，逾期竣工违约金的计算方法为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bookmarkEnd w:id="988"/>
      <w:bookmarkEnd w:id="989"/>
      <w:bookmarkEnd w:id="990"/>
      <w:bookmarkEnd w:id="991"/>
      <w:bookmarkEnd w:id="992"/>
      <w:bookmarkEnd w:id="993"/>
      <w:bookmarkEnd w:id="994"/>
    </w:p>
    <w:bookmarkEnd w:id="995"/>
    <w:p w14:paraId="6F28F59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因承包人原因造成工期延误，逾</w:t>
      </w:r>
      <w:bookmarkStart w:id="996" w:name="_Toc312678014"/>
      <w:bookmarkStart w:id="997" w:name="_Toc318581171"/>
      <w:r>
        <w:rPr>
          <w:rFonts w:hint="eastAsia" w:ascii="微软雅黑" w:hAnsi="微软雅黑" w:eastAsia="微软雅黑" w:cs="微软雅黑"/>
          <w:color w:val="auto"/>
          <w:sz w:val="24"/>
          <w:szCs w:val="24"/>
          <w:highlight w:val="none"/>
        </w:rPr>
        <w:t>期竣工违约金的上限：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82CC2E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7.5.3双方约定工程顺延的其他情</w:t>
      </w:r>
      <w:bookmarkEnd w:id="996"/>
      <w:bookmarkEnd w:id="997"/>
      <w:bookmarkStart w:id="998" w:name="_Toc297123520"/>
      <w:bookmarkStart w:id="999" w:name="_Toc303539129"/>
      <w:bookmarkStart w:id="1000" w:name="_Toc297216179"/>
      <w:bookmarkStart w:id="1001" w:name="_Toc304295550"/>
      <w:bookmarkStart w:id="1002" w:name="_Toc318581172"/>
      <w:bookmarkStart w:id="1003" w:name="_Toc312678016"/>
      <w:bookmarkStart w:id="1004" w:name="_Toc300934972"/>
      <w:r>
        <w:rPr>
          <w:rFonts w:hint="eastAsia" w:ascii="微软雅黑" w:hAnsi="微软雅黑" w:eastAsia="微软雅黑" w:cs="微软雅黑"/>
          <w:color w:val="auto"/>
          <w:sz w:val="24"/>
          <w:szCs w:val="24"/>
          <w:highlight w:val="none"/>
        </w:rPr>
        <w:t>。</w:t>
      </w:r>
    </w:p>
    <w:p w14:paraId="4157F0E3">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1005" w:name="_Toc300934971"/>
      <w:bookmarkStart w:id="1006" w:name="_Toc297216178"/>
      <w:bookmarkStart w:id="1007" w:name="_Toc303539128"/>
      <w:bookmarkStart w:id="1008" w:name="_Toc304295549"/>
      <w:bookmarkStart w:id="1009" w:name="_Toc297123519"/>
      <w:bookmarkStart w:id="1010" w:name="_Toc312678015"/>
      <w:r>
        <w:rPr>
          <w:rFonts w:hint="eastAsia" w:ascii="微软雅黑" w:hAnsi="微软雅黑" w:eastAsia="微软雅黑" w:cs="微软雅黑"/>
          <w:color w:val="auto"/>
          <w:sz w:val="24"/>
          <w:szCs w:val="24"/>
          <w:highlight w:val="none"/>
        </w:rPr>
        <w:t>.6 不</w:t>
      </w:r>
      <w:bookmarkEnd w:id="1005"/>
      <w:bookmarkEnd w:id="1006"/>
      <w:bookmarkEnd w:id="1007"/>
      <w:bookmarkEnd w:id="1008"/>
      <w:bookmarkEnd w:id="1009"/>
      <w:bookmarkEnd w:id="1010"/>
      <w:r>
        <w:rPr>
          <w:rFonts w:hint="eastAsia" w:ascii="微软雅黑" w:hAnsi="微软雅黑" w:eastAsia="微软雅黑" w:cs="微软雅黑"/>
          <w:color w:val="auto"/>
          <w:sz w:val="24"/>
          <w:szCs w:val="24"/>
          <w:highlight w:val="none"/>
        </w:rPr>
        <w:t>利物质条件</w:t>
      </w:r>
    </w:p>
    <w:p w14:paraId="42819920">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不利物质条件的其他情形和有关约定：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998"/>
    <w:bookmarkEnd w:id="999"/>
    <w:bookmarkEnd w:id="1000"/>
    <w:bookmarkEnd w:id="1001"/>
    <w:bookmarkEnd w:id="1002"/>
    <w:bookmarkEnd w:id="1003"/>
    <w:bookmarkEnd w:id="1004"/>
    <w:p w14:paraId="2ED6A181">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1011" w:name="_Toc297216180"/>
      <w:bookmarkStart w:id="1012" w:name="_Toc304295551"/>
      <w:bookmarkStart w:id="1013" w:name="_Toc303539130"/>
      <w:bookmarkStart w:id="1014" w:name="_Toc312678017"/>
      <w:bookmarkStart w:id="1015" w:name="_Toc297123521"/>
      <w:bookmarkStart w:id="1016" w:name="_Toc300934973"/>
      <w:r>
        <w:rPr>
          <w:rFonts w:hint="eastAsia" w:ascii="微软雅黑" w:hAnsi="微软雅黑" w:eastAsia="微软雅黑" w:cs="微软雅黑"/>
          <w:color w:val="auto"/>
          <w:sz w:val="24"/>
          <w:szCs w:val="24"/>
          <w:highlight w:val="none"/>
        </w:rPr>
        <w:t>.7异常恶劣的气候条件</w:t>
      </w:r>
    </w:p>
    <w:bookmarkEnd w:id="1011"/>
    <w:bookmarkEnd w:id="1012"/>
    <w:bookmarkEnd w:id="1013"/>
    <w:bookmarkEnd w:id="1014"/>
    <w:bookmarkEnd w:id="1015"/>
    <w:bookmarkEnd w:id="1016"/>
    <w:p w14:paraId="3C49B66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发包人和承包人同意以下情形视为异常恶劣的气候条件：</w:t>
      </w:r>
    </w:p>
    <w:p w14:paraId="08E9AE5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B0B2A3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E4FE5C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7F0E2C6">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7.9 提前竣工的奖励</w:t>
      </w:r>
    </w:p>
    <w:p w14:paraId="3CD34F2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7.9.2提前竣工的奖励：</w:t>
      </w:r>
      <w:r>
        <w:rPr>
          <w:rFonts w:hint="eastAsia" w:ascii="微软雅黑" w:hAnsi="微软雅黑" w:eastAsia="微软雅黑" w:cs="微软雅黑"/>
          <w:color w:val="auto"/>
          <w:sz w:val="24"/>
          <w:szCs w:val="24"/>
          <w:highlight w:val="none"/>
          <w:u w:val="single"/>
        </w:rPr>
        <w:t>无</w:t>
      </w:r>
      <w:r>
        <w:rPr>
          <w:rFonts w:hint="eastAsia" w:ascii="微软雅黑" w:hAnsi="微软雅黑" w:eastAsia="微软雅黑" w:cs="微软雅黑"/>
          <w:color w:val="auto"/>
          <w:sz w:val="24"/>
          <w:szCs w:val="24"/>
          <w:highlight w:val="none"/>
        </w:rPr>
        <w:t>。</w:t>
      </w:r>
    </w:p>
    <w:p w14:paraId="14FA051B">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017" w:name="_Toc351203640"/>
      <w:r>
        <w:rPr>
          <w:rFonts w:hint="eastAsia" w:ascii="微软雅黑" w:hAnsi="微软雅黑" w:eastAsia="微软雅黑" w:cs="微软雅黑"/>
          <w:b w:val="0"/>
          <w:color w:val="auto"/>
          <w:sz w:val="24"/>
          <w:szCs w:val="24"/>
          <w:highlight w:val="none"/>
        </w:rPr>
        <w:t>8. 材料与设备</w:t>
      </w:r>
      <w:bookmarkEnd w:id="1017"/>
    </w:p>
    <w:bookmarkEnd w:id="952"/>
    <w:bookmarkEnd w:id="953"/>
    <w:bookmarkEnd w:id="954"/>
    <w:bookmarkEnd w:id="955"/>
    <w:bookmarkEnd w:id="956"/>
    <w:bookmarkEnd w:id="957"/>
    <w:bookmarkEnd w:id="958"/>
    <w:bookmarkEnd w:id="959"/>
    <w:bookmarkEnd w:id="960"/>
    <w:bookmarkEnd w:id="961"/>
    <w:p w14:paraId="16DFEE7A">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bookmarkStart w:id="1018" w:name="_Toc296346668"/>
      <w:bookmarkStart w:id="1019" w:name="_Toc280868654"/>
      <w:bookmarkStart w:id="1020" w:name="_Toc292559372"/>
      <w:bookmarkStart w:id="1021" w:name="_Toc297048353"/>
      <w:bookmarkStart w:id="1022" w:name="_Toc312677493"/>
      <w:bookmarkStart w:id="1023" w:name="_Toc292559877"/>
      <w:bookmarkStart w:id="1024" w:name="_Toc296503167"/>
      <w:bookmarkStart w:id="1025" w:name="_Toc296347166"/>
      <w:bookmarkStart w:id="1026" w:name="_Toc297123527"/>
      <w:bookmarkStart w:id="1027" w:name="_Toc312678019"/>
      <w:bookmarkStart w:id="1028" w:name="_Toc300934979"/>
      <w:bookmarkStart w:id="1029" w:name="_Toc296890995"/>
      <w:bookmarkStart w:id="1030" w:name="_Toc297120467"/>
      <w:bookmarkStart w:id="1031" w:name="_Toc304295556"/>
      <w:bookmarkStart w:id="1032" w:name="_Toc296944506"/>
      <w:bookmarkStart w:id="1033" w:name="_Toc296891207"/>
      <w:bookmarkStart w:id="1034" w:name="_Toc297216186"/>
      <w:bookmarkStart w:id="1035" w:name="_Toc303539136"/>
      <w:bookmarkStart w:id="1036" w:name="_Toc280868656"/>
      <w:bookmarkStart w:id="1037" w:name="_Toc267251424"/>
      <w:bookmarkStart w:id="1038" w:name="_Toc280868655"/>
      <w:r>
        <w:rPr>
          <w:rFonts w:hint="eastAsia" w:ascii="微软雅黑" w:hAnsi="微软雅黑" w:eastAsia="微软雅黑" w:cs="微软雅黑"/>
          <w:color w:val="auto"/>
          <w:sz w:val="24"/>
          <w:szCs w:val="24"/>
          <w:highlight w:val="none"/>
        </w:rPr>
        <w:t>.4材料与工程设备的保管与使用</w:t>
      </w:r>
    </w:p>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14:paraId="3D71428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pacing w:val="-20"/>
          <w:sz w:val="24"/>
          <w:szCs w:val="24"/>
          <w:highlight w:val="none"/>
          <w:u w:val="single"/>
        </w:rPr>
      </w:pPr>
      <w:r>
        <w:rPr>
          <w:rFonts w:hint="eastAsia" w:ascii="微软雅黑" w:hAnsi="微软雅黑" w:eastAsia="微软雅黑" w:cs="微软雅黑"/>
          <w:color w:val="auto"/>
          <w:sz w:val="24"/>
          <w:szCs w:val="24"/>
          <w:highlight w:val="none"/>
        </w:rPr>
        <w:t>8</w:t>
      </w:r>
      <w:bookmarkStart w:id="1039" w:name="_Toc292559878"/>
      <w:bookmarkStart w:id="1040" w:name="_Toc292559373"/>
      <w:bookmarkStart w:id="1041" w:name="_Toc312678020"/>
      <w:bookmarkStart w:id="1042" w:name="_Toc296891208"/>
      <w:bookmarkStart w:id="1043" w:name="_Toc296503168"/>
      <w:bookmarkStart w:id="1044" w:name="_Toc300934980"/>
      <w:bookmarkStart w:id="1045" w:name="_Toc318581173"/>
      <w:bookmarkStart w:id="1046" w:name="_Toc303539137"/>
      <w:bookmarkStart w:id="1047" w:name="_Toc297048354"/>
      <w:bookmarkStart w:id="1048" w:name="_Toc297123528"/>
      <w:bookmarkStart w:id="1049" w:name="_Toc297120468"/>
      <w:bookmarkStart w:id="1050" w:name="_Toc297216187"/>
      <w:bookmarkStart w:id="1051" w:name="_Toc312677494"/>
      <w:bookmarkStart w:id="1052" w:name="_Toc296890996"/>
      <w:bookmarkStart w:id="1053" w:name="_Toc296944507"/>
      <w:bookmarkStart w:id="1054" w:name="_Toc296346669"/>
      <w:bookmarkStart w:id="1055" w:name="_Toc304295557"/>
      <w:bookmarkStart w:id="1056" w:name="_Toc296347167"/>
      <w:r>
        <w:rPr>
          <w:rFonts w:hint="eastAsia" w:ascii="微软雅黑" w:hAnsi="微软雅黑" w:eastAsia="微软雅黑" w:cs="微软雅黑"/>
          <w:color w:val="auto"/>
          <w:sz w:val="24"/>
          <w:szCs w:val="24"/>
          <w:highlight w:val="none"/>
        </w:rPr>
        <w:t>.4.1发包人供应的材料设备的保管费用的承担：</w:t>
      </w:r>
      <w:bookmarkEnd w:id="1039"/>
      <w:bookmarkEnd w:id="1040"/>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pacing w:val="-20"/>
          <w:sz w:val="24"/>
          <w:szCs w:val="24"/>
          <w:highlight w:val="none"/>
          <w:u w:val="single"/>
        </w:rPr>
        <w:t>。</w:t>
      </w:r>
    </w:p>
    <w:p w14:paraId="23905FC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8.6 样品</w:t>
      </w:r>
    </w:p>
    <w:p w14:paraId="59423B9A">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8.6.1</w:t>
      </w:r>
      <w:r>
        <w:rPr>
          <w:rFonts w:hint="eastAsia" w:ascii="微软雅黑" w:hAnsi="微软雅黑" w:eastAsia="微软雅黑" w:cs="微软雅黑"/>
          <w:color w:val="auto"/>
          <w:kern w:val="0"/>
          <w:sz w:val="24"/>
          <w:szCs w:val="24"/>
          <w:highlight w:val="none"/>
        </w:rPr>
        <w:tab/>
      </w:r>
      <w:r>
        <w:rPr>
          <w:rFonts w:hint="eastAsia" w:ascii="微软雅黑" w:hAnsi="微软雅黑" w:eastAsia="微软雅黑" w:cs="微软雅黑"/>
          <w:color w:val="auto"/>
          <w:kern w:val="0"/>
          <w:sz w:val="24"/>
          <w:szCs w:val="24"/>
          <w:highlight w:val="none"/>
        </w:rPr>
        <w:t>样品的报送与封存</w:t>
      </w:r>
    </w:p>
    <w:p w14:paraId="19EEB5F5">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需要承包人报送样品的材料或工程设备，样品的种类、名称、规格、数量要求：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527BFAF">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 施工设备和临时设施</w:t>
      </w:r>
    </w:p>
    <w:p w14:paraId="1D836313">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8.8.1 承包人提供的施工设备和临时设施</w:t>
      </w:r>
    </w:p>
    <w:p w14:paraId="03112CB6">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关于修建临时设施费用承担的约定：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14:paraId="30E253CC">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057" w:name="_Toc351203641"/>
      <w:r>
        <w:rPr>
          <w:rFonts w:hint="eastAsia" w:ascii="微软雅黑" w:hAnsi="微软雅黑" w:eastAsia="微软雅黑" w:cs="微软雅黑"/>
          <w:b w:val="0"/>
          <w:color w:val="auto"/>
          <w:sz w:val="24"/>
          <w:szCs w:val="24"/>
          <w:highlight w:val="none"/>
        </w:rPr>
        <w:t>9</w:t>
      </w:r>
      <w:bookmarkEnd w:id="1036"/>
      <w:bookmarkEnd w:id="1037"/>
      <w:bookmarkEnd w:id="1038"/>
      <w:bookmarkStart w:id="1058" w:name="_Toc312678021"/>
      <w:bookmarkStart w:id="1059" w:name="_Toc297216192"/>
      <w:bookmarkStart w:id="1060" w:name="_Toc304295559"/>
      <w:bookmarkStart w:id="1061" w:name="_Toc300934982"/>
      <w:bookmarkStart w:id="1062" w:name="_Toc303539139"/>
      <w:bookmarkStart w:id="1063" w:name="_Toc297123533"/>
      <w:bookmarkStart w:id="1064" w:name="_Toc312677495"/>
      <w:bookmarkStart w:id="1065" w:name="_Toc267251427"/>
      <w:bookmarkStart w:id="1066" w:name="_Toc296891213"/>
      <w:bookmarkStart w:id="1067" w:name="_Toc267251428"/>
      <w:bookmarkStart w:id="1068" w:name="_Toc292559378"/>
      <w:bookmarkStart w:id="1069" w:name="_Toc296347172"/>
      <w:bookmarkStart w:id="1070" w:name="_Toc296891001"/>
      <w:bookmarkStart w:id="1071" w:name="_Toc296944512"/>
      <w:bookmarkStart w:id="1072" w:name="_Toc292559883"/>
      <w:bookmarkStart w:id="1073" w:name="_Toc297048359"/>
      <w:bookmarkStart w:id="1074" w:name="_Toc297120473"/>
      <w:bookmarkStart w:id="1075" w:name="_Toc296346674"/>
      <w:bookmarkStart w:id="1076" w:name="_Toc296503173"/>
      <w:r>
        <w:rPr>
          <w:rFonts w:hint="eastAsia" w:ascii="微软雅黑" w:hAnsi="微软雅黑" w:eastAsia="微软雅黑" w:cs="微软雅黑"/>
          <w:b w:val="0"/>
          <w:color w:val="auto"/>
          <w:sz w:val="24"/>
          <w:szCs w:val="24"/>
          <w:highlight w:val="none"/>
        </w:rPr>
        <w:t>. 试验与检验</w:t>
      </w:r>
      <w:bookmarkEnd w:id="1057"/>
    </w:p>
    <w:bookmarkEnd w:id="1058"/>
    <w:bookmarkEnd w:id="1059"/>
    <w:bookmarkEnd w:id="1060"/>
    <w:bookmarkEnd w:id="1061"/>
    <w:bookmarkEnd w:id="1062"/>
    <w:bookmarkEnd w:id="1063"/>
    <w:bookmarkEnd w:id="1064"/>
    <w:p w14:paraId="5EB056C5">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bookmarkStart w:id="1077" w:name="_Toc297216193"/>
      <w:bookmarkStart w:id="1078" w:name="_Toc312677496"/>
      <w:bookmarkStart w:id="1079" w:name="_Toc297123534"/>
      <w:bookmarkStart w:id="1080" w:name="_Toc303539140"/>
      <w:bookmarkStart w:id="1081" w:name="_Toc300934983"/>
      <w:bookmarkStart w:id="1082" w:name="_Toc312678022"/>
      <w:bookmarkStart w:id="1083" w:name="_Toc304295560"/>
      <w:r>
        <w:rPr>
          <w:rFonts w:hint="eastAsia" w:ascii="微软雅黑" w:hAnsi="微软雅黑" w:eastAsia="微软雅黑" w:cs="微软雅黑"/>
          <w:color w:val="auto"/>
          <w:sz w:val="24"/>
          <w:szCs w:val="24"/>
          <w:highlight w:val="none"/>
        </w:rPr>
        <w:t>.1试验设备与试验人员</w:t>
      </w:r>
    </w:p>
    <w:bookmarkEnd w:id="1077"/>
    <w:bookmarkEnd w:id="1078"/>
    <w:bookmarkEnd w:id="1079"/>
    <w:bookmarkEnd w:id="1080"/>
    <w:bookmarkEnd w:id="1081"/>
    <w:bookmarkEnd w:id="1082"/>
    <w:bookmarkEnd w:id="1083"/>
    <w:p w14:paraId="19B3E53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bookmarkStart w:id="1084" w:name="_Toc297123535"/>
      <w:bookmarkStart w:id="1085" w:name="_Toc312677497"/>
      <w:bookmarkStart w:id="1086" w:name="_Toc303539141"/>
      <w:bookmarkStart w:id="1087" w:name="_Toc297216194"/>
      <w:bookmarkStart w:id="1088" w:name="_Toc300934984"/>
      <w:bookmarkStart w:id="1089" w:name="_Toc304295561"/>
      <w:bookmarkStart w:id="1090" w:name="_Toc312678023"/>
      <w:bookmarkStart w:id="1091" w:name="_Toc318581174"/>
      <w:r>
        <w:rPr>
          <w:rFonts w:hint="eastAsia" w:ascii="微软雅黑" w:hAnsi="微软雅黑" w:eastAsia="微软雅黑" w:cs="微软雅黑"/>
          <w:color w:val="auto"/>
          <w:sz w:val="24"/>
          <w:szCs w:val="24"/>
          <w:highlight w:val="none"/>
        </w:rPr>
        <w:t>.1.2 试验设备</w:t>
      </w:r>
    </w:p>
    <w:p w14:paraId="2049E7F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施工现场需要配置的试验场所：</w:t>
      </w:r>
      <w:bookmarkEnd w:id="1084"/>
      <w:bookmarkEnd w:id="1085"/>
      <w:bookmarkEnd w:id="1086"/>
      <w:bookmarkEnd w:id="1087"/>
      <w:bookmarkEnd w:id="1088"/>
      <w:bookmarkEnd w:id="1089"/>
      <w:bookmarkEnd w:id="1090"/>
      <w:bookmarkStart w:id="1092" w:name="_Toc297123536"/>
      <w:bookmarkStart w:id="1093" w:name="_Toc304295562"/>
      <w:bookmarkStart w:id="1094" w:name="_Toc300934985"/>
      <w:bookmarkStart w:id="1095" w:name="_Toc297216195"/>
      <w:bookmarkStart w:id="1096" w:name="_Toc312677498"/>
      <w:bookmarkStart w:id="1097" w:name="_Toc303539142"/>
      <w:bookmarkStart w:id="1098" w:name="_Toc312678024"/>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14:paraId="6D8A1B4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施工现场需要配备的试验设备：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355278F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施工现场需要具备的其他试验条件：</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17362034">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9.4 现场工艺试验 </w:t>
      </w:r>
    </w:p>
    <w:p w14:paraId="2A2267E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现场工艺试验的有关约定：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091"/>
    <w:bookmarkEnd w:id="1092"/>
    <w:bookmarkEnd w:id="1093"/>
    <w:bookmarkEnd w:id="1094"/>
    <w:bookmarkEnd w:id="1095"/>
    <w:bookmarkEnd w:id="1096"/>
    <w:bookmarkEnd w:id="1097"/>
    <w:bookmarkEnd w:id="1098"/>
    <w:p w14:paraId="41FD3159">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099" w:name="_Toc351203642"/>
      <w:r>
        <w:rPr>
          <w:rFonts w:hint="eastAsia" w:ascii="微软雅黑" w:hAnsi="微软雅黑" w:eastAsia="微软雅黑" w:cs="微软雅黑"/>
          <w:b w:val="0"/>
          <w:color w:val="auto"/>
          <w:sz w:val="24"/>
          <w:szCs w:val="24"/>
          <w:highlight w:val="none"/>
        </w:rPr>
        <w:t>1</w:t>
      </w:r>
      <w:bookmarkEnd w:id="1065"/>
      <w:bookmarkEnd w:id="1066"/>
      <w:bookmarkEnd w:id="1067"/>
      <w:bookmarkEnd w:id="1068"/>
      <w:bookmarkEnd w:id="1069"/>
      <w:bookmarkEnd w:id="1070"/>
      <w:bookmarkEnd w:id="1071"/>
      <w:bookmarkEnd w:id="1072"/>
      <w:bookmarkEnd w:id="1073"/>
      <w:bookmarkEnd w:id="1074"/>
      <w:bookmarkEnd w:id="1075"/>
      <w:bookmarkEnd w:id="1076"/>
      <w:bookmarkStart w:id="1100" w:name="_Toc297216199"/>
      <w:bookmarkStart w:id="1101" w:name="_Toc303539146"/>
      <w:bookmarkStart w:id="1102" w:name="_Toc297120493"/>
      <w:bookmarkStart w:id="1103" w:name="_Toc296346694"/>
      <w:bookmarkStart w:id="1104" w:name="_Toc296347192"/>
      <w:bookmarkStart w:id="1105" w:name="_Toc297123540"/>
      <w:bookmarkStart w:id="1106" w:name="_Toc300934989"/>
      <w:bookmarkStart w:id="1107" w:name="_Toc296891233"/>
      <w:bookmarkStart w:id="1108" w:name="_Toc296891021"/>
      <w:bookmarkStart w:id="1109" w:name="_Toc292559903"/>
      <w:bookmarkStart w:id="1110" w:name="_Toc297048379"/>
      <w:bookmarkStart w:id="1111" w:name="_Toc296944532"/>
      <w:bookmarkStart w:id="1112" w:name="_Toc304295566"/>
      <w:bookmarkStart w:id="1113" w:name="_Toc296503193"/>
      <w:bookmarkStart w:id="1114" w:name="_Toc292559398"/>
      <w:bookmarkStart w:id="1115" w:name="_Toc312677499"/>
      <w:bookmarkStart w:id="1116" w:name="_Toc312678025"/>
      <w:bookmarkStart w:id="1117" w:name="_Toc267251441"/>
      <w:bookmarkStart w:id="1118" w:name="_Toc267251435"/>
      <w:bookmarkStart w:id="1119" w:name="_Toc267251440"/>
      <w:bookmarkStart w:id="1120" w:name="_Toc267251439"/>
      <w:bookmarkStart w:id="1121" w:name="_Toc267251433"/>
      <w:bookmarkStart w:id="1122" w:name="_Toc267251437"/>
      <w:bookmarkStart w:id="1123" w:name="_Toc267251442"/>
      <w:r>
        <w:rPr>
          <w:rFonts w:hint="eastAsia" w:ascii="微软雅黑" w:hAnsi="微软雅黑" w:eastAsia="微软雅黑" w:cs="微软雅黑"/>
          <w:b w:val="0"/>
          <w:color w:val="auto"/>
          <w:sz w:val="24"/>
          <w:szCs w:val="24"/>
          <w:highlight w:val="none"/>
        </w:rPr>
        <w:t>0. 变更</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bookmarkEnd w:id="1115"/>
    <w:bookmarkEnd w:id="1116"/>
    <w:p w14:paraId="2FE16EDD">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124" w:name="_Toc300934990"/>
      <w:bookmarkStart w:id="1125" w:name="_Toc297216200"/>
      <w:bookmarkStart w:id="1126" w:name="_Toc312678026"/>
      <w:bookmarkStart w:id="1127" w:name="_Toc296944533"/>
      <w:bookmarkStart w:id="1128" w:name="_Toc296891022"/>
      <w:bookmarkStart w:id="1129" w:name="_Toc297048380"/>
      <w:bookmarkStart w:id="1130" w:name="_Toc304295567"/>
      <w:bookmarkStart w:id="1131" w:name="_Toc303539147"/>
      <w:bookmarkStart w:id="1132" w:name="_Toc297123541"/>
      <w:bookmarkStart w:id="1133" w:name="_Toc296346695"/>
      <w:bookmarkStart w:id="1134" w:name="_Toc292559904"/>
      <w:bookmarkStart w:id="1135" w:name="_Toc296891234"/>
      <w:bookmarkStart w:id="1136" w:name="_Toc292559399"/>
      <w:bookmarkStart w:id="1137" w:name="_Toc312677500"/>
      <w:bookmarkStart w:id="1138" w:name="_Toc296347193"/>
      <w:bookmarkStart w:id="1139" w:name="_Toc297120494"/>
      <w:bookmarkStart w:id="1140" w:name="_Toc296503194"/>
      <w:r>
        <w:rPr>
          <w:rFonts w:hint="eastAsia" w:ascii="微软雅黑" w:hAnsi="微软雅黑" w:eastAsia="微软雅黑" w:cs="微软雅黑"/>
          <w:color w:val="auto"/>
          <w:sz w:val="24"/>
          <w:szCs w:val="24"/>
          <w:highlight w:val="none"/>
        </w:rPr>
        <w:t>0.1变更的范围</w:t>
      </w:r>
    </w:p>
    <w:p w14:paraId="72144859">
      <w:pPr>
        <w:keepLines w:val="0"/>
        <w:pageBreakBefore w:val="0"/>
        <w:kinsoku/>
        <w:wordWrap/>
        <w:overflowPunct/>
        <w:topLinePunct w:val="0"/>
        <w:bidi w:val="0"/>
        <w:adjustRightInd w:val="0"/>
        <w:snapToGrid w:val="0"/>
        <w:spacing w:line="520" w:lineRule="exact"/>
        <w:ind w:right="-19" w:rightChars="-9" w:firstLine="6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关于变更的范围的约定：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5133C855">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 变更估价</w:t>
      </w:r>
    </w:p>
    <w:p w14:paraId="247F8E4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10.4.1 变更估价原则</w:t>
      </w:r>
    </w:p>
    <w:p w14:paraId="003A808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关于变更估价的约定: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FD1F013">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Start w:id="1141" w:name="_Toc292559907"/>
      <w:bookmarkStart w:id="1142" w:name="_Toc296347196"/>
      <w:bookmarkStart w:id="1143" w:name="_Toc296503197"/>
      <w:bookmarkStart w:id="1144" w:name="_Toc296944536"/>
      <w:bookmarkStart w:id="1145" w:name="_Toc297216203"/>
      <w:bookmarkStart w:id="1146" w:name="_Toc296891237"/>
      <w:bookmarkStart w:id="1147" w:name="_Toc297123544"/>
      <w:bookmarkStart w:id="1148" w:name="_Toc303539150"/>
      <w:bookmarkStart w:id="1149" w:name="_Toc296346698"/>
      <w:bookmarkStart w:id="1150" w:name="_Toc297048383"/>
      <w:bookmarkStart w:id="1151" w:name="_Toc296891025"/>
      <w:bookmarkStart w:id="1152" w:name="_Toc292559402"/>
      <w:bookmarkStart w:id="1153" w:name="_Toc300934993"/>
      <w:bookmarkStart w:id="1154" w:name="_Toc297120497"/>
      <w:bookmarkStart w:id="1155" w:name="_Toc312677503"/>
      <w:bookmarkStart w:id="1156" w:name="_Toc312678029"/>
      <w:bookmarkStart w:id="1157" w:name="_Toc304295570"/>
      <w:r>
        <w:rPr>
          <w:rFonts w:hint="eastAsia" w:ascii="微软雅黑" w:hAnsi="微软雅黑" w:eastAsia="微软雅黑" w:cs="微软雅黑"/>
          <w:color w:val="auto"/>
          <w:sz w:val="24"/>
          <w:szCs w:val="24"/>
          <w:highlight w:val="none"/>
        </w:rPr>
        <w:t>0.5承</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Start w:id="1158" w:name="_Toc296944542"/>
      <w:bookmarkStart w:id="1159" w:name="_Toc303539151"/>
      <w:bookmarkStart w:id="1160" w:name="_Toc292559408"/>
      <w:bookmarkStart w:id="1161" w:name="_Toc297048389"/>
      <w:bookmarkStart w:id="1162" w:name="_Toc297216204"/>
      <w:bookmarkStart w:id="1163" w:name="_Toc296503203"/>
      <w:bookmarkStart w:id="1164" w:name="_Toc297120503"/>
      <w:bookmarkStart w:id="1165" w:name="_Toc296347202"/>
      <w:bookmarkStart w:id="1166" w:name="_Toc292559913"/>
      <w:bookmarkStart w:id="1167" w:name="_Toc296346704"/>
      <w:bookmarkStart w:id="1168" w:name="_Toc297123545"/>
      <w:bookmarkStart w:id="1169" w:name="_Toc296891031"/>
      <w:bookmarkStart w:id="1170" w:name="_Toc300934994"/>
      <w:bookmarkStart w:id="1171" w:name="_Toc296891243"/>
      <w:r>
        <w:rPr>
          <w:rFonts w:hint="eastAsia" w:ascii="微软雅黑" w:hAnsi="微软雅黑" w:eastAsia="微软雅黑" w:cs="微软雅黑"/>
          <w:color w:val="auto"/>
          <w:sz w:val="24"/>
          <w:szCs w:val="24"/>
          <w:highlight w:val="none"/>
        </w:rPr>
        <w:t>包人的合理化建议</w:t>
      </w:r>
    </w:p>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14:paraId="0E946EA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监理人审查承包人合理化建议的期限：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430A1204">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发包人审批承包人合理化建议的期限：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29490E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承</w:t>
      </w:r>
      <w:bookmarkStart w:id="1172" w:name="_Toc297216205"/>
      <w:bookmarkStart w:id="1173" w:name="_Toc297120504"/>
      <w:bookmarkStart w:id="1174" w:name="_Toc296346705"/>
      <w:bookmarkStart w:id="1175" w:name="_Toc300934995"/>
      <w:bookmarkStart w:id="1176" w:name="_Toc304295571"/>
      <w:bookmarkStart w:id="1177" w:name="_Toc297123546"/>
      <w:bookmarkStart w:id="1178" w:name="_Toc296891244"/>
      <w:bookmarkStart w:id="1179" w:name="_Toc312678030"/>
      <w:bookmarkStart w:id="1180" w:name="_Toc296891032"/>
      <w:bookmarkStart w:id="1181" w:name="_Toc296347203"/>
      <w:bookmarkStart w:id="1182" w:name="_Toc297048390"/>
      <w:bookmarkStart w:id="1183" w:name="_Toc296503204"/>
      <w:bookmarkStart w:id="1184" w:name="_Toc318581175"/>
      <w:bookmarkStart w:id="1185" w:name="_Toc303539152"/>
      <w:bookmarkStart w:id="1186" w:name="_Toc292559914"/>
      <w:bookmarkStart w:id="1187" w:name="_Toc312677504"/>
      <w:bookmarkStart w:id="1188" w:name="_Toc292559409"/>
      <w:bookmarkStart w:id="1189" w:name="_Toc296944543"/>
      <w:r>
        <w:rPr>
          <w:rFonts w:hint="eastAsia" w:ascii="微软雅黑" w:hAnsi="微软雅黑" w:eastAsia="微软雅黑" w:cs="微软雅黑"/>
          <w:color w:val="auto"/>
          <w:sz w:val="24"/>
          <w:szCs w:val="24"/>
          <w:highlight w:val="none"/>
        </w:rPr>
        <w:t>包人提出的合理化建议降低了合同价格或者提高了工程经济效益的奖励的方法和金额为：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14:paraId="1A9A6BEC">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190" w:name="_Toc296503199"/>
      <w:bookmarkStart w:id="1191" w:name="_Toc312677507"/>
      <w:bookmarkStart w:id="1192" w:name="_Toc312678033"/>
      <w:bookmarkStart w:id="1193" w:name="_Toc296944538"/>
      <w:bookmarkStart w:id="1194" w:name="_Toc296347198"/>
      <w:bookmarkStart w:id="1195" w:name="_Toc296891027"/>
      <w:bookmarkStart w:id="1196" w:name="_Toc297048385"/>
      <w:bookmarkStart w:id="1197" w:name="_Toc300934997"/>
      <w:bookmarkStart w:id="1198" w:name="_Toc303539154"/>
      <w:bookmarkStart w:id="1199" w:name="_Toc296346700"/>
      <w:bookmarkStart w:id="1200" w:name="_Toc292559404"/>
      <w:bookmarkStart w:id="1201" w:name="_Toc292559909"/>
      <w:bookmarkStart w:id="1202" w:name="_Toc297216207"/>
      <w:bookmarkStart w:id="1203" w:name="_Toc297123548"/>
      <w:bookmarkStart w:id="1204" w:name="_Toc297120499"/>
      <w:bookmarkStart w:id="1205" w:name="_Toc296891239"/>
      <w:bookmarkStart w:id="1206" w:name="_Toc304295574"/>
      <w:r>
        <w:rPr>
          <w:rFonts w:hint="eastAsia" w:ascii="微软雅黑" w:hAnsi="微软雅黑" w:eastAsia="微软雅黑" w:cs="微软雅黑"/>
          <w:color w:val="auto"/>
          <w:sz w:val="24"/>
          <w:szCs w:val="24"/>
          <w:highlight w:val="none"/>
        </w:rPr>
        <w:t>0.7 暂估价</w:t>
      </w:r>
    </w:p>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14:paraId="21F98B4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暂</w:t>
      </w:r>
      <w:bookmarkStart w:id="1207" w:name="_Toc312677508"/>
      <w:bookmarkStart w:id="1208" w:name="_Toc312678034"/>
      <w:bookmarkStart w:id="1209" w:name="_Toc318581176"/>
      <w:r>
        <w:rPr>
          <w:rFonts w:hint="eastAsia" w:ascii="微软雅黑" w:hAnsi="微软雅黑" w:eastAsia="微软雅黑" w:cs="微软雅黑"/>
          <w:color w:val="auto"/>
          <w:kern w:val="0"/>
          <w:sz w:val="24"/>
          <w:szCs w:val="24"/>
          <w:highlight w:val="none"/>
        </w:rPr>
        <w:t>估价材料和工程设备的明细详见附件11：《</w:t>
      </w:r>
      <w:r>
        <w:rPr>
          <w:rFonts w:hint="eastAsia" w:ascii="微软雅黑" w:hAnsi="微软雅黑" w:eastAsia="微软雅黑" w:cs="微软雅黑"/>
          <w:color w:val="auto"/>
          <w:sz w:val="24"/>
          <w:szCs w:val="24"/>
          <w:highlight w:val="none"/>
        </w:rPr>
        <w:t>暂估价一览表》</w:t>
      </w:r>
      <w:r>
        <w:rPr>
          <w:rFonts w:hint="eastAsia" w:ascii="微软雅黑" w:hAnsi="微软雅黑" w:eastAsia="微软雅黑" w:cs="微软雅黑"/>
          <w:color w:val="auto"/>
          <w:kern w:val="0"/>
          <w:sz w:val="24"/>
          <w:szCs w:val="24"/>
          <w:highlight w:val="none"/>
        </w:rPr>
        <w:t>。</w:t>
      </w:r>
    </w:p>
    <w:bookmarkEnd w:id="1207"/>
    <w:bookmarkEnd w:id="1208"/>
    <w:bookmarkEnd w:id="1209"/>
    <w:p w14:paraId="2F889E3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210" w:name="_Toc312678035"/>
      <w:bookmarkStart w:id="1211" w:name="_Toc318581177"/>
      <w:bookmarkStart w:id="1212" w:name="_Toc312677509"/>
      <w:r>
        <w:rPr>
          <w:rFonts w:hint="eastAsia" w:ascii="微软雅黑" w:hAnsi="微软雅黑" w:eastAsia="微软雅黑" w:cs="微软雅黑"/>
          <w:color w:val="auto"/>
          <w:sz w:val="24"/>
          <w:szCs w:val="24"/>
          <w:highlight w:val="none"/>
        </w:rPr>
        <w:t>0.7.1 依法必须招标的暂估价项目</w:t>
      </w:r>
    </w:p>
    <w:bookmarkEnd w:id="1210"/>
    <w:bookmarkEnd w:id="1211"/>
    <w:bookmarkEnd w:id="1212"/>
    <w:p w14:paraId="3903D66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对于依法必须招标的暂估价项目的确认和批准采取第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种方式确定。</w:t>
      </w:r>
    </w:p>
    <w:p w14:paraId="174D9C5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10.7.2 不属于依法必须招标的暂估价项目</w:t>
      </w:r>
    </w:p>
    <w:p w14:paraId="11BA4734">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对于不属于依法必须招标的暂估价项目的确认和批准采取第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种方式确定。</w:t>
      </w:r>
    </w:p>
    <w:p w14:paraId="080B610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第3种方式：</w:t>
      </w:r>
      <w:r>
        <w:rPr>
          <w:rFonts w:hint="eastAsia" w:ascii="微软雅黑" w:hAnsi="微软雅黑" w:eastAsia="微软雅黑" w:cs="微软雅黑"/>
          <w:color w:val="auto"/>
          <w:kern w:val="0"/>
          <w:sz w:val="24"/>
          <w:szCs w:val="24"/>
          <w:highlight w:val="none"/>
        </w:rPr>
        <w:t>承包人直接实施的暂估价项目</w:t>
      </w:r>
    </w:p>
    <w:p w14:paraId="185588FF">
      <w:pPr>
        <w:keepLines w:val="0"/>
        <w:pageBreakBefore w:val="0"/>
        <w:kinsoku/>
        <w:wordWrap/>
        <w:overflowPunct/>
        <w:topLinePunct w:val="0"/>
        <w:bidi w:val="0"/>
        <w:adjustRightInd w:val="0"/>
        <w:snapToGrid w:val="0"/>
        <w:spacing w:line="520" w:lineRule="exact"/>
        <w:ind w:left="315" w:leftChars="150" w:right="-19" w:rightChars="-9" w:firstLine="360" w:firstLineChars="15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承包人直接实施的暂估价项目的约定：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266751F9">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10.8 暂列金额</w:t>
      </w:r>
    </w:p>
    <w:p w14:paraId="2D8BCFA2">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合同当事人关于暂列金额使用的约定：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7FB63145">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213" w:name="_Toc351203643"/>
      <w:r>
        <w:rPr>
          <w:rFonts w:hint="eastAsia" w:ascii="微软雅黑" w:hAnsi="微软雅黑" w:eastAsia="微软雅黑" w:cs="微软雅黑"/>
          <w:b w:val="0"/>
          <w:color w:val="auto"/>
          <w:sz w:val="24"/>
          <w:szCs w:val="24"/>
          <w:highlight w:val="none"/>
        </w:rPr>
        <w:t>11. 价格调整</w:t>
      </w:r>
      <w:bookmarkEnd w:id="1213"/>
    </w:p>
    <w:p w14:paraId="3D936D83">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14" w:name="_Toc312678039"/>
      <w:bookmarkStart w:id="1215" w:name="_Toc303539157"/>
      <w:bookmarkStart w:id="1216" w:name="_Toc296891241"/>
      <w:bookmarkStart w:id="1217" w:name="_Toc304295577"/>
      <w:bookmarkStart w:id="1218" w:name="_Toc297123550"/>
      <w:bookmarkStart w:id="1219" w:name="_Toc297048387"/>
      <w:bookmarkStart w:id="1220" w:name="_Toc296944540"/>
      <w:bookmarkStart w:id="1221" w:name="_Toc296346702"/>
      <w:bookmarkStart w:id="1222" w:name="_Toc300935000"/>
      <w:bookmarkStart w:id="1223" w:name="_Toc297216209"/>
      <w:bookmarkStart w:id="1224" w:name="_Toc296891029"/>
      <w:bookmarkStart w:id="1225" w:name="_Toc297120501"/>
      <w:bookmarkStart w:id="1226" w:name="_Toc296503201"/>
      <w:bookmarkStart w:id="1227" w:name="_Toc292559911"/>
      <w:bookmarkStart w:id="1228" w:name="_Toc296347200"/>
      <w:bookmarkStart w:id="1229" w:name="_Toc292559406"/>
      <w:r>
        <w:rPr>
          <w:rFonts w:hint="eastAsia" w:ascii="微软雅黑" w:hAnsi="微软雅黑" w:eastAsia="微软雅黑" w:cs="微软雅黑"/>
          <w:color w:val="auto"/>
          <w:sz w:val="24"/>
          <w:szCs w:val="24"/>
          <w:highlight w:val="none"/>
        </w:rPr>
        <w:t>11.1 市场价格波动引起的调整</w:t>
      </w:r>
    </w:p>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14:paraId="2CA7960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市场价格波动是否调整合同价格的约定：</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w:t>
      </w:r>
    </w:p>
    <w:p w14:paraId="00F23884">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因市场价格波动调整合同价格，采用以下第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种方式对合同价格进行调整：</w:t>
      </w:r>
    </w:p>
    <w:p w14:paraId="750B1EC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第1种方式：采用价格指数进行价格调整。</w:t>
      </w:r>
    </w:p>
    <w:p w14:paraId="5D42C98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关于各可调因子、定值和变值权重，以及基本价格指数及其来源的约定：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14:paraId="0200C60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第2种方式：采用造价信息进行价格调整。</w:t>
      </w:r>
    </w:p>
    <w:p w14:paraId="72608AD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（2）关于基准价格的约定：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3908CED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%时，或材料单价跌幅以已标价工程量清单或预算书中载明材料单价为基础超过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14:paraId="2A4E7E6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%时，材料单价涨幅以已标价工程量清单或预算书中载明材料单价为基础超过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14:paraId="39472F21">
      <w:pPr>
        <w:keepLines w:val="0"/>
        <w:pageBreakBefore w:val="0"/>
        <w:kinsoku/>
        <w:wordWrap/>
        <w:overflowPunct/>
        <w:topLinePunct w:val="0"/>
        <w:bidi w:val="0"/>
        <w:adjustRightInd w:val="0"/>
        <w:snapToGrid w:val="0"/>
        <w:spacing w:line="520" w:lineRule="exact"/>
        <w:ind w:right="-19" w:rightChars="-9" w:firstLine="64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14:paraId="3447C743">
      <w:pPr>
        <w:keepLines w:val="0"/>
        <w:pageBreakBefore w:val="0"/>
        <w:kinsoku/>
        <w:wordWrap/>
        <w:overflowPunct/>
        <w:topLinePunct w:val="0"/>
        <w:bidi w:val="0"/>
        <w:adjustRightInd w:val="0"/>
        <w:snapToGrid w:val="0"/>
        <w:spacing w:line="520" w:lineRule="exact"/>
        <w:ind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第3种方式：其他价格调整方式：</w:t>
      </w:r>
      <w:r>
        <w:rPr>
          <w:rFonts w:hint="eastAsia" w:ascii="微软雅黑" w:hAnsi="微软雅黑" w:eastAsia="微软雅黑" w:cs="微软雅黑"/>
          <w:color w:val="auto"/>
          <w:sz w:val="24"/>
          <w:szCs w:val="24"/>
          <w:highlight w:val="none"/>
          <w:u w:val="single"/>
        </w:rPr>
        <w:t xml:space="preserve">       /       </w:t>
      </w:r>
    </w:p>
    <w:bookmarkEnd w:id="1117"/>
    <w:bookmarkEnd w:id="1118"/>
    <w:bookmarkEnd w:id="1119"/>
    <w:bookmarkEnd w:id="1120"/>
    <w:bookmarkEnd w:id="1121"/>
    <w:bookmarkEnd w:id="1122"/>
    <w:p w14:paraId="30BC5264">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230" w:name="_Toc297120505"/>
      <w:bookmarkStart w:id="1231" w:name="_Toc292559915"/>
      <w:bookmarkStart w:id="1232" w:name="_Toc296891245"/>
      <w:bookmarkStart w:id="1233" w:name="_Toc296503205"/>
      <w:bookmarkStart w:id="1234" w:name="_Toc297048391"/>
      <w:bookmarkStart w:id="1235" w:name="_Toc296346706"/>
      <w:bookmarkStart w:id="1236" w:name="_Toc292559410"/>
      <w:bookmarkStart w:id="1237" w:name="_Toc296347204"/>
      <w:bookmarkStart w:id="1238" w:name="_Toc296944544"/>
      <w:bookmarkStart w:id="1239" w:name="_Toc296891033"/>
      <w:bookmarkStart w:id="1240" w:name="_Toc351203644"/>
      <w:bookmarkStart w:id="1241" w:name="_Toc297216211"/>
      <w:bookmarkStart w:id="1242" w:name="_Toc304295579"/>
      <w:bookmarkStart w:id="1243" w:name="_Toc300935002"/>
      <w:bookmarkStart w:id="1244" w:name="_Toc312678040"/>
      <w:bookmarkStart w:id="1245" w:name="_Toc303539159"/>
      <w:bookmarkStart w:id="1246" w:name="_Toc297123552"/>
      <w:r>
        <w:rPr>
          <w:rFonts w:hint="eastAsia" w:ascii="微软雅黑" w:hAnsi="微软雅黑" w:eastAsia="微软雅黑" w:cs="微软雅黑"/>
          <w:b w:val="0"/>
          <w:color w:val="auto"/>
          <w:sz w:val="24"/>
          <w:szCs w:val="24"/>
          <w:highlight w:val="none"/>
        </w:rPr>
        <w:t xml:space="preserve">12. </w:t>
      </w:r>
      <w:bookmarkEnd w:id="1230"/>
      <w:bookmarkEnd w:id="1231"/>
      <w:bookmarkEnd w:id="1232"/>
      <w:bookmarkEnd w:id="1233"/>
      <w:bookmarkEnd w:id="1234"/>
      <w:bookmarkEnd w:id="1235"/>
      <w:bookmarkEnd w:id="1236"/>
      <w:bookmarkEnd w:id="1237"/>
      <w:bookmarkEnd w:id="1238"/>
      <w:bookmarkEnd w:id="1239"/>
      <w:r>
        <w:rPr>
          <w:rFonts w:hint="eastAsia" w:ascii="微软雅黑" w:hAnsi="微软雅黑" w:eastAsia="微软雅黑" w:cs="微软雅黑"/>
          <w:b w:val="0"/>
          <w:color w:val="auto"/>
          <w:sz w:val="24"/>
          <w:szCs w:val="24"/>
          <w:highlight w:val="none"/>
        </w:rPr>
        <w:t>合同价格、计量与支付</w:t>
      </w:r>
      <w:bookmarkEnd w:id="1240"/>
    </w:p>
    <w:bookmarkEnd w:id="1241"/>
    <w:bookmarkEnd w:id="1242"/>
    <w:bookmarkEnd w:id="1243"/>
    <w:bookmarkEnd w:id="1244"/>
    <w:bookmarkEnd w:id="1245"/>
    <w:bookmarkEnd w:id="1246"/>
    <w:p w14:paraId="0D864498">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47" w:name="_Toc267251461"/>
      <w:bookmarkStart w:id="1248" w:name="_Toc292559411"/>
      <w:bookmarkStart w:id="1249" w:name="_Toc292559916"/>
      <w:bookmarkStart w:id="1250" w:name="_Toc297120506"/>
      <w:bookmarkStart w:id="1251" w:name="_Toc296503206"/>
      <w:bookmarkStart w:id="1252" w:name="_Toc297048392"/>
      <w:bookmarkStart w:id="1253" w:name="_Toc296944545"/>
      <w:bookmarkStart w:id="1254" w:name="_Toc296347205"/>
      <w:bookmarkStart w:id="1255" w:name="_Toc296891034"/>
      <w:bookmarkStart w:id="1256" w:name="_Toc296891246"/>
      <w:bookmarkStart w:id="1257" w:name="_Toc296346707"/>
      <w:bookmarkStart w:id="1258" w:name="_Toc304295580"/>
      <w:bookmarkStart w:id="1259" w:name="_Toc297123553"/>
      <w:bookmarkStart w:id="1260" w:name="_Toc312678041"/>
      <w:bookmarkStart w:id="1261" w:name="_Toc297216212"/>
      <w:bookmarkStart w:id="1262" w:name="_Toc300935003"/>
      <w:bookmarkStart w:id="1263" w:name="_Toc303539160"/>
      <w:r>
        <w:rPr>
          <w:rFonts w:hint="eastAsia" w:ascii="微软雅黑" w:hAnsi="微软雅黑" w:eastAsia="微软雅黑" w:cs="微软雅黑"/>
          <w:color w:val="auto"/>
          <w:sz w:val="24"/>
          <w:szCs w:val="24"/>
          <w:highlight w:val="none"/>
        </w:rPr>
        <w:t>12.1 合</w:t>
      </w:r>
      <w:bookmarkEnd w:id="1247"/>
      <w:bookmarkEnd w:id="1248"/>
      <w:bookmarkEnd w:id="1249"/>
      <w:r>
        <w:rPr>
          <w:rFonts w:hint="eastAsia" w:ascii="微软雅黑" w:hAnsi="微软雅黑" w:eastAsia="微软雅黑" w:cs="微软雅黑"/>
          <w:color w:val="auto"/>
          <w:sz w:val="24"/>
          <w:szCs w:val="24"/>
          <w:highlight w:val="none"/>
        </w:rPr>
        <w:t>同价</w:t>
      </w:r>
      <w:bookmarkEnd w:id="1250"/>
      <w:bookmarkEnd w:id="1251"/>
      <w:bookmarkEnd w:id="1252"/>
      <w:bookmarkEnd w:id="1253"/>
      <w:bookmarkEnd w:id="1254"/>
      <w:bookmarkEnd w:id="1255"/>
      <w:bookmarkEnd w:id="1256"/>
      <w:bookmarkEnd w:id="1257"/>
      <w:r>
        <w:rPr>
          <w:rFonts w:hint="eastAsia" w:ascii="微软雅黑" w:hAnsi="微软雅黑" w:eastAsia="微软雅黑" w:cs="微软雅黑"/>
          <w:color w:val="auto"/>
          <w:sz w:val="24"/>
          <w:szCs w:val="24"/>
          <w:highlight w:val="none"/>
        </w:rPr>
        <w:t>格形式</w:t>
      </w:r>
    </w:p>
    <w:bookmarkEnd w:id="1258"/>
    <w:bookmarkEnd w:id="1259"/>
    <w:bookmarkEnd w:id="1260"/>
    <w:bookmarkEnd w:id="1261"/>
    <w:bookmarkEnd w:id="1262"/>
    <w:bookmarkEnd w:id="1263"/>
    <w:p w14:paraId="6739201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1、单价合同。</w:t>
      </w:r>
    </w:p>
    <w:p w14:paraId="5D43F58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综合单价包含的风险范围：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08D523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风险费用的计算方法：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51DCDB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风险范围以外合同价格的调整方法：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A33853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2、总价合同。</w:t>
      </w:r>
    </w:p>
    <w:p w14:paraId="2F5E2A0A">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总价包含的风险范围：</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5F5EA05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风险费用的计算方法：</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5656548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风险范围以外合同价格的调整方法：</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72DCA8A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3、其他价格方式：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1D5190A3">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64" w:name="_Toc297123554"/>
      <w:bookmarkStart w:id="1265" w:name="_Toc304295581"/>
      <w:bookmarkStart w:id="1266" w:name="_Toc297216213"/>
      <w:bookmarkStart w:id="1267" w:name="_Toc303539161"/>
      <w:bookmarkStart w:id="1268" w:name="_Toc312678042"/>
      <w:bookmarkStart w:id="1269" w:name="_Toc300935004"/>
      <w:bookmarkStart w:id="1270" w:name="_Toc297120507"/>
      <w:bookmarkStart w:id="1271" w:name="_Toc292559412"/>
      <w:bookmarkStart w:id="1272" w:name="_Toc296944546"/>
      <w:bookmarkStart w:id="1273" w:name="_Toc292559917"/>
      <w:bookmarkStart w:id="1274" w:name="_Toc296891247"/>
      <w:bookmarkStart w:id="1275" w:name="_Toc297048393"/>
      <w:bookmarkStart w:id="1276" w:name="_Toc296347206"/>
      <w:bookmarkStart w:id="1277" w:name="_Toc296346708"/>
      <w:bookmarkStart w:id="1278" w:name="_Toc296891035"/>
      <w:bookmarkStart w:id="1279" w:name="_Toc296503207"/>
      <w:r>
        <w:rPr>
          <w:rFonts w:hint="eastAsia" w:ascii="微软雅黑" w:hAnsi="微软雅黑" w:eastAsia="微软雅黑" w:cs="微软雅黑"/>
          <w:color w:val="auto"/>
          <w:sz w:val="24"/>
          <w:szCs w:val="24"/>
          <w:highlight w:val="none"/>
        </w:rPr>
        <w:t>12.2 预付款</w:t>
      </w:r>
    </w:p>
    <w:bookmarkEnd w:id="1264"/>
    <w:bookmarkEnd w:id="1265"/>
    <w:bookmarkEnd w:id="1266"/>
    <w:bookmarkEnd w:id="1267"/>
    <w:bookmarkEnd w:id="1268"/>
    <w:bookmarkEnd w:id="1269"/>
    <w:p w14:paraId="2DF39B7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12.2.1 预付款的支付</w:t>
      </w:r>
    </w:p>
    <w:p w14:paraId="250D879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b/>
          <w:color w:val="auto"/>
          <w:sz w:val="24"/>
          <w:szCs w:val="24"/>
          <w:highlight w:val="none"/>
        </w:rPr>
        <w:t>预付款支付比例或金额：</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w:t>
      </w:r>
    </w:p>
    <w:p w14:paraId="6DA69D4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预付款支付期限：</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w:t>
      </w:r>
    </w:p>
    <w:p w14:paraId="26208F8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预付款扣回的方式：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7BFBF3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12.2.2 预付款担保</w:t>
      </w:r>
    </w:p>
    <w:p w14:paraId="47DD0B5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承包人提交预付款担保的期限：</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sz w:val="24"/>
          <w:szCs w:val="24"/>
          <w:highlight w:val="none"/>
        </w:rPr>
        <w:t>。</w:t>
      </w:r>
    </w:p>
    <w:p w14:paraId="4DFD38D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预付款担保的形式为：</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sz w:val="24"/>
          <w:szCs w:val="24"/>
          <w:highlight w:val="none"/>
        </w:rPr>
        <w:t>。</w:t>
      </w:r>
    </w:p>
    <w:bookmarkEnd w:id="1270"/>
    <w:bookmarkEnd w:id="1271"/>
    <w:bookmarkEnd w:id="1272"/>
    <w:bookmarkEnd w:id="1273"/>
    <w:bookmarkEnd w:id="1274"/>
    <w:bookmarkEnd w:id="1275"/>
    <w:bookmarkEnd w:id="1276"/>
    <w:bookmarkEnd w:id="1277"/>
    <w:bookmarkEnd w:id="1278"/>
    <w:bookmarkEnd w:id="1279"/>
    <w:p w14:paraId="2C456428">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计量</w:t>
      </w:r>
    </w:p>
    <w:p w14:paraId="78162CD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12.3.1 计量原则</w:t>
      </w:r>
    </w:p>
    <w:p w14:paraId="2FDB40E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工程量计算规则：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7ABCD4F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12.3.2 计量周期</w:t>
      </w:r>
    </w:p>
    <w:p w14:paraId="22904D7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关于计量周期的约定：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2B0011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12.3.3 单价合同的计量</w:t>
      </w:r>
    </w:p>
    <w:p w14:paraId="0184279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关于单价合同计量的约定：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0EDB0C5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12.3.4 总价合同的计量</w:t>
      </w:r>
    </w:p>
    <w:p w14:paraId="7F19022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关于总价合同计量的约定：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427EA6A">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12.3.5总价合同采用支付分解表计量支付的，是否适用第</w:t>
      </w:r>
      <w:r>
        <w:rPr>
          <w:rFonts w:hint="eastAsia" w:ascii="微软雅黑" w:hAnsi="微软雅黑" w:eastAsia="微软雅黑" w:cs="微软雅黑"/>
          <w:color w:val="auto"/>
          <w:kern w:val="0"/>
          <w:sz w:val="24"/>
          <w:szCs w:val="24"/>
          <w:highlight w:val="none"/>
        </w:rPr>
        <w:t xml:space="preserve">12.3.4 </w:t>
      </w:r>
      <w:r>
        <w:rPr>
          <w:rFonts w:hint="eastAsia" w:ascii="微软雅黑" w:hAnsi="微软雅黑" w:eastAsia="微软雅黑" w:cs="微软雅黑"/>
          <w:color w:val="auto"/>
          <w:sz w:val="24"/>
          <w:szCs w:val="24"/>
          <w:highlight w:val="none"/>
        </w:rPr>
        <w:t>项</w:t>
      </w:r>
      <w:r>
        <w:rPr>
          <w:rFonts w:hint="eastAsia" w:ascii="微软雅黑" w:hAnsi="微软雅黑" w:eastAsia="微软雅黑" w:cs="微软雅黑"/>
          <w:color w:val="auto"/>
          <w:kern w:val="0"/>
          <w:sz w:val="24"/>
          <w:szCs w:val="24"/>
          <w:highlight w:val="none"/>
        </w:rPr>
        <w:t>〔总价合同的计量〕</w:t>
      </w:r>
      <w:r>
        <w:rPr>
          <w:rFonts w:hint="eastAsia" w:ascii="微软雅黑" w:hAnsi="微软雅黑" w:eastAsia="微软雅黑" w:cs="微软雅黑"/>
          <w:color w:val="auto"/>
          <w:sz w:val="24"/>
          <w:szCs w:val="24"/>
          <w:highlight w:val="none"/>
        </w:rPr>
        <w:t>约定进行计量：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14:paraId="7B9C379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12.3.6 其他价格形式合同的计量</w:t>
      </w:r>
    </w:p>
    <w:p w14:paraId="2E9C1A1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其他价格形式的计量方式和程序：</w:t>
      </w:r>
      <w:r>
        <w:rPr>
          <w:rFonts w:hint="eastAsia" w:ascii="微软雅黑" w:hAnsi="微软雅黑" w:eastAsia="微软雅黑" w:cs="微软雅黑"/>
          <w:color w:val="auto"/>
          <w:sz w:val="24"/>
          <w:szCs w:val="24"/>
          <w:highlight w:val="none"/>
          <w:u w:val="single"/>
        </w:rPr>
        <w:t xml:space="preserve">   /          </w:t>
      </w:r>
    </w:p>
    <w:p w14:paraId="5A837A6E">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 工程进度款支付</w:t>
      </w:r>
    </w:p>
    <w:p w14:paraId="0A464ADA">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bookmarkStart w:id="1280" w:name="_Toc300935006"/>
      <w:bookmarkStart w:id="1281" w:name="_Toc303539163"/>
      <w:bookmarkStart w:id="1282" w:name="_Toc296503211"/>
      <w:bookmarkStart w:id="1283" w:name="_Toc297120511"/>
      <w:bookmarkStart w:id="1284" w:name="_Toc292559416"/>
      <w:bookmarkStart w:id="1285" w:name="_Toc292559921"/>
      <w:bookmarkStart w:id="1286" w:name="_Toc297123556"/>
      <w:bookmarkStart w:id="1287" w:name="_Toc297048397"/>
      <w:bookmarkStart w:id="1288" w:name="_Toc296944550"/>
      <w:bookmarkStart w:id="1289" w:name="_Toc296347210"/>
      <w:bookmarkStart w:id="1290" w:name="_Toc296891251"/>
      <w:bookmarkStart w:id="1291" w:name="_Toc297216215"/>
      <w:bookmarkStart w:id="1292" w:name="_Toc296346712"/>
      <w:bookmarkStart w:id="1293" w:name="_Toc296891039"/>
      <w:r>
        <w:rPr>
          <w:rFonts w:hint="eastAsia" w:ascii="微软雅黑" w:hAnsi="微软雅黑" w:eastAsia="微软雅黑" w:cs="微软雅黑"/>
          <w:color w:val="auto"/>
          <w:sz w:val="24"/>
          <w:szCs w:val="24"/>
          <w:highlight w:val="none"/>
        </w:rPr>
        <w:t>12.4.1 付款周期</w:t>
      </w:r>
    </w:p>
    <w:p w14:paraId="1A738655">
      <w:pPr>
        <w:keepLines w:val="0"/>
        <w:pageBreakBefore w:val="0"/>
        <w:kinsoku/>
        <w:wordWrap/>
        <w:overflowPunct/>
        <w:topLinePunct w:val="0"/>
        <w:bidi w:val="0"/>
        <w:spacing w:line="520" w:lineRule="exact"/>
        <w:ind w:firstLine="480" w:firstLineChars="200"/>
        <w:jc w:val="left"/>
        <w:outlineLvl w:val="9"/>
        <w:rPr>
          <w:rFonts w:hint="eastAsia" w:ascii="微软雅黑" w:hAnsi="微软雅黑" w:eastAsia="微软雅黑" w:cs="微软雅黑"/>
          <w:b/>
          <w:color w:val="auto"/>
          <w:sz w:val="24"/>
          <w:szCs w:val="24"/>
          <w:highlight w:val="none"/>
          <w:u w:val="single"/>
          <w:lang w:eastAsia="zh-CN"/>
        </w:rPr>
      </w:pPr>
      <w:r>
        <w:rPr>
          <w:rFonts w:hint="eastAsia" w:ascii="微软雅黑" w:hAnsi="微软雅黑" w:eastAsia="微软雅黑" w:cs="微软雅黑"/>
          <w:b/>
          <w:color w:val="auto"/>
          <w:sz w:val="24"/>
          <w:szCs w:val="24"/>
          <w:highlight w:val="none"/>
        </w:rPr>
        <w:t>关于付款周期的约定：</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u w:val="single"/>
          <w:lang w:eastAsia="zh-CN"/>
        </w:rPr>
        <w:t>。</w:t>
      </w:r>
    </w:p>
    <w:p w14:paraId="741F0DD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12.4.2 进度付款申请单的编制</w:t>
      </w:r>
    </w:p>
    <w:p w14:paraId="0796A79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关于进度付款申请单编制的约定：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9FB7FF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rPr>
          <w:rFonts w:hint="eastAsia" w:ascii="微软雅黑" w:hAnsi="微软雅黑" w:eastAsia="微软雅黑" w:cs="微软雅黑"/>
          <w:color w:val="auto"/>
          <w:sz w:val="24"/>
          <w:szCs w:val="24"/>
          <w:highlight w:val="none"/>
        </w:rPr>
        <w:t>2.4.3 进度付款申请单的提交</w:t>
      </w:r>
    </w:p>
    <w:p w14:paraId="27E9F37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（1）单价合同进度付款申请单提交的约定：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3429386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（2）总价合同进度付款申请单提交的约定：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D0AFCB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（3）其他价格形式合同进度付款申请单提交的约定：</w:t>
      </w:r>
      <w:r>
        <w:rPr>
          <w:rFonts w:hint="eastAsia" w:ascii="微软雅黑" w:hAnsi="微软雅黑" w:eastAsia="微软雅黑" w:cs="微软雅黑"/>
          <w:color w:val="auto"/>
          <w:sz w:val="24"/>
          <w:szCs w:val="24"/>
          <w:highlight w:val="none"/>
          <w:u w:val="single"/>
        </w:rPr>
        <w:t xml:space="preserve">   /    </w:t>
      </w:r>
    </w:p>
    <w:p w14:paraId="6F3827D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12.4.4 进度款审核和支付</w:t>
      </w:r>
    </w:p>
    <w:p w14:paraId="24D6C99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（1）监理人审查并报送发包人的期限：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6C7705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发包人完成审批并签发进度款支付证书的期限：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BA0084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（2）发包人支付进度款的期限：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8C212D8">
      <w:pPr>
        <w:keepLines w:val="0"/>
        <w:pageBreakBefore w:val="0"/>
        <w:kinsoku/>
        <w:wordWrap/>
        <w:overflowPunct/>
        <w:topLinePunct w:val="0"/>
        <w:bidi w:val="0"/>
        <w:adjustRightInd w:val="0"/>
        <w:snapToGrid w:val="0"/>
        <w:spacing w:line="520" w:lineRule="exact"/>
        <w:ind w:right="-19" w:rightChars="-9" w:firstLine="600" w:firstLineChars="25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发包人逾期支付进度款的违约金的计算方式：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14:paraId="4455A859">
      <w:pPr>
        <w:keepLines w:val="0"/>
        <w:pageBreakBefore w:val="0"/>
        <w:kinsoku/>
        <w:wordWrap/>
        <w:overflowPunct/>
        <w:topLinePunct w:val="0"/>
        <w:bidi w:val="0"/>
        <w:adjustRightInd w:val="0"/>
        <w:snapToGrid w:val="0"/>
        <w:spacing w:line="520" w:lineRule="exact"/>
        <w:ind w:right="-19" w:rightChars="-9" w:firstLine="600" w:firstLineChars="25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12.4.6 支付分解表的编制</w:t>
      </w:r>
    </w:p>
    <w:p w14:paraId="1800608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2、总价合同支付分解表的编制与审批：</w:t>
      </w:r>
      <w:r>
        <w:rPr>
          <w:rFonts w:hint="eastAsia" w:ascii="微软雅黑" w:hAnsi="微软雅黑" w:eastAsia="微软雅黑" w:cs="微软雅黑"/>
          <w:color w:val="auto"/>
          <w:sz w:val="24"/>
          <w:szCs w:val="24"/>
          <w:highlight w:val="none"/>
          <w:u w:val="single"/>
        </w:rPr>
        <w:t xml:space="preserve">       /          </w:t>
      </w:r>
    </w:p>
    <w:p w14:paraId="148006C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3、单价合同的总价项目支付分解表的编制与审批：</w:t>
      </w:r>
      <w:r>
        <w:rPr>
          <w:rFonts w:hint="eastAsia" w:ascii="微软雅黑" w:hAnsi="微软雅黑" w:eastAsia="微软雅黑" w:cs="微软雅黑"/>
          <w:color w:val="auto"/>
          <w:sz w:val="24"/>
          <w:szCs w:val="24"/>
          <w:highlight w:val="none"/>
          <w:u w:val="single"/>
        </w:rPr>
        <w:t xml:space="preserve">     /  </w:t>
      </w:r>
    </w:p>
    <w:bookmarkEnd w:id="1123"/>
    <w:p w14:paraId="124E6E87">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294" w:name="_Toc351203645"/>
      <w:bookmarkStart w:id="1295" w:name="_Toc312678053"/>
      <w:bookmarkStart w:id="1296" w:name="_Toc296944558"/>
      <w:bookmarkStart w:id="1297" w:name="_Toc297120519"/>
      <w:bookmarkStart w:id="1298" w:name="_Toc297216223"/>
      <w:bookmarkStart w:id="1299" w:name="_Toc296891047"/>
      <w:bookmarkStart w:id="1300" w:name="_Toc296346720"/>
      <w:bookmarkStart w:id="1301" w:name="_Toc297048405"/>
      <w:bookmarkStart w:id="1302" w:name="_Toc303539172"/>
      <w:bookmarkStart w:id="1303" w:name="_Toc300935015"/>
      <w:bookmarkStart w:id="1304" w:name="_Toc296891259"/>
      <w:bookmarkStart w:id="1305" w:name="_Toc304295593"/>
      <w:bookmarkStart w:id="1306" w:name="_Toc296347218"/>
      <w:bookmarkStart w:id="1307" w:name="_Toc292559424"/>
      <w:bookmarkStart w:id="1308" w:name="_Toc292559929"/>
      <w:bookmarkStart w:id="1309" w:name="_Toc297123564"/>
      <w:bookmarkStart w:id="1310" w:name="_Toc296503219"/>
      <w:r>
        <w:rPr>
          <w:rFonts w:hint="eastAsia" w:ascii="微软雅黑" w:hAnsi="微软雅黑" w:eastAsia="微软雅黑" w:cs="微软雅黑"/>
          <w:b w:val="0"/>
          <w:color w:val="auto"/>
          <w:sz w:val="24"/>
          <w:szCs w:val="24"/>
          <w:highlight w:val="none"/>
        </w:rPr>
        <w:t>13. 验收和工程试车</w:t>
      </w:r>
      <w:bookmarkEnd w:id="1294"/>
    </w:p>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14:paraId="4A2CC8C3">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分部分项工程验收</w:t>
      </w:r>
    </w:p>
    <w:p w14:paraId="1F7D8F7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13.1.2监理人不能按时进行验收时，应提前</w:t>
      </w:r>
      <w:r>
        <w:rPr>
          <w:rFonts w:hint="eastAsia" w:ascii="微软雅黑" w:hAnsi="微软雅黑" w:eastAsia="微软雅黑" w:cs="微软雅黑"/>
          <w:color w:val="auto"/>
          <w:sz w:val="24"/>
          <w:szCs w:val="24"/>
          <w:highlight w:val="none"/>
          <w:u w:val="single"/>
        </w:rPr>
        <w:t xml:space="preserve"> 24 </w:t>
      </w:r>
      <w:r>
        <w:rPr>
          <w:rFonts w:hint="eastAsia" w:ascii="微软雅黑" w:hAnsi="微软雅黑" w:eastAsia="微软雅黑" w:cs="微软雅黑"/>
          <w:color w:val="auto"/>
          <w:sz w:val="24"/>
          <w:szCs w:val="24"/>
          <w:highlight w:val="none"/>
        </w:rPr>
        <w:t>时提交书面延期要求。</w:t>
      </w:r>
    </w:p>
    <w:p w14:paraId="718B8F6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关于延期最长不得超过：</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w:t>
      </w:r>
    </w:p>
    <w:p w14:paraId="2EAFB66C">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311" w:name="_Toc296346724"/>
      <w:bookmarkStart w:id="1312" w:name="_Toc296891051"/>
      <w:bookmarkStart w:id="1313" w:name="_Toc296347222"/>
      <w:bookmarkStart w:id="1314" w:name="_Toc297216224"/>
      <w:bookmarkStart w:id="1315" w:name="_Toc300935016"/>
      <w:bookmarkStart w:id="1316" w:name="_Toc304295596"/>
      <w:bookmarkStart w:id="1317" w:name="_Toc297120523"/>
      <w:bookmarkStart w:id="1318" w:name="_Toc292559933"/>
      <w:bookmarkStart w:id="1319" w:name="_Toc292559428"/>
      <w:bookmarkStart w:id="1320" w:name="_Toc296503223"/>
      <w:bookmarkStart w:id="1321" w:name="_Toc297048409"/>
      <w:bookmarkStart w:id="1322" w:name="_Toc303539173"/>
      <w:bookmarkStart w:id="1323" w:name="_Toc296891263"/>
      <w:bookmarkStart w:id="1324" w:name="_Toc297123565"/>
      <w:bookmarkStart w:id="1325" w:name="_Toc312678056"/>
      <w:bookmarkStart w:id="1326" w:name="_Toc296944562"/>
      <w:bookmarkStart w:id="1327" w:name="_Toc267251476"/>
      <w:bookmarkStart w:id="1328" w:name="_Toc267251474"/>
      <w:bookmarkStart w:id="1329" w:name="_Toc267251471"/>
      <w:bookmarkStart w:id="1330" w:name="_Toc267251470"/>
      <w:bookmarkStart w:id="1331" w:name="_Toc267251473"/>
      <w:bookmarkStart w:id="1332" w:name="_Toc267251475"/>
      <w:bookmarkStart w:id="1333" w:name="_Toc267251472"/>
      <w:r>
        <w:rPr>
          <w:rFonts w:hint="eastAsia" w:ascii="微软雅黑" w:hAnsi="微软雅黑" w:eastAsia="微软雅黑" w:cs="微软雅黑"/>
          <w:color w:val="auto"/>
          <w:sz w:val="24"/>
          <w:szCs w:val="24"/>
          <w:highlight w:val="none"/>
        </w:rPr>
        <w:t>13.2 竣工验收</w:t>
      </w:r>
    </w:p>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14:paraId="1B5C7AE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bookmarkStart w:id="1334" w:name="_Toc280868704"/>
      <w:bookmarkStart w:id="1335" w:name="_Toc280868705"/>
      <w:bookmarkStart w:id="1336" w:name="_Toc280868706"/>
      <w:bookmarkStart w:id="1337" w:name="_Toc280868707"/>
      <w:bookmarkStart w:id="1338" w:name="_Toc280868708"/>
      <w:bookmarkStart w:id="1339" w:name="_Toc280868709"/>
      <w:r>
        <w:rPr>
          <w:rFonts w:hint="eastAsia" w:ascii="微软雅黑" w:hAnsi="微软雅黑" w:eastAsia="微软雅黑" w:cs="微软雅黑"/>
          <w:color w:val="auto"/>
          <w:sz w:val="24"/>
          <w:szCs w:val="24"/>
          <w:highlight w:val="none"/>
        </w:rPr>
        <w:t>13.2.2竣工验收程序</w:t>
      </w:r>
    </w:p>
    <w:bookmarkEnd w:id="1334"/>
    <w:p w14:paraId="54E50AA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关于竣工验收程序的约定：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B253AB2">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发包人不按照本项约定组织竣工验收、颁发工程接收证书的违约金的计算方法：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35"/>
    <w:p w14:paraId="2750E175">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13.2.5移交、接收全部与部分工程</w:t>
      </w:r>
    </w:p>
    <w:bookmarkEnd w:id="1336"/>
    <w:p w14:paraId="2746F9DA">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承包人向发包人移交工程的期限：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5FE32BB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承包人提交的竣工资料的内容：</w:t>
      </w:r>
      <w:r>
        <w:rPr>
          <w:rFonts w:hint="eastAsia" w:ascii="微软雅黑" w:hAnsi="微软雅黑" w:eastAsia="微软雅黑" w:cs="微软雅黑"/>
          <w:color w:val="auto"/>
          <w:kern w:val="0"/>
          <w:sz w:val="24"/>
          <w:szCs w:val="24"/>
          <w:highlight w:val="none"/>
          <w:u w:val="single"/>
        </w:rPr>
        <w:t xml:space="preserve">                    。</w:t>
      </w:r>
    </w:p>
    <w:p w14:paraId="3623ECE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发包人未按本合同约定接收全部或部分工程的，违约金的计算方法为：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37"/>
    <w:p w14:paraId="12CD805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承包人未按时移交工程的，违约金的计算方法为：</w:t>
      </w:r>
      <w:r>
        <w:rPr>
          <w:rFonts w:hint="eastAsia" w:ascii="微软雅黑" w:hAnsi="微软雅黑" w:eastAsia="微软雅黑" w:cs="微软雅黑"/>
          <w:color w:val="auto"/>
          <w:sz w:val="24"/>
          <w:szCs w:val="24"/>
          <w:highlight w:val="none"/>
          <w:u w:val="single"/>
        </w:rPr>
        <w:t xml:space="preserve">             。</w:t>
      </w:r>
    </w:p>
    <w:p w14:paraId="20B58167">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13.3 工程试车</w:t>
      </w:r>
    </w:p>
    <w:bookmarkEnd w:id="1338"/>
    <w:p w14:paraId="4220CFB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13.3.1 试车程序</w:t>
      </w:r>
    </w:p>
    <w:p w14:paraId="6D94A02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工程试车内容：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14:paraId="398F6F9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（1）单机无负荷试车费用由</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承担；</w:t>
      </w:r>
    </w:p>
    <w:p w14:paraId="7937C8C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（2）无负荷联动试车费用由</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kern w:val="0"/>
          <w:sz w:val="24"/>
          <w:szCs w:val="24"/>
          <w:highlight w:val="none"/>
        </w:rPr>
        <w:t>承担。</w:t>
      </w:r>
    </w:p>
    <w:p w14:paraId="1A4F766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13.3.3 投料试车</w:t>
      </w:r>
    </w:p>
    <w:p w14:paraId="0588CF8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关于投料试车相关事项的约定：</w:t>
      </w:r>
      <w:r>
        <w:rPr>
          <w:rFonts w:hint="eastAsia" w:ascii="微软雅黑" w:hAnsi="微软雅黑" w:eastAsia="微软雅黑" w:cs="微软雅黑"/>
          <w:color w:val="auto"/>
          <w:sz w:val="24"/>
          <w:szCs w:val="24"/>
          <w:highlight w:val="none"/>
          <w:u w:val="single"/>
        </w:rPr>
        <w:t xml:space="preserve">        /      </w:t>
      </w:r>
    </w:p>
    <w:p w14:paraId="702884EA">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 竣工退场</w:t>
      </w:r>
    </w:p>
    <w:p w14:paraId="22266FF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13.6.1 竣工退场</w:t>
      </w:r>
    </w:p>
    <w:p w14:paraId="27536CF4">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承包人完成竣工退场的期限：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2DD73C4A">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40" w:name="_Toc351203646"/>
      <w:r>
        <w:rPr>
          <w:rFonts w:hint="eastAsia" w:ascii="微软雅黑" w:hAnsi="微软雅黑" w:eastAsia="微软雅黑" w:cs="微软雅黑"/>
          <w:b w:val="0"/>
          <w:color w:val="auto"/>
          <w:sz w:val="24"/>
          <w:szCs w:val="24"/>
          <w:highlight w:val="none"/>
        </w:rPr>
        <w:t>14. 竣工结算</w:t>
      </w:r>
      <w:bookmarkEnd w:id="1340"/>
    </w:p>
    <w:p w14:paraId="702ACD55">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竣工付款申请</w:t>
      </w:r>
    </w:p>
    <w:p w14:paraId="76156D68">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承包人提交竣工付款申请单的期限：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5581317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竣工付款申请单应包括的内容：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5929C959">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竣工结算审核</w:t>
      </w:r>
    </w:p>
    <w:p w14:paraId="0DAFCFE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发包人审批竣工付款申请单的期限：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6F2E9F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发包人完成竣工付款的期限：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58A8776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关于竣工付款证书异议部分复核的方式和程序：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1969B76">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 最终结清</w:t>
      </w:r>
    </w:p>
    <w:p w14:paraId="1F9D0D0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14.4.1 最终结清申请单</w:t>
      </w:r>
    </w:p>
    <w:p w14:paraId="34CABC7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承包人提交最终结清申请单的份数：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E8E2ED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承包人提交最终结算申请单的期限：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23C0BE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14.4.2 最终结清证书和支付</w:t>
      </w:r>
    </w:p>
    <w:p w14:paraId="5AC02AD0">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（1）发包人完成最终结清申请单的审批并颁发最终结清证书的期限：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5CF4FC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（2）发包人完成支付的期限：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27"/>
    <w:bookmarkEnd w:id="1328"/>
    <w:bookmarkEnd w:id="1329"/>
    <w:bookmarkEnd w:id="1330"/>
    <w:bookmarkEnd w:id="1331"/>
    <w:bookmarkEnd w:id="1332"/>
    <w:bookmarkEnd w:id="1333"/>
    <w:bookmarkEnd w:id="1339"/>
    <w:p w14:paraId="0D3E8B7B">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41" w:name="_Toc351203647"/>
      <w:bookmarkStart w:id="1342" w:name="_Toc267251483"/>
      <w:bookmarkStart w:id="1343" w:name="_Toc267251484"/>
      <w:bookmarkStart w:id="1344" w:name="_Toc267251482"/>
      <w:bookmarkStart w:id="1345" w:name="_Toc267251485"/>
      <w:bookmarkStart w:id="1346" w:name="_Toc267251486"/>
      <w:bookmarkStart w:id="1347" w:name="_Toc267251488"/>
      <w:bookmarkStart w:id="1348" w:name="_Toc267251490"/>
      <w:bookmarkStart w:id="1349" w:name="_Toc267251489"/>
      <w:bookmarkStart w:id="1350" w:name="_Toc267251496"/>
      <w:bookmarkStart w:id="1351" w:name="_Toc267251495"/>
      <w:bookmarkStart w:id="1352" w:name="_Toc267251494"/>
      <w:bookmarkStart w:id="1353" w:name="_Toc267251501"/>
      <w:bookmarkStart w:id="1354" w:name="_Toc267251497"/>
      <w:bookmarkStart w:id="1355" w:name="_Toc267251502"/>
      <w:bookmarkStart w:id="1356" w:name="_Toc267251492"/>
      <w:bookmarkStart w:id="1357" w:name="_Toc267251491"/>
      <w:bookmarkStart w:id="1358" w:name="_Toc267251499"/>
      <w:bookmarkStart w:id="1359" w:name="_Toc267251503"/>
      <w:bookmarkStart w:id="1360" w:name="_Toc267251498"/>
      <w:bookmarkStart w:id="1361" w:name="_Toc267251493"/>
      <w:bookmarkStart w:id="1362" w:name="_Toc267251504"/>
      <w:bookmarkStart w:id="1363" w:name="_Toc267251506"/>
      <w:bookmarkStart w:id="1364" w:name="_Toc267251507"/>
      <w:bookmarkStart w:id="1365" w:name="_Toc267251508"/>
      <w:bookmarkStart w:id="1366" w:name="_Toc267251515"/>
      <w:bookmarkStart w:id="1367" w:name="_Toc267251513"/>
      <w:bookmarkStart w:id="1368" w:name="_Toc267251514"/>
      <w:bookmarkStart w:id="1369" w:name="_Toc267251510"/>
      <w:bookmarkStart w:id="1370" w:name="_Toc267251509"/>
      <w:bookmarkStart w:id="1371" w:name="_Toc267251511"/>
      <w:r>
        <w:rPr>
          <w:rFonts w:hint="eastAsia" w:ascii="微软雅黑" w:hAnsi="微软雅黑" w:eastAsia="微软雅黑" w:cs="微软雅黑"/>
          <w:b w:val="0"/>
          <w:color w:val="auto"/>
          <w:sz w:val="24"/>
          <w:szCs w:val="24"/>
          <w:highlight w:val="none"/>
        </w:rPr>
        <w:t>15. 缺陷责任期与保修</w:t>
      </w:r>
      <w:bookmarkEnd w:id="1341"/>
    </w:p>
    <w:p w14:paraId="55491BDA">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15.2缺陷责任期</w:t>
      </w:r>
      <w:bookmarkEnd w:id="1342"/>
    </w:p>
    <w:p w14:paraId="769CBE9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缺陷责任期的具体期限：</w:t>
      </w:r>
      <w:r>
        <w:rPr>
          <w:rFonts w:hint="eastAsia" w:ascii="微软雅黑" w:hAnsi="微软雅黑" w:eastAsia="微软雅黑" w:cs="微软雅黑"/>
          <w:color w:val="auto"/>
          <w:sz w:val="24"/>
          <w:szCs w:val="24"/>
          <w:highlight w:val="none"/>
          <w:u w:val="single"/>
        </w:rPr>
        <w:t xml:space="preserve"> 缺陷责任期为2年，从工程通过竣工验收之日起计算。其中，道路路基、路面等主体结构的保修期按国家相关规定执行   </w:t>
      </w:r>
      <w:r>
        <w:rPr>
          <w:rFonts w:hint="eastAsia" w:ascii="微软雅黑" w:hAnsi="微软雅黑" w:eastAsia="微软雅黑" w:cs="微软雅黑"/>
          <w:color w:val="auto"/>
          <w:sz w:val="24"/>
          <w:szCs w:val="24"/>
          <w:highlight w:val="none"/>
        </w:rPr>
        <w:t>。</w:t>
      </w:r>
    </w:p>
    <w:p w14:paraId="453B78FF">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质量保证金</w:t>
      </w:r>
    </w:p>
    <w:p w14:paraId="1FBCBBF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关于是否扣留质量保证金的约定：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43906D9">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15.3.1 承包人提供质量保证金的方式</w:t>
      </w:r>
    </w:p>
    <w:p w14:paraId="2958D41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质量保证金采用以下第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种方式：</w:t>
      </w:r>
    </w:p>
    <w:p w14:paraId="6BE13562">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（1）质量保证金保函，保证金额为：</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77424067">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（2）工程决算价的 </w:t>
      </w:r>
      <w:r>
        <w:rPr>
          <w:rFonts w:hint="eastAsia" w:ascii="微软雅黑" w:hAnsi="微软雅黑" w:eastAsia="微软雅黑" w:cs="微软雅黑"/>
          <w:color w:val="auto"/>
          <w:kern w:val="0"/>
          <w:sz w:val="24"/>
          <w:szCs w:val="24"/>
          <w:highlight w:val="none"/>
          <w:u w:val="single"/>
        </w:rPr>
        <w:t xml:space="preserve"> 3 </w:t>
      </w:r>
      <w:r>
        <w:rPr>
          <w:rFonts w:hint="eastAsia" w:ascii="微软雅黑" w:hAnsi="微软雅黑" w:eastAsia="微软雅黑" w:cs="微软雅黑"/>
          <w:color w:val="auto"/>
          <w:kern w:val="0"/>
          <w:sz w:val="24"/>
          <w:szCs w:val="24"/>
          <w:highlight w:val="none"/>
        </w:rPr>
        <w:t xml:space="preserve"> %；</w:t>
      </w:r>
    </w:p>
    <w:p w14:paraId="5BBEACE7">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（3）其他方式:</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11643FDB">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15.3.2 质量保证金的扣留 </w:t>
      </w:r>
    </w:p>
    <w:p w14:paraId="02A662A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质量保证金的扣留采取以下第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种方式：</w:t>
      </w:r>
    </w:p>
    <w:p w14:paraId="15B58346">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（1）在支付工程进度款时逐次扣留，在此情形下，质量保证金的计算基数不包括预付款的支付、扣回以及价格调整的金额；</w:t>
      </w:r>
    </w:p>
    <w:p w14:paraId="7353890A">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（2）工程竣工结算时一次性扣留质量保证金；</w:t>
      </w:r>
    </w:p>
    <w:p w14:paraId="335BA9AA">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（3）其他扣留方式:</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731CED4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关于质量保证金的补充约定：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bookmarkEnd w:id="1343"/>
    <w:bookmarkEnd w:id="1344"/>
    <w:p w14:paraId="772ED010">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15.4保修</w:t>
      </w:r>
    </w:p>
    <w:bookmarkEnd w:id="1345"/>
    <w:p w14:paraId="552A386F">
      <w:pPr>
        <w:keepLines w:val="0"/>
        <w:pageBreakBefore w:val="0"/>
        <w:kinsoku/>
        <w:wordWrap/>
        <w:overflowPunct/>
        <w:topLinePunct w:val="0"/>
        <w:bidi w:val="0"/>
        <w:adjustRightInd w:val="0"/>
        <w:snapToGrid w:val="0"/>
        <w:spacing w:line="520" w:lineRule="exact"/>
        <w:ind w:right="-19" w:rightChars="-9" w:firstLine="468" w:firstLineChars="19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15.4.1 保修责任</w:t>
      </w:r>
    </w:p>
    <w:p w14:paraId="148F3D85">
      <w:pPr>
        <w:keepLines w:val="0"/>
        <w:pageBreakBefore w:val="0"/>
        <w:kinsoku/>
        <w:wordWrap/>
        <w:overflowPunct/>
        <w:topLinePunct w:val="0"/>
        <w:bidi w:val="0"/>
        <w:adjustRightInd w:val="0"/>
        <w:snapToGrid w:val="0"/>
        <w:spacing w:line="520" w:lineRule="exact"/>
        <w:ind w:right="-19" w:rightChars="-9" w:firstLine="468" w:firstLineChars="195"/>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工程保修期为：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47822153">
      <w:pPr>
        <w:keepLines w:val="0"/>
        <w:pageBreakBefore w:val="0"/>
        <w:kinsoku/>
        <w:wordWrap/>
        <w:overflowPunct/>
        <w:topLinePunct w:val="0"/>
        <w:bidi w:val="0"/>
        <w:adjustRightInd w:val="0"/>
        <w:snapToGrid w:val="0"/>
        <w:spacing w:line="520" w:lineRule="exact"/>
        <w:ind w:right="-19" w:rightChars="-9" w:firstLine="468" w:firstLineChars="19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15.4.3 修复通知</w:t>
      </w:r>
    </w:p>
    <w:p w14:paraId="7733F8B1">
      <w:pPr>
        <w:keepLines w:val="0"/>
        <w:pageBreakBefore w:val="0"/>
        <w:kinsoku/>
        <w:wordWrap/>
        <w:overflowPunct/>
        <w:topLinePunct w:val="0"/>
        <w:bidi w:val="0"/>
        <w:adjustRightInd w:val="0"/>
        <w:snapToGrid w:val="0"/>
        <w:spacing w:line="520" w:lineRule="exact"/>
        <w:ind w:right="-19" w:rightChars="-9" w:firstLine="468" w:firstLineChars="195"/>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承包人收到保修通知并到达工程现场的合理时间：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bookmarkEnd w:id="1346"/>
    <w:bookmarkEnd w:id="1347"/>
    <w:bookmarkEnd w:id="1348"/>
    <w:bookmarkEnd w:id="1349"/>
    <w:p w14:paraId="4BB6BD02">
      <w:pPr>
        <w:keepLines w:val="0"/>
        <w:pageBreakBefore w:val="0"/>
        <w:kinsoku/>
        <w:wordWrap/>
        <w:overflowPunct/>
        <w:topLinePunct w:val="0"/>
        <w:bidi w:val="0"/>
        <w:snapToGrid w:val="0"/>
        <w:spacing w:before="120" w:after="120" w:line="52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72" w:name="_Toc351203648"/>
      <w:bookmarkStart w:id="1373" w:name="_Toc280868717"/>
      <w:bookmarkStart w:id="1374" w:name="_Toc280868718"/>
      <w:r>
        <w:rPr>
          <w:rFonts w:hint="eastAsia" w:ascii="微软雅黑" w:hAnsi="微软雅黑" w:eastAsia="微软雅黑" w:cs="微软雅黑"/>
          <w:b w:val="0"/>
          <w:color w:val="auto"/>
          <w:sz w:val="24"/>
          <w:szCs w:val="24"/>
          <w:highlight w:val="none"/>
        </w:rPr>
        <w:t>16. 违约</w:t>
      </w:r>
      <w:bookmarkEnd w:id="1372"/>
    </w:p>
    <w:p w14:paraId="4416CE6A">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发包人违约</w:t>
      </w:r>
    </w:p>
    <w:p w14:paraId="7B57ABE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16.1.1发包人违约的情形</w:t>
      </w:r>
    </w:p>
    <w:p w14:paraId="236CB583">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发包人违约的其他情形：</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5EC0EB2F">
      <w:pPr>
        <w:keepLines w:val="0"/>
        <w:pageBreakBefore w:val="0"/>
        <w:kinsoku/>
        <w:wordWrap/>
        <w:overflowPunct/>
        <w:topLinePunct w:val="0"/>
        <w:bidi w:val="0"/>
        <w:adjustRightInd w:val="0"/>
        <w:snapToGrid w:val="0"/>
        <w:spacing w:line="520" w:lineRule="exact"/>
        <w:ind w:left="1050" w:right="-19" w:rightChars="-9" w:hanging="1200" w:hangingChars="5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16.1.2 发包人违约的责任</w:t>
      </w:r>
    </w:p>
    <w:p w14:paraId="2BD8BF44">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发包人违约责任的承担方式和计算方法：</w:t>
      </w:r>
    </w:p>
    <w:p w14:paraId="4767762C">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（1）因发包人原因未能在计划开工日期前7天内下达开工通知的违约责任：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E02A34F">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（2）因发包人原因未能按合同约定支付合同价款的违约责任：</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6272474">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（3）发包人违反第10.1款〔变更的范围〕第（2）项约定，自行实施被取消的工作或转由他人实施的违约责任：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018614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322AE2DD">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（5）因发包人违反合同约定造成暂停施工的违约责任：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1D3E208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（6）发包人无正当理由没有在约定期限内发出复工指示，导致承包人无法复工的违约责任：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4597A24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（7）其他：</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36665FC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16.1.3 因发包人违约解除合同</w:t>
      </w:r>
    </w:p>
    <w:p w14:paraId="3BABA4B2">
      <w:pPr>
        <w:keepLines w:val="0"/>
        <w:pageBreakBefore w:val="0"/>
        <w:kinsoku/>
        <w:wordWrap/>
        <w:overflowPunct/>
        <w:topLinePunct w:val="0"/>
        <w:autoSpaceDE w:val="0"/>
        <w:autoSpaceDN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承包人按16.1.1项〔发包人违约的情形〕约定暂停施工满</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天后发包人仍不纠正其违约行为并致使合同目的不能实现的，承包人有权解除合同。</w:t>
      </w:r>
    </w:p>
    <w:p w14:paraId="109C09DA">
      <w:pPr>
        <w:keepLines w:val="0"/>
        <w:pageBreakBefore w:val="0"/>
        <w:kinsoku/>
        <w:wordWrap/>
        <w:overflowPunct/>
        <w:topLinePunct w:val="0"/>
        <w:bidi w:val="0"/>
        <w:adjustRightInd w:val="0"/>
        <w:snapToGrid w:val="0"/>
        <w:spacing w:after="120"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承包人违约</w:t>
      </w:r>
    </w:p>
    <w:p w14:paraId="100DB4C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16.2.1 承包人违约的情形</w:t>
      </w:r>
    </w:p>
    <w:p w14:paraId="64D6CDA7">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承包人违约的其他情形：</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2B6F221">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16.2.2承包人违约的责任</w:t>
      </w:r>
    </w:p>
    <w:p w14:paraId="4C0BF5C6">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承包人违约责任的承担方式和计算方法：</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8E9DFAE">
      <w:pPr>
        <w:keepLines w:val="0"/>
        <w:pageBreakBefore w:val="0"/>
        <w:kinsoku/>
        <w:wordWrap/>
        <w:overflowPunct/>
        <w:topLinePunct w:val="0"/>
        <w:bidi w:val="0"/>
        <w:adjustRightInd w:val="0"/>
        <w:snapToGrid w:val="0"/>
        <w:spacing w:line="52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16.2.3 因承包人违约解除合同</w:t>
      </w:r>
    </w:p>
    <w:p w14:paraId="42037AC1">
      <w:pPr>
        <w:keepLines w:val="0"/>
        <w:pageBreakBefore w:val="0"/>
        <w:kinsoku/>
        <w:wordWrap/>
        <w:overflowPunct/>
        <w:topLinePunct w:val="0"/>
        <w:bidi w:val="0"/>
        <w:adjustRightInd w:val="0"/>
        <w:snapToGrid w:val="0"/>
        <w:spacing w:before="120" w:after="120"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关于承包人违约解除合同的特别约定：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38C8C762">
      <w:pPr>
        <w:keepLines w:val="0"/>
        <w:pageBreakBefore w:val="0"/>
        <w:kinsoku/>
        <w:wordWrap/>
        <w:overflowPunct/>
        <w:topLinePunct w:val="0"/>
        <w:bidi w:val="0"/>
        <w:adjustRightInd w:val="0"/>
        <w:snapToGrid w:val="0"/>
        <w:spacing w:before="120" w:after="120"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11E03349">
      <w:pPr>
        <w:keepNext w:val="0"/>
        <w:keepLines w:val="0"/>
        <w:pageBreakBefore w:val="0"/>
        <w:widowControl w:val="0"/>
        <w:kinsoku/>
        <w:wordWrap/>
        <w:overflowPunct/>
        <w:topLinePunct w:val="0"/>
        <w:bidi w:val="0"/>
        <w:snapToGrid w:val="0"/>
        <w:spacing w:before="120" w:after="120" w:line="52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75" w:name="_Toc351203649"/>
      <w:r>
        <w:rPr>
          <w:rFonts w:hint="eastAsia" w:ascii="微软雅黑" w:hAnsi="微软雅黑" w:eastAsia="微软雅黑" w:cs="微软雅黑"/>
          <w:b w:val="0"/>
          <w:color w:val="auto"/>
          <w:sz w:val="24"/>
          <w:szCs w:val="24"/>
          <w:highlight w:val="none"/>
        </w:rPr>
        <w:t>17. 不可抗力</w:t>
      </w:r>
      <w:bookmarkEnd w:id="1375"/>
      <w:r>
        <w:rPr>
          <w:rFonts w:hint="eastAsia" w:ascii="微软雅黑" w:hAnsi="微软雅黑" w:eastAsia="微软雅黑" w:cs="微软雅黑"/>
          <w:b w:val="0"/>
          <w:color w:val="auto"/>
          <w:sz w:val="24"/>
          <w:szCs w:val="24"/>
          <w:highlight w:val="none"/>
        </w:rPr>
        <w:t xml:space="preserve"> </w:t>
      </w:r>
      <w:bookmarkEnd w:id="1373"/>
    </w:p>
    <w:p w14:paraId="4E7395EF">
      <w:pPr>
        <w:keepNext w:val="0"/>
        <w:keepLines w:val="0"/>
        <w:pageBreakBefore w:val="0"/>
        <w:widowControl w:val="0"/>
        <w:kinsoku/>
        <w:wordWrap/>
        <w:overflowPunct/>
        <w:topLinePunct w:val="0"/>
        <w:bidi w:val="0"/>
        <w:adjustRightInd w:val="0"/>
        <w:snapToGrid w:val="0"/>
        <w:spacing w:after="120" w:line="52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不可抗力的确认</w:t>
      </w:r>
    </w:p>
    <w:p w14:paraId="3C7EA76B">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除通用合同条款约定的不可抗力事件之外，视为不可抗力的其他情形： </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06C7B104">
      <w:pPr>
        <w:keepNext w:val="0"/>
        <w:keepLines w:val="0"/>
        <w:pageBreakBefore w:val="0"/>
        <w:widowControl w:val="0"/>
        <w:kinsoku/>
        <w:wordWrap/>
        <w:overflowPunct/>
        <w:topLinePunct w:val="0"/>
        <w:bidi w:val="0"/>
        <w:adjustRightInd w:val="0"/>
        <w:snapToGrid w:val="0"/>
        <w:spacing w:after="120" w:line="52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17.4 因不可抗力解除合同</w:t>
      </w:r>
    </w:p>
    <w:p w14:paraId="768887CC">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合同解除后，发包人应在商定或确定发包人应支付款项后</w:t>
      </w:r>
      <w:r>
        <w:rPr>
          <w:rFonts w:hint="eastAsia" w:ascii="微软雅黑" w:hAnsi="微软雅黑" w:eastAsia="微软雅黑" w:cs="微软雅黑"/>
          <w:color w:val="auto"/>
          <w:sz w:val="24"/>
          <w:szCs w:val="24"/>
          <w:highlight w:val="none"/>
          <w:u w:val="single"/>
        </w:rPr>
        <w:t xml:space="preserve"> 28</w:t>
      </w:r>
      <w:r>
        <w:rPr>
          <w:rFonts w:hint="eastAsia" w:ascii="微软雅黑" w:hAnsi="微软雅黑" w:eastAsia="微软雅黑" w:cs="微软雅黑"/>
          <w:color w:val="auto"/>
          <w:sz w:val="24"/>
          <w:szCs w:val="24"/>
          <w:highlight w:val="none"/>
        </w:rPr>
        <w:t>天内完成款项的支付。</w:t>
      </w:r>
    </w:p>
    <w:p w14:paraId="7986DE6D">
      <w:pPr>
        <w:keepNext w:val="0"/>
        <w:keepLines w:val="0"/>
        <w:pageBreakBefore w:val="0"/>
        <w:widowControl w:val="0"/>
        <w:kinsoku/>
        <w:wordWrap/>
        <w:overflowPunct/>
        <w:topLinePunct w:val="0"/>
        <w:bidi w:val="0"/>
        <w:snapToGrid w:val="0"/>
        <w:spacing w:before="120" w:after="120" w:line="52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76" w:name="_Toc351203650"/>
      <w:r>
        <w:rPr>
          <w:rFonts w:hint="eastAsia" w:ascii="微软雅黑" w:hAnsi="微软雅黑" w:eastAsia="微软雅黑" w:cs="微软雅黑"/>
          <w:b w:val="0"/>
          <w:color w:val="auto"/>
          <w:sz w:val="24"/>
          <w:szCs w:val="24"/>
          <w:highlight w:val="none"/>
        </w:rPr>
        <w:t>18. 保险</w:t>
      </w:r>
      <w:bookmarkEnd w:id="1376"/>
    </w:p>
    <w:bookmarkEnd w:id="1374"/>
    <w:p w14:paraId="46541590">
      <w:pPr>
        <w:keepNext w:val="0"/>
        <w:keepLines w:val="0"/>
        <w:pageBreakBefore w:val="0"/>
        <w:widowControl w:val="0"/>
        <w:kinsoku/>
        <w:wordWrap/>
        <w:overflowPunct/>
        <w:topLinePunct w:val="0"/>
        <w:bidi w:val="0"/>
        <w:adjustRightInd w:val="0"/>
        <w:snapToGrid w:val="0"/>
        <w:spacing w:after="120" w:line="52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 工程保险</w:t>
      </w:r>
    </w:p>
    <w:p w14:paraId="295D7575">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关于工程保险的特别约定：</w:t>
      </w:r>
      <w:r>
        <w:rPr>
          <w:rFonts w:hint="eastAsia" w:ascii="微软雅黑" w:hAnsi="微软雅黑" w:eastAsia="微软雅黑" w:cs="微软雅黑"/>
          <w:color w:val="auto"/>
          <w:kern w:val="0"/>
          <w:sz w:val="24"/>
          <w:szCs w:val="24"/>
          <w:highlight w:val="none"/>
          <w:u w:val="single"/>
        </w:rPr>
        <w:t xml:space="preserve">                。</w:t>
      </w:r>
    </w:p>
    <w:p w14:paraId="1D3CB189">
      <w:pPr>
        <w:keepNext w:val="0"/>
        <w:keepLines w:val="0"/>
        <w:pageBreakBefore w:val="0"/>
        <w:widowControl w:val="0"/>
        <w:kinsoku/>
        <w:wordWrap/>
        <w:overflowPunct/>
        <w:topLinePunct w:val="0"/>
        <w:bidi w:val="0"/>
        <w:adjustRightInd w:val="0"/>
        <w:snapToGrid w:val="0"/>
        <w:spacing w:after="120" w:line="52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18.3 其他保险</w:t>
      </w:r>
    </w:p>
    <w:p w14:paraId="6E846568">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关于其他保险的约定：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14:paraId="5A962F27">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承包人是否应为其施工设备等办理财产保险：</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0DC9487A">
      <w:pPr>
        <w:keepNext w:val="0"/>
        <w:keepLines w:val="0"/>
        <w:pageBreakBefore w:val="0"/>
        <w:widowControl w:val="0"/>
        <w:kinsoku/>
        <w:wordWrap/>
        <w:overflowPunct/>
        <w:topLinePunct w:val="0"/>
        <w:bidi w:val="0"/>
        <w:adjustRightInd w:val="0"/>
        <w:snapToGrid w:val="0"/>
        <w:spacing w:after="120" w:line="52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18.7 通知义务</w:t>
      </w:r>
    </w:p>
    <w:p w14:paraId="26BCA3BA">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关于变更保险合同时的通知义务的约定：</w:t>
      </w:r>
      <w:r>
        <w:rPr>
          <w:rFonts w:hint="eastAsia" w:ascii="微软雅黑" w:hAnsi="微软雅黑" w:eastAsia="微软雅黑" w:cs="微软雅黑"/>
          <w:color w:val="auto"/>
          <w:sz w:val="24"/>
          <w:szCs w:val="24"/>
          <w:highlight w:val="none"/>
          <w:u w:val="single"/>
        </w:rPr>
        <w:t>无</w:t>
      </w:r>
      <w:r>
        <w:rPr>
          <w:rFonts w:hint="eastAsia" w:ascii="微软雅黑" w:hAnsi="微软雅黑" w:eastAsia="微软雅黑" w:cs="微软雅黑"/>
          <w:color w:val="auto"/>
          <w:sz w:val="24"/>
          <w:szCs w:val="24"/>
          <w:highlight w:val="none"/>
        </w:rPr>
        <w:t>。</w:t>
      </w:r>
    </w:p>
    <w:bookmarkEnd w:id="1350"/>
    <w:bookmarkEnd w:id="1351"/>
    <w:bookmarkEnd w:id="1352"/>
    <w:bookmarkEnd w:id="1353"/>
    <w:bookmarkEnd w:id="1354"/>
    <w:bookmarkEnd w:id="1355"/>
    <w:bookmarkEnd w:id="1356"/>
    <w:bookmarkEnd w:id="1357"/>
    <w:bookmarkEnd w:id="1358"/>
    <w:bookmarkEnd w:id="1359"/>
    <w:bookmarkEnd w:id="1360"/>
    <w:bookmarkEnd w:id="1361"/>
    <w:p w14:paraId="159343F8">
      <w:pPr>
        <w:keepNext w:val="0"/>
        <w:keepLines w:val="0"/>
        <w:pageBreakBefore w:val="0"/>
        <w:widowControl w:val="0"/>
        <w:kinsoku/>
        <w:wordWrap/>
        <w:overflowPunct/>
        <w:topLinePunct w:val="0"/>
        <w:bidi w:val="0"/>
        <w:snapToGrid w:val="0"/>
        <w:spacing w:before="120" w:after="120" w:line="52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77" w:name="_Toc351203651"/>
      <w:r>
        <w:rPr>
          <w:rFonts w:hint="eastAsia" w:ascii="微软雅黑" w:hAnsi="微软雅黑" w:eastAsia="微软雅黑" w:cs="微软雅黑"/>
          <w:b w:val="0"/>
          <w:color w:val="auto"/>
          <w:sz w:val="24"/>
          <w:szCs w:val="24"/>
          <w:highlight w:val="none"/>
        </w:rPr>
        <w:t>20. 争议解决</w:t>
      </w:r>
      <w:bookmarkEnd w:id="1377"/>
    </w:p>
    <w:bookmarkEnd w:id="1362"/>
    <w:bookmarkEnd w:id="1363"/>
    <w:p w14:paraId="43358336">
      <w:pPr>
        <w:keepNext w:val="0"/>
        <w:keepLines w:val="0"/>
        <w:pageBreakBefore w:val="0"/>
        <w:widowControl w:val="0"/>
        <w:kinsoku/>
        <w:wordWrap/>
        <w:overflowPunct/>
        <w:topLinePunct w:val="0"/>
        <w:bidi w:val="0"/>
        <w:adjustRightInd w:val="0"/>
        <w:snapToGrid w:val="0"/>
        <w:spacing w:after="120" w:line="52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 争</w:t>
      </w:r>
      <w:bookmarkEnd w:id="1364"/>
      <w:r>
        <w:rPr>
          <w:rFonts w:hint="eastAsia" w:ascii="微软雅黑" w:hAnsi="微软雅黑" w:eastAsia="微软雅黑" w:cs="微软雅黑"/>
          <w:color w:val="auto"/>
          <w:sz w:val="24"/>
          <w:szCs w:val="24"/>
          <w:highlight w:val="none"/>
        </w:rPr>
        <w:t>议评审</w:t>
      </w:r>
    </w:p>
    <w:p w14:paraId="7CD27B82">
      <w:pPr>
        <w:keepNext w:val="0"/>
        <w:keepLines w:val="0"/>
        <w:pageBreakBefore w:val="0"/>
        <w:widowControl w:val="0"/>
        <w:kinsoku/>
        <w:wordWrap/>
        <w:overflowPunct/>
        <w:topLinePunct w:val="0"/>
        <w:bidi w:val="0"/>
        <w:adjustRightInd w:val="0"/>
        <w:snapToGrid w:val="0"/>
        <w:spacing w:line="520" w:lineRule="exact"/>
        <w:ind w:left="149" w:leftChars="71" w:right="-19" w:rightChars="-9" w:firstLine="360" w:firstLineChars="15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合同当事人是否同意将工程争议提交争议评审小组决定：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694B4A14">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20.3.1 争议评审小组的确定</w:t>
      </w:r>
    </w:p>
    <w:p w14:paraId="2515EA8E">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争议评审小组成员的确定：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2CD759B2">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组成争议评审小组选定争议评审员的期限：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4EFF945">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争议评审小组成员的报酬承担方式：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66B63CCC">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其他事项的约定：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1A3CFCEC">
      <w:pPr>
        <w:keepNext w:val="0"/>
        <w:keepLines w:val="0"/>
        <w:pageBreakBefore w:val="0"/>
        <w:widowControl w:val="0"/>
        <w:kinsoku/>
        <w:wordWrap/>
        <w:overflowPunct/>
        <w:topLinePunct w:val="0"/>
        <w:autoSpaceDE w:val="0"/>
        <w:autoSpaceDN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20.3.2 争议评审小组的决定</w:t>
      </w:r>
    </w:p>
    <w:p w14:paraId="359877C7">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合同当事人关于本项的约定：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3081091C">
      <w:pPr>
        <w:keepNext w:val="0"/>
        <w:keepLines w:val="0"/>
        <w:pageBreakBefore w:val="0"/>
        <w:widowControl w:val="0"/>
        <w:kinsoku/>
        <w:wordWrap/>
        <w:overflowPunct/>
        <w:topLinePunct w:val="0"/>
        <w:bidi w:val="0"/>
        <w:adjustRightInd w:val="0"/>
        <w:snapToGrid w:val="0"/>
        <w:spacing w:after="120" w:line="52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20.4仲裁或诉讼</w:t>
      </w:r>
      <w:bookmarkEnd w:id="1365"/>
    </w:p>
    <w:p w14:paraId="591E2624">
      <w:pPr>
        <w:keepNext w:val="0"/>
        <w:keepLines w:val="0"/>
        <w:pageBreakBefore w:val="0"/>
        <w:widowControl w:val="0"/>
        <w:kinsoku/>
        <w:wordWrap/>
        <w:overflowPunct/>
        <w:topLinePunct w:val="0"/>
        <w:bidi w:val="0"/>
        <w:adjustRightInd w:val="0"/>
        <w:snapToGrid w:val="0"/>
        <w:spacing w:after="120" w:line="52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因合同及合同有关事项发生的争议，按下列第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14:paraId="22A016B3">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仲裁委员会申请仲裁；</w:t>
      </w:r>
    </w:p>
    <w:p w14:paraId="559D186C">
      <w:pPr>
        <w:keepNext w:val="0"/>
        <w:keepLines w:val="0"/>
        <w:pageBreakBefore w:val="0"/>
        <w:widowControl w:val="0"/>
        <w:kinsoku/>
        <w:wordWrap/>
        <w:overflowPunct/>
        <w:topLinePunct w:val="0"/>
        <w:bidi w:val="0"/>
        <w:adjustRightInd w:val="0"/>
        <w:snapToGrid w:val="0"/>
        <w:spacing w:line="52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人民法院</w:t>
      </w:r>
      <w:bookmarkEnd w:id="1366"/>
      <w:bookmarkEnd w:id="1367"/>
      <w:bookmarkEnd w:id="1368"/>
      <w:bookmarkEnd w:id="1369"/>
      <w:bookmarkEnd w:id="1370"/>
      <w:bookmarkEnd w:id="1371"/>
      <w:r>
        <w:rPr>
          <w:rFonts w:hint="eastAsia" w:ascii="微软雅黑" w:hAnsi="微软雅黑" w:eastAsia="微软雅黑" w:cs="微软雅黑"/>
          <w:color w:val="auto"/>
          <w:sz w:val="24"/>
          <w:szCs w:val="24"/>
          <w:highlight w:val="none"/>
        </w:rPr>
        <w:t>起诉。</w:t>
      </w:r>
    </w:p>
    <w:p w14:paraId="2D56E87A">
      <w:pPr>
        <w:keepLines w:val="0"/>
        <w:pageBreakBefore w:val="0"/>
        <w:kinsoku/>
        <w:wordWrap/>
        <w:overflowPunct/>
        <w:topLinePunct w:val="0"/>
        <w:bidi w:val="0"/>
        <w:adjustRightInd w:val="0"/>
        <w:snapToGrid w:val="0"/>
        <w:spacing w:line="520" w:lineRule="exact"/>
        <w:ind w:right="-19" w:rightChars="-9"/>
        <w:jc w:val="left"/>
        <w:outlineLvl w:val="9"/>
        <w:rPr>
          <w:rFonts w:hint="eastAsia" w:ascii="微软雅黑" w:hAnsi="微软雅黑" w:eastAsia="微软雅黑" w:cs="微软雅黑"/>
          <w:color w:val="auto"/>
          <w:sz w:val="24"/>
          <w:szCs w:val="24"/>
          <w:highlight w:val="none"/>
        </w:rPr>
        <w:sectPr>
          <w:footerReference r:id="rId9" w:type="first"/>
          <w:footerReference r:id="rId8" w:type="default"/>
          <w:pgSz w:w="11905" w:h="16838"/>
          <w:pgMar w:top="1440" w:right="1083" w:bottom="1440" w:left="1083" w:header="851" w:footer="992" w:gutter="0"/>
          <w:pgNumType w:fmt="decimal"/>
          <w:cols w:space="0" w:num="1"/>
          <w:rtlGutter w:val="0"/>
          <w:docGrid w:linePitch="312" w:charSpace="0"/>
        </w:sectPr>
      </w:pPr>
    </w:p>
    <w:p w14:paraId="65150A25">
      <w:pPr>
        <w:keepLines w:val="0"/>
        <w:pageBreakBefore w:val="0"/>
        <w:kinsoku/>
        <w:wordWrap/>
        <w:overflowPunct/>
        <w:topLinePunct w:val="0"/>
        <w:bidi w:val="0"/>
        <w:spacing w:before="156" w:beforeLines="50" w:after="156" w:afterLines="50" w:line="520" w:lineRule="exact"/>
        <w:ind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附件1：</w:t>
      </w:r>
    </w:p>
    <w:p w14:paraId="7DD20396">
      <w:pPr>
        <w:keepLines w:val="0"/>
        <w:pageBreakBefore w:val="0"/>
        <w:kinsoku/>
        <w:wordWrap/>
        <w:overflowPunct/>
        <w:topLinePunct w:val="0"/>
        <w:bidi w:val="0"/>
        <w:spacing w:before="156" w:beforeLines="50" w:after="156" w:afterLines="50" w:line="52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承包人承揽工程项目一览表</w:t>
      </w:r>
    </w:p>
    <w:p w14:paraId="42168434">
      <w:pPr>
        <w:keepLines w:val="0"/>
        <w:pageBreakBefore w:val="0"/>
        <w:kinsoku/>
        <w:wordWrap/>
        <w:overflowPunct/>
        <w:topLinePunct w:val="0"/>
        <w:bidi w:val="0"/>
        <w:spacing w:before="156" w:beforeLines="50" w:after="156" w:afterLines="50" w:line="520" w:lineRule="exact"/>
        <w:ind w:right="-19" w:rightChars="-9"/>
        <w:jc w:val="center"/>
        <w:outlineLvl w:val="9"/>
        <w:rPr>
          <w:rFonts w:hint="eastAsia" w:ascii="微软雅黑" w:hAnsi="微软雅黑" w:eastAsia="微软雅黑" w:cs="微软雅黑"/>
          <w:color w:val="auto"/>
          <w:sz w:val="24"/>
          <w:szCs w:val="24"/>
          <w:highlight w:val="none"/>
        </w:rPr>
      </w:pPr>
    </w:p>
    <w:tbl>
      <w:tblPr>
        <w:tblStyle w:val="3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120"/>
        <w:gridCol w:w="850"/>
        <w:gridCol w:w="1559"/>
        <w:gridCol w:w="851"/>
        <w:gridCol w:w="850"/>
        <w:gridCol w:w="1276"/>
        <w:gridCol w:w="1276"/>
        <w:gridCol w:w="1984"/>
        <w:gridCol w:w="1418"/>
        <w:gridCol w:w="1417"/>
      </w:tblGrid>
      <w:tr w14:paraId="2F686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120" w:type="dxa"/>
            <w:tcBorders>
              <w:top w:val="single" w:color="auto" w:sz="12" w:space="0"/>
              <w:bottom w:val="double" w:color="auto" w:sz="6" w:space="0"/>
            </w:tcBorders>
            <w:noWrap w:val="0"/>
            <w:vAlign w:val="center"/>
          </w:tcPr>
          <w:p w14:paraId="4BE83F6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单位工程名称</w:t>
            </w:r>
          </w:p>
        </w:tc>
        <w:tc>
          <w:tcPr>
            <w:tcW w:w="850" w:type="dxa"/>
            <w:tcBorders>
              <w:top w:val="single" w:color="auto" w:sz="12" w:space="0"/>
              <w:bottom w:val="double" w:color="auto" w:sz="6" w:space="0"/>
            </w:tcBorders>
            <w:noWrap w:val="0"/>
            <w:vAlign w:val="center"/>
          </w:tcPr>
          <w:p w14:paraId="4D54505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建设规模</w:t>
            </w:r>
          </w:p>
        </w:tc>
        <w:tc>
          <w:tcPr>
            <w:tcW w:w="1559" w:type="dxa"/>
            <w:tcBorders>
              <w:top w:val="single" w:color="auto" w:sz="12" w:space="0"/>
              <w:bottom w:val="double" w:color="auto" w:sz="6" w:space="0"/>
            </w:tcBorders>
            <w:noWrap w:val="0"/>
            <w:vAlign w:val="center"/>
          </w:tcPr>
          <w:p w14:paraId="52F041C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建筑面积</w:t>
            </w:r>
          </w:p>
          <w:p w14:paraId="79C2866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(平方米)</w:t>
            </w:r>
          </w:p>
        </w:tc>
        <w:tc>
          <w:tcPr>
            <w:tcW w:w="851" w:type="dxa"/>
            <w:tcBorders>
              <w:top w:val="single" w:color="auto" w:sz="12" w:space="0"/>
              <w:bottom w:val="double" w:color="auto" w:sz="6" w:space="0"/>
            </w:tcBorders>
            <w:noWrap w:val="0"/>
            <w:vAlign w:val="center"/>
          </w:tcPr>
          <w:p w14:paraId="08E5A5F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结构形式</w:t>
            </w:r>
          </w:p>
        </w:tc>
        <w:tc>
          <w:tcPr>
            <w:tcW w:w="850" w:type="dxa"/>
            <w:tcBorders>
              <w:top w:val="single" w:color="auto" w:sz="12" w:space="0"/>
              <w:bottom w:val="double" w:color="auto" w:sz="6" w:space="0"/>
            </w:tcBorders>
            <w:noWrap w:val="0"/>
            <w:vAlign w:val="center"/>
          </w:tcPr>
          <w:p w14:paraId="190A527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层数</w:t>
            </w:r>
          </w:p>
        </w:tc>
        <w:tc>
          <w:tcPr>
            <w:tcW w:w="1276" w:type="dxa"/>
            <w:tcBorders>
              <w:top w:val="single" w:color="auto" w:sz="12" w:space="0"/>
              <w:bottom w:val="double" w:color="auto" w:sz="6" w:space="0"/>
            </w:tcBorders>
            <w:noWrap w:val="0"/>
            <w:vAlign w:val="center"/>
          </w:tcPr>
          <w:p w14:paraId="6EA76F6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生产</w:t>
            </w:r>
          </w:p>
          <w:p w14:paraId="7B81EE7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能力</w:t>
            </w:r>
          </w:p>
        </w:tc>
        <w:tc>
          <w:tcPr>
            <w:tcW w:w="1276" w:type="dxa"/>
            <w:tcBorders>
              <w:top w:val="single" w:color="auto" w:sz="12" w:space="0"/>
              <w:bottom w:val="double" w:color="auto" w:sz="6" w:space="0"/>
            </w:tcBorders>
            <w:noWrap w:val="0"/>
            <w:vAlign w:val="center"/>
          </w:tcPr>
          <w:p w14:paraId="4B5C0DB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设备安装内容</w:t>
            </w:r>
          </w:p>
        </w:tc>
        <w:tc>
          <w:tcPr>
            <w:tcW w:w="1984" w:type="dxa"/>
            <w:tcBorders>
              <w:top w:val="single" w:color="auto" w:sz="12" w:space="0"/>
              <w:bottom w:val="double" w:color="auto" w:sz="6" w:space="0"/>
            </w:tcBorders>
            <w:noWrap w:val="0"/>
            <w:vAlign w:val="center"/>
          </w:tcPr>
          <w:p w14:paraId="041D38E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合同价格（元）</w:t>
            </w:r>
          </w:p>
        </w:tc>
        <w:tc>
          <w:tcPr>
            <w:tcW w:w="1418" w:type="dxa"/>
            <w:tcBorders>
              <w:top w:val="single" w:color="auto" w:sz="12" w:space="0"/>
              <w:bottom w:val="double" w:color="auto" w:sz="6" w:space="0"/>
            </w:tcBorders>
            <w:noWrap w:val="0"/>
            <w:vAlign w:val="center"/>
          </w:tcPr>
          <w:p w14:paraId="024651A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开工日期</w:t>
            </w:r>
          </w:p>
        </w:tc>
        <w:tc>
          <w:tcPr>
            <w:tcW w:w="1417" w:type="dxa"/>
            <w:tcBorders>
              <w:top w:val="single" w:color="auto" w:sz="12" w:space="0"/>
              <w:bottom w:val="double" w:color="auto" w:sz="6" w:space="0"/>
            </w:tcBorders>
            <w:noWrap w:val="0"/>
            <w:vAlign w:val="center"/>
          </w:tcPr>
          <w:p w14:paraId="4CF9F4F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竣工日期</w:t>
            </w:r>
          </w:p>
        </w:tc>
      </w:tr>
      <w:tr w14:paraId="2BBDC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2" w:hRule="atLeast"/>
        </w:trPr>
        <w:tc>
          <w:tcPr>
            <w:tcW w:w="3120" w:type="dxa"/>
            <w:tcBorders>
              <w:top w:val="double" w:color="auto" w:sz="6" w:space="0"/>
              <w:bottom w:val="single" w:color="auto" w:sz="6" w:space="0"/>
            </w:tcBorders>
            <w:noWrap w:val="0"/>
            <w:vAlign w:val="center"/>
          </w:tcPr>
          <w:p w14:paraId="5321BE4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14:paraId="0802195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double" w:color="auto" w:sz="6" w:space="0"/>
              <w:bottom w:val="single" w:color="auto" w:sz="6" w:space="0"/>
            </w:tcBorders>
            <w:noWrap w:val="0"/>
            <w:vAlign w:val="center"/>
          </w:tcPr>
          <w:p w14:paraId="26E1334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14:paraId="459C1DD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14:paraId="50D5866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14:paraId="0F8B519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14:paraId="2502CFD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double" w:color="auto" w:sz="6" w:space="0"/>
              <w:bottom w:val="single" w:color="auto" w:sz="6" w:space="0"/>
            </w:tcBorders>
            <w:noWrap w:val="0"/>
            <w:vAlign w:val="center"/>
          </w:tcPr>
          <w:p w14:paraId="0305405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14:paraId="359AB09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double" w:color="auto" w:sz="6" w:space="0"/>
              <w:bottom w:val="single" w:color="auto" w:sz="6" w:space="0"/>
            </w:tcBorders>
            <w:noWrap w:val="0"/>
            <w:vAlign w:val="center"/>
          </w:tcPr>
          <w:p w14:paraId="3AD2ABD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37047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14:paraId="6267A9B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7A47DFB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14:paraId="6003386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14:paraId="273259A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1BD3E28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09EFD4E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2A170FF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14:paraId="69ED507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14:paraId="37C39BA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14:paraId="31667F4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5E6C6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noWrap w:val="0"/>
            <w:vAlign w:val="center"/>
          </w:tcPr>
          <w:p w14:paraId="2D913A5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2EC2843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noWrap w:val="0"/>
            <w:vAlign w:val="center"/>
          </w:tcPr>
          <w:p w14:paraId="228088F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010A1E6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40530C6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3104A5C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5AD39A1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noWrap w:val="0"/>
            <w:vAlign w:val="center"/>
          </w:tcPr>
          <w:p w14:paraId="00FEF19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5856FC0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noWrap w:val="0"/>
            <w:vAlign w:val="center"/>
          </w:tcPr>
          <w:p w14:paraId="3836A71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7571C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14:paraId="7F76C8E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1B45997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14:paraId="7EF4417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14:paraId="7B92BC7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7865B91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6C484C4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0538250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14:paraId="627C12E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14:paraId="4365B1C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14:paraId="3F70353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380A8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noWrap w:val="0"/>
            <w:vAlign w:val="center"/>
          </w:tcPr>
          <w:p w14:paraId="34EC81E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5969A50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noWrap w:val="0"/>
            <w:vAlign w:val="center"/>
          </w:tcPr>
          <w:p w14:paraId="7BD986C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55632C8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3C19837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0C89EDE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217FD50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noWrap w:val="0"/>
            <w:vAlign w:val="center"/>
          </w:tcPr>
          <w:p w14:paraId="4ADFD5D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6925EF4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noWrap w:val="0"/>
            <w:vAlign w:val="center"/>
          </w:tcPr>
          <w:p w14:paraId="343FF38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34B4D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14:paraId="2FF626D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3ABD602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14:paraId="2FE5A51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14:paraId="7A1D6FE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1822D42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2CCE581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64D713C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14:paraId="16752A3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14:paraId="061DC23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14:paraId="339F458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52F98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14:paraId="67289C3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76F45D5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14:paraId="74951E0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14:paraId="3FD022D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73D2980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792427CC">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0B3B629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14:paraId="351842B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14:paraId="4EE0E3D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14:paraId="7753FCB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bl>
    <w:p w14:paraId="6BF846B3">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b/>
          <w:color w:val="auto"/>
          <w:sz w:val="24"/>
          <w:szCs w:val="24"/>
          <w:highlight w:val="none"/>
        </w:rPr>
        <w:sectPr>
          <w:pgSz w:w="16838" w:h="11905" w:orient="landscape"/>
          <w:pgMar w:top="1083" w:right="1440" w:bottom="1083" w:left="1440" w:header="851" w:footer="992" w:gutter="0"/>
          <w:pgNumType w:fmt="decimal"/>
          <w:cols w:space="0" w:num="1"/>
          <w:rtlGutter w:val="0"/>
          <w:docGrid w:linePitch="312" w:charSpace="0"/>
        </w:sectPr>
      </w:pPr>
    </w:p>
    <w:p w14:paraId="6AC0455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w:t>
      </w:r>
      <w:bookmarkStart w:id="1378" w:name="_Toc296346726"/>
      <w:bookmarkStart w:id="1379" w:name="_Toc296891265"/>
      <w:bookmarkStart w:id="1380" w:name="_Toc267261692"/>
      <w:bookmarkStart w:id="1381" w:name="_Toc296891053"/>
      <w:bookmarkStart w:id="1382" w:name="_Toc296503225"/>
      <w:bookmarkStart w:id="1383" w:name="_Toc296944564"/>
      <w:bookmarkStart w:id="1384" w:name="_Toc296347224"/>
      <w:r>
        <w:rPr>
          <w:rFonts w:hint="eastAsia" w:ascii="微软雅黑" w:hAnsi="微软雅黑" w:eastAsia="微软雅黑" w:cs="微软雅黑"/>
          <w:color w:val="auto"/>
          <w:sz w:val="24"/>
          <w:szCs w:val="24"/>
          <w:highlight w:val="none"/>
        </w:rPr>
        <w:t>件2：</w:t>
      </w:r>
    </w:p>
    <w:bookmarkEnd w:id="1378"/>
    <w:bookmarkEnd w:id="1379"/>
    <w:bookmarkEnd w:id="1380"/>
    <w:bookmarkEnd w:id="1381"/>
    <w:bookmarkEnd w:id="1382"/>
    <w:bookmarkEnd w:id="1383"/>
    <w:bookmarkEnd w:id="1384"/>
    <w:p w14:paraId="152A4057">
      <w:pPr>
        <w:keepLines w:val="0"/>
        <w:pageBreakBefore w:val="0"/>
        <w:kinsoku/>
        <w:wordWrap/>
        <w:overflowPunct/>
        <w:topLinePunct w:val="0"/>
        <w:bidi w:val="0"/>
        <w:spacing w:before="156" w:beforeLines="50" w:after="156" w:afterLines="50" w:line="52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发包人供应材料设备一览表</w:t>
      </w:r>
    </w:p>
    <w:tbl>
      <w:tblPr>
        <w:tblStyle w:val="38"/>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C014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65F37AB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276" w:type="dxa"/>
            <w:tcBorders>
              <w:top w:val="single" w:color="auto" w:sz="12" w:space="0"/>
              <w:bottom w:val="double" w:color="auto" w:sz="6" w:space="0"/>
            </w:tcBorders>
            <w:noWrap w:val="0"/>
            <w:vAlign w:val="center"/>
          </w:tcPr>
          <w:p w14:paraId="086D40A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材料、</w:t>
            </w:r>
          </w:p>
          <w:p w14:paraId="6C3D6159">
            <w:pPr>
              <w:pStyle w:val="11"/>
              <w:keepNext/>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设备品种</w:t>
            </w:r>
          </w:p>
        </w:tc>
        <w:tc>
          <w:tcPr>
            <w:tcW w:w="1418" w:type="dxa"/>
            <w:tcBorders>
              <w:top w:val="single" w:color="auto" w:sz="12" w:space="0"/>
              <w:bottom w:val="double" w:color="auto" w:sz="6" w:space="0"/>
            </w:tcBorders>
            <w:noWrap w:val="0"/>
            <w:vAlign w:val="center"/>
          </w:tcPr>
          <w:p w14:paraId="015E08E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规格型号</w:t>
            </w:r>
          </w:p>
        </w:tc>
        <w:tc>
          <w:tcPr>
            <w:tcW w:w="940" w:type="dxa"/>
            <w:tcBorders>
              <w:top w:val="single" w:color="auto" w:sz="12" w:space="0"/>
              <w:bottom w:val="double" w:color="auto" w:sz="6" w:space="0"/>
            </w:tcBorders>
            <w:noWrap w:val="0"/>
            <w:vAlign w:val="center"/>
          </w:tcPr>
          <w:p w14:paraId="67959AE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p>
        </w:tc>
        <w:tc>
          <w:tcPr>
            <w:tcW w:w="851" w:type="dxa"/>
            <w:tcBorders>
              <w:top w:val="single" w:color="auto" w:sz="12" w:space="0"/>
              <w:bottom w:val="double" w:color="auto" w:sz="6" w:space="0"/>
            </w:tcBorders>
            <w:noWrap w:val="0"/>
            <w:vAlign w:val="center"/>
          </w:tcPr>
          <w:p w14:paraId="7DFF50A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044" w:type="dxa"/>
            <w:tcBorders>
              <w:top w:val="single" w:color="auto" w:sz="12" w:space="0"/>
              <w:bottom w:val="double" w:color="auto" w:sz="6" w:space="0"/>
            </w:tcBorders>
            <w:noWrap w:val="0"/>
            <w:vAlign w:val="center"/>
          </w:tcPr>
          <w:p w14:paraId="6F86041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单价（元）</w:t>
            </w:r>
          </w:p>
        </w:tc>
        <w:tc>
          <w:tcPr>
            <w:tcW w:w="992" w:type="dxa"/>
            <w:tcBorders>
              <w:top w:val="single" w:color="auto" w:sz="12" w:space="0"/>
              <w:bottom w:val="double" w:color="auto" w:sz="6" w:space="0"/>
            </w:tcBorders>
            <w:noWrap w:val="0"/>
            <w:vAlign w:val="center"/>
          </w:tcPr>
          <w:p w14:paraId="71D662F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质量等级</w:t>
            </w:r>
          </w:p>
        </w:tc>
        <w:tc>
          <w:tcPr>
            <w:tcW w:w="851" w:type="dxa"/>
            <w:tcBorders>
              <w:top w:val="single" w:color="auto" w:sz="12" w:space="0"/>
              <w:bottom w:val="double" w:color="auto" w:sz="6" w:space="0"/>
            </w:tcBorders>
            <w:noWrap w:val="0"/>
            <w:vAlign w:val="center"/>
          </w:tcPr>
          <w:p w14:paraId="314A7C3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供应时间</w:t>
            </w:r>
          </w:p>
        </w:tc>
        <w:tc>
          <w:tcPr>
            <w:tcW w:w="1487" w:type="dxa"/>
            <w:tcBorders>
              <w:top w:val="single" w:color="auto" w:sz="12" w:space="0"/>
              <w:bottom w:val="double" w:color="auto" w:sz="6" w:space="0"/>
            </w:tcBorders>
            <w:noWrap w:val="0"/>
            <w:vAlign w:val="center"/>
          </w:tcPr>
          <w:p w14:paraId="1FE8316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送达地点</w:t>
            </w:r>
          </w:p>
        </w:tc>
        <w:tc>
          <w:tcPr>
            <w:tcW w:w="992" w:type="dxa"/>
            <w:tcBorders>
              <w:top w:val="single" w:color="auto" w:sz="12" w:space="0"/>
              <w:bottom w:val="double" w:color="auto" w:sz="6" w:space="0"/>
            </w:tcBorders>
            <w:noWrap w:val="0"/>
            <w:vAlign w:val="center"/>
          </w:tcPr>
          <w:p w14:paraId="2DDBB70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31D45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507FD8D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14:paraId="2B68D46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14:paraId="49AA743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tcBorders>
              <w:top w:val="double" w:color="auto" w:sz="6" w:space="0"/>
              <w:bottom w:val="single" w:color="auto" w:sz="6" w:space="0"/>
            </w:tcBorders>
            <w:noWrap w:val="0"/>
            <w:vAlign w:val="center"/>
          </w:tcPr>
          <w:p w14:paraId="7773640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14:paraId="68453AA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tcBorders>
              <w:top w:val="double" w:color="auto" w:sz="6" w:space="0"/>
              <w:bottom w:val="single" w:color="auto" w:sz="6" w:space="0"/>
            </w:tcBorders>
            <w:noWrap w:val="0"/>
            <w:vAlign w:val="center"/>
          </w:tcPr>
          <w:p w14:paraId="03C3615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double" w:color="auto" w:sz="6" w:space="0"/>
              <w:bottom w:val="single" w:color="auto" w:sz="6" w:space="0"/>
            </w:tcBorders>
            <w:noWrap w:val="0"/>
            <w:vAlign w:val="center"/>
          </w:tcPr>
          <w:p w14:paraId="546E046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14:paraId="224E801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tcBorders>
              <w:top w:val="double" w:color="auto" w:sz="6" w:space="0"/>
              <w:bottom w:val="single" w:color="auto" w:sz="6" w:space="0"/>
            </w:tcBorders>
            <w:noWrap w:val="0"/>
            <w:vAlign w:val="center"/>
          </w:tcPr>
          <w:p w14:paraId="4DD8C93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double" w:color="auto" w:sz="6" w:space="0"/>
              <w:bottom w:val="single" w:color="auto" w:sz="6" w:space="0"/>
            </w:tcBorders>
            <w:noWrap w:val="0"/>
            <w:vAlign w:val="center"/>
          </w:tcPr>
          <w:p w14:paraId="10EAFC1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47A8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618CF63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14:paraId="4012C30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14:paraId="22AE608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tcBorders>
              <w:top w:val="nil"/>
            </w:tcBorders>
            <w:noWrap w:val="0"/>
            <w:vAlign w:val="center"/>
          </w:tcPr>
          <w:p w14:paraId="0E65AF9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14:paraId="66D98A9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tcBorders>
              <w:top w:val="nil"/>
            </w:tcBorders>
            <w:noWrap w:val="0"/>
            <w:vAlign w:val="center"/>
          </w:tcPr>
          <w:p w14:paraId="6D6465C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nil"/>
            </w:tcBorders>
            <w:noWrap w:val="0"/>
            <w:vAlign w:val="center"/>
          </w:tcPr>
          <w:p w14:paraId="200808C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14:paraId="7DB9DE5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tcBorders>
              <w:top w:val="nil"/>
            </w:tcBorders>
            <w:noWrap w:val="0"/>
            <w:vAlign w:val="center"/>
          </w:tcPr>
          <w:p w14:paraId="26082D6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nil"/>
            </w:tcBorders>
            <w:noWrap w:val="0"/>
            <w:vAlign w:val="center"/>
          </w:tcPr>
          <w:p w14:paraId="3C6877A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2CC0E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C2DCE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5F4CEAC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20E25E9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6AA867B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2D369C4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6FF3F45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7107A77C">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2BF044C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2EF0298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1A08598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5E36E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EB4054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4FBF2D4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5E84CC8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7BF2A14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46C85B4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1AD3CB0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0E99B6F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2ABFA92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38E6E40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6C53948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316BD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CF8CE4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3C808E8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464F200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1494380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52A5D2F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37B748D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534AAA5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334DC0A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7685005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62CA1E7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0EFB5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10E83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214CD8C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436DC3C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6D724BF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1B52412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76A669BC">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338C581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4C701F1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79FEA90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10DF2C3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5F37D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CAC53B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2BC190C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1A72D87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3BBF09B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1276E46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5AD5FEE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52E5F1B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4A4DA28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365EED4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742451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1492E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D190BC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383559F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0F58651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507751B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1DDB88B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5F1B54F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883DDF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4A56C3A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097BFAA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39024EC">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57F62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83357AB">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21369F19">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67292ECA">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0051E334">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06AC2133">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5AE055C0">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2E9FD687">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1476C4A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61A0935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303367C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r w14:paraId="38A54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BB3604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2867F14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0F97FEE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40F8E73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33D8707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3C74537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845880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7CD2B12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0108984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2DD899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69A49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36F03C">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734E800B">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71F4BD8C">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619CFFF4">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0E8E96EA">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09230E1B">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20B9A317">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1FD14F0B">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794F826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3C2DBFA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r w14:paraId="6A3D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B2F2AF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5EC6A431">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6551E879">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1B3CDAD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3938AA77">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605E2DC0">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B7A0DC5">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303573C5">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1375D627">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52FB079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r w14:paraId="218DB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187B47F">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4AAA3E9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00D176F0">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3EAC6861">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230DDC0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3A4A2FF1">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7CE713E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2116294A">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4CAD61F1">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C13BCF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r w14:paraId="028C5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D157E9C">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7EF67006">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24077EC9">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03E8B7A3">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39926EDD">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6E88BEF5">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0E3A8F03">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4C5AC52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1CADA34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5A8D54B4">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r w14:paraId="4EB95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E84D02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6436C32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1BDDE38D">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60DA7F0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61A3BAC4">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6A0E7F63">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9674173">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3DC25CC0">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23D74A8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1404410C">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r w14:paraId="2B8E9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D1B897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4FD0A766">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7849747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6D09316C">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523DCE60">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7ED7A67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1CD13FCF">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08F683A1">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4E22072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547DA06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r w14:paraId="24656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553752D">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6CF5603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3862D0B0">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30CD7C6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4AD82C53">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5B0DFDBF">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C517A46">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1812AC4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3B5FB920">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0096FA2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r w14:paraId="47D16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3CC7DD5">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14:paraId="2D5447FC">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2CD86416">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14:paraId="0B9EB661">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44D8301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14:paraId="5CD45B52">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416C732E">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14:paraId="36B08F31">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14:paraId="6A3ABB98">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14:paraId="2AF830A0">
            <w:pPr>
              <w:keepLines w:val="0"/>
              <w:pageBreakBefore w:val="0"/>
              <w:kinsoku/>
              <w:wordWrap/>
              <w:overflowPunct/>
              <w:topLinePunct w:val="0"/>
              <w:bidi w:val="0"/>
              <w:spacing w:line="520" w:lineRule="exact"/>
              <w:ind w:right="-19" w:rightChars="-9"/>
              <w:jc w:val="center"/>
              <w:outlineLvl w:val="9"/>
              <w:rPr>
                <w:rFonts w:hint="eastAsia" w:ascii="微软雅黑" w:hAnsi="微软雅黑" w:eastAsia="微软雅黑" w:cs="微软雅黑"/>
                <w:color w:val="auto"/>
                <w:sz w:val="24"/>
                <w:szCs w:val="24"/>
                <w:highlight w:val="none"/>
              </w:rPr>
            </w:pPr>
          </w:p>
        </w:tc>
      </w:tr>
    </w:tbl>
    <w:p w14:paraId="3C9FFC2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p w14:paraId="61919CF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p w14:paraId="2D2DA0E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w:t>
      </w:r>
      <w:bookmarkStart w:id="1385" w:name="_Toc267261693"/>
      <w:bookmarkStart w:id="1386" w:name="_Toc296503226"/>
      <w:bookmarkStart w:id="1387" w:name="_Toc296891054"/>
      <w:bookmarkStart w:id="1388" w:name="_Toc296346727"/>
      <w:bookmarkStart w:id="1389" w:name="_Toc296347225"/>
      <w:bookmarkStart w:id="1390" w:name="_Toc296891266"/>
      <w:bookmarkStart w:id="1391" w:name="_Toc296944565"/>
      <w:r>
        <w:rPr>
          <w:rFonts w:hint="eastAsia" w:ascii="微软雅黑" w:hAnsi="微软雅黑" w:eastAsia="微软雅黑" w:cs="微软雅黑"/>
          <w:color w:val="auto"/>
          <w:sz w:val="24"/>
          <w:szCs w:val="24"/>
          <w:highlight w:val="none"/>
        </w:rPr>
        <w:t>件3：</w:t>
      </w:r>
      <w:bookmarkEnd w:id="1385"/>
      <w:bookmarkEnd w:id="1386"/>
      <w:bookmarkEnd w:id="1387"/>
      <w:bookmarkEnd w:id="1388"/>
      <w:bookmarkEnd w:id="1389"/>
      <w:bookmarkEnd w:id="1390"/>
      <w:bookmarkEnd w:id="1391"/>
      <w:r>
        <w:rPr>
          <w:rFonts w:hint="eastAsia" w:ascii="微软雅黑" w:hAnsi="微软雅黑" w:eastAsia="微软雅黑" w:cs="微软雅黑"/>
          <w:color w:val="auto"/>
          <w:sz w:val="24"/>
          <w:szCs w:val="24"/>
          <w:highlight w:val="none"/>
        </w:rPr>
        <w:t xml:space="preserve">    </w:t>
      </w:r>
    </w:p>
    <w:p w14:paraId="3EB0224E">
      <w:pPr>
        <w:keepLines w:val="0"/>
        <w:pageBreakBefore w:val="0"/>
        <w:kinsoku/>
        <w:wordWrap/>
        <w:overflowPunct/>
        <w:topLinePunct w:val="0"/>
        <w:bidi w:val="0"/>
        <w:spacing w:before="156" w:beforeLines="50" w:after="156" w:afterLines="50" w:line="52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工程质量保修书</w:t>
      </w:r>
    </w:p>
    <w:p w14:paraId="0B7FBD6E">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3C4FF8AE">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承包人（全称）：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0C52E83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发包人和承包人根据《中华人民共和国建筑法》和《建设工程质量管理条例》，经协商一致就</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（工程全称）签订工程质量保修书。</w:t>
      </w:r>
    </w:p>
    <w:p w14:paraId="156D37A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一、工程质量保修范围和内容</w:t>
      </w:r>
    </w:p>
    <w:p w14:paraId="17CF60F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承包人在质量保修期内，按照有关法律规定和合同约定，承担工程质量保修责任。</w:t>
      </w:r>
    </w:p>
    <w:p w14:paraId="539108E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1C33345">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　　</w:t>
      </w:r>
      <w:r>
        <w:rPr>
          <w:rFonts w:hint="eastAsia" w:ascii="微软雅黑" w:hAnsi="微软雅黑" w:eastAsia="微软雅黑" w:cs="微软雅黑"/>
          <w:color w:val="auto"/>
          <w:sz w:val="24"/>
          <w:szCs w:val="24"/>
          <w:highlight w:val="none"/>
        </w:rPr>
        <w:t>二、质量保修期</w:t>
      </w:r>
    </w:p>
    <w:p w14:paraId="18A2C545">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根据《建设工程质量管理条例》及有关规定，工程的质量保修期如下：</w:t>
      </w:r>
    </w:p>
    <w:p w14:paraId="3A997B4A">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1．地基基础工程和主体结构工程为设计文件规定的工程合理使用年限；</w:t>
      </w:r>
    </w:p>
    <w:p w14:paraId="17052D09">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2．屋面防水工程、有防水要求的卫生间、房间和外墙面的防渗为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14:paraId="664CF0F6">
      <w:pPr>
        <w:keepLines w:val="0"/>
        <w:pageBreakBefore w:val="0"/>
        <w:kinsoku/>
        <w:wordWrap/>
        <w:overflowPunct/>
        <w:topLinePunct w:val="0"/>
        <w:bidi w:val="0"/>
        <w:spacing w:line="52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3．装修工程为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14:paraId="6D7C82E7">
      <w:pPr>
        <w:keepLines w:val="0"/>
        <w:pageBreakBefore w:val="0"/>
        <w:kinsoku/>
        <w:wordWrap/>
        <w:overflowPunct/>
        <w:topLinePunct w:val="0"/>
        <w:bidi w:val="0"/>
        <w:spacing w:line="52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4．电气管线、给排水管道、设备安装工程为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14:paraId="5567E4D3">
      <w:pPr>
        <w:keepLines w:val="0"/>
        <w:pageBreakBefore w:val="0"/>
        <w:kinsoku/>
        <w:wordWrap/>
        <w:overflowPunct/>
        <w:topLinePunct w:val="0"/>
        <w:bidi w:val="0"/>
        <w:spacing w:line="52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5．供热与供冷系统为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个采暖期、供冷期；</w:t>
      </w:r>
    </w:p>
    <w:p w14:paraId="00CC688C">
      <w:pPr>
        <w:keepLines w:val="0"/>
        <w:pageBreakBefore w:val="0"/>
        <w:kinsoku/>
        <w:wordWrap/>
        <w:overflowPunct/>
        <w:topLinePunct w:val="0"/>
        <w:bidi w:val="0"/>
        <w:spacing w:line="52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6．住宅小区内的给排水设施、道路等配套工程为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14:paraId="2D30F3E0">
      <w:pPr>
        <w:keepLines w:val="0"/>
        <w:pageBreakBefore w:val="0"/>
        <w:kinsoku/>
        <w:wordWrap/>
        <w:overflowPunct/>
        <w:topLinePunct w:val="0"/>
        <w:bidi w:val="0"/>
        <w:spacing w:line="52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7．其他项目保修期限约定如下：</w:t>
      </w:r>
      <w:r>
        <w:rPr>
          <w:rFonts w:hint="eastAsia" w:ascii="微软雅黑" w:hAnsi="微软雅黑" w:eastAsia="微软雅黑" w:cs="微软雅黑"/>
          <w:color w:val="auto"/>
          <w:sz w:val="24"/>
          <w:szCs w:val="24"/>
          <w:highlight w:val="none"/>
          <w:u w:val="single"/>
        </w:rPr>
        <w:t xml:space="preserve">           。</w:t>
      </w:r>
    </w:p>
    <w:p w14:paraId="68F7F98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质量保修期自工程竣工验收合格之日起计算。</w:t>
      </w:r>
    </w:p>
    <w:p w14:paraId="59E52198">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三、缺陷责任期</w:t>
      </w:r>
    </w:p>
    <w:p w14:paraId="474894AC">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工程缺陷责任期为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个月，缺陷责任期自工程竣工验收合格之日起计算。单位工程先于全部工程进行验收，单位工程缺陷责任期自单位工程验收合格之日起算。</w:t>
      </w:r>
    </w:p>
    <w:p w14:paraId="341CBA74">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缺陷责任期终止后，发包人应退还剩余的质量保证金。</w:t>
      </w:r>
    </w:p>
    <w:p w14:paraId="1BE1232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四、质量保修责任</w:t>
      </w:r>
    </w:p>
    <w:p w14:paraId="092ACF47">
      <w:pPr>
        <w:keepLines w:val="0"/>
        <w:pageBreakBefore w:val="0"/>
        <w:kinsoku/>
        <w:wordWrap/>
        <w:overflowPunct/>
        <w:topLinePunct w:val="0"/>
        <w:bidi w:val="0"/>
        <w:spacing w:line="52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1．属于保修范围、内容的项目，承包人应当在接到保修通知之日起7天内派人保修。承包人不在约定期限内派人保修的，发包人可以委托他人修理。</w:t>
      </w:r>
    </w:p>
    <w:p w14:paraId="6E968C7E">
      <w:pPr>
        <w:keepLines w:val="0"/>
        <w:pageBreakBefore w:val="0"/>
        <w:kinsoku/>
        <w:wordWrap/>
        <w:overflowPunct/>
        <w:topLinePunct w:val="0"/>
        <w:bidi w:val="0"/>
        <w:spacing w:line="52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2．发生紧急事故需抢修的，承包人在接到事故通知后，应当立即到达事故现场抢修。</w:t>
      </w:r>
    </w:p>
    <w:p w14:paraId="57A2B192">
      <w:pPr>
        <w:keepLines w:val="0"/>
        <w:pageBreakBefore w:val="0"/>
        <w:kinsoku/>
        <w:wordWrap/>
        <w:overflowPunct/>
        <w:topLinePunct w:val="0"/>
        <w:bidi w:val="0"/>
        <w:spacing w:line="52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A554F8A">
      <w:pPr>
        <w:keepLines w:val="0"/>
        <w:pageBreakBefore w:val="0"/>
        <w:kinsoku/>
        <w:wordWrap/>
        <w:overflowPunct/>
        <w:topLinePunct w:val="0"/>
        <w:bidi w:val="0"/>
        <w:spacing w:line="52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4．质量保修完成后，由发包人组织验收。</w:t>
      </w:r>
    </w:p>
    <w:p w14:paraId="74B962A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五、保修费用</w:t>
      </w:r>
    </w:p>
    <w:p w14:paraId="4DA2EF0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保修费用由造成质量缺陷的责任方承担。</w:t>
      </w:r>
    </w:p>
    <w:p w14:paraId="441E07F5">
      <w:pPr>
        <w:keepLines w:val="0"/>
        <w:pageBreakBefore w:val="0"/>
        <w:kinsoku/>
        <w:wordWrap/>
        <w:overflowPunct/>
        <w:topLinePunct w:val="0"/>
        <w:bidi w:val="0"/>
        <w:spacing w:line="520" w:lineRule="exact"/>
        <w:ind w:right="-19" w:rightChars="-9" w:firstLine="6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六</w:t>
      </w:r>
      <w:r>
        <w:rPr>
          <w:rFonts w:hint="eastAsia" w:ascii="微软雅黑" w:hAnsi="微软雅黑" w:eastAsia="微软雅黑" w:cs="微软雅黑"/>
          <w:color w:val="auto"/>
          <w:sz w:val="24"/>
          <w:szCs w:val="24"/>
          <w:highlight w:val="none"/>
        </w:rPr>
        <w:t>、双方约定的其他工程质量保修事项：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14:paraId="5909341C">
      <w:pPr>
        <w:keepLines w:val="0"/>
        <w:pageBreakBefore w:val="0"/>
        <w:kinsoku/>
        <w:wordWrap/>
        <w:overflowPunct/>
        <w:topLinePunct w:val="0"/>
        <w:bidi w:val="0"/>
        <w:spacing w:line="520" w:lineRule="exact"/>
        <w:ind w:right="-19" w:rightChars="-9" w:firstLine="456" w:firstLineChars="19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工程质量保修书由发包人、承包人在工程竣工验收前共同签署，作为施工合同附件，其有效期限至保修期满。</w:t>
      </w:r>
    </w:p>
    <w:p w14:paraId="2457B045">
      <w:pPr>
        <w:keepLines w:val="0"/>
        <w:pageBreakBefore w:val="0"/>
        <w:kinsoku/>
        <w:wordWrap/>
        <w:overflowPunct/>
        <w:topLinePunct w:val="0"/>
        <w:bidi w:val="0"/>
        <w:spacing w:line="520" w:lineRule="exact"/>
        <w:ind w:right="-19" w:rightChars="-9" w:firstLine="420"/>
        <w:outlineLvl w:val="9"/>
        <w:rPr>
          <w:rFonts w:hint="eastAsia" w:ascii="微软雅黑" w:hAnsi="微软雅黑" w:eastAsia="微软雅黑" w:cs="微软雅黑"/>
          <w:color w:val="auto"/>
          <w:sz w:val="24"/>
          <w:szCs w:val="24"/>
          <w:highlight w:val="none"/>
        </w:rPr>
      </w:pPr>
    </w:p>
    <w:p w14:paraId="213657E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发包人(公章)：</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 xml:space="preserve">        承包人(公章)：</w:t>
      </w:r>
      <w:r>
        <w:rPr>
          <w:rFonts w:hint="eastAsia" w:ascii="微软雅黑" w:hAnsi="微软雅黑" w:eastAsia="微软雅黑" w:cs="微软雅黑"/>
          <w:color w:val="auto"/>
          <w:sz w:val="24"/>
          <w:szCs w:val="24"/>
          <w:highlight w:val="none"/>
          <w:u w:val="single"/>
        </w:rPr>
        <w:t xml:space="preserve">             </w:t>
      </w:r>
    </w:p>
    <w:p w14:paraId="0FD9DAB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地  址：</w:t>
      </w:r>
      <w:r>
        <w:rPr>
          <w:rFonts w:hint="eastAsia" w:ascii="微软雅黑" w:hAnsi="微软雅黑" w:eastAsia="微软雅黑" w:cs="微软雅黑"/>
          <w:color w:val="auto"/>
          <w:sz w:val="24"/>
          <w:szCs w:val="24"/>
          <w:highlight w:val="none"/>
          <w:u w:val="single"/>
        </w:rPr>
        <w:t xml:space="preserve">                       </w:t>
      </w:r>
    </w:p>
    <w:p w14:paraId="03347A0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法定代表人(签字)：</w:t>
      </w:r>
      <w:r>
        <w:rPr>
          <w:rFonts w:hint="eastAsia" w:ascii="微软雅黑" w:hAnsi="微软雅黑" w:eastAsia="微软雅黑" w:cs="微软雅黑"/>
          <w:color w:val="auto"/>
          <w:sz w:val="24"/>
          <w:szCs w:val="24"/>
          <w:highlight w:val="none"/>
          <w:u w:val="single"/>
        </w:rPr>
        <w:t xml:space="preserve">         </w:t>
      </w:r>
    </w:p>
    <w:p w14:paraId="3D393AB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委托代理人(签字)：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委托代理人(签字)：</w:t>
      </w:r>
      <w:r>
        <w:rPr>
          <w:rFonts w:hint="eastAsia" w:ascii="微软雅黑" w:hAnsi="微软雅黑" w:eastAsia="微软雅黑" w:cs="微软雅黑"/>
          <w:color w:val="auto"/>
          <w:sz w:val="24"/>
          <w:szCs w:val="24"/>
          <w:highlight w:val="none"/>
          <w:u w:val="single"/>
        </w:rPr>
        <w:t xml:space="preserve">         </w:t>
      </w:r>
    </w:p>
    <w:p w14:paraId="7D3CC8B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  话：</w:t>
      </w:r>
      <w:r>
        <w:rPr>
          <w:rFonts w:hint="eastAsia" w:ascii="微软雅黑" w:hAnsi="微软雅黑" w:eastAsia="微软雅黑" w:cs="微软雅黑"/>
          <w:color w:val="auto"/>
          <w:sz w:val="24"/>
          <w:szCs w:val="24"/>
          <w:highlight w:val="none"/>
          <w:u w:val="single"/>
        </w:rPr>
        <w:t xml:space="preserve">                   </w:t>
      </w:r>
    </w:p>
    <w:p w14:paraId="1F8A8B5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  真：</w:t>
      </w:r>
      <w:r>
        <w:rPr>
          <w:rFonts w:hint="eastAsia" w:ascii="微软雅黑" w:hAnsi="微软雅黑" w:eastAsia="微软雅黑" w:cs="微软雅黑"/>
          <w:color w:val="auto"/>
          <w:sz w:val="24"/>
          <w:szCs w:val="24"/>
          <w:highlight w:val="none"/>
          <w:u w:val="single"/>
        </w:rPr>
        <w:t xml:space="preserve">                   </w:t>
      </w:r>
    </w:p>
    <w:p w14:paraId="4FFA6F8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pacing w:val="-20"/>
          <w:sz w:val="24"/>
          <w:szCs w:val="24"/>
          <w:highlight w:val="non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开户银行：</w:t>
      </w:r>
      <w:r>
        <w:rPr>
          <w:rFonts w:hint="eastAsia" w:ascii="微软雅黑" w:hAnsi="微软雅黑" w:eastAsia="微软雅黑" w:cs="微软雅黑"/>
          <w:color w:val="auto"/>
          <w:spacing w:val="-20"/>
          <w:sz w:val="24"/>
          <w:szCs w:val="24"/>
          <w:highlight w:val="none"/>
          <w:u w:val="single"/>
        </w:rPr>
        <w:t xml:space="preserve">                               </w:t>
      </w:r>
    </w:p>
    <w:p w14:paraId="76ED15A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账  号：</w:t>
      </w:r>
      <w:r>
        <w:rPr>
          <w:rFonts w:hint="eastAsia" w:ascii="微软雅黑" w:hAnsi="微软雅黑" w:eastAsia="微软雅黑" w:cs="微软雅黑"/>
          <w:color w:val="auto"/>
          <w:sz w:val="24"/>
          <w:szCs w:val="24"/>
          <w:highlight w:val="none"/>
          <w:u w:val="single"/>
        </w:rPr>
        <w:t xml:space="preserve">                       </w:t>
      </w:r>
    </w:p>
    <w:p w14:paraId="2F787B43">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邮政编码：</w:t>
      </w:r>
      <w:r>
        <w:rPr>
          <w:rFonts w:hint="eastAsia" w:ascii="微软雅黑" w:hAnsi="微软雅黑" w:eastAsia="微软雅黑" w:cs="微软雅黑"/>
          <w:color w:val="auto"/>
          <w:sz w:val="24"/>
          <w:szCs w:val="24"/>
          <w:highlight w:val="none"/>
          <w:u w:val="single"/>
        </w:rPr>
        <w:t xml:space="preserve">       </w:t>
      </w:r>
    </w:p>
    <w:p w14:paraId="645B69B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br w:type="page"/>
      </w:r>
      <w:r>
        <w:rPr>
          <w:rFonts w:hint="eastAsia" w:ascii="微软雅黑" w:hAnsi="微软雅黑" w:eastAsia="微软雅黑" w:cs="微软雅黑"/>
          <w:color w:val="auto"/>
          <w:sz w:val="24"/>
          <w:szCs w:val="24"/>
          <w:highlight w:val="none"/>
        </w:rPr>
        <w:t>附件4：</w:t>
      </w:r>
    </w:p>
    <w:p w14:paraId="658E9F60">
      <w:pPr>
        <w:keepLines w:val="0"/>
        <w:pageBreakBefore w:val="0"/>
        <w:kinsoku/>
        <w:wordWrap/>
        <w:overflowPunct/>
        <w:topLinePunct w:val="0"/>
        <w:bidi w:val="0"/>
        <w:spacing w:before="156" w:beforeLines="50" w:after="156" w:afterLines="50" w:line="52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承包人用于本工程施工的机械设备表</w:t>
      </w:r>
    </w:p>
    <w:tbl>
      <w:tblPr>
        <w:tblStyle w:val="3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628A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443F4F3B">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18" w:type="dxa"/>
            <w:tcBorders>
              <w:top w:val="single" w:color="auto" w:sz="12" w:space="0"/>
              <w:bottom w:val="double" w:color="auto" w:sz="6" w:space="0"/>
            </w:tcBorders>
            <w:noWrap w:val="0"/>
            <w:vAlign w:val="center"/>
          </w:tcPr>
          <w:p w14:paraId="3F93AD4A">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机械或设备名称</w:t>
            </w:r>
          </w:p>
        </w:tc>
        <w:tc>
          <w:tcPr>
            <w:tcW w:w="850" w:type="dxa"/>
            <w:tcBorders>
              <w:top w:val="single" w:color="auto" w:sz="12" w:space="0"/>
              <w:bottom w:val="double" w:color="auto" w:sz="6" w:space="0"/>
            </w:tcBorders>
            <w:noWrap w:val="0"/>
            <w:vAlign w:val="center"/>
          </w:tcPr>
          <w:p w14:paraId="3CBBFC18">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规格型号</w:t>
            </w:r>
          </w:p>
        </w:tc>
        <w:tc>
          <w:tcPr>
            <w:tcW w:w="1058" w:type="dxa"/>
            <w:tcBorders>
              <w:top w:val="single" w:color="auto" w:sz="12" w:space="0"/>
              <w:bottom w:val="double" w:color="auto" w:sz="6" w:space="0"/>
            </w:tcBorders>
            <w:noWrap w:val="0"/>
            <w:vAlign w:val="center"/>
          </w:tcPr>
          <w:p w14:paraId="24A71953">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880" w:type="dxa"/>
            <w:tcBorders>
              <w:top w:val="single" w:color="auto" w:sz="12" w:space="0"/>
              <w:bottom w:val="double" w:color="auto" w:sz="6" w:space="0"/>
            </w:tcBorders>
            <w:noWrap w:val="0"/>
            <w:vAlign w:val="center"/>
          </w:tcPr>
          <w:p w14:paraId="0D90ABB5">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产地</w:t>
            </w:r>
          </w:p>
        </w:tc>
        <w:tc>
          <w:tcPr>
            <w:tcW w:w="1020" w:type="dxa"/>
            <w:tcBorders>
              <w:top w:val="single" w:color="auto" w:sz="12" w:space="0"/>
              <w:bottom w:val="double" w:color="auto" w:sz="6" w:space="0"/>
            </w:tcBorders>
            <w:noWrap w:val="0"/>
            <w:vAlign w:val="center"/>
          </w:tcPr>
          <w:p w14:paraId="4600A9A8">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制造年份</w:t>
            </w:r>
          </w:p>
        </w:tc>
        <w:tc>
          <w:tcPr>
            <w:tcW w:w="1480" w:type="dxa"/>
            <w:tcBorders>
              <w:top w:val="single" w:color="auto" w:sz="12" w:space="0"/>
              <w:bottom w:val="double" w:color="auto" w:sz="6" w:space="0"/>
            </w:tcBorders>
            <w:noWrap w:val="0"/>
            <w:vAlign w:val="center"/>
          </w:tcPr>
          <w:p w14:paraId="60211643">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额定功率(kW)</w:t>
            </w:r>
          </w:p>
        </w:tc>
        <w:tc>
          <w:tcPr>
            <w:tcW w:w="1020" w:type="dxa"/>
            <w:tcBorders>
              <w:top w:val="single" w:color="auto" w:sz="12" w:space="0"/>
              <w:bottom w:val="double" w:color="auto" w:sz="6" w:space="0"/>
            </w:tcBorders>
            <w:noWrap w:val="0"/>
            <w:vAlign w:val="center"/>
          </w:tcPr>
          <w:p w14:paraId="78B40408">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生产能力</w:t>
            </w:r>
          </w:p>
        </w:tc>
        <w:tc>
          <w:tcPr>
            <w:tcW w:w="921" w:type="dxa"/>
            <w:tcBorders>
              <w:top w:val="single" w:color="auto" w:sz="12" w:space="0"/>
              <w:bottom w:val="double" w:color="auto" w:sz="6" w:space="0"/>
            </w:tcBorders>
            <w:noWrap w:val="0"/>
            <w:vAlign w:val="center"/>
          </w:tcPr>
          <w:p w14:paraId="1320886D">
            <w:pPr>
              <w:pStyle w:val="11"/>
              <w:keepNext/>
              <w:keepLines w:val="0"/>
              <w:pageBreakBefore w:val="0"/>
              <w:kinsoku/>
              <w:wordWrap/>
              <w:overflowPunct/>
              <w:topLinePunct w:val="0"/>
              <w:bidi w:val="0"/>
              <w:spacing w:line="52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0B32C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412288F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14:paraId="482D3CBC">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14:paraId="3582762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tcBorders>
              <w:top w:val="double" w:color="auto" w:sz="6" w:space="0"/>
              <w:bottom w:val="single" w:color="auto" w:sz="6" w:space="0"/>
            </w:tcBorders>
            <w:noWrap w:val="0"/>
            <w:vAlign w:val="center"/>
          </w:tcPr>
          <w:p w14:paraId="47BF30F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tcBorders>
              <w:top w:val="double" w:color="auto" w:sz="6" w:space="0"/>
              <w:bottom w:val="single" w:color="auto" w:sz="6" w:space="0"/>
            </w:tcBorders>
            <w:noWrap w:val="0"/>
            <w:vAlign w:val="center"/>
          </w:tcPr>
          <w:p w14:paraId="0660A8F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double" w:color="auto" w:sz="6" w:space="0"/>
              <w:bottom w:val="single" w:color="auto" w:sz="6" w:space="0"/>
            </w:tcBorders>
            <w:noWrap w:val="0"/>
            <w:vAlign w:val="center"/>
          </w:tcPr>
          <w:p w14:paraId="297CF9A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tcBorders>
              <w:top w:val="double" w:color="auto" w:sz="6" w:space="0"/>
              <w:bottom w:val="single" w:color="auto" w:sz="6" w:space="0"/>
            </w:tcBorders>
            <w:noWrap w:val="0"/>
            <w:vAlign w:val="center"/>
          </w:tcPr>
          <w:p w14:paraId="7C3BFF9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double" w:color="auto" w:sz="6" w:space="0"/>
              <w:bottom w:val="single" w:color="auto" w:sz="6" w:space="0"/>
            </w:tcBorders>
            <w:noWrap w:val="0"/>
            <w:vAlign w:val="center"/>
          </w:tcPr>
          <w:p w14:paraId="313A240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tcBorders>
              <w:top w:val="double" w:color="auto" w:sz="6" w:space="0"/>
              <w:bottom w:val="single" w:color="auto" w:sz="6" w:space="0"/>
            </w:tcBorders>
            <w:noWrap w:val="0"/>
            <w:vAlign w:val="center"/>
          </w:tcPr>
          <w:p w14:paraId="4ED430F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233FB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250E148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14:paraId="04956E8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14:paraId="77F2756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tcBorders>
              <w:top w:val="nil"/>
            </w:tcBorders>
            <w:noWrap w:val="0"/>
            <w:vAlign w:val="center"/>
          </w:tcPr>
          <w:p w14:paraId="3A26253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tcBorders>
              <w:top w:val="nil"/>
            </w:tcBorders>
            <w:noWrap w:val="0"/>
            <w:vAlign w:val="center"/>
          </w:tcPr>
          <w:p w14:paraId="7DF6305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nil"/>
            </w:tcBorders>
            <w:noWrap w:val="0"/>
            <w:vAlign w:val="center"/>
          </w:tcPr>
          <w:p w14:paraId="2224491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tcBorders>
              <w:top w:val="nil"/>
            </w:tcBorders>
            <w:noWrap w:val="0"/>
            <w:vAlign w:val="center"/>
          </w:tcPr>
          <w:p w14:paraId="63448EA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nil"/>
            </w:tcBorders>
            <w:noWrap w:val="0"/>
            <w:vAlign w:val="center"/>
          </w:tcPr>
          <w:p w14:paraId="7A53CD8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tcBorders>
              <w:top w:val="nil"/>
            </w:tcBorders>
            <w:noWrap w:val="0"/>
            <w:vAlign w:val="center"/>
          </w:tcPr>
          <w:p w14:paraId="10DEC2B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69E48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3013A8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6BF3EEF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50E8C57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14:paraId="04BF195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14:paraId="00D023F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132E071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14:paraId="725AD14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02D127E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14:paraId="0A05CAD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3DD91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E2AACF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1877FA5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1763940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14:paraId="526DD81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14:paraId="0715908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03CA7FF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14:paraId="756B8C7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120D7B5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14:paraId="1410A09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1F78F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C9326F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32FAC49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66C1234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14:paraId="0345456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14:paraId="223FBF8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1F533CEE">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14:paraId="1EA317B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29211E3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14:paraId="756FF50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32204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917BD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6737FAE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7E092EB8">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14:paraId="57112AB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14:paraId="55AB75F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4284B16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14:paraId="248E83AD">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49F7358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14:paraId="324AB65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1F055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79269E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0411C38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1A851E67">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14:paraId="3593F7E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14:paraId="5D32166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739D92C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14:paraId="6F800C3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14F31166">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14:paraId="4053F51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46757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A5D8D9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152C8EDC">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2CA27949">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14:paraId="06A14AB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14:paraId="42451EF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0B9F0A94">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14:paraId="062984D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13007F5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14:paraId="67D20FDC">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7CE09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7CEBAB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302D951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4A276FD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309E9D3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4C492EA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3DCEC64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36142F83">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1C2B5B9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03469D31">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51EE0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50FBF2A">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14:paraId="35023300">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14:paraId="7158ED3B">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14:paraId="5D77D1F1">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14:paraId="43C2DD25">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20193022">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14:paraId="660089C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14:paraId="6B2880A3">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14:paraId="2038AFDF">
            <w:pPr>
              <w:pStyle w:val="11"/>
              <w:keepNext/>
              <w:keepLines w:val="0"/>
              <w:pageBreakBefore w:val="0"/>
              <w:kinsoku/>
              <w:wordWrap/>
              <w:overflowPunct/>
              <w:topLinePunct w:val="0"/>
              <w:bidi w:val="0"/>
              <w:spacing w:line="520" w:lineRule="exact"/>
              <w:ind w:left="63" w:right="-19" w:rightChars="-9"/>
              <w:outlineLvl w:val="9"/>
              <w:rPr>
                <w:rFonts w:hint="eastAsia" w:ascii="微软雅黑" w:hAnsi="微软雅黑" w:eastAsia="微软雅黑" w:cs="微软雅黑"/>
                <w:color w:val="auto"/>
                <w:sz w:val="24"/>
                <w:szCs w:val="24"/>
                <w:highlight w:val="none"/>
              </w:rPr>
            </w:pPr>
          </w:p>
        </w:tc>
      </w:tr>
      <w:tr w14:paraId="7502F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A1C81D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779C7AE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490E586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4490BB7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76A75215">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22C13B0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3CD2FCF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53A32D0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0870D89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02507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BB26B6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09A7051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5362FE4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1854A3B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4E3F5845">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6B183C5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51D7F9E9">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7213C27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35C508E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535EF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490E59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676A823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6D05D7C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0D397A66">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2704A05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58EC3BD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349B57E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3FDEB0D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5B34880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6F857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6DAADC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4985A5F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553736E5">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7439560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559F52F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71994506">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42C1420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76449B3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5F49FE8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5C892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445876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49CF175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017AC4B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665A21F3">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5D3E601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22C94DA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2C2C8E0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132434A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149DBE8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7D418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B66A2DE">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6E823E69">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7CCD2F7A">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55ABE0D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2D03038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68BE661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44D3153E">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1BDB2B77">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065AC9D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794D1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DFEA64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6CDDF5D0">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6528D98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272CB63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7FA12401">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7EE8E77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0FAF117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3C5C7975">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0D98305D">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59B44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5730A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5C1A7101">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7E76407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3F9C8BB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6B1350A2">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0003EEB8">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6027554E">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584799B5">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3548068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r w14:paraId="166CC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281579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14:paraId="5F860FF5">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14:paraId="2C70DB31">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14:paraId="48D97261">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14:paraId="691B4B6C">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0A3AD496">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14:paraId="6708D92B">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14:paraId="51BE1C64">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14:paraId="53E330CF">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color w:val="auto"/>
                <w:sz w:val="24"/>
                <w:szCs w:val="24"/>
                <w:highlight w:val="none"/>
              </w:rPr>
            </w:pPr>
          </w:p>
        </w:tc>
      </w:tr>
    </w:tbl>
    <w:p w14:paraId="0D2C8AD9">
      <w:pPr>
        <w:keepLines w:val="0"/>
        <w:pageBreakBefore w:val="0"/>
        <w:kinsoku/>
        <w:wordWrap/>
        <w:overflowPunct/>
        <w:topLinePunct w:val="0"/>
        <w:bidi w:val="0"/>
        <w:spacing w:line="520" w:lineRule="exact"/>
        <w:ind w:right="-19" w:rightChars="-9"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
          <w:bCs/>
          <w:color w:val="auto"/>
          <w:sz w:val="24"/>
          <w:szCs w:val="24"/>
          <w:highlight w:val="none"/>
        </w:rPr>
        <w:t xml:space="preserve">       </w:t>
      </w:r>
    </w:p>
    <w:p w14:paraId="3E735149">
      <w:pPr>
        <w:keepLines w:val="0"/>
        <w:pageBreakBefore w:val="0"/>
        <w:kinsoku/>
        <w:wordWrap/>
        <w:overflowPunct/>
        <w:topLinePunct w:val="0"/>
        <w:bidi w:val="0"/>
        <w:spacing w:line="520" w:lineRule="exact"/>
        <w:ind w:right="-19" w:rightChars="-9" w:firstLine="2159" w:firstLineChars="899"/>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第五章  工程量清单</w:t>
      </w:r>
    </w:p>
    <w:p w14:paraId="72DFC885">
      <w:pPr>
        <w:keepLines w:val="0"/>
        <w:pageBreakBefore w:val="0"/>
        <w:kinsoku/>
        <w:wordWrap/>
        <w:overflowPunct/>
        <w:topLinePunct w:val="0"/>
        <w:bidi w:val="0"/>
        <w:spacing w:line="520" w:lineRule="exact"/>
        <w:ind w:right="-19" w:rightChars="-9"/>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kern w:val="0"/>
          <w:sz w:val="24"/>
          <w:szCs w:val="24"/>
          <w:highlight w:val="none"/>
        </w:rPr>
        <w:t>一、 工程量清单说明部分</w:t>
      </w:r>
    </w:p>
    <w:p w14:paraId="31066889">
      <w:pPr>
        <w:keepLines w:val="0"/>
        <w:pageBreakBefore w:val="0"/>
        <w:widowControl/>
        <w:kinsoku/>
        <w:wordWrap/>
        <w:overflowPunct/>
        <w:topLinePunct w:val="0"/>
        <w:bidi w:val="0"/>
        <w:adjustRightInd w:val="0"/>
        <w:snapToGrid w:val="0"/>
        <w:spacing w:line="52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1. 工程量清单说明</w:t>
      </w:r>
    </w:p>
    <w:p w14:paraId="360A79CF">
      <w:pPr>
        <w:keepLines w:val="0"/>
        <w:pageBreakBefore w:val="0"/>
        <w:widowControl/>
        <w:kinsoku/>
        <w:wordWrap/>
        <w:overflowPunct/>
        <w:topLinePunct w:val="0"/>
        <w:bidi w:val="0"/>
        <w:adjustRightInd w:val="0"/>
        <w:snapToGrid w:val="0"/>
        <w:spacing w:line="52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77DB5C2A">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 本工程量清单应与招标文件中的投标人须知、通用合同条款、专用合同条款、技术标准和要求及图纸等一起阅读和理解。</w:t>
      </w:r>
    </w:p>
    <w:p w14:paraId="1286806B">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 本工程量清单仅是投标报价的共同基础，实际工程计量和工程价款的支付应遵循合同条款的约定和第七章“技术标准和要求”的有关规定。</w:t>
      </w:r>
    </w:p>
    <w:p w14:paraId="001D1321">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1.4 补充子目工程量计算规则及子目工作内容说明：</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14:paraId="17E91EFB">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1.5本条第1.1款中约定的计量和计价规则适用于合同履约过程中工程量计量与价款支付、工程变更、索赔和工程结算。</w:t>
      </w:r>
    </w:p>
    <w:p w14:paraId="69609483">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 本条与下述第2条和第3条的说明内容是构成合同文件的已标价工程量清单的组成部分。</w:t>
      </w:r>
    </w:p>
    <w:p w14:paraId="206E0410">
      <w:pPr>
        <w:keepLines w:val="0"/>
        <w:pageBreakBefore w:val="0"/>
        <w:widowControl/>
        <w:kinsoku/>
        <w:wordWrap/>
        <w:overflowPunct/>
        <w:topLinePunct w:val="0"/>
        <w:bidi w:val="0"/>
        <w:adjustRightInd w:val="0"/>
        <w:snapToGrid w:val="0"/>
        <w:spacing w:line="52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2. 投标报价说明</w:t>
      </w:r>
    </w:p>
    <w:p w14:paraId="49163F75">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2.1投标报价应根据招标文件中的有关计价要求，并按照下列依据自主报价。</w:t>
      </w:r>
    </w:p>
    <w:p w14:paraId="02DA51D4">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  本招标文件；</w:t>
      </w:r>
    </w:p>
    <w:p w14:paraId="6DE5D02F">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 《建设工程工程量清单计价规范》；</w:t>
      </w:r>
    </w:p>
    <w:p w14:paraId="79ECA679">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  国家或省级、行业建设主管部门颁发的计价办法；</w:t>
      </w:r>
    </w:p>
    <w:p w14:paraId="30D10154">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  企业定额，国家或省级、行业建设主管部门颁发的计价定额；</w:t>
      </w:r>
    </w:p>
    <w:p w14:paraId="6F196114">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  招标文件(包括工程量清单)的澄清、补充和修改文件；</w:t>
      </w:r>
    </w:p>
    <w:p w14:paraId="0968701A">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  建设工程设计文件及相关资料；</w:t>
      </w:r>
    </w:p>
    <w:p w14:paraId="5BADFCC9">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  施工现场情况、工程特点及拟定的投标施工组织设计或施工方案；</w:t>
      </w:r>
    </w:p>
    <w:p w14:paraId="4827BC4F">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  与建设项目相关的标准、规定等技术资料；</w:t>
      </w:r>
    </w:p>
    <w:p w14:paraId="1B64A447">
      <w:pPr>
        <w:keepLines w:val="0"/>
        <w:pageBreakBefore w:val="0"/>
        <w:widowControl/>
        <w:kinsoku/>
        <w:wordWrap/>
        <w:overflowPunct/>
        <w:topLinePunct w:val="0"/>
        <w:bidi w:val="0"/>
        <w:adjustRightInd w:val="0"/>
        <w:snapToGrid w:val="0"/>
        <w:spacing w:line="52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(9)  市场价格信息或工程造价管理机构发布的工程造价信息；</w:t>
      </w:r>
    </w:p>
    <w:p w14:paraId="7CCBD36E">
      <w:pPr>
        <w:keepLines w:val="0"/>
        <w:pageBreakBefore w:val="0"/>
        <w:widowControl/>
        <w:kinsoku/>
        <w:wordWrap/>
        <w:overflowPunct/>
        <w:topLinePunct w:val="0"/>
        <w:bidi w:val="0"/>
        <w:adjustRightInd w:val="0"/>
        <w:snapToGrid w:val="0"/>
        <w:spacing w:line="520" w:lineRule="exact"/>
        <w:ind w:right="-19" w:rightChars="-9" w:firstLine="720" w:firstLineChars="3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(10) 其他的相关资料。</w:t>
      </w:r>
    </w:p>
    <w:p w14:paraId="60D6F335">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2.2 工程量清单中的每一子目须填入单价或价格，且只允许有一个报价。工程量清单中投标人没有填入单价或价格的子目，其费用视为已分摊在工程量清单中其他相关子目的单价或价格之中。</w:t>
      </w:r>
    </w:p>
    <w:p w14:paraId="23281BB7">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2.3工程量清单中标价的单价或金额，应包括所需人工费、材料费、施工机械使用费和管理费及利润，以及一定范围内的风险费用。所谓“一定范围内的风险”是指合同约定的风险。</w:t>
      </w:r>
    </w:p>
    <w:p w14:paraId="17EC3AB9">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14:paraId="3BDC58F4">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spacing w:val="-8"/>
          <w:kern w:val="0"/>
          <w:sz w:val="24"/>
          <w:szCs w:val="24"/>
          <w:highlight w:val="none"/>
        </w:rPr>
      </w:pPr>
      <w:r>
        <w:rPr>
          <w:rFonts w:hint="eastAsia" w:ascii="微软雅黑" w:hAnsi="微软雅黑" w:eastAsia="微软雅黑" w:cs="微软雅黑"/>
          <w:color w:val="auto"/>
          <w:kern w:val="0"/>
          <w:sz w:val="24"/>
          <w:szCs w:val="24"/>
          <w:highlight w:val="none"/>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Pr>
          <w:rFonts w:hint="eastAsia" w:ascii="微软雅黑" w:hAnsi="微软雅黑" w:eastAsia="微软雅黑" w:cs="微软雅黑"/>
          <w:color w:val="auto"/>
          <w:spacing w:val="-8"/>
          <w:kern w:val="0"/>
          <w:sz w:val="24"/>
          <w:szCs w:val="24"/>
          <w:highlight w:val="none"/>
        </w:rPr>
        <w:t>投标人应</w:t>
      </w:r>
      <w:r>
        <w:rPr>
          <w:rFonts w:hint="eastAsia" w:ascii="微软雅黑" w:hAnsi="微软雅黑" w:eastAsia="微软雅黑" w:cs="微软雅黑"/>
          <w:color w:val="auto"/>
          <w:kern w:val="0"/>
          <w:sz w:val="24"/>
          <w:szCs w:val="24"/>
          <w:highlight w:val="none"/>
        </w:rPr>
        <w:t>依据</w:t>
      </w:r>
      <w:r>
        <w:rPr>
          <w:rFonts w:hint="eastAsia" w:ascii="微软雅黑" w:hAnsi="微软雅黑" w:eastAsia="微软雅黑" w:cs="微软雅黑"/>
          <w:color w:val="auto"/>
          <w:spacing w:val="-8"/>
          <w:kern w:val="0"/>
          <w:sz w:val="24"/>
          <w:szCs w:val="24"/>
          <w:highlight w:val="none"/>
        </w:rPr>
        <w:t>《 建设工程工程量清单计价规范》（GB50500—2013）、企业定额及当地市场因素及工程特点等报出综合单价。</w:t>
      </w:r>
    </w:p>
    <w:p w14:paraId="1BBC0E84">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2.5.1除非</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对招标文件予以修改，投标人必须按照</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提供的分部分项工程量清单，列出分部分项工程量的综合单价和合价。</w:t>
      </w:r>
    </w:p>
    <w:p w14:paraId="3FFCDB4C">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14:paraId="1E68041B">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2.5.3 每一分项只允许有一个报价，任何有选择的报价将不予接受。投标人未填列综合单价或合价的分项工程，在实施后，</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将不予以支付，并视为该项费用已包括在其他有价款的综合单价或合价内。由于承包人自行计算错误或漏报的，将不再给予调整。</w:t>
      </w:r>
    </w:p>
    <w:p w14:paraId="5B50C4B9">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2.5.4 分部分项工程量清单已包括本投标人须知前附表第1.3.1条确定的本项目招标范围内施工图全部内容，并须在招标过程中经投标人提出质询，</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以答疑的形式确认，结算工程量以完成的实体量为准。中标人由于自身原因造成工程量的增加不以任何形式调增。分部分项工程量调整按照以下方法调整：</w:t>
      </w:r>
    </w:p>
    <w:p w14:paraId="6BA7C3D9">
      <w:pPr>
        <w:keepLines w:val="0"/>
        <w:pageBreakBefore w:val="0"/>
        <w:widowControl/>
        <w:kinsoku/>
        <w:wordWrap/>
        <w:overflowPunct/>
        <w:topLinePunct w:val="0"/>
        <w:bidi w:val="0"/>
        <w:adjustRightInd w:val="0"/>
        <w:snapToGrid w:val="0"/>
        <w:spacing w:line="52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已标价工程量清单中有适用于变更工作的子目的，采用该子目的单价。</w:t>
      </w:r>
    </w:p>
    <w:p w14:paraId="240D4D52">
      <w:pPr>
        <w:keepLines w:val="0"/>
        <w:pageBreakBefore w:val="0"/>
        <w:widowControl/>
        <w:kinsoku/>
        <w:wordWrap/>
        <w:overflowPunct/>
        <w:topLinePunct w:val="0"/>
        <w:bidi w:val="0"/>
        <w:adjustRightInd w:val="0"/>
        <w:snapToGrid w:val="0"/>
        <w:spacing w:line="52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已标价工程量清单中无适用于变更工作的子目，但有类似子目的，可在合理范围内参照类似子目的单价，由监理人按第3.5 款商定或确定变更工作的单价。</w:t>
      </w:r>
    </w:p>
    <w:p w14:paraId="2AB6281A">
      <w:pPr>
        <w:keepLines w:val="0"/>
        <w:pageBreakBefore w:val="0"/>
        <w:widowControl/>
        <w:kinsoku/>
        <w:wordWrap/>
        <w:overflowPunct/>
        <w:topLinePunct w:val="0"/>
        <w:bidi w:val="0"/>
        <w:adjustRightInd w:val="0"/>
        <w:snapToGrid w:val="0"/>
        <w:spacing w:line="52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已标价工程量清单中无适用或类似子目的单价，可按照成本加利润的原则，由监理人按通用条款第3.5 款商定或确定变更工作的单价。</w:t>
      </w:r>
    </w:p>
    <w:p w14:paraId="3AF6D324">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2.6分部分项工程项目按下列要求报价：</w:t>
      </w:r>
    </w:p>
    <w:p w14:paraId="032EC40D">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2.6.1  分部分项工程量清单计价应依据计价规范中关于综合单价的组成内容确定报价。</w:t>
      </w:r>
    </w:p>
    <w:p w14:paraId="71206724">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14:paraId="29671F10">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14:paraId="45A93FFC">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2.6.4  “分部分项工程量清单与计价表”所列各子目的综合单价组成中，各子目的人工、材料和机械台班消耗量由投标人按照其自身情况做充分的、竞争性考虑。材料消耗量包括损耗量。</w:t>
      </w:r>
    </w:p>
    <w:p w14:paraId="4B26387B">
      <w:pPr>
        <w:keepLines w:val="0"/>
        <w:pageBreakBefore w:val="0"/>
        <w:widowControl/>
        <w:kinsoku/>
        <w:wordWrap/>
        <w:overflowPunct/>
        <w:topLinePunct w:val="0"/>
        <w:bidi w:val="0"/>
        <w:adjustRightInd w:val="0"/>
        <w:snapToGrid w:val="0"/>
        <w:spacing w:line="520" w:lineRule="exact"/>
        <w:ind w:right="-19" w:rightChars="-9" w:firstLine="408"/>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2.6.5  投标人在</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14:paraId="64EEE53E">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    措施项目按下列要求报价：</w:t>
      </w:r>
    </w:p>
    <w:p w14:paraId="712FCAE2">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14:paraId="776FDD80">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color w:val="auto"/>
          <w:kern w:val="0"/>
          <w:sz w:val="24"/>
          <w:szCs w:val="24"/>
          <w:highlight w:val="none"/>
        </w:rPr>
        <w:t>2.7.2  措施项目清单中的安全文明施工费应按其中安全文明施工费应按照</w:t>
      </w:r>
      <w:r>
        <w:rPr>
          <w:rFonts w:hint="eastAsia" w:ascii="微软雅黑" w:hAnsi="微软雅黑" w:eastAsia="微软雅黑" w:cs="微软雅黑"/>
          <w:color w:val="auto"/>
          <w:kern w:val="0"/>
          <w:sz w:val="24"/>
          <w:szCs w:val="24"/>
          <w:highlight w:val="none"/>
          <w:u w:val="single"/>
        </w:rPr>
        <w:t>新建标【2016】2号、新建标[2019]4号、喀地造字【2018】5文</w:t>
      </w:r>
      <w:r>
        <w:rPr>
          <w:rFonts w:hint="eastAsia" w:ascii="微软雅黑" w:hAnsi="微软雅黑" w:eastAsia="微软雅黑" w:cs="微软雅黑"/>
          <w:color w:val="auto"/>
          <w:kern w:val="0"/>
          <w:sz w:val="24"/>
          <w:szCs w:val="24"/>
          <w:highlight w:val="none"/>
        </w:rPr>
        <w:t>的规定计算，不得作为竞争性费用。</w:t>
      </w:r>
    </w:p>
    <w:p w14:paraId="07BFE164">
      <w:pPr>
        <w:keepLines w:val="0"/>
        <w:pageBreakBefore w:val="0"/>
        <w:widowControl/>
        <w:kinsoku/>
        <w:wordWrap/>
        <w:overflowPunct/>
        <w:topLinePunct w:val="0"/>
        <w:bidi w:val="0"/>
        <w:adjustRightInd w:val="0"/>
        <w:snapToGrid w:val="0"/>
        <w:spacing w:line="52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2.7.3  </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提供的措施项目清单中所列项目仅指一般的通用项目，投标人在报价时应充分、全面地阅读和理解招标文件的相关内容和约定，包括第七章“技术标准和要求”的相关约定，详实了解工程场地及其周围环境，充分考虑招标工程特点及拟定的施工方案和施工组织设计，对</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给出的措施项目清单的内容进行细化或增减。</w:t>
      </w:r>
    </w:p>
    <w:p w14:paraId="0503057F">
      <w:pPr>
        <w:keepLines w:val="0"/>
        <w:pageBreakBefore w:val="0"/>
        <w:widowControl/>
        <w:kinsoku/>
        <w:wordWrap/>
        <w:overflowPunct/>
        <w:topLinePunct w:val="0"/>
        <w:bidi w:val="0"/>
        <w:adjustRightInd w:val="0"/>
        <w:snapToGrid w:val="0"/>
        <w:spacing w:line="52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2.7.4  “措施项目清单与计价表”中所填写的报价金额，应全面涵盖招标文件约定的投标人中标后施工、竣工、交付本工程并维修其任何缺陷所需要履行的责任和义务的全部费用。</w:t>
      </w:r>
    </w:p>
    <w:p w14:paraId="5DBA240D">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2.8．其他项目清单费应按下列规定报价：</w:t>
      </w:r>
    </w:p>
    <w:p w14:paraId="717C0240">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2.8.1  暂列金额按“暂列金额明细表”中列出的金额报价，此处的暂列金额是</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在招标文件中统一给定的，并不包括本章第2.8.3项的计日工金额。</w:t>
      </w:r>
    </w:p>
    <w:p w14:paraId="682AC189">
      <w:pPr>
        <w:keepLines w:val="0"/>
        <w:pageBreakBefore w:val="0"/>
        <w:widowControl/>
        <w:kinsoku/>
        <w:wordWrap/>
        <w:overflowPunct/>
        <w:topLinePunct w:val="0"/>
        <w:bidi w:val="0"/>
        <w:adjustRightInd w:val="0"/>
        <w:snapToGrid w:val="0"/>
        <w:spacing w:line="520" w:lineRule="exact"/>
        <w:ind w:right="-19" w:rightChars="-9" w:firstLine="482"/>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14:paraId="790DADE4">
      <w:pPr>
        <w:keepLines w:val="0"/>
        <w:pageBreakBefore w:val="0"/>
        <w:widowControl/>
        <w:kinsoku/>
        <w:wordWrap/>
        <w:overflowPunct/>
        <w:topLinePunct w:val="0"/>
        <w:bidi w:val="0"/>
        <w:adjustRightInd w:val="0"/>
        <w:snapToGrid w:val="0"/>
        <w:spacing w:line="520" w:lineRule="exact"/>
        <w:ind w:right="-19" w:rightChars="-9" w:firstLine="617"/>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2.8.3  计日工按“计日工表”中列出的子目和估算数量，自主确定综合单价并计算计日工金额。计日工综合单价均不包括规费和税金，其中：</w:t>
      </w:r>
    </w:p>
    <w:p w14:paraId="5455C2BC">
      <w:pPr>
        <w:keepLines w:val="0"/>
        <w:pageBreakBefore w:val="0"/>
        <w:widowControl/>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 劳务单价应当包括工人工资、交通费用、各种补贴、劳动安全保护、社保费用、手提手动和电动工器具、施工场地内已经搭设的脚手架、水电和低值易耗品费用、现场管理费用、企业管理费和利润；</w:t>
      </w:r>
    </w:p>
    <w:p w14:paraId="44F00CC2">
      <w:pPr>
        <w:keepLines w:val="0"/>
        <w:pageBreakBefore w:val="0"/>
        <w:widowControl/>
        <w:kinsoku/>
        <w:wordWrap/>
        <w:overflowPunct/>
        <w:topLinePunct w:val="0"/>
        <w:bidi w:val="0"/>
        <w:adjustRightInd w:val="0"/>
        <w:snapToGrid w:val="0"/>
        <w:spacing w:line="520" w:lineRule="exact"/>
        <w:ind w:left="2" w:leftChars="1" w:right="-19" w:rightChars="-9" w:firstLine="477" w:firstLineChars="199"/>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 材料价格包括材料运到现场的价格以及现场搬运、仓储、二次搬运、损耗、保险、企业管理费和利润，但不包括规费和税金。</w:t>
      </w:r>
    </w:p>
    <w:p w14:paraId="652D3792">
      <w:pPr>
        <w:keepLines w:val="0"/>
        <w:pageBreakBefore w:val="0"/>
        <w:widowControl/>
        <w:kinsoku/>
        <w:wordWrap/>
        <w:overflowPunct/>
        <w:topLinePunct w:val="0"/>
        <w:bidi w:val="0"/>
        <w:adjustRightInd w:val="0"/>
        <w:snapToGrid w:val="0"/>
        <w:spacing w:line="520" w:lineRule="exact"/>
        <w:ind w:left="2" w:leftChars="1" w:right="-19" w:rightChars="-9" w:firstLine="528" w:firstLineChars="22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 施工机械限于在施工场地(现场)的机械设备，其价格包括租赁或折旧、维修、维护和燃油等消耗品以及操作人员费用，包括承包人企业管理费和利润，但不包括规费和税金。辅助人员按劳务价格另计。</w:t>
      </w:r>
    </w:p>
    <w:p w14:paraId="340F2068">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2.8.4 总承包服务费各投标人根据招标文件中列出的内容和要求，按本招标文件的“总承包服务费计价表”中自报费率并计算金额。</w:t>
      </w:r>
    </w:p>
    <w:p w14:paraId="2E44130D">
      <w:pPr>
        <w:keepLines w:val="0"/>
        <w:pageBreakBefore w:val="0"/>
        <w:widowControl/>
        <w:kinsoku/>
        <w:wordWrap/>
        <w:overflowPunct/>
        <w:topLinePunct w:val="0"/>
        <w:bidi w:val="0"/>
        <w:adjustRightInd w:val="0"/>
        <w:snapToGrid w:val="0"/>
        <w:spacing w:line="52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2.9 税金应按“税金项目清单与计价表”所列项目，按规定计算，不得作为竞争性费用。</w:t>
      </w:r>
    </w:p>
    <w:p w14:paraId="662C2844">
      <w:pPr>
        <w:keepLines w:val="0"/>
        <w:pageBreakBefore w:val="0"/>
        <w:widowControl/>
        <w:kinsoku/>
        <w:wordWrap/>
        <w:overflowPunct/>
        <w:topLinePunct w:val="0"/>
        <w:bidi w:val="0"/>
        <w:adjustRightInd w:val="0"/>
        <w:snapToGrid w:val="0"/>
        <w:spacing w:line="52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2.10  除招标文件有强制性规定以及不可竞争部分以外，投标报价由投标人自主确定，但不得低于其成本。</w:t>
      </w:r>
    </w:p>
    <w:p w14:paraId="375D35D7">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14:paraId="721C2B72">
      <w:pPr>
        <w:keepLines w:val="0"/>
        <w:pageBreakBefore w:val="0"/>
        <w:widowControl/>
        <w:kinsoku/>
        <w:wordWrap/>
        <w:overflowPunct/>
        <w:topLinePunct w:val="0"/>
        <w:bidi w:val="0"/>
        <w:adjustRightInd w:val="0"/>
        <w:snapToGrid w:val="0"/>
        <w:spacing w:line="52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2.12  管理费应由投标人在保证不低于其成本的基础上做竞争性考虑；利润由投标人根据自身情况和综合实力做竞争性考虑。</w:t>
      </w:r>
    </w:p>
    <w:p w14:paraId="52C9B2BC">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2.13  投标报价中应考虑招标文件中要求投标人承担的风险范围以及相关的费用。</w:t>
      </w:r>
    </w:p>
    <w:p w14:paraId="2225B038">
      <w:pPr>
        <w:keepLines w:val="0"/>
        <w:pageBreakBefore w:val="0"/>
        <w:widowControl/>
        <w:kinsoku/>
        <w:wordWrap/>
        <w:overflowPunct/>
        <w:topLinePunct w:val="0"/>
        <w:bidi w:val="0"/>
        <w:adjustRightInd w:val="0"/>
        <w:snapToGrid w:val="0"/>
        <w:spacing w:line="52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2.14  投标总价为投标人在</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中提出的各项支付金额的总和，为实施、完成招标工程并修补缺陷以及履行招标文件中约定的风险范围内的所有责任和义务所发生的全部费用。</w:t>
      </w:r>
    </w:p>
    <w:p w14:paraId="22BBC3FD">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2.15  有关投标报价的其他说明：</w:t>
      </w:r>
    </w:p>
    <w:p w14:paraId="54045244">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u w:val="single"/>
        </w:rPr>
        <w:t xml:space="preserve">      /                                               </w:t>
      </w:r>
    </w:p>
    <w:p w14:paraId="698C983F">
      <w:pPr>
        <w:keepLines w:val="0"/>
        <w:pageBreakBefore w:val="0"/>
        <w:widowControl/>
        <w:kinsoku/>
        <w:wordWrap/>
        <w:overflowPunct/>
        <w:topLinePunct w:val="0"/>
        <w:bidi w:val="0"/>
        <w:adjustRightInd w:val="0"/>
        <w:snapToGrid w:val="0"/>
        <w:spacing w:line="52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3. 其他说明</w:t>
      </w:r>
    </w:p>
    <w:p w14:paraId="1ADD323D">
      <w:pPr>
        <w:keepLines w:val="0"/>
        <w:pageBreakBefore w:val="0"/>
        <w:widowControl/>
        <w:kinsoku/>
        <w:wordWrap/>
        <w:overflowPunct/>
        <w:topLinePunct w:val="0"/>
        <w:bidi w:val="0"/>
        <w:adjustRightInd w:val="0"/>
        <w:snapToGrid w:val="0"/>
        <w:spacing w:line="52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投标人应先到工地踏勘以及充分了解工地位置、情况、道路、储存空间、装卸限制及任何其他足以影响承包价的情况，任何因忽视或误解工地情况而导致的索赔或工期延长申请将不被批准。</w:t>
      </w:r>
    </w:p>
    <w:p w14:paraId="5B2163FD">
      <w:pPr>
        <w:pStyle w:val="36"/>
        <w:keepLines w:val="0"/>
        <w:pageBreakBefore w:val="0"/>
        <w:kinsoku/>
        <w:wordWrap/>
        <w:overflowPunct/>
        <w:topLinePunct w:val="0"/>
        <w:bidi w:val="0"/>
        <w:spacing w:line="520" w:lineRule="exact"/>
        <w:outlineLvl w:val="9"/>
        <w:rPr>
          <w:rFonts w:hint="eastAsia" w:ascii="微软雅黑" w:hAnsi="微软雅黑" w:eastAsia="微软雅黑" w:cs="微软雅黑"/>
          <w:color w:val="auto"/>
          <w:sz w:val="24"/>
          <w:szCs w:val="24"/>
          <w:highlight w:val="none"/>
        </w:rPr>
      </w:pPr>
    </w:p>
    <w:p w14:paraId="4BA25884">
      <w:pPr>
        <w:pStyle w:val="8"/>
        <w:pageBreakBefore w:val="0"/>
        <w:kinsoku/>
        <w:wordWrap/>
        <w:overflowPunct/>
        <w:topLinePunct w:val="0"/>
        <w:bidi w:val="0"/>
        <w:snapToGrid w:val="0"/>
        <w:spacing w:line="520" w:lineRule="exact"/>
        <w:ind w:firstLine="0"/>
        <w:textAlignment w:val="baseline"/>
        <w:rPr>
          <w:rFonts w:ascii="微软雅黑" w:hAnsi="微软雅黑" w:eastAsia="微软雅黑" w:cs="微软雅黑"/>
          <w:color w:val="auto"/>
          <w:szCs w:val="24"/>
          <w:highlight w:val="none"/>
        </w:rPr>
      </w:pPr>
    </w:p>
    <w:sectPr>
      <w:headerReference r:id="rId10" w:type="default"/>
      <w:footerReference r:id="rId11" w:type="default"/>
      <w:pgSz w:w="11905" w:h="16838"/>
      <w:pgMar w:top="1440" w:right="1083" w:bottom="1440" w:left="1083" w:header="851" w:footer="992"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38DC">
    <w:pPr>
      <w:spacing w:line="172" w:lineRule="auto"/>
      <w:ind w:left="4837"/>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9C17">
    <w:pPr>
      <w:spacing w:line="172" w:lineRule="auto"/>
      <w:ind w:left="483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FB170">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FFB170">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BAD3">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AD769">
                          <w:pPr>
                            <w:pStyle w:val="2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CAD769">
                    <w:pPr>
                      <w:pStyle w:val="22"/>
                    </w:pPr>
                    <w:r>
                      <w:fldChar w:fldCharType="begin"/>
                    </w:r>
                    <w:r>
                      <w:instrText xml:space="preserve"> PAGE  \* MERGEFORMAT </w:instrText>
                    </w:r>
                    <w:r>
                      <w:fldChar w:fldCharType="separate"/>
                    </w:r>
                    <w:r>
                      <w:t>47</w:t>
                    </w:r>
                    <w:r>
                      <w:fldChar w:fldCharType="end"/>
                    </w:r>
                  </w:p>
                </w:txbxContent>
              </v:textbox>
            </v:shape>
          </w:pict>
        </mc:Fallback>
      </mc:AlternateContent>
    </w:r>
  </w:p>
  <w:p w14:paraId="1C61BEA5">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7A73">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EBFC">
                          <w:pPr>
                            <w:pStyle w:val="2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9CEBFC">
                    <w:pPr>
                      <w:pStyle w:val="22"/>
                    </w:pPr>
                    <w:r>
                      <w:fldChar w:fldCharType="begin"/>
                    </w:r>
                    <w:r>
                      <w:instrText xml:space="preserve"> PAGE  \* MERGEFORMAT </w:instrText>
                    </w:r>
                    <w:r>
                      <w:fldChar w:fldCharType="separate"/>
                    </w:r>
                    <w:r>
                      <w:t>62</w:t>
                    </w:r>
                    <w:r>
                      <w:fldChar w:fldCharType="end"/>
                    </w:r>
                  </w:p>
                </w:txbxContent>
              </v:textbox>
            </v:shape>
          </w:pict>
        </mc:Fallback>
      </mc:AlternateContent>
    </w:r>
  </w:p>
  <w:p w14:paraId="34C9F685">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BD046">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1E0E8">
                          <w:pPr>
                            <w:pStyle w:val="2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61E0E8">
                    <w:pPr>
                      <w:pStyle w:val="22"/>
                    </w:pPr>
                    <w:r>
                      <w:fldChar w:fldCharType="begin"/>
                    </w:r>
                    <w:r>
                      <w:instrText xml:space="preserve"> PAGE  \* MERGEFORMAT </w:instrText>
                    </w:r>
                    <w:r>
                      <w:fldChar w:fldCharType="separate"/>
                    </w:r>
                    <w:r>
                      <w:t>50</w:t>
                    </w:r>
                    <w:r>
                      <w:fldChar w:fldCharType="end"/>
                    </w:r>
                  </w:p>
                </w:txbxContent>
              </v:textbox>
            </v:shape>
          </w:pict>
        </mc:Fallback>
      </mc:AlternateContent>
    </w:r>
  </w:p>
  <w:p w14:paraId="05BCC1A9">
    <w:pPr>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75DD">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2EF84">
                          <w:pPr>
                            <w:pStyle w:val="22"/>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F2EF84">
                    <w:pPr>
                      <w:pStyle w:val="22"/>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E4B04">
    <w:pPr>
      <w:pStyle w:val="23"/>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B523">
    <w:pPr>
      <w:pStyle w:val="23"/>
      <w:pBdr>
        <w:bottom w:val="none" w:color="auto" w:sz="0" w:space="1"/>
      </w:pBdr>
      <w:jc w:val="left"/>
    </w:pPr>
    <w:r>
      <w:rPr>
        <w:rFonts w:ascii="Cambria" w:hAnsi="Cambria"/>
        <w:vanish/>
        <w:sz w:val="32"/>
        <w:szCs w:val="32"/>
        <w:highlight w:val="yellow"/>
      </w:rPr>
      <w:t>&lt;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96E6">
    <w:pPr>
      <w:pStyle w:val="23"/>
      <w:pBdr>
        <w:bottom w:val="none" w:color="auto" w:sz="0"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FB668"/>
    <w:multiLevelType w:val="singleLevel"/>
    <w:tmpl w:val="AABFB668"/>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3">
    <w:nsid w:val="0053208E"/>
    <w:multiLevelType w:val="multilevel"/>
    <w:tmpl w:val="0053208E"/>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21DE2C61"/>
    <w:multiLevelType w:val="singleLevel"/>
    <w:tmpl w:val="21DE2C61"/>
    <w:lvl w:ilvl="0" w:tentative="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A2385F"/>
    <w:rsid w:val="000F38AC"/>
    <w:rsid w:val="00542A63"/>
    <w:rsid w:val="008D138C"/>
    <w:rsid w:val="0095072D"/>
    <w:rsid w:val="00A2385F"/>
    <w:rsid w:val="01802C9E"/>
    <w:rsid w:val="019118C8"/>
    <w:rsid w:val="038F46AF"/>
    <w:rsid w:val="03A154BC"/>
    <w:rsid w:val="04025BED"/>
    <w:rsid w:val="04F1154C"/>
    <w:rsid w:val="056362EC"/>
    <w:rsid w:val="0883740F"/>
    <w:rsid w:val="08A62997"/>
    <w:rsid w:val="094650F7"/>
    <w:rsid w:val="0B451313"/>
    <w:rsid w:val="0B592C39"/>
    <w:rsid w:val="0C264442"/>
    <w:rsid w:val="0C4C7C7F"/>
    <w:rsid w:val="0CB36C08"/>
    <w:rsid w:val="0CDA1CD4"/>
    <w:rsid w:val="0D53200A"/>
    <w:rsid w:val="0E425B3F"/>
    <w:rsid w:val="0F300628"/>
    <w:rsid w:val="10552F18"/>
    <w:rsid w:val="11F37853"/>
    <w:rsid w:val="122E68A4"/>
    <w:rsid w:val="141F2E5D"/>
    <w:rsid w:val="14C13805"/>
    <w:rsid w:val="15131A1A"/>
    <w:rsid w:val="16404A64"/>
    <w:rsid w:val="16585A26"/>
    <w:rsid w:val="179067B7"/>
    <w:rsid w:val="1835197D"/>
    <w:rsid w:val="19682B21"/>
    <w:rsid w:val="19780EE1"/>
    <w:rsid w:val="1A6659FF"/>
    <w:rsid w:val="1B25237B"/>
    <w:rsid w:val="1C23072A"/>
    <w:rsid w:val="1C3E1334"/>
    <w:rsid w:val="1C66296E"/>
    <w:rsid w:val="1D367A29"/>
    <w:rsid w:val="1EEE3414"/>
    <w:rsid w:val="2133386C"/>
    <w:rsid w:val="21AE305D"/>
    <w:rsid w:val="21CD7F24"/>
    <w:rsid w:val="228A7C41"/>
    <w:rsid w:val="22A805E7"/>
    <w:rsid w:val="22B27093"/>
    <w:rsid w:val="22DC66CE"/>
    <w:rsid w:val="23135BE1"/>
    <w:rsid w:val="23C02704"/>
    <w:rsid w:val="242225F0"/>
    <w:rsid w:val="255E41AA"/>
    <w:rsid w:val="262D58A1"/>
    <w:rsid w:val="264041AA"/>
    <w:rsid w:val="282D0BDB"/>
    <w:rsid w:val="28397BDE"/>
    <w:rsid w:val="29B72037"/>
    <w:rsid w:val="2B642A38"/>
    <w:rsid w:val="2BA72A52"/>
    <w:rsid w:val="2DAF3E40"/>
    <w:rsid w:val="2E030C16"/>
    <w:rsid w:val="2E0332AF"/>
    <w:rsid w:val="2E162111"/>
    <w:rsid w:val="2FA73ABD"/>
    <w:rsid w:val="32214171"/>
    <w:rsid w:val="32FA4B9F"/>
    <w:rsid w:val="33303667"/>
    <w:rsid w:val="33686F6B"/>
    <w:rsid w:val="339B4229"/>
    <w:rsid w:val="349E016A"/>
    <w:rsid w:val="371F6EFC"/>
    <w:rsid w:val="382F22ED"/>
    <w:rsid w:val="39A44E6F"/>
    <w:rsid w:val="3AF24ACF"/>
    <w:rsid w:val="3B1456DF"/>
    <w:rsid w:val="3B2537FF"/>
    <w:rsid w:val="3B602E8F"/>
    <w:rsid w:val="3CEC4FAF"/>
    <w:rsid w:val="3CF338D7"/>
    <w:rsid w:val="3DB27889"/>
    <w:rsid w:val="3E232DD9"/>
    <w:rsid w:val="3EC15781"/>
    <w:rsid w:val="3ECF5E94"/>
    <w:rsid w:val="3FF957B0"/>
    <w:rsid w:val="40D559E0"/>
    <w:rsid w:val="4291742C"/>
    <w:rsid w:val="42DE5CB0"/>
    <w:rsid w:val="469D6AD4"/>
    <w:rsid w:val="46F53476"/>
    <w:rsid w:val="48546054"/>
    <w:rsid w:val="49EA64D4"/>
    <w:rsid w:val="49F97A08"/>
    <w:rsid w:val="4CE832CA"/>
    <w:rsid w:val="4D212F41"/>
    <w:rsid w:val="4D29314F"/>
    <w:rsid w:val="4DF429A8"/>
    <w:rsid w:val="4E141D71"/>
    <w:rsid w:val="4F3E697A"/>
    <w:rsid w:val="4F960564"/>
    <w:rsid w:val="50BB0282"/>
    <w:rsid w:val="50F1648E"/>
    <w:rsid w:val="52FE53E3"/>
    <w:rsid w:val="535D11F1"/>
    <w:rsid w:val="54C947B5"/>
    <w:rsid w:val="54EC3D45"/>
    <w:rsid w:val="558071F9"/>
    <w:rsid w:val="55DC0B3C"/>
    <w:rsid w:val="57A829DB"/>
    <w:rsid w:val="57C40364"/>
    <w:rsid w:val="590E6D76"/>
    <w:rsid w:val="5BFE7106"/>
    <w:rsid w:val="5D681283"/>
    <w:rsid w:val="5D8A34BF"/>
    <w:rsid w:val="5F1420B7"/>
    <w:rsid w:val="613A73B9"/>
    <w:rsid w:val="61521595"/>
    <w:rsid w:val="623202AC"/>
    <w:rsid w:val="62AA56C6"/>
    <w:rsid w:val="62F3173B"/>
    <w:rsid w:val="64807EBA"/>
    <w:rsid w:val="6489776B"/>
    <w:rsid w:val="648E7C00"/>
    <w:rsid w:val="66243C8B"/>
    <w:rsid w:val="66AE299B"/>
    <w:rsid w:val="67596FAF"/>
    <w:rsid w:val="67B406B2"/>
    <w:rsid w:val="68881887"/>
    <w:rsid w:val="688834AF"/>
    <w:rsid w:val="693D63AD"/>
    <w:rsid w:val="696858A7"/>
    <w:rsid w:val="6A555DF5"/>
    <w:rsid w:val="6A6D6639"/>
    <w:rsid w:val="6AB00A48"/>
    <w:rsid w:val="6B0940A0"/>
    <w:rsid w:val="6B1D44A8"/>
    <w:rsid w:val="6E806D72"/>
    <w:rsid w:val="70D56CE6"/>
    <w:rsid w:val="712C780C"/>
    <w:rsid w:val="71AA3CCF"/>
    <w:rsid w:val="71BE59CD"/>
    <w:rsid w:val="7218332F"/>
    <w:rsid w:val="72B15162"/>
    <w:rsid w:val="73560809"/>
    <w:rsid w:val="735A138C"/>
    <w:rsid w:val="750E120F"/>
    <w:rsid w:val="75160541"/>
    <w:rsid w:val="75F659B1"/>
    <w:rsid w:val="76900590"/>
    <w:rsid w:val="76B350D8"/>
    <w:rsid w:val="76DD68F5"/>
    <w:rsid w:val="77392E7C"/>
    <w:rsid w:val="775C50B8"/>
    <w:rsid w:val="77927AB5"/>
    <w:rsid w:val="7969789B"/>
    <w:rsid w:val="79C9634A"/>
    <w:rsid w:val="7AAD5B8F"/>
    <w:rsid w:val="7B713AB0"/>
    <w:rsid w:val="7BF344C5"/>
    <w:rsid w:val="7CAE4477"/>
    <w:rsid w:val="7D0D7966"/>
    <w:rsid w:val="7D6E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3"/>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80"/>
    <w:autoRedefine/>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92"/>
    <w:autoRedefine/>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autoRedefine/>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40">
    <w:name w:val="Default Paragraph Font"/>
    <w:autoRedefine/>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Cambria" w:hAnsi="Cambria"/>
      <w:sz w:val="24"/>
    </w:rPr>
  </w:style>
  <w:style w:type="paragraph" w:styleId="7">
    <w:name w:val="toc 7"/>
    <w:basedOn w:val="1"/>
    <w:next w:val="1"/>
    <w:autoRedefine/>
    <w:qFormat/>
    <w:uiPriority w:val="39"/>
    <w:pPr>
      <w:ind w:left="2520" w:leftChars="1200"/>
    </w:pPr>
  </w:style>
  <w:style w:type="paragraph" w:styleId="8">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84"/>
    <w:autoRedefine/>
    <w:qFormat/>
    <w:uiPriority w:val="0"/>
    <w:rPr>
      <w:rFonts w:ascii="宋体"/>
      <w:sz w:val="18"/>
      <w:szCs w:val="18"/>
    </w:rPr>
  </w:style>
  <w:style w:type="paragraph" w:styleId="10">
    <w:name w:val="annotation text"/>
    <w:basedOn w:val="1"/>
    <w:link w:val="90"/>
    <w:autoRedefine/>
    <w:qFormat/>
    <w:uiPriority w:val="99"/>
    <w:pPr>
      <w:jc w:val="left"/>
    </w:pPr>
  </w:style>
  <w:style w:type="paragraph" w:styleId="11">
    <w:name w:val="Body Text"/>
    <w:basedOn w:val="1"/>
    <w:link w:val="89"/>
    <w:autoRedefine/>
    <w:qFormat/>
    <w:uiPriority w:val="0"/>
    <w:pPr>
      <w:tabs>
        <w:tab w:val="left" w:pos="567"/>
      </w:tabs>
      <w:spacing w:before="120" w:line="22" w:lineRule="atLeast"/>
    </w:pPr>
    <w:rPr>
      <w:rFonts w:ascii="宋体" w:hAnsi="宋体"/>
      <w:sz w:val="24"/>
    </w:rPr>
  </w:style>
  <w:style w:type="paragraph" w:styleId="12">
    <w:name w:val="Body Text Indent"/>
    <w:basedOn w:val="1"/>
    <w:autoRedefine/>
    <w:qFormat/>
    <w:uiPriority w:val="0"/>
    <w:pPr>
      <w:spacing w:line="360" w:lineRule="auto"/>
      <w:ind w:firstLine="570"/>
    </w:pPr>
    <w:rPr>
      <w:sz w:val="24"/>
    </w:rPr>
  </w:style>
  <w:style w:type="paragraph" w:styleId="13">
    <w:name w:val="Block Text"/>
    <w:basedOn w:val="1"/>
    <w:autoRedefine/>
    <w:qFormat/>
    <w:uiPriority w:val="99"/>
    <w:pPr>
      <w:spacing w:after="120"/>
      <w:ind w:left="1440" w:leftChars="700" w:right="1440" w:rightChars="700"/>
    </w:pPr>
  </w:style>
  <w:style w:type="paragraph" w:styleId="14">
    <w:name w:val="toc 5"/>
    <w:basedOn w:val="1"/>
    <w:next w:val="1"/>
    <w:autoRedefine/>
    <w:qFormat/>
    <w:uiPriority w:val="39"/>
    <w:pPr>
      <w:ind w:left="1680" w:leftChars="800"/>
    </w:pPr>
  </w:style>
  <w:style w:type="paragraph" w:styleId="15">
    <w:name w:val="toc 3"/>
    <w:basedOn w:val="1"/>
    <w:next w:val="1"/>
    <w:autoRedefine/>
    <w:qFormat/>
    <w:uiPriority w:val="39"/>
    <w:pPr>
      <w:tabs>
        <w:tab w:val="left" w:pos="1260"/>
        <w:tab w:val="right" w:leader="dot" w:pos="8630"/>
      </w:tabs>
      <w:ind w:left="840" w:leftChars="400"/>
    </w:pPr>
  </w:style>
  <w:style w:type="paragraph" w:styleId="16">
    <w:name w:val="Plain Text"/>
    <w:basedOn w:val="1"/>
    <w:next w:val="17"/>
    <w:link w:val="88"/>
    <w:autoRedefine/>
    <w:qFormat/>
    <w:uiPriority w:val="0"/>
    <w:rPr>
      <w:rFonts w:ascii="宋体" w:hAnsi="Courier New"/>
      <w:szCs w:val="20"/>
    </w:rPr>
  </w:style>
  <w:style w:type="paragraph" w:styleId="17">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8">
    <w:name w:val="toc 8"/>
    <w:basedOn w:val="1"/>
    <w:next w:val="1"/>
    <w:autoRedefine/>
    <w:qFormat/>
    <w:uiPriority w:val="39"/>
    <w:pPr>
      <w:ind w:left="2940" w:leftChars="1400"/>
    </w:pPr>
  </w:style>
  <w:style w:type="paragraph" w:styleId="19">
    <w:name w:val="Date"/>
    <w:basedOn w:val="1"/>
    <w:next w:val="1"/>
    <w:link w:val="85"/>
    <w:autoRedefine/>
    <w:qFormat/>
    <w:uiPriority w:val="0"/>
    <w:pPr>
      <w:ind w:left="100" w:leftChars="2500"/>
    </w:pPr>
    <w:rPr>
      <w:rFonts w:ascii="仿宋_GB2312" w:hAnsi="宋体" w:eastAsia="仿宋_GB2312"/>
      <w:color w:val="000000"/>
      <w:sz w:val="24"/>
    </w:rPr>
  </w:style>
  <w:style w:type="paragraph" w:styleId="20">
    <w:name w:val="Body Text Indent 2"/>
    <w:basedOn w:val="1"/>
    <w:autoRedefine/>
    <w:qFormat/>
    <w:uiPriority w:val="0"/>
    <w:pPr>
      <w:ind w:firstLine="480" w:firstLineChars="200"/>
    </w:pPr>
    <w:rPr>
      <w:rFonts w:ascii="仿宋_GB2312" w:eastAsia="仿宋_GB2312"/>
      <w:sz w:val="24"/>
    </w:rPr>
  </w:style>
  <w:style w:type="paragraph" w:styleId="21">
    <w:name w:val="Balloon Text"/>
    <w:basedOn w:val="1"/>
    <w:link w:val="81"/>
    <w:autoRedefine/>
    <w:qFormat/>
    <w:uiPriority w:val="0"/>
    <w:rPr>
      <w:sz w:val="18"/>
      <w:szCs w:val="18"/>
    </w:rPr>
  </w:style>
  <w:style w:type="paragraph" w:styleId="22">
    <w:name w:val="footer"/>
    <w:basedOn w:val="1"/>
    <w:link w:val="7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footnote text"/>
    <w:basedOn w:val="1"/>
    <w:next w:val="11"/>
    <w:autoRedefine/>
    <w:qFormat/>
    <w:uiPriority w:val="0"/>
    <w:pPr>
      <w:snapToGrid w:val="0"/>
      <w:jc w:val="left"/>
    </w:pPr>
    <w:rPr>
      <w:sz w:val="18"/>
    </w:rPr>
  </w:style>
  <w:style w:type="paragraph" w:styleId="27">
    <w:name w:val="toc 6"/>
    <w:basedOn w:val="1"/>
    <w:next w:val="1"/>
    <w:autoRedefine/>
    <w:qFormat/>
    <w:uiPriority w:val="39"/>
    <w:pPr>
      <w:ind w:left="2100" w:leftChars="1000"/>
    </w:pPr>
  </w:style>
  <w:style w:type="paragraph" w:styleId="2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index 7"/>
    <w:basedOn w:val="1"/>
    <w:next w:val="1"/>
    <w:autoRedefine/>
    <w:qFormat/>
    <w:uiPriority w:val="0"/>
    <w:pPr>
      <w:autoSpaceDE/>
      <w:autoSpaceDN/>
      <w:adjustRightInd/>
      <w:ind w:left="1200" w:leftChars="1200"/>
    </w:pPr>
    <w:rPr>
      <w:color w:val="auto"/>
      <w:kern w:val="2"/>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39"/>
    <w:pPr>
      <w:ind w:left="3360" w:leftChars="1600"/>
    </w:pPr>
  </w:style>
  <w:style w:type="paragraph" w:styleId="32">
    <w:name w:val="Normal (Web)"/>
    <w:basedOn w:val="1"/>
    <w:autoRedefine/>
    <w:qFormat/>
    <w:uiPriority w:val="99"/>
    <w:pPr>
      <w:spacing w:before="75" w:after="75"/>
      <w:jc w:val="left"/>
    </w:pPr>
    <w:rPr>
      <w:kern w:val="0"/>
      <w:sz w:val="24"/>
    </w:rPr>
  </w:style>
  <w:style w:type="paragraph" w:styleId="33">
    <w:name w:val="index 1"/>
    <w:basedOn w:val="1"/>
    <w:next w:val="1"/>
    <w:autoRedefine/>
    <w:qFormat/>
    <w:uiPriority w:val="0"/>
    <w:rPr>
      <w:szCs w:val="20"/>
    </w:rPr>
  </w:style>
  <w:style w:type="paragraph" w:styleId="34">
    <w:name w:val="Title"/>
    <w:basedOn w:val="1"/>
    <w:next w:val="1"/>
    <w:autoRedefine/>
    <w:qFormat/>
    <w:uiPriority w:val="0"/>
    <w:pPr>
      <w:spacing w:before="240" w:after="60"/>
      <w:jc w:val="center"/>
      <w:outlineLvl w:val="0"/>
    </w:pPr>
    <w:rPr>
      <w:rFonts w:ascii="Cambria" w:hAnsi="Cambria"/>
      <w:b/>
      <w:bCs/>
      <w:sz w:val="32"/>
      <w:szCs w:val="32"/>
    </w:rPr>
  </w:style>
  <w:style w:type="paragraph" w:styleId="35">
    <w:name w:val="annotation subject"/>
    <w:basedOn w:val="10"/>
    <w:next w:val="10"/>
    <w:link w:val="91"/>
    <w:autoRedefine/>
    <w:qFormat/>
    <w:uiPriority w:val="0"/>
    <w:rPr>
      <w:b/>
      <w:bCs/>
    </w:rPr>
  </w:style>
  <w:style w:type="paragraph" w:styleId="36">
    <w:name w:val="Body Text First Indent"/>
    <w:basedOn w:val="11"/>
    <w:next w:val="1"/>
    <w:autoRedefine/>
    <w:qFormat/>
    <w:uiPriority w:val="0"/>
    <w:pPr>
      <w:ind w:firstLine="420" w:firstLineChars="100"/>
    </w:pPr>
  </w:style>
  <w:style w:type="paragraph" w:styleId="37">
    <w:name w:val="Body Text First Indent 2"/>
    <w:basedOn w:val="12"/>
    <w:next w:val="1"/>
    <w:autoRedefine/>
    <w:qFormat/>
    <w:uiPriority w:val="0"/>
    <w:pPr>
      <w:ind w:firstLine="420" w:firstLineChars="20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autoRedefine/>
    <w:qFormat/>
    <w:uiPriority w:val="0"/>
  </w:style>
  <w:style w:type="character" w:styleId="43">
    <w:name w:val="FollowedHyperlink"/>
    <w:basedOn w:val="40"/>
    <w:semiHidden/>
    <w:unhideWhenUsed/>
    <w:qFormat/>
    <w:uiPriority w:val="99"/>
    <w:rPr>
      <w:color w:val="800080"/>
      <w:u w:val="none"/>
    </w:rPr>
  </w:style>
  <w:style w:type="character" w:styleId="44">
    <w:name w:val="Emphasis"/>
    <w:basedOn w:val="40"/>
    <w:qFormat/>
    <w:uiPriority w:val="20"/>
  </w:style>
  <w:style w:type="character" w:styleId="45">
    <w:name w:val="HTML Definition"/>
    <w:basedOn w:val="40"/>
    <w:semiHidden/>
    <w:unhideWhenUsed/>
    <w:qFormat/>
    <w:uiPriority w:val="99"/>
  </w:style>
  <w:style w:type="character" w:styleId="46">
    <w:name w:val="HTML Typewriter"/>
    <w:basedOn w:val="40"/>
    <w:semiHidden/>
    <w:unhideWhenUsed/>
    <w:qFormat/>
    <w:uiPriority w:val="99"/>
    <w:rPr>
      <w:rFonts w:ascii="monospace" w:hAnsi="monospace" w:eastAsia="monospace" w:cs="monospace"/>
      <w:sz w:val="20"/>
    </w:rPr>
  </w:style>
  <w:style w:type="character" w:styleId="47">
    <w:name w:val="HTML Acronym"/>
    <w:basedOn w:val="40"/>
    <w:semiHidden/>
    <w:unhideWhenUsed/>
    <w:qFormat/>
    <w:uiPriority w:val="99"/>
  </w:style>
  <w:style w:type="character" w:styleId="48">
    <w:name w:val="HTML Variable"/>
    <w:basedOn w:val="40"/>
    <w:semiHidden/>
    <w:unhideWhenUsed/>
    <w:qFormat/>
    <w:uiPriority w:val="99"/>
  </w:style>
  <w:style w:type="character" w:styleId="49">
    <w:name w:val="Hyperlink"/>
    <w:autoRedefine/>
    <w:qFormat/>
    <w:uiPriority w:val="99"/>
    <w:rPr>
      <w:color w:val="0000FF"/>
      <w:u w:val="single"/>
    </w:rPr>
  </w:style>
  <w:style w:type="character" w:styleId="50">
    <w:name w:val="HTML Code"/>
    <w:basedOn w:val="40"/>
    <w:semiHidden/>
    <w:unhideWhenUsed/>
    <w:qFormat/>
    <w:uiPriority w:val="99"/>
    <w:rPr>
      <w:rFonts w:hint="default" w:ascii="monospace" w:hAnsi="monospace" w:eastAsia="monospace" w:cs="monospace"/>
      <w:sz w:val="20"/>
    </w:rPr>
  </w:style>
  <w:style w:type="character" w:styleId="51">
    <w:name w:val="annotation reference"/>
    <w:autoRedefine/>
    <w:qFormat/>
    <w:uiPriority w:val="99"/>
    <w:rPr>
      <w:sz w:val="21"/>
      <w:szCs w:val="21"/>
    </w:rPr>
  </w:style>
  <w:style w:type="character" w:styleId="52">
    <w:name w:val="HTML Cite"/>
    <w:basedOn w:val="40"/>
    <w:semiHidden/>
    <w:unhideWhenUsed/>
    <w:qFormat/>
    <w:uiPriority w:val="99"/>
  </w:style>
  <w:style w:type="character" w:styleId="53">
    <w:name w:val="HTML Keyboard"/>
    <w:basedOn w:val="40"/>
    <w:semiHidden/>
    <w:unhideWhenUsed/>
    <w:qFormat/>
    <w:uiPriority w:val="99"/>
    <w:rPr>
      <w:rFonts w:hint="default" w:ascii="monospace" w:hAnsi="monospace" w:eastAsia="monospace" w:cs="monospace"/>
      <w:sz w:val="20"/>
    </w:rPr>
  </w:style>
  <w:style w:type="character" w:styleId="54">
    <w:name w:val="HTML Sample"/>
    <w:basedOn w:val="40"/>
    <w:semiHidden/>
    <w:unhideWhenUsed/>
    <w:qFormat/>
    <w:uiPriority w:val="99"/>
    <w:rPr>
      <w:rFonts w:hint="default" w:ascii="monospace" w:hAnsi="monospace" w:eastAsia="monospace" w:cs="monospace"/>
    </w:rPr>
  </w:style>
  <w:style w:type="paragraph" w:customStyle="1" w:styleId="55">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6">
    <w:name w:val="索引 11"/>
    <w:basedOn w:val="1"/>
    <w:next w:val="1"/>
    <w:autoRedefine/>
    <w:qFormat/>
    <w:uiPriority w:val="0"/>
    <w:pPr>
      <w:spacing w:line="360" w:lineRule="auto"/>
    </w:pPr>
    <w:rPr>
      <w:rFonts w:ascii="仿宋_GB2312" w:eastAsia="仿宋_GB2312"/>
      <w:sz w:val="24"/>
      <w:szCs w:val="20"/>
    </w:rPr>
  </w:style>
  <w:style w:type="paragraph" w:customStyle="1" w:styleId="57">
    <w:name w:val="列出段落1"/>
    <w:basedOn w:val="1"/>
    <w:autoRedefine/>
    <w:qFormat/>
    <w:uiPriority w:val="34"/>
    <w:pPr>
      <w:widowControl/>
      <w:ind w:firstLine="420" w:firstLineChars="200"/>
      <w:jc w:val="left"/>
    </w:pPr>
    <w:rPr>
      <w:kern w:val="0"/>
      <w:sz w:val="24"/>
    </w:rPr>
  </w:style>
  <w:style w:type="paragraph" w:customStyle="1" w:styleId="58">
    <w:name w:val="列出段落11"/>
    <w:basedOn w:val="1"/>
    <w:next w:val="57"/>
    <w:autoRedefine/>
    <w:qFormat/>
    <w:uiPriority w:val="34"/>
    <w:pPr>
      <w:widowControl/>
      <w:ind w:firstLine="420" w:firstLineChars="200"/>
      <w:jc w:val="left"/>
    </w:pPr>
    <w:rPr>
      <w:rFonts w:ascii="宋体" w:hAnsi="宋体" w:cs="宋体"/>
      <w:kern w:val="0"/>
      <w:sz w:val="24"/>
    </w:rPr>
  </w:style>
  <w:style w:type="paragraph" w:customStyle="1" w:styleId="59">
    <w:name w:val="List Paragraph1"/>
    <w:basedOn w:val="1"/>
    <w:autoRedefine/>
    <w:qFormat/>
    <w:uiPriority w:val="34"/>
    <w:pPr>
      <w:ind w:firstLine="420" w:firstLineChars="200"/>
    </w:pPr>
  </w:style>
  <w:style w:type="paragraph" w:customStyle="1" w:styleId="60">
    <w:name w:val="Table Paragraph"/>
    <w:basedOn w:val="1"/>
    <w:qFormat/>
    <w:uiPriority w:val="1"/>
    <w:pPr>
      <w:widowControl/>
      <w:jc w:val="left"/>
    </w:pPr>
    <w:rPr>
      <w:rFonts w:ascii="宋体" w:hAnsi="宋体" w:cs="宋体"/>
      <w:kern w:val="0"/>
      <w:szCs w:val="20"/>
      <w:lang w:val="zh-CN" w:bidi="zh-CN"/>
    </w:rPr>
  </w:style>
  <w:style w:type="paragraph" w:customStyle="1" w:styleId="61">
    <w:name w:val="p0"/>
    <w:basedOn w:val="1"/>
    <w:autoRedefine/>
    <w:qFormat/>
    <w:uiPriority w:val="0"/>
    <w:pPr>
      <w:widowControl/>
    </w:pPr>
    <w:rPr>
      <w:kern w:val="0"/>
      <w:szCs w:val="21"/>
    </w:rPr>
  </w:style>
  <w:style w:type="paragraph" w:customStyle="1" w:styleId="62">
    <w:name w:val="图例"/>
    <w:basedOn w:val="1"/>
    <w:autoRedefine/>
    <w:qFormat/>
    <w:uiPriority w:val="0"/>
    <w:pPr>
      <w:spacing w:before="120" w:after="120" w:line="360" w:lineRule="auto"/>
      <w:jc w:val="center"/>
    </w:pPr>
    <w:rPr>
      <w:rFonts w:eastAsia="仿宋_GB2312"/>
      <w:b/>
      <w:sz w:val="24"/>
    </w:rPr>
  </w:style>
  <w:style w:type="paragraph" w:customStyle="1" w:styleId="6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64">
    <w:name w:val="正文段"/>
    <w:basedOn w:val="1"/>
    <w:autoRedefine/>
    <w:qFormat/>
    <w:uiPriority w:val="0"/>
    <w:pPr>
      <w:widowControl/>
      <w:snapToGrid w:val="0"/>
      <w:spacing w:afterLines="50"/>
      <w:ind w:firstLine="200" w:firstLineChars="200"/>
    </w:pPr>
    <w:rPr>
      <w:kern w:val="0"/>
      <w:sz w:val="24"/>
    </w:rPr>
  </w:style>
  <w:style w:type="paragraph" w:customStyle="1" w:styleId="65">
    <w:name w:val="首行缩进"/>
    <w:basedOn w:val="1"/>
    <w:autoRedefine/>
    <w:qFormat/>
    <w:uiPriority w:val="0"/>
    <w:pPr>
      <w:ind w:firstLine="480" w:firstLineChars="200"/>
    </w:pPr>
    <w:rPr>
      <w:lang w:val="zh-CN"/>
    </w:rPr>
  </w:style>
  <w:style w:type="paragraph" w:customStyle="1" w:styleId="66">
    <w:name w:val="纯文本1"/>
    <w:basedOn w:val="1"/>
    <w:link w:val="82"/>
    <w:qFormat/>
    <w:uiPriority w:val="0"/>
    <w:rPr>
      <w:rFonts w:ascii="宋体" w:hAnsi="Courier New"/>
      <w:kern w:val="0"/>
      <w:sz w:val="20"/>
      <w:szCs w:val="20"/>
    </w:rPr>
  </w:style>
  <w:style w:type="paragraph" w:customStyle="1" w:styleId="67">
    <w:name w:val="Char"/>
    <w:basedOn w:val="1"/>
    <w:autoRedefine/>
    <w:qFormat/>
    <w:uiPriority w:val="0"/>
    <w:pPr>
      <w:tabs>
        <w:tab w:val="left" w:pos="360"/>
      </w:tabs>
    </w:pPr>
    <w:rPr>
      <w:sz w:val="24"/>
    </w:rPr>
  </w:style>
  <w:style w:type="paragraph" w:customStyle="1" w:styleId="68">
    <w:name w:val="正文缩进1"/>
    <w:basedOn w:val="1"/>
    <w:link w:val="71"/>
    <w:qFormat/>
    <w:uiPriority w:val="0"/>
    <w:pPr>
      <w:autoSpaceDE w:val="0"/>
      <w:autoSpaceDN w:val="0"/>
      <w:adjustRightInd w:val="0"/>
      <w:ind w:firstLine="420"/>
      <w:jc w:val="left"/>
    </w:pPr>
    <w:rPr>
      <w:rFonts w:ascii="宋体"/>
      <w:kern w:val="0"/>
      <w:sz w:val="24"/>
      <w:szCs w:val="20"/>
    </w:rPr>
  </w:style>
  <w:style w:type="paragraph" w:customStyle="1" w:styleId="69">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70">
    <w:name w:val="font91"/>
    <w:basedOn w:val="40"/>
    <w:autoRedefine/>
    <w:qFormat/>
    <w:uiPriority w:val="0"/>
    <w:rPr>
      <w:rFonts w:hint="eastAsia" w:ascii="宋体" w:hAnsi="宋体" w:eastAsia="宋体" w:cs="宋体"/>
      <w:color w:val="000000"/>
      <w:sz w:val="20"/>
      <w:szCs w:val="20"/>
      <w:u w:val="none"/>
      <w:vertAlign w:val="subscript"/>
    </w:rPr>
  </w:style>
  <w:style w:type="character" w:customStyle="1" w:styleId="71">
    <w:name w:val="正文缩进 Char1"/>
    <w:link w:val="68"/>
    <w:autoRedefine/>
    <w:qFormat/>
    <w:uiPriority w:val="0"/>
    <w:rPr>
      <w:rFonts w:ascii="宋体"/>
      <w:sz w:val="24"/>
    </w:rPr>
  </w:style>
  <w:style w:type="character" w:customStyle="1" w:styleId="72">
    <w:name w:val="批注主题 Char1"/>
    <w:autoRedefine/>
    <w:qFormat/>
    <w:uiPriority w:val="99"/>
    <w:rPr>
      <w:b/>
      <w:bCs/>
      <w:kern w:val="2"/>
      <w:sz w:val="21"/>
      <w:szCs w:val="24"/>
    </w:rPr>
  </w:style>
  <w:style w:type="character" w:customStyle="1" w:styleId="73">
    <w:name w:val="font31"/>
    <w:basedOn w:val="40"/>
    <w:autoRedefine/>
    <w:qFormat/>
    <w:uiPriority w:val="0"/>
    <w:rPr>
      <w:rFonts w:hint="eastAsia" w:ascii="宋体" w:hAnsi="宋体" w:eastAsia="宋体" w:cs="宋体"/>
      <w:color w:val="404040"/>
      <w:sz w:val="20"/>
      <w:szCs w:val="20"/>
      <w:u w:val="none"/>
    </w:rPr>
  </w:style>
  <w:style w:type="character" w:customStyle="1" w:styleId="74">
    <w:name w:val="font61"/>
    <w:basedOn w:val="40"/>
    <w:autoRedefine/>
    <w:qFormat/>
    <w:uiPriority w:val="0"/>
    <w:rPr>
      <w:rFonts w:hint="eastAsia" w:ascii="宋体" w:hAnsi="宋体" w:eastAsia="宋体" w:cs="宋体"/>
      <w:color w:val="333333"/>
      <w:sz w:val="20"/>
      <w:szCs w:val="20"/>
      <w:u w:val="none"/>
    </w:rPr>
  </w:style>
  <w:style w:type="character" w:customStyle="1" w:styleId="75">
    <w:name w:val="页眉 字符"/>
    <w:link w:val="23"/>
    <w:autoRedefine/>
    <w:qFormat/>
    <w:uiPriority w:val="99"/>
    <w:rPr>
      <w:kern w:val="2"/>
      <w:sz w:val="18"/>
      <w:szCs w:val="18"/>
    </w:rPr>
  </w:style>
  <w:style w:type="character" w:customStyle="1" w:styleId="76">
    <w:name w:val="批注文字 Char1"/>
    <w:autoRedefine/>
    <w:qFormat/>
    <w:uiPriority w:val="99"/>
    <w:rPr>
      <w:kern w:val="2"/>
      <w:sz w:val="21"/>
      <w:szCs w:val="24"/>
    </w:rPr>
  </w:style>
  <w:style w:type="character" w:customStyle="1" w:styleId="77">
    <w:name w:val="font41"/>
    <w:basedOn w:val="40"/>
    <w:autoRedefine/>
    <w:qFormat/>
    <w:uiPriority w:val="0"/>
    <w:rPr>
      <w:rFonts w:hint="eastAsia" w:ascii="宋体" w:hAnsi="宋体" w:eastAsia="宋体" w:cs="宋体"/>
      <w:color w:val="000000"/>
      <w:sz w:val="20"/>
      <w:szCs w:val="20"/>
      <w:u w:val="none"/>
    </w:rPr>
  </w:style>
  <w:style w:type="character" w:customStyle="1" w:styleId="78">
    <w:name w:val="页脚 字符"/>
    <w:link w:val="22"/>
    <w:autoRedefine/>
    <w:qFormat/>
    <w:uiPriority w:val="99"/>
    <w:rPr>
      <w:rFonts w:ascii="宋体"/>
      <w:sz w:val="18"/>
    </w:rPr>
  </w:style>
  <w:style w:type="character" w:customStyle="1" w:styleId="79">
    <w:name w:val="font101"/>
    <w:basedOn w:val="40"/>
    <w:autoRedefine/>
    <w:qFormat/>
    <w:uiPriority w:val="0"/>
    <w:rPr>
      <w:rFonts w:hint="eastAsia" w:ascii="宋体" w:hAnsi="宋体" w:eastAsia="宋体" w:cs="宋体"/>
      <w:color w:val="000000"/>
      <w:sz w:val="20"/>
      <w:szCs w:val="20"/>
      <w:u w:val="none"/>
    </w:rPr>
  </w:style>
  <w:style w:type="character" w:customStyle="1" w:styleId="80">
    <w:name w:val="标题 2 字符"/>
    <w:link w:val="4"/>
    <w:autoRedefine/>
    <w:qFormat/>
    <w:uiPriority w:val="0"/>
    <w:rPr>
      <w:rFonts w:ascii="Arial" w:hAnsi="Arial" w:eastAsia="黑体"/>
      <w:b/>
      <w:sz w:val="30"/>
    </w:rPr>
  </w:style>
  <w:style w:type="character" w:customStyle="1" w:styleId="81">
    <w:name w:val="批注框文本 字符"/>
    <w:link w:val="21"/>
    <w:qFormat/>
    <w:uiPriority w:val="0"/>
    <w:rPr>
      <w:kern w:val="2"/>
      <w:sz w:val="18"/>
      <w:szCs w:val="18"/>
    </w:rPr>
  </w:style>
  <w:style w:type="character" w:customStyle="1" w:styleId="82">
    <w:name w:val="纯文本 Char1"/>
    <w:link w:val="66"/>
    <w:qFormat/>
    <w:uiPriority w:val="0"/>
    <w:rPr>
      <w:rFonts w:ascii="宋体" w:hAnsi="Courier New"/>
    </w:rPr>
  </w:style>
  <w:style w:type="character" w:customStyle="1" w:styleId="83">
    <w:name w:val="font81"/>
    <w:basedOn w:val="40"/>
    <w:autoRedefine/>
    <w:qFormat/>
    <w:uiPriority w:val="0"/>
    <w:rPr>
      <w:rFonts w:hint="eastAsia" w:ascii="宋体" w:hAnsi="宋体" w:eastAsia="宋体" w:cs="宋体"/>
      <w:color w:val="404040"/>
      <w:sz w:val="20"/>
      <w:szCs w:val="20"/>
      <w:u w:val="none"/>
    </w:rPr>
  </w:style>
  <w:style w:type="character" w:customStyle="1" w:styleId="84">
    <w:name w:val="文档结构图 字符"/>
    <w:basedOn w:val="40"/>
    <w:link w:val="9"/>
    <w:autoRedefine/>
    <w:qFormat/>
    <w:uiPriority w:val="0"/>
    <w:rPr>
      <w:rFonts w:ascii="宋体"/>
      <w:kern w:val="2"/>
      <w:sz w:val="18"/>
      <w:szCs w:val="18"/>
    </w:rPr>
  </w:style>
  <w:style w:type="character" w:customStyle="1" w:styleId="85">
    <w:name w:val="日期 字符"/>
    <w:link w:val="19"/>
    <w:autoRedefine/>
    <w:qFormat/>
    <w:uiPriority w:val="0"/>
    <w:rPr>
      <w:rFonts w:ascii="仿宋_GB2312" w:hAnsi="宋体" w:eastAsia="仿宋_GB2312"/>
      <w:color w:val="000000"/>
      <w:kern w:val="2"/>
      <w:sz w:val="24"/>
      <w:szCs w:val="24"/>
    </w:rPr>
  </w:style>
  <w:style w:type="character" w:customStyle="1" w:styleId="86">
    <w:name w:val="页眉 Char1"/>
    <w:autoRedefine/>
    <w:qFormat/>
    <w:uiPriority w:val="99"/>
    <w:rPr>
      <w:kern w:val="2"/>
      <w:sz w:val="18"/>
      <w:szCs w:val="18"/>
    </w:rPr>
  </w:style>
  <w:style w:type="character" w:customStyle="1" w:styleId="87">
    <w:name w:val="批注框文本 Char1"/>
    <w:autoRedefine/>
    <w:qFormat/>
    <w:uiPriority w:val="99"/>
    <w:rPr>
      <w:kern w:val="2"/>
      <w:sz w:val="18"/>
      <w:szCs w:val="18"/>
    </w:rPr>
  </w:style>
  <w:style w:type="character" w:customStyle="1" w:styleId="88">
    <w:name w:val="纯文本 字符"/>
    <w:link w:val="16"/>
    <w:autoRedefine/>
    <w:qFormat/>
    <w:uiPriority w:val="0"/>
    <w:rPr>
      <w:rFonts w:ascii="宋体" w:hAnsi="Courier New"/>
      <w:kern w:val="2"/>
      <w:sz w:val="21"/>
    </w:rPr>
  </w:style>
  <w:style w:type="character" w:customStyle="1" w:styleId="89">
    <w:name w:val="正文文本 字符"/>
    <w:link w:val="11"/>
    <w:autoRedefine/>
    <w:qFormat/>
    <w:uiPriority w:val="0"/>
    <w:rPr>
      <w:rFonts w:ascii="宋体" w:hAnsi="宋体"/>
      <w:kern w:val="2"/>
      <w:sz w:val="24"/>
      <w:szCs w:val="24"/>
    </w:rPr>
  </w:style>
  <w:style w:type="character" w:customStyle="1" w:styleId="90">
    <w:name w:val="批注文字 字符"/>
    <w:link w:val="10"/>
    <w:autoRedefine/>
    <w:qFormat/>
    <w:uiPriority w:val="99"/>
    <w:rPr>
      <w:kern w:val="2"/>
      <w:sz w:val="21"/>
      <w:szCs w:val="24"/>
    </w:rPr>
  </w:style>
  <w:style w:type="character" w:customStyle="1" w:styleId="91">
    <w:name w:val="批注主题 字符"/>
    <w:link w:val="35"/>
    <w:autoRedefine/>
    <w:qFormat/>
    <w:uiPriority w:val="0"/>
    <w:rPr>
      <w:b/>
      <w:bCs/>
      <w:kern w:val="2"/>
      <w:sz w:val="21"/>
      <w:szCs w:val="24"/>
    </w:rPr>
  </w:style>
  <w:style w:type="character" w:customStyle="1" w:styleId="92">
    <w:name w:val="标题 3 字符"/>
    <w:link w:val="5"/>
    <w:qFormat/>
    <w:uiPriority w:val="0"/>
    <w:rPr>
      <w:rFonts w:ascii="宋体"/>
      <w:b/>
      <w:sz w:val="24"/>
      <w:u w:val="single"/>
    </w:rPr>
  </w:style>
  <w:style w:type="character" w:customStyle="1" w:styleId="93">
    <w:name w:val="标题 1 字符"/>
    <w:link w:val="3"/>
    <w:autoRedefine/>
    <w:qFormat/>
    <w:uiPriority w:val="0"/>
    <w:rPr>
      <w:rFonts w:ascii="宋体"/>
      <w:b/>
      <w:kern w:val="44"/>
      <w:sz w:val="32"/>
    </w:rPr>
  </w:style>
  <w:style w:type="paragraph" w:styleId="94">
    <w:name w:val="List Paragraph"/>
    <w:basedOn w:val="1"/>
    <w:autoRedefine/>
    <w:qFormat/>
    <w:uiPriority w:val="34"/>
    <w:pPr>
      <w:ind w:firstLine="420" w:firstLineChars="200"/>
    </w:pPr>
    <w:rPr>
      <w:rFonts w:ascii="Calibri" w:hAnsi="Calibri"/>
      <w:szCs w:val="22"/>
    </w:rPr>
  </w:style>
  <w:style w:type="paragraph" w:customStyle="1" w:styleId="95">
    <w:name w:val="样式 正文（首行缩进两字） + 首行缩进:  2 字符2"/>
    <w:basedOn w:val="8"/>
    <w:autoRedefine/>
    <w:qFormat/>
    <w:uiPriority w:val="0"/>
    <w:pPr>
      <w:spacing w:line="360" w:lineRule="auto"/>
      <w:ind w:firstLine="0"/>
      <w:textAlignment w:val="baseline"/>
    </w:pPr>
    <w:rPr>
      <w:rFonts w:hAnsi="宋体" w:eastAsia="楷体_GB2312" w:cs="宋体"/>
      <w:bCs/>
      <w:kern w:val="2"/>
      <w:sz w:val="21"/>
      <w:szCs w:val="21"/>
    </w:rPr>
  </w:style>
  <w:style w:type="paragraph" w:customStyle="1" w:styleId="96">
    <w:name w:val="PlainText"/>
    <w:basedOn w:val="1"/>
    <w:autoRedefine/>
    <w:qFormat/>
    <w:uiPriority w:val="0"/>
    <w:pPr>
      <w:textAlignment w:val="baseline"/>
    </w:pPr>
    <w:rPr>
      <w:rFonts w:ascii="宋体" w:hAnsi="Courier New"/>
      <w:szCs w:val="20"/>
    </w:rPr>
  </w:style>
  <w:style w:type="character" w:customStyle="1" w:styleId="97">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98">
    <w:name w:val="fontstyle01"/>
    <w:autoRedefine/>
    <w:qFormat/>
    <w:uiPriority w:val="0"/>
    <w:rPr>
      <w:rFonts w:hint="eastAsia" w:ascii="宋体" w:hAnsi="宋体" w:eastAsia="宋体"/>
      <w:color w:val="000000"/>
      <w:sz w:val="22"/>
      <w:szCs w:val="22"/>
    </w:rPr>
  </w:style>
  <w:style w:type="paragraph" w:customStyle="1" w:styleId="99">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100">
    <w:name w:val="font11"/>
    <w:basedOn w:val="40"/>
    <w:autoRedefine/>
    <w:qFormat/>
    <w:uiPriority w:val="0"/>
    <w:rPr>
      <w:rFonts w:hint="eastAsia" w:ascii="宋体" w:hAnsi="宋体" w:eastAsia="宋体" w:cs="宋体"/>
      <w:color w:val="000000"/>
      <w:sz w:val="18"/>
      <w:szCs w:val="18"/>
      <w:u w:val="none"/>
    </w:rPr>
  </w:style>
  <w:style w:type="character" w:customStyle="1" w:styleId="101">
    <w:name w:val="font71"/>
    <w:basedOn w:val="40"/>
    <w:autoRedefine/>
    <w:qFormat/>
    <w:uiPriority w:val="0"/>
    <w:rPr>
      <w:rFonts w:hint="eastAsia" w:ascii="宋体" w:hAnsi="宋体" w:eastAsia="宋体" w:cs="宋体"/>
      <w:color w:val="000000"/>
      <w:sz w:val="18"/>
      <w:szCs w:val="18"/>
      <w:u w:val="none"/>
    </w:rPr>
  </w:style>
  <w:style w:type="character" w:customStyle="1" w:styleId="102">
    <w:name w:val="font112"/>
    <w:basedOn w:val="40"/>
    <w:autoRedefine/>
    <w:qFormat/>
    <w:uiPriority w:val="0"/>
    <w:rPr>
      <w:rFonts w:hint="default" w:ascii="Calibri" w:hAnsi="Calibri" w:cs="Calibri"/>
      <w:color w:val="000000"/>
      <w:sz w:val="18"/>
      <w:szCs w:val="18"/>
      <w:u w:val="none"/>
    </w:rPr>
  </w:style>
  <w:style w:type="character" w:customStyle="1" w:styleId="103">
    <w:name w:val="font21"/>
    <w:basedOn w:val="40"/>
    <w:autoRedefine/>
    <w:qFormat/>
    <w:uiPriority w:val="0"/>
    <w:rPr>
      <w:rFonts w:hint="eastAsia" w:ascii="宋体" w:hAnsi="宋体" w:eastAsia="宋体" w:cs="宋体"/>
      <w:color w:val="000000"/>
      <w:sz w:val="12"/>
      <w:szCs w:val="12"/>
      <w:u w:val="none"/>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正文首行缩进1"/>
    <w:basedOn w:val="11"/>
    <w:autoRedefine/>
    <w:qFormat/>
    <w:uiPriority w:val="0"/>
    <w:pPr>
      <w:spacing w:after="0"/>
      <w:ind w:right="-349" w:rightChars="-166" w:firstLine="420" w:firstLineChars="100"/>
    </w:pPr>
    <w:rPr>
      <w:rFonts w:eastAsia="仿宋_GB2312"/>
      <w:sz w:val="32"/>
    </w:rPr>
  </w:style>
  <w:style w:type="paragraph" w:customStyle="1" w:styleId="106">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107">
    <w:name w:val="表格"/>
    <w:basedOn w:val="1"/>
    <w:autoRedefine/>
    <w:qFormat/>
    <w:uiPriority w:val="1"/>
    <w:pPr>
      <w:autoSpaceDE w:val="0"/>
      <w:autoSpaceDN w:val="0"/>
      <w:spacing w:line="360" w:lineRule="auto"/>
      <w:jc w:val="left"/>
    </w:pPr>
    <w:rPr>
      <w:rFonts w:ascii="宋体" w:hAnsi="宋体" w:eastAsia="宋体" w:cs="宋体"/>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17079</Words>
  <Characters>17970</Characters>
  <Lines>434</Lines>
  <Paragraphs>122</Paragraphs>
  <TotalTime>3</TotalTime>
  <ScaleCrop>false</ScaleCrop>
  <LinksUpToDate>false</LinksUpToDate>
  <CharactersWithSpaces>20489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0℃</cp:lastModifiedBy>
  <cp:lastPrinted>2026-05-25T10:47:00Z</cp:lastPrinted>
  <dcterms:modified xsi:type="dcterms:W3CDTF">2026-05-26T04:31:06Z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937DCBC84EE84B09B2A3AF75CD4DA2A9_13</vt:lpwstr>
  </property>
  <property fmtid="{D5CDD505-2E9C-101B-9397-08002B2CF9AE}" pid="4" name="KSOTemplateDocerSaveRecord">
    <vt:lpwstr>eyJoZGlkIjoiMmRiNmJkYTNmMzhiN2E5NzJjNTE5MGMwMjE5YTRkZTgiLCJ1c2VySWQiOiIzNTIxMjU2MjEifQ==</vt:lpwstr>
  </property>
</Properties>
</file>