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BFF56D">
      <w:pPr>
        <w:keepNext w:val="0"/>
        <w:keepLines w:val="0"/>
        <w:pageBreakBefore w:val="0"/>
        <w:widowControl w:val="0"/>
        <w:shd w:val="clear"/>
        <w:kinsoku/>
        <w:wordWrap/>
        <w:overflowPunct/>
        <w:topLinePunct w:val="0"/>
        <w:autoSpaceDE/>
        <w:autoSpaceDN/>
        <w:bidi w:val="0"/>
        <w:adjustRightInd/>
        <w:snapToGrid/>
        <w:spacing w:after="0" w:line="600" w:lineRule="auto"/>
        <w:ind w:left="0" w:leftChars="0" w:firstLine="0" w:firstLineChars="0"/>
        <w:jc w:val="center"/>
        <w:textAlignment w:val="auto"/>
        <w:outlineLvl w:val="9"/>
        <w:rPr>
          <w:rFonts w:hint="eastAsia" w:ascii="宋体" w:hAnsi="宋体" w:eastAsia="宋体" w:cs="宋体"/>
          <w:b/>
          <w:bCs/>
          <w:color w:val="auto"/>
          <w:kern w:val="2"/>
          <w:sz w:val="48"/>
          <w:szCs w:val="48"/>
          <w:highlight w:val="none"/>
          <w:lang w:eastAsia="zh-CN"/>
        </w:rPr>
      </w:pPr>
    </w:p>
    <w:p w14:paraId="41DE93CB">
      <w:pPr>
        <w:keepNext w:val="0"/>
        <w:keepLines w:val="0"/>
        <w:pageBreakBefore w:val="0"/>
        <w:widowControl w:val="0"/>
        <w:shd w:val="clear"/>
        <w:kinsoku/>
        <w:wordWrap/>
        <w:overflowPunct/>
        <w:topLinePunct w:val="0"/>
        <w:autoSpaceDE w:val="0"/>
        <w:autoSpaceDN w:val="0"/>
        <w:bidi w:val="0"/>
        <w:adjustRightInd/>
        <w:snapToGrid/>
        <w:ind w:left="0" w:leftChars="0" w:firstLine="0" w:firstLineChars="0"/>
        <w:jc w:val="center"/>
        <w:textAlignment w:val="auto"/>
        <w:outlineLvl w:val="9"/>
        <w:rPr>
          <w:rFonts w:hint="eastAsia" w:ascii="宋体" w:hAnsi="宋体" w:eastAsia="宋体" w:cs="宋体"/>
          <w:b w:val="0"/>
          <w:bCs w:val="0"/>
          <w:color w:val="auto"/>
          <w:sz w:val="60"/>
          <w:szCs w:val="60"/>
          <w:highlight w:val="none"/>
          <w:lang w:val="en-US" w:eastAsia="zh-CN" w:bidi="ar-SA"/>
        </w:rPr>
      </w:pPr>
      <w:r>
        <w:rPr>
          <w:rFonts w:hint="eastAsia" w:ascii="宋体" w:hAnsi="宋体" w:eastAsia="宋体" w:cs="宋体"/>
          <w:b w:val="0"/>
          <w:bCs w:val="0"/>
          <w:color w:val="auto"/>
          <w:sz w:val="60"/>
          <w:szCs w:val="60"/>
          <w:highlight w:val="none"/>
          <w:lang w:val="en-US" w:eastAsia="zh-CN" w:bidi="ar-SA"/>
        </w:rPr>
        <w:t>昌吉市城市管理系统政府购买服务</w:t>
      </w:r>
    </w:p>
    <w:p w14:paraId="148207C0">
      <w:pPr>
        <w:keepNext w:val="0"/>
        <w:keepLines w:val="0"/>
        <w:pageBreakBefore w:val="0"/>
        <w:widowControl w:val="0"/>
        <w:shd w:val="clear"/>
        <w:kinsoku/>
        <w:wordWrap/>
        <w:overflowPunct/>
        <w:topLinePunct w:val="0"/>
        <w:autoSpaceDE w:val="0"/>
        <w:autoSpaceDN w:val="0"/>
        <w:bidi w:val="0"/>
        <w:adjustRightInd/>
        <w:snapToGrid/>
        <w:spacing w:line="480" w:lineRule="exact"/>
        <w:ind w:left="0" w:leftChars="0" w:firstLine="0" w:firstLineChars="0"/>
        <w:jc w:val="center"/>
        <w:rPr>
          <w:rFonts w:ascii="宋体" w:hAnsi="宋体" w:eastAsia="宋体" w:cs="宋体"/>
          <w:color w:val="auto"/>
          <w:sz w:val="24"/>
          <w:szCs w:val="24"/>
          <w:highlight w:val="none"/>
          <w:lang w:val="en-US" w:eastAsia="zh-CN" w:bidi="ar-SA"/>
        </w:rPr>
      </w:pPr>
    </w:p>
    <w:p w14:paraId="14EADCEE">
      <w:pPr>
        <w:keepNext w:val="0"/>
        <w:keepLines w:val="0"/>
        <w:pageBreakBefore w:val="0"/>
        <w:widowControl w:val="0"/>
        <w:shd w:val="clear"/>
        <w:kinsoku/>
        <w:wordWrap/>
        <w:overflowPunct/>
        <w:topLinePunct w:val="0"/>
        <w:autoSpaceDE w:val="0"/>
        <w:autoSpaceDN w:val="0"/>
        <w:bidi w:val="0"/>
        <w:adjustRightInd/>
        <w:snapToGrid/>
        <w:spacing w:line="480" w:lineRule="exact"/>
        <w:ind w:left="0" w:leftChars="0" w:firstLine="0" w:firstLineChars="0"/>
        <w:jc w:val="center"/>
        <w:rPr>
          <w:rFonts w:ascii="宋体" w:hAnsi="宋体" w:eastAsia="宋体" w:cs="宋体"/>
          <w:color w:val="auto"/>
          <w:sz w:val="24"/>
          <w:szCs w:val="24"/>
          <w:highlight w:val="none"/>
          <w:lang w:val="en-US" w:eastAsia="zh-CN" w:bidi="ar-SA"/>
        </w:rPr>
      </w:pPr>
    </w:p>
    <w:p w14:paraId="46A565CD">
      <w:pPr>
        <w:keepNext w:val="0"/>
        <w:keepLines w:val="0"/>
        <w:pageBreakBefore w:val="0"/>
        <w:widowControl w:val="0"/>
        <w:shd w:val="clear"/>
        <w:kinsoku/>
        <w:wordWrap/>
        <w:overflowPunct/>
        <w:topLinePunct w:val="0"/>
        <w:autoSpaceDE w:val="0"/>
        <w:autoSpaceDN w:val="0"/>
        <w:bidi w:val="0"/>
        <w:adjustRightInd/>
        <w:snapToGrid/>
        <w:ind w:left="0" w:leftChars="0" w:firstLine="0" w:firstLineChars="0"/>
        <w:jc w:val="both"/>
        <w:textAlignment w:val="auto"/>
        <w:outlineLvl w:val="9"/>
        <w:rPr>
          <w:rFonts w:hint="eastAsia" w:ascii="黑体" w:hAnsi="黑体" w:eastAsia="黑体" w:cs="黑体"/>
          <w:b w:val="0"/>
          <w:bCs w:val="0"/>
          <w:color w:val="auto"/>
          <w:sz w:val="84"/>
          <w:szCs w:val="84"/>
          <w:highlight w:val="none"/>
          <w:lang w:val="en-US" w:eastAsia="zh-CN" w:bidi="ar-SA"/>
        </w:rPr>
      </w:pPr>
    </w:p>
    <w:p w14:paraId="52234EA6">
      <w:pPr>
        <w:keepNext w:val="0"/>
        <w:keepLines w:val="0"/>
        <w:pageBreakBefore w:val="0"/>
        <w:widowControl w:val="0"/>
        <w:shd w:val="clear"/>
        <w:kinsoku/>
        <w:wordWrap/>
        <w:overflowPunct/>
        <w:topLinePunct w:val="0"/>
        <w:autoSpaceDE w:val="0"/>
        <w:autoSpaceDN w:val="0"/>
        <w:bidi w:val="0"/>
        <w:adjustRightInd/>
        <w:snapToGrid/>
        <w:ind w:left="0" w:leftChars="0" w:firstLine="0" w:firstLineChars="0"/>
        <w:jc w:val="center"/>
        <w:textAlignment w:val="auto"/>
        <w:outlineLvl w:val="9"/>
        <w:rPr>
          <w:rFonts w:ascii="宋体" w:hAnsi="宋体" w:eastAsia="宋体" w:cs="宋体"/>
          <w:b/>
          <w:bCs/>
          <w:color w:val="auto"/>
          <w:sz w:val="40"/>
          <w:szCs w:val="40"/>
          <w:highlight w:val="none"/>
          <w:lang w:val="en-US" w:eastAsia="zh-CN" w:bidi="ar-SA"/>
        </w:rPr>
      </w:pPr>
      <w:r>
        <w:rPr>
          <w:rFonts w:hint="eastAsia" w:ascii="黑体" w:hAnsi="黑体" w:eastAsia="黑体" w:cs="黑体"/>
          <w:b w:val="0"/>
          <w:bCs w:val="0"/>
          <w:color w:val="auto"/>
          <w:sz w:val="84"/>
          <w:szCs w:val="84"/>
          <w:highlight w:val="none"/>
          <w:lang w:val="en-US" w:eastAsia="zh-CN" w:bidi="ar-SA"/>
        </w:rPr>
        <w:t>招标文件</w:t>
      </w:r>
    </w:p>
    <w:p w14:paraId="58ED30BB">
      <w:pPr>
        <w:keepNext w:val="0"/>
        <w:keepLines w:val="0"/>
        <w:pageBreakBefore w:val="0"/>
        <w:widowControl w:val="0"/>
        <w:kinsoku/>
        <w:wordWrap/>
        <w:overflowPunct/>
        <w:topLinePunct w:val="0"/>
        <w:bidi w:val="0"/>
        <w:adjustRightInd/>
        <w:snapToGrid/>
        <w:spacing w:after="0" w:line="240" w:lineRule="auto"/>
        <w:ind w:left="0" w:leftChars="0" w:firstLine="0" w:firstLineChars="0"/>
        <w:jc w:val="center"/>
        <w:textAlignment w:val="baseline"/>
        <w:rPr>
          <w:rFonts w:ascii="Times New Roman" w:hAnsi="Times New Roman" w:eastAsia="宋体" w:cs="Times New Roman"/>
          <w:b/>
          <w:bCs/>
          <w:color w:val="auto"/>
          <w:kern w:val="2"/>
          <w:sz w:val="28"/>
          <w:szCs w:val="28"/>
          <w:lang w:eastAsia="zh-CN"/>
        </w:rPr>
      </w:pPr>
    </w:p>
    <w:p w14:paraId="6BA53DF1">
      <w:pPr>
        <w:keepNext w:val="0"/>
        <w:keepLines w:val="0"/>
        <w:pageBreakBefore w:val="0"/>
        <w:widowControl w:val="0"/>
        <w:kinsoku/>
        <w:wordWrap/>
        <w:overflowPunct/>
        <w:topLinePunct w:val="0"/>
        <w:bidi w:val="0"/>
        <w:adjustRightInd/>
        <w:snapToGrid/>
        <w:spacing w:after="0" w:line="240" w:lineRule="auto"/>
        <w:ind w:left="0" w:leftChars="0" w:firstLine="0" w:firstLineChars="0"/>
        <w:jc w:val="center"/>
        <w:textAlignment w:val="baseline"/>
        <w:rPr>
          <w:rFonts w:ascii="Times New Roman" w:hAnsi="Times New Roman" w:eastAsia="宋体" w:cs="Times New Roman"/>
          <w:b/>
          <w:bCs/>
          <w:color w:val="auto"/>
          <w:kern w:val="2"/>
          <w:sz w:val="32"/>
          <w:szCs w:val="32"/>
          <w:lang w:val="zh-CN" w:eastAsia="zh-CN"/>
        </w:rPr>
      </w:pPr>
    </w:p>
    <w:p w14:paraId="4222EC02">
      <w:pPr>
        <w:widowControl w:val="0"/>
        <w:numPr>
          <w:ilvl w:val="-1"/>
          <w:numId w:val="0"/>
        </w:numPr>
        <w:tabs>
          <w:tab w:val="left" w:pos="775"/>
          <w:tab w:val="left" w:pos="1200"/>
        </w:tabs>
        <w:spacing w:after="0" w:line="360" w:lineRule="auto"/>
        <w:ind w:left="775" w:hanging="360"/>
        <w:jc w:val="both"/>
        <w:rPr>
          <w:rFonts w:ascii="Times New Roman" w:hAnsi="Times New Roman" w:eastAsia="宋体" w:cs="Times New Roman"/>
          <w:b/>
          <w:bCs/>
          <w:color w:val="auto"/>
          <w:kern w:val="0"/>
          <w:sz w:val="32"/>
          <w:szCs w:val="32"/>
          <w:lang w:val="zh-CN" w:eastAsia="zh-CN" w:bidi="ar-SA"/>
        </w:rPr>
      </w:pPr>
    </w:p>
    <w:p w14:paraId="2B61C3FB">
      <w:pPr>
        <w:autoSpaceDE w:val="0"/>
        <w:autoSpaceDN w:val="0"/>
        <w:adjustRightInd w:val="0"/>
        <w:snapToGrid w:val="0"/>
        <w:spacing w:after="0" w:afterLines="50" w:line="240" w:lineRule="auto"/>
        <w:jc w:val="both"/>
        <w:rPr>
          <w:rFonts w:ascii="宋体" w:hAnsi="宋体" w:eastAsia="宋体" w:cs="黑体"/>
          <w:color w:val="auto"/>
          <w:kern w:val="0"/>
          <w:sz w:val="32"/>
          <w:szCs w:val="32"/>
          <w:lang w:eastAsia="zh-CN"/>
        </w:rPr>
      </w:pPr>
    </w:p>
    <w:p w14:paraId="4DF5ACC0">
      <w:pPr>
        <w:autoSpaceDE w:val="0"/>
        <w:autoSpaceDN w:val="0"/>
        <w:adjustRightInd w:val="0"/>
        <w:snapToGrid w:val="0"/>
        <w:spacing w:after="0" w:afterLines="50" w:line="240" w:lineRule="auto"/>
        <w:jc w:val="center"/>
        <w:rPr>
          <w:rFonts w:ascii="宋体" w:hAnsi="宋体" w:eastAsia="宋体" w:cs="黑体"/>
          <w:color w:val="auto"/>
          <w:kern w:val="0"/>
          <w:sz w:val="32"/>
          <w:szCs w:val="32"/>
          <w:lang w:eastAsia="zh-CN"/>
        </w:rPr>
      </w:pPr>
    </w:p>
    <w:tbl>
      <w:tblPr>
        <w:tblStyle w:val="4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26"/>
        <w:gridCol w:w="5896"/>
      </w:tblGrid>
      <w:tr w14:paraId="69866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2669" w:type="dxa"/>
            <w:vAlign w:val="top"/>
          </w:tcPr>
          <w:p w14:paraId="0BB941FA">
            <w:pPr>
              <w:keepNext w:val="0"/>
              <w:keepLines w:val="0"/>
              <w:suppressLineNumbers w:val="0"/>
              <w:autoSpaceDE w:val="0"/>
              <w:autoSpaceDN w:val="0"/>
              <w:adjustRightInd w:val="0"/>
              <w:snapToGrid w:val="0"/>
              <w:spacing w:before="0" w:beforeAutospacing="0" w:after="0" w:afterLines="50" w:afterAutospacing="0" w:line="240" w:lineRule="auto"/>
              <w:ind w:left="0" w:right="0"/>
              <w:jc w:val="distribute"/>
              <w:rPr>
                <w:rFonts w:hint="default" w:ascii="宋体" w:hAnsi="宋体" w:eastAsia="宋体" w:cs="黑体"/>
                <w:color w:val="auto"/>
                <w:kern w:val="0"/>
                <w:sz w:val="32"/>
                <w:szCs w:val="32"/>
                <w:lang w:eastAsia="zh-CN"/>
              </w:rPr>
            </w:pPr>
            <w:r>
              <w:rPr>
                <w:rFonts w:hint="eastAsia" w:ascii="宋体" w:hAnsi="宋体" w:eastAsia="宋体" w:cs="黑体"/>
                <w:color w:val="auto"/>
                <w:kern w:val="0"/>
                <w:sz w:val="32"/>
                <w:szCs w:val="32"/>
                <w:lang w:val="en-US" w:eastAsia="zh-CN"/>
              </w:rPr>
              <w:t>采购人</w:t>
            </w:r>
            <w:r>
              <w:rPr>
                <w:rFonts w:hint="eastAsia" w:ascii="宋体" w:hAnsi="宋体" w:eastAsia="宋体" w:cs="黑体"/>
                <w:color w:val="auto"/>
                <w:kern w:val="0"/>
                <w:sz w:val="32"/>
                <w:szCs w:val="32"/>
                <w:lang w:eastAsia="zh-CN"/>
              </w:rPr>
              <w:t>:</w:t>
            </w:r>
          </w:p>
        </w:tc>
        <w:tc>
          <w:tcPr>
            <w:tcW w:w="5999" w:type="dxa"/>
            <w:vAlign w:val="top"/>
          </w:tcPr>
          <w:p w14:paraId="03A0CE00">
            <w:pPr>
              <w:keepNext w:val="0"/>
              <w:keepLines w:val="0"/>
              <w:suppressLineNumbers w:val="0"/>
              <w:autoSpaceDE w:val="0"/>
              <w:autoSpaceDN w:val="0"/>
              <w:adjustRightInd w:val="0"/>
              <w:snapToGrid w:val="0"/>
              <w:spacing w:before="0" w:beforeAutospacing="0" w:after="0" w:afterLines="50" w:afterAutospacing="0" w:line="240" w:lineRule="auto"/>
              <w:ind w:left="0" w:right="0"/>
              <w:jc w:val="left"/>
              <w:rPr>
                <w:rFonts w:hint="default" w:ascii="宋体" w:hAnsi="宋体" w:eastAsia="宋体" w:cs="黑体"/>
                <w:color w:val="auto"/>
                <w:kern w:val="0"/>
                <w:sz w:val="32"/>
                <w:szCs w:val="32"/>
                <w:u w:val="none"/>
                <w:lang w:eastAsia="zh-CN"/>
              </w:rPr>
            </w:pPr>
            <w:r>
              <w:rPr>
                <w:rFonts w:hint="eastAsia" w:ascii="宋体" w:hAnsi="宋体" w:eastAsia="宋体" w:cs="黑体"/>
                <w:color w:val="auto"/>
                <w:kern w:val="0"/>
                <w:sz w:val="32"/>
                <w:szCs w:val="32"/>
                <w:u w:val="none"/>
                <w:lang w:eastAsia="zh-CN"/>
              </w:rPr>
              <w:t>昌吉市城市管理局(昌吉市城市管理行政执法局)</w:t>
            </w:r>
          </w:p>
        </w:tc>
      </w:tr>
      <w:tr w14:paraId="1649D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69" w:type="dxa"/>
            <w:vAlign w:val="top"/>
          </w:tcPr>
          <w:p w14:paraId="5B27B7B3">
            <w:pPr>
              <w:keepNext w:val="0"/>
              <w:keepLines w:val="0"/>
              <w:suppressLineNumbers w:val="0"/>
              <w:autoSpaceDE w:val="0"/>
              <w:autoSpaceDN w:val="0"/>
              <w:adjustRightInd w:val="0"/>
              <w:snapToGrid w:val="0"/>
              <w:spacing w:before="0" w:beforeAutospacing="0" w:after="0" w:afterLines="50" w:afterAutospacing="0" w:line="240" w:lineRule="auto"/>
              <w:ind w:left="0" w:right="0"/>
              <w:jc w:val="distribute"/>
              <w:rPr>
                <w:rFonts w:hint="default" w:ascii="宋体" w:hAnsi="宋体" w:eastAsia="宋体" w:cs="黑体"/>
                <w:color w:val="auto"/>
                <w:kern w:val="0"/>
                <w:sz w:val="32"/>
                <w:szCs w:val="32"/>
                <w:lang w:eastAsia="zh-CN"/>
              </w:rPr>
            </w:pPr>
            <w:r>
              <w:rPr>
                <w:rFonts w:hint="eastAsia" w:ascii="宋体" w:hAnsi="宋体" w:eastAsia="宋体" w:cs="黑体"/>
                <w:color w:val="auto"/>
                <w:kern w:val="0"/>
                <w:sz w:val="32"/>
                <w:szCs w:val="32"/>
                <w:lang w:val="en-US" w:eastAsia="zh-CN"/>
              </w:rPr>
              <w:t>采购</w:t>
            </w:r>
            <w:r>
              <w:rPr>
                <w:rFonts w:hint="eastAsia" w:ascii="宋体" w:hAnsi="宋体" w:eastAsia="宋体" w:cs="黑体"/>
                <w:color w:val="auto"/>
                <w:kern w:val="0"/>
                <w:sz w:val="32"/>
                <w:szCs w:val="32"/>
                <w:lang w:eastAsia="zh-CN"/>
              </w:rPr>
              <w:t>代理机构:</w:t>
            </w:r>
          </w:p>
        </w:tc>
        <w:tc>
          <w:tcPr>
            <w:tcW w:w="5999" w:type="dxa"/>
            <w:vAlign w:val="top"/>
          </w:tcPr>
          <w:p w14:paraId="5D5884C2">
            <w:pPr>
              <w:keepNext w:val="0"/>
              <w:keepLines w:val="0"/>
              <w:suppressLineNumbers w:val="0"/>
              <w:autoSpaceDE w:val="0"/>
              <w:autoSpaceDN w:val="0"/>
              <w:adjustRightInd w:val="0"/>
              <w:snapToGrid w:val="0"/>
              <w:spacing w:before="0" w:beforeAutospacing="0" w:after="0" w:afterLines="50" w:afterAutospacing="0" w:line="240" w:lineRule="auto"/>
              <w:ind w:left="0" w:right="0"/>
              <w:jc w:val="left"/>
              <w:rPr>
                <w:rFonts w:hint="eastAsia" w:ascii="宋体" w:hAnsi="宋体" w:eastAsia="宋体" w:cs="黑体"/>
                <w:color w:val="auto"/>
                <w:kern w:val="0"/>
                <w:sz w:val="32"/>
                <w:szCs w:val="32"/>
                <w:u w:val="none"/>
                <w:lang w:eastAsia="zh-CN"/>
              </w:rPr>
            </w:pPr>
            <w:r>
              <w:rPr>
                <w:rFonts w:hint="eastAsia" w:ascii="宋体" w:hAnsi="宋体" w:eastAsia="宋体" w:cs="黑体"/>
                <w:color w:val="auto"/>
                <w:kern w:val="0"/>
                <w:sz w:val="32"/>
                <w:szCs w:val="32"/>
                <w:u w:val="none"/>
                <w:lang w:eastAsia="zh-CN"/>
              </w:rPr>
              <w:t>新疆昌盛方略项目管理有限公司</w:t>
            </w:r>
          </w:p>
        </w:tc>
      </w:tr>
      <w:tr w14:paraId="3EA02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69" w:type="dxa"/>
            <w:vAlign w:val="top"/>
          </w:tcPr>
          <w:p w14:paraId="4F16664B">
            <w:pPr>
              <w:keepNext w:val="0"/>
              <w:keepLines w:val="0"/>
              <w:suppressLineNumbers w:val="0"/>
              <w:autoSpaceDE w:val="0"/>
              <w:autoSpaceDN w:val="0"/>
              <w:adjustRightInd w:val="0"/>
              <w:snapToGrid w:val="0"/>
              <w:spacing w:before="0" w:beforeAutospacing="0" w:after="0" w:afterLines="50" w:afterAutospacing="0" w:line="240" w:lineRule="auto"/>
              <w:ind w:left="0" w:right="0"/>
              <w:jc w:val="distribute"/>
              <w:rPr>
                <w:rFonts w:hint="default" w:ascii="宋体" w:hAnsi="宋体" w:eastAsia="宋体" w:cs="黑体"/>
                <w:color w:val="auto"/>
                <w:kern w:val="0"/>
                <w:sz w:val="32"/>
                <w:szCs w:val="32"/>
                <w:lang w:val="en-US" w:eastAsia="zh-CN"/>
              </w:rPr>
            </w:pPr>
            <w:r>
              <w:rPr>
                <w:rFonts w:hint="eastAsia" w:ascii="宋体" w:hAnsi="宋体" w:eastAsia="宋体" w:cs="黑体"/>
                <w:color w:val="auto"/>
                <w:kern w:val="0"/>
                <w:sz w:val="32"/>
                <w:szCs w:val="32"/>
                <w:lang w:val="en-US" w:eastAsia="zh-CN"/>
              </w:rPr>
              <w:t>项目编号:</w:t>
            </w:r>
          </w:p>
        </w:tc>
        <w:tc>
          <w:tcPr>
            <w:tcW w:w="5999" w:type="dxa"/>
            <w:vAlign w:val="top"/>
          </w:tcPr>
          <w:p w14:paraId="445A3431">
            <w:pPr>
              <w:keepNext w:val="0"/>
              <w:keepLines w:val="0"/>
              <w:suppressLineNumbers w:val="0"/>
              <w:autoSpaceDE w:val="0"/>
              <w:autoSpaceDN w:val="0"/>
              <w:adjustRightInd w:val="0"/>
              <w:snapToGrid w:val="0"/>
              <w:spacing w:before="0" w:beforeAutospacing="0" w:after="0" w:afterLines="50" w:afterAutospacing="0" w:line="240" w:lineRule="auto"/>
              <w:ind w:left="0" w:right="0"/>
              <w:jc w:val="left"/>
              <w:rPr>
                <w:rFonts w:hint="eastAsia" w:ascii="宋体" w:hAnsi="宋体" w:eastAsia="宋体" w:cs="黑体"/>
                <w:color w:val="auto"/>
                <w:kern w:val="0"/>
                <w:sz w:val="32"/>
                <w:szCs w:val="32"/>
                <w:u w:val="none"/>
                <w:lang w:eastAsia="zh-CN"/>
              </w:rPr>
            </w:pPr>
            <w:r>
              <w:rPr>
                <w:rFonts w:hint="eastAsia" w:ascii="宋体" w:hAnsi="宋体" w:eastAsia="宋体" w:cs="黑体"/>
                <w:color w:val="auto"/>
                <w:kern w:val="0"/>
                <w:sz w:val="32"/>
                <w:szCs w:val="32"/>
                <w:u w:val="none"/>
                <w:lang w:eastAsia="zh-CN"/>
              </w:rPr>
              <w:t>CSFLZB-2026-074-FW</w:t>
            </w:r>
          </w:p>
        </w:tc>
      </w:tr>
    </w:tbl>
    <w:p w14:paraId="59A83078">
      <w:pPr>
        <w:autoSpaceDE w:val="0"/>
        <w:autoSpaceDN w:val="0"/>
        <w:adjustRightInd w:val="0"/>
        <w:snapToGrid w:val="0"/>
        <w:spacing w:afterLines="50"/>
        <w:jc w:val="center"/>
        <w:rPr>
          <w:rFonts w:hint="eastAsia" w:ascii="宋体" w:hAnsi="宋体" w:eastAsia="宋体" w:cs="黑体"/>
          <w:color w:val="auto"/>
          <w:kern w:val="0"/>
          <w:sz w:val="32"/>
          <w:szCs w:val="32"/>
          <w:highlight w:val="green"/>
          <w:lang w:val="en-US" w:eastAsia="zh-CN"/>
        </w:rPr>
      </w:pPr>
    </w:p>
    <w:p w14:paraId="0DECD42C">
      <w:pPr>
        <w:autoSpaceDE w:val="0"/>
        <w:autoSpaceDN w:val="0"/>
        <w:adjustRightInd w:val="0"/>
        <w:snapToGrid w:val="0"/>
        <w:spacing w:afterLines="50"/>
        <w:jc w:val="center"/>
        <w:rPr>
          <w:rFonts w:hint="eastAsia" w:ascii="宋体" w:hAnsi="宋体" w:cs="黑体"/>
          <w:color w:val="auto"/>
          <w:kern w:val="0"/>
          <w:sz w:val="32"/>
          <w:szCs w:val="32"/>
          <w:highlight w:val="none"/>
        </w:rPr>
        <w:sectPr>
          <w:headerReference r:id="rId3" w:type="default"/>
          <w:headerReference r:id="rId4" w:type="even"/>
          <w:footerReference r:id="rId5" w:type="even"/>
          <w:pgSz w:w="11906" w:h="16838"/>
          <w:pgMar w:top="1440" w:right="1800" w:bottom="1440" w:left="1800" w:header="850" w:footer="992" w:gutter="0"/>
          <w:cols w:space="0" w:num="1"/>
          <w:rtlGutter w:val="0"/>
          <w:docGrid w:type="lines" w:linePitch="317" w:charSpace="0"/>
        </w:sectPr>
      </w:pPr>
      <w:r>
        <w:rPr>
          <w:rFonts w:hint="eastAsia" w:ascii="宋体" w:hAnsi="宋体" w:eastAsia="宋体" w:cs="黑体"/>
          <w:color w:val="auto"/>
          <w:kern w:val="0"/>
          <w:sz w:val="32"/>
          <w:szCs w:val="32"/>
          <w:highlight w:val="none"/>
          <w:lang w:val="en-US" w:eastAsia="zh-CN"/>
        </w:rPr>
        <w:t>20</w:t>
      </w:r>
      <w:r>
        <w:rPr>
          <w:rFonts w:hint="eastAsia" w:ascii="宋体" w:hAnsi="宋体" w:cs="黑体"/>
          <w:color w:val="auto"/>
          <w:kern w:val="0"/>
          <w:sz w:val="32"/>
          <w:szCs w:val="32"/>
          <w:highlight w:val="none"/>
          <w:lang w:val="en-US" w:eastAsia="zh-CN"/>
        </w:rPr>
        <w:t>26</w:t>
      </w:r>
      <w:r>
        <w:rPr>
          <w:rFonts w:hint="eastAsia" w:ascii="宋体" w:hAnsi="宋体" w:eastAsia="宋体" w:cs="黑体"/>
          <w:color w:val="auto"/>
          <w:kern w:val="0"/>
          <w:sz w:val="32"/>
          <w:szCs w:val="32"/>
          <w:highlight w:val="none"/>
          <w:lang w:eastAsia="zh-CN"/>
        </w:rPr>
        <w:t>年</w:t>
      </w:r>
      <w:r>
        <w:rPr>
          <w:rFonts w:hint="eastAsia" w:ascii="宋体" w:hAnsi="宋体" w:cs="黑体"/>
          <w:color w:val="auto"/>
          <w:kern w:val="0"/>
          <w:sz w:val="32"/>
          <w:szCs w:val="32"/>
          <w:highlight w:val="none"/>
          <w:lang w:val="en-US" w:eastAsia="zh-CN"/>
        </w:rPr>
        <w:t>05</w:t>
      </w:r>
      <w:r>
        <w:rPr>
          <w:rFonts w:hint="eastAsia" w:ascii="宋体" w:hAnsi="宋体" w:eastAsia="宋体" w:cs="黑体"/>
          <w:color w:val="auto"/>
          <w:kern w:val="0"/>
          <w:sz w:val="32"/>
          <w:szCs w:val="32"/>
          <w:highlight w:val="none"/>
          <w:lang w:eastAsia="zh-CN"/>
        </w:rPr>
        <w:t>月</w:t>
      </w:r>
      <w:r>
        <w:rPr>
          <w:rFonts w:hint="eastAsia" w:ascii="宋体" w:hAnsi="宋体" w:cs="黑体"/>
          <w:color w:val="auto"/>
          <w:kern w:val="0"/>
          <w:sz w:val="32"/>
          <w:szCs w:val="32"/>
          <w:highlight w:val="none"/>
          <w:lang w:val="en-US" w:eastAsia="zh-CN"/>
        </w:rPr>
        <w:t>26</w:t>
      </w:r>
      <w:r>
        <w:rPr>
          <w:rFonts w:hint="eastAsia" w:ascii="宋体" w:hAnsi="宋体" w:eastAsia="宋体" w:cs="黑体"/>
          <w:color w:val="auto"/>
          <w:kern w:val="0"/>
          <w:sz w:val="32"/>
          <w:szCs w:val="32"/>
          <w:highlight w:val="none"/>
          <w:lang w:eastAsia="zh-CN"/>
        </w:rPr>
        <w:t>日</w:t>
      </w:r>
    </w:p>
    <w:p w14:paraId="3935D83B">
      <w:pPr>
        <w:jc w:val="center"/>
        <w:rPr>
          <w:rFonts w:hint="eastAsia" w:ascii="宋体" w:hAnsi="宋体" w:eastAsia="宋体" w:cs="Times New Roman"/>
          <w:b w:val="0"/>
          <w:bCs/>
          <w:color w:val="auto"/>
          <w:kern w:val="2"/>
          <w:sz w:val="36"/>
          <w:szCs w:val="36"/>
          <w:lang w:eastAsia="zh-CN" w:bidi="ar-SA"/>
        </w:rPr>
      </w:pPr>
      <w:r>
        <w:rPr>
          <w:rFonts w:hint="eastAsia" w:ascii="宋体" w:hAnsi="宋体" w:eastAsia="宋体" w:cs="Times New Roman"/>
          <w:b w:val="0"/>
          <w:bCs/>
          <w:color w:val="auto"/>
          <w:kern w:val="2"/>
          <w:sz w:val="36"/>
          <w:szCs w:val="36"/>
          <w:lang w:val="en-US" w:eastAsia="zh-CN" w:bidi="ar-SA"/>
        </w:rPr>
        <w:t>昌吉市城市管理系统政府购买服务</w:t>
      </w:r>
    </w:p>
    <w:p w14:paraId="1E9EBFCA">
      <w:pPr>
        <w:keepNext w:val="0"/>
        <w:keepLines w:val="0"/>
        <w:pageBreakBefore w:val="0"/>
        <w:widowControl w:val="0"/>
        <w:kinsoku/>
        <w:wordWrap/>
        <w:overflowPunct/>
        <w:topLinePunct w:val="0"/>
        <w:autoSpaceDE/>
        <w:autoSpaceDN/>
        <w:bidi w:val="0"/>
        <w:adjustRightInd/>
        <w:snapToGrid/>
        <w:spacing w:line="360" w:lineRule="auto"/>
        <w:ind w:left="210" w:leftChars="100" w:right="0" w:rightChars="0" w:firstLine="560" w:firstLineChars="200"/>
        <w:jc w:val="both"/>
        <w:textAlignment w:val="auto"/>
        <w:rPr>
          <w:rFonts w:hint="eastAsia" w:ascii="宋体" w:hAnsi="宋体" w:cs="Times New Roman"/>
          <w:b w:val="0"/>
          <w:bCs/>
          <w:color w:val="auto"/>
          <w:kern w:val="2"/>
          <w:sz w:val="28"/>
          <w:szCs w:val="28"/>
          <w:lang w:eastAsia="zh-CN" w:bidi="ar-SA"/>
        </w:rPr>
      </w:pPr>
    </w:p>
    <w:p w14:paraId="76BFADA1">
      <w:pPr>
        <w:keepNext w:val="0"/>
        <w:keepLines w:val="0"/>
        <w:pageBreakBefore w:val="0"/>
        <w:widowControl w:val="0"/>
        <w:kinsoku/>
        <w:wordWrap/>
        <w:overflowPunct/>
        <w:topLinePunct w:val="0"/>
        <w:autoSpaceDE/>
        <w:autoSpaceDN/>
        <w:bidi w:val="0"/>
        <w:adjustRightInd/>
        <w:snapToGrid/>
        <w:spacing w:line="360" w:lineRule="auto"/>
        <w:ind w:left="210" w:leftChars="100" w:right="0" w:rightChars="0" w:firstLine="560" w:firstLineChars="200"/>
        <w:jc w:val="both"/>
        <w:textAlignment w:val="auto"/>
        <w:rPr>
          <w:rFonts w:hint="eastAsia" w:ascii="宋体" w:hAnsi="宋体" w:cs="Times New Roman"/>
          <w:b w:val="0"/>
          <w:bCs/>
          <w:color w:val="auto"/>
          <w:kern w:val="2"/>
          <w:sz w:val="28"/>
          <w:szCs w:val="28"/>
          <w:lang w:eastAsia="zh-CN" w:bidi="ar-SA"/>
        </w:rPr>
      </w:pPr>
    </w:p>
    <w:p w14:paraId="1FC401DF">
      <w:pPr>
        <w:keepNext w:val="0"/>
        <w:keepLines w:val="0"/>
        <w:pageBreakBefore w:val="0"/>
        <w:widowControl w:val="0"/>
        <w:kinsoku/>
        <w:wordWrap/>
        <w:overflowPunct/>
        <w:topLinePunct w:val="0"/>
        <w:autoSpaceDE/>
        <w:autoSpaceDN/>
        <w:bidi w:val="0"/>
        <w:adjustRightInd/>
        <w:snapToGrid/>
        <w:spacing w:line="360" w:lineRule="auto"/>
        <w:ind w:left="210" w:leftChars="100" w:right="0" w:rightChars="0" w:firstLine="560" w:firstLineChars="200"/>
        <w:jc w:val="both"/>
        <w:textAlignment w:val="auto"/>
        <w:rPr>
          <w:rFonts w:hint="eastAsia" w:ascii="宋体" w:hAnsi="宋体" w:eastAsia="宋体" w:cs="Times New Roman"/>
          <w:b/>
          <w:color w:val="auto"/>
          <w:kern w:val="2"/>
          <w:sz w:val="28"/>
          <w:szCs w:val="28"/>
          <w:lang w:eastAsia="zh-CN" w:bidi="ar-SA"/>
        </w:rPr>
      </w:pPr>
      <w:r>
        <w:rPr>
          <w:rFonts w:hint="eastAsia" w:ascii="宋体" w:hAnsi="宋体" w:cs="Times New Roman"/>
          <w:b w:val="0"/>
          <w:bCs/>
          <w:color w:val="auto"/>
          <w:kern w:val="2"/>
          <w:sz w:val="28"/>
          <w:szCs w:val="28"/>
          <w:lang w:eastAsia="zh-CN" w:bidi="ar-SA"/>
        </w:rPr>
        <w:t>采</w:t>
      </w:r>
      <w:r>
        <w:rPr>
          <w:rFonts w:hint="eastAsia" w:ascii="宋体" w:hAnsi="宋体" w:cs="Times New Roman"/>
          <w:b w:val="0"/>
          <w:bCs/>
          <w:color w:val="auto"/>
          <w:kern w:val="2"/>
          <w:sz w:val="28"/>
          <w:szCs w:val="28"/>
          <w:lang w:val="en-US" w:eastAsia="zh-CN" w:bidi="ar-SA"/>
        </w:rPr>
        <w:t xml:space="preserve"> </w:t>
      </w:r>
      <w:r>
        <w:rPr>
          <w:rFonts w:hint="eastAsia" w:ascii="宋体" w:hAnsi="宋体" w:cs="Times New Roman"/>
          <w:b w:val="0"/>
          <w:bCs/>
          <w:color w:val="auto"/>
          <w:kern w:val="2"/>
          <w:sz w:val="28"/>
          <w:szCs w:val="28"/>
          <w:lang w:eastAsia="zh-CN" w:bidi="ar-SA"/>
        </w:rPr>
        <w:t>购</w:t>
      </w:r>
      <w:r>
        <w:rPr>
          <w:rFonts w:hint="eastAsia" w:ascii="宋体" w:hAnsi="宋体" w:eastAsia="宋体" w:cs="Times New Roman"/>
          <w:b w:val="0"/>
          <w:bCs/>
          <w:color w:val="auto"/>
          <w:kern w:val="2"/>
          <w:sz w:val="28"/>
          <w:szCs w:val="28"/>
          <w:lang w:eastAsia="zh-CN" w:bidi="ar-SA"/>
        </w:rPr>
        <w:t xml:space="preserve"> 人：昌吉市城市管理局(昌吉市城市管理行政执法局) </w:t>
      </w:r>
    </w:p>
    <w:p w14:paraId="2D7F0FC7">
      <w:pPr>
        <w:keepNext w:val="0"/>
        <w:keepLines w:val="0"/>
        <w:pageBreakBefore w:val="0"/>
        <w:widowControl w:val="0"/>
        <w:shd w:val="clear"/>
        <w:kinsoku/>
        <w:wordWrap/>
        <w:overflowPunct/>
        <w:topLinePunct w:val="0"/>
        <w:autoSpaceDE/>
        <w:autoSpaceDN/>
        <w:bidi w:val="0"/>
        <w:adjustRightInd/>
        <w:snapToGrid/>
        <w:spacing w:line="360" w:lineRule="auto"/>
        <w:ind w:left="210" w:leftChars="100" w:right="0" w:rightChars="0" w:firstLine="560" w:firstLineChars="200"/>
        <w:jc w:val="both"/>
        <w:textAlignment w:val="auto"/>
        <w:rPr>
          <w:rFonts w:hint="eastAsia" w:ascii="宋体" w:hAnsi="宋体" w:eastAsia="宋体" w:cs="Times New Roman"/>
          <w:color w:val="auto"/>
          <w:kern w:val="2"/>
          <w:sz w:val="28"/>
          <w:szCs w:val="28"/>
          <w:lang w:eastAsia="zh-CN" w:bidi="ar-SA"/>
        </w:rPr>
      </w:pPr>
      <w:r>
        <w:rPr>
          <w:rFonts w:hint="eastAsia" w:ascii="宋体" w:hAnsi="宋体" w:eastAsia="宋体" w:cs="Times New Roman"/>
          <w:color w:val="auto"/>
          <w:kern w:val="2"/>
          <w:sz w:val="28"/>
          <w:szCs w:val="28"/>
          <w:lang w:eastAsia="zh-CN" w:bidi="ar-SA"/>
        </w:rPr>
        <w:t>联 系 人：</w:t>
      </w:r>
      <w:r>
        <w:rPr>
          <w:rFonts w:hint="eastAsia" w:ascii="宋体" w:hAnsi="宋体" w:cs="Times New Roman"/>
          <w:color w:val="auto"/>
          <w:kern w:val="2"/>
          <w:sz w:val="28"/>
          <w:szCs w:val="28"/>
          <w:shd w:val="clear" w:color="auto"/>
          <w:lang w:val="en-US" w:eastAsia="zh-CN" w:bidi="ar-SA"/>
        </w:rPr>
        <w:t>刘</w:t>
      </w:r>
      <w:r>
        <w:rPr>
          <w:rFonts w:hint="eastAsia" w:ascii="宋体" w:hAnsi="宋体" w:eastAsia="宋体" w:cs="Times New Roman"/>
          <w:color w:val="auto"/>
          <w:kern w:val="2"/>
          <w:sz w:val="28"/>
          <w:szCs w:val="28"/>
          <w:shd w:val="clear" w:color="auto"/>
          <w:lang w:eastAsia="zh-CN" w:bidi="ar-SA"/>
        </w:rPr>
        <w:t>先生</w:t>
      </w:r>
    </w:p>
    <w:p w14:paraId="1416834C">
      <w:pPr>
        <w:keepNext w:val="0"/>
        <w:keepLines w:val="0"/>
        <w:pageBreakBefore w:val="0"/>
        <w:widowControl w:val="0"/>
        <w:shd w:val="clear"/>
        <w:kinsoku/>
        <w:wordWrap/>
        <w:overflowPunct/>
        <w:topLinePunct w:val="0"/>
        <w:autoSpaceDE/>
        <w:autoSpaceDN/>
        <w:bidi w:val="0"/>
        <w:adjustRightInd/>
        <w:snapToGrid/>
        <w:spacing w:line="360" w:lineRule="auto"/>
        <w:ind w:left="210" w:leftChars="100" w:right="0" w:rightChars="0" w:firstLine="560" w:firstLineChars="200"/>
        <w:jc w:val="both"/>
        <w:textAlignment w:val="auto"/>
        <w:rPr>
          <w:rFonts w:hint="eastAsia" w:ascii="宋体" w:hAnsi="宋体" w:eastAsia="宋体" w:cs="Times New Roman"/>
          <w:color w:val="auto"/>
          <w:kern w:val="2"/>
          <w:sz w:val="28"/>
          <w:szCs w:val="28"/>
          <w:lang w:eastAsia="zh-CN" w:bidi="ar-SA"/>
        </w:rPr>
      </w:pPr>
      <w:r>
        <w:rPr>
          <w:rFonts w:hint="eastAsia" w:ascii="宋体" w:hAnsi="宋体" w:eastAsia="宋体" w:cs="Times New Roman"/>
          <w:color w:val="auto"/>
          <w:kern w:val="2"/>
          <w:sz w:val="28"/>
          <w:szCs w:val="28"/>
          <w:lang w:eastAsia="zh-CN" w:bidi="ar-SA"/>
        </w:rPr>
        <w:t>联系电话：</w:t>
      </w:r>
      <w:r>
        <w:rPr>
          <w:rFonts w:hint="eastAsia" w:ascii="宋体" w:hAnsi="宋体" w:eastAsia="宋体" w:cs="Times New Roman"/>
          <w:color w:val="auto"/>
          <w:kern w:val="2"/>
          <w:sz w:val="28"/>
          <w:szCs w:val="28"/>
          <w:shd w:val="clear" w:color="auto"/>
          <w:lang w:val="en-US" w:eastAsia="zh-CN" w:bidi="ar-SA"/>
        </w:rPr>
        <w:t>0994-6528199</w:t>
      </w:r>
    </w:p>
    <w:p w14:paraId="070BF9B5">
      <w:pPr>
        <w:keepNext w:val="0"/>
        <w:keepLines w:val="0"/>
        <w:pageBreakBefore w:val="0"/>
        <w:widowControl w:val="0"/>
        <w:kinsoku/>
        <w:wordWrap/>
        <w:overflowPunct/>
        <w:topLinePunct w:val="0"/>
        <w:autoSpaceDE/>
        <w:autoSpaceDN/>
        <w:bidi w:val="0"/>
        <w:adjustRightInd/>
        <w:snapToGrid/>
        <w:spacing w:line="360" w:lineRule="auto"/>
        <w:ind w:left="210" w:leftChars="100" w:right="0" w:rightChars="0" w:firstLine="560" w:firstLineChars="200"/>
        <w:jc w:val="both"/>
        <w:textAlignment w:val="auto"/>
        <w:rPr>
          <w:rFonts w:hint="default"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eastAsia="zh-CN" w:bidi="ar-SA"/>
        </w:rPr>
        <w:t>联系地址：昌吉市建国西路134 号</w:t>
      </w:r>
    </w:p>
    <w:p w14:paraId="1D029D89">
      <w:pPr>
        <w:keepNext w:val="0"/>
        <w:keepLines w:val="0"/>
        <w:pageBreakBefore w:val="0"/>
        <w:widowControl w:val="0"/>
        <w:kinsoku/>
        <w:wordWrap/>
        <w:overflowPunct/>
        <w:topLinePunct w:val="0"/>
        <w:autoSpaceDE/>
        <w:autoSpaceDN/>
        <w:bidi w:val="0"/>
        <w:adjustRightInd/>
        <w:snapToGrid/>
        <w:spacing w:line="360" w:lineRule="auto"/>
        <w:ind w:left="315" w:leftChars="150" w:right="29" w:rightChars="14" w:firstLine="560" w:firstLineChars="200"/>
        <w:jc w:val="both"/>
        <w:textAlignment w:val="auto"/>
        <w:rPr>
          <w:rFonts w:hint="eastAsia" w:ascii="宋体" w:hAnsi="宋体" w:eastAsia="宋体" w:cs="Times New Roman"/>
          <w:color w:val="auto"/>
          <w:kern w:val="2"/>
          <w:sz w:val="28"/>
          <w:szCs w:val="28"/>
          <w:lang w:eastAsia="zh-CN" w:bidi="ar-SA"/>
        </w:rPr>
      </w:pPr>
    </w:p>
    <w:p w14:paraId="2D91BF5A">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宋体" w:hAnsi="宋体" w:eastAsia="宋体" w:cs="Times New Roman"/>
          <w:b/>
          <w:color w:val="auto"/>
          <w:kern w:val="2"/>
          <w:sz w:val="28"/>
          <w:szCs w:val="28"/>
          <w:lang w:eastAsia="zh-CN" w:bidi="ar-SA"/>
        </w:rPr>
      </w:pPr>
    </w:p>
    <w:p w14:paraId="2D3240FB">
      <w:pPr>
        <w:keepNext w:val="0"/>
        <w:keepLines w:val="0"/>
        <w:pageBreakBefore w:val="0"/>
        <w:widowControl w:val="0"/>
        <w:kinsoku/>
        <w:wordWrap/>
        <w:overflowPunct/>
        <w:topLinePunct w:val="0"/>
        <w:autoSpaceDE/>
        <w:autoSpaceDN/>
        <w:bidi w:val="0"/>
        <w:adjustRightInd/>
        <w:snapToGrid/>
        <w:spacing w:line="360" w:lineRule="auto"/>
        <w:ind w:left="210" w:leftChars="100" w:right="0" w:rightChars="0" w:firstLine="560" w:firstLineChars="200"/>
        <w:jc w:val="both"/>
        <w:textAlignment w:val="auto"/>
        <w:rPr>
          <w:rFonts w:hint="eastAsia" w:ascii="宋体" w:hAnsi="宋体" w:eastAsia="宋体" w:cs="Times New Roman"/>
          <w:b w:val="0"/>
          <w:bCs/>
          <w:color w:val="auto"/>
          <w:kern w:val="2"/>
          <w:sz w:val="28"/>
          <w:szCs w:val="28"/>
          <w:lang w:eastAsia="zh-CN" w:bidi="ar-SA"/>
        </w:rPr>
      </w:pPr>
      <w:r>
        <w:rPr>
          <w:rFonts w:hint="eastAsia" w:ascii="宋体" w:hAnsi="宋体" w:cs="Times New Roman"/>
          <w:b w:val="0"/>
          <w:bCs/>
          <w:color w:val="auto"/>
          <w:kern w:val="2"/>
          <w:sz w:val="28"/>
          <w:szCs w:val="28"/>
          <w:lang w:eastAsia="zh-CN" w:bidi="ar-SA"/>
        </w:rPr>
        <w:t>采购</w:t>
      </w:r>
      <w:r>
        <w:rPr>
          <w:rFonts w:hint="eastAsia" w:ascii="宋体" w:hAnsi="宋体" w:eastAsia="宋体" w:cs="Times New Roman"/>
          <w:b w:val="0"/>
          <w:bCs/>
          <w:color w:val="auto"/>
          <w:kern w:val="2"/>
          <w:sz w:val="28"/>
          <w:szCs w:val="28"/>
          <w:lang w:eastAsia="zh-CN" w:bidi="ar-SA"/>
        </w:rPr>
        <w:t>代理单位：新疆昌盛方略项目管理有限公司</w:t>
      </w:r>
    </w:p>
    <w:p w14:paraId="2088D28B">
      <w:pPr>
        <w:keepNext w:val="0"/>
        <w:keepLines w:val="0"/>
        <w:pageBreakBefore w:val="0"/>
        <w:widowControl w:val="0"/>
        <w:tabs>
          <w:tab w:val="left" w:pos="1800"/>
          <w:tab w:val="left" w:pos="1980"/>
        </w:tabs>
        <w:kinsoku/>
        <w:wordWrap/>
        <w:overflowPunct/>
        <w:topLinePunct w:val="0"/>
        <w:autoSpaceDE/>
        <w:autoSpaceDN/>
        <w:bidi w:val="0"/>
        <w:adjustRightInd/>
        <w:snapToGrid/>
        <w:spacing w:line="360" w:lineRule="auto"/>
        <w:ind w:left="210" w:leftChars="100" w:right="0" w:rightChars="0" w:firstLine="560" w:firstLineChars="200"/>
        <w:jc w:val="both"/>
        <w:textAlignment w:val="auto"/>
        <w:rPr>
          <w:rFonts w:hint="eastAsia" w:ascii="宋体" w:hAnsi="宋体" w:eastAsia="宋体" w:cs="Times New Roman"/>
          <w:color w:val="auto"/>
          <w:kern w:val="2"/>
          <w:sz w:val="28"/>
          <w:szCs w:val="28"/>
          <w:lang w:eastAsia="zh-CN" w:bidi="ar-SA"/>
        </w:rPr>
      </w:pPr>
      <w:r>
        <w:rPr>
          <w:rFonts w:hint="eastAsia" w:ascii="宋体" w:hAnsi="宋体" w:eastAsia="宋体" w:cs="Times New Roman"/>
          <w:color w:val="auto"/>
          <w:kern w:val="2"/>
          <w:sz w:val="28"/>
          <w:szCs w:val="28"/>
          <w:lang w:eastAsia="zh-CN" w:bidi="ar-SA"/>
        </w:rPr>
        <w:t>联 系 人：</w:t>
      </w:r>
      <w:r>
        <w:rPr>
          <w:rFonts w:hint="eastAsia" w:ascii="宋体" w:hAnsi="宋体" w:cs="Times New Roman"/>
          <w:color w:val="auto"/>
          <w:kern w:val="2"/>
          <w:sz w:val="28"/>
          <w:szCs w:val="28"/>
          <w:lang w:val="en-US" w:eastAsia="zh-CN" w:bidi="ar-SA"/>
        </w:rPr>
        <w:t>杨</w:t>
      </w:r>
      <w:r>
        <w:rPr>
          <w:rFonts w:hint="eastAsia" w:ascii="宋体" w:hAnsi="宋体" w:eastAsia="宋体" w:cs="Times New Roman"/>
          <w:color w:val="auto"/>
          <w:kern w:val="2"/>
          <w:sz w:val="28"/>
          <w:szCs w:val="28"/>
          <w:lang w:val="en-US" w:eastAsia="zh-CN" w:bidi="ar-SA"/>
        </w:rPr>
        <w:t>女士、</w:t>
      </w:r>
      <w:r>
        <w:rPr>
          <w:rFonts w:hint="eastAsia" w:ascii="宋体" w:hAnsi="宋体" w:cs="Times New Roman"/>
          <w:color w:val="auto"/>
          <w:kern w:val="2"/>
          <w:sz w:val="28"/>
          <w:szCs w:val="28"/>
          <w:lang w:val="en-US" w:eastAsia="zh-CN" w:bidi="ar-SA"/>
        </w:rPr>
        <w:t>赵女士</w:t>
      </w:r>
    </w:p>
    <w:p w14:paraId="01CEDB4E">
      <w:pPr>
        <w:keepNext w:val="0"/>
        <w:keepLines w:val="0"/>
        <w:pageBreakBefore w:val="0"/>
        <w:widowControl w:val="0"/>
        <w:kinsoku/>
        <w:wordWrap/>
        <w:overflowPunct/>
        <w:topLinePunct w:val="0"/>
        <w:autoSpaceDE/>
        <w:autoSpaceDN/>
        <w:bidi w:val="0"/>
        <w:adjustRightInd/>
        <w:snapToGrid/>
        <w:spacing w:line="360" w:lineRule="auto"/>
        <w:ind w:left="210" w:leftChars="100" w:right="0" w:rightChars="0" w:firstLine="560" w:firstLineChars="200"/>
        <w:jc w:val="both"/>
        <w:textAlignment w:val="auto"/>
        <w:rPr>
          <w:rFonts w:hint="default"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eastAsia="zh-CN" w:bidi="ar-SA"/>
        </w:rPr>
        <w:t>联系电话：</w:t>
      </w:r>
      <w:r>
        <w:rPr>
          <w:rFonts w:hint="eastAsia" w:ascii="宋体" w:hAnsi="宋体" w:eastAsia="宋体" w:cs="Times New Roman"/>
          <w:color w:val="auto"/>
          <w:kern w:val="2"/>
          <w:sz w:val="28"/>
          <w:szCs w:val="28"/>
          <w:lang w:val="en-US" w:eastAsia="zh-CN" w:bidi="ar-SA"/>
        </w:rPr>
        <w:t>0994-8165002、</w:t>
      </w:r>
      <w:r>
        <w:rPr>
          <w:rFonts w:hint="eastAsia" w:ascii="宋体" w:hAnsi="宋体" w:cs="Times New Roman"/>
          <w:color w:val="auto"/>
          <w:kern w:val="2"/>
          <w:sz w:val="28"/>
          <w:szCs w:val="28"/>
          <w:lang w:val="en-US" w:eastAsia="zh-CN" w:bidi="ar-SA"/>
        </w:rPr>
        <w:t>18699425012</w:t>
      </w:r>
    </w:p>
    <w:p w14:paraId="7FA996A6">
      <w:pPr>
        <w:keepNext w:val="0"/>
        <w:keepLines w:val="0"/>
        <w:pageBreakBefore w:val="0"/>
        <w:widowControl w:val="0"/>
        <w:kinsoku/>
        <w:wordWrap/>
        <w:overflowPunct/>
        <w:topLinePunct w:val="0"/>
        <w:autoSpaceDE/>
        <w:autoSpaceDN/>
        <w:bidi w:val="0"/>
        <w:adjustRightInd/>
        <w:snapToGrid/>
        <w:spacing w:line="360" w:lineRule="auto"/>
        <w:ind w:left="210" w:leftChars="100" w:right="0" w:rightChars="0" w:firstLine="560" w:firstLineChars="200"/>
        <w:jc w:val="both"/>
        <w:textAlignment w:val="auto"/>
        <w:rPr>
          <w:rFonts w:hint="eastAsia" w:ascii="Times New Roman" w:hAnsi="Times New Roman" w:eastAsia="宋体" w:cs="Times New Roman"/>
          <w:color w:val="auto"/>
          <w:kern w:val="2"/>
          <w:sz w:val="24"/>
          <w:lang w:eastAsia="zh-CN" w:bidi="ar-SA"/>
        </w:rPr>
      </w:pPr>
      <w:r>
        <w:rPr>
          <w:rFonts w:hint="eastAsia" w:ascii="宋体" w:hAnsi="宋体" w:eastAsia="宋体" w:cs="Times New Roman"/>
          <w:color w:val="auto"/>
          <w:kern w:val="2"/>
          <w:sz w:val="28"/>
          <w:szCs w:val="28"/>
          <w:lang w:eastAsia="zh-CN" w:bidi="ar-SA"/>
        </w:rPr>
        <w:t>联系地址：新疆昌吉回族自治州昌吉市南公园西路融投小镇1号楼A座14层（昌吉州国投大厦1幢14楼1419）</w:t>
      </w:r>
    </w:p>
    <w:p w14:paraId="075C8FFA">
      <w:pPr>
        <w:spacing w:before="0" w:beforeLines="0" w:after="0" w:afterLines="0" w:line="240" w:lineRule="auto"/>
        <w:ind w:left="0" w:leftChars="0" w:right="0" w:rightChars="0" w:firstLine="0" w:firstLineChars="0"/>
        <w:jc w:val="center"/>
        <w:rPr>
          <w:rFonts w:hint="eastAsia" w:ascii="方正小标宋简体" w:hAnsi="方正小标宋简体" w:eastAsia="方正小标宋简体" w:cs="方正小标宋简体"/>
          <w:color w:val="auto"/>
          <w:sz w:val="36"/>
          <w:szCs w:val="36"/>
        </w:rPr>
        <w:sectPr>
          <w:headerReference r:id="rId6" w:type="default"/>
          <w:footerReference r:id="rId7" w:type="default"/>
          <w:pgSz w:w="11906" w:h="16838"/>
          <w:pgMar w:top="1440" w:right="1080" w:bottom="1440" w:left="1080" w:header="851" w:footer="992" w:gutter="0"/>
          <w:pgNumType w:fmt="decimal" w:start="1"/>
          <w:cols w:space="0" w:num="1"/>
          <w:rtlGutter w:val="0"/>
          <w:docGrid w:type="lines" w:linePitch="312" w:charSpace="0"/>
        </w:sectPr>
      </w:pPr>
    </w:p>
    <w:p w14:paraId="29EEA4A1">
      <w:pPr>
        <w:spacing w:before="0" w:beforeLines="0" w:after="0" w:afterLines="0" w:line="240" w:lineRule="auto"/>
        <w:ind w:left="0" w:leftChars="0" w:right="0" w:rightChars="0" w:firstLine="0" w:firstLineChars="0"/>
        <w:jc w:val="center"/>
        <w:rPr>
          <w:rFonts w:hint="eastAsia" w:ascii="方正小标宋简体" w:hAnsi="方正小标宋简体" w:eastAsia="方正小标宋简体" w:cs="方正小标宋简体"/>
          <w:color w:val="auto"/>
          <w:sz w:val="36"/>
          <w:szCs w:val="36"/>
        </w:rPr>
      </w:pPr>
      <w:r>
        <w:rPr>
          <w:rFonts w:hint="eastAsia" w:ascii="方正小标宋简体" w:hAnsi="方正小标宋简体" w:eastAsia="方正小标宋简体" w:cs="方正小标宋简体"/>
          <w:color w:val="auto"/>
          <w:sz w:val="36"/>
          <w:szCs w:val="36"/>
        </w:rPr>
        <w:t>目</w:t>
      </w:r>
      <w:r>
        <w:rPr>
          <w:rFonts w:hint="eastAsia" w:ascii="方正小标宋简体" w:hAnsi="方正小标宋简体" w:eastAsia="方正小标宋简体" w:cs="方正小标宋简体"/>
          <w:color w:val="auto"/>
          <w:sz w:val="36"/>
          <w:szCs w:val="36"/>
          <w:lang w:val="en-US" w:eastAsia="zh-CN"/>
        </w:rPr>
        <w:t xml:space="preserve"> </w:t>
      </w:r>
      <w:r>
        <w:rPr>
          <w:rFonts w:hint="eastAsia" w:ascii="方正小标宋简体" w:hAnsi="方正小标宋简体" w:eastAsia="方正小标宋简体" w:cs="方正小标宋简体"/>
          <w:color w:val="auto"/>
          <w:sz w:val="36"/>
          <w:szCs w:val="36"/>
        </w:rPr>
        <w:t>录</w:t>
      </w:r>
    </w:p>
    <w:p w14:paraId="599DB5FD">
      <w:pPr>
        <w:pStyle w:val="33"/>
        <w:keepNext w:val="0"/>
        <w:keepLines w:val="0"/>
        <w:pageBreakBefore w:val="0"/>
        <w:widowControl w:val="0"/>
        <w:tabs>
          <w:tab w:val="right" w:leader="dot" w:pos="9746"/>
          <w:tab w:val="clear" w:pos="877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TOC \o "1-2" \h \u </w:instrText>
      </w:r>
      <w:r>
        <w:rPr>
          <w:rFonts w:hint="eastAsia" w:ascii="仿宋" w:hAnsi="仿宋" w:eastAsia="仿宋" w:cs="仿宋"/>
          <w:color w:val="auto"/>
          <w:sz w:val="24"/>
          <w:szCs w:val="24"/>
        </w:rPr>
        <w:fldChar w:fldCharType="separate"/>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_Toc1936 </w:instrText>
      </w:r>
      <w:r>
        <w:rPr>
          <w:rFonts w:hint="eastAsia" w:ascii="宋体" w:hAnsi="宋体" w:eastAsia="宋体" w:cs="宋体"/>
          <w:color w:val="auto"/>
          <w:sz w:val="24"/>
          <w:szCs w:val="24"/>
        </w:rPr>
        <w:fldChar w:fldCharType="separate"/>
      </w:r>
      <w:r>
        <w:rPr>
          <w:rFonts w:hint="eastAsia" w:ascii="宋体" w:hAnsi="宋体" w:eastAsia="宋体" w:cs="宋体"/>
          <w:color w:val="auto"/>
          <w:kern w:val="0"/>
          <w:sz w:val="24"/>
          <w:szCs w:val="24"/>
        </w:rPr>
        <w:t xml:space="preserve">第一章 </w:t>
      </w:r>
      <w:r>
        <w:rPr>
          <w:rFonts w:hint="eastAsia" w:ascii="宋体" w:hAnsi="宋体" w:eastAsia="宋体" w:cs="宋体"/>
          <w:color w:val="auto"/>
          <w:kern w:val="0"/>
          <w:sz w:val="24"/>
          <w:szCs w:val="24"/>
          <w:lang w:val="en-US" w:eastAsia="zh-CN"/>
        </w:rPr>
        <w:t>招标公告</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_Toc1936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55D8F7BF">
      <w:pPr>
        <w:pStyle w:val="33"/>
        <w:keepNext w:val="0"/>
        <w:keepLines w:val="0"/>
        <w:pageBreakBefore w:val="0"/>
        <w:widowControl w:val="0"/>
        <w:tabs>
          <w:tab w:val="right" w:leader="dot" w:pos="9746"/>
          <w:tab w:val="clear" w:pos="877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_Toc12525 </w:instrText>
      </w:r>
      <w:r>
        <w:rPr>
          <w:rFonts w:hint="eastAsia" w:ascii="宋体" w:hAnsi="宋体" w:eastAsia="宋体" w:cs="宋体"/>
          <w:color w:val="auto"/>
          <w:sz w:val="24"/>
          <w:szCs w:val="24"/>
        </w:rPr>
        <w:fldChar w:fldCharType="separate"/>
      </w:r>
      <w:r>
        <w:rPr>
          <w:rFonts w:hint="eastAsia" w:ascii="宋体" w:hAnsi="宋体" w:eastAsia="宋体" w:cs="宋体"/>
          <w:color w:val="auto"/>
          <w:kern w:val="0"/>
          <w:sz w:val="24"/>
          <w:szCs w:val="24"/>
        </w:rPr>
        <w:t xml:space="preserve">第二章 </w:t>
      </w:r>
      <w:r>
        <w:rPr>
          <w:rFonts w:hint="eastAsia" w:ascii="宋体" w:hAnsi="宋体" w:cs="宋体"/>
          <w:color w:val="auto"/>
          <w:kern w:val="0"/>
          <w:sz w:val="24"/>
          <w:szCs w:val="24"/>
          <w:lang w:eastAsia="zh-CN"/>
        </w:rPr>
        <w:t>供应商</w:t>
      </w:r>
      <w:r>
        <w:rPr>
          <w:rFonts w:hint="eastAsia" w:ascii="宋体" w:hAnsi="宋体" w:eastAsia="宋体" w:cs="宋体"/>
          <w:color w:val="auto"/>
          <w:kern w:val="0"/>
          <w:sz w:val="24"/>
          <w:szCs w:val="24"/>
        </w:rPr>
        <w:t>须知</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_Toc12525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5</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318ECBE1">
      <w:pPr>
        <w:pStyle w:val="33"/>
        <w:keepNext w:val="0"/>
        <w:keepLines w:val="0"/>
        <w:pageBreakBefore w:val="0"/>
        <w:widowControl w:val="0"/>
        <w:tabs>
          <w:tab w:val="right" w:leader="dot" w:pos="9746"/>
          <w:tab w:val="clear" w:pos="877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_Toc22870 </w:instrText>
      </w:r>
      <w:r>
        <w:rPr>
          <w:rFonts w:hint="eastAsia" w:ascii="宋体" w:hAnsi="宋体" w:eastAsia="宋体" w:cs="宋体"/>
          <w:color w:val="auto"/>
          <w:sz w:val="24"/>
          <w:szCs w:val="24"/>
        </w:rPr>
        <w:fldChar w:fldCharType="separate"/>
      </w:r>
      <w:r>
        <w:rPr>
          <w:rFonts w:hint="eastAsia" w:ascii="宋体" w:hAnsi="宋体" w:eastAsia="宋体" w:cs="宋体"/>
          <w:color w:val="auto"/>
          <w:kern w:val="0"/>
          <w:sz w:val="24"/>
          <w:szCs w:val="24"/>
        </w:rPr>
        <w:t>第三章 资格审查、评标办法和标准</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_Toc22870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19</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7B8B6EB2">
      <w:pPr>
        <w:pStyle w:val="33"/>
        <w:keepNext w:val="0"/>
        <w:keepLines w:val="0"/>
        <w:pageBreakBefore w:val="0"/>
        <w:widowControl w:val="0"/>
        <w:tabs>
          <w:tab w:val="right" w:leader="dot" w:pos="9746"/>
          <w:tab w:val="clear" w:pos="877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_Toc970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第四章</w:t>
      </w:r>
      <w:r>
        <w:rPr>
          <w:rFonts w:hint="eastAsia" w:ascii="宋体" w:hAnsi="宋体" w:eastAsia="宋体" w:cs="宋体"/>
          <w:color w:val="auto"/>
          <w:kern w:val="0"/>
          <w:sz w:val="24"/>
          <w:szCs w:val="24"/>
        </w:rPr>
        <w:t xml:space="preserve"> </w:t>
      </w:r>
      <w:r>
        <w:rPr>
          <w:rFonts w:hint="eastAsia" w:ascii="宋体" w:hAnsi="宋体" w:eastAsia="宋体" w:cs="宋体"/>
          <w:color w:val="auto"/>
          <w:sz w:val="24"/>
          <w:szCs w:val="24"/>
        </w:rPr>
        <w:t>合同条款</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_Toc970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28</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0E5244C7">
      <w:pPr>
        <w:pStyle w:val="33"/>
        <w:keepNext w:val="0"/>
        <w:keepLines w:val="0"/>
        <w:pageBreakBefore w:val="0"/>
        <w:widowControl w:val="0"/>
        <w:tabs>
          <w:tab w:val="right" w:leader="dot" w:pos="9746"/>
          <w:tab w:val="clear" w:pos="877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_Toc16172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highlight w:val="none"/>
        </w:rPr>
        <w:t>第五章</w:t>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sz w:val="24"/>
          <w:szCs w:val="24"/>
          <w:highlight w:val="none"/>
        </w:rPr>
        <w:t>采购需求</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_Toc16172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40</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7E1EADD6">
      <w:pPr>
        <w:pStyle w:val="33"/>
        <w:keepNext w:val="0"/>
        <w:keepLines w:val="0"/>
        <w:pageBreakBefore w:val="0"/>
        <w:widowControl w:val="0"/>
        <w:tabs>
          <w:tab w:val="right" w:leader="dot" w:pos="9746"/>
          <w:tab w:val="clear" w:pos="8778"/>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_Toc3798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第六章</w:t>
      </w:r>
      <w:r>
        <w:rPr>
          <w:rFonts w:hint="eastAsia" w:ascii="宋体" w:hAnsi="宋体" w:eastAsia="宋体" w:cs="宋体"/>
          <w:color w:val="auto"/>
          <w:kern w:val="0"/>
          <w:sz w:val="24"/>
          <w:szCs w:val="24"/>
        </w:rPr>
        <w:t xml:space="preserve"> </w:t>
      </w:r>
      <w:r>
        <w:rPr>
          <w:rFonts w:hint="eastAsia" w:ascii="宋体" w:hAnsi="宋体" w:eastAsia="宋体" w:cs="宋体"/>
          <w:color w:val="auto"/>
          <w:sz w:val="24"/>
          <w:szCs w:val="24"/>
        </w:rPr>
        <w:t>投标文件格式</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_Toc3798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40</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73822E75">
      <w:pPr>
        <w:pStyle w:val="33"/>
        <w:keepNext w:val="0"/>
        <w:keepLines w:val="0"/>
        <w:pageBreakBefore w:val="0"/>
        <w:widowControl w:val="0"/>
        <w:tabs>
          <w:tab w:val="right" w:leader="dot" w:pos="9746"/>
          <w:tab w:val="clear" w:pos="8778"/>
        </w:tabs>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_Toc10232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第七章 其它</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_Toc10232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132</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32F2503A">
      <w:pPr>
        <w:rPr>
          <w:rFonts w:hint="eastAsia" w:ascii="仿宋" w:hAnsi="仿宋" w:eastAsia="仿宋" w:cs="仿宋"/>
          <w:color w:val="auto"/>
          <w:sz w:val="24"/>
          <w:szCs w:val="24"/>
        </w:rPr>
        <w:sectPr>
          <w:footerReference r:id="rId8" w:type="default"/>
          <w:pgSz w:w="11906" w:h="16838"/>
          <w:pgMar w:top="1440" w:right="1080" w:bottom="1440" w:left="1080" w:header="851" w:footer="992" w:gutter="0"/>
          <w:pgNumType w:fmt="decimal" w:start="1"/>
          <w:cols w:space="0" w:num="1"/>
          <w:rtlGutter w:val="0"/>
          <w:docGrid w:type="lines" w:linePitch="312" w:charSpace="0"/>
        </w:sectPr>
      </w:pPr>
    </w:p>
    <w:p w14:paraId="1D63470C">
      <w:pPr>
        <w:keepNext w:val="0"/>
        <w:keepLines w:val="0"/>
        <w:pageBreakBefore w:val="0"/>
        <w:widowControl w:val="0"/>
        <w:kinsoku/>
        <w:wordWrap/>
        <w:overflowPunct/>
        <w:topLinePunct w:val="0"/>
        <w:autoSpaceDE w:val="0"/>
        <w:autoSpaceDN w:val="0"/>
        <w:bidi w:val="0"/>
        <w:adjustRightInd/>
        <w:snapToGrid/>
        <w:spacing w:line="288" w:lineRule="auto"/>
        <w:jc w:val="center"/>
        <w:textAlignment w:val="auto"/>
        <w:outlineLvl w:val="9"/>
        <w:rPr>
          <w:rFonts w:hint="eastAsia" w:ascii="仿宋" w:hAnsi="仿宋" w:eastAsia="宋体" w:cs="仿宋"/>
          <w:b w:val="0"/>
          <w:i w:val="0"/>
          <w:caps w:val="0"/>
          <w:color w:val="auto"/>
          <w:spacing w:val="8"/>
          <w:sz w:val="24"/>
          <w:szCs w:val="24"/>
          <w:shd w:val="clear" w:fill="FFFFFF"/>
          <w:lang w:val="en-US" w:eastAsia="zh-CN"/>
        </w:rPr>
      </w:pPr>
      <w:r>
        <w:rPr>
          <w:rFonts w:hint="eastAsia" w:ascii="仿宋" w:hAnsi="仿宋" w:eastAsia="仿宋" w:cs="仿宋"/>
          <w:color w:val="auto"/>
          <w:sz w:val="24"/>
          <w:szCs w:val="24"/>
        </w:rPr>
        <w:fldChar w:fldCharType="end"/>
      </w:r>
      <w:bookmarkStart w:id="0" w:name="_Toc32145"/>
      <w:bookmarkStart w:id="1" w:name="_Toc1936"/>
      <w:bookmarkStart w:id="2" w:name="_Toc7932"/>
      <w:r>
        <w:rPr>
          <w:rFonts w:hint="eastAsia" w:ascii="宋体" w:hAnsi="宋体" w:cs="黑体"/>
          <w:color w:val="auto"/>
          <w:kern w:val="0"/>
          <w:sz w:val="32"/>
          <w:szCs w:val="32"/>
        </w:rPr>
        <w:t>第一章</w:t>
      </w:r>
      <w:bookmarkEnd w:id="0"/>
      <w:bookmarkEnd w:id="1"/>
      <w:bookmarkEnd w:id="2"/>
      <w:r>
        <w:rPr>
          <w:rFonts w:hint="eastAsia" w:ascii="宋体" w:hAnsi="宋体" w:cs="黑体"/>
          <w:color w:val="auto"/>
          <w:kern w:val="0"/>
          <w:sz w:val="32"/>
          <w:szCs w:val="32"/>
          <w:lang w:val="en-US" w:eastAsia="zh-CN"/>
        </w:rPr>
        <w:t xml:space="preserve"> 招标公告</w:t>
      </w:r>
    </w:p>
    <w:p w14:paraId="0083E8A7">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eastAsia" w:ascii="宋体" w:hAnsi="宋体" w:eastAsia="宋体" w:cs="宋体"/>
          <w:color w:val="auto"/>
        </w:rPr>
      </w:pPr>
      <w:r>
        <w:rPr>
          <w:rFonts w:hint="eastAsia" w:ascii="宋体" w:hAnsi="宋体" w:eastAsia="宋体" w:cs="宋体"/>
          <w:b w:val="0"/>
          <w:i w:val="0"/>
          <w:caps w:val="0"/>
          <w:color w:val="auto"/>
          <w:spacing w:val="8"/>
          <w:sz w:val="24"/>
          <w:szCs w:val="24"/>
          <w:shd w:val="clear" w:fill="FFFFFF"/>
        </w:rPr>
        <w:t>项目概况</w:t>
      </w:r>
    </w:p>
    <w:p w14:paraId="248C82D4">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eastAsia" w:ascii="宋体" w:hAnsi="宋体" w:eastAsia="宋体" w:cs="宋体"/>
          <w:color w:val="auto"/>
        </w:rPr>
      </w:pPr>
      <w:r>
        <w:rPr>
          <w:rFonts w:hint="eastAsia" w:ascii="宋体" w:hAnsi="宋体" w:eastAsia="宋体" w:cs="宋体"/>
          <w:b w:val="0"/>
          <w:i w:val="0"/>
          <w:caps w:val="0"/>
          <w:color w:val="auto"/>
          <w:spacing w:val="8"/>
          <w:sz w:val="24"/>
          <w:szCs w:val="24"/>
          <w:u w:val="single"/>
          <w:shd w:val="clear" w:fill="FFFFFF"/>
          <w:lang w:val="en-US" w:eastAsia="zh-CN"/>
        </w:rPr>
        <w:t>昌吉市城市管理系统政府购买服务</w:t>
      </w:r>
      <w:r>
        <w:rPr>
          <w:rFonts w:hint="eastAsia" w:ascii="宋体" w:hAnsi="宋体" w:eastAsia="宋体" w:cs="宋体"/>
          <w:b w:val="0"/>
          <w:i w:val="0"/>
          <w:caps w:val="0"/>
          <w:color w:val="auto"/>
          <w:spacing w:val="8"/>
          <w:sz w:val="24"/>
          <w:szCs w:val="24"/>
          <w:shd w:val="clear" w:fill="FFFFFF"/>
        </w:rPr>
        <w:t>招标项目的潜在</w:t>
      </w:r>
      <w:r>
        <w:rPr>
          <w:rFonts w:hint="eastAsia" w:ascii="宋体" w:hAnsi="宋体" w:cs="宋体"/>
          <w:b w:val="0"/>
          <w:i w:val="0"/>
          <w:caps w:val="0"/>
          <w:color w:val="auto"/>
          <w:spacing w:val="8"/>
          <w:sz w:val="24"/>
          <w:szCs w:val="24"/>
          <w:shd w:val="clear" w:fill="FFFFFF"/>
          <w:lang w:eastAsia="zh-CN"/>
        </w:rPr>
        <w:t>供应商</w:t>
      </w:r>
      <w:r>
        <w:rPr>
          <w:rFonts w:hint="eastAsia" w:ascii="宋体" w:hAnsi="宋体" w:eastAsia="宋体" w:cs="宋体"/>
          <w:b w:val="0"/>
          <w:i w:val="0"/>
          <w:caps w:val="0"/>
          <w:color w:val="auto"/>
          <w:spacing w:val="8"/>
          <w:sz w:val="24"/>
          <w:szCs w:val="24"/>
          <w:shd w:val="clear" w:fill="FFFFFF"/>
        </w:rPr>
        <w:t>应在</w:t>
      </w:r>
      <w:r>
        <w:rPr>
          <w:rFonts w:hint="eastAsia" w:ascii="宋体" w:hAnsi="宋体" w:eastAsia="宋体" w:cs="宋体"/>
          <w:b w:val="0"/>
          <w:i w:val="0"/>
          <w:caps w:val="0"/>
          <w:color w:val="auto"/>
          <w:spacing w:val="8"/>
          <w:sz w:val="24"/>
          <w:szCs w:val="24"/>
          <w:u w:val="single"/>
          <w:shd w:val="clear" w:fill="FFFFFF"/>
        </w:rPr>
        <w:t>政采云平台线上</w:t>
      </w:r>
      <w:r>
        <w:rPr>
          <w:rFonts w:hint="eastAsia" w:ascii="宋体" w:hAnsi="宋体" w:eastAsia="宋体" w:cs="宋体"/>
          <w:b w:val="0"/>
          <w:i w:val="0"/>
          <w:caps w:val="0"/>
          <w:color w:val="auto"/>
          <w:spacing w:val="8"/>
          <w:sz w:val="24"/>
          <w:szCs w:val="24"/>
          <w:shd w:val="clear" w:fill="FFFFFF"/>
        </w:rPr>
        <w:t>获取招标文件，并于</w:t>
      </w:r>
      <w:r>
        <w:rPr>
          <w:rFonts w:hint="eastAsia" w:ascii="宋体" w:hAnsi="宋体" w:eastAsia="宋体" w:cs="宋体"/>
          <w:b w:val="0"/>
          <w:i w:val="0"/>
          <w:caps w:val="0"/>
          <w:color w:val="auto"/>
          <w:spacing w:val="8"/>
          <w:sz w:val="24"/>
          <w:szCs w:val="24"/>
          <w:u w:val="single"/>
          <w:shd w:val="clear" w:fill="FFFFFF"/>
          <w:lang w:val="en-US" w:eastAsia="zh-CN"/>
        </w:rPr>
        <w:t>2026</w:t>
      </w:r>
      <w:r>
        <w:rPr>
          <w:rFonts w:hint="eastAsia" w:ascii="宋体" w:hAnsi="宋体" w:eastAsia="宋体" w:cs="宋体"/>
          <w:b w:val="0"/>
          <w:i w:val="0"/>
          <w:caps w:val="0"/>
          <w:color w:val="auto"/>
          <w:spacing w:val="8"/>
          <w:sz w:val="24"/>
          <w:szCs w:val="24"/>
          <w:u w:val="none"/>
          <w:shd w:val="clear" w:fill="FFFFFF"/>
        </w:rPr>
        <w:t>年</w:t>
      </w:r>
      <w:r>
        <w:rPr>
          <w:rFonts w:hint="eastAsia" w:ascii="宋体" w:hAnsi="宋体" w:cs="宋体"/>
          <w:b w:val="0"/>
          <w:i w:val="0"/>
          <w:caps w:val="0"/>
          <w:color w:val="auto"/>
          <w:spacing w:val="8"/>
          <w:sz w:val="24"/>
          <w:szCs w:val="24"/>
          <w:u w:val="single"/>
          <w:shd w:val="clear" w:fill="FFFFFF"/>
          <w:lang w:val="en-US" w:eastAsia="zh-CN"/>
        </w:rPr>
        <w:t>06</w:t>
      </w:r>
      <w:r>
        <w:rPr>
          <w:rFonts w:hint="eastAsia" w:ascii="宋体" w:hAnsi="宋体" w:eastAsia="宋体" w:cs="宋体"/>
          <w:b w:val="0"/>
          <w:i w:val="0"/>
          <w:caps w:val="0"/>
          <w:color w:val="auto"/>
          <w:spacing w:val="8"/>
          <w:sz w:val="24"/>
          <w:szCs w:val="24"/>
          <w:u w:val="none"/>
          <w:shd w:val="clear" w:fill="FFFFFF"/>
        </w:rPr>
        <w:t>月</w:t>
      </w:r>
      <w:r>
        <w:rPr>
          <w:rFonts w:hint="eastAsia" w:ascii="宋体" w:hAnsi="宋体" w:cs="宋体"/>
          <w:b w:val="0"/>
          <w:i w:val="0"/>
          <w:caps w:val="0"/>
          <w:color w:val="auto"/>
          <w:spacing w:val="8"/>
          <w:sz w:val="24"/>
          <w:szCs w:val="24"/>
          <w:u w:val="single"/>
          <w:shd w:val="clear" w:fill="FFFFFF"/>
          <w:lang w:val="en-US" w:eastAsia="zh-CN"/>
        </w:rPr>
        <w:t>22</w:t>
      </w:r>
      <w:r>
        <w:rPr>
          <w:rFonts w:hint="eastAsia" w:ascii="宋体" w:hAnsi="宋体" w:eastAsia="宋体" w:cs="宋体"/>
          <w:b w:val="0"/>
          <w:i w:val="0"/>
          <w:caps w:val="0"/>
          <w:color w:val="auto"/>
          <w:spacing w:val="8"/>
          <w:sz w:val="24"/>
          <w:szCs w:val="24"/>
          <w:u w:val="none"/>
          <w:shd w:val="clear" w:fill="FFFFFF"/>
        </w:rPr>
        <w:t>日</w:t>
      </w:r>
      <w:r>
        <w:rPr>
          <w:rFonts w:hint="eastAsia" w:ascii="宋体" w:hAnsi="宋体" w:eastAsia="宋体" w:cs="宋体"/>
          <w:b w:val="0"/>
          <w:i w:val="0"/>
          <w:caps w:val="0"/>
          <w:color w:val="auto"/>
          <w:spacing w:val="8"/>
          <w:sz w:val="24"/>
          <w:szCs w:val="24"/>
          <w:u w:val="none"/>
          <w:shd w:val="clear" w:fill="FFFFFF"/>
          <w:lang w:val="en-US" w:eastAsia="zh-CN"/>
        </w:rPr>
        <w:t>10:30(</w:t>
      </w:r>
      <w:r>
        <w:rPr>
          <w:rFonts w:hint="eastAsia" w:ascii="宋体" w:hAnsi="宋体" w:eastAsia="宋体" w:cs="宋体"/>
          <w:b w:val="0"/>
          <w:i w:val="0"/>
          <w:caps w:val="0"/>
          <w:color w:val="auto"/>
          <w:spacing w:val="8"/>
          <w:sz w:val="24"/>
          <w:szCs w:val="24"/>
          <w:shd w:val="clear" w:fill="FFFFFF"/>
        </w:rPr>
        <w:t>北京时间</w:t>
      </w:r>
      <w:r>
        <w:rPr>
          <w:rFonts w:hint="eastAsia" w:ascii="宋体" w:hAnsi="宋体" w:eastAsia="宋体" w:cs="宋体"/>
          <w:b w:val="0"/>
          <w:i w:val="0"/>
          <w:caps w:val="0"/>
          <w:color w:val="auto"/>
          <w:spacing w:val="8"/>
          <w:sz w:val="24"/>
          <w:szCs w:val="24"/>
          <w:shd w:val="clear" w:fill="FFFFFF"/>
          <w:lang w:val="en-US" w:eastAsia="zh-CN"/>
        </w:rPr>
        <w:t>)</w:t>
      </w:r>
      <w:r>
        <w:rPr>
          <w:rFonts w:hint="eastAsia" w:ascii="宋体" w:hAnsi="宋体" w:eastAsia="宋体" w:cs="宋体"/>
          <w:b w:val="0"/>
          <w:i w:val="0"/>
          <w:caps w:val="0"/>
          <w:color w:val="auto"/>
          <w:spacing w:val="8"/>
          <w:sz w:val="24"/>
          <w:szCs w:val="24"/>
          <w:shd w:val="clear" w:fill="FFFFFF"/>
        </w:rPr>
        <w:t>前递交投标文件。</w:t>
      </w:r>
    </w:p>
    <w:p w14:paraId="1D928C9B">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1"/>
        <w:rPr>
          <w:rFonts w:hint="eastAsia" w:ascii="宋体" w:hAnsi="宋体" w:eastAsia="宋体" w:cs="宋体"/>
          <w:color w:val="auto"/>
          <w:sz w:val="24"/>
          <w:szCs w:val="24"/>
        </w:rPr>
      </w:pPr>
      <w:bookmarkStart w:id="3" w:name="_Toc24577"/>
      <w:bookmarkStart w:id="4" w:name="_Toc24287"/>
      <w:bookmarkStart w:id="5" w:name="_Toc21485"/>
      <w:r>
        <w:rPr>
          <w:rFonts w:hint="eastAsia" w:ascii="宋体" w:hAnsi="宋体" w:eastAsia="宋体" w:cs="宋体"/>
          <w:b w:val="0"/>
          <w:i w:val="0"/>
          <w:caps w:val="0"/>
          <w:color w:val="auto"/>
          <w:spacing w:val="8"/>
          <w:sz w:val="24"/>
          <w:szCs w:val="24"/>
          <w:shd w:val="clear" w:fill="FFFFFF"/>
        </w:rPr>
        <w:t>一、项目基本情况</w:t>
      </w:r>
      <w:bookmarkEnd w:id="3"/>
      <w:bookmarkEnd w:id="4"/>
      <w:bookmarkEnd w:id="5"/>
    </w:p>
    <w:p w14:paraId="6F8D81C9">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eastAsia" w:ascii="宋体" w:hAnsi="宋体" w:eastAsia="宋体" w:cs="宋体"/>
          <w:b w:val="0"/>
          <w:i w:val="0"/>
          <w:caps w:val="0"/>
          <w:color w:val="auto"/>
          <w:spacing w:val="8"/>
          <w:sz w:val="24"/>
          <w:szCs w:val="24"/>
          <w:shd w:val="clear" w:fill="FFFFFF"/>
          <w:lang w:eastAsia="zh-CN"/>
        </w:rPr>
      </w:pPr>
      <w:r>
        <w:rPr>
          <w:rFonts w:hint="eastAsia" w:ascii="宋体" w:hAnsi="宋体" w:eastAsia="宋体" w:cs="宋体"/>
          <w:b w:val="0"/>
          <w:i w:val="0"/>
          <w:caps w:val="0"/>
          <w:color w:val="auto"/>
          <w:spacing w:val="8"/>
          <w:sz w:val="24"/>
          <w:szCs w:val="24"/>
          <w:shd w:val="clear" w:fill="FFFFFF"/>
        </w:rPr>
        <w:t>项目编号</w:t>
      </w:r>
      <w:r>
        <w:rPr>
          <w:rFonts w:hint="eastAsia" w:ascii="宋体" w:hAnsi="宋体" w:cs="宋体"/>
          <w:b w:val="0"/>
          <w:i w:val="0"/>
          <w:caps w:val="0"/>
          <w:color w:val="auto"/>
          <w:spacing w:val="8"/>
          <w:sz w:val="24"/>
          <w:szCs w:val="24"/>
          <w:shd w:val="clear" w:fill="FFFFFF"/>
          <w:lang w:eastAsia="zh-CN"/>
        </w:rPr>
        <w:t>：CSFLZB-2026-074-FW</w:t>
      </w:r>
    </w:p>
    <w:p w14:paraId="4EF5780F">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eastAsia" w:ascii="宋体" w:hAnsi="宋体" w:eastAsia="宋体" w:cs="宋体"/>
          <w:b w:val="0"/>
          <w:i w:val="0"/>
          <w:caps w:val="0"/>
          <w:color w:val="auto"/>
          <w:spacing w:val="8"/>
          <w:sz w:val="24"/>
          <w:szCs w:val="24"/>
          <w:shd w:val="clear" w:fill="FFFFFF"/>
          <w:lang w:eastAsia="zh-CN"/>
        </w:rPr>
      </w:pPr>
      <w:r>
        <w:rPr>
          <w:rFonts w:hint="eastAsia" w:ascii="宋体" w:hAnsi="宋体" w:eastAsia="宋体" w:cs="宋体"/>
          <w:b w:val="0"/>
          <w:i w:val="0"/>
          <w:caps w:val="0"/>
          <w:color w:val="auto"/>
          <w:spacing w:val="8"/>
          <w:sz w:val="24"/>
          <w:szCs w:val="24"/>
          <w:shd w:val="clear" w:fill="FFFFFF"/>
        </w:rPr>
        <w:t>项目名称</w:t>
      </w:r>
      <w:r>
        <w:rPr>
          <w:rFonts w:hint="eastAsia" w:ascii="宋体" w:hAnsi="宋体" w:cs="宋体"/>
          <w:b w:val="0"/>
          <w:i w:val="0"/>
          <w:caps w:val="0"/>
          <w:color w:val="auto"/>
          <w:spacing w:val="8"/>
          <w:sz w:val="24"/>
          <w:szCs w:val="24"/>
          <w:shd w:val="clear" w:fill="FFFFFF"/>
          <w:lang w:eastAsia="zh-CN"/>
        </w:rPr>
        <w:t>：</w:t>
      </w:r>
      <w:r>
        <w:rPr>
          <w:rFonts w:hint="eastAsia" w:ascii="宋体" w:hAnsi="宋体" w:eastAsia="宋体" w:cs="宋体"/>
          <w:b w:val="0"/>
          <w:i w:val="0"/>
          <w:caps w:val="0"/>
          <w:color w:val="auto"/>
          <w:spacing w:val="8"/>
          <w:sz w:val="24"/>
          <w:szCs w:val="24"/>
          <w:shd w:val="clear" w:fill="FFFFFF"/>
          <w:lang w:val="en-US" w:eastAsia="zh-CN"/>
        </w:rPr>
        <w:t>昌吉市城市管理系统政府购买服务</w:t>
      </w:r>
    </w:p>
    <w:p w14:paraId="760EC424">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eastAsia" w:ascii="宋体" w:hAnsi="宋体" w:eastAsia="宋体" w:cs="宋体"/>
          <w:b w:val="0"/>
          <w:i w:val="0"/>
          <w:caps w:val="0"/>
          <w:color w:val="auto"/>
          <w:spacing w:val="8"/>
          <w:sz w:val="24"/>
          <w:szCs w:val="24"/>
          <w:shd w:val="clear" w:fill="FFFFFF"/>
        </w:rPr>
      </w:pPr>
      <w:r>
        <w:rPr>
          <w:rFonts w:hint="eastAsia" w:ascii="宋体" w:hAnsi="宋体" w:eastAsia="宋体" w:cs="宋体"/>
          <w:b w:val="0"/>
          <w:i w:val="0"/>
          <w:caps w:val="0"/>
          <w:color w:val="auto"/>
          <w:spacing w:val="8"/>
          <w:sz w:val="24"/>
          <w:szCs w:val="24"/>
          <w:shd w:val="clear" w:fill="FFFFFF"/>
          <w:lang w:val="en-US" w:eastAsia="zh-CN"/>
        </w:rPr>
        <w:t>采购方式</w:t>
      </w:r>
      <w:r>
        <w:rPr>
          <w:rFonts w:hint="eastAsia" w:ascii="宋体" w:hAnsi="宋体" w:cs="宋体"/>
          <w:b w:val="0"/>
          <w:i w:val="0"/>
          <w:caps w:val="0"/>
          <w:color w:val="auto"/>
          <w:spacing w:val="8"/>
          <w:sz w:val="24"/>
          <w:szCs w:val="24"/>
          <w:shd w:val="clear" w:fill="FFFFFF"/>
          <w:lang w:val="en-US" w:eastAsia="zh-CN"/>
        </w:rPr>
        <w:t>：</w:t>
      </w:r>
      <w:r>
        <w:rPr>
          <w:rFonts w:hint="eastAsia" w:ascii="宋体" w:hAnsi="宋体" w:eastAsia="宋体" w:cs="宋体"/>
          <w:b w:val="0"/>
          <w:i w:val="0"/>
          <w:caps w:val="0"/>
          <w:color w:val="auto"/>
          <w:spacing w:val="8"/>
          <w:sz w:val="24"/>
          <w:szCs w:val="24"/>
          <w:shd w:val="clear" w:fill="FFFFFF"/>
        </w:rPr>
        <w:t>公开招标</w:t>
      </w:r>
    </w:p>
    <w:p w14:paraId="0A620D93">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eastAsia" w:ascii="宋体" w:hAnsi="宋体" w:eastAsia="宋体" w:cs="宋体"/>
          <w:b w:val="0"/>
          <w:i w:val="0"/>
          <w:caps w:val="0"/>
          <w:color w:val="auto"/>
          <w:spacing w:val="8"/>
          <w:sz w:val="24"/>
          <w:szCs w:val="24"/>
          <w:shd w:val="clear" w:fill="FFFFFF"/>
          <w:lang w:val="en-US" w:eastAsia="zh-CN"/>
        </w:rPr>
      </w:pPr>
      <w:r>
        <w:rPr>
          <w:rFonts w:hint="eastAsia" w:ascii="宋体" w:hAnsi="宋体" w:eastAsia="宋体" w:cs="宋体"/>
          <w:b w:val="0"/>
          <w:i w:val="0"/>
          <w:caps w:val="0"/>
          <w:color w:val="auto"/>
          <w:spacing w:val="8"/>
          <w:sz w:val="24"/>
          <w:szCs w:val="24"/>
          <w:shd w:val="clear" w:fill="FFFFFF"/>
          <w:lang w:val="en-US" w:eastAsia="zh-CN"/>
        </w:rPr>
        <w:t>预算金额(元)：</w:t>
      </w:r>
      <w:r>
        <w:rPr>
          <w:rFonts w:hint="eastAsia" w:ascii="宋体" w:hAnsi="宋体" w:cs="宋体"/>
          <w:b w:val="0"/>
          <w:i w:val="0"/>
          <w:caps w:val="0"/>
          <w:color w:val="auto"/>
          <w:spacing w:val="8"/>
          <w:sz w:val="24"/>
          <w:szCs w:val="24"/>
          <w:shd w:val="clear" w:fill="FFFFFF"/>
          <w:lang w:val="en-US" w:eastAsia="zh-CN"/>
        </w:rPr>
        <w:t>198615588.00</w:t>
      </w:r>
      <w:r>
        <w:rPr>
          <w:rFonts w:hint="eastAsia" w:ascii="宋体" w:hAnsi="宋体" w:eastAsia="宋体" w:cs="宋体"/>
          <w:b w:val="0"/>
          <w:i w:val="0"/>
          <w:caps w:val="0"/>
          <w:color w:val="auto"/>
          <w:spacing w:val="8"/>
          <w:sz w:val="24"/>
          <w:szCs w:val="24"/>
          <w:shd w:val="clear" w:fill="FFFFFF"/>
          <w:lang w:val="en-US" w:eastAsia="zh-CN"/>
        </w:rPr>
        <w:t>元</w:t>
      </w:r>
    </w:p>
    <w:p w14:paraId="6CA793F3">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default" w:ascii="宋体" w:hAnsi="宋体" w:eastAsia="宋体" w:cs="宋体"/>
          <w:b w:val="0"/>
          <w:i w:val="0"/>
          <w:caps w:val="0"/>
          <w:color w:val="auto"/>
          <w:spacing w:val="8"/>
          <w:sz w:val="24"/>
          <w:szCs w:val="24"/>
          <w:shd w:val="clear" w:fill="FFFFFF"/>
          <w:lang w:val="en-US" w:eastAsia="zh-CN"/>
        </w:rPr>
      </w:pPr>
      <w:r>
        <w:rPr>
          <w:rFonts w:hint="eastAsia" w:ascii="宋体" w:hAnsi="宋体" w:eastAsia="宋体" w:cs="宋体"/>
          <w:b w:val="0"/>
          <w:i w:val="0"/>
          <w:caps w:val="0"/>
          <w:color w:val="auto"/>
          <w:spacing w:val="8"/>
          <w:sz w:val="24"/>
          <w:szCs w:val="24"/>
          <w:shd w:val="clear" w:fill="FFFFFF"/>
          <w:lang w:val="en-US" w:eastAsia="zh-CN"/>
        </w:rPr>
        <w:t>最高限价(元)：</w:t>
      </w:r>
      <w:r>
        <w:rPr>
          <w:rFonts w:hint="eastAsia" w:ascii="宋体" w:hAnsi="宋体" w:cs="宋体"/>
          <w:b w:val="0"/>
          <w:i w:val="0"/>
          <w:caps w:val="0"/>
          <w:color w:val="auto"/>
          <w:spacing w:val="8"/>
          <w:sz w:val="24"/>
          <w:szCs w:val="24"/>
          <w:shd w:val="clear" w:fill="FFFFFF"/>
          <w:lang w:val="en-US" w:eastAsia="zh-CN"/>
        </w:rPr>
        <w:t>198615588.00</w:t>
      </w:r>
      <w:r>
        <w:rPr>
          <w:rFonts w:hint="eastAsia" w:ascii="宋体" w:hAnsi="宋体" w:eastAsia="宋体" w:cs="宋体"/>
          <w:b w:val="0"/>
          <w:i w:val="0"/>
          <w:caps w:val="0"/>
          <w:color w:val="auto"/>
          <w:spacing w:val="8"/>
          <w:sz w:val="24"/>
          <w:szCs w:val="24"/>
          <w:shd w:val="clear" w:fill="FFFFFF"/>
          <w:lang w:val="en-US" w:eastAsia="zh-CN"/>
        </w:rPr>
        <w:t>元</w:t>
      </w:r>
    </w:p>
    <w:p w14:paraId="65ADF296">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eastAsia" w:ascii="宋体" w:hAnsi="宋体" w:eastAsia="宋体" w:cs="宋体"/>
          <w:b w:val="0"/>
          <w:i w:val="0"/>
          <w:caps w:val="0"/>
          <w:color w:val="auto"/>
          <w:spacing w:val="8"/>
          <w:sz w:val="24"/>
          <w:szCs w:val="24"/>
          <w:shd w:val="clear" w:color="auto" w:fill="auto"/>
          <w:lang w:eastAsia="zh-CN"/>
        </w:rPr>
      </w:pPr>
      <w:r>
        <w:rPr>
          <w:rFonts w:hint="eastAsia" w:ascii="宋体" w:hAnsi="宋体" w:eastAsia="宋体" w:cs="宋体"/>
          <w:b w:val="0"/>
          <w:i w:val="0"/>
          <w:caps w:val="0"/>
          <w:color w:val="auto"/>
          <w:spacing w:val="8"/>
          <w:sz w:val="24"/>
          <w:szCs w:val="24"/>
          <w:shd w:val="clear" w:fill="FFFFFF"/>
        </w:rPr>
        <w:t>采购需求</w:t>
      </w:r>
      <w:r>
        <w:rPr>
          <w:rFonts w:hint="eastAsia" w:ascii="宋体" w:hAnsi="宋体" w:cs="宋体"/>
          <w:b w:val="0"/>
          <w:i w:val="0"/>
          <w:caps w:val="0"/>
          <w:color w:val="auto"/>
          <w:spacing w:val="8"/>
          <w:sz w:val="24"/>
          <w:szCs w:val="24"/>
          <w:shd w:val="clear" w:fill="FFFFFF"/>
          <w:lang w:eastAsia="zh-CN"/>
        </w:rPr>
        <w:t>：</w:t>
      </w:r>
      <w:r>
        <w:rPr>
          <w:rFonts w:hint="eastAsia" w:ascii="宋体" w:hAnsi="宋体" w:eastAsia="宋体" w:cs="宋体"/>
          <w:b w:val="0"/>
          <w:i w:val="0"/>
          <w:caps w:val="0"/>
          <w:color w:val="auto"/>
          <w:spacing w:val="8"/>
          <w:sz w:val="24"/>
          <w:szCs w:val="24"/>
          <w:shd w:val="clear" w:color="auto" w:fill="auto"/>
          <w:lang w:val="en-US" w:eastAsia="zh-CN"/>
        </w:rPr>
        <w:t>昌吉市市容环卫、园林绿化、市政养护、执法</w:t>
      </w:r>
      <w:r>
        <w:rPr>
          <w:rFonts w:hint="eastAsia" w:ascii="宋体" w:hAnsi="宋体" w:cs="宋体"/>
          <w:b w:val="0"/>
          <w:i w:val="0"/>
          <w:caps w:val="0"/>
          <w:color w:val="auto"/>
          <w:spacing w:val="8"/>
          <w:sz w:val="24"/>
          <w:szCs w:val="24"/>
          <w:shd w:val="clear" w:color="auto" w:fill="auto"/>
          <w:lang w:val="en-US" w:eastAsia="zh-CN"/>
        </w:rPr>
        <w:t>辅助</w:t>
      </w:r>
      <w:r>
        <w:rPr>
          <w:rFonts w:hint="eastAsia" w:ascii="宋体" w:hAnsi="宋体" w:eastAsia="宋体" w:cs="宋体"/>
          <w:b w:val="0"/>
          <w:i w:val="0"/>
          <w:caps w:val="0"/>
          <w:color w:val="auto"/>
          <w:spacing w:val="8"/>
          <w:sz w:val="24"/>
          <w:szCs w:val="24"/>
          <w:shd w:val="clear" w:color="auto" w:fill="auto"/>
          <w:lang w:val="en-US" w:eastAsia="zh-CN"/>
        </w:rPr>
        <w:t>，数字城</w:t>
      </w:r>
      <w:r>
        <w:rPr>
          <w:rFonts w:hint="eastAsia" w:ascii="宋体" w:hAnsi="宋体" w:cs="宋体"/>
          <w:b w:val="0"/>
          <w:i w:val="0"/>
          <w:caps w:val="0"/>
          <w:color w:val="auto"/>
          <w:spacing w:val="8"/>
          <w:sz w:val="24"/>
          <w:szCs w:val="24"/>
          <w:shd w:val="clear" w:color="auto" w:fill="auto"/>
          <w:lang w:val="en-US" w:eastAsia="zh-CN"/>
        </w:rPr>
        <w:t>管等</w:t>
      </w:r>
      <w:r>
        <w:rPr>
          <w:rFonts w:hint="eastAsia" w:ascii="宋体" w:hAnsi="宋体" w:eastAsia="宋体" w:cs="宋体"/>
          <w:b w:val="0"/>
          <w:i w:val="0"/>
          <w:caps w:val="0"/>
          <w:color w:val="auto"/>
          <w:spacing w:val="8"/>
          <w:sz w:val="24"/>
          <w:szCs w:val="24"/>
          <w:shd w:val="clear" w:color="auto" w:fill="auto"/>
          <w:lang w:val="en-US" w:eastAsia="zh-CN"/>
        </w:rPr>
        <w:t>服务工作</w:t>
      </w:r>
      <w:r>
        <w:rPr>
          <w:rFonts w:hint="eastAsia" w:ascii="宋体" w:hAnsi="宋体" w:cs="宋体"/>
          <w:b w:val="0"/>
          <w:i w:val="0"/>
          <w:caps w:val="0"/>
          <w:color w:val="auto"/>
          <w:spacing w:val="8"/>
          <w:sz w:val="24"/>
          <w:szCs w:val="24"/>
          <w:shd w:val="clear" w:color="auto" w:fill="auto"/>
          <w:lang w:val="en-US" w:eastAsia="zh-CN"/>
        </w:rPr>
        <w:t>（详见招标文件）</w:t>
      </w:r>
      <w:r>
        <w:rPr>
          <w:rFonts w:hint="eastAsia" w:ascii="宋体" w:hAnsi="宋体" w:eastAsia="宋体" w:cs="宋体"/>
          <w:b w:val="0"/>
          <w:i w:val="0"/>
          <w:caps w:val="0"/>
          <w:color w:val="auto"/>
          <w:spacing w:val="8"/>
          <w:sz w:val="24"/>
          <w:szCs w:val="24"/>
          <w:shd w:val="clear" w:color="auto" w:fill="auto"/>
          <w:lang w:val="en-US" w:eastAsia="zh-CN"/>
        </w:rPr>
        <w:t>。</w:t>
      </w:r>
    </w:p>
    <w:p w14:paraId="34CE2B7E">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eastAsia" w:ascii="宋体" w:hAnsi="宋体" w:eastAsia="宋体" w:cs="宋体"/>
          <w:b w:val="0"/>
          <w:i w:val="0"/>
          <w:caps w:val="0"/>
          <w:color w:val="auto"/>
          <w:spacing w:val="8"/>
          <w:sz w:val="24"/>
          <w:szCs w:val="24"/>
          <w:shd w:val="clear" w:color="auto" w:fill="auto"/>
          <w:lang w:eastAsia="zh-CN"/>
        </w:rPr>
      </w:pPr>
      <w:r>
        <w:rPr>
          <w:rFonts w:hint="eastAsia" w:ascii="宋体" w:hAnsi="宋体" w:eastAsia="宋体" w:cs="宋体"/>
          <w:b w:val="0"/>
          <w:i w:val="0"/>
          <w:caps w:val="0"/>
          <w:color w:val="auto"/>
          <w:spacing w:val="8"/>
          <w:sz w:val="24"/>
          <w:szCs w:val="24"/>
          <w:shd w:val="clear" w:color="auto" w:fill="auto"/>
        </w:rPr>
        <w:t>标项名称</w:t>
      </w:r>
      <w:r>
        <w:rPr>
          <w:rFonts w:hint="eastAsia" w:ascii="宋体" w:hAnsi="宋体" w:cs="宋体"/>
          <w:b w:val="0"/>
          <w:i w:val="0"/>
          <w:caps w:val="0"/>
          <w:color w:val="auto"/>
          <w:spacing w:val="8"/>
          <w:sz w:val="24"/>
          <w:szCs w:val="24"/>
          <w:shd w:val="clear" w:color="auto" w:fill="auto"/>
          <w:lang w:eastAsia="zh-CN"/>
        </w:rPr>
        <w:t>：</w:t>
      </w:r>
      <w:r>
        <w:rPr>
          <w:rFonts w:hint="eastAsia" w:ascii="宋体" w:hAnsi="宋体" w:eastAsia="宋体" w:cs="宋体"/>
          <w:b w:val="0"/>
          <w:i w:val="0"/>
          <w:caps w:val="0"/>
          <w:color w:val="auto"/>
          <w:spacing w:val="8"/>
          <w:sz w:val="24"/>
          <w:szCs w:val="24"/>
          <w:shd w:val="clear" w:color="auto" w:fill="auto"/>
          <w:lang w:val="en-US" w:eastAsia="zh-CN"/>
        </w:rPr>
        <w:t>昌吉市城市管理系统政府购买服务</w:t>
      </w:r>
    </w:p>
    <w:p w14:paraId="150BFEF7">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eastAsia" w:ascii="宋体" w:hAnsi="宋体" w:eastAsia="宋体" w:cs="宋体"/>
          <w:b w:val="0"/>
          <w:i w:val="0"/>
          <w:caps w:val="0"/>
          <w:color w:val="auto"/>
          <w:spacing w:val="8"/>
          <w:sz w:val="24"/>
          <w:szCs w:val="24"/>
          <w:shd w:val="clear" w:color="auto" w:fill="auto"/>
        </w:rPr>
      </w:pPr>
      <w:r>
        <w:rPr>
          <w:rFonts w:hint="eastAsia" w:ascii="宋体" w:hAnsi="宋体" w:eastAsia="宋体" w:cs="宋体"/>
          <w:b w:val="0"/>
          <w:i w:val="0"/>
          <w:caps w:val="0"/>
          <w:color w:val="auto"/>
          <w:spacing w:val="8"/>
          <w:sz w:val="24"/>
          <w:szCs w:val="24"/>
          <w:shd w:val="clear" w:color="auto" w:fill="auto"/>
        </w:rPr>
        <w:t>数量:不限</w:t>
      </w:r>
    </w:p>
    <w:p w14:paraId="2A28BB39">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default" w:ascii="宋体" w:hAnsi="宋体" w:eastAsia="宋体" w:cs="宋体"/>
          <w:b w:val="0"/>
          <w:i w:val="0"/>
          <w:caps w:val="0"/>
          <w:color w:val="auto"/>
          <w:spacing w:val="8"/>
          <w:sz w:val="24"/>
          <w:szCs w:val="24"/>
          <w:shd w:val="clear" w:fill="FFFFFF"/>
          <w:lang w:val="en-US" w:eastAsia="zh-CN"/>
        </w:rPr>
      </w:pPr>
      <w:r>
        <w:rPr>
          <w:rFonts w:hint="eastAsia" w:ascii="宋体" w:hAnsi="宋体" w:eastAsia="宋体" w:cs="宋体"/>
          <w:b w:val="0"/>
          <w:i w:val="0"/>
          <w:caps w:val="0"/>
          <w:color w:val="auto"/>
          <w:spacing w:val="8"/>
          <w:sz w:val="24"/>
          <w:szCs w:val="24"/>
          <w:shd w:val="clear" w:fill="FFFFFF"/>
          <w:lang w:val="en-US" w:eastAsia="zh-CN"/>
        </w:rPr>
        <w:t>预算金额(元)：19861</w:t>
      </w:r>
      <w:r>
        <w:rPr>
          <w:rFonts w:hint="eastAsia" w:ascii="宋体" w:hAnsi="宋体" w:cs="宋体"/>
          <w:b w:val="0"/>
          <w:i w:val="0"/>
          <w:caps w:val="0"/>
          <w:color w:val="auto"/>
          <w:spacing w:val="8"/>
          <w:sz w:val="24"/>
          <w:szCs w:val="24"/>
          <w:shd w:val="clear" w:fill="FFFFFF"/>
          <w:lang w:val="en-US" w:eastAsia="zh-CN"/>
        </w:rPr>
        <w:t>5588.00</w:t>
      </w:r>
      <w:r>
        <w:rPr>
          <w:rFonts w:hint="eastAsia" w:ascii="宋体" w:hAnsi="宋体" w:eastAsia="宋体" w:cs="宋体"/>
          <w:b w:val="0"/>
          <w:i w:val="0"/>
          <w:caps w:val="0"/>
          <w:color w:val="auto"/>
          <w:spacing w:val="8"/>
          <w:sz w:val="24"/>
          <w:szCs w:val="24"/>
          <w:shd w:val="clear" w:fill="FFFFFF"/>
          <w:lang w:val="en-US" w:eastAsia="zh-CN"/>
        </w:rPr>
        <w:t>元</w:t>
      </w:r>
    </w:p>
    <w:p w14:paraId="1FBAA5F1">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eastAsia" w:ascii="宋体" w:hAnsi="宋体" w:eastAsia="宋体" w:cs="宋体"/>
          <w:b w:val="0"/>
          <w:i w:val="0"/>
          <w:caps w:val="0"/>
          <w:color w:val="auto"/>
          <w:spacing w:val="8"/>
          <w:sz w:val="24"/>
          <w:szCs w:val="24"/>
          <w:shd w:val="clear" w:color="auto" w:fill="auto"/>
          <w:lang w:val="en-US" w:eastAsia="zh-CN"/>
        </w:rPr>
      </w:pPr>
      <w:r>
        <w:rPr>
          <w:rFonts w:hint="eastAsia" w:ascii="宋体" w:hAnsi="宋体" w:eastAsia="宋体" w:cs="宋体"/>
          <w:b w:val="0"/>
          <w:i w:val="0"/>
          <w:caps w:val="0"/>
          <w:color w:val="auto"/>
          <w:spacing w:val="8"/>
          <w:sz w:val="24"/>
          <w:szCs w:val="24"/>
          <w:shd w:val="clear" w:color="auto" w:fill="auto"/>
          <w:lang w:eastAsia="zh-CN"/>
        </w:rPr>
        <w:t>单位：项</w:t>
      </w:r>
    </w:p>
    <w:p w14:paraId="496CFC88">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eastAsia" w:ascii="宋体" w:hAnsi="宋体" w:eastAsia="宋体" w:cs="宋体"/>
          <w:b w:val="0"/>
          <w:i w:val="0"/>
          <w:caps w:val="0"/>
          <w:color w:val="auto"/>
          <w:spacing w:val="8"/>
          <w:sz w:val="24"/>
          <w:szCs w:val="24"/>
          <w:shd w:val="clear" w:color="auto" w:fill="auto"/>
          <w:lang w:eastAsia="zh-CN"/>
        </w:rPr>
      </w:pPr>
      <w:r>
        <w:rPr>
          <w:rFonts w:hint="eastAsia" w:ascii="宋体" w:hAnsi="宋体" w:eastAsia="宋体" w:cs="宋体"/>
          <w:b w:val="0"/>
          <w:i w:val="0"/>
          <w:caps w:val="0"/>
          <w:color w:val="auto"/>
          <w:spacing w:val="8"/>
          <w:sz w:val="24"/>
          <w:szCs w:val="24"/>
          <w:shd w:val="clear" w:color="auto" w:fill="auto"/>
        </w:rPr>
        <w:t>简要规格描述或项目基本概况介绍、用途</w:t>
      </w:r>
      <w:r>
        <w:rPr>
          <w:rFonts w:hint="eastAsia" w:ascii="宋体" w:hAnsi="宋体" w:eastAsia="宋体" w:cs="宋体"/>
          <w:b w:val="0"/>
          <w:i w:val="0"/>
          <w:caps w:val="0"/>
          <w:color w:val="auto"/>
          <w:spacing w:val="8"/>
          <w:sz w:val="24"/>
          <w:szCs w:val="24"/>
          <w:shd w:val="clear" w:color="auto" w:fill="auto"/>
          <w:lang w:eastAsia="zh-CN"/>
        </w:rPr>
        <w:t>:</w:t>
      </w:r>
      <w:r>
        <w:rPr>
          <w:rFonts w:hint="eastAsia" w:ascii="宋体" w:hAnsi="宋体" w:eastAsia="宋体" w:cs="宋体"/>
          <w:b w:val="0"/>
          <w:i w:val="0"/>
          <w:caps w:val="0"/>
          <w:color w:val="auto"/>
          <w:spacing w:val="8"/>
          <w:sz w:val="24"/>
          <w:szCs w:val="24"/>
          <w:shd w:val="clear" w:color="auto" w:fill="auto"/>
          <w:lang w:val="en-US" w:eastAsia="zh-CN"/>
        </w:rPr>
        <w:t>昌吉市市容环卫、园林绿化、市政养护、执法辅助，数字城管等服务工作（详见招标文件）</w:t>
      </w:r>
    </w:p>
    <w:p w14:paraId="531DEBB3">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eastAsia" w:ascii="宋体" w:hAnsi="宋体" w:eastAsia="宋体" w:cs="宋体"/>
          <w:b w:val="0"/>
          <w:i w:val="0"/>
          <w:caps w:val="0"/>
          <w:color w:val="auto"/>
          <w:spacing w:val="8"/>
          <w:sz w:val="24"/>
          <w:szCs w:val="24"/>
          <w:highlight w:val="none"/>
          <w:shd w:val="clear" w:color="auto" w:fill="auto"/>
          <w:lang w:val="en-US" w:eastAsia="zh-CN"/>
        </w:rPr>
      </w:pPr>
      <w:r>
        <w:rPr>
          <w:rFonts w:hint="eastAsia" w:ascii="宋体" w:hAnsi="宋体" w:eastAsia="宋体" w:cs="宋体"/>
          <w:b w:val="0"/>
          <w:i w:val="0"/>
          <w:caps w:val="0"/>
          <w:color w:val="auto"/>
          <w:spacing w:val="8"/>
          <w:sz w:val="24"/>
          <w:szCs w:val="24"/>
          <w:highlight w:val="none"/>
          <w:shd w:val="clear" w:color="auto" w:fill="auto"/>
        </w:rPr>
        <w:t>服务</w:t>
      </w:r>
      <w:r>
        <w:rPr>
          <w:rFonts w:hint="eastAsia" w:ascii="宋体" w:hAnsi="宋体" w:eastAsia="宋体" w:cs="宋体"/>
          <w:b w:val="0"/>
          <w:i w:val="0"/>
          <w:caps w:val="0"/>
          <w:color w:val="auto"/>
          <w:spacing w:val="8"/>
          <w:sz w:val="24"/>
          <w:szCs w:val="24"/>
          <w:highlight w:val="none"/>
          <w:shd w:val="clear" w:color="auto" w:fill="auto"/>
          <w:lang w:val="en-US" w:eastAsia="zh-CN"/>
        </w:rPr>
        <w:t>要求</w:t>
      </w:r>
      <w:r>
        <w:rPr>
          <w:rFonts w:hint="eastAsia" w:ascii="宋体" w:hAnsi="宋体" w:cs="宋体"/>
          <w:b w:val="0"/>
          <w:i w:val="0"/>
          <w:caps w:val="0"/>
          <w:color w:val="auto"/>
          <w:spacing w:val="8"/>
          <w:sz w:val="24"/>
          <w:szCs w:val="24"/>
          <w:highlight w:val="none"/>
          <w:shd w:val="clear" w:color="auto" w:fill="auto"/>
          <w:lang w:val="en-US" w:eastAsia="zh-CN"/>
        </w:rPr>
        <w:t>：</w:t>
      </w:r>
      <w:r>
        <w:rPr>
          <w:rFonts w:hint="eastAsia" w:ascii="宋体" w:hAnsi="宋体" w:eastAsia="宋体" w:cs="宋体"/>
          <w:b w:val="0"/>
          <w:i w:val="0"/>
          <w:caps w:val="0"/>
          <w:color w:val="auto"/>
          <w:spacing w:val="8"/>
          <w:sz w:val="24"/>
          <w:szCs w:val="24"/>
          <w:highlight w:val="none"/>
          <w:shd w:val="clear" w:color="auto" w:fill="auto"/>
          <w:lang w:val="en-US" w:eastAsia="zh-CN"/>
        </w:rPr>
        <w:t>满足国家相关标准、行业标准、地方标准及采购人相关要求。</w:t>
      </w:r>
    </w:p>
    <w:p w14:paraId="382DE1DA">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eastAsia" w:ascii="宋体" w:hAnsi="宋体" w:eastAsia="宋体" w:cs="宋体"/>
          <w:b w:val="0"/>
          <w:i w:val="0"/>
          <w:caps w:val="0"/>
          <w:color w:val="auto"/>
          <w:spacing w:val="8"/>
          <w:sz w:val="24"/>
          <w:szCs w:val="24"/>
          <w:highlight w:val="none"/>
          <w:shd w:val="clear" w:color="auto" w:fill="auto"/>
          <w:lang w:val="en-US" w:eastAsia="zh-CN"/>
        </w:rPr>
      </w:pPr>
      <w:r>
        <w:rPr>
          <w:rFonts w:hint="eastAsia" w:ascii="宋体" w:hAnsi="宋体" w:eastAsia="宋体" w:cs="宋体"/>
          <w:b w:val="0"/>
          <w:i w:val="0"/>
          <w:caps w:val="0"/>
          <w:color w:val="auto"/>
          <w:spacing w:val="8"/>
          <w:sz w:val="24"/>
          <w:szCs w:val="24"/>
          <w:highlight w:val="none"/>
          <w:shd w:val="clear" w:color="auto" w:fill="auto"/>
        </w:rPr>
        <w:t>服务</w:t>
      </w:r>
      <w:r>
        <w:rPr>
          <w:rFonts w:hint="eastAsia" w:ascii="宋体" w:hAnsi="宋体" w:eastAsia="宋体" w:cs="宋体"/>
          <w:b w:val="0"/>
          <w:i w:val="0"/>
          <w:caps w:val="0"/>
          <w:color w:val="auto"/>
          <w:spacing w:val="8"/>
          <w:sz w:val="24"/>
          <w:szCs w:val="24"/>
          <w:highlight w:val="none"/>
          <w:shd w:val="clear" w:color="auto" w:fill="auto"/>
          <w:lang w:val="en-US" w:eastAsia="zh-CN"/>
        </w:rPr>
        <w:t>标准</w:t>
      </w:r>
      <w:r>
        <w:rPr>
          <w:rFonts w:hint="eastAsia" w:ascii="宋体" w:hAnsi="宋体" w:cs="宋体"/>
          <w:b w:val="0"/>
          <w:i w:val="0"/>
          <w:caps w:val="0"/>
          <w:color w:val="auto"/>
          <w:spacing w:val="8"/>
          <w:sz w:val="24"/>
          <w:szCs w:val="24"/>
          <w:highlight w:val="none"/>
          <w:shd w:val="clear" w:color="auto" w:fill="auto"/>
          <w:lang w:val="en-US" w:eastAsia="zh-CN"/>
        </w:rPr>
        <w:t>：</w:t>
      </w:r>
      <w:r>
        <w:rPr>
          <w:rFonts w:hint="eastAsia" w:ascii="宋体" w:hAnsi="宋体" w:eastAsia="宋体" w:cs="宋体"/>
          <w:b w:val="0"/>
          <w:i w:val="0"/>
          <w:caps w:val="0"/>
          <w:color w:val="auto"/>
          <w:spacing w:val="8"/>
          <w:sz w:val="24"/>
          <w:szCs w:val="24"/>
          <w:highlight w:val="none"/>
          <w:shd w:val="clear" w:color="auto" w:fill="auto"/>
          <w:lang w:val="en-US" w:eastAsia="zh-CN"/>
        </w:rPr>
        <w:t>合格</w:t>
      </w:r>
    </w:p>
    <w:p w14:paraId="6B7F89A6">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eastAsia" w:ascii="宋体" w:hAnsi="宋体" w:cs="宋体"/>
          <w:b w:val="0"/>
          <w:i w:val="0"/>
          <w:caps w:val="0"/>
          <w:color w:val="auto"/>
          <w:spacing w:val="8"/>
          <w:sz w:val="24"/>
          <w:szCs w:val="24"/>
          <w:highlight w:val="none"/>
          <w:shd w:val="clear" w:color="auto" w:fill="auto"/>
          <w:lang w:val="en-US" w:eastAsia="zh-CN"/>
        </w:rPr>
      </w:pPr>
      <w:r>
        <w:rPr>
          <w:rFonts w:hint="eastAsia" w:ascii="宋体" w:hAnsi="宋体" w:eastAsia="宋体" w:cs="宋体"/>
          <w:b w:val="0"/>
          <w:i w:val="0"/>
          <w:caps w:val="0"/>
          <w:color w:val="auto"/>
          <w:spacing w:val="8"/>
          <w:sz w:val="24"/>
          <w:szCs w:val="24"/>
          <w:highlight w:val="none"/>
          <w:shd w:val="clear" w:color="auto" w:fill="auto"/>
          <w:lang w:val="en-US" w:eastAsia="zh-CN"/>
        </w:rPr>
        <w:t>服务地点</w:t>
      </w:r>
      <w:r>
        <w:rPr>
          <w:rFonts w:hint="eastAsia" w:ascii="宋体" w:hAnsi="宋体" w:cs="宋体"/>
          <w:b w:val="0"/>
          <w:i w:val="0"/>
          <w:caps w:val="0"/>
          <w:color w:val="auto"/>
          <w:spacing w:val="8"/>
          <w:sz w:val="24"/>
          <w:szCs w:val="24"/>
          <w:highlight w:val="none"/>
          <w:shd w:val="clear" w:color="auto" w:fill="auto"/>
          <w:lang w:val="en-US" w:eastAsia="zh-CN"/>
        </w:rPr>
        <w:t>：昌吉市</w:t>
      </w:r>
    </w:p>
    <w:p w14:paraId="11171E24">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eastAsia" w:ascii="宋体" w:hAnsi="宋体" w:eastAsia="宋体" w:cs="宋体"/>
          <w:b w:val="0"/>
          <w:i w:val="0"/>
          <w:caps w:val="0"/>
          <w:color w:val="auto"/>
          <w:spacing w:val="8"/>
          <w:sz w:val="24"/>
          <w:szCs w:val="24"/>
          <w:highlight w:val="none"/>
          <w:shd w:val="clear" w:color="auto" w:fill="auto"/>
        </w:rPr>
      </w:pPr>
      <w:r>
        <w:rPr>
          <w:rFonts w:hint="eastAsia" w:ascii="宋体" w:hAnsi="宋体" w:eastAsia="宋体" w:cs="宋体"/>
          <w:b w:val="0"/>
          <w:i w:val="0"/>
          <w:caps w:val="0"/>
          <w:color w:val="auto"/>
          <w:spacing w:val="8"/>
          <w:sz w:val="24"/>
          <w:szCs w:val="24"/>
          <w:highlight w:val="none"/>
          <w:shd w:val="clear" w:color="auto" w:fill="auto"/>
        </w:rPr>
        <w:t>备注</w:t>
      </w:r>
      <w:r>
        <w:rPr>
          <w:rFonts w:hint="eastAsia" w:ascii="宋体" w:hAnsi="宋体" w:cs="宋体"/>
          <w:b w:val="0"/>
          <w:i w:val="0"/>
          <w:caps w:val="0"/>
          <w:color w:val="auto"/>
          <w:spacing w:val="8"/>
          <w:sz w:val="24"/>
          <w:szCs w:val="24"/>
          <w:highlight w:val="none"/>
          <w:shd w:val="clear" w:color="auto" w:fill="auto"/>
          <w:lang w:eastAsia="zh-CN"/>
        </w:rPr>
        <w:t>：供应商</w:t>
      </w:r>
      <w:r>
        <w:rPr>
          <w:rFonts w:hint="eastAsia" w:ascii="宋体" w:hAnsi="宋体" w:eastAsia="宋体" w:cs="宋体"/>
          <w:b w:val="0"/>
          <w:i w:val="0"/>
          <w:caps w:val="0"/>
          <w:color w:val="auto"/>
          <w:spacing w:val="8"/>
          <w:sz w:val="24"/>
          <w:szCs w:val="24"/>
          <w:highlight w:val="none"/>
          <w:shd w:val="clear" w:color="auto" w:fill="auto"/>
        </w:rPr>
        <w:t>必须对</w:t>
      </w:r>
      <w:r>
        <w:rPr>
          <w:rFonts w:hint="eastAsia" w:ascii="宋体" w:hAnsi="宋体" w:cs="宋体"/>
          <w:b w:val="0"/>
          <w:i w:val="0"/>
          <w:caps w:val="0"/>
          <w:color w:val="auto"/>
          <w:spacing w:val="8"/>
          <w:sz w:val="24"/>
          <w:szCs w:val="24"/>
          <w:highlight w:val="none"/>
          <w:shd w:val="clear" w:color="auto" w:fill="auto"/>
          <w:lang w:val="en-US" w:eastAsia="zh-CN"/>
        </w:rPr>
        <w:t>采购需求</w:t>
      </w:r>
      <w:r>
        <w:rPr>
          <w:rFonts w:hint="eastAsia" w:ascii="宋体" w:hAnsi="宋体" w:eastAsia="宋体" w:cs="宋体"/>
          <w:b w:val="0"/>
          <w:i w:val="0"/>
          <w:caps w:val="0"/>
          <w:color w:val="auto"/>
          <w:spacing w:val="8"/>
          <w:sz w:val="24"/>
          <w:szCs w:val="24"/>
          <w:highlight w:val="none"/>
          <w:shd w:val="clear" w:color="auto" w:fill="auto"/>
        </w:rPr>
        <w:t>内所有服务进行投标，不允许只投标其中的一部分，否则作为无效标处理。</w:t>
      </w:r>
    </w:p>
    <w:p w14:paraId="031C2D2F">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eastAsia" w:ascii="宋体" w:hAnsi="宋体" w:eastAsia="宋体" w:cs="宋体"/>
          <w:color w:val="auto"/>
          <w:lang w:val="en-US" w:eastAsia="zh-CN"/>
        </w:rPr>
      </w:pPr>
      <w:r>
        <w:rPr>
          <w:rFonts w:hint="eastAsia" w:ascii="宋体" w:hAnsi="宋体" w:eastAsia="宋体" w:cs="宋体"/>
          <w:b w:val="0"/>
          <w:i w:val="0"/>
          <w:caps w:val="0"/>
          <w:color w:val="auto"/>
          <w:spacing w:val="8"/>
          <w:sz w:val="24"/>
          <w:szCs w:val="24"/>
          <w:shd w:val="clear" w:fill="FFFFFF"/>
        </w:rPr>
        <w:t>合同</w:t>
      </w:r>
      <w:r>
        <w:rPr>
          <w:rFonts w:hint="eastAsia" w:ascii="宋体" w:hAnsi="宋体" w:cs="宋体"/>
          <w:b w:val="0"/>
          <w:i w:val="0"/>
          <w:caps w:val="0"/>
          <w:color w:val="auto"/>
          <w:spacing w:val="8"/>
          <w:sz w:val="24"/>
          <w:szCs w:val="24"/>
          <w:shd w:val="clear" w:fill="FFFFFF"/>
          <w:lang w:val="en-US" w:eastAsia="zh-CN"/>
        </w:rPr>
        <w:t>履约</w:t>
      </w:r>
      <w:r>
        <w:rPr>
          <w:rFonts w:hint="eastAsia" w:ascii="宋体" w:hAnsi="宋体" w:eastAsia="宋体" w:cs="宋体"/>
          <w:b w:val="0"/>
          <w:i w:val="0"/>
          <w:caps w:val="0"/>
          <w:color w:val="auto"/>
          <w:spacing w:val="8"/>
          <w:sz w:val="24"/>
          <w:szCs w:val="24"/>
          <w:shd w:val="clear" w:fill="FFFFFF"/>
        </w:rPr>
        <w:t>期限</w:t>
      </w:r>
      <w:r>
        <w:rPr>
          <w:rFonts w:hint="eastAsia" w:ascii="宋体" w:hAnsi="宋体" w:cs="宋体"/>
          <w:b w:val="0"/>
          <w:i w:val="0"/>
          <w:caps w:val="0"/>
          <w:color w:val="auto"/>
          <w:spacing w:val="8"/>
          <w:sz w:val="24"/>
          <w:szCs w:val="24"/>
          <w:shd w:val="clear" w:fill="FFFFFF"/>
          <w:lang w:eastAsia="zh-CN"/>
        </w:rPr>
        <w:t>：</w:t>
      </w:r>
      <w:r>
        <w:rPr>
          <w:rFonts w:hint="eastAsia" w:ascii="宋体" w:hAnsi="宋体" w:eastAsia="宋体" w:cs="宋体"/>
          <w:b w:val="0"/>
          <w:i w:val="0"/>
          <w:caps w:val="0"/>
          <w:color w:val="auto"/>
          <w:spacing w:val="8"/>
          <w:sz w:val="24"/>
          <w:szCs w:val="24"/>
          <w:shd w:val="clear" w:fill="FFFFFF"/>
          <w:lang w:val="en-US" w:eastAsia="zh-CN"/>
        </w:rPr>
        <w:t>1年(中标的</w:t>
      </w:r>
      <w:r>
        <w:rPr>
          <w:rFonts w:hint="eastAsia" w:ascii="宋体" w:hAnsi="宋体" w:cs="宋体"/>
          <w:b w:val="0"/>
          <w:i w:val="0"/>
          <w:caps w:val="0"/>
          <w:color w:val="auto"/>
          <w:spacing w:val="8"/>
          <w:sz w:val="24"/>
          <w:szCs w:val="24"/>
          <w:shd w:val="clear" w:fill="FFFFFF"/>
          <w:lang w:val="en-US" w:eastAsia="zh-CN"/>
        </w:rPr>
        <w:t>供应商</w:t>
      </w:r>
      <w:r>
        <w:rPr>
          <w:rFonts w:hint="eastAsia" w:ascii="宋体" w:hAnsi="宋体" w:eastAsia="宋体" w:cs="宋体"/>
          <w:b w:val="0"/>
          <w:i w:val="0"/>
          <w:caps w:val="0"/>
          <w:color w:val="auto"/>
          <w:spacing w:val="8"/>
          <w:sz w:val="24"/>
          <w:szCs w:val="24"/>
          <w:shd w:val="clear" w:fill="FFFFFF"/>
          <w:lang w:val="en-US" w:eastAsia="zh-CN"/>
        </w:rPr>
        <w:t>1年服务期期满后，如服务考核结果合格，到期后双方书面确认无异议后可续签1年，合同履约期最长不超过3年)。</w:t>
      </w:r>
    </w:p>
    <w:p w14:paraId="3C59BB20">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eastAsia" w:ascii="宋体" w:hAnsi="宋体" w:eastAsia="宋体" w:cs="宋体"/>
          <w:b w:val="0"/>
          <w:i w:val="0"/>
          <w:caps w:val="0"/>
          <w:color w:val="auto"/>
          <w:spacing w:val="8"/>
          <w:sz w:val="24"/>
          <w:szCs w:val="24"/>
          <w:shd w:val="clear" w:fill="FFFFFF"/>
          <w:lang w:val="en-US" w:eastAsia="zh-CN"/>
        </w:rPr>
      </w:pPr>
      <w:r>
        <w:rPr>
          <w:rFonts w:hint="eastAsia" w:ascii="宋体" w:hAnsi="宋体" w:eastAsia="宋体" w:cs="宋体"/>
          <w:b w:val="0"/>
          <w:i w:val="0"/>
          <w:caps w:val="0"/>
          <w:color w:val="auto"/>
          <w:spacing w:val="8"/>
          <w:sz w:val="24"/>
          <w:szCs w:val="24"/>
          <w:shd w:val="clear" w:fill="FFFFFF"/>
          <w:lang w:val="en-US" w:eastAsia="zh-CN"/>
        </w:rPr>
        <w:t>本项目(否)接受联合体投标。</w:t>
      </w:r>
    </w:p>
    <w:p w14:paraId="3FE4D7E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auto"/>
          <w:sz w:val="24"/>
          <w:szCs w:val="24"/>
          <w:lang w:eastAsia="zh-CN"/>
        </w:rPr>
      </w:pPr>
      <w:bookmarkStart w:id="6" w:name="_Toc27589"/>
      <w:bookmarkStart w:id="7" w:name="_Toc29591"/>
      <w:bookmarkStart w:id="8" w:name="_Toc13534"/>
      <w:r>
        <w:rPr>
          <w:rFonts w:hint="eastAsia" w:ascii="宋体" w:hAnsi="宋体" w:eastAsia="宋体" w:cs="宋体"/>
          <w:b w:val="0"/>
          <w:i w:val="0"/>
          <w:caps w:val="0"/>
          <w:color w:val="auto"/>
          <w:spacing w:val="8"/>
          <w:sz w:val="24"/>
          <w:szCs w:val="24"/>
          <w:shd w:val="clear" w:fill="FFFFFF"/>
        </w:rPr>
        <w:t>二、申请人的资格要求</w:t>
      </w:r>
      <w:bookmarkEnd w:id="6"/>
      <w:bookmarkEnd w:id="7"/>
      <w:r>
        <w:rPr>
          <w:rFonts w:hint="eastAsia" w:ascii="宋体" w:hAnsi="宋体" w:eastAsia="宋体" w:cs="宋体"/>
          <w:b w:val="0"/>
          <w:i w:val="0"/>
          <w:caps w:val="0"/>
          <w:color w:val="auto"/>
          <w:spacing w:val="8"/>
          <w:sz w:val="24"/>
          <w:szCs w:val="24"/>
          <w:shd w:val="clear" w:fill="FFFFFF"/>
          <w:lang w:eastAsia="zh-CN"/>
        </w:rPr>
        <w:t>:</w:t>
      </w:r>
      <w:bookmarkEnd w:id="8"/>
    </w:p>
    <w:p w14:paraId="1D538716">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55"/>
        <w:jc w:val="both"/>
        <w:textAlignment w:val="auto"/>
        <w:rPr>
          <w:rFonts w:hint="eastAsia" w:ascii="宋体" w:hAnsi="宋体" w:eastAsia="宋体" w:cs="宋体"/>
          <w:color w:val="auto"/>
        </w:rPr>
      </w:pPr>
      <w:r>
        <w:rPr>
          <w:rFonts w:hint="eastAsia" w:ascii="宋体" w:hAnsi="宋体" w:eastAsia="宋体" w:cs="宋体"/>
          <w:b w:val="0"/>
          <w:i w:val="0"/>
          <w:caps w:val="0"/>
          <w:color w:val="auto"/>
          <w:spacing w:val="8"/>
          <w:sz w:val="24"/>
          <w:szCs w:val="24"/>
          <w:shd w:val="clear" w:fill="FFFFFF"/>
        </w:rPr>
        <w:t>1.满足《中华人民共和国政府采购法》第二十二条规定；</w:t>
      </w:r>
    </w:p>
    <w:p w14:paraId="0B906FFF">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55"/>
        <w:jc w:val="both"/>
        <w:textAlignment w:val="auto"/>
        <w:rPr>
          <w:rFonts w:hint="eastAsia" w:ascii="宋体" w:hAnsi="宋体" w:eastAsia="宋体" w:cs="宋体"/>
          <w:color w:val="auto"/>
          <w:lang w:eastAsia="zh-CN"/>
        </w:rPr>
      </w:pPr>
      <w:r>
        <w:rPr>
          <w:rFonts w:hint="eastAsia" w:ascii="宋体" w:hAnsi="宋体" w:eastAsia="宋体" w:cs="宋体"/>
          <w:b w:val="0"/>
          <w:i w:val="0"/>
          <w:caps w:val="0"/>
          <w:color w:val="auto"/>
          <w:spacing w:val="8"/>
          <w:sz w:val="24"/>
          <w:szCs w:val="24"/>
          <w:shd w:val="clear" w:fill="FFFFFF"/>
        </w:rPr>
        <w:t>2.落实政府采购政策需满足的资格要求</w:t>
      </w:r>
      <w:r>
        <w:rPr>
          <w:rFonts w:hint="eastAsia" w:ascii="宋体" w:hAnsi="宋体" w:eastAsia="宋体" w:cs="宋体"/>
          <w:b w:val="0"/>
          <w:i w:val="0"/>
          <w:caps w:val="0"/>
          <w:color w:val="auto"/>
          <w:spacing w:val="8"/>
          <w:sz w:val="24"/>
          <w:szCs w:val="24"/>
          <w:shd w:val="clear" w:fill="FFFFFF"/>
          <w:lang w:eastAsia="zh-CN"/>
        </w:rPr>
        <w:t>:</w:t>
      </w:r>
      <w:r>
        <w:rPr>
          <w:rFonts w:hint="eastAsia" w:ascii="宋体" w:hAnsi="宋体" w:eastAsia="宋体" w:cs="宋体"/>
          <w:b w:val="0"/>
          <w:i w:val="0"/>
          <w:caps w:val="0"/>
          <w:color w:val="auto"/>
          <w:spacing w:val="8"/>
          <w:sz w:val="24"/>
          <w:szCs w:val="24"/>
          <w:u w:val="single"/>
          <w:shd w:val="clear" w:fill="FFFFFF"/>
          <w:lang w:val="zh-CN" w:eastAsia="zh-CN"/>
        </w:rPr>
        <w:t>本项目非专门面向中小企业采购</w:t>
      </w:r>
      <w:r>
        <w:rPr>
          <w:rStyle w:val="49"/>
          <w:rFonts w:hint="eastAsia" w:ascii="宋体" w:hAnsi="宋体" w:cs="宋体"/>
          <w:b w:val="0"/>
          <w:i w:val="0"/>
          <w:iCs/>
          <w:caps w:val="0"/>
          <w:color w:val="auto"/>
          <w:spacing w:val="8"/>
          <w:sz w:val="24"/>
          <w:szCs w:val="24"/>
          <w:u w:val="single"/>
          <w:shd w:val="clear" w:fill="FFFFFF"/>
          <w:lang w:val="en-US" w:eastAsia="zh-CN"/>
        </w:rPr>
        <w:t xml:space="preserve"> </w:t>
      </w:r>
      <w:r>
        <w:rPr>
          <w:rStyle w:val="49"/>
          <w:rFonts w:hint="eastAsia" w:ascii="宋体" w:hAnsi="宋体" w:cs="宋体"/>
          <w:b w:val="0"/>
          <w:i w:val="0"/>
          <w:iCs/>
          <w:caps w:val="0"/>
          <w:color w:val="auto"/>
          <w:spacing w:val="8"/>
          <w:sz w:val="24"/>
          <w:szCs w:val="24"/>
          <w:u w:val="single"/>
          <w:shd w:val="clear" w:fill="FFFFFF"/>
          <w:lang w:eastAsia="zh-CN"/>
        </w:rPr>
        <w:t>；</w:t>
      </w:r>
    </w:p>
    <w:p w14:paraId="52DF10A3">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55"/>
        <w:jc w:val="both"/>
        <w:textAlignment w:val="auto"/>
        <w:rPr>
          <w:rFonts w:hint="eastAsia" w:ascii="宋体" w:hAnsi="宋体" w:eastAsia="宋体" w:cs="宋体"/>
          <w:b w:val="0"/>
          <w:i w:val="0"/>
          <w:caps w:val="0"/>
          <w:color w:val="auto"/>
          <w:spacing w:val="8"/>
          <w:sz w:val="24"/>
          <w:szCs w:val="24"/>
          <w:shd w:val="clear" w:fill="FFFFFF"/>
          <w:lang w:eastAsia="zh-CN"/>
        </w:rPr>
      </w:pPr>
      <w:r>
        <w:rPr>
          <w:rFonts w:hint="eastAsia" w:ascii="宋体" w:hAnsi="宋体" w:eastAsia="宋体" w:cs="宋体"/>
          <w:b w:val="0"/>
          <w:i w:val="0"/>
          <w:caps w:val="0"/>
          <w:color w:val="auto"/>
          <w:spacing w:val="8"/>
          <w:sz w:val="24"/>
          <w:szCs w:val="24"/>
          <w:shd w:val="clear" w:fill="FFFFFF"/>
        </w:rPr>
        <w:t>3.本项目的特定资格要求</w:t>
      </w:r>
      <w:r>
        <w:rPr>
          <w:rFonts w:hint="eastAsia" w:ascii="宋体" w:hAnsi="宋体" w:eastAsia="宋体" w:cs="宋体"/>
          <w:b w:val="0"/>
          <w:i w:val="0"/>
          <w:caps w:val="0"/>
          <w:color w:val="auto"/>
          <w:spacing w:val="8"/>
          <w:sz w:val="24"/>
          <w:szCs w:val="24"/>
          <w:shd w:val="clear" w:fill="FFFFFF"/>
          <w:lang w:eastAsia="zh-CN"/>
        </w:rPr>
        <w:t>:</w:t>
      </w:r>
    </w:p>
    <w:p w14:paraId="0329763E">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55"/>
        <w:jc w:val="both"/>
        <w:textAlignment w:val="auto"/>
        <w:rPr>
          <w:rStyle w:val="49"/>
          <w:rFonts w:hint="eastAsia" w:ascii="宋体" w:hAnsi="宋体" w:eastAsia="宋体" w:cs="宋体"/>
          <w:b w:val="0"/>
          <w:i w:val="0"/>
          <w:iCs/>
          <w:caps w:val="0"/>
          <w:color w:val="auto"/>
          <w:spacing w:val="8"/>
          <w:sz w:val="24"/>
          <w:szCs w:val="24"/>
          <w:u w:val="single"/>
          <w:shd w:val="clear" w:fill="FFFFFF"/>
          <w:lang w:eastAsia="zh-CN"/>
        </w:rPr>
      </w:pPr>
      <w:r>
        <w:rPr>
          <w:rStyle w:val="49"/>
          <w:rFonts w:hint="eastAsia" w:ascii="宋体" w:hAnsi="宋体" w:eastAsia="宋体" w:cs="宋体"/>
          <w:b w:val="0"/>
          <w:i w:val="0"/>
          <w:iCs/>
          <w:caps w:val="0"/>
          <w:color w:val="auto"/>
          <w:spacing w:val="8"/>
          <w:sz w:val="24"/>
          <w:szCs w:val="24"/>
          <w:u w:val="single"/>
          <w:shd w:val="clear" w:fill="FFFFFF"/>
          <w:lang w:eastAsia="zh-CN"/>
        </w:rPr>
        <w:t>(</w:t>
      </w:r>
      <w:r>
        <w:rPr>
          <w:rStyle w:val="49"/>
          <w:rFonts w:hint="eastAsia" w:ascii="宋体" w:hAnsi="宋体" w:eastAsia="宋体" w:cs="宋体"/>
          <w:b w:val="0"/>
          <w:i w:val="0"/>
          <w:iCs/>
          <w:caps w:val="0"/>
          <w:color w:val="auto"/>
          <w:spacing w:val="8"/>
          <w:sz w:val="24"/>
          <w:szCs w:val="24"/>
          <w:u w:val="single"/>
          <w:shd w:val="clear" w:fill="FFFFFF"/>
        </w:rPr>
        <w:t>1</w:t>
      </w:r>
      <w:r>
        <w:rPr>
          <w:rStyle w:val="49"/>
          <w:rFonts w:hint="eastAsia" w:ascii="宋体" w:hAnsi="宋体" w:eastAsia="宋体" w:cs="宋体"/>
          <w:b w:val="0"/>
          <w:i w:val="0"/>
          <w:iCs/>
          <w:caps w:val="0"/>
          <w:color w:val="auto"/>
          <w:spacing w:val="8"/>
          <w:sz w:val="24"/>
          <w:szCs w:val="24"/>
          <w:u w:val="single"/>
          <w:shd w:val="clear" w:fill="FFFFFF"/>
          <w:lang w:eastAsia="zh-CN"/>
        </w:rPr>
        <w:t>)</w:t>
      </w:r>
      <w:r>
        <w:rPr>
          <w:rStyle w:val="49"/>
          <w:rFonts w:hint="eastAsia" w:ascii="宋体" w:hAnsi="宋体" w:eastAsia="宋体" w:cs="宋体"/>
          <w:b w:val="0"/>
          <w:i w:val="0"/>
          <w:iCs/>
          <w:caps w:val="0"/>
          <w:color w:val="auto"/>
          <w:spacing w:val="8"/>
          <w:sz w:val="24"/>
          <w:szCs w:val="24"/>
          <w:u w:val="single"/>
          <w:shd w:val="clear" w:fill="FFFFFF"/>
        </w:rPr>
        <w:t>未被“信用中国”网站(www.creditchina.gov.cn)中列入失信被执行人</w:t>
      </w:r>
      <w:r>
        <w:rPr>
          <w:rStyle w:val="49"/>
          <w:rFonts w:hint="eastAsia" w:ascii="宋体" w:hAnsi="宋体" w:eastAsia="宋体" w:cs="宋体"/>
          <w:b w:val="0"/>
          <w:i w:val="0"/>
          <w:iCs/>
          <w:caps w:val="0"/>
          <w:color w:val="auto"/>
          <w:spacing w:val="8"/>
          <w:sz w:val="24"/>
          <w:szCs w:val="24"/>
          <w:u w:val="single"/>
          <w:shd w:val="clear" w:fill="FFFFFF"/>
          <w:lang w:eastAsia="zh-CN"/>
        </w:rPr>
        <w:t>、</w:t>
      </w:r>
      <w:r>
        <w:rPr>
          <w:rStyle w:val="49"/>
          <w:rFonts w:hint="eastAsia" w:ascii="宋体" w:hAnsi="宋体" w:eastAsia="宋体" w:cs="宋体"/>
          <w:b w:val="0"/>
          <w:i w:val="0"/>
          <w:iCs/>
          <w:caps w:val="0"/>
          <w:color w:val="auto"/>
          <w:spacing w:val="8"/>
          <w:sz w:val="24"/>
          <w:szCs w:val="24"/>
          <w:u w:val="single"/>
          <w:shd w:val="clear" w:fill="FFFFFF"/>
        </w:rPr>
        <w:t>重大税收违法</w:t>
      </w:r>
      <w:r>
        <w:rPr>
          <w:rStyle w:val="49"/>
          <w:rFonts w:hint="eastAsia" w:ascii="宋体" w:hAnsi="宋体" w:cs="宋体"/>
          <w:b w:val="0"/>
          <w:i w:val="0"/>
          <w:iCs/>
          <w:caps w:val="0"/>
          <w:color w:val="auto"/>
          <w:spacing w:val="8"/>
          <w:sz w:val="24"/>
          <w:szCs w:val="24"/>
          <w:u w:val="single"/>
          <w:shd w:val="clear" w:fill="FFFFFF"/>
          <w:lang w:val="en-US" w:eastAsia="zh-CN"/>
        </w:rPr>
        <w:t>失信主体名单</w:t>
      </w:r>
      <w:r>
        <w:rPr>
          <w:rStyle w:val="49"/>
          <w:rFonts w:hint="eastAsia" w:ascii="宋体" w:hAnsi="宋体" w:eastAsia="宋体" w:cs="宋体"/>
          <w:b w:val="0"/>
          <w:i w:val="0"/>
          <w:iCs/>
          <w:caps w:val="0"/>
          <w:color w:val="auto"/>
          <w:spacing w:val="8"/>
          <w:sz w:val="24"/>
          <w:szCs w:val="24"/>
          <w:u w:val="single"/>
          <w:shd w:val="clear" w:fill="FFFFFF"/>
        </w:rPr>
        <w:t>的供应商、未被中国政府采购网(www.ccgp.gov.cn)列入政府采购严重违法失信行为记录名单中被财政部门禁止参加政府采购活动的供应商</w:t>
      </w:r>
      <w:r>
        <w:rPr>
          <w:rStyle w:val="49"/>
          <w:rFonts w:hint="eastAsia" w:ascii="宋体" w:hAnsi="宋体" w:cs="宋体"/>
          <w:b w:val="0"/>
          <w:i w:val="0"/>
          <w:iCs/>
          <w:caps w:val="0"/>
          <w:color w:val="auto"/>
          <w:spacing w:val="8"/>
          <w:sz w:val="24"/>
          <w:szCs w:val="24"/>
          <w:u w:val="single"/>
          <w:shd w:val="clear" w:fill="FFFFFF"/>
          <w:lang w:eastAsia="zh-CN"/>
        </w:rPr>
        <w:t>。</w:t>
      </w:r>
    </w:p>
    <w:p w14:paraId="7719E651">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55"/>
        <w:jc w:val="both"/>
        <w:textAlignment w:val="auto"/>
        <w:rPr>
          <w:rStyle w:val="49"/>
          <w:rFonts w:hint="eastAsia" w:ascii="宋体" w:hAnsi="宋体" w:eastAsia="宋体" w:cs="宋体"/>
          <w:b w:val="0"/>
          <w:i w:val="0"/>
          <w:iCs/>
          <w:caps w:val="0"/>
          <w:color w:val="auto"/>
          <w:spacing w:val="8"/>
          <w:sz w:val="24"/>
          <w:szCs w:val="24"/>
          <w:u w:val="single"/>
          <w:shd w:val="clear" w:fill="FFFFFF"/>
          <w:lang w:eastAsia="zh-CN"/>
        </w:rPr>
      </w:pPr>
      <w:r>
        <w:rPr>
          <w:rStyle w:val="49"/>
          <w:rFonts w:hint="eastAsia" w:ascii="宋体" w:hAnsi="宋体" w:eastAsia="宋体" w:cs="宋体"/>
          <w:b w:val="0"/>
          <w:i w:val="0"/>
          <w:iCs/>
          <w:caps w:val="0"/>
          <w:color w:val="auto"/>
          <w:spacing w:val="8"/>
          <w:sz w:val="24"/>
          <w:szCs w:val="24"/>
          <w:u w:val="single"/>
          <w:shd w:val="clear" w:fill="FFFFFF"/>
          <w:lang w:eastAsia="zh-CN"/>
        </w:rPr>
        <w:t>(</w:t>
      </w:r>
      <w:r>
        <w:rPr>
          <w:rStyle w:val="49"/>
          <w:rFonts w:hint="eastAsia" w:ascii="宋体" w:hAnsi="宋体" w:eastAsia="宋体" w:cs="宋体"/>
          <w:b w:val="0"/>
          <w:i w:val="0"/>
          <w:iCs/>
          <w:caps w:val="0"/>
          <w:color w:val="auto"/>
          <w:spacing w:val="8"/>
          <w:sz w:val="24"/>
          <w:szCs w:val="24"/>
          <w:u w:val="single"/>
          <w:shd w:val="clear" w:fill="FFFFFF"/>
        </w:rPr>
        <w:t>2</w:t>
      </w:r>
      <w:r>
        <w:rPr>
          <w:rStyle w:val="49"/>
          <w:rFonts w:hint="eastAsia" w:ascii="宋体" w:hAnsi="宋体" w:eastAsia="宋体" w:cs="宋体"/>
          <w:b w:val="0"/>
          <w:i w:val="0"/>
          <w:iCs/>
          <w:caps w:val="0"/>
          <w:color w:val="auto"/>
          <w:spacing w:val="8"/>
          <w:sz w:val="24"/>
          <w:szCs w:val="24"/>
          <w:u w:val="single"/>
          <w:shd w:val="clear" w:fill="FFFFFF"/>
          <w:lang w:eastAsia="zh-CN"/>
        </w:rPr>
        <w:t>)</w:t>
      </w:r>
      <w:r>
        <w:rPr>
          <w:rStyle w:val="49"/>
          <w:rFonts w:hint="eastAsia" w:ascii="宋体" w:hAnsi="宋体" w:eastAsia="宋体" w:cs="宋体"/>
          <w:b w:val="0"/>
          <w:i w:val="0"/>
          <w:iCs/>
          <w:caps w:val="0"/>
          <w:color w:val="auto"/>
          <w:spacing w:val="8"/>
          <w:sz w:val="24"/>
          <w:szCs w:val="24"/>
          <w:u w:val="single"/>
          <w:shd w:val="clear" w:fill="FFFFFF"/>
        </w:rPr>
        <w:t>单位负责人为同一人或者存在直接控股、管理关系的不同供应商，不得参加同一合同项下的政府采购活动</w:t>
      </w:r>
      <w:r>
        <w:rPr>
          <w:rStyle w:val="49"/>
          <w:rFonts w:hint="eastAsia" w:ascii="宋体" w:hAnsi="宋体" w:eastAsia="宋体" w:cs="宋体"/>
          <w:b w:val="0"/>
          <w:i w:val="0"/>
          <w:iCs/>
          <w:caps w:val="0"/>
          <w:color w:val="auto"/>
          <w:spacing w:val="8"/>
          <w:sz w:val="24"/>
          <w:szCs w:val="24"/>
          <w:u w:val="single"/>
          <w:shd w:val="clear" w:fill="FFFFFF"/>
          <w:lang w:eastAsia="zh-CN"/>
        </w:rPr>
        <w:t>。</w:t>
      </w:r>
    </w:p>
    <w:p w14:paraId="1DBE56E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auto"/>
          <w:sz w:val="24"/>
          <w:szCs w:val="24"/>
        </w:rPr>
      </w:pPr>
      <w:bookmarkStart w:id="9" w:name="_Toc28789"/>
      <w:bookmarkStart w:id="10" w:name="_Toc15853"/>
      <w:bookmarkStart w:id="11" w:name="_Toc15565"/>
      <w:r>
        <w:rPr>
          <w:rFonts w:hint="eastAsia" w:ascii="宋体" w:hAnsi="宋体" w:eastAsia="宋体" w:cs="宋体"/>
          <w:b w:val="0"/>
          <w:i w:val="0"/>
          <w:caps w:val="0"/>
          <w:color w:val="auto"/>
          <w:spacing w:val="8"/>
          <w:sz w:val="24"/>
          <w:szCs w:val="24"/>
          <w:shd w:val="clear" w:fill="FFFFFF"/>
        </w:rPr>
        <w:t>三、获取招标文件</w:t>
      </w:r>
      <w:bookmarkEnd w:id="9"/>
      <w:bookmarkEnd w:id="10"/>
      <w:bookmarkEnd w:id="11"/>
    </w:p>
    <w:p w14:paraId="673FA0B6">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40"/>
        <w:jc w:val="both"/>
        <w:textAlignment w:val="auto"/>
        <w:rPr>
          <w:rFonts w:hint="eastAsia" w:ascii="宋体" w:hAnsi="宋体" w:eastAsia="宋体" w:cs="宋体"/>
          <w:b w:val="0"/>
          <w:i w:val="0"/>
          <w:caps w:val="0"/>
          <w:color w:val="auto"/>
          <w:spacing w:val="8"/>
          <w:sz w:val="24"/>
          <w:szCs w:val="24"/>
          <w:shd w:val="clear" w:fill="FFFFFF"/>
          <w:lang w:eastAsia="zh-CN"/>
        </w:rPr>
      </w:pPr>
      <w:r>
        <w:rPr>
          <w:rFonts w:hint="eastAsia" w:ascii="宋体" w:hAnsi="宋体" w:eastAsia="宋体" w:cs="宋体"/>
          <w:b w:val="0"/>
          <w:i w:val="0"/>
          <w:caps w:val="0"/>
          <w:color w:val="auto"/>
          <w:spacing w:val="8"/>
          <w:sz w:val="24"/>
          <w:szCs w:val="24"/>
          <w:shd w:val="clear" w:fill="FFFFFF"/>
        </w:rPr>
        <w:t>时间</w:t>
      </w:r>
      <w:r>
        <w:rPr>
          <w:rFonts w:hint="eastAsia" w:ascii="宋体" w:hAnsi="宋体" w:cs="宋体"/>
          <w:b w:val="0"/>
          <w:i w:val="0"/>
          <w:caps w:val="0"/>
          <w:color w:val="auto"/>
          <w:spacing w:val="8"/>
          <w:sz w:val="24"/>
          <w:szCs w:val="24"/>
          <w:shd w:val="clear" w:fill="FFFFFF"/>
          <w:lang w:eastAsia="zh-CN"/>
        </w:rPr>
        <w:t>：</w:t>
      </w:r>
      <w:r>
        <w:rPr>
          <w:rFonts w:hint="eastAsia" w:ascii="宋体" w:hAnsi="宋体" w:eastAsia="宋体" w:cs="宋体"/>
          <w:b w:val="0"/>
          <w:i w:val="0"/>
          <w:caps w:val="0"/>
          <w:color w:val="auto"/>
          <w:spacing w:val="8"/>
          <w:sz w:val="24"/>
          <w:szCs w:val="24"/>
          <w:u w:val="none"/>
          <w:shd w:val="clear" w:fill="FFFFFF"/>
        </w:rPr>
        <w:t>20</w:t>
      </w:r>
      <w:r>
        <w:rPr>
          <w:rFonts w:hint="eastAsia" w:ascii="宋体" w:hAnsi="宋体" w:eastAsia="宋体" w:cs="宋体"/>
          <w:b w:val="0"/>
          <w:i w:val="0"/>
          <w:caps w:val="0"/>
          <w:color w:val="auto"/>
          <w:spacing w:val="8"/>
          <w:sz w:val="24"/>
          <w:szCs w:val="24"/>
          <w:u w:val="none"/>
          <w:shd w:val="clear" w:fill="FFFFFF"/>
          <w:lang w:val="en-US" w:eastAsia="zh-CN"/>
        </w:rPr>
        <w:t>2</w:t>
      </w:r>
      <w:r>
        <w:rPr>
          <w:rFonts w:hint="eastAsia" w:ascii="宋体" w:hAnsi="宋体" w:cs="宋体"/>
          <w:b w:val="0"/>
          <w:i w:val="0"/>
          <w:caps w:val="0"/>
          <w:color w:val="auto"/>
          <w:spacing w:val="8"/>
          <w:sz w:val="24"/>
          <w:szCs w:val="24"/>
          <w:u w:val="none"/>
          <w:shd w:val="clear" w:fill="FFFFFF"/>
          <w:lang w:val="en-US" w:eastAsia="zh-CN"/>
        </w:rPr>
        <w:t>6</w:t>
      </w:r>
      <w:r>
        <w:rPr>
          <w:rFonts w:hint="eastAsia" w:ascii="宋体" w:hAnsi="宋体" w:eastAsia="宋体" w:cs="宋体"/>
          <w:b w:val="0"/>
          <w:i w:val="0"/>
          <w:caps w:val="0"/>
          <w:color w:val="auto"/>
          <w:spacing w:val="8"/>
          <w:sz w:val="24"/>
          <w:szCs w:val="24"/>
          <w:u w:val="none"/>
          <w:shd w:val="clear" w:fill="FFFFFF"/>
        </w:rPr>
        <w:t>年</w:t>
      </w:r>
      <w:r>
        <w:rPr>
          <w:rFonts w:hint="eastAsia" w:ascii="宋体" w:hAnsi="宋体" w:cs="宋体"/>
          <w:b w:val="0"/>
          <w:i w:val="0"/>
          <w:caps w:val="0"/>
          <w:color w:val="auto"/>
          <w:spacing w:val="8"/>
          <w:sz w:val="24"/>
          <w:szCs w:val="24"/>
          <w:u w:val="none"/>
          <w:shd w:val="clear" w:fill="FFFFFF"/>
          <w:lang w:val="en-US" w:eastAsia="zh-CN"/>
        </w:rPr>
        <w:t>05</w:t>
      </w:r>
      <w:r>
        <w:rPr>
          <w:rFonts w:hint="eastAsia" w:ascii="宋体" w:hAnsi="宋体" w:eastAsia="宋体" w:cs="宋体"/>
          <w:b w:val="0"/>
          <w:i w:val="0"/>
          <w:caps w:val="0"/>
          <w:color w:val="auto"/>
          <w:spacing w:val="8"/>
          <w:sz w:val="24"/>
          <w:szCs w:val="24"/>
          <w:u w:val="none"/>
          <w:shd w:val="clear" w:fill="FFFFFF"/>
        </w:rPr>
        <w:t>月</w:t>
      </w:r>
      <w:r>
        <w:rPr>
          <w:rFonts w:hint="eastAsia" w:ascii="宋体" w:hAnsi="宋体" w:cs="宋体"/>
          <w:b w:val="0"/>
          <w:i w:val="0"/>
          <w:caps w:val="0"/>
          <w:color w:val="auto"/>
          <w:spacing w:val="8"/>
          <w:sz w:val="24"/>
          <w:szCs w:val="24"/>
          <w:u w:val="none"/>
          <w:shd w:val="clear" w:fill="FFFFFF"/>
          <w:lang w:val="en-US" w:eastAsia="zh-CN"/>
        </w:rPr>
        <w:t>26</w:t>
      </w:r>
      <w:r>
        <w:rPr>
          <w:rFonts w:hint="eastAsia" w:ascii="宋体" w:hAnsi="宋体" w:eastAsia="宋体" w:cs="宋体"/>
          <w:b w:val="0"/>
          <w:i w:val="0"/>
          <w:caps w:val="0"/>
          <w:color w:val="auto"/>
          <w:spacing w:val="8"/>
          <w:sz w:val="24"/>
          <w:szCs w:val="24"/>
          <w:u w:val="none"/>
          <w:shd w:val="clear" w:fill="FFFFFF"/>
        </w:rPr>
        <w:t>日至20</w:t>
      </w:r>
      <w:r>
        <w:rPr>
          <w:rFonts w:hint="eastAsia" w:ascii="宋体" w:hAnsi="宋体" w:eastAsia="宋体" w:cs="宋体"/>
          <w:b w:val="0"/>
          <w:i w:val="0"/>
          <w:caps w:val="0"/>
          <w:color w:val="auto"/>
          <w:spacing w:val="8"/>
          <w:sz w:val="24"/>
          <w:szCs w:val="24"/>
          <w:u w:val="none"/>
          <w:shd w:val="clear" w:fill="FFFFFF"/>
          <w:lang w:val="en-US" w:eastAsia="zh-CN"/>
        </w:rPr>
        <w:t>2</w:t>
      </w:r>
      <w:r>
        <w:rPr>
          <w:rFonts w:hint="eastAsia" w:ascii="宋体" w:hAnsi="宋体" w:cs="宋体"/>
          <w:b w:val="0"/>
          <w:i w:val="0"/>
          <w:caps w:val="0"/>
          <w:color w:val="auto"/>
          <w:spacing w:val="8"/>
          <w:sz w:val="24"/>
          <w:szCs w:val="24"/>
          <w:u w:val="none"/>
          <w:shd w:val="clear" w:fill="FFFFFF"/>
          <w:lang w:val="en-US" w:eastAsia="zh-CN"/>
        </w:rPr>
        <w:t>6</w:t>
      </w:r>
      <w:r>
        <w:rPr>
          <w:rFonts w:hint="eastAsia" w:ascii="宋体" w:hAnsi="宋体" w:eastAsia="宋体" w:cs="宋体"/>
          <w:b w:val="0"/>
          <w:i w:val="0"/>
          <w:caps w:val="0"/>
          <w:color w:val="auto"/>
          <w:spacing w:val="8"/>
          <w:sz w:val="24"/>
          <w:szCs w:val="24"/>
          <w:u w:val="none"/>
          <w:shd w:val="clear" w:fill="FFFFFF"/>
        </w:rPr>
        <w:t>年</w:t>
      </w:r>
      <w:r>
        <w:rPr>
          <w:rFonts w:hint="eastAsia" w:ascii="宋体" w:hAnsi="宋体" w:cs="宋体"/>
          <w:b w:val="0"/>
          <w:i w:val="0"/>
          <w:caps w:val="0"/>
          <w:color w:val="auto"/>
          <w:spacing w:val="8"/>
          <w:sz w:val="24"/>
          <w:szCs w:val="24"/>
          <w:u w:val="none"/>
          <w:shd w:val="clear" w:fill="FFFFFF"/>
          <w:lang w:val="en-US" w:eastAsia="zh-CN"/>
        </w:rPr>
        <w:t>06</w:t>
      </w:r>
      <w:r>
        <w:rPr>
          <w:rFonts w:hint="eastAsia" w:ascii="宋体" w:hAnsi="宋体" w:eastAsia="宋体" w:cs="宋体"/>
          <w:b w:val="0"/>
          <w:i w:val="0"/>
          <w:caps w:val="0"/>
          <w:color w:val="auto"/>
          <w:spacing w:val="8"/>
          <w:sz w:val="24"/>
          <w:szCs w:val="24"/>
          <w:u w:val="none"/>
          <w:shd w:val="clear" w:fill="FFFFFF"/>
        </w:rPr>
        <w:t>月</w:t>
      </w:r>
      <w:r>
        <w:rPr>
          <w:rFonts w:hint="eastAsia" w:ascii="宋体" w:hAnsi="宋体" w:cs="宋体"/>
          <w:b w:val="0"/>
          <w:i w:val="0"/>
          <w:caps w:val="0"/>
          <w:color w:val="auto"/>
          <w:spacing w:val="8"/>
          <w:sz w:val="24"/>
          <w:szCs w:val="24"/>
          <w:u w:val="none"/>
          <w:shd w:val="clear" w:fill="FFFFFF"/>
          <w:lang w:val="en-US" w:eastAsia="zh-CN"/>
        </w:rPr>
        <w:t>05</w:t>
      </w:r>
      <w:r>
        <w:rPr>
          <w:rFonts w:hint="eastAsia" w:ascii="宋体" w:hAnsi="宋体" w:eastAsia="宋体" w:cs="宋体"/>
          <w:b w:val="0"/>
          <w:i w:val="0"/>
          <w:caps w:val="0"/>
          <w:color w:val="auto"/>
          <w:spacing w:val="8"/>
          <w:sz w:val="24"/>
          <w:szCs w:val="24"/>
          <w:u w:val="none"/>
          <w:shd w:val="clear" w:fill="FFFFFF"/>
        </w:rPr>
        <w:t>日，每天上午00</w:t>
      </w:r>
      <w:r>
        <w:rPr>
          <w:rFonts w:hint="eastAsia" w:ascii="宋体" w:hAnsi="宋体" w:eastAsia="宋体" w:cs="宋体"/>
          <w:b w:val="0"/>
          <w:i w:val="0"/>
          <w:caps w:val="0"/>
          <w:color w:val="auto"/>
          <w:spacing w:val="8"/>
          <w:sz w:val="24"/>
          <w:szCs w:val="24"/>
          <w:u w:val="none"/>
          <w:shd w:val="clear" w:fill="FFFFFF"/>
          <w:lang w:eastAsia="zh-CN"/>
        </w:rPr>
        <w:t>:</w:t>
      </w:r>
      <w:r>
        <w:rPr>
          <w:rFonts w:hint="eastAsia" w:ascii="宋体" w:hAnsi="宋体" w:eastAsia="宋体" w:cs="宋体"/>
          <w:b w:val="0"/>
          <w:i w:val="0"/>
          <w:caps w:val="0"/>
          <w:color w:val="auto"/>
          <w:spacing w:val="8"/>
          <w:sz w:val="24"/>
          <w:szCs w:val="24"/>
          <w:u w:val="none"/>
          <w:shd w:val="clear" w:fill="FFFFFF"/>
        </w:rPr>
        <w:t>00至</w:t>
      </w:r>
      <w:r>
        <w:rPr>
          <w:rFonts w:hint="eastAsia" w:ascii="宋体" w:hAnsi="宋体" w:cs="宋体"/>
          <w:b w:val="0"/>
          <w:i w:val="0"/>
          <w:caps w:val="0"/>
          <w:color w:val="auto"/>
          <w:spacing w:val="8"/>
          <w:sz w:val="24"/>
          <w:szCs w:val="24"/>
          <w:u w:val="none"/>
          <w:shd w:val="clear" w:fill="FFFFFF"/>
          <w:lang w:val="en-US" w:eastAsia="zh-CN"/>
        </w:rPr>
        <w:t>14</w:t>
      </w:r>
      <w:r>
        <w:rPr>
          <w:rFonts w:hint="eastAsia" w:ascii="宋体" w:hAnsi="宋体" w:eastAsia="宋体" w:cs="宋体"/>
          <w:b w:val="0"/>
          <w:i w:val="0"/>
          <w:caps w:val="0"/>
          <w:color w:val="auto"/>
          <w:spacing w:val="8"/>
          <w:sz w:val="24"/>
          <w:szCs w:val="24"/>
          <w:u w:val="none"/>
          <w:shd w:val="clear" w:fill="FFFFFF"/>
          <w:lang w:eastAsia="zh-CN"/>
        </w:rPr>
        <w:t>:</w:t>
      </w:r>
      <w:r>
        <w:rPr>
          <w:rFonts w:hint="eastAsia" w:ascii="宋体" w:hAnsi="宋体" w:eastAsia="宋体" w:cs="宋体"/>
          <w:b w:val="0"/>
          <w:i w:val="0"/>
          <w:caps w:val="0"/>
          <w:color w:val="auto"/>
          <w:spacing w:val="8"/>
          <w:sz w:val="24"/>
          <w:szCs w:val="24"/>
          <w:u w:val="none"/>
          <w:shd w:val="clear" w:fill="FFFFFF"/>
        </w:rPr>
        <w:t>00，下午</w:t>
      </w:r>
      <w:r>
        <w:rPr>
          <w:rFonts w:hint="eastAsia" w:ascii="宋体" w:hAnsi="宋体" w:cs="宋体"/>
          <w:b w:val="0"/>
          <w:i w:val="0"/>
          <w:caps w:val="0"/>
          <w:color w:val="auto"/>
          <w:spacing w:val="8"/>
          <w:sz w:val="24"/>
          <w:szCs w:val="24"/>
          <w:u w:val="none"/>
          <w:shd w:val="clear" w:fill="FFFFFF"/>
          <w:lang w:val="en-US" w:eastAsia="zh-CN"/>
        </w:rPr>
        <w:t>14</w:t>
      </w:r>
      <w:r>
        <w:rPr>
          <w:rFonts w:hint="eastAsia" w:ascii="宋体" w:hAnsi="宋体" w:eastAsia="宋体" w:cs="宋体"/>
          <w:b w:val="0"/>
          <w:i w:val="0"/>
          <w:caps w:val="0"/>
          <w:color w:val="auto"/>
          <w:spacing w:val="8"/>
          <w:sz w:val="24"/>
          <w:szCs w:val="24"/>
          <w:u w:val="none"/>
          <w:shd w:val="clear" w:fill="FFFFFF"/>
          <w:lang w:eastAsia="zh-CN"/>
        </w:rPr>
        <w:t>:</w:t>
      </w:r>
      <w:r>
        <w:rPr>
          <w:rFonts w:hint="eastAsia" w:ascii="宋体" w:hAnsi="宋体" w:eastAsia="宋体" w:cs="宋体"/>
          <w:b w:val="0"/>
          <w:i w:val="0"/>
          <w:caps w:val="0"/>
          <w:color w:val="auto"/>
          <w:spacing w:val="8"/>
          <w:sz w:val="24"/>
          <w:szCs w:val="24"/>
          <w:u w:val="none"/>
          <w:shd w:val="clear" w:fill="FFFFFF"/>
        </w:rPr>
        <w:t>00至23</w:t>
      </w:r>
      <w:r>
        <w:rPr>
          <w:rFonts w:hint="eastAsia" w:ascii="宋体" w:hAnsi="宋体" w:eastAsia="宋体" w:cs="宋体"/>
          <w:b w:val="0"/>
          <w:i w:val="0"/>
          <w:caps w:val="0"/>
          <w:color w:val="auto"/>
          <w:spacing w:val="8"/>
          <w:sz w:val="24"/>
          <w:szCs w:val="24"/>
          <w:u w:val="none"/>
          <w:shd w:val="clear" w:fill="FFFFFF"/>
          <w:lang w:eastAsia="zh-CN"/>
        </w:rPr>
        <w:t>:</w:t>
      </w:r>
      <w:r>
        <w:rPr>
          <w:rFonts w:hint="eastAsia" w:ascii="宋体" w:hAnsi="宋体" w:eastAsia="宋体" w:cs="宋体"/>
          <w:b w:val="0"/>
          <w:i w:val="0"/>
          <w:caps w:val="0"/>
          <w:color w:val="auto"/>
          <w:spacing w:val="8"/>
          <w:sz w:val="24"/>
          <w:szCs w:val="24"/>
          <w:u w:val="none"/>
          <w:shd w:val="clear" w:fill="FFFFFF"/>
        </w:rPr>
        <w:t>59</w:t>
      </w:r>
      <w:r>
        <w:rPr>
          <w:rFonts w:hint="eastAsia" w:ascii="宋体" w:hAnsi="宋体" w:eastAsia="宋体" w:cs="宋体"/>
          <w:b w:val="0"/>
          <w:i w:val="0"/>
          <w:caps w:val="0"/>
          <w:color w:val="auto"/>
          <w:spacing w:val="8"/>
          <w:sz w:val="24"/>
          <w:szCs w:val="24"/>
          <w:shd w:val="clear" w:fill="FFFFFF"/>
          <w:lang w:eastAsia="zh-CN"/>
        </w:rPr>
        <w:t>(</w:t>
      </w:r>
      <w:r>
        <w:rPr>
          <w:rFonts w:hint="eastAsia" w:ascii="宋体" w:hAnsi="宋体" w:eastAsia="宋体" w:cs="宋体"/>
          <w:b w:val="0"/>
          <w:i w:val="0"/>
          <w:caps w:val="0"/>
          <w:color w:val="auto"/>
          <w:spacing w:val="8"/>
          <w:sz w:val="24"/>
          <w:szCs w:val="24"/>
          <w:shd w:val="clear" w:fill="FFFFFF"/>
        </w:rPr>
        <w:t>北京时间，法定节假日除外</w:t>
      </w:r>
      <w:r>
        <w:rPr>
          <w:rFonts w:hint="eastAsia" w:ascii="宋体" w:hAnsi="宋体" w:eastAsia="宋体" w:cs="宋体"/>
          <w:b w:val="0"/>
          <w:i w:val="0"/>
          <w:caps w:val="0"/>
          <w:color w:val="auto"/>
          <w:spacing w:val="8"/>
          <w:sz w:val="24"/>
          <w:szCs w:val="24"/>
          <w:shd w:val="clear" w:fill="FFFFFF"/>
          <w:lang w:eastAsia="zh-CN"/>
        </w:rPr>
        <w:t>)</w:t>
      </w:r>
    </w:p>
    <w:p w14:paraId="1F895168">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40"/>
        <w:jc w:val="both"/>
        <w:textAlignment w:val="auto"/>
        <w:rPr>
          <w:rFonts w:hint="eastAsia" w:ascii="宋体" w:hAnsi="宋体" w:eastAsia="宋体" w:cs="宋体"/>
          <w:b w:val="0"/>
          <w:i w:val="0"/>
          <w:caps w:val="0"/>
          <w:color w:val="auto"/>
          <w:spacing w:val="8"/>
          <w:sz w:val="24"/>
          <w:szCs w:val="24"/>
          <w:shd w:val="clear" w:fill="FFFFFF"/>
          <w:lang w:val="en-US" w:eastAsia="zh-CN"/>
        </w:rPr>
      </w:pPr>
      <w:r>
        <w:rPr>
          <w:rFonts w:hint="eastAsia" w:ascii="宋体" w:hAnsi="宋体" w:eastAsia="宋体" w:cs="宋体"/>
          <w:b w:val="0"/>
          <w:i w:val="0"/>
          <w:caps w:val="0"/>
          <w:color w:val="auto"/>
          <w:spacing w:val="8"/>
          <w:sz w:val="24"/>
          <w:szCs w:val="24"/>
          <w:shd w:val="clear" w:fill="FFFFFF"/>
          <w:lang w:val="en-US" w:eastAsia="zh-CN"/>
        </w:rPr>
        <w:t>地点</w:t>
      </w:r>
      <w:r>
        <w:rPr>
          <w:rFonts w:hint="eastAsia" w:ascii="宋体" w:hAnsi="宋体" w:cs="宋体"/>
          <w:b w:val="0"/>
          <w:i w:val="0"/>
          <w:caps w:val="0"/>
          <w:color w:val="auto"/>
          <w:spacing w:val="8"/>
          <w:sz w:val="24"/>
          <w:szCs w:val="24"/>
          <w:shd w:val="clear" w:fill="FFFFFF"/>
          <w:lang w:val="en-US" w:eastAsia="zh-CN"/>
        </w:rPr>
        <w:t>：</w:t>
      </w:r>
      <w:r>
        <w:rPr>
          <w:rFonts w:hint="eastAsia" w:ascii="宋体" w:hAnsi="宋体" w:eastAsia="宋体" w:cs="宋体"/>
          <w:b w:val="0"/>
          <w:i w:val="0"/>
          <w:caps w:val="0"/>
          <w:color w:val="auto"/>
          <w:spacing w:val="8"/>
          <w:sz w:val="24"/>
          <w:szCs w:val="24"/>
          <w:shd w:val="clear" w:fill="FFFFFF"/>
          <w:lang w:val="en-US" w:eastAsia="zh-CN"/>
        </w:rPr>
        <w:t>政采云平台线上</w:t>
      </w:r>
    </w:p>
    <w:p w14:paraId="0F72DFE0">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40"/>
        <w:jc w:val="both"/>
        <w:textAlignment w:val="auto"/>
        <w:rPr>
          <w:rFonts w:hint="eastAsia" w:ascii="宋体" w:hAnsi="宋体" w:eastAsia="宋体" w:cs="宋体"/>
          <w:b w:val="0"/>
          <w:i w:val="0"/>
          <w:caps w:val="0"/>
          <w:color w:val="auto"/>
          <w:spacing w:val="8"/>
          <w:sz w:val="24"/>
          <w:szCs w:val="24"/>
          <w:shd w:val="clear" w:fill="FFFFFF"/>
          <w:lang w:val="en-US" w:eastAsia="zh-CN"/>
        </w:rPr>
      </w:pPr>
      <w:r>
        <w:rPr>
          <w:rFonts w:hint="eastAsia" w:ascii="宋体" w:hAnsi="宋体" w:eastAsia="宋体" w:cs="宋体"/>
          <w:b w:val="0"/>
          <w:i w:val="0"/>
          <w:caps w:val="0"/>
          <w:color w:val="auto"/>
          <w:spacing w:val="8"/>
          <w:sz w:val="24"/>
          <w:szCs w:val="24"/>
          <w:shd w:val="clear" w:fill="FFFFFF"/>
        </w:rPr>
        <w:t>方式</w:t>
      </w:r>
      <w:r>
        <w:rPr>
          <w:rFonts w:hint="eastAsia" w:ascii="宋体" w:hAnsi="宋体" w:cs="宋体"/>
          <w:b w:val="0"/>
          <w:i w:val="0"/>
          <w:caps w:val="0"/>
          <w:color w:val="auto"/>
          <w:spacing w:val="8"/>
          <w:sz w:val="24"/>
          <w:szCs w:val="24"/>
          <w:shd w:val="clear" w:fill="FFFFFF"/>
          <w:lang w:eastAsia="zh-CN"/>
        </w:rPr>
        <w:t>：</w:t>
      </w:r>
      <w:r>
        <w:rPr>
          <w:rFonts w:hint="eastAsia" w:ascii="宋体" w:hAnsi="宋体" w:eastAsia="宋体" w:cs="宋体"/>
          <w:b w:val="0"/>
          <w:i w:val="0"/>
          <w:caps w:val="0"/>
          <w:color w:val="auto"/>
          <w:spacing w:val="8"/>
          <w:sz w:val="24"/>
          <w:szCs w:val="24"/>
          <w:shd w:val="clear" w:fill="FFFFFF"/>
          <w:lang w:val="en-US" w:eastAsia="zh-CN"/>
        </w:rPr>
        <w:t>供应商登录政采云平台https://www.zcygov.cn/在线申请获取采购文件(进入“项目采购”应用，在获取采购文件菜单中选择项目，申请获取采购文件)，或者点击采购公告底部潜在供应商“获取采购文件”，页面跳转后登录，直接获取采购文件。</w:t>
      </w:r>
    </w:p>
    <w:p w14:paraId="00CC4FBB">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40"/>
        <w:jc w:val="both"/>
        <w:textAlignment w:val="auto"/>
        <w:rPr>
          <w:rFonts w:hint="eastAsia" w:ascii="宋体" w:hAnsi="宋体" w:eastAsia="宋体" w:cs="宋体"/>
          <w:color w:val="auto"/>
        </w:rPr>
      </w:pPr>
      <w:r>
        <w:rPr>
          <w:rFonts w:hint="eastAsia" w:ascii="宋体" w:hAnsi="宋体" w:eastAsia="宋体" w:cs="宋体"/>
          <w:b w:val="0"/>
          <w:i w:val="0"/>
          <w:caps w:val="0"/>
          <w:color w:val="auto"/>
          <w:spacing w:val="8"/>
          <w:sz w:val="24"/>
          <w:szCs w:val="24"/>
          <w:shd w:val="clear" w:fill="FFFFFF"/>
        </w:rPr>
        <w:t>售价</w:t>
      </w:r>
      <w:r>
        <w:rPr>
          <w:rFonts w:hint="eastAsia" w:ascii="宋体" w:hAnsi="宋体" w:eastAsia="宋体" w:cs="宋体"/>
          <w:b w:val="0"/>
          <w:i w:val="0"/>
          <w:caps w:val="0"/>
          <w:color w:val="auto"/>
          <w:spacing w:val="8"/>
          <w:sz w:val="24"/>
          <w:szCs w:val="24"/>
          <w:shd w:val="clear" w:fill="FFFFFF"/>
          <w:lang w:val="en-US" w:eastAsia="zh-CN"/>
        </w:rPr>
        <w:t>(元)</w:t>
      </w:r>
      <w:r>
        <w:rPr>
          <w:rFonts w:hint="eastAsia" w:ascii="宋体" w:hAnsi="宋体" w:cs="宋体"/>
          <w:b w:val="0"/>
          <w:i w:val="0"/>
          <w:caps w:val="0"/>
          <w:color w:val="auto"/>
          <w:spacing w:val="8"/>
          <w:sz w:val="24"/>
          <w:szCs w:val="24"/>
          <w:shd w:val="clear" w:fill="FFFFFF"/>
          <w:lang w:val="en-US" w:eastAsia="zh-CN"/>
        </w:rPr>
        <w:t>：</w:t>
      </w:r>
      <w:r>
        <w:rPr>
          <w:rFonts w:hint="eastAsia" w:ascii="宋体" w:hAnsi="宋体" w:eastAsia="宋体" w:cs="宋体"/>
          <w:b w:val="0"/>
          <w:i w:val="0"/>
          <w:caps w:val="0"/>
          <w:color w:val="auto"/>
          <w:spacing w:val="8"/>
          <w:sz w:val="24"/>
          <w:szCs w:val="24"/>
          <w:shd w:val="clear" w:fill="FFFFFF"/>
          <w:lang w:val="en-US" w:eastAsia="zh-CN"/>
        </w:rPr>
        <w:t>0</w:t>
      </w:r>
    </w:p>
    <w:p w14:paraId="64612E2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auto"/>
          <w:sz w:val="24"/>
          <w:szCs w:val="24"/>
        </w:rPr>
      </w:pPr>
      <w:bookmarkStart w:id="12" w:name="_Toc28201"/>
      <w:bookmarkStart w:id="13" w:name="_Toc31496"/>
      <w:bookmarkStart w:id="14" w:name="_Toc10041"/>
      <w:r>
        <w:rPr>
          <w:rFonts w:hint="eastAsia" w:ascii="宋体" w:hAnsi="宋体" w:eastAsia="宋体" w:cs="宋体"/>
          <w:b w:val="0"/>
          <w:i w:val="0"/>
          <w:caps w:val="0"/>
          <w:color w:val="auto"/>
          <w:spacing w:val="8"/>
          <w:sz w:val="24"/>
          <w:szCs w:val="24"/>
          <w:shd w:val="clear" w:fill="FFFFFF"/>
        </w:rPr>
        <w:t>四、提交投标文件截止时间、开标时间和地点</w:t>
      </w:r>
      <w:bookmarkEnd w:id="12"/>
      <w:bookmarkEnd w:id="13"/>
      <w:bookmarkEnd w:id="14"/>
    </w:p>
    <w:p w14:paraId="25E82403">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39"/>
        <w:jc w:val="both"/>
        <w:textAlignment w:val="auto"/>
        <w:rPr>
          <w:rFonts w:hint="eastAsia" w:ascii="宋体" w:hAnsi="宋体" w:eastAsia="宋体" w:cs="宋体"/>
          <w:b w:val="0"/>
          <w:i w:val="0"/>
          <w:caps w:val="0"/>
          <w:color w:val="auto"/>
          <w:spacing w:val="8"/>
          <w:sz w:val="24"/>
          <w:szCs w:val="24"/>
          <w:shd w:val="clear" w:fill="FFFFFF"/>
          <w:lang w:eastAsia="zh-CN"/>
        </w:rPr>
      </w:pPr>
      <w:r>
        <w:rPr>
          <w:rFonts w:hint="eastAsia" w:ascii="宋体" w:hAnsi="宋体" w:eastAsia="宋体" w:cs="宋体"/>
          <w:b w:val="0"/>
          <w:i w:val="0"/>
          <w:caps w:val="0"/>
          <w:color w:val="auto"/>
          <w:spacing w:val="8"/>
          <w:sz w:val="24"/>
          <w:szCs w:val="24"/>
          <w:shd w:val="clear" w:fill="FFFFFF"/>
          <w:lang w:val="en-US" w:eastAsia="zh-CN"/>
        </w:rPr>
        <w:t>提交投标文件截止时间：</w:t>
      </w:r>
      <w:r>
        <w:rPr>
          <w:rStyle w:val="49"/>
          <w:rFonts w:hint="eastAsia" w:ascii="宋体" w:hAnsi="宋体" w:eastAsia="宋体" w:cs="宋体"/>
          <w:b w:val="0"/>
          <w:i w:val="0"/>
          <w:iCs/>
          <w:caps w:val="0"/>
          <w:color w:val="auto"/>
          <w:spacing w:val="8"/>
          <w:sz w:val="24"/>
          <w:szCs w:val="24"/>
          <w:u w:val="none"/>
          <w:shd w:val="clear" w:fill="FFFFFF"/>
          <w:lang w:val="en-US" w:eastAsia="zh-CN"/>
        </w:rPr>
        <w:t>2026年</w:t>
      </w:r>
      <w:r>
        <w:rPr>
          <w:rStyle w:val="49"/>
          <w:rFonts w:hint="eastAsia" w:ascii="宋体" w:hAnsi="宋体" w:cs="宋体"/>
          <w:b w:val="0"/>
          <w:i w:val="0"/>
          <w:iCs/>
          <w:caps w:val="0"/>
          <w:color w:val="auto"/>
          <w:spacing w:val="8"/>
          <w:sz w:val="24"/>
          <w:szCs w:val="24"/>
          <w:u w:val="none"/>
          <w:shd w:val="clear" w:fill="FFFFFF"/>
          <w:lang w:val="en-US" w:eastAsia="zh-CN"/>
        </w:rPr>
        <w:t>06</w:t>
      </w:r>
      <w:r>
        <w:rPr>
          <w:rStyle w:val="49"/>
          <w:rFonts w:hint="eastAsia" w:ascii="宋体" w:hAnsi="宋体" w:eastAsia="宋体" w:cs="宋体"/>
          <w:b w:val="0"/>
          <w:i w:val="0"/>
          <w:iCs/>
          <w:caps w:val="0"/>
          <w:color w:val="auto"/>
          <w:spacing w:val="8"/>
          <w:sz w:val="24"/>
          <w:szCs w:val="24"/>
          <w:u w:val="none"/>
          <w:shd w:val="clear" w:fill="FFFFFF"/>
          <w:lang w:val="en-US" w:eastAsia="zh-CN"/>
        </w:rPr>
        <w:t>月</w:t>
      </w:r>
      <w:r>
        <w:rPr>
          <w:rStyle w:val="49"/>
          <w:rFonts w:hint="eastAsia" w:ascii="宋体" w:hAnsi="宋体" w:cs="宋体"/>
          <w:b w:val="0"/>
          <w:i w:val="0"/>
          <w:iCs/>
          <w:caps w:val="0"/>
          <w:color w:val="auto"/>
          <w:spacing w:val="8"/>
          <w:sz w:val="24"/>
          <w:szCs w:val="24"/>
          <w:u w:val="none"/>
          <w:shd w:val="clear" w:fill="FFFFFF"/>
          <w:lang w:val="en-US" w:eastAsia="zh-CN"/>
        </w:rPr>
        <w:t>22</w:t>
      </w:r>
      <w:r>
        <w:rPr>
          <w:rStyle w:val="49"/>
          <w:rFonts w:hint="eastAsia" w:ascii="宋体" w:hAnsi="宋体" w:eastAsia="宋体" w:cs="宋体"/>
          <w:b w:val="0"/>
          <w:i w:val="0"/>
          <w:iCs/>
          <w:caps w:val="0"/>
          <w:color w:val="auto"/>
          <w:spacing w:val="8"/>
          <w:sz w:val="24"/>
          <w:szCs w:val="24"/>
          <w:u w:val="none"/>
          <w:shd w:val="clear" w:fill="FFFFFF"/>
          <w:lang w:val="en-US" w:eastAsia="zh-CN"/>
        </w:rPr>
        <w:t>日10:30</w:t>
      </w:r>
      <w:r>
        <w:rPr>
          <w:rFonts w:hint="eastAsia" w:ascii="宋体" w:hAnsi="宋体" w:eastAsia="宋体" w:cs="宋体"/>
          <w:b w:val="0"/>
          <w:i w:val="0"/>
          <w:caps w:val="0"/>
          <w:color w:val="auto"/>
          <w:spacing w:val="8"/>
          <w:sz w:val="24"/>
          <w:szCs w:val="24"/>
          <w:shd w:val="clear" w:fill="FFFFFF"/>
          <w:lang w:val="en-US" w:eastAsia="zh-CN"/>
        </w:rPr>
        <w:t>(北京时间)</w:t>
      </w:r>
    </w:p>
    <w:p w14:paraId="67F63E7A">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39"/>
        <w:jc w:val="both"/>
        <w:textAlignment w:val="auto"/>
        <w:rPr>
          <w:rFonts w:hint="eastAsia" w:ascii="宋体" w:hAnsi="宋体" w:eastAsia="宋体" w:cs="宋体"/>
          <w:b w:val="0"/>
          <w:i w:val="0"/>
          <w:caps w:val="0"/>
          <w:color w:val="auto"/>
          <w:spacing w:val="8"/>
          <w:sz w:val="24"/>
          <w:szCs w:val="24"/>
          <w:shd w:val="clear" w:fill="FFFFFF"/>
        </w:rPr>
      </w:pPr>
      <w:bookmarkStart w:id="15" w:name="_Toc11567"/>
      <w:bookmarkStart w:id="16" w:name="_Toc30724"/>
      <w:r>
        <w:rPr>
          <w:rFonts w:hint="eastAsia" w:ascii="宋体" w:hAnsi="宋体" w:eastAsia="宋体" w:cs="宋体"/>
          <w:b w:val="0"/>
          <w:i w:val="0"/>
          <w:caps w:val="0"/>
          <w:color w:val="auto"/>
          <w:spacing w:val="8"/>
          <w:sz w:val="24"/>
          <w:szCs w:val="24"/>
          <w:shd w:val="clear" w:fill="FFFFFF"/>
        </w:rPr>
        <w:t>投标地点：请登录政采云投标客户端投标</w:t>
      </w:r>
    </w:p>
    <w:p w14:paraId="2B3BD2DD">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39"/>
        <w:jc w:val="both"/>
        <w:textAlignment w:val="auto"/>
        <w:rPr>
          <w:rFonts w:hint="eastAsia" w:ascii="宋体" w:hAnsi="宋体" w:eastAsia="宋体" w:cs="宋体"/>
          <w:b w:val="0"/>
          <w:i w:val="0"/>
          <w:caps w:val="0"/>
          <w:color w:val="auto"/>
          <w:spacing w:val="8"/>
          <w:sz w:val="24"/>
          <w:szCs w:val="24"/>
          <w:shd w:val="clear" w:fill="FFFFFF"/>
          <w:lang w:eastAsia="zh-CN"/>
        </w:rPr>
      </w:pPr>
      <w:r>
        <w:rPr>
          <w:rFonts w:hint="eastAsia" w:ascii="宋体" w:hAnsi="宋体" w:eastAsia="宋体" w:cs="宋体"/>
          <w:b w:val="0"/>
          <w:i w:val="0"/>
          <w:caps w:val="0"/>
          <w:color w:val="auto"/>
          <w:spacing w:val="8"/>
          <w:sz w:val="24"/>
          <w:szCs w:val="24"/>
          <w:shd w:val="clear" w:fill="FFFFFF"/>
        </w:rPr>
        <w:t>开标时间：</w:t>
      </w:r>
      <w:r>
        <w:rPr>
          <w:rStyle w:val="49"/>
          <w:rFonts w:hint="eastAsia" w:ascii="宋体" w:hAnsi="宋体" w:eastAsia="宋体" w:cs="宋体"/>
          <w:b w:val="0"/>
          <w:i w:val="0"/>
          <w:iCs/>
          <w:caps w:val="0"/>
          <w:color w:val="auto"/>
          <w:spacing w:val="8"/>
          <w:sz w:val="24"/>
          <w:szCs w:val="24"/>
          <w:u w:val="none"/>
          <w:shd w:val="clear" w:fill="FFFFFF"/>
          <w:lang w:val="en-US" w:eastAsia="zh-CN"/>
        </w:rPr>
        <w:t>2026年</w:t>
      </w:r>
      <w:r>
        <w:rPr>
          <w:rStyle w:val="49"/>
          <w:rFonts w:hint="eastAsia" w:ascii="宋体" w:hAnsi="宋体" w:cs="宋体"/>
          <w:b w:val="0"/>
          <w:i w:val="0"/>
          <w:iCs/>
          <w:caps w:val="0"/>
          <w:color w:val="auto"/>
          <w:spacing w:val="8"/>
          <w:sz w:val="24"/>
          <w:szCs w:val="24"/>
          <w:u w:val="none"/>
          <w:shd w:val="clear" w:fill="FFFFFF"/>
          <w:lang w:val="en-US" w:eastAsia="zh-CN"/>
        </w:rPr>
        <w:t>06</w:t>
      </w:r>
      <w:r>
        <w:rPr>
          <w:rStyle w:val="49"/>
          <w:rFonts w:hint="eastAsia" w:ascii="宋体" w:hAnsi="宋体" w:eastAsia="宋体" w:cs="宋体"/>
          <w:b w:val="0"/>
          <w:i w:val="0"/>
          <w:iCs/>
          <w:caps w:val="0"/>
          <w:color w:val="auto"/>
          <w:spacing w:val="8"/>
          <w:sz w:val="24"/>
          <w:szCs w:val="24"/>
          <w:u w:val="none"/>
          <w:shd w:val="clear" w:fill="FFFFFF"/>
          <w:lang w:val="en-US" w:eastAsia="zh-CN"/>
        </w:rPr>
        <w:t>月</w:t>
      </w:r>
      <w:r>
        <w:rPr>
          <w:rStyle w:val="49"/>
          <w:rFonts w:hint="eastAsia" w:ascii="宋体" w:hAnsi="宋体" w:cs="宋体"/>
          <w:b w:val="0"/>
          <w:i w:val="0"/>
          <w:iCs/>
          <w:caps w:val="0"/>
          <w:color w:val="auto"/>
          <w:spacing w:val="8"/>
          <w:sz w:val="24"/>
          <w:szCs w:val="24"/>
          <w:u w:val="none"/>
          <w:shd w:val="clear" w:fill="FFFFFF"/>
          <w:lang w:val="en-US" w:eastAsia="zh-CN"/>
        </w:rPr>
        <w:t>22</w:t>
      </w:r>
      <w:r>
        <w:rPr>
          <w:rStyle w:val="49"/>
          <w:rFonts w:hint="eastAsia" w:ascii="宋体" w:hAnsi="宋体" w:eastAsia="宋体" w:cs="宋体"/>
          <w:b w:val="0"/>
          <w:i w:val="0"/>
          <w:iCs/>
          <w:caps w:val="0"/>
          <w:color w:val="auto"/>
          <w:spacing w:val="8"/>
          <w:sz w:val="24"/>
          <w:szCs w:val="24"/>
          <w:u w:val="none"/>
          <w:shd w:val="clear" w:fill="FFFFFF"/>
          <w:lang w:val="en-US" w:eastAsia="zh-CN"/>
        </w:rPr>
        <w:t>日10:30</w:t>
      </w:r>
      <w:r>
        <w:rPr>
          <w:rFonts w:hint="eastAsia" w:ascii="宋体" w:hAnsi="宋体" w:eastAsia="宋体" w:cs="宋体"/>
          <w:b w:val="0"/>
          <w:i w:val="0"/>
          <w:caps w:val="0"/>
          <w:color w:val="auto"/>
          <w:spacing w:val="8"/>
          <w:sz w:val="24"/>
          <w:szCs w:val="24"/>
          <w:shd w:val="clear" w:fill="FFFFFF"/>
          <w:lang w:eastAsia="zh-CN"/>
        </w:rPr>
        <w:t>(</w:t>
      </w:r>
      <w:r>
        <w:rPr>
          <w:rFonts w:hint="eastAsia" w:ascii="宋体" w:hAnsi="宋体" w:eastAsia="宋体" w:cs="宋体"/>
          <w:b w:val="0"/>
          <w:i w:val="0"/>
          <w:caps w:val="0"/>
          <w:color w:val="auto"/>
          <w:spacing w:val="8"/>
          <w:sz w:val="24"/>
          <w:szCs w:val="24"/>
          <w:shd w:val="clear" w:fill="FFFFFF"/>
        </w:rPr>
        <w:t>北京时间</w:t>
      </w:r>
      <w:r>
        <w:rPr>
          <w:rFonts w:hint="eastAsia" w:ascii="宋体" w:hAnsi="宋体" w:eastAsia="宋体" w:cs="宋体"/>
          <w:b w:val="0"/>
          <w:i w:val="0"/>
          <w:caps w:val="0"/>
          <w:color w:val="auto"/>
          <w:spacing w:val="8"/>
          <w:sz w:val="24"/>
          <w:szCs w:val="24"/>
          <w:shd w:val="clear" w:fill="FFFFFF"/>
          <w:lang w:eastAsia="zh-CN"/>
        </w:rPr>
        <w:t>)</w:t>
      </w:r>
    </w:p>
    <w:p w14:paraId="1667F34E">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39"/>
        <w:jc w:val="both"/>
        <w:textAlignment w:val="auto"/>
        <w:rPr>
          <w:rFonts w:hint="eastAsia" w:ascii="宋体" w:hAnsi="宋体" w:eastAsia="宋体" w:cs="宋体"/>
          <w:b w:val="0"/>
          <w:i w:val="0"/>
          <w:caps w:val="0"/>
          <w:color w:val="auto"/>
          <w:spacing w:val="8"/>
          <w:sz w:val="24"/>
          <w:szCs w:val="24"/>
          <w:shd w:val="clear" w:fill="FFFFFF"/>
        </w:rPr>
      </w:pPr>
      <w:r>
        <w:rPr>
          <w:rFonts w:hint="eastAsia" w:ascii="宋体" w:hAnsi="宋体" w:eastAsia="宋体" w:cs="宋体"/>
          <w:b w:val="0"/>
          <w:i w:val="0"/>
          <w:caps w:val="0"/>
          <w:color w:val="auto"/>
          <w:spacing w:val="8"/>
          <w:sz w:val="24"/>
          <w:szCs w:val="24"/>
          <w:shd w:val="clear" w:fill="FFFFFF"/>
        </w:rPr>
        <w:t>开标地点：</w:t>
      </w:r>
      <w:r>
        <w:rPr>
          <w:rFonts w:hint="eastAsia" w:ascii="宋体" w:hAnsi="宋体" w:cs="宋体"/>
          <w:b w:val="0"/>
          <w:i w:val="0"/>
          <w:caps w:val="0"/>
          <w:color w:val="auto"/>
          <w:spacing w:val="8"/>
          <w:sz w:val="24"/>
          <w:szCs w:val="24"/>
          <w:shd w:val="clear" w:fill="FFFFFF"/>
          <w:lang w:eastAsia="zh-CN"/>
        </w:rPr>
        <w:t>供应商</w:t>
      </w:r>
      <w:r>
        <w:rPr>
          <w:rFonts w:hint="eastAsia" w:ascii="宋体" w:hAnsi="宋体" w:eastAsia="宋体" w:cs="宋体"/>
          <w:b w:val="0"/>
          <w:i w:val="0"/>
          <w:caps w:val="0"/>
          <w:color w:val="auto"/>
          <w:spacing w:val="8"/>
          <w:sz w:val="24"/>
          <w:szCs w:val="24"/>
          <w:shd w:val="clear" w:fill="FFFFFF"/>
        </w:rPr>
        <w:t>登录政采云平台https://www.zcygov.cn/，进入“项目采购-开标评标-右边选择对应项目点击</w:t>
      </w:r>
      <w:r>
        <w:rPr>
          <w:rFonts w:hint="eastAsia" w:ascii="宋体" w:hAnsi="宋体" w:cs="宋体"/>
          <w:b w:val="0"/>
          <w:i w:val="0"/>
          <w:caps w:val="0"/>
          <w:color w:val="auto"/>
          <w:spacing w:val="8"/>
          <w:sz w:val="24"/>
          <w:szCs w:val="24"/>
          <w:shd w:val="clear" w:fill="FFFFFF"/>
          <w:lang w:eastAsia="zh-CN"/>
        </w:rPr>
        <w:t>“</w:t>
      </w:r>
      <w:r>
        <w:rPr>
          <w:rFonts w:hint="eastAsia" w:ascii="宋体" w:hAnsi="宋体" w:eastAsia="宋体" w:cs="宋体"/>
          <w:b w:val="0"/>
          <w:i w:val="0"/>
          <w:caps w:val="0"/>
          <w:color w:val="auto"/>
          <w:spacing w:val="8"/>
          <w:sz w:val="24"/>
          <w:szCs w:val="24"/>
          <w:shd w:val="clear" w:fill="FFFFFF"/>
        </w:rPr>
        <w:t>进入项目</w:t>
      </w:r>
      <w:r>
        <w:rPr>
          <w:rFonts w:hint="eastAsia" w:ascii="宋体" w:hAnsi="宋体" w:cs="宋体"/>
          <w:b w:val="0"/>
          <w:i w:val="0"/>
          <w:caps w:val="0"/>
          <w:color w:val="auto"/>
          <w:spacing w:val="8"/>
          <w:sz w:val="24"/>
          <w:szCs w:val="24"/>
          <w:shd w:val="clear" w:fill="FFFFFF"/>
          <w:lang w:eastAsia="zh-CN"/>
        </w:rPr>
        <w:t>”</w:t>
      </w:r>
      <w:r>
        <w:rPr>
          <w:rFonts w:hint="eastAsia" w:ascii="宋体" w:hAnsi="宋体" w:eastAsia="宋体" w:cs="宋体"/>
          <w:b w:val="0"/>
          <w:i w:val="0"/>
          <w:caps w:val="0"/>
          <w:color w:val="auto"/>
          <w:spacing w:val="8"/>
          <w:sz w:val="24"/>
          <w:szCs w:val="24"/>
          <w:shd w:val="clear" w:fill="FFFFFF"/>
        </w:rPr>
        <w:t>进入开标大厅。</w:t>
      </w:r>
    </w:p>
    <w:p w14:paraId="1A95CD9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auto"/>
          <w:sz w:val="24"/>
          <w:szCs w:val="24"/>
        </w:rPr>
      </w:pPr>
      <w:bookmarkStart w:id="17" w:name="_Toc2508"/>
      <w:r>
        <w:rPr>
          <w:rFonts w:hint="eastAsia" w:ascii="宋体" w:hAnsi="宋体" w:eastAsia="宋体" w:cs="宋体"/>
          <w:b w:val="0"/>
          <w:i w:val="0"/>
          <w:caps w:val="0"/>
          <w:color w:val="auto"/>
          <w:spacing w:val="8"/>
          <w:sz w:val="24"/>
          <w:szCs w:val="24"/>
          <w:shd w:val="clear" w:fill="FFFFFF"/>
        </w:rPr>
        <w:t>五、公告期限</w:t>
      </w:r>
      <w:bookmarkEnd w:id="15"/>
      <w:bookmarkEnd w:id="16"/>
      <w:bookmarkEnd w:id="17"/>
    </w:p>
    <w:p w14:paraId="075438B8">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55"/>
        <w:jc w:val="both"/>
        <w:textAlignment w:val="auto"/>
        <w:rPr>
          <w:rFonts w:hint="eastAsia" w:ascii="宋体" w:hAnsi="宋体" w:eastAsia="宋体" w:cs="宋体"/>
          <w:color w:val="auto"/>
        </w:rPr>
      </w:pPr>
      <w:r>
        <w:rPr>
          <w:rFonts w:hint="eastAsia" w:ascii="宋体" w:hAnsi="宋体" w:eastAsia="宋体" w:cs="宋体"/>
          <w:b w:val="0"/>
          <w:i w:val="0"/>
          <w:caps w:val="0"/>
          <w:color w:val="auto"/>
          <w:spacing w:val="8"/>
          <w:sz w:val="24"/>
          <w:szCs w:val="24"/>
          <w:shd w:val="clear" w:fill="FFFFFF"/>
        </w:rPr>
        <w:t>自本公告发布之日起5个工作日。</w:t>
      </w:r>
    </w:p>
    <w:p w14:paraId="4265B48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i w:val="0"/>
          <w:caps w:val="0"/>
          <w:color w:val="auto"/>
          <w:spacing w:val="8"/>
          <w:sz w:val="24"/>
          <w:szCs w:val="24"/>
          <w:shd w:val="clear" w:fill="FFFFFF"/>
          <w:lang w:val="en-US" w:eastAsia="zh-CN"/>
        </w:rPr>
      </w:pPr>
      <w:bookmarkStart w:id="18" w:name="_Toc3527"/>
      <w:bookmarkStart w:id="19" w:name="_Toc17972"/>
      <w:bookmarkStart w:id="20" w:name="_Toc28366"/>
      <w:r>
        <w:rPr>
          <w:rFonts w:hint="eastAsia" w:ascii="宋体" w:hAnsi="宋体" w:eastAsia="宋体" w:cs="宋体"/>
          <w:b w:val="0"/>
          <w:i w:val="0"/>
          <w:caps w:val="0"/>
          <w:color w:val="auto"/>
          <w:spacing w:val="8"/>
          <w:sz w:val="24"/>
          <w:szCs w:val="24"/>
          <w:shd w:val="clear" w:fill="FFFFFF"/>
          <w:lang w:eastAsia="zh-CN"/>
        </w:rPr>
        <w:t>六、</w:t>
      </w:r>
      <w:r>
        <w:rPr>
          <w:rFonts w:hint="eastAsia" w:ascii="宋体" w:hAnsi="宋体" w:eastAsia="宋体" w:cs="宋体"/>
          <w:b w:val="0"/>
          <w:i w:val="0"/>
          <w:caps w:val="0"/>
          <w:color w:val="auto"/>
          <w:spacing w:val="8"/>
          <w:sz w:val="24"/>
          <w:szCs w:val="24"/>
          <w:shd w:val="clear" w:fill="FFFFFF"/>
        </w:rPr>
        <w:t>其他补充事宜</w:t>
      </w:r>
      <w:bookmarkEnd w:id="18"/>
      <w:bookmarkEnd w:id="19"/>
      <w:bookmarkEnd w:id="20"/>
    </w:p>
    <w:p w14:paraId="29385884">
      <w:pPr>
        <w:pStyle w:val="4"/>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512" w:firstLineChars="200"/>
        <w:jc w:val="both"/>
        <w:textAlignment w:val="auto"/>
        <w:rPr>
          <w:rFonts w:hint="eastAsia" w:ascii="宋体" w:hAnsi="宋体" w:eastAsia="宋体" w:cs="宋体"/>
          <w:b w:val="0"/>
          <w:i w:val="0"/>
          <w:caps w:val="0"/>
          <w:color w:val="auto"/>
          <w:spacing w:val="8"/>
          <w:kern w:val="0"/>
          <w:sz w:val="24"/>
          <w:szCs w:val="24"/>
          <w:shd w:val="clear" w:fill="FFFFFF"/>
          <w:lang w:val="en-US" w:eastAsia="zh-CN" w:bidi="ar-SA"/>
        </w:rPr>
      </w:pPr>
      <w:r>
        <w:rPr>
          <w:rFonts w:hint="eastAsia" w:ascii="宋体" w:hAnsi="宋体" w:eastAsia="宋体" w:cs="宋体"/>
          <w:b w:val="0"/>
          <w:i w:val="0"/>
          <w:caps w:val="0"/>
          <w:color w:val="auto"/>
          <w:spacing w:val="8"/>
          <w:kern w:val="0"/>
          <w:sz w:val="24"/>
          <w:szCs w:val="24"/>
          <w:shd w:val="clear" w:fill="FFFFFF"/>
          <w:lang w:val="en-US" w:eastAsia="zh-CN" w:bidi="ar-SA"/>
        </w:rPr>
        <w:t>本项目实行网上投标，采用电子投标文件。</w:t>
      </w:r>
    </w:p>
    <w:p w14:paraId="214C819C">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512" w:firstLineChars="200"/>
        <w:jc w:val="both"/>
        <w:textAlignment w:val="auto"/>
        <w:rPr>
          <w:rFonts w:hint="eastAsia" w:ascii="宋体" w:hAnsi="宋体" w:eastAsia="宋体" w:cs="宋体"/>
          <w:b w:val="0"/>
          <w:i w:val="0"/>
          <w:caps w:val="0"/>
          <w:color w:val="auto"/>
          <w:spacing w:val="8"/>
          <w:kern w:val="0"/>
          <w:sz w:val="24"/>
          <w:szCs w:val="24"/>
          <w:shd w:val="clear" w:fill="FFFFFF"/>
          <w:lang w:val="en-US" w:eastAsia="zh-CN" w:bidi="ar-SA"/>
        </w:rPr>
      </w:pPr>
      <w:r>
        <w:rPr>
          <w:rFonts w:hint="eastAsia" w:ascii="宋体" w:hAnsi="宋体" w:eastAsia="宋体" w:cs="宋体"/>
          <w:b w:val="0"/>
          <w:i w:val="0"/>
          <w:caps w:val="0"/>
          <w:color w:val="auto"/>
          <w:spacing w:val="8"/>
          <w:kern w:val="0"/>
          <w:sz w:val="24"/>
          <w:szCs w:val="24"/>
          <w:shd w:val="clear" w:fill="FFFFFF"/>
          <w:lang w:val="en-US" w:eastAsia="zh-CN" w:bidi="ar-SA"/>
        </w:rPr>
        <w:t>2、各供应商应在开标前确保成为正式注册入库供应商，并完成CA数字证书(符合国密标准)申领。因未注册入库、未办理CA数字证书等原因造成无法投标或投标失败等后果由供应商自行承担。如需咨询，请联系新疆-安信CA服务热线0991-7810912；翔晟CA服务热线025-66085508；新疆CA服务热线4000921999。</w:t>
      </w:r>
    </w:p>
    <w:p w14:paraId="23463216">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i w:val="0"/>
          <w:caps w:val="0"/>
          <w:color w:val="auto"/>
          <w:spacing w:val="8"/>
          <w:kern w:val="0"/>
          <w:sz w:val="24"/>
          <w:szCs w:val="24"/>
          <w:shd w:val="clear" w:fill="FFFFFF"/>
          <w:lang w:val="en-US" w:eastAsia="zh-CN" w:bidi="ar-SA"/>
        </w:rPr>
      </w:pPr>
      <w:r>
        <w:rPr>
          <w:rFonts w:hint="eastAsia" w:ascii="宋体" w:hAnsi="宋体" w:eastAsia="宋体" w:cs="宋体"/>
          <w:b w:val="0"/>
          <w:i w:val="0"/>
          <w:caps w:val="0"/>
          <w:color w:val="auto"/>
          <w:spacing w:val="8"/>
          <w:kern w:val="0"/>
          <w:sz w:val="24"/>
          <w:szCs w:val="24"/>
          <w:shd w:val="clear" w:fill="FFFFFF"/>
          <w:lang w:val="en-US" w:eastAsia="zh-CN" w:bidi="ar-SA"/>
        </w:rPr>
        <w:t>  3、供应商将政采云电子交易客户端下载、安装完成后，可通过账号密码或CA登录客户端进行投标文件的制作。在使用政采云投标客户端时，建议使用WIN7及以上操作系统。</w:t>
      </w:r>
    </w:p>
    <w:p w14:paraId="39265E90">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512" w:firstLineChars="200"/>
        <w:textAlignment w:val="auto"/>
        <w:rPr>
          <w:rFonts w:hint="eastAsia" w:ascii="宋体" w:hAnsi="宋体" w:eastAsia="宋体" w:cs="宋体"/>
          <w:b w:val="0"/>
          <w:i w:val="0"/>
          <w:caps w:val="0"/>
          <w:color w:val="auto"/>
          <w:spacing w:val="8"/>
          <w:kern w:val="0"/>
          <w:sz w:val="24"/>
          <w:szCs w:val="24"/>
          <w:shd w:val="clear" w:fill="FFFFFF"/>
          <w:lang w:val="en-US" w:eastAsia="zh-CN" w:bidi="ar-SA"/>
        </w:rPr>
      </w:pPr>
      <w:r>
        <w:rPr>
          <w:rFonts w:hint="eastAsia" w:ascii="宋体" w:hAnsi="宋体" w:eastAsia="宋体" w:cs="宋体"/>
          <w:b w:val="0"/>
          <w:i w:val="0"/>
          <w:caps w:val="0"/>
          <w:color w:val="auto"/>
          <w:spacing w:val="8"/>
          <w:kern w:val="0"/>
          <w:sz w:val="24"/>
          <w:szCs w:val="24"/>
          <w:shd w:val="clear" w:fill="FFFFFF"/>
          <w:lang w:val="en-US" w:eastAsia="zh-CN" w:bidi="ar-SA"/>
        </w:rPr>
        <w:t>4、其他事项：（1）请各供应商随时关注本项目的变更、答疑、澄清文件。（2）本项目实行电子招投标，供应商须登录政采云平台申请获取招标文件，并通过政采云电子投标客户端制作投标文件，同时自行承担与投标有关的一切费用。（3）各供应商应在开标前确保成为新疆维吾尔自治区政府采购网正式注册入库供应商，并完成CA数字证书申领。因未注册入库、未办理CA数字证书等原因造成无法投标或投标失败等后果由供应商自行承担。（4）供应商可前往新疆政府采购网（http://www.ccgp-xinjiang.gov.cn/）下载专区，下载政采云电子投标客户端，安装完成后，可通过账号密码或CA登录客户端进行投标文件制作。在使用政采云电子投标客户端时，建议使用WIN7及以上操作系统。如有问题可拨打政采云客户服务热线进行咨询。（5）本项目采用不见面开标，供应商须在投标截止时间前通过CA在政采云平台上传加密的电子投标文件。（6）供应商在开标前须提前配置好电脑浏览器（建议使用360浏览器或谷歌浏器），开标时请使用制作加密电子投标文件的CA锁进行解密及报价确认。本项目响应文件解密时间定为30分钟，如因自身原因导致无法正常解密，后果由供应商自行承担。</w:t>
      </w:r>
    </w:p>
    <w:p w14:paraId="5CAC08FE">
      <w:pPr>
        <w:keepNext w:val="0"/>
        <w:keepLines w:val="0"/>
        <w:pageBreakBefore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bookmarkStart w:id="21" w:name="_Toc18358"/>
      <w:bookmarkStart w:id="22" w:name="_Toc11398"/>
      <w:bookmarkStart w:id="23" w:name="_Toc13729"/>
      <w:r>
        <w:rPr>
          <w:rFonts w:hint="eastAsia" w:ascii="宋体" w:hAnsi="宋体" w:eastAsia="宋体" w:cs="宋体"/>
          <w:b w:val="0"/>
          <w:i w:val="0"/>
          <w:caps w:val="0"/>
          <w:color w:val="auto"/>
          <w:spacing w:val="8"/>
          <w:sz w:val="24"/>
          <w:szCs w:val="24"/>
          <w:shd w:val="clear" w:fill="FFFFFF"/>
        </w:rPr>
        <w:t>七、对本次招标提出询问，请按以下方式联系。</w:t>
      </w:r>
      <w:bookmarkEnd w:id="21"/>
      <w:bookmarkEnd w:id="22"/>
      <w:bookmarkEnd w:id="23"/>
    </w:p>
    <w:p w14:paraId="6BD2B537">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12" w:firstLineChars="200"/>
        <w:jc w:val="left"/>
        <w:textAlignment w:val="auto"/>
        <w:rPr>
          <w:rFonts w:hint="eastAsia" w:ascii="宋体" w:hAnsi="宋体" w:eastAsia="宋体" w:cs="宋体"/>
          <w:color w:val="auto"/>
        </w:rPr>
      </w:pPr>
      <w:r>
        <w:rPr>
          <w:rFonts w:hint="eastAsia" w:ascii="宋体" w:hAnsi="宋体" w:eastAsia="宋体" w:cs="宋体"/>
          <w:b w:val="0"/>
          <w:i w:val="0"/>
          <w:caps w:val="0"/>
          <w:color w:val="auto"/>
          <w:spacing w:val="8"/>
          <w:sz w:val="24"/>
          <w:szCs w:val="24"/>
          <w:shd w:val="clear" w:fill="FFFFFF"/>
        </w:rPr>
        <w:t>1.采购人信息</w:t>
      </w:r>
    </w:p>
    <w:p w14:paraId="272CA96A">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768" w:firstLineChars="300"/>
        <w:jc w:val="both"/>
        <w:textAlignment w:val="auto"/>
        <w:rPr>
          <w:rFonts w:hint="eastAsia" w:ascii="宋体" w:hAnsi="宋体" w:eastAsia="宋体" w:cs="宋体"/>
          <w:b w:val="0"/>
          <w:i w:val="0"/>
          <w:caps w:val="0"/>
          <w:color w:val="auto"/>
          <w:spacing w:val="8"/>
          <w:sz w:val="24"/>
          <w:szCs w:val="24"/>
          <w:shd w:val="clear" w:fill="FFFFFF"/>
          <w:lang w:val="en-US" w:eastAsia="zh-CN"/>
        </w:rPr>
      </w:pPr>
      <w:r>
        <w:rPr>
          <w:rFonts w:hint="eastAsia" w:ascii="宋体" w:hAnsi="宋体" w:eastAsia="宋体" w:cs="宋体"/>
          <w:b w:val="0"/>
          <w:i w:val="0"/>
          <w:caps w:val="0"/>
          <w:color w:val="auto"/>
          <w:spacing w:val="8"/>
          <w:sz w:val="24"/>
          <w:szCs w:val="24"/>
          <w:shd w:val="clear" w:fill="FFFFFF"/>
          <w:lang w:val="en-US" w:eastAsia="zh-CN"/>
        </w:rPr>
        <w:t>名 称:昌吉市城市管理局(昌吉市城市管理行政执法局)</w:t>
      </w:r>
    </w:p>
    <w:p w14:paraId="07E1FDA4">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768" w:firstLineChars="300"/>
        <w:jc w:val="both"/>
        <w:textAlignment w:val="auto"/>
        <w:rPr>
          <w:rFonts w:hint="eastAsia" w:ascii="宋体" w:hAnsi="宋体" w:eastAsia="宋体" w:cs="宋体"/>
          <w:b w:val="0"/>
          <w:i w:val="0"/>
          <w:caps w:val="0"/>
          <w:color w:val="auto"/>
          <w:spacing w:val="8"/>
          <w:sz w:val="24"/>
          <w:szCs w:val="24"/>
          <w:shd w:val="clear" w:fill="FFFFFF"/>
          <w:lang w:val="en-US" w:eastAsia="zh-CN"/>
        </w:rPr>
      </w:pPr>
      <w:r>
        <w:rPr>
          <w:rFonts w:hint="eastAsia" w:ascii="宋体" w:hAnsi="宋体" w:eastAsia="宋体" w:cs="宋体"/>
          <w:b w:val="0"/>
          <w:i w:val="0"/>
          <w:caps w:val="0"/>
          <w:color w:val="auto"/>
          <w:spacing w:val="8"/>
          <w:sz w:val="24"/>
          <w:szCs w:val="24"/>
          <w:shd w:val="clear" w:fill="FFFFFF"/>
          <w:lang w:val="en-US" w:eastAsia="zh-CN"/>
        </w:rPr>
        <w:t>地</w:t>
      </w:r>
      <w:r>
        <w:rPr>
          <w:rFonts w:hint="eastAsia" w:ascii="宋体" w:hAnsi="宋体" w:cs="宋体"/>
          <w:b w:val="0"/>
          <w:i w:val="0"/>
          <w:caps w:val="0"/>
          <w:color w:val="auto"/>
          <w:spacing w:val="8"/>
          <w:sz w:val="24"/>
          <w:szCs w:val="24"/>
          <w:shd w:val="clear" w:fill="FFFFFF"/>
          <w:lang w:val="en-US" w:eastAsia="zh-CN"/>
        </w:rPr>
        <w:t xml:space="preserve"> </w:t>
      </w:r>
      <w:r>
        <w:rPr>
          <w:rFonts w:hint="eastAsia" w:ascii="宋体" w:hAnsi="宋体" w:eastAsia="宋体" w:cs="宋体"/>
          <w:b w:val="0"/>
          <w:i w:val="0"/>
          <w:caps w:val="0"/>
          <w:color w:val="auto"/>
          <w:spacing w:val="8"/>
          <w:sz w:val="24"/>
          <w:szCs w:val="24"/>
          <w:shd w:val="clear" w:fill="FFFFFF"/>
          <w:lang w:val="en-US" w:eastAsia="zh-CN"/>
        </w:rPr>
        <w:t>址:昌吉市建国西路134 号</w:t>
      </w:r>
    </w:p>
    <w:p w14:paraId="6E191C3B">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768" w:firstLineChars="300"/>
        <w:jc w:val="both"/>
        <w:textAlignment w:val="auto"/>
        <w:rPr>
          <w:rFonts w:hint="eastAsia" w:ascii="宋体" w:hAnsi="宋体" w:eastAsia="宋体" w:cs="宋体"/>
          <w:b w:val="0"/>
          <w:i w:val="0"/>
          <w:caps w:val="0"/>
          <w:color w:val="auto"/>
          <w:spacing w:val="8"/>
          <w:sz w:val="24"/>
          <w:szCs w:val="24"/>
          <w:highlight w:val="none"/>
          <w:shd w:val="clear" w:fill="FFFFFF"/>
          <w:lang w:val="en-US" w:eastAsia="zh-CN"/>
        </w:rPr>
      </w:pPr>
      <w:r>
        <w:rPr>
          <w:rFonts w:hint="eastAsia" w:ascii="宋体" w:hAnsi="宋体" w:eastAsia="宋体" w:cs="宋体"/>
          <w:b w:val="0"/>
          <w:i w:val="0"/>
          <w:caps w:val="0"/>
          <w:color w:val="auto"/>
          <w:spacing w:val="8"/>
          <w:sz w:val="24"/>
          <w:szCs w:val="24"/>
          <w:highlight w:val="none"/>
          <w:shd w:val="clear" w:fill="FFFFFF"/>
          <w:lang w:val="en-US" w:eastAsia="zh-CN"/>
        </w:rPr>
        <w:t>联系方式:0994-6528199</w:t>
      </w:r>
    </w:p>
    <w:p w14:paraId="0A242107">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12" w:firstLineChars="200"/>
        <w:jc w:val="left"/>
        <w:textAlignment w:val="auto"/>
        <w:rPr>
          <w:rFonts w:hint="eastAsia" w:ascii="宋体" w:hAnsi="宋体" w:eastAsia="宋体" w:cs="宋体"/>
          <w:color w:val="auto"/>
          <w:lang w:eastAsia="zh-CN"/>
        </w:rPr>
      </w:pPr>
      <w:r>
        <w:rPr>
          <w:rFonts w:hint="eastAsia" w:ascii="宋体" w:hAnsi="宋体" w:eastAsia="宋体" w:cs="宋体"/>
          <w:b w:val="0"/>
          <w:i w:val="0"/>
          <w:caps w:val="0"/>
          <w:color w:val="auto"/>
          <w:spacing w:val="8"/>
          <w:sz w:val="24"/>
          <w:szCs w:val="24"/>
          <w:shd w:val="clear" w:fill="FFFFFF"/>
        </w:rPr>
        <w:t>2.采购代理机构信息</w:t>
      </w:r>
    </w:p>
    <w:p w14:paraId="6A50898F">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768" w:firstLineChars="300"/>
        <w:jc w:val="both"/>
        <w:textAlignment w:val="auto"/>
        <w:rPr>
          <w:rFonts w:hint="eastAsia" w:ascii="宋体" w:hAnsi="宋体" w:eastAsia="宋体" w:cs="宋体"/>
          <w:b w:val="0"/>
          <w:i w:val="0"/>
          <w:caps w:val="0"/>
          <w:color w:val="auto"/>
          <w:spacing w:val="8"/>
          <w:sz w:val="24"/>
          <w:szCs w:val="24"/>
          <w:shd w:val="clear" w:fill="FFFFFF"/>
          <w:lang w:val="en-US" w:eastAsia="zh-CN"/>
        </w:rPr>
      </w:pPr>
      <w:r>
        <w:rPr>
          <w:rFonts w:hint="eastAsia" w:ascii="宋体" w:hAnsi="宋体" w:eastAsia="宋体" w:cs="宋体"/>
          <w:b w:val="0"/>
          <w:i w:val="0"/>
          <w:caps w:val="0"/>
          <w:color w:val="auto"/>
          <w:spacing w:val="8"/>
          <w:sz w:val="24"/>
          <w:szCs w:val="24"/>
          <w:shd w:val="clear" w:fill="FFFFFF"/>
          <w:lang w:val="en-US" w:eastAsia="zh-CN"/>
        </w:rPr>
        <w:t>名 称:新疆昌盛方略项目管理有限公司</w:t>
      </w:r>
    </w:p>
    <w:p w14:paraId="08EDEAED">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768" w:firstLineChars="300"/>
        <w:jc w:val="both"/>
        <w:textAlignment w:val="auto"/>
        <w:rPr>
          <w:rFonts w:hint="eastAsia" w:ascii="宋体" w:hAnsi="宋体" w:eastAsia="宋体" w:cs="宋体"/>
          <w:b w:val="0"/>
          <w:i w:val="0"/>
          <w:caps w:val="0"/>
          <w:color w:val="auto"/>
          <w:spacing w:val="8"/>
          <w:sz w:val="24"/>
          <w:szCs w:val="24"/>
          <w:shd w:val="clear" w:fill="FFFFFF"/>
          <w:lang w:val="en-US" w:eastAsia="zh-CN"/>
        </w:rPr>
      </w:pPr>
      <w:r>
        <w:rPr>
          <w:rFonts w:hint="eastAsia" w:ascii="宋体" w:hAnsi="宋体" w:eastAsia="宋体" w:cs="宋体"/>
          <w:b w:val="0"/>
          <w:i w:val="0"/>
          <w:caps w:val="0"/>
          <w:color w:val="auto"/>
          <w:spacing w:val="8"/>
          <w:sz w:val="24"/>
          <w:szCs w:val="24"/>
          <w:shd w:val="clear" w:fill="FFFFFF"/>
          <w:lang w:val="en-US" w:eastAsia="zh-CN"/>
        </w:rPr>
        <w:t>地</w:t>
      </w:r>
      <w:r>
        <w:rPr>
          <w:rFonts w:hint="eastAsia" w:ascii="宋体" w:hAnsi="宋体" w:cs="宋体"/>
          <w:b w:val="0"/>
          <w:i w:val="0"/>
          <w:caps w:val="0"/>
          <w:color w:val="auto"/>
          <w:spacing w:val="8"/>
          <w:sz w:val="24"/>
          <w:szCs w:val="24"/>
          <w:shd w:val="clear" w:fill="FFFFFF"/>
          <w:lang w:val="en-US" w:eastAsia="zh-CN"/>
        </w:rPr>
        <w:t xml:space="preserve"> </w:t>
      </w:r>
      <w:r>
        <w:rPr>
          <w:rFonts w:hint="eastAsia" w:ascii="宋体" w:hAnsi="宋体" w:eastAsia="宋体" w:cs="宋体"/>
          <w:b w:val="0"/>
          <w:i w:val="0"/>
          <w:caps w:val="0"/>
          <w:color w:val="auto"/>
          <w:spacing w:val="8"/>
          <w:sz w:val="24"/>
          <w:szCs w:val="24"/>
          <w:shd w:val="clear" w:fill="FFFFFF"/>
          <w:lang w:val="en-US" w:eastAsia="zh-CN"/>
        </w:rPr>
        <w:t>址:新疆昌吉回族自治州昌吉市南公园西路融投小镇1号楼A座14层（昌吉州国投大厦1幢14楼1419）</w:t>
      </w:r>
    </w:p>
    <w:p w14:paraId="5E32B83A">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768" w:firstLineChars="300"/>
        <w:jc w:val="both"/>
        <w:textAlignment w:val="auto"/>
        <w:rPr>
          <w:rFonts w:hint="eastAsia" w:ascii="宋体" w:hAnsi="宋体" w:eastAsia="宋体" w:cs="宋体"/>
          <w:b w:val="0"/>
          <w:i w:val="0"/>
          <w:caps w:val="0"/>
          <w:color w:val="auto"/>
          <w:spacing w:val="8"/>
          <w:sz w:val="24"/>
          <w:szCs w:val="24"/>
          <w:shd w:val="clear" w:fill="FFFFFF"/>
          <w:lang w:val="en-US" w:eastAsia="zh-CN"/>
        </w:rPr>
      </w:pPr>
      <w:r>
        <w:rPr>
          <w:rFonts w:hint="eastAsia" w:ascii="宋体" w:hAnsi="宋体" w:eastAsia="宋体" w:cs="宋体"/>
          <w:b w:val="0"/>
          <w:i w:val="0"/>
          <w:caps w:val="0"/>
          <w:color w:val="auto"/>
          <w:spacing w:val="8"/>
          <w:sz w:val="24"/>
          <w:szCs w:val="24"/>
          <w:shd w:val="clear" w:fill="FFFFFF"/>
          <w:lang w:val="en-US" w:eastAsia="zh-CN"/>
        </w:rPr>
        <w:t>联系方式:18699425012</w:t>
      </w:r>
    </w:p>
    <w:p w14:paraId="03A4EBDA">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eastAsia" w:ascii="宋体" w:hAnsi="宋体" w:eastAsia="宋体" w:cs="宋体"/>
          <w:b w:val="0"/>
          <w:i w:val="0"/>
          <w:caps w:val="0"/>
          <w:color w:val="auto"/>
          <w:spacing w:val="8"/>
          <w:sz w:val="24"/>
          <w:szCs w:val="24"/>
          <w:shd w:val="clear" w:fill="FFFFFF"/>
          <w:lang w:val="en-US" w:eastAsia="zh-CN"/>
        </w:rPr>
      </w:pPr>
      <w:r>
        <w:rPr>
          <w:rFonts w:hint="eastAsia" w:ascii="宋体" w:hAnsi="宋体" w:eastAsia="宋体" w:cs="宋体"/>
          <w:b w:val="0"/>
          <w:i w:val="0"/>
          <w:caps w:val="0"/>
          <w:color w:val="auto"/>
          <w:spacing w:val="8"/>
          <w:sz w:val="24"/>
          <w:szCs w:val="24"/>
          <w:shd w:val="clear" w:fill="FFFFFF"/>
          <w:lang w:val="en-US" w:eastAsia="zh-CN"/>
        </w:rPr>
        <w:t>3.项目联系方式</w:t>
      </w:r>
    </w:p>
    <w:p w14:paraId="69C4B83A">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768" w:firstLineChars="300"/>
        <w:jc w:val="both"/>
        <w:textAlignment w:val="auto"/>
        <w:rPr>
          <w:rFonts w:hint="eastAsia" w:ascii="宋体" w:hAnsi="宋体" w:eastAsia="宋体" w:cs="宋体"/>
          <w:b w:val="0"/>
          <w:i w:val="0"/>
          <w:caps w:val="0"/>
          <w:color w:val="auto"/>
          <w:spacing w:val="8"/>
          <w:sz w:val="24"/>
          <w:szCs w:val="24"/>
          <w:shd w:val="clear" w:fill="FFFFFF"/>
          <w:lang w:val="en-US" w:eastAsia="zh-CN"/>
        </w:rPr>
      </w:pPr>
      <w:r>
        <w:rPr>
          <w:rFonts w:hint="eastAsia" w:ascii="宋体" w:hAnsi="宋体" w:eastAsia="宋体" w:cs="宋体"/>
          <w:b w:val="0"/>
          <w:i w:val="0"/>
          <w:caps w:val="0"/>
          <w:color w:val="auto"/>
          <w:spacing w:val="8"/>
          <w:sz w:val="24"/>
          <w:szCs w:val="24"/>
          <w:shd w:val="clear" w:fill="FFFFFF"/>
          <w:lang w:val="en-US" w:eastAsia="zh-CN"/>
        </w:rPr>
        <w:t>项目联系人:杨女士、赵女士</w:t>
      </w:r>
    </w:p>
    <w:p w14:paraId="36F9B2D0">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768" w:firstLineChars="300"/>
        <w:jc w:val="both"/>
        <w:textAlignment w:val="auto"/>
        <w:rPr>
          <w:rFonts w:hint="eastAsia" w:ascii="宋体" w:hAnsi="宋体" w:eastAsia="宋体" w:cs="宋体"/>
          <w:b w:val="0"/>
          <w:i w:val="0"/>
          <w:caps w:val="0"/>
          <w:color w:val="auto"/>
          <w:spacing w:val="8"/>
          <w:sz w:val="24"/>
          <w:szCs w:val="24"/>
          <w:shd w:val="clear" w:fill="FFFFFF"/>
          <w:lang w:val="en-US" w:eastAsia="zh-CN"/>
        </w:rPr>
      </w:pPr>
      <w:r>
        <w:rPr>
          <w:rFonts w:hint="eastAsia" w:ascii="宋体" w:hAnsi="宋体" w:eastAsia="宋体" w:cs="宋体"/>
          <w:b w:val="0"/>
          <w:i w:val="0"/>
          <w:caps w:val="0"/>
          <w:color w:val="auto"/>
          <w:spacing w:val="8"/>
          <w:sz w:val="24"/>
          <w:szCs w:val="24"/>
          <w:shd w:val="clear" w:fill="FFFFFF"/>
          <w:lang w:val="en-US" w:eastAsia="zh-CN"/>
        </w:rPr>
        <w:t>电　话:18699425012</w:t>
      </w:r>
    </w:p>
    <w:p w14:paraId="2C8E6306">
      <w:pPr>
        <w:autoSpaceDE w:val="0"/>
        <w:autoSpaceDN w:val="0"/>
        <w:adjustRightInd w:val="0"/>
        <w:snapToGrid w:val="0"/>
        <w:spacing w:afterLines="50"/>
        <w:jc w:val="center"/>
        <w:outlineLvl w:val="0"/>
        <w:rPr>
          <w:rFonts w:ascii="宋体" w:hAnsi="宋体" w:cs="黑体"/>
          <w:color w:val="auto"/>
          <w:kern w:val="0"/>
          <w:sz w:val="32"/>
          <w:szCs w:val="32"/>
        </w:rPr>
      </w:pPr>
      <w:r>
        <w:rPr>
          <w:rFonts w:ascii="宋体" w:hAnsi="宋体" w:cs="黑体"/>
          <w:color w:val="auto"/>
          <w:kern w:val="0"/>
          <w:sz w:val="32"/>
          <w:szCs w:val="32"/>
        </w:rPr>
        <w:br w:type="page"/>
      </w:r>
      <w:bookmarkStart w:id="24" w:name="_Toc23973"/>
      <w:bookmarkStart w:id="25" w:name="_Toc12525"/>
      <w:bookmarkStart w:id="26" w:name="_Toc31486"/>
      <w:r>
        <w:rPr>
          <w:rFonts w:hint="eastAsia" w:ascii="宋体" w:hAnsi="宋体" w:eastAsia="宋体" w:cs="宋体"/>
          <w:color w:val="auto"/>
          <w:kern w:val="0"/>
          <w:sz w:val="32"/>
          <w:szCs w:val="32"/>
        </w:rPr>
        <w:t xml:space="preserve">第二章 </w:t>
      </w:r>
      <w:r>
        <w:rPr>
          <w:rFonts w:hint="eastAsia" w:ascii="宋体" w:hAnsi="宋体" w:cs="宋体"/>
          <w:color w:val="auto"/>
          <w:kern w:val="0"/>
          <w:sz w:val="32"/>
          <w:szCs w:val="32"/>
          <w:lang w:eastAsia="zh-CN"/>
        </w:rPr>
        <w:t>供应商</w:t>
      </w:r>
      <w:r>
        <w:rPr>
          <w:rFonts w:hint="eastAsia" w:ascii="宋体" w:hAnsi="宋体" w:eastAsia="宋体" w:cs="宋体"/>
          <w:color w:val="auto"/>
          <w:kern w:val="0"/>
          <w:sz w:val="32"/>
          <w:szCs w:val="32"/>
        </w:rPr>
        <w:t>须知</w:t>
      </w:r>
      <w:bookmarkEnd w:id="24"/>
      <w:bookmarkEnd w:id="25"/>
      <w:bookmarkEnd w:id="26"/>
    </w:p>
    <w:p w14:paraId="2D6DB458">
      <w:pPr>
        <w:autoSpaceDE w:val="0"/>
        <w:autoSpaceDN w:val="0"/>
        <w:adjustRightInd w:val="0"/>
        <w:snapToGrid w:val="0"/>
        <w:spacing w:afterLines="50"/>
        <w:jc w:val="center"/>
        <w:outlineLvl w:val="1"/>
        <w:rPr>
          <w:rFonts w:hint="eastAsia" w:ascii="宋体" w:hAnsi="宋体" w:cs="黑体"/>
          <w:color w:val="auto"/>
          <w:kern w:val="0"/>
          <w:sz w:val="28"/>
          <w:szCs w:val="28"/>
        </w:rPr>
      </w:pPr>
      <w:bookmarkStart w:id="27" w:name="_Toc7370"/>
      <w:bookmarkStart w:id="28" w:name="_Toc13889"/>
      <w:bookmarkStart w:id="29" w:name="_Toc30054"/>
      <w:r>
        <w:rPr>
          <w:rFonts w:hint="eastAsia" w:ascii="宋体" w:hAnsi="宋体" w:cs="黑体"/>
          <w:color w:val="auto"/>
          <w:kern w:val="0"/>
          <w:sz w:val="28"/>
          <w:szCs w:val="28"/>
          <w:lang w:eastAsia="zh-CN"/>
        </w:rPr>
        <w:t>(</w:t>
      </w:r>
      <w:r>
        <w:rPr>
          <w:rFonts w:hint="eastAsia" w:ascii="宋体" w:hAnsi="宋体" w:cs="黑体"/>
          <w:color w:val="auto"/>
          <w:kern w:val="0"/>
          <w:sz w:val="28"/>
          <w:szCs w:val="28"/>
        </w:rPr>
        <w:t>一</w:t>
      </w:r>
      <w:r>
        <w:rPr>
          <w:rFonts w:hint="eastAsia" w:ascii="宋体" w:hAnsi="宋体" w:cs="黑体"/>
          <w:color w:val="auto"/>
          <w:kern w:val="0"/>
          <w:sz w:val="28"/>
          <w:szCs w:val="28"/>
          <w:lang w:eastAsia="zh-CN"/>
        </w:rPr>
        <w:t>)供应商</w:t>
      </w:r>
      <w:r>
        <w:rPr>
          <w:rFonts w:hint="eastAsia" w:ascii="宋体" w:hAnsi="宋体" w:cs="黑体"/>
          <w:color w:val="auto"/>
          <w:kern w:val="0"/>
          <w:sz w:val="28"/>
          <w:szCs w:val="28"/>
        </w:rPr>
        <w:t>须知前附表</w:t>
      </w:r>
      <w:bookmarkEnd w:id="27"/>
      <w:bookmarkEnd w:id="28"/>
      <w:bookmarkEnd w:id="29"/>
    </w:p>
    <w:p w14:paraId="1AA849CA">
      <w:pPr>
        <w:autoSpaceDE w:val="0"/>
        <w:autoSpaceDN w:val="0"/>
        <w:adjustRightInd w:val="0"/>
        <w:snapToGrid w:val="0"/>
        <w:spacing w:afterLines="50"/>
        <w:jc w:val="left"/>
        <w:outlineLvl w:val="9"/>
        <w:rPr>
          <w:rFonts w:hint="eastAsia" w:ascii="宋体" w:hAnsi="宋体" w:cs="黑体"/>
          <w:color w:val="auto"/>
          <w:kern w:val="0"/>
          <w:sz w:val="28"/>
          <w:szCs w:val="28"/>
        </w:rPr>
      </w:pPr>
      <w:bookmarkStart w:id="30" w:name="_Toc10360"/>
      <w:r>
        <w:rPr>
          <w:rFonts w:hint="eastAsia" w:ascii="宋体" w:hAnsi="宋体" w:cs="黑体"/>
          <w:color w:val="auto"/>
          <w:kern w:val="0"/>
          <w:sz w:val="24"/>
          <w:szCs w:val="24"/>
          <w:lang w:val="en-US" w:eastAsia="zh-CN"/>
        </w:rPr>
        <w:t>注:供应商须知正文与本表不一致的以本表为准</w:t>
      </w:r>
      <w:bookmarkEnd w:id="30"/>
    </w:p>
    <w:tbl>
      <w:tblPr>
        <w:tblStyle w:val="43"/>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2515"/>
        <w:gridCol w:w="5675"/>
      </w:tblGrid>
      <w:tr w14:paraId="45EB9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188" w:type="dxa"/>
            <w:vAlign w:val="center"/>
          </w:tcPr>
          <w:p w14:paraId="3D4FBA86">
            <w:pPr>
              <w:autoSpaceDE w:val="0"/>
              <w:autoSpaceDN w:val="0"/>
              <w:adjustRightInd w:val="0"/>
              <w:snapToGrid w:val="0"/>
              <w:jc w:val="center"/>
              <w:outlineLvl w:val="9"/>
              <w:rPr>
                <w:rFonts w:ascii="宋体" w:hAnsi="宋体" w:cs="黑体"/>
                <w:color w:val="auto"/>
                <w:kern w:val="0"/>
                <w:sz w:val="21"/>
                <w:szCs w:val="21"/>
              </w:rPr>
            </w:pPr>
            <w:r>
              <w:rPr>
                <w:rFonts w:hint="eastAsia" w:ascii="宋体" w:hAnsi="宋体" w:cs="仿宋_GB2312"/>
                <w:color w:val="auto"/>
                <w:kern w:val="0"/>
                <w:sz w:val="21"/>
                <w:szCs w:val="21"/>
              </w:rPr>
              <w:t>条款号</w:t>
            </w:r>
          </w:p>
        </w:tc>
        <w:tc>
          <w:tcPr>
            <w:tcW w:w="2515" w:type="dxa"/>
            <w:vAlign w:val="center"/>
          </w:tcPr>
          <w:p w14:paraId="79309057">
            <w:pPr>
              <w:autoSpaceDE w:val="0"/>
              <w:autoSpaceDN w:val="0"/>
              <w:adjustRightInd w:val="0"/>
              <w:snapToGrid w:val="0"/>
              <w:jc w:val="center"/>
              <w:outlineLvl w:val="9"/>
              <w:rPr>
                <w:rFonts w:ascii="宋体" w:hAnsi="宋体" w:cs="黑体"/>
                <w:color w:val="auto"/>
                <w:kern w:val="0"/>
                <w:sz w:val="21"/>
                <w:szCs w:val="21"/>
              </w:rPr>
            </w:pPr>
            <w:r>
              <w:rPr>
                <w:rFonts w:hint="eastAsia" w:ascii="宋体" w:hAnsi="宋体" w:cs="仿宋_GB2312"/>
                <w:color w:val="auto"/>
                <w:kern w:val="0"/>
                <w:sz w:val="21"/>
                <w:szCs w:val="21"/>
              </w:rPr>
              <w:t>条</w:t>
            </w:r>
            <w:r>
              <w:rPr>
                <w:rFonts w:ascii="宋体" w:hAnsi="宋体" w:cs="仿宋_GB2312"/>
                <w:color w:val="auto"/>
                <w:kern w:val="0"/>
                <w:sz w:val="21"/>
                <w:szCs w:val="21"/>
              </w:rPr>
              <w:t xml:space="preserve"> </w:t>
            </w:r>
            <w:r>
              <w:rPr>
                <w:rFonts w:hint="eastAsia" w:ascii="宋体" w:hAnsi="宋体" w:cs="仿宋_GB2312"/>
                <w:color w:val="auto"/>
                <w:kern w:val="0"/>
                <w:sz w:val="21"/>
                <w:szCs w:val="21"/>
              </w:rPr>
              <w:t>款</w:t>
            </w:r>
            <w:r>
              <w:rPr>
                <w:rFonts w:ascii="宋体" w:hAnsi="宋体" w:cs="仿宋_GB2312"/>
                <w:color w:val="auto"/>
                <w:kern w:val="0"/>
                <w:sz w:val="21"/>
                <w:szCs w:val="21"/>
              </w:rPr>
              <w:t xml:space="preserve"> </w:t>
            </w:r>
            <w:r>
              <w:rPr>
                <w:rFonts w:hint="eastAsia" w:ascii="宋体" w:hAnsi="宋体" w:cs="仿宋_GB2312"/>
                <w:color w:val="auto"/>
                <w:kern w:val="0"/>
                <w:sz w:val="21"/>
                <w:szCs w:val="21"/>
              </w:rPr>
              <w:t>名</w:t>
            </w:r>
            <w:r>
              <w:rPr>
                <w:rFonts w:ascii="宋体" w:hAnsi="宋体" w:cs="仿宋_GB2312"/>
                <w:color w:val="auto"/>
                <w:kern w:val="0"/>
                <w:sz w:val="21"/>
                <w:szCs w:val="21"/>
              </w:rPr>
              <w:t xml:space="preserve"> </w:t>
            </w:r>
            <w:r>
              <w:rPr>
                <w:rFonts w:hint="eastAsia" w:ascii="宋体" w:hAnsi="宋体" w:cs="仿宋_GB2312"/>
                <w:color w:val="auto"/>
                <w:kern w:val="0"/>
                <w:sz w:val="21"/>
                <w:szCs w:val="21"/>
              </w:rPr>
              <w:t>称</w:t>
            </w:r>
          </w:p>
        </w:tc>
        <w:tc>
          <w:tcPr>
            <w:tcW w:w="5675" w:type="dxa"/>
            <w:vAlign w:val="center"/>
          </w:tcPr>
          <w:p w14:paraId="1127BC0D">
            <w:pPr>
              <w:autoSpaceDE w:val="0"/>
              <w:autoSpaceDN w:val="0"/>
              <w:adjustRightInd w:val="0"/>
              <w:snapToGrid w:val="0"/>
              <w:jc w:val="center"/>
              <w:outlineLvl w:val="9"/>
              <w:rPr>
                <w:rFonts w:ascii="宋体" w:hAnsi="宋体" w:cs="黑体"/>
                <w:color w:val="auto"/>
                <w:kern w:val="0"/>
                <w:sz w:val="21"/>
                <w:szCs w:val="21"/>
              </w:rPr>
            </w:pPr>
            <w:r>
              <w:rPr>
                <w:rFonts w:hint="eastAsia" w:ascii="宋体" w:hAnsi="宋体" w:cs="仿宋_GB2312"/>
                <w:color w:val="auto"/>
                <w:kern w:val="0"/>
                <w:sz w:val="21"/>
                <w:szCs w:val="21"/>
              </w:rPr>
              <w:t>编</w:t>
            </w:r>
            <w:r>
              <w:rPr>
                <w:rFonts w:ascii="宋体" w:hAnsi="宋体" w:cs="仿宋_GB2312"/>
                <w:color w:val="auto"/>
                <w:kern w:val="0"/>
                <w:sz w:val="21"/>
                <w:szCs w:val="21"/>
              </w:rPr>
              <w:t xml:space="preserve"> </w:t>
            </w:r>
            <w:r>
              <w:rPr>
                <w:rFonts w:hint="eastAsia" w:ascii="宋体" w:hAnsi="宋体" w:cs="仿宋_GB2312"/>
                <w:color w:val="auto"/>
                <w:kern w:val="0"/>
                <w:sz w:val="21"/>
                <w:szCs w:val="21"/>
              </w:rPr>
              <w:t>列</w:t>
            </w:r>
            <w:r>
              <w:rPr>
                <w:rFonts w:ascii="宋体" w:hAnsi="宋体" w:cs="仿宋_GB2312"/>
                <w:color w:val="auto"/>
                <w:kern w:val="0"/>
                <w:sz w:val="21"/>
                <w:szCs w:val="21"/>
              </w:rPr>
              <w:t xml:space="preserve"> </w:t>
            </w:r>
            <w:r>
              <w:rPr>
                <w:rFonts w:hint="eastAsia" w:ascii="宋体" w:hAnsi="宋体" w:cs="仿宋_GB2312"/>
                <w:color w:val="auto"/>
                <w:kern w:val="0"/>
                <w:sz w:val="21"/>
                <w:szCs w:val="21"/>
              </w:rPr>
              <w:t>内</w:t>
            </w:r>
            <w:r>
              <w:rPr>
                <w:rFonts w:ascii="宋体" w:hAnsi="宋体" w:cs="仿宋_GB2312"/>
                <w:color w:val="auto"/>
                <w:kern w:val="0"/>
                <w:sz w:val="21"/>
                <w:szCs w:val="21"/>
              </w:rPr>
              <w:t xml:space="preserve"> </w:t>
            </w:r>
            <w:r>
              <w:rPr>
                <w:rFonts w:hint="eastAsia" w:ascii="宋体" w:hAnsi="宋体" w:cs="仿宋_GB2312"/>
                <w:color w:val="auto"/>
                <w:kern w:val="0"/>
                <w:sz w:val="21"/>
                <w:szCs w:val="21"/>
              </w:rPr>
              <w:t>容</w:t>
            </w:r>
          </w:p>
        </w:tc>
      </w:tr>
      <w:tr w14:paraId="6531F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88" w:type="dxa"/>
            <w:vAlign w:val="center"/>
          </w:tcPr>
          <w:p w14:paraId="4E5C1C3F">
            <w:pPr>
              <w:autoSpaceDE w:val="0"/>
              <w:autoSpaceDN w:val="0"/>
              <w:adjustRightInd w:val="0"/>
              <w:snapToGrid w:val="0"/>
              <w:jc w:val="center"/>
              <w:outlineLvl w:val="9"/>
              <w:rPr>
                <w:rFonts w:ascii="宋体" w:hAnsi="宋体" w:cs="TimesNewRomanPSMT"/>
                <w:color w:val="auto"/>
                <w:kern w:val="0"/>
                <w:sz w:val="21"/>
                <w:szCs w:val="21"/>
              </w:rPr>
            </w:pPr>
            <w:r>
              <w:rPr>
                <w:rFonts w:hint="eastAsia" w:ascii="宋体" w:hAnsi="宋体" w:cs="仿宋_GB2312"/>
                <w:color w:val="auto"/>
                <w:kern w:val="0"/>
                <w:sz w:val="21"/>
                <w:szCs w:val="21"/>
                <w:lang w:val="en-US" w:eastAsia="zh-CN"/>
              </w:rPr>
              <w:t>1.1.5</w:t>
            </w:r>
          </w:p>
        </w:tc>
        <w:tc>
          <w:tcPr>
            <w:tcW w:w="2515" w:type="dxa"/>
            <w:vAlign w:val="center"/>
          </w:tcPr>
          <w:p w14:paraId="509510FB">
            <w:pPr>
              <w:autoSpaceDE w:val="0"/>
              <w:autoSpaceDN w:val="0"/>
              <w:adjustRightInd w:val="0"/>
              <w:snapToGrid w:val="0"/>
              <w:jc w:val="left"/>
              <w:outlineLvl w:val="9"/>
              <w:rPr>
                <w:rFonts w:ascii="宋体" w:hAnsi="宋体" w:cs="仿宋_GB2312"/>
                <w:color w:val="auto"/>
                <w:kern w:val="0"/>
                <w:sz w:val="21"/>
                <w:szCs w:val="21"/>
              </w:rPr>
            </w:pPr>
            <w:r>
              <w:rPr>
                <w:rFonts w:hint="eastAsia" w:ascii="宋体" w:hAnsi="宋体" w:cs="黑体"/>
                <w:color w:val="auto"/>
                <w:kern w:val="0"/>
                <w:sz w:val="21"/>
                <w:szCs w:val="21"/>
              </w:rPr>
              <w:t>采购标的对应的中小企业划分标准所属行业</w:t>
            </w:r>
          </w:p>
        </w:tc>
        <w:tc>
          <w:tcPr>
            <w:tcW w:w="5675" w:type="dxa"/>
            <w:vAlign w:val="center"/>
          </w:tcPr>
          <w:p w14:paraId="1F4D3280">
            <w:pPr>
              <w:autoSpaceDE w:val="0"/>
              <w:autoSpaceDN w:val="0"/>
              <w:adjustRightInd w:val="0"/>
              <w:snapToGrid w:val="0"/>
              <w:jc w:val="left"/>
              <w:outlineLvl w:val="9"/>
              <w:rPr>
                <w:rFonts w:hint="eastAsia" w:ascii="宋体" w:hAnsi="宋体" w:eastAsia="宋体" w:cs="仿宋_GB2312"/>
                <w:color w:val="auto"/>
                <w:kern w:val="0"/>
                <w:sz w:val="21"/>
                <w:szCs w:val="21"/>
                <w:lang w:eastAsia="zh-CN"/>
              </w:rPr>
            </w:pPr>
            <w:r>
              <w:rPr>
                <w:rFonts w:hint="eastAsia" w:ascii="宋体" w:hAnsi="宋体" w:cs="黑体"/>
                <w:color w:val="auto"/>
                <w:kern w:val="0"/>
                <w:sz w:val="21"/>
                <w:szCs w:val="21"/>
              </w:rPr>
              <w:t>所属行业</w:t>
            </w:r>
            <w:r>
              <w:rPr>
                <w:rFonts w:hint="eastAsia" w:ascii="宋体" w:hAnsi="宋体" w:cs="黑体"/>
                <w:color w:val="auto"/>
                <w:kern w:val="0"/>
                <w:sz w:val="21"/>
                <w:szCs w:val="21"/>
                <w:lang w:val="en-US" w:eastAsia="zh-CN"/>
              </w:rPr>
              <w:t>为:租赁和商务服务业</w:t>
            </w:r>
          </w:p>
        </w:tc>
      </w:tr>
      <w:tr w14:paraId="2FD0D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shd w:val="clear" w:color="auto" w:fill="auto"/>
            <w:vAlign w:val="center"/>
          </w:tcPr>
          <w:p w14:paraId="7883C04E">
            <w:pPr>
              <w:autoSpaceDE w:val="0"/>
              <w:autoSpaceDN w:val="0"/>
              <w:adjustRightInd w:val="0"/>
              <w:snapToGrid w:val="0"/>
              <w:jc w:val="center"/>
              <w:outlineLvl w:val="9"/>
              <w:rPr>
                <w:rFonts w:hint="eastAsia" w:ascii="宋体" w:hAnsi="宋体" w:cs="仿宋_GB2312"/>
                <w:color w:val="auto"/>
                <w:kern w:val="0"/>
                <w:sz w:val="21"/>
                <w:szCs w:val="21"/>
                <w:shd w:val="clear" w:color="auto" w:fill="auto"/>
                <w:lang w:val="en-US" w:eastAsia="zh-CN"/>
              </w:rPr>
            </w:pPr>
            <w:r>
              <w:rPr>
                <w:rFonts w:hint="eastAsia" w:ascii="宋体" w:hAnsi="宋体" w:cs="仿宋_GB2312"/>
                <w:color w:val="auto"/>
                <w:kern w:val="0"/>
                <w:sz w:val="21"/>
                <w:szCs w:val="21"/>
                <w:shd w:val="clear" w:color="auto" w:fill="auto"/>
                <w:lang w:val="en-US" w:eastAsia="zh-CN"/>
              </w:rPr>
              <w:t>1.5.2</w:t>
            </w:r>
          </w:p>
        </w:tc>
        <w:tc>
          <w:tcPr>
            <w:tcW w:w="2515" w:type="dxa"/>
            <w:shd w:val="clear" w:color="auto" w:fill="auto"/>
            <w:vAlign w:val="center"/>
          </w:tcPr>
          <w:p w14:paraId="3E587B13">
            <w:pPr>
              <w:autoSpaceDE w:val="0"/>
              <w:autoSpaceDN w:val="0"/>
              <w:adjustRightInd w:val="0"/>
              <w:snapToGrid w:val="0"/>
              <w:jc w:val="left"/>
              <w:outlineLvl w:val="9"/>
              <w:rPr>
                <w:rFonts w:hint="eastAsia" w:ascii="宋体" w:hAnsi="宋体" w:cs="黑体"/>
                <w:color w:val="auto"/>
                <w:kern w:val="0"/>
                <w:sz w:val="21"/>
                <w:szCs w:val="21"/>
                <w:shd w:val="clear" w:color="auto" w:fill="auto"/>
                <w:lang w:val="en-US" w:eastAsia="zh-CN"/>
              </w:rPr>
            </w:pPr>
            <w:r>
              <w:rPr>
                <w:rFonts w:hint="eastAsia" w:ascii="宋体" w:hAnsi="宋体" w:cs="黑体"/>
                <w:color w:val="auto"/>
                <w:kern w:val="0"/>
                <w:sz w:val="21"/>
                <w:szCs w:val="21"/>
                <w:shd w:val="clear" w:color="auto" w:fill="auto"/>
                <w:lang w:val="en-US" w:eastAsia="zh-CN"/>
              </w:rPr>
              <w:t>是否</w:t>
            </w:r>
            <w:r>
              <w:rPr>
                <w:rFonts w:hint="eastAsia" w:ascii="宋体" w:hAnsi="宋体" w:cs="黑体"/>
                <w:color w:val="auto"/>
                <w:kern w:val="0"/>
                <w:sz w:val="21"/>
                <w:szCs w:val="21"/>
                <w:shd w:val="clear" w:color="auto" w:fill="auto"/>
              </w:rPr>
              <w:t>专门面向中小企业或小型、微型企业采购</w:t>
            </w:r>
          </w:p>
        </w:tc>
        <w:tc>
          <w:tcPr>
            <w:tcW w:w="5675" w:type="dxa"/>
            <w:shd w:val="clear" w:color="auto" w:fill="auto"/>
            <w:vAlign w:val="center"/>
          </w:tcPr>
          <w:p w14:paraId="3474C451">
            <w:pPr>
              <w:shd w:val="clear"/>
              <w:autoSpaceDE w:val="0"/>
              <w:autoSpaceDN w:val="0"/>
              <w:adjustRightInd w:val="0"/>
              <w:snapToGrid w:val="0"/>
              <w:jc w:val="left"/>
              <w:outlineLvl w:val="9"/>
              <w:rPr>
                <w:rFonts w:hint="eastAsia" w:ascii="宋体" w:hAnsi="宋体" w:eastAsia="宋体" w:cs="仿宋_GB2312"/>
                <w:color w:val="auto"/>
                <w:kern w:val="0"/>
                <w:sz w:val="21"/>
                <w:szCs w:val="21"/>
                <w:shd w:val="clear" w:color="auto" w:fill="auto"/>
                <w:lang w:val="en-US" w:eastAsia="zh-CN"/>
              </w:rPr>
            </w:pPr>
            <w:r>
              <w:rPr>
                <w:rFonts w:hint="eastAsia" w:ascii="宋体" w:hAnsi="宋体" w:cs="仿宋_GB2312"/>
                <w:color w:val="auto"/>
                <w:kern w:val="0"/>
                <w:sz w:val="21"/>
                <w:szCs w:val="21"/>
                <w:shd w:val="clear" w:color="auto" w:fill="auto"/>
                <w:lang w:eastAsia="zh-CN"/>
              </w:rPr>
              <w:t>□</w:t>
            </w:r>
            <w:r>
              <w:rPr>
                <w:rFonts w:hint="eastAsia" w:ascii="宋体" w:hAnsi="宋体" w:cs="仿宋_GB2312"/>
                <w:color w:val="auto"/>
                <w:kern w:val="0"/>
                <w:sz w:val="21"/>
                <w:szCs w:val="21"/>
                <w:shd w:val="clear" w:color="auto" w:fill="auto"/>
                <w:lang w:val="en-US" w:eastAsia="zh-CN"/>
              </w:rPr>
              <w:t>是</w:t>
            </w:r>
          </w:p>
          <w:p w14:paraId="78D402D8">
            <w:pPr>
              <w:shd w:val="clear"/>
              <w:autoSpaceDE w:val="0"/>
              <w:autoSpaceDN w:val="0"/>
              <w:adjustRightInd w:val="0"/>
              <w:snapToGrid w:val="0"/>
              <w:jc w:val="left"/>
              <w:outlineLvl w:val="9"/>
              <w:rPr>
                <w:rFonts w:hint="eastAsia" w:ascii="宋体" w:hAnsi="宋体" w:cs="仿宋_GB2312"/>
                <w:color w:val="auto"/>
                <w:kern w:val="0"/>
                <w:sz w:val="21"/>
                <w:szCs w:val="21"/>
                <w:shd w:val="clear" w:color="auto" w:fill="auto"/>
              </w:rPr>
            </w:pPr>
            <w:r>
              <w:rPr>
                <w:rFonts w:hint="eastAsia" w:ascii="宋体" w:hAnsi="宋体" w:cs="仿宋_GB2312"/>
                <w:color w:val="auto"/>
                <w:kern w:val="0"/>
                <w:sz w:val="21"/>
                <w:szCs w:val="21"/>
                <w:shd w:val="clear" w:color="auto" w:fill="auto"/>
                <w:lang w:eastAsia="zh-CN"/>
              </w:rPr>
              <w:t>☑</w:t>
            </w:r>
            <w:r>
              <w:rPr>
                <w:rFonts w:hint="eastAsia" w:ascii="宋体" w:hAnsi="宋体" w:cs="仿宋_GB2312"/>
                <w:color w:val="auto"/>
                <w:kern w:val="0"/>
                <w:sz w:val="21"/>
                <w:szCs w:val="21"/>
                <w:shd w:val="clear" w:color="auto" w:fill="auto"/>
                <w:lang w:val="en-US" w:eastAsia="zh-CN"/>
              </w:rPr>
              <w:t>否</w:t>
            </w:r>
          </w:p>
        </w:tc>
      </w:tr>
      <w:tr w14:paraId="15B65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8" w:type="dxa"/>
            <w:vAlign w:val="center"/>
          </w:tcPr>
          <w:p w14:paraId="5B2492BD">
            <w:pPr>
              <w:autoSpaceDE w:val="0"/>
              <w:autoSpaceDN w:val="0"/>
              <w:adjustRightInd w:val="0"/>
              <w:snapToGrid w:val="0"/>
              <w:jc w:val="center"/>
              <w:outlineLvl w:val="9"/>
              <w:rPr>
                <w:rFonts w:hint="default" w:ascii="宋体" w:hAnsi="宋体" w:cs="仿宋_GB2312"/>
                <w:color w:val="auto"/>
                <w:kern w:val="0"/>
                <w:sz w:val="21"/>
                <w:szCs w:val="21"/>
                <w:lang w:val="en-US" w:eastAsia="zh-CN"/>
              </w:rPr>
            </w:pPr>
            <w:r>
              <w:rPr>
                <w:rFonts w:hint="eastAsia" w:ascii="宋体" w:hAnsi="宋体" w:cs="仿宋_GB2312"/>
                <w:color w:val="auto"/>
                <w:kern w:val="0"/>
                <w:sz w:val="21"/>
                <w:szCs w:val="21"/>
                <w:lang w:val="en-US" w:eastAsia="zh-CN"/>
              </w:rPr>
              <w:t>1.6</w:t>
            </w:r>
          </w:p>
        </w:tc>
        <w:tc>
          <w:tcPr>
            <w:tcW w:w="2515" w:type="dxa"/>
            <w:vAlign w:val="center"/>
          </w:tcPr>
          <w:p w14:paraId="13015E5E">
            <w:pPr>
              <w:autoSpaceDE w:val="0"/>
              <w:autoSpaceDN w:val="0"/>
              <w:adjustRightInd w:val="0"/>
              <w:snapToGrid w:val="0"/>
              <w:jc w:val="left"/>
              <w:outlineLvl w:val="9"/>
              <w:rPr>
                <w:rFonts w:hint="default" w:ascii="宋体" w:hAnsi="宋体" w:cs="黑体"/>
                <w:color w:val="auto"/>
                <w:kern w:val="0"/>
                <w:sz w:val="21"/>
                <w:szCs w:val="21"/>
                <w:lang w:val="en-US" w:eastAsia="zh-CN"/>
              </w:rPr>
            </w:pPr>
            <w:r>
              <w:rPr>
                <w:rFonts w:hint="eastAsia" w:ascii="宋体" w:hAnsi="宋体" w:cs="黑体"/>
                <w:color w:val="auto"/>
                <w:kern w:val="0"/>
                <w:sz w:val="21"/>
                <w:szCs w:val="21"/>
                <w:lang w:val="en-US" w:eastAsia="zh-CN"/>
              </w:rPr>
              <w:t>是否</w:t>
            </w:r>
            <w:r>
              <w:rPr>
                <w:rFonts w:hint="eastAsia" w:ascii="宋体" w:hAnsi="宋体" w:cs="黑体"/>
                <w:color w:val="auto"/>
                <w:kern w:val="0"/>
                <w:sz w:val="21"/>
                <w:szCs w:val="21"/>
              </w:rPr>
              <w:t>允许采用分包方式履行合同</w:t>
            </w:r>
          </w:p>
        </w:tc>
        <w:tc>
          <w:tcPr>
            <w:tcW w:w="5675" w:type="dxa"/>
            <w:vAlign w:val="center"/>
          </w:tcPr>
          <w:p w14:paraId="6101ADFB">
            <w:pPr>
              <w:keepNext w:val="0"/>
              <w:keepLines w:val="0"/>
              <w:pageBreakBefore w:val="0"/>
              <w:widowControl w:val="0"/>
              <w:kinsoku/>
              <w:wordWrap/>
              <w:overflowPunct/>
              <w:topLinePunct w:val="0"/>
              <w:autoSpaceDE w:val="0"/>
              <w:autoSpaceDN w:val="0"/>
              <w:bidi w:val="0"/>
              <w:adjustRightInd w:val="0"/>
              <w:snapToGrid w:val="0"/>
              <w:jc w:val="left"/>
              <w:textAlignment w:val="auto"/>
              <w:outlineLvl w:val="9"/>
              <w:rPr>
                <w:rFonts w:hint="eastAsia" w:ascii="宋体" w:hAnsi="宋体" w:eastAsia="宋体" w:cs="仿宋_GB2312"/>
                <w:color w:val="auto"/>
                <w:kern w:val="0"/>
                <w:sz w:val="21"/>
                <w:szCs w:val="21"/>
                <w:highlight w:val="none"/>
                <w:lang w:val="en-US" w:eastAsia="zh-CN"/>
              </w:rPr>
            </w:pPr>
            <w:r>
              <w:rPr>
                <w:rFonts w:hint="eastAsia" w:ascii="宋体" w:hAnsi="宋体" w:cs="仿宋_GB2312"/>
                <w:color w:val="auto"/>
                <w:kern w:val="0"/>
                <w:sz w:val="21"/>
                <w:szCs w:val="21"/>
                <w:highlight w:val="none"/>
                <w:lang w:eastAsia="zh-CN"/>
              </w:rPr>
              <w:t>☑</w:t>
            </w:r>
            <w:r>
              <w:rPr>
                <w:rFonts w:hint="eastAsia" w:ascii="宋体" w:hAnsi="宋体" w:cs="仿宋_GB2312"/>
                <w:color w:val="auto"/>
                <w:kern w:val="0"/>
                <w:sz w:val="21"/>
                <w:szCs w:val="21"/>
                <w:highlight w:val="none"/>
                <w:lang w:val="en-US" w:eastAsia="zh-CN"/>
              </w:rPr>
              <w:t>不允许</w:t>
            </w:r>
          </w:p>
          <w:p w14:paraId="05E7F669">
            <w:pPr>
              <w:keepNext w:val="0"/>
              <w:keepLines w:val="0"/>
              <w:pageBreakBefore w:val="0"/>
              <w:widowControl w:val="0"/>
              <w:kinsoku/>
              <w:wordWrap/>
              <w:overflowPunct/>
              <w:topLinePunct w:val="0"/>
              <w:autoSpaceDE w:val="0"/>
              <w:autoSpaceDN w:val="0"/>
              <w:bidi w:val="0"/>
              <w:adjustRightInd w:val="0"/>
              <w:snapToGrid w:val="0"/>
              <w:jc w:val="left"/>
              <w:textAlignment w:val="auto"/>
              <w:outlineLvl w:val="9"/>
              <w:rPr>
                <w:rFonts w:hint="eastAsia" w:ascii="宋体" w:hAnsi="宋体" w:cs="仿宋_GB2312"/>
                <w:color w:val="auto"/>
                <w:kern w:val="0"/>
                <w:sz w:val="21"/>
                <w:szCs w:val="21"/>
                <w:highlight w:val="none"/>
                <w:lang w:val="en-US" w:eastAsia="zh-CN"/>
              </w:rPr>
            </w:pPr>
            <w:r>
              <w:rPr>
                <w:rFonts w:hint="eastAsia" w:ascii="宋体" w:hAnsi="宋体" w:cs="仿宋_GB2312"/>
                <w:color w:val="auto"/>
                <w:kern w:val="0"/>
                <w:sz w:val="21"/>
                <w:szCs w:val="21"/>
                <w:highlight w:val="none"/>
                <w:lang w:eastAsia="zh-CN"/>
              </w:rPr>
              <w:t>□</w:t>
            </w:r>
            <w:r>
              <w:rPr>
                <w:rFonts w:hint="eastAsia" w:ascii="宋体" w:hAnsi="宋体" w:cs="仿宋_GB2312"/>
                <w:color w:val="auto"/>
                <w:kern w:val="0"/>
                <w:sz w:val="21"/>
                <w:szCs w:val="21"/>
                <w:highlight w:val="none"/>
                <w:lang w:val="en-US" w:eastAsia="zh-CN"/>
              </w:rPr>
              <w:t>允许，</w:t>
            </w:r>
          </w:p>
          <w:p w14:paraId="31259AB5">
            <w:pPr>
              <w:keepNext w:val="0"/>
              <w:keepLines w:val="0"/>
              <w:pageBreakBefore w:val="0"/>
              <w:widowControl w:val="0"/>
              <w:kinsoku/>
              <w:wordWrap/>
              <w:overflowPunct/>
              <w:topLinePunct w:val="0"/>
              <w:autoSpaceDE w:val="0"/>
              <w:autoSpaceDN w:val="0"/>
              <w:bidi w:val="0"/>
              <w:adjustRightInd w:val="0"/>
              <w:snapToGrid w:val="0"/>
              <w:jc w:val="left"/>
              <w:textAlignment w:val="auto"/>
              <w:outlineLvl w:val="9"/>
              <w:rPr>
                <w:rFonts w:hint="eastAsia" w:ascii="宋体" w:hAnsi="宋体" w:cs="仿宋_GB2312"/>
                <w:color w:val="auto"/>
                <w:kern w:val="0"/>
                <w:sz w:val="21"/>
                <w:szCs w:val="21"/>
                <w:highlight w:val="none"/>
                <w:u w:val="single"/>
                <w:lang w:val="en-US" w:eastAsia="zh-CN"/>
              </w:rPr>
            </w:pPr>
            <w:r>
              <w:rPr>
                <w:rFonts w:hint="eastAsia" w:ascii="宋体" w:hAnsi="宋体" w:cs="仿宋_GB2312"/>
                <w:color w:val="auto"/>
                <w:kern w:val="0"/>
                <w:sz w:val="21"/>
                <w:szCs w:val="21"/>
                <w:highlight w:val="none"/>
                <w:lang w:val="en-US" w:eastAsia="zh-CN"/>
              </w:rPr>
              <w:t>（1）</w:t>
            </w:r>
            <w:r>
              <w:rPr>
                <w:rFonts w:hint="eastAsia" w:ascii="宋体" w:hAnsi="宋体" w:cs="仿宋_GB2312"/>
                <w:color w:val="auto"/>
                <w:kern w:val="0"/>
                <w:sz w:val="21"/>
                <w:szCs w:val="21"/>
                <w:highlight w:val="none"/>
                <w:u w:val="single"/>
                <w:lang w:val="en-US" w:eastAsia="zh-CN"/>
              </w:rPr>
              <w:t xml:space="preserve">可以分包履行的具体内容：部分非主体、非关键性工作； </w:t>
            </w:r>
          </w:p>
          <w:p w14:paraId="572A6A51">
            <w:pPr>
              <w:keepNext w:val="0"/>
              <w:keepLines w:val="0"/>
              <w:pageBreakBefore w:val="0"/>
              <w:widowControl w:val="0"/>
              <w:kinsoku/>
              <w:wordWrap/>
              <w:overflowPunct/>
              <w:topLinePunct w:val="0"/>
              <w:autoSpaceDE w:val="0"/>
              <w:autoSpaceDN w:val="0"/>
              <w:bidi w:val="0"/>
              <w:adjustRightInd w:val="0"/>
              <w:snapToGrid w:val="0"/>
              <w:jc w:val="left"/>
              <w:textAlignment w:val="auto"/>
              <w:outlineLvl w:val="9"/>
              <w:rPr>
                <w:rFonts w:hint="eastAsia" w:ascii="宋体" w:hAnsi="宋体" w:cs="仿宋_GB2312"/>
                <w:color w:val="auto"/>
                <w:kern w:val="0"/>
                <w:sz w:val="21"/>
                <w:szCs w:val="21"/>
                <w:highlight w:val="none"/>
                <w:lang w:val="en-US" w:eastAsia="zh-CN"/>
              </w:rPr>
            </w:pPr>
            <w:r>
              <w:rPr>
                <w:rFonts w:hint="eastAsia" w:ascii="宋体" w:hAnsi="宋体" w:cs="仿宋_GB2312"/>
                <w:color w:val="auto"/>
                <w:kern w:val="0"/>
                <w:sz w:val="21"/>
                <w:szCs w:val="21"/>
                <w:highlight w:val="none"/>
                <w:lang w:val="en-US" w:eastAsia="zh-CN"/>
              </w:rPr>
              <w:t>（2）</w:t>
            </w:r>
            <w:r>
              <w:rPr>
                <w:rFonts w:hint="eastAsia" w:ascii="宋体" w:hAnsi="宋体" w:cs="仿宋_GB2312"/>
                <w:color w:val="auto"/>
                <w:kern w:val="0"/>
                <w:sz w:val="21"/>
                <w:szCs w:val="21"/>
                <w:highlight w:val="none"/>
                <w:u w:val="single"/>
                <w:lang w:val="en-US" w:eastAsia="zh-CN"/>
              </w:rPr>
              <w:t>允许分包的金额或者比例：获得采购合同的供应商将采购项目中的30%分包给一家或多家中小企业，其中小微企业承担部分达到60.00%。 并提供分包意向协议，协议中应载明承担分包工作的中小企业信息、具体分包工作内容、相关分包比例说明等；</w:t>
            </w:r>
            <w:r>
              <w:rPr>
                <w:rFonts w:hint="eastAsia" w:ascii="宋体" w:hAnsi="宋体" w:cs="仿宋_GB2312"/>
                <w:color w:val="auto"/>
                <w:kern w:val="0"/>
                <w:sz w:val="21"/>
                <w:szCs w:val="21"/>
                <w:highlight w:val="none"/>
                <w:lang w:val="en-US" w:eastAsia="zh-CN"/>
              </w:rPr>
              <w:t xml:space="preserve"> </w:t>
            </w:r>
          </w:p>
          <w:p w14:paraId="4D99DBAE">
            <w:pPr>
              <w:keepNext w:val="0"/>
              <w:keepLines w:val="0"/>
              <w:pageBreakBefore w:val="0"/>
              <w:widowControl w:val="0"/>
              <w:kinsoku/>
              <w:wordWrap/>
              <w:overflowPunct/>
              <w:topLinePunct w:val="0"/>
              <w:autoSpaceDE w:val="0"/>
              <w:autoSpaceDN w:val="0"/>
              <w:bidi w:val="0"/>
              <w:adjustRightInd w:val="0"/>
              <w:snapToGrid w:val="0"/>
              <w:jc w:val="left"/>
              <w:textAlignment w:val="auto"/>
              <w:outlineLvl w:val="9"/>
              <w:rPr>
                <w:rFonts w:hint="eastAsia" w:ascii="宋体" w:hAnsi="宋体" w:cs="仿宋_GB2312"/>
                <w:color w:val="auto"/>
                <w:kern w:val="0"/>
                <w:sz w:val="21"/>
                <w:szCs w:val="21"/>
              </w:rPr>
            </w:pPr>
            <w:r>
              <w:rPr>
                <w:rFonts w:hint="eastAsia" w:ascii="宋体" w:hAnsi="宋体" w:cs="仿宋_GB2312"/>
                <w:color w:val="auto"/>
                <w:kern w:val="0"/>
                <w:sz w:val="21"/>
                <w:szCs w:val="21"/>
                <w:highlight w:val="none"/>
                <w:lang w:val="en-US" w:eastAsia="zh-CN"/>
              </w:rPr>
              <w:t>（3）</w:t>
            </w:r>
            <w:r>
              <w:rPr>
                <w:rFonts w:hint="eastAsia" w:ascii="宋体" w:hAnsi="宋体" w:cs="仿宋_GB2312"/>
                <w:color w:val="auto"/>
                <w:kern w:val="0"/>
                <w:sz w:val="21"/>
                <w:szCs w:val="21"/>
                <w:highlight w:val="none"/>
                <w:u w:val="single"/>
                <w:lang w:val="en-US" w:eastAsia="zh-CN"/>
              </w:rPr>
              <w:t>其他要求： 承担分包工作的企业应具有相应的能力。</w:t>
            </w:r>
          </w:p>
        </w:tc>
      </w:tr>
      <w:tr w14:paraId="0B197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0A157A4D">
            <w:pPr>
              <w:autoSpaceDE w:val="0"/>
              <w:autoSpaceDN w:val="0"/>
              <w:adjustRightInd w:val="0"/>
              <w:snapToGrid w:val="0"/>
              <w:jc w:val="center"/>
              <w:outlineLvl w:val="9"/>
              <w:rPr>
                <w:rFonts w:ascii="宋体" w:hAnsi="宋体" w:cs="仿宋_GB2312"/>
                <w:color w:val="auto"/>
                <w:kern w:val="0"/>
                <w:sz w:val="21"/>
                <w:szCs w:val="21"/>
              </w:rPr>
            </w:pPr>
            <w:r>
              <w:rPr>
                <w:rFonts w:ascii="宋体" w:hAnsi="宋体" w:cs="仿宋_GB2312"/>
                <w:color w:val="auto"/>
                <w:kern w:val="0"/>
                <w:sz w:val="21"/>
                <w:szCs w:val="21"/>
              </w:rPr>
              <w:t>2.2</w:t>
            </w:r>
          </w:p>
        </w:tc>
        <w:tc>
          <w:tcPr>
            <w:tcW w:w="2515" w:type="dxa"/>
            <w:vAlign w:val="center"/>
          </w:tcPr>
          <w:p w14:paraId="77687397">
            <w:pPr>
              <w:autoSpaceDE w:val="0"/>
              <w:autoSpaceDN w:val="0"/>
              <w:adjustRightInd w:val="0"/>
              <w:snapToGrid w:val="0"/>
              <w:jc w:val="left"/>
              <w:outlineLvl w:val="9"/>
              <w:rPr>
                <w:rFonts w:hint="eastAsia" w:ascii="宋体" w:hAnsi="宋体" w:cs="仿宋_GB2312"/>
                <w:color w:val="auto"/>
                <w:kern w:val="0"/>
                <w:sz w:val="21"/>
                <w:szCs w:val="21"/>
              </w:rPr>
            </w:pPr>
            <w:r>
              <w:rPr>
                <w:rFonts w:hint="eastAsia" w:ascii="宋体" w:hAnsi="宋体" w:cs="仿宋_GB2312"/>
                <w:color w:val="auto"/>
                <w:kern w:val="0"/>
                <w:sz w:val="21"/>
                <w:szCs w:val="21"/>
              </w:rPr>
              <w:t>核心产品</w:t>
            </w:r>
          </w:p>
        </w:tc>
        <w:tc>
          <w:tcPr>
            <w:tcW w:w="5675" w:type="dxa"/>
            <w:vAlign w:val="center"/>
          </w:tcPr>
          <w:p w14:paraId="75252946">
            <w:pPr>
              <w:keepNext w:val="0"/>
              <w:keepLines w:val="0"/>
              <w:pageBreakBefore w:val="0"/>
              <w:widowControl w:val="0"/>
              <w:kinsoku/>
              <w:wordWrap/>
              <w:overflowPunct/>
              <w:topLinePunct w:val="0"/>
              <w:autoSpaceDE w:val="0"/>
              <w:autoSpaceDN w:val="0"/>
              <w:bidi w:val="0"/>
              <w:adjustRightInd w:val="0"/>
              <w:snapToGrid w:val="0"/>
              <w:jc w:val="left"/>
              <w:textAlignment w:val="auto"/>
              <w:outlineLvl w:val="9"/>
              <w:rPr>
                <w:rFonts w:hint="eastAsia" w:ascii="宋体" w:hAnsi="宋体" w:eastAsia="宋体" w:cs="仿宋_GB2312"/>
                <w:color w:val="auto"/>
                <w:kern w:val="0"/>
                <w:sz w:val="21"/>
                <w:szCs w:val="21"/>
                <w:lang w:eastAsia="zh-CN"/>
              </w:rPr>
            </w:pPr>
            <w:r>
              <w:rPr>
                <w:rFonts w:hint="eastAsia" w:ascii="宋体" w:hAnsi="宋体" w:cs="仿宋_GB2312"/>
                <w:color w:val="auto"/>
                <w:kern w:val="0"/>
                <w:sz w:val="21"/>
                <w:szCs w:val="21"/>
                <w:lang w:eastAsia="zh-CN"/>
              </w:rPr>
              <w:t>☑</w:t>
            </w:r>
            <w:r>
              <w:rPr>
                <w:rFonts w:hint="eastAsia" w:ascii="宋体" w:hAnsi="宋体" w:cs="仿宋_GB2312"/>
                <w:color w:val="auto"/>
                <w:kern w:val="0"/>
                <w:sz w:val="21"/>
                <w:szCs w:val="21"/>
              </w:rPr>
              <w:t>服务采购</w:t>
            </w:r>
            <w:r>
              <w:rPr>
                <w:rFonts w:hint="eastAsia" w:ascii="宋体" w:hAnsi="宋体" w:cs="仿宋_GB2312"/>
                <w:color w:val="auto"/>
                <w:kern w:val="0"/>
                <w:sz w:val="21"/>
                <w:szCs w:val="21"/>
                <w:lang w:eastAsia="zh-CN"/>
              </w:rPr>
              <w:t>(</w:t>
            </w:r>
            <w:r>
              <w:rPr>
                <w:rFonts w:hint="eastAsia" w:ascii="宋体" w:hAnsi="宋体" w:cs="仿宋_GB2312"/>
                <w:color w:val="auto"/>
                <w:kern w:val="0"/>
                <w:sz w:val="21"/>
                <w:szCs w:val="21"/>
              </w:rPr>
              <w:t>不适用</w:t>
            </w:r>
            <w:r>
              <w:rPr>
                <w:rFonts w:hint="eastAsia" w:ascii="宋体" w:hAnsi="宋体" w:cs="仿宋_GB2312"/>
                <w:color w:val="auto"/>
                <w:kern w:val="0"/>
                <w:sz w:val="21"/>
                <w:szCs w:val="21"/>
                <w:lang w:eastAsia="zh-CN"/>
              </w:rPr>
              <w:t>)</w:t>
            </w:r>
          </w:p>
          <w:p w14:paraId="4012C1CD">
            <w:pPr>
              <w:keepNext w:val="0"/>
              <w:keepLines w:val="0"/>
              <w:pageBreakBefore w:val="0"/>
              <w:widowControl w:val="0"/>
              <w:kinsoku/>
              <w:wordWrap/>
              <w:overflowPunct/>
              <w:topLinePunct w:val="0"/>
              <w:autoSpaceDE w:val="0"/>
              <w:autoSpaceDN w:val="0"/>
              <w:bidi w:val="0"/>
              <w:adjustRightInd w:val="0"/>
              <w:snapToGrid w:val="0"/>
              <w:jc w:val="left"/>
              <w:textAlignment w:val="auto"/>
              <w:outlineLvl w:val="9"/>
              <w:rPr>
                <w:rFonts w:hint="eastAsia" w:ascii="宋体" w:hAnsi="宋体" w:eastAsia="宋体" w:cs="仿宋_GB2312"/>
                <w:color w:val="auto"/>
                <w:kern w:val="0"/>
                <w:sz w:val="21"/>
                <w:szCs w:val="21"/>
                <w:lang w:eastAsia="zh-CN"/>
              </w:rPr>
            </w:pPr>
            <w:r>
              <w:rPr>
                <w:rFonts w:hint="eastAsia" w:ascii="宋体" w:hAnsi="宋体" w:cs="仿宋_GB2312"/>
                <w:color w:val="auto"/>
                <w:kern w:val="0"/>
                <w:sz w:val="21"/>
                <w:szCs w:val="21"/>
                <w:lang w:eastAsia="zh-CN"/>
              </w:rPr>
              <w:t>□</w:t>
            </w:r>
            <w:r>
              <w:rPr>
                <w:rFonts w:hint="eastAsia" w:ascii="宋体" w:hAnsi="宋体" w:cs="仿宋_GB2312"/>
                <w:color w:val="auto"/>
                <w:kern w:val="0"/>
                <w:sz w:val="21"/>
                <w:szCs w:val="21"/>
              </w:rPr>
              <w:t>单一产品采购</w:t>
            </w:r>
            <w:r>
              <w:rPr>
                <w:rFonts w:hint="eastAsia" w:ascii="宋体" w:hAnsi="宋体" w:cs="仿宋_GB2312"/>
                <w:color w:val="auto"/>
                <w:kern w:val="0"/>
                <w:sz w:val="21"/>
                <w:szCs w:val="21"/>
                <w:lang w:eastAsia="zh-CN"/>
              </w:rPr>
              <w:t>(</w:t>
            </w:r>
            <w:r>
              <w:rPr>
                <w:rFonts w:hint="eastAsia" w:ascii="宋体" w:hAnsi="宋体" w:cs="仿宋_GB2312"/>
                <w:color w:val="auto"/>
                <w:kern w:val="0"/>
                <w:sz w:val="21"/>
                <w:szCs w:val="21"/>
              </w:rPr>
              <w:t>不适用</w:t>
            </w:r>
            <w:r>
              <w:rPr>
                <w:rFonts w:hint="eastAsia" w:ascii="宋体" w:hAnsi="宋体" w:cs="仿宋_GB2312"/>
                <w:color w:val="auto"/>
                <w:kern w:val="0"/>
                <w:sz w:val="21"/>
                <w:szCs w:val="21"/>
                <w:lang w:eastAsia="zh-CN"/>
              </w:rPr>
              <w:t>)</w:t>
            </w:r>
          </w:p>
          <w:p w14:paraId="573F325B">
            <w:pPr>
              <w:keepNext w:val="0"/>
              <w:keepLines w:val="0"/>
              <w:pageBreakBefore w:val="0"/>
              <w:widowControl w:val="0"/>
              <w:kinsoku/>
              <w:wordWrap/>
              <w:overflowPunct/>
              <w:topLinePunct w:val="0"/>
              <w:autoSpaceDE w:val="0"/>
              <w:autoSpaceDN w:val="0"/>
              <w:bidi w:val="0"/>
              <w:adjustRightInd w:val="0"/>
              <w:snapToGrid w:val="0"/>
              <w:jc w:val="left"/>
              <w:textAlignment w:val="auto"/>
              <w:outlineLvl w:val="9"/>
              <w:rPr>
                <w:rFonts w:hint="eastAsia" w:ascii="宋体" w:hAnsi="宋体" w:eastAsia="宋体" w:cs="仿宋_GB2312"/>
                <w:color w:val="auto"/>
                <w:kern w:val="0"/>
                <w:sz w:val="21"/>
                <w:szCs w:val="21"/>
                <w:lang w:eastAsia="zh-CN"/>
              </w:rPr>
            </w:pPr>
            <w:r>
              <w:rPr>
                <w:rFonts w:hint="eastAsia" w:ascii="宋体" w:hAnsi="宋体" w:cs="仿宋_GB2312"/>
                <w:color w:val="auto"/>
                <w:kern w:val="0"/>
                <w:sz w:val="21"/>
                <w:szCs w:val="21"/>
              </w:rPr>
              <w:t>□非单一产品采购，核心产品为</w:t>
            </w:r>
            <w:r>
              <w:rPr>
                <w:rFonts w:hint="eastAsia" w:ascii="宋体" w:hAnsi="宋体" w:cs="仿宋_GB2312"/>
                <w:color w:val="auto"/>
                <w:kern w:val="0"/>
                <w:sz w:val="21"/>
                <w:szCs w:val="21"/>
                <w:lang w:eastAsia="zh-CN"/>
              </w:rPr>
              <w:t>:</w:t>
            </w:r>
          </w:p>
        </w:tc>
      </w:tr>
      <w:tr w14:paraId="19194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04B46168">
            <w:pPr>
              <w:autoSpaceDE w:val="0"/>
              <w:autoSpaceDN w:val="0"/>
              <w:adjustRightInd w:val="0"/>
              <w:snapToGrid w:val="0"/>
              <w:jc w:val="center"/>
              <w:outlineLvl w:val="9"/>
              <w:rPr>
                <w:rFonts w:ascii="宋体" w:hAnsi="宋体" w:cs="仿宋_GB2312"/>
                <w:color w:val="auto"/>
                <w:kern w:val="0"/>
                <w:sz w:val="21"/>
                <w:szCs w:val="21"/>
              </w:rPr>
            </w:pPr>
            <w:r>
              <w:rPr>
                <w:rFonts w:hint="eastAsia" w:ascii="宋体" w:hAnsi="宋体" w:cs="仿宋_GB2312"/>
                <w:color w:val="auto"/>
                <w:kern w:val="0"/>
                <w:sz w:val="21"/>
                <w:szCs w:val="21"/>
              </w:rPr>
              <w:t>2.3.3</w:t>
            </w:r>
          </w:p>
        </w:tc>
        <w:tc>
          <w:tcPr>
            <w:tcW w:w="2515" w:type="dxa"/>
            <w:vAlign w:val="center"/>
          </w:tcPr>
          <w:p w14:paraId="08BC5027">
            <w:pPr>
              <w:autoSpaceDE w:val="0"/>
              <w:autoSpaceDN w:val="0"/>
              <w:adjustRightInd w:val="0"/>
              <w:snapToGrid w:val="0"/>
              <w:jc w:val="left"/>
              <w:outlineLvl w:val="9"/>
              <w:rPr>
                <w:rFonts w:ascii="宋体" w:hAnsi="宋体" w:cs="仿宋_GB2312"/>
                <w:color w:val="auto"/>
                <w:kern w:val="0"/>
                <w:sz w:val="21"/>
                <w:szCs w:val="21"/>
              </w:rPr>
            </w:pPr>
            <w:r>
              <w:rPr>
                <w:rFonts w:hint="eastAsia" w:ascii="宋体" w:hAnsi="宋体" w:cs="仿宋_GB2312"/>
                <w:color w:val="auto"/>
                <w:kern w:val="0"/>
                <w:sz w:val="21"/>
                <w:szCs w:val="21"/>
              </w:rPr>
              <w:t>采购人发出澄清文件时间</w:t>
            </w:r>
          </w:p>
        </w:tc>
        <w:tc>
          <w:tcPr>
            <w:tcW w:w="5675" w:type="dxa"/>
            <w:vAlign w:val="center"/>
          </w:tcPr>
          <w:p w14:paraId="2ACD7FD5">
            <w:pPr>
              <w:autoSpaceDE w:val="0"/>
              <w:autoSpaceDN w:val="0"/>
              <w:adjustRightInd w:val="0"/>
              <w:snapToGrid w:val="0"/>
              <w:spacing w:afterLines="50"/>
              <w:outlineLvl w:val="9"/>
              <w:rPr>
                <w:rFonts w:hint="default" w:ascii="宋体" w:hAnsi="宋体" w:eastAsia="宋体" w:cs="TimesNewRomanPSMT"/>
                <w:color w:val="auto"/>
                <w:kern w:val="0"/>
                <w:sz w:val="21"/>
                <w:szCs w:val="21"/>
                <w:lang w:val="en-US" w:eastAsia="zh-CN"/>
              </w:rPr>
            </w:pPr>
            <w:r>
              <w:rPr>
                <w:rFonts w:hint="eastAsia" w:ascii="宋体" w:hAnsi="宋体" w:eastAsia="宋体" w:cs="TimesNewRomanPSMT"/>
                <w:color w:val="auto"/>
                <w:kern w:val="0"/>
                <w:sz w:val="21"/>
                <w:szCs w:val="21"/>
              </w:rPr>
              <w:t>投标截止日15日前</w:t>
            </w:r>
          </w:p>
        </w:tc>
      </w:tr>
      <w:tr w14:paraId="4965F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61122AAB">
            <w:pPr>
              <w:autoSpaceDE w:val="0"/>
              <w:autoSpaceDN w:val="0"/>
              <w:adjustRightInd w:val="0"/>
              <w:snapToGrid w:val="0"/>
              <w:jc w:val="center"/>
              <w:outlineLvl w:val="9"/>
              <w:rPr>
                <w:rFonts w:ascii="宋体" w:hAnsi="宋体" w:cs="TimesNewRomanPSMT"/>
                <w:color w:val="auto"/>
                <w:kern w:val="0"/>
                <w:sz w:val="21"/>
                <w:szCs w:val="21"/>
              </w:rPr>
            </w:pPr>
            <w:r>
              <w:rPr>
                <w:rFonts w:hint="eastAsia" w:ascii="宋体" w:hAnsi="宋体" w:cs="TimesNewRomanPSMT"/>
                <w:color w:val="auto"/>
                <w:kern w:val="0"/>
                <w:sz w:val="21"/>
                <w:szCs w:val="21"/>
              </w:rPr>
              <w:t>2.4.1</w:t>
            </w:r>
          </w:p>
        </w:tc>
        <w:tc>
          <w:tcPr>
            <w:tcW w:w="2515" w:type="dxa"/>
            <w:vAlign w:val="center"/>
          </w:tcPr>
          <w:p w14:paraId="1B59B25B">
            <w:pPr>
              <w:autoSpaceDE w:val="0"/>
              <w:autoSpaceDN w:val="0"/>
              <w:adjustRightInd w:val="0"/>
              <w:snapToGrid w:val="0"/>
              <w:outlineLvl w:val="9"/>
              <w:rPr>
                <w:rFonts w:ascii="宋体" w:hAnsi="宋体" w:cs="仿宋_GB2312"/>
                <w:color w:val="auto"/>
                <w:kern w:val="0"/>
                <w:sz w:val="21"/>
                <w:szCs w:val="21"/>
              </w:rPr>
            </w:pPr>
            <w:bookmarkStart w:id="31" w:name="_Toc26077"/>
            <w:bookmarkStart w:id="32" w:name="_Toc9672"/>
            <w:bookmarkStart w:id="33" w:name="_Toc20949"/>
            <w:r>
              <w:rPr>
                <w:rFonts w:hint="eastAsia" w:ascii="宋体" w:hAnsi="宋体" w:cs="仿宋_GB2312"/>
                <w:color w:val="auto"/>
                <w:kern w:val="0"/>
                <w:sz w:val="21"/>
                <w:szCs w:val="21"/>
              </w:rPr>
              <w:t>采购人发出修改文件时间</w:t>
            </w:r>
            <w:bookmarkEnd w:id="31"/>
            <w:bookmarkEnd w:id="32"/>
            <w:bookmarkEnd w:id="33"/>
          </w:p>
        </w:tc>
        <w:tc>
          <w:tcPr>
            <w:tcW w:w="5675" w:type="dxa"/>
            <w:vAlign w:val="center"/>
          </w:tcPr>
          <w:p w14:paraId="431964B9">
            <w:pPr>
              <w:autoSpaceDE w:val="0"/>
              <w:autoSpaceDN w:val="0"/>
              <w:adjustRightInd w:val="0"/>
              <w:snapToGrid w:val="0"/>
              <w:spacing w:afterLines="50"/>
              <w:outlineLvl w:val="9"/>
              <w:rPr>
                <w:rFonts w:hint="eastAsia" w:ascii="宋体" w:hAnsi="宋体" w:eastAsia="宋体" w:cs="TimesNewRomanPSMT"/>
                <w:color w:val="auto"/>
                <w:kern w:val="0"/>
                <w:sz w:val="21"/>
                <w:szCs w:val="21"/>
              </w:rPr>
            </w:pPr>
            <w:r>
              <w:rPr>
                <w:rFonts w:hint="eastAsia" w:ascii="宋体" w:hAnsi="宋体" w:eastAsia="宋体" w:cs="TimesNewRomanPSMT"/>
                <w:color w:val="auto"/>
                <w:kern w:val="0"/>
                <w:sz w:val="21"/>
                <w:szCs w:val="21"/>
              </w:rPr>
              <w:t>投标截止日15日前</w:t>
            </w:r>
          </w:p>
        </w:tc>
      </w:tr>
      <w:tr w14:paraId="66127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37EC9774">
            <w:pPr>
              <w:autoSpaceDE w:val="0"/>
              <w:autoSpaceDN w:val="0"/>
              <w:adjustRightInd w:val="0"/>
              <w:snapToGrid w:val="0"/>
              <w:jc w:val="center"/>
              <w:outlineLvl w:val="9"/>
              <w:rPr>
                <w:rFonts w:ascii="宋体" w:hAnsi="宋体" w:cs="TimesNewRomanPSMT"/>
                <w:color w:val="auto"/>
                <w:kern w:val="0"/>
                <w:sz w:val="21"/>
                <w:szCs w:val="21"/>
              </w:rPr>
            </w:pPr>
            <w:r>
              <w:rPr>
                <w:rFonts w:hint="eastAsia" w:ascii="宋体" w:hAnsi="宋体" w:cs="TimesNewRomanPSMT"/>
                <w:color w:val="auto"/>
                <w:kern w:val="0"/>
                <w:sz w:val="21"/>
                <w:szCs w:val="21"/>
              </w:rPr>
              <w:t>2.5</w:t>
            </w:r>
          </w:p>
        </w:tc>
        <w:tc>
          <w:tcPr>
            <w:tcW w:w="2515" w:type="dxa"/>
            <w:vAlign w:val="center"/>
          </w:tcPr>
          <w:p w14:paraId="13EA508D">
            <w:pPr>
              <w:autoSpaceDE w:val="0"/>
              <w:autoSpaceDN w:val="0"/>
              <w:adjustRightInd w:val="0"/>
              <w:snapToGrid w:val="0"/>
              <w:outlineLvl w:val="9"/>
              <w:rPr>
                <w:rFonts w:ascii="宋体" w:hAnsi="宋体" w:cs="仿宋_GB2312"/>
                <w:color w:val="auto"/>
                <w:kern w:val="0"/>
                <w:sz w:val="21"/>
                <w:szCs w:val="21"/>
              </w:rPr>
            </w:pPr>
            <w:bookmarkStart w:id="34" w:name="_Toc5691"/>
            <w:bookmarkStart w:id="35" w:name="_Toc20336"/>
            <w:bookmarkStart w:id="36" w:name="_Toc4058"/>
            <w:r>
              <w:rPr>
                <w:rFonts w:hint="eastAsia" w:ascii="宋体" w:hAnsi="宋体" w:cs="仿宋_GB2312"/>
                <w:color w:val="auto"/>
                <w:kern w:val="0"/>
                <w:sz w:val="21"/>
                <w:szCs w:val="21"/>
              </w:rPr>
              <w:t>接收质疑函的方式和联系方式</w:t>
            </w:r>
            <w:bookmarkEnd w:id="34"/>
            <w:bookmarkEnd w:id="35"/>
            <w:bookmarkEnd w:id="36"/>
          </w:p>
        </w:tc>
        <w:tc>
          <w:tcPr>
            <w:tcW w:w="5675" w:type="dxa"/>
            <w:vAlign w:val="center"/>
          </w:tcPr>
          <w:p w14:paraId="4C07DE34">
            <w:pPr>
              <w:keepNext w:val="0"/>
              <w:keepLines w:val="0"/>
              <w:pageBreakBefore w:val="0"/>
              <w:widowControl w:val="0"/>
              <w:kinsoku/>
              <w:wordWrap/>
              <w:overflowPunct/>
              <w:topLinePunct w:val="0"/>
              <w:autoSpaceDE w:val="0"/>
              <w:autoSpaceDN w:val="0"/>
              <w:bidi w:val="0"/>
              <w:adjustRightInd w:val="0"/>
              <w:snapToGrid w:val="0"/>
              <w:spacing w:afterLines="50"/>
              <w:textAlignment w:val="auto"/>
              <w:outlineLvl w:val="9"/>
              <w:rPr>
                <w:rFonts w:ascii="宋体" w:hAnsi="宋体" w:cs="TimesNewRomanPSMT"/>
                <w:color w:val="auto"/>
                <w:kern w:val="0"/>
                <w:sz w:val="21"/>
                <w:szCs w:val="21"/>
              </w:rPr>
            </w:pPr>
            <w:r>
              <w:rPr>
                <w:rFonts w:hint="eastAsia" w:ascii="宋体" w:hAnsi="宋体" w:cs="TimesNewRomanPSMT"/>
                <w:color w:val="auto"/>
                <w:kern w:val="0"/>
                <w:sz w:val="21"/>
                <w:szCs w:val="21"/>
              </w:rPr>
              <w:t>质疑函应以书面形式送达</w:t>
            </w:r>
            <w:r>
              <w:rPr>
                <w:rFonts w:hint="eastAsia" w:ascii="宋体" w:hAnsi="宋体" w:cs="TimesNewRomanPSMT"/>
                <w:color w:val="auto"/>
                <w:kern w:val="0"/>
                <w:sz w:val="21"/>
                <w:szCs w:val="21"/>
                <w:lang w:eastAsia="zh-CN"/>
              </w:rPr>
              <w:t>(</w:t>
            </w:r>
            <w:r>
              <w:rPr>
                <w:rFonts w:hint="eastAsia" w:ascii="宋体" w:hAnsi="宋体" w:cs="TimesNewRomanPSMT"/>
                <w:color w:val="auto"/>
                <w:kern w:val="0"/>
                <w:sz w:val="21"/>
                <w:szCs w:val="21"/>
              </w:rPr>
              <w:t>仅接收派人送达、邮寄送达质疑函原件两种方式</w:t>
            </w:r>
            <w:r>
              <w:rPr>
                <w:rFonts w:hint="eastAsia" w:ascii="宋体" w:hAnsi="宋体" w:cs="TimesNewRomanPSMT"/>
                <w:color w:val="auto"/>
                <w:kern w:val="0"/>
                <w:sz w:val="21"/>
                <w:szCs w:val="21"/>
                <w:lang w:eastAsia="zh-CN"/>
              </w:rPr>
              <w:t>)；</w:t>
            </w:r>
            <w:r>
              <w:rPr>
                <w:rFonts w:hint="eastAsia" w:ascii="宋体" w:hAnsi="宋体" w:cs="TimesNewRomanPSMT"/>
                <w:color w:val="auto"/>
                <w:kern w:val="0"/>
                <w:sz w:val="21"/>
                <w:szCs w:val="21"/>
              </w:rPr>
              <w:t>质疑函的内容应当符合《政府采购质疑和投诉办法》的要求</w:t>
            </w:r>
            <w:r>
              <w:rPr>
                <w:rFonts w:hint="eastAsia" w:ascii="宋体" w:hAnsi="宋体" w:cs="TimesNewRomanPSMT"/>
                <w:color w:val="auto"/>
                <w:kern w:val="0"/>
                <w:sz w:val="21"/>
                <w:szCs w:val="21"/>
                <w:lang w:eastAsia="zh-CN"/>
              </w:rPr>
              <w:t>；</w:t>
            </w:r>
            <w:r>
              <w:rPr>
                <w:rFonts w:hint="eastAsia" w:ascii="宋体" w:hAnsi="宋体" w:cs="TimesNewRomanPSMT"/>
                <w:color w:val="auto"/>
                <w:kern w:val="0"/>
                <w:sz w:val="21"/>
                <w:szCs w:val="21"/>
                <w:lang w:val="en-US" w:eastAsia="zh-CN"/>
              </w:rPr>
              <w:t>质疑函按</w:t>
            </w:r>
            <w:r>
              <w:rPr>
                <w:rFonts w:hint="eastAsia" w:ascii="宋体" w:hAnsi="宋体" w:cs="TimesNewRomanPSMT"/>
                <w:color w:val="auto"/>
                <w:kern w:val="0"/>
                <w:sz w:val="21"/>
                <w:szCs w:val="21"/>
              </w:rPr>
              <w:t>招标文件第</w:t>
            </w:r>
            <w:r>
              <w:rPr>
                <w:rFonts w:hint="eastAsia" w:ascii="宋体" w:hAnsi="宋体" w:cs="TimesNewRomanPSMT"/>
                <w:color w:val="auto"/>
                <w:kern w:val="0"/>
                <w:sz w:val="21"/>
                <w:szCs w:val="21"/>
                <w:lang w:val="en-US" w:eastAsia="zh-CN"/>
              </w:rPr>
              <w:t>七</w:t>
            </w:r>
            <w:r>
              <w:rPr>
                <w:rFonts w:hint="eastAsia" w:ascii="宋体" w:hAnsi="宋体" w:cs="TimesNewRomanPSMT"/>
                <w:color w:val="auto"/>
                <w:kern w:val="0"/>
                <w:sz w:val="21"/>
                <w:szCs w:val="21"/>
              </w:rPr>
              <w:t>章提供的质疑函</w:t>
            </w:r>
            <w:r>
              <w:rPr>
                <w:rFonts w:hint="eastAsia" w:ascii="宋体" w:hAnsi="宋体" w:cs="TimesNewRomanPSMT"/>
                <w:color w:val="auto"/>
                <w:kern w:val="0"/>
                <w:sz w:val="21"/>
                <w:szCs w:val="21"/>
                <w:lang w:val="en-US" w:eastAsia="zh-CN"/>
              </w:rPr>
              <w:t>范本</w:t>
            </w:r>
            <w:r>
              <w:rPr>
                <w:rFonts w:hint="eastAsia" w:ascii="宋体" w:hAnsi="宋体" w:cs="TimesNewRomanPSMT"/>
                <w:color w:val="auto"/>
                <w:kern w:val="0"/>
                <w:sz w:val="21"/>
                <w:szCs w:val="21"/>
              </w:rPr>
              <w:t>格式编写。</w:t>
            </w:r>
          </w:p>
          <w:p w14:paraId="6BF4D0B5">
            <w:pPr>
              <w:keepNext w:val="0"/>
              <w:keepLines w:val="0"/>
              <w:pageBreakBefore w:val="0"/>
              <w:widowControl w:val="0"/>
              <w:kinsoku/>
              <w:wordWrap/>
              <w:overflowPunct/>
              <w:topLinePunct w:val="0"/>
              <w:autoSpaceDE w:val="0"/>
              <w:autoSpaceDN w:val="0"/>
              <w:bidi w:val="0"/>
              <w:adjustRightInd w:val="0"/>
              <w:snapToGrid w:val="0"/>
              <w:spacing w:afterLines="50"/>
              <w:textAlignment w:val="auto"/>
              <w:outlineLvl w:val="9"/>
              <w:rPr>
                <w:rFonts w:hint="eastAsia" w:ascii="宋体" w:hAnsi="宋体" w:eastAsia="宋体" w:cs="TimesNewRomanPSMT"/>
                <w:color w:val="auto"/>
                <w:kern w:val="0"/>
                <w:sz w:val="21"/>
                <w:szCs w:val="21"/>
                <w:lang w:eastAsia="zh-CN"/>
              </w:rPr>
            </w:pPr>
            <w:r>
              <w:rPr>
                <w:rFonts w:hint="eastAsia" w:ascii="宋体" w:hAnsi="宋体" w:cs="TimesNewRomanPSMT"/>
                <w:color w:val="auto"/>
                <w:kern w:val="0"/>
                <w:sz w:val="21"/>
                <w:szCs w:val="21"/>
              </w:rPr>
              <w:t>联系</w:t>
            </w:r>
            <w:r>
              <w:rPr>
                <w:rFonts w:hint="eastAsia" w:ascii="宋体" w:hAnsi="宋体" w:cs="TimesNewRomanPSMT"/>
                <w:color w:val="auto"/>
                <w:kern w:val="0"/>
                <w:sz w:val="21"/>
                <w:szCs w:val="21"/>
                <w:lang w:val="en-US" w:eastAsia="zh-CN"/>
              </w:rPr>
              <w:t>单位</w:t>
            </w:r>
            <w:r>
              <w:rPr>
                <w:rFonts w:hint="eastAsia" w:ascii="宋体" w:hAnsi="宋体" w:cs="TimesNewRomanPSMT"/>
                <w:color w:val="auto"/>
                <w:kern w:val="0"/>
                <w:sz w:val="21"/>
                <w:szCs w:val="21"/>
                <w:lang w:eastAsia="zh-CN"/>
              </w:rPr>
              <w:t>:新疆昌盛方略项目管理有限公司</w:t>
            </w:r>
          </w:p>
          <w:p w14:paraId="4E8B711B">
            <w:pPr>
              <w:keepNext w:val="0"/>
              <w:keepLines w:val="0"/>
              <w:pageBreakBefore w:val="0"/>
              <w:widowControl w:val="0"/>
              <w:kinsoku/>
              <w:wordWrap/>
              <w:overflowPunct/>
              <w:topLinePunct w:val="0"/>
              <w:autoSpaceDE w:val="0"/>
              <w:autoSpaceDN w:val="0"/>
              <w:bidi w:val="0"/>
              <w:adjustRightInd w:val="0"/>
              <w:snapToGrid w:val="0"/>
              <w:spacing w:afterLines="50"/>
              <w:textAlignment w:val="auto"/>
              <w:outlineLvl w:val="9"/>
              <w:rPr>
                <w:rFonts w:hint="default" w:ascii="宋体" w:hAnsi="宋体" w:eastAsia="宋体" w:cs="TimesNewRomanPSMT"/>
                <w:color w:val="auto"/>
                <w:kern w:val="0"/>
                <w:sz w:val="21"/>
                <w:szCs w:val="21"/>
                <w:lang w:val="en-US" w:eastAsia="zh-CN"/>
              </w:rPr>
            </w:pPr>
            <w:r>
              <w:rPr>
                <w:rFonts w:hint="eastAsia" w:ascii="宋体" w:hAnsi="宋体" w:cs="TimesNewRomanPSMT"/>
                <w:color w:val="auto"/>
                <w:kern w:val="0"/>
                <w:sz w:val="21"/>
                <w:szCs w:val="21"/>
              </w:rPr>
              <w:t>联系人</w:t>
            </w:r>
            <w:r>
              <w:rPr>
                <w:rFonts w:hint="eastAsia" w:ascii="宋体" w:hAnsi="宋体" w:cs="TimesNewRomanPSMT"/>
                <w:color w:val="auto"/>
                <w:kern w:val="0"/>
                <w:sz w:val="21"/>
                <w:szCs w:val="21"/>
                <w:lang w:eastAsia="zh-CN"/>
              </w:rPr>
              <w:t>:</w:t>
            </w:r>
            <w:r>
              <w:rPr>
                <w:rFonts w:hint="eastAsia" w:ascii="宋体" w:hAnsi="宋体" w:cs="TimesNewRomanPSMT"/>
                <w:color w:val="auto"/>
                <w:kern w:val="0"/>
                <w:sz w:val="21"/>
                <w:szCs w:val="21"/>
                <w:lang w:val="en-US" w:eastAsia="zh-CN"/>
              </w:rPr>
              <w:t>杨女士</w:t>
            </w:r>
          </w:p>
          <w:p w14:paraId="2F77E311">
            <w:pPr>
              <w:keepNext w:val="0"/>
              <w:keepLines w:val="0"/>
              <w:pageBreakBefore w:val="0"/>
              <w:widowControl w:val="0"/>
              <w:kinsoku/>
              <w:wordWrap/>
              <w:overflowPunct/>
              <w:topLinePunct w:val="0"/>
              <w:autoSpaceDE w:val="0"/>
              <w:autoSpaceDN w:val="0"/>
              <w:bidi w:val="0"/>
              <w:adjustRightInd w:val="0"/>
              <w:snapToGrid w:val="0"/>
              <w:spacing w:afterLines="50"/>
              <w:textAlignment w:val="auto"/>
              <w:outlineLvl w:val="9"/>
              <w:rPr>
                <w:rFonts w:hint="default" w:ascii="宋体" w:hAnsi="宋体" w:eastAsia="宋体" w:cs="TimesNewRomanPSMT"/>
                <w:color w:val="auto"/>
                <w:kern w:val="0"/>
                <w:sz w:val="21"/>
                <w:szCs w:val="21"/>
                <w:lang w:val="en-US" w:eastAsia="zh-CN"/>
              </w:rPr>
            </w:pPr>
            <w:r>
              <w:rPr>
                <w:rFonts w:hint="eastAsia" w:ascii="宋体" w:hAnsi="宋体" w:cs="TimesNewRomanPSMT"/>
                <w:color w:val="auto"/>
                <w:kern w:val="0"/>
                <w:sz w:val="21"/>
                <w:szCs w:val="21"/>
              </w:rPr>
              <w:t>联系电话</w:t>
            </w:r>
            <w:r>
              <w:rPr>
                <w:rFonts w:hint="eastAsia" w:ascii="宋体" w:hAnsi="宋体" w:cs="TimesNewRomanPSMT"/>
                <w:color w:val="auto"/>
                <w:kern w:val="0"/>
                <w:sz w:val="21"/>
                <w:szCs w:val="21"/>
                <w:lang w:eastAsia="zh-CN"/>
              </w:rPr>
              <w:t>:</w:t>
            </w:r>
            <w:r>
              <w:rPr>
                <w:rFonts w:hint="eastAsia" w:ascii="宋体" w:hAnsi="宋体" w:cs="TimesNewRomanPSMT"/>
                <w:color w:val="auto"/>
                <w:kern w:val="0"/>
                <w:sz w:val="21"/>
                <w:szCs w:val="21"/>
                <w:lang w:val="en-US" w:eastAsia="zh-CN"/>
              </w:rPr>
              <w:t>18699425012</w:t>
            </w:r>
          </w:p>
          <w:p w14:paraId="16E51FF3">
            <w:pPr>
              <w:keepNext w:val="0"/>
              <w:keepLines w:val="0"/>
              <w:pageBreakBefore w:val="0"/>
              <w:widowControl w:val="0"/>
              <w:kinsoku/>
              <w:wordWrap/>
              <w:overflowPunct/>
              <w:topLinePunct w:val="0"/>
              <w:autoSpaceDE w:val="0"/>
              <w:autoSpaceDN w:val="0"/>
              <w:bidi w:val="0"/>
              <w:adjustRightInd w:val="0"/>
              <w:snapToGrid w:val="0"/>
              <w:spacing w:afterLines="50"/>
              <w:textAlignment w:val="auto"/>
              <w:outlineLvl w:val="9"/>
              <w:rPr>
                <w:rFonts w:hint="eastAsia" w:ascii="宋体" w:hAnsi="宋体" w:eastAsia="宋体" w:cs="TimesNewRomanPSMT"/>
                <w:color w:val="auto"/>
                <w:kern w:val="0"/>
                <w:sz w:val="21"/>
                <w:szCs w:val="21"/>
                <w:lang w:eastAsia="zh-CN"/>
              </w:rPr>
            </w:pPr>
            <w:r>
              <w:rPr>
                <w:rFonts w:hint="eastAsia" w:ascii="宋体" w:hAnsi="宋体" w:cs="TimesNewRomanPSMT"/>
                <w:color w:val="auto"/>
                <w:kern w:val="0"/>
                <w:sz w:val="21"/>
                <w:szCs w:val="21"/>
              </w:rPr>
              <w:t>通</w:t>
            </w:r>
            <w:r>
              <w:rPr>
                <w:rFonts w:hint="eastAsia" w:ascii="宋体" w:hAnsi="宋体" w:cs="TimesNewRomanPSMT"/>
                <w:color w:val="auto"/>
                <w:kern w:val="0"/>
                <w:sz w:val="21"/>
                <w:szCs w:val="21"/>
                <w:lang w:val="en-US" w:eastAsia="zh-CN"/>
              </w:rPr>
              <w:t>讯</w:t>
            </w:r>
            <w:r>
              <w:rPr>
                <w:rFonts w:hint="eastAsia" w:ascii="宋体" w:hAnsi="宋体" w:cs="TimesNewRomanPSMT"/>
                <w:color w:val="auto"/>
                <w:kern w:val="0"/>
                <w:sz w:val="21"/>
                <w:szCs w:val="21"/>
              </w:rPr>
              <w:t>地址</w:t>
            </w:r>
            <w:r>
              <w:rPr>
                <w:rFonts w:hint="eastAsia" w:ascii="宋体" w:hAnsi="宋体" w:cs="TimesNewRomanPSMT"/>
                <w:color w:val="auto"/>
                <w:kern w:val="0"/>
                <w:sz w:val="21"/>
                <w:szCs w:val="21"/>
                <w:lang w:eastAsia="zh-CN"/>
              </w:rPr>
              <w:t>:新疆昌吉回族自治州昌吉市南公园西路融投小镇1号楼A座14层（昌吉州国投大厦1幢14楼1419）</w:t>
            </w:r>
          </w:p>
        </w:tc>
      </w:tr>
      <w:tr w14:paraId="38FD0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2F4C2B76">
            <w:pPr>
              <w:autoSpaceDE w:val="0"/>
              <w:autoSpaceDN w:val="0"/>
              <w:adjustRightInd w:val="0"/>
              <w:snapToGrid w:val="0"/>
              <w:jc w:val="center"/>
              <w:outlineLvl w:val="9"/>
              <w:rPr>
                <w:rFonts w:ascii="宋体" w:hAnsi="宋体" w:cs="TimesNewRomanPSMT"/>
                <w:color w:val="auto"/>
                <w:kern w:val="0"/>
                <w:sz w:val="21"/>
                <w:szCs w:val="21"/>
              </w:rPr>
            </w:pPr>
            <w:r>
              <w:rPr>
                <w:rFonts w:ascii="宋体" w:hAnsi="宋体" w:cs="TimesNewRomanPSMT"/>
                <w:color w:val="auto"/>
                <w:kern w:val="0"/>
                <w:sz w:val="21"/>
                <w:szCs w:val="21"/>
              </w:rPr>
              <w:t>3</w:t>
            </w:r>
            <w:r>
              <w:rPr>
                <w:rFonts w:hint="eastAsia" w:ascii="宋体" w:hAnsi="宋体" w:cs="TimesNewRomanPSMT"/>
                <w:color w:val="auto"/>
                <w:kern w:val="0"/>
                <w:sz w:val="21"/>
                <w:szCs w:val="21"/>
              </w:rPr>
              <w:t>.6.2</w:t>
            </w:r>
          </w:p>
        </w:tc>
        <w:tc>
          <w:tcPr>
            <w:tcW w:w="2515" w:type="dxa"/>
            <w:vAlign w:val="center"/>
          </w:tcPr>
          <w:p w14:paraId="5CC4A567">
            <w:pPr>
              <w:autoSpaceDE w:val="0"/>
              <w:autoSpaceDN w:val="0"/>
              <w:adjustRightInd w:val="0"/>
              <w:snapToGrid w:val="0"/>
              <w:outlineLvl w:val="9"/>
              <w:rPr>
                <w:rFonts w:ascii="宋体" w:hAnsi="宋体" w:cs="仿宋_GB2312"/>
                <w:color w:val="auto"/>
                <w:kern w:val="0"/>
                <w:sz w:val="21"/>
                <w:szCs w:val="21"/>
              </w:rPr>
            </w:pPr>
            <w:bookmarkStart w:id="37" w:name="_Toc5055"/>
            <w:bookmarkStart w:id="38" w:name="_Toc5840"/>
            <w:bookmarkStart w:id="39" w:name="_Toc195921788"/>
            <w:bookmarkStart w:id="40" w:name="_Toc1731"/>
            <w:r>
              <w:rPr>
                <w:rFonts w:hint="eastAsia" w:ascii="宋体" w:hAnsi="宋体" w:cs="仿宋_GB2312"/>
                <w:color w:val="auto"/>
                <w:kern w:val="0"/>
                <w:sz w:val="21"/>
                <w:szCs w:val="21"/>
              </w:rPr>
              <w:t>投标有效期</w:t>
            </w:r>
            <w:bookmarkEnd w:id="37"/>
            <w:bookmarkEnd w:id="38"/>
            <w:bookmarkEnd w:id="39"/>
            <w:bookmarkEnd w:id="40"/>
          </w:p>
        </w:tc>
        <w:tc>
          <w:tcPr>
            <w:tcW w:w="5675" w:type="dxa"/>
            <w:vAlign w:val="center"/>
          </w:tcPr>
          <w:p w14:paraId="1E710EA2">
            <w:pPr>
              <w:autoSpaceDE w:val="0"/>
              <w:autoSpaceDN w:val="0"/>
              <w:adjustRightInd w:val="0"/>
              <w:snapToGrid w:val="0"/>
              <w:spacing w:afterLines="50"/>
              <w:outlineLvl w:val="9"/>
              <w:rPr>
                <w:rFonts w:ascii="宋体" w:hAnsi="宋体" w:cs="TimesNewRomanPSMT"/>
                <w:color w:val="auto"/>
                <w:kern w:val="0"/>
                <w:sz w:val="21"/>
                <w:szCs w:val="21"/>
              </w:rPr>
            </w:pPr>
            <w:r>
              <w:rPr>
                <w:rFonts w:hint="eastAsia" w:ascii="宋体" w:hAnsi="宋体" w:cs="TimesNewRomanPSMT"/>
                <w:color w:val="auto"/>
                <w:kern w:val="0"/>
                <w:sz w:val="21"/>
                <w:szCs w:val="21"/>
                <w:u w:val="single"/>
              </w:rPr>
              <w:t xml:space="preserve"> </w:t>
            </w:r>
            <w:r>
              <w:rPr>
                <w:rFonts w:hint="eastAsia" w:ascii="宋体" w:hAnsi="宋体" w:cs="TimesNewRomanPSMT"/>
                <w:color w:val="auto"/>
                <w:kern w:val="0"/>
                <w:sz w:val="21"/>
                <w:szCs w:val="21"/>
                <w:u w:val="single"/>
                <w:lang w:val="en-US" w:eastAsia="zh-CN"/>
              </w:rPr>
              <w:t>90</w:t>
            </w:r>
            <w:r>
              <w:rPr>
                <w:rFonts w:hint="eastAsia" w:ascii="宋体" w:hAnsi="宋体" w:cs="TimesNewRomanPSMT"/>
                <w:color w:val="auto"/>
                <w:kern w:val="0"/>
                <w:sz w:val="21"/>
                <w:szCs w:val="21"/>
                <w:u w:val="single"/>
              </w:rPr>
              <w:t xml:space="preserve"> </w:t>
            </w:r>
            <w:r>
              <w:rPr>
                <w:rFonts w:hint="eastAsia" w:ascii="宋体" w:hAnsi="宋体" w:cs="TimesNewRomanPSMT"/>
                <w:color w:val="auto"/>
                <w:kern w:val="0"/>
                <w:sz w:val="21"/>
                <w:szCs w:val="21"/>
                <w:lang w:val="en-US" w:eastAsia="zh-CN"/>
              </w:rPr>
              <w:t>日历</w:t>
            </w:r>
            <w:r>
              <w:rPr>
                <w:rFonts w:hint="eastAsia" w:ascii="宋体" w:hAnsi="宋体" w:cs="TimesNewRomanPSMT"/>
                <w:color w:val="auto"/>
                <w:kern w:val="0"/>
                <w:sz w:val="21"/>
                <w:szCs w:val="21"/>
              </w:rPr>
              <w:t>天</w:t>
            </w:r>
          </w:p>
        </w:tc>
      </w:tr>
      <w:tr w14:paraId="0EB21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53FD9289">
            <w:pPr>
              <w:autoSpaceDE w:val="0"/>
              <w:autoSpaceDN w:val="0"/>
              <w:adjustRightInd w:val="0"/>
              <w:snapToGrid w:val="0"/>
              <w:jc w:val="center"/>
              <w:outlineLvl w:val="9"/>
              <w:rPr>
                <w:rFonts w:ascii="宋体" w:hAnsi="宋体" w:cs="TimesNewRomanPSMT"/>
                <w:color w:val="auto"/>
                <w:kern w:val="0"/>
                <w:sz w:val="21"/>
                <w:szCs w:val="21"/>
              </w:rPr>
            </w:pPr>
            <w:r>
              <w:rPr>
                <w:rFonts w:ascii="宋体" w:hAnsi="宋体" w:cs="TimesNewRomanPSMT"/>
                <w:color w:val="auto"/>
                <w:kern w:val="0"/>
                <w:sz w:val="21"/>
                <w:szCs w:val="21"/>
              </w:rPr>
              <w:t>3.</w:t>
            </w:r>
            <w:r>
              <w:rPr>
                <w:rFonts w:hint="eastAsia" w:ascii="宋体" w:hAnsi="宋体" w:cs="TimesNewRomanPSMT"/>
                <w:color w:val="auto"/>
                <w:kern w:val="0"/>
                <w:sz w:val="21"/>
                <w:szCs w:val="21"/>
              </w:rPr>
              <w:t>7</w:t>
            </w:r>
            <w:r>
              <w:rPr>
                <w:rFonts w:ascii="宋体" w:hAnsi="宋体" w:cs="TimesNewRomanPSMT"/>
                <w:color w:val="auto"/>
                <w:kern w:val="0"/>
                <w:sz w:val="21"/>
                <w:szCs w:val="21"/>
              </w:rPr>
              <w:t>.1</w:t>
            </w:r>
          </w:p>
        </w:tc>
        <w:tc>
          <w:tcPr>
            <w:tcW w:w="2515" w:type="dxa"/>
            <w:vAlign w:val="center"/>
          </w:tcPr>
          <w:p w14:paraId="1355804B">
            <w:pPr>
              <w:autoSpaceDE w:val="0"/>
              <w:autoSpaceDN w:val="0"/>
              <w:adjustRightInd w:val="0"/>
              <w:snapToGrid w:val="0"/>
              <w:outlineLvl w:val="9"/>
              <w:rPr>
                <w:rFonts w:ascii="宋体" w:hAnsi="宋体" w:cs="仿宋_GB2312"/>
                <w:color w:val="auto"/>
                <w:kern w:val="0"/>
                <w:sz w:val="21"/>
                <w:szCs w:val="21"/>
                <w:highlight w:val="none"/>
              </w:rPr>
            </w:pPr>
            <w:bookmarkStart w:id="41" w:name="_Toc195921789"/>
            <w:bookmarkStart w:id="42" w:name="_Toc5482"/>
            <w:bookmarkStart w:id="43" w:name="_Toc12209"/>
            <w:bookmarkStart w:id="44" w:name="_Toc12504"/>
            <w:r>
              <w:rPr>
                <w:rFonts w:hint="eastAsia" w:ascii="宋体" w:hAnsi="宋体" w:cs="仿宋_GB2312"/>
                <w:color w:val="auto"/>
                <w:kern w:val="0"/>
                <w:sz w:val="21"/>
                <w:szCs w:val="21"/>
                <w:highlight w:val="none"/>
              </w:rPr>
              <w:t>投标保证金</w:t>
            </w:r>
            <w:bookmarkEnd w:id="41"/>
            <w:bookmarkEnd w:id="42"/>
            <w:bookmarkEnd w:id="43"/>
            <w:bookmarkEnd w:id="44"/>
          </w:p>
        </w:tc>
        <w:tc>
          <w:tcPr>
            <w:tcW w:w="5675" w:type="dxa"/>
            <w:vAlign w:val="center"/>
          </w:tcPr>
          <w:p w14:paraId="0913782F">
            <w:pPr>
              <w:autoSpaceDE w:val="0"/>
              <w:autoSpaceDN w:val="0"/>
              <w:adjustRightInd w:val="0"/>
              <w:snapToGrid w:val="0"/>
              <w:spacing w:afterLines="50"/>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投标保证金的金额：人民币</w:t>
            </w:r>
            <w:r>
              <w:rPr>
                <w:rFonts w:hint="eastAsia" w:ascii="宋体" w:hAnsi="宋体" w:cs="宋体"/>
                <w:color w:val="auto"/>
                <w:sz w:val="21"/>
                <w:szCs w:val="21"/>
                <w:highlight w:val="none"/>
                <w:shd w:val="clear"/>
                <w:lang w:val="en-US" w:eastAsia="zh-CN"/>
              </w:rPr>
              <w:t>500000.00</w:t>
            </w:r>
            <w:r>
              <w:rPr>
                <w:rFonts w:hint="eastAsia" w:ascii="宋体" w:hAnsi="宋体" w:eastAsia="宋体" w:cs="宋体"/>
                <w:color w:val="auto"/>
                <w:sz w:val="21"/>
                <w:szCs w:val="21"/>
                <w:highlight w:val="none"/>
                <w:shd w:val="clear"/>
                <w:lang w:val="en-US" w:eastAsia="zh-CN"/>
              </w:rPr>
              <w:t>元</w:t>
            </w:r>
            <w:r>
              <w:rPr>
                <w:rFonts w:hint="eastAsia" w:ascii="宋体" w:hAnsi="宋体" w:cs="宋体"/>
                <w:color w:val="auto"/>
                <w:sz w:val="21"/>
                <w:szCs w:val="21"/>
                <w:highlight w:val="none"/>
                <w:shd w:val="clear"/>
                <w:lang w:val="en-US" w:eastAsia="zh-CN"/>
              </w:rPr>
              <w:t>（大写：伍拾万元整）</w:t>
            </w:r>
            <w:r>
              <w:rPr>
                <w:rFonts w:hint="eastAsia" w:ascii="宋体" w:hAnsi="宋体" w:eastAsia="宋体" w:cs="宋体"/>
                <w:color w:val="auto"/>
                <w:sz w:val="21"/>
                <w:szCs w:val="21"/>
                <w:highlight w:val="none"/>
                <w:shd w:val="clear"/>
                <w:lang w:val="en-US" w:eastAsia="zh-CN"/>
              </w:rPr>
              <w:t xml:space="preserve">   </w:t>
            </w:r>
            <w:r>
              <w:rPr>
                <w:rFonts w:hint="eastAsia" w:ascii="宋体" w:hAnsi="宋体" w:eastAsia="宋体" w:cs="宋体"/>
                <w:color w:val="auto"/>
                <w:sz w:val="21"/>
                <w:szCs w:val="21"/>
                <w:highlight w:val="none"/>
                <w:lang w:val="en-US" w:eastAsia="zh-CN"/>
              </w:rPr>
              <w:t xml:space="preserve"> </w:t>
            </w:r>
          </w:p>
          <w:p w14:paraId="4AC5F136">
            <w:pPr>
              <w:autoSpaceDE w:val="0"/>
              <w:autoSpaceDN w:val="0"/>
              <w:adjustRightInd w:val="0"/>
              <w:snapToGrid w:val="0"/>
              <w:spacing w:afterLines="50"/>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到账截止时间：20</w:t>
            </w:r>
            <w:r>
              <w:rPr>
                <w:rFonts w:hint="eastAsia" w:ascii="宋体" w:hAnsi="宋体" w:cs="宋体"/>
                <w:color w:val="auto"/>
                <w:sz w:val="21"/>
                <w:szCs w:val="21"/>
                <w:highlight w:val="none"/>
                <w:lang w:val="en-US" w:eastAsia="zh-CN"/>
              </w:rPr>
              <w:t>26</w:t>
            </w:r>
            <w:r>
              <w:rPr>
                <w:rFonts w:hint="eastAsia" w:ascii="宋体" w:hAnsi="宋体" w:eastAsia="宋体" w:cs="宋体"/>
                <w:color w:val="auto"/>
                <w:sz w:val="21"/>
                <w:szCs w:val="21"/>
                <w:highlight w:val="none"/>
                <w:lang w:val="en-US" w:eastAsia="zh-CN"/>
              </w:rPr>
              <w:t>年</w:t>
            </w:r>
            <w:r>
              <w:rPr>
                <w:rFonts w:hint="eastAsia" w:ascii="宋体" w:hAnsi="宋体" w:cs="宋体"/>
                <w:color w:val="auto"/>
                <w:sz w:val="21"/>
                <w:szCs w:val="21"/>
                <w:highlight w:val="none"/>
                <w:lang w:val="en-US" w:eastAsia="zh-CN"/>
              </w:rPr>
              <w:t>06</w:t>
            </w:r>
            <w:r>
              <w:rPr>
                <w:rFonts w:hint="eastAsia" w:ascii="宋体" w:hAnsi="宋体" w:eastAsia="宋体" w:cs="宋体"/>
                <w:color w:val="auto"/>
                <w:sz w:val="21"/>
                <w:szCs w:val="21"/>
                <w:highlight w:val="none"/>
                <w:lang w:val="en-US" w:eastAsia="zh-CN"/>
              </w:rPr>
              <w:t>月</w:t>
            </w:r>
            <w:r>
              <w:rPr>
                <w:rFonts w:hint="eastAsia" w:ascii="宋体" w:hAnsi="宋体" w:cs="宋体"/>
                <w:color w:val="auto"/>
                <w:sz w:val="21"/>
                <w:szCs w:val="21"/>
                <w:highlight w:val="none"/>
                <w:lang w:val="en-US" w:eastAsia="zh-CN"/>
              </w:rPr>
              <w:t>22</w:t>
            </w:r>
            <w:r>
              <w:rPr>
                <w:rFonts w:hint="eastAsia" w:ascii="宋体" w:hAnsi="宋体" w:eastAsia="宋体" w:cs="宋体"/>
                <w:color w:val="auto"/>
                <w:sz w:val="21"/>
                <w:szCs w:val="21"/>
                <w:highlight w:val="none"/>
                <w:lang w:val="en-US" w:eastAsia="zh-CN"/>
              </w:rPr>
              <w:t>日1</w:t>
            </w:r>
            <w:r>
              <w:rPr>
                <w:rFonts w:hint="eastAsia" w:ascii="宋体" w:hAnsi="宋体" w:cs="宋体"/>
                <w:color w:val="auto"/>
                <w:sz w:val="21"/>
                <w:szCs w:val="21"/>
                <w:highlight w:val="none"/>
                <w:lang w:val="en-US" w:eastAsia="zh-CN"/>
              </w:rPr>
              <w:t>0：3</w:t>
            </w:r>
            <w:r>
              <w:rPr>
                <w:rFonts w:hint="eastAsia" w:ascii="宋体" w:hAnsi="宋体" w:eastAsia="宋体" w:cs="宋体"/>
                <w:color w:val="auto"/>
                <w:sz w:val="21"/>
                <w:szCs w:val="21"/>
                <w:highlight w:val="none"/>
                <w:lang w:val="en-US" w:eastAsia="zh-CN"/>
              </w:rPr>
              <w:t>0</w:t>
            </w:r>
            <w:r>
              <w:rPr>
                <w:rFonts w:hint="eastAsia" w:ascii="宋体" w:hAnsi="宋体" w:cs="宋体"/>
                <w:color w:val="auto"/>
                <w:sz w:val="21"/>
                <w:szCs w:val="21"/>
                <w:highlight w:val="none"/>
                <w:lang w:val="en-US" w:eastAsia="zh-CN"/>
              </w:rPr>
              <w:t>时</w:t>
            </w:r>
            <w:r>
              <w:rPr>
                <w:rFonts w:hint="eastAsia" w:ascii="宋体" w:hAnsi="宋体" w:eastAsia="宋体" w:cs="宋体"/>
                <w:color w:val="auto"/>
                <w:sz w:val="21"/>
                <w:szCs w:val="21"/>
                <w:highlight w:val="none"/>
                <w:lang w:val="en-US" w:eastAsia="zh-CN"/>
              </w:rPr>
              <w:t>(北京时间)</w:t>
            </w:r>
          </w:p>
          <w:p w14:paraId="2BEED7A9">
            <w:pPr>
              <w:autoSpaceDE w:val="0"/>
              <w:autoSpaceDN w:val="0"/>
              <w:adjustRightInd w:val="0"/>
              <w:snapToGrid w:val="0"/>
              <w:spacing w:afterLines="50"/>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供应商可以自主选择以支票、汇票、本票或者</w:t>
            </w:r>
            <w:r>
              <w:rPr>
                <w:rFonts w:hint="eastAsia" w:ascii="宋体" w:hAnsi="宋体" w:cs="仿宋_GB2312"/>
                <w:color w:val="auto"/>
                <w:kern w:val="0"/>
                <w:sz w:val="21"/>
                <w:szCs w:val="21"/>
                <w:highlight w:val="none"/>
              </w:rPr>
              <w:t>金融机构、担保机构出具的</w:t>
            </w:r>
            <w:r>
              <w:rPr>
                <w:rFonts w:hint="eastAsia" w:ascii="宋体" w:hAnsi="宋体" w:cs="宋体"/>
                <w:color w:val="auto"/>
                <w:sz w:val="21"/>
                <w:szCs w:val="21"/>
                <w:highlight w:val="none"/>
                <w:lang w:val="en-US" w:eastAsia="zh-CN"/>
              </w:rPr>
              <w:t>保函等非现金形式缴纳或提交投标保证金。</w:t>
            </w:r>
          </w:p>
          <w:p w14:paraId="475A724D">
            <w:pPr>
              <w:autoSpaceDE w:val="0"/>
              <w:autoSpaceDN w:val="0"/>
              <w:adjustRightInd w:val="0"/>
              <w:snapToGrid w:val="0"/>
              <w:spacing w:afterLines="50"/>
              <w:outlineLvl w:val="9"/>
              <w:rPr>
                <w:rFonts w:hint="eastAsia" w:ascii="宋体" w:hAnsi="宋体" w:cs="仿宋_GB2312"/>
                <w:color w:val="auto"/>
                <w:kern w:val="0"/>
                <w:sz w:val="21"/>
                <w:szCs w:val="21"/>
                <w:highlight w:val="none"/>
                <w:lang w:val="en-US" w:eastAsia="zh-CN"/>
              </w:rPr>
            </w:pPr>
            <w:r>
              <w:rPr>
                <w:rFonts w:hint="eastAsia" w:ascii="宋体" w:hAnsi="宋体" w:cs="仿宋_GB2312"/>
                <w:color w:val="auto"/>
                <w:kern w:val="0"/>
                <w:sz w:val="21"/>
                <w:szCs w:val="21"/>
                <w:highlight w:val="none"/>
                <w:lang w:val="en-US" w:eastAsia="zh-CN"/>
              </w:rPr>
              <w:t>投标保证金采用银行转账方式的应从供应商的基本账户汇入下面采购人指定的开户银行账户。</w:t>
            </w:r>
          </w:p>
          <w:p w14:paraId="06020117">
            <w:pPr>
              <w:keepNext w:val="0"/>
              <w:keepLines w:val="0"/>
              <w:pageBreakBefore w:val="0"/>
              <w:widowControl w:val="0"/>
              <w:kinsoku/>
              <w:wordWrap/>
              <w:overflowPunct/>
              <w:topLinePunct w:val="0"/>
              <w:autoSpaceDE w:val="0"/>
              <w:autoSpaceDN w:val="0"/>
              <w:bidi w:val="0"/>
              <w:adjustRightInd/>
              <w:snapToGrid/>
              <w:textAlignment w:val="auto"/>
              <w:outlineLvl w:val="9"/>
              <w:rPr>
                <w:rFonts w:hint="eastAsia" w:ascii="宋体" w:hAnsi="宋体" w:cs="仿宋_GB2312"/>
                <w:color w:val="auto"/>
                <w:kern w:val="0"/>
                <w:sz w:val="21"/>
                <w:szCs w:val="21"/>
                <w:highlight w:val="none"/>
                <w:lang w:val="en-US" w:eastAsia="zh-CN"/>
              </w:rPr>
            </w:pPr>
            <w:r>
              <w:rPr>
                <w:rFonts w:hint="eastAsia" w:ascii="宋体" w:hAnsi="宋体" w:cs="仿宋_GB2312"/>
                <w:color w:val="auto"/>
                <w:kern w:val="0"/>
                <w:sz w:val="21"/>
                <w:szCs w:val="21"/>
                <w:highlight w:val="none"/>
                <w:lang w:val="en-US" w:eastAsia="zh-CN"/>
              </w:rPr>
              <w:t>账户单位:新疆昌盛方略项目管理有限公司</w:t>
            </w:r>
          </w:p>
          <w:p w14:paraId="2C9B2C65">
            <w:pPr>
              <w:keepNext w:val="0"/>
              <w:keepLines w:val="0"/>
              <w:pageBreakBefore w:val="0"/>
              <w:widowControl w:val="0"/>
              <w:kinsoku/>
              <w:wordWrap/>
              <w:overflowPunct/>
              <w:topLinePunct w:val="0"/>
              <w:autoSpaceDE w:val="0"/>
              <w:autoSpaceDN w:val="0"/>
              <w:bidi w:val="0"/>
              <w:adjustRightInd/>
              <w:snapToGrid/>
              <w:textAlignment w:val="auto"/>
              <w:outlineLvl w:val="9"/>
              <w:rPr>
                <w:rFonts w:hint="eastAsia" w:ascii="宋体" w:hAnsi="宋体" w:cs="仿宋_GB2312"/>
                <w:color w:val="auto"/>
                <w:kern w:val="0"/>
                <w:sz w:val="21"/>
                <w:szCs w:val="21"/>
                <w:highlight w:val="none"/>
                <w:lang w:val="en-US" w:eastAsia="zh-CN"/>
              </w:rPr>
            </w:pPr>
            <w:r>
              <w:rPr>
                <w:rFonts w:hint="eastAsia" w:ascii="宋体" w:hAnsi="宋体" w:cs="仿宋_GB2312"/>
                <w:color w:val="auto"/>
                <w:kern w:val="0"/>
                <w:sz w:val="21"/>
                <w:szCs w:val="21"/>
                <w:highlight w:val="none"/>
                <w:lang w:val="en-US" w:eastAsia="zh-CN"/>
              </w:rPr>
              <w:t>开户行名称:交通银行昌吉北京南路支行</w:t>
            </w:r>
          </w:p>
          <w:p w14:paraId="5352B9CC">
            <w:pPr>
              <w:keepNext w:val="0"/>
              <w:keepLines w:val="0"/>
              <w:pageBreakBefore w:val="0"/>
              <w:widowControl w:val="0"/>
              <w:kinsoku/>
              <w:wordWrap/>
              <w:overflowPunct/>
              <w:topLinePunct w:val="0"/>
              <w:autoSpaceDE w:val="0"/>
              <w:autoSpaceDN w:val="0"/>
              <w:bidi w:val="0"/>
              <w:adjustRightInd/>
              <w:snapToGrid/>
              <w:textAlignment w:val="auto"/>
              <w:outlineLvl w:val="9"/>
              <w:rPr>
                <w:rFonts w:hint="eastAsia" w:ascii="宋体" w:hAnsi="宋体" w:cs="仿宋_GB2312"/>
                <w:color w:val="auto"/>
                <w:kern w:val="0"/>
                <w:sz w:val="21"/>
                <w:szCs w:val="21"/>
                <w:highlight w:val="none"/>
                <w:lang w:val="en-US" w:eastAsia="zh-CN"/>
              </w:rPr>
            </w:pPr>
            <w:r>
              <w:rPr>
                <w:rFonts w:hint="eastAsia" w:ascii="宋体" w:hAnsi="宋体" w:cs="仿宋_GB2312"/>
                <w:color w:val="auto"/>
                <w:kern w:val="0"/>
                <w:sz w:val="21"/>
                <w:szCs w:val="21"/>
                <w:highlight w:val="none"/>
                <w:lang w:val="en-US" w:eastAsia="zh-CN"/>
              </w:rPr>
              <w:t>账号: 728728038013000134671</w:t>
            </w:r>
          </w:p>
          <w:p w14:paraId="3EE8D312">
            <w:pPr>
              <w:keepNext w:val="0"/>
              <w:keepLines w:val="0"/>
              <w:pageBreakBefore w:val="0"/>
              <w:widowControl w:val="0"/>
              <w:kinsoku/>
              <w:wordWrap/>
              <w:overflowPunct/>
              <w:topLinePunct w:val="0"/>
              <w:autoSpaceDE w:val="0"/>
              <w:autoSpaceDN w:val="0"/>
              <w:bidi w:val="0"/>
              <w:adjustRightInd/>
              <w:snapToGrid/>
              <w:spacing w:after="157" w:afterLines="50"/>
              <w:textAlignment w:val="auto"/>
              <w:outlineLvl w:val="9"/>
              <w:rPr>
                <w:rFonts w:hint="eastAsia" w:ascii="宋体" w:hAnsi="宋体" w:cs="仿宋_GB2312"/>
                <w:color w:val="auto"/>
                <w:kern w:val="0"/>
                <w:sz w:val="21"/>
                <w:szCs w:val="21"/>
                <w:highlight w:val="none"/>
                <w:lang w:val="en-US" w:eastAsia="zh-CN"/>
              </w:rPr>
            </w:pPr>
            <w:r>
              <w:rPr>
                <w:rFonts w:hint="eastAsia" w:ascii="宋体" w:hAnsi="宋体" w:cs="仿宋_GB2312"/>
                <w:color w:val="auto"/>
                <w:kern w:val="0"/>
                <w:sz w:val="21"/>
                <w:szCs w:val="21"/>
                <w:highlight w:val="none"/>
                <w:lang w:val="en-US" w:eastAsia="zh-CN"/>
              </w:rPr>
              <w:t>开户行行号: 301885000031</w:t>
            </w:r>
          </w:p>
          <w:p w14:paraId="49303CB5">
            <w:pPr>
              <w:autoSpaceDE w:val="0"/>
              <w:autoSpaceDN w:val="0"/>
              <w:adjustRightInd w:val="0"/>
              <w:snapToGrid w:val="0"/>
              <w:spacing w:afterLines="50"/>
              <w:outlineLvl w:val="9"/>
              <w:rPr>
                <w:rFonts w:hint="eastAsia" w:ascii="宋体" w:hAnsi="宋体" w:cs="仿宋_GB2312"/>
                <w:color w:val="auto"/>
                <w:kern w:val="0"/>
                <w:sz w:val="21"/>
                <w:szCs w:val="21"/>
                <w:highlight w:val="none"/>
                <w:lang w:val="en-US" w:eastAsia="zh-CN"/>
              </w:rPr>
            </w:pPr>
            <w:r>
              <w:rPr>
                <w:rFonts w:hint="eastAsia" w:ascii="宋体" w:hAnsi="宋体" w:cs="仿宋_GB2312"/>
                <w:color w:val="auto"/>
                <w:kern w:val="0"/>
                <w:sz w:val="21"/>
                <w:szCs w:val="21"/>
                <w:highlight w:val="none"/>
                <w:lang w:val="en-US" w:eastAsia="zh-CN"/>
              </w:rPr>
              <w:t>供应商应充分考虑资金到账时间，在规定的时限前自行办妥投标保证金缴纳手续，投标保证金的缴付时间以电汇凭证和网银对账单上的时间为准，超过缴纳的时限缴纳投标保证金视为报名无效。投标保证金采用电汇或网银转账的方式，由供应商基本账户汇至指定账户，不得以现金和其他形式缴纳，不得以分公司、办事处或其他机构名义缴纳，供应商在缴纳投标保证金时，需在进账凭证上明确资金用途和投标项目名称，并注明联系人及电话，以便查对核实。</w:t>
            </w:r>
          </w:p>
          <w:p w14:paraId="6F065AE6">
            <w:pPr>
              <w:autoSpaceDE w:val="0"/>
              <w:autoSpaceDN w:val="0"/>
              <w:adjustRightInd w:val="0"/>
              <w:snapToGrid w:val="0"/>
              <w:spacing w:afterLines="50"/>
              <w:outlineLvl w:val="9"/>
              <w:rPr>
                <w:rFonts w:hint="eastAsia" w:ascii="宋体" w:hAnsi="宋体" w:cs="仿宋_GB2312"/>
                <w:color w:val="auto"/>
                <w:kern w:val="0"/>
                <w:sz w:val="21"/>
                <w:szCs w:val="21"/>
                <w:highlight w:val="none"/>
                <w:lang w:val="en-US" w:eastAsia="zh-CN"/>
              </w:rPr>
            </w:pPr>
            <w:r>
              <w:rPr>
                <w:rFonts w:hint="eastAsia" w:ascii="宋体" w:hAnsi="宋体" w:cs="仿宋_GB2312"/>
                <w:b/>
                <w:bCs/>
                <w:color w:val="auto"/>
                <w:kern w:val="0"/>
                <w:sz w:val="21"/>
                <w:szCs w:val="21"/>
                <w:highlight w:val="none"/>
                <w:lang w:val="en-US" w:eastAsia="zh-CN"/>
              </w:rPr>
              <w:t>在退还保证金时需携带以下资料：</w:t>
            </w:r>
          </w:p>
          <w:p w14:paraId="7762FED3">
            <w:pPr>
              <w:autoSpaceDE w:val="0"/>
              <w:autoSpaceDN w:val="0"/>
              <w:adjustRightInd w:val="0"/>
              <w:snapToGrid w:val="0"/>
              <w:spacing w:afterLines="50"/>
              <w:outlineLvl w:val="9"/>
              <w:rPr>
                <w:rFonts w:hint="eastAsia" w:ascii="宋体" w:hAnsi="宋体" w:cs="仿宋_GB2312"/>
                <w:color w:val="auto"/>
                <w:kern w:val="0"/>
                <w:sz w:val="21"/>
                <w:szCs w:val="21"/>
                <w:highlight w:val="none"/>
                <w:lang w:val="en-US" w:eastAsia="zh-CN"/>
              </w:rPr>
            </w:pPr>
            <w:r>
              <w:rPr>
                <w:rFonts w:hint="eastAsia" w:ascii="宋体" w:hAnsi="宋体" w:cs="仿宋_GB2312"/>
                <w:color w:val="auto"/>
                <w:kern w:val="0"/>
                <w:sz w:val="21"/>
                <w:szCs w:val="21"/>
                <w:highlight w:val="none"/>
                <w:lang w:val="en-US" w:eastAsia="zh-CN"/>
              </w:rPr>
              <w:t>①请贵公司开具对开收据（原件），内容为：收到新疆昌盛方略项目管理有限公司XXXXXXXX项目保证金，金额写清楚，并加盖财务章；②贵公司营业执照（复印件盖公章）；③贵公司开户许可证（复印件盖公章）；④日期请落款在公示期结束后。</w:t>
            </w:r>
          </w:p>
          <w:p w14:paraId="4FDBC5C4">
            <w:pPr>
              <w:autoSpaceDE w:val="0"/>
              <w:autoSpaceDN w:val="0"/>
              <w:adjustRightInd w:val="0"/>
              <w:snapToGrid w:val="0"/>
              <w:spacing w:afterLines="50"/>
              <w:outlineLvl w:val="9"/>
              <w:rPr>
                <w:rFonts w:hint="eastAsia" w:ascii="宋体" w:hAnsi="宋体" w:cs="仿宋_GB2312"/>
                <w:color w:val="auto"/>
                <w:kern w:val="0"/>
                <w:sz w:val="21"/>
                <w:szCs w:val="21"/>
                <w:highlight w:val="none"/>
                <w:lang w:val="en-US" w:eastAsia="zh-CN"/>
              </w:rPr>
            </w:pPr>
            <w:r>
              <w:rPr>
                <w:rFonts w:hint="eastAsia" w:ascii="宋体" w:hAnsi="宋体" w:cs="仿宋_GB2312"/>
                <w:color w:val="auto"/>
                <w:kern w:val="0"/>
                <w:sz w:val="21"/>
                <w:szCs w:val="21"/>
                <w:highlight w:val="none"/>
                <w:lang w:val="en-US" w:eastAsia="zh-CN"/>
              </w:rPr>
              <w:t>金融机构、担保机构出具的保函，供应商在开具保函时，保函需注明项目名称及单位名称，保函的有效期不得少于投标有效期，担保金额不得少于投标保证金金额。</w:t>
            </w:r>
          </w:p>
          <w:p w14:paraId="70099ECB">
            <w:pPr>
              <w:autoSpaceDE w:val="0"/>
              <w:autoSpaceDN w:val="0"/>
              <w:adjustRightInd w:val="0"/>
              <w:snapToGrid w:val="0"/>
              <w:spacing w:afterLines="50"/>
              <w:outlineLvl w:val="9"/>
              <w:rPr>
                <w:rFonts w:hint="eastAsia" w:ascii="宋体" w:hAnsi="宋体" w:eastAsia="宋体" w:cs="TimesNewRomanPSMT"/>
                <w:color w:val="auto"/>
                <w:kern w:val="0"/>
                <w:sz w:val="21"/>
                <w:szCs w:val="21"/>
                <w:highlight w:val="none"/>
                <w:lang w:eastAsia="zh-CN"/>
              </w:rPr>
            </w:pPr>
            <w:r>
              <w:rPr>
                <w:rFonts w:hint="eastAsia" w:ascii="宋体" w:hAnsi="宋体" w:cs="仿宋_GB2312"/>
                <w:color w:val="auto"/>
                <w:kern w:val="0"/>
                <w:sz w:val="21"/>
                <w:szCs w:val="21"/>
                <w:highlight w:val="none"/>
                <w:lang w:val="en-US" w:eastAsia="zh-CN"/>
              </w:rPr>
              <w:t>银行保函、保险保函形式缴纳的投标保证金按协议执行，无需办理退款手续。</w:t>
            </w:r>
          </w:p>
        </w:tc>
      </w:tr>
      <w:tr w14:paraId="20211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68F3D853">
            <w:pPr>
              <w:autoSpaceDE w:val="0"/>
              <w:autoSpaceDN w:val="0"/>
              <w:adjustRightInd w:val="0"/>
              <w:snapToGrid w:val="0"/>
              <w:jc w:val="center"/>
              <w:outlineLvl w:val="9"/>
              <w:rPr>
                <w:rFonts w:ascii="宋体" w:hAnsi="宋体" w:cs="TimesNewRomanPSMT"/>
                <w:color w:val="auto"/>
                <w:kern w:val="0"/>
                <w:sz w:val="21"/>
                <w:szCs w:val="21"/>
              </w:rPr>
            </w:pPr>
            <w:r>
              <w:rPr>
                <w:rFonts w:ascii="宋体" w:hAnsi="宋体" w:cs="TimesNewRomanPSMT"/>
                <w:color w:val="auto"/>
                <w:kern w:val="0"/>
                <w:sz w:val="21"/>
                <w:szCs w:val="21"/>
              </w:rPr>
              <w:t>3.</w:t>
            </w:r>
            <w:r>
              <w:rPr>
                <w:rFonts w:hint="eastAsia" w:ascii="宋体" w:hAnsi="宋体" w:cs="TimesNewRomanPSMT"/>
                <w:color w:val="auto"/>
                <w:kern w:val="0"/>
                <w:sz w:val="21"/>
                <w:szCs w:val="21"/>
              </w:rPr>
              <w:t>8</w:t>
            </w:r>
            <w:r>
              <w:rPr>
                <w:rFonts w:ascii="宋体" w:hAnsi="宋体" w:cs="TimesNewRomanPSMT"/>
                <w:color w:val="auto"/>
                <w:kern w:val="0"/>
                <w:sz w:val="21"/>
                <w:szCs w:val="21"/>
              </w:rPr>
              <w:t>.</w:t>
            </w:r>
            <w:r>
              <w:rPr>
                <w:rFonts w:hint="eastAsia" w:ascii="宋体" w:hAnsi="宋体" w:cs="TimesNewRomanPSMT"/>
                <w:color w:val="auto"/>
                <w:kern w:val="0"/>
                <w:sz w:val="21"/>
                <w:szCs w:val="21"/>
              </w:rPr>
              <w:t>2</w:t>
            </w:r>
          </w:p>
        </w:tc>
        <w:tc>
          <w:tcPr>
            <w:tcW w:w="2515" w:type="dxa"/>
            <w:vAlign w:val="center"/>
          </w:tcPr>
          <w:p w14:paraId="09EE8DB9">
            <w:pPr>
              <w:autoSpaceDE w:val="0"/>
              <w:autoSpaceDN w:val="0"/>
              <w:adjustRightInd w:val="0"/>
              <w:snapToGrid w:val="0"/>
              <w:outlineLvl w:val="9"/>
              <w:rPr>
                <w:rFonts w:ascii="宋体" w:hAnsi="宋体" w:cs="仿宋_GB2312"/>
                <w:color w:val="auto"/>
                <w:kern w:val="0"/>
                <w:sz w:val="21"/>
                <w:szCs w:val="21"/>
              </w:rPr>
            </w:pPr>
            <w:r>
              <w:rPr>
                <w:rFonts w:hint="eastAsia" w:ascii="宋体" w:hAnsi="宋体" w:cs="仿宋_GB2312"/>
                <w:color w:val="auto"/>
                <w:kern w:val="0"/>
                <w:sz w:val="21"/>
                <w:szCs w:val="21"/>
                <w:highlight w:val="none"/>
              </w:rPr>
              <w:t>签字或盖章要求</w:t>
            </w:r>
          </w:p>
        </w:tc>
        <w:tc>
          <w:tcPr>
            <w:tcW w:w="5675" w:type="dxa"/>
            <w:vAlign w:val="center"/>
          </w:tcPr>
          <w:p w14:paraId="442D6306">
            <w:pPr>
              <w:autoSpaceDE w:val="0"/>
              <w:autoSpaceDN w:val="0"/>
              <w:adjustRightInd w:val="0"/>
              <w:snapToGrid w:val="0"/>
              <w:spacing w:afterLines="50"/>
              <w:outlineLvl w:val="9"/>
              <w:rPr>
                <w:rFonts w:hint="eastAsia" w:ascii="宋体" w:hAnsi="宋体" w:eastAsia="宋体" w:cs="宋体"/>
                <w:i/>
                <w:color w:val="auto"/>
                <w:kern w:val="0"/>
                <w:sz w:val="21"/>
                <w:szCs w:val="21"/>
              </w:rPr>
            </w:pPr>
            <w:r>
              <w:rPr>
                <w:rFonts w:hint="eastAsia" w:ascii="宋体" w:hAnsi="宋体" w:eastAsia="宋体" w:cs="仿宋_GB2312"/>
                <w:color w:val="auto"/>
                <w:kern w:val="0"/>
                <w:sz w:val="21"/>
                <w:szCs w:val="21"/>
                <w:highlight w:val="none"/>
                <w:lang w:val="en-US" w:eastAsia="zh-CN"/>
              </w:rPr>
              <w:t>投标文件中要求加盖单位公章处均应为</w:t>
            </w:r>
            <w:r>
              <w:rPr>
                <w:rFonts w:hint="eastAsia" w:ascii="宋体" w:hAnsi="宋体" w:cs="仿宋_GB2312"/>
                <w:color w:val="auto"/>
                <w:kern w:val="0"/>
                <w:sz w:val="21"/>
                <w:szCs w:val="21"/>
                <w:highlight w:val="none"/>
                <w:lang w:val="en-US" w:eastAsia="zh-CN"/>
              </w:rPr>
              <w:t>供应商</w:t>
            </w:r>
            <w:r>
              <w:rPr>
                <w:rFonts w:hint="eastAsia" w:ascii="宋体" w:hAnsi="宋体" w:eastAsia="宋体" w:cs="仿宋_GB2312"/>
                <w:color w:val="auto"/>
                <w:kern w:val="0"/>
                <w:sz w:val="21"/>
                <w:szCs w:val="21"/>
                <w:highlight w:val="none"/>
                <w:lang w:val="en-US" w:eastAsia="zh-CN"/>
              </w:rPr>
              <w:t>电子印章。联合体投标时，投标书、联合体协议需加盖联合体各方公章。符合《电子印章管理办法》规定的电子印章与实物印章具有同等法律效力。除法律、行政法规明确不适用的情形外，经电子签章的电子文件与加盖实物印章的纸质文件具有同等效力。</w:t>
            </w:r>
          </w:p>
        </w:tc>
      </w:tr>
      <w:tr w14:paraId="3800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2" w:hRule="atLeast"/>
          <w:jc w:val="center"/>
        </w:trPr>
        <w:tc>
          <w:tcPr>
            <w:tcW w:w="1188" w:type="dxa"/>
            <w:vAlign w:val="center"/>
          </w:tcPr>
          <w:p w14:paraId="398E203C">
            <w:pPr>
              <w:autoSpaceDE w:val="0"/>
              <w:autoSpaceDN w:val="0"/>
              <w:adjustRightInd w:val="0"/>
              <w:snapToGrid w:val="0"/>
              <w:jc w:val="center"/>
              <w:outlineLvl w:val="9"/>
              <w:rPr>
                <w:rFonts w:ascii="宋体" w:hAnsi="宋体" w:cs="TimesNewRomanPSMT"/>
                <w:color w:val="auto"/>
                <w:kern w:val="0"/>
                <w:sz w:val="21"/>
                <w:szCs w:val="21"/>
              </w:rPr>
            </w:pPr>
            <w:r>
              <w:rPr>
                <w:rFonts w:ascii="宋体" w:hAnsi="宋体" w:cs="TimesNewRomanPSMT"/>
                <w:color w:val="auto"/>
                <w:kern w:val="0"/>
                <w:sz w:val="20"/>
                <w:szCs w:val="21"/>
                <w:highlight w:val="none"/>
                <w:shd w:val="clear" w:color="auto" w:fill="auto"/>
              </w:rPr>
              <w:t>4.1.</w:t>
            </w:r>
            <w:r>
              <w:rPr>
                <w:rFonts w:hint="eastAsia" w:ascii="宋体" w:hAnsi="宋体" w:cs="TimesNewRomanPSMT"/>
                <w:color w:val="auto"/>
                <w:kern w:val="0"/>
                <w:sz w:val="20"/>
                <w:szCs w:val="21"/>
                <w:highlight w:val="none"/>
                <w:shd w:val="clear" w:color="auto" w:fill="auto"/>
                <w:lang w:val="en-US" w:eastAsia="zh-CN"/>
              </w:rPr>
              <w:t>1</w:t>
            </w:r>
          </w:p>
        </w:tc>
        <w:tc>
          <w:tcPr>
            <w:tcW w:w="2515" w:type="dxa"/>
            <w:vAlign w:val="center"/>
          </w:tcPr>
          <w:p w14:paraId="7F6873AB">
            <w:pPr>
              <w:autoSpaceDE w:val="0"/>
              <w:autoSpaceDN w:val="0"/>
              <w:adjustRightInd w:val="0"/>
              <w:snapToGrid w:val="0"/>
              <w:outlineLvl w:val="9"/>
              <w:rPr>
                <w:rFonts w:ascii="宋体" w:hAnsi="宋体" w:cs="仿宋_GB2312"/>
                <w:color w:val="auto"/>
                <w:kern w:val="0"/>
                <w:sz w:val="21"/>
                <w:szCs w:val="21"/>
              </w:rPr>
            </w:pPr>
            <w:r>
              <w:rPr>
                <w:rFonts w:hint="eastAsia" w:ascii="宋体" w:hAnsi="宋体" w:cs="仿宋_GB2312"/>
                <w:color w:val="auto"/>
                <w:kern w:val="0"/>
                <w:sz w:val="21"/>
                <w:szCs w:val="21"/>
                <w:lang w:val="en-US" w:eastAsia="zh-CN"/>
              </w:rPr>
              <w:t>加密投标文件</w:t>
            </w:r>
          </w:p>
        </w:tc>
        <w:tc>
          <w:tcPr>
            <w:tcW w:w="5675" w:type="dxa"/>
            <w:vAlign w:val="center"/>
          </w:tcPr>
          <w:p w14:paraId="7A0C2917">
            <w:pPr>
              <w:keepNext w:val="0"/>
              <w:keepLines w:val="0"/>
              <w:pageBreakBefore w:val="0"/>
              <w:widowControl w:val="0"/>
              <w:kinsoku/>
              <w:wordWrap w:val="0"/>
              <w:overflowPunct/>
              <w:topLinePunct w:val="0"/>
              <w:autoSpaceDE w:val="0"/>
              <w:autoSpaceDN w:val="0"/>
              <w:bidi w:val="0"/>
              <w:adjustRightInd/>
              <w:snapToGrid/>
              <w:spacing w:line="240" w:lineRule="auto"/>
              <w:jc w:val="left"/>
              <w:textAlignment w:val="auto"/>
              <w:outlineLvl w:val="9"/>
              <w:rPr>
                <w:rFonts w:hint="default" w:eastAsia="宋体"/>
                <w:color w:val="auto"/>
                <w:lang w:val="en-US" w:eastAsia="zh-CN"/>
              </w:rPr>
            </w:pPr>
            <w:r>
              <w:rPr>
                <w:rFonts w:hint="default" w:eastAsia="宋体"/>
                <w:color w:val="auto"/>
                <w:lang w:val="en-US" w:eastAsia="zh-CN"/>
              </w:rPr>
              <w:t>“电子加密投标文件”1份，投标截止时间前上传至“政府采购云平台”电子交易平台:</w:t>
            </w:r>
          </w:p>
          <w:p w14:paraId="4AD23ADE">
            <w:pPr>
              <w:keepNext w:val="0"/>
              <w:keepLines w:val="0"/>
              <w:pageBreakBefore w:val="0"/>
              <w:widowControl w:val="0"/>
              <w:kinsoku/>
              <w:wordWrap w:val="0"/>
              <w:overflowPunct/>
              <w:topLinePunct w:val="0"/>
              <w:autoSpaceDE w:val="0"/>
              <w:autoSpaceDN w:val="0"/>
              <w:bidi w:val="0"/>
              <w:adjustRightInd/>
              <w:snapToGrid/>
              <w:spacing w:line="240" w:lineRule="auto"/>
              <w:jc w:val="left"/>
              <w:textAlignment w:val="auto"/>
              <w:outlineLvl w:val="9"/>
              <w:rPr>
                <w:rFonts w:hint="default" w:eastAsia="宋体"/>
                <w:color w:val="auto"/>
                <w:lang w:val="en-US" w:eastAsia="zh-CN"/>
              </w:rPr>
            </w:pPr>
            <w:r>
              <w:rPr>
                <w:rFonts w:hint="default" w:eastAsia="宋体"/>
                <w:color w:val="auto"/>
                <w:lang w:val="en-US" w:eastAsia="zh-CN"/>
              </w:rPr>
              <w:t>(1)“电子加密投标文件”是指通过政采云“电子交易客户端”完成投标文件编制后生成并加密的数据电文形式的投标文件。</w:t>
            </w:r>
          </w:p>
          <w:p w14:paraId="0DE03225">
            <w:pPr>
              <w:keepNext w:val="0"/>
              <w:keepLines w:val="0"/>
              <w:pageBreakBefore w:val="0"/>
              <w:widowControl w:val="0"/>
              <w:kinsoku/>
              <w:wordWrap w:val="0"/>
              <w:overflowPunct/>
              <w:topLinePunct w:val="0"/>
              <w:autoSpaceDE w:val="0"/>
              <w:autoSpaceDN w:val="0"/>
              <w:bidi w:val="0"/>
              <w:adjustRightInd/>
              <w:snapToGrid/>
              <w:spacing w:line="240" w:lineRule="auto"/>
              <w:jc w:val="left"/>
              <w:textAlignment w:val="auto"/>
              <w:outlineLvl w:val="9"/>
              <w:rPr>
                <w:rFonts w:hint="eastAsia" w:eastAsia="宋体"/>
                <w:color w:val="auto"/>
                <w:lang w:val="en-US" w:eastAsia="zh-CN"/>
              </w:rPr>
            </w:pPr>
            <w:r>
              <w:rPr>
                <w:rFonts w:hint="default" w:eastAsia="宋体"/>
                <w:color w:val="auto"/>
                <w:lang w:val="en-US" w:eastAsia="zh-CN"/>
              </w:rPr>
              <w:t>(2)</w:t>
            </w:r>
            <w:r>
              <w:rPr>
                <w:rFonts w:hint="eastAsia" w:eastAsia="宋体"/>
                <w:color w:val="auto"/>
                <w:lang w:val="en-US" w:eastAsia="zh-CN"/>
              </w:rPr>
              <w:t>供应商</w:t>
            </w:r>
            <w:r>
              <w:rPr>
                <w:rFonts w:hint="default" w:eastAsia="宋体"/>
                <w:color w:val="auto"/>
                <w:lang w:val="en-US" w:eastAsia="zh-CN"/>
              </w:rPr>
              <w:t>应先安装政采云“电子交易客户端”，并按照本</w:t>
            </w:r>
            <w:r>
              <w:rPr>
                <w:rFonts w:hint="eastAsia" w:eastAsia="宋体"/>
                <w:color w:val="auto"/>
                <w:lang w:val="en-US" w:eastAsia="zh-CN"/>
              </w:rPr>
              <w:t>招标</w:t>
            </w:r>
            <w:r>
              <w:rPr>
                <w:rFonts w:hint="default" w:eastAsia="宋体"/>
                <w:color w:val="auto"/>
                <w:lang w:val="en-US" w:eastAsia="zh-CN"/>
              </w:rPr>
              <w:t>文件和“政府采购云平台”的要求，政采云通过“电子交易客户端”编制并加密投标文件</w:t>
            </w:r>
            <w:r>
              <w:rPr>
                <w:rFonts w:hint="eastAsia" w:eastAsia="宋体"/>
                <w:color w:val="auto"/>
                <w:lang w:val="en-US" w:eastAsia="zh-CN"/>
              </w:rPr>
              <w:t>。</w:t>
            </w:r>
          </w:p>
          <w:p w14:paraId="7BB5506A">
            <w:pPr>
              <w:keepNext w:val="0"/>
              <w:keepLines w:val="0"/>
              <w:pageBreakBefore w:val="0"/>
              <w:widowControl w:val="0"/>
              <w:kinsoku/>
              <w:wordWrap w:val="0"/>
              <w:overflowPunct/>
              <w:topLinePunct w:val="0"/>
              <w:autoSpaceDE w:val="0"/>
              <w:autoSpaceDN w:val="0"/>
              <w:bidi w:val="0"/>
              <w:adjustRightInd/>
              <w:snapToGrid/>
              <w:spacing w:line="240" w:lineRule="auto"/>
              <w:jc w:val="left"/>
              <w:textAlignment w:val="auto"/>
              <w:outlineLvl w:val="9"/>
              <w:rPr>
                <w:rFonts w:hint="default"/>
                <w:color w:val="auto"/>
                <w:lang w:val="en-US" w:eastAsia="zh-CN"/>
              </w:rPr>
            </w:pPr>
            <w:r>
              <w:rPr>
                <w:rFonts w:hint="default" w:eastAsia="宋体"/>
                <w:color w:val="auto"/>
                <w:lang w:val="en-US" w:eastAsia="zh-CN"/>
              </w:rPr>
              <w:t>(</w:t>
            </w:r>
            <w:r>
              <w:rPr>
                <w:rFonts w:hint="eastAsia"/>
                <w:color w:val="auto"/>
                <w:lang w:val="en-US" w:eastAsia="zh-CN"/>
              </w:rPr>
              <w:t>3</w:t>
            </w:r>
            <w:r>
              <w:rPr>
                <w:rFonts w:hint="default" w:eastAsia="宋体"/>
                <w:color w:val="auto"/>
                <w:lang w:val="en-US" w:eastAsia="zh-CN"/>
              </w:rPr>
              <w:t>)</w:t>
            </w:r>
            <w:r>
              <w:rPr>
                <w:rFonts w:hint="eastAsia"/>
                <w:color w:val="auto"/>
                <w:lang w:val="en-US" w:eastAsia="zh-CN"/>
              </w:rPr>
              <w:t>项目结束后，中标人需提供三份纸质版（与网上上传一致）投标文件至代理机构。</w:t>
            </w:r>
          </w:p>
        </w:tc>
      </w:tr>
      <w:tr w14:paraId="1A0A9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6D16ED7F">
            <w:pPr>
              <w:autoSpaceDE w:val="0"/>
              <w:autoSpaceDN w:val="0"/>
              <w:adjustRightInd w:val="0"/>
              <w:snapToGrid w:val="0"/>
              <w:jc w:val="center"/>
              <w:outlineLvl w:val="9"/>
              <w:rPr>
                <w:rFonts w:ascii="宋体" w:hAnsi="宋体" w:cs="TimesNewRomanPSMT"/>
                <w:color w:val="auto"/>
                <w:kern w:val="0"/>
                <w:sz w:val="21"/>
                <w:szCs w:val="21"/>
              </w:rPr>
            </w:pPr>
            <w:r>
              <w:rPr>
                <w:rFonts w:hint="eastAsia" w:ascii="宋体" w:hAnsi="宋体" w:cs="TimesNewRomanPSMT"/>
                <w:color w:val="auto"/>
                <w:kern w:val="0"/>
                <w:sz w:val="21"/>
                <w:szCs w:val="21"/>
              </w:rPr>
              <w:t>6.1</w:t>
            </w:r>
          </w:p>
        </w:tc>
        <w:tc>
          <w:tcPr>
            <w:tcW w:w="2515" w:type="dxa"/>
            <w:vAlign w:val="center"/>
          </w:tcPr>
          <w:p w14:paraId="394AA27A">
            <w:pPr>
              <w:autoSpaceDE w:val="0"/>
              <w:autoSpaceDN w:val="0"/>
              <w:adjustRightInd w:val="0"/>
              <w:snapToGrid w:val="0"/>
              <w:outlineLvl w:val="9"/>
              <w:rPr>
                <w:rFonts w:ascii="宋体" w:hAnsi="宋体" w:cs="仿宋_GB2312"/>
                <w:color w:val="auto"/>
                <w:kern w:val="0"/>
                <w:sz w:val="21"/>
                <w:szCs w:val="21"/>
              </w:rPr>
            </w:pPr>
            <w:r>
              <w:rPr>
                <w:rFonts w:hint="eastAsia" w:ascii="宋体" w:hAnsi="宋体" w:cs="仿宋_GB2312"/>
                <w:color w:val="auto"/>
                <w:kern w:val="0"/>
                <w:sz w:val="21"/>
                <w:szCs w:val="21"/>
              </w:rPr>
              <w:t>资格审查主体</w:t>
            </w:r>
          </w:p>
        </w:tc>
        <w:tc>
          <w:tcPr>
            <w:tcW w:w="5675" w:type="dxa"/>
            <w:vAlign w:val="center"/>
          </w:tcPr>
          <w:p w14:paraId="0E63F1DA">
            <w:pPr>
              <w:keepNext w:val="0"/>
              <w:keepLines w:val="0"/>
              <w:pageBreakBefore w:val="0"/>
              <w:widowControl w:val="0"/>
              <w:kinsoku/>
              <w:wordWrap/>
              <w:overflowPunct/>
              <w:topLinePunct w:val="0"/>
              <w:autoSpaceDE w:val="0"/>
              <w:autoSpaceDN w:val="0"/>
              <w:bidi w:val="0"/>
              <w:adjustRightInd w:val="0"/>
              <w:snapToGrid w:val="0"/>
              <w:textAlignment w:val="auto"/>
              <w:outlineLvl w:val="9"/>
              <w:rPr>
                <w:rFonts w:ascii="宋体" w:hAnsi="宋体" w:cs="仿宋_GB2312"/>
                <w:color w:val="auto"/>
                <w:kern w:val="0"/>
                <w:sz w:val="21"/>
                <w:szCs w:val="21"/>
              </w:rPr>
            </w:pPr>
            <w:r>
              <w:rPr>
                <w:rFonts w:hint="eastAsia" w:ascii="宋体" w:hAnsi="宋体" w:cs="仿宋_GB2312"/>
                <w:color w:val="auto"/>
                <w:kern w:val="0"/>
                <w:sz w:val="21"/>
                <w:szCs w:val="21"/>
                <w:lang w:eastAsia="zh-CN"/>
              </w:rPr>
              <w:t>☑</w:t>
            </w:r>
            <w:r>
              <w:rPr>
                <w:rFonts w:hint="eastAsia" w:ascii="宋体" w:hAnsi="宋体" w:cs="仿宋_GB2312"/>
                <w:color w:val="auto"/>
                <w:kern w:val="0"/>
                <w:sz w:val="21"/>
                <w:szCs w:val="21"/>
              </w:rPr>
              <w:t>采购人</w:t>
            </w:r>
          </w:p>
          <w:p w14:paraId="4251C36D">
            <w:pPr>
              <w:keepNext w:val="0"/>
              <w:keepLines w:val="0"/>
              <w:pageBreakBefore w:val="0"/>
              <w:widowControl w:val="0"/>
              <w:kinsoku/>
              <w:wordWrap/>
              <w:overflowPunct/>
              <w:topLinePunct w:val="0"/>
              <w:autoSpaceDE w:val="0"/>
              <w:autoSpaceDN w:val="0"/>
              <w:bidi w:val="0"/>
              <w:adjustRightInd w:val="0"/>
              <w:snapToGrid w:val="0"/>
              <w:textAlignment w:val="auto"/>
              <w:outlineLvl w:val="9"/>
              <w:rPr>
                <w:rFonts w:ascii="宋体" w:hAnsi="宋体" w:cs="仿宋_GB2312"/>
                <w:color w:val="auto"/>
                <w:kern w:val="0"/>
                <w:sz w:val="21"/>
                <w:szCs w:val="21"/>
              </w:rPr>
            </w:pPr>
            <w:r>
              <w:rPr>
                <w:rFonts w:hint="eastAsia" w:ascii="宋体" w:hAnsi="宋体" w:cs="仿宋_GB2312"/>
                <w:color w:val="auto"/>
                <w:kern w:val="0"/>
                <w:sz w:val="21"/>
                <w:szCs w:val="21"/>
              </w:rPr>
              <w:t>□采购人委托的</w:t>
            </w:r>
            <w:r>
              <w:rPr>
                <w:rFonts w:hint="eastAsia" w:ascii="宋体" w:hAnsi="宋体" w:cs="仿宋_GB2312"/>
                <w:color w:val="auto"/>
                <w:kern w:val="0"/>
                <w:sz w:val="21"/>
                <w:szCs w:val="21"/>
                <w:lang w:val="en-US" w:eastAsia="zh-CN"/>
              </w:rPr>
              <w:t>采购</w:t>
            </w:r>
            <w:r>
              <w:rPr>
                <w:rFonts w:hint="eastAsia" w:ascii="宋体" w:hAnsi="宋体" w:cs="仿宋_GB2312"/>
                <w:color w:val="auto"/>
                <w:kern w:val="0"/>
                <w:sz w:val="21"/>
                <w:szCs w:val="21"/>
              </w:rPr>
              <w:t>代理机构</w:t>
            </w:r>
          </w:p>
          <w:p w14:paraId="63ACBEAB">
            <w:pPr>
              <w:keepNext w:val="0"/>
              <w:keepLines w:val="0"/>
              <w:pageBreakBefore w:val="0"/>
              <w:widowControl w:val="0"/>
              <w:kinsoku/>
              <w:wordWrap/>
              <w:overflowPunct/>
              <w:topLinePunct w:val="0"/>
              <w:autoSpaceDE w:val="0"/>
              <w:autoSpaceDN w:val="0"/>
              <w:bidi w:val="0"/>
              <w:adjustRightInd w:val="0"/>
              <w:snapToGrid w:val="0"/>
              <w:textAlignment w:val="auto"/>
              <w:outlineLvl w:val="9"/>
              <w:rPr>
                <w:rFonts w:ascii="宋体" w:hAnsi="宋体" w:cs="仿宋_GB2312"/>
                <w:color w:val="auto"/>
                <w:kern w:val="0"/>
                <w:sz w:val="21"/>
                <w:szCs w:val="21"/>
              </w:rPr>
            </w:pPr>
            <w:r>
              <w:rPr>
                <w:rFonts w:hint="eastAsia" w:ascii="宋体" w:hAnsi="宋体" w:cs="仿宋_GB2312"/>
                <w:color w:val="auto"/>
                <w:kern w:val="0"/>
                <w:sz w:val="21"/>
                <w:szCs w:val="21"/>
                <w:lang w:eastAsia="zh-CN"/>
              </w:rPr>
              <w:t>□</w:t>
            </w:r>
            <w:r>
              <w:rPr>
                <w:rFonts w:hint="eastAsia" w:ascii="宋体" w:hAnsi="宋体" w:cs="仿宋_GB2312"/>
                <w:color w:val="auto"/>
                <w:kern w:val="0"/>
                <w:sz w:val="21"/>
                <w:szCs w:val="21"/>
              </w:rPr>
              <w:t>采购人和采购代理机构</w:t>
            </w:r>
          </w:p>
        </w:tc>
      </w:tr>
      <w:tr w14:paraId="628AA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0AB607F7">
            <w:pPr>
              <w:autoSpaceDE w:val="0"/>
              <w:autoSpaceDN w:val="0"/>
              <w:adjustRightInd w:val="0"/>
              <w:snapToGrid w:val="0"/>
              <w:jc w:val="center"/>
              <w:outlineLvl w:val="9"/>
              <w:rPr>
                <w:rFonts w:hint="default" w:ascii="宋体" w:hAnsi="宋体" w:eastAsia="宋体" w:cs="TimesNewRomanPSMT"/>
                <w:color w:val="auto"/>
                <w:kern w:val="0"/>
                <w:sz w:val="21"/>
                <w:szCs w:val="21"/>
                <w:lang w:val="en-US" w:eastAsia="zh-CN"/>
              </w:rPr>
            </w:pPr>
            <w:r>
              <w:rPr>
                <w:rFonts w:hint="eastAsia" w:ascii="宋体" w:hAnsi="宋体" w:cs="TimesNewRomanPSMT"/>
                <w:color w:val="auto"/>
                <w:kern w:val="0"/>
                <w:sz w:val="21"/>
                <w:szCs w:val="21"/>
                <w:lang w:val="en-US" w:eastAsia="zh-CN"/>
              </w:rPr>
              <w:t>7.1</w:t>
            </w:r>
          </w:p>
        </w:tc>
        <w:tc>
          <w:tcPr>
            <w:tcW w:w="2515" w:type="dxa"/>
            <w:vAlign w:val="center"/>
          </w:tcPr>
          <w:p w14:paraId="405F226F">
            <w:pPr>
              <w:autoSpaceDE w:val="0"/>
              <w:autoSpaceDN w:val="0"/>
              <w:adjustRightInd w:val="0"/>
              <w:snapToGrid w:val="0"/>
              <w:outlineLvl w:val="9"/>
              <w:rPr>
                <w:rFonts w:hint="default" w:ascii="宋体" w:hAnsi="宋体" w:eastAsia="宋体" w:cs="仿宋_GB2312"/>
                <w:color w:val="auto"/>
                <w:kern w:val="0"/>
                <w:sz w:val="21"/>
                <w:szCs w:val="21"/>
                <w:lang w:val="en-US" w:eastAsia="zh-CN"/>
              </w:rPr>
            </w:pPr>
            <w:r>
              <w:rPr>
                <w:rFonts w:hint="eastAsia" w:ascii="宋体" w:hAnsi="宋体" w:cs="仿宋_GB2312"/>
                <w:color w:val="auto"/>
                <w:kern w:val="0"/>
                <w:sz w:val="21"/>
                <w:szCs w:val="21"/>
                <w:lang w:val="en-US" w:eastAsia="zh-CN"/>
              </w:rPr>
              <w:t>评标委员会</w:t>
            </w:r>
          </w:p>
        </w:tc>
        <w:tc>
          <w:tcPr>
            <w:tcW w:w="5675" w:type="dxa"/>
            <w:vAlign w:val="center"/>
          </w:tcPr>
          <w:p w14:paraId="526D7065">
            <w:pPr>
              <w:keepNext w:val="0"/>
              <w:keepLines w:val="0"/>
              <w:pageBreakBefore w:val="0"/>
              <w:widowControl w:val="0"/>
              <w:kinsoku/>
              <w:wordWrap w:val="0"/>
              <w:overflowPunct/>
              <w:topLinePunct w:val="0"/>
              <w:autoSpaceDE w:val="0"/>
              <w:autoSpaceDN w:val="0"/>
              <w:bidi w:val="0"/>
              <w:adjustRightInd/>
              <w:snapToGrid/>
              <w:spacing w:line="240" w:lineRule="auto"/>
              <w:jc w:val="left"/>
              <w:textAlignment w:val="auto"/>
              <w:outlineLvl w:val="9"/>
              <w:rPr>
                <w:rFonts w:hint="eastAsia" w:eastAsia="宋体"/>
                <w:color w:val="auto"/>
                <w:lang w:val="en-US" w:eastAsia="zh-CN"/>
              </w:rPr>
            </w:pPr>
            <w:r>
              <w:rPr>
                <w:rFonts w:hint="eastAsia" w:eastAsia="宋体"/>
                <w:color w:val="auto"/>
                <w:lang w:val="en-US" w:eastAsia="zh-CN"/>
              </w:rPr>
              <w:t>评标委员会构成：9人</w:t>
            </w:r>
          </w:p>
          <w:p w14:paraId="370DF583">
            <w:pPr>
              <w:keepNext w:val="0"/>
              <w:keepLines w:val="0"/>
              <w:pageBreakBefore w:val="0"/>
              <w:widowControl w:val="0"/>
              <w:kinsoku/>
              <w:wordWrap w:val="0"/>
              <w:overflowPunct/>
              <w:topLinePunct w:val="0"/>
              <w:autoSpaceDE w:val="0"/>
              <w:autoSpaceDN w:val="0"/>
              <w:bidi w:val="0"/>
              <w:adjustRightInd/>
              <w:snapToGrid/>
              <w:spacing w:line="240" w:lineRule="auto"/>
              <w:jc w:val="left"/>
              <w:textAlignment w:val="auto"/>
              <w:outlineLvl w:val="9"/>
              <w:rPr>
                <w:rFonts w:hint="eastAsia" w:eastAsia="宋体"/>
                <w:color w:val="auto"/>
                <w:lang w:val="en-US" w:eastAsia="zh-CN"/>
              </w:rPr>
            </w:pPr>
            <w:r>
              <w:rPr>
                <w:rFonts w:hint="eastAsia" w:eastAsia="宋体"/>
                <w:color w:val="auto"/>
                <w:lang w:val="en-US" w:eastAsia="zh-CN"/>
              </w:rPr>
              <w:t>其中招标人代表：3人，专家：</w:t>
            </w:r>
            <w:r>
              <w:rPr>
                <w:rFonts w:hint="eastAsia"/>
                <w:color w:val="auto"/>
                <w:lang w:val="en-US" w:eastAsia="zh-CN"/>
              </w:rPr>
              <w:t>6</w:t>
            </w:r>
            <w:r>
              <w:rPr>
                <w:rFonts w:hint="eastAsia" w:eastAsia="宋体"/>
                <w:color w:val="auto"/>
                <w:lang w:val="en-US" w:eastAsia="zh-CN"/>
              </w:rPr>
              <w:t>人；</w:t>
            </w:r>
          </w:p>
          <w:p w14:paraId="6E345C65">
            <w:pPr>
              <w:keepNext w:val="0"/>
              <w:keepLines w:val="0"/>
              <w:pageBreakBefore w:val="0"/>
              <w:widowControl w:val="0"/>
              <w:kinsoku/>
              <w:wordWrap w:val="0"/>
              <w:overflowPunct/>
              <w:topLinePunct w:val="0"/>
              <w:autoSpaceDE w:val="0"/>
              <w:autoSpaceDN w:val="0"/>
              <w:bidi w:val="0"/>
              <w:adjustRightInd/>
              <w:snapToGrid/>
              <w:spacing w:line="240" w:lineRule="auto"/>
              <w:jc w:val="left"/>
              <w:textAlignment w:val="auto"/>
              <w:outlineLvl w:val="9"/>
              <w:rPr>
                <w:rFonts w:hint="default"/>
                <w:color w:val="auto"/>
                <w:lang w:val="en-US" w:eastAsia="zh-CN"/>
              </w:rPr>
            </w:pPr>
            <w:r>
              <w:rPr>
                <w:rFonts w:hint="eastAsia" w:eastAsia="宋体"/>
                <w:color w:val="auto"/>
                <w:lang w:val="en-US" w:eastAsia="zh-CN"/>
              </w:rPr>
              <w:t>评标专家确定方式：</w:t>
            </w:r>
            <w:r>
              <w:rPr>
                <w:rFonts w:hint="eastAsia"/>
                <w:color w:val="auto"/>
                <w:lang w:val="en-US" w:eastAsia="zh-CN"/>
              </w:rPr>
              <w:t>政采云</w:t>
            </w:r>
            <w:r>
              <w:rPr>
                <w:rFonts w:hint="eastAsia" w:eastAsia="宋体"/>
                <w:color w:val="auto"/>
                <w:lang w:val="en-US" w:eastAsia="zh-CN"/>
              </w:rPr>
              <w:t>专家库中随机抽取</w:t>
            </w:r>
            <w:r>
              <w:rPr>
                <w:rFonts w:hint="eastAsia"/>
                <w:color w:val="auto"/>
                <w:lang w:val="en-US" w:eastAsia="zh-CN"/>
              </w:rPr>
              <w:t>。</w:t>
            </w:r>
          </w:p>
        </w:tc>
      </w:tr>
      <w:tr w14:paraId="7E501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shd w:val="clear" w:color="auto" w:fill="auto"/>
            <w:vAlign w:val="center"/>
          </w:tcPr>
          <w:p w14:paraId="50D26217">
            <w:pPr>
              <w:autoSpaceDE w:val="0"/>
              <w:autoSpaceDN w:val="0"/>
              <w:adjustRightInd w:val="0"/>
              <w:snapToGrid w:val="0"/>
              <w:jc w:val="center"/>
              <w:outlineLvl w:val="9"/>
              <w:rPr>
                <w:rFonts w:ascii="宋体" w:hAnsi="宋体" w:cs="TimesNewRomanPSMT"/>
                <w:color w:val="auto"/>
                <w:kern w:val="0"/>
                <w:sz w:val="21"/>
                <w:szCs w:val="21"/>
              </w:rPr>
            </w:pPr>
            <w:r>
              <w:rPr>
                <w:rFonts w:hint="eastAsia" w:ascii="宋体" w:hAnsi="宋体" w:cs="TimesNewRomanPSMT"/>
                <w:color w:val="auto"/>
                <w:kern w:val="0"/>
                <w:sz w:val="21"/>
                <w:szCs w:val="21"/>
              </w:rPr>
              <w:t>7.3</w:t>
            </w:r>
          </w:p>
        </w:tc>
        <w:tc>
          <w:tcPr>
            <w:tcW w:w="2515" w:type="dxa"/>
            <w:shd w:val="clear" w:color="auto" w:fill="auto"/>
            <w:vAlign w:val="center"/>
          </w:tcPr>
          <w:p w14:paraId="7E80B3A9">
            <w:pPr>
              <w:autoSpaceDE w:val="0"/>
              <w:autoSpaceDN w:val="0"/>
              <w:adjustRightInd w:val="0"/>
              <w:snapToGrid w:val="0"/>
              <w:outlineLvl w:val="9"/>
              <w:rPr>
                <w:rFonts w:hint="default" w:ascii="宋体" w:hAnsi="宋体" w:eastAsia="宋体" w:cs="仿宋_GB2312"/>
                <w:color w:val="auto"/>
                <w:kern w:val="0"/>
                <w:sz w:val="21"/>
                <w:szCs w:val="21"/>
                <w:lang w:val="en-US" w:eastAsia="zh-CN"/>
              </w:rPr>
            </w:pPr>
            <w:r>
              <w:rPr>
                <w:rFonts w:hint="eastAsia" w:ascii="宋体" w:hAnsi="宋体" w:cs="仿宋_GB2312"/>
                <w:color w:val="auto"/>
                <w:kern w:val="0"/>
                <w:sz w:val="21"/>
                <w:szCs w:val="21"/>
              </w:rPr>
              <w:t>评审得分相同时</w:t>
            </w:r>
            <w:r>
              <w:rPr>
                <w:rFonts w:hint="eastAsia" w:ascii="宋体" w:hAnsi="宋体" w:cs="仿宋_GB2312"/>
                <w:color w:val="auto"/>
                <w:kern w:val="0"/>
                <w:sz w:val="21"/>
                <w:szCs w:val="21"/>
                <w:lang w:val="en-US" w:eastAsia="zh-CN"/>
              </w:rPr>
              <w:t>推荐候选人原则</w:t>
            </w:r>
          </w:p>
        </w:tc>
        <w:tc>
          <w:tcPr>
            <w:tcW w:w="5675" w:type="dxa"/>
            <w:shd w:val="clear" w:color="auto" w:fill="auto"/>
            <w:vAlign w:val="center"/>
          </w:tcPr>
          <w:p w14:paraId="2AE1D28F">
            <w:pPr>
              <w:autoSpaceDE w:val="0"/>
              <w:autoSpaceDN w:val="0"/>
              <w:adjustRightInd w:val="0"/>
              <w:snapToGrid w:val="0"/>
              <w:spacing w:afterLines="50"/>
              <w:outlineLvl w:val="9"/>
              <w:rPr>
                <w:rFonts w:hint="eastAsia" w:ascii="宋体" w:hAnsi="宋体" w:eastAsia="宋体" w:cs="仿宋_GB2312"/>
                <w:color w:val="auto"/>
                <w:kern w:val="0"/>
                <w:sz w:val="21"/>
                <w:szCs w:val="21"/>
                <w:lang w:eastAsia="zh-CN"/>
              </w:rPr>
            </w:pPr>
            <w:r>
              <w:rPr>
                <w:rFonts w:hint="eastAsia" w:ascii="宋体" w:hAnsi="宋体" w:cs="仿宋_GB2312"/>
                <w:color w:val="auto"/>
                <w:kern w:val="0"/>
                <w:sz w:val="21"/>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w:t>
            </w:r>
            <w:r>
              <w:rPr>
                <w:rFonts w:hint="eastAsia" w:ascii="宋体" w:hAnsi="宋体" w:cs="仿宋_GB2312"/>
                <w:color w:val="auto"/>
                <w:kern w:val="0"/>
                <w:sz w:val="21"/>
                <w:szCs w:val="21"/>
                <w:lang w:eastAsia="zh-CN"/>
              </w:rPr>
              <w:t>供应商</w:t>
            </w:r>
            <w:r>
              <w:rPr>
                <w:rFonts w:hint="eastAsia" w:ascii="宋体" w:hAnsi="宋体" w:cs="仿宋_GB2312"/>
                <w:color w:val="auto"/>
                <w:kern w:val="0"/>
                <w:sz w:val="21"/>
                <w:szCs w:val="21"/>
              </w:rPr>
              <w:t>为排名第一的中标候选人。</w:t>
            </w:r>
          </w:p>
        </w:tc>
      </w:tr>
      <w:tr w14:paraId="2E22A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4CD21CFE">
            <w:pPr>
              <w:autoSpaceDE w:val="0"/>
              <w:autoSpaceDN w:val="0"/>
              <w:adjustRightInd w:val="0"/>
              <w:snapToGrid w:val="0"/>
              <w:jc w:val="center"/>
              <w:outlineLvl w:val="9"/>
              <w:rPr>
                <w:rFonts w:ascii="宋体" w:hAnsi="宋体" w:cs="TimesNewRomanPSMT"/>
                <w:color w:val="auto"/>
                <w:kern w:val="0"/>
                <w:sz w:val="21"/>
                <w:szCs w:val="21"/>
              </w:rPr>
            </w:pPr>
            <w:r>
              <w:rPr>
                <w:rFonts w:hint="eastAsia" w:ascii="宋体" w:hAnsi="宋体" w:cs="TimesNewRomanPSMT"/>
                <w:color w:val="auto"/>
                <w:kern w:val="0"/>
                <w:sz w:val="21"/>
                <w:szCs w:val="21"/>
              </w:rPr>
              <w:t>8</w:t>
            </w:r>
            <w:r>
              <w:rPr>
                <w:rFonts w:ascii="宋体" w:hAnsi="宋体" w:cs="TimesNewRomanPSMT"/>
                <w:color w:val="auto"/>
                <w:kern w:val="0"/>
                <w:sz w:val="21"/>
                <w:szCs w:val="21"/>
              </w:rPr>
              <w:t>.1</w:t>
            </w:r>
          </w:p>
        </w:tc>
        <w:tc>
          <w:tcPr>
            <w:tcW w:w="2515" w:type="dxa"/>
            <w:vAlign w:val="center"/>
          </w:tcPr>
          <w:p w14:paraId="23824BD1">
            <w:pPr>
              <w:autoSpaceDE w:val="0"/>
              <w:autoSpaceDN w:val="0"/>
              <w:adjustRightInd w:val="0"/>
              <w:snapToGrid w:val="0"/>
              <w:outlineLvl w:val="9"/>
              <w:rPr>
                <w:rFonts w:ascii="宋体" w:hAnsi="宋体" w:cs="仿宋_GB2312"/>
                <w:color w:val="auto"/>
                <w:kern w:val="0"/>
                <w:sz w:val="21"/>
                <w:szCs w:val="21"/>
              </w:rPr>
            </w:pPr>
            <w:bookmarkStart w:id="45" w:name="_Toc28567"/>
            <w:bookmarkStart w:id="46" w:name="_Toc27209"/>
            <w:bookmarkStart w:id="47" w:name="_Toc6837"/>
            <w:r>
              <w:rPr>
                <w:rFonts w:hint="eastAsia" w:ascii="宋体" w:hAnsi="宋体" w:cs="仿宋_GB2312"/>
                <w:color w:val="auto"/>
                <w:kern w:val="0"/>
                <w:sz w:val="21"/>
                <w:szCs w:val="21"/>
              </w:rPr>
              <w:t>推荐的中标候选人数量</w:t>
            </w:r>
            <w:bookmarkEnd w:id="45"/>
            <w:bookmarkEnd w:id="46"/>
            <w:bookmarkEnd w:id="47"/>
          </w:p>
        </w:tc>
        <w:tc>
          <w:tcPr>
            <w:tcW w:w="5675" w:type="dxa"/>
            <w:vAlign w:val="center"/>
          </w:tcPr>
          <w:p w14:paraId="066FD8C7">
            <w:pPr>
              <w:autoSpaceDE w:val="0"/>
              <w:autoSpaceDN w:val="0"/>
              <w:adjustRightInd w:val="0"/>
              <w:snapToGrid w:val="0"/>
              <w:spacing w:afterLines="50"/>
              <w:outlineLvl w:val="9"/>
              <w:rPr>
                <w:rFonts w:ascii="宋体" w:hAnsi="宋体" w:cs="仿宋_GB2312"/>
                <w:color w:val="auto"/>
                <w:kern w:val="0"/>
                <w:sz w:val="21"/>
                <w:szCs w:val="21"/>
              </w:rPr>
            </w:pPr>
            <w:r>
              <w:rPr>
                <w:rFonts w:hint="eastAsia" w:ascii="宋体" w:hAnsi="宋体" w:cs="仿宋_GB2312"/>
                <w:color w:val="auto"/>
                <w:kern w:val="0"/>
                <w:sz w:val="21"/>
                <w:szCs w:val="21"/>
                <w:u w:val="single"/>
              </w:rPr>
              <w:t xml:space="preserve"> </w:t>
            </w:r>
            <w:r>
              <w:rPr>
                <w:rFonts w:hint="eastAsia" w:ascii="宋体" w:hAnsi="宋体" w:cs="仿宋_GB2312"/>
                <w:color w:val="auto"/>
                <w:kern w:val="0"/>
                <w:sz w:val="21"/>
                <w:szCs w:val="21"/>
                <w:u w:val="single"/>
                <w:lang w:val="en-US" w:eastAsia="zh-CN"/>
              </w:rPr>
              <w:t>1</w:t>
            </w:r>
            <w:r>
              <w:rPr>
                <w:rFonts w:hint="eastAsia" w:ascii="宋体" w:hAnsi="宋体" w:cs="仿宋_GB2312"/>
                <w:color w:val="auto"/>
                <w:kern w:val="0"/>
                <w:sz w:val="21"/>
                <w:szCs w:val="21"/>
                <w:u w:val="single"/>
              </w:rPr>
              <w:t xml:space="preserve"> </w:t>
            </w:r>
            <w:r>
              <w:rPr>
                <w:rFonts w:hint="eastAsia" w:ascii="宋体" w:hAnsi="宋体" w:cs="仿宋_GB2312"/>
                <w:color w:val="auto"/>
                <w:kern w:val="0"/>
                <w:sz w:val="21"/>
                <w:szCs w:val="21"/>
              </w:rPr>
              <w:t>名</w:t>
            </w:r>
          </w:p>
        </w:tc>
      </w:tr>
      <w:tr w14:paraId="6D938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1B0F0DB1">
            <w:pPr>
              <w:autoSpaceDE w:val="0"/>
              <w:autoSpaceDN w:val="0"/>
              <w:adjustRightInd w:val="0"/>
              <w:snapToGrid w:val="0"/>
              <w:jc w:val="center"/>
              <w:outlineLvl w:val="9"/>
              <w:rPr>
                <w:rFonts w:hint="eastAsia" w:ascii="宋体" w:hAnsi="宋体" w:cs="TimesNewRomanPSMT"/>
                <w:color w:val="auto"/>
                <w:kern w:val="0"/>
                <w:sz w:val="21"/>
                <w:szCs w:val="21"/>
              </w:rPr>
            </w:pPr>
            <w:r>
              <w:rPr>
                <w:rFonts w:hint="eastAsia" w:ascii="宋体" w:hAnsi="宋体" w:cs="TimesNewRomanPSMT"/>
                <w:color w:val="auto"/>
                <w:kern w:val="0"/>
                <w:sz w:val="21"/>
                <w:szCs w:val="21"/>
                <w:lang w:val="en-US" w:eastAsia="zh-CN"/>
              </w:rPr>
              <w:t>8.1</w:t>
            </w:r>
          </w:p>
        </w:tc>
        <w:tc>
          <w:tcPr>
            <w:tcW w:w="2515" w:type="dxa"/>
            <w:vAlign w:val="center"/>
          </w:tcPr>
          <w:p w14:paraId="59EEED9D">
            <w:pPr>
              <w:autoSpaceDE w:val="0"/>
              <w:autoSpaceDN w:val="0"/>
              <w:adjustRightInd w:val="0"/>
              <w:snapToGrid w:val="0"/>
              <w:outlineLvl w:val="9"/>
              <w:rPr>
                <w:rFonts w:hint="eastAsia" w:ascii="宋体" w:hAnsi="宋体" w:cs="仿宋_GB2312"/>
                <w:color w:val="auto"/>
                <w:kern w:val="0"/>
                <w:sz w:val="21"/>
                <w:szCs w:val="21"/>
              </w:rPr>
            </w:pPr>
            <w:bookmarkStart w:id="48" w:name="_Toc10035"/>
            <w:r>
              <w:rPr>
                <w:rFonts w:hint="eastAsia" w:ascii="宋体" w:hAnsi="宋体" w:eastAsia="宋体" w:cs="仿宋_GB2312"/>
                <w:color w:val="auto"/>
                <w:kern w:val="0"/>
                <w:sz w:val="21"/>
                <w:szCs w:val="21"/>
              </w:rPr>
              <w:t>确定中标人的方式</w:t>
            </w:r>
            <w:bookmarkEnd w:id="48"/>
          </w:p>
        </w:tc>
        <w:tc>
          <w:tcPr>
            <w:tcW w:w="5675" w:type="dxa"/>
            <w:vAlign w:val="center"/>
          </w:tcPr>
          <w:p w14:paraId="672F698F">
            <w:pPr>
              <w:widowControl/>
              <w:autoSpaceDE w:val="0"/>
              <w:autoSpaceDN w:val="0"/>
              <w:adjustRightInd w:val="0"/>
              <w:snapToGrid w:val="0"/>
              <w:spacing w:afterLines="50"/>
              <w:outlineLvl w:val="9"/>
              <w:rPr>
                <w:rFonts w:hint="eastAsia" w:ascii="宋体" w:hAnsi="宋体" w:eastAsia="宋体" w:cs="仿宋_GB2312"/>
                <w:color w:val="auto"/>
                <w:kern w:val="0"/>
                <w:sz w:val="21"/>
                <w:szCs w:val="21"/>
                <w:u w:val="none"/>
              </w:rPr>
            </w:pPr>
            <w:r>
              <w:rPr>
                <w:rFonts w:hint="eastAsia" w:ascii="宋体" w:hAnsi="宋体" w:cs="仿宋_GB2312"/>
                <w:color w:val="auto"/>
                <w:kern w:val="0"/>
                <w:sz w:val="21"/>
                <w:szCs w:val="21"/>
                <w:u w:val="none"/>
              </w:rPr>
              <w:t>□</w:t>
            </w:r>
            <w:r>
              <w:rPr>
                <w:rFonts w:hint="eastAsia" w:ascii="宋体" w:hAnsi="宋体" w:eastAsia="宋体" w:cs="仿宋_GB2312"/>
                <w:color w:val="auto"/>
                <w:kern w:val="0"/>
                <w:sz w:val="21"/>
                <w:szCs w:val="21"/>
                <w:u w:val="none"/>
              </w:rPr>
              <w:t>采购人委托评标委员会直接确认中标人</w:t>
            </w:r>
          </w:p>
          <w:p w14:paraId="19BDDE18">
            <w:pPr>
              <w:autoSpaceDE w:val="0"/>
              <w:autoSpaceDN w:val="0"/>
              <w:adjustRightInd w:val="0"/>
              <w:snapToGrid w:val="0"/>
              <w:spacing w:afterLines="50"/>
              <w:outlineLvl w:val="9"/>
              <w:rPr>
                <w:rFonts w:hint="eastAsia" w:ascii="宋体" w:hAnsi="宋体" w:cs="仿宋_GB2312"/>
                <w:color w:val="auto"/>
                <w:kern w:val="0"/>
                <w:sz w:val="21"/>
                <w:szCs w:val="21"/>
                <w:u w:val="single"/>
              </w:rPr>
            </w:pPr>
            <w:r>
              <w:rPr>
                <w:rFonts w:hint="eastAsia" w:ascii="宋体" w:hAnsi="宋体" w:cs="仿宋_GB2312"/>
                <w:color w:val="auto"/>
                <w:kern w:val="0"/>
                <w:sz w:val="21"/>
                <w:szCs w:val="21"/>
                <w:u w:val="none"/>
                <w:lang w:eastAsia="zh-CN"/>
              </w:rPr>
              <w:t>☑</w:t>
            </w:r>
            <w:r>
              <w:rPr>
                <w:rFonts w:hint="eastAsia" w:ascii="宋体" w:hAnsi="宋体" w:eastAsia="宋体" w:cs="仿宋_GB2312"/>
                <w:color w:val="auto"/>
                <w:kern w:val="0"/>
                <w:sz w:val="21"/>
                <w:szCs w:val="21"/>
                <w:u w:val="none"/>
              </w:rPr>
              <w:t>采购人确认中标人</w:t>
            </w:r>
          </w:p>
        </w:tc>
      </w:tr>
      <w:tr w14:paraId="4535A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88" w:type="dxa"/>
            <w:vAlign w:val="center"/>
          </w:tcPr>
          <w:p w14:paraId="5A9E3C2F">
            <w:pPr>
              <w:autoSpaceDE w:val="0"/>
              <w:autoSpaceDN w:val="0"/>
              <w:adjustRightInd w:val="0"/>
              <w:snapToGrid w:val="0"/>
              <w:jc w:val="center"/>
              <w:outlineLvl w:val="9"/>
              <w:rPr>
                <w:rFonts w:ascii="宋体" w:hAnsi="宋体" w:cs="TimesNewRomanPSMT"/>
                <w:color w:val="auto"/>
                <w:kern w:val="0"/>
                <w:sz w:val="21"/>
                <w:szCs w:val="21"/>
              </w:rPr>
            </w:pPr>
            <w:r>
              <w:rPr>
                <w:rFonts w:hint="eastAsia" w:ascii="宋体" w:hAnsi="宋体" w:cs="TimesNewRomanPSMT"/>
                <w:color w:val="auto"/>
                <w:kern w:val="0"/>
                <w:sz w:val="21"/>
                <w:szCs w:val="21"/>
              </w:rPr>
              <w:t>8</w:t>
            </w:r>
            <w:r>
              <w:rPr>
                <w:rFonts w:ascii="宋体" w:hAnsi="宋体" w:cs="TimesNewRomanPSMT"/>
                <w:color w:val="auto"/>
                <w:kern w:val="0"/>
                <w:sz w:val="21"/>
                <w:szCs w:val="21"/>
              </w:rPr>
              <w:t>.</w:t>
            </w:r>
            <w:r>
              <w:rPr>
                <w:rFonts w:hint="eastAsia" w:ascii="宋体" w:hAnsi="宋体" w:cs="TimesNewRomanPSMT"/>
                <w:color w:val="auto"/>
                <w:kern w:val="0"/>
                <w:sz w:val="21"/>
                <w:szCs w:val="21"/>
              </w:rPr>
              <w:t>4</w:t>
            </w:r>
            <w:r>
              <w:rPr>
                <w:rFonts w:ascii="宋体" w:hAnsi="宋体" w:cs="TimesNewRomanPSMT"/>
                <w:color w:val="auto"/>
                <w:kern w:val="0"/>
                <w:sz w:val="21"/>
                <w:szCs w:val="21"/>
              </w:rPr>
              <w:t>.1</w:t>
            </w:r>
          </w:p>
        </w:tc>
        <w:tc>
          <w:tcPr>
            <w:tcW w:w="2515" w:type="dxa"/>
            <w:vAlign w:val="center"/>
          </w:tcPr>
          <w:p w14:paraId="4D1740A5">
            <w:pPr>
              <w:autoSpaceDE w:val="0"/>
              <w:autoSpaceDN w:val="0"/>
              <w:adjustRightInd w:val="0"/>
              <w:snapToGrid w:val="0"/>
              <w:outlineLvl w:val="9"/>
              <w:rPr>
                <w:rFonts w:ascii="宋体" w:hAnsi="宋体" w:cs="仿宋_GB2312"/>
                <w:color w:val="auto"/>
                <w:kern w:val="0"/>
                <w:sz w:val="21"/>
                <w:szCs w:val="21"/>
              </w:rPr>
            </w:pPr>
            <w:bookmarkStart w:id="49" w:name="_Toc3499"/>
            <w:bookmarkStart w:id="50" w:name="_Toc27528"/>
            <w:bookmarkStart w:id="51" w:name="_Toc8885"/>
            <w:r>
              <w:rPr>
                <w:rFonts w:hint="eastAsia" w:ascii="宋体" w:hAnsi="宋体" w:cs="仿宋_GB2312"/>
                <w:color w:val="auto"/>
                <w:kern w:val="0"/>
                <w:sz w:val="21"/>
                <w:szCs w:val="21"/>
              </w:rPr>
              <w:t>履约保证金</w:t>
            </w:r>
            <w:bookmarkEnd w:id="49"/>
            <w:bookmarkEnd w:id="50"/>
            <w:bookmarkEnd w:id="51"/>
          </w:p>
        </w:tc>
        <w:tc>
          <w:tcPr>
            <w:tcW w:w="5675" w:type="dxa"/>
            <w:vAlign w:val="center"/>
          </w:tcPr>
          <w:p w14:paraId="3EBAD64F">
            <w:pPr>
              <w:autoSpaceDE w:val="0"/>
              <w:autoSpaceDN w:val="0"/>
              <w:adjustRightInd w:val="0"/>
              <w:snapToGrid w:val="0"/>
              <w:spacing w:afterLines="50"/>
              <w:outlineLvl w:val="9"/>
              <w:rPr>
                <w:rFonts w:ascii="宋体" w:hAnsi="宋体" w:cs="仿宋_GB2312"/>
                <w:color w:val="auto"/>
                <w:kern w:val="0"/>
                <w:sz w:val="21"/>
                <w:szCs w:val="21"/>
                <w:highlight w:val="green"/>
              </w:rPr>
            </w:pPr>
            <w:r>
              <w:rPr>
                <w:rFonts w:hint="eastAsia" w:ascii="宋体" w:hAnsi="宋体" w:cs="仿宋_GB2312"/>
                <w:color w:val="auto"/>
                <w:kern w:val="0"/>
                <w:sz w:val="21"/>
                <w:szCs w:val="21"/>
              </w:rPr>
              <w:t>履约保证金的形式</w:t>
            </w:r>
            <w:r>
              <w:rPr>
                <w:rFonts w:hint="eastAsia" w:ascii="宋体" w:hAnsi="宋体" w:cs="仿宋_GB2312"/>
                <w:color w:val="auto"/>
                <w:kern w:val="0"/>
                <w:sz w:val="21"/>
                <w:szCs w:val="21"/>
                <w:lang w:eastAsia="zh-CN"/>
              </w:rPr>
              <w:t>:</w:t>
            </w:r>
            <w:r>
              <w:rPr>
                <w:rFonts w:hint="eastAsia" w:ascii="宋体" w:hAnsi="宋体" w:cs="仿宋_GB2312"/>
                <w:color w:val="auto"/>
                <w:kern w:val="0"/>
                <w:sz w:val="21"/>
                <w:szCs w:val="21"/>
              </w:rPr>
              <w:t>支票、汇票、本票或者金融机构、担保</w:t>
            </w:r>
            <w:r>
              <w:rPr>
                <w:rFonts w:hint="eastAsia" w:ascii="宋体" w:hAnsi="宋体" w:cs="仿宋_GB2312"/>
                <w:color w:val="auto"/>
                <w:kern w:val="0"/>
                <w:sz w:val="21"/>
                <w:szCs w:val="21"/>
                <w:highlight w:val="none"/>
              </w:rPr>
              <w:t>机构出具的保函等非现金形式</w:t>
            </w:r>
          </w:p>
          <w:p w14:paraId="7F351EBF">
            <w:pPr>
              <w:autoSpaceDE w:val="0"/>
              <w:autoSpaceDN w:val="0"/>
              <w:adjustRightInd w:val="0"/>
              <w:snapToGrid w:val="0"/>
              <w:spacing w:afterLines="50"/>
              <w:outlineLvl w:val="9"/>
              <w:rPr>
                <w:rFonts w:hint="default" w:ascii="宋体" w:hAnsi="宋体" w:eastAsia="宋体" w:cs="仿宋_GB2312"/>
                <w:color w:val="auto"/>
                <w:kern w:val="0"/>
                <w:sz w:val="21"/>
                <w:szCs w:val="21"/>
                <w:lang w:val="en-US" w:eastAsia="zh-CN"/>
              </w:rPr>
            </w:pPr>
            <w:r>
              <w:rPr>
                <w:rFonts w:hint="eastAsia" w:ascii="宋体" w:hAnsi="宋体" w:cs="仿宋_GB2312"/>
                <w:color w:val="auto"/>
                <w:kern w:val="0"/>
                <w:sz w:val="21"/>
                <w:szCs w:val="21"/>
                <w:highlight w:val="none"/>
                <w:shd w:val="clear"/>
              </w:rPr>
              <w:t>履约保证金的金额</w:t>
            </w:r>
            <w:r>
              <w:rPr>
                <w:rFonts w:hint="eastAsia" w:ascii="宋体" w:hAnsi="宋体" w:cs="仿宋_GB2312"/>
                <w:color w:val="auto"/>
                <w:kern w:val="0"/>
                <w:sz w:val="21"/>
                <w:szCs w:val="21"/>
                <w:highlight w:val="none"/>
                <w:shd w:val="clear"/>
                <w:lang w:eastAsia="zh-CN"/>
              </w:rPr>
              <w:t>:</w:t>
            </w:r>
            <w:r>
              <w:rPr>
                <w:rFonts w:hint="eastAsia" w:ascii="宋体" w:hAnsi="宋体" w:cs="仿宋_GB2312"/>
                <w:color w:val="auto"/>
                <w:kern w:val="0"/>
                <w:sz w:val="21"/>
                <w:szCs w:val="21"/>
                <w:highlight w:val="none"/>
                <w:shd w:val="clear"/>
                <w:lang w:val="en-US" w:eastAsia="zh-CN"/>
              </w:rPr>
              <w:t>中标合同金额的 5 %</w:t>
            </w:r>
          </w:p>
        </w:tc>
      </w:tr>
      <w:tr w14:paraId="3614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194D0C36">
            <w:pPr>
              <w:autoSpaceDE w:val="0"/>
              <w:autoSpaceDN w:val="0"/>
              <w:adjustRightInd w:val="0"/>
              <w:snapToGrid w:val="0"/>
              <w:jc w:val="center"/>
              <w:outlineLvl w:val="9"/>
              <w:rPr>
                <w:rFonts w:ascii="宋体" w:hAnsi="宋体" w:cs="TimesNewRomanPSMT"/>
                <w:color w:val="auto"/>
                <w:kern w:val="0"/>
                <w:sz w:val="21"/>
                <w:szCs w:val="21"/>
              </w:rPr>
            </w:pPr>
            <w:r>
              <w:rPr>
                <w:rFonts w:ascii="宋体" w:hAnsi="宋体"/>
                <w:b w:val="0"/>
                <w:bCs w:val="0"/>
                <w:color w:val="auto"/>
                <w:kern w:val="0"/>
                <w:sz w:val="21"/>
                <w:szCs w:val="21"/>
              </w:rPr>
              <w:t>10</w:t>
            </w:r>
          </w:p>
        </w:tc>
        <w:tc>
          <w:tcPr>
            <w:tcW w:w="8190" w:type="dxa"/>
            <w:gridSpan w:val="2"/>
            <w:vAlign w:val="center"/>
          </w:tcPr>
          <w:p w14:paraId="0BE69D92">
            <w:pPr>
              <w:autoSpaceDE w:val="0"/>
              <w:autoSpaceDN w:val="0"/>
              <w:adjustRightInd w:val="0"/>
              <w:snapToGrid w:val="0"/>
              <w:outlineLvl w:val="9"/>
              <w:rPr>
                <w:rFonts w:ascii="宋体" w:hAnsi="宋体" w:cs="仿宋_GB2312"/>
                <w:color w:val="auto"/>
                <w:kern w:val="0"/>
                <w:sz w:val="21"/>
                <w:szCs w:val="21"/>
              </w:rPr>
            </w:pPr>
            <w:r>
              <w:rPr>
                <w:rFonts w:hint="eastAsia" w:ascii="宋体" w:hAnsi="宋体" w:cs="仿宋_GB2312"/>
                <w:color w:val="auto"/>
                <w:kern w:val="0"/>
                <w:sz w:val="21"/>
                <w:szCs w:val="21"/>
              </w:rPr>
              <w:t>需要补充的其他内容</w:t>
            </w:r>
          </w:p>
        </w:tc>
      </w:tr>
      <w:tr w14:paraId="113E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4EFC265C">
            <w:pPr>
              <w:autoSpaceDE w:val="0"/>
              <w:autoSpaceDN w:val="0"/>
              <w:adjustRightInd w:val="0"/>
              <w:snapToGrid w:val="0"/>
              <w:spacing w:afterLines="50"/>
              <w:jc w:val="center"/>
              <w:outlineLvl w:val="9"/>
              <w:rPr>
                <w:rFonts w:hint="default" w:ascii="宋体" w:hAnsi="宋体" w:eastAsia="宋体"/>
                <w:b/>
                <w:bCs/>
                <w:color w:val="auto"/>
                <w:kern w:val="0"/>
                <w:sz w:val="21"/>
                <w:szCs w:val="21"/>
                <w:lang w:val="en-US" w:eastAsia="zh-CN"/>
              </w:rPr>
            </w:pPr>
            <w:r>
              <w:rPr>
                <w:rFonts w:hint="eastAsia" w:ascii="宋体" w:hAnsi="宋体"/>
                <w:b w:val="0"/>
                <w:bCs w:val="0"/>
                <w:color w:val="auto"/>
                <w:kern w:val="0"/>
                <w:sz w:val="21"/>
                <w:szCs w:val="21"/>
                <w:lang w:val="en-US" w:eastAsia="zh-CN"/>
              </w:rPr>
              <w:t>10.1</w:t>
            </w:r>
          </w:p>
        </w:tc>
        <w:tc>
          <w:tcPr>
            <w:tcW w:w="8190" w:type="dxa"/>
            <w:gridSpan w:val="2"/>
            <w:vAlign w:val="center"/>
          </w:tcPr>
          <w:p w14:paraId="07C26F5B">
            <w:pPr>
              <w:autoSpaceDE w:val="0"/>
              <w:autoSpaceDN w:val="0"/>
              <w:adjustRightInd w:val="0"/>
              <w:snapToGrid w:val="0"/>
              <w:spacing w:afterLines="50"/>
              <w:outlineLvl w:val="9"/>
              <w:rPr>
                <w:rFonts w:hint="eastAsia" w:ascii="宋体" w:hAnsi="宋体" w:cs="仿宋_GB2312"/>
                <w:color w:val="auto"/>
                <w:kern w:val="0"/>
                <w:sz w:val="21"/>
                <w:szCs w:val="21"/>
              </w:rPr>
            </w:pPr>
            <w:r>
              <w:rPr>
                <w:rFonts w:hint="eastAsia" w:ascii="宋体" w:hAnsi="宋体" w:cs="仿宋_GB2312"/>
                <w:color w:val="auto"/>
                <w:kern w:val="0"/>
                <w:sz w:val="21"/>
                <w:szCs w:val="21"/>
                <w:highlight w:val="none"/>
              </w:rPr>
              <w:t>中小微型企业有关政策</w:t>
            </w:r>
            <w:r>
              <w:rPr>
                <w:rFonts w:hint="eastAsia" w:ascii="宋体" w:hAnsi="宋体" w:cs="仿宋_GB2312"/>
                <w:color w:val="auto"/>
                <w:kern w:val="0"/>
                <w:sz w:val="21"/>
                <w:szCs w:val="21"/>
                <w:highlight w:val="none"/>
                <w:lang w:eastAsia="zh-CN"/>
              </w:rPr>
              <w:t>：</w:t>
            </w:r>
            <w:r>
              <w:rPr>
                <w:rFonts w:hint="eastAsia" w:ascii="宋体" w:hAnsi="宋体" w:cs="仿宋_GB2312"/>
                <w:color w:val="auto"/>
                <w:kern w:val="0"/>
                <w:sz w:val="21"/>
                <w:szCs w:val="21"/>
                <w:highlight w:val="none"/>
              </w:rPr>
              <w:t>根据《关于印发政府采购促进中小企业发展管理办法的通知》（财库[2020]46号文）、《关于进一步加大政府采购支持中小企业力度的通知》（财库〔2022〕19号）规定要求，给予小型和微型企业产品或服务的价格给予10%-20%的扣除，用扣除后的价格参与评审（监狱企业、残疾人福利性质单位视同为小微企业）。本项目具体扣除优惠为：10%。</w:t>
            </w:r>
          </w:p>
        </w:tc>
      </w:tr>
      <w:tr w14:paraId="03C25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02B47184">
            <w:pPr>
              <w:autoSpaceDE w:val="0"/>
              <w:autoSpaceDN w:val="0"/>
              <w:adjustRightInd w:val="0"/>
              <w:snapToGrid w:val="0"/>
              <w:jc w:val="center"/>
              <w:outlineLvl w:val="9"/>
              <w:rPr>
                <w:rFonts w:hint="default" w:ascii="宋体" w:hAnsi="宋体" w:eastAsia="宋体" w:cs="TimesNewRomanPSMT"/>
                <w:color w:val="auto"/>
                <w:kern w:val="0"/>
                <w:sz w:val="21"/>
                <w:szCs w:val="21"/>
                <w:lang w:val="en-US" w:eastAsia="zh-CN"/>
              </w:rPr>
            </w:pPr>
            <w:r>
              <w:rPr>
                <w:rFonts w:hint="eastAsia" w:ascii="宋体" w:hAnsi="宋体" w:cs="TimesNewRomanPSMT"/>
                <w:color w:val="auto"/>
                <w:kern w:val="0"/>
                <w:sz w:val="21"/>
                <w:szCs w:val="21"/>
                <w:lang w:val="en-US" w:eastAsia="zh-CN"/>
              </w:rPr>
              <w:t>10.2</w:t>
            </w:r>
          </w:p>
        </w:tc>
        <w:tc>
          <w:tcPr>
            <w:tcW w:w="8190" w:type="dxa"/>
            <w:gridSpan w:val="2"/>
            <w:vAlign w:val="center"/>
          </w:tcPr>
          <w:p w14:paraId="0E8CDFB4">
            <w:pPr>
              <w:autoSpaceDE w:val="0"/>
              <w:autoSpaceDN w:val="0"/>
              <w:adjustRightInd w:val="0"/>
              <w:snapToGrid w:val="0"/>
              <w:outlineLvl w:val="9"/>
              <w:rPr>
                <w:rFonts w:ascii="宋体" w:hAnsi="宋体" w:cs="仿宋_GB2312"/>
                <w:color w:val="auto"/>
                <w:kern w:val="0"/>
                <w:sz w:val="21"/>
                <w:szCs w:val="21"/>
                <w:highlight w:val="none"/>
              </w:rPr>
            </w:pPr>
            <w:r>
              <w:rPr>
                <w:rFonts w:hint="eastAsia" w:ascii="宋体" w:hAnsi="宋体" w:cs="仿宋_GB2312"/>
                <w:color w:val="auto"/>
                <w:kern w:val="0"/>
                <w:sz w:val="21"/>
                <w:szCs w:val="21"/>
              </w:rPr>
              <w:t>招标代理服务费：根据中标价参照国家发展改革委员会发改价格〔2011〕534号、发改办价格〔2003〕857号文件、国家发展改革委“发改价格”和《招标代理服务收费管理暂行办法》（计价格〔2002〕1980号）</w:t>
            </w:r>
            <w:r>
              <w:rPr>
                <w:rFonts w:hint="eastAsia" w:ascii="宋体" w:hAnsi="宋体" w:cs="仿宋_GB2312"/>
                <w:color w:val="auto"/>
                <w:kern w:val="0"/>
                <w:sz w:val="21"/>
                <w:szCs w:val="21"/>
                <w:highlight w:val="none"/>
                <w:lang w:eastAsia="zh-CN"/>
              </w:rPr>
              <w:t>服务</w:t>
            </w:r>
            <w:r>
              <w:rPr>
                <w:rFonts w:hint="eastAsia" w:ascii="宋体" w:hAnsi="宋体" w:cs="仿宋_GB2312"/>
                <w:color w:val="auto"/>
                <w:kern w:val="0"/>
                <w:sz w:val="21"/>
                <w:szCs w:val="21"/>
                <w:highlight w:val="none"/>
                <w:lang w:val="en-US" w:eastAsia="zh-CN"/>
              </w:rPr>
              <w:t>招标收费标准下浮</w:t>
            </w:r>
            <w:r>
              <w:rPr>
                <w:rFonts w:hint="eastAsia" w:ascii="宋体" w:hAnsi="宋体" w:cs="仿宋_GB2312"/>
                <w:color w:val="auto"/>
                <w:kern w:val="0"/>
                <w:sz w:val="21"/>
                <w:szCs w:val="21"/>
                <w:highlight w:val="none"/>
                <w:u w:val="single"/>
                <w:lang w:val="en-US" w:eastAsia="zh-CN"/>
              </w:rPr>
              <w:t xml:space="preserve">   70   </w:t>
            </w:r>
            <w:r>
              <w:rPr>
                <w:rFonts w:hint="eastAsia" w:ascii="宋体" w:hAnsi="宋体" w:cs="仿宋_GB2312"/>
                <w:color w:val="auto"/>
                <w:kern w:val="0"/>
                <w:sz w:val="21"/>
                <w:szCs w:val="21"/>
                <w:highlight w:val="none"/>
                <w:lang w:val="en-US" w:eastAsia="zh-CN"/>
              </w:rPr>
              <w:t>%</w:t>
            </w:r>
            <w:r>
              <w:rPr>
                <w:rFonts w:hint="eastAsia" w:ascii="宋体" w:hAnsi="宋体" w:cs="仿宋_GB2312"/>
                <w:color w:val="auto"/>
                <w:kern w:val="0"/>
                <w:sz w:val="21"/>
                <w:szCs w:val="21"/>
                <w:highlight w:val="none"/>
              </w:rPr>
              <w:t>收取：</w:t>
            </w:r>
          </w:p>
          <w:p w14:paraId="5F97DBA7">
            <w:pPr>
              <w:autoSpaceDE w:val="0"/>
              <w:autoSpaceDN w:val="0"/>
              <w:adjustRightInd w:val="0"/>
              <w:snapToGrid w:val="0"/>
              <w:outlineLvl w:val="9"/>
              <w:rPr>
                <w:rFonts w:ascii="宋体" w:hAnsi="宋体" w:cs="仿宋_GB2312"/>
                <w:color w:val="auto"/>
                <w:kern w:val="0"/>
                <w:sz w:val="21"/>
                <w:szCs w:val="21"/>
              </w:rPr>
            </w:pPr>
            <w:r>
              <w:rPr>
                <w:rFonts w:hint="eastAsia" w:ascii="宋体" w:hAnsi="宋体" w:cs="仿宋_GB2312"/>
                <w:color w:val="auto"/>
                <w:kern w:val="0"/>
                <w:sz w:val="21"/>
                <w:szCs w:val="21"/>
              </w:rPr>
              <w:t>招标代理服务费的交纳方式：在领取中标通知书</w:t>
            </w:r>
            <w:r>
              <w:rPr>
                <w:rFonts w:hint="eastAsia" w:ascii="宋体" w:hAnsi="宋体" w:cs="仿宋_GB2312"/>
                <w:color w:val="auto"/>
                <w:kern w:val="0"/>
                <w:sz w:val="21"/>
                <w:szCs w:val="21"/>
                <w:lang w:val="en-US" w:eastAsia="zh-CN"/>
              </w:rPr>
              <w:t>前</w:t>
            </w:r>
            <w:r>
              <w:rPr>
                <w:rFonts w:hint="eastAsia" w:ascii="宋体" w:hAnsi="宋体" w:cs="仿宋_GB2312"/>
                <w:color w:val="auto"/>
                <w:kern w:val="0"/>
                <w:sz w:val="21"/>
                <w:szCs w:val="21"/>
              </w:rPr>
              <w:t>向</w:t>
            </w:r>
            <w:r>
              <w:rPr>
                <w:rFonts w:hint="eastAsia" w:ascii="宋体" w:hAnsi="宋体" w:cs="仿宋_GB2312"/>
                <w:color w:val="auto"/>
                <w:kern w:val="0"/>
                <w:sz w:val="21"/>
                <w:szCs w:val="21"/>
                <w:lang w:eastAsia="zh-CN"/>
              </w:rPr>
              <w:t>采购</w:t>
            </w:r>
            <w:r>
              <w:rPr>
                <w:rFonts w:hint="eastAsia" w:ascii="宋体" w:hAnsi="宋体" w:cs="仿宋_GB2312"/>
                <w:color w:val="auto"/>
                <w:kern w:val="0"/>
                <w:sz w:val="21"/>
                <w:szCs w:val="21"/>
              </w:rPr>
              <w:t>代理机构交纳服务费，可用电汇、现金等形式一次缴清。</w:t>
            </w:r>
          </w:p>
          <w:p w14:paraId="599005C2">
            <w:pPr>
              <w:autoSpaceDE w:val="0"/>
              <w:autoSpaceDN w:val="0"/>
              <w:adjustRightInd w:val="0"/>
              <w:snapToGrid w:val="0"/>
              <w:outlineLvl w:val="9"/>
              <w:rPr>
                <w:rFonts w:ascii="宋体" w:hAnsi="宋体" w:cs="仿宋_GB2312"/>
                <w:color w:val="auto"/>
                <w:kern w:val="0"/>
                <w:sz w:val="21"/>
                <w:szCs w:val="21"/>
              </w:rPr>
            </w:pPr>
            <w:r>
              <w:rPr>
                <w:rFonts w:hint="eastAsia" w:ascii="宋体" w:hAnsi="宋体" w:cs="仿宋_GB2312"/>
                <w:color w:val="auto"/>
                <w:kern w:val="0"/>
                <w:sz w:val="21"/>
                <w:szCs w:val="21"/>
              </w:rPr>
              <w:t>缴纳</w:t>
            </w:r>
            <w:r>
              <w:rPr>
                <w:rFonts w:hint="eastAsia" w:ascii="宋体" w:hAnsi="宋体" w:cs="仿宋_GB2312"/>
                <w:color w:val="auto"/>
                <w:kern w:val="0"/>
                <w:sz w:val="21"/>
                <w:szCs w:val="21"/>
                <w:lang w:eastAsia="zh-CN"/>
              </w:rPr>
              <w:t>采购</w:t>
            </w:r>
            <w:r>
              <w:rPr>
                <w:rFonts w:hint="eastAsia" w:ascii="宋体" w:hAnsi="宋体" w:cs="仿宋_GB2312"/>
                <w:color w:val="auto"/>
                <w:kern w:val="0"/>
                <w:sz w:val="21"/>
                <w:szCs w:val="21"/>
              </w:rPr>
              <w:t>代理服务费账号：</w:t>
            </w:r>
          </w:p>
          <w:p w14:paraId="4B540F7D">
            <w:pPr>
              <w:autoSpaceDE w:val="0"/>
              <w:autoSpaceDN w:val="0"/>
              <w:adjustRightInd w:val="0"/>
              <w:snapToGrid w:val="0"/>
              <w:outlineLvl w:val="9"/>
              <w:rPr>
                <w:rFonts w:ascii="宋体" w:hAnsi="宋体" w:cs="仿宋_GB2312"/>
                <w:color w:val="auto"/>
                <w:kern w:val="0"/>
                <w:sz w:val="21"/>
                <w:szCs w:val="21"/>
              </w:rPr>
            </w:pPr>
            <w:r>
              <w:rPr>
                <w:rFonts w:hint="eastAsia" w:ascii="宋体" w:hAnsi="宋体" w:cs="仿宋_GB2312"/>
                <w:color w:val="auto"/>
                <w:kern w:val="0"/>
                <w:sz w:val="21"/>
                <w:szCs w:val="21"/>
              </w:rPr>
              <w:t>账户名称：</w:t>
            </w:r>
            <w:r>
              <w:rPr>
                <w:rFonts w:hint="eastAsia" w:ascii="宋体" w:hAnsi="宋体" w:cs="仿宋_GB2312"/>
                <w:color w:val="auto"/>
                <w:kern w:val="0"/>
                <w:sz w:val="21"/>
                <w:szCs w:val="21"/>
                <w:lang w:eastAsia="zh-CN"/>
              </w:rPr>
              <w:t>新疆昌盛方略项目管理有限公司</w:t>
            </w:r>
          </w:p>
          <w:p w14:paraId="13F12E95">
            <w:pPr>
              <w:autoSpaceDE w:val="0"/>
              <w:autoSpaceDN w:val="0"/>
              <w:adjustRightInd w:val="0"/>
              <w:snapToGrid w:val="0"/>
              <w:outlineLvl w:val="9"/>
              <w:rPr>
                <w:rFonts w:ascii="宋体" w:hAnsi="宋体" w:cs="仿宋_GB2312"/>
                <w:color w:val="auto"/>
                <w:kern w:val="0"/>
                <w:sz w:val="21"/>
                <w:szCs w:val="21"/>
              </w:rPr>
            </w:pPr>
            <w:r>
              <w:rPr>
                <w:rFonts w:hint="eastAsia" w:ascii="宋体" w:hAnsi="宋体" w:cs="仿宋_GB2312"/>
                <w:color w:val="auto"/>
                <w:kern w:val="0"/>
                <w:sz w:val="21"/>
                <w:szCs w:val="21"/>
              </w:rPr>
              <w:t>开 户 行：</w:t>
            </w:r>
            <w:r>
              <w:rPr>
                <w:rFonts w:hint="eastAsia" w:ascii="宋体" w:hAnsi="宋体" w:cs="仿宋_GB2312"/>
                <w:color w:val="auto"/>
                <w:kern w:val="0"/>
                <w:sz w:val="21"/>
                <w:szCs w:val="21"/>
                <w:lang w:val="en-US" w:eastAsia="zh-CN"/>
              </w:rPr>
              <w:t>新疆农村商业银行股份有限公司昌吉天山北路支行</w:t>
            </w:r>
          </w:p>
          <w:p w14:paraId="1AFD0A99">
            <w:pPr>
              <w:autoSpaceDE w:val="0"/>
              <w:autoSpaceDN w:val="0"/>
              <w:adjustRightInd w:val="0"/>
              <w:snapToGrid w:val="0"/>
              <w:outlineLvl w:val="9"/>
              <w:rPr>
                <w:rFonts w:hint="eastAsia" w:ascii="宋体" w:hAnsi="宋体" w:cs="仿宋_GB2312"/>
                <w:color w:val="auto"/>
                <w:kern w:val="0"/>
                <w:sz w:val="21"/>
                <w:szCs w:val="21"/>
                <w:lang w:eastAsia="zh-CN"/>
              </w:rPr>
            </w:pPr>
            <w:r>
              <w:rPr>
                <w:rFonts w:hint="eastAsia" w:ascii="宋体" w:hAnsi="宋体" w:cs="仿宋_GB2312"/>
                <w:color w:val="auto"/>
                <w:kern w:val="0"/>
                <w:sz w:val="21"/>
                <w:szCs w:val="21"/>
              </w:rPr>
              <w:t>账</w:t>
            </w:r>
            <w:r>
              <w:rPr>
                <w:rFonts w:hint="eastAsia" w:ascii="宋体" w:hAnsi="宋体" w:cs="仿宋_GB2312"/>
                <w:color w:val="auto"/>
                <w:kern w:val="0"/>
                <w:sz w:val="21"/>
                <w:szCs w:val="21"/>
                <w:lang w:val="en-US" w:eastAsia="zh-CN"/>
              </w:rPr>
              <w:t xml:space="preserve">    </w:t>
            </w:r>
            <w:r>
              <w:rPr>
                <w:rFonts w:hint="eastAsia" w:ascii="宋体" w:hAnsi="宋体" w:cs="仿宋_GB2312"/>
                <w:color w:val="auto"/>
                <w:kern w:val="0"/>
                <w:sz w:val="21"/>
                <w:szCs w:val="21"/>
              </w:rPr>
              <w:t>号：</w:t>
            </w:r>
            <w:r>
              <w:rPr>
                <w:rFonts w:hint="eastAsia" w:ascii="宋体" w:hAnsi="宋体" w:cs="仿宋_GB2312"/>
                <w:color w:val="auto"/>
                <w:kern w:val="0"/>
                <w:sz w:val="21"/>
                <w:szCs w:val="21"/>
                <w:lang w:eastAsia="zh-CN"/>
              </w:rPr>
              <w:t>806010012010110433857</w:t>
            </w:r>
          </w:p>
          <w:p w14:paraId="6ADB9DDA">
            <w:pPr>
              <w:autoSpaceDE w:val="0"/>
              <w:autoSpaceDN w:val="0"/>
              <w:adjustRightInd w:val="0"/>
              <w:snapToGrid w:val="0"/>
              <w:outlineLvl w:val="9"/>
              <w:rPr>
                <w:rFonts w:hint="eastAsia" w:ascii="宋体" w:hAnsi="宋体" w:cs="仿宋_GB2312"/>
                <w:color w:val="auto"/>
                <w:kern w:val="0"/>
                <w:sz w:val="21"/>
                <w:szCs w:val="21"/>
                <w:lang w:val="en-US" w:eastAsia="zh-CN"/>
              </w:rPr>
            </w:pPr>
            <w:r>
              <w:rPr>
                <w:rFonts w:hint="eastAsia" w:ascii="宋体" w:hAnsi="宋体" w:cs="仿宋_GB2312"/>
                <w:color w:val="auto"/>
                <w:kern w:val="0"/>
                <w:sz w:val="21"/>
                <w:szCs w:val="21"/>
                <w:lang w:val="en-US" w:eastAsia="zh-CN"/>
              </w:rPr>
              <w:t>行    号：402885000459</w:t>
            </w:r>
          </w:p>
          <w:p w14:paraId="5798B9B1">
            <w:pPr>
              <w:autoSpaceDE w:val="0"/>
              <w:autoSpaceDN w:val="0"/>
              <w:adjustRightInd w:val="0"/>
              <w:snapToGrid w:val="0"/>
              <w:outlineLvl w:val="9"/>
              <w:rPr>
                <w:rFonts w:ascii="宋体" w:hAnsi="宋体" w:cs="仿宋_GB2312"/>
                <w:color w:val="auto"/>
                <w:kern w:val="0"/>
                <w:sz w:val="21"/>
                <w:szCs w:val="21"/>
              </w:rPr>
            </w:pPr>
            <w:r>
              <w:rPr>
                <w:rFonts w:hint="eastAsia" w:ascii="宋体" w:hAnsi="宋体" w:cs="仿宋_GB2312"/>
                <w:color w:val="auto"/>
                <w:kern w:val="0"/>
                <w:sz w:val="21"/>
                <w:szCs w:val="21"/>
              </w:rPr>
              <w:t>打款时请备注（</w:t>
            </w:r>
            <w:r>
              <w:rPr>
                <w:rFonts w:hint="eastAsia" w:ascii="宋体" w:hAnsi="宋体" w:cs="仿宋_GB2312"/>
                <w:color w:val="auto"/>
                <w:kern w:val="0"/>
                <w:sz w:val="21"/>
                <w:szCs w:val="21"/>
                <w:lang w:eastAsia="zh-CN"/>
              </w:rPr>
              <w:t>项目</w:t>
            </w:r>
            <w:r>
              <w:rPr>
                <w:rFonts w:hint="eastAsia" w:ascii="宋体" w:hAnsi="宋体" w:cs="仿宋_GB2312"/>
                <w:color w:val="auto"/>
                <w:kern w:val="0"/>
                <w:sz w:val="21"/>
                <w:szCs w:val="21"/>
              </w:rPr>
              <w:t>编号或项目名称简称+代理费）</w:t>
            </w:r>
          </w:p>
        </w:tc>
      </w:tr>
      <w:tr w14:paraId="0B602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2B16D39B">
            <w:pPr>
              <w:autoSpaceDE w:val="0"/>
              <w:autoSpaceDN w:val="0"/>
              <w:adjustRightInd w:val="0"/>
              <w:snapToGrid w:val="0"/>
              <w:jc w:val="center"/>
              <w:outlineLvl w:val="9"/>
              <w:rPr>
                <w:rFonts w:hint="default" w:ascii="宋体" w:hAnsi="宋体" w:eastAsia="宋体" w:cs="TimesNewRomanPSMT"/>
                <w:color w:val="auto"/>
                <w:kern w:val="0"/>
                <w:sz w:val="21"/>
                <w:szCs w:val="21"/>
                <w:lang w:val="en-US" w:eastAsia="zh-CN"/>
              </w:rPr>
            </w:pPr>
            <w:r>
              <w:rPr>
                <w:rFonts w:hint="eastAsia" w:ascii="宋体" w:hAnsi="宋体" w:cs="TimesNewRomanPSMT"/>
                <w:color w:val="auto"/>
                <w:kern w:val="0"/>
                <w:sz w:val="21"/>
                <w:szCs w:val="21"/>
                <w:lang w:val="en-US" w:eastAsia="zh-CN"/>
              </w:rPr>
              <w:t>10.3</w:t>
            </w:r>
          </w:p>
        </w:tc>
        <w:tc>
          <w:tcPr>
            <w:tcW w:w="8190" w:type="dxa"/>
            <w:gridSpan w:val="2"/>
            <w:vAlign w:val="center"/>
          </w:tcPr>
          <w:p w14:paraId="7A704D16">
            <w:pPr>
              <w:autoSpaceDE w:val="0"/>
              <w:autoSpaceDN w:val="0"/>
              <w:adjustRightInd w:val="0"/>
              <w:snapToGrid w:val="0"/>
              <w:outlineLvl w:val="9"/>
              <w:rPr>
                <w:rFonts w:ascii="宋体" w:hAnsi="宋体" w:cs="TimesNewRomanPSMT"/>
                <w:color w:val="auto"/>
                <w:kern w:val="0"/>
                <w:sz w:val="21"/>
                <w:szCs w:val="21"/>
              </w:rPr>
            </w:pPr>
            <w:r>
              <w:rPr>
                <w:rFonts w:hint="eastAsia" w:ascii="宋体" w:hAnsi="宋体" w:cs="TimesNewRomanPSMT"/>
                <w:color w:val="auto"/>
                <w:kern w:val="0"/>
                <w:sz w:val="21"/>
                <w:szCs w:val="21"/>
              </w:rPr>
              <w:t>投标报价应包括</w:t>
            </w:r>
            <w:r>
              <w:rPr>
                <w:rFonts w:hint="eastAsia" w:ascii="宋体" w:hAnsi="宋体" w:cs="TimesNewRomanPSMT"/>
                <w:color w:val="auto"/>
                <w:kern w:val="0"/>
                <w:sz w:val="21"/>
                <w:szCs w:val="21"/>
                <w:lang w:val="en-US" w:eastAsia="zh-CN"/>
              </w:rPr>
              <w:t>完成本项目服务内容所需的一切费用</w:t>
            </w:r>
            <w:r>
              <w:rPr>
                <w:rFonts w:hint="eastAsia" w:ascii="宋体" w:hAnsi="宋体" w:cs="TimesNewRomanPSMT"/>
                <w:color w:val="auto"/>
                <w:kern w:val="0"/>
                <w:sz w:val="21"/>
                <w:szCs w:val="21"/>
              </w:rPr>
              <w:t>；除与</w:t>
            </w:r>
            <w:r>
              <w:rPr>
                <w:rFonts w:hint="eastAsia" w:ascii="宋体" w:hAnsi="宋体" w:cs="TimesNewRomanPSMT"/>
                <w:color w:val="auto"/>
                <w:kern w:val="0"/>
                <w:sz w:val="21"/>
                <w:szCs w:val="21"/>
                <w:lang w:eastAsia="zh-CN"/>
              </w:rPr>
              <w:t>采购人</w:t>
            </w:r>
            <w:r>
              <w:rPr>
                <w:rFonts w:hint="eastAsia" w:ascii="宋体" w:hAnsi="宋体" w:cs="TimesNewRomanPSMT"/>
                <w:color w:val="auto"/>
                <w:kern w:val="0"/>
                <w:sz w:val="21"/>
                <w:szCs w:val="21"/>
              </w:rPr>
              <w:t>另有约定外，</w:t>
            </w:r>
            <w:r>
              <w:rPr>
                <w:rFonts w:hint="eastAsia" w:ascii="宋体" w:hAnsi="宋体" w:cs="TimesNewRomanPSMT"/>
                <w:color w:val="auto"/>
                <w:kern w:val="0"/>
                <w:sz w:val="21"/>
                <w:szCs w:val="21"/>
                <w:lang w:eastAsia="zh-CN"/>
              </w:rPr>
              <w:t>供应商</w:t>
            </w:r>
            <w:r>
              <w:rPr>
                <w:rFonts w:hint="eastAsia" w:ascii="宋体" w:hAnsi="宋体" w:cs="TimesNewRomanPSMT"/>
                <w:color w:val="auto"/>
                <w:kern w:val="0"/>
                <w:sz w:val="21"/>
                <w:szCs w:val="21"/>
              </w:rPr>
              <w:t>不得以任何无理要求增加费用。</w:t>
            </w:r>
          </w:p>
        </w:tc>
      </w:tr>
      <w:tr w14:paraId="228D4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188" w:type="dxa"/>
            <w:vAlign w:val="center"/>
          </w:tcPr>
          <w:p w14:paraId="41340161">
            <w:pPr>
              <w:autoSpaceDE w:val="0"/>
              <w:autoSpaceDN w:val="0"/>
              <w:adjustRightInd w:val="0"/>
              <w:snapToGrid w:val="0"/>
              <w:jc w:val="center"/>
              <w:outlineLvl w:val="9"/>
              <w:rPr>
                <w:rFonts w:hint="default" w:ascii="宋体" w:hAnsi="宋体" w:cs="TimesNewRomanPSMT"/>
                <w:color w:val="auto"/>
                <w:kern w:val="0"/>
                <w:sz w:val="21"/>
                <w:szCs w:val="21"/>
                <w:highlight w:val="green"/>
                <w:lang w:val="en-US" w:eastAsia="zh-CN"/>
              </w:rPr>
            </w:pPr>
            <w:r>
              <w:rPr>
                <w:rFonts w:hint="eastAsia" w:ascii="宋体" w:hAnsi="宋体" w:cs="TimesNewRomanPSMT"/>
                <w:color w:val="auto"/>
                <w:kern w:val="0"/>
                <w:sz w:val="21"/>
                <w:szCs w:val="21"/>
                <w:highlight w:val="none"/>
                <w:lang w:val="en-US" w:eastAsia="zh-CN"/>
              </w:rPr>
              <w:t>10.4</w:t>
            </w:r>
          </w:p>
        </w:tc>
        <w:tc>
          <w:tcPr>
            <w:tcW w:w="8190" w:type="dxa"/>
            <w:gridSpan w:val="2"/>
            <w:vAlign w:val="center"/>
          </w:tcPr>
          <w:p w14:paraId="51E6C03F">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Fonts w:hint="default" w:ascii="宋体" w:hAnsi="宋体" w:cs="TimesNewRomanPSMT"/>
                <w:color w:val="auto"/>
                <w:kern w:val="0"/>
                <w:sz w:val="21"/>
                <w:szCs w:val="21"/>
                <w:highlight w:val="green"/>
                <w:lang w:val="en-US" w:eastAsia="zh-CN"/>
              </w:rPr>
            </w:pPr>
            <w:r>
              <w:rPr>
                <w:rFonts w:hint="default" w:ascii="宋体" w:hAnsi="宋体" w:cs="TimesNewRomanPSMT"/>
                <w:color w:val="auto"/>
                <w:kern w:val="0"/>
                <w:sz w:val="21"/>
                <w:szCs w:val="21"/>
                <w:highlight w:val="none"/>
                <w:lang w:val="en-US" w:eastAsia="zh-CN"/>
              </w:rPr>
              <w:t>本次采购程序由昌吉市城市管理局(昌吉市城市管理行政执法局)统一组织采购，后续考核由各单位自行考核。</w:t>
            </w:r>
          </w:p>
        </w:tc>
      </w:tr>
      <w:tr w14:paraId="63038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8" w:type="dxa"/>
            <w:vAlign w:val="center"/>
          </w:tcPr>
          <w:p w14:paraId="7E1D9B03">
            <w:pPr>
              <w:autoSpaceDE w:val="0"/>
              <w:autoSpaceDN w:val="0"/>
              <w:adjustRightInd w:val="0"/>
              <w:snapToGrid w:val="0"/>
              <w:jc w:val="center"/>
              <w:outlineLvl w:val="9"/>
              <w:rPr>
                <w:rFonts w:hint="default" w:ascii="宋体" w:hAnsi="宋体" w:cs="TimesNewRomanPSMT"/>
                <w:color w:val="auto"/>
                <w:kern w:val="0"/>
                <w:sz w:val="21"/>
                <w:szCs w:val="21"/>
                <w:highlight w:val="none"/>
                <w:lang w:val="en-US" w:eastAsia="zh-CN"/>
              </w:rPr>
            </w:pPr>
            <w:r>
              <w:rPr>
                <w:rFonts w:hint="eastAsia" w:ascii="宋体" w:hAnsi="宋体" w:cs="TimesNewRomanPSMT"/>
                <w:color w:val="auto"/>
                <w:kern w:val="0"/>
                <w:sz w:val="21"/>
                <w:szCs w:val="21"/>
                <w:highlight w:val="none"/>
                <w:lang w:val="en-US" w:eastAsia="zh-CN"/>
              </w:rPr>
              <w:t>10.5</w:t>
            </w:r>
          </w:p>
        </w:tc>
        <w:tc>
          <w:tcPr>
            <w:tcW w:w="8190" w:type="dxa"/>
            <w:gridSpan w:val="2"/>
            <w:vAlign w:val="center"/>
          </w:tcPr>
          <w:p w14:paraId="493F127D">
            <w:pPr>
              <w:pStyle w:val="26"/>
              <w:keepNext w:val="0"/>
              <w:keepLines w:val="0"/>
              <w:pageBreakBefore w:val="0"/>
              <w:widowControl w:val="0"/>
              <w:kinsoku/>
              <w:wordWrap w:val="0"/>
              <w:overflowPunct/>
              <w:topLinePunct w:val="0"/>
              <w:bidi w:val="0"/>
              <w:adjustRightInd/>
              <w:snapToGrid/>
              <w:spacing w:before="0" w:beforeLines="0" w:after="0" w:afterLines="0" w:line="240" w:lineRule="auto"/>
              <w:ind w:firstLine="0" w:firstLineChars="0"/>
              <w:jc w:val="left"/>
              <w:textAlignment w:val="auto"/>
              <w:outlineLvl w:val="9"/>
              <w:rPr>
                <w:rFonts w:hint="eastAsia" w:ascii="Calibri" w:hAnsi="宋体"/>
                <w:b/>
                <w:color w:val="auto"/>
                <w:sz w:val="21"/>
                <w:szCs w:val="21"/>
                <w:highlight w:val="none"/>
                <w:u w:val="single"/>
              </w:rPr>
            </w:pPr>
            <w:r>
              <w:rPr>
                <w:rFonts w:hint="eastAsia" w:ascii="宋体" w:hAnsi="宋体" w:cs="仿宋_GB2312"/>
                <w:b/>
                <w:bCs/>
                <w:color w:val="auto"/>
                <w:kern w:val="0"/>
                <w:sz w:val="21"/>
                <w:szCs w:val="21"/>
                <w:highlight w:val="none"/>
              </w:rPr>
              <w:t>电子交易须知</w:t>
            </w:r>
          </w:p>
          <w:p w14:paraId="6EA1C5D4">
            <w:pPr>
              <w:keepNext w:val="0"/>
              <w:keepLines w:val="0"/>
              <w:pageBreakBefore w:val="0"/>
              <w:widowControl w:val="0"/>
              <w:kinsoku/>
              <w:wordWrap w:val="0"/>
              <w:overflowPunct/>
              <w:topLinePunct w:val="0"/>
              <w:autoSpaceDE w:val="0"/>
              <w:autoSpaceDN w:val="0"/>
              <w:bidi w:val="0"/>
              <w:adjustRightInd/>
              <w:snapToGrid/>
              <w:spacing w:after="157" w:afterLines="50" w:line="240" w:lineRule="auto"/>
              <w:textAlignment w:val="auto"/>
              <w:outlineLvl w:val="9"/>
              <w:rPr>
                <w:rFonts w:hint="eastAsia" w:ascii="宋体" w:hAnsi="宋体" w:cs="TimesNewRomanPSMT"/>
                <w:color w:val="auto"/>
                <w:kern w:val="0"/>
                <w:sz w:val="21"/>
                <w:szCs w:val="21"/>
              </w:rPr>
            </w:pPr>
            <w:r>
              <w:rPr>
                <w:rFonts w:hint="eastAsia" w:ascii="宋体" w:hAnsi="宋体" w:cs="TimesNewRomanPSMT"/>
                <w:color w:val="auto"/>
                <w:kern w:val="0"/>
                <w:sz w:val="21"/>
                <w:szCs w:val="21"/>
              </w:rPr>
              <w:t>1.本项目采用全流程不见面电子开评标，投标供应商需要使用CA加密设备，供应商可通过新疆数字证书认证中心官网（https://www.xjca.com.cn/）或下载“新疆政务通”APP自行进行申领。</w:t>
            </w:r>
          </w:p>
          <w:p w14:paraId="4AB74A29">
            <w:pPr>
              <w:keepNext w:val="0"/>
              <w:keepLines w:val="0"/>
              <w:pageBreakBefore w:val="0"/>
              <w:widowControl w:val="0"/>
              <w:kinsoku/>
              <w:wordWrap w:val="0"/>
              <w:overflowPunct/>
              <w:topLinePunct w:val="0"/>
              <w:autoSpaceDE w:val="0"/>
              <w:autoSpaceDN w:val="0"/>
              <w:bidi w:val="0"/>
              <w:adjustRightInd/>
              <w:snapToGrid/>
              <w:spacing w:after="157" w:afterLines="50" w:line="240" w:lineRule="auto"/>
              <w:textAlignment w:val="auto"/>
              <w:outlineLvl w:val="9"/>
              <w:rPr>
                <w:rFonts w:hint="eastAsia" w:ascii="宋体" w:hAnsi="宋体" w:cs="TimesNewRomanPSMT"/>
                <w:color w:val="auto"/>
                <w:kern w:val="0"/>
                <w:sz w:val="21"/>
                <w:szCs w:val="21"/>
              </w:rPr>
            </w:pPr>
            <w:r>
              <w:rPr>
                <w:rFonts w:hint="eastAsia" w:ascii="宋体" w:hAnsi="宋体" w:cs="TimesNewRomanPSMT"/>
                <w:color w:val="auto"/>
                <w:kern w:val="0"/>
                <w:sz w:val="21"/>
                <w:szCs w:val="21"/>
              </w:rPr>
              <w:t>2.本项目实行网上投标，采用加密电子响应文件(供应商须使用CA加密设备通过政采云电子投标客户端制作响应文件)。若供应商参与投标，自行承担投标一切费用。</w:t>
            </w:r>
          </w:p>
          <w:p w14:paraId="45F440FE">
            <w:pPr>
              <w:keepNext w:val="0"/>
              <w:keepLines w:val="0"/>
              <w:pageBreakBefore w:val="0"/>
              <w:widowControl w:val="0"/>
              <w:kinsoku/>
              <w:wordWrap w:val="0"/>
              <w:overflowPunct/>
              <w:topLinePunct w:val="0"/>
              <w:autoSpaceDE w:val="0"/>
              <w:autoSpaceDN w:val="0"/>
              <w:bidi w:val="0"/>
              <w:adjustRightInd/>
              <w:snapToGrid/>
              <w:spacing w:after="157" w:afterLines="50" w:line="240" w:lineRule="auto"/>
              <w:textAlignment w:val="auto"/>
              <w:outlineLvl w:val="9"/>
              <w:rPr>
                <w:rFonts w:hint="eastAsia" w:ascii="宋体" w:hAnsi="宋体" w:cs="TimesNewRomanPSMT"/>
                <w:color w:val="auto"/>
                <w:kern w:val="0"/>
                <w:sz w:val="21"/>
                <w:szCs w:val="21"/>
              </w:rPr>
            </w:pPr>
            <w:r>
              <w:rPr>
                <w:rFonts w:hint="eastAsia" w:ascii="宋体" w:hAnsi="宋体" w:cs="TimesNewRomanPSMT"/>
                <w:color w:val="auto"/>
                <w:kern w:val="0"/>
                <w:sz w:val="21"/>
                <w:szCs w:val="21"/>
              </w:rPr>
              <w:t>3.各供应商在开标前应确保成为新疆维吾尔自治区政府采购网正式注册入库供应商（已在政采云平台其他省份入驻的供应商无须重复注册），并完成CA数字证书申领。因未注册入库、未办理CA数字证书等原因造成无法投标或投标失败等后果由供应商自行承担。</w:t>
            </w:r>
          </w:p>
          <w:p w14:paraId="34AFC23F">
            <w:pPr>
              <w:keepNext w:val="0"/>
              <w:keepLines w:val="0"/>
              <w:pageBreakBefore w:val="0"/>
              <w:widowControl w:val="0"/>
              <w:kinsoku/>
              <w:wordWrap w:val="0"/>
              <w:overflowPunct/>
              <w:topLinePunct w:val="0"/>
              <w:autoSpaceDE w:val="0"/>
              <w:autoSpaceDN w:val="0"/>
              <w:bidi w:val="0"/>
              <w:adjustRightInd/>
              <w:snapToGrid/>
              <w:spacing w:after="157" w:afterLines="50" w:line="240" w:lineRule="auto"/>
              <w:textAlignment w:val="auto"/>
              <w:outlineLvl w:val="9"/>
              <w:rPr>
                <w:rFonts w:hint="eastAsia" w:ascii="宋体" w:hAnsi="宋体" w:cs="TimesNewRomanPSMT"/>
                <w:color w:val="auto"/>
                <w:kern w:val="0"/>
                <w:sz w:val="21"/>
                <w:szCs w:val="21"/>
              </w:rPr>
            </w:pPr>
            <w:r>
              <w:rPr>
                <w:rFonts w:hint="eastAsia" w:ascii="宋体" w:hAnsi="宋体" w:cs="TimesNewRomanPSMT"/>
                <w:color w:val="auto"/>
                <w:kern w:val="0"/>
                <w:sz w:val="21"/>
                <w:szCs w:val="21"/>
              </w:rPr>
              <w:t>4.供应商将政采云电子交易客户端下载、安装完成后，可通过账号密码或CA登录客户端进行响应文件制作。在使用政采云投标客户端时，建议使用WIN7+64位及以上操作系统。客户端请至新疆政府采购网（http://www.ccgp-xinjiang.gov.cn/）下载专区查看，如有问题可拨打政采云客户服务热线95763进行咨询。</w:t>
            </w:r>
          </w:p>
          <w:p w14:paraId="5C1779F0">
            <w:pPr>
              <w:keepNext w:val="0"/>
              <w:keepLines w:val="0"/>
              <w:pageBreakBefore w:val="0"/>
              <w:widowControl w:val="0"/>
              <w:kinsoku/>
              <w:wordWrap w:val="0"/>
              <w:overflowPunct/>
              <w:topLinePunct w:val="0"/>
              <w:autoSpaceDE w:val="0"/>
              <w:autoSpaceDN w:val="0"/>
              <w:bidi w:val="0"/>
              <w:adjustRightInd/>
              <w:snapToGrid/>
              <w:spacing w:after="157" w:afterLines="50" w:line="240" w:lineRule="auto"/>
              <w:textAlignment w:val="auto"/>
              <w:outlineLvl w:val="9"/>
              <w:rPr>
                <w:rFonts w:hint="eastAsia" w:ascii="宋体" w:hAnsi="宋体" w:cs="TimesNewRomanPSMT"/>
                <w:color w:val="auto"/>
                <w:kern w:val="0"/>
                <w:sz w:val="21"/>
                <w:szCs w:val="21"/>
              </w:rPr>
            </w:pPr>
            <w:r>
              <w:rPr>
                <w:rFonts w:hint="eastAsia" w:ascii="宋体" w:hAnsi="宋体" w:cs="TimesNewRomanPSMT"/>
                <w:color w:val="auto"/>
                <w:kern w:val="0"/>
                <w:sz w:val="21"/>
                <w:szCs w:val="21"/>
              </w:rPr>
              <w:t>5.供应商在开标时须使用制作加密电子响应文件所使用的CA锁及电脑，电脑须提前配置好浏览器（建议使用谷歌浏览器），以便开标时解锁。</w:t>
            </w:r>
          </w:p>
          <w:p w14:paraId="13BF2804">
            <w:pPr>
              <w:keepNext w:val="0"/>
              <w:keepLines w:val="0"/>
              <w:pageBreakBefore w:val="0"/>
              <w:widowControl w:val="0"/>
              <w:kinsoku/>
              <w:wordWrap w:val="0"/>
              <w:overflowPunct/>
              <w:topLinePunct w:val="0"/>
              <w:autoSpaceDE w:val="0"/>
              <w:autoSpaceDN w:val="0"/>
              <w:bidi w:val="0"/>
              <w:adjustRightInd/>
              <w:snapToGrid/>
              <w:spacing w:after="157" w:afterLines="50" w:line="240" w:lineRule="auto"/>
              <w:textAlignment w:val="auto"/>
              <w:outlineLvl w:val="9"/>
              <w:rPr>
                <w:rFonts w:hint="eastAsia" w:ascii="宋体" w:hAnsi="宋体" w:cs="TimesNewRomanPSMT"/>
                <w:color w:val="auto"/>
                <w:kern w:val="0"/>
                <w:sz w:val="21"/>
                <w:szCs w:val="21"/>
              </w:rPr>
            </w:pPr>
            <w:r>
              <w:rPr>
                <w:rFonts w:hint="eastAsia" w:ascii="宋体" w:hAnsi="宋体" w:cs="TimesNewRomanPSMT"/>
                <w:color w:val="auto"/>
                <w:kern w:val="0"/>
                <w:sz w:val="21"/>
                <w:szCs w:val="21"/>
              </w:rPr>
              <w:t>6.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w:t>
            </w:r>
          </w:p>
          <w:p w14:paraId="35C11455">
            <w:pPr>
              <w:keepNext w:val="0"/>
              <w:keepLines w:val="0"/>
              <w:pageBreakBefore w:val="0"/>
              <w:widowControl w:val="0"/>
              <w:kinsoku/>
              <w:wordWrap w:val="0"/>
              <w:overflowPunct/>
              <w:topLinePunct w:val="0"/>
              <w:autoSpaceDE w:val="0"/>
              <w:autoSpaceDN w:val="0"/>
              <w:bidi w:val="0"/>
              <w:adjustRightInd/>
              <w:snapToGrid/>
              <w:spacing w:after="157" w:afterLines="50" w:line="240" w:lineRule="auto"/>
              <w:textAlignment w:val="auto"/>
              <w:outlineLvl w:val="9"/>
              <w:rPr>
                <w:rFonts w:hint="eastAsia" w:ascii="宋体" w:hAnsi="宋体" w:cs="TimesNewRomanPSMT"/>
                <w:color w:val="auto"/>
                <w:kern w:val="0"/>
                <w:sz w:val="21"/>
                <w:szCs w:val="21"/>
              </w:rPr>
            </w:pPr>
            <w:r>
              <w:rPr>
                <w:rFonts w:hint="eastAsia" w:ascii="宋体" w:hAnsi="宋体" w:cs="TimesNewRomanPSMT"/>
                <w:color w:val="auto"/>
                <w:kern w:val="0"/>
                <w:sz w:val="21"/>
                <w:szCs w:val="21"/>
              </w:rPr>
              <w:t>7.为了保证开评标顺利进行，政采云线上开标功能完全实现，供应商开标所使用的电脑设备须具有视频及语音功能。</w:t>
            </w:r>
          </w:p>
          <w:p w14:paraId="5F99832A">
            <w:pPr>
              <w:keepNext w:val="0"/>
              <w:keepLines w:val="0"/>
              <w:pageBreakBefore w:val="0"/>
              <w:widowControl w:val="0"/>
              <w:kinsoku/>
              <w:wordWrap w:val="0"/>
              <w:overflowPunct/>
              <w:topLinePunct w:val="0"/>
              <w:autoSpaceDE w:val="0"/>
              <w:autoSpaceDN w:val="0"/>
              <w:bidi w:val="0"/>
              <w:adjustRightInd/>
              <w:snapToGrid/>
              <w:spacing w:after="157" w:afterLines="50" w:line="240" w:lineRule="auto"/>
              <w:textAlignment w:val="auto"/>
              <w:outlineLvl w:val="9"/>
              <w:rPr>
                <w:rFonts w:hint="eastAsia" w:ascii="宋体" w:hAnsi="宋体" w:cs="TimesNewRomanPSMT"/>
                <w:color w:val="auto"/>
                <w:kern w:val="0"/>
                <w:sz w:val="21"/>
                <w:szCs w:val="21"/>
              </w:rPr>
            </w:pPr>
            <w:r>
              <w:rPr>
                <w:rFonts w:hint="eastAsia" w:ascii="宋体" w:hAnsi="宋体" w:cs="TimesNewRomanPSMT"/>
                <w:color w:val="auto"/>
                <w:kern w:val="0"/>
                <w:sz w:val="21"/>
                <w:szCs w:val="21"/>
                <w:lang w:val="en-US" w:eastAsia="zh-CN"/>
              </w:rPr>
              <w:t>8.</w:t>
            </w:r>
            <w:r>
              <w:rPr>
                <w:rFonts w:hint="eastAsia" w:ascii="宋体" w:hAnsi="宋体" w:cs="TimesNewRomanPSMT"/>
                <w:color w:val="auto"/>
                <w:kern w:val="0"/>
                <w:sz w:val="21"/>
                <w:szCs w:val="21"/>
              </w:rPr>
              <w:t>电子招投标：本项目以数据电文形式，依托“政府采购云平台（www.zcygov.cn）”进行招投标活动。</w:t>
            </w:r>
          </w:p>
          <w:p w14:paraId="53D8B28D">
            <w:pPr>
              <w:keepNext w:val="0"/>
              <w:keepLines w:val="0"/>
              <w:pageBreakBefore w:val="0"/>
              <w:widowControl w:val="0"/>
              <w:kinsoku/>
              <w:wordWrap w:val="0"/>
              <w:overflowPunct/>
              <w:topLinePunct w:val="0"/>
              <w:autoSpaceDE w:val="0"/>
              <w:autoSpaceDN w:val="0"/>
              <w:bidi w:val="0"/>
              <w:adjustRightInd/>
              <w:snapToGrid/>
              <w:spacing w:after="157" w:afterLines="50" w:line="240" w:lineRule="auto"/>
              <w:textAlignment w:val="auto"/>
              <w:outlineLvl w:val="9"/>
              <w:rPr>
                <w:rFonts w:hint="eastAsia" w:ascii="宋体" w:hAnsi="宋体" w:cs="TimesNewRomanPSMT"/>
                <w:color w:val="auto"/>
                <w:kern w:val="0"/>
                <w:sz w:val="21"/>
                <w:szCs w:val="21"/>
              </w:rPr>
            </w:pPr>
            <w:r>
              <w:rPr>
                <w:rFonts w:hint="eastAsia" w:ascii="宋体" w:hAnsi="宋体" w:cs="TimesNewRomanPSMT"/>
                <w:color w:val="auto"/>
                <w:kern w:val="0"/>
                <w:sz w:val="21"/>
                <w:szCs w:val="21"/>
                <w:lang w:val="en-US" w:eastAsia="zh-CN"/>
              </w:rPr>
              <w:t>9.</w:t>
            </w:r>
            <w:r>
              <w:rPr>
                <w:rFonts w:hint="eastAsia" w:ascii="宋体" w:hAnsi="宋体" w:cs="TimesNewRomanPSMT"/>
                <w:color w:val="auto"/>
                <w:kern w:val="0"/>
                <w:sz w:val="21"/>
                <w:szCs w:val="21"/>
              </w:rPr>
              <w:t>投标准备：注册账号--点击“商家入驻”，进行政府采购供应商资料填写；申领CA数字证书---申领流程详见“新疆政府采购网-下载专区-电子交易客户端-CA驱动和申领流程”；安装“政采云电子交易客户端”----前往“新疆政府采购网-下载专区-电子交易客户端”进行下载并安装。</w:t>
            </w:r>
          </w:p>
          <w:p w14:paraId="037AA602">
            <w:pPr>
              <w:keepNext w:val="0"/>
              <w:keepLines w:val="0"/>
              <w:pageBreakBefore w:val="0"/>
              <w:widowControl w:val="0"/>
              <w:kinsoku/>
              <w:wordWrap w:val="0"/>
              <w:overflowPunct/>
              <w:topLinePunct w:val="0"/>
              <w:autoSpaceDE w:val="0"/>
              <w:autoSpaceDN w:val="0"/>
              <w:bidi w:val="0"/>
              <w:adjustRightInd/>
              <w:snapToGrid/>
              <w:spacing w:after="157" w:afterLines="50" w:line="240" w:lineRule="auto"/>
              <w:textAlignment w:val="auto"/>
              <w:outlineLvl w:val="9"/>
              <w:rPr>
                <w:rFonts w:hint="eastAsia" w:ascii="宋体" w:hAnsi="宋体" w:cs="TimesNewRomanPSMT"/>
                <w:color w:val="auto"/>
                <w:kern w:val="0"/>
                <w:sz w:val="21"/>
                <w:szCs w:val="21"/>
              </w:rPr>
            </w:pPr>
            <w:r>
              <w:rPr>
                <w:rFonts w:hint="eastAsia" w:ascii="宋体" w:hAnsi="宋体" w:cs="TimesNewRomanPSMT"/>
                <w:color w:val="auto"/>
                <w:kern w:val="0"/>
                <w:sz w:val="21"/>
                <w:szCs w:val="21"/>
                <w:lang w:val="en-US" w:eastAsia="zh-CN"/>
              </w:rPr>
              <w:t>10.</w:t>
            </w:r>
            <w:r>
              <w:rPr>
                <w:rFonts w:hint="eastAsia" w:ascii="宋体" w:hAnsi="宋体" w:cs="TimesNewRomanPSMT"/>
                <w:color w:val="auto"/>
                <w:kern w:val="0"/>
                <w:sz w:val="21"/>
                <w:szCs w:val="21"/>
                <w:lang w:eastAsia="zh-CN"/>
              </w:rPr>
              <w:t>招标文件</w:t>
            </w:r>
            <w:r>
              <w:rPr>
                <w:rFonts w:hint="eastAsia" w:ascii="宋体" w:hAnsi="宋体" w:cs="TimesNewRomanPSMT"/>
                <w:color w:val="auto"/>
                <w:kern w:val="0"/>
                <w:sz w:val="21"/>
                <w:szCs w:val="21"/>
              </w:rPr>
              <w:t>的获取：使用账号登录或者短信验证码或者使用CA登录政采云平台；进入“项目采购”应用，在获取</w:t>
            </w:r>
            <w:r>
              <w:rPr>
                <w:rFonts w:hint="eastAsia" w:ascii="宋体" w:hAnsi="宋体" w:cs="TimesNewRomanPSMT"/>
                <w:color w:val="auto"/>
                <w:kern w:val="0"/>
                <w:sz w:val="21"/>
                <w:szCs w:val="21"/>
                <w:lang w:eastAsia="zh-CN"/>
              </w:rPr>
              <w:t>招标文件</w:t>
            </w:r>
            <w:r>
              <w:rPr>
                <w:rFonts w:hint="eastAsia" w:ascii="宋体" w:hAnsi="宋体" w:cs="TimesNewRomanPSMT"/>
                <w:color w:val="auto"/>
                <w:kern w:val="0"/>
                <w:sz w:val="21"/>
                <w:szCs w:val="21"/>
              </w:rPr>
              <w:t xml:space="preserve"> 菜单中选择项目，获取</w:t>
            </w:r>
            <w:r>
              <w:rPr>
                <w:rFonts w:hint="eastAsia" w:ascii="宋体" w:hAnsi="宋体" w:cs="TimesNewRomanPSMT"/>
                <w:color w:val="auto"/>
                <w:kern w:val="0"/>
                <w:sz w:val="21"/>
                <w:szCs w:val="21"/>
                <w:lang w:eastAsia="zh-CN"/>
              </w:rPr>
              <w:t>招标文件</w:t>
            </w:r>
            <w:r>
              <w:rPr>
                <w:rFonts w:hint="eastAsia" w:ascii="宋体" w:hAnsi="宋体" w:cs="TimesNewRomanPSMT"/>
                <w:color w:val="auto"/>
                <w:kern w:val="0"/>
                <w:sz w:val="21"/>
                <w:szCs w:val="21"/>
              </w:rPr>
              <w:t xml:space="preserve"> </w:t>
            </w:r>
          </w:p>
          <w:p w14:paraId="548A5AA7">
            <w:pPr>
              <w:keepNext w:val="0"/>
              <w:keepLines w:val="0"/>
              <w:pageBreakBefore w:val="0"/>
              <w:widowControl w:val="0"/>
              <w:kinsoku/>
              <w:wordWrap w:val="0"/>
              <w:overflowPunct/>
              <w:topLinePunct w:val="0"/>
              <w:autoSpaceDE w:val="0"/>
              <w:autoSpaceDN w:val="0"/>
              <w:bidi w:val="0"/>
              <w:adjustRightInd/>
              <w:snapToGrid/>
              <w:spacing w:after="157" w:afterLines="50" w:line="240" w:lineRule="auto"/>
              <w:textAlignment w:val="auto"/>
              <w:outlineLvl w:val="9"/>
              <w:rPr>
                <w:rFonts w:hint="eastAsia" w:ascii="宋体" w:hAnsi="宋体" w:cs="TimesNewRomanPSMT"/>
                <w:color w:val="auto"/>
                <w:kern w:val="0"/>
                <w:sz w:val="21"/>
                <w:szCs w:val="21"/>
              </w:rPr>
            </w:pPr>
            <w:r>
              <w:rPr>
                <w:rFonts w:hint="eastAsia" w:ascii="宋体" w:hAnsi="宋体" w:cs="TimesNewRomanPSMT"/>
                <w:color w:val="auto"/>
                <w:kern w:val="0"/>
                <w:sz w:val="21"/>
                <w:szCs w:val="21"/>
                <w:lang w:val="en-US" w:eastAsia="zh-CN"/>
              </w:rPr>
              <w:t>11.投标</w:t>
            </w:r>
            <w:r>
              <w:rPr>
                <w:rFonts w:hint="eastAsia" w:ascii="宋体" w:hAnsi="宋体" w:cs="TimesNewRomanPSMT"/>
                <w:color w:val="auto"/>
                <w:kern w:val="0"/>
                <w:sz w:val="21"/>
                <w:szCs w:val="21"/>
              </w:rPr>
              <w:t>文件的解密：供应商按照平台提示和</w:t>
            </w:r>
            <w:r>
              <w:rPr>
                <w:rFonts w:hint="eastAsia" w:ascii="宋体" w:hAnsi="宋体" w:cs="TimesNewRomanPSMT"/>
                <w:color w:val="auto"/>
                <w:kern w:val="0"/>
                <w:sz w:val="21"/>
                <w:szCs w:val="21"/>
                <w:lang w:eastAsia="zh-CN"/>
              </w:rPr>
              <w:t>招标文件</w:t>
            </w:r>
            <w:r>
              <w:rPr>
                <w:rFonts w:hint="eastAsia" w:ascii="宋体" w:hAnsi="宋体" w:cs="TimesNewRomanPSMT"/>
                <w:color w:val="auto"/>
                <w:kern w:val="0"/>
                <w:sz w:val="21"/>
                <w:szCs w:val="21"/>
              </w:rPr>
              <w:t>的规定在半小时内完成在线解密。通过“政府采购云平台”上传递交的响应文件无法按时解密，投标供应商提供了备份响应文件的，以备份响应文件为依据，否则视为响应文件撤回。通过“政府采购云平台”上传递交的响应文件已按时解密的，备份响应文件自动失效。供应商仅提供备份响应文件，没有在电子交易平台传输递交响应文件的，投标无效。</w:t>
            </w:r>
          </w:p>
          <w:p w14:paraId="536D82F2">
            <w:pPr>
              <w:keepNext w:val="0"/>
              <w:keepLines w:val="0"/>
              <w:pageBreakBefore w:val="0"/>
              <w:widowControl w:val="0"/>
              <w:kinsoku/>
              <w:wordWrap w:val="0"/>
              <w:overflowPunct/>
              <w:topLinePunct w:val="0"/>
              <w:autoSpaceDE w:val="0"/>
              <w:autoSpaceDN w:val="0"/>
              <w:bidi w:val="0"/>
              <w:adjustRightInd/>
              <w:snapToGrid/>
              <w:spacing w:after="157" w:afterLines="50" w:line="240" w:lineRule="auto"/>
              <w:textAlignment w:val="auto"/>
              <w:outlineLvl w:val="9"/>
              <w:rPr>
                <w:rFonts w:hint="eastAsia" w:ascii="宋体" w:hAnsi="宋体" w:cs="TimesNewRomanPSMT"/>
                <w:color w:val="auto"/>
                <w:kern w:val="0"/>
                <w:sz w:val="21"/>
                <w:szCs w:val="21"/>
              </w:rPr>
            </w:pPr>
            <w:r>
              <w:rPr>
                <w:rFonts w:hint="eastAsia" w:ascii="宋体" w:hAnsi="宋体" w:cs="TimesNewRomanPSMT"/>
                <w:color w:val="auto"/>
                <w:kern w:val="0"/>
                <w:sz w:val="21"/>
                <w:szCs w:val="21"/>
                <w:lang w:val="en-US" w:eastAsia="zh-CN"/>
              </w:rPr>
              <w:t>12.</w:t>
            </w:r>
            <w:r>
              <w:rPr>
                <w:rFonts w:hint="eastAsia" w:ascii="宋体" w:hAnsi="宋体" w:cs="TimesNewRomanPSMT"/>
                <w:color w:val="auto"/>
                <w:kern w:val="0"/>
                <w:sz w:val="21"/>
                <w:szCs w:val="21"/>
              </w:rPr>
              <w:t>具体操作指南：详见政采云平台“服务中心-帮助文档-项目采购-操作流程-电子招投标-政府采购项目电子交易管理操作指南-供应商”。</w:t>
            </w:r>
          </w:p>
          <w:p w14:paraId="72425FA7">
            <w:pPr>
              <w:keepNext w:val="0"/>
              <w:keepLines w:val="0"/>
              <w:pageBreakBefore w:val="0"/>
              <w:widowControl w:val="0"/>
              <w:kinsoku/>
              <w:wordWrap w:val="0"/>
              <w:overflowPunct/>
              <w:topLinePunct w:val="0"/>
              <w:autoSpaceDE w:val="0"/>
              <w:autoSpaceDN w:val="0"/>
              <w:bidi w:val="0"/>
              <w:adjustRightInd/>
              <w:snapToGrid/>
              <w:spacing w:after="157" w:afterLines="50" w:line="240" w:lineRule="auto"/>
              <w:textAlignment w:val="auto"/>
              <w:outlineLvl w:val="9"/>
              <w:rPr>
                <w:rFonts w:hint="eastAsia" w:ascii="宋体" w:hAnsi="宋体" w:cs="TimesNewRomanPSMT"/>
                <w:color w:val="auto"/>
                <w:kern w:val="0"/>
                <w:sz w:val="21"/>
                <w:szCs w:val="21"/>
              </w:rPr>
            </w:pPr>
            <w:r>
              <w:rPr>
                <w:rFonts w:hint="eastAsia" w:ascii="宋体" w:hAnsi="宋体" w:cs="TimesNewRomanPSMT"/>
                <w:color w:val="auto"/>
                <w:kern w:val="0"/>
                <w:sz w:val="21"/>
                <w:szCs w:val="21"/>
                <w:lang w:val="en-US" w:eastAsia="zh-CN"/>
              </w:rPr>
              <w:t>13.</w:t>
            </w:r>
            <w:r>
              <w:rPr>
                <w:rFonts w:hint="eastAsia" w:ascii="宋体" w:hAnsi="宋体" w:cs="TimesNewRomanPSMT"/>
                <w:color w:val="auto"/>
                <w:kern w:val="0"/>
                <w:sz w:val="21"/>
                <w:szCs w:val="21"/>
              </w:rPr>
              <w:t>供应商在进行上述操作时，如遇技术问题可登录政采云（https://www.zcygov.cn/），点击右侧咨询小采，获取采小蜜智能服务管家帮助，或拨打政采云服务热线95763获取热线服务帮助。</w:t>
            </w:r>
          </w:p>
          <w:p w14:paraId="49C1D848">
            <w:pPr>
              <w:keepNext w:val="0"/>
              <w:keepLines w:val="0"/>
              <w:pageBreakBefore w:val="0"/>
              <w:widowControl w:val="0"/>
              <w:kinsoku/>
              <w:wordWrap w:val="0"/>
              <w:overflowPunct/>
              <w:topLinePunct w:val="0"/>
              <w:autoSpaceDE w:val="0"/>
              <w:autoSpaceDN w:val="0"/>
              <w:bidi w:val="0"/>
              <w:adjustRightInd/>
              <w:snapToGrid/>
              <w:spacing w:after="157" w:afterLines="50" w:line="240" w:lineRule="auto"/>
              <w:textAlignment w:val="auto"/>
              <w:outlineLvl w:val="9"/>
              <w:rPr>
                <w:rFonts w:hint="eastAsia" w:ascii="宋体" w:hAnsi="宋体" w:cs="TimesNewRomanPSMT"/>
                <w:color w:val="auto"/>
                <w:kern w:val="0"/>
                <w:sz w:val="21"/>
                <w:szCs w:val="21"/>
              </w:rPr>
            </w:pPr>
            <w:r>
              <w:rPr>
                <w:rFonts w:hint="eastAsia" w:ascii="宋体" w:hAnsi="宋体" w:cs="TimesNewRomanPSMT"/>
                <w:color w:val="auto"/>
                <w:kern w:val="0"/>
                <w:sz w:val="21"/>
                <w:szCs w:val="21"/>
              </w:rPr>
              <w:t>温馨提醒：供应商</w:t>
            </w:r>
            <w:r>
              <w:rPr>
                <w:rFonts w:hint="eastAsia" w:ascii="宋体" w:hAnsi="宋体" w:cs="TimesNewRomanPSMT"/>
                <w:color w:val="auto"/>
                <w:kern w:val="0"/>
                <w:sz w:val="21"/>
                <w:szCs w:val="21"/>
                <w:lang w:val="en-US" w:eastAsia="zh-CN"/>
              </w:rPr>
              <w:t>应</w:t>
            </w:r>
            <w:r>
              <w:rPr>
                <w:rFonts w:hint="eastAsia" w:ascii="宋体" w:hAnsi="宋体" w:cs="TimesNewRomanPSMT"/>
                <w:color w:val="auto"/>
                <w:kern w:val="0"/>
                <w:sz w:val="21"/>
                <w:szCs w:val="21"/>
              </w:rPr>
              <w:t>提前上传，以便在上传时遇到技术问题，有充足的时间请教平台的技术人员。</w:t>
            </w:r>
          </w:p>
          <w:p w14:paraId="7760AAA5">
            <w:pPr>
              <w:keepNext w:val="0"/>
              <w:keepLines w:val="0"/>
              <w:pageBreakBefore w:val="0"/>
              <w:widowControl w:val="0"/>
              <w:kinsoku/>
              <w:wordWrap w:val="0"/>
              <w:overflowPunct/>
              <w:topLinePunct w:val="0"/>
              <w:autoSpaceDE w:val="0"/>
              <w:autoSpaceDN w:val="0"/>
              <w:bidi w:val="0"/>
              <w:adjustRightInd/>
              <w:snapToGrid/>
              <w:spacing w:after="157" w:afterLines="50"/>
              <w:textAlignment w:val="auto"/>
              <w:outlineLvl w:val="9"/>
              <w:rPr>
                <w:rFonts w:hint="eastAsia" w:ascii="宋体" w:hAnsi="宋体" w:eastAsia="宋体" w:cs="TimesNewRomanPSMT"/>
                <w:color w:val="auto"/>
                <w:kern w:val="0"/>
                <w:sz w:val="21"/>
                <w:szCs w:val="21"/>
                <w:lang w:val="zh-CN" w:eastAsia="zh-CN" w:bidi="ar-SA"/>
              </w:rPr>
            </w:pPr>
            <w:r>
              <w:rPr>
                <w:rFonts w:hint="eastAsia" w:ascii="宋体" w:hAnsi="宋体" w:cs="TimesNewRomanPSMT"/>
                <w:color w:val="auto"/>
                <w:kern w:val="0"/>
                <w:sz w:val="21"/>
                <w:szCs w:val="21"/>
                <w:lang w:val="en-US" w:eastAsia="zh-CN"/>
              </w:rPr>
              <w:t>14.供应商认为招标文件使自己的权益受到损害的，可以自收到招标文件之日（招标文件公告期限届满之前收到招标文件的，以完成获取招标文件申请后下载招标文件的时间为准）或者招标文件公告期限届满之日（公告发布后的第6个工作日）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质疑函范本、投诉书范本请到新疆政府采购网下载专区下载。未按规定获取招标文件或逾期提出的不予受理、答复。</w:t>
            </w:r>
          </w:p>
        </w:tc>
      </w:tr>
      <w:tr w14:paraId="2190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188" w:type="dxa"/>
            <w:vAlign w:val="center"/>
          </w:tcPr>
          <w:p w14:paraId="5FD2CDB2">
            <w:pPr>
              <w:autoSpaceDE w:val="0"/>
              <w:autoSpaceDN w:val="0"/>
              <w:adjustRightInd w:val="0"/>
              <w:snapToGrid w:val="0"/>
              <w:jc w:val="center"/>
              <w:outlineLvl w:val="9"/>
              <w:rPr>
                <w:rFonts w:hint="default" w:ascii="宋体" w:hAnsi="宋体" w:cs="TimesNewRomanPSMT"/>
                <w:color w:val="auto"/>
                <w:kern w:val="0"/>
                <w:sz w:val="21"/>
                <w:szCs w:val="21"/>
                <w:highlight w:val="none"/>
                <w:lang w:val="en-US" w:eastAsia="zh-CN"/>
              </w:rPr>
            </w:pPr>
            <w:r>
              <w:rPr>
                <w:rFonts w:hint="eastAsia" w:ascii="宋体" w:hAnsi="宋体" w:cs="TimesNewRomanPSMT"/>
                <w:color w:val="auto"/>
                <w:kern w:val="0"/>
                <w:sz w:val="21"/>
                <w:szCs w:val="21"/>
                <w:highlight w:val="none"/>
                <w:lang w:val="en-US" w:eastAsia="zh-CN"/>
              </w:rPr>
              <w:t>10.6</w:t>
            </w:r>
          </w:p>
        </w:tc>
        <w:tc>
          <w:tcPr>
            <w:tcW w:w="8190" w:type="dxa"/>
            <w:gridSpan w:val="2"/>
            <w:vAlign w:val="center"/>
          </w:tcPr>
          <w:p w14:paraId="6F1FE364">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宋体" w:hAnsi="宋体" w:eastAsia="宋体" w:cs="TimesNewRomanPSMT"/>
                <w:color w:val="auto"/>
                <w:kern w:val="0"/>
                <w:sz w:val="21"/>
                <w:szCs w:val="21"/>
                <w:lang w:val="zh-CN" w:eastAsia="zh-CN" w:bidi="ar-SA"/>
              </w:rPr>
            </w:pPr>
            <w:r>
              <w:rPr>
                <w:rFonts w:hint="eastAsia" w:ascii="宋体" w:hAnsi="宋体" w:eastAsia="宋体" w:cs="TimesNewRomanPSMT"/>
                <w:color w:val="auto"/>
                <w:kern w:val="0"/>
                <w:sz w:val="21"/>
                <w:szCs w:val="21"/>
                <w:lang w:val="zh-CN" w:eastAsia="zh-CN" w:bidi="ar-SA"/>
              </w:rPr>
              <w:t>1、着重提醒各供应商注意，并认真查看招标文件中的每一个条款及要求，因误读招标文件而造成的后果，</w:t>
            </w:r>
            <w:r>
              <w:rPr>
                <w:rFonts w:hint="eastAsia" w:ascii="宋体" w:hAnsi="宋体" w:cs="TimesNewRomanPSMT"/>
                <w:color w:val="auto"/>
                <w:kern w:val="0"/>
                <w:sz w:val="21"/>
                <w:szCs w:val="21"/>
                <w:lang w:val="zh-CN" w:eastAsia="zh-CN" w:bidi="ar-SA"/>
              </w:rPr>
              <w:t>采购人</w:t>
            </w:r>
            <w:r>
              <w:rPr>
                <w:rFonts w:hint="eastAsia" w:ascii="宋体" w:hAnsi="宋体" w:eastAsia="宋体" w:cs="TimesNewRomanPSMT"/>
                <w:color w:val="auto"/>
                <w:kern w:val="0"/>
                <w:sz w:val="21"/>
                <w:szCs w:val="21"/>
                <w:lang w:val="zh-CN" w:eastAsia="zh-CN" w:bidi="ar-SA"/>
              </w:rPr>
              <w:t>概不负责。</w:t>
            </w:r>
          </w:p>
          <w:p w14:paraId="0CF19816">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宋体" w:hAnsi="宋体" w:eastAsia="宋体" w:cs="TimesNewRomanPSMT"/>
                <w:color w:val="auto"/>
                <w:kern w:val="0"/>
                <w:sz w:val="21"/>
                <w:szCs w:val="21"/>
                <w:lang w:val="zh-CN" w:eastAsia="zh-CN" w:bidi="ar-SA"/>
              </w:rPr>
            </w:pPr>
            <w:r>
              <w:rPr>
                <w:rFonts w:hint="eastAsia" w:ascii="宋体" w:hAnsi="宋体" w:eastAsia="宋体" w:cs="TimesNewRomanPSMT"/>
                <w:color w:val="auto"/>
                <w:kern w:val="0"/>
                <w:sz w:val="21"/>
                <w:szCs w:val="21"/>
                <w:lang w:val="zh-CN" w:eastAsia="zh-CN" w:bidi="ar-SA"/>
              </w:rPr>
              <w:t>2、供应商使用相同IP地址的，一经发现，相关部门将保留进一步核实的权利，查实后按串通投标处理。</w:t>
            </w:r>
          </w:p>
          <w:p w14:paraId="10F72DEE">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宋体" w:hAnsi="宋体" w:eastAsia="宋体" w:cs="TimesNewRomanPSMT"/>
                <w:color w:val="auto"/>
                <w:kern w:val="0"/>
                <w:sz w:val="21"/>
                <w:szCs w:val="21"/>
                <w:lang w:val="zh-CN" w:eastAsia="zh-CN" w:bidi="ar-SA"/>
              </w:rPr>
            </w:pPr>
            <w:r>
              <w:rPr>
                <w:rFonts w:hint="eastAsia" w:ascii="宋体" w:hAnsi="宋体" w:eastAsia="宋体" w:cs="TimesNewRomanPSMT"/>
                <w:color w:val="auto"/>
                <w:kern w:val="0"/>
                <w:sz w:val="21"/>
                <w:szCs w:val="21"/>
                <w:lang w:val="zh-CN" w:eastAsia="zh-CN" w:bidi="ar-SA"/>
              </w:rPr>
              <w:t>3、为保证本项目质量，良好的售后服务，最低报价不作为中标的唯一依据。</w:t>
            </w:r>
          </w:p>
          <w:p w14:paraId="2DDAC695">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宋体" w:hAnsi="宋体" w:eastAsia="宋体" w:cs="TimesNewRomanPSMT"/>
                <w:color w:val="auto"/>
                <w:kern w:val="0"/>
                <w:sz w:val="21"/>
                <w:szCs w:val="21"/>
                <w:lang w:val="zh-CN" w:eastAsia="zh-CN" w:bidi="ar-SA"/>
              </w:rPr>
            </w:pPr>
            <w:r>
              <w:rPr>
                <w:rFonts w:hint="eastAsia" w:ascii="宋体" w:hAnsi="宋体" w:eastAsia="宋体" w:cs="TimesNewRomanPSMT"/>
                <w:color w:val="auto"/>
                <w:kern w:val="0"/>
                <w:sz w:val="21"/>
                <w:szCs w:val="21"/>
                <w:lang w:val="zh-CN" w:eastAsia="zh-CN" w:bidi="ar-SA"/>
              </w:rPr>
              <w:t>4、采购人若发现</w:t>
            </w:r>
            <w:r>
              <w:rPr>
                <w:rFonts w:hint="eastAsia" w:ascii="宋体" w:hAnsi="宋体" w:cs="TimesNewRomanPSMT"/>
                <w:color w:val="auto"/>
                <w:kern w:val="0"/>
                <w:sz w:val="21"/>
                <w:szCs w:val="21"/>
                <w:lang w:val="en-US" w:eastAsia="zh-CN" w:bidi="ar-SA"/>
              </w:rPr>
              <w:t>中标</w:t>
            </w:r>
            <w:r>
              <w:rPr>
                <w:rFonts w:hint="eastAsia" w:ascii="宋体" w:hAnsi="宋体" w:eastAsia="宋体" w:cs="TimesNewRomanPSMT"/>
                <w:color w:val="auto"/>
                <w:kern w:val="0"/>
                <w:sz w:val="21"/>
                <w:szCs w:val="21"/>
                <w:lang w:val="zh-CN" w:eastAsia="zh-CN" w:bidi="ar-SA"/>
              </w:rPr>
              <w:t>候选供应商在投标过程中提供虚假证明文件，故意隐瞒公司不良信誉和财务状况，以及其他可能对合同圆满履行造成风险的因素等，则按规定取消其</w:t>
            </w:r>
            <w:r>
              <w:rPr>
                <w:rFonts w:hint="eastAsia" w:ascii="宋体" w:hAnsi="宋体" w:cs="TimesNewRomanPSMT"/>
                <w:color w:val="auto"/>
                <w:kern w:val="0"/>
                <w:sz w:val="21"/>
                <w:szCs w:val="21"/>
                <w:lang w:val="en-US" w:eastAsia="zh-CN" w:bidi="ar-SA"/>
              </w:rPr>
              <w:t>中标</w:t>
            </w:r>
            <w:r>
              <w:rPr>
                <w:rFonts w:hint="eastAsia" w:ascii="宋体" w:hAnsi="宋体" w:eastAsia="宋体" w:cs="TimesNewRomanPSMT"/>
                <w:color w:val="auto"/>
                <w:kern w:val="0"/>
                <w:sz w:val="21"/>
                <w:szCs w:val="21"/>
                <w:lang w:val="zh-CN" w:eastAsia="zh-CN" w:bidi="ar-SA"/>
              </w:rPr>
              <w:t>资格，监管部门依法进行处理。</w:t>
            </w:r>
          </w:p>
          <w:p w14:paraId="37487DCE">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宋体" w:hAnsi="宋体" w:eastAsia="宋体" w:cs="TimesNewRomanPSMT"/>
                <w:color w:val="auto"/>
                <w:kern w:val="0"/>
                <w:sz w:val="21"/>
                <w:szCs w:val="21"/>
                <w:lang w:val="zh-CN" w:eastAsia="zh-CN" w:bidi="ar-SA"/>
              </w:rPr>
            </w:pPr>
            <w:r>
              <w:rPr>
                <w:rFonts w:hint="eastAsia" w:ascii="宋体" w:hAnsi="宋体" w:eastAsia="宋体" w:cs="TimesNewRomanPSMT"/>
                <w:color w:val="auto"/>
                <w:kern w:val="0"/>
                <w:sz w:val="21"/>
                <w:szCs w:val="21"/>
                <w:lang w:val="zh-CN" w:eastAsia="zh-CN" w:bidi="ar-SA"/>
              </w:rPr>
              <w:t>5、其它：</w:t>
            </w:r>
          </w:p>
          <w:p w14:paraId="631DCF75">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宋体" w:hAnsi="宋体" w:eastAsia="宋体" w:cs="TimesNewRomanPSMT"/>
                <w:color w:val="auto"/>
                <w:kern w:val="0"/>
                <w:sz w:val="21"/>
                <w:szCs w:val="21"/>
                <w:lang w:val="zh-CN" w:eastAsia="zh-CN" w:bidi="ar-SA"/>
              </w:rPr>
            </w:pPr>
            <w:r>
              <w:rPr>
                <w:rFonts w:hint="eastAsia" w:ascii="宋体" w:hAnsi="宋体" w:eastAsia="宋体" w:cs="TimesNewRomanPSMT"/>
                <w:color w:val="auto"/>
                <w:kern w:val="0"/>
                <w:sz w:val="21"/>
                <w:szCs w:val="21"/>
                <w:lang w:val="zh-CN" w:eastAsia="zh-CN" w:bidi="ar-SA"/>
              </w:rPr>
              <w:t>（1）供应商严格遵守国家的法律法规及招标纪律，无违法违纪及商业贿赂行为。</w:t>
            </w:r>
          </w:p>
          <w:p w14:paraId="21736640">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宋体" w:hAnsi="宋体" w:eastAsia="宋体" w:cs="TimesNewRomanPSMT"/>
                <w:color w:val="auto"/>
                <w:kern w:val="0"/>
                <w:sz w:val="21"/>
                <w:szCs w:val="21"/>
                <w:lang w:val="zh-CN" w:eastAsia="zh-CN" w:bidi="ar-SA"/>
              </w:rPr>
            </w:pPr>
            <w:r>
              <w:rPr>
                <w:rFonts w:hint="eastAsia" w:ascii="宋体" w:hAnsi="宋体" w:eastAsia="宋体" w:cs="TimesNewRomanPSMT"/>
                <w:color w:val="auto"/>
                <w:kern w:val="0"/>
                <w:sz w:val="21"/>
                <w:szCs w:val="21"/>
                <w:lang w:val="zh-CN" w:eastAsia="zh-CN" w:bidi="ar-SA"/>
              </w:rPr>
              <w:t>（2）不管投标结果如何，供应商均应自行承担投标所需一切费用。</w:t>
            </w:r>
          </w:p>
        </w:tc>
      </w:tr>
      <w:tr w14:paraId="3131F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188" w:type="dxa"/>
            <w:vAlign w:val="center"/>
          </w:tcPr>
          <w:p w14:paraId="4EE4DFB7">
            <w:pPr>
              <w:autoSpaceDE w:val="0"/>
              <w:autoSpaceDN w:val="0"/>
              <w:adjustRightInd w:val="0"/>
              <w:snapToGrid w:val="0"/>
              <w:jc w:val="center"/>
              <w:outlineLvl w:val="9"/>
              <w:rPr>
                <w:rFonts w:hint="default" w:ascii="宋体" w:hAnsi="宋体" w:cs="TimesNewRomanPSMT"/>
                <w:color w:val="auto"/>
                <w:kern w:val="0"/>
                <w:sz w:val="21"/>
                <w:szCs w:val="21"/>
                <w:highlight w:val="none"/>
                <w:lang w:val="en-US" w:eastAsia="zh-CN"/>
              </w:rPr>
            </w:pPr>
            <w:r>
              <w:rPr>
                <w:rFonts w:hint="eastAsia" w:ascii="宋体" w:hAnsi="宋体" w:cs="TimesNewRomanPSMT"/>
                <w:color w:val="auto"/>
                <w:kern w:val="0"/>
                <w:sz w:val="21"/>
                <w:szCs w:val="21"/>
                <w:highlight w:val="none"/>
                <w:lang w:val="en-US" w:eastAsia="zh-CN"/>
              </w:rPr>
              <w:t>10.7</w:t>
            </w:r>
          </w:p>
        </w:tc>
        <w:tc>
          <w:tcPr>
            <w:tcW w:w="8190" w:type="dxa"/>
            <w:gridSpan w:val="2"/>
            <w:vAlign w:val="center"/>
          </w:tcPr>
          <w:p w14:paraId="2927F834">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宋体" w:hAnsi="宋体" w:cs="TimesNewRomanPSMT"/>
                <w:color w:val="auto"/>
                <w:kern w:val="0"/>
                <w:sz w:val="21"/>
                <w:szCs w:val="21"/>
                <w:lang w:val="zh-CN" w:eastAsia="zh-CN" w:bidi="ar-SA"/>
              </w:rPr>
            </w:pPr>
            <w:r>
              <w:rPr>
                <w:rFonts w:hint="eastAsia" w:ascii="宋体" w:hAnsi="宋体" w:eastAsia="宋体" w:cs="TimesNewRomanPSMT"/>
                <w:color w:val="auto"/>
                <w:kern w:val="0"/>
                <w:sz w:val="21"/>
                <w:szCs w:val="21"/>
                <w:lang w:val="zh-CN" w:eastAsia="zh-CN" w:bidi="ar-SA"/>
              </w:rPr>
              <w:t>低于成本价不正当竞争预防措施(实质性要求)</w:t>
            </w:r>
            <w:r>
              <w:rPr>
                <w:rFonts w:hint="eastAsia" w:ascii="宋体" w:hAnsi="宋体" w:cs="TimesNewRomanPSMT"/>
                <w:color w:val="auto"/>
                <w:kern w:val="0"/>
                <w:sz w:val="21"/>
                <w:szCs w:val="21"/>
                <w:lang w:val="zh-CN" w:eastAsia="zh-CN" w:bidi="ar-SA"/>
              </w:rPr>
              <w:t>：根据财库〔2026〕2号《关于推动解决政府采购异常低价问题的通知》，政府采购评审中出现下列情形之一的，评审委员会应当启动异常低价投标（响应）审查程序：</w:t>
            </w:r>
          </w:p>
          <w:p w14:paraId="616D6304">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宋体" w:hAnsi="宋体" w:cs="TimesNewRomanPSMT"/>
                <w:color w:val="auto"/>
                <w:kern w:val="0"/>
                <w:sz w:val="21"/>
                <w:szCs w:val="21"/>
                <w:lang w:val="zh-CN" w:eastAsia="zh-CN" w:bidi="ar-SA"/>
              </w:rPr>
            </w:pPr>
            <w:r>
              <w:rPr>
                <w:rFonts w:hint="eastAsia" w:ascii="宋体" w:hAnsi="宋体" w:cs="TimesNewRomanPSMT"/>
                <w:color w:val="auto"/>
                <w:kern w:val="0"/>
                <w:sz w:val="21"/>
                <w:szCs w:val="21"/>
                <w:lang w:val="zh-CN" w:eastAsia="zh-CN" w:bidi="ar-SA"/>
              </w:rPr>
              <w:t>1.投标（响应）报价低于全部通过符合性审查供应商投标（响应）报价平均值50%的，即投标（响应）报价&lt;全部通过符合性审查供应商投标（响应）报价平均值×50%；</w:t>
            </w:r>
          </w:p>
          <w:p w14:paraId="12EF49AE">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宋体" w:hAnsi="宋体" w:cs="TimesNewRomanPSMT"/>
                <w:color w:val="auto"/>
                <w:kern w:val="0"/>
                <w:sz w:val="21"/>
                <w:szCs w:val="21"/>
                <w:lang w:val="zh-CN" w:eastAsia="zh-CN" w:bidi="ar-SA"/>
              </w:rPr>
            </w:pPr>
            <w:r>
              <w:rPr>
                <w:rFonts w:hint="eastAsia" w:ascii="宋体" w:hAnsi="宋体" w:cs="TimesNewRomanPSMT"/>
                <w:color w:val="auto"/>
                <w:kern w:val="0"/>
                <w:sz w:val="21"/>
                <w:szCs w:val="21"/>
                <w:lang w:val="zh-CN" w:eastAsia="zh-CN" w:bidi="ar-SA"/>
              </w:rPr>
              <w:t>2.投标（响应）报价低于通过符合性审查的次低报价供应商投标（响应）报价50%的，即投标（响应）报价&lt;通过符合性审查的次低报价供应商投标（响应）报价×50%；</w:t>
            </w:r>
          </w:p>
          <w:p w14:paraId="40D9314C">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宋体" w:hAnsi="宋体" w:cs="TimesNewRomanPSMT"/>
                <w:color w:val="auto"/>
                <w:kern w:val="0"/>
                <w:sz w:val="21"/>
                <w:szCs w:val="21"/>
                <w:lang w:val="zh-CN" w:eastAsia="zh-CN" w:bidi="ar-SA"/>
              </w:rPr>
            </w:pPr>
            <w:r>
              <w:rPr>
                <w:rFonts w:hint="eastAsia" w:ascii="宋体" w:hAnsi="宋体" w:cs="TimesNewRomanPSMT"/>
                <w:color w:val="auto"/>
                <w:kern w:val="0"/>
                <w:sz w:val="21"/>
                <w:szCs w:val="21"/>
                <w:lang w:val="zh-CN" w:eastAsia="zh-CN" w:bidi="ar-SA"/>
              </w:rPr>
              <w:t>3.投标（响应）报价低于采购项目最高限价45%的，即投标（响应）报价&lt;采购项目最高限价×45%；</w:t>
            </w:r>
          </w:p>
          <w:p w14:paraId="4FD17B41">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宋体" w:hAnsi="宋体" w:cs="TimesNewRomanPSMT"/>
                <w:color w:val="auto"/>
                <w:kern w:val="0"/>
                <w:sz w:val="21"/>
                <w:szCs w:val="21"/>
                <w:lang w:val="zh-CN" w:eastAsia="zh-CN" w:bidi="ar-SA"/>
              </w:rPr>
            </w:pPr>
            <w:r>
              <w:rPr>
                <w:rFonts w:hint="eastAsia" w:ascii="宋体" w:hAnsi="宋体" w:cs="TimesNewRomanPSMT"/>
                <w:color w:val="auto"/>
                <w:kern w:val="0"/>
                <w:sz w:val="21"/>
                <w:szCs w:val="21"/>
                <w:lang w:val="zh-CN" w:eastAsia="zh-CN" w:bidi="ar-SA"/>
              </w:rPr>
              <w:t>4.评审委员会基于专业判断，认为供应商报价过低，有可能影响产品质量或者不能诚信履约的其他情形。</w:t>
            </w:r>
          </w:p>
          <w:p w14:paraId="53EB83F6">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宋体" w:hAnsi="宋体" w:cs="TimesNewRomanPSMT"/>
                <w:color w:val="auto"/>
                <w:kern w:val="0"/>
                <w:sz w:val="21"/>
                <w:szCs w:val="21"/>
                <w:lang w:val="zh-CN" w:eastAsia="zh-CN" w:bidi="ar-SA"/>
              </w:rPr>
            </w:pPr>
            <w:r>
              <w:rPr>
                <w:rFonts w:hint="eastAsia" w:ascii="宋体" w:hAnsi="宋体" w:cs="TimesNewRomanPSMT"/>
                <w:color w:val="auto"/>
                <w:kern w:val="0"/>
                <w:sz w:val="21"/>
                <w:szCs w:val="21"/>
                <w:lang w:val="zh-CN" w:eastAsia="zh-CN" w:bidi="ar-SA"/>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1BF79E0D">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宋体" w:hAnsi="宋体" w:eastAsia="宋体" w:cs="TimesNewRomanPSMT"/>
                <w:color w:val="auto"/>
                <w:kern w:val="0"/>
                <w:sz w:val="21"/>
                <w:szCs w:val="21"/>
                <w:lang w:val="zh-CN" w:eastAsia="zh-CN" w:bidi="ar-SA"/>
              </w:rPr>
            </w:pPr>
            <w:r>
              <w:rPr>
                <w:rFonts w:hint="eastAsia" w:ascii="宋体" w:hAnsi="宋体" w:cs="TimesNewRomanPSMT"/>
                <w:color w:val="auto"/>
                <w:kern w:val="0"/>
                <w:sz w:val="21"/>
                <w:szCs w:val="21"/>
                <w:lang w:val="zh-CN" w:eastAsia="zh-CN" w:bidi="ar-SA"/>
              </w:rPr>
              <w:t>投标（响应）供应商不能提供书面说明、证明材料，或者提供的书面说明、证明材料不能证明其报价合理性的，评审委员会应当将其作为无效投标（响应）处理。</w:t>
            </w:r>
          </w:p>
        </w:tc>
      </w:tr>
    </w:tbl>
    <w:p w14:paraId="54ED3F8E">
      <w:pPr>
        <w:autoSpaceDE w:val="0"/>
        <w:autoSpaceDN w:val="0"/>
        <w:adjustRightInd w:val="0"/>
        <w:snapToGrid w:val="0"/>
        <w:spacing w:afterLines="50"/>
        <w:jc w:val="left"/>
        <w:rPr>
          <w:rFonts w:ascii="宋体" w:hAnsi="宋体" w:cs="黑体"/>
          <w:color w:val="auto"/>
          <w:kern w:val="0"/>
          <w:sz w:val="28"/>
          <w:szCs w:val="28"/>
        </w:rPr>
      </w:pPr>
    </w:p>
    <w:p w14:paraId="004CDE8F">
      <w:pPr>
        <w:autoSpaceDE w:val="0"/>
        <w:autoSpaceDN w:val="0"/>
        <w:adjustRightInd w:val="0"/>
        <w:snapToGrid w:val="0"/>
        <w:spacing w:afterLines="50"/>
        <w:jc w:val="center"/>
        <w:outlineLvl w:val="1"/>
        <w:rPr>
          <w:rFonts w:ascii="宋体" w:hAnsi="宋体" w:cs="黑体"/>
          <w:color w:val="auto"/>
          <w:kern w:val="0"/>
          <w:sz w:val="28"/>
          <w:szCs w:val="28"/>
        </w:rPr>
      </w:pPr>
      <w:r>
        <w:rPr>
          <w:rFonts w:ascii="宋体" w:hAnsi="宋体" w:cs="仿宋_GB2312"/>
          <w:color w:val="auto"/>
          <w:kern w:val="0"/>
          <w:szCs w:val="21"/>
        </w:rPr>
        <w:br w:type="page"/>
      </w:r>
      <w:bookmarkStart w:id="52" w:name="_Toc29493"/>
      <w:bookmarkStart w:id="53" w:name="_Toc26328"/>
      <w:bookmarkStart w:id="54" w:name="_Toc1225"/>
      <w:r>
        <w:rPr>
          <w:rFonts w:hint="eastAsia" w:ascii="宋体" w:hAnsi="宋体" w:cs="黑体"/>
          <w:color w:val="auto"/>
          <w:kern w:val="0"/>
          <w:sz w:val="28"/>
          <w:szCs w:val="28"/>
          <w:lang w:eastAsia="zh-CN"/>
        </w:rPr>
        <w:t>(</w:t>
      </w:r>
      <w:r>
        <w:rPr>
          <w:rFonts w:hint="eastAsia" w:ascii="宋体" w:hAnsi="宋体" w:cs="黑体"/>
          <w:color w:val="auto"/>
          <w:kern w:val="0"/>
          <w:sz w:val="28"/>
          <w:szCs w:val="28"/>
        </w:rPr>
        <w:t>二</w:t>
      </w:r>
      <w:r>
        <w:rPr>
          <w:rFonts w:hint="eastAsia" w:ascii="宋体" w:hAnsi="宋体" w:cs="黑体"/>
          <w:color w:val="auto"/>
          <w:kern w:val="0"/>
          <w:sz w:val="28"/>
          <w:szCs w:val="28"/>
          <w:lang w:eastAsia="zh-CN"/>
        </w:rPr>
        <w:t>)供应商</w:t>
      </w:r>
      <w:r>
        <w:rPr>
          <w:rFonts w:hint="eastAsia" w:ascii="宋体" w:hAnsi="宋体" w:cs="黑体"/>
          <w:color w:val="auto"/>
          <w:kern w:val="0"/>
          <w:sz w:val="28"/>
          <w:szCs w:val="28"/>
        </w:rPr>
        <w:t>须知</w:t>
      </w:r>
      <w:bookmarkEnd w:id="52"/>
      <w:bookmarkEnd w:id="53"/>
      <w:bookmarkEnd w:id="54"/>
    </w:p>
    <w:p w14:paraId="2FE3E73B">
      <w:pPr>
        <w:keepNext w:val="0"/>
        <w:keepLines w:val="0"/>
        <w:pageBreakBefore w:val="0"/>
        <w:widowControl w:val="0"/>
        <w:numPr>
          <w:ilvl w:val="0"/>
          <w:numId w:val="3"/>
        </w:numPr>
        <w:kinsoku/>
        <w:wordWrap/>
        <w:overflowPunct/>
        <w:topLinePunct w:val="0"/>
        <w:autoSpaceDE w:val="0"/>
        <w:autoSpaceDN w:val="0"/>
        <w:bidi w:val="0"/>
        <w:adjustRightInd w:val="0"/>
        <w:spacing w:afterLines="50"/>
        <w:textAlignment w:val="auto"/>
        <w:outlineLvl w:val="2"/>
        <w:rPr>
          <w:rFonts w:ascii="黑体" w:hAnsi="宋体" w:eastAsia="黑体" w:cs="黑体"/>
          <w:color w:val="auto"/>
          <w:kern w:val="0"/>
          <w:sz w:val="24"/>
        </w:rPr>
      </w:pPr>
      <w:bookmarkStart w:id="55" w:name="_Toc23205"/>
      <w:bookmarkStart w:id="56" w:name="_Toc195921793"/>
      <w:bookmarkStart w:id="57" w:name="_Toc5950"/>
      <w:r>
        <w:rPr>
          <w:rFonts w:hint="eastAsia" w:ascii="黑体" w:hAnsi="宋体" w:eastAsia="黑体" w:cs="黑体"/>
          <w:color w:val="auto"/>
          <w:kern w:val="0"/>
          <w:sz w:val="24"/>
        </w:rPr>
        <w:t>总则</w:t>
      </w:r>
      <w:bookmarkEnd w:id="55"/>
      <w:bookmarkEnd w:id="56"/>
      <w:bookmarkEnd w:id="57"/>
    </w:p>
    <w:p w14:paraId="2FBAE7C3">
      <w:pPr>
        <w:keepNext w:val="0"/>
        <w:keepLines w:val="0"/>
        <w:pageBreakBefore w:val="0"/>
        <w:widowControl w:val="0"/>
        <w:numPr>
          <w:ilvl w:val="1"/>
          <w:numId w:val="3"/>
        </w:numPr>
        <w:kinsoku/>
        <w:wordWrap/>
        <w:overflowPunct/>
        <w:topLinePunct w:val="0"/>
        <w:autoSpaceDE w:val="0"/>
        <w:autoSpaceDN w:val="0"/>
        <w:bidi w:val="0"/>
        <w:adjustRightInd w:val="0"/>
        <w:snapToGrid w:val="0"/>
        <w:spacing w:afterLines="50"/>
        <w:textAlignment w:val="auto"/>
        <w:rPr>
          <w:rFonts w:ascii="宋体" w:hAnsi="宋体" w:cs="黑体"/>
          <w:color w:val="auto"/>
          <w:kern w:val="0"/>
          <w:sz w:val="24"/>
        </w:rPr>
      </w:pPr>
      <w:bookmarkStart w:id="58" w:name="_Toc195921794"/>
      <w:r>
        <w:rPr>
          <w:rFonts w:hint="eastAsia" w:ascii="宋体" w:hAnsi="宋体" w:cs="黑体"/>
          <w:color w:val="auto"/>
          <w:kern w:val="0"/>
          <w:sz w:val="24"/>
        </w:rPr>
        <w:t>项目概况</w:t>
      </w:r>
      <w:bookmarkEnd w:id="58"/>
    </w:p>
    <w:p w14:paraId="60C235C0">
      <w:pPr>
        <w:keepNext w:val="0"/>
        <w:keepLines w:val="0"/>
        <w:pageBreakBefore w:val="0"/>
        <w:widowControl w:val="0"/>
        <w:numPr>
          <w:ilvl w:val="2"/>
          <w:numId w:val="3"/>
        </w:numPr>
        <w:tabs>
          <w:tab w:val="left" w:pos="1260"/>
        </w:tabs>
        <w:kinsoku/>
        <w:wordWrap/>
        <w:overflowPunct/>
        <w:topLinePunct w:val="0"/>
        <w:autoSpaceDE w:val="0"/>
        <w:autoSpaceDN w:val="0"/>
        <w:bidi w:val="0"/>
        <w:adjustRightInd w:val="0"/>
        <w:snapToGrid w:val="0"/>
        <w:spacing w:afterLines="50"/>
        <w:textAlignment w:val="auto"/>
        <w:rPr>
          <w:rFonts w:ascii="宋体" w:hAnsi="宋体" w:cs="黑体"/>
          <w:color w:val="auto"/>
          <w:kern w:val="0"/>
          <w:sz w:val="24"/>
        </w:rPr>
      </w:pPr>
      <w:r>
        <w:rPr>
          <w:rFonts w:hint="eastAsia" w:ascii="宋体" w:hAnsi="宋体" w:cs="黑体"/>
          <w:color w:val="auto"/>
          <w:kern w:val="0"/>
          <w:sz w:val="24"/>
        </w:rPr>
        <w:t>根据《中华人民共和国政府采购法》和《中华人民共和国政府采购法实施条例》等有关法律、法规和规章的规定，对本招标项目进行招标。</w:t>
      </w:r>
    </w:p>
    <w:p w14:paraId="780C1A70">
      <w:pPr>
        <w:keepNext w:val="0"/>
        <w:keepLines w:val="0"/>
        <w:pageBreakBefore w:val="0"/>
        <w:widowControl w:val="0"/>
        <w:numPr>
          <w:ilvl w:val="2"/>
          <w:numId w:val="3"/>
        </w:numPr>
        <w:tabs>
          <w:tab w:val="left" w:pos="1260"/>
        </w:tabs>
        <w:kinsoku/>
        <w:wordWrap/>
        <w:overflowPunct/>
        <w:topLinePunct w:val="0"/>
        <w:autoSpaceDE w:val="0"/>
        <w:autoSpaceDN w:val="0"/>
        <w:bidi w:val="0"/>
        <w:adjustRightInd w:val="0"/>
        <w:snapToGrid w:val="0"/>
        <w:spacing w:afterLines="50"/>
        <w:textAlignment w:val="auto"/>
        <w:rPr>
          <w:rFonts w:ascii="宋体" w:hAnsi="宋体" w:cs="黑体"/>
          <w:color w:val="auto"/>
          <w:kern w:val="0"/>
          <w:sz w:val="24"/>
        </w:rPr>
      </w:pPr>
      <w:r>
        <w:rPr>
          <w:rFonts w:hint="eastAsia" w:ascii="宋体" w:hAnsi="宋体" w:cs="黑体"/>
          <w:color w:val="auto"/>
          <w:kern w:val="0"/>
          <w:sz w:val="24"/>
        </w:rPr>
        <w:t>采购人</w:t>
      </w:r>
      <w:r>
        <w:rPr>
          <w:rFonts w:hint="eastAsia" w:ascii="宋体" w:hAnsi="宋体" w:cs="黑体"/>
          <w:color w:val="auto"/>
          <w:kern w:val="0"/>
          <w:sz w:val="24"/>
          <w:lang w:eastAsia="zh-CN"/>
        </w:rPr>
        <w:t>:</w:t>
      </w:r>
      <w:r>
        <w:rPr>
          <w:rFonts w:hint="eastAsia"/>
          <w:color w:val="auto"/>
          <w:sz w:val="24"/>
        </w:rPr>
        <w:t>指依法进行政府采购的国家机关、事业单位、团体组织。本项目采购人见</w:t>
      </w:r>
      <w:r>
        <w:rPr>
          <w:rFonts w:hint="eastAsia"/>
          <w:color w:val="auto"/>
          <w:sz w:val="24"/>
          <w:lang w:val="en-US" w:eastAsia="zh-CN"/>
        </w:rPr>
        <w:t>招标公告</w:t>
      </w:r>
      <w:r>
        <w:rPr>
          <w:rFonts w:hint="eastAsia" w:ascii="宋体" w:hAnsi="宋体" w:cs="黑体"/>
          <w:color w:val="auto"/>
          <w:kern w:val="0"/>
          <w:sz w:val="24"/>
        </w:rPr>
        <w:t>。</w:t>
      </w:r>
    </w:p>
    <w:p w14:paraId="2D8BBE8F">
      <w:pPr>
        <w:keepNext w:val="0"/>
        <w:keepLines w:val="0"/>
        <w:pageBreakBefore w:val="0"/>
        <w:widowControl w:val="0"/>
        <w:numPr>
          <w:ilvl w:val="2"/>
          <w:numId w:val="3"/>
        </w:numPr>
        <w:tabs>
          <w:tab w:val="left" w:pos="1260"/>
        </w:tabs>
        <w:kinsoku/>
        <w:wordWrap/>
        <w:overflowPunct/>
        <w:topLinePunct w:val="0"/>
        <w:autoSpaceDE w:val="0"/>
        <w:autoSpaceDN w:val="0"/>
        <w:bidi w:val="0"/>
        <w:adjustRightInd w:val="0"/>
        <w:snapToGrid w:val="0"/>
        <w:spacing w:afterLines="50"/>
        <w:textAlignment w:val="auto"/>
        <w:rPr>
          <w:rFonts w:ascii="宋体" w:hAnsi="宋体" w:cs="黑体"/>
          <w:color w:val="auto"/>
          <w:kern w:val="0"/>
          <w:sz w:val="24"/>
        </w:rPr>
      </w:pPr>
      <w:r>
        <w:rPr>
          <w:rFonts w:hint="eastAsia" w:ascii="宋体" w:hAnsi="宋体" w:cs="黑体"/>
          <w:color w:val="auto"/>
          <w:kern w:val="0"/>
          <w:sz w:val="24"/>
        </w:rPr>
        <w:t>采购代理机构</w:t>
      </w:r>
      <w:r>
        <w:rPr>
          <w:rFonts w:hint="eastAsia" w:ascii="宋体" w:hAnsi="宋体" w:cs="黑体"/>
          <w:color w:val="auto"/>
          <w:kern w:val="0"/>
          <w:sz w:val="24"/>
          <w:lang w:eastAsia="zh-CN"/>
        </w:rPr>
        <w:t>:</w:t>
      </w:r>
      <w:r>
        <w:rPr>
          <w:rFonts w:hint="eastAsia"/>
          <w:color w:val="auto"/>
          <w:sz w:val="24"/>
        </w:rPr>
        <w:t>指采购人委托的采购代理机构。本项目采购代理机构见</w:t>
      </w:r>
      <w:r>
        <w:rPr>
          <w:rFonts w:hint="eastAsia"/>
          <w:color w:val="auto"/>
          <w:sz w:val="24"/>
          <w:lang w:val="en-US" w:eastAsia="zh-CN"/>
        </w:rPr>
        <w:t>招标公告</w:t>
      </w:r>
      <w:r>
        <w:rPr>
          <w:rFonts w:hint="eastAsia" w:ascii="宋体" w:hAnsi="宋体" w:cs="黑体"/>
          <w:color w:val="auto"/>
          <w:kern w:val="0"/>
          <w:sz w:val="24"/>
        </w:rPr>
        <w:t>。</w:t>
      </w:r>
    </w:p>
    <w:p w14:paraId="669475CF">
      <w:pPr>
        <w:keepNext w:val="0"/>
        <w:keepLines w:val="0"/>
        <w:pageBreakBefore w:val="0"/>
        <w:widowControl w:val="0"/>
        <w:numPr>
          <w:ilvl w:val="2"/>
          <w:numId w:val="3"/>
        </w:numPr>
        <w:tabs>
          <w:tab w:val="left" w:pos="1260"/>
        </w:tabs>
        <w:kinsoku/>
        <w:wordWrap/>
        <w:overflowPunct/>
        <w:topLinePunct w:val="0"/>
        <w:autoSpaceDE w:val="0"/>
        <w:autoSpaceDN w:val="0"/>
        <w:bidi w:val="0"/>
        <w:adjustRightInd w:val="0"/>
        <w:snapToGrid w:val="0"/>
        <w:spacing w:afterLines="50"/>
        <w:textAlignment w:val="auto"/>
        <w:rPr>
          <w:rFonts w:hint="eastAsia" w:ascii="宋体" w:hAnsi="宋体"/>
          <w:color w:val="auto"/>
          <w:sz w:val="24"/>
        </w:rPr>
      </w:pPr>
      <w:r>
        <w:rPr>
          <w:rFonts w:hint="eastAsia" w:ascii="宋体" w:hAnsi="宋体" w:cs="黑体"/>
          <w:color w:val="auto"/>
          <w:kern w:val="0"/>
          <w:sz w:val="24"/>
        </w:rPr>
        <w:t>采购服务名称</w:t>
      </w:r>
      <w:r>
        <w:rPr>
          <w:rFonts w:hint="eastAsia" w:ascii="宋体" w:hAnsi="宋体" w:cs="黑体"/>
          <w:color w:val="auto"/>
          <w:kern w:val="0"/>
          <w:sz w:val="24"/>
          <w:lang w:eastAsia="zh-CN"/>
        </w:rPr>
        <w:t>：</w:t>
      </w:r>
      <w:r>
        <w:rPr>
          <w:rFonts w:hint="eastAsia" w:ascii="宋体" w:hAnsi="宋体"/>
          <w:color w:val="auto"/>
          <w:sz w:val="24"/>
        </w:rPr>
        <w:t>见</w:t>
      </w:r>
      <w:r>
        <w:rPr>
          <w:rFonts w:hint="eastAsia" w:ascii="宋体" w:hAnsi="宋体"/>
          <w:color w:val="auto"/>
          <w:sz w:val="24"/>
          <w:lang w:val="en-US" w:eastAsia="zh-CN"/>
        </w:rPr>
        <w:t>招标公告</w:t>
      </w:r>
      <w:r>
        <w:rPr>
          <w:rFonts w:hint="eastAsia" w:ascii="宋体" w:hAnsi="宋体"/>
          <w:color w:val="auto"/>
          <w:sz w:val="24"/>
        </w:rPr>
        <w:t>。</w:t>
      </w:r>
    </w:p>
    <w:p w14:paraId="368FDFD0">
      <w:pPr>
        <w:keepNext w:val="0"/>
        <w:keepLines w:val="0"/>
        <w:pageBreakBefore w:val="0"/>
        <w:widowControl w:val="0"/>
        <w:kinsoku/>
        <w:wordWrap/>
        <w:overflowPunct/>
        <w:topLinePunct w:val="0"/>
        <w:autoSpaceDE w:val="0"/>
        <w:autoSpaceDN w:val="0"/>
        <w:bidi w:val="0"/>
        <w:adjustRightInd w:val="0"/>
        <w:snapToGrid w:val="0"/>
        <w:spacing w:afterLines="50"/>
        <w:ind w:left="0"/>
        <w:textAlignment w:val="auto"/>
        <w:rPr>
          <w:rFonts w:hint="default" w:ascii="宋体" w:hAnsi="宋体" w:eastAsia="宋体"/>
          <w:color w:val="auto"/>
          <w:sz w:val="24"/>
          <w:lang w:val="en-US" w:eastAsia="zh-CN"/>
        </w:rPr>
      </w:pPr>
      <w:r>
        <w:rPr>
          <w:rFonts w:hint="eastAsia" w:ascii="宋体" w:hAnsi="宋体"/>
          <w:color w:val="auto"/>
          <w:sz w:val="24"/>
          <w:lang w:val="en-US" w:eastAsia="zh-CN"/>
        </w:rPr>
        <w:t>1.1.5    采购标的对应的中小企业划分标准所属行业:</w:t>
      </w:r>
      <w:r>
        <w:rPr>
          <w:rFonts w:hint="eastAsia" w:ascii="宋体" w:hAnsi="宋体" w:cs="黑体"/>
          <w:color w:val="auto"/>
          <w:kern w:val="0"/>
          <w:sz w:val="24"/>
        </w:rPr>
        <w:t>见</w:t>
      </w:r>
      <w:r>
        <w:rPr>
          <w:rFonts w:hint="eastAsia" w:ascii="宋体" w:hAnsi="宋体" w:cs="黑体"/>
          <w:color w:val="auto"/>
          <w:kern w:val="0"/>
          <w:sz w:val="24"/>
          <w:lang w:eastAsia="zh-CN"/>
        </w:rPr>
        <w:t>供应商</w:t>
      </w:r>
      <w:r>
        <w:rPr>
          <w:rFonts w:hint="eastAsia" w:ascii="宋体" w:hAnsi="宋体" w:cs="黑体"/>
          <w:color w:val="auto"/>
          <w:kern w:val="0"/>
          <w:sz w:val="24"/>
        </w:rPr>
        <w:t>须知前附表</w:t>
      </w:r>
    </w:p>
    <w:p w14:paraId="7405778A">
      <w:pPr>
        <w:keepNext w:val="0"/>
        <w:keepLines w:val="0"/>
        <w:pageBreakBefore w:val="0"/>
        <w:widowControl w:val="0"/>
        <w:numPr>
          <w:ilvl w:val="1"/>
          <w:numId w:val="3"/>
        </w:numPr>
        <w:kinsoku/>
        <w:wordWrap/>
        <w:overflowPunct/>
        <w:topLinePunct w:val="0"/>
        <w:autoSpaceDE w:val="0"/>
        <w:autoSpaceDN w:val="0"/>
        <w:bidi w:val="0"/>
        <w:adjustRightInd w:val="0"/>
        <w:snapToGrid w:val="0"/>
        <w:spacing w:afterLines="50"/>
        <w:textAlignment w:val="auto"/>
        <w:rPr>
          <w:rFonts w:ascii="宋体" w:hAnsi="宋体"/>
          <w:color w:val="auto"/>
          <w:sz w:val="24"/>
        </w:rPr>
      </w:pPr>
      <w:bookmarkStart w:id="59" w:name="_Toc195921795"/>
      <w:r>
        <w:rPr>
          <w:rFonts w:hint="eastAsia" w:ascii="宋体" w:hAnsi="宋体" w:cs="黑体"/>
          <w:color w:val="auto"/>
          <w:kern w:val="0"/>
          <w:sz w:val="24"/>
        </w:rPr>
        <w:t>采购预算</w:t>
      </w:r>
      <w:bookmarkEnd w:id="59"/>
      <w:r>
        <w:rPr>
          <w:rFonts w:hint="eastAsia" w:ascii="宋体" w:hAnsi="宋体" w:cs="黑体"/>
          <w:color w:val="auto"/>
          <w:kern w:val="0"/>
          <w:sz w:val="24"/>
          <w:lang w:eastAsia="zh-CN"/>
        </w:rPr>
        <w:t>：</w:t>
      </w:r>
      <w:r>
        <w:rPr>
          <w:rFonts w:hint="eastAsia" w:ascii="宋体" w:hAnsi="宋体"/>
          <w:color w:val="auto"/>
          <w:sz w:val="24"/>
        </w:rPr>
        <w:t>见</w:t>
      </w:r>
      <w:r>
        <w:rPr>
          <w:rFonts w:hint="eastAsia" w:ascii="宋体" w:hAnsi="宋体"/>
          <w:color w:val="auto"/>
          <w:sz w:val="24"/>
          <w:lang w:val="en-US" w:eastAsia="zh-CN"/>
        </w:rPr>
        <w:t>招标公告</w:t>
      </w:r>
      <w:r>
        <w:rPr>
          <w:rFonts w:hint="eastAsia" w:ascii="宋体" w:hAnsi="宋体"/>
          <w:color w:val="auto"/>
          <w:sz w:val="24"/>
        </w:rPr>
        <w:t>。</w:t>
      </w:r>
    </w:p>
    <w:p w14:paraId="547D141D">
      <w:pPr>
        <w:keepNext w:val="0"/>
        <w:keepLines w:val="0"/>
        <w:pageBreakBefore w:val="0"/>
        <w:widowControl w:val="0"/>
        <w:numPr>
          <w:ilvl w:val="1"/>
          <w:numId w:val="3"/>
        </w:numPr>
        <w:kinsoku/>
        <w:wordWrap/>
        <w:overflowPunct/>
        <w:topLinePunct w:val="0"/>
        <w:autoSpaceDE w:val="0"/>
        <w:autoSpaceDN w:val="0"/>
        <w:bidi w:val="0"/>
        <w:adjustRightInd w:val="0"/>
        <w:snapToGrid w:val="0"/>
        <w:spacing w:afterLines="50"/>
        <w:textAlignment w:val="auto"/>
        <w:rPr>
          <w:rFonts w:ascii="宋体" w:hAnsi="宋体"/>
          <w:color w:val="auto"/>
          <w:sz w:val="24"/>
        </w:rPr>
      </w:pPr>
      <w:bookmarkStart w:id="60" w:name="_Toc195921796"/>
      <w:r>
        <w:rPr>
          <w:rFonts w:hint="eastAsia" w:ascii="宋体" w:hAnsi="宋体" w:cs="黑体"/>
          <w:color w:val="auto"/>
          <w:kern w:val="0"/>
          <w:sz w:val="24"/>
        </w:rPr>
        <w:t>最高限价</w:t>
      </w:r>
      <w:r>
        <w:rPr>
          <w:rFonts w:hint="eastAsia" w:ascii="宋体" w:hAnsi="宋体" w:cs="黑体"/>
          <w:color w:val="auto"/>
          <w:kern w:val="0"/>
          <w:sz w:val="24"/>
          <w:lang w:eastAsia="zh-CN"/>
        </w:rPr>
        <w:t>(</w:t>
      </w:r>
      <w:r>
        <w:rPr>
          <w:rFonts w:hint="eastAsia" w:ascii="宋体" w:hAnsi="宋体" w:cs="黑体"/>
          <w:color w:val="auto"/>
          <w:kern w:val="0"/>
          <w:sz w:val="24"/>
        </w:rPr>
        <w:t>如有</w:t>
      </w:r>
      <w:r>
        <w:rPr>
          <w:rFonts w:hint="eastAsia" w:ascii="宋体" w:hAnsi="宋体" w:cs="黑体"/>
          <w:color w:val="auto"/>
          <w:kern w:val="0"/>
          <w:sz w:val="24"/>
          <w:lang w:eastAsia="zh-CN"/>
        </w:rPr>
        <w:t>)：</w:t>
      </w:r>
      <w:r>
        <w:rPr>
          <w:rFonts w:hint="eastAsia" w:ascii="宋体" w:hAnsi="宋体"/>
          <w:color w:val="auto"/>
          <w:sz w:val="24"/>
        </w:rPr>
        <w:t>见</w:t>
      </w:r>
      <w:r>
        <w:rPr>
          <w:rFonts w:hint="eastAsia" w:ascii="宋体" w:hAnsi="宋体"/>
          <w:color w:val="auto"/>
          <w:sz w:val="24"/>
          <w:lang w:val="en-US" w:eastAsia="zh-CN"/>
        </w:rPr>
        <w:t>招标公告</w:t>
      </w:r>
      <w:r>
        <w:rPr>
          <w:rFonts w:hint="eastAsia" w:ascii="宋体" w:hAnsi="宋体"/>
          <w:color w:val="auto"/>
          <w:sz w:val="24"/>
        </w:rPr>
        <w:t>。</w:t>
      </w:r>
    </w:p>
    <w:p w14:paraId="632A2F9A">
      <w:pPr>
        <w:keepNext w:val="0"/>
        <w:keepLines w:val="0"/>
        <w:pageBreakBefore w:val="0"/>
        <w:widowControl w:val="0"/>
        <w:numPr>
          <w:ilvl w:val="1"/>
          <w:numId w:val="3"/>
        </w:numPr>
        <w:kinsoku/>
        <w:wordWrap/>
        <w:overflowPunct/>
        <w:topLinePunct w:val="0"/>
        <w:autoSpaceDE w:val="0"/>
        <w:autoSpaceDN w:val="0"/>
        <w:bidi w:val="0"/>
        <w:adjustRightInd w:val="0"/>
        <w:snapToGrid w:val="0"/>
        <w:spacing w:afterLines="50"/>
        <w:textAlignment w:val="auto"/>
        <w:rPr>
          <w:rFonts w:ascii="宋体" w:hAnsi="宋体"/>
          <w:color w:val="auto"/>
          <w:sz w:val="24"/>
        </w:rPr>
      </w:pPr>
      <w:r>
        <w:rPr>
          <w:rFonts w:hint="eastAsia" w:ascii="宋体" w:hAnsi="宋体" w:cs="黑体"/>
          <w:color w:val="auto"/>
          <w:kern w:val="0"/>
          <w:sz w:val="24"/>
          <w:lang w:eastAsia="zh-CN"/>
        </w:rPr>
        <w:t>采购内容</w:t>
      </w:r>
      <w:r>
        <w:rPr>
          <w:rFonts w:hint="eastAsia" w:ascii="宋体" w:hAnsi="宋体" w:cs="黑体"/>
          <w:color w:val="auto"/>
          <w:kern w:val="0"/>
          <w:sz w:val="24"/>
        </w:rPr>
        <w:t>、合同履行期限和</w:t>
      </w:r>
      <w:bookmarkEnd w:id="60"/>
      <w:r>
        <w:rPr>
          <w:rFonts w:hint="eastAsia" w:ascii="宋体" w:hAnsi="宋体" w:cs="黑体"/>
          <w:color w:val="auto"/>
          <w:kern w:val="0"/>
          <w:sz w:val="24"/>
          <w:lang w:eastAsia="zh-CN"/>
        </w:rPr>
        <w:t>服务标准：</w:t>
      </w:r>
      <w:r>
        <w:rPr>
          <w:rFonts w:hint="eastAsia" w:ascii="宋体" w:hAnsi="宋体"/>
          <w:color w:val="auto"/>
          <w:sz w:val="24"/>
        </w:rPr>
        <w:t>见采购需求。</w:t>
      </w:r>
    </w:p>
    <w:p w14:paraId="3843DE97">
      <w:pPr>
        <w:keepNext w:val="0"/>
        <w:keepLines w:val="0"/>
        <w:pageBreakBefore w:val="0"/>
        <w:widowControl w:val="0"/>
        <w:numPr>
          <w:ilvl w:val="1"/>
          <w:numId w:val="3"/>
        </w:numPr>
        <w:kinsoku/>
        <w:wordWrap/>
        <w:overflowPunct/>
        <w:topLinePunct w:val="0"/>
        <w:autoSpaceDE w:val="0"/>
        <w:autoSpaceDN w:val="0"/>
        <w:bidi w:val="0"/>
        <w:adjustRightInd w:val="0"/>
        <w:snapToGrid w:val="0"/>
        <w:spacing w:afterLines="50"/>
        <w:textAlignment w:val="auto"/>
        <w:rPr>
          <w:rFonts w:ascii="宋体" w:hAnsi="宋体" w:cs="黑体"/>
          <w:color w:val="auto"/>
          <w:kern w:val="0"/>
          <w:sz w:val="24"/>
        </w:rPr>
      </w:pPr>
      <w:r>
        <w:rPr>
          <w:rFonts w:hint="eastAsia" w:ascii="宋体" w:hAnsi="宋体" w:cs="黑体"/>
          <w:color w:val="auto"/>
          <w:kern w:val="0"/>
          <w:sz w:val="24"/>
          <w:lang w:eastAsia="zh-CN"/>
        </w:rPr>
        <w:t>供应商:</w:t>
      </w:r>
      <w:r>
        <w:rPr>
          <w:rFonts w:hint="eastAsia" w:ascii="宋体" w:hAnsi="宋体"/>
          <w:color w:val="auto"/>
          <w:sz w:val="24"/>
        </w:rPr>
        <w:t>指响应招标、参加投标竞争的法人、其他组织或者自然人</w:t>
      </w:r>
      <w:r>
        <w:rPr>
          <w:rFonts w:hint="eastAsia" w:ascii="宋体" w:hAnsi="宋体" w:cs="黑体"/>
          <w:color w:val="auto"/>
          <w:kern w:val="0"/>
          <w:sz w:val="24"/>
        </w:rPr>
        <w:t>。</w:t>
      </w:r>
    </w:p>
    <w:p w14:paraId="76DEAF3F">
      <w:pPr>
        <w:keepNext w:val="0"/>
        <w:keepLines w:val="0"/>
        <w:pageBreakBefore w:val="0"/>
        <w:widowControl w:val="0"/>
        <w:numPr>
          <w:ilvl w:val="2"/>
          <w:numId w:val="3"/>
        </w:numPr>
        <w:tabs>
          <w:tab w:val="left" w:pos="1260"/>
        </w:tabs>
        <w:kinsoku/>
        <w:wordWrap/>
        <w:overflowPunct/>
        <w:topLinePunct w:val="0"/>
        <w:autoSpaceDE w:val="0"/>
        <w:autoSpaceDN w:val="0"/>
        <w:bidi w:val="0"/>
        <w:adjustRightInd w:val="0"/>
        <w:snapToGrid w:val="0"/>
        <w:spacing w:afterLines="50"/>
        <w:textAlignment w:val="auto"/>
        <w:rPr>
          <w:rFonts w:hint="eastAsia" w:ascii="宋体" w:hAnsi="宋体"/>
          <w:color w:val="auto"/>
          <w:sz w:val="24"/>
        </w:rPr>
      </w:pPr>
      <w:bookmarkStart w:id="61" w:name="_Ref426956497"/>
      <w:r>
        <w:rPr>
          <w:rFonts w:hint="eastAsia" w:ascii="宋体" w:hAnsi="宋体" w:cs="黑体"/>
          <w:color w:val="auto"/>
          <w:kern w:val="0"/>
          <w:sz w:val="24"/>
        </w:rPr>
        <w:t>合格的</w:t>
      </w:r>
      <w:r>
        <w:rPr>
          <w:rFonts w:hint="eastAsia" w:ascii="宋体" w:hAnsi="宋体" w:cs="黑体"/>
          <w:color w:val="auto"/>
          <w:kern w:val="0"/>
          <w:sz w:val="24"/>
          <w:lang w:val="en-US" w:eastAsia="zh-CN"/>
        </w:rPr>
        <w:t>供应商</w:t>
      </w:r>
      <w:r>
        <w:rPr>
          <w:rFonts w:hint="eastAsia" w:ascii="宋体" w:hAnsi="宋体" w:cs="黑体"/>
          <w:color w:val="auto"/>
          <w:kern w:val="0"/>
          <w:sz w:val="24"/>
        </w:rPr>
        <w:t>应具备以下条件</w:t>
      </w:r>
      <w:bookmarkEnd w:id="61"/>
      <w:r>
        <w:rPr>
          <w:rFonts w:hint="eastAsia" w:ascii="宋体" w:hAnsi="宋体" w:cs="黑体"/>
          <w:color w:val="auto"/>
          <w:kern w:val="0"/>
          <w:sz w:val="24"/>
          <w:lang w:eastAsia="zh-CN"/>
        </w:rPr>
        <w:t>:</w:t>
      </w:r>
      <w:r>
        <w:rPr>
          <w:rFonts w:hint="eastAsia" w:ascii="宋体" w:hAnsi="宋体"/>
          <w:color w:val="auto"/>
          <w:sz w:val="24"/>
        </w:rPr>
        <w:t>见</w:t>
      </w:r>
      <w:r>
        <w:rPr>
          <w:rFonts w:hint="eastAsia" w:ascii="宋体" w:hAnsi="宋体"/>
          <w:color w:val="auto"/>
          <w:sz w:val="24"/>
          <w:lang w:val="en-US" w:eastAsia="zh-CN"/>
        </w:rPr>
        <w:t>招标公告</w:t>
      </w:r>
      <w:r>
        <w:rPr>
          <w:rFonts w:hint="eastAsia" w:ascii="宋体" w:hAnsi="宋体"/>
          <w:color w:val="auto"/>
          <w:sz w:val="24"/>
        </w:rPr>
        <w:t>。</w:t>
      </w:r>
    </w:p>
    <w:p w14:paraId="35FE802D">
      <w:pPr>
        <w:keepNext w:val="0"/>
        <w:keepLines w:val="0"/>
        <w:pageBreakBefore w:val="0"/>
        <w:widowControl w:val="0"/>
        <w:numPr>
          <w:ilvl w:val="-1"/>
          <w:numId w:val="0"/>
        </w:numPr>
        <w:tabs>
          <w:tab w:val="left" w:pos="1260"/>
        </w:tabs>
        <w:kinsoku/>
        <w:wordWrap/>
        <w:overflowPunct/>
        <w:topLinePunct w:val="0"/>
        <w:autoSpaceDE w:val="0"/>
        <w:autoSpaceDN w:val="0"/>
        <w:bidi w:val="0"/>
        <w:adjustRightInd w:val="0"/>
        <w:snapToGrid w:val="0"/>
        <w:spacing w:afterLines="50"/>
        <w:ind w:left="1026" w:leftChars="-540" w:hanging="2160" w:hangingChars="900"/>
        <w:textAlignment w:val="auto"/>
        <w:rPr>
          <w:rFonts w:hint="eastAsia" w:ascii="宋体" w:hAnsi="宋体" w:eastAsia="宋体" w:cs="黑体"/>
          <w:color w:val="auto"/>
          <w:kern w:val="0"/>
          <w:sz w:val="24"/>
          <w:lang w:val="en-US" w:eastAsia="zh-CN"/>
        </w:rPr>
      </w:pPr>
      <w:r>
        <w:rPr>
          <w:rFonts w:hint="eastAsia" w:ascii="宋体" w:hAnsi="宋体" w:cs="黑体"/>
          <w:color w:val="auto"/>
          <w:kern w:val="0"/>
          <w:sz w:val="24"/>
          <w:lang w:val="en-US" w:eastAsia="zh-CN"/>
        </w:rPr>
        <w:t xml:space="preserve">         1.5.2    本项目是否</w:t>
      </w:r>
      <w:r>
        <w:rPr>
          <w:rFonts w:hint="eastAsia" w:ascii="宋体" w:hAnsi="宋体" w:cs="黑体"/>
          <w:color w:val="auto"/>
          <w:kern w:val="0"/>
          <w:sz w:val="24"/>
        </w:rPr>
        <w:t>专门面向中小企业或小型、微型企业采购</w:t>
      </w:r>
      <w:r>
        <w:rPr>
          <w:rFonts w:hint="eastAsia" w:ascii="宋体" w:hAnsi="宋体" w:cs="黑体"/>
          <w:color w:val="auto"/>
          <w:kern w:val="0"/>
          <w:sz w:val="24"/>
          <w:lang w:eastAsia="zh-CN"/>
        </w:rPr>
        <w:t>:</w:t>
      </w:r>
      <w:r>
        <w:rPr>
          <w:rFonts w:hint="eastAsia" w:ascii="宋体" w:hAnsi="宋体" w:cs="黑体"/>
          <w:color w:val="auto"/>
          <w:kern w:val="0"/>
          <w:sz w:val="24"/>
          <w:lang w:val="en-US" w:eastAsia="zh-CN"/>
        </w:rPr>
        <w:t xml:space="preserve"> </w:t>
      </w:r>
      <w:r>
        <w:rPr>
          <w:rFonts w:hint="eastAsia" w:ascii="宋体" w:hAnsi="宋体" w:cs="黑体"/>
          <w:color w:val="auto"/>
          <w:kern w:val="0"/>
          <w:sz w:val="24"/>
        </w:rPr>
        <w:t>见</w:t>
      </w:r>
      <w:r>
        <w:rPr>
          <w:rFonts w:hint="eastAsia" w:ascii="宋体" w:hAnsi="宋体" w:cs="黑体"/>
          <w:color w:val="auto"/>
          <w:kern w:val="0"/>
          <w:sz w:val="24"/>
          <w:lang w:eastAsia="zh-CN"/>
        </w:rPr>
        <w:t>供应商</w:t>
      </w:r>
      <w:r>
        <w:rPr>
          <w:rFonts w:hint="eastAsia" w:ascii="宋体" w:hAnsi="宋体" w:cs="黑体"/>
          <w:color w:val="auto"/>
          <w:kern w:val="0"/>
          <w:sz w:val="24"/>
        </w:rPr>
        <w:t>须知前附表</w:t>
      </w:r>
    </w:p>
    <w:p w14:paraId="23971F22">
      <w:pPr>
        <w:keepNext w:val="0"/>
        <w:keepLines w:val="0"/>
        <w:pageBreakBefore w:val="0"/>
        <w:widowControl w:val="0"/>
        <w:numPr>
          <w:ilvl w:val="-1"/>
          <w:numId w:val="0"/>
        </w:numPr>
        <w:tabs>
          <w:tab w:val="left" w:pos="1060"/>
        </w:tabs>
        <w:kinsoku/>
        <w:wordWrap/>
        <w:overflowPunct/>
        <w:topLinePunct w:val="0"/>
        <w:autoSpaceDE w:val="0"/>
        <w:autoSpaceDN w:val="0"/>
        <w:bidi w:val="0"/>
        <w:adjustRightInd w:val="0"/>
        <w:snapToGrid w:val="0"/>
        <w:spacing w:afterLines="50"/>
        <w:ind w:left="1058" w:hanging="1058" w:hangingChars="441"/>
        <w:textAlignment w:val="auto"/>
        <w:rPr>
          <w:rFonts w:ascii="宋体" w:hAnsi="宋体" w:cs="黑体"/>
          <w:color w:val="auto"/>
          <w:kern w:val="0"/>
          <w:sz w:val="24"/>
        </w:rPr>
      </w:pPr>
      <w:r>
        <w:rPr>
          <w:rFonts w:hint="eastAsia" w:ascii="宋体" w:hAnsi="宋体" w:eastAsia="宋体" w:cs="黑体"/>
          <w:color w:val="auto"/>
          <w:kern w:val="0"/>
          <w:sz w:val="24"/>
          <w:lang w:val="en-US" w:eastAsia="zh-CN"/>
        </w:rPr>
        <w:t>1.5.3</w:t>
      </w:r>
      <w:r>
        <w:rPr>
          <w:rFonts w:hint="eastAsia" w:ascii="宋体" w:hAnsi="宋体" w:cs="黑体"/>
          <w:color w:val="auto"/>
          <w:kern w:val="0"/>
          <w:sz w:val="24"/>
          <w:lang w:val="en-US" w:eastAsia="zh-CN"/>
        </w:rPr>
        <w:t xml:space="preserve"> </w:t>
      </w:r>
      <w:r>
        <w:rPr>
          <w:rFonts w:hint="eastAsia" w:ascii="宋体" w:hAnsi="宋体"/>
          <w:color w:val="auto"/>
          <w:sz w:val="24"/>
          <w:lang w:val="en-US" w:eastAsia="zh-CN"/>
        </w:rPr>
        <w:t xml:space="preserve">   </w:t>
      </w:r>
      <w:r>
        <w:rPr>
          <w:rFonts w:hint="eastAsia" w:ascii="宋体" w:hAnsi="宋体"/>
          <w:color w:val="auto"/>
          <w:sz w:val="24"/>
          <w:lang w:eastAsia="zh-CN"/>
        </w:rPr>
        <w:t>供应商</w:t>
      </w:r>
      <w:r>
        <w:rPr>
          <w:rFonts w:hint="eastAsia" w:ascii="宋体" w:hAnsi="宋体"/>
          <w:color w:val="auto"/>
          <w:sz w:val="24"/>
        </w:rPr>
        <w:t>应当遵循公平竞争的原则，不得恶意串通，不得妨碍其他</w:t>
      </w:r>
      <w:r>
        <w:rPr>
          <w:rFonts w:hint="eastAsia" w:ascii="宋体" w:hAnsi="宋体"/>
          <w:color w:val="auto"/>
          <w:sz w:val="24"/>
          <w:lang w:eastAsia="zh-CN"/>
        </w:rPr>
        <w:t>供应商</w:t>
      </w:r>
      <w:r>
        <w:rPr>
          <w:rFonts w:hint="eastAsia" w:ascii="宋体" w:hAnsi="宋体"/>
          <w:color w:val="auto"/>
          <w:sz w:val="24"/>
        </w:rPr>
        <w:t>的竞争行为，不得损害采购人或者其他</w:t>
      </w:r>
      <w:r>
        <w:rPr>
          <w:rFonts w:hint="eastAsia" w:ascii="宋体" w:hAnsi="宋体"/>
          <w:color w:val="auto"/>
          <w:sz w:val="24"/>
          <w:lang w:eastAsia="zh-CN"/>
        </w:rPr>
        <w:t>供应商</w:t>
      </w:r>
      <w:r>
        <w:rPr>
          <w:rFonts w:hint="eastAsia" w:ascii="宋体" w:hAnsi="宋体"/>
          <w:color w:val="auto"/>
          <w:sz w:val="24"/>
        </w:rPr>
        <w:t>的合法权益。</w:t>
      </w:r>
    </w:p>
    <w:p w14:paraId="4D086BE1">
      <w:pPr>
        <w:keepNext w:val="0"/>
        <w:keepLines w:val="0"/>
        <w:pageBreakBefore w:val="0"/>
        <w:widowControl w:val="0"/>
        <w:numPr>
          <w:ilvl w:val="-1"/>
          <w:numId w:val="0"/>
        </w:numPr>
        <w:tabs>
          <w:tab w:val="left" w:pos="840"/>
        </w:tabs>
        <w:kinsoku/>
        <w:wordWrap/>
        <w:overflowPunct/>
        <w:topLinePunct w:val="0"/>
        <w:autoSpaceDE w:val="0"/>
        <w:autoSpaceDN w:val="0"/>
        <w:bidi w:val="0"/>
        <w:adjustRightInd w:val="0"/>
        <w:snapToGrid w:val="0"/>
        <w:spacing w:afterLines="50"/>
        <w:ind w:left="1056" w:hanging="1056" w:hangingChars="440"/>
        <w:textAlignment w:val="auto"/>
        <w:rPr>
          <w:rFonts w:ascii="宋体" w:hAnsi="宋体" w:cs="黑体"/>
          <w:color w:val="auto"/>
          <w:kern w:val="0"/>
          <w:sz w:val="24"/>
        </w:rPr>
      </w:pPr>
      <w:r>
        <w:rPr>
          <w:rFonts w:hint="eastAsia" w:ascii="宋体" w:hAnsi="宋体" w:cs="黑体"/>
          <w:color w:val="auto"/>
          <w:kern w:val="0"/>
          <w:sz w:val="24"/>
          <w:lang w:val="en-US" w:eastAsia="zh-CN"/>
        </w:rPr>
        <w:t xml:space="preserve">1.5.4    </w:t>
      </w:r>
      <w:r>
        <w:rPr>
          <w:rFonts w:hint="eastAsia" w:ascii="宋体" w:hAnsi="宋体" w:cs="黑体"/>
          <w:color w:val="auto"/>
          <w:kern w:val="0"/>
          <w:sz w:val="24"/>
          <w:lang w:eastAsia="zh-CN"/>
        </w:rPr>
        <w:t>供应商</w:t>
      </w:r>
      <w:r>
        <w:rPr>
          <w:rFonts w:hint="eastAsia" w:ascii="宋体" w:hAnsi="宋体" w:cs="黑体"/>
          <w:color w:val="auto"/>
          <w:kern w:val="0"/>
          <w:sz w:val="24"/>
        </w:rPr>
        <w:t>不得以向采购人、评标委员会成员行贿或者采取其他不正当手段谋取中标。</w:t>
      </w:r>
    </w:p>
    <w:p w14:paraId="7F810F06">
      <w:pPr>
        <w:keepNext w:val="0"/>
        <w:keepLines w:val="0"/>
        <w:pageBreakBefore w:val="0"/>
        <w:widowControl w:val="0"/>
        <w:numPr>
          <w:ilvl w:val="-1"/>
          <w:numId w:val="0"/>
        </w:numPr>
        <w:tabs>
          <w:tab w:val="left" w:pos="1260"/>
        </w:tabs>
        <w:kinsoku/>
        <w:wordWrap/>
        <w:overflowPunct/>
        <w:topLinePunct w:val="0"/>
        <w:autoSpaceDE w:val="0"/>
        <w:autoSpaceDN w:val="0"/>
        <w:bidi w:val="0"/>
        <w:adjustRightInd w:val="0"/>
        <w:snapToGrid w:val="0"/>
        <w:spacing w:afterLines="50"/>
        <w:ind w:left="1200" w:hanging="1200" w:hangingChars="500"/>
        <w:textAlignment w:val="auto"/>
        <w:rPr>
          <w:rFonts w:ascii="宋体" w:hAnsi="宋体"/>
          <w:color w:val="auto"/>
          <w:sz w:val="24"/>
        </w:rPr>
      </w:pPr>
      <w:r>
        <w:rPr>
          <w:rFonts w:hint="eastAsia" w:ascii="宋体" w:hAnsi="宋体" w:cs="黑体"/>
          <w:color w:val="auto"/>
          <w:kern w:val="0"/>
          <w:sz w:val="24"/>
          <w:lang w:val="en-US" w:eastAsia="zh-CN"/>
        </w:rPr>
        <w:t xml:space="preserve">1.5.5    </w:t>
      </w:r>
      <w:r>
        <w:rPr>
          <w:rFonts w:hint="eastAsia" w:ascii="宋体" w:hAnsi="宋体" w:cs="黑体"/>
          <w:color w:val="auto"/>
          <w:kern w:val="0"/>
          <w:sz w:val="24"/>
        </w:rPr>
        <w:t>本项目将执行在政府采购活动中查询及使用信用记录的规定，具体要求为</w:t>
      </w:r>
      <w:r>
        <w:rPr>
          <w:rFonts w:hint="eastAsia" w:ascii="宋体" w:hAnsi="宋体" w:cs="黑体"/>
          <w:color w:val="auto"/>
          <w:kern w:val="0"/>
          <w:sz w:val="24"/>
          <w:lang w:eastAsia="zh-CN"/>
        </w:rPr>
        <w:t>:</w:t>
      </w:r>
    </w:p>
    <w:p w14:paraId="414CD8D3">
      <w:pPr>
        <w:keepNext w:val="0"/>
        <w:keepLines w:val="0"/>
        <w:pageBreakBefore w:val="0"/>
        <w:widowControl w:val="0"/>
        <w:numPr>
          <w:ilvl w:val="0"/>
          <w:numId w:val="4"/>
        </w:numPr>
        <w:tabs>
          <w:tab w:val="left" w:pos="1701"/>
        </w:tabs>
        <w:kinsoku/>
        <w:wordWrap/>
        <w:overflowPunct/>
        <w:topLinePunct w:val="0"/>
        <w:autoSpaceDE w:val="0"/>
        <w:autoSpaceDN w:val="0"/>
        <w:bidi w:val="0"/>
        <w:adjustRightInd w:val="0"/>
        <w:snapToGrid w:val="0"/>
        <w:spacing w:afterLines="50"/>
        <w:ind w:left="1701" w:hanging="622"/>
        <w:textAlignment w:val="auto"/>
        <w:rPr>
          <w:rFonts w:ascii="宋体" w:hAnsi="宋体"/>
          <w:color w:val="auto"/>
          <w:sz w:val="24"/>
        </w:rPr>
      </w:pPr>
      <w:r>
        <w:rPr>
          <w:rFonts w:hint="eastAsia" w:ascii="宋体" w:hAnsi="宋体"/>
          <w:color w:val="auto"/>
          <w:sz w:val="24"/>
        </w:rPr>
        <w:t>查询渠道</w:t>
      </w:r>
      <w:r>
        <w:rPr>
          <w:rFonts w:hint="eastAsia" w:ascii="宋体" w:hAnsi="宋体"/>
          <w:color w:val="auto"/>
          <w:sz w:val="24"/>
          <w:lang w:eastAsia="zh-CN"/>
        </w:rPr>
        <w:t>:</w:t>
      </w:r>
      <w:r>
        <w:rPr>
          <w:rFonts w:hint="eastAsia" w:ascii="宋体" w:hAnsi="宋体"/>
          <w:color w:val="auto"/>
          <w:sz w:val="24"/>
          <w:lang w:val="en-US" w:eastAsia="zh-CN"/>
        </w:rPr>
        <w:t>详见招标公告</w:t>
      </w:r>
      <w:r>
        <w:rPr>
          <w:rFonts w:ascii="宋体" w:hAnsi="宋体"/>
          <w:color w:val="auto"/>
          <w:sz w:val="24"/>
        </w:rPr>
        <w:t xml:space="preserve">； </w:t>
      </w:r>
    </w:p>
    <w:p w14:paraId="2132BAD6">
      <w:pPr>
        <w:keepNext w:val="0"/>
        <w:keepLines w:val="0"/>
        <w:pageBreakBefore w:val="0"/>
        <w:widowControl w:val="0"/>
        <w:numPr>
          <w:ilvl w:val="0"/>
          <w:numId w:val="4"/>
        </w:numPr>
        <w:tabs>
          <w:tab w:val="left" w:pos="1701"/>
        </w:tabs>
        <w:kinsoku/>
        <w:wordWrap/>
        <w:overflowPunct/>
        <w:topLinePunct w:val="0"/>
        <w:autoSpaceDE w:val="0"/>
        <w:autoSpaceDN w:val="0"/>
        <w:bidi w:val="0"/>
        <w:adjustRightInd w:val="0"/>
        <w:snapToGrid w:val="0"/>
        <w:spacing w:afterLines="50"/>
        <w:ind w:left="1701" w:hanging="622"/>
        <w:textAlignment w:val="auto"/>
        <w:rPr>
          <w:rFonts w:ascii="宋体" w:hAnsi="宋体"/>
          <w:color w:val="auto"/>
          <w:sz w:val="24"/>
        </w:rPr>
      </w:pPr>
      <w:r>
        <w:rPr>
          <w:rFonts w:hint="eastAsia" w:ascii="宋体" w:hAnsi="宋体"/>
          <w:color w:val="auto"/>
          <w:sz w:val="24"/>
        </w:rPr>
        <w:t>信用信息查询记录和证据留存具体方式</w:t>
      </w:r>
      <w:r>
        <w:rPr>
          <w:rFonts w:hint="eastAsia" w:ascii="宋体" w:hAnsi="宋体"/>
          <w:color w:val="auto"/>
          <w:sz w:val="24"/>
          <w:lang w:eastAsia="zh-CN"/>
        </w:rPr>
        <w:t>:供应商</w:t>
      </w:r>
      <w:r>
        <w:rPr>
          <w:rFonts w:hint="eastAsia" w:ascii="宋体" w:hAnsi="宋体"/>
          <w:color w:val="auto"/>
          <w:sz w:val="24"/>
        </w:rPr>
        <w:t>的</w:t>
      </w:r>
      <w:r>
        <w:rPr>
          <w:rFonts w:hint="eastAsia" w:ascii="宋体" w:hAnsi="宋体"/>
          <w:color w:val="auto"/>
          <w:sz w:val="24"/>
          <w:lang w:val="en-US" w:eastAsia="zh-CN"/>
        </w:rPr>
        <w:t>信用信息</w:t>
      </w:r>
      <w:r>
        <w:rPr>
          <w:rFonts w:hint="eastAsia" w:ascii="宋体" w:hAnsi="宋体"/>
          <w:color w:val="auto"/>
          <w:sz w:val="24"/>
        </w:rPr>
        <w:t>查询结果网页截图作为查询记录和证据，与其他</w:t>
      </w:r>
      <w:r>
        <w:rPr>
          <w:rFonts w:hint="eastAsia" w:ascii="宋体" w:hAnsi="宋体"/>
          <w:color w:val="auto"/>
          <w:sz w:val="24"/>
          <w:lang w:eastAsia="zh-CN"/>
        </w:rPr>
        <w:t>采购</w:t>
      </w:r>
      <w:r>
        <w:rPr>
          <w:rFonts w:hint="eastAsia" w:ascii="宋体" w:hAnsi="宋体"/>
          <w:color w:val="auto"/>
          <w:sz w:val="24"/>
        </w:rPr>
        <w:t>文件一并保存；</w:t>
      </w:r>
      <w:r>
        <w:rPr>
          <w:rFonts w:ascii="宋体" w:hAnsi="宋体"/>
          <w:color w:val="auto"/>
          <w:sz w:val="24"/>
        </w:rPr>
        <w:t xml:space="preserve"> </w:t>
      </w:r>
    </w:p>
    <w:p w14:paraId="5448A6F3">
      <w:pPr>
        <w:keepNext w:val="0"/>
        <w:keepLines w:val="0"/>
        <w:pageBreakBefore w:val="0"/>
        <w:widowControl w:val="0"/>
        <w:numPr>
          <w:ilvl w:val="0"/>
          <w:numId w:val="4"/>
        </w:numPr>
        <w:tabs>
          <w:tab w:val="left" w:pos="1701"/>
        </w:tabs>
        <w:kinsoku/>
        <w:wordWrap/>
        <w:overflowPunct/>
        <w:topLinePunct w:val="0"/>
        <w:autoSpaceDE w:val="0"/>
        <w:autoSpaceDN w:val="0"/>
        <w:bidi w:val="0"/>
        <w:adjustRightInd w:val="0"/>
        <w:snapToGrid w:val="0"/>
        <w:spacing w:afterLines="50"/>
        <w:ind w:left="1701" w:hanging="622"/>
        <w:textAlignment w:val="auto"/>
        <w:rPr>
          <w:rFonts w:ascii="宋体" w:hAnsi="宋体"/>
          <w:color w:val="auto"/>
          <w:sz w:val="24"/>
        </w:rPr>
      </w:pPr>
      <w:r>
        <w:rPr>
          <w:rFonts w:hint="eastAsia" w:ascii="宋体" w:hAnsi="宋体"/>
          <w:color w:val="auto"/>
          <w:sz w:val="24"/>
        </w:rPr>
        <w:t>信用信息的使用规则</w:t>
      </w:r>
      <w:r>
        <w:rPr>
          <w:rFonts w:hint="eastAsia" w:ascii="宋体" w:hAnsi="宋体"/>
          <w:color w:val="auto"/>
          <w:sz w:val="24"/>
          <w:lang w:eastAsia="zh-CN"/>
        </w:rPr>
        <w:t>:本政府采购项目的供应商在信用信息查询存在第一章</w:t>
      </w:r>
      <w:r>
        <w:rPr>
          <w:rFonts w:hint="eastAsia" w:ascii="宋体" w:hAnsi="宋体"/>
          <w:color w:val="auto"/>
          <w:sz w:val="24"/>
          <w:lang w:val="en-US" w:eastAsia="zh-CN"/>
        </w:rPr>
        <w:t>招标公告</w:t>
      </w:r>
      <w:r>
        <w:rPr>
          <w:rFonts w:hint="eastAsia" w:ascii="宋体" w:hAnsi="宋体"/>
          <w:color w:val="auto"/>
          <w:sz w:val="24"/>
          <w:lang w:eastAsia="zh-CN"/>
        </w:rPr>
        <w:t>所述不良信用记录的，投标无效。</w:t>
      </w:r>
    </w:p>
    <w:p w14:paraId="650A046E">
      <w:pPr>
        <w:keepNext w:val="0"/>
        <w:keepLines w:val="0"/>
        <w:pageBreakBefore w:val="0"/>
        <w:widowControl w:val="0"/>
        <w:numPr>
          <w:ilvl w:val="-1"/>
          <w:numId w:val="0"/>
        </w:numPr>
        <w:tabs>
          <w:tab w:val="left" w:pos="840"/>
        </w:tabs>
        <w:kinsoku/>
        <w:wordWrap/>
        <w:overflowPunct/>
        <w:topLinePunct w:val="0"/>
        <w:autoSpaceDE w:val="0"/>
        <w:autoSpaceDN w:val="0"/>
        <w:bidi w:val="0"/>
        <w:adjustRightInd w:val="0"/>
        <w:snapToGrid w:val="0"/>
        <w:spacing w:afterLines="50"/>
        <w:ind w:left="1056" w:hanging="1056" w:hangingChars="440"/>
        <w:textAlignment w:val="auto"/>
        <w:rPr>
          <w:rFonts w:hint="eastAsia" w:ascii="宋体" w:hAnsi="宋体" w:eastAsia="宋体" w:cs="黑体"/>
          <w:color w:val="auto"/>
          <w:kern w:val="0"/>
          <w:sz w:val="24"/>
          <w:lang w:eastAsia="zh-CN"/>
        </w:rPr>
      </w:pPr>
      <w:r>
        <w:rPr>
          <w:rFonts w:hint="eastAsia" w:ascii="宋体" w:hAnsi="宋体" w:cs="黑体"/>
          <w:color w:val="auto"/>
          <w:kern w:val="0"/>
          <w:sz w:val="24"/>
          <w:lang w:val="en-US" w:eastAsia="zh-CN"/>
        </w:rPr>
        <w:t xml:space="preserve">1.5.6    </w:t>
      </w:r>
      <w:r>
        <w:rPr>
          <w:rFonts w:hint="eastAsia" w:ascii="宋体" w:hAnsi="宋体"/>
          <w:color w:val="auto"/>
          <w:sz w:val="24"/>
          <w:lang w:val="en-US" w:eastAsia="zh-CN"/>
        </w:rPr>
        <w:t>招标公告</w:t>
      </w:r>
      <w:r>
        <w:rPr>
          <w:rFonts w:hint="eastAsia" w:ascii="宋体" w:hAnsi="宋体"/>
          <w:color w:val="auto"/>
          <w:sz w:val="24"/>
          <w:lang w:eastAsia="zh-CN"/>
        </w:rPr>
        <w:t>规定接受联合体投标的，除应符合本章第</w:t>
      </w:r>
      <w:r>
        <w:rPr>
          <w:rFonts w:hint="eastAsia" w:ascii="宋体" w:hAnsi="宋体"/>
          <w:color w:val="auto"/>
          <w:sz w:val="24"/>
          <w:lang w:eastAsia="zh-CN"/>
        </w:rPr>
        <w:fldChar w:fldCharType="begin"/>
      </w:r>
      <w:r>
        <w:instrText xml:space="preserve"> REF _Ref426956497 \r \h  \* MERGEFORMAT</w:instrText>
      </w:r>
      <w:r>
        <w:rPr>
          <w:rFonts w:hint="eastAsia" w:ascii="宋体" w:hAnsi="宋体"/>
          <w:color w:val="auto"/>
          <w:sz w:val="24"/>
          <w:lang w:eastAsia="zh-CN"/>
        </w:rPr>
        <w:fldChar w:fldCharType="separate"/>
      </w:r>
      <w:r>
        <w:rPr>
          <w:rFonts w:hint="eastAsia" w:ascii="宋体" w:hAnsi="宋体"/>
          <w:color w:val="auto"/>
          <w:sz w:val="24"/>
          <w:lang w:eastAsia="zh-CN"/>
        </w:rPr>
        <w:t>1.5.1</w:t>
      </w:r>
      <w:r>
        <w:rPr>
          <w:rFonts w:hint="eastAsia" w:ascii="宋体" w:hAnsi="宋体"/>
          <w:color w:val="auto"/>
          <w:sz w:val="24"/>
          <w:lang w:eastAsia="zh-CN"/>
        </w:rPr>
        <w:fldChar w:fldCharType="end"/>
      </w:r>
      <w:r>
        <w:rPr>
          <w:rFonts w:hint="eastAsia" w:ascii="宋体" w:hAnsi="宋体"/>
          <w:color w:val="auto"/>
          <w:sz w:val="24"/>
          <w:lang w:eastAsia="zh-CN"/>
        </w:rPr>
        <w:t>项和第</w:t>
      </w:r>
      <w:r>
        <w:rPr>
          <w:rFonts w:hint="eastAsia" w:ascii="宋体" w:hAnsi="宋体"/>
          <w:color w:val="auto"/>
          <w:sz w:val="24"/>
          <w:lang w:eastAsia="zh-CN"/>
        </w:rPr>
        <w:fldChar w:fldCharType="begin"/>
      </w:r>
      <w:r>
        <w:instrText xml:space="preserve"> REF _Ref426956497 \r \h  \* MERGEFORMAT</w:instrText>
      </w:r>
      <w:r>
        <w:rPr>
          <w:rFonts w:hint="eastAsia" w:ascii="宋体" w:hAnsi="宋体"/>
          <w:color w:val="auto"/>
          <w:sz w:val="24"/>
          <w:lang w:eastAsia="zh-CN"/>
        </w:rPr>
        <w:fldChar w:fldCharType="separate"/>
      </w:r>
      <w:r>
        <w:rPr>
          <w:rFonts w:hint="eastAsia" w:ascii="宋体" w:hAnsi="宋体"/>
          <w:color w:val="auto"/>
          <w:sz w:val="24"/>
          <w:lang w:eastAsia="zh-CN"/>
        </w:rPr>
        <w:t>1.5.</w:t>
      </w:r>
      <w:r>
        <w:rPr>
          <w:rFonts w:hint="eastAsia" w:ascii="宋体" w:hAnsi="宋体"/>
          <w:color w:val="auto"/>
          <w:sz w:val="24"/>
          <w:lang w:eastAsia="zh-CN"/>
        </w:rPr>
        <w:fldChar w:fldCharType="end"/>
      </w:r>
      <w:r>
        <w:rPr>
          <w:rFonts w:hint="eastAsia" w:ascii="宋体" w:hAnsi="宋体"/>
          <w:color w:val="auto"/>
          <w:sz w:val="24"/>
          <w:lang w:val="en-US" w:eastAsia="zh-CN"/>
        </w:rPr>
        <w:t>5</w:t>
      </w:r>
      <w:r>
        <w:rPr>
          <w:rFonts w:hint="eastAsia" w:ascii="宋体" w:hAnsi="宋体"/>
          <w:color w:val="auto"/>
          <w:sz w:val="24"/>
          <w:lang w:eastAsia="zh-CN"/>
        </w:rPr>
        <w:t>项的要求外，还应遵守以下规定:</w:t>
      </w:r>
    </w:p>
    <w:p w14:paraId="4D025549">
      <w:pPr>
        <w:keepNext w:val="0"/>
        <w:keepLines w:val="0"/>
        <w:pageBreakBefore w:val="0"/>
        <w:widowControl w:val="0"/>
        <w:numPr>
          <w:ilvl w:val="0"/>
          <w:numId w:val="5"/>
        </w:numPr>
        <w:tabs>
          <w:tab w:val="left" w:pos="1701"/>
        </w:tabs>
        <w:kinsoku/>
        <w:wordWrap/>
        <w:overflowPunct/>
        <w:topLinePunct w:val="0"/>
        <w:autoSpaceDE w:val="0"/>
        <w:autoSpaceDN w:val="0"/>
        <w:bidi w:val="0"/>
        <w:adjustRightInd w:val="0"/>
        <w:snapToGrid w:val="0"/>
        <w:spacing w:afterLines="50"/>
        <w:ind w:left="1701" w:hanging="622"/>
        <w:textAlignment w:val="auto"/>
        <w:rPr>
          <w:rFonts w:ascii="宋体" w:hAnsi="宋体"/>
          <w:color w:val="auto"/>
          <w:sz w:val="24"/>
        </w:rPr>
      </w:pPr>
      <w:r>
        <w:rPr>
          <w:rFonts w:hint="eastAsia" w:ascii="宋体" w:hAnsi="宋体"/>
          <w:color w:val="auto"/>
          <w:sz w:val="24"/>
        </w:rPr>
        <w:t>联合体各方应按招标文件提供的格式签订联合体协议书，明确联合体牵头人和各方工作内容和义务；</w:t>
      </w:r>
    </w:p>
    <w:p w14:paraId="5E2BC683">
      <w:pPr>
        <w:numPr>
          <w:ilvl w:val="0"/>
          <w:numId w:val="5"/>
        </w:numPr>
        <w:tabs>
          <w:tab w:val="left" w:pos="1701"/>
        </w:tabs>
        <w:autoSpaceDE w:val="0"/>
        <w:autoSpaceDN w:val="0"/>
        <w:adjustRightInd w:val="0"/>
        <w:snapToGrid w:val="0"/>
        <w:spacing w:afterLines="50"/>
        <w:ind w:left="1701" w:hanging="622"/>
        <w:rPr>
          <w:rFonts w:ascii="宋体" w:hAnsi="宋体"/>
          <w:color w:val="auto"/>
          <w:sz w:val="24"/>
        </w:rPr>
      </w:pPr>
      <w:r>
        <w:rPr>
          <w:rFonts w:ascii="宋体" w:hAnsi="宋体"/>
          <w:color w:val="auto"/>
          <w:sz w:val="24"/>
        </w:rPr>
        <w:t>联合体中有同类资质的</w:t>
      </w:r>
      <w:r>
        <w:rPr>
          <w:rFonts w:hint="eastAsia" w:ascii="宋体" w:hAnsi="宋体"/>
          <w:color w:val="auto"/>
          <w:sz w:val="24"/>
          <w:lang w:eastAsia="zh-CN"/>
        </w:rPr>
        <w:t>供应商</w:t>
      </w:r>
      <w:r>
        <w:rPr>
          <w:rFonts w:ascii="宋体" w:hAnsi="宋体"/>
          <w:color w:val="auto"/>
          <w:sz w:val="24"/>
        </w:rPr>
        <w:t>按照联合体分工承担相同工作的，应当按照资质等级较低的</w:t>
      </w:r>
      <w:r>
        <w:rPr>
          <w:rFonts w:hint="eastAsia" w:ascii="宋体" w:hAnsi="宋体"/>
          <w:color w:val="auto"/>
          <w:sz w:val="24"/>
          <w:lang w:eastAsia="zh-CN"/>
        </w:rPr>
        <w:t>供应商</w:t>
      </w:r>
      <w:r>
        <w:rPr>
          <w:rFonts w:ascii="宋体" w:hAnsi="宋体"/>
          <w:color w:val="auto"/>
          <w:sz w:val="24"/>
        </w:rPr>
        <w:t>确定联合体的资质等级。</w:t>
      </w:r>
    </w:p>
    <w:p w14:paraId="0AA7F42A">
      <w:pPr>
        <w:numPr>
          <w:ilvl w:val="0"/>
          <w:numId w:val="5"/>
        </w:numPr>
        <w:tabs>
          <w:tab w:val="left" w:pos="1701"/>
        </w:tabs>
        <w:autoSpaceDE w:val="0"/>
        <w:autoSpaceDN w:val="0"/>
        <w:adjustRightInd w:val="0"/>
        <w:snapToGrid w:val="0"/>
        <w:spacing w:afterLines="50"/>
        <w:ind w:left="1701" w:hanging="622"/>
        <w:rPr>
          <w:rFonts w:ascii="宋体" w:hAnsi="宋体"/>
          <w:color w:val="auto"/>
          <w:sz w:val="24"/>
        </w:rPr>
      </w:pPr>
      <w:r>
        <w:rPr>
          <w:rFonts w:ascii="宋体" w:hAnsi="宋体"/>
          <w:color w:val="auto"/>
          <w:sz w:val="24"/>
        </w:rPr>
        <w:t>联合体各方不得再单独参加或者与其他</w:t>
      </w:r>
      <w:r>
        <w:rPr>
          <w:rFonts w:hint="eastAsia" w:ascii="宋体" w:hAnsi="宋体"/>
          <w:color w:val="auto"/>
          <w:sz w:val="24"/>
          <w:lang w:eastAsia="zh-CN"/>
        </w:rPr>
        <w:t>供应商</w:t>
      </w:r>
      <w:r>
        <w:rPr>
          <w:rFonts w:ascii="宋体" w:hAnsi="宋体"/>
          <w:color w:val="auto"/>
          <w:sz w:val="24"/>
        </w:rPr>
        <w:t>另外组成联合体参加同一合同项下的</w:t>
      </w:r>
      <w:r>
        <w:rPr>
          <w:rFonts w:hint="eastAsia" w:ascii="宋体" w:hAnsi="宋体"/>
          <w:color w:val="auto"/>
          <w:sz w:val="24"/>
        </w:rPr>
        <w:t>投标。</w:t>
      </w:r>
    </w:p>
    <w:p w14:paraId="4280DF84">
      <w:pPr>
        <w:numPr>
          <w:ilvl w:val="0"/>
          <w:numId w:val="5"/>
        </w:numPr>
        <w:tabs>
          <w:tab w:val="left" w:pos="1701"/>
        </w:tabs>
        <w:autoSpaceDE w:val="0"/>
        <w:autoSpaceDN w:val="0"/>
        <w:adjustRightInd w:val="0"/>
        <w:snapToGrid w:val="0"/>
        <w:spacing w:afterLines="50"/>
        <w:ind w:left="1701" w:hanging="622"/>
        <w:rPr>
          <w:rFonts w:ascii="宋体" w:hAnsi="宋体"/>
          <w:color w:val="auto"/>
          <w:sz w:val="24"/>
        </w:rPr>
      </w:pPr>
      <w:r>
        <w:rPr>
          <w:rFonts w:hint="eastAsia" w:ascii="宋体" w:hAnsi="宋体"/>
          <w:color w:val="auto"/>
          <w:sz w:val="24"/>
        </w:rPr>
        <w:t>联合体各方应当共同与采购人签订采购合同，就采购合同约定的事项对采购人承担连带责任。</w:t>
      </w:r>
    </w:p>
    <w:p w14:paraId="31AA9732">
      <w:pPr>
        <w:numPr>
          <w:ilvl w:val="1"/>
          <w:numId w:val="3"/>
        </w:numPr>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分包</w:t>
      </w:r>
    </w:p>
    <w:p w14:paraId="681BDFC2">
      <w:pPr>
        <w:autoSpaceDE w:val="0"/>
        <w:autoSpaceDN w:val="0"/>
        <w:adjustRightInd w:val="0"/>
        <w:snapToGrid w:val="0"/>
        <w:spacing w:afterLines="50"/>
        <w:ind w:left="1134" w:leftChars="540"/>
        <w:rPr>
          <w:rFonts w:ascii="宋体" w:hAnsi="宋体" w:cs="黑体"/>
          <w:color w:val="auto"/>
          <w:kern w:val="0"/>
          <w:sz w:val="24"/>
        </w:rPr>
      </w:pPr>
      <w:r>
        <w:rPr>
          <w:rFonts w:hint="eastAsia" w:ascii="宋体" w:hAnsi="宋体" w:cs="黑体"/>
          <w:color w:val="auto"/>
          <w:kern w:val="0"/>
          <w:sz w:val="24"/>
          <w:lang w:eastAsia="zh-CN"/>
        </w:rPr>
        <w:t>供应商</w:t>
      </w:r>
      <w:r>
        <w:rPr>
          <w:rFonts w:hint="eastAsia" w:ascii="宋体" w:hAnsi="宋体" w:cs="黑体"/>
          <w:color w:val="auto"/>
          <w:kern w:val="0"/>
          <w:sz w:val="24"/>
        </w:rPr>
        <w:t>根据招标文件的规定和采购项目的实际情况，拟在中标后将中标项目的非主体、非关键性工作分包的，应当在投标文件中载明分包承担主体，分包承担主体应当具备相应资质条件且不得再次分包。政府采购合同分包履行的，中标、成交</w:t>
      </w:r>
      <w:r>
        <w:rPr>
          <w:rFonts w:hint="eastAsia" w:ascii="宋体" w:hAnsi="宋体" w:cs="黑体"/>
          <w:color w:val="auto"/>
          <w:kern w:val="0"/>
          <w:sz w:val="24"/>
          <w:lang w:eastAsia="zh-CN"/>
        </w:rPr>
        <w:t>供应商</w:t>
      </w:r>
      <w:r>
        <w:rPr>
          <w:rFonts w:hint="eastAsia" w:ascii="宋体" w:hAnsi="宋体" w:cs="黑体"/>
          <w:color w:val="auto"/>
          <w:kern w:val="0"/>
          <w:sz w:val="24"/>
        </w:rPr>
        <w:t>就采购项目和分包项目向采购人负责，分包人就分包项目承担责任。</w:t>
      </w:r>
    </w:p>
    <w:p w14:paraId="7528F3C7">
      <w:pPr>
        <w:numPr>
          <w:ilvl w:val="1"/>
          <w:numId w:val="3"/>
        </w:numPr>
        <w:autoSpaceDE w:val="0"/>
        <w:autoSpaceDN w:val="0"/>
        <w:adjustRightInd w:val="0"/>
        <w:snapToGrid w:val="0"/>
        <w:spacing w:afterLines="50"/>
        <w:rPr>
          <w:rFonts w:ascii="宋体" w:hAnsi="宋体" w:cs="黑体"/>
          <w:color w:val="auto"/>
          <w:kern w:val="0"/>
          <w:sz w:val="24"/>
        </w:rPr>
      </w:pPr>
      <w:bookmarkStart w:id="62" w:name="_Toc195921799"/>
      <w:r>
        <w:rPr>
          <w:rFonts w:hint="eastAsia" w:ascii="宋体" w:hAnsi="宋体" w:cs="黑体"/>
          <w:color w:val="auto"/>
          <w:kern w:val="0"/>
          <w:sz w:val="24"/>
        </w:rPr>
        <w:t>合格的服务</w:t>
      </w:r>
    </w:p>
    <w:p w14:paraId="0568D5F2">
      <w:pPr>
        <w:numPr>
          <w:ilvl w:val="2"/>
          <w:numId w:val="3"/>
        </w:numPr>
        <w:snapToGrid w:val="0"/>
        <w:spacing w:afterLines="50"/>
        <w:rPr>
          <w:rFonts w:ascii="宋体" w:hAnsi="宋体"/>
          <w:color w:val="auto"/>
          <w:sz w:val="24"/>
        </w:rPr>
      </w:pPr>
      <w:r>
        <w:rPr>
          <w:rFonts w:hint="eastAsia" w:ascii="宋体" w:hAnsi="宋体"/>
          <w:color w:val="auto"/>
          <w:sz w:val="24"/>
        </w:rPr>
        <w:t>合同中提供的所有服务，均应来自上述</w:t>
      </w:r>
      <w:r>
        <w:rPr>
          <w:rFonts w:ascii="宋体" w:hAnsi="宋体"/>
          <w:color w:val="auto"/>
          <w:sz w:val="24"/>
        </w:rPr>
        <w:fldChar w:fldCharType="begin"/>
      </w:r>
      <w:r>
        <w:instrText xml:space="preserve"> REF _Ref426956497 \r \h  \* MERGEFORMAT</w:instrText>
      </w:r>
      <w:r>
        <w:rPr>
          <w:rFonts w:ascii="宋体" w:hAnsi="宋体"/>
          <w:color w:val="auto"/>
          <w:sz w:val="24"/>
        </w:rPr>
        <w:fldChar w:fldCharType="separate"/>
      </w:r>
      <w:r>
        <w:rPr>
          <w:rFonts w:ascii="宋体" w:hAnsi="宋体"/>
          <w:color w:val="auto"/>
          <w:sz w:val="24"/>
        </w:rPr>
        <w:t>1.5.1</w:t>
      </w:r>
      <w:r>
        <w:rPr>
          <w:rFonts w:ascii="宋体" w:hAnsi="宋体"/>
          <w:color w:val="auto"/>
          <w:sz w:val="24"/>
        </w:rPr>
        <w:fldChar w:fldCharType="end"/>
      </w:r>
      <w:r>
        <w:rPr>
          <w:rFonts w:hint="eastAsia" w:ascii="宋体" w:hAnsi="宋体"/>
          <w:color w:val="auto"/>
          <w:sz w:val="24"/>
        </w:rPr>
        <w:t>项所规定的合格</w:t>
      </w:r>
      <w:r>
        <w:rPr>
          <w:rFonts w:hint="eastAsia" w:ascii="宋体" w:hAnsi="宋体"/>
          <w:color w:val="auto"/>
          <w:sz w:val="24"/>
          <w:lang w:eastAsia="zh-CN"/>
        </w:rPr>
        <w:t>供应商</w:t>
      </w:r>
      <w:r>
        <w:rPr>
          <w:rFonts w:hint="eastAsia" w:ascii="宋体" w:hAnsi="宋体"/>
          <w:color w:val="auto"/>
          <w:sz w:val="24"/>
        </w:rPr>
        <w:t>。</w:t>
      </w:r>
    </w:p>
    <w:p w14:paraId="4F165C4A">
      <w:pPr>
        <w:snapToGrid w:val="0"/>
        <w:spacing w:afterLines="50"/>
        <w:ind w:left="1134" w:leftChars="540"/>
        <w:rPr>
          <w:rFonts w:hint="eastAsia" w:ascii="宋体" w:hAnsi="宋体" w:cs="黑体"/>
          <w:i w:val="0"/>
          <w:color w:val="auto"/>
          <w:kern w:val="0"/>
          <w:sz w:val="24"/>
        </w:rPr>
      </w:pPr>
      <w:r>
        <w:rPr>
          <w:rFonts w:hint="eastAsia" w:ascii="宋体" w:hAnsi="宋体" w:cs="黑体"/>
          <w:i w:val="0"/>
          <w:color w:val="auto"/>
          <w:kern w:val="0"/>
          <w:sz w:val="24"/>
        </w:rPr>
        <w:t>服务系指招标文件规定的</w:t>
      </w:r>
      <w:r>
        <w:rPr>
          <w:rFonts w:hint="eastAsia" w:ascii="宋体" w:hAnsi="宋体" w:cs="黑体"/>
          <w:i w:val="0"/>
          <w:color w:val="auto"/>
          <w:kern w:val="0"/>
          <w:sz w:val="24"/>
          <w:lang w:eastAsia="zh-CN"/>
        </w:rPr>
        <w:t>供应商</w:t>
      </w:r>
      <w:r>
        <w:rPr>
          <w:rFonts w:hint="eastAsia" w:ascii="宋体" w:hAnsi="宋体" w:cs="黑体"/>
          <w:i w:val="0"/>
          <w:color w:val="auto"/>
          <w:kern w:val="0"/>
          <w:sz w:val="24"/>
        </w:rPr>
        <w:t>须承担的与本次</w:t>
      </w:r>
      <w:r>
        <w:rPr>
          <w:rFonts w:hint="eastAsia" w:ascii="宋体" w:hAnsi="宋体" w:cs="黑体"/>
          <w:i w:val="0"/>
          <w:color w:val="auto"/>
          <w:kern w:val="0"/>
          <w:sz w:val="24"/>
          <w:lang w:eastAsia="zh-CN"/>
        </w:rPr>
        <w:t>采购</w:t>
      </w:r>
      <w:r>
        <w:rPr>
          <w:rFonts w:hint="eastAsia" w:ascii="宋体" w:hAnsi="宋体" w:cs="黑体"/>
          <w:i w:val="0"/>
          <w:color w:val="auto"/>
          <w:kern w:val="0"/>
          <w:sz w:val="24"/>
        </w:rPr>
        <w:t>需求有关的</w:t>
      </w:r>
      <w:r>
        <w:rPr>
          <w:rFonts w:hint="eastAsia" w:ascii="宋体" w:hAnsi="宋体" w:cs="黑体"/>
          <w:i w:val="0"/>
          <w:color w:val="auto"/>
          <w:kern w:val="0"/>
          <w:sz w:val="24"/>
          <w:lang w:val="en-US" w:eastAsia="zh-CN"/>
        </w:rPr>
        <w:t>服务内容</w:t>
      </w:r>
      <w:r>
        <w:rPr>
          <w:rFonts w:hint="eastAsia" w:ascii="宋体" w:hAnsi="宋体" w:cs="黑体"/>
          <w:i w:val="0"/>
          <w:color w:val="auto"/>
          <w:kern w:val="0"/>
          <w:sz w:val="24"/>
        </w:rPr>
        <w:t>及其他相关的服务。</w:t>
      </w:r>
    </w:p>
    <w:p w14:paraId="50F6B635">
      <w:pPr>
        <w:numPr>
          <w:ilvl w:val="1"/>
          <w:numId w:val="3"/>
        </w:numPr>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费用承担</w:t>
      </w:r>
      <w:bookmarkEnd w:id="62"/>
    </w:p>
    <w:p w14:paraId="28A08D02">
      <w:pPr>
        <w:autoSpaceDE w:val="0"/>
        <w:autoSpaceDN w:val="0"/>
        <w:adjustRightInd w:val="0"/>
        <w:snapToGrid w:val="0"/>
        <w:spacing w:afterLines="50"/>
        <w:ind w:left="1134" w:leftChars="540"/>
        <w:rPr>
          <w:rFonts w:ascii="宋体" w:hAnsi="宋体" w:cs="黑体"/>
          <w:color w:val="auto"/>
          <w:kern w:val="0"/>
          <w:sz w:val="24"/>
        </w:rPr>
      </w:pPr>
      <w:r>
        <w:rPr>
          <w:rFonts w:hint="eastAsia" w:ascii="宋体" w:hAnsi="宋体" w:cs="黑体"/>
          <w:color w:val="auto"/>
          <w:kern w:val="0"/>
          <w:sz w:val="24"/>
          <w:lang w:eastAsia="zh-CN"/>
        </w:rPr>
        <w:t>供应商</w:t>
      </w:r>
      <w:r>
        <w:rPr>
          <w:rFonts w:hint="eastAsia" w:ascii="宋体" w:hAnsi="宋体" w:cs="黑体"/>
          <w:color w:val="auto"/>
          <w:kern w:val="0"/>
          <w:sz w:val="24"/>
        </w:rPr>
        <w:t>准备和参加投标活动发生的费用自理。</w:t>
      </w:r>
    </w:p>
    <w:p w14:paraId="6E0F96F8">
      <w:pPr>
        <w:numPr>
          <w:ilvl w:val="1"/>
          <w:numId w:val="3"/>
        </w:numPr>
        <w:autoSpaceDE w:val="0"/>
        <w:autoSpaceDN w:val="0"/>
        <w:adjustRightInd w:val="0"/>
        <w:snapToGrid w:val="0"/>
        <w:spacing w:afterLines="50"/>
        <w:rPr>
          <w:rFonts w:ascii="宋体" w:hAnsi="宋体" w:cs="黑体"/>
          <w:color w:val="auto"/>
          <w:kern w:val="0"/>
          <w:sz w:val="24"/>
        </w:rPr>
      </w:pPr>
      <w:bookmarkStart w:id="63" w:name="_Toc195921800"/>
      <w:r>
        <w:rPr>
          <w:rFonts w:hint="eastAsia" w:ascii="宋体" w:hAnsi="宋体" w:cs="黑体"/>
          <w:color w:val="auto"/>
          <w:kern w:val="0"/>
          <w:sz w:val="24"/>
        </w:rPr>
        <w:t>保密</w:t>
      </w:r>
      <w:bookmarkEnd w:id="63"/>
    </w:p>
    <w:p w14:paraId="5F9CD3CF">
      <w:pPr>
        <w:autoSpaceDE w:val="0"/>
        <w:autoSpaceDN w:val="0"/>
        <w:adjustRightInd w:val="0"/>
        <w:snapToGrid w:val="0"/>
        <w:spacing w:afterLines="50"/>
        <w:ind w:left="1134" w:leftChars="540"/>
        <w:rPr>
          <w:rFonts w:ascii="宋体" w:hAnsi="宋体" w:cs="黑体"/>
          <w:color w:val="auto"/>
          <w:kern w:val="0"/>
          <w:sz w:val="24"/>
        </w:rPr>
      </w:pPr>
      <w:r>
        <w:rPr>
          <w:rFonts w:hint="eastAsia" w:ascii="宋体" w:hAnsi="宋体" w:cs="黑体"/>
          <w:color w:val="auto"/>
          <w:kern w:val="0"/>
          <w:sz w:val="24"/>
        </w:rPr>
        <w:t>参与招标投标活动的各方应对招标文件和投标文件中的商业和技术等秘密保密，违者应对由此造成的后果承担法律责任。</w:t>
      </w:r>
    </w:p>
    <w:p w14:paraId="3199C5FD">
      <w:pPr>
        <w:numPr>
          <w:ilvl w:val="1"/>
          <w:numId w:val="3"/>
        </w:numPr>
        <w:autoSpaceDE w:val="0"/>
        <w:autoSpaceDN w:val="0"/>
        <w:adjustRightInd w:val="0"/>
        <w:snapToGrid w:val="0"/>
        <w:spacing w:afterLines="50"/>
        <w:rPr>
          <w:rFonts w:ascii="宋体" w:hAnsi="宋体" w:cs="黑体"/>
          <w:color w:val="auto"/>
          <w:kern w:val="0"/>
          <w:sz w:val="24"/>
        </w:rPr>
      </w:pPr>
      <w:bookmarkStart w:id="64" w:name="_Toc195921801"/>
      <w:r>
        <w:rPr>
          <w:rFonts w:hint="eastAsia" w:ascii="宋体" w:hAnsi="宋体" w:cs="黑体"/>
          <w:color w:val="auto"/>
          <w:kern w:val="0"/>
          <w:sz w:val="24"/>
        </w:rPr>
        <w:t>语言文字</w:t>
      </w:r>
      <w:bookmarkEnd w:id="64"/>
    </w:p>
    <w:p w14:paraId="7B4E82E8">
      <w:pPr>
        <w:autoSpaceDE w:val="0"/>
        <w:autoSpaceDN w:val="0"/>
        <w:adjustRightInd w:val="0"/>
        <w:snapToGrid w:val="0"/>
        <w:spacing w:afterLines="50"/>
        <w:ind w:left="1134" w:leftChars="540"/>
        <w:rPr>
          <w:rFonts w:ascii="宋体" w:hAnsi="宋体" w:cs="黑体"/>
          <w:color w:val="auto"/>
          <w:kern w:val="0"/>
          <w:sz w:val="24"/>
        </w:rPr>
      </w:pPr>
      <w:r>
        <w:rPr>
          <w:rFonts w:hint="eastAsia" w:ascii="宋体" w:hAnsi="宋体" w:cs="黑体"/>
          <w:color w:val="auto"/>
          <w:kern w:val="0"/>
          <w:sz w:val="24"/>
        </w:rPr>
        <w:t>除专用术语外，与招标投标有关的语言均使用中文。必要时专用术语应附有中文注释。</w:t>
      </w:r>
    </w:p>
    <w:p w14:paraId="2EA9FC01">
      <w:pPr>
        <w:numPr>
          <w:ilvl w:val="1"/>
          <w:numId w:val="3"/>
        </w:numPr>
        <w:autoSpaceDE w:val="0"/>
        <w:autoSpaceDN w:val="0"/>
        <w:adjustRightInd w:val="0"/>
        <w:snapToGrid w:val="0"/>
        <w:spacing w:afterLines="50"/>
        <w:rPr>
          <w:rFonts w:ascii="宋体" w:hAnsi="宋体" w:cs="黑体"/>
          <w:color w:val="auto"/>
          <w:kern w:val="0"/>
          <w:sz w:val="24"/>
        </w:rPr>
      </w:pPr>
      <w:bookmarkStart w:id="65" w:name="_Toc195921802"/>
      <w:r>
        <w:rPr>
          <w:rFonts w:hint="eastAsia" w:ascii="宋体" w:hAnsi="宋体" w:cs="黑体"/>
          <w:color w:val="auto"/>
          <w:kern w:val="0"/>
          <w:sz w:val="24"/>
        </w:rPr>
        <w:t>计量单位</w:t>
      </w:r>
      <w:bookmarkEnd w:id="65"/>
    </w:p>
    <w:p w14:paraId="56DD2675">
      <w:pPr>
        <w:autoSpaceDE w:val="0"/>
        <w:autoSpaceDN w:val="0"/>
        <w:adjustRightInd w:val="0"/>
        <w:snapToGrid w:val="0"/>
        <w:spacing w:afterLines="50"/>
        <w:ind w:left="1134" w:leftChars="540"/>
        <w:rPr>
          <w:rFonts w:ascii="宋体" w:hAnsi="宋体" w:cs="黑体"/>
          <w:color w:val="auto"/>
          <w:kern w:val="0"/>
          <w:sz w:val="24"/>
        </w:rPr>
      </w:pPr>
      <w:r>
        <w:rPr>
          <w:rFonts w:hint="eastAsia" w:ascii="宋体" w:hAnsi="宋体" w:cs="黑体"/>
          <w:color w:val="auto"/>
          <w:kern w:val="0"/>
          <w:sz w:val="24"/>
        </w:rPr>
        <w:t>所有计量均采用中华人民共和国法定计量单位。</w:t>
      </w:r>
    </w:p>
    <w:p w14:paraId="0103BF60">
      <w:pPr>
        <w:numPr>
          <w:ilvl w:val="0"/>
          <w:numId w:val="3"/>
        </w:numPr>
        <w:autoSpaceDE w:val="0"/>
        <w:autoSpaceDN w:val="0"/>
        <w:adjustRightInd w:val="0"/>
        <w:spacing w:afterLines="50"/>
        <w:outlineLvl w:val="2"/>
        <w:rPr>
          <w:rFonts w:ascii="黑体" w:hAnsi="宋体" w:eastAsia="黑体" w:cs="黑体"/>
          <w:color w:val="auto"/>
          <w:kern w:val="0"/>
          <w:sz w:val="24"/>
        </w:rPr>
      </w:pPr>
      <w:bookmarkStart w:id="66" w:name="_Toc195921807"/>
      <w:bookmarkStart w:id="67" w:name="_Toc19635"/>
      <w:bookmarkStart w:id="68" w:name="_Toc29841"/>
      <w:r>
        <w:rPr>
          <w:rFonts w:hint="eastAsia" w:ascii="黑体" w:hAnsi="宋体" w:eastAsia="黑体" w:cs="黑体"/>
          <w:color w:val="auto"/>
          <w:kern w:val="0"/>
          <w:sz w:val="24"/>
        </w:rPr>
        <w:t>招标文件</w:t>
      </w:r>
      <w:bookmarkEnd w:id="66"/>
      <w:bookmarkEnd w:id="67"/>
      <w:bookmarkEnd w:id="68"/>
    </w:p>
    <w:p w14:paraId="16C63851">
      <w:pPr>
        <w:numPr>
          <w:ilvl w:val="1"/>
          <w:numId w:val="3"/>
        </w:numPr>
        <w:autoSpaceDE w:val="0"/>
        <w:autoSpaceDN w:val="0"/>
        <w:adjustRightInd w:val="0"/>
        <w:snapToGrid w:val="0"/>
        <w:spacing w:afterLines="50"/>
        <w:rPr>
          <w:rFonts w:ascii="宋体" w:hAnsi="宋体" w:cs="黑体"/>
          <w:color w:val="auto"/>
          <w:kern w:val="0"/>
          <w:sz w:val="24"/>
        </w:rPr>
      </w:pPr>
      <w:bookmarkStart w:id="69" w:name="_Toc195921808"/>
      <w:r>
        <w:rPr>
          <w:rFonts w:hint="eastAsia" w:ascii="宋体" w:hAnsi="宋体" w:cs="黑体"/>
          <w:color w:val="auto"/>
          <w:kern w:val="0"/>
          <w:sz w:val="24"/>
        </w:rPr>
        <w:t>招标文件的组成</w:t>
      </w:r>
      <w:bookmarkEnd w:id="69"/>
    </w:p>
    <w:p w14:paraId="5605E705">
      <w:pPr>
        <w:autoSpaceDE w:val="0"/>
        <w:autoSpaceDN w:val="0"/>
        <w:adjustRightInd w:val="0"/>
        <w:snapToGrid w:val="0"/>
        <w:spacing w:afterLines="50"/>
        <w:ind w:left="1134" w:leftChars="540"/>
        <w:rPr>
          <w:rFonts w:hint="eastAsia" w:ascii="宋体" w:hAnsi="宋体" w:eastAsia="宋体" w:cs="黑体"/>
          <w:color w:val="auto"/>
          <w:kern w:val="0"/>
          <w:sz w:val="24"/>
          <w:lang w:eastAsia="zh-CN"/>
        </w:rPr>
      </w:pPr>
      <w:r>
        <w:rPr>
          <w:rFonts w:hint="eastAsia" w:ascii="宋体" w:hAnsi="宋体" w:cs="黑体"/>
          <w:color w:val="auto"/>
          <w:kern w:val="0"/>
          <w:sz w:val="24"/>
        </w:rPr>
        <w:t>本招标文件包括</w:t>
      </w:r>
      <w:r>
        <w:rPr>
          <w:rFonts w:hint="eastAsia" w:ascii="宋体" w:hAnsi="宋体" w:cs="黑体"/>
          <w:color w:val="auto"/>
          <w:kern w:val="0"/>
          <w:sz w:val="24"/>
          <w:lang w:eastAsia="zh-CN"/>
        </w:rPr>
        <w:t>:</w:t>
      </w:r>
    </w:p>
    <w:p w14:paraId="4489CE82">
      <w:pPr>
        <w:autoSpaceDE w:val="0"/>
        <w:autoSpaceDN w:val="0"/>
        <w:adjustRightInd w:val="0"/>
        <w:snapToGrid w:val="0"/>
        <w:spacing w:afterLines="50"/>
        <w:ind w:left="1617" w:leftChars="513" w:hanging="540" w:hangingChars="225"/>
        <w:rPr>
          <w:rFonts w:ascii="宋体" w:hAnsi="宋体" w:cs="黑体"/>
          <w:color w:val="auto"/>
          <w:kern w:val="0"/>
          <w:sz w:val="24"/>
        </w:rPr>
      </w:pPr>
      <w:r>
        <w:rPr>
          <w:rFonts w:hint="eastAsia" w:ascii="宋体" w:hAnsi="宋体" w:cs="黑体"/>
          <w:color w:val="auto"/>
          <w:kern w:val="0"/>
          <w:sz w:val="24"/>
          <w:lang w:eastAsia="zh-CN"/>
        </w:rPr>
        <w:t>(</w:t>
      </w:r>
      <w:r>
        <w:rPr>
          <w:rFonts w:ascii="宋体" w:hAnsi="宋体" w:cs="黑体"/>
          <w:color w:val="auto"/>
          <w:kern w:val="0"/>
          <w:sz w:val="24"/>
        </w:rPr>
        <w:t>1</w:t>
      </w:r>
      <w:r>
        <w:rPr>
          <w:rFonts w:hint="eastAsia" w:ascii="宋体" w:hAnsi="宋体" w:cs="黑体"/>
          <w:color w:val="auto"/>
          <w:kern w:val="0"/>
          <w:sz w:val="24"/>
          <w:lang w:eastAsia="zh-CN"/>
        </w:rPr>
        <w:t>)</w:t>
      </w:r>
      <w:r>
        <w:rPr>
          <w:rFonts w:hint="eastAsia" w:ascii="宋体" w:hAnsi="宋体" w:cs="黑体"/>
          <w:color w:val="auto"/>
          <w:kern w:val="0"/>
          <w:sz w:val="24"/>
        </w:rPr>
        <w:t>招标公告</w:t>
      </w:r>
      <w:r>
        <w:rPr>
          <w:rFonts w:hint="eastAsia" w:ascii="宋体" w:hAnsi="宋体" w:cs="黑体"/>
          <w:color w:val="auto"/>
          <w:kern w:val="0"/>
          <w:sz w:val="24"/>
          <w:lang w:eastAsia="zh-CN"/>
        </w:rPr>
        <w:t>(</w:t>
      </w:r>
      <w:r>
        <w:rPr>
          <w:rFonts w:hint="eastAsia" w:ascii="宋体" w:hAnsi="宋体" w:cs="黑体"/>
          <w:color w:val="auto"/>
          <w:kern w:val="0"/>
          <w:sz w:val="24"/>
        </w:rPr>
        <w:t>或投标邀请</w:t>
      </w:r>
      <w:r>
        <w:rPr>
          <w:rFonts w:hint="eastAsia" w:ascii="宋体" w:hAnsi="宋体" w:cs="黑体"/>
          <w:color w:val="auto"/>
          <w:kern w:val="0"/>
          <w:sz w:val="24"/>
          <w:lang w:eastAsia="zh-CN"/>
        </w:rPr>
        <w:t>)</w:t>
      </w:r>
      <w:r>
        <w:rPr>
          <w:rFonts w:hint="eastAsia" w:ascii="宋体" w:hAnsi="宋体" w:cs="黑体"/>
          <w:color w:val="auto"/>
          <w:kern w:val="0"/>
          <w:sz w:val="24"/>
        </w:rPr>
        <w:t>；</w:t>
      </w:r>
    </w:p>
    <w:p w14:paraId="57CC873F">
      <w:pPr>
        <w:autoSpaceDE w:val="0"/>
        <w:autoSpaceDN w:val="0"/>
        <w:adjustRightInd w:val="0"/>
        <w:snapToGrid w:val="0"/>
        <w:spacing w:afterLines="50"/>
        <w:ind w:left="1617" w:leftChars="513" w:hanging="540" w:hangingChars="225"/>
        <w:rPr>
          <w:rFonts w:ascii="宋体" w:hAnsi="宋体" w:cs="黑体"/>
          <w:color w:val="auto"/>
          <w:kern w:val="0"/>
          <w:sz w:val="24"/>
        </w:rPr>
      </w:pPr>
      <w:r>
        <w:rPr>
          <w:rFonts w:hint="eastAsia" w:ascii="宋体" w:hAnsi="宋体" w:cs="黑体"/>
          <w:color w:val="auto"/>
          <w:kern w:val="0"/>
          <w:sz w:val="24"/>
          <w:lang w:eastAsia="zh-CN"/>
        </w:rPr>
        <w:t>(</w:t>
      </w:r>
      <w:r>
        <w:rPr>
          <w:rFonts w:ascii="宋体" w:hAnsi="宋体" w:cs="黑体"/>
          <w:color w:val="auto"/>
          <w:kern w:val="0"/>
          <w:sz w:val="24"/>
        </w:rPr>
        <w:t>2</w:t>
      </w:r>
      <w:r>
        <w:rPr>
          <w:rFonts w:hint="eastAsia" w:ascii="宋体" w:hAnsi="宋体" w:cs="黑体"/>
          <w:color w:val="auto"/>
          <w:kern w:val="0"/>
          <w:sz w:val="24"/>
          <w:lang w:eastAsia="zh-CN"/>
        </w:rPr>
        <w:t>)供应商</w:t>
      </w:r>
      <w:r>
        <w:rPr>
          <w:rFonts w:hint="eastAsia" w:ascii="宋体" w:hAnsi="宋体" w:cs="黑体"/>
          <w:color w:val="auto"/>
          <w:kern w:val="0"/>
          <w:sz w:val="24"/>
        </w:rPr>
        <w:t>须知；</w:t>
      </w:r>
    </w:p>
    <w:p w14:paraId="537DBA58">
      <w:pPr>
        <w:autoSpaceDE w:val="0"/>
        <w:autoSpaceDN w:val="0"/>
        <w:adjustRightInd w:val="0"/>
        <w:snapToGrid w:val="0"/>
        <w:spacing w:afterLines="50"/>
        <w:ind w:left="1617" w:leftChars="513" w:hanging="540" w:hangingChars="225"/>
        <w:rPr>
          <w:rFonts w:ascii="宋体" w:hAnsi="宋体" w:cs="黑体"/>
          <w:color w:val="auto"/>
          <w:kern w:val="0"/>
          <w:sz w:val="24"/>
        </w:rPr>
      </w:pPr>
      <w:r>
        <w:rPr>
          <w:rFonts w:hint="eastAsia" w:ascii="宋体" w:hAnsi="宋体" w:cs="黑体"/>
          <w:color w:val="auto"/>
          <w:kern w:val="0"/>
          <w:sz w:val="24"/>
          <w:lang w:eastAsia="zh-CN"/>
        </w:rPr>
        <w:t>(</w:t>
      </w:r>
      <w:r>
        <w:rPr>
          <w:rFonts w:ascii="宋体" w:hAnsi="宋体" w:cs="黑体"/>
          <w:color w:val="auto"/>
          <w:kern w:val="0"/>
          <w:sz w:val="24"/>
        </w:rPr>
        <w:t>3</w:t>
      </w:r>
      <w:r>
        <w:rPr>
          <w:rFonts w:hint="eastAsia" w:ascii="宋体" w:hAnsi="宋体" w:cs="黑体"/>
          <w:color w:val="auto"/>
          <w:kern w:val="0"/>
          <w:sz w:val="24"/>
          <w:lang w:eastAsia="zh-CN"/>
        </w:rPr>
        <w:t>)</w:t>
      </w:r>
      <w:r>
        <w:rPr>
          <w:rFonts w:hint="eastAsia" w:ascii="宋体" w:hAnsi="宋体" w:cs="黑体"/>
          <w:color w:val="auto"/>
          <w:kern w:val="0"/>
          <w:sz w:val="24"/>
        </w:rPr>
        <w:t>资格审查、评标办法和标准；</w:t>
      </w:r>
    </w:p>
    <w:p w14:paraId="57104C5B">
      <w:pPr>
        <w:autoSpaceDE w:val="0"/>
        <w:autoSpaceDN w:val="0"/>
        <w:adjustRightInd w:val="0"/>
        <w:snapToGrid w:val="0"/>
        <w:spacing w:afterLines="50"/>
        <w:ind w:left="1617" w:leftChars="513" w:hanging="540" w:hangingChars="225"/>
        <w:rPr>
          <w:rFonts w:ascii="宋体" w:hAnsi="宋体" w:cs="黑体"/>
          <w:color w:val="auto"/>
          <w:kern w:val="0"/>
          <w:sz w:val="24"/>
        </w:rPr>
      </w:pPr>
      <w:r>
        <w:rPr>
          <w:rFonts w:hint="eastAsia" w:ascii="宋体" w:hAnsi="宋体" w:cs="黑体"/>
          <w:color w:val="auto"/>
          <w:kern w:val="0"/>
          <w:sz w:val="24"/>
          <w:lang w:eastAsia="zh-CN"/>
        </w:rPr>
        <w:t>(</w:t>
      </w:r>
      <w:r>
        <w:rPr>
          <w:rFonts w:ascii="宋体" w:hAnsi="宋体" w:cs="黑体"/>
          <w:color w:val="auto"/>
          <w:kern w:val="0"/>
          <w:sz w:val="24"/>
        </w:rPr>
        <w:t>4</w:t>
      </w:r>
      <w:r>
        <w:rPr>
          <w:rFonts w:hint="eastAsia" w:ascii="宋体" w:hAnsi="宋体" w:cs="黑体"/>
          <w:color w:val="auto"/>
          <w:kern w:val="0"/>
          <w:sz w:val="24"/>
          <w:lang w:eastAsia="zh-CN"/>
        </w:rPr>
        <w:t>)</w:t>
      </w:r>
      <w:r>
        <w:rPr>
          <w:rFonts w:hint="eastAsia" w:ascii="宋体" w:hAnsi="宋体" w:cs="黑体"/>
          <w:color w:val="auto"/>
          <w:kern w:val="0"/>
          <w:sz w:val="24"/>
        </w:rPr>
        <w:t>合同条款；</w:t>
      </w:r>
    </w:p>
    <w:p w14:paraId="6A680799">
      <w:pPr>
        <w:autoSpaceDE w:val="0"/>
        <w:autoSpaceDN w:val="0"/>
        <w:adjustRightInd w:val="0"/>
        <w:snapToGrid w:val="0"/>
        <w:spacing w:afterLines="50"/>
        <w:ind w:left="1617" w:leftChars="513" w:hanging="540" w:hangingChars="225"/>
        <w:rPr>
          <w:rFonts w:ascii="宋体" w:hAnsi="宋体" w:cs="黑体"/>
          <w:color w:val="auto"/>
          <w:kern w:val="0"/>
          <w:sz w:val="24"/>
        </w:rPr>
      </w:pPr>
      <w:r>
        <w:rPr>
          <w:rFonts w:hint="eastAsia" w:ascii="宋体" w:hAnsi="宋体" w:cs="黑体"/>
          <w:color w:val="auto"/>
          <w:kern w:val="0"/>
          <w:sz w:val="24"/>
          <w:lang w:eastAsia="zh-CN"/>
        </w:rPr>
        <w:t>(</w:t>
      </w:r>
      <w:r>
        <w:rPr>
          <w:rFonts w:hint="eastAsia" w:ascii="宋体" w:hAnsi="宋体" w:cs="黑体"/>
          <w:color w:val="auto"/>
          <w:kern w:val="0"/>
          <w:sz w:val="24"/>
        </w:rPr>
        <w:t>5</w:t>
      </w:r>
      <w:r>
        <w:rPr>
          <w:rFonts w:hint="eastAsia" w:ascii="宋体" w:hAnsi="宋体" w:cs="黑体"/>
          <w:color w:val="auto"/>
          <w:kern w:val="0"/>
          <w:sz w:val="24"/>
          <w:lang w:eastAsia="zh-CN"/>
        </w:rPr>
        <w:t>)</w:t>
      </w:r>
      <w:r>
        <w:rPr>
          <w:rFonts w:hint="eastAsia" w:ascii="宋体" w:hAnsi="宋体"/>
          <w:color w:val="auto"/>
          <w:sz w:val="24"/>
        </w:rPr>
        <w:t>采购需求</w:t>
      </w:r>
      <w:r>
        <w:rPr>
          <w:rFonts w:hint="eastAsia" w:ascii="宋体" w:hAnsi="宋体" w:cs="黑体"/>
          <w:color w:val="auto"/>
          <w:kern w:val="0"/>
          <w:sz w:val="24"/>
        </w:rPr>
        <w:t>；</w:t>
      </w:r>
    </w:p>
    <w:p w14:paraId="356DAA08">
      <w:pPr>
        <w:autoSpaceDE w:val="0"/>
        <w:autoSpaceDN w:val="0"/>
        <w:adjustRightInd w:val="0"/>
        <w:snapToGrid w:val="0"/>
        <w:spacing w:afterLines="50"/>
        <w:ind w:left="1617" w:leftChars="513" w:hanging="540" w:hangingChars="225"/>
        <w:rPr>
          <w:rFonts w:ascii="宋体" w:hAnsi="宋体" w:cs="黑体"/>
          <w:color w:val="auto"/>
          <w:kern w:val="0"/>
          <w:sz w:val="24"/>
        </w:rPr>
      </w:pPr>
      <w:r>
        <w:rPr>
          <w:rFonts w:hint="eastAsia" w:ascii="宋体" w:hAnsi="宋体" w:cs="黑体"/>
          <w:color w:val="auto"/>
          <w:kern w:val="0"/>
          <w:sz w:val="24"/>
          <w:lang w:eastAsia="zh-CN"/>
        </w:rPr>
        <w:t>(</w:t>
      </w:r>
      <w:r>
        <w:rPr>
          <w:rFonts w:hint="eastAsia" w:ascii="宋体" w:hAnsi="宋体" w:cs="黑体"/>
          <w:color w:val="auto"/>
          <w:kern w:val="0"/>
          <w:sz w:val="24"/>
        </w:rPr>
        <w:t>6</w:t>
      </w:r>
      <w:r>
        <w:rPr>
          <w:rFonts w:hint="eastAsia" w:ascii="宋体" w:hAnsi="宋体" w:cs="黑体"/>
          <w:color w:val="auto"/>
          <w:kern w:val="0"/>
          <w:sz w:val="24"/>
          <w:lang w:eastAsia="zh-CN"/>
        </w:rPr>
        <w:t>)</w:t>
      </w:r>
      <w:r>
        <w:rPr>
          <w:rFonts w:hint="eastAsia" w:ascii="宋体" w:hAnsi="宋体" w:cs="黑体"/>
          <w:color w:val="auto"/>
          <w:kern w:val="0"/>
          <w:sz w:val="24"/>
        </w:rPr>
        <w:t>投标文件格式。</w:t>
      </w:r>
    </w:p>
    <w:p w14:paraId="58E02D76">
      <w:pPr>
        <w:autoSpaceDE w:val="0"/>
        <w:autoSpaceDN w:val="0"/>
        <w:adjustRightInd w:val="0"/>
        <w:snapToGrid w:val="0"/>
        <w:spacing w:afterLines="50"/>
        <w:ind w:left="1134" w:leftChars="540"/>
        <w:rPr>
          <w:rFonts w:ascii="宋体" w:hAnsi="宋体" w:cs="黑体"/>
          <w:color w:val="auto"/>
          <w:kern w:val="0"/>
          <w:sz w:val="24"/>
        </w:rPr>
      </w:pPr>
      <w:r>
        <w:rPr>
          <w:rFonts w:hint="eastAsia" w:ascii="宋体" w:hAnsi="宋体" w:cs="黑体"/>
          <w:color w:val="auto"/>
          <w:kern w:val="0"/>
          <w:sz w:val="24"/>
        </w:rPr>
        <w:t>根据本章第</w:t>
      </w:r>
      <w:r>
        <w:rPr>
          <w:rFonts w:ascii="宋体" w:hAnsi="宋体" w:cs="黑体"/>
          <w:color w:val="auto"/>
          <w:kern w:val="0"/>
          <w:sz w:val="24"/>
        </w:rPr>
        <w:fldChar w:fldCharType="begin"/>
      </w:r>
      <w:r>
        <w:instrText xml:space="preserve"> REF _Ref426441946 \r \h  \* MERGEFORMAT</w:instrText>
      </w:r>
      <w:r>
        <w:rPr>
          <w:rFonts w:ascii="宋体" w:hAnsi="宋体" w:cs="黑体"/>
          <w:color w:val="auto"/>
          <w:kern w:val="0"/>
          <w:sz w:val="24"/>
        </w:rPr>
        <w:fldChar w:fldCharType="separate"/>
      </w:r>
      <w:r>
        <w:rPr>
          <w:rFonts w:ascii="宋体" w:hAnsi="宋体" w:cs="黑体"/>
          <w:color w:val="auto"/>
          <w:kern w:val="0"/>
          <w:sz w:val="24"/>
        </w:rPr>
        <w:t>2.</w:t>
      </w:r>
      <w:r>
        <w:rPr>
          <w:rFonts w:ascii="宋体" w:hAnsi="宋体" w:cs="黑体"/>
          <w:color w:val="auto"/>
          <w:kern w:val="0"/>
          <w:sz w:val="24"/>
        </w:rPr>
        <w:fldChar w:fldCharType="end"/>
      </w:r>
      <w:r>
        <w:rPr>
          <w:rFonts w:hint="eastAsia" w:ascii="宋体" w:hAnsi="宋体" w:cs="黑体"/>
          <w:color w:val="auto"/>
          <w:kern w:val="0"/>
          <w:sz w:val="24"/>
        </w:rPr>
        <w:t>3款和第</w:t>
      </w:r>
      <w:r>
        <w:rPr>
          <w:rFonts w:ascii="宋体" w:hAnsi="宋体" w:cs="黑体"/>
          <w:color w:val="auto"/>
          <w:kern w:val="0"/>
          <w:sz w:val="24"/>
        </w:rPr>
        <w:fldChar w:fldCharType="begin"/>
      </w:r>
      <w:r>
        <w:instrText xml:space="preserve"> REF _Ref426441954 \r \h  \* MERGEFORMAT</w:instrText>
      </w:r>
      <w:r>
        <w:rPr>
          <w:rFonts w:ascii="宋体" w:hAnsi="宋体" w:cs="黑体"/>
          <w:color w:val="auto"/>
          <w:kern w:val="0"/>
          <w:sz w:val="24"/>
        </w:rPr>
        <w:fldChar w:fldCharType="separate"/>
      </w:r>
      <w:r>
        <w:rPr>
          <w:rFonts w:ascii="宋体" w:hAnsi="宋体" w:cs="黑体"/>
          <w:color w:val="auto"/>
          <w:kern w:val="0"/>
          <w:sz w:val="24"/>
        </w:rPr>
        <w:t>2.</w:t>
      </w:r>
      <w:r>
        <w:rPr>
          <w:rFonts w:ascii="宋体" w:hAnsi="宋体" w:cs="黑体"/>
          <w:color w:val="auto"/>
          <w:kern w:val="0"/>
          <w:sz w:val="24"/>
        </w:rPr>
        <w:fldChar w:fldCharType="end"/>
      </w:r>
      <w:r>
        <w:rPr>
          <w:rFonts w:hint="eastAsia" w:ascii="宋体" w:hAnsi="宋体" w:cs="黑体"/>
          <w:color w:val="auto"/>
          <w:kern w:val="0"/>
          <w:sz w:val="24"/>
        </w:rPr>
        <w:t>4款对招标文件所作的澄清、修改，构成招标文件的组成部分。</w:t>
      </w:r>
    </w:p>
    <w:p w14:paraId="0EB6D924">
      <w:pPr>
        <w:numPr>
          <w:ilvl w:val="1"/>
          <w:numId w:val="3"/>
        </w:numPr>
        <w:autoSpaceDE w:val="0"/>
        <w:autoSpaceDN w:val="0"/>
        <w:adjustRightInd w:val="0"/>
        <w:snapToGrid w:val="0"/>
        <w:spacing w:afterLines="50"/>
        <w:rPr>
          <w:rFonts w:ascii="宋体" w:hAnsi="宋体" w:cs="黑体"/>
          <w:color w:val="auto"/>
          <w:kern w:val="0"/>
          <w:sz w:val="24"/>
        </w:rPr>
      </w:pPr>
      <w:bookmarkStart w:id="70" w:name="_Ref426441946"/>
      <w:bookmarkStart w:id="71" w:name="_Toc195921809"/>
      <w:r>
        <w:rPr>
          <w:rFonts w:hint="eastAsia" w:ascii="宋体" w:hAnsi="宋体" w:cs="黑体"/>
          <w:color w:val="auto"/>
          <w:kern w:val="0"/>
          <w:sz w:val="24"/>
        </w:rPr>
        <w:t>根据采购项目技术构成、产品价格比重等确定核心产品，核心产品见</w:t>
      </w:r>
      <w:r>
        <w:rPr>
          <w:rFonts w:hint="eastAsia" w:ascii="宋体" w:hAnsi="宋体" w:cs="黑体"/>
          <w:color w:val="auto"/>
          <w:kern w:val="0"/>
          <w:sz w:val="24"/>
          <w:lang w:eastAsia="zh-CN"/>
        </w:rPr>
        <w:t>供应商</w:t>
      </w:r>
      <w:r>
        <w:rPr>
          <w:rFonts w:hint="eastAsia" w:ascii="宋体" w:hAnsi="宋体" w:cs="黑体"/>
          <w:color w:val="auto"/>
          <w:kern w:val="0"/>
          <w:sz w:val="24"/>
        </w:rPr>
        <w:t>须知前附表。</w:t>
      </w:r>
    </w:p>
    <w:p w14:paraId="036FE931">
      <w:pPr>
        <w:numPr>
          <w:ilvl w:val="1"/>
          <w:numId w:val="3"/>
        </w:numPr>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招标文件的澄清</w:t>
      </w:r>
      <w:bookmarkEnd w:id="70"/>
      <w:bookmarkEnd w:id="71"/>
    </w:p>
    <w:p w14:paraId="0410FA8C">
      <w:pPr>
        <w:numPr>
          <w:ilvl w:val="2"/>
          <w:numId w:val="3"/>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lang w:eastAsia="zh-CN"/>
        </w:rPr>
        <w:t>供应商</w:t>
      </w:r>
      <w:r>
        <w:rPr>
          <w:rFonts w:hint="eastAsia" w:ascii="宋体" w:hAnsi="宋体" w:cs="黑体"/>
          <w:color w:val="auto"/>
          <w:kern w:val="0"/>
          <w:sz w:val="24"/>
        </w:rPr>
        <w:t>应仔细阅读和检查招标文件的全部内容。如发现缺页或附件不全，应及时向采购人提出，以便补齐。</w:t>
      </w:r>
    </w:p>
    <w:p w14:paraId="6DDF1CD7">
      <w:pPr>
        <w:numPr>
          <w:ilvl w:val="2"/>
          <w:numId w:val="3"/>
        </w:numPr>
        <w:tabs>
          <w:tab w:val="left" w:pos="1260"/>
        </w:tabs>
        <w:autoSpaceDE w:val="0"/>
        <w:autoSpaceDN w:val="0"/>
        <w:adjustRightInd w:val="0"/>
        <w:snapToGrid w:val="0"/>
        <w:spacing w:afterLines="50"/>
        <w:rPr>
          <w:rFonts w:ascii="宋体" w:hAnsi="宋体"/>
          <w:color w:val="auto"/>
          <w:sz w:val="24"/>
        </w:rPr>
      </w:pPr>
      <w:r>
        <w:rPr>
          <w:rFonts w:hint="eastAsia" w:ascii="宋体" w:hAnsi="宋体"/>
          <w:color w:val="auto"/>
          <w:sz w:val="24"/>
          <w:lang w:eastAsia="zh-CN"/>
        </w:rPr>
        <w:t>供应商</w:t>
      </w:r>
      <w:r>
        <w:rPr>
          <w:rFonts w:hint="eastAsia" w:ascii="宋体" w:hAnsi="宋体" w:cs="黑体"/>
          <w:color w:val="auto"/>
          <w:kern w:val="0"/>
          <w:sz w:val="24"/>
        </w:rPr>
        <w:t>如有疑问</w:t>
      </w:r>
      <w:r>
        <w:rPr>
          <w:rFonts w:ascii="宋体" w:hAnsi="宋体" w:eastAsia="宋体" w:cs="宋体"/>
          <w:color w:val="auto"/>
          <w:sz w:val="24"/>
        </w:rPr>
        <w:t>可以向采购人提出询问</w:t>
      </w:r>
      <w:r>
        <w:rPr>
          <w:rFonts w:hint="eastAsia" w:ascii="宋体" w:hAnsi="宋体" w:cs="黑体"/>
          <w:color w:val="auto"/>
          <w:kern w:val="0"/>
          <w:sz w:val="24"/>
        </w:rPr>
        <w:t>，要求采购人对招标文件予以澄清。</w:t>
      </w:r>
    </w:p>
    <w:p w14:paraId="6A9394C6">
      <w:pPr>
        <w:numPr>
          <w:ilvl w:val="2"/>
          <w:numId w:val="3"/>
        </w:numPr>
        <w:tabs>
          <w:tab w:val="left" w:pos="1260"/>
        </w:tabs>
        <w:autoSpaceDE w:val="0"/>
        <w:autoSpaceDN w:val="0"/>
        <w:adjustRightInd w:val="0"/>
        <w:snapToGrid w:val="0"/>
        <w:spacing w:afterLines="50"/>
        <w:rPr>
          <w:rFonts w:ascii="宋体" w:hAnsi="宋体" w:cs="黑体"/>
          <w:color w:val="auto"/>
          <w:kern w:val="0"/>
          <w:sz w:val="24"/>
        </w:rPr>
      </w:pPr>
      <w:r>
        <w:rPr>
          <w:rFonts w:hAnsi="宋体" w:cs="宋体"/>
          <w:color w:val="auto"/>
          <w:sz w:val="24"/>
        </w:rPr>
        <w:t>采购人或者采购代理机构可以对已发出的招标文件进行必要的澄清。该</w:t>
      </w:r>
      <w:r>
        <w:rPr>
          <w:rFonts w:hint="eastAsia" w:ascii="宋体" w:hAnsi="宋体"/>
          <w:color w:val="auto"/>
          <w:sz w:val="24"/>
        </w:rPr>
        <w:t>澄清在原公告发布媒体上发布澄清</w:t>
      </w:r>
      <w:r>
        <w:rPr>
          <w:rFonts w:hint="eastAsia" w:ascii="宋体" w:hAnsi="宋体"/>
          <w:color w:val="auto"/>
          <w:sz w:val="24"/>
          <w:lang w:eastAsia="zh-CN"/>
        </w:rPr>
        <w:t>(</w:t>
      </w:r>
      <w:r>
        <w:rPr>
          <w:rFonts w:hint="eastAsia" w:ascii="宋体" w:hAnsi="宋体"/>
          <w:color w:val="auto"/>
          <w:sz w:val="24"/>
        </w:rPr>
        <w:t>更正</w:t>
      </w:r>
      <w:r>
        <w:rPr>
          <w:rFonts w:hint="eastAsia" w:ascii="宋体" w:hAnsi="宋体"/>
          <w:color w:val="auto"/>
          <w:sz w:val="24"/>
          <w:lang w:eastAsia="zh-CN"/>
        </w:rPr>
        <w:t>)</w:t>
      </w:r>
      <w:r>
        <w:rPr>
          <w:rFonts w:hint="eastAsia" w:ascii="宋体" w:hAnsi="宋体"/>
          <w:color w:val="auto"/>
          <w:sz w:val="24"/>
        </w:rPr>
        <w:t>公告，同时以书面形式通知所有</w:t>
      </w:r>
      <w:r>
        <w:rPr>
          <w:rFonts w:hint="eastAsia" w:ascii="宋体" w:hAnsi="宋体"/>
          <w:color w:val="auto"/>
          <w:sz w:val="24"/>
          <w:lang w:eastAsia="zh-CN"/>
        </w:rPr>
        <w:t>供应商</w:t>
      </w:r>
      <w:r>
        <w:rPr>
          <w:rFonts w:hint="eastAsia" w:ascii="宋体" w:hAnsi="宋体"/>
          <w:color w:val="auto"/>
          <w:sz w:val="24"/>
        </w:rPr>
        <w:t>。澄清的内容为招标文件的组成部分。</w:t>
      </w:r>
      <w:r>
        <w:rPr>
          <w:rFonts w:hint="eastAsia" w:ascii="宋体" w:hAnsi="宋体" w:cs="黑体"/>
          <w:color w:val="auto"/>
          <w:kern w:val="0"/>
          <w:sz w:val="24"/>
          <w:lang w:eastAsia="zh-CN"/>
        </w:rPr>
        <w:t>供应商</w:t>
      </w:r>
      <w:r>
        <w:rPr>
          <w:rFonts w:hint="eastAsia" w:ascii="宋体" w:hAnsi="宋体" w:cs="黑体"/>
          <w:color w:val="auto"/>
          <w:kern w:val="0"/>
          <w:sz w:val="24"/>
        </w:rPr>
        <w:t>须</w:t>
      </w:r>
      <w:r>
        <w:rPr>
          <w:rFonts w:hint="eastAsia" w:ascii="宋体" w:hAnsi="宋体"/>
          <w:color w:val="auto"/>
          <w:sz w:val="24"/>
        </w:rPr>
        <w:t>在</w:t>
      </w:r>
      <w:r>
        <w:rPr>
          <w:rFonts w:hint="eastAsia" w:ascii="宋体" w:hAnsi="宋体"/>
          <w:color w:val="auto"/>
          <w:sz w:val="24"/>
          <w:lang w:val="en-US" w:eastAsia="zh-CN"/>
        </w:rPr>
        <w:t>招标公告</w:t>
      </w:r>
      <w:r>
        <w:rPr>
          <w:rFonts w:hint="eastAsia" w:ascii="宋体" w:hAnsi="宋体"/>
          <w:color w:val="auto"/>
          <w:sz w:val="24"/>
        </w:rPr>
        <w:t>中规定的投标截止日前，随时查询招标公告发布媒体的信息，获取对招标文件澄清的信息。</w:t>
      </w:r>
      <w:r>
        <w:rPr>
          <w:rFonts w:hint="eastAsia" w:ascii="宋体" w:hAnsi="宋体"/>
          <w:color w:val="auto"/>
          <w:sz w:val="24"/>
          <w:lang w:val="en-US" w:eastAsia="zh-CN"/>
        </w:rPr>
        <w:t>采购</w:t>
      </w:r>
      <w:r>
        <w:rPr>
          <w:rFonts w:hint="eastAsia" w:ascii="宋体" w:hAnsi="宋体"/>
          <w:color w:val="auto"/>
          <w:sz w:val="24"/>
        </w:rPr>
        <w:t>人的澄清</w:t>
      </w:r>
      <w:r>
        <w:rPr>
          <w:rFonts w:hint="eastAsia" w:ascii="宋体" w:hAnsi="宋体" w:cs="宋体"/>
          <w:color w:val="auto"/>
          <w:sz w:val="24"/>
        </w:rPr>
        <w:t>以书面形式通知</w:t>
      </w:r>
      <w:r>
        <w:rPr>
          <w:rFonts w:hint="eastAsia" w:ascii="宋体" w:hAnsi="宋体" w:cs="宋体"/>
          <w:color w:val="auto"/>
          <w:sz w:val="24"/>
          <w:lang w:eastAsia="zh-CN"/>
        </w:rPr>
        <w:t>供应商</w:t>
      </w:r>
      <w:r>
        <w:rPr>
          <w:rFonts w:hint="eastAsia" w:ascii="宋体" w:hAnsi="宋体" w:cs="宋体"/>
          <w:color w:val="auto"/>
          <w:sz w:val="24"/>
        </w:rPr>
        <w:t>的，</w:t>
      </w:r>
      <w:r>
        <w:rPr>
          <w:rFonts w:hint="eastAsia" w:ascii="宋体" w:hAnsi="宋体" w:cs="宋体"/>
          <w:color w:val="auto"/>
          <w:sz w:val="24"/>
          <w:lang w:eastAsia="zh-CN"/>
        </w:rPr>
        <w:t>供应商</w:t>
      </w:r>
      <w:r>
        <w:rPr>
          <w:rFonts w:hint="eastAsia" w:ascii="宋体" w:hAnsi="宋体" w:cs="宋体"/>
          <w:color w:val="auto"/>
          <w:sz w:val="24"/>
        </w:rPr>
        <w:t>应在收到该澄清的24小时内或根据澄清通知中要求的时间内予以确认。</w:t>
      </w:r>
    </w:p>
    <w:p w14:paraId="76D353FF">
      <w:pPr>
        <w:tabs>
          <w:tab w:val="left" w:pos="1260"/>
        </w:tabs>
        <w:autoSpaceDE w:val="0"/>
        <w:autoSpaceDN w:val="0"/>
        <w:adjustRightInd w:val="0"/>
        <w:snapToGrid w:val="0"/>
        <w:spacing w:afterLines="50"/>
        <w:ind w:left="1134" w:leftChars="540"/>
        <w:rPr>
          <w:rFonts w:ascii="宋体" w:hAnsi="宋体" w:cs="黑体"/>
          <w:color w:val="auto"/>
          <w:kern w:val="0"/>
          <w:sz w:val="24"/>
        </w:rPr>
      </w:pPr>
      <w:r>
        <w:rPr>
          <w:rFonts w:hAnsi="宋体" w:cs="宋体"/>
          <w:color w:val="auto"/>
          <w:sz w:val="24"/>
        </w:rPr>
        <w:t>澄清的内容可能影响投标文件编制的，采购人或者采购代理机构在投标截止时间至少15日前，以书面形式通知所有获取招标文件的潜在</w:t>
      </w:r>
      <w:r>
        <w:rPr>
          <w:rFonts w:hint="eastAsia" w:hAnsi="宋体" w:cs="宋体"/>
          <w:color w:val="auto"/>
          <w:sz w:val="24"/>
          <w:lang w:eastAsia="zh-CN"/>
        </w:rPr>
        <w:t>供应商</w:t>
      </w:r>
      <w:r>
        <w:rPr>
          <w:rFonts w:hAnsi="宋体" w:cs="宋体"/>
          <w:color w:val="auto"/>
          <w:sz w:val="24"/>
        </w:rPr>
        <w:t>；不足15日的，采购人或者采购代理机构将顺延提交投标文件的截止时间。</w:t>
      </w:r>
    </w:p>
    <w:p w14:paraId="7524B6CE">
      <w:pPr>
        <w:numPr>
          <w:ilvl w:val="2"/>
          <w:numId w:val="3"/>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lang w:eastAsia="zh-CN"/>
        </w:rPr>
        <w:t>供应商</w:t>
      </w:r>
      <w:r>
        <w:rPr>
          <w:rFonts w:hint="eastAsia" w:ascii="宋体" w:hAnsi="宋体" w:cs="黑体"/>
          <w:color w:val="auto"/>
          <w:kern w:val="0"/>
          <w:sz w:val="24"/>
        </w:rPr>
        <w:t>在收到澄清文件后，应将加盖公章的回执以书面方式通知采购人，确认已收到该澄清。</w:t>
      </w:r>
    </w:p>
    <w:p w14:paraId="3D0693BE">
      <w:pPr>
        <w:numPr>
          <w:ilvl w:val="1"/>
          <w:numId w:val="3"/>
        </w:numPr>
        <w:autoSpaceDE w:val="0"/>
        <w:autoSpaceDN w:val="0"/>
        <w:adjustRightInd w:val="0"/>
        <w:snapToGrid w:val="0"/>
        <w:spacing w:afterLines="50"/>
        <w:rPr>
          <w:rFonts w:ascii="宋体" w:hAnsi="宋体" w:cs="黑体"/>
          <w:color w:val="auto"/>
          <w:kern w:val="0"/>
          <w:sz w:val="24"/>
        </w:rPr>
      </w:pPr>
      <w:bookmarkStart w:id="72" w:name="_Toc195921810"/>
      <w:bookmarkStart w:id="73" w:name="_Ref426441954"/>
      <w:r>
        <w:rPr>
          <w:rFonts w:hint="eastAsia" w:ascii="宋体" w:hAnsi="宋体" w:cs="黑体"/>
          <w:color w:val="auto"/>
          <w:kern w:val="0"/>
          <w:sz w:val="24"/>
        </w:rPr>
        <w:t>招标文件的修改</w:t>
      </w:r>
      <w:bookmarkEnd w:id="72"/>
      <w:bookmarkEnd w:id="73"/>
    </w:p>
    <w:p w14:paraId="3D9B50AD">
      <w:pPr>
        <w:numPr>
          <w:ilvl w:val="2"/>
          <w:numId w:val="3"/>
        </w:numPr>
        <w:tabs>
          <w:tab w:val="left" w:pos="1260"/>
        </w:tabs>
        <w:autoSpaceDE w:val="0"/>
        <w:autoSpaceDN w:val="0"/>
        <w:adjustRightInd w:val="0"/>
        <w:snapToGrid w:val="0"/>
        <w:spacing w:afterLines="50"/>
        <w:rPr>
          <w:rFonts w:ascii="宋体" w:hAnsi="宋体" w:cs="黑体"/>
          <w:color w:val="auto"/>
          <w:kern w:val="0"/>
          <w:sz w:val="24"/>
        </w:rPr>
      </w:pPr>
      <w:r>
        <w:rPr>
          <w:rFonts w:hAnsi="宋体" w:cs="宋体"/>
          <w:color w:val="auto"/>
          <w:sz w:val="24"/>
        </w:rPr>
        <w:t>采购人或者采购代理机构可以对已发出的招标文件进行必要的修改。</w:t>
      </w:r>
      <w:r>
        <w:rPr>
          <w:rFonts w:hint="eastAsia" w:ascii="宋体" w:hAnsi="宋体"/>
          <w:color w:val="auto"/>
          <w:sz w:val="24"/>
        </w:rPr>
        <w:t>该修改在原公告发布媒体上发布澄清</w:t>
      </w:r>
      <w:r>
        <w:rPr>
          <w:rFonts w:hint="eastAsia" w:ascii="宋体" w:hAnsi="宋体"/>
          <w:color w:val="auto"/>
          <w:sz w:val="24"/>
          <w:lang w:eastAsia="zh-CN"/>
        </w:rPr>
        <w:t>(</w:t>
      </w:r>
      <w:r>
        <w:rPr>
          <w:rFonts w:hint="eastAsia" w:ascii="宋体" w:hAnsi="宋体"/>
          <w:color w:val="auto"/>
          <w:sz w:val="24"/>
        </w:rPr>
        <w:t>更正</w:t>
      </w:r>
      <w:r>
        <w:rPr>
          <w:rFonts w:hint="eastAsia" w:ascii="宋体" w:hAnsi="宋体"/>
          <w:color w:val="auto"/>
          <w:sz w:val="24"/>
          <w:lang w:eastAsia="zh-CN"/>
        </w:rPr>
        <w:t>)</w:t>
      </w:r>
      <w:r>
        <w:rPr>
          <w:rFonts w:hint="eastAsia" w:ascii="宋体" w:hAnsi="宋体"/>
          <w:color w:val="auto"/>
          <w:sz w:val="24"/>
        </w:rPr>
        <w:t>公告，同时以书面形式通知所有</w:t>
      </w:r>
      <w:r>
        <w:rPr>
          <w:rFonts w:hint="eastAsia" w:ascii="宋体" w:hAnsi="宋体"/>
          <w:color w:val="auto"/>
          <w:sz w:val="24"/>
          <w:lang w:eastAsia="zh-CN"/>
        </w:rPr>
        <w:t>供应商</w:t>
      </w:r>
      <w:r>
        <w:rPr>
          <w:rFonts w:hint="eastAsia" w:ascii="宋体" w:hAnsi="宋体"/>
          <w:color w:val="auto"/>
          <w:sz w:val="24"/>
        </w:rPr>
        <w:t>。修改的内容为招标文件的组成部分。</w:t>
      </w:r>
      <w:r>
        <w:rPr>
          <w:rFonts w:hint="eastAsia" w:ascii="宋体" w:hAnsi="宋体" w:cs="黑体"/>
          <w:color w:val="auto"/>
          <w:kern w:val="0"/>
          <w:sz w:val="24"/>
          <w:lang w:eastAsia="zh-CN"/>
        </w:rPr>
        <w:t>供应商</w:t>
      </w:r>
      <w:r>
        <w:rPr>
          <w:rFonts w:hint="eastAsia" w:ascii="宋体" w:hAnsi="宋体" w:cs="黑体"/>
          <w:color w:val="auto"/>
          <w:kern w:val="0"/>
          <w:sz w:val="24"/>
        </w:rPr>
        <w:t>须</w:t>
      </w:r>
      <w:r>
        <w:rPr>
          <w:rFonts w:hint="eastAsia" w:ascii="宋体" w:hAnsi="宋体"/>
          <w:color w:val="auto"/>
          <w:sz w:val="24"/>
        </w:rPr>
        <w:t>在</w:t>
      </w:r>
      <w:r>
        <w:rPr>
          <w:rFonts w:hint="eastAsia" w:ascii="宋体" w:hAnsi="宋体"/>
          <w:color w:val="auto"/>
          <w:sz w:val="24"/>
          <w:lang w:val="en-US" w:eastAsia="zh-CN"/>
        </w:rPr>
        <w:t>投</w:t>
      </w:r>
      <w:r>
        <w:rPr>
          <w:rFonts w:hint="eastAsia" w:ascii="宋体" w:hAnsi="宋体"/>
          <w:color w:val="auto"/>
          <w:sz w:val="24"/>
        </w:rPr>
        <w:t>标截止日前，随时查询招标公告发布媒体的信息，获取对招标文件修改的信息。</w:t>
      </w:r>
      <w:r>
        <w:rPr>
          <w:rFonts w:hint="eastAsia" w:ascii="宋体" w:hAnsi="宋体"/>
          <w:color w:val="auto"/>
          <w:sz w:val="24"/>
          <w:lang w:val="en-US" w:eastAsia="zh-CN"/>
        </w:rPr>
        <w:t>采购</w:t>
      </w:r>
      <w:r>
        <w:rPr>
          <w:rFonts w:hint="eastAsia" w:ascii="宋体" w:hAnsi="宋体"/>
          <w:color w:val="auto"/>
          <w:sz w:val="24"/>
        </w:rPr>
        <w:t>人的修改</w:t>
      </w:r>
      <w:r>
        <w:rPr>
          <w:rFonts w:hint="eastAsia" w:ascii="宋体" w:hAnsi="宋体" w:cs="宋体"/>
          <w:color w:val="auto"/>
          <w:sz w:val="24"/>
        </w:rPr>
        <w:t>以书面形式通知</w:t>
      </w:r>
      <w:r>
        <w:rPr>
          <w:rFonts w:hint="eastAsia" w:ascii="宋体" w:hAnsi="宋体" w:cs="宋体"/>
          <w:color w:val="auto"/>
          <w:sz w:val="24"/>
          <w:lang w:eastAsia="zh-CN"/>
        </w:rPr>
        <w:t>供应商</w:t>
      </w:r>
      <w:r>
        <w:rPr>
          <w:rFonts w:hint="eastAsia" w:ascii="宋体" w:hAnsi="宋体" w:cs="宋体"/>
          <w:color w:val="auto"/>
          <w:sz w:val="24"/>
        </w:rPr>
        <w:t>的，</w:t>
      </w:r>
      <w:r>
        <w:rPr>
          <w:rFonts w:hint="eastAsia" w:ascii="宋体" w:hAnsi="宋体" w:cs="宋体"/>
          <w:color w:val="auto"/>
          <w:sz w:val="24"/>
          <w:lang w:eastAsia="zh-CN"/>
        </w:rPr>
        <w:t>供应商</w:t>
      </w:r>
      <w:r>
        <w:rPr>
          <w:rFonts w:hint="eastAsia" w:ascii="宋体" w:hAnsi="宋体" w:cs="宋体"/>
          <w:color w:val="auto"/>
          <w:sz w:val="24"/>
        </w:rPr>
        <w:t>应在收到该修改通知的24小时内或根据修改通知中要求的时间内予以确认。</w:t>
      </w:r>
    </w:p>
    <w:p w14:paraId="67B91CE4">
      <w:pPr>
        <w:tabs>
          <w:tab w:val="left" w:pos="1260"/>
        </w:tabs>
        <w:autoSpaceDE w:val="0"/>
        <w:autoSpaceDN w:val="0"/>
        <w:adjustRightInd w:val="0"/>
        <w:snapToGrid w:val="0"/>
        <w:spacing w:afterLines="50"/>
        <w:ind w:left="1134" w:leftChars="540"/>
        <w:rPr>
          <w:rFonts w:ascii="宋体" w:hAnsi="宋体" w:cs="黑体"/>
          <w:color w:val="auto"/>
          <w:kern w:val="0"/>
          <w:sz w:val="24"/>
        </w:rPr>
      </w:pPr>
      <w:r>
        <w:rPr>
          <w:rFonts w:hAnsi="宋体" w:cs="宋体"/>
          <w:color w:val="auto"/>
          <w:sz w:val="24"/>
        </w:rPr>
        <w:t>修改的内容可能影响投标文件编制的，采购人或者采购代理机构在投标截止时间至少15日前，以书面形式通知所有获取招标文件的潜在</w:t>
      </w:r>
      <w:r>
        <w:rPr>
          <w:rFonts w:hint="eastAsia" w:hAnsi="宋体" w:cs="宋体"/>
          <w:color w:val="auto"/>
          <w:sz w:val="24"/>
          <w:lang w:eastAsia="zh-CN"/>
        </w:rPr>
        <w:t>供应商</w:t>
      </w:r>
      <w:r>
        <w:rPr>
          <w:rFonts w:hAnsi="宋体" w:cs="宋体"/>
          <w:color w:val="auto"/>
          <w:sz w:val="24"/>
        </w:rPr>
        <w:t>；不足15日的，采购人或者采购代理机构将顺延提交投标文件的截止时间。</w:t>
      </w:r>
    </w:p>
    <w:p w14:paraId="0F752F4A">
      <w:pPr>
        <w:numPr>
          <w:ilvl w:val="2"/>
          <w:numId w:val="3"/>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lang w:eastAsia="zh-CN"/>
        </w:rPr>
        <w:t>供应商</w:t>
      </w:r>
      <w:r>
        <w:rPr>
          <w:rFonts w:hint="eastAsia" w:ascii="宋体" w:hAnsi="宋体" w:cs="黑体"/>
          <w:color w:val="auto"/>
          <w:kern w:val="0"/>
          <w:sz w:val="24"/>
        </w:rPr>
        <w:t>收到修改文件后，应将加盖公章的回执以书面方式通知采购人，确认已收到该修改。</w:t>
      </w:r>
    </w:p>
    <w:p w14:paraId="0620E450">
      <w:pPr>
        <w:numPr>
          <w:ilvl w:val="1"/>
          <w:numId w:val="3"/>
        </w:numPr>
        <w:autoSpaceDE w:val="0"/>
        <w:autoSpaceDN w:val="0"/>
        <w:adjustRightInd w:val="0"/>
        <w:snapToGrid w:val="0"/>
        <w:spacing w:afterLines="50"/>
        <w:rPr>
          <w:rFonts w:ascii="宋体" w:hAnsi="宋体" w:cs="黑体"/>
          <w:color w:val="auto"/>
          <w:kern w:val="0"/>
          <w:sz w:val="24"/>
        </w:rPr>
      </w:pPr>
      <w:r>
        <w:rPr>
          <w:rFonts w:hint="eastAsia" w:ascii="宋体" w:hAnsi="宋体"/>
          <w:color w:val="auto"/>
          <w:sz w:val="24"/>
          <w:lang w:eastAsia="zh-CN"/>
        </w:rPr>
        <w:t>供应商</w:t>
      </w:r>
      <w:r>
        <w:rPr>
          <w:rFonts w:hint="eastAsia" w:ascii="宋体" w:hAnsi="宋体"/>
          <w:color w:val="auto"/>
          <w:sz w:val="24"/>
        </w:rPr>
        <w:t>认为</w:t>
      </w:r>
      <w:r>
        <w:rPr>
          <w:rFonts w:hint="eastAsia" w:ascii="宋体" w:hAnsi="宋体"/>
          <w:color w:val="auto"/>
          <w:sz w:val="24"/>
          <w:lang w:eastAsia="zh-CN"/>
        </w:rPr>
        <w:t>招标</w:t>
      </w:r>
      <w:r>
        <w:rPr>
          <w:rFonts w:hint="eastAsia" w:ascii="宋体" w:hAnsi="宋体"/>
          <w:color w:val="auto"/>
          <w:sz w:val="24"/>
        </w:rPr>
        <w:t>文件使自己的权益受到损害的，</w:t>
      </w:r>
      <w:r>
        <w:rPr>
          <w:rFonts w:hint="eastAsia" w:ascii="宋体" w:hAnsi="宋体"/>
          <w:color w:val="auto"/>
          <w:sz w:val="24"/>
          <w:lang w:eastAsia="zh-CN"/>
        </w:rPr>
        <w:t>在收到招标文件之日或招标文件公告期限届满之日</w:t>
      </w:r>
      <w:r>
        <w:rPr>
          <w:rFonts w:hint="eastAsia" w:ascii="宋体" w:hAnsi="宋体"/>
          <w:color w:val="auto"/>
          <w:sz w:val="24"/>
        </w:rPr>
        <w:t>起七个工作日内，</w:t>
      </w:r>
      <w:r>
        <w:rPr>
          <w:rFonts w:hint="eastAsia" w:ascii="宋体" w:hAnsi="宋体"/>
          <w:color w:val="auto"/>
          <w:sz w:val="24"/>
          <w:lang w:eastAsia="zh-CN"/>
        </w:rPr>
        <w:t>按供应商须知前附表中接收质疑函的方式以</w:t>
      </w:r>
      <w:r>
        <w:rPr>
          <w:rFonts w:hint="eastAsia" w:ascii="宋体" w:hAnsi="宋体"/>
          <w:color w:val="auto"/>
          <w:sz w:val="24"/>
        </w:rPr>
        <w:t>书面形式</w:t>
      </w:r>
      <w:r>
        <w:rPr>
          <w:rFonts w:hint="eastAsia" w:ascii="宋体" w:hAnsi="宋体"/>
          <w:color w:val="auto"/>
          <w:sz w:val="24"/>
          <w:lang w:eastAsia="zh-CN"/>
        </w:rPr>
        <w:t>一次性</w:t>
      </w:r>
      <w:r>
        <w:rPr>
          <w:rFonts w:hint="eastAsia" w:ascii="宋体" w:hAnsi="宋体"/>
          <w:color w:val="auto"/>
          <w:sz w:val="24"/>
        </w:rPr>
        <w:t>提出质疑。</w:t>
      </w:r>
    </w:p>
    <w:p w14:paraId="63A3510A">
      <w:pPr>
        <w:numPr>
          <w:ilvl w:val="0"/>
          <w:numId w:val="3"/>
        </w:numPr>
        <w:autoSpaceDE w:val="0"/>
        <w:autoSpaceDN w:val="0"/>
        <w:adjustRightInd w:val="0"/>
        <w:spacing w:afterLines="50"/>
        <w:outlineLvl w:val="2"/>
        <w:rPr>
          <w:rFonts w:ascii="黑体" w:hAnsi="宋体" w:eastAsia="黑体" w:cs="黑体"/>
          <w:color w:val="auto"/>
          <w:kern w:val="0"/>
          <w:sz w:val="24"/>
        </w:rPr>
      </w:pPr>
      <w:bookmarkStart w:id="74" w:name="_Toc195921811"/>
      <w:bookmarkStart w:id="75" w:name="_Toc25864"/>
      <w:bookmarkStart w:id="76" w:name="_Toc6616"/>
      <w:r>
        <w:rPr>
          <w:rFonts w:hint="eastAsia" w:ascii="黑体" w:hAnsi="宋体" w:eastAsia="黑体" w:cs="黑体"/>
          <w:color w:val="auto"/>
          <w:kern w:val="0"/>
          <w:sz w:val="24"/>
        </w:rPr>
        <w:t>投标文件</w:t>
      </w:r>
      <w:bookmarkEnd w:id="74"/>
      <w:bookmarkEnd w:id="75"/>
      <w:bookmarkEnd w:id="76"/>
    </w:p>
    <w:p w14:paraId="7F0AC23A">
      <w:pPr>
        <w:numPr>
          <w:ilvl w:val="1"/>
          <w:numId w:val="3"/>
        </w:numPr>
        <w:autoSpaceDE w:val="0"/>
        <w:autoSpaceDN w:val="0"/>
        <w:adjustRightInd w:val="0"/>
        <w:snapToGrid w:val="0"/>
        <w:spacing w:afterLines="50"/>
        <w:rPr>
          <w:rFonts w:ascii="宋体" w:hAnsi="宋体" w:cs="黑体"/>
          <w:color w:val="auto"/>
          <w:kern w:val="0"/>
          <w:sz w:val="24"/>
        </w:rPr>
      </w:pPr>
      <w:bookmarkStart w:id="77" w:name="_Toc195921812"/>
      <w:r>
        <w:rPr>
          <w:rFonts w:hint="eastAsia" w:ascii="宋体" w:hAnsi="宋体" w:cs="黑体"/>
          <w:color w:val="auto"/>
          <w:kern w:val="0"/>
          <w:sz w:val="24"/>
        </w:rPr>
        <w:t>投标文件的组成</w:t>
      </w:r>
      <w:bookmarkEnd w:id="77"/>
    </w:p>
    <w:p w14:paraId="1E30A319">
      <w:pPr>
        <w:numPr>
          <w:ilvl w:val="2"/>
          <w:numId w:val="3"/>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投标文件应包括下列内容</w:t>
      </w:r>
      <w:r>
        <w:rPr>
          <w:rFonts w:hint="eastAsia" w:ascii="宋体" w:hAnsi="宋体" w:cs="黑体"/>
          <w:color w:val="auto"/>
          <w:kern w:val="0"/>
          <w:sz w:val="24"/>
          <w:lang w:eastAsia="zh-CN"/>
        </w:rPr>
        <w:t>:</w:t>
      </w:r>
    </w:p>
    <w:p w14:paraId="505D33AA">
      <w:pPr>
        <w:numPr>
          <w:ilvl w:val="0"/>
          <w:numId w:val="6"/>
        </w:numPr>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商务部分</w:t>
      </w:r>
    </w:p>
    <w:p w14:paraId="26B34941">
      <w:pPr>
        <w:numPr>
          <w:ilvl w:val="0"/>
          <w:numId w:val="7"/>
        </w:numPr>
        <w:tabs>
          <w:tab w:val="left" w:pos="2694"/>
        </w:tabs>
        <w:autoSpaceDE w:val="0"/>
        <w:autoSpaceDN w:val="0"/>
        <w:adjustRightInd w:val="0"/>
        <w:snapToGrid w:val="0"/>
        <w:spacing w:afterLines="50"/>
        <w:ind w:left="2694" w:hanging="562"/>
        <w:rPr>
          <w:rFonts w:ascii="宋体" w:hAnsi="宋体" w:cs="黑体"/>
          <w:color w:val="auto"/>
          <w:kern w:val="0"/>
          <w:sz w:val="24"/>
        </w:rPr>
      </w:pPr>
      <w:r>
        <w:rPr>
          <w:rFonts w:hint="eastAsia" w:ascii="宋体" w:hAnsi="宋体" w:cs="黑体"/>
          <w:color w:val="auto"/>
          <w:kern w:val="0"/>
          <w:sz w:val="24"/>
        </w:rPr>
        <w:t>投标书；</w:t>
      </w:r>
    </w:p>
    <w:p w14:paraId="7E865688">
      <w:pPr>
        <w:numPr>
          <w:ilvl w:val="0"/>
          <w:numId w:val="7"/>
        </w:numPr>
        <w:tabs>
          <w:tab w:val="left" w:pos="2694"/>
        </w:tabs>
        <w:autoSpaceDE w:val="0"/>
        <w:autoSpaceDN w:val="0"/>
        <w:adjustRightInd w:val="0"/>
        <w:snapToGrid w:val="0"/>
        <w:spacing w:afterLines="50"/>
        <w:ind w:left="2694" w:hanging="562"/>
        <w:rPr>
          <w:rFonts w:ascii="宋体" w:hAnsi="宋体" w:cs="黑体"/>
          <w:color w:val="auto"/>
          <w:kern w:val="0"/>
          <w:sz w:val="24"/>
        </w:rPr>
      </w:pPr>
      <w:r>
        <w:rPr>
          <w:rFonts w:hint="eastAsia" w:ascii="宋体" w:hAnsi="宋体" w:cs="黑体"/>
          <w:color w:val="auto"/>
          <w:kern w:val="0"/>
          <w:sz w:val="24"/>
        </w:rPr>
        <w:t>报价表；</w:t>
      </w:r>
    </w:p>
    <w:p w14:paraId="0092AA2F">
      <w:pPr>
        <w:numPr>
          <w:ilvl w:val="0"/>
          <w:numId w:val="7"/>
        </w:numPr>
        <w:tabs>
          <w:tab w:val="left" w:pos="2694"/>
        </w:tabs>
        <w:autoSpaceDE w:val="0"/>
        <w:autoSpaceDN w:val="0"/>
        <w:adjustRightInd w:val="0"/>
        <w:snapToGrid w:val="0"/>
        <w:spacing w:afterLines="50"/>
        <w:ind w:left="2694" w:hanging="562"/>
        <w:rPr>
          <w:rFonts w:ascii="宋体" w:hAnsi="宋体" w:cs="黑体"/>
          <w:color w:val="auto"/>
          <w:kern w:val="0"/>
          <w:sz w:val="24"/>
        </w:rPr>
      </w:pPr>
      <w:r>
        <w:rPr>
          <w:rFonts w:hint="eastAsia" w:ascii="宋体" w:hAnsi="宋体" w:cs="黑体"/>
          <w:color w:val="auto"/>
          <w:kern w:val="0"/>
          <w:sz w:val="24"/>
        </w:rPr>
        <w:t>法定代表人身份证明；</w:t>
      </w:r>
    </w:p>
    <w:p w14:paraId="61EBE029">
      <w:pPr>
        <w:numPr>
          <w:ilvl w:val="0"/>
          <w:numId w:val="7"/>
        </w:numPr>
        <w:tabs>
          <w:tab w:val="left" w:pos="2694"/>
        </w:tabs>
        <w:autoSpaceDE w:val="0"/>
        <w:autoSpaceDN w:val="0"/>
        <w:adjustRightInd w:val="0"/>
        <w:snapToGrid w:val="0"/>
        <w:spacing w:afterLines="50"/>
        <w:ind w:left="2694" w:hanging="562"/>
        <w:rPr>
          <w:rFonts w:ascii="宋体" w:hAnsi="宋体" w:cs="黑体"/>
          <w:color w:val="auto"/>
          <w:kern w:val="0"/>
          <w:sz w:val="24"/>
        </w:rPr>
      </w:pPr>
      <w:r>
        <w:rPr>
          <w:rFonts w:hint="eastAsia" w:ascii="宋体" w:hAnsi="宋体" w:cs="黑体"/>
          <w:color w:val="auto"/>
          <w:kern w:val="0"/>
          <w:sz w:val="24"/>
        </w:rPr>
        <w:t>授权委托书；</w:t>
      </w:r>
    </w:p>
    <w:p w14:paraId="5778113A">
      <w:pPr>
        <w:numPr>
          <w:ilvl w:val="0"/>
          <w:numId w:val="7"/>
        </w:numPr>
        <w:tabs>
          <w:tab w:val="left" w:pos="2694"/>
        </w:tabs>
        <w:autoSpaceDE w:val="0"/>
        <w:autoSpaceDN w:val="0"/>
        <w:adjustRightInd w:val="0"/>
        <w:snapToGrid w:val="0"/>
        <w:spacing w:afterLines="50"/>
        <w:ind w:left="2694" w:hanging="562"/>
        <w:rPr>
          <w:rFonts w:ascii="宋体" w:hAnsi="宋体" w:cs="黑体"/>
          <w:color w:val="auto"/>
          <w:kern w:val="0"/>
          <w:sz w:val="24"/>
        </w:rPr>
      </w:pPr>
      <w:r>
        <w:rPr>
          <w:rFonts w:hint="eastAsia" w:ascii="宋体" w:hAnsi="宋体" w:cs="黑体"/>
          <w:color w:val="auto"/>
          <w:kern w:val="0"/>
          <w:sz w:val="24"/>
        </w:rPr>
        <w:t>投标保证金；</w:t>
      </w:r>
    </w:p>
    <w:p w14:paraId="4B16F269">
      <w:pPr>
        <w:numPr>
          <w:ilvl w:val="0"/>
          <w:numId w:val="7"/>
        </w:numPr>
        <w:tabs>
          <w:tab w:val="left" w:pos="2694"/>
        </w:tabs>
        <w:autoSpaceDE w:val="0"/>
        <w:autoSpaceDN w:val="0"/>
        <w:adjustRightInd w:val="0"/>
        <w:snapToGrid w:val="0"/>
        <w:spacing w:afterLines="50"/>
        <w:ind w:left="2694" w:hanging="562"/>
        <w:rPr>
          <w:rFonts w:ascii="宋体" w:hAnsi="宋体" w:cs="黑体"/>
          <w:color w:val="auto"/>
          <w:kern w:val="0"/>
          <w:sz w:val="24"/>
        </w:rPr>
      </w:pPr>
      <w:r>
        <w:rPr>
          <w:rFonts w:hint="eastAsia" w:ascii="宋体" w:hAnsi="宋体" w:cs="黑体"/>
          <w:color w:val="auto"/>
          <w:kern w:val="0"/>
          <w:sz w:val="24"/>
        </w:rPr>
        <w:t>投标分项报价表；</w:t>
      </w:r>
    </w:p>
    <w:p w14:paraId="197FA339">
      <w:pPr>
        <w:numPr>
          <w:ilvl w:val="0"/>
          <w:numId w:val="7"/>
        </w:numPr>
        <w:tabs>
          <w:tab w:val="left" w:pos="2694"/>
        </w:tabs>
        <w:autoSpaceDE w:val="0"/>
        <w:autoSpaceDN w:val="0"/>
        <w:adjustRightInd w:val="0"/>
        <w:snapToGrid w:val="0"/>
        <w:spacing w:afterLines="50"/>
        <w:ind w:left="2694" w:hanging="562"/>
        <w:rPr>
          <w:rFonts w:ascii="宋体" w:hAnsi="宋体" w:cs="黑体"/>
          <w:color w:val="auto"/>
          <w:kern w:val="0"/>
          <w:sz w:val="24"/>
        </w:rPr>
      </w:pPr>
      <w:r>
        <w:rPr>
          <w:rFonts w:hint="eastAsia" w:ascii="宋体" w:hAnsi="宋体" w:cs="黑体"/>
          <w:color w:val="auto"/>
          <w:kern w:val="0"/>
          <w:sz w:val="24"/>
        </w:rPr>
        <w:t>商务偏差表；</w:t>
      </w:r>
    </w:p>
    <w:p w14:paraId="64F35774">
      <w:pPr>
        <w:numPr>
          <w:ilvl w:val="0"/>
          <w:numId w:val="7"/>
        </w:numPr>
        <w:tabs>
          <w:tab w:val="left" w:pos="2694"/>
        </w:tabs>
        <w:autoSpaceDE w:val="0"/>
        <w:autoSpaceDN w:val="0"/>
        <w:adjustRightInd w:val="0"/>
        <w:snapToGrid w:val="0"/>
        <w:spacing w:afterLines="50"/>
        <w:ind w:left="2694" w:hanging="562"/>
        <w:rPr>
          <w:rFonts w:ascii="宋体" w:hAnsi="宋体" w:cs="黑体"/>
          <w:color w:val="auto"/>
          <w:kern w:val="0"/>
          <w:sz w:val="24"/>
          <w:highlight w:val="none"/>
        </w:rPr>
      </w:pPr>
      <w:r>
        <w:rPr>
          <w:rFonts w:hint="eastAsia" w:ascii="宋体" w:hAnsi="宋体" w:cs="黑体"/>
          <w:color w:val="auto"/>
          <w:kern w:val="0"/>
          <w:sz w:val="24"/>
          <w:lang w:eastAsia="zh-CN"/>
        </w:rPr>
        <w:t>供应商</w:t>
      </w:r>
      <w:r>
        <w:rPr>
          <w:rFonts w:hint="eastAsia" w:ascii="宋体" w:hAnsi="宋体" w:cs="黑体"/>
          <w:color w:val="auto"/>
          <w:kern w:val="0"/>
          <w:sz w:val="24"/>
        </w:rPr>
        <w:t>基本情况表；</w:t>
      </w:r>
    </w:p>
    <w:p w14:paraId="73AD8E70">
      <w:pPr>
        <w:numPr>
          <w:ilvl w:val="0"/>
          <w:numId w:val="7"/>
        </w:numPr>
        <w:tabs>
          <w:tab w:val="left" w:pos="2694"/>
        </w:tabs>
        <w:autoSpaceDE w:val="0"/>
        <w:autoSpaceDN w:val="0"/>
        <w:adjustRightInd w:val="0"/>
        <w:snapToGrid w:val="0"/>
        <w:spacing w:afterLines="50"/>
        <w:ind w:left="2694" w:hanging="562"/>
        <w:rPr>
          <w:rFonts w:ascii="宋体" w:hAnsi="宋体" w:cs="黑体"/>
          <w:color w:val="auto"/>
          <w:kern w:val="0"/>
          <w:sz w:val="24"/>
        </w:rPr>
      </w:pPr>
      <w:r>
        <w:rPr>
          <w:rFonts w:hint="eastAsia" w:ascii="宋体" w:hAnsi="宋体" w:cs="黑体"/>
          <w:color w:val="auto"/>
          <w:kern w:val="0"/>
          <w:sz w:val="24"/>
        </w:rPr>
        <w:t>资格证明文件</w:t>
      </w:r>
      <w:r>
        <w:rPr>
          <w:rFonts w:hint="eastAsia" w:ascii="宋体" w:hAnsi="宋体" w:cs="黑体"/>
          <w:color w:val="auto"/>
          <w:kern w:val="0"/>
          <w:sz w:val="24"/>
          <w:lang w:eastAsia="zh-CN"/>
        </w:rPr>
        <w:t>(</w:t>
      </w:r>
      <w:r>
        <w:rPr>
          <w:rFonts w:hint="eastAsia" w:ascii="宋体" w:hAnsi="宋体" w:cs="黑体"/>
          <w:color w:val="auto"/>
          <w:kern w:val="0"/>
          <w:sz w:val="24"/>
        </w:rPr>
        <w:t>详见投标文件格式要求</w:t>
      </w:r>
      <w:r>
        <w:rPr>
          <w:rFonts w:hint="eastAsia" w:ascii="宋体" w:hAnsi="宋体" w:cs="黑体"/>
          <w:color w:val="auto"/>
          <w:kern w:val="0"/>
          <w:sz w:val="24"/>
          <w:lang w:eastAsia="zh-CN"/>
        </w:rPr>
        <w:t>)</w:t>
      </w:r>
      <w:r>
        <w:rPr>
          <w:rFonts w:hint="eastAsia" w:ascii="宋体" w:hAnsi="宋体" w:cs="黑体"/>
          <w:color w:val="auto"/>
          <w:kern w:val="0"/>
          <w:sz w:val="24"/>
        </w:rPr>
        <w:t>；</w:t>
      </w:r>
    </w:p>
    <w:p w14:paraId="74953752">
      <w:pPr>
        <w:numPr>
          <w:ilvl w:val="0"/>
          <w:numId w:val="7"/>
        </w:numPr>
        <w:tabs>
          <w:tab w:val="left" w:pos="2694"/>
        </w:tabs>
        <w:autoSpaceDE w:val="0"/>
        <w:autoSpaceDN w:val="0"/>
        <w:adjustRightInd w:val="0"/>
        <w:snapToGrid w:val="0"/>
        <w:spacing w:afterLines="50"/>
        <w:ind w:left="2694" w:hanging="562"/>
        <w:rPr>
          <w:rFonts w:ascii="宋体" w:hAnsi="宋体" w:cs="黑体"/>
          <w:color w:val="auto"/>
          <w:kern w:val="0"/>
          <w:sz w:val="24"/>
        </w:rPr>
      </w:pPr>
      <w:r>
        <w:rPr>
          <w:rFonts w:hint="eastAsia" w:ascii="宋体" w:hAnsi="宋体" w:cs="黑体"/>
          <w:color w:val="auto"/>
          <w:kern w:val="0"/>
          <w:sz w:val="24"/>
          <w:lang w:eastAsia="zh-CN"/>
        </w:rPr>
        <w:t>供应商</w:t>
      </w:r>
      <w:r>
        <w:rPr>
          <w:rFonts w:hint="eastAsia" w:ascii="宋体" w:hAnsi="宋体" w:cs="黑体"/>
          <w:color w:val="auto"/>
          <w:kern w:val="0"/>
          <w:sz w:val="24"/>
        </w:rPr>
        <w:t>服务</w:t>
      </w:r>
      <w:r>
        <w:rPr>
          <w:rFonts w:ascii="宋体" w:hAnsi="宋体" w:cs="黑体"/>
          <w:color w:val="auto"/>
          <w:kern w:val="0"/>
          <w:sz w:val="24"/>
        </w:rPr>
        <w:t>业绩</w:t>
      </w:r>
      <w:r>
        <w:rPr>
          <w:rFonts w:hint="eastAsia" w:ascii="宋体" w:hAnsi="宋体" w:cs="黑体"/>
          <w:color w:val="auto"/>
          <w:kern w:val="0"/>
          <w:sz w:val="24"/>
        </w:rPr>
        <w:t>一览</w:t>
      </w:r>
      <w:r>
        <w:rPr>
          <w:rFonts w:ascii="宋体" w:hAnsi="宋体" w:cs="黑体"/>
          <w:color w:val="auto"/>
          <w:kern w:val="0"/>
          <w:sz w:val="24"/>
        </w:rPr>
        <w:t>表；</w:t>
      </w:r>
    </w:p>
    <w:p w14:paraId="23506095">
      <w:pPr>
        <w:numPr>
          <w:ilvl w:val="0"/>
          <w:numId w:val="7"/>
        </w:numPr>
        <w:tabs>
          <w:tab w:val="left" w:pos="2694"/>
        </w:tabs>
        <w:autoSpaceDE w:val="0"/>
        <w:autoSpaceDN w:val="0"/>
        <w:adjustRightInd w:val="0"/>
        <w:snapToGrid w:val="0"/>
        <w:spacing w:afterLines="50"/>
        <w:ind w:left="2694" w:hanging="562"/>
        <w:rPr>
          <w:rFonts w:ascii="宋体" w:hAnsi="宋体" w:cs="黑体"/>
          <w:color w:val="auto"/>
          <w:kern w:val="0"/>
          <w:sz w:val="24"/>
        </w:rPr>
      </w:pPr>
      <w:r>
        <w:rPr>
          <w:rFonts w:hint="eastAsia" w:ascii="宋体" w:hAnsi="宋体" w:cs="黑体"/>
          <w:color w:val="auto"/>
          <w:kern w:val="0"/>
          <w:sz w:val="24"/>
        </w:rPr>
        <w:t>小微企业、监狱企业、残疾人福利单位的声明函或证明材料</w:t>
      </w:r>
      <w:r>
        <w:rPr>
          <w:rFonts w:ascii="宋体" w:hAnsi="宋体" w:cs="黑体"/>
          <w:color w:val="auto"/>
          <w:kern w:val="0"/>
          <w:sz w:val="24"/>
        </w:rPr>
        <w:t>；</w:t>
      </w:r>
    </w:p>
    <w:p w14:paraId="4011AA37">
      <w:pPr>
        <w:numPr>
          <w:ilvl w:val="0"/>
          <w:numId w:val="7"/>
        </w:numPr>
        <w:tabs>
          <w:tab w:val="left" w:pos="2694"/>
        </w:tabs>
        <w:autoSpaceDE w:val="0"/>
        <w:autoSpaceDN w:val="0"/>
        <w:adjustRightInd w:val="0"/>
        <w:snapToGrid w:val="0"/>
        <w:spacing w:afterLines="50"/>
        <w:ind w:left="2694" w:hanging="562"/>
        <w:rPr>
          <w:rFonts w:ascii="宋体" w:hAnsi="宋体" w:cs="黑体"/>
          <w:color w:val="auto"/>
          <w:kern w:val="0"/>
          <w:sz w:val="24"/>
        </w:rPr>
      </w:pPr>
      <w:r>
        <w:rPr>
          <w:rFonts w:hint="eastAsia" w:ascii="宋体" w:hAnsi="宋体" w:cs="黑体"/>
          <w:color w:val="auto"/>
          <w:kern w:val="0"/>
          <w:sz w:val="24"/>
        </w:rPr>
        <w:t>投标承诺书</w:t>
      </w:r>
      <w:r>
        <w:rPr>
          <w:rFonts w:hint="eastAsia"/>
          <w:color w:val="auto"/>
        </w:rPr>
        <w:t>；</w:t>
      </w:r>
    </w:p>
    <w:p w14:paraId="5185C500">
      <w:pPr>
        <w:numPr>
          <w:ilvl w:val="0"/>
          <w:numId w:val="6"/>
        </w:numPr>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技术部分</w:t>
      </w:r>
    </w:p>
    <w:p w14:paraId="38F5F4BA">
      <w:pPr>
        <w:numPr>
          <w:ilvl w:val="0"/>
          <w:numId w:val="8"/>
        </w:numPr>
        <w:tabs>
          <w:tab w:val="left" w:pos="2694"/>
        </w:tabs>
        <w:autoSpaceDE w:val="0"/>
        <w:autoSpaceDN w:val="0"/>
        <w:adjustRightInd w:val="0"/>
        <w:snapToGrid w:val="0"/>
        <w:spacing w:afterLines="50"/>
        <w:ind w:left="2694" w:hanging="567"/>
        <w:rPr>
          <w:rFonts w:ascii="宋体" w:hAnsi="宋体" w:cs="黑体"/>
          <w:color w:val="auto"/>
          <w:kern w:val="0"/>
          <w:sz w:val="24"/>
        </w:rPr>
      </w:pPr>
      <w:r>
        <w:rPr>
          <w:rFonts w:hint="eastAsia" w:ascii="宋体" w:hAnsi="宋体" w:cs="黑体"/>
          <w:color w:val="auto"/>
          <w:kern w:val="0"/>
          <w:sz w:val="24"/>
        </w:rPr>
        <w:t>技术偏离表；</w:t>
      </w:r>
    </w:p>
    <w:p w14:paraId="30B6324E">
      <w:pPr>
        <w:numPr>
          <w:ilvl w:val="0"/>
          <w:numId w:val="8"/>
        </w:numPr>
        <w:tabs>
          <w:tab w:val="left" w:pos="2694"/>
        </w:tabs>
        <w:autoSpaceDE w:val="0"/>
        <w:autoSpaceDN w:val="0"/>
        <w:adjustRightInd w:val="0"/>
        <w:snapToGrid w:val="0"/>
        <w:spacing w:afterLines="50"/>
        <w:ind w:left="2694" w:hanging="567"/>
        <w:rPr>
          <w:rFonts w:ascii="宋体" w:hAnsi="宋体" w:cs="黑体"/>
          <w:color w:val="auto"/>
          <w:kern w:val="0"/>
          <w:sz w:val="24"/>
        </w:rPr>
      </w:pPr>
      <w:r>
        <w:rPr>
          <w:rFonts w:hint="eastAsia" w:ascii="宋体" w:hAnsi="宋体" w:cs="黑体"/>
          <w:color w:val="auto"/>
          <w:kern w:val="0"/>
          <w:sz w:val="24"/>
          <w:lang w:eastAsia="zh-CN"/>
        </w:rPr>
        <w:t>技术部分</w:t>
      </w:r>
    </w:p>
    <w:p w14:paraId="052D8479">
      <w:pPr>
        <w:numPr>
          <w:ilvl w:val="0"/>
          <w:numId w:val="8"/>
        </w:numPr>
        <w:tabs>
          <w:tab w:val="left" w:pos="2694"/>
        </w:tabs>
        <w:autoSpaceDE w:val="0"/>
        <w:autoSpaceDN w:val="0"/>
        <w:adjustRightInd w:val="0"/>
        <w:snapToGrid w:val="0"/>
        <w:spacing w:afterLines="50"/>
        <w:ind w:left="2694" w:hanging="562"/>
        <w:rPr>
          <w:rFonts w:ascii="宋体" w:hAnsi="宋体" w:cs="黑体"/>
          <w:color w:val="auto"/>
          <w:kern w:val="0"/>
          <w:sz w:val="24"/>
        </w:rPr>
      </w:pPr>
      <w:r>
        <w:rPr>
          <w:rFonts w:hint="eastAsia" w:ascii="宋体" w:hAnsi="宋体" w:cs="黑体"/>
          <w:color w:val="auto"/>
          <w:kern w:val="0"/>
          <w:sz w:val="24"/>
          <w:lang w:eastAsia="zh-CN"/>
        </w:rPr>
        <w:t>供应商</w:t>
      </w:r>
      <w:r>
        <w:rPr>
          <w:rFonts w:hint="eastAsia" w:ascii="宋体" w:hAnsi="宋体" w:cs="黑体"/>
          <w:color w:val="auto"/>
          <w:kern w:val="0"/>
          <w:sz w:val="24"/>
        </w:rPr>
        <w:t>服务承诺</w:t>
      </w:r>
      <w:r>
        <w:rPr>
          <w:rFonts w:hint="eastAsia" w:ascii="宋体" w:hAnsi="宋体" w:cs="黑体"/>
          <w:color w:val="auto"/>
          <w:kern w:val="0"/>
          <w:sz w:val="24"/>
          <w:lang w:eastAsia="zh-CN"/>
        </w:rPr>
        <w:t>(</w:t>
      </w:r>
      <w:r>
        <w:rPr>
          <w:rFonts w:hint="eastAsia" w:ascii="宋体" w:hAnsi="宋体" w:cs="黑体"/>
          <w:color w:val="auto"/>
          <w:kern w:val="0"/>
          <w:sz w:val="24"/>
        </w:rPr>
        <w:t>如有</w:t>
      </w:r>
      <w:r>
        <w:rPr>
          <w:rFonts w:hint="eastAsia" w:ascii="宋体" w:hAnsi="宋体" w:cs="黑体"/>
          <w:color w:val="auto"/>
          <w:kern w:val="0"/>
          <w:sz w:val="24"/>
          <w:lang w:eastAsia="zh-CN"/>
        </w:rPr>
        <w:t>)</w:t>
      </w:r>
      <w:r>
        <w:rPr>
          <w:rFonts w:hint="eastAsia" w:ascii="宋体" w:hAnsi="宋体" w:cs="黑体"/>
          <w:color w:val="auto"/>
          <w:kern w:val="0"/>
          <w:sz w:val="24"/>
        </w:rPr>
        <w:t>；</w:t>
      </w:r>
    </w:p>
    <w:p w14:paraId="600B1EE3">
      <w:pPr>
        <w:numPr>
          <w:ilvl w:val="0"/>
          <w:numId w:val="6"/>
        </w:numPr>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投标文件要求的其他内容以及</w:t>
      </w:r>
      <w:r>
        <w:rPr>
          <w:rFonts w:hint="eastAsia" w:ascii="宋体" w:hAnsi="宋体" w:cs="黑体"/>
          <w:color w:val="auto"/>
          <w:kern w:val="0"/>
          <w:sz w:val="24"/>
          <w:lang w:eastAsia="zh-CN"/>
        </w:rPr>
        <w:t>供应商</w:t>
      </w:r>
      <w:r>
        <w:rPr>
          <w:rFonts w:hint="eastAsia" w:ascii="宋体" w:hAnsi="宋体" w:cs="黑体"/>
          <w:color w:val="auto"/>
          <w:kern w:val="0"/>
          <w:sz w:val="24"/>
        </w:rPr>
        <w:t>认为必要的其他内容。</w:t>
      </w:r>
    </w:p>
    <w:p w14:paraId="3925E688">
      <w:pPr>
        <w:numPr>
          <w:ilvl w:val="1"/>
          <w:numId w:val="3"/>
        </w:numPr>
        <w:autoSpaceDE w:val="0"/>
        <w:autoSpaceDN w:val="0"/>
        <w:adjustRightInd w:val="0"/>
        <w:snapToGrid w:val="0"/>
        <w:spacing w:afterLines="50"/>
        <w:ind w:left="1133" w:hanging="1132" w:hangingChars="472"/>
        <w:rPr>
          <w:rFonts w:ascii="宋体" w:hAnsi="宋体" w:cs="黑体"/>
          <w:color w:val="auto"/>
          <w:kern w:val="0"/>
          <w:sz w:val="24"/>
        </w:rPr>
      </w:pPr>
      <w:bookmarkStart w:id="78" w:name="_Toc195921813"/>
      <w:r>
        <w:rPr>
          <w:rFonts w:hint="eastAsia" w:ascii="宋体" w:hAnsi="宋体" w:cs="黑体"/>
          <w:color w:val="auto"/>
          <w:kern w:val="0"/>
          <w:sz w:val="24"/>
        </w:rPr>
        <w:t>投标报价</w:t>
      </w:r>
      <w:bookmarkEnd w:id="78"/>
    </w:p>
    <w:p w14:paraId="05426FF0">
      <w:pPr>
        <w:numPr>
          <w:ilvl w:val="2"/>
          <w:numId w:val="3"/>
        </w:numPr>
        <w:tabs>
          <w:tab w:val="left" w:pos="1260"/>
        </w:tabs>
        <w:autoSpaceDE w:val="0"/>
        <w:autoSpaceDN w:val="0"/>
        <w:adjustRightInd w:val="0"/>
        <w:snapToGrid w:val="0"/>
        <w:spacing w:afterLines="50"/>
        <w:rPr>
          <w:rFonts w:ascii="宋体" w:hAnsi="宋体" w:cs="黑体"/>
          <w:color w:val="auto"/>
          <w:kern w:val="0"/>
          <w:sz w:val="24"/>
        </w:rPr>
      </w:pPr>
      <w:bookmarkStart w:id="79" w:name="_Toc195921814"/>
      <w:r>
        <w:rPr>
          <w:rFonts w:hint="eastAsia" w:ascii="宋体" w:hAnsi="宋体" w:cs="黑体"/>
          <w:color w:val="auto"/>
          <w:kern w:val="0"/>
          <w:sz w:val="24"/>
          <w:lang w:eastAsia="zh-CN"/>
        </w:rPr>
        <w:t>供应商</w:t>
      </w:r>
      <w:r>
        <w:rPr>
          <w:rFonts w:hint="eastAsia" w:ascii="宋体" w:hAnsi="宋体" w:cs="黑体"/>
          <w:color w:val="auto"/>
          <w:kern w:val="0"/>
          <w:sz w:val="24"/>
        </w:rPr>
        <w:t>应按招标文件第六章提供的格式进行投标报价。</w:t>
      </w:r>
    </w:p>
    <w:p w14:paraId="1C67D7A3">
      <w:pPr>
        <w:numPr>
          <w:ilvl w:val="2"/>
          <w:numId w:val="3"/>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所有根据合同或其它原因应由</w:t>
      </w:r>
      <w:r>
        <w:rPr>
          <w:rFonts w:hint="eastAsia" w:ascii="宋体" w:hAnsi="宋体" w:cs="黑体"/>
          <w:color w:val="auto"/>
          <w:kern w:val="0"/>
          <w:sz w:val="24"/>
          <w:lang w:eastAsia="zh-CN"/>
        </w:rPr>
        <w:t>供应商</w:t>
      </w:r>
      <w:r>
        <w:rPr>
          <w:rFonts w:hint="eastAsia" w:ascii="宋体" w:hAnsi="宋体" w:cs="黑体"/>
          <w:color w:val="auto"/>
          <w:kern w:val="0"/>
          <w:sz w:val="24"/>
        </w:rPr>
        <w:t>支付的税款和其它应交纳的费用都应包括在</w:t>
      </w:r>
      <w:r>
        <w:rPr>
          <w:rFonts w:hint="eastAsia" w:ascii="宋体" w:hAnsi="宋体" w:cs="黑体"/>
          <w:color w:val="auto"/>
          <w:kern w:val="0"/>
          <w:sz w:val="24"/>
          <w:lang w:eastAsia="zh-CN"/>
        </w:rPr>
        <w:t>供应商</w:t>
      </w:r>
      <w:r>
        <w:rPr>
          <w:rFonts w:hint="eastAsia" w:ascii="宋体" w:hAnsi="宋体" w:cs="黑体"/>
          <w:color w:val="auto"/>
          <w:kern w:val="0"/>
          <w:sz w:val="24"/>
        </w:rPr>
        <w:t>提交的投标价格中。</w:t>
      </w:r>
    </w:p>
    <w:p w14:paraId="6C0FC1BE">
      <w:pPr>
        <w:numPr>
          <w:ilvl w:val="2"/>
          <w:numId w:val="3"/>
        </w:numPr>
        <w:tabs>
          <w:tab w:val="left" w:pos="1260"/>
        </w:tabs>
        <w:autoSpaceDE w:val="0"/>
        <w:autoSpaceDN w:val="0"/>
        <w:adjustRightInd w:val="0"/>
        <w:snapToGrid w:val="0"/>
        <w:spacing w:afterLines="50"/>
        <w:rPr>
          <w:rFonts w:ascii="宋体" w:hAnsi="宋体" w:cs="黑体"/>
          <w:color w:val="auto"/>
          <w:kern w:val="0"/>
          <w:sz w:val="24"/>
        </w:rPr>
      </w:pPr>
      <w:r>
        <w:rPr>
          <w:rFonts w:ascii="宋体" w:hAnsi="宋体" w:cs="黑体"/>
          <w:color w:val="auto"/>
          <w:kern w:val="0"/>
          <w:sz w:val="24"/>
        </w:rPr>
        <w:t>报价应包含本项目所有税项。</w:t>
      </w:r>
    </w:p>
    <w:p w14:paraId="2883EB23">
      <w:pPr>
        <w:numPr>
          <w:ilvl w:val="2"/>
          <w:numId w:val="3"/>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lang w:eastAsia="zh-CN"/>
        </w:rPr>
        <w:t>供应商</w:t>
      </w:r>
      <w:r>
        <w:rPr>
          <w:rFonts w:ascii="宋体" w:hAnsi="宋体" w:cs="黑体"/>
          <w:color w:val="auto"/>
          <w:kern w:val="0"/>
          <w:sz w:val="24"/>
        </w:rPr>
        <w:t>应仔细阅读所有招标文件，填报自己认为正确的报价。</w:t>
      </w:r>
    </w:p>
    <w:p w14:paraId="644F9B49">
      <w:pPr>
        <w:numPr>
          <w:ilvl w:val="1"/>
          <w:numId w:val="3"/>
        </w:numPr>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lang w:eastAsia="zh-CN"/>
        </w:rPr>
        <w:t>供应商</w:t>
      </w:r>
      <w:r>
        <w:rPr>
          <w:rFonts w:hint="eastAsia" w:ascii="宋体" w:hAnsi="宋体" w:cs="黑体"/>
          <w:color w:val="auto"/>
          <w:kern w:val="0"/>
          <w:sz w:val="24"/>
        </w:rPr>
        <w:t>对采购内容只允许有一个报价，采购人不接受任何有选择的报价。</w:t>
      </w:r>
    </w:p>
    <w:p w14:paraId="4460AB79">
      <w:pPr>
        <w:numPr>
          <w:ilvl w:val="1"/>
          <w:numId w:val="3"/>
        </w:numPr>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lang w:eastAsia="zh-CN"/>
        </w:rPr>
        <w:t>供应商</w:t>
      </w:r>
      <w:r>
        <w:rPr>
          <w:rFonts w:hint="eastAsia" w:ascii="宋体" w:hAnsi="宋体" w:cs="黑体"/>
          <w:color w:val="auto"/>
          <w:kern w:val="0"/>
          <w:sz w:val="24"/>
        </w:rPr>
        <w:t>根据本招标文件的规定将投标价分成几部分，只是为了方便</w:t>
      </w:r>
      <w:r>
        <w:rPr>
          <w:rFonts w:hint="eastAsia" w:ascii="宋体" w:hAnsi="宋体" w:cs="黑体"/>
          <w:color w:val="auto"/>
          <w:kern w:val="0"/>
          <w:sz w:val="24"/>
          <w:lang w:val="en-US" w:eastAsia="zh-CN"/>
        </w:rPr>
        <w:t>采购人</w:t>
      </w:r>
      <w:r>
        <w:rPr>
          <w:rFonts w:hint="eastAsia" w:ascii="宋体" w:hAnsi="宋体" w:cs="黑体"/>
          <w:color w:val="auto"/>
          <w:kern w:val="0"/>
          <w:sz w:val="24"/>
        </w:rPr>
        <w:t>对投标文件进行比较，并不限制采购人以上述任何条件订立合同的权力。</w:t>
      </w:r>
    </w:p>
    <w:p w14:paraId="37041647">
      <w:pPr>
        <w:numPr>
          <w:ilvl w:val="1"/>
          <w:numId w:val="3"/>
        </w:numPr>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除非合同另有约定，</w:t>
      </w:r>
      <w:r>
        <w:rPr>
          <w:rFonts w:hint="eastAsia" w:ascii="宋体" w:hAnsi="宋体" w:cs="黑体"/>
          <w:color w:val="auto"/>
          <w:kern w:val="0"/>
          <w:sz w:val="24"/>
          <w:lang w:eastAsia="zh-CN"/>
        </w:rPr>
        <w:t>供应商</w:t>
      </w:r>
      <w:r>
        <w:rPr>
          <w:rFonts w:hint="eastAsia" w:ascii="宋体" w:hAnsi="宋体" w:cs="黑体"/>
          <w:color w:val="auto"/>
          <w:kern w:val="0"/>
          <w:sz w:val="24"/>
        </w:rPr>
        <w:t>所报的投标价在合同执行过程中是固定不变的，不得以任何理由予以变更。任何包含价格调整要求的投标，将被认为是非响应性投标而予以拒绝。</w:t>
      </w:r>
    </w:p>
    <w:p w14:paraId="3C1524E8">
      <w:pPr>
        <w:numPr>
          <w:ilvl w:val="1"/>
          <w:numId w:val="3"/>
        </w:numPr>
        <w:autoSpaceDE w:val="0"/>
        <w:autoSpaceDN w:val="0"/>
        <w:adjustRightInd w:val="0"/>
        <w:snapToGrid w:val="0"/>
        <w:spacing w:afterLines="50"/>
        <w:ind w:left="1133" w:hanging="1132" w:hangingChars="472"/>
        <w:rPr>
          <w:rFonts w:ascii="宋体" w:hAnsi="宋体" w:cs="黑体"/>
          <w:color w:val="auto"/>
          <w:kern w:val="0"/>
          <w:sz w:val="24"/>
        </w:rPr>
      </w:pPr>
      <w:bookmarkStart w:id="80" w:name="_Ref421009326"/>
      <w:r>
        <w:rPr>
          <w:rFonts w:hint="eastAsia" w:ascii="宋体" w:hAnsi="宋体" w:cs="黑体"/>
          <w:color w:val="auto"/>
          <w:kern w:val="0"/>
          <w:sz w:val="24"/>
        </w:rPr>
        <w:t>投标有效期</w:t>
      </w:r>
      <w:bookmarkEnd w:id="79"/>
      <w:bookmarkEnd w:id="80"/>
    </w:p>
    <w:p w14:paraId="572CD7E3">
      <w:pPr>
        <w:numPr>
          <w:ilvl w:val="2"/>
          <w:numId w:val="3"/>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olor w:val="auto"/>
          <w:sz w:val="24"/>
        </w:rPr>
        <w:t>本项目投标有效期见</w:t>
      </w:r>
      <w:r>
        <w:rPr>
          <w:rFonts w:hint="eastAsia" w:ascii="宋体" w:hAnsi="宋体"/>
          <w:color w:val="auto"/>
          <w:sz w:val="24"/>
          <w:lang w:eastAsia="zh-CN"/>
        </w:rPr>
        <w:t>供应商</w:t>
      </w:r>
      <w:r>
        <w:rPr>
          <w:rFonts w:hint="eastAsia" w:ascii="宋体" w:hAnsi="宋体"/>
          <w:color w:val="auto"/>
          <w:sz w:val="24"/>
        </w:rPr>
        <w:t>须知前附表。投标有效期从提交投标文件的截止之日起算。投标文件中承诺的投标有效期应当不少于招标文件中载明的投标有效期。</w:t>
      </w:r>
    </w:p>
    <w:p w14:paraId="47D8DF75">
      <w:pPr>
        <w:numPr>
          <w:ilvl w:val="2"/>
          <w:numId w:val="3"/>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在</w:t>
      </w:r>
      <w:r>
        <w:rPr>
          <w:rFonts w:hint="eastAsia" w:ascii="宋体" w:hAnsi="宋体" w:cs="黑体"/>
          <w:color w:val="auto"/>
          <w:kern w:val="0"/>
          <w:sz w:val="24"/>
          <w:lang w:eastAsia="zh-CN"/>
        </w:rPr>
        <w:t>供应商</w:t>
      </w:r>
      <w:r>
        <w:rPr>
          <w:rFonts w:hint="eastAsia" w:ascii="宋体" w:hAnsi="宋体" w:cs="黑体"/>
          <w:color w:val="auto"/>
          <w:kern w:val="0"/>
          <w:sz w:val="24"/>
        </w:rPr>
        <w:t>须知前附表规定的投标有效期内，</w:t>
      </w:r>
      <w:r>
        <w:rPr>
          <w:rFonts w:hint="eastAsia" w:ascii="宋体" w:hAnsi="宋体" w:cs="黑体"/>
          <w:color w:val="auto"/>
          <w:kern w:val="0"/>
          <w:sz w:val="24"/>
          <w:lang w:eastAsia="zh-CN"/>
        </w:rPr>
        <w:t>供应商</w:t>
      </w:r>
      <w:r>
        <w:rPr>
          <w:rFonts w:hint="eastAsia" w:ascii="宋体" w:hAnsi="宋体" w:cs="黑体"/>
          <w:color w:val="auto"/>
          <w:kern w:val="0"/>
          <w:sz w:val="24"/>
        </w:rPr>
        <w:t>不得要求修改其投标文件。</w:t>
      </w:r>
    </w:p>
    <w:p w14:paraId="61FF3C30">
      <w:pPr>
        <w:numPr>
          <w:ilvl w:val="1"/>
          <w:numId w:val="3"/>
        </w:numPr>
        <w:autoSpaceDE w:val="0"/>
        <w:autoSpaceDN w:val="0"/>
        <w:adjustRightInd w:val="0"/>
        <w:snapToGrid w:val="0"/>
        <w:spacing w:afterLines="50"/>
        <w:ind w:left="1133" w:hanging="1132" w:hangingChars="472"/>
        <w:rPr>
          <w:rFonts w:ascii="宋体" w:hAnsi="宋体" w:cs="黑体"/>
          <w:color w:val="auto"/>
          <w:kern w:val="0"/>
          <w:sz w:val="24"/>
        </w:rPr>
      </w:pPr>
      <w:bookmarkStart w:id="81" w:name="_Toc195921815"/>
      <w:r>
        <w:rPr>
          <w:rFonts w:hint="eastAsia" w:ascii="宋体" w:hAnsi="宋体" w:cs="黑体"/>
          <w:color w:val="auto"/>
          <w:kern w:val="0"/>
          <w:sz w:val="24"/>
        </w:rPr>
        <w:t>投标保证金</w:t>
      </w:r>
      <w:bookmarkEnd w:id="81"/>
    </w:p>
    <w:p w14:paraId="3C2B0585">
      <w:pPr>
        <w:numPr>
          <w:ilvl w:val="2"/>
          <w:numId w:val="3"/>
        </w:numPr>
        <w:tabs>
          <w:tab w:val="left" w:pos="1260"/>
        </w:tabs>
        <w:autoSpaceDE w:val="0"/>
        <w:autoSpaceDN w:val="0"/>
        <w:adjustRightInd w:val="0"/>
        <w:snapToGrid w:val="0"/>
        <w:spacing w:afterLines="50"/>
        <w:rPr>
          <w:rFonts w:ascii="宋体" w:hAnsi="宋体" w:cs="黑体"/>
          <w:color w:val="auto"/>
          <w:kern w:val="0"/>
          <w:sz w:val="24"/>
        </w:rPr>
      </w:pPr>
      <w:bookmarkStart w:id="82" w:name="_Ref419361076"/>
      <w:r>
        <w:rPr>
          <w:rFonts w:hint="eastAsia" w:ascii="宋体" w:hAnsi="宋体" w:cs="黑体"/>
          <w:color w:val="auto"/>
          <w:kern w:val="0"/>
          <w:sz w:val="24"/>
          <w:lang w:eastAsia="zh-CN"/>
        </w:rPr>
        <w:t>供应商</w:t>
      </w:r>
      <w:r>
        <w:rPr>
          <w:rFonts w:hint="eastAsia" w:ascii="宋体" w:hAnsi="宋体" w:cs="黑体"/>
          <w:color w:val="auto"/>
          <w:kern w:val="0"/>
          <w:sz w:val="24"/>
        </w:rPr>
        <w:t>应按</w:t>
      </w:r>
      <w:r>
        <w:rPr>
          <w:rFonts w:hint="eastAsia" w:ascii="宋体" w:hAnsi="宋体" w:cs="黑体"/>
          <w:color w:val="auto"/>
          <w:kern w:val="0"/>
          <w:sz w:val="24"/>
          <w:highlight w:val="none"/>
          <w:lang w:eastAsia="zh-CN"/>
        </w:rPr>
        <w:t>供应商</w:t>
      </w:r>
      <w:r>
        <w:rPr>
          <w:rFonts w:hint="eastAsia" w:ascii="宋体" w:hAnsi="宋体" w:cs="黑体"/>
          <w:color w:val="auto"/>
          <w:kern w:val="0"/>
          <w:sz w:val="24"/>
          <w:highlight w:val="none"/>
        </w:rPr>
        <w:t>须知前附表</w:t>
      </w:r>
      <w:r>
        <w:rPr>
          <w:rFonts w:hint="eastAsia" w:ascii="宋体" w:hAnsi="宋体" w:cs="黑体"/>
          <w:color w:val="auto"/>
          <w:kern w:val="0"/>
          <w:sz w:val="24"/>
        </w:rPr>
        <w:t>规定的金额、形式递交投标保证金，并作为其投标文件的组成部分。联合体投标的，可以由联合体中的一方或者共同提交投标保证金，以一方名义提交投标保证金的，对联合体各方均具有约束力。</w:t>
      </w:r>
      <w:bookmarkEnd w:id="82"/>
    </w:p>
    <w:p w14:paraId="3F88BB18">
      <w:pPr>
        <w:numPr>
          <w:ilvl w:val="2"/>
          <w:numId w:val="3"/>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lang w:eastAsia="zh-CN"/>
        </w:rPr>
        <w:t>供应商</w:t>
      </w:r>
      <w:r>
        <w:rPr>
          <w:rFonts w:hint="eastAsia" w:ascii="宋体" w:hAnsi="宋体" w:cs="黑体"/>
          <w:color w:val="auto"/>
          <w:kern w:val="0"/>
          <w:sz w:val="24"/>
        </w:rPr>
        <w:t>不按本章第</w:t>
      </w:r>
      <w:r>
        <w:rPr>
          <w:rFonts w:ascii="宋体" w:hAnsi="宋体" w:cs="黑体"/>
          <w:color w:val="auto"/>
          <w:kern w:val="0"/>
          <w:sz w:val="24"/>
        </w:rPr>
        <w:fldChar w:fldCharType="begin"/>
      </w:r>
      <w:r>
        <w:instrText xml:space="preserve"> REF _Ref419361076 \r \h  \* MERGEFORMAT</w:instrText>
      </w:r>
      <w:r>
        <w:rPr>
          <w:rFonts w:ascii="宋体" w:hAnsi="宋体" w:cs="黑体"/>
          <w:color w:val="auto"/>
          <w:kern w:val="0"/>
          <w:sz w:val="24"/>
        </w:rPr>
        <w:fldChar w:fldCharType="separate"/>
      </w:r>
      <w:r>
        <w:rPr>
          <w:rFonts w:ascii="宋体" w:hAnsi="宋体" w:cs="黑体"/>
          <w:color w:val="auto"/>
          <w:kern w:val="0"/>
          <w:sz w:val="24"/>
        </w:rPr>
        <w:t>3.</w:t>
      </w:r>
      <w:r>
        <w:rPr>
          <w:rFonts w:hint="eastAsia" w:ascii="宋体" w:hAnsi="宋体" w:cs="黑体"/>
          <w:color w:val="auto"/>
          <w:kern w:val="0"/>
          <w:sz w:val="24"/>
        </w:rPr>
        <w:t>7</w:t>
      </w:r>
      <w:r>
        <w:rPr>
          <w:rFonts w:ascii="宋体" w:hAnsi="宋体" w:cs="黑体"/>
          <w:color w:val="auto"/>
          <w:kern w:val="0"/>
          <w:sz w:val="24"/>
        </w:rPr>
        <w:t>.1</w:t>
      </w:r>
      <w:r>
        <w:rPr>
          <w:rFonts w:ascii="宋体" w:hAnsi="宋体" w:cs="黑体"/>
          <w:color w:val="auto"/>
          <w:kern w:val="0"/>
          <w:sz w:val="24"/>
        </w:rPr>
        <w:fldChar w:fldCharType="end"/>
      </w:r>
      <w:r>
        <w:rPr>
          <w:rFonts w:hint="eastAsia" w:ascii="宋体" w:hAnsi="宋体" w:cs="黑体"/>
          <w:color w:val="auto"/>
          <w:kern w:val="0"/>
          <w:sz w:val="24"/>
        </w:rPr>
        <w:t>项要求提交投标保证金的，其投标文件无效。</w:t>
      </w:r>
    </w:p>
    <w:p w14:paraId="4F41F790">
      <w:pPr>
        <w:numPr>
          <w:ilvl w:val="2"/>
          <w:numId w:val="3"/>
        </w:numPr>
        <w:tabs>
          <w:tab w:val="left" w:pos="1260"/>
        </w:tabs>
        <w:autoSpaceDE w:val="0"/>
        <w:autoSpaceDN w:val="0"/>
        <w:adjustRightInd w:val="0"/>
        <w:snapToGrid w:val="0"/>
        <w:spacing w:afterLines="50"/>
        <w:rPr>
          <w:rFonts w:ascii="宋体" w:hAnsi="宋体"/>
          <w:color w:val="auto"/>
          <w:sz w:val="24"/>
        </w:rPr>
      </w:pPr>
      <w:bookmarkStart w:id="83" w:name="_Ref419361088"/>
      <w:r>
        <w:rPr>
          <w:rFonts w:hint="eastAsia" w:ascii="宋体" w:hAnsi="宋体"/>
          <w:color w:val="auto"/>
          <w:sz w:val="24"/>
          <w:lang w:eastAsia="zh-CN"/>
        </w:rPr>
        <w:t>供应商</w:t>
      </w:r>
      <w:r>
        <w:rPr>
          <w:rFonts w:hint="eastAsia" w:ascii="宋体" w:hAnsi="宋体"/>
          <w:color w:val="auto"/>
          <w:sz w:val="24"/>
        </w:rPr>
        <w:t>在投标截止时间3日前，按招标文件的要求向</w:t>
      </w:r>
      <w:r>
        <w:rPr>
          <w:rFonts w:hint="eastAsia" w:ascii="宋体" w:hAnsi="宋体"/>
          <w:color w:val="auto"/>
          <w:sz w:val="24"/>
          <w:lang w:eastAsia="zh-CN"/>
        </w:rPr>
        <w:t>采购代理机构</w:t>
      </w:r>
      <w:r>
        <w:rPr>
          <w:rFonts w:hint="eastAsia" w:ascii="宋体" w:hAnsi="宋体"/>
          <w:color w:val="auto"/>
          <w:sz w:val="24"/>
        </w:rPr>
        <w:t>递交投标保证金，投标截止时间之后递交的投标保证金</w:t>
      </w:r>
      <w:r>
        <w:rPr>
          <w:rFonts w:hint="eastAsia" w:ascii="宋体" w:hAnsi="宋体"/>
          <w:color w:val="auto"/>
          <w:sz w:val="24"/>
          <w:lang w:val="en-US" w:eastAsia="zh-CN"/>
        </w:rPr>
        <w:t>投标</w:t>
      </w:r>
      <w:r>
        <w:rPr>
          <w:rFonts w:hint="eastAsia" w:ascii="宋体" w:hAnsi="宋体"/>
          <w:color w:val="auto"/>
          <w:sz w:val="24"/>
        </w:rPr>
        <w:t>将被拒绝。</w:t>
      </w:r>
      <w:bookmarkEnd w:id="83"/>
    </w:p>
    <w:p w14:paraId="13982888">
      <w:pPr>
        <w:numPr>
          <w:ilvl w:val="2"/>
          <w:numId w:val="3"/>
        </w:numPr>
        <w:tabs>
          <w:tab w:val="left" w:pos="1260"/>
        </w:tabs>
        <w:autoSpaceDE w:val="0"/>
        <w:autoSpaceDN w:val="0"/>
        <w:adjustRightInd w:val="0"/>
        <w:snapToGrid w:val="0"/>
        <w:spacing w:afterLines="50"/>
        <w:rPr>
          <w:rFonts w:ascii="宋体" w:hAnsi="宋体"/>
          <w:color w:val="auto"/>
          <w:sz w:val="24"/>
        </w:rPr>
      </w:pPr>
      <w:r>
        <w:rPr>
          <w:rFonts w:hint="eastAsia" w:ascii="宋体" w:hAnsi="宋体"/>
          <w:color w:val="auto"/>
          <w:sz w:val="24"/>
          <w:lang w:eastAsia="zh-CN"/>
        </w:rPr>
        <w:t>供应商</w:t>
      </w:r>
      <w:r>
        <w:rPr>
          <w:rFonts w:hint="eastAsia" w:ascii="宋体" w:hAnsi="宋体"/>
          <w:color w:val="auto"/>
          <w:sz w:val="24"/>
        </w:rPr>
        <w:t>在汇款时务必注明所投标项目的</w:t>
      </w:r>
      <w:r>
        <w:rPr>
          <w:rFonts w:hint="eastAsia" w:ascii="宋体" w:hAnsi="宋体"/>
          <w:color w:val="auto"/>
          <w:sz w:val="24"/>
          <w:lang w:eastAsia="zh-CN"/>
        </w:rPr>
        <w:t>项目</w:t>
      </w:r>
      <w:r>
        <w:rPr>
          <w:rFonts w:hint="eastAsia" w:ascii="宋体" w:hAnsi="宋体"/>
          <w:color w:val="auto"/>
          <w:sz w:val="24"/>
        </w:rPr>
        <w:t>编号及用途，否则，因款项用途不明导致投标无效等后果由</w:t>
      </w:r>
      <w:r>
        <w:rPr>
          <w:rFonts w:hint="eastAsia" w:ascii="宋体" w:hAnsi="宋体"/>
          <w:color w:val="auto"/>
          <w:sz w:val="24"/>
          <w:lang w:eastAsia="zh-CN"/>
        </w:rPr>
        <w:t>供应商</w:t>
      </w:r>
      <w:r>
        <w:rPr>
          <w:rFonts w:hint="eastAsia" w:ascii="宋体" w:hAnsi="宋体"/>
          <w:color w:val="auto"/>
          <w:sz w:val="24"/>
        </w:rPr>
        <w:t>自行承担。</w:t>
      </w:r>
    </w:p>
    <w:p w14:paraId="0621534F">
      <w:pPr>
        <w:numPr>
          <w:ilvl w:val="2"/>
          <w:numId w:val="3"/>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采购人或者采购代理机构应当自中标通知书发出之日起5个工作日内退还未中标人的投标保证金，自政府采购合同签订之日起5个工作日内退还中标人的投标保证金</w:t>
      </w:r>
      <w:r>
        <w:rPr>
          <w:rFonts w:hint="eastAsia" w:ascii="宋体" w:hAnsi="宋体"/>
          <w:color w:val="auto"/>
          <w:sz w:val="24"/>
        </w:rPr>
        <w:t>或者转为中标人的履约保证金</w:t>
      </w:r>
      <w:r>
        <w:rPr>
          <w:rFonts w:hint="eastAsia" w:ascii="宋体" w:hAnsi="宋体" w:cs="黑体"/>
          <w:color w:val="auto"/>
          <w:kern w:val="0"/>
          <w:sz w:val="24"/>
        </w:rPr>
        <w:t>。</w:t>
      </w:r>
    </w:p>
    <w:p w14:paraId="7D7FA144">
      <w:pPr>
        <w:numPr>
          <w:ilvl w:val="0"/>
          <w:numId w:val="0"/>
        </w:numPr>
        <w:tabs>
          <w:tab w:val="left" w:pos="1260"/>
        </w:tabs>
        <w:autoSpaceDE w:val="0"/>
        <w:autoSpaceDN w:val="0"/>
        <w:adjustRightInd w:val="0"/>
        <w:snapToGrid w:val="0"/>
        <w:spacing w:afterLines="50"/>
        <w:ind w:left="1058" w:hanging="1058" w:hangingChars="441"/>
        <w:rPr>
          <w:rFonts w:ascii="宋体" w:hAnsi="宋体" w:cs="黑体"/>
          <w:color w:val="auto"/>
          <w:kern w:val="0"/>
          <w:sz w:val="24"/>
        </w:rPr>
      </w:pPr>
      <w:r>
        <w:rPr>
          <w:rFonts w:hint="eastAsia" w:ascii="宋体" w:hAnsi="宋体" w:cs="黑体"/>
          <w:color w:val="auto"/>
          <w:kern w:val="0"/>
          <w:sz w:val="24"/>
        </w:rPr>
        <w:t xml:space="preserve">         采购人或者采购代理机构逾期退还投标保证金的，除退还投标保证金本金外，还应当按中国人民银行同期贷款基准利率上浮20％后的利率支付超期资金占用费，但因</w:t>
      </w:r>
      <w:r>
        <w:rPr>
          <w:rFonts w:hint="eastAsia" w:ascii="宋体" w:hAnsi="宋体" w:cs="黑体"/>
          <w:color w:val="auto"/>
          <w:kern w:val="0"/>
          <w:sz w:val="24"/>
          <w:lang w:eastAsia="zh-CN"/>
        </w:rPr>
        <w:t>供应商</w:t>
      </w:r>
      <w:r>
        <w:rPr>
          <w:rFonts w:hint="eastAsia" w:ascii="宋体" w:hAnsi="宋体" w:cs="黑体"/>
          <w:color w:val="auto"/>
          <w:kern w:val="0"/>
          <w:sz w:val="24"/>
        </w:rPr>
        <w:t>自身原因导致无法及时退还的除外。</w:t>
      </w:r>
    </w:p>
    <w:p w14:paraId="5E8D2367">
      <w:pPr>
        <w:numPr>
          <w:ilvl w:val="2"/>
          <w:numId w:val="3"/>
        </w:numPr>
        <w:tabs>
          <w:tab w:val="left" w:pos="1260"/>
        </w:tabs>
        <w:autoSpaceDE w:val="0"/>
        <w:autoSpaceDN w:val="0"/>
        <w:adjustRightInd w:val="0"/>
        <w:snapToGrid w:val="0"/>
        <w:spacing w:afterLines="50"/>
        <w:rPr>
          <w:rFonts w:ascii="宋体" w:hAnsi="宋体" w:cs="黑体"/>
          <w:color w:val="auto"/>
          <w:kern w:val="0"/>
          <w:sz w:val="24"/>
        </w:rPr>
      </w:pPr>
      <w:r>
        <w:rPr>
          <w:rFonts w:hint="eastAsia" w:hAnsi="宋体" w:cs="宋体"/>
          <w:color w:val="auto"/>
          <w:sz w:val="24"/>
          <w:lang w:eastAsia="zh-CN"/>
        </w:rPr>
        <w:t>供应商</w:t>
      </w:r>
      <w:r>
        <w:rPr>
          <w:rFonts w:hint="eastAsia" w:hAnsi="宋体" w:cs="宋体"/>
          <w:color w:val="auto"/>
          <w:sz w:val="24"/>
        </w:rPr>
        <w:t>有下列行为之一者，其投标保证金可不予退还</w:t>
      </w:r>
      <w:r>
        <w:rPr>
          <w:rFonts w:hint="eastAsia" w:hAnsi="宋体" w:cs="宋体"/>
          <w:color w:val="auto"/>
          <w:sz w:val="24"/>
          <w:lang w:eastAsia="zh-CN"/>
        </w:rPr>
        <w:t>:</w:t>
      </w:r>
    </w:p>
    <w:p w14:paraId="471AF911">
      <w:pPr>
        <w:tabs>
          <w:tab w:val="left" w:pos="1843"/>
        </w:tabs>
        <w:autoSpaceDE w:val="0"/>
        <w:autoSpaceDN w:val="0"/>
        <w:adjustRightInd w:val="0"/>
        <w:snapToGrid w:val="0"/>
        <w:spacing w:afterLines="50"/>
        <w:ind w:left="1734" w:leftChars="540" w:hanging="600" w:hangingChars="250"/>
        <w:rPr>
          <w:rFonts w:ascii="宋体" w:hAnsi="宋体" w:cs="黑体"/>
          <w:color w:val="auto"/>
          <w:kern w:val="0"/>
          <w:sz w:val="24"/>
        </w:rPr>
      </w:pPr>
      <w:r>
        <w:rPr>
          <w:rFonts w:hint="eastAsia" w:ascii="宋体" w:hAnsi="宋体" w:cs="黑体"/>
          <w:color w:val="auto"/>
          <w:kern w:val="0"/>
          <w:sz w:val="24"/>
          <w:lang w:eastAsia="zh-CN"/>
        </w:rPr>
        <w:t>(</w:t>
      </w:r>
      <w:r>
        <w:rPr>
          <w:rFonts w:hint="eastAsia" w:ascii="宋体" w:hAnsi="宋体" w:cs="黑体"/>
          <w:color w:val="auto"/>
          <w:kern w:val="0"/>
          <w:sz w:val="24"/>
        </w:rPr>
        <w:t>1</w:t>
      </w:r>
      <w:r>
        <w:rPr>
          <w:rFonts w:hint="eastAsia" w:ascii="宋体" w:hAnsi="宋体" w:cs="黑体"/>
          <w:color w:val="auto"/>
          <w:kern w:val="0"/>
          <w:sz w:val="24"/>
          <w:lang w:eastAsia="zh-CN"/>
        </w:rPr>
        <w:t>)供应商</w:t>
      </w:r>
      <w:r>
        <w:rPr>
          <w:rFonts w:hint="eastAsia" w:ascii="宋体" w:hAnsi="宋体" w:cs="黑体"/>
          <w:color w:val="auto"/>
          <w:kern w:val="0"/>
          <w:sz w:val="24"/>
        </w:rPr>
        <w:t>在投标有效期内撤</w:t>
      </w:r>
      <w:r>
        <w:rPr>
          <w:rFonts w:hint="eastAsia" w:ascii="宋体" w:hAnsi="宋体" w:cs="黑体"/>
          <w:color w:val="auto"/>
          <w:kern w:val="0"/>
          <w:sz w:val="24"/>
          <w:lang w:val="en-US" w:eastAsia="zh-CN"/>
        </w:rPr>
        <w:t>销</w:t>
      </w:r>
      <w:r>
        <w:rPr>
          <w:rFonts w:hint="eastAsia" w:ascii="宋体" w:hAnsi="宋体" w:cs="黑体"/>
          <w:color w:val="auto"/>
          <w:kern w:val="0"/>
          <w:sz w:val="24"/>
        </w:rPr>
        <w:t>投标文件的；</w:t>
      </w:r>
    </w:p>
    <w:p w14:paraId="4F275811">
      <w:pPr>
        <w:tabs>
          <w:tab w:val="left" w:pos="1843"/>
        </w:tabs>
        <w:autoSpaceDE w:val="0"/>
        <w:autoSpaceDN w:val="0"/>
        <w:adjustRightInd w:val="0"/>
        <w:snapToGrid w:val="0"/>
        <w:spacing w:afterLines="50"/>
        <w:ind w:left="1734" w:leftChars="540" w:hanging="600" w:hangingChars="250"/>
        <w:rPr>
          <w:rFonts w:ascii="宋体" w:hAnsi="宋体" w:cs="黑体"/>
          <w:color w:val="auto"/>
          <w:kern w:val="0"/>
          <w:sz w:val="24"/>
        </w:rPr>
      </w:pPr>
      <w:r>
        <w:rPr>
          <w:rFonts w:hint="eastAsia" w:ascii="宋体" w:hAnsi="宋体" w:cs="黑体"/>
          <w:color w:val="auto"/>
          <w:kern w:val="0"/>
          <w:sz w:val="24"/>
          <w:lang w:eastAsia="zh-CN"/>
        </w:rPr>
        <w:t>(</w:t>
      </w:r>
      <w:r>
        <w:rPr>
          <w:rFonts w:hint="eastAsia" w:ascii="宋体" w:hAnsi="宋体" w:cs="黑体"/>
          <w:color w:val="auto"/>
          <w:kern w:val="0"/>
          <w:sz w:val="24"/>
        </w:rPr>
        <w:t>2</w:t>
      </w:r>
      <w:r>
        <w:rPr>
          <w:rFonts w:hint="eastAsia" w:ascii="宋体" w:hAnsi="宋体" w:cs="黑体"/>
          <w:color w:val="auto"/>
          <w:kern w:val="0"/>
          <w:sz w:val="24"/>
          <w:lang w:eastAsia="zh-CN"/>
        </w:rPr>
        <w:t>)供应商</w:t>
      </w:r>
      <w:r>
        <w:rPr>
          <w:rFonts w:hint="eastAsia" w:ascii="宋体" w:hAnsi="宋体" w:cs="黑体"/>
          <w:color w:val="auto"/>
          <w:kern w:val="0"/>
          <w:sz w:val="24"/>
        </w:rPr>
        <w:t>在投标文件中提供虚假材料的；</w:t>
      </w:r>
    </w:p>
    <w:p w14:paraId="3454A07F">
      <w:pPr>
        <w:tabs>
          <w:tab w:val="left" w:pos="1843"/>
        </w:tabs>
        <w:autoSpaceDE w:val="0"/>
        <w:autoSpaceDN w:val="0"/>
        <w:adjustRightInd w:val="0"/>
        <w:snapToGrid w:val="0"/>
        <w:spacing w:afterLines="50"/>
        <w:ind w:left="1734" w:leftChars="540" w:hanging="600" w:hangingChars="250"/>
        <w:rPr>
          <w:rFonts w:ascii="宋体" w:hAnsi="宋体" w:cs="黑体"/>
          <w:color w:val="auto"/>
          <w:kern w:val="0"/>
          <w:sz w:val="24"/>
        </w:rPr>
      </w:pPr>
      <w:r>
        <w:rPr>
          <w:rFonts w:hint="eastAsia" w:ascii="宋体" w:hAnsi="宋体" w:cs="黑体"/>
          <w:color w:val="auto"/>
          <w:kern w:val="0"/>
          <w:sz w:val="24"/>
          <w:lang w:eastAsia="zh-CN"/>
        </w:rPr>
        <w:t>(</w:t>
      </w:r>
      <w:r>
        <w:rPr>
          <w:rFonts w:hint="eastAsia" w:ascii="宋体" w:hAnsi="宋体" w:cs="黑体"/>
          <w:color w:val="auto"/>
          <w:kern w:val="0"/>
          <w:sz w:val="24"/>
        </w:rPr>
        <w:t>3</w:t>
      </w:r>
      <w:r>
        <w:rPr>
          <w:rFonts w:hint="eastAsia" w:ascii="宋体" w:hAnsi="宋体" w:cs="黑体"/>
          <w:color w:val="auto"/>
          <w:kern w:val="0"/>
          <w:sz w:val="24"/>
          <w:lang w:eastAsia="zh-CN"/>
        </w:rPr>
        <w:t>)</w:t>
      </w:r>
      <w:r>
        <w:rPr>
          <w:rFonts w:hint="eastAsia" w:ascii="宋体" w:hAnsi="宋体" w:cs="黑体"/>
          <w:color w:val="auto"/>
          <w:kern w:val="0"/>
          <w:sz w:val="24"/>
        </w:rPr>
        <w:t>除因不可抗力或招标文件认可的情形以外，中标人不与采购人签订合同的；</w:t>
      </w:r>
    </w:p>
    <w:p w14:paraId="0C827E06">
      <w:pPr>
        <w:tabs>
          <w:tab w:val="left" w:pos="1843"/>
        </w:tabs>
        <w:autoSpaceDE w:val="0"/>
        <w:autoSpaceDN w:val="0"/>
        <w:adjustRightInd w:val="0"/>
        <w:snapToGrid w:val="0"/>
        <w:spacing w:afterLines="50"/>
        <w:ind w:left="1734" w:leftChars="540" w:hanging="600" w:hangingChars="250"/>
        <w:rPr>
          <w:rFonts w:ascii="宋体" w:hAnsi="宋体" w:cs="黑体"/>
          <w:color w:val="auto"/>
          <w:kern w:val="0"/>
          <w:sz w:val="24"/>
        </w:rPr>
      </w:pPr>
      <w:r>
        <w:rPr>
          <w:rFonts w:hint="eastAsia" w:ascii="宋体" w:hAnsi="宋体" w:cs="黑体"/>
          <w:color w:val="auto"/>
          <w:kern w:val="0"/>
          <w:sz w:val="24"/>
          <w:lang w:eastAsia="zh-CN"/>
        </w:rPr>
        <w:t>(</w:t>
      </w:r>
      <w:r>
        <w:rPr>
          <w:rFonts w:hint="eastAsia" w:ascii="宋体" w:hAnsi="宋体" w:cs="黑体"/>
          <w:color w:val="auto"/>
          <w:kern w:val="0"/>
          <w:sz w:val="24"/>
        </w:rPr>
        <w:t>4</w:t>
      </w:r>
      <w:r>
        <w:rPr>
          <w:rFonts w:hint="eastAsia" w:ascii="宋体" w:hAnsi="宋体" w:cs="黑体"/>
          <w:color w:val="auto"/>
          <w:kern w:val="0"/>
          <w:sz w:val="24"/>
          <w:lang w:eastAsia="zh-CN"/>
        </w:rPr>
        <w:t>)供应商</w:t>
      </w:r>
      <w:r>
        <w:rPr>
          <w:rFonts w:hint="eastAsia" w:ascii="宋体" w:hAnsi="宋体" w:cs="黑体"/>
          <w:color w:val="auto"/>
          <w:kern w:val="0"/>
          <w:sz w:val="24"/>
        </w:rPr>
        <w:t>与采购人、其他</w:t>
      </w:r>
      <w:r>
        <w:rPr>
          <w:rFonts w:hint="eastAsia" w:ascii="宋体" w:hAnsi="宋体" w:cs="黑体"/>
          <w:color w:val="auto"/>
          <w:kern w:val="0"/>
          <w:sz w:val="24"/>
          <w:lang w:eastAsia="zh-CN"/>
        </w:rPr>
        <w:t>供应商</w:t>
      </w:r>
      <w:r>
        <w:rPr>
          <w:rFonts w:hint="eastAsia" w:ascii="宋体" w:hAnsi="宋体" w:cs="黑体"/>
          <w:color w:val="auto"/>
          <w:kern w:val="0"/>
          <w:sz w:val="24"/>
        </w:rPr>
        <w:t>或者采购代理机构恶意串通的；</w:t>
      </w:r>
    </w:p>
    <w:p w14:paraId="0A134362">
      <w:pPr>
        <w:tabs>
          <w:tab w:val="left" w:pos="1843"/>
        </w:tabs>
        <w:autoSpaceDE w:val="0"/>
        <w:autoSpaceDN w:val="0"/>
        <w:adjustRightInd w:val="0"/>
        <w:snapToGrid w:val="0"/>
        <w:spacing w:afterLines="50"/>
        <w:ind w:left="1734" w:leftChars="540" w:hanging="600" w:hangingChars="250"/>
        <w:rPr>
          <w:rFonts w:hint="eastAsia" w:ascii="宋体" w:hAnsi="宋体" w:cs="黑体"/>
          <w:color w:val="auto"/>
          <w:kern w:val="0"/>
          <w:sz w:val="24"/>
        </w:rPr>
      </w:pPr>
      <w:r>
        <w:rPr>
          <w:rFonts w:hint="eastAsia" w:ascii="宋体" w:hAnsi="宋体" w:cs="黑体"/>
          <w:color w:val="auto"/>
          <w:kern w:val="0"/>
          <w:sz w:val="24"/>
          <w:lang w:eastAsia="zh-CN"/>
        </w:rPr>
        <w:t>(</w:t>
      </w:r>
      <w:r>
        <w:rPr>
          <w:rFonts w:hint="eastAsia" w:ascii="宋体" w:hAnsi="宋体" w:cs="黑体"/>
          <w:color w:val="auto"/>
          <w:kern w:val="0"/>
          <w:sz w:val="24"/>
          <w:lang w:val="en-US" w:eastAsia="zh-CN"/>
        </w:rPr>
        <w:t>5</w:t>
      </w:r>
      <w:r>
        <w:rPr>
          <w:rFonts w:hint="eastAsia" w:ascii="宋体" w:hAnsi="宋体" w:cs="黑体"/>
          <w:color w:val="auto"/>
          <w:kern w:val="0"/>
          <w:sz w:val="24"/>
          <w:lang w:eastAsia="zh-CN"/>
        </w:rPr>
        <w:t>)</w:t>
      </w:r>
      <w:r>
        <w:rPr>
          <w:rFonts w:hint="eastAsia" w:ascii="宋体" w:hAnsi="宋体" w:cs="黑体"/>
          <w:color w:val="auto"/>
          <w:kern w:val="0"/>
          <w:sz w:val="24"/>
        </w:rPr>
        <w:t>招标文件规定的其他情形</w:t>
      </w:r>
      <w:r>
        <w:rPr>
          <w:rFonts w:hint="eastAsia" w:ascii="宋体" w:hAnsi="宋体" w:cs="黑体"/>
          <w:color w:val="auto"/>
          <w:kern w:val="0"/>
          <w:sz w:val="24"/>
          <w:lang w:eastAsia="zh-CN"/>
        </w:rPr>
        <w:t>；</w:t>
      </w:r>
    </w:p>
    <w:p w14:paraId="303E99C9">
      <w:pPr>
        <w:tabs>
          <w:tab w:val="left" w:pos="1843"/>
        </w:tabs>
        <w:autoSpaceDE w:val="0"/>
        <w:autoSpaceDN w:val="0"/>
        <w:adjustRightInd w:val="0"/>
        <w:snapToGrid w:val="0"/>
        <w:spacing w:afterLines="50"/>
        <w:ind w:left="1734" w:leftChars="540" w:hanging="600" w:hangingChars="250"/>
        <w:rPr>
          <w:rFonts w:hint="default" w:ascii="宋体" w:hAnsi="宋体" w:eastAsia="宋体" w:cs="黑体"/>
          <w:color w:val="auto"/>
          <w:kern w:val="0"/>
          <w:sz w:val="24"/>
          <w:lang w:val="en-US" w:eastAsia="zh-CN"/>
        </w:rPr>
      </w:pPr>
      <w:r>
        <w:rPr>
          <w:rFonts w:hint="eastAsia" w:ascii="宋体" w:hAnsi="宋体" w:cs="黑体"/>
          <w:color w:val="auto"/>
          <w:kern w:val="0"/>
          <w:sz w:val="24"/>
          <w:lang w:eastAsia="zh-CN"/>
        </w:rPr>
        <w:t>(</w:t>
      </w:r>
      <w:r>
        <w:rPr>
          <w:rFonts w:hint="eastAsia" w:ascii="宋体" w:hAnsi="宋体" w:cs="黑体"/>
          <w:color w:val="auto"/>
          <w:kern w:val="0"/>
          <w:sz w:val="24"/>
          <w:lang w:val="en-US" w:eastAsia="zh-CN"/>
        </w:rPr>
        <w:t>6)存在其他违法违规行为的。</w:t>
      </w:r>
    </w:p>
    <w:p w14:paraId="4B31ED87">
      <w:pPr>
        <w:numPr>
          <w:ilvl w:val="1"/>
          <w:numId w:val="3"/>
        </w:numPr>
        <w:autoSpaceDE w:val="0"/>
        <w:autoSpaceDN w:val="0"/>
        <w:adjustRightInd w:val="0"/>
        <w:snapToGrid w:val="0"/>
        <w:spacing w:afterLines="50"/>
        <w:ind w:left="1133" w:hanging="1132" w:hangingChars="472"/>
        <w:rPr>
          <w:rFonts w:ascii="宋体" w:hAnsi="宋体" w:cs="黑体"/>
          <w:color w:val="auto"/>
          <w:kern w:val="0"/>
          <w:sz w:val="24"/>
        </w:rPr>
      </w:pPr>
      <w:bookmarkStart w:id="84" w:name="_Toc195921818"/>
      <w:r>
        <w:rPr>
          <w:rFonts w:hint="eastAsia" w:ascii="宋体" w:hAnsi="宋体" w:cs="黑体"/>
          <w:color w:val="auto"/>
          <w:kern w:val="0"/>
          <w:sz w:val="24"/>
        </w:rPr>
        <w:t>投标文件的编制</w:t>
      </w:r>
      <w:bookmarkEnd w:id="84"/>
    </w:p>
    <w:p w14:paraId="47C54959">
      <w:pPr>
        <w:numPr>
          <w:ilvl w:val="2"/>
          <w:numId w:val="3"/>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投标文件应按第六章“投标文件格式”进行编写，如有必要，可以增加附页，作为投标文件的组成部分。</w:t>
      </w:r>
      <w:r>
        <w:rPr>
          <w:rFonts w:hint="eastAsia" w:ascii="宋体" w:hAnsi="宋体" w:cs="黑体"/>
          <w:color w:val="auto"/>
          <w:kern w:val="0"/>
          <w:sz w:val="24"/>
          <w:lang w:eastAsia="zh-CN"/>
        </w:rPr>
        <w:t>供应商</w:t>
      </w:r>
      <w:r>
        <w:rPr>
          <w:rFonts w:hint="eastAsia" w:ascii="宋体" w:hAnsi="宋体" w:cs="黑体"/>
          <w:color w:val="auto"/>
          <w:kern w:val="0"/>
          <w:sz w:val="24"/>
        </w:rPr>
        <w:t>可以提出比招标文件要求更有利于采购人的承诺。</w:t>
      </w:r>
    </w:p>
    <w:p w14:paraId="1A3AB0A3">
      <w:pPr>
        <w:tabs>
          <w:tab w:val="left" w:pos="1260"/>
        </w:tabs>
        <w:autoSpaceDE w:val="0"/>
        <w:autoSpaceDN w:val="0"/>
        <w:adjustRightInd w:val="0"/>
        <w:snapToGrid w:val="0"/>
        <w:spacing w:afterLines="50"/>
        <w:ind w:left="1134"/>
        <w:rPr>
          <w:rFonts w:ascii="宋体" w:hAnsi="宋体" w:cs="黑体"/>
          <w:color w:val="auto"/>
          <w:kern w:val="0"/>
          <w:sz w:val="24"/>
        </w:rPr>
      </w:pPr>
      <w:r>
        <w:rPr>
          <w:rFonts w:hint="eastAsia" w:ascii="宋体" w:hAnsi="宋体" w:cs="黑体"/>
          <w:color w:val="auto"/>
          <w:kern w:val="0"/>
          <w:sz w:val="24"/>
        </w:rPr>
        <w:t>投标文件应当对招标文件有关合同履行期限、投标有效期、对</w:t>
      </w:r>
      <w:r>
        <w:rPr>
          <w:rFonts w:hint="eastAsia" w:ascii="宋体" w:hAnsi="宋体" w:cs="黑体"/>
          <w:color w:val="auto"/>
          <w:kern w:val="0"/>
          <w:sz w:val="24"/>
          <w:lang w:eastAsia="zh-CN"/>
        </w:rPr>
        <w:t>采购</w:t>
      </w:r>
      <w:r>
        <w:rPr>
          <w:rFonts w:hint="eastAsia" w:ascii="宋体" w:hAnsi="宋体" w:cs="黑体"/>
          <w:color w:val="auto"/>
          <w:kern w:val="0"/>
          <w:sz w:val="24"/>
        </w:rPr>
        <w:t>范围以及</w:t>
      </w:r>
      <w:r>
        <w:rPr>
          <w:rFonts w:hint="eastAsia" w:ascii="宋体" w:hAnsi="宋体"/>
          <w:color w:val="auto"/>
          <w:sz w:val="24"/>
        </w:rPr>
        <w:t>采购项目的技术</w:t>
      </w:r>
      <w:r>
        <w:rPr>
          <w:rFonts w:hint="eastAsia" w:ascii="宋体" w:hAnsi="宋体"/>
          <w:color w:val="auto"/>
          <w:sz w:val="24"/>
          <w:lang w:val="en-US" w:eastAsia="zh-CN"/>
        </w:rPr>
        <w:t>要求</w:t>
      </w:r>
      <w:r>
        <w:rPr>
          <w:rFonts w:hint="eastAsia" w:ascii="宋体" w:hAnsi="宋体"/>
          <w:color w:val="auto"/>
          <w:sz w:val="24"/>
        </w:rPr>
        <w:t>、</w:t>
      </w:r>
      <w:r>
        <w:rPr>
          <w:rFonts w:hint="eastAsia" w:ascii="宋体" w:hAnsi="宋体"/>
          <w:color w:val="auto"/>
          <w:sz w:val="24"/>
          <w:lang w:val="en-US" w:eastAsia="zh-CN"/>
        </w:rPr>
        <w:t>采购内容</w:t>
      </w:r>
      <w:r>
        <w:rPr>
          <w:rFonts w:hint="eastAsia" w:ascii="宋体" w:hAnsi="宋体"/>
          <w:color w:val="auto"/>
          <w:sz w:val="24"/>
        </w:rPr>
        <w:t>、服务标准、验收</w:t>
      </w:r>
      <w:r>
        <w:rPr>
          <w:rFonts w:hint="eastAsia" w:ascii="宋体" w:hAnsi="宋体" w:cs="黑体"/>
          <w:color w:val="auto"/>
          <w:kern w:val="0"/>
          <w:sz w:val="24"/>
        </w:rPr>
        <w:t>等实质性内容作出响应。</w:t>
      </w:r>
    </w:p>
    <w:p w14:paraId="3E5F9982">
      <w:pPr>
        <w:numPr>
          <w:ilvl w:val="2"/>
          <w:numId w:val="3"/>
        </w:numPr>
        <w:tabs>
          <w:tab w:val="left" w:pos="1260"/>
        </w:tabs>
        <w:autoSpaceDE w:val="0"/>
        <w:autoSpaceDN w:val="0"/>
        <w:adjustRightInd w:val="0"/>
        <w:snapToGrid w:val="0"/>
        <w:spacing w:after="158" w:afterLines="50"/>
        <w:rPr>
          <w:rFonts w:ascii="宋体" w:hAnsi="宋体" w:cs="黑体"/>
          <w:color w:val="auto"/>
          <w:kern w:val="0"/>
          <w:sz w:val="24"/>
          <w:szCs w:val="24"/>
        </w:rPr>
      </w:pPr>
      <w:r>
        <w:rPr>
          <w:rFonts w:hint="eastAsia" w:ascii="宋体" w:hAnsi="宋体" w:eastAsia="宋体" w:cs="黑体"/>
          <w:color w:val="auto"/>
          <w:kern w:val="0"/>
          <w:sz w:val="24"/>
          <w:highlight w:val="none"/>
          <w:shd w:val="clear" w:color="auto" w:fill="auto"/>
        </w:rPr>
        <w:t>投标文件全部采用电子文档，除</w:t>
      </w:r>
      <w:r>
        <w:rPr>
          <w:rFonts w:hint="eastAsia" w:ascii="宋体" w:hAnsi="宋体" w:cs="黑体"/>
          <w:color w:val="auto"/>
          <w:kern w:val="0"/>
          <w:sz w:val="24"/>
          <w:highlight w:val="none"/>
          <w:shd w:val="clear" w:color="auto" w:fill="auto"/>
          <w:lang w:eastAsia="zh-CN"/>
        </w:rPr>
        <w:t>供应商</w:t>
      </w:r>
      <w:r>
        <w:rPr>
          <w:rFonts w:hint="eastAsia" w:ascii="宋体" w:hAnsi="宋体" w:eastAsia="宋体" w:cs="黑体"/>
          <w:color w:val="auto"/>
          <w:kern w:val="0"/>
          <w:sz w:val="24"/>
          <w:highlight w:val="none"/>
          <w:shd w:val="clear" w:color="auto" w:fill="auto"/>
        </w:rPr>
        <w:t>须知前附表另有规定外，投标文件所附证书证件均为原件扫描件，并采用单位数字证书，按招标文件要求在相应位置加盖电子印章。由</w:t>
      </w:r>
      <w:r>
        <w:rPr>
          <w:rFonts w:hint="eastAsia" w:ascii="宋体" w:hAnsi="宋体" w:cs="黑体"/>
          <w:color w:val="auto"/>
          <w:kern w:val="0"/>
          <w:sz w:val="24"/>
          <w:highlight w:val="none"/>
          <w:shd w:val="clear" w:color="auto" w:fill="auto"/>
          <w:lang w:eastAsia="zh-CN"/>
        </w:rPr>
        <w:t>供应商</w:t>
      </w:r>
      <w:r>
        <w:rPr>
          <w:rFonts w:hint="eastAsia" w:ascii="宋体" w:hAnsi="宋体" w:eastAsia="宋体" w:cs="黑体"/>
          <w:color w:val="auto"/>
          <w:kern w:val="0"/>
          <w:sz w:val="24"/>
          <w:highlight w:val="none"/>
          <w:shd w:val="clear" w:color="auto" w:fill="auto"/>
        </w:rPr>
        <w:t>的法定代表人签字或加盖印章的，应附法定代表人身份证明，由代理人签字的，应附由法定代表人签署的授权委托书。签字或盖章的具体要求见</w:t>
      </w:r>
      <w:r>
        <w:rPr>
          <w:rFonts w:hint="eastAsia" w:ascii="宋体" w:hAnsi="宋体" w:cs="黑体"/>
          <w:color w:val="auto"/>
          <w:kern w:val="0"/>
          <w:sz w:val="24"/>
          <w:highlight w:val="none"/>
          <w:shd w:val="clear" w:color="auto" w:fill="auto"/>
          <w:lang w:eastAsia="zh-CN"/>
        </w:rPr>
        <w:t>供应商</w:t>
      </w:r>
      <w:r>
        <w:rPr>
          <w:rFonts w:hint="eastAsia" w:ascii="宋体" w:hAnsi="宋体" w:eastAsia="宋体" w:cs="黑体"/>
          <w:color w:val="auto"/>
          <w:kern w:val="0"/>
          <w:sz w:val="24"/>
          <w:highlight w:val="none"/>
          <w:shd w:val="clear" w:color="auto" w:fill="auto"/>
        </w:rPr>
        <w:t>须知前附表。</w:t>
      </w:r>
    </w:p>
    <w:p w14:paraId="001CFACF">
      <w:pPr>
        <w:numPr>
          <w:ilvl w:val="0"/>
          <w:numId w:val="3"/>
        </w:numPr>
        <w:autoSpaceDE w:val="0"/>
        <w:autoSpaceDN w:val="0"/>
        <w:adjustRightInd w:val="0"/>
        <w:spacing w:afterLines="50"/>
        <w:outlineLvl w:val="2"/>
        <w:rPr>
          <w:rFonts w:ascii="黑体" w:hAnsi="宋体" w:eastAsia="黑体" w:cs="黑体"/>
          <w:color w:val="auto"/>
          <w:kern w:val="0"/>
          <w:sz w:val="24"/>
        </w:rPr>
      </w:pPr>
      <w:bookmarkStart w:id="85" w:name="_Toc15970"/>
      <w:bookmarkStart w:id="86" w:name="_Toc195921819"/>
      <w:bookmarkStart w:id="87" w:name="_Toc13135"/>
      <w:r>
        <w:rPr>
          <w:rFonts w:hint="eastAsia" w:ascii="黑体" w:hAnsi="宋体" w:eastAsia="黑体" w:cs="黑体"/>
          <w:color w:val="auto"/>
          <w:kern w:val="0"/>
          <w:sz w:val="24"/>
        </w:rPr>
        <w:t>投标</w:t>
      </w:r>
      <w:bookmarkEnd w:id="85"/>
      <w:bookmarkEnd w:id="86"/>
      <w:bookmarkEnd w:id="87"/>
    </w:p>
    <w:p w14:paraId="25BFF3B0">
      <w:pPr>
        <w:numPr>
          <w:ilvl w:val="1"/>
          <w:numId w:val="3"/>
        </w:numPr>
        <w:autoSpaceDE w:val="0"/>
        <w:autoSpaceDN w:val="0"/>
        <w:adjustRightInd w:val="0"/>
        <w:snapToGrid w:val="0"/>
        <w:spacing w:afterLines="50"/>
        <w:ind w:left="1133" w:hanging="1132" w:hangingChars="472"/>
        <w:rPr>
          <w:rFonts w:ascii="宋体" w:hAnsi="宋体" w:cs="黑体"/>
          <w:color w:val="auto"/>
          <w:kern w:val="0"/>
          <w:sz w:val="24"/>
        </w:rPr>
      </w:pPr>
      <w:bookmarkStart w:id="88" w:name="_Toc195921821"/>
      <w:r>
        <w:rPr>
          <w:rFonts w:hint="eastAsia" w:ascii="宋体" w:hAnsi="宋体" w:cs="黑体"/>
          <w:color w:val="auto"/>
          <w:kern w:val="0"/>
          <w:sz w:val="24"/>
        </w:rPr>
        <w:t>投标文件的</w:t>
      </w:r>
      <w:bookmarkEnd w:id="88"/>
      <w:r>
        <w:rPr>
          <w:rFonts w:hint="eastAsia" w:ascii="宋体" w:hAnsi="宋体" w:cs="黑体"/>
          <w:color w:val="auto"/>
          <w:kern w:val="0"/>
          <w:sz w:val="24"/>
          <w:lang w:eastAsia="zh-CN"/>
        </w:rPr>
        <w:t>加密</w:t>
      </w:r>
    </w:p>
    <w:p w14:paraId="305CD881">
      <w:pPr>
        <w:numPr>
          <w:ilvl w:val="2"/>
          <w:numId w:val="3"/>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lang w:eastAsia="zh-CN"/>
        </w:rPr>
        <w:t>供应商应当按照</w:t>
      </w:r>
      <w:r>
        <w:rPr>
          <w:rFonts w:hint="eastAsia" w:ascii="宋体" w:hAnsi="宋体" w:cs="黑体"/>
          <w:color w:val="auto"/>
          <w:kern w:val="0"/>
          <w:sz w:val="24"/>
          <w:highlight w:val="none"/>
          <w:shd w:val="clear" w:color="auto" w:fill="auto"/>
        </w:rPr>
        <w:t>招标文件和电子交易平台的要求加密投标文件，具体要求见</w:t>
      </w:r>
      <w:r>
        <w:rPr>
          <w:rFonts w:hint="eastAsia" w:ascii="宋体" w:hAnsi="宋体" w:cs="黑体"/>
          <w:color w:val="auto"/>
          <w:kern w:val="0"/>
          <w:sz w:val="24"/>
          <w:highlight w:val="none"/>
          <w:shd w:val="clear" w:color="auto" w:fill="auto"/>
          <w:lang w:eastAsia="zh-CN"/>
        </w:rPr>
        <w:t>供应商</w:t>
      </w:r>
      <w:r>
        <w:rPr>
          <w:rFonts w:hint="eastAsia" w:ascii="宋体" w:hAnsi="宋体" w:cs="黑体"/>
          <w:color w:val="auto"/>
          <w:kern w:val="0"/>
          <w:sz w:val="24"/>
          <w:highlight w:val="none"/>
          <w:shd w:val="clear" w:color="auto" w:fill="auto"/>
        </w:rPr>
        <w:t>须知前附表。</w:t>
      </w:r>
    </w:p>
    <w:p w14:paraId="70969E91">
      <w:pPr>
        <w:numPr>
          <w:ilvl w:val="2"/>
          <w:numId w:val="3"/>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lang w:eastAsia="zh-CN"/>
        </w:rPr>
        <w:t>未按</w:t>
      </w:r>
      <w:r>
        <w:rPr>
          <w:rFonts w:hint="eastAsia" w:ascii="宋体" w:hAnsi="宋体" w:cs="黑体"/>
          <w:color w:val="auto"/>
          <w:kern w:val="0"/>
          <w:sz w:val="24"/>
          <w:highlight w:val="none"/>
          <w:shd w:val="clear" w:color="auto" w:fill="auto"/>
        </w:rPr>
        <w:t>本章第</w:t>
      </w:r>
      <w:r>
        <w:rPr>
          <w:rFonts w:ascii="宋体" w:hAnsi="宋体" w:cs="黑体"/>
          <w:color w:val="auto"/>
          <w:kern w:val="0"/>
          <w:sz w:val="24"/>
          <w:highlight w:val="none"/>
          <w:shd w:val="clear" w:color="auto" w:fill="auto"/>
        </w:rPr>
        <w:fldChar w:fldCharType="begin"/>
      </w:r>
      <w:r>
        <w:instrText xml:space="preserve">REF_Ref421008470\r\h \* MERGEFORMAT</w:instrText>
      </w:r>
      <w:r>
        <w:rPr>
          <w:rFonts w:ascii="宋体" w:hAnsi="宋体" w:cs="黑体"/>
          <w:color w:val="auto"/>
          <w:kern w:val="0"/>
          <w:sz w:val="24"/>
          <w:highlight w:val="none"/>
          <w:shd w:val="clear" w:color="auto" w:fill="auto"/>
        </w:rPr>
        <w:fldChar w:fldCharType="separate"/>
      </w:r>
      <w:r>
        <w:rPr>
          <w:rFonts w:ascii="宋体" w:hAnsi="宋体" w:cs="黑体"/>
          <w:color w:val="auto"/>
          <w:kern w:val="0"/>
          <w:sz w:val="24"/>
          <w:highlight w:val="none"/>
          <w:shd w:val="clear" w:color="auto" w:fill="auto"/>
        </w:rPr>
        <w:t>4.1.1</w:t>
      </w:r>
      <w:r>
        <w:rPr>
          <w:rFonts w:ascii="宋体" w:hAnsi="宋体" w:cs="黑体"/>
          <w:color w:val="auto"/>
          <w:kern w:val="0"/>
          <w:sz w:val="24"/>
          <w:highlight w:val="none"/>
          <w:shd w:val="clear" w:color="auto" w:fill="auto"/>
        </w:rPr>
        <w:fldChar w:fldCharType="end"/>
      </w:r>
      <w:r>
        <w:rPr>
          <w:rFonts w:hint="eastAsia" w:ascii="宋体" w:hAnsi="宋体" w:cs="黑体"/>
          <w:color w:val="auto"/>
          <w:kern w:val="0"/>
          <w:sz w:val="24"/>
          <w:highlight w:val="none"/>
          <w:shd w:val="clear" w:color="auto" w:fill="auto"/>
        </w:rPr>
        <w:t>项要求</w:t>
      </w:r>
      <w:r>
        <w:rPr>
          <w:rFonts w:hint="eastAsia" w:ascii="宋体" w:hAnsi="宋体" w:cs="黑体"/>
          <w:color w:val="auto"/>
          <w:kern w:val="0"/>
          <w:sz w:val="24"/>
          <w:highlight w:val="none"/>
          <w:shd w:val="clear" w:color="auto" w:fill="auto"/>
          <w:lang w:val="en-US" w:eastAsia="zh-CN"/>
        </w:rPr>
        <w:t>加密</w:t>
      </w:r>
      <w:r>
        <w:rPr>
          <w:rFonts w:hint="eastAsia" w:ascii="宋体" w:hAnsi="宋体" w:cs="黑体"/>
          <w:color w:val="auto"/>
          <w:kern w:val="0"/>
          <w:sz w:val="24"/>
          <w:highlight w:val="none"/>
          <w:shd w:val="clear" w:color="auto" w:fill="auto"/>
        </w:rPr>
        <w:t>的投标文件，电子交易平台</w:t>
      </w:r>
      <w:r>
        <w:rPr>
          <w:rFonts w:hint="eastAsia" w:ascii="宋体" w:hAnsi="宋体" w:cs="黑体"/>
          <w:color w:val="auto"/>
          <w:kern w:val="0"/>
          <w:sz w:val="24"/>
          <w:highlight w:val="none"/>
          <w:shd w:val="clear" w:color="auto" w:fill="auto"/>
          <w:lang w:val="en-US" w:eastAsia="zh-CN"/>
        </w:rPr>
        <w:t>将予以拒收</w:t>
      </w:r>
      <w:r>
        <w:rPr>
          <w:rFonts w:hint="eastAsia" w:ascii="宋体" w:hAnsi="宋体" w:cs="黑体"/>
          <w:color w:val="auto"/>
          <w:kern w:val="0"/>
          <w:sz w:val="24"/>
          <w:highlight w:val="none"/>
          <w:shd w:val="clear" w:color="auto" w:fill="auto"/>
        </w:rPr>
        <w:t>。</w:t>
      </w:r>
    </w:p>
    <w:p w14:paraId="0DDBF8A5">
      <w:pPr>
        <w:numPr>
          <w:ilvl w:val="1"/>
          <w:numId w:val="3"/>
        </w:numPr>
        <w:autoSpaceDE w:val="0"/>
        <w:autoSpaceDN w:val="0"/>
        <w:adjustRightInd w:val="0"/>
        <w:snapToGrid w:val="0"/>
        <w:spacing w:afterLines="50"/>
        <w:ind w:left="1133" w:hanging="1132" w:hangingChars="472"/>
        <w:rPr>
          <w:rFonts w:ascii="宋体" w:hAnsi="宋体" w:cs="黑体"/>
          <w:color w:val="auto"/>
          <w:kern w:val="0"/>
          <w:sz w:val="24"/>
        </w:rPr>
      </w:pPr>
      <w:bookmarkStart w:id="89" w:name="_Toc195921822"/>
      <w:r>
        <w:rPr>
          <w:rFonts w:hint="eastAsia" w:ascii="宋体" w:hAnsi="宋体" w:cs="黑体"/>
          <w:color w:val="auto"/>
          <w:kern w:val="0"/>
          <w:sz w:val="24"/>
        </w:rPr>
        <w:t>投标文件</w:t>
      </w:r>
      <w:bookmarkEnd w:id="89"/>
      <w:r>
        <w:rPr>
          <w:rFonts w:hint="eastAsia" w:ascii="宋体" w:hAnsi="宋体" w:cs="黑体"/>
          <w:color w:val="auto"/>
          <w:kern w:val="0"/>
          <w:sz w:val="24"/>
          <w:lang w:eastAsia="zh-CN"/>
        </w:rPr>
        <w:t>递交</w:t>
      </w:r>
    </w:p>
    <w:p w14:paraId="2BCDF74D">
      <w:pPr>
        <w:numPr>
          <w:ilvl w:val="2"/>
          <w:numId w:val="3"/>
        </w:numPr>
        <w:tabs>
          <w:tab w:val="left" w:pos="1260"/>
        </w:tabs>
        <w:autoSpaceDE w:val="0"/>
        <w:autoSpaceDN w:val="0"/>
        <w:adjustRightInd w:val="0"/>
        <w:snapToGrid w:val="0"/>
        <w:spacing w:afterLines="50"/>
        <w:rPr>
          <w:rFonts w:hint="eastAsia" w:ascii="宋体" w:hAnsi="宋体" w:cs="黑体"/>
          <w:color w:val="auto"/>
          <w:kern w:val="0"/>
          <w:sz w:val="24"/>
          <w:szCs w:val="24"/>
          <w:lang w:eastAsia="zh-CN"/>
        </w:rPr>
      </w:pPr>
      <w:r>
        <w:rPr>
          <w:rFonts w:hint="eastAsia" w:ascii="宋体" w:hAnsi="宋体" w:cs="黑体"/>
          <w:color w:val="auto"/>
          <w:kern w:val="0"/>
          <w:sz w:val="24"/>
          <w:szCs w:val="24"/>
          <w:lang w:eastAsia="zh-CN"/>
        </w:rPr>
        <w:t>供应商应在招标文件要求提交投标文件的截止时间前，将投标文件</w:t>
      </w:r>
      <w:r>
        <w:rPr>
          <w:rFonts w:hint="eastAsia" w:ascii="宋体" w:hAnsi="宋体" w:cs="黑体"/>
          <w:color w:val="auto"/>
          <w:kern w:val="0"/>
          <w:sz w:val="24"/>
          <w:szCs w:val="24"/>
          <w:lang w:val="en-US" w:eastAsia="zh-CN"/>
        </w:rPr>
        <w:t>上传至电子交易平台</w:t>
      </w:r>
      <w:r>
        <w:rPr>
          <w:rFonts w:hint="eastAsia" w:ascii="宋体" w:hAnsi="宋体" w:cs="黑体"/>
          <w:color w:val="auto"/>
          <w:kern w:val="0"/>
          <w:sz w:val="24"/>
          <w:szCs w:val="24"/>
          <w:lang w:eastAsia="zh-CN"/>
        </w:rPr>
        <w:t>。</w:t>
      </w:r>
    </w:p>
    <w:p w14:paraId="1B44093E">
      <w:pPr>
        <w:numPr>
          <w:ilvl w:val="2"/>
          <w:numId w:val="3"/>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lang w:eastAsia="zh-CN"/>
        </w:rPr>
        <w:t>供应商</w:t>
      </w:r>
      <w:r>
        <w:rPr>
          <w:rFonts w:hint="eastAsia" w:ascii="宋体" w:hAnsi="宋体" w:cs="黑体"/>
          <w:color w:val="auto"/>
          <w:kern w:val="0"/>
          <w:sz w:val="24"/>
        </w:rPr>
        <w:t>递交投标文件的地点：见</w:t>
      </w:r>
      <w:r>
        <w:rPr>
          <w:rFonts w:hint="eastAsia" w:ascii="宋体" w:hAnsi="宋体" w:cs="黑体"/>
          <w:color w:val="auto"/>
          <w:kern w:val="0"/>
          <w:sz w:val="24"/>
          <w:lang w:val="en-US" w:eastAsia="zh-CN"/>
        </w:rPr>
        <w:t>招标公告</w:t>
      </w:r>
      <w:r>
        <w:rPr>
          <w:rFonts w:hint="eastAsia" w:ascii="宋体" w:hAnsi="宋体" w:cs="黑体"/>
          <w:color w:val="auto"/>
          <w:kern w:val="0"/>
          <w:sz w:val="24"/>
        </w:rPr>
        <w:t>。</w:t>
      </w:r>
    </w:p>
    <w:p w14:paraId="14A3A84A">
      <w:pPr>
        <w:numPr>
          <w:ilvl w:val="2"/>
          <w:numId w:val="3"/>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lang w:eastAsia="zh-CN"/>
        </w:rPr>
        <w:t>供应商所递交的投标文件不予退还。</w:t>
      </w:r>
    </w:p>
    <w:p w14:paraId="56EE72C5">
      <w:pPr>
        <w:numPr>
          <w:ilvl w:val="2"/>
          <w:numId w:val="3"/>
        </w:numPr>
        <w:tabs>
          <w:tab w:val="left" w:pos="1260"/>
        </w:tabs>
        <w:autoSpaceDE w:val="0"/>
        <w:autoSpaceDN w:val="0"/>
        <w:adjustRightInd w:val="0"/>
        <w:snapToGrid w:val="0"/>
        <w:spacing w:afterLines="50"/>
        <w:rPr>
          <w:rFonts w:ascii="宋体" w:hAnsi="宋体" w:cs="黑体"/>
          <w:color w:val="auto"/>
          <w:kern w:val="0"/>
          <w:sz w:val="24"/>
        </w:rPr>
      </w:pPr>
      <w:r>
        <w:rPr>
          <w:rFonts w:hint="eastAsia"/>
          <w:color w:val="auto"/>
          <w:sz w:val="24"/>
          <w:highlight w:val="none"/>
          <w:shd w:val="clear" w:color="auto" w:fill="auto"/>
        </w:rPr>
        <w:t>逾期送达的投标文件，电子交易平台将予以拒收</w:t>
      </w:r>
      <w:r>
        <w:rPr>
          <w:rFonts w:hint="eastAsia" w:ascii="宋体" w:hAnsi="宋体" w:cs="黑体"/>
          <w:color w:val="auto"/>
          <w:kern w:val="0"/>
          <w:sz w:val="24"/>
          <w:highlight w:val="none"/>
          <w:shd w:val="clear" w:color="auto" w:fill="auto"/>
        </w:rPr>
        <w:t>。</w:t>
      </w:r>
    </w:p>
    <w:p w14:paraId="77CBDB96">
      <w:pPr>
        <w:numPr>
          <w:ilvl w:val="1"/>
          <w:numId w:val="3"/>
        </w:numPr>
        <w:autoSpaceDE w:val="0"/>
        <w:autoSpaceDN w:val="0"/>
        <w:adjustRightInd w:val="0"/>
        <w:snapToGrid w:val="0"/>
        <w:spacing w:afterLines="50"/>
        <w:ind w:left="1133" w:hanging="1132" w:hangingChars="472"/>
        <w:rPr>
          <w:rFonts w:hint="eastAsia" w:ascii="宋体" w:hAnsi="宋体" w:eastAsia="宋体" w:cs="黑体"/>
          <w:color w:val="auto"/>
          <w:kern w:val="0"/>
          <w:sz w:val="24"/>
        </w:rPr>
      </w:pPr>
      <w:r>
        <w:rPr>
          <w:rFonts w:hint="eastAsia" w:ascii="宋体" w:hAnsi="宋体" w:eastAsia="宋体" w:cs="黑体"/>
          <w:color w:val="auto"/>
          <w:kern w:val="0"/>
          <w:sz w:val="24"/>
        </w:rPr>
        <w:t>投标文件的修改与撤回</w:t>
      </w:r>
    </w:p>
    <w:p w14:paraId="2EE34DDE">
      <w:pPr>
        <w:numPr>
          <w:ilvl w:val="2"/>
          <w:numId w:val="3"/>
        </w:numPr>
        <w:autoSpaceDE w:val="0"/>
        <w:autoSpaceDN w:val="0"/>
        <w:adjustRightInd w:val="0"/>
        <w:snapToGrid w:val="0"/>
        <w:spacing w:afterLines="50"/>
        <w:ind w:left="1134" w:leftChars="0" w:hanging="1134" w:firstLineChars="0"/>
        <w:rPr>
          <w:rFonts w:hint="eastAsia" w:ascii="宋体" w:hAnsi="宋体" w:eastAsia="宋体" w:cs="黑体"/>
          <w:color w:val="auto"/>
          <w:kern w:val="0"/>
          <w:sz w:val="24"/>
        </w:rPr>
      </w:pPr>
      <w:r>
        <w:rPr>
          <w:rFonts w:hint="eastAsia" w:ascii="宋体" w:hAnsi="宋体" w:eastAsia="宋体" w:cs="黑体"/>
          <w:color w:val="auto"/>
          <w:kern w:val="0"/>
          <w:sz w:val="24"/>
        </w:rPr>
        <w:t>在</w:t>
      </w:r>
      <w:r>
        <w:rPr>
          <w:rFonts w:hint="eastAsia" w:ascii="宋体" w:hAnsi="宋体" w:eastAsia="宋体" w:cs="黑体"/>
          <w:color w:val="auto"/>
          <w:kern w:val="0"/>
          <w:sz w:val="24"/>
          <w:lang w:val="en-US" w:eastAsia="zh-CN"/>
        </w:rPr>
        <w:t>招标公告</w:t>
      </w:r>
      <w:r>
        <w:rPr>
          <w:rFonts w:hint="eastAsia" w:ascii="宋体" w:hAnsi="宋体" w:eastAsia="宋体" w:cs="黑体"/>
          <w:color w:val="auto"/>
          <w:kern w:val="0"/>
          <w:sz w:val="24"/>
        </w:rPr>
        <w:t>规定的投标截止时间前，</w:t>
      </w:r>
      <w:r>
        <w:rPr>
          <w:rFonts w:hint="eastAsia" w:ascii="宋体" w:hAnsi="宋体" w:cs="黑体"/>
          <w:color w:val="auto"/>
          <w:kern w:val="0"/>
          <w:sz w:val="24"/>
          <w:lang w:eastAsia="zh-CN"/>
        </w:rPr>
        <w:t>供应商</w:t>
      </w:r>
      <w:r>
        <w:rPr>
          <w:rFonts w:hint="eastAsia" w:ascii="宋体" w:hAnsi="宋体" w:eastAsia="宋体" w:cs="黑体"/>
          <w:color w:val="auto"/>
          <w:kern w:val="0"/>
          <w:sz w:val="24"/>
        </w:rPr>
        <w:t>可以</w:t>
      </w:r>
      <w:r>
        <w:rPr>
          <w:rFonts w:hint="eastAsia" w:ascii="宋体" w:hAnsi="宋体" w:eastAsia="宋体" w:cs="黑体"/>
          <w:color w:val="auto"/>
          <w:kern w:val="0"/>
          <w:sz w:val="24"/>
          <w:lang w:val="en-US" w:eastAsia="zh-CN"/>
        </w:rPr>
        <w:t>通过</w:t>
      </w:r>
      <w:r>
        <w:rPr>
          <w:rFonts w:hint="eastAsia" w:ascii="宋体" w:hAnsi="宋体" w:eastAsia="宋体" w:cs="黑体"/>
          <w:color w:val="auto"/>
          <w:kern w:val="0"/>
          <w:sz w:val="24"/>
        </w:rPr>
        <w:t>电子交易平台修改或撤回已递交的投标文件。</w:t>
      </w:r>
    </w:p>
    <w:p w14:paraId="1FF729A6">
      <w:pPr>
        <w:numPr>
          <w:ilvl w:val="2"/>
          <w:numId w:val="3"/>
        </w:numPr>
        <w:autoSpaceDE w:val="0"/>
        <w:autoSpaceDN w:val="0"/>
        <w:adjustRightInd w:val="0"/>
        <w:snapToGrid w:val="0"/>
        <w:spacing w:afterLines="50"/>
        <w:ind w:left="1134" w:leftChars="0" w:hanging="1134" w:firstLineChars="0"/>
        <w:rPr>
          <w:rFonts w:hint="eastAsia" w:ascii="宋体" w:hAnsi="宋体" w:eastAsia="宋体" w:cs="黑体"/>
          <w:color w:val="auto"/>
          <w:kern w:val="0"/>
          <w:sz w:val="24"/>
        </w:rPr>
      </w:pPr>
      <w:r>
        <w:rPr>
          <w:rFonts w:hint="eastAsia" w:ascii="宋体" w:hAnsi="宋体" w:cs="黑体"/>
          <w:color w:val="auto"/>
          <w:kern w:val="0"/>
          <w:sz w:val="24"/>
          <w:highlight w:val="none"/>
          <w:shd w:val="clear" w:color="auto" w:fill="auto"/>
        </w:rPr>
        <w:t>修改的投标文件应按照本章第</w:t>
      </w:r>
      <w:r>
        <w:rPr>
          <w:rFonts w:ascii="宋体" w:hAnsi="宋体" w:cs="黑体"/>
          <w:color w:val="auto"/>
          <w:kern w:val="0"/>
          <w:sz w:val="24"/>
          <w:highlight w:val="none"/>
          <w:shd w:val="clear" w:color="auto" w:fill="auto"/>
        </w:rPr>
        <w:t>3</w:t>
      </w:r>
      <w:r>
        <w:rPr>
          <w:rFonts w:hint="eastAsia" w:ascii="宋体" w:hAnsi="宋体" w:cs="黑体"/>
          <w:color w:val="auto"/>
          <w:kern w:val="0"/>
          <w:sz w:val="24"/>
          <w:highlight w:val="none"/>
          <w:shd w:val="clear" w:color="auto" w:fill="auto"/>
        </w:rPr>
        <w:t>条、第</w:t>
      </w:r>
      <w:r>
        <w:rPr>
          <w:rFonts w:ascii="宋体" w:hAnsi="宋体" w:cs="黑体"/>
          <w:color w:val="auto"/>
          <w:kern w:val="0"/>
          <w:sz w:val="24"/>
          <w:highlight w:val="none"/>
          <w:shd w:val="clear" w:color="auto" w:fill="auto"/>
        </w:rPr>
        <w:t>4</w:t>
      </w:r>
      <w:r>
        <w:rPr>
          <w:rFonts w:hint="eastAsia" w:ascii="宋体" w:hAnsi="宋体" w:cs="黑体"/>
          <w:color w:val="auto"/>
          <w:kern w:val="0"/>
          <w:sz w:val="24"/>
          <w:highlight w:val="none"/>
          <w:shd w:val="clear" w:color="auto" w:fill="auto"/>
        </w:rPr>
        <w:t>条规定进行</w:t>
      </w:r>
      <w:r>
        <w:rPr>
          <w:rFonts w:hint="eastAsia" w:ascii="宋体" w:hAnsi="宋体" w:cs="黑体"/>
          <w:color w:val="auto"/>
          <w:kern w:val="0"/>
          <w:sz w:val="24"/>
          <w:highlight w:val="none"/>
          <w:shd w:val="clear" w:color="auto" w:fill="auto"/>
          <w:lang w:val="en-US" w:eastAsia="zh-CN"/>
        </w:rPr>
        <w:t>加盖电子印章、加密</w:t>
      </w:r>
      <w:r>
        <w:rPr>
          <w:rFonts w:hint="eastAsia" w:ascii="宋体" w:hAnsi="宋体" w:cs="黑体"/>
          <w:color w:val="auto"/>
          <w:kern w:val="0"/>
          <w:sz w:val="24"/>
          <w:highlight w:val="none"/>
          <w:shd w:val="clear" w:color="auto" w:fill="auto"/>
        </w:rPr>
        <w:t>和递交。</w:t>
      </w:r>
      <w:r>
        <w:rPr>
          <w:rFonts w:hint="eastAsia" w:ascii="宋体" w:hAnsi="宋体" w:cs="黑体"/>
          <w:color w:val="auto"/>
          <w:kern w:val="0"/>
          <w:sz w:val="24"/>
          <w:highlight w:val="none"/>
          <w:shd w:val="clear" w:color="auto" w:fill="auto"/>
          <w:lang w:val="en-US" w:eastAsia="zh-CN"/>
        </w:rPr>
        <w:t>符合《电子印章管理办法》规定的</w:t>
      </w:r>
      <w:r>
        <w:rPr>
          <w:rFonts w:hint="eastAsia" w:ascii="宋体" w:hAnsi="宋体" w:cs="黑体"/>
          <w:color w:val="auto"/>
          <w:kern w:val="0"/>
          <w:sz w:val="24"/>
          <w:highlight w:val="none"/>
          <w:shd w:val="clear" w:color="auto" w:fill="auto"/>
        </w:rPr>
        <w:t>电子印章与实物印章具有同等法律效力。除法律、行政法规明确不适用的情形外，经电子签章的电子文件与加盖实物印章的纸质文件具有同等效力。</w:t>
      </w:r>
    </w:p>
    <w:p w14:paraId="37BE30BA">
      <w:pPr>
        <w:numPr>
          <w:ilvl w:val="2"/>
          <w:numId w:val="3"/>
        </w:numPr>
        <w:autoSpaceDE w:val="0"/>
        <w:autoSpaceDN w:val="0"/>
        <w:adjustRightInd w:val="0"/>
        <w:snapToGrid w:val="0"/>
        <w:spacing w:afterLines="50"/>
        <w:ind w:left="1134" w:leftChars="0" w:hanging="1134" w:firstLineChars="0"/>
        <w:rPr>
          <w:rFonts w:hint="eastAsia" w:ascii="宋体" w:hAnsi="宋体" w:eastAsia="宋体" w:cs="黑体"/>
          <w:color w:val="auto"/>
          <w:kern w:val="0"/>
          <w:sz w:val="24"/>
        </w:rPr>
      </w:pPr>
      <w:r>
        <w:rPr>
          <w:rFonts w:hint="eastAsia" w:ascii="宋体" w:hAnsi="宋体" w:cs="黑体"/>
          <w:color w:val="auto"/>
          <w:kern w:val="0"/>
          <w:sz w:val="24"/>
          <w:highlight w:val="none"/>
          <w:shd w:val="clear" w:color="auto" w:fill="auto"/>
        </w:rPr>
        <w:t>在投标截止时间前，除</w:t>
      </w:r>
      <w:r>
        <w:rPr>
          <w:rFonts w:hint="eastAsia" w:ascii="宋体" w:hAnsi="宋体" w:cs="黑体"/>
          <w:color w:val="auto"/>
          <w:kern w:val="0"/>
          <w:sz w:val="24"/>
          <w:highlight w:val="none"/>
          <w:shd w:val="clear" w:color="auto" w:fill="auto"/>
          <w:lang w:eastAsia="zh-CN"/>
        </w:rPr>
        <w:t>供应商</w:t>
      </w:r>
      <w:r>
        <w:rPr>
          <w:rFonts w:hint="eastAsia" w:ascii="宋体" w:hAnsi="宋体" w:cs="黑体"/>
          <w:color w:val="auto"/>
          <w:kern w:val="0"/>
          <w:sz w:val="24"/>
          <w:highlight w:val="none"/>
          <w:shd w:val="clear" w:color="auto" w:fill="auto"/>
        </w:rPr>
        <w:t>补充、修改或者撤回投标文件外，任何单位和个人不得解密、提取投标文件</w:t>
      </w:r>
      <w:r>
        <w:rPr>
          <w:rFonts w:hint="eastAsia" w:ascii="宋体" w:hAnsi="宋体" w:cs="黑体"/>
          <w:color w:val="auto"/>
          <w:kern w:val="0"/>
          <w:sz w:val="24"/>
          <w:highlight w:val="none"/>
          <w:shd w:val="clear" w:color="auto" w:fill="auto"/>
          <w:lang w:eastAsia="zh-CN"/>
        </w:rPr>
        <w:t>。</w:t>
      </w:r>
    </w:p>
    <w:p w14:paraId="334D5C6D">
      <w:pPr>
        <w:numPr>
          <w:ilvl w:val="0"/>
          <w:numId w:val="3"/>
        </w:numPr>
        <w:autoSpaceDE w:val="0"/>
        <w:autoSpaceDN w:val="0"/>
        <w:adjustRightInd w:val="0"/>
        <w:spacing w:afterLines="50"/>
        <w:outlineLvl w:val="2"/>
        <w:rPr>
          <w:rFonts w:ascii="黑体" w:hAnsi="宋体" w:eastAsia="黑体" w:cs="黑体"/>
          <w:color w:val="auto"/>
          <w:kern w:val="0"/>
          <w:sz w:val="24"/>
        </w:rPr>
      </w:pPr>
      <w:bookmarkStart w:id="90" w:name="_Toc16836"/>
      <w:bookmarkStart w:id="91" w:name="_Toc195921823"/>
      <w:bookmarkStart w:id="92" w:name="_Toc18410"/>
      <w:r>
        <w:rPr>
          <w:rFonts w:hint="eastAsia" w:ascii="黑体" w:hAnsi="宋体" w:eastAsia="黑体" w:cs="黑体"/>
          <w:color w:val="auto"/>
          <w:kern w:val="0"/>
          <w:sz w:val="24"/>
        </w:rPr>
        <w:t>开标</w:t>
      </w:r>
      <w:bookmarkEnd w:id="90"/>
      <w:bookmarkEnd w:id="91"/>
      <w:bookmarkEnd w:id="92"/>
    </w:p>
    <w:p w14:paraId="78DB067A">
      <w:pPr>
        <w:numPr>
          <w:ilvl w:val="1"/>
          <w:numId w:val="3"/>
        </w:numPr>
        <w:autoSpaceDE w:val="0"/>
        <w:autoSpaceDN w:val="0"/>
        <w:adjustRightInd w:val="0"/>
        <w:snapToGrid w:val="0"/>
        <w:spacing w:afterLines="50"/>
        <w:ind w:left="1133" w:hanging="1132" w:hangingChars="472"/>
        <w:rPr>
          <w:rFonts w:ascii="宋体" w:hAnsi="宋体" w:cs="黑体"/>
          <w:color w:val="auto"/>
          <w:kern w:val="0"/>
          <w:sz w:val="24"/>
        </w:rPr>
      </w:pPr>
      <w:bookmarkStart w:id="93" w:name="_Toc195921824"/>
      <w:r>
        <w:rPr>
          <w:rFonts w:hint="eastAsia" w:ascii="宋体" w:hAnsi="宋体" w:cs="黑体"/>
          <w:color w:val="auto"/>
          <w:kern w:val="0"/>
          <w:sz w:val="24"/>
        </w:rPr>
        <w:t>开标时间和地点</w:t>
      </w:r>
      <w:bookmarkEnd w:id="93"/>
    </w:p>
    <w:p w14:paraId="271C3146">
      <w:pPr>
        <w:tabs>
          <w:tab w:val="left" w:pos="1260"/>
        </w:tabs>
        <w:autoSpaceDE w:val="0"/>
        <w:autoSpaceDN w:val="0"/>
        <w:adjustRightInd w:val="0"/>
        <w:snapToGrid w:val="0"/>
        <w:spacing w:after="158" w:afterLines="50"/>
        <w:ind w:left="1134"/>
        <w:rPr>
          <w:rFonts w:hint="eastAsia" w:ascii="宋体" w:hAnsi="宋体" w:cs="黑体"/>
          <w:color w:val="auto"/>
          <w:kern w:val="0"/>
          <w:szCs w:val="21"/>
        </w:rPr>
      </w:pPr>
      <w:r>
        <w:rPr>
          <w:rFonts w:hint="eastAsia" w:ascii="宋体" w:hAnsi="宋体" w:cs="黑体"/>
          <w:color w:val="auto"/>
          <w:kern w:val="0"/>
          <w:sz w:val="24"/>
          <w:szCs w:val="24"/>
        </w:rPr>
        <w:t>采购人在招标公告</w:t>
      </w:r>
      <w:r>
        <w:rPr>
          <w:rFonts w:hint="eastAsia" w:ascii="宋体" w:hAnsi="宋体" w:cs="黑体"/>
          <w:color w:val="auto"/>
          <w:kern w:val="0"/>
          <w:sz w:val="24"/>
          <w:highlight w:val="none"/>
          <w:shd w:val="clear" w:color="auto" w:fill="auto"/>
        </w:rPr>
        <w:t>规定的投标截止时间（开标时间），通过电子交易平台</w:t>
      </w:r>
      <w:r>
        <w:rPr>
          <w:rFonts w:hint="eastAsia" w:ascii="宋体" w:hAnsi="宋体" w:cs="黑体"/>
          <w:color w:val="auto"/>
          <w:kern w:val="0"/>
          <w:sz w:val="24"/>
          <w:highlight w:val="none"/>
          <w:shd w:val="clear" w:color="auto" w:fill="auto"/>
          <w:lang w:val="en-US" w:eastAsia="zh-CN"/>
        </w:rPr>
        <w:t>组织开标，并</w:t>
      </w:r>
      <w:r>
        <w:rPr>
          <w:rFonts w:hint="eastAsia" w:ascii="宋体" w:hAnsi="宋体" w:cs="黑体"/>
          <w:color w:val="auto"/>
          <w:kern w:val="0"/>
          <w:sz w:val="24"/>
          <w:highlight w:val="none"/>
          <w:shd w:val="clear" w:color="auto" w:fill="auto"/>
        </w:rPr>
        <w:t>邀请所有</w:t>
      </w:r>
      <w:r>
        <w:rPr>
          <w:rFonts w:hint="eastAsia" w:ascii="宋体" w:hAnsi="宋体" w:cs="黑体"/>
          <w:color w:val="auto"/>
          <w:kern w:val="0"/>
          <w:sz w:val="24"/>
          <w:highlight w:val="none"/>
          <w:shd w:val="clear" w:color="auto" w:fill="auto"/>
          <w:lang w:eastAsia="zh-CN"/>
        </w:rPr>
        <w:t>供应商</w:t>
      </w:r>
      <w:r>
        <w:rPr>
          <w:rFonts w:hint="eastAsia" w:ascii="宋体" w:hAnsi="宋体" w:cs="黑体"/>
          <w:color w:val="auto"/>
          <w:kern w:val="0"/>
          <w:sz w:val="24"/>
          <w:highlight w:val="none"/>
          <w:shd w:val="clear" w:color="auto" w:fill="auto"/>
        </w:rPr>
        <w:t>的法定代表人或其委托代理人准时参加。</w:t>
      </w:r>
    </w:p>
    <w:p w14:paraId="4F715C5D">
      <w:pPr>
        <w:numPr>
          <w:ilvl w:val="1"/>
          <w:numId w:val="3"/>
        </w:numPr>
        <w:autoSpaceDE w:val="0"/>
        <w:autoSpaceDN w:val="0"/>
        <w:adjustRightInd w:val="0"/>
        <w:snapToGrid w:val="0"/>
        <w:spacing w:afterLines="50"/>
        <w:ind w:left="1133" w:hanging="1132" w:hangingChars="472"/>
        <w:rPr>
          <w:rFonts w:hint="eastAsia" w:ascii="宋体" w:hAnsi="宋体" w:eastAsia="宋体" w:cs="黑体"/>
          <w:color w:val="auto"/>
          <w:kern w:val="0"/>
          <w:sz w:val="24"/>
        </w:rPr>
      </w:pPr>
      <w:r>
        <w:rPr>
          <w:rFonts w:hint="eastAsia" w:ascii="宋体" w:hAnsi="宋体" w:eastAsia="宋体" w:cs="黑体"/>
          <w:color w:val="auto"/>
          <w:kern w:val="0"/>
          <w:sz w:val="24"/>
        </w:rPr>
        <w:t>开标时，</w:t>
      </w:r>
      <w:r>
        <w:rPr>
          <w:rFonts w:hint="eastAsia" w:ascii="宋体" w:hAnsi="宋体" w:eastAsia="宋体" w:cs="黑体"/>
          <w:color w:val="auto"/>
          <w:kern w:val="0"/>
          <w:sz w:val="24"/>
          <w:lang w:val="en-US" w:eastAsia="zh-CN"/>
        </w:rPr>
        <w:t>电子交易平台将自动公布已递交投标文件的</w:t>
      </w:r>
      <w:r>
        <w:rPr>
          <w:rFonts w:hint="eastAsia" w:ascii="宋体" w:hAnsi="宋体" w:cs="黑体"/>
          <w:color w:val="auto"/>
          <w:kern w:val="0"/>
          <w:sz w:val="24"/>
          <w:lang w:val="en-US" w:eastAsia="zh-CN"/>
        </w:rPr>
        <w:t>供应商</w:t>
      </w:r>
      <w:r>
        <w:rPr>
          <w:rFonts w:hint="eastAsia" w:ascii="宋体" w:hAnsi="宋体" w:eastAsia="宋体" w:cs="黑体"/>
          <w:color w:val="auto"/>
          <w:kern w:val="0"/>
          <w:sz w:val="24"/>
          <w:lang w:val="en-US" w:eastAsia="zh-CN"/>
        </w:rPr>
        <w:t>名单</w:t>
      </w:r>
      <w:r>
        <w:rPr>
          <w:rFonts w:hint="eastAsia" w:ascii="宋体" w:hAnsi="宋体" w:eastAsia="宋体" w:cs="黑体"/>
          <w:color w:val="auto"/>
          <w:kern w:val="0"/>
          <w:sz w:val="24"/>
        </w:rPr>
        <w:t>。</w:t>
      </w:r>
      <w:r>
        <w:rPr>
          <w:rFonts w:hint="eastAsia" w:ascii="宋体" w:hAnsi="宋体" w:cs="黑体"/>
          <w:color w:val="auto"/>
          <w:kern w:val="0"/>
          <w:sz w:val="24"/>
          <w:lang w:eastAsia="zh-CN"/>
        </w:rPr>
        <w:t>供应商</w:t>
      </w:r>
      <w:r>
        <w:rPr>
          <w:rFonts w:hint="eastAsia" w:ascii="宋体" w:hAnsi="宋体" w:eastAsia="宋体" w:cs="黑体"/>
          <w:color w:val="auto"/>
          <w:kern w:val="0"/>
          <w:sz w:val="24"/>
        </w:rPr>
        <w:t>不足3家的，不进行开标。</w:t>
      </w:r>
    </w:p>
    <w:p w14:paraId="5C8A074B">
      <w:pPr>
        <w:keepNext w:val="0"/>
        <w:keepLines w:val="0"/>
        <w:pageBreakBefore w:val="0"/>
        <w:widowControl w:val="0"/>
        <w:numPr>
          <w:ilvl w:val="1"/>
          <w:numId w:val="3"/>
        </w:numPr>
        <w:kinsoku/>
        <w:wordWrap/>
        <w:overflowPunct/>
        <w:topLinePunct w:val="0"/>
        <w:autoSpaceDE w:val="0"/>
        <w:autoSpaceDN w:val="0"/>
        <w:bidi w:val="0"/>
        <w:adjustRightInd w:val="0"/>
        <w:snapToGrid w:val="0"/>
        <w:spacing w:afterLines="50"/>
        <w:ind w:left="0" w:hanging="1132" w:hangingChars="472"/>
        <w:textAlignment w:val="auto"/>
        <w:rPr>
          <w:rFonts w:hint="eastAsia" w:ascii="宋体" w:hAnsi="宋体" w:eastAsia="宋体" w:cs="黑体"/>
          <w:color w:val="auto"/>
          <w:kern w:val="0"/>
          <w:sz w:val="24"/>
        </w:rPr>
      </w:pPr>
      <w:r>
        <w:rPr>
          <w:rFonts w:hint="eastAsia" w:ascii="宋体" w:hAnsi="宋体" w:cs="黑体"/>
          <w:color w:val="auto"/>
          <w:kern w:val="0"/>
          <w:sz w:val="24"/>
          <w:szCs w:val="24"/>
          <w:highlight w:val="none"/>
          <w:shd w:val="clear" w:color="auto" w:fill="auto"/>
          <w:lang w:val="en-US" w:eastAsia="zh-CN" w:bidi="ar-SA"/>
        </w:rPr>
        <w:t>供应商名单公布后，供应商根据电子交易平台发出解密通知后开始对加密投标文件进行线上解密，供应商须在解密通知发出后30分钟内完成解密</w:t>
      </w:r>
      <w:r>
        <w:rPr>
          <w:rFonts w:hint="eastAsia" w:hAnsi="宋体" w:cs="宋体"/>
          <w:color w:val="auto"/>
          <w:sz w:val="24"/>
          <w:szCs w:val="24"/>
          <w:highlight w:val="none"/>
          <w:shd w:val="clear" w:color="auto" w:fill="auto"/>
        </w:rPr>
        <w:t>。因</w:t>
      </w:r>
      <w:r>
        <w:rPr>
          <w:rFonts w:hint="eastAsia" w:hAnsi="宋体" w:cs="宋体"/>
          <w:color w:val="auto"/>
          <w:sz w:val="24"/>
          <w:szCs w:val="24"/>
          <w:highlight w:val="none"/>
          <w:shd w:val="clear" w:color="auto" w:fill="auto"/>
          <w:lang w:eastAsia="zh-CN"/>
        </w:rPr>
        <w:t>供应商</w:t>
      </w:r>
      <w:r>
        <w:rPr>
          <w:rFonts w:hint="eastAsia" w:hAnsi="宋体" w:cs="宋体"/>
          <w:color w:val="auto"/>
          <w:sz w:val="24"/>
          <w:szCs w:val="24"/>
          <w:highlight w:val="none"/>
          <w:shd w:val="clear" w:color="auto" w:fill="auto"/>
        </w:rPr>
        <w:t>原因造成投标文件未解密的，视为撤销其投标文件。部分投标文件未解密的，其他投标文件的开标可以继续进行。</w:t>
      </w:r>
    </w:p>
    <w:p w14:paraId="15393A50">
      <w:pPr>
        <w:keepNext w:val="0"/>
        <w:keepLines w:val="0"/>
        <w:pageBreakBefore w:val="0"/>
        <w:widowControl w:val="0"/>
        <w:numPr>
          <w:ilvl w:val="1"/>
          <w:numId w:val="3"/>
        </w:numPr>
        <w:kinsoku/>
        <w:wordWrap/>
        <w:overflowPunct/>
        <w:topLinePunct w:val="0"/>
        <w:autoSpaceDE w:val="0"/>
        <w:autoSpaceDN w:val="0"/>
        <w:bidi w:val="0"/>
        <w:adjustRightInd w:val="0"/>
        <w:snapToGrid w:val="0"/>
        <w:spacing w:afterLines="50" w:line="240" w:lineRule="auto"/>
        <w:ind w:left="1133" w:hanging="1132" w:hangingChars="472"/>
        <w:textAlignment w:val="auto"/>
        <w:rPr>
          <w:rFonts w:hint="eastAsia" w:ascii="宋体" w:hAnsi="宋体" w:cs="黑体"/>
          <w:color w:val="auto"/>
          <w:kern w:val="0"/>
          <w:sz w:val="24"/>
          <w:lang w:val="en-US" w:eastAsia="zh-CN"/>
        </w:rPr>
      </w:pPr>
      <w:r>
        <w:rPr>
          <w:rFonts w:hint="eastAsia" w:ascii="宋体" w:hAnsi="宋体" w:cs="黑体"/>
          <w:color w:val="auto"/>
          <w:kern w:val="0"/>
          <w:sz w:val="24"/>
          <w:lang w:eastAsia="zh-CN"/>
        </w:rPr>
        <w:t>当出现以下情况时，</w:t>
      </w:r>
      <w:r>
        <w:rPr>
          <w:rFonts w:hint="eastAsia" w:ascii="宋体" w:hAnsi="宋体" w:cs="黑体"/>
          <w:color w:val="auto"/>
          <w:kern w:val="0"/>
          <w:sz w:val="24"/>
          <w:lang w:val="en-US" w:eastAsia="zh-CN"/>
        </w:rPr>
        <w:t>应对未开标的项目中止电子开标，并在恢复正常后及时安排时间开标：</w:t>
      </w:r>
    </w:p>
    <w:p w14:paraId="719CD41F">
      <w:pPr>
        <w:keepNext w:val="0"/>
        <w:keepLines w:val="0"/>
        <w:pageBreakBefore w:val="0"/>
        <w:widowControl w:val="0"/>
        <w:numPr>
          <w:ilvl w:val="1"/>
          <w:numId w:val="0"/>
        </w:numPr>
        <w:shd w:val="clear"/>
        <w:kinsoku/>
        <w:wordWrap/>
        <w:overflowPunct/>
        <w:topLinePunct w:val="0"/>
        <w:autoSpaceDE w:val="0"/>
        <w:autoSpaceDN w:val="0"/>
        <w:bidi w:val="0"/>
        <w:adjustRightInd/>
        <w:snapToGrid/>
        <w:spacing w:line="240" w:lineRule="auto"/>
        <w:ind w:left="0" w:leftChars="0" w:firstLine="480" w:firstLineChars="200"/>
        <w:textAlignment w:val="auto"/>
        <w:rPr>
          <w:rFonts w:hint="eastAsia" w:ascii="宋体" w:hAnsi="宋体" w:eastAsia="宋体" w:cs="黑体"/>
          <w:color w:val="auto"/>
          <w:kern w:val="0"/>
          <w:sz w:val="24"/>
          <w:szCs w:val="24"/>
          <w:highlight w:val="none"/>
          <w:shd w:val="clear" w:color="auto" w:fill="auto"/>
          <w:lang w:val="en-US" w:eastAsia="zh-CN" w:bidi="ar-SA"/>
        </w:rPr>
      </w:pPr>
      <w:r>
        <w:rPr>
          <w:rFonts w:hint="eastAsia" w:ascii="宋体" w:hAnsi="宋体" w:cs="黑体"/>
          <w:color w:val="auto"/>
          <w:kern w:val="0"/>
          <w:sz w:val="24"/>
          <w:lang w:val="en-US" w:eastAsia="zh-CN"/>
        </w:rPr>
        <w:t xml:space="preserve">    </w:t>
      </w:r>
      <w:r>
        <w:rPr>
          <w:rFonts w:hint="eastAsia" w:ascii="宋体" w:hAnsi="宋体" w:eastAsia="宋体" w:cs="黑体"/>
          <w:color w:val="auto"/>
          <w:kern w:val="0"/>
          <w:sz w:val="24"/>
          <w:szCs w:val="24"/>
          <w:highlight w:val="none"/>
          <w:shd w:val="clear" w:color="auto" w:fill="auto"/>
          <w:lang w:val="en-US" w:eastAsia="zh-CN" w:bidi="ar-SA"/>
        </w:rPr>
        <w:t>（1）</w:t>
      </w:r>
      <w:r>
        <w:rPr>
          <w:rFonts w:hint="eastAsia" w:ascii="宋体" w:hAnsi="宋体" w:cs="黑体"/>
          <w:color w:val="auto"/>
          <w:kern w:val="0"/>
          <w:sz w:val="24"/>
          <w:szCs w:val="24"/>
          <w:highlight w:val="none"/>
          <w:shd w:val="clear" w:color="auto" w:fill="auto"/>
          <w:lang w:val="en-US" w:eastAsia="zh-CN" w:bidi="ar-SA"/>
        </w:rPr>
        <w:t>电子交易平台</w:t>
      </w:r>
      <w:r>
        <w:rPr>
          <w:rFonts w:hint="eastAsia" w:ascii="宋体" w:hAnsi="宋体" w:eastAsia="宋体" w:cs="黑体"/>
          <w:color w:val="auto"/>
          <w:kern w:val="0"/>
          <w:sz w:val="24"/>
          <w:szCs w:val="24"/>
          <w:highlight w:val="none"/>
          <w:shd w:val="clear" w:color="auto" w:fill="auto"/>
          <w:lang w:val="en-US" w:eastAsia="zh-CN" w:bidi="ar-SA"/>
        </w:rPr>
        <w:t>系统服务器发生故障，无法访问或无法使用系统；</w:t>
      </w:r>
    </w:p>
    <w:p w14:paraId="48835ACF">
      <w:pPr>
        <w:keepNext w:val="0"/>
        <w:keepLines w:val="0"/>
        <w:pageBreakBefore w:val="0"/>
        <w:widowControl w:val="0"/>
        <w:numPr>
          <w:ilvl w:val="1"/>
          <w:numId w:val="0"/>
        </w:numPr>
        <w:shd w:val="clear"/>
        <w:kinsoku/>
        <w:wordWrap/>
        <w:overflowPunct/>
        <w:topLinePunct w:val="0"/>
        <w:autoSpaceDE w:val="0"/>
        <w:autoSpaceDN w:val="0"/>
        <w:bidi w:val="0"/>
        <w:adjustRightInd/>
        <w:snapToGrid/>
        <w:spacing w:line="240" w:lineRule="auto"/>
        <w:ind w:left="0" w:leftChars="0" w:firstLine="960" w:firstLineChars="400"/>
        <w:textAlignment w:val="auto"/>
        <w:rPr>
          <w:rFonts w:hint="eastAsia" w:ascii="宋体" w:hAnsi="宋体" w:eastAsia="宋体" w:cs="黑体"/>
          <w:color w:val="auto"/>
          <w:kern w:val="0"/>
          <w:sz w:val="24"/>
          <w:szCs w:val="24"/>
          <w:highlight w:val="none"/>
          <w:shd w:val="clear" w:color="auto" w:fill="auto"/>
          <w:lang w:val="en-US" w:eastAsia="zh-CN" w:bidi="ar-SA"/>
        </w:rPr>
      </w:pPr>
      <w:r>
        <w:rPr>
          <w:rFonts w:hint="eastAsia" w:ascii="宋体" w:hAnsi="宋体" w:eastAsia="宋体" w:cs="黑体"/>
          <w:color w:val="auto"/>
          <w:kern w:val="0"/>
          <w:sz w:val="24"/>
          <w:szCs w:val="24"/>
          <w:highlight w:val="none"/>
          <w:shd w:val="clear" w:color="auto" w:fill="auto"/>
          <w:lang w:val="en-US" w:eastAsia="zh-CN" w:bidi="ar-SA"/>
        </w:rPr>
        <w:t>（2）</w:t>
      </w:r>
      <w:r>
        <w:rPr>
          <w:rFonts w:hint="eastAsia" w:ascii="宋体" w:hAnsi="宋体" w:cs="黑体"/>
          <w:color w:val="auto"/>
          <w:kern w:val="0"/>
          <w:sz w:val="24"/>
          <w:szCs w:val="24"/>
          <w:highlight w:val="none"/>
          <w:shd w:val="clear" w:color="auto" w:fill="auto"/>
          <w:lang w:val="en-US" w:eastAsia="zh-CN" w:bidi="ar-SA"/>
        </w:rPr>
        <w:t>电子交易平台</w:t>
      </w:r>
      <w:r>
        <w:rPr>
          <w:rFonts w:hint="eastAsia" w:ascii="宋体" w:hAnsi="宋体" w:eastAsia="宋体" w:cs="黑体"/>
          <w:color w:val="auto"/>
          <w:kern w:val="0"/>
          <w:sz w:val="24"/>
          <w:szCs w:val="24"/>
          <w:highlight w:val="none"/>
          <w:shd w:val="clear" w:color="auto" w:fill="auto"/>
          <w:lang w:val="en-US" w:eastAsia="zh-CN" w:bidi="ar-SA"/>
        </w:rPr>
        <w:t>系统的软件或数据库出现错误，不能进行正常操作；</w:t>
      </w:r>
    </w:p>
    <w:p w14:paraId="322A1EE6">
      <w:pPr>
        <w:keepNext w:val="0"/>
        <w:keepLines w:val="0"/>
        <w:pageBreakBefore w:val="0"/>
        <w:widowControl w:val="0"/>
        <w:numPr>
          <w:ilvl w:val="1"/>
          <w:numId w:val="0"/>
        </w:numPr>
        <w:shd w:val="clear"/>
        <w:kinsoku/>
        <w:wordWrap/>
        <w:overflowPunct/>
        <w:topLinePunct w:val="0"/>
        <w:autoSpaceDE w:val="0"/>
        <w:autoSpaceDN w:val="0"/>
        <w:bidi w:val="0"/>
        <w:adjustRightInd/>
        <w:snapToGrid/>
        <w:spacing w:line="240" w:lineRule="auto"/>
        <w:ind w:left="0" w:leftChars="0" w:firstLine="960" w:firstLineChars="400"/>
        <w:textAlignment w:val="auto"/>
        <w:rPr>
          <w:rFonts w:hint="eastAsia" w:ascii="宋体" w:hAnsi="宋体" w:eastAsia="宋体" w:cs="黑体"/>
          <w:color w:val="auto"/>
          <w:kern w:val="0"/>
          <w:sz w:val="24"/>
          <w:szCs w:val="24"/>
          <w:highlight w:val="none"/>
          <w:shd w:val="clear" w:color="auto" w:fill="auto"/>
          <w:lang w:val="en-US" w:eastAsia="zh-CN" w:bidi="ar-SA"/>
        </w:rPr>
      </w:pPr>
      <w:r>
        <w:rPr>
          <w:rFonts w:hint="eastAsia" w:ascii="宋体" w:hAnsi="宋体" w:eastAsia="宋体" w:cs="黑体"/>
          <w:color w:val="auto"/>
          <w:kern w:val="0"/>
          <w:sz w:val="24"/>
          <w:szCs w:val="24"/>
          <w:highlight w:val="none"/>
          <w:shd w:val="clear" w:color="auto" w:fill="auto"/>
          <w:lang w:val="en-US" w:eastAsia="zh-CN" w:bidi="ar-SA"/>
        </w:rPr>
        <w:t>（3）</w:t>
      </w:r>
      <w:r>
        <w:rPr>
          <w:rFonts w:hint="eastAsia" w:ascii="宋体" w:hAnsi="宋体" w:cs="黑体"/>
          <w:color w:val="auto"/>
          <w:kern w:val="0"/>
          <w:sz w:val="24"/>
          <w:szCs w:val="24"/>
          <w:highlight w:val="none"/>
          <w:shd w:val="clear" w:color="auto" w:fill="auto"/>
          <w:lang w:val="en-US" w:eastAsia="zh-CN" w:bidi="ar-SA"/>
        </w:rPr>
        <w:t>电子交易平台</w:t>
      </w:r>
      <w:r>
        <w:rPr>
          <w:rFonts w:hint="eastAsia" w:ascii="宋体" w:hAnsi="宋体" w:eastAsia="宋体" w:cs="黑体"/>
          <w:color w:val="auto"/>
          <w:kern w:val="0"/>
          <w:sz w:val="24"/>
          <w:szCs w:val="24"/>
          <w:highlight w:val="none"/>
          <w:shd w:val="clear" w:color="auto" w:fill="auto"/>
          <w:lang w:val="en-US" w:eastAsia="zh-CN" w:bidi="ar-SA"/>
        </w:rPr>
        <w:t>系统发现有安全漏洞，有潜在的泄密危险；</w:t>
      </w:r>
    </w:p>
    <w:p w14:paraId="4CA83359">
      <w:pPr>
        <w:keepNext w:val="0"/>
        <w:keepLines w:val="0"/>
        <w:pageBreakBefore w:val="0"/>
        <w:widowControl w:val="0"/>
        <w:numPr>
          <w:ilvl w:val="1"/>
          <w:numId w:val="0"/>
        </w:numPr>
        <w:shd w:val="clear"/>
        <w:kinsoku/>
        <w:wordWrap/>
        <w:overflowPunct/>
        <w:topLinePunct w:val="0"/>
        <w:autoSpaceDE w:val="0"/>
        <w:autoSpaceDN w:val="0"/>
        <w:bidi w:val="0"/>
        <w:adjustRightInd/>
        <w:snapToGrid/>
        <w:spacing w:line="240" w:lineRule="auto"/>
        <w:ind w:left="1438" w:leftChars="456" w:hanging="480" w:hangingChars="200"/>
        <w:textAlignment w:val="auto"/>
        <w:rPr>
          <w:rFonts w:hint="eastAsia" w:ascii="宋体" w:hAnsi="宋体" w:eastAsia="宋体" w:cs="黑体"/>
          <w:color w:val="auto"/>
          <w:kern w:val="0"/>
          <w:sz w:val="24"/>
          <w:szCs w:val="24"/>
          <w:highlight w:val="none"/>
          <w:shd w:val="clear" w:color="auto" w:fill="auto"/>
          <w:lang w:val="en-US" w:eastAsia="zh-CN" w:bidi="ar-SA"/>
        </w:rPr>
      </w:pPr>
      <w:r>
        <w:rPr>
          <w:rFonts w:hint="eastAsia" w:ascii="宋体" w:hAnsi="宋体" w:eastAsia="宋体" w:cs="黑体"/>
          <w:color w:val="auto"/>
          <w:kern w:val="0"/>
          <w:sz w:val="24"/>
          <w:szCs w:val="24"/>
          <w:highlight w:val="none"/>
          <w:shd w:val="clear" w:color="auto" w:fill="auto"/>
          <w:lang w:val="en-US" w:eastAsia="zh-CN" w:bidi="ar-SA"/>
        </w:rPr>
        <w:t>（</w:t>
      </w:r>
      <w:r>
        <w:rPr>
          <w:rFonts w:hint="eastAsia" w:ascii="宋体" w:hAnsi="宋体" w:cs="黑体"/>
          <w:color w:val="auto"/>
          <w:kern w:val="0"/>
          <w:sz w:val="24"/>
          <w:szCs w:val="24"/>
          <w:highlight w:val="none"/>
          <w:shd w:val="clear" w:color="auto" w:fill="auto"/>
          <w:lang w:val="en-US" w:eastAsia="zh-CN" w:bidi="ar-SA"/>
        </w:rPr>
        <w:t>4</w:t>
      </w:r>
      <w:r>
        <w:rPr>
          <w:rFonts w:hint="eastAsia" w:ascii="宋体" w:hAnsi="宋体" w:eastAsia="宋体" w:cs="黑体"/>
          <w:color w:val="auto"/>
          <w:kern w:val="0"/>
          <w:sz w:val="24"/>
          <w:szCs w:val="24"/>
          <w:highlight w:val="none"/>
          <w:shd w:val="clear" w:color="auto" w:fill="auto"/>
          <w:lang w:val="en-US" w:eastAsia="zh-CN" w:bidi="ar-SA"/>
        </w:rPr>
        <w:t>）</w:t>
      </w:r>
      <w:r>
        <w:rPr>
          <w:rFonts w:hint="eastAsia" w:ascii="宋体" w:hAnsi="宋体" w:cs="黑体"/>
          <w:color w:val="auto"/>
          <w:kern w:val="0"/>
          <w:sz w:val="24"/>
          <w:szCs w:val="24"/>
          <w:highlight w:val="none"/>
          <w:shd w:val="clear" w:color="auto" w:fill="auto"/>
          <w:lang w:val="en-US" w:eastAsia="zh-CN" w:bidi="ar-SA"/>
        </w:rPr>
        <w:t>电子交易平台</w:t>
      </w:r>
      <w:r>
        <w:rPr>
          <w:rFonts w:hint="eastAsia" w:ascii="宋体" w:hAnsi="宋体" w:eastAsia="宋体" w:cs="黑体"/>
          <w:color w:val="auto"/>
          <w:kern w:val="0"/>
          <w:sz w:val="24"/>
          <w:szCs w:val="24"/>
          <w:highlight w:val="none"/>
          <w:shd w:val="clear" w:color="auto" w:fill="auto"/>
          <w:lang w:val="en-US" w:eastAsia="zh-CN" w:bidi="ar-SA"/>
        </w:rPr>
        <w:t>其他</w:t>
      </w:r>
      <w:r>
        <w:rPr>
          <w:rFonts w:hint="eastAsia" w:ascii="宋体" w:hAnsi="宋体" w:cs="黑体"/>
          <w:color w:val="auto"/>
          <w:kern w:val="0"/>
          <w:sz w:val="24"/>
          <w:szCs w:val="24"/>
          <w:highlight w:val="none"/>
          <w:shd w:val="clear" w:color="auto" w:fill="auto"/>
          <w:lang w:val="en-US" w:eastAsia="zh-CN" w:bidi="ar-SA"/>
        </w:rPr>
        <w:t>因不可抗力原因，</w:t>
      </w:r>
      <w:r>
        <w:rPr>
          <w:rFonts w:hint="eastAsia" w:ascii="宋体" w:hAnsi="宋体" w:eastAsia="宋体" w:cs="黑体"/>
          <w:color w:val="auto"/>
          <w:kern w:val="0"/>
          <w:sz w:val="24"/>
          <w:szCs w:val="24"/>
          <w:highlight w:val="none"/>
          <w:shd w:val="clear" w:color="auto" w:fill="auto"/>
          <w:lang w:val="en-US" w:eastAsia="zh-CN" w:bidi="ar-SA"/>
        </w:rPr>
        <w:t>无法保证</w:t>
      </w:r>
      <w:r>
        <w:rPr>
          <w:rFonts w:hint="eastAsia" w:ascii="宋体" w:hAnsi="宋体" w:cs="黑体"/>
          <w:color w:val="auto"/>
          <w:kern w:val="0"/>
          <w:sz w:val="24"/>
          <w:szCs w:val="24"/>
          <w:highlight w:val="none"/>
          <w:shd w:val="clear" w:color="auto" w:fill="auto"/>
          <w:lang w:val="en-US" w:eastAsia="zh-CN" w:bidi="ar-SA"/>
        </w:rPr>
        <w:t>项目整体采购</w:t>
      </w:r>
      <w:r>
        <w:rPr>
          <w:rFonts w:hint="eastAsia" w:ascii="宋体" w:hAnsi="宋体" w:eastAsia="宋体" w:cs="黑体"/>
          <w:color w:val="auto"/>
          <w:kern w:val="0"/>
          <w:sz w:val="24"/>
          <w:szCs w:val="24"/>
          <w:highlight w:val="none"/>
          <w:shd w:val="clear" w:color="auto" w:fill="auto"/>
          <w:lang w:val="en-US" w:eastAsia="zh-CN" w:bidi="ar-SA"/>
        </w:rPr>
        <w:t>过程正常进行的情形。</w:t>
      </w:r>
    </w:p>
    <w:p w14:paraId="59F3EDAA">
      <w:pPr>
        <w:keepNext w:val="0"/>
        <w:keepLines w:val="0"/>
        <w:pageBreakBefore w:val="0"/>
        <w:widowControl w:val="0"/>
        <w:numPr>
          <w:ilvl w:val="1"/>
          <w:numId w:val="3"/>
        </w:numPr>
        <w:kinsoku/>
        <w:wordWrap/>
        <w:overflowPunct/>
        <w:topLinePunct w:val="0"/>
        <w:autoSpaceDE w:val="0"/>
        <w:autoSpaceDN w:val="0"/>
        <w:bidi w:val="0"/>
        <w:adjustRightInd w:val="0"/>
        <w:snapToGrid w:val="0"/>
        <w:spacing w:afterLines="50" w:line="240" w:lineRule="auto"/>
        <w:ind w:left="1133" w:hanging="1132" w:hangingChars="472"/>
        <w:textAlignment w:val="auto"/>
        <w:rPr>
          <w:rFonts w:hint="eastAsia" w:ascii="宋体" w:hAnsi="宋体" w:eastAsia="宋体" w:cs="黑体"/>
          <w:color w:val="auto"/>
          <w:kern w:val="0"/>
          <w:sz w:val="24"/>
          <w:lang w:eastAsia="zh-CN"/>
        </w:rPr>
      </w:pPr>
      <w:r>
        <w:rPr>
          <w:rFonts w:hint="eastAsia" w:ascii="宋体" w:hAnsi="宋体" w:eastAsia="宋体" w:cs="黑体"/>
          <w:color w:val="auto"/>
          <w:kern w:val="0"/>
          <w:sz w:val="24"/>
          <w:lang w:eastAsia="zh-CN"/>
        </w:rPr>
        <w:t>开标过程由</w:t>
      </w:r>
      <w:r>
        <w:rPr>
          <w:rFonts w:hint="eastAsia" w:ascii="宋体" w:hAnsi="宋体" w:eastAsia="宋体" w:cs="黑体"/>
          <w:color w:val="auto"/>
          <w:kern w:val="0"/>
          <w:sz w:val="24"/>
          <w:lang w:val="en-US" w:eastAsia="zh-CN"/>
        </w:rPr>
        <w:t>电子交易平台</w:t>
      </w:r>
      <w:r>
        <w:rPr>
          <w:rFonts w:hint="eastAsia" w:ascii="宋体" w:hAnsi="宋体" w:eastAsia="宋体" w:cs="黑体"/>
          <w:color w:val="auto"/>
          <w:kern w:val="0"/>
          <w:sz w:val="24"/>
          <w:lang w:eastAsia="zh-CN"/>
        </w:rPr>
        <w:t>负责记录，由参加开标的各</w:t>
      </w:r>
      <w:r>
        <w:rPr>
          <w:rFonts w:hint="eastAsia" w:ascii="宋体" w:hAnsi="宋体" w:cs="黑体"/>
          <w:color w:val="auto"/>
          <w:kern w:val="0"/>
          <w:sz w:val="24"/>
          <w:lang w:eastAsia="zh-CN"/>
        </w:rPr>
        <w:t>供应商</w:t>
      </w:r>
      <w:r>
        <w:rPr>
          <w:rFonts w:hint="eastAsia" w:ascii="宋体" w:hAnsi="宋体" w:eastAsia="宋体" w:cs="黑体"/>
          <w:color w:val="auto"/>
          <w:kern w:val="0"/>
          <w:sz w:val="24"/>
          <w:lang w:eastAsia="zh-CN"/>
        </w:rPr>
        <w:t>代表和相关工作人员签字确认后随采购文件一并存档。</w:t>
      </w:r>
    </w:p>
    <w:p w14:paraId="0DB13BBA">
      <w:pPr>
        <w:pStyle w:val="81"/>
        <w:keepNext w:val="0"/>
        <w:keepLines w:val="0"/>
        <w:pageBreakBefore w:val="0"/>
        <w:widowControl w:val="0"/>
        <w:shd w:val="clear"/>
        <w:kinsoku/>
        <w:wordWrap/>
        <w:overflowPunct/>
        <w:topLinePunct w:val="0"/>
        <w:bidi w:val="0"/>
        <w:adjustRightInd/>
        <w:snapToGrid/>
        <w:spacing w:line="240" w:lineRule="auto"/>
        <w:ind w:left="1199" w:leftChars="228" w:hanging="720" w:hangingChars="300"/>
        <w:textAlignment w:val="auto"/>
        <w:rPr>
          <w:rFonts w:hint="eastAsia" w:ascii="宋体" w:hAnsi="宋体" w:eastAsia="宋体" w:cs="黑体"/>
          <w:color w:val="auto"/>
          <w:kern w:val="0"/>
          <w:sz w:val="24"/>
          <w:szCs w:val="24"/>
          <w:lang w:val="en-US" w:eastAsia="zh-CN" w:bidi="ar-SA"/>
        </w:rPr>
      </w:pPr>
      <w:r>
        <w:rPr>
          <w:rFonts w:hint="eastAsia" w:ascii="宋体" w:hAnsi="宋体" w:cs="黑体"/>
          <w:color w:val="auto"/>
          <w:kern w:val="0"/>
          <w:sz w:val="24"/>
          <w:lang w:val="en-US" w:eastAsia="zh-CN"/>
        </w:rPr>
        <w:t xml:space="preserve">     </w:t>
      </w:r>
      <w:r>
        <w:rPr>
          <w:rFonts w:hint="eastAsia" w:hAnsi="宋体" w:cs="黑体"/>
          <w:color w:val="auto"/>
          <w:kern w:val="0"/>
          <w:sz w:val="24"/>
          <w:lang w:val="en-US" w:eastAsia="zh-CN"/>
        </w:rPr>
        <w:t xml:space="preserve"> </w:t>
      </w:r>
      <w:r>
        <w:rPr>
          <w:rFonts w:hint="eastAsia" w:hAnsi="宋体" w:cs="黑体"/>
          <w:color w:val="auto"/>
          <w:kern w:val="0"/>
          <w:sz w:val="24"/>
          <w:szCs w:val="24"/>
          <w:lang w:val="en-US" w:eastAsia="zh-CN" w:bidi="ar-SA"/>
        </w:rPr>
        <w:t>供应商</w:t>
      </w:r>
      <w:r>
        <w:rPr>
          <w:rFonts w:hint="eastAsia" w:ascii="宋体" w:hAnsi="宋体" w:eastAsia="宋体" w:cs="黑体"/>
          <w:color w:val="auto"/>
          <w:kern w:val="0"/>
          <w:sz w:val="24"/>
          <w:szCs w:val="24"/>
          <w:lang w:val="en-US" w:eastAsia="zh-CN" w:bidi="ar-SA"/>
        </w:rPr>
        <w:t>代表对开标过程和开标记录有疑义，以及认为采购人、采购代理机构相关工作人员有需要回避的情形的，应当场提出询问或者回避申请。</w:t>
      </w:r>
    </w:p>
    <w:p w14:paraId="3527FF33">
      <w:pPr>
        <w:pStyle w:val="81"/>
        <w:keepNext w:val="0"/>
        <w:keepLines w:val="0"/>
        <w:pageBreakBefore w:val="0"/>
        <w:widowControl w:val="0"/>
        <w:shd w:val="clear"/>
        <w:kinsoku/>
        <w:wordWrap/>
        <w:overflowPunct/>
        <w:topLinePunct w:val="0"/>
        <w:bidi w:val="0"/>
        <w:adjustRightInd/>
        <w:snapToGrid/>
        <w:spacing w:line="240" w:lineRule="auto"/>
        <w:textAlignment w:val="auto"/>
        <w:rPr>
          <w:rFonts w:hint="eastAsia" w:ascii="宋体" w:hAnsi="宋体" w:eastAsia="宋体" w:cs="黑体"/>
          <w:color w:val="auto"/>
          <w:kern w:val="0"/>
          <w:sz w:val="24"/>
          <w:szCs w:val="24"/>
          <w:lang w:val="en-US" w:eastAsia="zh-CN" w:bidi="ar-SA"/>
        </w:rPr>
      </w:pPr>
    </w:p>
    <w:p w14:paraId="237ECBCF">
      <w:pPr>
        <w:numPr>
          <w:ilvl w:val="0"/>
          <w:numId w:val="0"/>
        </w:numPr>
        <w:autoSpaceDE w:val="0"/>
        <w:autoSpaceDN w:val="0"/>
        <w:adjustRightInd w:val="0"/>
        <w:snapToGrid w:val="0"/>
        <w:spacing w:afterLines="50"/>
        <w:ind w:left="1175" w:leftChars="-12" w:hanging="1200" w:hangingChars="500"/>
        <w:rPr>
          <w:rFonts w:hint="default" w:ascii="宋体" w:hAnsi="宋体" w:eastAsia="宋体" w:cs="黑体"/>
          <w:color w:val="auto"/>
          <w:kern w:val="0"/>
          <w:sz w:val="24"/>
          <w:lang w:val="en-US" w:eastAsia="zh-CN"/>
        </w:rPr>
      </w:pPr>
      <w:r>
        <w:rPr>
          <w:rFonts w:hint="eastAsia" w:ascii="宋体" w:hAnsi="宋体" w:cs="黑体"/>
          <w:color w:val="auto"/>
          <w:kern w:val="0"/>
          <w:sz w:val="24"/>
          <w:lang w:val="en-US" w:eastAsia="zh-CN"/>
        </w:rPr>
        <w:t xml:space="preserve">5.6  </w:t>
      </w:r>
      <w:r>
        <w:rPr>
          <w:rFonts w:hint="eastAsia" w:ascii="宋体" w:hAnsi="宋体" w:eastAsia="宋体" w:cs="黑体"/>
          <w:color w:val="auto"/>
          <w:kern w:val="0"/>
          <w:sz w:val="24"/>
          <w:lang w:val="en-US" w:eastAsia="zh-CN"/>
        </w:rPr>
        <w:t xml:space="preserve">     </w:t>
      </w:r>
      <w:r>
        <w:rPr>
          <w:rFonts w:hint="eastAsia" w:ascii="宋体" w:hAnsi="宋体" w:cs="黑体"/>
          <w:color w:val="auto"/>
          <w:kern w:val="0"/>
          <w:sz w:val="24"/>
          <w:lang w:eastAsia="zh-CN"/>
        </w:rPr>
        <w:t>供应商</w:t>
      </w:r>
      <w:r>
        <w:rPr>
          <w:rFonts w:hint="eastAsia" w:ascii="宋体" w:hAnsi="宋体" w:eastAsia="宋体" w:cs="黑体"/>
          <w:color w:val="auto"/>
          <w:kern w:val="0"/>
          <w:sz w:val="24"/>
        </w:rPr>
        <w:t>对开标过程有疑义的，在开标结束后七个工作日内，按本须知2.5款接收质疑函的方式以书面形式一次性提出质疑。</w:t>
      </w:r>
    </w:p>
    <w:p w14:paraId="749E3D84">
      <w:pPr>
        <w:numPr>
          <w:ilvl w:val="0"/>
          <w:numId w:val="3"/>
        </w:numPr>
        <w:autoSpaceDE w:val="0"/>
        <w:autoSpaceDN w:val="0"/>
        <w:adjustRightInd w:val="0"/>
        <w:spacing w:afterLines="50"/>
        <w:outlineLvl w:val="2"/>
        <w:rPr>
          <w:rFonts w:ascii="黑体" w:hAnsi="宋体" w:eastAsia="黑体" w:cs="黑体"/>
          <w:color w:val="auto"/>
          <w:kern w:val="0"/>
          <w:sz w:val="24"/>
        </w:rPr>
      </w:pPr>
      <w:bookmarkStart w:id="94" w:name="_Toc6719"/>
      <w:bookmarkStart w:id="95" w:name="_Toc31750"/>
      <w:bookmarkStart w:id="96" w:name="_Toc195921826"/>
      <w:r>
        <w:rPr>
          <w:rFonts w:hint="eastAsia" w:ascii="黑体" w:hAnsi="宋体" w:eastAsia="黑体" w:cs="黑体"/>
          <w:color w:val="auto"/>
          <w:kern w:val="0"/>
          <w:sz w:val="24"/>
        </w:rPr>
        <w:t>资格审查</w:t>
      </w:r>
      <w:bookmarkEnd w:id="94"/>
      <w:bookmarkEnd w:id="95"/>
    </w:p>
    <w:p w14:paraId="18447714">
      <w:pPr>
        <w:numPr>
          <w:ilvl w:val="1"/>
          <w:numId w:val="3"/>
        </w:numPr>
        <w:autoSpaceDE w:val="0"/>
        <w:autoSpaceDN w:val="0"/>
        <w:adjustRightInd w:val="0"/>
        <w:snapToGrid w:val="0"/>
        <w:spacing w:afterLines="50"/>
        <w:ind w:left="1133" w:hanging="1132" w:hangingChars="472"/>
        <w:rPr>
          <w:rFonts w:ascii="宋体" w:hAnsi="宋体" w:cs="黑体"/>
          <w:color w:val="auto"/>
          <w:kern w:val="0"/>
          <w:sz w:val="24"/>
        </w:rPr>
      </w:pPr>
      <w:r>
        <w:rPr>
          <w:rFonts w:hint="eastAsia" w:ascii="宋体" w:hAnsi="宋体" w:cs="黑体"/>
          <w:color w:val="auto"/>
          <w:kern w:val="0"/>
          <w:sz w:val="24"/>
        </w:rPr>
        <w:t>开标结束后，采购人或者采购代理机构依法对</w:t>
      </w:r>
      <w:r>
        <w:rPr>
          <w:rFonts w:hint="eastAsia" w:ascii="宋体" w:hAnsi="宋体" w:cs="黑体"/>
          <w:color w:val="auto"/>
          <w:kern w:val="0"/>
          <w:sz w:val="24"/>
          <w:lang w:eastAsia="zh-CN"/>
        </w:rPr>
        <w:t>供应商</w:t>
      </w:r>
      <w:r>
        <w:rPr>
          <w:rFonts w:hint="eastAsia" w:ascii="宋体" w:hAnsi="宋体" w:cs="黑体"/>
          <w:color w:val="auto"/>
          <w:kern w:val="0"/>
          <w:sz w:val="24"/>
        </w:rPr>
        <w:t>的资格进行审查。</w:t>
      </w:r>
    </w:p>
    <w:p w14:paraId="2A919BB5">
      <w:pPr>
        <w:pStyle w:val="81"/>
        <w:snapToGrid w:val="0"/>
        <w:spacing w:afterLines="50"/>
        <w:ind w:left="1132" w:leftChars="539"/>
        <w:rPr>
          <w:rFonts w:hAnsi="宋体" w:cs="宋体"/>
          <w:color w:val="auto"/>
          <w:sz w:val="24"/>
          <w:szCs w:val="24"/>
        </w:rPr>
      </w:pPr>
      <w:r>
        <w:rPr>
          <w:rFonts w:hint="eastAsia" w:ascii="宋体" w:hAnsi="宋体" w:eastAsia="宋体" w:cs="宋体"/>
          <w:color w:val="auto"/>
          <w:sz w:val="24"/>
          <w:szCs w:val="24"/>
        </w:rPr>
        <w:t>通过资格审查的</w:t>
      </w:r>
      <w:r>
        <w:rPr>
          <w:rFonts w:hint="eastAsia" w:hAnsi="宋体" w:cs="宋体"/>
          <w:color w:val="auto"/>
          <w:sz w:val="24"/>
          <w:szCs w:val="24"/>
          <w:lang w:eastAsia="zh-CN"/>
        </w:rPr>
        <w:t>供应商</w:t>
      </w:r>
      <w:r>
        <w:rPr>
          <w:rFonts w:hint="eastAsia" w:hAnsi="宋体" w:cs="宋体"/>
          <w:color w:val="auto"/>
          <w:sz w:val="24"/>
          <w:szCs w:val="24"/>
        </w:rPr>
        <w:t>不足3家的，不</w:t>
      </w:r>
      <w:r>
        <w:rPr>
          <w:rFonts w:hint="eastAsia" w:hAnsi="宋体" w:cs="宋体"/>
          <w:color w:val="auto"/>
          <w:sz w:val="24"/>
          <w:szCs w:val="24"/>
          <w:lang w:val="en-US" w:eastAsia="zh-CN"/>
        </w:rPr>
        <w:t>得</w:t>
      </w:r>
      <w:r>
        <w:rPr>
          <w:rFonts w:hint="eastAsia" w:hAnsi="宋体" w:cs="宋体"/>
          <w:color w:val="auto"/>
          <w:sz w:val="24"/>
          <w:szCs w:val="24"/>
        </w:rPr>
        <w:t>评标。</w:t>
      </w:r>
    </w:p>
    <w:p w14:paraId="11F1BA8F">
      <w:pPr>
        <w:numPr>
          <w:ilvl w:val="0"/>
          <w:numId w:val="3"/>
        </w:numPr>
        <w:autoSpaceDE w:val="0"/>
        <w:autoSpaceDN w:val="0"/>
        <w:adjustRightInd w:val="0"/>
        <w:spacing w:afterLines="50"/>
        <w:outlineLvl w:val="2"/>
        <w:rPr>
          <w:rFonts w:ascii="黑体" w:hAnsi="宋体" w:eastAsia="黑体" w:cs="黑体"/>
          <w:color w:val="auto"/>
          <w:kern w:val="0"/>
          <w:sz w:val="24"/>
        </w:rPr>
      </w:pPr>
      <w:bookmarkStart w:id="97" w:name="_Toc30234"/>
      <w:bookmarkStart w:id="98" w:name="_Toc2840"/>
      <w:r>
        <w:rPr>
          <w:rFonts w:hint="eastAsia" w:ascii="黑体" w:hAnsi="宋体" w:eastAsia="黑体" w:cs="黑体"/>
          <w:color w:val="auto"/>
          <w:kern w:val="0"/>
          <w:sz w:val="24"/>
        </w:rPr>
        <w:t>评标</w:t>
      </w:r>
      <w:bookmarkEnd w:id="96"/>
      <w:bookmarkEnd w:id="97"/>
      <w:bookmarkEnd w:id="98"/>
    </w:p>
    <w:p w14:paraId="6DFB9603">
      <w:pPr>
        <w:numPr>
          <w:ilvl w:val="1"/>
          <w:numId w:val="3"/>
        </w:numPr>
        <w:autoSpaceDE w:val="0"/>
        <w:autoSpaceDN w:val="0"/>
        <w:adjustRightInd w:val="0"/>
        <w:snapToGrid w:val="0"/>
        <w:spacing w:afterLines="50"/>
        <w:ind w:left="1133" w:hanging="1132" w:hangingChars="472"/>
        <w:rPr>
          <w:rFonts w:ascii="宋体" w:hAnsi="宋体" w:cs="黑体"/>
          <w:color w:val="auto"/>
          <w:kern w:val="0"/>
          <w:sz w:val="24"/>
        </w:rPr>
      </w:pPr>
      <w:bookmarkStart w:id="99" w:name="_Toc195921827"/>
      <w:r>
        <w:rPr>
          <w:rFonts w:hint="eastAsia" w:ascii="宋体" w:hAnsi="宋体" w:cs="黑体"/>
          <w:color w:val="auto"/>
          <w:kern w:val="0"/>
          <w:sz w:val="24"/>
        </w:rPr>
        <w:t>评标委员会</w:t>
      </w:r>
      <w:bookmarkEnd w:id="99"/>
    </w:p>
    <w:p w14:paraId="565D49ED">
      <w:pPr>
        <w:keepNext w:val="0"/>
        <w:keepLines w:val="0"/>
        <w:pageBreakBefore w:val="0"/>
        <w:widowControl w:val="0"/>
        <w:numPr>
          <w:ilvl w:val="2"/>
          <w:numId w:val="3"/>
        </w:numPr>
        <w:tabs>
          <w:tab w:val="left" w:pos="1260"/>
        </w:tabs>
        <w:kinsoku/>
        <w:wordWrap/>
        <w:overflowPunct/>
        <w:topLinePunct w:val="0"/>
        <w:autoSpaceDE w:val="0"/>
        <w:autoSpaceDN w:val="0"/>
        <w:bidi w:val="0"/>
        <w:adjustRightInd w:val="0"/>
        <w:snapToGrid w:val="0"/>
        <w:spacing w:afterLines="50"/>
        <w:ind w:left="1134" w:hanging="1134"/>
        <w:textAlignment w:val="auto"/>
        <w:rPr>
          <w:rFonts w:ascii="宋体" w:hAnsi="宋体" w:cs="黑体"/>
          <w:color w:val="auto"/>
          <w:kern w:val="0"/>
          <w:sz w:val="24"/>
        </w:rPr>
      </w:pPr>
      <w:r>
        <w:rPr>
          <w:rFonts w:hint="eastAsia" w:ascii="宋体" w:hAnsi="宋体" w:cs="黑体"/>
          <w:color w:val="auto"/>
          <w:kern w:val="0"/>
          <w:sz w:val="24"/>
        </w:rPr>
        <w:t>评标由采购人依法组建的评标委员会负责。评标委员会由</w:t>
      </w:r>
      <w:r>
        <w:rPr>
          <w:rFonts w:hint="eastAsia" w:ascii="宋体" w:hAnsi="宋体" w:cs="黑体"/>
          <w:color w:val="auto"/>
          <w:kern w:val="0"/>
          <w:sz w:val="24"/>
          <w:lang w:val="en-US" w:eastAsia="zh-CN"/>
        </w:rPr>
        <w:t>采购人代表和评审专家共5</w:t>
      </w:r>
      <w:r>
        <w:rPr>
          <w:rFonts w:hint="eastAsia" w:ascii="宋体" w:hAnsi="宋体" w:cs="黑体"/>
          <w:color w:val="auto"/>
          <w:kern w:val="0"/>
          <w:sz w:val="24"/>
          <w:highlight w:val="none"/>
          <w:lang w:val="en-US" w:eastAsia="zh-CN"/>
        </w:rPr>
        <w:t>人</w:t>
      </w:r>
      <w:r>
        <w:rPr>
          <w:rFonts w:hint="eastAsia" w:ascii="宋体" w:hAnsi="宋体" w:cs="黑体"/>
          <w:color w:val="auto"/>
          <w:kern w:val="0"/>
          <w:sz w:val="24"/>
          <w:lang w:val="en-US" w:eastAsia="zh-CN"/>
        </w:rPr>
        <w:t>以上单数组成，其中评审专家人数不得少于评标委员会成员总数的2/3，采购人代表不得以评审专家身份参加本部门或本单位采购项目的评审，采购代理机构人员不得参加本机构代理的采购项目评审。</w:t>
      </w:r>
    </w:p>
    <w:p w14:paraId="6075CFC2">
      <w:pPr>
        <w:numPr>
          <w:ilvl w:val="2"/>
          <w:numId w:val="3"/>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评标委员会成员有下列情形之一的，应当回避</w:t>
      </w:r>
      <w:r>
        <w:rPr>
          <w:rFonts w:hint="eastAsia" w:ascii="宋体" w:hAnsi="宋体" w:cs="黑体"/>
          <w:color w:val="auto"/>
          <w:kern w:val="0"/>
          <w:sz w:val="24"/>
          <w:lang w:eastAsia="zh-CN"/>
        </w:rPr>
        <w:t>:</w:t>
      </w:r>
    </w:p>
    <w:p w14:paraId="2753A163">
      <w:pPr>
        <w:pStyle w:val="81"/>
        <w:snapToGrid w:val="0"/>
        <w:spacing w:afterLines="50"/>
        <w:ind w:left="1734" w:leftChars="540" w:hanging="600" w:hangingChars="250"/>
        <w:rPr>
          <w:rFonts w:hAnsi="宋体" w:cs="宋体"/>
          <w:color w:val="auto"/>
          <w:sz w:val="24"/>
          <w:szCs w:val="24"/>
        </w:rPr>
      </w:pPr>
      <w:r>
        <w:rPr>
          <w:rFonts w:hint="eastAsia" w:hAnsi="宋体" w:cs="宋体"/>
          <w:color w:val="auto"/>
          <w:sz w:val="24"/>
          <w:szCs w:val="24"/>
          <w:lang w:eastAsia="zh-CN"/>
        </w:rPr>
        <w:t>(</w:t>
      </w:r>
      <w:r>
        <w:rPr>
          <w:rFonts w:hint="eastAsia" w:hAnsi="宋体" w:cs="宋体"/>
          <w:color w:val="auto"/>
          <w:sz w:val="24"/>
          <w:szCs w:val="24"/>
        </w:rPr>
        <w:t>1</w:t>
      </w:r>
      <w:r>
        <w:rPr>
          <w:rFonts w:hint="eastAsia" w:hAnsi="宋体" w:cs="宋体"/>
          <w:color w:val="auto"/>
          <w:sz w:val="24"/>
          <w:szCs w:val="24"/>
          <w:lang w:eastAsia="zh-CN"/>
        </w:rPr>
        <w:t>)</w:t>
      </w:r>
      <w:r>
        <w:rPr>
          <w:rFonts w:hAnsi="宋体" w:cs="宋体"/>
          <w:color w:val="auto"/>
          <w:sz w:val="24"/>
          <w:szCs w:val="24"/>
        </w:rPr>
        <w:t>参加采购活动前3年内与</w:t>
      </w:r>
      <w:r>
        <w:rPr>
          <w:rFonts w:hint="eastAsia" w:hAnsi="宋体" w:cs="宋体"/>
          <w:color w:val="auto"/>
          <w:sz w:val="24"/>
          <w:szCs w:val="24"/>
          <w:lang w:eastAsia="zh-CN"/>
        </w:rPr>
        <w:t>供应商</w:t>
      </w:r>
      <w:r>
        <w:rPr>
          <w:rFonts w:hAnsi="宋体" w:cs="宋体"/>
          <w:color w:val="auto"/>
          <w:sz w:val="24"/>
          <w:szCs w:val="24"/>
        </w:rPr>
        <w:t>存在劳动关系；</w:t>
      </w:r>
    </w:p>
    <w:p w14:paraId="192E76B5">
      <w:pPr>
        <w:pStyle w:val="81"/>
        <w:snapToGrid w:val="0"/>
        <w:spacing w:afterLines="50"/>
        <w:ind w:left="1734" w:leftChars="540" w:hanging="600" w:hangingChars="250"/>
        <w:rPr>
          <w:rFonts w:hAnsi="宋体" w:cs="宋体"/>
          <w:color w:val="auto"/>
          <w:sz w:val="24"/>
          <w:szCs w:val="24"/>
        </w:rPr>
      </w:pPr>
      <w:r>
        <w:rPr>
          <w:rFonts w:hint="eastAsia" w:hAnsi="宋体" w:cs="宋体"/>
          <w:color w:val="auto"/>
          <w:sz w:val="24"/>
          <w:szCs w:val="24"/>
          <w:lang w:eastAsia="zh-CN"/>
        </w:rPr>
        <w:t>(</w:t>
      </w:r>
      <w:r>
        <w:rPr>
          <w:rFonts w:hint="eastAsia" w:hAnsi="宋体" w:cs="宋体"/>
          <w:color w:val="auto"/>
          <w:sz w:val="24"/>
          <w:szCs w:val="24"/>
        </w:rPr>
        <w:t>2</w:t>
      </w:r>
      <w:r>
        <w:rPr>
          <w:rFonts w:hint="eastAsia" w:hAnsi="宋体" w:cs="宋体"/>
          <w:color w:val="auto"/>
          <w:sz w:val="24"/>
          <w:szCs w:val="24"/>
          <w:lang w:eastAsia="zh-CN"/>
        </w:rPr>
        <w:t>)</w:t>
      </w:r>
      <w:r>
        <w:rPr>
          <w:rFonts w:hAnsi="宋体" w:cs="宋体"/>
          <w:color w:val="auto"/>
          <w:sz w:val="24"/>
          <w:szCs w:val="24"/>
        </w:rPr>
        <w:t>参加采购活动前3年内担任</w:t>
      </w:r>
      <w:r>
        <w:rPr>
          <w:rFonts w:hint="eastAsia" w:hAnsi="宋体" w:cs="宋体"/>
          <w:color w:val="auto"/>
          <w:sz w:val="24"/>
          <w:szCs w:val="24"/>
          <w:lang w:eastAsia="zh-CN"/>
        </w:rPr>
        <w:t>供应商</w:t>
      </w:r>
      <w:r>
        <w:rPr>
          <w:rFonts w:hAnsi="宋体" w:cs="宋体"/>
          <w:color w:val="auto"/>
          <w:sz w:val="24"/>
          <w:szCs w:val="24"/>
        </w:rPr>
        <w:t>的董事、监事；</w:t>
      </w:r>
    </w:p>
    <w:p w14:paraId="1EF54486">
      <w:pPr>
        <w:pStyle w:val="81"/>
        <w:snapToGrid w:val="0"/>
        <w:spacing w:afterLines="50"/>
        <w:ind w:left="1734" w:leftChars="540" w:hanging="600" w:hangingChars="250"/>
        <w:rPr>
          <w:rFonts w:hAnsi="宋体" w:cs="宋体"/>
          <w:color w:val="auto"/>
          <w:sz w:val="24"/>
          <w:szCs w:val="24"/>
        </w:rPr>
      </w:pPr>
      <w:r>
        <w:rPr>
          <w:rFonts w:hint="eastAsia" w:hAnsi="宋体" w:cs="宋体"/>
          <w:color w:val="auto"/>
          <w:sz w:val="24"/>
          <w:szCs w:val="24"/>
          <w:lang w:eastAsia="zh-CN"/>
        </w:rPr>
        <w:t>(</w:t>
      </w:r>
      <w:r>
        <w:rPr>
          <w:rFonts w:hint="eastAsia" w:hAnsi="宋体" w:cs="宋体"/>
          <w:color w:val="auto"/>
          <w:sz w:val="24"/>
          <w:szCs w:val="24"/>
        </w:rPr>
        <w:t>3</w:t>
      </w:r>
      <w:r>
        <w:rPr>
          <w:rFonts w:hint="eastAsia" w:hAnsi="宋体" w:cs="宋体"/>
          <w:color w:val="auto"/>
          <w:sz w:val="24"/>
          <w:szCs w:val="24"/>
          <w:lang w:eastAsia="zh-CN"/>
        </w:rPr>
        <w:t>)</w:t>
      </w:r>
      <w:r>
        <w:rPr>
          <w:rFonts w:hAnsi="宋体" w:cs="宋体"/>
          <w:color w:val="auto"/>
          <w:sz w:val="24"/>
          <w:szCs w:val="24"/>
        </w:rPr>
        <w:t>参加采购活动前3年内是</w:t>
      </w:r>
      <w:r>
        <w:rPr>
          <w:rFonts w:hint="eastAsia" w:hAnsi="宋体" w:cs="宋体"/>
          <w:color w:val="auto"/>
          <w:sz w:val="24"/>
          <w:szCs w:val="24"/>
          <w:lang w:eastAsia="zh-CN"/>
        </w:rPr>
        <w:t>供应商</w:t>
      </w:r>
      <w:r>
        <w:rPr>
          <w:rFonts w:hAnsi="宋体" w:cs="宋体"/>
          <w:color w:val="auto"/>
          <w:sz w:val="24"/>
          <w:szCs w:val="24"/>
        </w:rPr>
        <w:t>的控股股东或者实际控制人；</w:t>
      </w:r>
    </w:p>
    <w:p w14:paraId="3B3ABBED">
      <w:pPr>
        <w:pStyle w:val="81"/>
        <w:keepNext w:val="0"/>
        <w:keepLines w:val="0"/>
        <w:pageBreakBefore w:val="0"/>
        <w:widowControl w:val="0"/>
        <w:kinsoku/>
        <w:wordWrap/>
        <w:overflowPunct/>
        <w:topLinePunct w:val="0"/>
        <w:autoSpaceDE/>
        <w:autoSpaceDN/>
        <w:bidi w:val="0"/>
        <w:adjustRightInd/>
        <w:snapToGrid w:val="0"/>
        <w:spacing w:afterLines="50"/>
        <w:ind w:left="1494" w:leftChars="540" w:hanging="360" w:hangingChars="150"/>
        <w:textAlignment w:val="auto"/>
        <w:rPr>
          <w:rFonts w:hAnsi="宋体" w:cs="宋体"/>
          <w:color w:val="auto"/>
          <w:sz w:val="24"/>
          <w:szCs w:val="24"/>
        </w:rPr>
      </w:pPr>
      <w:r>
        <w:rPr>
          <w:rFonts w:hint="eastAsia" w:hAnsi="宋体" w:cs="宋体"/>
          <w:color w:val="auto"/>
          <w:sz w:val="24"/>
          <w:szCs w:val="24"/>
          <w:lang w:eastAsia="zh-CN"/>
        </w:rPr>
        <w:t>(</w:t>
      </w:r>
      <w:r>
        <w:rPr>
          <w:rFonts w:hint="eastAsia" w:hAnsi="宋体" w:cs="宋体"/>
          <w:color w:val="auto"/>
          <w:sz w:val="24"/>
          <w:szCs w:val="24"/>
        </w:rPr>
        <w:t>4</w:t>
      </w:r>
      <w:r>
        <w:rPr>
          <w:rFonts w:hint="eastAsia" w:hAnsi="宋体" w:cs="宋体"/>
          <w:color w:val="auto"/>
          <w:sz w:val="24"/>
          <w:szCs w:val="24"/>
          <w:lang w:eastAsia="zh-CN"/>
        </w:rPr>
        <w:t>)</w:t>
      </w:r>
      <w:r>
        <w:rPr>
          <w:rFonts w:hAnsi="宋体" w:cs="宋体"/>
          <w:color w:val="auto"/>
          <w:sz w:val="24"/>
          <w:szCs w:val="24"/>
        </w:rPr>
        <w:t>与</w:t>
      </w:r>
      <w:r>
        <w:rPr>
          <w:rFonts w:hint="eastAsia" w:hAnsi="宋体" w:cs="宋体"/>
          <w:color w:val="auto"/>
          <w:sz w:val="24"/>
          <w:szCs w:val="24"/>
          <w:lang w:eastAsia="zh-CN"/>
        </w:rPr>
        <w:t>供应商</w:t>
      </w:r>
      <w:r>
        <w:rPr>
          <w:rFonts w:hAnsi="宋体" w:cs="宋体"/>
          <w:color w:val="auto"/>
          <w:sz w:val="24"/>
          <w:szCs w:val="24"/>
        </w:rPr>
        <w:t>的法定代表人或者负责人有夫妻、直系血亲、三代以内旁系血亲或者近姻亲关系；</w:t>
      </w:r>
    </w:p>
    <w:p w14:paraId="5719C465">
      <w:pPr>
        <w:pStyle w:val="81"/>
        <w:snapToGrid w:val="0"/>
        <w:spacing w:afterLines="50"/>
        <w:ind w:left="1734" w:leftChars="540" w:hanging="600" w:hangingChars="250"/>
        <w:rPr>
          <w:rFonts w:hAnsi="宋体" w:cs="宋体"/>
          <w:color w:val="auto"/>
          <w:sz w:val="24"/>
          <w:szCs w:val="24"/>
        </w:rPr>
      </w:pPr>
      <w:r>
        <w:rPr>
          <w:rFonts w:hint="eastAsia" w:hAnsi="宋体" w:cs="宋体"/>
          <w:color w:val="auto"/>
          <w:sz w:val="24"/>
          <w:szCs w:val="24"/>
          <w:lang w:eastAsia="zh-CN"/>
        </w:rPr>
        <w:t>(</w:t>
      </w:r>
      <w:r>
        <w:rPr>
          <w:rFonts w:hint="eastAsia" w:hAnsi="宋体" w:cs="宋体"/>
          <w:color w:val="auto"/>
          <w:sz w:val="24"/>
          <w:szCs w:val="24"/>
        </w:rPr>
        <w:t>5</w:t>
      </w:r>
      <w:r>
        <w:rPr>
          <w:rFonts w:hint="eastAsia" w:hAnsi="宋体" w:cs="宋体"/>
          <w:color w:val="auto"/>
          <w:sz w:val="24"/>
          <w:szCs w:val="24"/>
          <w:lang w:eastAsia="zh-CN"/>
        </w:rPr>
        <w:t>)</w:t>
      </w:r>
      <w:r>
        <w:rPr>
          <w:rFonts w:hAnsi="宋体" w:cs="宋体"/>
          <w:color w:val="auto"/>
          <w:sz w:val="24"/>
          <w:szCs w:val="24"/>
        </w:rPr>
        <w:t>与</w:t>
      </w:r>
      <w:r>
        <w:rPr>
          <w:rFonts w:hint="eastAsia" w:hAnsi="宋体" w:cs="宋体"/>
          <w:color w:val="auto"/>
          <w:sz w:val="24"/>
          <w:szCs w:val="24"/>
          <w:lang w:eastAsia="zh-CN"/>
        </w:rPr>
        <w:t>供应商</w:t>
      </w:r>
      <w:r>
        <w:rPr>
          <w:rFonts w:hAnsi="宋体" w:cs="宋体"/>
          <w:color w:val="auto"/>
          <w:sz w:val="24"/>
          <w:szCs w:val="24"/>
        </w:rPr>
        <w:t>有其他可能影响政府采购活动公平、公正进行的关系。</w:t>
      </w:r>
    </w:p>
    <w:p w14:paraId="2368C160">
      <w:pPr>
        <w:numPr>
          <w:ilvl w:val="2"/>
          <w:numId w:val="3"/>
        </w:numPr>
        <w:tabs>
          <w:tab w:val="left" w:pos="1260"/>
          <w:tab w:val="left" w:pos="1418"/>
          <w:tab w:val="left" w:pos="1800"/>
        </w:tabs>
        <w:autoSpaceDE w:val="0"/>
        <w:autoSpaceDN w:val="0"/>
        <w:adjustRightInd w:val="0"/>
        <w:snapToGrid w:val="0"/>
        <w:spacing w:before="120" w:afterLines="50"/>
        <w:rPr>
          <w:rFonts w:ascii="宋体" w:hAnsi="宋体" w:cs="黑体"/>
          <w:color w:val="auto"/>
          <w:kern w:val="0"/>
          <w:sz w:val="24"/>
        </w:rPr>
      </w:pPr>
      <w:r>
        <w:rPr>
          <w:rFonts w:hint="eastAsia" w:ascii="宋体" w:hAnsi="宋体" w:cs="黑体"/>
          <w:color w:val="auto"/>
          <w:kern w:val="0"/>
          <w:sz w:val="24"/>
        </w:rPr>
        <w:t>评标委员会</w:t>
      </w:r>
      <w:r>
        <w:rPr>
          <w:rFonts w:hint="eastAsia" w:ascii="宋体" w:hAnsi="宋体"/>
          <w:color w:val="auto"/>
          <w:sz w:val="24"/>
        </w:rPr>
        <w:t>负责具体评标事务，并独立履行下列职责</w:t>
      </w:r>
      <w:r>
        <w:rPr>
          <w:rFonts w:hint="eastAsia" w:ascii="宋体" w:hAnsi="宋体" w:cs="黑体"/>
          <w:color w:val="auto"/>
          <w:kern w:val="0"/>
          <w:sz w:val="24"/>
          <w:lang w:eastAsia="zh-CN"/>
        </w:rPr>
        <w:t>:</w:t>
      </w:r>
    </w:p>
    <w:p w14:paraId="12335A89">
      <w:pPr>
        <w:pStyle w:val="81"/>
        <w:snapToGrid w:val="0"/>
        <w:spacing w:afterLines="50"/>
        <w:ind w:left="1840" w:leftChars="539" w:hanging="708" w:hangingChars="295"/>
        <w:rPr>
          <w:rFonts w:hAnsi="宋体" w:cs="宋体"/>
          <w:color w:val="auto"/>
          <w:sz w:val="24"/>
          <w:szCs w:val="24"/>
        </w:rPr>
      </w:pPr>
      <w:bookmarkStart w:id="100" w:name="_Toc195921828"/>
      <w:r>
        <w:rPr>
          <w:rFonts w:hint="eastAsia" w:hAnsi="宋体" w:cs="宋体"/>
          <w:color w:val="auto"/>
          <w:sz w:val="24"/>
          <w:szCs w:val="24"/>
          <w:lang w:eastAsia="zh-CN"/>
        </w:rPr>
        <w:t>(</w:t>
      </w:r>
      <w:r>
        <w:rPr>
          <w:rFonts w:hint="eastAsia" w:hAnsi="宋体" w:cs="宋体"/>
          <w:color w:val="auto"/>
          <w:sz w:val="24"/>
          <w:szCs w:val="24"/>
        </w:rPr>
        <w:t>1</w:t>
      </w:r>
      <w:r>
        <w:rPr>
          <w:rFonts w:hint="eastAsia" w:hAnsi="宋体" w:cs="宋体"/>
          <w:color w:val="auto"/>
          <w:sz w:val="24"/>
          <w:szCs w:val="24"/>
          <w:lang w:eastAsia="zh-CN"/>
        </w:rPr>
        <w:t>)</w:t>
      </w:r>
      <w:r>
        <w:rPr>
          <w:rFonts w:hint="eastAsia" w:hAnsi="宋体" w:cs="宋体"/>
          <w:color w:val="auto"/>
          <w:sz w:val="24"/>
          <w:szCs w:val="24"/>
        </w:rPr>
        <w:tab/>
      </w:r>
      <w:r>
        <w:rPr>
          <w:rFonts w:hint="eastAsia" w:hAnsi="宋体" w:cs="宋体"/>
          <w:color w:val="auto"/>
          <w:sz w:val="24"/>
          <w:szCs w:val="24"/>
        </w:rPr>
        <w:t>审查、评价投标文件是否符合招标文件的商务、技术等实质性要求；</w:t>
      </w:r>
    </w:p>
    <w:p w14:paraId="68222EA2">
      <w:pPr>
        <w:pStyle w:val="81"/>
        <w:snapToGrid w:val="0"/>
        <w:spacing w:afterLines="50"/>
        <w:ind w:left="1840" w:leftChars="539" w:hanging="708" w:hangingChars="295"/>
        <w:rPr>
          <w:rFonts w:hAnsi="宋体" w:cs="宋体"/>
          <w:color w:val="auto"/>
          <w:sz w:val="24"/>
          <w:szCs w:val="24"/>
        </w:rPr>
      </w:pPr>
      <w:r>
        <w:rPr>
          <w:rFonts w:hint="eastAsia" w:hAnsi="宋体" w:cs="宋体"/>
          <w:color w:val="auto"/>
          <w:sz w:val="24"/>
          <w:szCs w:val="24"/>
          <w:lang w:eastAsia="zh-CN"/>
        </w:rPr>
        <w:t>(</w:t>
      </w:r>
      <w:r>
        <w:rPr>
          <w:rFonts w:hint="eastAsia" w:hAnsi="宋体" w:cs="宋体"/>
          <w:color w:val="auto"/>
          <w:sz w:val="24"/>
          <w:szCs w:val="24"/>
        </w:rPr>
        <w:t>2</w:t>
      </w:r>
      <w:r>
        <w:rPr>
          <w:rFonts w:hint="eastAsia" w:hAnsi="宋体" w:cs="宋体"/>
          <w:color w:val="auto"/>
          <w:sz w:val="24"/>
          <w:szCs w:val="24"/>
          <w:lang w:eastAsia="zh-CN"/>
        </w:rPr>
        <w:t>)</w:t>
      </w:r>
      <w:r>
        <w:rPr>
          <w:rFonts w:hint="eastAsia" w:hAnsi="宋体" w:cs="宋体"/>
          <w:color w:val="auto"/>
          <w:sz w:val="24"/>
          <w:szCs w:val="24"/>
        </w:rPr>
        <w:tab/>
      </w:r>
      <w:r>
        <w:rPr>
          <w:rFonts w:hint="eastAsia" w:hAnsi="宋体" w:cs="宋体"/>
          <w:color w:val="auto"/>
          <w:sz w:val="24"/>
          <w:szCs w:val="24"/>
        </w:rPr>
        <w:t>要求</w:t>
      </w:r>
      <w:r>
        <w:rPr>
          <w:rFonts w:hint="eastAsia" w:hAnsi="宋体" w:cs="宋体"/>
          <w:color w:val="auto"/>
          <w:sz w:val="24"/>
          <w:szCs w:val="24"/>
          <w:lang w:eastAsia="zh-CN"/>
        </w:rPr>
        <w:t>供应商</w:t>
      </w:r>
      <w:r>
        <w:rPr>
          <w:rFonts w:hint="eastAsia" w:hAnsi="宋体" w:cs="宋体"/>
          <w:color w:val="auto"/>
          <w:sz w:val="24"/>
          <w:szCs w:val="24"/>
        </w:rPr>
        <w:t>对投标文件有关事项作出澄清或者说明；</w:t>
      </w:r>
    </w:p>
    <w:p w14:paraId="1D37D195">
      <w:pPr>
        <w:pStyle w:val="81"/>
        <w:snapToGrid w:val="0"/>
        <w:spacing w:afterLines="50"/>
        <w:ind w:left="1840" w:leftChars="539" w:hanging="708" w:hangingChars="295"/>
        <w:rPr>
          <w:rFonts w:hAnsi="宋体" w:cs="宋体"/>
          <w:color w:val="auto"/>
          <w:sz w:val="24"/>
          <w:szCs w:val="24"/>
        </w:rPr>
      </w:pPr>
      <w:r>
        <w:rPr>
          <w:rFonts w:hint="eastAsia" w:hAnsi="宋体" w:cs="宋体"/>
          <w:color w:val="auto"/>
          <w:sz w:val="24"/>
          <w:szCs w:val="24"/>
          <w:lang w:eastAsia="zh-CN"/>
        </w:rPr>
        <w:t>(</w:t>
      </w:r>
      <w:r>
        <w:rPr>
          <w:rFonts w:hint="eastAsia" w:hAnsi="宋体" w:cs="宋体"/>
          <w:color w:val="auto"/>
          <w:sz w:val="24"/>
          <w:szCs w:val="24"/>
        </w:rPr>
        <w:t>3</w:t>
      </w:r>
      <w:r>
        <w:rPr>
          <w:rFonts w:hint="eastAsia" w:hAnsi="宋体" w:cs="宋体"/>
          <w:color w:val="auto"/>
          <w:sz w:val="24"/>
          <w:szCs w:val="24"/>
          <w:lang w:eastAsia="zh-CN"/>
        </w:rPr>
        <w:t>)</w:t>
      </w:r>
      <w:r>
        <w:rPr>
          <w:rFonts w:hint="eastAsia" w:hAnsi="宋体" w:cs="宋体"/>
          <w:color w:val="auto"/>
          <w:sz w:val="24"/>
          <w:szCs w:val="24"/>
        </w:rPr>
        <w:tab/>
      </w:r>
      <w:r>
        <w:rPr>
          <w:rFonts w:hint="eastAsia" w:hAnsi="宋体" w:cs="宋体"/>
          <w:color w:val="auto"/>
          <w:sz w:val="24"/>
          <w:szCs w:val="24"/>
        </w:rPr>
        <w:t>对投标文件进行比较和评价；</w:t>
      </w:r>
    </w:p>
    <w:p w14:paraId="30390188">
      <w:pPr>
        <w:pStyle w:val="81"/>
        <w:snapToGrid w:val="0"/>
        <w:spacing w:afterLines="50"/>
        <w:ind w:left="1840" w:leftChars="539" w:hanging="708" w:hangingChars="295"/>
        <w:rPr>
          <w:rFonts w:hAnsi="宋体" w:cs="宋体"/>
          <w:color w:val="auto"/>
          <w:sz w:val="24"/>
          <w:szCs w:val="24"/>
        </w:rPr>
      </w:pPr>
      <w:r>
        <w:rPr>
          <w:rFonts w:hint="eastAsia" w:hAnsi="宋体" w:cs="宋体"/>
          <w:color w:val="auto"/>
          <w:sz w:val="24"/>
          <w:szCs w:val="24"/>
          <w:lang w:eastAsia="zh-CN"/>
        </w:rPr>
        <w:t>(</w:t>
      </w:r>
      <w:r>
        <w:rPr>
          <w:rFonts w:hint="eastAsia" w:hAnsi="宋体" w:cs="宋体"/>
          <w:color w:val="auto"/>
          <w:sz w:val="24"/>
          <w:szCs w:val="24"/>
        </w:rPr>
        <w:t>4</w:t>
      </w:r>
      <w:r>
        <w:rPr>
          <w:rFonts w:hint="eastAsia" w:hAnsi="宋体" w:cs="宋体"/>
          <w:color w:val="auto"/>
          <w:sz w:val="24"/>
          <w:szCs w:val="24"/>
          <w:lang w:eastAsia="zh-CN"/>
        </w:rPr>
        <w:t>)</w:t>
      </w:r>
      <w:r>
        <w:rPr>
          <w:rFonts w:hint="eastAsia" w:hAnsi="宋体" w:cs="宋体"/>
          <w:color w:val="auto"/>
          <w:sz w:val="24"/>
          <w:szCs w:val="24"/>
        </w:rPr>
        <w:tab/>
      </w:r>
      <w:r>
        <w:rPr>
          <w:rFonts w:hint="eastAsia" w:hAnsi="宋体" w:cs="宋体"/>
          <w:color w:val="auto"/>
          <w:sz w:val="24"/>
          <w:szCs w:val="24"/>
        </w:rPr>
        <w:t>确定中标候选人名单，以及根据采购人委托直接确定中标人；</w:t>
      </w:r>
    </w:p>
    <w:p w14:paraId="2F88B520">
      <w:pPr>
        <w:pStyle w:val="81"/>
        <w:snapToGrid w:val="0"/>
        <w:spacing w:afterLines="50"/>
        <w:ind w:left="1840" w:leftChars="539" w:hanging="708" w:hangingChars="295"/>
        <w:rPr>
          <w:rFonts w:hAnsi="宋体" w:cs="宋体"/>
          <w:color w:val="auto"/>
          <w:sz w:val="24"/>
          <w:szCs w:val="24"/>
        </w:rPr>
      </w:pPr>
      <w:r>
        <w:rPr>
          <w:rFonts w:hint="eastAsia" w:hAnsi="宋体" w:cs="宋体"/>
          <w:color w:val="auto"/>
          <w:sz w:val="24"/>
          <w:szCs w:val="24"/>
          <w:lang w:eastAsia="zh-CN"/>
        </w:rPr>
        <w:t>(</w:t>
      </w:r>
      <w:r>
        <w:rPr>
          <w:rFonts w:hint="eastAsia" w:hAnsi="宋体" w:cs="宋体"/>
          <w:color w:val="auto"/>
          <w:sz w:val="24"/>
          <w:szCs w:val="24"/>
        </w:rPr>
        <w:t>5</w:t>
      </w:r>
      <w:r>
        <w:rPr>
          <w:rFonts w:hint="eastAsia" w:hAnsi="宋体" w:cs="宋体"/>
          <w:color w:val="auto"/>
          <w:sz w:val="24"/>
          <w:szCs w:val="24"/>
          <w:lang w:eastAsia="zh-CN"/>
        </w:rPr>
        <w:t>)</w:t>
      </w:r>
      <w:r>
        <w:rPr>
          <w:rFonts w:hint="eastAsia" w:hAnsi="宋体" w:cs="宋体"/>
          <w:color w:val="auto"/>
          <w:sz w:val="24"/>
          <w:szCs w:val="24"/>
        </w:rPr>
        <w:tab/>
      </w:r>
      <w:r>
        <w:rPr>
          <w:rFonts w:hint="eastAsia" w:hAnsi="宋体" w:cs="宋体"/>
          <w:color w:val="auto"/>
          <w:sz w:val="24"/>
          <w:szCs w:val="24"/>
        </w:rPr>
        <w:t>向采购人、采购代理机构或者有关部门报告评标中发现的违法行为。</w:t>
      </w:r>
    </w:p>
    <w:p w14:paraId="46603787">
      <w:pPr>
        <w:numPr>
          <w:ilvl w:val="1"/>
          <w:numId w:val="3"/>
        </w:numPr>
        <w:autoSpaceDE w:val="0"/>
        <w:autoSpaceDN w:val="0"/>
        <w:adjustRightInd w:val="0"/>
        <w:snapToGrid w:val="0"/>
        <w:spacing w:afterLines="50"/>
        <w:ind w:left="1133" w:hanging="1132" w:hangingChars="472"/>
        <w:rPr>
          <w:rFonts w:ascii="宋体" w:hAnsi="宋体" w:cs="黑体"/>
          <w:color w:val="auto"/>
          <w:kern w:val="0"/>
          <w:sz w:val="24"/>
        </w:rPr>
      </w:pPr>
      <w:r>
        <w:rPr>
          <w:rFonts w:hint="eastAsia" w:ascii="宋体" w:hAnsi="宋体"/>
          <w:color w:val="auto"/>
          <w:sz w:val="24"/>
        </w:rPr>
        <w:t>评标委员会应当对符合资格的</w:t>
      </w:r>
      <w:r>
        <w:rPr>
          <w:rFonts w:hint="eastAsia" w:ascii="宋体" w:hAnsi="宋体"/>
          <w:color w:val="auto"/>
          <w:sz w:val="24"/>
          <w:lang w:eastAsia="zh-CN"/>
        </w:rPr>
        <w:t>供应商</w:t>
      </w:r>
      <w:r>
        <w:rPr>
          <w:rFonts w:hint="eastAsia" w:ascii="宋体" w:hAnsi="宋体"/>
          <w:color w:val="auto"/>
          <w:sz w:val="24"/>
        </w:rPr>
        <w:t>的投标文件进行符合性审查，以确定其是否满足招标文件的实质性要求。</w:t>
      </w:r>
      <w:bookmarkEnd w:id="100"/>
    </w:p>
    <w:p w14:paraId="522280C2">
      <w:pPr>
        <w:numPr>
          <w:ilvl w:val="1"/>
          <w:numId w:val="3"/>
        </w:numPr>
        <w:autoSpaceDE w:val="0"/>
        <w:autoSpaceDN w:val="0"/>
        <w:adjustRightInd w:val="0"/>
        <w:snapToGrid w:val="0"/>
        <w:spacing w:afterLines="50"/>
        <w:ind w:left="1133" w:hanging="1132" w:hangingChars="472"/>
        <w:rPr>
          <w:rFonts w:ascii="宋体" w:hAnsi="宋体" w:cs="黑体"/>
          <w:color w:val="auto"/>
          <w:kern w:val="0"/>
          <w:sz w:val="24"/>
        </w:rPr>
      </w:pPr>
      <w:r>
        <w:rPr>
          <w:rFonts w:hint="eastAsia" w:ascii="宋体" w:hAnsi="宋体" w:cs="黑体"/>
          <w:color w:val="auto"/>
          <w:kern w:val="0"/>
          <w:sz w:val="24"/>
          <w:lang w:val="en-US" w:eastAsia="zh-CN"/>
        </w:rPr>
        <w:t>当综合评分相等时，以技术得分高者优先；技术得分也相等的，以投标报价得分高者优先；如果报价得分也相等，则由采购人直接确定中标候选人顺序。供应商须知前附表另有规定的，按供应商须知前附表规定执行</w:t>
      </w:r>
      <w:r>
        <w:rPr>
          <w:rFonts w:hint="eastAsia" w:ascii="宋体" w:hAnsi="宋体" w:cs="黑体"/>
          <w:color w:val="auto"/>
          <w:kern w:val="0"/>
          <w:sz w:val="24"/>
        </w:rPr>
        <w:t>。</w:t>
      </w:r>
    </w:p>
    <w:p w14:paraId="55548BFD">
      <w:pPr>
        <w:numPr>
          <w:ilvl w:val="1"/>
          <w:numId w:val="3"/>
        </w:numPr>
        <w:autoSpaceDE w:val="0"/>
        <w:autoSpaceDN w:val="0"/>
        <w:adjustRightInd w:val="0"/>
        <w:snapToGrid w:val="0"/>
        <w:spacing w:afterLines="50"/>
        <w:ind w:left="1133" w:hanging="1132" w:hangingChars="472"/>
        <w:rPr>
          <w:rFonts w:ascii="宋体" w:hAnsi="宋体"/>
          <w:color w:val="auto"/>
          <w:sz w:val="24"/>
        </w:rPr>
      </w:pPr>
      <w:r>
        <w:rPr>
          <w:rFonts w:hint="eastAsia" w:ascii="宋体" w:hAnsi="宋体"/>
          <w:color w:val="auto"/>
          <w:sz w:val="24"/>
        </w:rPr>
        <w:t>评标委员会按照第三章“资格审查、评标办法和标准”规定的评标方法和标准，对符合性审查合格的投标文件进行商务和技术评估，综合比较与评价。“评标办法”没有规定的方法、评审因素和标准，不作为评标依据。</w:t>
      </w:r>
    </w:p>
    <w:p w14:paraId="68C96F6F">
      <w:pPr>
        <w:numPr>
          <w:ilvl w:val="1"/>
          <w:numId w:val="3"/>
        </w:numPr>
        <w:autoSpaceDE w:val="0"/>
        <w:autoSpaceDN w:val="0"/>
        <w:adjustRightInd w:val="0"/>
        <w:snapToGrid w:val="0"/>
        <w:spacing w:afterLines="50"/>
        <w:ind w:left="1133" w:hanging="1132" w:hangingChars="472"/>
        <w:rPr>
          <w:rFonts w:hint="eastAsia" w:ascii="宋体" w:hAnsi="宋体"/>
          <w:color w:val="auto"/>
          <w:sz w:val="24"/>
        </w:rPr>
      </w:pPr>
      <w:r>
        <w:rPr>
          <w:rFonts w:hint="eastAsia" w:ascii="宋体" w:hAnsi="宋体"/>
          <w:color w:val="auto"/>
          <w:sz w:val="24"/>
        </w:rPr>
        <w:t>在评标过程中发现</w:t>
      </w:r>
      <w:r>
        <w:rPr>
          <w:rFonts w:hint="eastAsia" w:ascii="宋体" w:hAnsi="宋体"/>
          <w:color w:val="auto"/>
          <w:sz w:val="24"/>
          <w:lang w:eastAsia="zh-CN"/>
        </w:rPr>
        <w:t>供应商</w:t>
      </w:r>
      <w:r>
        <w:rPr>
          <w:rFonts w:hint="eastAsia" w:ascii="宋体" w:hAnsi="宋体"/>
          <w:color w:val="auto"/>
          <w:sz w:val="24"/>
        </w:rPr>
        <w:t>有不遵循公平竞争的原则，恶意串通，妨碍其他</w:t>
      </w:r>
      <w:r>
        <w:rPr>
          <w:rFonts w:hint="eastAsia" w:ascii="宋体" w:hAnsi="宋体"/>
          <w:color w:val="auto"/>
          <w:sz w:val="24"/>
          <w:lang w:eastAsia="zh-CN"/>
        </w:rPr>
        <w:t>供应商</w:t>
      </w:r>
      <w:r>
        <w:rPr>
          <w:rFonts w:hint="eastAsia" w:ascii="宋体" w:hAnsi="宋体"/>
          <w:color w:val="auto"/>
          <w:sz w:val="24"/>
        </w:rPr>
        <w:t>的竞争行为，损害采购人或者其他</w:t>
      </w:r>
      <w:r>
        <w:rPr>
          <w:rFonts w:hint="eastAsia" w:ascii="宋体" w:hAnsi="宋体"/>
          <w:color w:val="auto"/>
          <w:sz w:val="24"/>
          <w:lang w:eastAsia="zh-CN"/>
        </w:rPr>
        <w:t>供应商</w:t>
      </w:r>
      <w:r>
        <w:rPr>
          <w:rFonts w:hint="eastAsia" w:ascii="宋体" w:hAnsi="宋体"/>
          <w:color w:val="auto"/>
          <w:sz w:val="24"/>
        </w:rPr>
        <w:t>的合法权益的，评标委员会应当认定其投标无效，并书面报告本级财政部门。</w:t>
      </w:r>
    </w:p>
    <w:p w14:paraId="34BAEA48">
      <w:pPr>
        <w:numPr>
          <w:ilvl w:val="1"/>
          <w:numId w:val="3"/>
        </w:numPr>
        <w:autoSpaceDE w:val="0"/>
        <w:autoSpaceDN w:val="0"/>
        <w:adjustRightInd w:val="0"/>
        <w:snapToGrid w:val="0"/>
        <w:spacing w:afterLines="50"/>
        <w:ind w:left="1133" w:hanging="1132" w:hangingChars="472"/>
        <w:rPr>
          <w:rFonts w:ascii="宋体" w:hAnsi="宋体"/>
          <w:color w:val="auto"/>
          <w:sz w:val="24"/>
        </w:rPr>
      </w:pPr>
      <w:r>
        <w:rPr>
          <w:rFonts w:hint="eastAsia" w:ascii="宋体" w:hAnsi="宋体"/>
          <w:color w:val="auto"/>
          <w:sz w:val="24"/>
        </w:rPr>
        <w:t>公开招标数额标准以上的采购项目，投标截止后</w:t>
      </w:r>
      <w:r>
        <w:rPr>
          <w:rFonts w:hint="eastAsia" w:ascii="宋体" w:hAnsi="宋体"/>
          <w:color w:val="auto"/>
          <w:sz w:val="24"/>
          <w:lang w:eastAsia="zh-CN"/>
        </w:rPr>
        <w:t>供应商</w:t>
      </w:r>
      <w:r>
        <w:rPr>
          <w:rFonts w:hint="eastAsia" w:ascii="宋体" w:hAnsi="宋体"/>
          <w:color w:val="auto"/>
          <w:sz w:val="24"/>
        </w:rPr>
        <w:t>不足3家或者通过资格审查或符合性审查的</w:t>
      </w:r>
      <w:r>
        <w:rPr>
          <w:rFonts w:hint="eastAsia" w:ascii="宋体" w:hAnsi="宋体"/>
          <w:color w:val="auto"/>
          <w:sz w:val="24"/>
          <w:lang w:eastAsia="zh-CN"/>
        </w:rPr>
        <w:t>供应商</w:t>
      </w:r>
      <w:r>
        <w:rPr>
          <w:rFonts w:hint="eastAsia" w:ascii="宋体" w:hAnsi="宋体"/>
          <w:color w:val="auto"/>
          <w:sz w:val="24"/>
        </w:rPr>
        <w:t>不足3家的，除采购任务取消情形外，将重新招标或采用其他采购方式采购。</w:t>
      </w:r>
    </w:p>
    <w:p w14:paraId="5878AEEC">
      <w:pPr>
        <w:numPr>
          <w:ilvl w:val="0"/>
          <w:numId w:val="3"/>
        </w:numPr>
        <w:autoSpaceDE w:val="0"/>
        <w:autoSpaceDN w:val="0"/>
        <w:adjustRightInd w:val="0"/>
        <w:spacing w:afterLines="50"/>
        <w:outlineLvl w:val="2"/>
        <w:rPr>
          <w:rFonts w:ascii="黑体" w:hAnsi="宋体" w:eastAsia="黑体" w:cs="黑体"/>
          <w:color w:val="auto"/>
          <w:kern w:val="0"/>
          <w:sz w:val="24"/>
        </w:rPr>
      </w:pPr>
      <w:bookmarkStart w:id="101" w:name="_Toc195921830"/>
      <w:bookmarkStart w:id="102" w:name="_Toc19223"/>
      <w:bookmarkStart w:id="103" w:name="_Toc6181"/>
      <w:r>
        <w:rPr>
          <w:rFonts w:hint="eastAsia" w:ascii="黑体" w:hAnsi="宋体" w:eastAsia="黑体" w:cs="黑体"/>
          <w:color w:val="auto"/>
          <w:kern w:val="0"/>
          <w:sz w:val="24"/>
        </w:rPr>
        <w:t>合同授予</w:t>
      </w:r>
      <w:bookmarkEnd w:id="101"/>
      <w:bookmarkEnd w:id="102"/>
      <w:bookmarkEnd w:id="103"/>
    </w:p>
    <w:p w14:paraId="45DA53B5">
      <w:pPr>
        <w:numPr>
          <w:ilvl w:val="1"/>
          <w:numId w:val="3"/>
        </w:numPr>
        <w:autoSpaceDE w:val="0"/>
        <w:autoSpaceDN w:val="0"/>
        <w:adjustRightInd w:val="0"/>
        <w:snapToGrid w:val="0"/>
        <w:spacing w:afterLines="50"/>
        <w:ind w:left="1680" w:hanging="1680" w:hangingChars="700"/>
        <w:rPr>
          <w:rFonts w:ascii="宋体" w:hAnsi="宋体" w:cs="黑体"/>
          <w:color w:val="auto"/>
          <w:kern w:val="0"/>
          <w:sz w:val="24"/>
        </w:rPr>
      </w:pPr>
      <w:bookmarkStart w:id="104" w:name="_Toc195921831"/>
      <w:r>
        <w:rPr>
          <w:rFonts w:hint="eastAsia" w:ascii="宋体" w:hAnsi="宋体" w:cs="黑体"/>
          <w:color w:val="auto"/>
          <w:kern w:val="0"/>
          <w:sz w:val="24"/>
        </w:rPr>
        <w:t>定标方式</w:t>
      </w:r>
      <w:bookmarkEnd w:id="104"/>
    </w:p>
    <w:p w14:paraId="16441E60">
      <w:pPr>
        <w:tabs>
          <w:tab w:val="left" w:pos="1260"/>
        </w:tabs>
        <w:autoSpaceDE w:val="0"/>
        <w:autoSpaceDN w:val="0"/>
        <w:adjustRightInd w:val="0"/>
        <w:snapToGrid w:val="0"/>
        <w:spacing w:afterLines="50"/>
        <w:ind w:left="1134"/>
        <w:rPr>
          <w:rFonts w:ascii="宋体" w:hAnsi="宋体" w:cs="黑体"/>
          <w:color w:val="auto"/>
          <w:kern w:val="0"/>
          <w:sz w:val="24"/>
        </w:rPr>
      </w:pPr>
      <w:r>
        <w:rPr>
          <w:rFonts w:hint="eastAsia" w:ascii="宋体" w:hAnsi="宋体"/>
          <w:color w:val="auto"/>
          <w:sz w:val="24"/>
        </w:rPr>
        <w:t>采购人按评标报告确定的中标候选人名单中按顺序确定中标人。评标委员会确定的中标候选人的人数见</w:t>
      </w:r>
      <w:r>
        <w:rPr>
          <w:rFonts w:hint="eastAsia" w:ascii="宋体" w:hAnsi="宋体"/>
          <w:color w:val="auto"/>
          <w:sz w:val="24"/>
          <w:lang w:eastAsia="zh-CN"/>
        </w:rPr>
        <w:t>供应商</w:t>
      </w:r>
      <w:r>
        <w:rPr>
          <w:rFonts w:hint="eastAsia" w:ascii="宋体" w:hAnsi="宋体"/>
          <w:color w:val="auto"/>
          <w:sz w:val="24"/>
        </w:rPr>
        <w:t>须知前附表。</w:t>
      </w:r>
    </w:p>
    <w:p w14:paraId="6AB175F4">
      <w:pPr>
        <w:numPr>
          <w:ilvl w:val="1"/>
          <w:numId w:val="3"/>
        </w:numPr>
        <w:autoSpaceDE w:val="0"/>
        <w:autoSpaceDN w:val="0"/>
        <w:adjustRightInd w:val="0"/>
        <w:snapToGrid w:val="0"/>
        <w:spacing w:afterLines="50"/>
        <w:ind w:left="1680" w:hanging="1680" w:hangingChars="700"/>
        <w:rPr>
          <w:rFonts w:ascii="宋体" w:hAnsi="宋体" w:cs="黑体"/>
          <w:color w:val="auto"/>
          <w:kern w:val="0"/>
          <w:sz w:val="24"/>
        </w:rPr>
      </w:pPr>
      <w:r>
        <w:rPr>
          <w:rFonts w:hint="eastAsia" w:ascii="宋体" w:hAnsi="宋体" w:cs="黑体"/>
          <w:color w:val="auto"/>
          <w:kern w:val="0"/>
          <w:sz w:val="24"/>
        </w:rPr>
        <w:t>中标公告</w:t>
      </w:r>
    </w:p>
    <w:p w14:paraId="59694F40">
      <w:pPr>
        <w:numPr>
          <w:ilvl w:val="2"/>
          <w:numId w:val="3"/>
        </w:numPr>
        <w:tabs>
          <w:tab w:val="left" w:pos="1260"/>
        </w:tabs>
        <w:autoSpaceDE w:val="0"/>
        <w:autoSpaceDN w:val="0"/>
        <w:adjustRightInd w:val="0"/>
        <w:snapToGrid w:val="0"/>
        <w:spacing w:afterLines="50"/>
        <w:rPr>
          <w:rFonts w:ascii="宋体" w:hAnsi="宋体"/>
          <w:color w:val="auto"/>
          <w:sz w:val="24"/>
        </w:rPr>
      </w:pPr>
      <w:r>
        <w:rPr>
          <w:rFonts w:hint="eastAsia" w:ascii="宋体" w:hAnsi="宋体"/>
          <w:color w:val="auto"/>
          <w:sz w:val="24"/>
        </w:rPr>
        <w:t>采购人或者采购代理机构应当自中标人确定之日起2个工作日内，在省级以上财政部门指定的媒体上公告中标结果。</w:t>
      </w:r>
    </w:p>
    <w:p w14:paraId="31DC7C49">
      <w:pPr>
        <w:tabs>
          <w:tab w:val="left" w:pos="1260"/>
        </w:tabs>
        <w:autoSpaceDE w:val="0"/>
        <w:autoSpaceDN w:val="0"/>
        <w:adjustRightInd w:val="0"/>
        <w:snapToGrid w:val="0"/>
        <w:spacing w:afterLines="50"/>
        <w:ind w:left="1134"/>
        <w:rPr>
          <w:rFonts w:ascii="宋体" w:hAnsi="宋体"/>
          <w:color w:val="auto"/>
          <w:sz w:val="24"/>
        </w:rPr>
      </w:pPr>
      <w:r>
        <w:rPr>
          <w:rFonts w:hint="eastAsia" w:ascii="宋体" w:hAnsi="宋体"/>
          <w:color w:val="auto"/>
          <w:sz w:val="24"/>
        </w:rPr>
        <w:t>中标公告期限为1个工作日。</w:t>
      </w:r>
    </w:p>
    <w:p w14:paraId="242D7003">
      <w:pPr>
        <w:numPr>
          <w:ilvl w:val="2"/>
          <w:numId w:val="3"/>
        </w:numPr>
        <w:tabs>
          <w:tab w:val="left" w:pos="1260"/>
        </w:tabs>
        <w:autoSpaceDE w:val="0"/>
        <w:autoSpaceDN w:val="0"/>
        <w:adjustRightInd w:val="0"/>
        <w:snapToGrid w:val="0"/>
        <w:spacing w:afterLines="50"/>
        <w:rPr>
          <w:rFonts w:ascii="宋体" w:hAnsi="宋体"/>
          <w:color w:val="auto"/>
          <w:sz w:val="24"/>
        </w:rPr>
      </w:pPr>
      <w:r>
        <w:rPr>
          <w:rFonts w:hint="eastAsia" w:ascii="宋体" w:hAnsi="宋体" w:cs="黑体"/>
          <w:color w:val="auto"/>
          <w:kern w:val="0"/>
          <w:sz w:val="24"/>
          <w:lang w:eastAsia="zh-CN"/>
        </w:rPr>
        <w:t>供应商</w:t>
      </w:r>
      <w:r>
        <w:rPr>
          <w:rFonts w:hint="eastAsia" w:ascii="宋体" w:hAnsi="宋体" w:cs="黑体"/>
          <w:color w:val="auto"/>
          <w:kern w:val="0"/>
          <w:sz w:val="24"/>
          <w:lang w:val="en-US" w:eastAsia="zh-CN"/>
        </w:rPr>
        <w:t>认为</w:t>
      </w:r>
      <w:r>
        <w:rPr>
          <w:rFonts w:hint="eastAsia" w:ascii="宋体" w:hAnsi="宋体" w:cs="黑体"/>
          <w:color w:val="auto"/>
          <w:kern w:val="0"/>
          <w:sz w:val="24"/>
          <w:lang w:eastAsia="zh-CN"/>
        </w:rPr>
        <w:t>中标结果</w:t>
      </w:r>
      <w:r>
        <w:rPr>
          <w:rFonts w:hint="eastAsia" w:ascii="宋体" w:hAnsi="宋体" w:eastAsia="宋体" w:cs="黑体"/>
          <w:color w:val="auto"/>
          <w:kern w:val="0"/>
          <w:sz w:val="24"/>
          <w:szCs w:val="24"/>
        </w:rPr>
        <w:t>使自己的权益受到损害的</w:t>
      </w:r>
      <w:r>
        <w:rPr>
          <w:rFonts w:hint="eastAsia" w:ascii="宋体" w:hAnsi="宋体" w:cs="黑体"/>
          <w:color w:val="auto"/>
          <w:kern w:val="0"/>
          <w:sz w:val="24"/>
          <w:lang w:eastAsia="zh-CN"/>
        </w:rPr>
        <w:t>，</w:t>
      </w:r>
      <w:r>
        <w:rPr>
          <w:rFonts w:hint="eastAsia" w:ascii="宋体" w:hAnsi="宋体" w:cs="黑体"/>
          <w:color w:val="auto"/>
          <w:kern w:val="0"/>
          <w:sz w:val="24"/>
        </w:rPr>
        <w:t>在中标公告期限届满之日</w:t>
      </w:r>
      <w:r>
        <w:rPr>
          <w:rFonts w:hint="eastAsia" w:ascii="宋体" w:hAnsi="宋体"/>
          <w:color w:val="auto"/>
          <w:sz w:val="24"/>
        </w:rPr>
        <w:t>起七个工作日内，按本须知2.5款接收质疑函的方式以书面形式一次性提出对中标结果的质疑。</w:t>
      </w:r>
    </w:p>
    <w:p w14:paraId="6E22098F">
      <w:pPr>
        <w:numPr>
          <w:ilvl w:val="1"/>
          <w:numId w:val="3"/>
        </w:numPr>
        <w:autoSpaceDE w:val="0"/>
        <w:autoSpaceDN w:val="0"/>
        <w:adjustRightInd w:val="0"/>
        <w:snapToGrid w:val="0"/>
        <w:spacing w:afterLines="50"/>
        <w:ind w:left="1680" w:hanging="1680" w:hangingChars="700"/>
        <w:rPr>
          <w:rFonts w:ascii="宋体" w:hAnsi="宋体" w:cs="黑体"/>
          <w:color w:val="auto"/>
          <w:kern w:val="0"/>
          <w:sz w:val="24"/>
        </w:rPr>
      </w:pPr>
      <w:bookmarkStart w:id="105" w:name="_Toc195921832"/>
      <w:r>
        <w:rPr>
          <w:rFonts w:hint="eastAsia" w:ascii="宋体" w:hAnsi="宋体" w:cs="黑体"/>
          <w:color w:val="auto"/>
          <w:kern w:val="0"/>
          <w:sz w:val="24"/>
        </w:rPr>
        <w:t>中标通知</w:t>
      </w:r>
      <w:bookmarkEnd w:id="105"/>
    </w:p>
    <w:p w14:paraId="111C946A">
      <w:pPr>
        <w:tabs>
          <w:tab w:val="left" w:pos="1260"/>
        </w:tabs>
        <w:autoSpaceDE w:val="0"/>
        <w:autoSpaceDN w:val="0"/>
        <w:adjustRightInd w:val="0"/>
        <w:snapToGrid w:val="0"/>
        <w:spacing w:afterLines="50"/>
        <w:ind w:left="1134"/>
        <w:rPr>
          <w:rFonts w:ascii="宋体" w:hAnsi="宋体" w:cs="黑体"/>
          <w:color w:val="auto"/>
          <w:kern w:val="0"/>
          <w:sz w:val="24"/>
        </w:rPr>
      </w:pPr>
      <w:r>
        <w:rPr>
          <w:rFonts w:hint="eastAsia" w:ascii="宋体" w:hAnsi="宋体" w:cs="宋体"/>
          <w:color w:val="auto"/>
          <w:kern w:val="0"/>
          <w:sz w:val="24"/>
        </w:rPr>
        <w:t>在公告中标结果的同时</w:t>
      </w:r>
      <w:r>
        <w:rPr>
          <w:rFonts w:hint="eastAsia" w:ascii="宋体" w:hAnsi="宋体" w:cs="黑体"/>
          <w:color w:val="auto"/>
          <w:kern w:val="0"/>
          <w:sz w:val="24"/>
        </w:rPr>
        <w:t>，采购人以书面形式向中标人发出中标通知书，同时将中标结果通知未中标的</w:t>
      </w:r>
      <w:r>
        <w:rPr>
          <w:rFonts w:hint="eastAsia" w:ascii="宋体" w:hAnsi="宋体" w:cs="黑体"/>
          <w:color w:val="auto"/>
          <w:kern w:val="0"/>
          <w:sz w:val="24"/>
          <w:lang w:eastAsia="zh-CN"/>
        </w:rPr>
        <w:t>供应商</w:t>
      </w:r>
      <w:r>
        <w:rPr>
          <w:rFonts w:hint="eastAsia" w:ascii="宋体" w:hAnsi="宋体" w:cs="黑体"/>
          <w:color w:val="auto"/>
          <w:kern w:val="0"/>
          <w:sz w:val="24"/>
        </w:rPr>
        <w:t>。</w:t>
      </w:r>
    </w:p>
    <w:p w14:paraId="4D109CD1">
      <w:pPr>
        <w:tabs>
          <w:tab w:val="left" w:pos="1260"/>
        </w:tabs>
        <w:autoSpaceDE w:val="0"/>
        <w:autoSpaceDN w:val="0"/>
        <w:adjustRightInd w:val="0"/>
        <w:snapToGrid w:val="0"/>
        <w:spacing w:afterLines="50"/>
        <w:ind w:left="1134"/>
        <w:rPr>
          <w:rFonts w:ascii="宋体" w:hAnsi="宋体" w:cs="黑体"/>
          <w:color w:val="auto"/>
          <w:kern w:val="0"/>
          <w:sz w:val="24"/>
        </w:rPr>
      </w:pPr>
      <w:r>
        <w:rPr>
          <w:rFonts w:hint="eastAsia" w:ascii="宋体" w:hAnsi="宋体"/>
          <w:color w:val="auto"/>
          <w:sz w:val="24"/>
        </w:rPr>
        <w:t>中标通知书发出后，采购人不得违法改变中标结果，中标人无正当理由不得放弃中标。</w:t>
      </w:r>
    </w:p>
    <w:p w14:paraId="55BEA3BA">
      <w:pPr>
        <w:numPr>
          <w:ilvl w:val="1"/>
          <w:numId w:val="3"/>
        </w:numPr>
        <w:autoSpaceDE w:val="0"/>
        <w:autoSpaceDN w:val="0"/>
        <w:adjustRightInd w:val="0"/>
        <w:snapToGrid w:val="0"/>
        <w:spacing w:afterLines="50"/>
        <w:ind w:left="1133" w:hanging="1132" w:hangingChars="472"/>
        <w:rPr>
          <w:rFonts w:ascii="宋体" w:hAnsi="宋体" w:cs="黑体"/>
          <w:color w:val="auto"/>
          <w:kern w:val="0"/>
          <w:sz w:val="24"/>
        </w:rPr>
      </w:pPr>
      <w:r>
        <w:rPr>
          <w:rFonts w:hint="eastAsia" w:ascii="宋体" w:hAnsi="宋体" w:cs="黑体"/>
          <w:color w:val="auto"/>
          <w:kern w:val="0"/>
          <w:sz w:val="24"/>
        </w:rPr>
        <w:t>履约保证金</w:t>
      </w:r>
    </w:p>
    <w:p w14:paraId="4F358BAF">
      <w:pPr>
        <w:numPr>
          <w:ilvl w:val="2"/>
          <w:numId w:val="3"/>
        </w:numPr>
        <w:tabs>
          <w:tab w:val="left" w:pos="1260"/>
        </w:tabs>
        <w:autoSpaceDE w:val="0"/>
        <w:autoSpaceDN w:val="0"/>
        <w:adjustRightInd w:val="0"/>
        <w:snapToGrid w:val="0"/>
        <w:spacing w:afterLines="50"/>
        <w:rPr>
          <w:rFonts w:ascii="宋体" w:hAnsi="宋体" w:cs="黑体"/>
          <w:color w:val="auto"/>
          <w:kern w:val="0"/>
          <w:sz w:val="24"/>
        </w:rPr>
      </w:pPr>
      <w:bookmarkStart w:id="106" w:name="_Ref421009348"/>
      <w:r>
        <w:rPr>
          <w:rFonts w:hint="eastAsia" w:ascii="宋体" w:hAnsi="宋体" w:cs="黑体"/>
          <w:color w:val="auto"/>
          <w:kern w:val="0"/>
          <w:sz w:val="24"/>
        </w:rPr>
        <w:t>在签订合同前，中标人应按</w:t>
      </w:r>
      <w:r>
        <w:rPr>
          <w:rFonts w:hint="eastAsia" w:ascii="宋体" w:hAnsi="宋体" w:cs="黑体"/>
          <w:color w:val="auto"/>
          <w:kern w:val="0"/>
          <w:sz w:val="24"/>
          <w:lang w:eastAsia="zh-CN"/>
        </w:rPr>
        <w:t>供应商</w:t>
      </w:r>
      <w:r>
        <w:rPr>
          <w:rFonts w:hint="eastAsia" w:ascii="宋体" w:hAnsi="宋体" w:cs="黑体"/>
          <w:color w:val="auto"/>
          <w:kern w:val="0"/>
          <w:sz w:val="24"/>
        </w:rPr>
        <w:t>须知前附表规定的金额、担保形式和招标文件第四章“合同条款及格式”规定的履约保证金格式向采购人提交履约保证金。</w:t>
      </w:r>
      <w:bookmarkEnd w:id="106"/>
    </w:p>
    <w:p w14:paraId="185C6475">
      <w:pPr>
        <w:numPr>
          <w:ilvl w:val="2"/>
          <w:numId w:val="3"/>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中标人不能按本章第</w:t>
      </w:r>
      <w:r>
        <w:rPr>
          <w:rFonts w:ascii="宋体" w:hAnsi="宋体" w:cs="黑体"/>
          <w:color w:val="auto"/>
          <w:kern w:val="0"/>
          <w:sz w:val="24"/>
        </w:rPr>
        <w:fldChar w:fldCharType="begin"/>
      </w:r>
      <w:r>
        <w:instrText xml:space="preserve"> REF _Ref421009348 \r \h  \* MERGEFORMAT</w:instrText>
      </w:r>
      <w:r>
        <w:rPr>
          <w:rFonts w:ascii="宋体" w:hAnsi="宋体" w:cs="黑体"/>
          <w:color w:val="auto"/>
          <w:kern w:val="0"/>
          <w:sz w:val="24"/>
        </w:rPr>
        <w:fldChar w:fldCharType="separate"/>
      </w:r>
      <w:r>
        <w:rPr>
          <w:rFonts w:hint="eastAsia" w:ascii="宋体" w:hAnsi="宋体" w:cs="黑体"/>
          <w:color w:val="auto"/>
          <w:kern w:val="0"/>
          <w:sz w:val="24"/>
          <w:lang w:val="en-US" w:eastAsia="zh-CN"/>
        </w:rPr>
        <w:t>8</w:t>
      </w:r>
      <w:r>
        <w:rPr>
          <w:rFonts w:ascii="宋体" w:hAnsi="宋体" w:cs="黑体"/>
          <w:color w:val="auto"/>
          <w:kern w:val="0"/>
          <w:sz w:val="24"/>
        </w:rPr>
        <w:t>.4.1</w:t>
      </w:r>
      <w:r>
        <w:rPr>
          <w:rFonts w:ascii="宋体" w:hAnsi="宋体" w:cs="黑体"/>
          <w:color w:val="auto"/>
          <w:kern w:val="0"/>
          <w:sz w:val="24"/>
        </w:rPr>
        <w:fldChar w:fldCharType="end"/>
      </w:r>
      <w:r>
        <w:rPr>
          <w:rFonts w:hint="eastAsia" w:ascii="宋体" w:hAnsi="宋体" w:cs="黑体"/>
          <w:color w:val="auto"/>
          <w:kern w:val="0"/>
          <w:sz w:val="24"/>
        </w:rPr>
        <w:t>项要求提交履约保证金的，视为放弃中标，其投标保证金不予退还，给采购人造成的损失超过投标保证金数额的，中标人还应当对超过部分予以赔偿。</w:t>
      </w:r>
    </w:p>
    <w:p w14:paraId="48B02324">
      <w:pPr>
        <w:numPr>
          <w:ilvl w:val="1"/>
          <w:numId w:val="3"/>
        </w:numPr>
        <w:autoSpaceDE w:val="0"/>
        <w:autoSpaceDN w:val="0"/>
        <w:adjustRightInd w:val="0"/>
        <w:snapToGrid w:val="0"/>
        <w:spacing w:afterLines="50"/>
        <w:ind w:left="1133" w:hanging="1132" w:hangingChars="472"/>
        <w:rPr>
          <w:rFonts w:ascii="宋体" w:hAnsi="宋体" w:cs="黑体"/>
          <w:color w:val="auto"/>
          <w:kern w:val="0"/>
          <w:sz w:val="24"/>
        </w:rPr>
      </w:pPr>
      <w:bookmarkStart w:id="107" w:name="_Toc195921834"/>
      <w:r>
        <w:rPr>
          <w:rFonts w:hint="eastAsia" w:ascii="宋体" w:hAnsi="宋体" w:cs="黑体"/>
          <w:color w:val="auto"/>
          <w:kern w:val="0"/>
          <w:sz w:val="24"/>
        </w:rPr>
        <w:t>签订合同</w:t>
      </w:r>
      <w:bookmarkEnd w:id="107"/>
    </w:p>
    <w:p w14:paraId="1B34D752">
      <w:pPr>
        <w:numPr>
          <w:ilvl w:val="2"/>
          <w:numId w:val="3"/>
        </w:numPr>
        <w:tabs>
          <w:tab w:val="left" w:pos="1260"/>
        </w:tabs>
        <w:autoSpaceDE w:val="0"/>
        <w:autoSpaceDN w:val="0"/>
        <w:adjustRightInd w:val="0"/>
        <w:snapToGrid w:val="0"/>
        <w:spacing w:afterLines="50"/>
        <w:rPr>
          <w:rFonts w:hint="eastAsia" w:ascii="宋体" w:hAnsi="宋体" w:eastAsia="宋体" w:cs="宋体"/>
          <w:color w:val="auto"/>
          <w:kern w:val="0"/>
          <w:sz w:val="24"/>
        </w:rPr>
      </w:pPr>
      <w:r>
        <w:rPr>
          <w:rFonts w:hint="eastAsia" w:ascii="宋体" w:hAnsi="宋体"/>
          <w:color w:val="auto"/>
          <w:sz w:val="24"/>
        </w:rPr>
        <w:t>采购人应当自中标通知书发出之日起30日内，按照招标文件和中标人投标文件的规</w:t>
      </w:r>
      <w:r>
        <w:rPr>
          <w:rFonts w:hint="eastAsia" w:ascii="宋体" w:hAnsi="宋体" w:eastAsia="宋体" w:cs="宋体"/>
          <w:color w:val="auto"/>
          <w:sz w:val="24"/>
        </w:rPr>
        <w:t>定，与中标人签订书面合同。所签订的合同不得对招标文件确定的事项和中标人投标文件作实质性修改。</w:t>
      </w:r>
    </w:p>
    <w:p w14:paraId="31206E7E">
      <w:pPr>
        <w:tabs>
          <w:tab w:val="left" w:pos="1260"/>
        </w:tabs>
        <w:autoSpaceDE w:val="0"/>
        <w:autoSpaceDN w:val="0"/>
        <w:adjustRightInd w:val="0"/>
        <w:snapToGrid w:val="0"/>
        <w:spacing w:afterLines="50"/>
        <w:ind w:left="1134"/>
        <w:rPr>
          <w:rFonts w:hint="eastAsia" w:ascii="宋体" w:hAnsi="宋体" w:eastAsia="宋体" w:cs="宋体"/>
          <w:color w:val="auto"/>
          <w:sz w:val="24"/>
        </w:rPr>
      </w:pPr>
      <w:r>
        <w:rPr>
          <w:rFonts w:hint="eastAsia" w:ascii="宋体" w:hAnsi="宋体" w:eastAsia="宋体" w:cs="宋体"/>
          <w:color w:val="auto"/>
          <w:sz w:val="24"/>
        </w:rPr>
        <w:t>采购人不得向中标人提出任何不合理的要求作为签订合同的条件。</w:t>
      </w:r>
    </w:p>
    <w:p w14:paraId="5ECDDD19">
      <w:pPr>
        <w:numPr>
          <w:ilvl w:val="2"/>
          <w:numId w:val="3"/>
        </w:numPr>
        <w:tabs>
          <w:tab w:val="left" w:pos="1260"/>
        </w:tabs>
        <w:autoSpaceDE w:val="0"/>
        <w:autoSpaceDN w:val="0"/>
        <w:adjustRightInd w:val="0"/>
        <w:snapToGrid w:val="0"/>
        <w:spacing w:afterLines="50"/>
        <w:rPr>
          <w:rFonts w:hint="eastAsia" w:ascii="宋体" w:hAnsi="宋体" w:eastAsia="宋体" w:cs="宋体"/>
          <w:color w:val="auto"/>
          <w:kern w:val="0"/>
          <w:sz w:val="24"/>
        </w:rPr>
      </w:pPr>
      <w:r>
        <w:rPr>
          <w:rFonts w:hint="eastAsia" w:ascii="宋体" w:hAnsi="宋体" w:eastAsia="宋体" w:cs="宋体"/>
          <w:color w:val="auto"/>
          <w:kern w:val="0"/>
          <w:sz w:val="24"/>
          <w:szCs w:val="24"/>
        </w:rPr>
        <w:t>中标或者成交供应商拒绝与采购人签订合同的，采购人可以按照评审报告推荐的中标或者成交候选人名单排序，确定下一候选人为中标或者成交供应商，也可以重新开展政府采购活动</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rPr>
        <w:t>中标人无正当理由拒签合同的，采购人取消其中标资格，其投标保证金不予退还；给采购人造成的损失超过投标保证金数额的，中标人还应当对超过部分予以赔偿。</w:t>
      </w:r>
    </w:p>
    <w:p w14:paraId="51936C0E">
      <w:pPr>
        <w:numPr>
          <w:ilvl w:val="2"/>
          <w:numId w:val="3"/>
        </w:numPr>
        <w:tabs>
          <w:tab w:val="left" w:pos="1260"/>
        </w:tabs>
        <w:autoSpaceDE w:val="0"/>
        <w:autoSpaceDN w:val="0"/>
        <w:adjustRightInd w:val="0"/>
        <w:snapToGrid w:val="0"/>
        <w:spacing w:afterLines="50"/>
        <w:rPr>
          <w:rFonts w:hint="eastAsia" w:ascii="宋体" w:hAnsi="宋体" w:eastAsia="宋体" w:cs="宋体"/>
          <w:color w:val="auto"/>
          <w:kern w:val="0"/>
          <w:sz w:val="24"/>
        </w:rPr>
      </w:pPr>
      <w:r>
        <w:rPr>
          <w:rFonts w:hint="eastAsia" w:ascii="宋体" w:hAnsi="宋体" w:eastAsia="宋体" w:cs="宋体"/>
          <w:color w:val="auto"/>
          <w:kern w:val="0"/>
          <w:sz w:val="24"/>
        </w:rPr>
        <w:t>发出中标通知书后，采购人无正当理由拒签合同的，采购人向中标人退还投标保证金；给中标人造成损失的，还应当赔偿损失。</w:t>
      </w:r>
    </w:p>
    <w:p w14:paraId="15779BA0">
      <w:pPr>
        <w:numPr>
          <w:ilvl w:val="2"/>
          <w:numId w:val="3"/>
        </w:numPr>
        <w:tabs>
          <w:tab w:val="left" w:pos="1260"/>
        </w:tabs>
        <w:autoSpaceDE w:val="0"/>
        <w:autoSpaceDN w:val="0"/>
        <w:adjustRightInd w:val="0"/>
        <w:snapToGrid w:val="0"/>
        <w:spacing w:afterLines="50"/>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依据</w:t>
      </w:r>
      <w:r>
        <w:rPr>
          <w:rFonts w:hint="eastAsia" w:ascii="宋体" w:hAnsi="宋体" w:eastAsia="宋体" w:cs="宋体"/>
          <w:color w:val="auto"/>
          <w:kern w:val="0"/>
          <w:sz w:val="24"/>
        </w:rPr>
        <w:t>《政府采购促进中小企业发展管理办法》</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财库〔2020〕46号</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lang w:val="en-US" w:eastAsia="zh-CN"/>
        </w:rPr>
        <w:t>规定享受扶持政策获得政府采购合同的，小微企业不得将合同分包给大中型企业，中型企业不得将合同分包给大型企业。</w:t>
      </w:r>
    </w:p>
    <w:p w14:paraId="5D389890">
      <w:pPr>
        <w:numPr>
          <w:ilvl w:val="0"/>
          <w:numId w:val="3"/>
        </w:numPr>
        <w:autoSpaceDE w:val="0"/>
        <w:autoSpaceDN w:val="0"/>
        <w:adjustRightInd w:val="0"/>
        <w:spacing w:afterLines="50"/>
        <w:outlineLvl w:val="2"/>
        <w:rPr>
          <w:rFonts w:hint="eastAsia" w:ascii="宋体" w:hAnsi="宋体" w:eastAsia="宋体" w:cs="宋体"/>
          <w:color w:val="auto"/>
          <w:kern w:val="0"/>
          <w:sz w:val="24"/>
        </w:rPr>
      </w:pPr>
      <w:bookmarkStart w:id="108" w:name="_Toc195921838"/>
      <w:bookmarkStart w:id="109" w:name="_Toc19685"/>
      <w:bookmarkStart w:id="110" w:name="_Toc2343"/>
      <w:r>
        <w:rPr>
          <w:rFonts w:hint="eastAsia" w:ascii="宋体" w:hAnsi="宋体" w:eastAsia="宋体" w:cs="宋体"/>
          <w:color w:val="auto"/>
          <w:kern w:val="0"/>
          <w:sz w:val="24"/>
        </w:rPr>
        <w:t>纪律和监督</w:t>
      </w:r>
      <w:bookmarkEnd w:id="108"/>
      <w:bookmarkEnd w:id="109"/>
      <w:bookmarkEnd w:id="110"/>
    </w:p>
    <w:p w14:paraId="34FDCF7F">
      <w:pPr>
        <w:numPr>
          <w:ilvl w:val="1"/>
          <w:numId w:val="3"/>
        </w:numPr>
        <w:autoSpaceDE w:val="0"/>
        <w:autoSpaceDN w:val="0"/>
        <w:adjustRightInd w:val="0"/>
        <w:snapToGrid w:val="0"/>
        <w:spacing w:afterLines="50"/>
        <w:ind w:left="1133" w:hanging="1132" w:hangingChars="472"/>
        <w:rPr>
          <w:rFonts w:hint="eastAsia" w:ascii="宋体" w:hAnsi="宋体" w:eastAsia="宋体" w:cs="宋体"/>
          <w:color w:val="auto"/>
          <w:kern w:val="0"/>
          <w:sz w:val="24"/>
        </w:rPr>
      </w:pPr>
      <w:bookmarkStart w:id="111" w:name="_Toc195921839"/>
      <w:r>
        <w:rPr>
          <w:rFonts w:hint="eastAsia" w:ascii="宋体" w:hAnsi="宋体" w:eastAsia="宋体" w:cs="宋体"/>
          <w:color w:val="auto"/>
          <w:kern w:val="0"/>
          <w:sz w:val="24"/>
        </w:rPr>
        <w:t>对采购人的要求</w:t>
      </w:r>
      <w:bookmarkEnd w:id="111"/>
    </w:p>
    <w:p w14:paraId="7901C5FE">
      <w:pPr>
        <w:tabs>
          <w:tab w:val="left" w:pos="1260"/>
        </w:tabs>
        <w:autoSpaceDE w:val="0"/>
        <w:autoSpaceDN w:val="0"/>
        <w:adjustRightInd w:val="0"/>
        <w:snapToGrid w:val="0"/>
        <w:spacing w:afterLines="50"/>
        <w:ind w:left="1134"/>
        <w:rPr>
          <w:rFonts w:hint="eastAsia" w:ascii="宋体" w:hAnsi="宋体" w:eastAsia="宋体" w:cs="宋体"/>
          <w:color w:val="auto"/>
          <w:kern w:val="0"/>
          <w:sz w:val="24"/>
        </w:rPr>
      </w:pPr>
      <w:r>
        <w:rPr>
          <w:rFonts w:hint="eastAsia" w:ascii="宋体" w:hAnsi="宋体" w:eastAsia="宋体" w:cs="宋体"/>
          <w:color w:val="auto"/>
          <w:sz w:val="24"/>
        </w:rPr>
        <w:t>采购人在政府采购活动中应当维护国家利益和社会公共利益，公正廉洁，诚实守信，执行政府采购政策。采购人不得向</w:t>
      </w:r>
      <w:r>
        <w:rPr>
          <w:rFonts w:hint="eastAsia" w:ascii="宋体" w:hAnsi="宋体" w:eastAsia="宋体" w:cs="宋体"/>
          <w:color w:val="auto"/>
          <w:sz w:val="24"/>
          <w:lang w:eastAsia="zh-CN"/>
        </w:rPr>
        <w:t>供应商</w:t>
      </w:r>
      <w:r>
        <w:rPr>
          <w:rFonts w:hint="eastAsia" w:ascii="宋体" w:hAnsi="宋体" w:eastAsia="宋体" w:cs="宋体"/>
          <w:color w:val="auto"/>
          <w:sz w:val="24"/>
        </w:rPr>
        <w:t>索要或者接受其给予的赠品、回扣或者与采购无关的其他商品、服务</w:t>
      </w:r>
      <w:r>
        <w:rPr>
          <w:rFonts w:hint="eastAsia" w:ascii="宋体" w:hAnsi="宋体" w:eastAsia="宋体" w:cs="宋体"/>
          <w:color w:val="auto"/>
          <w:kern w:val="0"/>
          <w:sz w:val="24"/>
        </w:rPr>
        <w:t>。</w:t>
      </w:r>
    </w:p>
    <w:p w14:paraId="120A6708">
      <w:pPr>
        <w:numPr>
          <w:ilvl w:val="1"/>
          <w:numId w:val="3"/>
        </w:numPr>
        <w:autoSpaceDE w:val="0"/>
        <w:autoSpaceDN w:val="0"/>
        <w:adjustRightInd w:val="0"/>
        <w:snapToGrid w:val="0"/>
        <w:spacing w:afterLines="50"/>
        <w:ind w:left="1133" w:hanging="1132" w:hangingChars="472"/>
        <w:rPr>
          <w:rFonts w:hint="eastAsia" w:ascii="宋体" w:hAnsi="宋体" w:eastAsia="宋体" w:cs="宋体"/>
          <w:color w:val="auto"/>
          <w:kern w:val="0"/>
          <w:sz w:val="24"/>
        </w:rPr>
      </w:pPr>
      <w:bookmarkStart w:id="112" w:name="_Toc195921840"/>
      <w:r>
        <w:rPr>
          <w:rFonts w:hint="eastAsia" w:ascii="宋体" w:hAnsi="宋体" w:eastAsia="宋体" w:cs="宋体"/>
          <w:color w:val="auto"/>
          <w:kern w:val="0"/>
          <w:sz w:val="24"/>
        </w:rPr>
        <w:t>对采购代理机构的要求</w:t>
      </w:r>
    </w:p>
    <w:p w14:paraId="28A35744">
      <w:pPr>
        <w:tabs>
          <w:tab w:val="left" w:pos="1260"/>
        </w:tabs>
        <w:autoSpaceDE w:val="0"/>
        <w:autoSpaceDN w:val="0"/>
        <w:adjustRightInd w:val="0"/>
        <w:snapToGrid w:val="0"/>
        <w:spacing w:afterLines="50"/>
        <w:ind w:left="1134"/>
        <w:rPr>
          <w:rFonts w:hAnsi="宋体" w:cs="宋体"/>
          <w:color w:val="auto"/>
          <w:sz w:val="24"/>
        </w:rPr>
      </w:pPr>
      <w:r>
        <w:rPr>
          <w:rFonts w:hAnsi="宋体" w:cs="宋体"/>
          <w:color w:val="auto"/>
          <w:sz w:val="24"/>
        </w:rPr>
        <w:t>采购代理机构不得与采购人、</w:t>
      </w:r>
      <w:r>
        <w:rPr>
          <w:rFonts w:hint="eastAsia" w:hAnsi="宋体" w:cs="宋体"/>
          <w:color w:val="auto"/>
          <w:sz w:val="24"/>
          <w:lang w:eastAsia="zh-CN"/>
        </w:rPr>
        <w:t>供应商</w:t>
      </w:r>
      <w:r>
        <w:rPr>
          <w:rFonts w:hAnsi="宋体" w:cs="宋体"/>
          <w:color w:val="auto"/>
          <w:sz w:val="24"/>
        </w:rPr>
        <w:t>恶意串通操纵政府采购活动。</w:t>
      </w:r>
    </w:p>
    <w:p w14:paraId="0ED7C43A">
      <w:pPr>
        <w:tabs>
          <w:tab w:val="left" w:pos="1260"/>
        </w:tabs>
        <w:autoSpaceDE w:val="0"/>
        <w:autoSpaceDN w:val="0"/>
        <w:adjustRightInd w:val="0"/>
        <w:snapToGrid w:val="0"/>
        <w:spacing w:afterLines="50"/>
        <w:ind w:left="1134"/>
        <w:rPr>
          <w:rFonts w:hAnsi="宋体" w:cs="宋体"/>
          <w:color w:val="auto"/>
          <w:sz w:val="24"/>
        </w:rPr>
      </w:pPr>
      <w:r>
        <w:rPr>
          <w:rFonts w:hAnsi="宋体" w:cs="宋体"/>
          <w:color w:val="auto"/>
          <w:sz w:val="24"/>
        </w:rPr>
        <w:t>采购代理机构工作人员不得接受采购人或者</w:t>
      </w:r>
      <w:r>
        <w:rPr>
          <w:rFonts w:hint="eastAsia" w:hAnsi="宋体" w:cs="宋体"/>
          <w:color w:val="auto"/>
          <w:sz w:val="24"/>
          <w:lang w:eastAsia="zh-CN"/>
        </w:rPr>
        <w:t>供应商</w:t>
      </w:r>
      <w:r>
        <w:rPr>
          <w:rFonts w:hAnsi="宋体" w:cs="宋体"/>
          <w:color w:val="auto"/>
          <w:sz w:val="24"/>
        </w:rPr>
        <w:t>组织的宴请、旅游、娱乐，不得收受礼品、现金、有价证券等，不得向采购人或者</w:t>
      </w:r>
      <w:r>
        <w:rPr>
          <w:rFonts w:hint="eastAsia" w:hAnsi="宋体" w:cs="宋体"/>
          <w:color w:val="auto"/>
          <w:sz w:val="24"/>
          <w:lang w:eastAsia="zh-CN"/>
        </w:rPr>
        <w:t>供应商</w:t>
      </w:r>
      <w:r>
        <w:rPr>
          <w:rFonts w:hAnsi="宋体" w:cs="宋体"/>
          <w:color w:val="auto"/>
          <w:sz w:val="24"/>
        </w:rPr>
        <w:t>报销应当由个人承担的费用。</w:t>
      </w:r>
    </w:p>
    <w:p w14:paraId="057BEEEF">
      <w:pPr>
        <w:numPr>
          <w:ilvl w:val="1"/>
          <w:numId w:val="3"/>
        </w:numPr>
        <w:autoSpaceDE w:val="0"/>
        <w:autoSpaceDN w:val="0"/>
        <w:adjustRightInd w:val="0"/>
        <w:snapToGrid w:val="0"/>
        <w:spacing w:afterLines="50"/>
        <w:ind w:left="1133" w:hanging="1132" w:hangingChars="472"/>
        <w:rPr>
          <w:rFonts w:ascii="宋体" w:hAnsi="宋体" w:cs="黑体"/>
          <w:color w:val="auto"/>
          <w:kern w:val="0"/>
          <w:sz w:val="24"/>
        </w:rPr>
      </w:pPr>
      <w:r>
        <w:rPr>
          <w:rFonts w:hint="eastAsia" w:ascii="宋体" w:hAnsi="宋体" w:cs="黑体"/>
          <w:color w:val="auto"/>
          <w:kern w:val="0"/>
          <w:sz w:val="24"/>
        </w:rPr>
        <w:t>对</w:t>
      </w:r>
      <w:r>
        <w:rPr>
          <w:rFonts w:hint="eastAsia" w:ascii="宋体" w:hAnsi="宋体" w:cs="黑体"/>
          <w:color w:val="auto"/>
          <w:kern w:val="0"/>
          <w:sz w:val="24"/>
          <w:lang w:eastAsia="zh-CN"/>
        </w:rPr>
        <w:t>供应商</w:t>
      </w:r>
      <w:r>
        <w:rPr>
          <w:rFonts w:hint="eastAsia" w:ascii="宋体" w:hAnsi="宋体" w:cs="黑体"/>
          <w:color w:val="auto"/>
          <w:kern w:val="0"/>
          <w:sz w:val="24"/>
        </w:rPr>
        <w:t>的纪律要求</w:t>
      </w:r>
      <w:bookmarkEnd w:id="112"/>
    </w:p>
    <w:p w14:paraId="3743E810">
      <w:pPr>
        <w:tabs>
          <w:tab w:val="left" w:pos="1260"/>
        </w:tabs>
        <w:autoSpaceDE w:val="0"/>
        <w:autoSpaceDN w:val="0"/>
        <w:adjustRightInd w:val="0"/>
        <w:snapToGrid w:val="0"/>
        <w:spacing w:afterLines="50"/>
        <w:ind w:left="1134"/>
        <w:rPr>
          <w:rFonts w:ascii="宋体" w:hAnsi="宋体" w:cs="黑体"/>
          <w:color w:val="auto"/>
          <w:kern w:val="0"/>
          <w:sz w:val="24"/>
        </w:rPr>
      </w:pPr>
      <w:r>
        <w:rPr>
          <w:rFonts w:hint="eastAsia" w:ascii="宋体" w:hAnsi="宋体" w:cs="黑体"/>
          <w:color w:val="auto"/>
          <w:kern w:val="0"/>
          <w:sz w:val="24"/>
          <w:lang w:eastAsia="zh-CN"/>
        </w:rPr>
        <w:t>供应商</w:t>
      </w:r>
      <w:r>
        <w:rPr>
          <w:rFonts w:hint="eastAsia" w:ascii="宋体" w:hAnsi="宋体" w:cs="黑体"/>
          <w:color w:val="auto"/>
          <w:kern w:val="0"/>
          <w:sz w:val="24"/>
        </w:rPr>
        <w:t>不得相互串通投标或者与采购人串通投标，不得向采购人或者评标委员会成员行贿谋取中标，不得以他人名义投标或者以其他方式弄虚作假骗取中标；</w:t>
      </w:r>
      <w:r>
        <w:rPr>
          <w:rFonts w:hint="eastAsia" w:ascii="宋体" w:hAnsi="宋体" w:cs="黑体"/>
          <w:color w:val="auto"/>
          <w:kern w:val="0"/>
          <w:sz w:val="24"/>
          <w:lang w:eastAsia="zh-CN"/>
        </w:rPr>
        <w:t>供应商</w:t>
      </w:r>
      <w:r>
        <w:rPr>
          <w:rFonts w:hint="eastAsia" w:ascii="宋体" w:hAnsi="宋体" w:cs="黑体"/>
          <w:color w:val="auto"/>
          <w:kern w:val="0"/>
          <w:sz w:val="24"/>
        </w:rPr>
        <w:t>不得以任何方式干扰、影响评标工作。</w:t>
      </w:r>
    </w:p>
    <w:p w14:paraId="4D39A9D7">
      <w:pPr>
        <w:numPr>
          <w:ilvl w:val="1"/>
          <w:numId w:val="3"/>
        </w:numPr>
        <w:autoSpaceDE w:val="0"/>
        <w:autoSpaceDN w:val="0"/>
        <w:adjustRightInd w:val="0"/>
        <w:snapToGrid w:val="0"/>
        <w:spacing w:afterLines="50"/>
        <w:ind w:left="1133" w:hanging="1132" w:hangingChars="472"/>
        <w:rPr>
          <w:rFonts w:ascii="宋体" w:hAnsi="宋体" w:cs="黑体"/>
          <w:color w:val="auto"/>
          <w:kern w:val="0"/>
          <w:sz w:val="24"/>
        </w:rPr>
      </w:pPr>
      <w:bookmarkStart w:id="113" w:name="_Toc195921841"/>
      <w:r>
        <w:rPr>
          <w:rFonts w:hint="eastAsia" w:ascii="宋体" w:hAnsi="宋体" w:cs="黑体"/>
          <w:color w:val="auto"/>
          <w:kern w:val="0"/>
          <w:sz w:val="24"/>
        </w:rPr>
        <w:t>评标委员会及其成员不得有下列行为</w:t>
      </w:r>
      <w:bookmarkEnd w:id="113"/>
    </w:p>
    <w:p w14:paraId="388FA714">
      <w:pPr>
        <w:snapToGrid w:val="0"/>
        <w:spacing w:afterLines="50"/>
        <w:ind w:left="1840" w:leftChars="539" w:hanging="708" w:hangingChars="295"/>
        <w:rPr>
          <w:rFonts w:ascii="宋体" w:hAnsi="宋体"/>
          <w:color w:val="auto"/>
          <w:sz w:val="24"/>
        </w:rPr>
      </w:pPr>
      <w:r>
        <w:rPr>
          <w:rFonts w:hint="eastAsia" w:ascii="宋体" w:hAnsi="宋体"/>
          <w:color w:val="auto"/>
          <w:sz w:val="24"/>
          <w:lang w:eastAsia="zh-CN"/>
        </w:rPr>
        <w:t>(</w:t>
      </w:r>
      <w:r>
        <w:rPr>
          <w:rFonts w:hint="eastAsia" w:ascii="宋体" w:hAnsi="宋体"/>
          <w:color w:val="auto"/>
          <w:sz w:val="24"/>
        </w:rPr>
        <w:t>1</w:t>
      </w:r>
      <w:r>
        <w:rPr>
          <w:rFonts w:hint="eastAsia" w:ascii="宋体" w:hAnsi="宋体"/>
          <w:color w:val="auto"/>
          <w:sz w:val="24"/>
          <w:lang w:eastAsia="zh-CN"/>
        </w:rPr>
        <w:t>)</w:t>
      </w:r>
      <w:r>
        <w:rPr>
          <w:rFonts w:hint="eastAsia" w:ascii="宋体" w:hAnsi="宋体"/>
          <w:color w:val="auto"/>
          <w:sz w:val="24"/>
        </w:rPr>
        <w:tab/>
      </w:r>
      <w:r>
        <w:rPr>
          <w:rFonts w:hint="eastAsia" w:ascii="宋体" w:hAnsi="宋体"/>
          <w:color w:val="auto"/>
          <w:sz w:val="24"/>
        </w:rPr>
        <w:t>确定参与评标至评标结束前私自接触</w:t>
      </w:r>
      <w:r>
        <w:rPr>
          <w:rFonts w:hint="eastAsia" w:ascii="宋体" w:hAnsi="宋体"/>
          <w:color w:val="auto"/>
          <w:sz w:val="24"/>
          <w:lang w:eastAsia="zh-CN"/>
        </w:rPr>
        <w:t>供应商</w:t>
      </w:r>
      <w:r>
        <w:rPr>
          <w:rFonts w:hint="eastAsia" w:ascii="宋体" w:hAnsi="宋体"/>
          <w:color w:val="auto"/>
          <w:sz w:val="24"/>
        </w:rPr>
        <w:t>；</w:t>
      </w:r>
    </w:p>
    <w:p w14:paraId="70BB5363">
      <w:pPr>
        <w:snapToGrid w:val="0"/>
        <w:spacing w:afterLines="50"/>
        <w:ind w:left="1840" w:leftChars="539" w:hanging="708" w:hangingChars="295"/>
        <w:rPr>
          <w:rFonts w:ascii="宋体" w:hAnsi="宋体"/>
          <w:color w:val="auto"/>
          <w:sz w:val="24"/>
        </w:rPr>
      </w:pPr>
      <w:r>
        <w:rPr>
          <w:rFonts w:hint="eastAsia" w:ascii="宋体" w:hAnsi="宋体"/>
          <w:color w:val="auto"/>
          <w:sz w:val="24"/>
          <w:lang w:eastAsia="zh-CN"/>
        </w:rPr>
        <w:t>(</w:t>
      </w:r>
      <w:r>
        <w:rPr>
          <w:rFonts w:hint="eastAsia" w:ascii="宋体" w:hAnsi="宋体"/>
          <w:color w:val="auto"/>
          <w:sz w:val="24"/>
        </w:rPr>
        <w:t>2</w:t>
      </w:r>
      <w:r>
        <w:rPr>
          <w:rFonts w:hint="eastAsia" w:ascii="宋体" w:hAnsi="宋体"/>
          <w:color w:val="auto"/>
          <w:sz w:val="24"/>
          <w:lang w:eastAsia="zh-CN"/>
        </w:rPr>
        <w:t>)</w:t>
      </w:r>
      <w:r>
        <w:rPr>
          <w:rFonts w:hint="eastAsia" w:ascii="宋体" w:hAnsi="宋体"/>
          <w:color w:val="auto"/>
          <w:sz w:val="24"/>
        </w:rPr>
        <w:tab/>
      </w:r>
      <w:r>
        <w:rPr>
          <w:rFonts w:hint="eastAsia" w:ascii="宋体" w:hAnsi="宋体"/>
          <w:color w:val="auto"/>
          <w:sz w:val="24"/>
        </w:rPr>
        <w:t>接受</w:t>
      </w:r>
      <w:r>
        <w:rPr>
          <w:rFonts w:hint="eastAsia" w:ascii="宋体" w:hAnsi="宋体"/>
          <w:color w:val="auto"/>
          <w:sz w:val="24"/>
          <w:lang w:eastAsia="zh-CN"/>
        </w:rPr>
        <w:t>供应商</w:t>
      </w:r>
      <w:r>
        <w:rPr>
          <w:rFonts w:hint="eastAsia" w:ascii="宋体" w:hAnsi="宋体"/>
          <w:color w:val="auto"/>
          <w:sz w:val="24"/>
        </w:rPr>
        <w:t>提出的与投标文件不一致的澄清或者说明，评标委员会要求</w:t>
      </w:r>
      <w:r>
        <w:rPr>
          <w:rFonts w:hint="eastAsia" w:ascii="宋体" w:hAnsi="宋体"/>
          <w:color w:val="auto"/>
          <w:sz w:val="24"/>
          <w:lang w:eastAsia="zh-CN"/>
        </w:rPr>
        <w:t>供应商</w:t>
      </w:r>
      <w:r>
        <w:rPr>
          <w:rFonts w:hint="eastAsia" w:ascii="宋体" w:hAnsi="宋体"/>
          <w:color w:val="auto"/>
          <w:sz w:val="24"/>
        </w:rPr>
        <w:t>作出必要的澄清、说明或者补正的情形除外；</w:t>
      </w:r>
    </w:p>
    <w:p w14:paraId="70DBF83E">
      <w:pPr>
        <w:snapToGrid w:val="0"/>
        <w:spacing w:afterLines="50"/>
        <w:ind w:left="1840" w:leftChars="539" w:hanging="708" w:hangingChars="295"/>
        <w:rPr>
          <w:rFonts w:ascii="宋体" w:hAnsi="宋体"/>
          <w:color w:val="auto"/>
          <w:sz w:val="24"/>
        </w:rPr>
      </w:pPr>
      <w:r>
        <w:rPr>
          <w:rFonts w:hint="eastAsia" w:ascii="宋体" w:hAnsi="宋体"/>
          <w:color w:val="auto"/>
          <w:sz w:val="24"/>
          <w:lang w:eastAsia="zh-CN"/>
        </w:rPr>
        <w:t>(</w:t>
      </w:r>
      <w:r>
        <w:rPr>
          <w:rFonts w:hint="eastAsia" w:ascii="宋体" w:hAnsi="宋体"/>
          <w:color w:val="auto"/>
          <w:sz w:val="24"/>
        </w:rPr>
        <w:t>3</w:t>
      </w:r>
      <w:r>
        <w:rPr>
          <w:rFonts w:hint="eastAsia" w:ascii="宋体" w:hAnsi="宋体"/>
          <w:color w:val="auto"/>
          <w:sz w:val="24"/>
          <w:lang w:eastAsia="zh-CN"/>
        </w:rPr>
        <w:t>)</w:t>
      </w:r>
      <w:r>
        <w:rPr>
          <w:rFonts w:hint="eastAsia" w:ascii="宋体" w:hAnsi="宋体"/>
          <w:color w:val="auto"/>
          <w:sz w:val="24"/>
        </w:rPr>
        <w:tab/>
      </w:r>
      <w:r>
        <w:rPr>
          <w:rFonts w:hint="eastAsia" w:ascii="宋体" w:hAnsi="宋体"/>
          <w:color w:val="auto"/>
          <w:sz w:val="24"/>
        </w:rPr>
        <w:t>违反评标纪律发表倾向性意见或者征询采购人的倾向性意见；</w:t>
      </w:r>
    </w:p>
    <w:p w14:paraId="5703B46E">
      <w:pPr>
        <w:snapToGrid w:val="0"/>
        <w:spacing w:afterLines="50"/>
        <w:ind w:left="1840" w:leftChars="539" w:hanging="708" w:hangingChars="295"/>
        <w:rPr>
          <w:rFonts w:ascii="宋体" w:hAnsi="宋体"/>
          <w:color w:val="auto"/>
          <w:sz w:val="24"/>
        </w:rPr>
      </w:pPr>
      <w:r>
        <w:rPr>
          <w:rFonts w:hint="eastAsia" w:ascii="宋体" w:hAnsi="宋体"/>
          <w:color w:val="auto"/>
          <w:sz w:val="24"/>
          <w:lang w:eastAsia="zh-CN"/>
        </w:rPr>
        <w:t>(</w:t>
      </w:r>
      <w:r>
        <w:rPr>
          <w:rFonts w:hint="eastAsia" w:ascii="宋体" w:hAnsi="宋体"/>
          <w:color w:val="auto"/>
          <w:sz w:val="24"/>
        </w:rPr>
        <w:t>4</w:t>
      </w:r>
      <w:r>
        <w:rPr>
          <w:rFonts w:hint="eastAsia" w:ascii="宋体" w:hAnsi="宋体"/>
          <w:color w:val="auto"/>
          <w:sz w:val="24"/>
          <w:lang w:eastAsia="zh-CN"/>
        </w:rPr>
        <w:t>)</w:t>
      </w:r>
      <w:r>
        <w:rPr>
          <w:rFonts w:hint="eastAsia" w:ascii="宋体" w:hAnsi="宋体"/>
          <w:color w:val="auto"/>
          <w:sz w:val="24"/>
        </w:rPr>
        <w:tab/>
      </w:r>
      <w:r>
        <w:rPr>
          <w:rFonts w:hint="eastAsia" w:ascii="宋体" w:hAnsi="宋体"/>
          <w:color w:val="auto"/>
          <w:sz w:val="24"/>
        </w:rPr>
        <w:t>对需要专业判断的主观评审因素协商评分；</w:t>
      </w:r>
    </w:p>
    <w:p w14:paraId="57F45454">
      <w:pPr>
        <w:snapToGrid w:val="0"/>
        <w:spacing w:afterLines="50"/>
        <w:ind w:left="1840" w:leftChars="539" w:hanging="708" w:hangingChars="295"/>
        <w:rPr>
          <w:rFonts w:ascii="宋体" w:hAnsi="宋体"/>
          <w:color w:val="auto"/>
          <w:sz w:val="24"/>
        </w:rPr>
      </w:pPr>
      <w:r>
        <w:rPr>
          <w:rFonts w:hint="eastAsia" w:ascii="宋体" w:hAnsi="宋体"/>
          <w:color w:val="auto"/>
          <w:sz w:val="24"/>
          <w:lang w:eastAsia="zh-CN"/>
        </w:rPr>
        <w:t>(</w:t>
      </w:r>
      <w:r>
        <w:rPr>
          <w:rFonts w:hint="eastAsia" w:ascii="宋体" w:hAnsi="宋体"/>
          <w:color w:val="auto"/>
          <w:sz w:val="24"/>
        </w:rPr>
        <w:t>5</w:t>
      </w:r>
      <w:r>
        <w:rPr>
          <w:rFonts w:hint="eastAsia" w:ascii="宋体" w:hAnsi="宋体"/>
          <w:color w:val="auto"/>
          <w:sz w:val="24"/>
          <w:lang w:eastAsia="zh-CN"/>
        </w:rPr>
        <w:t>)</w:t>
      </w:r>
      <w:r>
        <w:rPr>
          <w:rFonts w:hint="eastAsia" w:ascii="宋体" w:hAnsi="宋体"/>
          <w:color w:val="auto"/>
          <w:sz w:val="24"/>
        </w:rPr>
        <w:tab/>
      </w:r>
      <w:r>
        <w:rPr>
          <w:rFonts w:hint="eastAsia" w:ascii="宋体" w:hAnsi="宋体"/>
          <w:color w:val="auto"/>
          <w:sz w:val="24"/>
        </w:rPr>
        <w:t>在评标过程中擅离职守，影响评标程序正常进行的；</w:t>
      </w:r>
    </w:p>
    <w:p w14:paraId="44AAD8CE">
      <w:pPr>
        <w:snapToGrid w:val="0"/>
        <w:spacing w:afterLines="50"/>
        <w:ind w:left="1840" w:leftChars="539" w:hanging="708" w:hangingChars="295"/>
        <w:rPr>
          <w:rFonts w:ascii="宋体" w:hAnsi="宋体"/>
          <w:color w:val="auto"/>
          <w:sz w:val="24"/>
        </w:rPr>
      </w:pPr>
      <w:r>
        <w:rPr>
          <w:rFonts w:hint="eastAsia" w:ascii="宋体" w:hAnsi="宋体"/>
          <w:color w:val="auto"/>
          <w:sz w:val="24"/>
          <w:lang w:eastAsia="zh-CN"/>
        </w:rPr>
        <w:t>(</w:t>
      </w:r>
      <w:r>
        <w:rPr>
          <w:rFonts w:hint="eastAsia" w:ascii="宋体" w:hAnsi="宋体"/>
          <w:color w:val="auto"/>
          <w:sz w:val="24"/>
        </w:rPr>
        <w:t>6</w:t>
      </w:r>
      <w:r>
        <w:rPr>
          <w:rFonts w:hint="eastAsia" w:ascii="宋体" w:hAnsi="宋体"/>
          <w:color w:val="auto"/>
          <w:sz w:val="24"/>
          <w:lang w:eastAsia="zh-CN"/>
        </w:rPr>
        <w:t>)</w:t>
      </w:r>
      <w:r>
        <w:rPr>
          <w:rFonts w:hint="eastAsia" w:ascii="宋体" w:hAnsi="宋体"/>
          <w:color w:val="auto"/>
          <w:sz w:val="24"/>
        </w:rPr>
        <w:tab/>
      </w:r>
      <w:r>
        <w:rPr>
          <w:rFonts w:hint="eastAsia" w:ascii="宋体" w:hAnsi="宋体"/>
          <w:color w:val="auto"/>
          <w:sz w:val="24"/>
        </w:rPr>
        <w:t>记录、复制或者带走任何评标资料；</w:t>
      </w:r>
    </w:p>
    <w:p w14:paraId="3DCE0FDE">
      <w:pPr>
        <w:snapToGrid w:val="0"/>
        <w:spacing w:afterLines="50"/>
        <w:ind w:left="1840" w:leftChars="539" w:hanging="708" w:hangingChars="295"/>
        <w:rPr>
          <w:rFonts w:ascii="宋体" w:hAnsi="宋体"/>
          <w:color w:val="auto"/>
          <w:sz w:val="24"/>
        </w:rPr>
      </w:pPr>
      <w:r>
        <w:rPr>
          <w:rFonts w:hint="eastAsia" w:ascii="宋体" w:hAnsi="宋体"/>
          <w:color w:val="auto"/>
          <w:sz w:val="24"/>
          <w:lang w:eastAsia="zh-CN"/>
        </w:rPr>
        <w:t>(</w:t>
      </w:r>
      <w:r>
        <w:rPr>
          <w:rFonts w:hint="eastAsia" w:ascii="宋体" w:hAnsi="宋体"/>
          <w:color w:val="auto"/>
          <w:sz w:val="24"/>
        </w:rPr>
        <w:t>7</w:t>
      </w:r>
      <w:r>
        <w:rPr>
          <w:rFonts w:hint="eastAsia" w:ascii="宋体" w:hAnsi="宋体"/>
          <w:color w:val="auto"/>
          <w:sz w:val="24"/>
          <w:lang w:eastAsia="zh-CN"/>
        </w:rPr>
        <w:t>)</w:t>
      </w:r>
      <w:r>
        <w:rPr>
          <w:rFonts w:hint="eastAsia" w:ascii="宋体" w:hAnsi="宋体"/>
          <w:color w:val="auto"/>
          <w:sz w:val="24"/>
        </w:rPr>
        <w:tab/>
      </w:r>
      <w:r>
        <w:rPr>
          <w:rFonts w:hint="eastAsia" w:ascii="宋体" w:hAnsi="宋体"/>
          <w:color w:val="auto"/>
          <w:sz w:val="24"/>
        </w:rPr>
        <w:t>其他不遵守评标纪律的行为。</w:t>
      </w:r>
    </w:p>
    <w:p w14:paraId="51D7E74C">
      <w:pPr>
        <w:numPr>
          <w:ilvl w:val="1"/>
          <w:numId w:val="3"/>
        </w:numPr>
        <w:autoSpaceDE w:val="0"/>
        <w:autoSpaceDN w:val="0"/>
        <w:adjustRightInd w:val="0"/>
        <w:snapToGrid w:val="0"/>
        <w:spacing w:afterLines="50"/>
        <w:ind w:left="1133" w:hanging="1132" w:hangingChars="472"/>
        <w:rPr>
          <w:rFonts w:ascii="宋体" w:hAnsi="宋体" w:cs="黑体"/>
          <w:color w:val="auto"/>
          <w:kern w:val="0"/>
          <w:sz w:val="24"/>
        </w:rPr>
      </w:pPr>
      <w:bookmarkStart w:id="114" w:name="_Toc195921842"/>
      <w:r>
        <w:rPr>
          <w:rFonts w:hint="eastAsia" w:ascii="宋体" w:hAnsi="宋体" w:cs="黑体"/>
          <w:color w:val="auto"/>
          <w:kern w:val="0"/>
          <w:sz w:val="24"/>
        </w:rPr>
        <w:t>对与评标活动有关的工作人员的纪律要求</w:t>
      </w:r>
      <w:bookmarkEnd w:id="114"/>
    </w:p>
    <w:p w14:paraId="4D0AFCF9">
      <w:pPr>
        <w:tabs>
          <w:tab w:val="left" w:pos="1260"/>
        </w:tabs>
        <w:autoSpaceDE w:val="0"/>
        <w:autoSpaceDN w:val="0"/>
        <w:adjustRightInd w:val="0"/>
        <w:snapToGrid w:val="0"/>
        <w:spacing w:afterLines="50"/>
        <w:ind w:left="1134"/>
        <w:rPr>
          <w:rFonts w:ascii="宋体" w:hAnsi="宋体" w:cs="黑体"/>
          <w:color w:val="auto"/>
          <w:kern w:val="0"/>
          <w:sz w:val="24"/>
        </w:rPr>
      </w:pPr>
      <w:r>
        <w:rPr>
          <w:rFonts w:hint="eastAsia" w:ascii="宋体" w:hAnsi="宋体" w:cs="黑体"/>
          <w:color w:val="auto"/>
          <w:kern w:val="0"/>
          <w:sz w:val="24"/>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053B30C3">
      <w:pPr>
        <w:numPr>
          <w:ilvl w:val="1"/>
          <w:numId w:val="3"/>
        </w:numPr>
        <w:autoSpaceDE w:val="0"/>
        <w:autoSpaceDN w:val="0"/>
        <w:adjustRightInd w:val="0"/>
        <w:snapToGrid w:val="0"/>
        <w:spacing w:afterLines="50"/>
        <w:ind w:left="1920" w:hanging="1920" w:hangingChars="800"/>
        <w:rPr>
          <w:rFonts w:ascii="宋体" w:hAnsi="宋体" w:cs="黑体"/>
          <w:color w:val="auto"/>
          <w:kern w:val="0"/>
          <w:sz w:val="24"/>
        </w:rPr>
      </w:pPr>
      <w:bookmarkStart w:id="115" w:name="_Toc195921843"/>
      <w:r>
        <w:rPr>
          <w:rFonts w:hint="eastAsia" w:ascii="宋体" w:hAnsi="宋体" w:cs="黑体"/>
          <w:color w:val="auto"/>
          <w:kern w:val="0"/>
          <w:sz w:val="24"/>
        </w:rPr>
        <w:t>投诉</w:t>
      </w:r>
      <w:bookmarkEnd w:id="115"/>
    </w:p>
    <w:p w14:paraId="2C32A32B">
      <w:pPr>
        <w:tabs>
          <w:tab w:val="left" w:pos="1260"/>
        </w:tabs>
        <w:autoSpaceDE w:val="0"/>
        <w:autoSpaceDN w:val="0"/>
        <w:adjustRightInd w:val="0"/>
        <w:snapToGrid w:val="0"/>
        <w:spacing w:afterLines="50"/>
        <w:ind w:left="1134"/>
        <w:rPr>
          <w:rFonts w:ascii="宋体" w:hAnsi="宋体" w:cs="黑体"/>
          <w:color w:val="auto"/>
          <w:kern w:val="0"/>
          <w:sz w:val="24"/>
        </w:rPr>
      </w:pPr>
      <w:r>
        <w:rPr>
          <w:rFonts w:hint="eastAsia" w:ascii="宋体" w:hAnsi="宋体" w:cs="黑体"/>
          <w:color w:val="auto"/>
          <w:kern w:val="0"/>
          <w:sz w:val="24"/>
          <w:lang w:eastAsia="zh-CN"/>
        </w:rPr>
        <w:t>供应商</w:t>
      </w:r>
      <w:r>
        <w:rPr>
          <w:rFonts w:hint="eastAsia" w:ascii="宋体" w:hAnsi="宋体" w:cs="黑体"/>
          <w:color w:val="auto"/>
          <w:kern w:val="0"/>
          <w:sz w:val="24"/>
        </w:rPr>
        <w:t>和其他利害关系人认为本次招标活动违反法律、法规和规章规定的，有权向有关行政监督部门投诉。</w:t>
      </w:r>
    </w:p>
    <w:p w14:paraId="6D80F1A1">
      <w:pPr>
        <w:numPr>
          <w:ilvl w:val="0"/>
          <w:numId w:val="3"/>
        </w:numPr>
        <w:autoSpaceDE w:val="0"/>
        <w:autoSpaceDN w:val="0"/>
        <w:adjustRightInd w:val="0"/>
        <w:spacing w:afterLines="50"/>
        <w:outlineLvl w:val="2"/>
        <w:rPr>
          <w:rFonts w:ascii="黑体" w:hAnsi="宋体" w:eastAsia="黑体" w:cs="黑体"/>
          <w:color w:val="auto"/>
          <w:kern w:val="0"/>
          <w:sz w:val="24"/>
        </w:rPr>
      </w:pPr>
      <w:bookmarkStart w:id="116" w:name="_Toc29652"/>
      <w:bookmarkStart w:id="117" w:name="_Toc195921844"/>
      <w:bookmarkStart w:id="118" w:name="_Toc15070"/>
      <w:r>
        <w:rPr>
          <w:rFonts w:hint="eastAsia" w:ascii="黑体" w:hAnsi="宋体" w:eastAsia="黑体" w:cs="黑体"/>
          <w:color w:val="auto"/>
          <w:kern w:val="0"/>
          <w:sz w:val="24"/>
        </w:rPr>
        <w:t>需要补充的其他内容</w:t>
      </w:r>
      <w:bookmarkEnd w:id="116"/>
      <w:bookmarkEnd w:id="117"/>
      <w:bookmarkEnd w:id="118"/>
    </w:p>
    <w:p w14:paraId="20FBEF88">
      <w:pPr>
        <w:tabs>
          <w:tab w:val="left" w:pos="1260"/>
        </w:tabs>
        <w:autoSpaceDE w:val="0"/>
        <w:autoSpaceDN w:val="0"/>
        <w:adjustRightInd w:val="0"/>
        <w:snapToGrid w:val="0"/>
        <w:spacing w:afterLines="50"/>
        <w:ind w:left="1134"/>
        <w:rPr>
          <w:rFonts w:hint="eastAsia" w:ascii="宋体" w:hAnsi="宋体" w:cs="黑体"/>
          <w:color w:val="auto"/>
          <w:kern w:val="0"/>
          <w:sz w:val="24"/>
        </w:rPr>
      </w:pPr>
      <w:r>
        <w:rPr>
          <w:rFonts w:hint="eastAsia" w:ascii="宋体" w:hAnsi="宋体" w:cs="黑体"/>
          <w:color w:val="auto"/>
          <w:kern w:val="0"/>
          <w:sz w:val="24"/>
        </w:rPr>
        <w:t>见</w:t>
      </w:r>
      <w:r>
        <w:rPr>
          <w:rFonts w:hint="eastAsia" w:ascii="宋体" w:hAnsi="宋体" w:cs="黑体"/>
          <w:color w:val="auto"/>
          <w:kern w:val="0"/>
          <w:sz w:val="24"/>
          <w:lang w:eastAsia="zh-CN"/>
        </w:rPr>
        <w:t>供应商</w:t>
      </w:r>
      <w:r>
        <w:rPr>
          <w:rFonts w:hint="eastAsia" w:ascii="宋体" w:hAnsi="宋体" w:cs="黑体"/>
          <w:color w:val="auto"/>
          <w:kern w:val="0"/>
          <w:sz w:val="24"/>
        </w:rPr>
        <w:t>须知前附表。</w:t>
      </w:r>
    </w:p>
    <w:p w14:paraId="722FC24C">
      <w:pPr>
        <w:autoSpaceDE w:val="0"/>
        <w:autoSpaceDN w:val="0"/>
        <w:adjustRightInd w:val="0"/>
        <w:snapToGrid w:val="0"/>
        <w:spacing w:afterLines="50"/>
        <w:jc w:val="center"/>
        <w:outlineLvl w:val="0"/>
        <w:rPr>
          <w:rFonts w:ascii="宋体" w:hAnsi="宋体" w:cs="黑体"/>
          <w:color w:val="auto"/>
          <w:kern w:val="0"/>
          <w:sz w:val="32"/>
          <w:szCs w:val="32"/>
        </w:rPr>
      </w:pPr>
      <w:r>
        <w:rPr>
          <w:color w:val="auto"/>
        </w:rPr>
        <w:br w:type="page"/>
      </w:r>
      <w:bookmarkStart w:id="119" w:name="_Toc195921851"/>
      <w:bookmarkStart w:id="120" w:name="_Toc29029"/>
      <w:bookmarkStart w:id="121" w:name="_Toc22870"/>
      <w:bookmarkStart w:id="122" w:name="_Toc11379"/>
      <w:r>
        <w:rPr>
          <w:rFonts w:hint="eastAsia" w:ascii="宋体" w:hAnsi="宋体" w:cs="黑体"/>
          <w:color w:val="auto"/>
          <w:kern w:val="0"/>
          <w:sz w:val="32"/>
          <w:szCs w:val="32"/>
        </w:rPr>
        <w:t>第三章</w:t>
      </w:r>
      <w:r>
        <w:rPr>
          <w:rFonts w:ascii="宋体" w:hAnsi="宋体" w:cs="黑体"/>
          <w:color w:val="auto"/>
          <w:kern w:val="0"/>
          <w:sz w:val="32"/>
          <w:szCs w:val="32"/>
        </w:rPr>
        <w:t xml:space="preserve"> 资格审查、</w:t>
      </w:r>
      <w:r>
        <w:rPr>
          <w:rFonts w:hint="eastAsia" w:ascii="宋体" w:hAnsi="宋体" w:cs="黑体"/>
          <w:color w:val="auto"/>
          <w:kern w:val="0"/>
          <w:sz w:val="32"/>
          <w:szCs w:val="32"/>
        </w:rPr>
        <w:t>评标办法</w:t>
      </w:r>
      <w:bookmarkEnd w:id="119"/>
      <w:r>
        <w:rPr>
          <w:rFonts w:hint="eastAsia" w:ascii="宋体" w:hAnsi="宋体" w:cs="黑体"/>
          <w:color w:val="auto"/>
          <w:kern w:val="0"/>
          <w:sz w:val="32"/>
          <w:szCs w:val="32"/>
        </w:rPr>
        <w:t>和标准</w:t>
      </w:r>
      <w:bookmarkEnd w:id="120"/>
      <w:bookmarkEnd w:id="121"/>
      <w:bookmarkEnd w:id="122"/>
    </w:p>
    <w:p w14:paraId="7748B86C">
      <w:pPr>
        <w:autoSpaceDE w:val="0"/>
        <w:autoSpaceDN w:val="0"/>
        <w:adjustRightInd w:val="0"/>
        <w:snapToGrid w:val="0"/>
        <w:spacing w:afterLines="50"/>
        <w:jc w:val="left"/>
        <w:rPr>
          <w:rFonts w:ascii="宋体" w:cs="宋体"/>
          <w:color w:val="auto"/>
          <w:kern w:val="0"/>
          <w:szCs w:val="21"/>
        </w:rPr>
      </w:pPr>
    </w:p>
    <w:p w14:paraId="1A2381F6">
      <w:pPr>
        <w:numPr>
          <w:ilvl w:val="0"/>
          <w:numId w:val="9"/>
        </w:numPr>
        <w:tabs>
          <w:tab w:val="left" w:pos="993"/>
        </w:tabs>
        <w:autoSpaceDE w:val="0"/>
        <w:autoSpaceDN w:val="0"/>
        <w:adjustRightInd w:val="0"/>
        <w:snapToGrid w:val="0"/>
        <w:spacing w:afterLines="50"/>
        <w:ind w:left="993" w:hanging="993"/>
        <w:jc w:val="left"/>
        <w:outlineLvl w:val="1"/>
        <w:rPr>
          <w:rFonts w:ascii="黑体" w:hAnsi="TimesNewRomanPSMT" w:eastAsia="黑体" w:cs="TimesNewRomanPSMT"/>
          <w:color w:val="auto"/>
          <w:kern w:val="0"/>
          <w:sz w:val="24"/>
        </w:rPr>
      </w:pPr>
      <w:bookmarkStart w:id="123" w:name="_Toc18476"/>
      <w:bookmarkStart w:id="124" w:name="_Toc31577"/>
      <w:bookmarkStart w:id="125" w:name="_Toc17569"/>
      <w:r>
        <w:rPr>
          <w:rFonts w:hint="eastAsia" w:ascii="黑体" w:hAnsi="TimesNewRomanPSMT" w:eastAsia="黑体" w:cs="TimesNewRomanPSMT"/>
          <w:color w:val="auto"/>
          <w:kern w:val="0"/>
          <w:sz w:val="24"/>
        </w:rPr>
        <w:t>资格审查及标准</w:t>
      </w:r>
      <w:bookmarkEnd w:id="123"/>
      <w:bookmarkEnd w:id="124"/>
      <w:bookmarkEnd w:id="125"/>
    </w:p>
    <w:p w14:paraId="7CACF84A">
      <w:pPr>
        <w:autoSpaceDE w:val="0"/>
        <w:autoSpaceDN w:val="0"/>
        <w:adjustRightInd w:val="0"/>
        <w:snapToGrid w:val="0"/>
        <w:spacing w:afterLines="50"/>
        <w:ind w:left="991" w:leftChars="472"/>
        <w:rPr>
          <w:rFonts w:ascii="宋体" w:hAnsi="宋体" w:cs="TimesNewRomanPSMT"/>
          <w:color w:val="auto"/>
          <w:kern w:val="0"/>
          <w:sz w:val="24"/>
        </w:rPr>
      </w:pPr>
      <w:r>
        <w:rPr>
          <w:rFonts w:hint="eastAsia" w:ascii="宋体" w:hAnsi="宋体" w:cs="TimesNewRomanPSMT"/>
          <w:color w:val="auto"/>
          <w:kern w:val="0"/>
          <w:sz w:val="24"/>
          <w:lang w:val="en-US" w:eastAsia="zh-CN"/>
        </w:rPr>
        <w:t>详见供应商须知前附表6.1，由</w:t>
      </w:r>
      <w:r>
        <w:rPr>
          <w:rFonts w:hint="eastAsia" w:ascii="宋体" w:hAnsi="宋体" w:cs="TimesNewRomanPSMT"/>
          <w:color w:val="auto"/>
          <w:kern w:val="0"/>
          <w:sz w:val="24"/>
        </w:rPr>
        <w:t>采购人或采购代理机构按附表一所列审查标准，对</w:t>
      </w:r>
      <w:r>
        <w:rPr>
          <w:rFonts w:hint="eastAsia" w:ascii="宋体" w:hAnsi="宋体" w:cs="TimesNewRomanPSMT"/>
          <w:color w:val="auto"/>
          <w:kern w:val="0"/>
          <w:sz w:val="24"/>
          <w:lang w:eastAsia="zh-CN"/>
        </w:rPr>
        <w:t>供应商</w:t>
      </w:r>
      <w:r>
        <w:rPr>
          <w:rFonts w:hint="eastAsia" w:ascii="宋体" w:hAnsi="宋体" w:cs="TimesNewRomanPSMT"/>
          <w:color w:val="auto"/>
          <w:kern w:val="0"/>
          <w:sz w:val="24"/>
        </w:rPr>
        <w:t>资格进行审查，以确定</w:t>
      </w:r>
      <w:r>
        <w:rPr>
          <w:rFonts w:hint="eastAsia" w:ascii="宋体" w:hAnsi="宋体" w:cs="TimesNewRomanPSMT"/>
          <w:color w:val="auto"/>
          <w:kern w:val="0"/>
          <w:sz w:val="24"/>
          <w:lang w:eastAsia="zh-CN"/>
        </w:rPr>
        <w:t>供应商</w:t>
      </w:r>
      <w:r>
        <w:rPr>
          <w:rFonts w:hint="eastAsia" w:ascii="宋体" w:hAnsi="宋体" w:cs="TimesNewRomanPSMT"/>
          <w:color w:val="auto"/>
          <w:kern w:val="0"/>
          <w:sz w:val="24"/>
        </w:rPr>
        <w:t>是否具备投标资格，</w:t>
      </w:r>
      <w:r>
        <w:rPr>
          <w:rFonts w:hint="eastAsia" w:ascii="宋体" w:hAnsi="宋体" w:cs="TimesNewRomanPSMT"/>
          <w:color w:val="auto"/>
          <w:kern w:val="0"/>
          <w:sz w:val="24"/>
          <w:lang w:eastAsia="zh-CN"/>
        </w:rPr>
        <w:t>供应商</w:t>
      </w:r>
      <w:r>
        <w:rPr>
          <w:rFonts w:hint="eastAsia" w:ascii="宋体" w:hAnsi="宋体" w:cs="TimesNewRomanPSMT"/>
          <w:color w:val="auto"/>
          <w:kern w:val="0"/>
          <w:sz w:val="24"/>
        </w:rPr>
        <w:t>未通过资格审查的，其投标无效。</w:t>
      </w:r>
    </w:p>
    <w:p w14:paraId="4D709FBE">
      <w:pPr>
        <w:numPr>
          <w:ilvl w:val="0"/>
          <w:numId w:val="9"/>
        </w:numPr>
        <w:tabs>
          <w:tab w:val="left" w:pos="993"/>
        </w:tabs>
        <w:autoSpaceDE w:val="0"/>
        <w:autoSpaceDN w:val="0"/>
        <w:adjustRightInd w:val="0"/>
        <w:snapToGrid w:val="0"/>
        <w:spacing w:afterLines="50"/>
        <w:ind w:left="993" w:hanging="993"/>
        <w:jc w:val="left"/>
        <w:outlineLvl w:val="1"/>
        <w:rPr>
          <w:rFonts w:ascii="黑体" w:hAnsi="TimesNewRomanPSMT" w:eastAsia="黑体" w:cs="TimesNewRomanPSMT"/>
          <w:color w:val="auto"/>
          <w:kern w:val="0"/>
          <w:sz w:val="24"/>
        </w:rPr>
      </w:pPr>
      <w:bookmarkStart w:id="126" w:name="_Toc28518"/>
      <w:bookmarkStart w:id="127" w:name="_Toc5891"/>
      <w:bookmarkStart w:id="128" w:name="_Toc25398"/>
      <w:r>
        <w:rPr>
          <w:rFonts w:hint="eastAsia" w:ascii="黑体" w:hAnsi="TimesNewRomanPSMT" w:eastAsia="黑体" w:cs="TimesNewRomanPSMT"/>
          <w:color w:val="auto"/>
          <w:kern w:val="0"/>
          <w:sz w:val="24"/>
        </w:rPr>
        <w:t>评标方法</w:t>
      </w:r>
      <w:bookmarkEnd w:id="126"/>
      <w:bookmarkEnd w:id="127"/>
      <w:bookmarkEnd w:id="128"/>
    </w:p>
    <w:p w14:paraId="5B5FB35F">
      <w:pPr>
        <w:numPr>
          <w:ilvl w:val="0"/>
          <w:numId w:val="0"/>
        </w:numPr>
        <w:tabs>
          <w:tab w:val="left" w:pos="993"/>
        </w:tabs>
        <w:autoSpaceDE w:val="0"/>
        <w:autoSpaceDN w:val="0"/>
        <w:adjustRightInd w:val="0"/>
        <w:snapToGrid w:val="0"/>
        <w:spacing w:afterLines="50"/>
        <w:ind w:left="1058" w:leftChars="503" w:hanging="2"/>
        <w:jc w:val="left"/>
        <w:outlineLvl w:val="9"/>
        <w:rPr>
          <w:rFonts w:ascii="黑体" w:hAnsi="TimesNewRomanPSMT" w:eastAsia="黑体" w:cs="TimesNewRomanPSMT"/>
          <w:color w:val="auto"/>
          <w:kern w:val="0"/>
          <w:sz w:val="24"/>
        </w:rPr>
      </w:pPr>
      <w:bookmarkStart w:id="129" w:name="_Toc23815"/>
      <w:bookmarkStart w:id="130" w:name="_Toc12642"/>
      <w:bookmarkStart w:id="131" w:name="_Toc14616"/>
      <w:r>
        <w:rPr>
          <w:rFonts w:hint="eastAsia" w:ascii="宋体" w:hAnsi="宋体" w:cs="TimesNewRomanPSMT"/>
          <w:color w:val="auto"/>
          <w:kern w:val="0"/>
          <w:sz w:val="24"/>
        </w:rPr>
        <w:t>本次评标采用综合评分法。评标委员会对满足招标文件实质性要求的投标文件，按照本章第</w:t>
      </w:r>
      <w:r>
        <w:rPr>
          <w:rFonts w:ascii="宋体" w:hAnsi="宋体" w:cs="TimesNewRomanPSMT"/>
          <w:color w:val="auto"/>
          <w:kern w:val="0"/>
          <w:sz w:val="24"/>
        </w:rPr>
        <w:fldChar w:fldCharType="begin"/>
      </w:r>
      <w:r>
        <w:instrText xml:space="preserve"> REF _Ref507665740 \r \h  \* MERGEFORMAT</w:instrText>
      </w:r>
      <w:r>
        <w:rPr>
          <w:rFonts w:ascii="宋体" w:hAnsi="宋体" w:cs="TimesNewRomanPSMT"/>
          <w:color w:val="auto"/>
          <w:kern w:val="0"/>
          <w:sz w:val="24"/>
        </w:rPr>
        <w:fldChar w:fldCharType="separate"/>
      </w:r>
      <w:r>
        <w:rPr>
          <w:rFonts w:ascii="宋体" w:hAnsi="宋体" w:cs="TimesNewRomanPSMT"/>
          <w:color w:val="auto"/>
          <w:kern w:val="0"/>
          <w:sz w:val="24"/>
        </w:rPr>
        <w:t>3</w:t>
      </w:r>
      <w:r>
        <w:rPr>
          <w:rFonts w:ascii="宋体" w:hAnsi="宋体" w:cs="TimesNewRomanPSMT"/>
          <w:color w:val="auto"/>
          <w:kern w:val="0"/>
          <w:sz w:val="24"/>
        </w:rPr>
        <w:fldChar w:fldCharType="end"/>
      </w:r>
      <w:r>
        <w:rPr>
          <w:rFonts w:hint="eastAsia" w:ascii="宋体" w:hAnsi="宋体" w:cs="TimesNewRomanPSMT"/>
          <w:color w:val="auto"/>
          <w:kern w:val="0"/>
          <w:sz w:val="24"/>
        </w:rPr>
        <w:t>条规定的评审标准进行打分，并按得分由高到低顺序推荐中标候选人。</w:t>
      </w:r>
      <w:r>
        <w:rPr>
          <w:rFonts w:hint="eastAsia" w:ascii="宋体" w:hAnsi="宋体" w:eastAsia="宋体" w:cs="TimesNewRomanPSMT"/>
          <w:color w:val="auto"/>
          <w:kern w:val="0"/>
          <w:sz w:val="24"/>
          <w:szCs w:val="24"/>
        </w:rPr>
        <w:t>得分相同的，按照招标文件规定的方式确定中标人。</w:t>
      </w:r>
      <w:bookmarkEnd w:id="129"/>
      <w:bookmarkEnd w:id="130"/>
      <w:bookmarkEnd w:id="131"/>
    </w:p>
    <w:p w14:paraId="71C28BAE">
      <w:pPr>
        <w:numPr>
          <w:ilvl w:val="0"/>
          <w:numId w:val="9"/>
        </w:numPr>
        <w:tabs>
          <w:tab w:val="left" w:pos="993"/>
        </w:tabs>
        <w:autoSpaceDE w:val="0"/>
        <w:autoSpaceDN w:val="0"/>
        <w:adjustRightInd w:val="0"/>
        <w:snapToGrid w:val="0"/>
        <w:spacing w:afterLines="50"/>
        <w:ind w:left="993" w:hanging="993"/>
        <w:jc w:val="left"/>
        <w:outlineLvl w:val="1"/>
        <w:rPr>
          <w:rFonts w:ascii="黑体" w:hAnsi="TimesNewRomanPSMT" w:eastAsia="黑体" w:cs="TimesNewRomanPSMT"/>
          <w:color w:val="auto"/>
          <w:kern w:val="0"/>
          <w:sz w:val="24"/>
        </w:rPr>
      </w:pPr>
      <w:bookmarkStart w:id="132" w:name="_Toc12479"/>
      <w:bookmarkStart w:id="133" w:name="_Toc13050"/>
      <w:bookmarkStart w:id="134" w:name="_Toc27151"/>
      <w:r>
        <w:rPr>
          <w:rFonts w:hint="eastAsia" w:ascii="黑体" w:hAnsi="TimesNewRomanPSMT" w:eastAsia="黑体" w:cs="TimesNewRomanPSMT"/>
          <w:color w:val="auto"/>
          <w:kern w:val="0"/>
          <w:sz w:val="24"/>
        </w:rPr>
        <w:t>评审标准</w:t>
      </w:r>
      <w:bookmarkEnd w:id="132"/>
      <w:bookmarkEnd w:id="133"/>
      <w:bookmarkEnd w:id="134"/>
    </w:p>
    <w:p w14:paraId="4F99A5FA">
      <w:pPr>
        <w:numPr>
          <w:ilvl w:val="1"/>
          <w:numId w:val="9"/>
        </w:numPr>
        <w:tabs>
          <w:tab w:val="left" w:pos="993"/>
        </w:tabs>
        <w:autoSpaceDE w:val="0"/>
        <w:autoSpaceDN w:val="0"/>
        <w:adjustRightInd w:val="0"/>
        <w:snapToGrid w:val="0"/>
        <w:spacing w:afterLines="50"/>
        <w:jc w:val="left"/>
        <w:outlineLvl w:val="2"/>
        <w:rPr>
          <w:rFonts w:ascii="宋体" w:hAnsi="宋体" w:cs="TimesNewRomanPSMT"/>
          <w:color w:val="auto"/>
          <w:kern w:val="0"/>
          <w:sz w:val="24"/>
        </w:rPr>
      </w:pPr>
      <w:r>
        <w:rPr>
          <w:rFonts w:hint="eastAsia" w:ascii="宋体" w:hAnsi="宋体" w:cs="TimesNewRomanPSMT"/>
          <w:color w:val="auto"/>
          <w:kern w:val="0"/>
          <w:sz w:val="24"/>
        </w:rPr>
        <w:t>符合性评审标准</w:t>
      </w:r>
    </w:p>
    <w:p w14:paraId="48D70FAB">
      <w:pPr>
        <w:numPr>
          <w:ilvl w:val="0"/>
          <w:numId w:val="0"/>
        </w:numPr>
        <w:tabs>
          <w:tab w:val="left" w:pos="993"/>
        </w:tabs>
        <w:autoSpaceDE w:val="0"/>
        <w:autoSpaceDN w:val="0"/>
        <w:adjustRightInd w:val="0"/>
        <w:snapToGrid w:val="0"/>
        <w:spacing w:afterLines="50"/>
        <w:ind w:left="1058" w:leftChars="503" w:hanging="2"/>
        <w:jc w:val="left"/>
        <w:outlineLvl w:val="9"/>
        <w:rPr>
          <w:rFonts w:hint="eastAsia" w:ascii="宋体" w:hAnsi="宋体" w:cs="TimesNewRomanPSMT"/>
          <w:color w:val="auto"/>
          <w:kern w:val="0"/>
          <w:sz w:val="24"/>
        </w:rPr>
      </w:pPr>
      <w:r>
        <w:rPr>
          <w:rFonts w:hint="eastAsia" w:ascii="宋体" w:hAnsi="宋体" w:cs="TimesNewRomanPSMT"/>
          <w:color w:val="auto"/>
          <w:kern w:val="0"/>
          <w:sz w:val="24"/>
        </w:rPr>
        <w:t>见附表二。</w:t>
      </w:r>
      <w:r>
        <w:rPr>
          <w:rFonts w:hint="eastAsia" w:ascii="宋体" w:hAnsi="宋体" w:cs="TimesNewRomanPSMT"/>
          <w:color w:val="auto"/>
          <w:kern w:val="0"/>
          <w:sz w:val="24"/>
          <w:lang w:eastAsia="zh-CN"/>
        </w:rPr>
        <w:t>供应商</w:t>
      </w:r>
      <w:r>
        <w:rPr>
          <w:rFonts w:hint="eastAsia" w:ascii="宋体" w:hAnsi="宋体" w:cs="TimesNewRomanPSMT"/>
          <w:color w:val="auto"/>
          <w:kern w:val="0"/>
          <w:sz w:val="24"/>
        </w:rPr>
        <w:t>须满足附表二符合性审查表的全部内容，否则其投标无效。</w:t>
      </w:r>
    </w:p>
    <w:p w14:paraId="0D5EE4C6">
      <w:pPr>
        <w:numPr>
          <w:ilvl w:val="1"/>
          <w:numId w:val="9"/>
        </w:numPr>
        <w:tabs>
          <w:tab w:val="left" w:pos="993"/>
        </w:tabs>
        <w:autoSpaceDE w:val="0"/>
        <w:autoSpaceDN w:val="0"/>
        <w:adjustRightInd w:val="0"/>
        <w:snapToGrid w:val="0"/>
        <w:spacing w:afterLines="50"/>
        <w:jc w:val="left"/>
        <w:outlineLvl w:val="2"/>
        <w:rPr>
          <w:rFonts w:ascii="宋体" w:hAnsi="宋体" w:cs="TimesNewRomanPSMT"/>
          <w:color w:val="auto"/>
          <w:kern w:val="0"/>
          <w:sz w:val="24"/>
        </w:rPr>
      </w:pPr>
      <w:r>
        <w:rPr>
          <w:rFonts w:hint="eastAsia" w:ascii="宋体" w:hAnsi="宋体" w:cs="TimesNewRomanPSMT"/>
          <w:color w:val="auto"/>
          <w:kern w:val="0"/>
          <w:sz w:val="24"/>
        </w:rPr>
        <w:t>分值构成</w:t>
      </w:r>
    </w:p>
    <w:p w14:paraId="59AC38A2">
      <w:pPr>
        <w:tabs>
          <w:tab w:val="left" w:pos="993"/>
        </w:tabs>
        <w:autoSpaceDE w:val="0"/>
        <w:autoSpaceDN w:val="0"/>
        <w:adjustRightInd w:val="0"/>
        <w:snapToGrid w:val="0"/>
        <w:spacing w:afterLines="50"/>
        <w:ind w:left="2264" w:leftChars="514" w:hanging="1185" w:hangingChars="494"/>
        <w:jc w:val="left"/>
        <w:rPr>
          <w:rFonts w:ascii="宋体" w:hAnsi="宋体" w:cs="TimesNewRomanPSMT"/>
          <w:color w:val="auto"/>
          <w:kern w:val="0"/>
          <w:sz w:val="24"/>
        </w:rPr>
      </w:pPr>
      <w:r>
        <w:rPr>
          <w:rFonts w:hint="eastAsia" w:ascii="宋体" w:hAnsi="宋体" w:cs="TimesNewRomanPSMT"/>
          <w:color w:val="auto"/>
          <w:kern w:val="0"/>
          <w:sz w:val="24"/>
        </w:rPr>
        <w:t>分值构成</w:t>
      </w:r>
      <w:r>
        <w:rPr>
          <w:rFonts w:hint="eastAsia" w:ascii="宋体" w:hAnsi="宋体" w:cs="TimesNewRomanPSMT"/>
          <w:color w:val="auto"/>
          <w:kern w:val="0"/>
          <w:sz w:val="24"/>
          <w:lang w:eastAsia="zh-CN"/>
        </w:rPr>
        <w:t>:</w:t>
      </w:r>
      <w:r>
        <w:rPr>
          <w:rFonts w:hint="eastAsia" w:ascii="宋体" w:hAnsi="宋体" w:cs="TimesNewRomanPSMT"/>
          <w:color w:val="auto"/>
          <w:kern w:val="0"/>
          <w:sz w:val="24"/>
        </w:rPr>
        <w:t>总分100分，其中</w:t>
      </w:r>
    </w:p>
    <w:p w14:paraId="21A6EB46">
      <w:pPr>
        <w:shd w:val="clear"/>
        <w:tabs>
          <w:tab w:val="left" w:pos="993"/>
        </w:tabs>
        <w:autoSpaceDE w:val="0"/>
        <w:autoSpaceDN w:val="0"/>
        <w:adjustRightInd w:val="0"/>
        <w:snapToGrid w:val="0"/>
        <w:spacing w:afterLines="50"/>
        <w:ind w:firstLine="2160" w:firstLineChars="900"/>
        <w:jc w:val="left"/>
        <w:rPr>
          <w:rFonts w:hint="eastAsia" w:ascii="宋体" w:hAnsi="宋体" w:cs="TimesNewRomanPSMT"/>
          <w:color w:val="auto"/>
          <w:kern w:val="0"/>
          <w:sz w:val="24"/>
        </w:rPr>
      </w:pPr>
      <w:r>
        <w:rPr>
          <w:rFonts w:hint="eastAsia" w:ascii="宋体" w:hAnsi="宋体" w:cs="TimesNewRomanPSMT"/>
          <w:color w:val="auto"/>
          <w:kern w:val="0"/>
          <w:sz w:val="24"/>
        </w:rPr>
        <w:t>商务</w:t>
      </w:r>
      <w:r>
        <w:rPr>
          <w:rFonts w:hint="eastAsia" w:ascii="宋体" w:hAnsi="宋体" w:cs="TimesNewRomanPSMT"/>
          <w:color w:val="auto"/>
          <w:kern w:val="0"/>
          <w:sz w:val="24"/>
          <w:lang w:val="en-US" w:eastAsia="zh-CN"/>
        </w:rPr>
        <w:t>技术</w:t>
      </w:r>
      <w:r>
        <w:rPr>
          <w:rFonts w:hint="eastAsia" w:ascii="宋体" w:hAnsi="宋体" w:cs="TimesNewRomanPSMT"/>
          <w:color w:val="auto"/>
          <w:kern w:val="0"/>
          <w:sz w:val="24"/>
        </w:rPr>
        <w:t>部分</w:t>
      </w:r>
      <w:r>
        <w:rPr>
          <w:rFonts w:hint="eastAsia" w:ascii="宋体" w:hAnsi="宋体" w:cs="TimesNewRomanPSMT"/>
          <w:color w:val="auto"/>
          <w:kern w:val="0"/>
          <w:sz w:val="24"/>
          <w:lang w:eastAsia="zh-CN"/>
        </w:rPr>
        <w:t>:</w:t>
      </w:r>
      <w:r>
        <w:rPr>
          <w:rFonts w:hint="eastAsia" w:ascii="宋体" w:hAnsi="宋体" w:cs="TimesNewRomanPSMT"/>
          <w:color w:val="auto"/>
          <w:kern w:val="0"/>
          <w:sz w:val="24"/>
          <w:lang w:val="en-US" w:eastAsia="zh-CN"/>
        </w:rPr>
        <w:t>9</w:t>
      </w:r>
      <w:r>
        <w:rPr>
          <w:rFonts w:hint="eastAsia" w:ascii="宋体" w:hAnsi="宋体" w:cs="TimesNewRomanPSMT"/>
          <w:color w:val="auto"/>
          <w:kern w:val="0"/>
          <w:sz w:val="24"/>
        </w:rPr>
        <w:t xml:space="preserve">0分 </w:t>
      </w:r>
    </w:p>
    <w:p w14:paraId="72F24A5C">
      <w:pPr>
        <w:shd w:val="clear"/>
        <w:tabs>
          <w:tab w:val="left" w:pos="993"/>
        </w:tabs>
        <w:autoSpaceDE w:val="0"/>
        <w:autoSpaceDN w:val="0"/>
        <w:adjustRightInd w:val="0"/>
        <w:snapToGrid w:val="0"/>
        <w:spacing w:afterLines="50"/>
        <w:ind w:firstLine="2160" w:firstLineChars="900"/>
        <w:jc w:val="left"/>
        <w:rPr>
          <w:rFonts w:hint="eastAsia" w:ascii="宋体" w:hAnsi="宋体" w:cs="TimesNewRomanPSMT"/>
          <w:color w:val="auto"/>
          <w:kern w:val="0"/>
          <w:sz w:val="24"/>
        </w:rPr>
      </w:pPr>
      <w:r>
        <w:rPr>
          <w:rFonts w:hint="eastAsia" w:ascii="宋体" w:hAnsi="宋体" w:cs="TimesNewRomanPSMT"/>
          <w:color w:val="auto"/>
          <w:kern w:val="0"/>
          <w:sz w:val="24"/>
        </w:rPr>
        <w:t>报价部分</w:t>
      </w:r>
      <w:r>
        <w:rPr>
          <w:rFonts w:hint="eastAsia" w:ascii="宋体" w:hAnsi="宋体" w:cs="TimesNewRomanPSMT"/>
          <w:color w:val="auto"/>
          <w:kern w:val="0"/>
          <w:sz w:val="24"/>
          <w:lang w:eastAsia="zh-CN"/>
        </w:rPr>
        <w:t>:</w:t>
      </w:r>
      <w:r>
        <w:rPr>
          <w:rFonts w:hint="eastAsia" w:ascii="宋体" w:hAnsi="宋体" w:cs="TimesNewRomanPSMT"/>
          <w:color w:val="auto"/>
          <w:kern w:val="0"/>
          <w:sz w:val="24"/>
          <w:lang w:val="en-US" w:eastAsia="zh-CN"/>
        </w:rPr>
        <w:t>1</w:t>
      </w:r>
      <w:r>
        <w:rPr>
          <w:rFonts w:hint="eastAsia" w:ascii="宋体" w:hAnsi="宋体" w:cs="TimesNewRomanPSMT"/>
          <w:color w:val="auto"/>
          <w:kern w:val="0"/>
          <w:sz w:val="24"/>
        </w:rPr>
        <w:t>0分</w:t>
      </w:r>
    </w:p>
    <w:p w14:paraId="5BD783AD">
      <w:pPr>
        <w:numPr>
          <w:ilvl w:val="1"/>
          <w:numId w:val="9"/>
        </w:numPr>
        <w:tabs>
          <w:tab w:val="left" w:pos="993"/>
        </w:tabs>
        <w:autoSpaceDE w:val="0"/>
        <w:autoSpaceDN w:val="0"/>
        <w:adjustRightInd w:val="0"/>
        <w:snapToGrid w:val="0"/>
        <w:spacing w:afterLines="50"/>
        <w:jc w:val="left"/>
        <w:outlineLvl w:val="2"/>
        <w:rPr>
          <w:rFonts w:ascii="宋体" w:hAnsi="宋体" w:cs="TimesNewRomanPSMT"/>
          <w:color w:val="auto"/>
          <w:kern w:val="0"/>
          <w:sz w:val="24"/>
        </w:rPr>
      </w:pPr>
      <w:bookmarkStart w:id="135" w:name="_Ref426362114"/>
      <w:r>
        <w:rPr>
          <w:rFonts w:hint="eastAsia" w:ascii="宋体" w:hAnsi="宋体" w:cs="TimesNewRomanPSMT"/>
          <w:color w:val="auto"/>
          <w:kern w:val="0"/>
          <w:sz w:val="24"/>
        </w:rPr>
        <w:t>商务和技术评审标准</w:t>
      </w:r>
      <w:bookmarkEnd w:id="135"/>
    </w:p>
    <w:p w14:paraId="3C54DB1E">
      <w:pPr>
        <w:numPr>
          <w:ilvl w:val="2"/>
          <w:numId w:val="9"/>
        </w:numPr>
        <w:tabs>
          <w:tab w:val="left" w:pos="993"/>
        </w:tabs>
        <w:autoSpaceDE w:val="0"/>
        <w:autoSpaceDN w:val="0"/>
        <w:adjustRightInd w:val="0"/>
        <w:snapToGrid w:val="0"/>
        <w:spacing w:afterLines="50"/>
        <w:ind w:left="993" w:hanging="993"/>
        <w:jc w:val="left"/>
        <w:rPr>
          <w:rFonts w:ascii="宋体" w:hAnsi="宋体" w:cs="TimesNewRomanPSMT"/>
          <w:color w:val="auto"/>
          <w:kern w:val="0"/>
          <w:sz w:val="24"/>
        </w:rPr>
      </w:pPr>
      <w:bookmarkStart w:id="136" w:name="_Ref426362140"/>
      <w:r>
        <w:rPr>
          <w:rFonts w:hint="eastAsia" w:ascii="宋体" w:hAnsi="宋体" w:cs="TimesNewRomanPSMT"/>
          <w:color w:val="auto"/>
          <w:kern w:val="0"/>
          <w:sz w:val="24"/>
        </w:rPr>
        <w:t>商务</w:t>
      </w:r>
      <w:r>
        <w:rPr>
          <w:rFonts w:hint="eastAsia" w:ascii="宋体" w:hAnsi="宋体" w:cs="TimesNewRomanPSMT"/>
          <w:color w:val="auto"/>
          <w:kern w:val="0"/>
          <w:sz w:val="24"/>
          <w:lang w:val="en-US" w:eastAsia="zh-CN"/>
        </w:rPr>
        <w:t>技术</w:t>
      </w:r>
      <w:r>
        <w:rPr>
          <w:rFonts w:hint="eastAsia" w:ascii="宋体" w:hAnsi="宋体" w:cs="TimesNewRomanPSMT"/>
          <w:color w:val="auto"/>
          <w:kern w:val="0"/>
          <w:sz w:val="24"/>
        </w:rPr>
        <w:t>部分评分标准</w:t>
      </w:r>
      <w:r>
        <w:rPr>
          <w:rFonts w:hint="eastAsia" w:ascii="宋体" w:hAnsi="宋体" w:cs="TimesNewRomanPSMT"/>
          <w:color w:val="auto"/>
          <w:kern w:val="0"/>
          <w:sz w:val="24"/>
          <w:lang w:eastAsia="zh-CN"/>
        </w:rPr>
        <w:t>:</w:t>
      </w:r>
      <w:r>
        <w:rPr>
          <w:rFonts w:hint="eastAsia" w:ascii="宋体" w:hAnsi="宋体" w:cs="TimesNewRomanPSMT"/>
          <w:color w:val="auto"/>
          <w:kern w:val="0"/>
          <w:sz w:val="24"/>
        </w:rPr>
        <w:t>见附表</w:t>
      </w:r>
      <w:bookmarkEnd w:id="136"/>
      <w:r>
        <w:rPr>
          <w:rFonts w:hint="eastAsia" w:ascii="宋体" w:hAnsi="宋体" w:cs="TimesNewRomanPSMT"/>
          <w:color w:val="auto"/>
          <w:kern w:val="0"/>
          <w:sz w:val="24"/>
        </w:rPr>
        <w:t>三</w:t>
      </w:r>
    </w:p>
    <w:p w14:paraId="2DB89137">
      <w:pPr>
        <w:numPr>
          <w:ilvl w:val="2"/>
          <w:numId w:val="9"/>
        </w:numPr>
        <w:tabs>
          <w:tab w:val="left" w:pos="993"/>
        </w:tabs>
        <w:autoSpaceDE w:val="0"/>
        <w:autoSpaceDN w:val="0"/>
        <w:adjustRightInd w:val="0"/>
        <w:snapToGrid w:val="0"/>
        <w:spacing w:afterLines="50"/>
        <w:ind w:left="993" w:hanging="993"/>
        <w:jc w:val="left"/>
        <w:rPr>
          <w:rFonts w:ascii="宋体" w:hAnsi="宋体" w:cs="TimesNewRomanPSMT"/>
          <w:color w:val="auto"/>
          <w:kern w:val="0"/>
          <w:sz w:val="24"/>
        </w:rPr>
      </w:pPr>
      <w:bookmarkStart w:id="137" w:name="_Ref426362176"/>
      <w:r>
        <w:rPr>
          <w:rFonts w:hint="eastAsia" w:ascii="宋体" w:hAnsi="宋体" w:cs="TimesNewRomanPSMT"/>
          <w:color w:val="auto"/>
          <w:kern w:val="0"/>
          <w:sz w:val="24"/>
        </w:rPr>
        <w:t>投标报价评分标准</w:t>
      </w:r>
      <w:bookmarkEnd w:id="137"/>
      <w:r>
        <w:rPr>
          <w:rFonts w:hint="eastAsia" w:ascii="宋体" w:hAnsi="宋体" w:cs="TimesNewRomanPSMT"/>
          <w:color w:val="auto"/>
          <w:kern w:val="0"/>
          <w:sz w:val="24"/>
          <w:lang w:eastAsia="zh-CN"/>
        </w:rPr>
        <w:t>:</w:t>
      </w:r>
    </w:p>
    <w:p w14:paraId="59CEBFCA">
      <w:pPr>
        <w:tabs>
          <w:tab w:val="left" w:pos="993"/>
        </w:tabs>
        <w:autoSpaceDE w:val="0"/>
        <w:autoSpaceDN w:val="0"/>
        <w:adjustRightInd w:val="0"/>
        <w:snapToGrid w:val="0"/>
        <w:spacing w:afterLines="50"/>
        <w:ind w:left="1696" w:leftChars="513" w:hanging="619" w:hangingChars="258"/>
        <w:jc w:val="left"/>
        <w:rPr>
          <w:rFonts w:hint="eastAsia" w:ascii="宋体" w:hAnsi="宋体" w:eastAsia="宋体" w:cs="TimesNewRomanPSMT"/>
          <w:color w:val="auto"/>
          <w:kern w:val="0"/>
          <w:sz w:val="24"/>
          <w:lang w:eastAsia="zh-CN"/>
        </w:rPr>
      </w:pPr>
      <w:r>
        <w:rPr>
          <w:rFonts w:hint="eastAsia" w:ascii="宋体" w:hAnsi="宋体" w:cs="TimesNewRomanPSMT"/>
          <w:color w:val="auto"/>
          <w:kern w:val="0"/>
          <w:sz w:val="24"/>
          <w:lang w:eastAsia="zh-CN"/>
        </w:rPr>
        <w:t>(</w:t>
      </w:r>
      <w:r>
        <w:rPr>
          <w:rFonts w:hint="eastAsia" w:ascii="宋体" w:hAnsi="宋体" w:cs="TimesNewRomanPSMT"/>
          <w:color w:val="auto"/>
          <w:kern w:val="0"/>
          <w:sz w:val="24"/>
        </w:rPr>
        <w:t>1</w:t>
      </w:r>
      <w:r>
        <w:rPr>
          <w:rFonts w:hint="eastAsia" w:ascii="宋体" w:hAnsi="宋体" w:cs="TimesNewRomanPSMT"/>
          <w:color w:val="auto"/>
          <w:kern w:val="0"/>
          <w:sz w:val="24"/>
          <w:lang w:eastAsia="zh-CN"/>
        </w:rPr>
        <w:t>)</w:t>
      </w:r>
      <w:r>
        <w:rPr>
          <w:rFonts w:hint="eastAsia" w:ascii="宋体" w:hAnsi="宋体" w:cs="TimesNewRomanPSMT"/>
          <w:color w:val="auto"/>
          <w:kern w:val="0"/>
          <w:sz w:val="24"/>
        </w:rPr>
        <w:t>根据《政府采购促进中小企业发展管理办法》（财库〔2020〕46号）、《关于进一步加大政府采购支持中小企业力度的通知》（财库〔2022〕19号）、《关于落实好政府采购支持中小企业发展的通知》（新财购 〔2022〕22号）调整</w:t>
      </w:r>
      <w:r>
        <w:rPr>
          <w:rFonts w:hint="eastAsia" w:ascii="宋体" w:hAnsi="宋体" w:cs="TimesNewRomanPSMT"/>
          <w:color w:val="auto"/>
          <w:kern w:val="0"/>
          <w:sz w:val="24"/>
          <w:lang w:eastAsia="zh-CN"/>
        </w:rPr>
        <w:t>供应商</w:t>
      </w:r>
      <w:r>
        <w:rPr>
          <w:rFonts w:hint="eastAsia" w:ascii="宋体" w:hAnsi="宋体" w:cs="TimesNewRomanPSMT"/>
          <w:color w:val="auto"/>
          <w:kern w:val="0"/>
          <w:sz w:val="24"/>
        </w:rPr>
        <w:t>参与评标的价格，用扣除后的价格参加评审。</w:t>
      </w:r>
      <w:r>
        <w:rPr>
          <w:rFonts w:hint="eastAsia" w:ascii="宋体" w:hAnsi="宋体" w:cs="TimesNewRomanPSMT"/>
          <w:b/>
          <w:bCs/>
          <w:color w:val="auto"/>
          <w:kern w:val="0"/>
          <w:sz w:val="24"/>
        </w:rPr>
        <w:t>（适用于非专门面向中小企业的项目）</w:t>
      </w:r>
    </w:p>
    <w:p w14:paraId="4BC6BE34">
      <w:pPr>
        <w:tabs>
          <w:tab w:val="left" w:pos="993"/>
        </w:tabs>
        <w:autoSpaceDE w:val="0"/>
        <w:autoSpaceDN w:val="0"/>
        <w:adjustRightInd w:val="0"/>
        <w:snapToGrid w:val="0"/>
        <w:spacing w:afterLines="50"/>
        <w:ind w:left="1699" w:leftChars="809"/>
        <w:jc w:val="left"/>
        <w:rPr>
          <w:rFonts w:ascii="宋体" w:hAnsi="宋体" w:cs="TimesNewRomanPSMT"/>
          <w:color w:val="auto"/>
          <w:kern w:val="0"/>
          <w:sz w:val="24"/>
        </w:rPr>
      </w:pPr>
      <w:r>
        <w:rPr>
          <w:rFonts w:hint="eastAsia" w:ascii="宋体" w:hAnsi="宋体" w:cs="TimesNewRomanPSMT"/>
          <w:color w:val="auto"/>
          <w:kern w:val="0"/>
          <w:sz w:val="24"/>
        </w:rPr>
        <w:t>对小型和微型企业</w:t>
      </w:r>
      <w:r>
        <w:rPr>
          <w:rFonts w:hint="eastAsia" w:ascii="宋体" w:hAnsi="宋体" w:cs="TimesNewRomanPSMT"/>
          <w:color w:val="auto"/>
          <w:kern w:val="0"/>
          <w:sz w:val="24"/>
          <w:lang w:val="en-US" w:eastAsia="zh-CN"/>
        </w:rPr>
        <w:t>报价</w:t>
      </w:r>
      <w:r>
        <w:rPr>
          <w:rFonts w:hint="eastAsia" w:ascii="宋体" w:hAnsi="宋体" w:cs="TimesNewRomanPSMT"/>
          <w:color w:val="auto"/>
          <w:kern w:val="0"/>
          <w:sz w:val="24"/>
        </w:rPr>
        <w:t>给予</w:t>
      </w:r>
      <w:r>
        <w:rPr>
          <w:rFonts w:hint="eastAsia" w:ascii="宋体" w:hAnsi="宋体" w:cs="TimesNewRomanPSMT"/>
          <w:color w:val="auto"/>
          <w:kern w:val="0"/>
          <w:sz w:val="24"/>
          <w:u w:val="single"/>
        </w:rPr>
        <w:t xml:space="preserve"> </w:t>
      </w:r>
      <w:r>
        <w:rPr>
          <w:rFonts w:hint="eastAsia" w:ascii="宋体" w:hAnsi="宋体" w:cs="TimesNewRomanPSMT"/>
          <w:color w:val="auto"/>
          <w:kern w:val="0"/>
          <w:sz w:val="24"/>
          <w:u w:val="single"/>
          <w:lang w:val="en-US" w:eastAsia="zh-CN"/>
        </w:rPr>
        <w:t>10</w:t>
      </w:r>
      <w:r>
        <w:rPr>
          <w:rFonts w:hint="eastAsia" w:ascii="宋体" w:hAnsi="宋体" w:cs="TimesNewRomanPSMT"/>
          <w:color w:val="auto"/>
          <w:kern w:val="0"/>
          <w:sz w:val="24"/>
          <w:u w:val="single"/>
        </w:rPr>
        <w:t xml:space="preserve"> </w:t>
      </w:r>
      <w:r>
        <w:rPr>
          <w:rFonts w:hint="eastAsia" w:ascii="宋体" w:hAnsi="宋体" w:cs="TimesNewRomanPSMT"/>
          <w:color w:val="auto"/>
          <w:kern w:val="0"/>
          <w:sz w:val="24"/>
        </w:rPr>
        <w:t>%</w:t>
      </w:r>
      <w:r>
        <w:rPr>
          <w:rFonts w:hint="eastAsia" w:ascii="宋体" w:hAnsi="宋体" w:cs="TimesNewRomanPSMT"/>
          <w:color w:val="auto"/>
          <w:kern w:val="0"/>
          <w:sz w:val="24"/>
          <w:lang w:eastAsia="zh-CN"/>
        </w:rPr>
        <w:t>(</w:t>
      </w:r>
      <w:r>
        <w:rPr>
          <w:rFonts w:hint="eastAsia" w:ascii="宋体" w:hAnsi="宋体" w:cs="TimesNewRomanPSMT"/>
          <w:color w:val="auto"/>
          <w:kern w:val="0"/>
          <w:sz w:val="24"/>
          <w:lang w:val="en-US" w:eastAsia="zh-CN"/>
        </w:rPr>
        <w:t>10</w:t>
      </w:r>
      <w:r>
        <w:rPr>
          <w:rFonts w:hint="eastAsia" w:ascii="宋体" w:hAnsi="宋体" w:cs="TimesNewRomanPSMT"/>
          <w:color w:val="auto"/>
          <w:kern w:val="0"/>
          <w:sz w:val="24"/>
        </w:rPr>
        <w:t>%至</w:t>
      </w:r>
      <w:r>
        <w:rPr>
          <w:rFonts w:hint="eastAsia" w:ascii="宋体" w:hAnsi="宋体" w:cs="TimesNewRomanPSMT"/>
          <w:color w:val="auto"/>
          <w:kern w:val="0"/>
          <w:sz w:val="24"/>
          <w:lang w:val="en-US" w:eastAsia="zh-CN"/>
        </w:rPr>
        <w:t>2</w:t>
      </w:r>
      <w:r>
        <w:rPr>
          <w:rFonts w:hint="eastAsia" w:ascii="宋体" w:hAnsi="宋体" w:cs="TimesNewRomanPSMT"/>
          <w:color w:val="auto"/>
          <w:kern w:val="0"/>
          <w:sz w:val="24"/>
        </w:rPr>
        <w:t>0%</w:t>
      </w:r>
      <w:r>
        <w:rPr>
          <w:rFonts w:hint="eastAsia" w:ascii="宋体" w:hAnsi="宋体" w:cs="TimesNewRomanPSMT"/>
          <w:color w:val="auto"/>
          <w:kern w:val="0"/>
          <w:sz w:val="24"/>
          <w:lang w:eastAsia="zh-CN"/>
        </w:rPr>
        <w:t>)</w:t>
      </w:r>
      <w:r>
        <w:rPr>
          <w:rFonts w:hint="eastAsia" w:ascii="宋体" w:hAnsi="宋体" w:cs="TimesNewRomanPSMT"/>
          <w:color w:val="auto"/>
          <w:kern w:val="0"/>
          <w:sz w:val="24"/>
        </w:rPr>
        <w:t>的扣除。或</w:t>
      </w:r>
    </w:p>
    <w:p w14:paraId="1067D1ED">
      <w:pPr>
        <w:tabs>
          <w:tab w:val="left" w:pos="993"/>
        </w:tabs>
        <w:autoSpaceDE w:val="0"/>
        <w:autoSpaceDN w:val="0"/>
        <w:adjustRightInd w:val="0"/>
        <w:snapToGrid w:val="0"/>
        <w:spacing w:afterLines="50"/>
        <w:ind w:left="1699" w:leftChars="809"/>
        <w:jc w:val="left"/>
        <w:rPr>
          <w:rFonts w:hint="eastAsia" w:ascii="宋体" w:hAnsi="宋体" w:cs="TimesNewRomanPSMT"/>
          <w:color w:val="auto"/>
          <w:kern w:val="0"/>
          <w:sz w:val="24"/>
        </w:rPr>
      </w:pPr>
      <w:r>
        <w:rPr>
          <w:rFonts w:hint="eastAsia" w:ascii="宋体" w:hAnsi="宋体" w:cs="TimesNewRomanPSMT"/>
          <w:color w:val="auto"/>
          <w:kern w:val="0"/>
          <w:sz w:val="24"/>
          <w:lang w:val="en-US" w:eastAsia="zh-CN"/>
        </w:rPr>
        <w:t>大中型企业与小型、微型企业组成联合体，联合协议约定</w:t>
      </w:r>
      <w:r>
        <w:rPr>
          <w:rFonts w:hint="eastAsia" w:ascii="宋体" w:hAnsi="宋体" w:cs="TimesNewRomanPSMT"/>
          <w:color w:val="auto"/>
          <w:kern w:val="0"/>
          <w:sz w:val="24"/>
        </w:rPr>
        <w:t>小型、微型企业的合同</w:t>
      </w:r>
      <w:r>
        <w:rPr>
          <w:rFonts w:hint="eastAsia" w:ascii="宋体" w:hAnsi="宋体" w:cs="TimesNewRomanPSMT"/>
          <w:color w:val="auto"/>
          <w:kern w:val="0"/>
          <w:sz w:val="24"/>
          <w:lang w:val="en-US" w:eastAsia="zh-CN"/>
        </w:rPr>
        <w:t>份</w:t>
      </w:r>
      <w:r>
        <w:rPr>
          <w:rFonts w:hint="eastAsia" w:ascii="宋体" w:hAnsi="宋体" w:cs="TimesNewRomanPSMT"/>
          <w:color w:val="auto"/>
          <w:kern w:val="0"/>
          <w:sz w:val="24"/>
        </w:rPr>
        <w:t>额占到合同总金额</w:t>
      </w:r>
      <w:r>
        <w:rPr>
          <w:rFonts w:hint="eastAsia" w:ascii="宋体" w:hAnsi="宋体" w:cs="TimesNewRomanPSMT"/>
          <w:color w:val="auto"/>
          <w:kern w:val="0"/>
          <w:sz w:val="24"/>
          <w:lang w:val="en-US" w:eastAsia="zh-CN"/>
        </w:rPr>
        <w:t>4</w:t>
      </w:r>
      <w:r>
        <w:rPr>
          <w:rFonts w:hint="eastAsia" w:ascii="宋体" w:hAnsi="宋体" w:cs="TimesNewRomanPSMT"/>
          <w:color w:val="auto"/>
          <w:kern w:val="0"/>
          <w:sz w:val="24"/>
        </w:rPr>
        <w:t>0%以上的，联合体</w:t>
      </w:r>
      <w:r>
        <w:rPr>
          <w:rFonts w:hint="eastAsia" w:ascii="宋体" w:hAnsi="宋体" w:cs="TimesNewRomanPSMT"/>
          <w:color w:val="auto"/>
          <w:kern w:val="0"/>
          <w:sz w:val="24"/>
          <w:lang w:val="en-US" w:eastAsia="zh-CN"/>
        </w:rPr>
        <w:t>的报价给予</w:t>
      </w:r>
      <w:r>
        <w:rPr>
          <w:rFonts w:hint="eastAsia" w:ascii="宋体" w:hAnsi="宋体" w:cs="TimesNewRomanPSMT"/>
          <w:color w:val="auto"/>
          <w:kern w:val="0"/>
          <w:sz w:val="24"/>
          <w:u w:val="single"/>
        </w:rPr>
        <w:t xml:space="preserve"> </w:t>
      </w:r>
      <w:r>
        <w:rPr>
          <w:rFonts w:hint="eastAsia" w:ascii="宋体" w:hAnsi="宋体" w:cs="TimesNewRomanPSMT"/>
          <w:color w:val="auto"/>
          <w:kern w:val="0"/>
          <w:sz w:val="24"/>
          <w:u w:val="single"/>
          <w:lang w:val="en-US" w:eastAsia="zh-CN"/>
        </w:rPr>
        <w:t>4</w:t>
      </w:r>
      <w:r>
        <w:rPr>
          <w:rFonts w:hint="eastAsia" w:ascii="宋体" w:hAnsi="宋体" w:cs="TimesNewRomanPSMT"/>
          <w:color w:val="auto"/>
          <w:kern w:val="0"/>
          <w:sz w:val="24"/>
          <w:u w:val="single"/>
        </w:rPr>
        <w:t xml:space="preserve"> </w:t>
      </w:r>
      <w:r>
        <w:rPr>
          <w:rFonts w:hint="eastAsia" w:ascii="宋体" w:hAnsi="宋体" w:cs="TimesNewRomanPSMT"/>
          <w:color w:val="auto"/>
          <w:kern w:val="0"/>
          <w:sz w:val="24"/>
        </w:rPr>
        <w:t>%</w:t>
      </w:r>
      <w:r>
        <w:rPr>
          <w:rFonts w:hint="eastAsia" w:ascii="宋体" w:hAnsi="宋体" w:cs="TimesNewRomanPSMT"/>
          <w:color w:val="auto"/>
          <w:kern w:val="0"/>
          <w:sz w:val="24"/>
          <w:lang w:eastAsia="zh-CN"/>
        </w:rPr>
        <w:t>(</w:t>
      </w:r>
      <w:r>
        <w:rPr>
          <w:rFonts w:hint="eastAsia" w:ascii="宋体" w:hAnsi="宋体" w:cs="TimesNewRomanPSMT"/>
          <w:color w:val="auto"/>
          <w:kern w:val="0"/>
          <w:sz w:val="24"/>
          <w:lang w:val="en-US" w:eastAsia="zh-CN"/>
        </w:rPr>
        <w:t>4</w:t>
      </w:r>
      <w:r>
        <w:rPr>
          <w:rFonts w:hint="eastAsia" w:ascii="宋体" w:hAnsi="宋体" w:cs="TimesNewRomanPSMT"/>
          <w:color w:val="auto"/>
          <w:kern w:val="0"/>
          <w:sz w:val="24"/>
        </w:rPr>
        <w:t>%至</w:t>
      </w:r>
      <w:r>
        <w:rPr>
          <w:rFonts w:hint="eastAsia" w:ascii="宋体" w:hAnsi="宋体" w:cs="TimesNewRomanPSMT"/>
          <w:color w:val="auto"/>
          <w:kern w:val="0"/>
          <w:sz w:val="24"/>
          <w:lang w:val="en-US" w:eastAsia="zh-CN"/>
        </w:rPr>
        <w:t>6</w:t>
      </w:r>
      <w:r>
        <w:rPr>
          <w:rFonts w:hint="eastAsia" w:ascii="宋体" w:hAnsi="宋体" w:cs="TimesNewRomanPSMT"/>
          <w:color w:val="auto"/>
          <w:kern w:val="0"/>
          <w:sz w:val="24"/>
        </w:rPr>
        <w:t>%</w:t>
      </w:r>
      <w:r>
        <w:rPr>
          <w:rFonts w:hint="eastAsia" w:ascii="宋体" w:hAnsi="宋体" w:cs="TimesNewRomanPSMT"/>
          <w:color w:val="auto"/>
          <w:kern w:val="0"/>
          <w:sz w:val="24"/>
          <w:lang w:eastAsia="zh-CN"/>
        </w:rPr>
        <w:t>)</w:t>
      </w:r>
      <w:r>
        <w:rPr>
          <w:rFonts w:hint="eastAsia" w:ascii="宋体" w:hAnsi="宋体" w:cs="TimesNewRomanPSMT"/>
          <w:color w:val="auto"/>
          <w:kern w:val="0"/>
          <w:sz w:val="24"/>
        </w:rPr>
        <w:t>的扣除。</w:t>
      </w:r>
    </w:p>
    <w:p w14:paraId="519698BF">
      <w:pPr>
        <w:tabs>
          <w:tab w:val="left" w:pos="993"/>
        </w:tabs>
        <w:autoSpaceDE w:val="0"/>
        <w:autoSpaceDN w:val="0"/>
        <w:adjustRightInd w:val="0"/>
        <w:snapToGrid w:val="0"/>
        <w:spacing w:afterLines="50"/>
        <w:ind w:left="1699" w:leftChars="809"/>
        <w:jc w:val="left"/>
        <w:rPr>
          <w:rFonts w:ascii="宋体" w:hAnsi="宋体" w:cs="TimesNewRomanPSMT"/>
          <w:color w:val="auto"/>
          <w:kern w:val="0"/>
          <w:sz w:val="24"/>
        </w:rPr>
      </w:pPr>
      <w:r>
        <w:rPr>
          <w:rFonts w:hint="eastAsia" w:ascii="宋体" w:hAnsi="宋体" w:cs="TimesNewRomanPSMT"/>
          <w:color w:val="auto"/>
          <w:kern w:val="0"/>
          <w:sz w:val="24"/>
          <w:lang w:val="en-US" w:eastAsia="zh-CN"/>
        </w:rPr>
        <w:t>分包意向协议约定小型、微型企业的合同份额占到合同总金额40%以上的，大中型企业的报价给予</w:t>
      </w:r>
      <w:r>
        <w:rPr>
          <w:rFonts w:hint="eastAsia" w:ascii="宋体" w:hAnsi="宋体" w:cs="TimesNewRomanPSMT"/>
          <w:color w:val="auto"/>
          <w:kern w:val="0"/>
          <w:sz w:val="24"/>
          <w:u w:val="single"/>
          <w:lang w:val="en-US" w:eastAsia="zh-CN"/>
        </w:rPr>
        <w:t xml:space="preserve"> 4 </w:t>
      </w:r>
      <w:r>
        <w:rPr>
          <w:rFonts w:hint="eastAsia" w:ascii="宋体" w:hAnsi="宋体" w:cs="TimesNewRomanPSMT"/>
          <w:color w:val="auto"/>
          <w:kern w:val="0"/>
          <w:sz w:val="24"/>
          <w:lang w:val="en-US" w:eastAsia="zh-CN"/>
        </w:rPr>
        <w:t>%(4</w:t>
      </w:r>
      <w:r>
        <w:rPr>
          <w:rFonts w:hint="eastAsia" w:ascii="宋体" w:hAnsi="宋体" w:cs="TimesNewRomanPSMT"/>
          <w:color w:val="auto"/>
          <w:kern w:val="0"/>
          <w:sz w:val="24"/>
        </w:rPr>
        <w:t>%至</w:t>
      </w:r>
      <w:r>
        <w:rPr>
          <w:rFonts w:hint="eastAsia" w:ascii="宋体" w:hAnsi="宋体" w:cs="TimesNewRomanPSMT"/>
          <w:color w:val="auto"/>
          <w:kern w:val="0"/>
          <w:sz w:val="24"/>
          <w:lang w:val="en-US" w:eastAsia="zh-CN"/>
        </w:rPr>
        <w:t>6</w:t>
      </w:r>
      <w:r>
        <w:rPr>
          <w:rFonts w:hint="eastAsia" w:ascii="宋体" w:hAnsi="宋体" w:cs="TimesNewRomanPSMT"/>
          <w:color w:val="auto"/>
          <w:kern w:val="0"/>
          <w:sz w:val="24"/>
        </w:rPr>
        <w:t>%</w:t>
      </w:r>
      <w:r>
        <w:rPr>
          <w:rFonts w:hint="eastAsia" w:ascii="宋体" w:hAnsi="宋体" w:cs="TimesNewRomanPSMT"/>
          <w:color w:val="auto"/>
          <w:kern w:val="0"/>
          <w:sz w:val="24"/>
          <w:lang w:eastAsia="zh-CN"/>
        </w:rPr>
        <w:t>)</w:t>
      </w:r>
      <w:r>
        <w:rPr>
          <w:rFonts w:hint="eastAsia" w:ascii="宋体" w:hAnsi="宋体" w:cs="TimesNewRomanPSMT"/>
          <w:color w:val="auto"/>
          <w:kern w:val="0"/>
          <w:sz w:val="24"/>
          <w:lang w:val="en-US" w:eastAsia="zh-CN"/>
        </w:rPr>
        <w:t>的扣除。</w:t>
      </w:r>
    </w:p>
    <w:p w14:paraId="0F9D3428">
      <w:pPr>
        <w:tabs>
          <w:tab w:val="left" w:pos="993"/>
        </w:tabs>
        <w:autoSpaceDE w:val="0"/>
        <w:autoSpaceDN w:val="0"/>
        <w:adjustRightInd w:val="0"/>
        <w:snapToGrid w:val="0"/>
        <w:spacing w:afterLines="50"/>
        <w:ind w:left="1699" w:leftChars="809"/>
        <w:jc w:val="left"/>
        <w:rPr>
          <w:rFonts w:hint="eastAsia" w:ascii="宋体" w:hAnsi="宋体" w:cs="TimesNewRomanPSMT"/>
          <w:color w:val="auto"/>
          <w:kern w:val="0"/>
          <w:sz w:val="24"/>
        </w:rPr>
      </w:pPr>
      <w:r>
        <w:rPr>
          <w:rFonts w:hint="eastAsia" w:ascii="宋体" w:hAnsi="宋体" w:cs="TimesNewRomanPSMT"/>
          <w:color w:val="auto"/>
          <w:kern w:val="0"/>
          <w:sz w:val="24"/>
        </w:rPr>
        <w:t>注</w:t>
      </w:r>
      <w:r>
        <w:rPr>
          <w:rFonts w:hint="eastAsia" w:ascii="宋体" w:hAnsi="宋体" w:cs="TimesNewRomanPSMT"/>
          <w:color w:val="auto"/>
          <w:kern w:val="0"/>
          <w:sz w:val="24"/>
          <w:lang w:eastAsia="zh-CN"/>
        </w:rPr>
        <w:t>:</w:t>
      </w:r>
      <w:r>
        <w:rPr>
          <w:rFonts w:hint="eastAsia" w:ascii="宋体" w:hAnsi="宋体" w:cs="TimesNewRomanPSMT"/>
          <w:color w:val="auto"/>
          <w:kern w:val="0"/>
          <w:sz w:val="24"/>
          <w:lang w:val="en-US" w:eastAsia="zh-CN"/>
        </w:rPr>
        <w:t>1）联合体各方均为小型、微型企业的，联合体视同小型、微型企业；</w:t>
      </w:r>
      <w:r>
        <w:rPr>
          <w:rFonts w:hint="eastAsia" w:ascii="宋体" w:hAnsi="宋体" w:cs="TimesNewRomanPSMT"/>
          <w:color w:val="auto"/>
          <w:kern w:val="0"/>
          <w:sz w:val="24"/>
        </w:rPr>
        <w:t>监狱企业、残疾人福利性单位视同小微企业；监狱企业、残疾人福利性单位属于小型、微型企业的，不重复享受政策。</w:t>
      </w:r>
    </w:p>
    <w:p w14:paraId="2F041A48">
      <w:pPr>
        <w:tabs>
          <w:tab w:val="left" w:pos="993"/>
        </w:tabs>
        <w:autoSpaceDE w:val="0"/>
        <w:autoSpaceDN w:val="0"/>
        <w:adjustRightInd w:val="0"/>
        <w:snapToGrid w:val="0"/>
        <w:spacing w:afterLines="50"/>
        <w:ind w:left="1699" w:leftChars="809"/>
        <w:jc w:val="left"/>
        <w:rPr>
          <w:rFonts w:hint="eastAsia" w:ascii="宋体" w:hAnsi="宋体" w:cs="TimesNewRomanPSMT"/>
          <w:color w:val="auto"/>
          <w:kern w:val="0"/>
          <w:sz w:val="24"/>
          <w:lang w:val="en-US" w:eastAsia="zh-CN"/>
        </w:rPr>
      </w:pPr>
      <w:r>
        <w:rPr>
          <w:rFonts w:hint="eastAsia" w:ascii="宋体" w:hAnsi="宋体" w:cs="TimesNewRomanPSMT"/>
          <w:color w:val="auto"/>
          <w:kern w:val="0"/>
          <w:sz w:val="24"/>
          <w:lang w:val="en-US" w:eastAsia="zh-CN"/>
        </w:rPr>
        <w:t>2）</w:t>
      </w:r>
      <w:r>
        <w:rPr>
          <w:rFonts w:hint="eastAsia" w:ascii="宋体" w:hAnsi="宋体" w:cs="TimesNewRomanPSMT"/>
          <w:b/>
          <w:bCs/>
          <w:color w:val="auto"/>
          <w:kern w:val="0"/>
          <w:sz w:val="24"/>
          <w:lang w:val="en-US" w:eastAsia="zh-CN"/>
        </w:rPr>
        <w:t>适用政府采购法</w:t>
      </w:r>
      <w:r>
        <w:rPr>
          <w:rFonts w:hint="eastAsia" w:ascii="宋体" w:hAnsi="宋体" w:cs="TimesNewRomanPSMT"/>
          <w:color w:val="auto"/>
          <w:kern w:val="0"/>
          <w:sz w:val="24"/>
          <w:lang w:val="en-US" w:eastAsia="zh-CN"/>
        </w:rPr>
        <w:t>的政府采购项目对小微企业报价给予10%-20%的扣除；大中型企业与小微企业组成联合体或大中型企业向小微企业分包的，评审给予4%-6%的价格扣除，用扣除后的价格参与评审</w:t>
      </w:r>
      <w:r>
        <w:rPr>
          <w:rFonts w:hint="eastAsia" w:ascii="宋体" w:hAnsi="宋体" w:cs="TimesNewRomanPSMT"/>
          <w:b w:val="0"/>
          <w:bCs w:val="0"/>
          <w:color w:val="auto"/>
          <w:kern w:val="0"/>
          <w:sz w:val="24"/>
          <w:lang w:val="en-US" w:eastAsia="zh-CN"/>
        </w:rPr>
        <w:t>。</w:t>
      </w:r>
      <w:r>
        <w:rPr>
          <w:rFonts w:hint="eastAsia" w:ascii="宋体" w:hAnsi="宋体" w:cs="TimesNewRomanPSMT"/>
          <w:b/>
          <w:bCs/>
          <w:color w:val="auto"/>
          <w:kern w:val="0"/>
          <w:sz w:val="24"/>
          <w:lang w:val="en-US" w:eastAsia="zh-CN"/>
        </w:rPr>
        <w:t>适用招标投标法</w:t>
      </w:r>
      <w:r>
        <w:rPr>
          <w:rFonts w:hint="eastAsia" w:ascii="宋体" w:hAnsi="宋体" w:cs="TimesNewRomanPSMT"/>
          <w:color w:val="auto"/>
          <w:kern w:val="0"/>
          <w:sz w:val="24"/>
          <w:lang w:val="en-US" w:eastAsia="zh-CN"/>
        </w:rPr>
        <w:t>的政府采购工程建设项目，</w:t>
      </w:r>
      <w:r>
        <w:rPr>
          <w:rFonts w:hint="eastAsia" w:ascii="宋体" w:hAnsi="宋体" w:cs="TimesNewRomanPSMT"/>
          <w:b/>
          <w:bCs/>
          <w:color w:val="auto"/>
          <w:kern w:val="0"/>
          <w:sz w:val="24"/>
          <w:lang w:val="en-US" w:eastAsia="zh-CN"/>
        </w:rPr>
        <w:t>采用综合评估法但未采用低价优先法</w:t>
      </w:r>
      <w:r>
        <w:rPr>
          <w:rFonts w:hint="eastAsia" w:ascii="宋体" w:hAnsi="宋体" w:cs="TimesNewRomanPSMT"/>
          <w:color w:val="auto"/>
          <w:kern w:val="0"/>
          <w:sz w:val="24"/>
          <w:lang w:val="en-US" w:eastAsia="zh-CN"/>
        </w:rPr>
        <w:t>计算价格分的，评标时应当在采用原报价进行评分的基础上阶段性增加其价格得分的6%-10%作为其价格分。</w:t>
      </w:r>
    </w:p>
    <w:p w14:paraId="4FEBE65C">
      <w:pPr>
        <w:tabs>
          <w:tab w:val="left" w:pos="993"/>
        </w:tabs>
        <w:autoSpaceDE w:val="0"/>
        <w:autoSpaceDN w:val="0"/>
        <w:adjustRightInd w:val="0"/>
        <w:snapToGrid w:val="0"/>
        <w:spacing w:afterLines="50"/>
        <w:ind w:left="2041" w:leftChars="515" w:hanging="960" w:hangingChars="400"/>
        <w:jc w:val="left"/>
        <w:rPr>
          <w:rFonts w:ascii="宋体" w:hAnsi="宋体" w:cs="TimesNewRomanPSMT"/>
          <w:color w:val="auto"/>
          <w:kern w:val="0"/>
          <w:sz w:val="24"/>
        </w:rPr>
      </w:pPr>
      <w:r>
        <w:rPr>
          <w:rFonts w:hint="eastAsia" w:ascii="宋体" w:hAnsi="宋体" w:cs="TimesNewRomanPSMT"/>
          <w:color w:val="auto"/>
          <w:kern w:val="0"/>
          <w:sz w:val="24"/>
          <w:lang w:eastAsia="zh-CN"/>
        </w:rPr>
        <w:t>(</w:t>
      </w:r>
      <w:r>
        <w:rPr>
          <w:rFonts w:hint="eastAsia" w:ascii="宋体" w:hAnsi="宋体" w:cs="TimesNewRomanPSMT"/>
          <w:color w:val="auto"/>
          <w:kern w:val="0"/>
          <w:sz w:val="24"/>
        </w:rPr>
        <w:t>2</w:t>
      </w:r>
      <w:r>
        <w:rPr>
          <w:rFonts w:hint="eastAsia" w:ascii="宋体" w:hAnsi="宋体" w:cs="TimesNewRomanPSMT"/>
          <w:color w:val="auto"/>
          <w:kern w:val="0"/>
          <w:sz w:val="24"/>
          <w:lang w:eastAsia="zh-CN"/>
        </w:rPr>
        <w:t>)</w:t>
      </w:r>
      <w:r>
        <w:rPr>
          <w:rFonts w:hint="eastAsia" w:ascii="宋体" w:hAnsi="宋体" w:cs="TimesNewRomanPSMT"/>
          <w:color w:val="auto"/>
          <w:kern w:val="0"/>
          <w:sz w:val="24"/>
        </w:rPr>
        <w:t>评标基准价</w:t>
      </w:r>
    </w:p>
    <w:p w14:paraId="4C7502A5">
      <w:pPr>
        <w:tabs>
          <w:tab w:val="left" w:pos="993"/>
        </w:tabs>
        <w:autoSpaceDE w:val="0"/>
        <w:autoSpaceDN w:val="0"/>
        <w:adjustRightInd w:val="0"/>
        <w:snapToGrid w:val="0"/>
        <w:spacing w:afterLines="50"/>
        <w:ind w:left="1699" w:leftChars="809"/>
        <w:jc w:val="left"/>
        <w:rPr>
          <w:rFonts w:ascii="宋体" w:hAnsi="宋体" w:cs="TimesNewRomanPSMT"/>
          <w:color w:val="auto"/>
          <w:kern w:val="0"/>
          <w:sz w:val="24"/>
        </w:rPr>
      </w:pPr>
      <w:r>
        <w:rPr>
          <w:rFonts w:hint="eastAsia" w:ascii="宋体" w:hAnsi="宋体" w:cs="TimesNewRomanPSMT"/>
          <w:color w:val="auto"/>
          <w:kern w:val="0"/>
          <w:sz w:val="24"/>
        </w:rPr>
        <w:t>有效投标文件中的并按</w:t>
      </w:r>
      <w:r>
        <w:rPr>
          <w:rFonts w:ascii="宋体" w:hAnsi="宋体" w:cs="TimesNewRomanPSMT"/>
          <w:color w:val="auto"/>
          <w:kern w:val="0"/>
          <w:sz w:val="24"/>
        </w:rPr>
        <w:fldChar w:fldCharType="begin"/>
      </w:r>
      <w:r>
        <w:instrText xml:space="preserve"> REF _Ref426362176 \r \h  \* MERGEFORMAT</w:instrText>
      </w:r>
      <w:r>
        <w:rPr>
          <w:rFonts w:ascii="宋体" w:hAnsi="宋体" w:cs="TimesNewRomanPSMT"/>
          <w:color w:val="auto"/>
          <w:kern w:val="0"/>
          <w:sz w:val="24"/>
        </w:rPr>
        <w:fldChar w:fldCharType="separate"/>
      </w:r>
      <w:r>
        <w:rPr>
          <w:rFonts w:hint="eastAsia" w:ascii="宋体" w:hAnsi="宋体" w:cs="TimesNewRomanPSMT"/>
          <w:color w:val="auto"/>
          <w:kern w:val="0"/>
          <w:sz w:val="24"/>
        </w:rPr>
        <w:t>3.3.2</w:t>
      </w:r>
      <w:r>
        <w:rPr>
          <w:rFonts w:ascii="宋体" w:hAnsi="宋体" w:cs="TimesNewRomanPSMT"/>
          <w:color w:val="auto"/>
          <w:kern w:val="0"/>
          <w:sz w:val="24"/>
        </w:rPr>
        <w:fldChar w:fldCharType="end"/>
      </w:r>
      <w:r>
        <w:rPr>
          <w:rFonts w:hint="eastAsia" w:ascii="宋体" w:hAnsi="宋体" w:cs="TimesNewRomanPSMT"/>
          <w:color w:val="auto"/>
          <w:kern w:val="0"/>
          <w:sz w:val="24"/>
        </w:rPr>
        <w:t>项</w:t>
      </w:r>
      <w:r>
        <w:rPr>
          <w:rFonts w:hint="eastAsia" w:ascii="宋体" w:hAnsi="宋体" w:cs="TimesNewRomanPSMT"/>
          <w:color w:val="auto"/>
          <w:kern w:val="0"/>
          <w:sz w:val="24"/>
          <w:lang w:eastAsia="zh-CN"/>
        </w:rPr>
        <w:t>(</w:t>
      </w:r>
      <w:r>
        <w:rPr>
          <w:rFonts w:hint="eastAsia" w:ascii="宋体" w:hAnsi="宋体" w:cs="TimesNewRomanPSMT"/>
          <w:color w:val="auto"/>
          <w:kern w:val="0"/>
          <w:sz w:val="24"/>
        </w:rPr>
        <w:t>1</w:t>
      </w:r>
      <w:r>
        <w:rPr>
          <w:rFonts w:hint="eastAsia" w:ascii="宋体" w:hAnsi="宋体" w:cs="TimesNewRomanPSMT"/>
          <w:color w:val="auto"/>
          <w:kern w:val="0"/>
          <w:sz w:val="24"/>
          <w:lang w:eastAsia="zh-CN"/>
        </w:rPr>
        <w:t>)</w:t>
      </w:r>
      <w:r>
        <w:rPr>
          <w:rFonts w:hint="eastAsia" w:ascii="宋体" w:hAnsi="宋体" w:cs="TimesNewRomanPSMT"/>
          <w:color w:val="auto"/>
          <w:kern w:val="0"/>
          <w:sz w:val="24"/>
        </w:rPr>
        <w:t>进行调整的最低报价为评标基准价。</w:t>
      </w:r>
    </w:p>
    <w:p w14:paraId="06CAF4C4">
      <w:pPr>
        <w:tabs>
          <w:tab w:val="left" w:pos="993"/>
        </w:tabs>
        <w:autoSpaceDE w:val="0"/>
        <w:autoSpaceDN w:val="0"/>
        <w:adjustRightInd w:val="0"/>
        <w:snapToGrid w:val="0"/>
        <w:spacing w:afterLines="50"/>
        <w:ind w:left="2041" w:leftChars="515" w:hanging="960" w:hangingChars="400"/>
        <w:jc w:val="left"/>
        <w:rPr>
          <w:rFonts w:hint="eastAsia" w:ascii="宋体" w:hAnsi="宋体" w:eastAsia="宋体" w:cs="TimesNewRomanPSMT"/>
          <w:color w:val="auto"/>
          <w:kern w:val="0"/>
          <w:sz w:val="24"/>
          <w:lang w:eastAsia="zh-CN"/>
        </w:rPr>
      </w:pPr>
      <w:r>
        <w:rPr>
          <w:rFonts w:hint="eastAsia" w:ascii="宋体" w:hAnsi="宋体" w:cs="TimesNewRomanPSMT"/>
          <w:color w:val="auto"/>
          <w:kern w:val="0"/>
          <w:sz w:val="24"/>
          <w:lang w:eastAsia="zh-CN"/>
        </w:rPr>
        <w:t>(</w:t>
      </w:r>
      <w:r>
        <w:rPr>
          <w:rFonts w:hint="eastAsia" w:ascii="宋体" w:hAnsi="宋体" w:cs="TimesNewRomanPSMT"/>
          <w:color w:val="auto"/>
          <w:kern w:val="0"/>
          <w:sz w:val="24"/>
        </w:rPr>
        <w:t>3</w:t>
      </w:r>
      <w:r>
        <w:rPr>
          <w:rFonts w:hint="eastAsia" w:ascii="宋体" w:hAnsi="宋体" w:cs="TimesNewRomanPSMT"/>
          <w:color w:val="auto"/>
          <w:kern w:val="0"/>
          <w:sz w:val="24"/>
          <w:lang w:eastAsia="zh-CN"/>
        </w:rPr>
        <w:t>)供应商</w:t>
      </w:r>
      <w:r>
        <w:rPr>
          <w:rFonts w:hint="eastAsia" w:ascii="宋体" w:hAnsi="宋体" w:cs="TimesNewRomanPSMT"/>
          <w:color w:val="auto"/>
          <w:kern w:val="0"/>
          <w:sz w:val="24"/>
        </w:rPr>
        <w:t>报价</w:t>
      </w:r>
      <w:r>
        <w:rPr>
          <w:rFonts w:hint="eastAsia" w:ascii="宋体" w:hAnsi="宋体" w:cs="TimesNewRomanPSMT"/>
          <w:color w:val="auto"/>
          <w:kern w:val="0"/>
          <w:sz w:val="24"/>
          <w:lang w:eastAsia="zh-CN"/>
        </w:rPr>
        <w:t>(</w:t>
      </w:r>
      <w:r>
        <w:rPr>
          <w:rFonts w:hint="eastAsia" w:ascii="宋体" w:hAnsi="宋体" w:cs="TimesNewRomanPSMT"/>
          <w:color w:val="auto"/>
          <w:kern w:val="0"/>
          <w:sz w:val="24"/>
        </w:rPr>
        <w:t>按</w:t>
      </w:r>
      <w:r>
        <w:rPr>
          <w:rFonts w:ascii="宋体" w:hAnsi="宋体" w:cs="TimesNewRomanPSMT"/>
          <w:color w:val="auto"/>
          <w:kern w:val="0"/>
          <w:sz w:val="24"/>
        </w:rPr>
        <w:fldChar w:fldCharType="begin"/>
      </w:r>
      <w:r>
        <w:instrText xml:space="preserve"> REF _Ref426362176 \r \h  \* MERGEFORMAT</w:instrText>
      </w:r>
      <w:r>
        <w:rPr>
          <w:rFonts w:ascii="宋体" w:hAnsi="宋体" w:cs="TimesNewRomanPSMT"/>
          <w:color w:val="auto"/>
          <w:kern w:val="0"/>
          <w:sz w:val="24"/>
        </w:rPr>
        <w:fldChar w:fldCharType="separate"/>
      </w:r>
      <w:r>
        <w:rPr>
          <w:rFonts w:hint="eastAsia" w:ascii="宋体" w:hAnsi="宋体" w:cs="TimesNewRomanPSMT"/>
          <w:color w:val="auto"/>
          <w:kern w:val="0"/>
          <w:sz w:val="24"/>
        </w:rPr>
        <w:t>3.3.2</w:t>
      </w:r>
      <w:r>
        <w:rPr>
          <w:rFonts w:ascii="宋体" w:hAnsi="宋体" w:cs="TimesNewRomanPSMT"/>
          <w:color w:val="auto"/>
          <w:kern w:val="0"/>
          <w:sz w:val="24"/>
        </w:rPr>
        <w:fldChar w:fldCharType="end"/>
      </w:r>
      <w:r>
        <w:rPr>
          <w:rFonts w:hint="eastAsia" w:ascii="宋体" w:hAnsi="宋体" w:cs="TimesNewRomanPSMT"/>
          <w:color w:val="auto"/>
          <w:kern w:val="0"/>
          <w:sz w:val="24"/>
        </w:rPr>
        <w:t>项</w:t>
      </w:r>
      <w:r>
        <w:rPr>
          <w:rFonts w:hint="eastAsia" w:ascii="宋体" w:hAnsi="宋体" w:cs="TimesNewRomanPSMT"/>
          <w:color w:val="auto"/>
          <w:kern w:val="0"/>
          <w:sz w:val="24"/>
          <w:lang w:eastAsia="zh-CN"/>
        </w:rPr>
        <w:t>(</w:t>
      </w:r>
      <w:r>
        <w:rPr>
          <w:rFonts w:hint="eastAsia" w:ascii="宋体" w:hAnsi="宋体" w:cs="TimesNewRomanPSMT"/>
          <w:color w:val="auto"/>
          <w:kern w:val="0"/>
          <w:sz w:val="24"/>
        </w:rPr>
        <w:t>1</w:t>
      </w:r>
      <w:r>
        <w:rPr>
          <w:rFonts w:hint="eastAsia" w:ascii="宋体" w:hAnsi="宋体" w:cs="TimesNewRomanPSMT"/>
          <w:color w:val="auto"/>
          <w:kern w:val="0"/>
          <w:sz w:val="24"/>
          <w:lang w:eastAsia="zh-CN"/>
        </w:rPr>
        <w:t>)</w:t>
      </w:r>
      <w:r>
        <w:rPr>
          <w:rFonts w:hint="eastAsia" w:ascii="宋体" w:hAnsi="宋体" w:cs="TimesNewRomanPSMT"/>
          <w:color w:val="auto"/>
          <w:kern w:val="0"/>
          <w:sz w:val="24"/>
        </w:rPr>
        <w:t>进行调整后价格</w:t>
      </w:r>
      <w:r>
        <w:rPr>
          <w:rFonts w:hint="eastAsia" w:ascii="宋体" w:hAnsi="宋体" w:cs="TimesNewRomanPSMT"/>
          <w:color w:val="auto"/>
          <w:kern w:val="0"/>
          <w:sz w:val="24"/>
          <w:lang w:eastAsia="zh-CN"/>
        </w:rPr>
        <w:t>)</w:t>
      </w:r>
      <w:r>
        <w:rPr>
          <w:rFonts w:hint="eastAsia" w:ascii="宋体" w:hAnsi="宋体" w:cs="TimesNewRomanPSMT"/>
          <w:color w:val="auto"/>
          <w:kern w:val="0"/>
          <w:sz w:val="24"/>
        </w:rPr>
        <w:t>得分</w:t>
      </w:r>
      <w:r>
        <w:rPr>
          <w:rFonts w:hint="eastAsia" w:ascii="宋体" w:hAnsi="宋体" w:cs="TimesNewRomanPSMT"/>
          <w:color w:val="auto"/>
          <w:kern w:val="0"/>
          <w:sz w:val="24"/>
          <w:lang w:eastAsia="zh-CN"/>
        </w:rPr>
        <w:t>:</w:t>
      </w:r>
    </w:p>
    <w:p w14:paraId="73ED1785">
      <w:pPr>
        <w:tabs>
          <w:tab w:val="left" w:pos="993"/>
        </w:tabs>
        <w:autoSpaceDE w:val="0"/>
        <w:autoSpaceDN w:val="0"/>
        <w:adjustRightInd w:val="0"/>
        <w:snapToGrid w:val="0"/>
        <w:spacing w:afterLines="50"/>
        <w:ind w:left="2039" w:leftChars="810" w:hanging="338" w:hangingChars="141"/>
        <w:jc w:val="left"/>
        <w:rPr>
          <w:rFonts w:ascii="宋体" w:hAnsi="宋体" w:cs="TimesNewRomanPSMT"/>
          <w:i/>
          <w:color w:val="auto"/>
          <w:kern w:val="0"/>
          <w:sz w:val="24"/>
        </w:rPr>
      </w:pPr>
      <w:r>
        <w:rPr>
          <w:rFonts w:hint="eastAsia" w:ascii="宋体" w:hAnsi="宋体" w:cs="TimesNewRomanPSMT"/>
          <w:color w:val="auto"/>
          <w:kern w:val="0"/>
          <w:sz w:val="24"/>
        </w:rPr>
        <w:t>投标报价得分=(评标基准价／投标报价)×</w:t>
      </w:r>
      <w:r>
        <w:rPr>
          <w:rFonts w:hint="eastAsia" w:ascii="宋体" w:hAnsi="宋体" w:cs="TimesNewRomanPSMT"/>
          <w:color w:val="auto"/>
          <w:kern w:val="0"/>
          <w:sz w:val="24"/>
          <w:lang w:val="en-US" w:eastAsia="zh-CN"/>
        </w:rPr>
        <w:t>100</w:t>
      </w:r>
      <w:r>
        <w:rPr>
          <w:rFonts w:hint="eastAsia" w:ascii="宋体" w:hAnsi="宋体" w:cs="TimesNewRomanPSMT"/>
          <w:color w:val="auto"/>
          <w:kern w:val="0"/>
          <w:sz w:val="24"/>
        </w:rPr>
        <w:t>×</w:t>
      </w:r>
      <w:r>
        <w:rPr>
          <w:rFonts w:hint="eastAsia" w:ascii="宋体" w:hAnsi="宋体" w:cs="TimesNewRomanPSMT"/>
          <w:color w:val="auto"/>
          <w:kern w:val="0"/>
          <w:sz w:val="24"/>
          <w:lang w:val="en-US" w:eastAsia="zh-CN"/>
        </w:rPr>
        <w:t>价格权重</w:t>
      </w:r>
    </w:p>
    <w:p w14:paraId="7C275F83">
      <w:pPr>
        <w:numPr>
          <w:ilvl w:val="0"/>
          <w:numId w:val="9"/>
        </w:numPr>
        <w:tabs>
          <w:tab w:val="left" w:pos="993"/>
        </w:tabs>
        <w:autoSpaceDE w:val="0"/>
        <w:autoSpaceDN w:val="0"/>
        <w:adjustRightInd w:val="0"/>
        <w:snapToGrid w:val="0"/>
        <w:spacing w:afterLines="50"/>
        <w:ind w:left="993" w:hanging="993"/>
        <w:jc w:val="left"/>
        <w:outlineLvl w:val="1"/>
        <w:rPr>
          <w:rFonts w:ascii="黑体" w:hAnsi="TimesNewRomanPSMT" w:eastAsia="黑体" w:cs="TimesNewRomanPSMT"/>
          <w:color w:val="auto"/>
          <w:kern w:val="0"/>
          <w:sz w:val="24"/>
        </w:rPr>
      </w:pPr>
      <w:bookmarkStart w:id="138" w:name="_Toc17270"/>
      <w:bookmarkStart w:id="139" w:name="_Toc388"/>
      <w:bookmarkStart w:id="140" w:name="_Toc16171"/>
      <w:r>
        <w:rPr>
          <w:rFonts w:hint="eastAsia" w:ascii="黑体" w:hAnsi="TimesNewRomanPSMT" w:eastAsia="黑体" w:cs="TimesNewRomanPSMT"/>
          <w:color w:val="auto"/>
          <w:kern w:val="0"/>
          <w:sz w:val="24"/>
        </w:rPr>
        <w:t>评审程序</w:t>
      </w:r>
      <w:bookmarkEnd w:id="138"/>
      <w:bookmarkEnd w:id="139"/>
      <w:bookmarkEnd w:id="140"/>
    </w:p>
    <w:p w14:paraId="7DE170AB">
      <w:pPr>
        <w:numPr>
          <w:ilvl w:val="1"/>
          <w:numId w:val="9"/>
        </w:numPr>
        <w:tabs>
          <w:tab w:val="left" w:pos="993"/>
        </w:tabs>
        <w:autoSpaceDE w:val="0"/>
        <w:autoSpaceDN w:val="0"/>
        <w:adjustRightInd w:val="0"/>
        <w:snapToGrid w:val="0"/>
        <w:spacing w:afterLines="50"/>
        <w:jc w:val="left"/>
        <w:outlineLvl w:val="2"/>
        <w:rPr>
          <w:rFonts w:hint="eastAsia" w:ascii="宋体" w:hAnsi="宋体" w:cs="TimesNewRomanPSMT"/>
          <w:color w:val="auto"/>
          <w:kern w:val="0"/>
          <w:sz w:val="24"/>
        </w:rPr>
      </w:pPr>
      <w:r>
        <w:rPr>
          <w:rFonts w:hint="eastAsia" w:ascii="宋体" w:hAnsi="宋体" w:cs="TimesNewRomanPSMT"/>
          <w:color w:val="auto"/>
          <w:kern w:val="0"/>
          <w:sz w:val="24"/>
        </w:rPr>
        <w:t>符合性检查</w:t>
      </w:r>
    </w:p>
    <w:p w14:paraId="25721F35">
      <w:pPr>
        <w:numPr>
          <w:ilvl w:val="2"/>
          <w:numId w:val="9"/>
        </w:numPr>
        <w:tabs>
          <w:tab w:val="left" w:pos="993"/>
          <w:tab w:val="left" w:pos="1077"/>
        </w:tabs>
        <w:autoSpaceDE w:val="0"/>
        <w:autoSpaceDN w:val="0"/>
        <w:adjustRightInd w:val="0"/>
        <w:snapToGrid w:val="0"/>
        <w:spacing w:before="120" w:afterLines="50"/>
        <w:ind w:left="993" w:hanging="993"/>
        <w:jc w:val="left"/>
        <w:rPr>
          <w:rFonts w:ascii="宋体" w:hAnsi="宋体" w:cs="TimesNewRomanPSMT"/>
          <w:color w:val="auto"/>
          <w:kern w:val="0"/>
          <w:sz w:val="24"/>
        </w:rPr>
      </w:pPr>
      <w:r>
        <w:rPr>
          <w:rFonts w:hint="eastAsia" w:ascii="宋体" w:hAnsi="宋体" w:cs="TimesNewRomanPSMT"/>
          <w:color w:val="auto"/>
          <w:kern w:val="0"/>
          <w:sz w:val="24"/>
        </w:rPr>
        <w:t>评标委员会按附表二所列标准，对投标文件的有效性、完整性和对招标文件的响应程度进行审查，以确定是否对招标文件的实质性要求作出响应。</w:t>
      </w:r>
    </w:p>
    <w:p w14:paraId="0D6C0D84">
      <w:pPr>
        <w:numPr>
          <w:ilvl w:val="2"/>
          <w:numId w:val="9"/>
        </w:numPr>
        <w:tabs>
          <w:tab w:val="left" w:pos="993"/>
          <w:tab w:val="left" w:pos="1077"/>
        </w:tabs>
        <w:autoSpaceDE w:val="0"/>
        <w:autoSpaceDN w:val="0"/>
        <w:adjustRightInd w:val="0"/>
        <w:snapToGrid w:val="0"/>
        <w:spacing w:before="120" w:afterLines="50"/>
        <w:ind w:left="993" w:hanging="993"/>
        <w:jc w:val="left"/>
        <w:rPr>
          <w:rFonts w:ascii="宋体" w:hAnsi="宋体" w:cs="TimesNewRomanPSMT"/>
          <w:color w:val="auto"/>
          <w:kern w:val="0"/>
          <w:sz w:val="24"/>
        </w:rPr>
      </w:pPr>
      <w:r>
        <w:rPr>
          <w:rFonts w:hint="eastAsia" w:ascii="宋体" w:hAnsi="宋体" w:cs="TimesNewRomanPSMT"/>
          <w:color w:val="auto"/>
          <w:kern w:val="0"/>
          <w:sz w:val="24"/>
        </w:rPr>
        <w:t>澄清有关问题。</w:t>
      </w:r>
    </w:p>
    <w:p w14:paraId="0D79F109">
      <w:pPr>
        <w:keepNext w:val="0"/>
        <w:keepLines w:val="0"/>
        <w:pageBreakBefore w:val="0"/>
        <w:widowControl w:val="0"/>
        <w:tabs>
          <w:tab w:val="left" w:pos="993"/>
          <w:tab w:val="left" w:pos="1418"/>
        </w:tabs>
        <w:kinsoku/>
        <w:wordWrap/>
        <w:overflowPunct/>
        <w:topLinePunct w:val="0"/>
        <w:autoSpaceDE w:val="0"/>
        <w:autoSpaceDN w:val="0"/>
        <w:bidi w:val="0"/>
        <w:adjustRightInd w:val="0"/>
        <w:snapToGrid w:val="0"/>
        <w:spacing w:before="120" w:afterLines="50"/>
        <w:ind w:left="1351" w:leftChars="472" w:hanging="360" w:hangingChars="150"/>
        <w:jc w:val="left"/>
        <w:textAlignment w:val="auto"/>
        <w:rPr>
          <w:rFonts w:ascii="宋体" w:hAnsi="宋体" w:cs="TimesNewRomanPSMT"/>
          <w:color w:val="auto"/>
          <w:kern w:val="0"/>
          <w:sz w:val="24"/>
        </w:rPr>
      </w:pPr>
      <w:r>
        <w:rPr>
          <w:rFonts w:hint="eastAsia" w:ascii="宋体" w:hAnsi="宋体" w:cs="TimesNewRomanPSMT"/>
          <w:color w:val="auto"/>
          <w:kern w:val="0"/>
          <w:sz w:val="24"/>
          <w:lang w:eastAsia="zh-CN"/>
        </w:rPr>
        <w:t>(</w:t>
      </w:r>
      <w:r>
        <w:rPr>
          <w:rFonts w:hint="eastAsia" w:ascii="宋体" w:hAnsi="宋体" w:cs="TimesNewRomanPSMT"/>
          <w:color w:val="auto"/>
          <w:kern w:val="0"/>
          <w:sz w:val="24"/>
        </w:rPr>
        <w:t>1</w:t>
      </w:r>
      <w:r>
        <w:rPr>
          <w:rFonts w:hint="eastAsia" w:ascii="宋体" w:hAnsi="宋体" w:cs="TimesNewRomanPSMT"/>
          <w:color w:val="auto"/>
          <w:kern w:val="0"/>
          <w:sz w:val="24"/>
          <w:lang w:eastAsia="zh-CN"/>
        </w:rPr>
        <w:t>)</w:t>
      </w:r>
      <w:r>
        <w:rPr>
          <w:rFonts w:hint="eastAsia" w:ascii="宋体" w:hAnsi="宋体" w:cs="TimesNewRomanPSMT"/>
          <w:color w:val="auto"/>
          <w:kern w:val="0"/>
          <w:sz w:val="24"/>
        </w:rPr>
        <w:tab/>
      </w:r>
      <w:r>
        <w:rPr>
          <w:rFonts w:hint="eastAsia" w:ascii="宋体" w:hAnsi="宋体" w:cs="TimesNewRomanPSMT"/>
          <w:color w:val="auto"/>
          <w:kern w:val="0"/>
          <w:sz w:val="24"/>
        </w:rPr>
        <w:t>对投标文件中含义不明确、同类问题表述不一致或者有明显文字和计算错误的内容，评标委员会可以书面形式要求</w:t>
      </w:r>
      <w:r>
        <w:rPr>
          <w:rFonts w:hint="eastAsia" w:ascii="宋体" w:hAnsi="宋体" w:cs="TimesNewRomanPSMT"/>
          <w:color w:val="auto"/>
          <w:kern w:val="0"/>
          <w:sz w:val="24"/>
          <w:lang w:eastAsia="zh-CN"/>
        </w:rPr>
        <w:t>供应商</w:t>
      </w:r>
      <w:r>
        <w:rPr>
          <w:rFonts w:hint="eastAsia" w:ascii="宋体" w:hAnsi="宋体" w:cs="TimesNewRomanPSMT"/>
          <w:color w:val="auto"/>
          <w:kern w:val="0"/>
          <w:sz w:val="24"/>
        </w:rPr>
        <w:t>作出必要的澄清、说明或者纠正。</w:t>
      </w:r>
      <w:r>
        <w:rPr>
          <w:rFonts w:hint="eastAsia" w:ascii="宋体" w:hAnsi="宋体" w:cs="TimesNewRomanPSMT"/>
          <w:color w:val="auto"/>
          <w:kern w:val="0"/>
          <w:sz w:val="24"/>
          <w:lang w:eastAsia="zh-CN"/>
        </w:rPr>
        <w:t>供应商</w:t>
      </w:r>
      <w:r>
        <w:rPr>
          <w:rFonts w:hint="eastAsia" w:ascii="宋体" w:hAnsi="宋体" w:cs="TimesNewRomanPSMT"/>
          <w:color w:val="auto"/>
          <w:kern w:val="0"/>
          <w:sz w:val="24"/>
        </w:rPr>
        <w:t>的澄清、说明或者补正应当采用书面形式，由其授权的代表签字，并不得超出投标文件的范围或者改变投标文件的实质性内容。</w:t>
      </w:r>
    </w:p>
    <w:p w14:paraId="6BA8F609">
      <w:pPr>
        <w:tabs>
          <w:tab w:val="left" w:pos="993"/>
          <w:tab w:val="left" w:pos="1418"/>
        </w:tabs>
        <w:autoSpaceDE w:val="0"/>
        <w:autoSpaceDN w:val="0"/>
        <w:adjustRightInd w:val="0"/>
        <w:snapToGrid w:val="0"/>
        <w:spacing w:before="120" w:afterLines="50"/>
        <w:ind w:left="1699" w:leftChars="472" w:hanging="708" w:hangingChars="295"/>
        <w:jc w:val="left"/>
        <w:rPr>
          <w:rFonts w:ascii="宋体" w:hAnsi="宋体" w:cs="TimesNewRomanPSMT"/>
          <w:color w:val="auto"/>
          <w:kern w:val="0"/>
          <w:sz w:val="24"/>
        </w:rPr>
      </w:pPr>
      <w:r>
        <w:rPr>
          <w:rFonts w:hint="eastAsia" w:ascii="宋体" w:hAnsi="宋体" w:cs="TimesNewRomanPSMT"/>
          <w:color w:val="auto"/>
          <w:kern w:val="0"/>
          <w:sz w:val="24"/>
          <w:lang w:eastAsia="zh-CN"/>
        </w:rPr>
        <w:t>(</w:t>
      </w:r>
      <w:r>
        <w:rPr>
          <w:rFonts w:hint="eastAsia" w:ascii="宋体" w:hAnsi="宋体" w:cs="TimesNewRomanPSMT"/>
          <w:color w:val="auto"/>
          <w:kern w:val="0"/>
          <w:sz w:val="24"/>
        </w:rPr>
        <w:t>2</w:t>
      </w:r>
      <w:r>
        <w:rPr>
          <w:rFonts w:hint="eastAsia" w:ascii="宋体" w:hAnsi="宋体" w:cs="TimesNewRomanPSMT"/>
          <w:color w:val="auto"/>
          <w:kern w:val="0"/>
          <w:sz w:val="24"/>
          <w:lang w:eastAsia="zh-CN"/>
        </w:rPr>
        <w:t>)</w:t>
      </w:r>
      <w:r>
        <w:rPr>
          <w:rFonts w:hint="eastAsia" w:ascii="宋体" w:hAnsi="宋体" w:cs="TimesNewRomanPSMT"/>
          <w:color w:val="auto"/>
          <w:kern w:val="0"/>
          <w:sz w:val="24"/>
        </w:rPr>
        <w:tab/>
      </w:r>
      <w:r>
        <w:rPr>
          <w:rFonts w:hint="eastAsia" w:ascii="宋体" w:hAnsi="宋体" w:cs="TimesNewRomanPSMT"/>
          <w:color w:val="auto"/>
          <w:kern w:val="0"/>
          <w:sz w:val="24"/>
        </w:rPr>
        <w:t>评标委员会不接受</w:t>
      </w:r>
      <w:r>
        <w:rPr>
          <w:rFonts w:hint="eastAsia" w:ascii="宋体" w:hAnsi="宋体" w:cs="TimesNewRomanPSMT"/>
          <w:color w:val="auto"/>
          <w:kern w:val="0"/>
          <w:sz w:val="24"/>
          <w:lang w:eastAsia="zh-CN"/>
        </w:rPr>
        <w:t>供应商</w:t>
      </w:r>
      <w:r>
        <w:rPr>
          <w:rFonts w:hint="eastAsia" w:ascii="宋体" w:hAnsi="宋体" w:cs="TimesNewRomanPSMT"/>
          <w:color w:val="auto"/>
          <w:kern w:val="0"/>
          <w:sz w:val="24"/>
        </w:rPr>
        <w:t>主动提出的澄清、说明或补正。</w:t>
      </w:r>
    </w:p>
    <w:p w14:paraId="1EFC0ECE">
      <w:pPr>
        <w:tabs>
          <w:tab w:val="left" w:pos="993"/>
          <w:tab w:val="left" w:pos="1418"/>
        </w:tabs>
        <w:autoSpaceDE w:val="0"/>
        <w:autoSpaceDN w:val="0"/>
        <w:adjustRightInd w:val="0"/>
        <w:snapToGrid w:val="0"/>
        <w:spacing w:before="120" w:afterLines="50"/>
        <w:ind w:left="1699" w:leftChars="472" w:hanging="708" w:hangingChars="295"/>
        <w:jc w:val="left"/>
        <w:rPr>
          <w:rFonts w:ascii="宋体" w:hAnsi="宋体" w:cs="TimesNewRomanPSMT"/>
          <w:color w:val="auto"/>
          <w:kern w:val="0"/>
          <w:sz w:val="24"/>
        </w:rPr>
      </w:pPr>
      <w:r>
        <w:rPr>
          <w:rFonts w:hint="eastAsia" w:ascii="宋体" w:hAnsi="宋体" w:cs="TimesNewRomanPSMT"/>
          <w:color w:val="auto"/>
          <w:kern w:val="0"/>
          <w:sz w:val="24"/>
          <w:lang w:eastAsia="zh-CN"/>
        </w:rPr>
        <w:t>(</w:t>
      </w:r>
      <w:r>
        <w:rPr>
          <w:rFonts w:hint="eastAsia" w:ascii="宋体" w:hAnsi="宋体" w:cs="TimesNewRomanPSMT"/>
          <w:color w:val="auto"/>
          <w:kern w:val="0"/>
          <w:sz w:val="24"/>
        </w:rPr>
        <w:t>3</w:t>
      </w:r>
      <w:r>
        <w:rPr>
          <w:rFonts w:hint="eastAsia" w:ascii="宋体" w:hAnsi="宋体" w:cs="TimesNewRomanPSMT"/>
          <w:color w:val="auto"/>
          <w:kern w:val="0"/>
          <w:sz w:val="24"/>
          <w:lang w:eastAsia="zh-CN"/>
        </w:rPr>
        <w:t>)</w:t>
      </w:r>
      <w:r>
        <w:rPr>
          <w:rFonts w:hint="eastAsia" w:ascii="宋体" w:hAnsi="宋体" w:cs="TimesNewRomanPSMT"/>
          <w:color w:val="auto"/>
          <w:kern w:val="0"/>
          <w:sz w:val="24"/>
        </w:rPr>
        <w:tab/>
      </w:r>
      <w:r>
        <w:rPr>
          <w:rFonts w:hint="eastAsia" w:ascii="宋体" w:hAnsi="宋体" w:cs="TimesNewRomanPSMT"/>
          <w:color w:val="auto"/>
          <w:kern w:val="0"/>
          <w:sz w:val="24"/>
          <w:lang w:eastAsia="zh-CN"/>
        </w:rPr>
        <w:t>供应商</w:t>
      </w:r>
      <w:r>
        <w:rPr>
          <w:rFonts w:hint="eastAsia" w:ascii="宋体" w:hAnsi="宋体" w:cs="TimesNewRomanPSMT"/>
          <w:color w:val="auto"/>
          <w:kern w:val="0"/>
          <w:sz w:val="24"/>
        </w:rPr>
        <w:t>的书面澄清、说明和补正属于投标文件的组成部分。</w:t>
      </w:r>
    </w:p>
    <w:p w14:paraId="1C5A345F">
      <w:pPr>
        <w:keepNext w:val="0"/>
        <w:keepLines w:val="0"/>
        <w:pageBreakBefore w:val="0"/>
        <w:widowControl w:val="0"/>
        <w:tabs>
          <w:tab w:val="left" w:pos="993"/>
          <w:tab w:val="left" w:pos="1418"/>
        </w:tabs>
        <w:kinsoku/>
        <w:wordWrap/>
        <w:overflowPunct/>
        <w:topLinePunct w:val="0"/>
        <w:autoSpaceDE w:val="0"/>
        <w:autoSpaceDN w:val="0"/>
        <w:bidi w:val="0"/>
        <w:adjustRightInd w:val="0"/>
        <w:snapToGrid w:val="0"/>
        <w:spacing w:before="120" w:afterLines="50"/>
        <w:ind w:left="1351" w:leftChars="472" w:hanging="360" w:hangingChars="150"/>
        <w:jc w:val="left"/>
        <w:textAlignment w:val="auto"/>
        <w:rPr>
          <w:rFonts w:ascii="宋体" w:hAnsi="宋体" w:cs="TimesNewRomanPSMT"/>
          <w:color w:val="auto"/>
          <w:kern w:val="0"/>
          <w:sz w:val="24"/>
        </w:rPr>
      </w:pPr>
      <w:r>
        <w:rPr>
          <w:rFonts w:hint="eastAsia" w:ascii="宋体" w:hAnsi="宋体" w:cs="TimesNewRomanPSMT"/>
          <w:color w:val="auto"/>
          <w:kern w:val="0"/>
          <w:sz w:val="24"/>
          <w:lang w:eastAsia="zh-CN"/>
        </w:rPr>
        <w:t>(</w:t>
      </w:r>
      <w:r>
        <w:rPr>
          <w:rFonts w:hint="eastAsia" w:ascii="宋体" w:hAnsi="宋体" w:cs="TimesNewRomanPSMT"/>
          <w:color w:val="auto"/>
          <w:kern w:val="0"/>
          <w:sz w:val="24"/>
        </w:rPr>
        <w:t>4</w:t>
      </w:r>
      <w:r>
        <w:rPr>
          <w:rFonts w:hint="eastAsia" w:ascii="宋体" w:hAnsi="宋体" w:cs="TimesNewRomanPSMT"/>
          <w:color w:val="auto"/>
          <w:kern w:val="0"/>
          <w:sz w:val="24"/>
          <w:lang w:eastAsia="zh-CN"/>
        </w:rPr>
        <w:t>)</w:t>
      </w:r>
      <w:r>
        <w:rPr>
          <w:rFonts w:hint="eastAsia" w:ascii="宋体" w:hAnsi="宋体" w:cs="TimesNewRomanPSMT"/>
          <w:color w:val="auto"/>
          <w:kern w:val="0"/>
          <w:sz w:val="24"/>
        </w:rPr>
        <w:tab/>
      </w:r>
      <w:r>
        <w:rPr>
          <w:rFonts w:hint="eastAsia" w:ascii="宋体" w:hAnsi="宋体" w:cs="TimesNewRomanPSMT"/>
          <w:color w:val="auto"/>
          <w:kern w:val="0"/>
          <w:sz w:val="24"/>
        </w:rPr>
        <w:t>评标委员会对</w:t>
      </w:r>
      <w:r>
        <w:rPr>
          <w:rFonts w:hint="eastAsia" w:ascii="宋体" w:hAnsi="宋体" w:cs="TimesNewRomanPSMT"/>
          <w:color w:val="auto"/>
          <w:kern w:val="0"/>
          <w:sz w:val="24"/>
          <w:lang w:eastAsia="zh-CN"/>
        </w:rPr>
        <w:t>供应商</w:t>
      </w:r>
      <w:r>
        <w:rPr>
          <w:rFonts w:hint="eastAsia" w:ascii="宋体" w:hAnsi="宋体" w:cs="TimesNewRomanPSMT"/>
          <w:color w:val="auto"/>
          <w:kern w:val="0"/>
          <w:sz w:val="24"/>
        </w:rPr>
        <w:t>提交的澄清、说明或补正有疑问的，可以要求</w:t>
      </w:r>
      <w:r>
        <w:rPr>
          <w:rFonts w:hint="eastAsia" w:ascii="宋体" w:hAnsi="宋体" w:cs="TimesNewRomanPSMT"/>
          <w:color w:val="auto"/>
          <w:kern w:val="0"/>
          <w:sz w:val="24"/>
          <w:lang w:eastAsia="zh-CN"/>
        </w:rPr>
        <w:t>供应商</w:t>
      </w:r>
      <w:r>
        <w:rPr>
          <w:rFonts w:hint="eastAsia" w:ascii="宋体" w:hAnsi="宋体" w:cs="TimesNewRomanPSMT"/>
          <w:color w:val="auto"/>
          <w:kern w:val="0"/>
          <w:sz w:val="24"/>
        </w:rPr>
        <w:t>进一步澄清、说明或补正，直至满足评标委员会的要求。</w:t>
      </w:r>
    </w:p>
    <w:p w14:paraId="312DFB57">
      <w:pPr>
        <w:keepNext w:val="0"/>
        <w:keepLines w:val="0"/>
        <w:pageBreakBefore w:val="0"/>
        <w:widowControl w:val="0"/>
        <w:numPr>
          <w:ilvl w:val="2"/>
          <w:numId w:val="9"/>
        </w:numPr>
        <w:tabs>
          <w:tab w:val="left" w:pos="993"/>
          <w:tab w:val="left" w:pos="1077"/>
        </w:tabs>
        <w:kinsoku/>
        <w:wordWrap/>
        <w:overflowPunct/>
        <w:topLinePunct w:val="0"/>
        <w:autoSpaceDE w:val="0"/>
        <w:autoSpaceDN w:val="0"/>
        <w:bidi w:val="0"/>
        <w:adjustRightInd w:val="0"/>
        <w:snapToGrid w:val="0"/>
        <w:spacing w:before="120" w:afterLines="50"/>
        <w:ind w:left="993" w:hanging="993"/>
        <w:jc w:val="left"/>
        <w:textAlignment w:val="auto"/>
        <w:rPr>
          <w:rFonts w:ascii="宋体" w:hAnsi="宋体" w:cs="TimesNewRomanPSMT"/>
          <w:color w:val="auto"/>
          <w:kern w:val="0"/>
          <w:sz w:val="24"/>
        </w:rPr>
      </w:pPr>
      <w:r>
        <w:rPr>
          <w:rFonts w:hint="eastAsia" w:ascii="宋体" w:hAnsi="宋体" w:cs="TimesNewRomanPSMT"/>
          <w:color w:val="auto"/>
          <w:kern w:val="0"/>
          <w:sz w:val="24"/>
        </w:rPr>
        <w:t>投标文件报价出现前后不一致的，除招标文件另有规定外，按照下列规定修正</w:t>
      </w:r>
      <w:r>
        <w:rPr>
          <w:rFonts w:hint="eastAsia" w:ascii="宋体" w:hAnsi="宋体" w:cs="TimesNewRomanPSMT"/>
          <w:color w:val="auto"/>
          <w:kern w:val="0"/>
          <w:sz w:val="24"/>
          <w:lang w:eastAsia="zh-CN"/>
        </w:rPr>
        <w:t>:</w:t>
      </w:r>
    </w:p>
    <w:p w14:paraId="71F36399">
      <w:pPr>
        <w:keepNext w:val="0"/>
        <w:keepLines w:val="0"/>
        <w:pageBreakBefore w:val="0"/>
        <w:widowControl w:val="0"/>
        <w:tabs>
          <w:tab w:val="left" w:pos="993"/>
        </w:tabs>
        <w:kinsoku/>
        <w:wordWrap/>
        <w:overflowPunct/>
        <w:topLinePunct w:val="0"/>
        <w:autoSpaceDE w:val="0"/>
        <w:autoSpaceDN w:val="0"/>
        <w:bidi w:val="0"/>
        <w:adjustRightInd w:val="0"/>
        <w:snapToGrid w:val="0"/>
        <w:spacing w:afterLines="50"/>
        <w:ind w:left="1696" w:leftChars="513" w:hanging="619" w:hangingChars="258"/>
        <w:jc w:val="left"/>
        <w:textAlignment w:val="auto"/>
        <w:rPr>
          <w:rFonts w:ascii="宋体" w:hAnsi="宋体" w:cs="TimesNewRomanPSMT"/>
          <w:color w:val="auto"/>
          <w:kern w:val="0"/>
          <w:sz w:val="24"/>
        </w:rPr>
      </w:pPr>
      <w:r>
        <w:rPr>
          <w:rFonts w:hint="eastAsia" w:ascii="宋体" w:hAnsi="宋体" w:cs="TimesNewRomanPSMT"/>
          <w:color w:val="auto"/>
          <w:kern w:val="0"/>
          <w:sz w:val="24"/>
          <w:lang w:eastAsia="zh-CN"/>
        </w:rPr>
        <w:t>(</w:t>
      </w:r>
      <w:r>
        <w:rPr>
          <w:rFonts w:hint="eastAsia" w:ascii="宋体" w:hAnsi="宋体" w:cs="TimesNewRomanPSMT"/>
          <w:color w:val="auto"/>
          <w:kern w:val="0"/>
          <w:sz w:val="24"/>
        </w:rPr>
        <w:t>1</w:t>
      </w:r>
      <w:r>
        <w:rPr>
          <w:rFonts w:hint="eastAsia" w:ascii="宋体" w:hAnsi="宋体" w:cs="TimesNewRomanPSMT"/>
          <w:color w:val="auto"/>
          <w:kern w:val="0"/>
          <w:sz w:val="24"/>
          <w:lang w:eastAsia="zh-CN"/>
        </w:rPr>
        <w:t>)</w:t>
      </w:r>
      <w:r>
        <w:rPr>
          <w:rFonts w:hint="eastAsia" w:ascii="宋体" w:hAnsi="宋体" w:cs="TimesNewRomanPSMT"/>
          <w:color w:val="auto"/>
          <w:kern w:val="0"/>
          <w:sz w:val="24"/>
        </w:rPr>
        <w:tab/>
      </w:r>
      <w:r>
        <w:rPr>
          <w:rFonts w:hint="eastAsia" w:ascii="宋体" w:hAnsi="宋体" w:cs="TimesNewRomanPSMT"/>
          <w:color w:val="auto"/>
          <w:kern w:val="0"/>
          <w:sz w:val="24"/>
        </w:rPr>
        <w:t>投标文件中开标一览表</w:t>
      </w:r>
      <w:r>
        <w:rPr>
          <w:rFonts w:hint="eastAsia" w:ascii="宋体" w:hAnsi="宋体" w:cs="TimesNewRomanPSMT"/>
          <w:color w:val="auto"/>
          <w:kern w:val="0"/>
          <w:sz w:val="24"/>
          <w:lang w:eastAsia="zh-CN"/>
        </w:rPr>
        <w:t>(</w:t>
      </w:r>
      <w:r>
        <w:rPr>
          <w:rFonts w:hint="eastAsia" w:ascii="宋体" w:hAnsi="宋体" w:cs="TimesNewRomanPSMT"/>
          <w:color w:val="auto"/>
          <w:kern w:val="0"/>
          <w:sz w:val="24"/>
        </w:rPr>
        <w:t>报价表</w:t>
      </w:r>
      <w:r>
        <w:rPr>
          <w:rFonts w:hint="eastAsia" w:ascii="宋体" w:hAnsi="宋体" w:cs="TimesNewRomanPSMT"/>
          <w:color w:val="auto"/>
          <w:kern w:val="0"/>
          <w:sz w:val="24"/>
          <w:lang w:eastAsia="zh-CN"/>
        </w:rPr>
        <w:t>)</w:t>
      </w:r>
      <w:r>
        <w:rPr>
          <w:rFonts w:hint="eastAsia" w:ascii="宋体" w:hAnsi="宋体" w:cs="TimesNewRomanPSMT"/>
          <w:color w:val="auto"/>
          <w:kern w:val="0"/>
          <w:sz w:val="24"/>
        </w:rPr>
        <w:t>内容与投标文件中相应内容不一致的，以开标一览表</w:t>
      </w:r>
      <w:r>
        <w:rPr>
          <w:rFonts w:hint="eastAsia" w:ascii="宋体" w:hAnsi="宋体" w:cs="TimesNewRomanPSMT"/>
          <w:color w:val="auto"/>
          <w:kern w:val="0"/>
          <w:sz w:val="24"/>
          <w:lang w:eastAsia="zh-CN"/>
        </w:rPr>
        <w:t>(</w:t>
      </w:r>
      <w:r>
        <w:rPr>
          <w:rFonts w:hint="eastAsia" w:ascii="宋体" w:hAnsi="宋体" w:cs="TimesNewRomanPSMT"/>
          <w:color w:val="auto"/>
          <w:kern w:val="0"/>
          <w:sz w:val="24"/>
        </w:rPr>
        <w:t>报价表</w:t>
      </w:r>
      <w:r>
        <w:rPr>
          <w:rFonts w:hint="eastAsia" w:ascii="宋体" w:hAnsi="宋体" w:cs="TimesNewRomanPSMT"/>
          <w:color w:val="auto"/>
          <w:kern w:val="0"/>
          <w:sz w:val="24"/>
          <w:lang w:eastAsia="zh-CN"/>
        </w:rPr>
        <w:t>)</w:t>
      </w:r>
      <w:r>
        <w:rPr>
          <w:rFonts w:hint="eastAsia" w:ascii="宋体" w:hAnsi="宋体" w:cs="TimesNewRomanPSMT"/>
          <w:color w:val="auto"/>
          <w:kern w:val="0"/>
          <w:sz w:val="24"/>
        </w:rPr>
        <w:t>为准；</w:t>
      </w:r>
    </w:p>
    <w:p w14:paraId="75E41A91">
      <w:pPr>
        <w:keepNext w:val="0"/>
        <w:keepLines w:val="0"/>
        <w:pageBreakBefore w:val="0"/>
        <w:widowControl w:val="0"/>
        <w:tabs>
          <w:tab w:val="left" w:pos="993"/>
        </w:tabs>
        <w:kinsoku/>
        <w:wordWrap/>
        <w:overflowPunct/>
        <w:topLinePunct w:val="0"/>
        <w:autoSpaceDE w:val="0"/>
        <w:autoSpaceDN w:val="0"/>
        <w:bidi w:val="0"/>
        <w:adjustRightInd w:val="0"/>
        <w:snapToGrid w:val="0"/>
        <w:spacing w:afterLines="50"/>
        <w:ind w:left="1696" w:leftChars="513" w:hanging="619" w:hangingChars="258"/>
        <w:jc w:val="left"/>
        <w:textAlignment w:val="auto"/>
        <w:rPr>
          <w:rFonts w:ascii="宋体" w:hAnsi="宋体" w:cs="TimesNewRomanPSMT"/>
          <w:color w:val="auto"/>
          <w:kern w:val="0"/>
          <w:sz w:val="24"/>
        </w:rPr>
      </w:pPr>
      <w:r>
        <w:rPr>
          <w:rFonts w:hint="eastAsia" w:ascii="宋体" w:hAnsi="宋体" w:cs="TimesNewRomanPSMT"/>
          <w:color w:val="auto"/>
          <w:kern w:val="0"/>
          <w:sz w:val="24"/>
          <w:lang w:eastAsia="zh-CN"/>
        </w:rPr>
        <w:t>(</w:t>
      </w:r>
      <w:r>
        <w:rPr>
          <w:rFonts w:hint="eastAsia" w:ascii="宋体" w:hAnsi="宋体" w:cs="TimesNewRomanPSMT"/>
          <w:color w:val="auto"/>
          <w:kern w:val="0"/>
          <w:sz w:val="24"/>
        </w:rPr>
        <w:t>2</w:t>
      </w:r>
      <w:r>
        <w:rPr>
          <w:rFonts w:hint="eastAsia" w:ascii="宋体" w:hAnsi="宋体" w:cs="TimesNewRomanPSMT"/>
          <w:color w:val="auto"/>
          <w:kern w:val="0"/>
          <w:sz w:val="24"/>
          <w:lang w:eastAsia="zh-CN"/>
        </w:rPr>
        <w:t>)</w:t>
      </w:r>
      <w:r>
        <w:rPr>
          <w:rFonts w:hint="eastAsia" w:ascii="宋体" w:hAnsi="宋体" w:cs="TimesNewRomanPSMT"/>
          <w:color w:val="auto"/>
          <w:kern w:val="0"/>
          <w:sz w:val="24"/>
        </w:rPr>
        <w:tab/>
      </w:r>
      <w:r>
        <w:rPr>
          <w:rFonts w:hint="eastAsia" w:ascii="宋体" w:hAnsi="宋体" w:cs="TimesNewRomanPSMT"/>
          <w:color w:val="auto"/>
          <w:kern w:val="0"/>
          <w:sz w:val="24"/>
        </w:rPr>
        <w:t>大写金额和小写金额不一致的，以大写金额为准；</w:t>
      </w:r>
    </w:p>
    <w:p w14:paraId="7E04B91F">
      <w:pPr>
        <w:keepNext w:val="0"/>
        <w:keepLines w:val="0"/>
        <w:pageBreakBefore w:val="0"/>
        <w:widowControl w:val="0"/>
        <w:tabs>
          <w:tab w:val="left" w:pos="993"/>
        </w:tabs>
        <w:kinsoku/>
        <w:wordWrap/>
        <w:overflowPunct/>
        <w:topLinePunct w:val="0"/>
        <w:autoSpaceDE w:val="0"/>
        <w:autoSpaceDN w:val="0"/>
        <w:bidi w:val="0"/>
        <w:adjustRightInd w:val="0"/>
        <w:snapToGrid w:val="0"/>
        <w:spacing w:afterLines="50"/>
        <w:ind w:left="1696" w:leftChars="513" w:hanging="619" w:hangingChars="258"/>
        <w:jc w:val="left"/>
        <w:textAlignment w:val="auto"/>
        <w:rPr>
          <w:rFonts w:ascii="宋体" w:hAnsi="宋体" w:cs="TimesNewRomanPSMT"/>
          <w:color w:val="auto"/>
          <w:kern w:val="0"/>
          <w:sz w:val="24"/>
        </w:rPr>
      </w:pPr>
      <w:r>
        <w:rPr>
          <w:rFonts w:hint="eastAsia" w:ascii="宋体" w:hAnsi="宋体" w:cs="TimesNewRomanPSMT"/>
          <w:color w:val="auto"/>
          <w:kern w:val="0"/>
          <w:sz w:val="24"/>
          <w:lang w:eastAsia="zh-CN"/>
        </w:rPr>
        <w:t>(</w:t>
      </w:r>
      <w:r>
        <w:rPr>
          <w:rFonts w:hint="eastAsia" w:ascii="宋体" w:hAnsi="宋体" w:cs="TimesNewRomanPSMT"/>
          <w:color w:val="auto"/>
          <w:kern w:val="0"/>
          <w:sz w:val="24"/>
        </w:rPr>
        <w:t>3</w:t>
      </w:r>
      <w:r>
        <w:rPr>
          <w:rFonts w:hint="eastAsia" w:ascii="宋体" w:hAnsi="宋体" w:cs="TimesNewRomanPSMT"/>
          <w:color w:val="auto"/>
          <w:kern w:val="0"/>
          <w:sz w:val="24"/>
          <w:lang w:eastAsia="zh-CN"/>
        </w:rPr>
        <w:t>)</w:t>
      </w:r>
      <w:r>
        <w:rPr>
          <w:rFonts w:hint="eastAsia" w:ascii="宋体" w:hAnsi="宋体" w:cs="TimesNewRomanPSMT"/>
          <w:color w:val="auto"/>
          <w:kern w:val="0"/>
          <w:sz w:val="24"/>
        </w:rPr>
        <w:tab/>
      </w:r>
      <w:r>
        <w:rPr>
          <w:rFonts w:hint="eastAsia" w:ascii="宋体" w:hAnsi="宋体" w:cs="TimesNewRomanPSMT"/>
          <w:color w:val="auto"/>
          <w:kern w:val="0"/>
          <w:sz w:val="24"/>
        </w:rPr>
        <w:t>单价金额小数点或者百分比有明显错位的，以开标一览表</w:t>
      </w:r>
      <w:r>
        <w:rPr>
          <w:rFonts w:hint="eastAsia" w:ascii="宋体" w:hAnsi="宋体" w:cs="TimesNewRomanPSMT"/>
          <w:color w:val="auto"/>
          <w:kern w:val="0"/>
          <w:sz w:val="24"/>
          <w:lang w:eastAsia="zh-CN"/>
        </w:rPr>
        <w:t>(</w:t>
      </w:r>
      <w:r>
        <w:rPr>
          <w:rFonts w:hint="eastAsia" w:ascii="宋体" w:hAnsi="宋体" w:cs="TimesNewRomanPSMT"/>
          <w:color w:val="auto"/>
          <w:kern w:val="0"/>
          <w:sz w:val="24"/>
        </w:rPr>
        <w:t>报价表</w:t>
      </w:r>
      <w:r>
        <w:rPr>
          <w:rFonts w:hint="eastAsia" w:ascii="宋体" w:hAnsi="宋体" w:cs="TimesNewRomanPSMT"/>
          <w:color w:val="auto"/>
          <w:kern w:val="0"/>
          <w:sz w:val="24"/>
          <w:lang w:eastAsia="zh-CN"/>
        </w:rPr>
        <w:t>)</w:t>
      </w:r>
      <w:r>
        <w:rPr>
          <w:rFonts w:hint="eastAsia" w:ascii="宋体" w:hAnsi="宋体" w:cs="TimesNewRomanPSMT"/>
          <w:color w:val="auto"/>
          <w:kern w:val="0"/>
          <w:sz w:val="24"/>
        </w:rPr>
        <w:t>的总价为准，并修改单价；</w:t>
      </w:r>
    </w:p>
    <w:p w14:paraId="7D4A9402">
      <w:pPr>
        <w:keepNext w:val="0"/>
        <w:keepLines w:val="0"/>
        <w:pageBreakBefore w:val="0"/>
        <w:widowControl w:val="0"/>
        <w:tabs>
          <w:tab w:val="left" w:pos="993"/>
        </w:tabs>
        <w:kinsoku/>
        <w:wordWrap/>
        <w:overflowPunct/>
        <w:topLinePunct w:val="0"/>
        <w:autoSpaceDE w:val="0"/>
        <w:autoSpaceDN w:val="0"/>
        <w:bidi w:val="0"/>
        <w:adjustRightInd w:val="0"/>
        <w:snapToGrid w:val="0"/>
        <w:spacing w:afterLines="50"/>
        <w:ind w:left="1696" w:leftChars="513" w:hanging="619" w:hangingChars="258"/>
        <w:jc w:val="left"/>
        <w:textAlignment w:val="auto"/>
        <w:rPr>
          <w:rFonts w:ascii="宋体" w:hAnsi="宋体" w:cs="TimesNewRomanPSMT"/>
          <w:color w:val="auto"/>
          <w:kern w:val="0"/>
          <w:sz w:val="24"/>
        </w:rPr>
      </w:pPr>
      <w:r>
        <w:rPr>
          <w:rFonts w:hint="eastAsia" w:ascii="宋体" w:hAnsi="宋体" w:cs="TimesNewRomanPSMT"/>
          <w:color w:val="auto"/>
          <w:kern w:val="0"/>
          <w:sz w:val="24"/>
          <w:lang w:eastAsia="zh-CN"/>
        </w:rPr>
        <w:t>(</w:t>
      </w:r>
      <w:r>
        <w:rPr>
          <w:rFonts w:hint="eastAsia" w:ascii="宋体" w:hAnsi="宋体" w:cs="TimesNewRomanPSMT"/>
          <w:color w:val="auto"/>
          <w:kern w:val="0"/>
          <w:sz w:val="24"/>
        </w:rPr>
        <w:t>4</w:t>
      </w:r>
      <w:r>
        <w:rPr>
          <w:rFonts w:hint="eastAsia" w:ascii="宋体" w:hAnsi="宋体" w:cs="TimesNewRomanPSMT"/>
          <w:color w:val="auto"/>
          <w:kern w:val="0"/>
          <w:sz w:val="24"/>
          <w:lang w:eastAsia="zh-CN"/>
        </w:rPr>
        <w:t>)</w:t>
      </w:r>
      <w:r>
        <w:rPr>
          <w:rFonts w:hint="eastAsia" w:ascii="宋体" w:hAnsi="宋体" w:cs="TimesNewRomanPSMT"/>
          <w:color w:val="auto"/>
          <w:kern w:val="0"/>
          <w:sz w:val="24"/>
        </w:rPr>
        <w:tab/>
      </w:r>
      <w:r>
        <w:rPr>
          <w:rFonts w:hint="eastAsia" w:ascii="宋体" w:hAnsi="宋体" w:cs="TimesNewRomanPSMT"/>
          <w:color w:val="auto"/>
          <w:kern w:val="0"/>
          <w:sz w:val="24"/>
        </w:rPr>
        <w:t>总价金额与按单价汇总金额不一致的，以单价金额计算结果为准。</w:t>
      </w:r>
    </w:p>
    <w:p w14:paraId="49B50EBD">
      <w:pPr>
        <w:keepNext w:val="0"/>
        <w:keepLines w:val="0"/>
        <w:pageBreakBefore w:val="0"/>
        <w:widowControl w:val="0"/>
        <w:tabs>
          <w:tab w:val="left" w:pos="993"/>
        </w:tabs>
        <w:kinsoku/>
        <w:wordWrap/>
        <w:overflowPunct/>
        <w:topLinePunct w:val="0"/>
        <w:bidi w:val="0"/>
        <w:snapToGrid w:val="0"/>
        <w:spacing w:afterLines="50"/>
        <w:ind w:left="991" w:leftChars="472" w:firstLine="2"/>
        <w:textAlignment w:val="auto"/>
        <w:rPr>
          <w:rFonts w:ascii="宋体" w:hAnsi="宋体"/>
          <w:color w:val="auto"/>
          <w:sz w:val="24"/>
        </w:rPr>
      </w:pPr>
      <w:r>
        <w:rPr>
          <w:rFonts w:hint="eastAsia" w:ascii="宋体" w:hAnsi="宋体"/>
          <w:color w:val="auto"/>
          <w:sz w:val="24"/>
        </w:rPr>
        <w:t>同时出现两种以上不一致的，按照前款规定的顺序修正。修正后的报价经</w:t>
      </w:r>
      <w:r>
        <w:rPr>
          <w:rFonts w:hint="eastAsia" w:ascii="宋体" w:hAnsi="宋体"/>
          <w:color w:val="auto"/>
          <w:sz w:val="24"/>
          <w:lang w:eastAsia="zh-CN"/>
        </w:rPr>
        <w:t>供应商</w:t>
      </w:r>
      <w:r>
        <w:rPr>
          <w:rFonts w:hint="eastAsia" w:ascii="宋体" w:hAnsi="宋体"/>
          <w:color w:val="auto"/>
          <w:sz w:val="24"/>
        </w:rPr>
        <w:t>确认后产生约束力，</w:t>
      </w:r>
      <w:r>
        <w:rPr>
          <w:rFonts w:hint="eastAsia" w:ascii="宋体" w:hAnsi="宋体"/>
          <w:color w:val="auto"/>
          <w:sz w:val="24"/>
          <w:lang w:eastAsia="zh-CN"/>
        </w:rPr>
        <w:t>供应商</w:t>
      </w:r>
      <w:r>
        <w:rPr>
          <w:rFonts w:hint="eastAsia" w:ascii="宋体" w:hAnsi="宋体"/>
          <w:color w:val="auto"/>
          <w:sz w:val="24"/>
        </w:rPr>
        <w:t>不确认的，其投标无效。</w:t>
      </w:r>
    </w:p>
    <w:p w14:paraId="641FE4AF">
      <w:pPr>
        <w:keepNext w:val="0"/>
        <w:keepLines w:val="0"/>
        <w:pageBreakBefore w:val="0"/>
        <w:widowControl w:val="0"/>
        <w:tabs>
          <w:tab w:val="left" w:pos="993"/>
        </w:tabs>
        <w:kinsoku/>
        <w:wordWrap/>
        <w:overflowPunct/>
        <w:topLinePunct w:val="0"/>
        <w:bidi w:val="0"/>
        <w:snapToGrid w:val="0"/>
        <w:spacing w:afterLines="50"/>
        <w:ind w:left="991" w:leftChars="472" w:firstLine="2"/>
        <w:textAlignment w:val="auto"/>
        <w:rPr>
          <w:rFonts w:ascii="宋体" w:hAnsi="宋体"/>
          <w:color w:val="auto"/>
          <w:sz w:val="24"/>
        </w:rPr>
      </w:pPr>
      <w:r>
        <w:rPr>
          <w:rFonts w:hint="eastAsia" w:ascii="宋体" w:hAnsi="宋体"/>
          <w:color w:val="auto"/>
          <w:sz w:val="24"/>
          <w:lang w:eastAsia="zh-CN"/>
        </w:rPr>
        <w:t>供应商</w:t>
      </w:r>
      <w:r>
        <w:rPr>
          <w:rFonts w:hint="eastAsia" w:ascii="宋体" w:hAnsi="宋体"/>
          <w:color w:val="auto"/>
          <w:sz w:val="24"/>
        </w:rPr>
        <w:t>的确认应当采用书面形式，并加盖公章，或者由法定代表人或其授权的代表签字。</w:t>
      </w:r>
    </w:p>
    <w:p w14:paraId="2BDC348C">
      <w:pPr>
        <w:keepNext w:val="0"/>
        <w:keepLines w:val="0"/>
        <w:pageBreakBefore w:val="0"/>
        <w:widowControl w:val="0"/>
        <w:numPr>
          <w:ilvl w:val="1"/>
          <w:numId w:val="9"/>
        </w:numPr>
        <w:tabs>
          <w:tab w:val="left" w:pos="993"/>
        </w:tabs>
        <w:kinsoku/>
        <w:wordWrap/>
        <w:overflowPunct/>
        <w:topLinePunct w:val="0"/>
        <w:autoSpaceDE w:val="0"/>
        <w:autoSpaceDN w:val="0"/>
        <w:bidi w:val="0"/>
        <w:adjustRightInd w:val="0"/>
        <w:snapToGrid w:val="0"/>
        <w:spacing w:afterLines="50"/>
        <w:jc w:val="left"/>
        <w:textAlignment w:val="auto"/>
        <w:outlineLvl w:val="2"/>
        <w:rPr>
          <w:rFonts w:hint="eastAsia" w:ascii="宋体" w:hAnsi="宋体" w:cs="TimesNewRomanPSMT"/>
          <w:color w:val="auto"/>
          <w:kern w:val="0"/>
          <w:sz w:val="24"/>
        </w:rPr>
      </w:pPr>
      <w:r>
        <w:rPr>
          <w:rFonts w:hint="eastAsia" w:ascii="宋体" w:hAnsi="宋体" w:cs="TimesNewRomanPSMT"/>
          <w:color w:val="auto"/>
          <w:kern w:val="0"/>
          <w:sz w:val="24"/>
        </w:rPr>
        <w:t>商务和技术评审</w:t>
      </w:r>
    </w:p>
    <w:p w14:paraId="7DDE9B51">
      <w:pPr>
        <w:keepNext w:val="0"/>
        <w:keepLines w:val="0"/>
        <w:pageBreakBefore w:val="0"/>
        <w:widowControl w:val="0"/>
        <w:numPr>
          <w:ilvl w:val="2"/>
          <w:numId w:val="9"/>
        </w:numPr>
        <w:tabs>
          <w:tab w:val="left" w:pos="993"/>
        </w:tabs>
        <w:kinsoku/>
        <w:wordWrap/>
        <w:overflowPunct/>
        <w:topLinePunct w:val="0"/>
        <w:autoSpaceDE w:val="0"/>
        <w:autoSpaceDN w:val="0"/>
        <w:bidi w:val="0"/>
        <w:adjustRightInd w:val="0"/>
        <w:snapToGrid w:val="0"/>
        <w:spacing w:afterLines="50"/>
        <w:ind w:left="993" w:hanging="993"/>
        <w:jc w:val="left"/>
        <w:textAlignment w:val="auto"/>
        <w:rPr>
          <w:rFonts w:ascii="宋体" w:hAnsi="宋体" w:cs="TimesNewRomanPSMT"/>
          <w:color w:val="auto"/>
          <w:kern w:val="0"/>
          <w:sz w:val="24"/>
        </w:rPr>
      </w:pPr>
      <w:r>
        <w:rPr>
          <w:rFonts w:hint="eastAsia" w:ascii="宋体" w:hAnsi="宋体" w:cs="TimesNewRomanPSMT"/>
          <w:color w:val="auto"/>
          <w:kern w:val="0"/>
          <w:sz w:val="24"/>
        </w:rPr>
        <w:t>比较与评价</w:t>
      </w:r>
    </w:p>
    <w:p w14:paraId="551BC7F1">
      <w:pPr>
        <w:keepNext w:val="0"/>
        <w:keepLines w:val="0"/>
        <w:pageBreakBefore w:val="0"/>
        <w:widowControl w:val="0"/>
        <w:tabs>
          <w:tab w:val="left" w:pos="993"/>
        </w:tabs>
        <w:kinsoku/>
        <w:wordWrap/>
        <w:overflowPunct/>
        <w:topLinePunct w:val="0"/>
        <w:autoSpaceDE w:val="0"/>
        <w:autoSpaceDN w:val="0"/>
        <w:bidi w:val="0"/>
        <w:adjustRightInd w:val="0"/>
        <w:snapToGrid w:val="0"/>
        <w:spacing w:before="120" w:afterLines="50"/>
        <w:ind w:left="991" w:leftChars="472"/>
        <w:jc w:val="left"/>
        <w:textAlignment w:val="auto"/>
        <w:rPr>
          <w:rFonts w:hAnsi="宋体" w:cs="宋体"/>
          <w:color w:val="auto"/>
          <w:sz w:val="24"/>
        </w:rPr>
      </w:pPr>
      <w:r>
        <w:rPr>
          <w:rFonts w:hint="eastAsia" w:ascii="宋体" w:hAnsi="宋体" w:cs="TimesNewRomanPSMT"/>
          <w:color w:val="auto"/>
          <w:kern w:val="0"/>
          <w:sz w:val="24"/>
        </w:rPr>
        <w:t>评标委员会按本章第</w:t>
      </w:r>
      <w:r>
        <w:rPr>
          <w:rFonts w:ascii="宋体" w:hAnsi="宋体" w:cs="TimesNewRomanPSMT"/>
          <w:color w:val="auto"/>
          <w:kern w:val="0"/>
          <w:sz w:val="24"/>
        </w:rPr>
        <w:fldChar w:fldCharType="begin"/>
      </w:r>
      <w:r>
        <w:instrText xml:space="preserve"> REF _Ref426362114 \r \h  \* MERGEFORMAT</w:instrText>
      </w:r>
      <w:r>
        <w:rPr>
          <w:rFonts w:ascii="宋体" w:hAnsi="宋体" w:cs="TimesNewRomanPSMT"/>
          <w:color w:val="auto"/>
          <w:kern w:val="0"/>
          <w:sz w:val="24"/>
        </w:rPr>
        <w:fldChar w:fldCharType="separate"/>
      </w:r>
      <w:r>
        <w:rPr>
          <w:rFonts w:ascii="宋体" w:hAnsi="宋体" w:cs="TimesNewRomanPSMT"/>
          <w:color w:val="auto"/>
          <w:kern w:val="0"/>
          <w:sz w:val="24"/>
        </w:rPr>
        <w:t>3.3</w:t>
      </w:r>
      <w:r>
        <w:rPr>
          <w:rFonts w:ascii="宋体" w:hAnsi="宋体" w:cs="TimesNewRomanPSMT"/>
          <w:color w:val="auto"/>
          <w:kern w:val="0"/>
          <w:sz w:val="24"/>
        </w:rPr>
        <w:fldChar w:fldCharType="end"/>
      </w:r>
      <w:r>
        <w:rPr>
          <w:rFonts w:hint="eastAsia" w:ascii="宋体" w:hAnsi="宋体" w:cs="TimesNewRomanPSMT"/>
          <w:color w:val="auto"/>
          <w:kern w:val="0"/>
          <w:sz w:val="24"/>
        </w:rPr>
        <w:t>款[详细评审标准]</w:t>
      </w:r>
      <w:r>
        <w:rPr>
          <w:rFonts w:hint="eastAsia" w:hAnsi="宋体" w:cs="宋体"/>
          <w:color w:val="auto"/>
          <w:sz w:val="24"/>
        </w:rPr>
        <w:t>对资格审查合格且符合性审查合格的投标文件进行商务和技术评估，综合比较与评价。</w:t>
      </w:r>
    </w:p>
    <w:p w14:paraId="42DC50C5">
      <w:pPr>
        <w:tabs>
          <w:tab w:val="left" w:pos="993"/>
        </w:tabs>
        <w:autoSpaceDE w:val="0"/>
        <w:autoSpaceDN w:val="0"/>
        <w:adjustRightInd w:val="0"/>
        <w:snapToGrid w:val="0"/>
        <w:spacing w:before="120" w:afterLines="50"/>
        <w:ind w:left="991" w:leftChars="472"/>
        <w:jc w:val="left"/>
        <w:rPr>
          <w:rFonts w:hAnsi="宋体" w:cs="宋体"/>
          <w:color w:val="auto"/>
          <w:sz w:val="24"/>
        </w:rPr>
      </w:pPr>
      <w:r>
        <w:rPr>
          <w:rFonts w:hint="eastAsia" w:ascii="宋体" w:hAnsi="宋体"/>
          <w:color w:val="auto"/>
          <w:sz w:val="24"/>
        </w:rPr>
        <w:t>评标委员会认为</w:t>
      </w:r>
      <w:r>
        <w:rPr>
          <w:rFonts w:hint="eastAsia" w:ascii="宋体" w:hAnsi="宋体"/>
          <w:color w:val="auto"/>
          <w:sz w:val="24"/>
          <w:lang w:eastAsia="zh-CN"/>
        </w:rPr>
        <w:t>供应商</w:t>
      </w:r>
      <w:r>
        <w:rPr>
          <w:rFonts w:hint="eastAsia" w:ascii="宋体" w:hAnsi="宋体"/>
          <w:color w:val="auto"/>
          <w:sz w:val="24"/>
        </w:rPr>
        <w:t>的报价明显低于其他通过符合性审查</w:t>
      </w:r>
      <w:r>
        <w:rPr>
          <w:rFonts w:hint="eastAsia" w:ascii="宋体" w:hAnsi="宋体"/>
          <w:color w:val="auto"/>
          <w:sz w:val="24"/>
          <w:lang w:eastAsia="zh-CN"/>
        </w:rPr>
        <w:t>供应商</w:t>
      </w:r>
      <w:r>
        <w:rPr>
          <w:rFonts w:hint="eastAsia" w:ascii="宋体" w:hAnsi="宋体"/>
          <w:color w:val="auto"/>
          <w:sz w:val="24"/>
        </w:rPr>
        <w:t>的报价，有可能影响产品质量或者不能诚信履约的，应当要求其在评标现场合理的时间内提供书面说明，必要时提交相关证明材料；</w:t>
      </w:r>
      <w:r>
        <w:rPr>
          <w:rFonts w:hint="eastAsia" w:ascii="宋体" w:hAnsi="宋体"/>
          <w:color w:val="auto"/>
          <w:sz w:val="24"/>
          <w:lang w:eastAsia="zh-CN"/>
        </w:rPr>
        <w:t>供应商</w:t>
      </w:r>
      <w:r>
        <w:rPr>
          <w:rFonts w:hint="eastAsia" w:ascii="宋体" w:hAnsi="宋体"/>
          <w:color w:val="auto"/>
          <w:sz w:val="24"/>
        </w:rPr>
        <w:t>不能证明其报价合理性的，评标委员会应当将其作为无效投标处理。</w:t>
      </w:r>
    </w:p>
    <w:p w14:paraId="01CE5322">
      <w:pPr>
        <w:numPr>
          <w:ilvl w:val="2"/>
          <w:numId w:val="9"/>
        </w:numPr>
        <w:tabs>
          <w:tab w:val="left" w:pos="993"/>
        </w:tabs>
        <w:autoSpaceDE w:val="0"/>
        <w:autoSpaceDN w:val="0"/>
        <w:adjustRightInd w:val="0"/>
        <w:snapToGrid w:val="0"/>
        <w:spacing w:afterLines="50"/>
        <w:ind w:left="993" w:hanging="993"/>
        <w:jc w:val="left"/>
        <w:rPr>
          <w:rFonts w:ascii="宋体" w:hAnsi="宋体" w:cs="TimesNewRomanPSMT"/>
          <w:color w:val="auto"/>
          <w:kern w:val="0"/>
          <w:sz w:val="24"/>
        </w:rPr>
      </w:pPr>
      <w:r>
        <w:rPr>
          <w:rFonts w:hint="eastAsia" w:ascii="宋体" w:hAnsi="宋体" w:cs="TimesNewRomanPSMT"/>
          <w:color w:val="auto"/>
          <w:kern w:val="0"/>
          <w:sz w:val="24"/>
        </w:rPr>
        <w:t>评标委员会按本章第</w:t>
      </w:r>
      <w:r>
        <w:rPr>
          <w:rFonts w:ascii="宋体" w:hAnsi="宋体" w:cs="TimesNewRomanPSMT"/>
          <w:color w:val="auto"/>
          <w:kern w:val="0"/>
          <w:sz w:val="24"/>
        </w:rPr>
        <w:fldChar w:fldCharType="begin"/>
      </w:r>
      <w:r>
        <w:instrText xml:space="preserve"> REF _Ref426362114 \r \h  \* MERGEFORMAT</w:instrText>
      </w:r>
      <w:r>
        <w:rPr>
          <w:rFonts w:ascii="宋体" w:hAnsi="宋体" w:cs="TimesNewRomanPSMT"/>
          <w:color w:val="auto"/>
          <w:kern w:val="0"/>
          <w:sz w:val="24"/>
        </w:rPr>
        <w:fldChar w:fldCharType="separate"/>
      </w:r>
      <w:r>
        <w:rPr>
          <w:rFonts w:ascii="宋体" w:hAnsi="宋体" w:cs="TimesNewRomanPSMT"/>
          <w:color w:val="auto"/>
          <w:kern w:val="0"/>
          <w:sz w:val="24"/>
        </w:rPr>
        <w:t>3.3</w:t>
      </w:r>
      <w:r>
        <w:rPr>
          <w:rFonts w:ascii="宋体" w:hAnsi="宋体" w:cs="TimesNewRomanPSMT"/>
          <w:color w:val="auto"/>
          <w:kern w:val="0"/>
          <w:sz w:val="24"/>
        </w:rPr>
        <w:fldChar w:fldCharType="end"/>
      </w:r>
      <w:r>
        <w:rPr>
          <w:rFonts w:hint="eastAsia" w:ascii="宋体" w:hAnsi="宋体" w:cs="TimesNewRomanPSMT"/>
          <w:color w:val="auto"/>
          <w:kern w:val="0"/>
          <w:sz w:val="24"/>
        </w:rPr>
        <w:t>款规定的量化因素和分值进行打分，并计算出综合评估得分。</w:t>
      </w:r>
    </w:p>
    <w:p w14:paraId="5AB117CB">
      <w:pPr>
        <w:tabs>
          <w:tab w:val="left" w:pos="993"/>
        </w:tabs>
        <w:autoSpaceDE w:val="0"/>
        <w:autoSpaceDN w:val="0"/>
        <w:adjustRightInd w:val="0"/>
        <w:snapToGrid w:val="0"/>
        <w:spacing w:afterLines="50"/>
        <w:ind w:left="1679" w:leftChars="514" w:hanging="600" w:hangingChars="250"/>
        <w:jc w:val="left"/>
        <w:rPr>
          <w:rFonts w:ascii="宋体" w:hAnsi="宋体" w:cs="TimesNewRomanPSMT"/>
          <w:color w:val="auto"/>
          <w:kern w:val="0"/>
          <w:sz w:val="24"/>
        </w:rPr>
      </w:pPr>
      <w:r>
        <w:rPr>
          <w:rFonts w:hint="eastAsia" w:ascii="宋体" w:hAnsi="宋体" w:cs="TimesNewRomanPSMT"/>
          <w:color w:val="auto"/>
          <w:kern w:val="0"/>
          <w:sz w:val="24"/>
          <w:lang w:eastAsia="zh-CN"/>
        </w:rPr>
        <w:t>(</w:t>
      </w:r>
      <w:r>
        <w:rPr>
          <w:rFonts w:ascii="宋体" w:hAnsi="宋体" w:cs="TimesNewRomanPSMT"/>
          <w:color w:val="auto"/>
          <w:kern w:val="0"/>
          <w:sz w:val="24"/>
        </w:rPr>
        <w:t>1</w:t>
      </w:r>
      <w:r>
        <w:rPr>
          <w:rFonts w:hint="eastAsia" w:ascii="宋体" w:hAnsi="宋体" w:cs="TimesNewRomanPSMT"/>
          <w:color w:val="auto"/>
          <w:kern w:val="0"/>
          <w:sz w:val="24"/>
          <w:lang w:eastAsia="zh-CN"/>
        </w:rPr>
        <w:t>)</w:t>
      </w:r>
      <w:r>
        <w:rPr>
          <w:rFonts w:hint="eastAsia" w:ascii="宋体" w:hAnsi="宋体" w:cs="TimesNewRomanPSMT"/>
          <w:color w:val="auto"/>
          <w:kern w:val="0"/>
          <w:sz w:val="24"/>
        </w:rPr>
        <w:t>按本章第</w:t>
      </w:r>
      <w:r>
        <w:rPr>
          <w:rFonts w:ascii="宋体" w:hAnsi="宋体" w:cs="TimesNewRomanPSMT"/>
          <w:color w:val="auto"/>
          <w:kern w:val="0"/>
          <w:sz w:val="24"/>
        </w:rPr>
        <w:fldChar w:fldCharType="begin"/>
      </w:r>
      <w:r>
        <w:instrText xml:space="preserve"> REF _Ref426362140 \r \h  \* MERGEFORMAT</w:instrText>
      </w:r>
      <w:r>
        <w:rPr>
          <w:rFonts w:ascii="宋体" w:hAnsi="宋体" w:cs="TimesNewRomanPSMT"/>
          <w:color w:val="auto"/>
          <w:kern w:val="0"/>
          <w:sz w:val="24"/>
        </w:rPr>
        <w:fldChar w:fldCharType="separate"/>
      </w:r>
      <w:r>
        <w:rPr>
          <w:rFonts w:ascii="宋体" w:hAnsi="宋体" w:cs="TimesNewRomanPSMT"/>
          <w:color w:val="auto"/>
          <w:kern w:val="0"/>
          <w:sz w:val="24"/>
        </w:rPr>
        <w:t>3.3.1</w:t>
      </w:r>
      <w:r>
        <w:rPr>
          <w:rFonts w:ascii="宋体" w:hAnsi="宋体" w:cs="TimesNewRomanPSMT"/>
          <w:color w:val="auto"/>
          <w:kern w:val="0"/>
          <w:sz w:val="24"/>
        </w:rPr>
        <w:fldChar w:fldCharType="end"/>
      </w:r>
      <w:r>
        <w:rPr>
          <w:rFonts w:hint="eastAsia" w:ascii="宋体" w:hAnsi="宋体" w:cs="TimesNewRomanPSMT"/>
          <w:color w:val="auto"/>
          <w:kern w:val="0"/>
          <w:sz w:val="24"/>
        </w:rPr>
        <w:t>项规定的评审因素和分值对商务</w:t>
      </w:r>
      <w:r>
        <w:rPr>
          <w:rFonts w:hint="eastAsia" w:ascii="宋体" w:hAnsi="宋体" w:cs="TimesNewRomanPSMT"/>
          <w:color w:val="auto"/>
          <w:kern w:val="0"/>
          <w:sz w:val="24"/>
          <w:lang w:val="en-US" w:eastAsia="zh-CN"/>
        </w:rPr>
        <w:t>技术</w:t>
      </w:r>
      <w:r>
        <w:rPr>
          <w:rFonts w:hint="eastAsia" w:ascii="宋体" w:hAnsi="宋体" w:cs="TimesNewRomanPSMT"/>
          <w:color w:val="auto"/>
          <w:kern w:val="0"/>
          <w:sz w:val="24"/>
        </w:rPr>
        <w:t>部分计算出得分</w:t>
      </w:r>
      <w:r>
        <w:rPr>
          <w:rFonts w:ascii="宋体" w:hAnsi="宋体" w:cs="TimesNewRomanPSMT"/>
          <w:color w:val="auto"/>
          <w:kern w:val="0"/>
          <w:sz w:val="24"/>
        </w:rPr>
        <w:t>A</w:t>
      </w:r>
      <w:r>
        <w:rPr>
          <w:rFonts w:hint="eastAsia" w:ascii="宋体" w:hAnsi="宋体" w:cs="TimesNewRomanPSMT"/>
          <w:color w:val="auto"/>
          <w:kern w:val="0"/>
          <w:sz w:val="24"/>
        </w:rPr>
        <w:t>；</w:t>
      </w:r>
    </w:p>
    <w:p w14:paraId="773BB596">
      <w:pPr>
        <w:tabs>
          <w:tab w:val="left" w:pos="993"/>
        </w:tabs>
        <w:autoSpaceDE w:val="0"/>
        <w:autoSpaceDN w:val="0"/>
        <w:adjustRightInd w:val="0"/>
        <w:snapToGrid w:val="0"/>
        <w:spacing w:afterLines="50"/>
        <w:ind w:left="1679" w:leftChars="514" w:hanging="600" w:hangingChars="250"/>
        <w:jc w:val="left"/>
        <w:rPr>
          <w:rFonts w:ascii="宋体" w:hAnsi="宋体" w:cs="TimesNewRomanPSMT"/>
          <w:color w:val="auto"/>
          <w:kern w:val="0"/>
          <w:sz w:val="24"/>
        </w:rPr>
      </w:pPr>
      <w:r>
        <w:rPr>
          <w:rFonts w:hint="eastAsia" w:ascii="宋体" w:hAnsi="宋体" w:cs="TimesNewRomanPSMT"/>
          <w:color w:val="auto"/>
          <w:kern w:val="0"/>
          <w:sz w:val="24"/>
          <w:lang w:eastAsia="zh-CN"/>
        </w:rPr>
        <w:t>(</w:t>
      </w:r>
      <w:r>
        <w:rPr>
          <w:rFonts w:ascii="宋体" w:hAnsi="宋体" w:cs="TimesNewRomanPSMT"/>
          <w:color w:val="auto"/>
          <w:kern w:val="0"/>
          <w:sz w:val="24"/>
        </w:rPr>
        <w:t>2</w:t>
      </w:r>
      <w:r>
        <w:rPr>
          <w:rFonts w:hint="eastAsia" w:ascii="宋体" w:hAnsi="宋体" w:cs="TimesNewRomanPSMT"/>
          <w:color w:val="auto"/>
          <w:kern w:val="0"/>
          <w:sz w:val="24"/>
          <w:lang w:eastAsia="zh-CN"/>
        </w:rPr>
        <w:t>)</w:t>
      </w:r>
      <w:r>
        <w:rPr>
          <w:rFonts w:hint="eastAsia" w:ascii="宋体" w:hAnsi="宋体" w:cs="TimesNewRomanPSMT"/>
          <w:color w:val="auto"/>
          <w:kern w:val="0"/>
          <w:sz w:val="24"/>
        </w:rPr>
        <w:t>按本章第</w:t>
      </w:r>
      <w:r>
        <w:rPr>
          <w:rFonts w:ascii="宋体" w:hAnsi="宋体" w:cs="TimesNewRomanPSMT"/>
          <w:color w:val="auto"/>
          <w:kern w:val="0"/>
          <w:sz w:val="24"/>
        </w:rPr>
        <w:fldChar w:fldCharType="begin"/>
      </w:r>
      <w:r>
        <w:instrText xml:space="preserve"> REF _Ref426362158 \r \h  \* MERGEFORMAT</w:instrText>
      </w:r>
      <w:r>
        <w:rPr>
          <w:rFonts w:ascii="宋体" w:hAnsi="宋体" w:cs="TimesNewRomanPSMT"/>
          <w:color w:val="auto"/>
          <w:kern w:val="0"/>
          <w:sz w:val="24"/>
        </w:rPr>
        <w:fldChar w:fldCharType="separate"/>
      </w:r>
      <w:r>
        <w:rPr>
          <w:rFonts w:ascii="宋体" w:hAnsi="宋体" w:cs="TimesNewRomanPSMT"/>
          <w:color w:val="auto"/>
          <w:kern w:val="0"/>
          <w:sz w:val="24"/>
        </w:rPr>
        <w:t>3.3.2</w:t>
      </w:r>
      <w:r>
        <w:rPr>
          <w:rFonts w:ascii="宋体" w:hAnsi="宋体" w:cs="TimesNewRomanPSMT"/>
          <w:color w:val="auto"/>
          <w:kern w:val="0"/>
          <w:sz w:val="24"/>
        </w:rPr>
        <w:fldChar w:fldCharType="end"/>
      </w:r>
      <w:r>
        <w:rPr>
          <w:rFonts w:hint="eastAsia" w:ascii="宋体" w:hAnsi="宋体" w:cs="TimesNewRomanPSMT"/>
          <w:color w:val="auto"/>
          <w:kern w:val="0"/>
          <w:sz w:val="24"/>
        </w:rPr>
        <w:t>项规定的评审因素和分值对</w:t>
      </w:r>
      <w:r>
        <w:rPr>
          <w:rFonts w:hint="eastAsia" w:ascii="宋体" w:hAnsi="宋体" w:cs="TimesNewRomanPSMT"/>
          <w:color w:val="auto"/>
          <w:kern w:val="0"/>
          <w:sz w:val="24"/>
          <w:lang w:val="en-US" w:eastAsia="zh-CN"/>
        </w:rPr>
        <w:t>报价</w:t>
      </w:r>
      <w:r>
        <w:rPr>
          <w:rFonts w:hint="eastAsia" w:ascii="宋体" w:hAnsi="宋体" w:cs="TimesNewRomanPSMT"/>
          <w:color w:val="auto"/>
          <w:kern w:val="0"/>
          <w:sz w:val="24"/>
        </w:rPr>
        <w:t>部分计算出得分</w:t>
      </w:r>
      <w:r>
        <w:rPr>
          <w:rFonts w:ascii="宋体" w:hAnsi="宋体" w:cs="TimesNewRomanPSMT"/>
          <w:color w:val="auto"/>
          <w:kern w:val="0"/>
          <w:sz w:val="24"/>
        </w:rPr>
        <w:t>B</w:t>
      </w:r>
      <w:r>
        <w:rPr>
          <w:rFonts w:hint="eastAsia" w:ascii="宋体" w:hAnsi="宋体" w:cs="TimesNewRomanPSMT"/>
          <w:color w:val="auto"/>
          <w:kern w:val="0"/>
          <w:sz w:val="24"/>
        </w:rPr>
        <w:t>；</w:t>
      </w:r>
    </w:p>
    <w:p w14:paraId="11DDE601">
      <w:pPr>
        <w:numPr>
          <w:ilvl w:val="2"/>
          <w:numId w:val="9"/>
        </w:numPr>
        <w:tabs>
          <w:tab w:val="left" w:pos="993"/>
        </w:tabs>
        <w:autoSpaceDE w:val="0"/>
        <w:autoSpaceDN w:val="0"/>
        <w:adjustRightInd w:val="0"/>
        <w:snapToGrid w:val="0"/>
        <w:spacing w:afterLines="50"/>
        <w:ind w:left="993" w:hanging="993"/>
        <w:jc w:val="left"/>
        <w:rPr>
          <w:rFonts w:ascii="宋体" w:hAnsi="宋体" w:cs="TimesNewRomanPSMT"/>
          <w:color w:val="auto"/>
          <w:kern w:val="0"/>
          <w:sz w:val="24"/>
        </w:rPr>
      </w:pPr>
      <w:r>
        <w:rPr>
          <w:rFonts w:hint="eastAsia" w:ascii="宋体" w:hAnsi="宋体" w:cs="TimesNewRomanPSMT"/>
          <w:color w:val="auto"/>
          <w:kern w:val="0"/>
          <w:sz w:val="24"/>
        </w:rPr>
        <w:t>评分分值计算保留小数点后两位，小数点后第三位“四舍五入”。</w:t>
      </w:r>
    </w:p>
    <w:p w14:paraId="40B6C017">
      <w:pPr>
        <w:numPr>
          <w:ilvl w:val="2"/>
          <w:numId w:val="9"/>
        </w:numPr>
        <w:tabs>
          <w:tab w:val="left" w:pos="993"/>
        </w:tabs>
        <w:autoSpaceDE w:val="0"/>
        <w:autoSpaceDN w:val="0"/>
        <w:adjustRightInd w:val="0"/>
        <w:snapToGrid w:val="0"/>
        <w:spacing w:afterLines="50"/>
        <w:ind w:left="993" w:hanging="993"/>
        <w:jc w:val="left"/>
        <w:rPr>
          <w:rFonts w:ascii="宋体" w:hAnsi="宋体" w:cs="TimesNewRomanPSMT"/>
          <w:color w:val="auto"/>
          <w:kern w:val="0"/>
          <w:sz w:val="24"/>
        </w:rPr>
      </w:pPr>
      <w:r>
        <w:rPr>
          <w:rFonts w:hint="eastAsia" w:ascii="宋体" w:hAnsi="宋体" w:cs="TimesNewRomanPSMT"/>
          <w:color w:val="auto"/>
          <w:kern w:val="0"/>
          <w:sz w:val="24"/>
          <w:lang w:eastAsia="zh-CN"/>
        </w:rPr>
        <w:t>供应商</w:t>
      </w:r>
      <w:r>
        <w:rPr>
          <w:rFonts w:hint="eastAsia" w:ascii="宋体" w:hAnsi="宋体" w:cs="TimesNewRomanPSMT"/>
          <w:color w:val="auto"/>
          <w:kern w:val="0"/>
          <w:sz w:val="24"/>
        </w:rPr>
        <w:t>得分</w:t>
      </w:r>
      <w:r>
        <w:rPr>
          <w:rFonts w:ascii="宋体" w:hAnsi="宋体" w:cs="TimesNewRomanPSMT"/>
          <w:color w:val="auto"/>
          <w:kern w:val="0"/>
          <w:sz w:val="24"/>
        </w:rPr>
        <w:t>=</w:t>
      </w:r>
      <w:r>
        <w:rPr>
          <w:rFonts w:hint="eastAsia" w:ascii="宋体" w:hAnsi="宋体" w:cs="TimesNewRomanPSMT"/>
          <w:color w:val="auto"/>
          <w:kern w:val="0"/>
          <w:sz w:val="24"/>
        </w:rPr>
        <w:t>A＋B</w:t>
      </w:r>
    </w:p>
    <w:p w14:paraId="6F633559">
      <w:pPr>
        <w:numPr>
          <w:ilvl w:val="1"/>
          <w:numId w:val="9"/>
        </w:numPr>
        <w:tabs>
          <w:tab w:val="left" w:pos="993"/>
        </w:tabs>
        <w:autoSpaceDE w:val="0"/>
        <w:autoSpaceDN w:val="0"/>
        <w:adjustRightInd w:val="0"/>
        <w:snapToGrid w:val="0"/>
        <w:spacing w:afterLines="50"/>
        <w:jc w:val="left"/>
        <w:outlineLvl w:val="2"/>
        <w:rPr>
          <w:rFonts w:hint="eastAsia" w:ascii="宋体" w:hAnsi="宋体" w:cs="TimesNewRomanPSMT"/>
          <w:color w:val="auto"/>
          <w:kern w:val="0"/>
          <w:sz w:val="24"/>
        </w:rPr>
      </w:pPr>
      <w:r>
        <w:rPr>
          <w:rFonts w:hint="eastAsia" w:ascii="宋体" w:hAnsi="宋体" w:cs="TimesNewRomanPSMT"/>
          <w:color w:val="auto"/>
          <w:kern w:val="0"/>
          <w:sz w:val="24"/>
        </w:rPr>
        <w:t>评标结果</w:t>
      </w:r>
    </w:p>
    <w:p w14:paraId="346A15A2">
      <w:pPr>
        <w:numPr>
          <w:ilvl w:val="2"/>
          <w:numId w:val="9"/>
        </w:numPr>
        <w:tabs>
          <w:tab w:val="left" w:pos="993"/>
        </w:tabs>
        <w:autoSpaceDE w:val="0"/>
        <w:autoSpaceDN w:val="0"/>
        <w:adjustRightInd w:val="0"/>
        <w:snapToGrid w:val="0"/>
        <w:spacing w:afterLines="50"/>
        <w:ind w:left="993" w:hanging="993"/>
        <w:jc w:val="left"/>
        <w:rPr>
          <w:rFonts w:ascii="宋体" w:hAnsi="宋体" w:cs="TimesNewRomanPSMT"/>
          <w:color w:val="auto"/>
          <w:kern w:val="0"/>
          <w:sz w:val="24"/>
        </w:rPr>
      </w:pPr>
      <w:r>
        <w:rPr>
          <w:rFonts w:hint="eastAsia" w:ascii="宋体" w:hAnsi="宋体" w:cs="TimesNewRomanPSMT"/>
          <w:color w:val="auto"/>
          <w:kern w:val="0"/>
          <w:sz w:val="24"/>
        </w:rPr>
        <w:t>除第二章“</w:t>
      </w:r>
      <w:r>
        <w:rPr>
          <w:rFonts w:hint="eastAsia" w:ascii="宋体" w:hAnsi="宋体" w:cs="TimesNewRomanPSMT"/>
          <w:color w:val="auto"/>
          <w:kern w:val="0"/>
          <w:sz w:val="24"/>
          <w:lang w:eastAsia="zh-CN"/>
        </w:rPr>
        <w:t>供应商</w:t>
      </w:r>
      <w:r>
        <w:rPr>
          <w:rFonts w:hint="eastAsia" w:ascii="宋体" w:hAnsi="宋体" w:cs="TimesNewRomanPSMT"/>
          <w:color w:val="auto"/>
          <w:kern w:val="0"/>
          <w:sz w:val="24"/>
        </w:rPr>
        <w:t>须知”前附表授权直接确定中标人外，评标委员会按照得分由高到低的顺序推荐中标候选人。</w:t>
      </w:r>
    </w:p>
    <w:p w14:paraId="7D8037C4">
      <w:pPr>
        <w:numPr>
          <w:ilvl w:val="2"/>
          <w:numId w:val="9"/>
        </w:numPr>
        <w:tabs>
          <w:tab w:val="left" w:pos="993"/>
        </w:tabs>
        <w:autoSpaceDE w:val="0"/>
        <w:autoSpaceDN w:val="0"/>
        <w:adjustRightInd w:val="0"/>
        <w:snapToGrid w:val="0"/>
        <w:spacing w:afterLines="50"/>
        <w:ind w:left="993" w:hanging="993"/>
        <w:jc w:val="left"/>
        <w:rPr>
          <w:rFonts w:ascii="宋体" w:hAnsi="宋体" w:cs="TimesNewRomanPSMT"/>
          <w:color w:val="auto"/>
          <w:kern w:val="0"/>
          <w:sz w:val="24"/>
        </w:rPr>
      </w:pPr>
      <w:r>
        <w:rPr>
          <w:rFonts w:hint="eastAsia" w:ascii="宋体" w:hAnsi="宋体" w:cs="TimesNewRomanPSMT"/>
          <w:color w:val="auto"/>
          <w:kern w:val="0"/>
          <w:sz w:val="24"/>
        </w:rPr>
        <w:t>评标委员会完成评标后，应当向采购人提交书面评标报告。</w:t>
      </w:r>
    </w:p>
    <w:p w14:paraId="1F276FDB">
      <w:pPr>
        <w:snapToGrid w:val="0"/>
        <w:spacing w:afterLines="50"/>
        <w:ind w:left="1591" w:leftChars="472" w:hanging="600" w:hangingChars="250"/>
        <w:rPr>
          <w:rFonts w:ascii="宋体" w:hAnsi="宋体"/>
          <w:color w:val="auto"/>
          <w:sz w:val="24"/>
        </w:rPr>
      </w:pPr>
    </w:p>
    <w:p w14:paraId="21F48DB1">
      <w:pPr>
        <w:numPr>
          <w:ilvl w:val="0"/>
          <w:numId w:val="0"/>
        </w:numPr>
        <w:snapToGrid w:val="0"/>
        <w:spacing w:afterLines="50"/>
        <w:ind w:left="420" w:leftChars="200"/>
        <w:rPr>
          <w:rFonts w:ascii="宋体" w:hAnsi="宋体"/>
          <w:color w:val="auto"/>
          <w:sz w:val="24"/>
        </w:rPr>
      </w:pPr>
    </w:p>
    <w:p w14:paraId="69843FE3">
      <w:pPr>
        <w:snapToGrid w:val="0"/>
        <w:spacing w:afterLines="50"/>
        <w:ind w:left="1591" w:leftChars="472" w:hanging="600" w:hangingChars="250"/>
        <w:rPr>
          <w:rFonts w:ascii="宋体" w:hAnsi="宋体"/>
          <w:color w:val="auto"/>
          <w:sz w:val="24"/>
        </w:rPr>
      </w:pPr>
    </w:p>
    <w:p w14:paraId="5317B4A0">
      <w:pPr>
        <w:snapToGrid w:val="0"/>
        <w:spacing w:afterLines="50"/>
        <w:ind w:left="1591" w:leftChars="472" w:hanging="600" w:hangingChars="250"/>
        <w:rPr>
          <w:rFonts w:ascii="宋体" w:hAnsi="宋体"/>
          <w:color w:val="auto"/>
          <w:sz w:val="24"/>
        </w:rPr>
      </w:pPr>
    </w:p>
    <w:p w14:paraId="176977B4">
      <w:pPr>
        <w:tabs>
          <w:tab w:val="left" w:pos="-94"/>
          <w:tab w:val="left" w:pos="428"/>
        </w:tabs>
        <w:adjustRightInd w:val="0"/>
        <w:spacing w:line="360" w:lineRule="auto"/>
        <w:ind w:left="23" w:leftChars="11"/>
        <w:jc w:val="center"/>
        <w:textAlignment w:val="baseline"/>
        <w:outlineLvl w:val="1"/>
        <w:rPr>
          <w:rFonts w:hint="eastAsia" w:ascii="宋体" w:hAnsi="宋体" w:eastAsia="宋体" w:cs="宋体"/>
          <w:b/>
          <w:color w:val="auto"/>
          <w:sz w:val="24"/>
          <w:szCs w:val="24"/>
        </w:rPr>
      </w:pPr>
      <w:r>
        <w:rPr>
          <w:color w:val="auto"/>
        </w:rPr>
        <w:br w:type="page"/>
      </w:r>
      <w:bookmarkStart w:id="141" w:name="_Toc31687"/>
      <w:bookmarkStart w:id="142" w:name="_Toc19011"/>
      <w:bookmarkStart w:id="143" w:name="_Toc19904"/>
      <w:bookmarkStart w:id="144" w:name="_Toc14445"/>
      <w:bookmarkStart w:id="145" w:name="_Toc410631196"/>
      <w:bookmarkStart w:id="146" w:name="_Toc414446032"/>
      <w:r>
        <w:rPr>
          <w:b/>
          <w:color w:val="auto"/>
          <w:sz w:val="28"/>
          <w:szCs w:val="28"/>
        </w:rPr>
        <w:t>附表一</w:t>
      </w:r>
      <w:r>
        <w:rPr>
          <w:rFonts w:hint="eastAsia"/>
          <w:b/>
          <w:color w:val="auto"/>
          <w:sz w:val="28"/>
          <w:szCs w:val="28"/>
        </w:rPr>
        <w:t xml:space="preserve"> </w:t>
      </w:r>
      <w:r>
        <w:rPr>
          <w:b/>
          <w:color w:val="auto"/>
          <w:sz w:val="28"/>
          <w:szCs w:val="28"/>
        </w:rPr>
        <w:t>资格审查表</w:t>
      </w:r>
      <w:bookmarkEnd w:id="141"/>
      <w:bookmarkEnd w:id="142"/>
      <w:bookmarkEnd w:id="143"/>
      <w:bookmarkEnd w:id="144"/>
      <w:bookmarkEnd w:id="145"/>
      <w:bookmarkEnd w:id="146"/>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160"/>
        <w:gridCol w:w="5130"/>
        <w:gridCol w:w="962"/>
      </w:tblGrid>
      <w:tr w14:paraId="4CD2C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Align w:val="center"/>
          </w:tcPr>
          <w:p w14:paraId="75BF36BF">
            <w:pPr>
              <w:snapToGrid w:val="0"/>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序号</w:t>
            </w:r>
          </w:p>
        </w:tc>
        <w:tc>
          <w:tcPr>
            <w:tcW w:w="3160" w:type="dxa"/>
            <w:vAlign w:val="center"/>
          </w:tcPr>
          <w:p w14:paraId="2D0E7062">
            <w:pPr>
              <w:snapToGrid w:val="0"/>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评审内容</w:t>
            </w:r>
          </w:p>
        </w:tc>
        <w:tc>
          <w:tcPr>
            <w:tcW w:w="5130" w:type="dxa"/>
            <w:vAlign w:val="center"/>
          </w:tcPr>
          <w:p w14:paraId="029FCF69">
            <w:pPr>
              <w:snapToGrid w:val="0"/>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评审合格标准</w:t>
            </w:r>
          </w:p>
        </w:tc>
        <w:tc>
          <w:tcPr>
            <w:tcW w:w="962" w:type="dxa"/>
            <w:vAlign w:val="center"/>
          </w:tcPr>
          <w:p w14:paraId="00E5EE58">
            <w:pPr>
              <w:snapToGrid w:val="0"/>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是否符合要求</w:t>
            </w:r>
          </w:p>
        </w:tc>
      </w:tr>
      <w:tr w14:paraId="1250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710" w:type="dxa"/>
            <w:vAlign w:val="center"/>
          </w:tcPr>
          <w:p w14:paraId="6A1175AE">
            <w:pPr>
              <w:snapToGrid w:val="0"/>
              <w:jc w:val="center"/>
              <w:rPr>
                <w:rFonts w:hint="eastAsia" w:ascii="宋体" w:hAnsi="宋体" w:eastAsia="宋体" w:cs="宋体"/>
                <w:b/>
                <w:color w:val="auto"/>
                <w:sz w:val="24"/>
                <w:szCs w:val="24"/>
              </w:rPr>
            </w:pPr>
            <w:r>
              <w:rPr>
                <w:rFonts w:hint="eastAsia" w:ascii="宋体" w:hAnsi="宋体" w:eastAsia="宋体" w:cs="宋体"/>
                <w:color w:val="auto"/>
                <w:sz w:val="24"/>
                <w:szCs w:val="24"/>
              </w:rPr>
              <w:t>1</w:t>
            </w:r>
          </w:p>
        </w:tc>
        <w:tc>
          <w:tcPr>
            <w:tcW w:w="3160" w:type="dxa"/>
            <w:vAlign w:val="center"/>
          </w:tcPr>
          <w:p w14:paraId="3CC0CE5A">
            <w:pPr>
              <w:snapToGrid w:val="0"/>
              <w:jc w:val="left"/>
              <w:rPr>
                <w:rFonts w:hint="eastAsia" w:ascii="宋体" w:hAnsi="宋体" w:eastAsia="宋体" w:cs="宋体"/>
                <w:b/>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名称</w:t>
            </w:r>
          </w:p>
        </w:tc>
        <w:tc>
          <w:tcPr>
            <w:tcW w:w="5130" w:type="dxa"/>
            <w:vAlign w:val="center"/>
          </w:tcPr>
          <w:p w14:paraId="649145DB">
            <w:pPr>
              <w:snapToGrid w:val="0"/>
              <w:jc w:val="left"/>
              <w:rPr>
                <w:rFonts w:hint="eastAsia" w:ascii="宋体" w:hAnsi="宋体" w:eastAsia="宋体" w:cs="宋体"/>
                <w:b/>
                <w:color w:val="auto"/>
                <w:sz w:val="24"/>
                <w:szCs w:val="24"/>
                <w:lang w:eastAsia="zh-CN"/>
              </w:rPr>
            </w:pPr>
            <w:r>
              <w:rPr>
                <w:rFonts w:hint="eastAsia" w:ascii="宋体" w:hAnsi="宋体" w:eastAsia="宋体" w:cs="宋体"/>
                <w:color w:val="auto"/>
                <w:sz w:val="24"/>
                <w:szCs w:val="24"/>
              </w:rPr>
              <w:t>与营业执照一致</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符合法定工商变更程序除外</w:t>
            </w:r>
            <w:r>
              <w:rPr>
                <w:rFonts w:hint="eastAsia" w:ascii="宋体" w:hAnsi="宋体" w:eastAsia="宋体" w:cs="宋体"/>
                <w:color w:val="auto"/>
                <w:sz w:val="24"/>
                <w:szCs w:val="24"/>
                <w:lang w:eastAsia="zh-CN"/>
              </w:rPr>
              <w:t>)。</w:t>
            </w:r>
          </w:p>
        </w:tc>
        <w:tc>
          <w:tcPr>
            <w:tcW w:w="962" w:type="dxa"/>
            <w:vAlign w:val="center"/>
          </w:tcPr>
          <w:p w14:paraId="795D11D8">
            <w:pPr>
              <w:snapToGrid w:val="0"/>
              <w:jc w:val="center"/>
              <w:rPr>
                <w:rFonts w:hint="eastAsia" w:ascii="宋体" w:hAnsi="宋体" w:eastAsia="宋体" w:cs="宋体"/>
                <w:b/>
                <w:color w:val="auto"/>
                <w:sz w:val="24"/>
                <w:szCs w:val="24"/>
              </w:rPr>
            </w:pPr>
          </w:p>
        </w:tc>
      </w:tr>
      <w:tr w14:paraId="065DD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710" w:type="dxa"/>
            <w:vAlign w:val="center"/>
          </w:tcPr>
          <w:p w14:paraId="00C1995D">
            <w:pPr>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3160" w:type="dxa"/>
            <w:vAlign w:val="center"/>
          </w:tcPr>
          <w:p w14:paraId="37BF0CDD">
            <w:pPr>
              <w:snapToGrid w:val="0"/>
              <w:jc w:val="left"/>
              <w:rPr>
                <w:rFonts w:hint="eastAsia" w:ascii="宋体" w:hAnsi="宋体" w:eastAsia="宋体" w:cs="宋体"/>
                <w:color w:val="auto"/>
                <w:sz w:val="24"/>
                <w:szCs w:val="24"/>
              </w:rPr>
            </w:pPr>
            <w:r>
              <w:rPr>
                <w:rFonts w:hint="eastAsia" w:ascii="宋体" w:hAnsi="宋体" w:eastAsia="宋体" w:cs="宋体"/>
                <w:color w:val="auto"/>
                <w:sz w:val="24"/>
                <w:szCs w:val="24"/>
              </w:rPr>
              <w:t>具有独立承担民事责任的能力</w:t>
            </w:r>
          </w:p>
        </w:tc>
        <w:tc>
          <w:tcPr>
            <w:tcW w:w="5130" w:type="dxa"/>
            <w:vAlign w:val="top"/>
          </w:tcPr>
          <w:p w14:paraId="39812D3F">
            <w:pPr>
              <w:snapToGrid w:val="0"/>
              <w:jc w:val="left"/>
              <w:rPr>
                <w:rFonts w:hint="eastAsia" w:ascii="宋体" w:hAnsi="宋体" w:eastAsia="宋体" w:cs="宋体"/>
                <w:color w:val="auto"/>
                <w:sz w:val="24"/>
                <w:szCs w:val="24"/>
              </w:rPr>
            </w:pPr>
            <w:r>
              <w:rPr>
                <w:rFonts w:hint="eastAsia" w:ascii="宋体" w:hAnsi="宋体" w:eastAsia="宋体" w:cs="宋体"/>
                <w:color w:val="auto"/>
                <w:sz w:val="24"/>
                <w:szCs w:val="24"/>
              </w:rPr>
              <w:t>提供了有效的法人或者其他组织的营业执照等证明文件，自然人的身份证明</w:t>
            </w:r>
            <w:r>
              <w:rPr>
                <w:rFonts w:hint="eastAsia" w:ascii="宋体" w:hAnsi="宋体" w:eastAsia="宋体" w:cs="宋体"/>
                <w:color w:val="auto"/>
                <w:sz w:val="24"/>
                <w:szCs w:val="24"/>
                <w:lang w:eastAsia="zh-CN"/>
              </w:rPr>
              <w:t>。</w:t>
            </w:r>
          </w:p>
        </w:tc>
        <w:tc>
          <w:tcPr>
            <w:tcW w:w="962" w:type="dxa"/>
            <w:vAlign w:val="center"/>
          </w:tcPr>
          <w:p w14:paraId="3F272385">
            <w:pPr>
              <w:snapToGrid w:val="0"/>
              <w:jc w:val="center"/>
              <w:rPr>
                <w:rFonts w:hint="eastAsia" w:ascii="宋体" w:hAnsi="宋体" w:eastAsia="宋体" w:cs="宋体"/>
                <w:color w:val="auto"/>
                <w:sz w:val="24"/>
                <w:szCs w:val="24"/>
              </w:rPr>
            </w:pPr>
          </w:p>
        </w:tc>
      </w:tr>
      <w:tr w14:paraId="64E8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710" w:type="dxa"/>
            <w:vAlign w:val="center"/>
          </w:tcPr>
          <w:p w14:paraId="308F8812">
            <w:pPr>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3160" w:type="dxa"/>
            <w:vAlign w:val="center"/>
          </w:tcPr>
          <w:p w14:paraId="6B15493D">
            <w:pPr>
              <w:snapToGrid w:val="0"/>
              <w:jc w:val="left"/>
              <w:rPr>
                <w:rFonts w:hint="eastAsia" w:ascii="宋体" w:hAnsi="宋体" w:eastAsia="宋体" w:cs="宋体"/>
                <w:color w:val="auto"/>
                <w:sz w:val="24"/>
                <w:szCs w:val="24"/>
              </w:rPr>
            </w:pPr>
            <w:r>
              <w:rPr>
                <w:rFonts w:hint="eastAsia" w:ascii="宋体" w:hAnsi="宋体" w:eastAsia="宋体" w:cs="宋体"/>
                <w:color w:val="auto"/>
                <w:sz w:val="24"/>
                <w:szCs w:val="24"/>
              </w:rPr>
              <w:t>具有健全的财务会计制度</w:t>
            </w:r>
          </w:p>
        </w:tc>
        <w:tc>
          <w:tcPr>
            <w:tcW w:w="5130" w:type="dxa"/>
            <w:vAlign w:val="top"/>
          </w:tcPr>
          <w:p w14:paraId="003724E3">
            <w:pPr>
              <w:snapToGrid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shd w:val="clear"/>
              </w:rPr>
              <w:t>提供了满足招标文件要求的经审计的财务报告</w:t>
            </w:r>
            <w:r>
              <w:rPr>
                <w:rFonts w:hint="eastAsia" w:ascii="宋体" w:hAnsi="宋体" w:eastAsia="宋体" w:cs="宋体"/>
                <w:i w:val="0"/>
                <w:iCs/>
                <w:color w:val="auto"/>
                <w:sz w:val="24"/>
                <w:szCs w:val="24"/>
                <w:highlight w:val="none"/>
                <w:shd w:val="clear"/>
              </w:rPr>
              <w:t>或</w:t>
            </w:r>
            <w:r>
              <w:rPr>
                <w:rFonts w:hint="eastAsia" w:ascii="宋体" w:hAnsi="宋体" w:eastAsia="宋体" w:cs="宋体"/>
                <w:i w:val="0"/>
                <w:iCs/>
                <w:color w:val="auto"/>
                <w:sz w:val="24"/>
                <w:szCs w:val="24"/>
                <w:highlight w:val="none"/>
                <w:shd w:val="clear"/>
                <w:lang w:eastAsia="zh-CN"/>
              </w:rPr>
              <w:t>上一年度</w:t>
            </w:r>
            <w:r>
              <w:rPr>
                <w:rFonts w:hint="eastAsia" w:ascii="宋体" w:hAnsi="宋体" w:eastAsia="宋体" w:cs="宋体"/>
                <w:i w:val="0"/>
                <w:iCs/>
                <w:color w:val="auto"/>
                <w:sz w:val="24"/>
                <w:szCs w:val="24"/>
                <w:highlight w:val="none"/>
                <w:shd w:val="clear"/>
              </w:rPr>
              <w:t>基本开户银行出具的资信证明</w:t>
            </w:r>
          </w:p>
        </w:tc>
        <w:tc>
          <w:tcPr>
            <w:tcW w:w="962" w:type="dxa"/>
            <w:vAlign w:val="center"/>
          </w:tcPr>
          <w:p w14:paraId="5D58A3DE">
            <w:pPr>
              <w:snapToGrid w:val="0"/>
              <w:jc w:val="center"/>
              <w:rPr>
                <w:rFonts w:hint="eastAsia" w:ascii="宋体" w:hAnsi="宋体" w:eastAsia="宋体" w:cs="宋体"/>
                <w:color w:val="auto"/>
                <w:sz w:val="24"/>
                <w:szCs w:val="24"/>
              </w:rPr>
            </w:pPr>
          </w:p>
        </w:tc>
      </w:tr>
      <w:tr w14:paraId="36284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710" w:type="dxa"/>
            <w:vAlign w:val="center"/>
          </w:tcPr>
          <w:p w14:paraId="7F09A9E7">
            <w:pPr>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3160" w:type="dxa"/>
            <w:vAlign w:val="center"/>
          </w:tcPr>
          <w:p w14:paraId="280B8B2A">
            <w:pPr>
              <w:snapToGrid w:val="0"/>
              <w:jc w:val="left"/>
              <w:rPr>
                <w:rFonts w:hint="eastAsia" w:ascii="宋体" w:hAnsi="宋体" w:eastAsia="宋体" w:cs="宋体"/>
                <w:color w:val="auto"/>
                <w:sz w:val="24"/>
                <w:szCs w:val="24"/>
              </w:rPr>
            </w:pPr>
            <w:r>
              <w:rPr>
                <w:rFonts w:hint="eastAsia" w:ascii="宋体" w:hAnsi="宋体" w:eastAsia="宋体" w:cs="宋体"/>
                <w:color w:val="auto"/>
                <w:sz w:val="24"/>
                <w:szCs w:val="24"/>
              </w:rPr>
              <w:t>具有履行合同所必需的设备和专业技术能力</w:t>
            </w:r>
          </w:p>
        </w:tc>
        <w:tc>
          <w:tcPr>
            <w:tcW w:w="5130" w:type="dxa"/>
            <w:vAlign w:val="top"/>
          </w:tcPr>
          <w:p w14:paraId="7FDC1E08">
            <w:pPr>
              <w:snapToGrid w:val="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提供了可充分满足履行合同所需设备和专业技术能力的证明材料或承诺</w:t>
            </w:r>
            <w:r>
              <w:rPr>
                <w:rFonts w:hint="eastAsia" w:ascii="宋体" w:hAnsi="宋体" w:eastAsia="宋体" w:cs="宋体"/>
                <w:color w:val="auto"/>
                <w:sz w:val="24"/>
                <w:szCs w:val="24"/>
                <w:lang w:eastAsia="zh-CN"/>
              </w:rPr>
              <w:t>。</w:t>
            </w:r>
          </w:p>
        </w:tc>
        <w:tc>
          <w:tcPr>
            <w:tcW w:w="962" w:type="dxa"/>
            <w:vAlign w:val="center"/>
          </w:tcPr>
          <w:p w14:paraId="05753D56">
            <w:pPr>
              <w:snapToGrid w:val="0"/>
              <w:jc w:val="center"/>
              <w:rPr>
                <w:rFonts w:hint="eastAsia" w:ascii="宋体" w:hAnsi="宋体" w:eastAsia="宋体" w:cs="宋体"/>
                <w:color w:val="auto"/>
                <w:sz w:val="24"/>
                <w:szCs w:val="24"/>
              </w:rPr>
            </w:pPr>
          </w:p>
        </w:tc>
      </w:tr>
      <w:tr w14:paraId="7F6D2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10" w:type="dxa"/>
            <w:vAlign w:val="center"/>
          </w:tcPr>
          <w:p w14:paraId="338720FC">
            <w:pPr>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5</w:t>
            </w:r>
          </w:p>
        </w:tc>
        <w:tc>
          <w:tcPr>
            <w:tcW w:w="3160" w:type="dxa"/>
            <w:vAlign w:val="center"/>
          </w:tcPr>
          <w:p w14:paraId="62B9F635">
            <w:pPr>
              <w:snapToGrid w:val="0"/>
              <w:jc w:val="left"/>
              <w:rPr>
                <w:rFonts w:hint="eastAsia" w:ascii="宋体" w:hAnsi="宋体" w:eastAsia="宋体" w:cs="宋体"/>
                <w:color w:val="auto"/>
                <w:sz w:val="24"/>
                <w:szCs w:val="24"/>
              </w:rPr>
            </w:pPr>
            <w:r>
              <w:rPr>
                <w:rFonts w:hint="eastAsia" w:ascii="宋体" w:hAnsi="宋体" w:eastAsia="宋体" w:cs="宋体"/>
                <w:color w:val="auto"/>
                <w:sz w:val="24"/>
                <w:szCs w:val="24"/>
              </w:rPr>
              <w:t>有依法缴纳税收和社会保障资金的良好记录</w:t>
            </w:r>
          </w:p>
        </w:tc>
        <w:tc>
          <w:tcPr>
            <w:tcW w:w="5130" w:type="dxa"/>
            <w:vAlign w:val="top"/>
          </w:tcPr>
          <w:p w14:paraId="610C32D2">
            <w:pPr>
              <w:snapToGrid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1.提供了招标文件要求时间内的缴纳</w:t>
            </w:r>
            <w:r>
              <w:rPr>
                <w:rFonts w:hint="eastAsia" w:ascii="宋体" w:hAnsi="宋体" w:eastAsia="宋体" w:cs="宋体"/>
                <w:color w:val="auto"/>
                <w:sz w:val="24"/>
                <w:szCs w:val="24"/>
                <w:highlight w:val="none"/>
                <w:lang w:val="en-US" w:eastAsia="zh-CN"/>
              </w:rPr>
              <w:t>税收</w:t>
            </w:r>
            <w:r>
              <w:rPr>
                <w:rFonts w:hint="eastAsia" w:ascii="宋体" w:hAnsi="宋体" w:eastAsia="宋体" w:cs="宋体"/>
                <w:color w:val="auto"/>
                <w:sz w:val="24"/>
                <w:szCs w:val="24"/>
                <w:highlight w:val="none"/>
              </w:rPr>
              <w:t>的凭证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银行出具的缴税凭证或税务机关出具的证明的复印件，并加盖本单位公章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或免税证明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复印件加盖公章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65B5B43D">
            <w:pPr>
              <w:snapToGrid w:val="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2.提供了招标文件要求时间内的社会保障资金缴纳记录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专用收据或社会保险缴纳清单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或</w:t>
            </w:r>
            <w:r>
              <w:rPr>
                <w:rFonts w:hint="eastAsia" w:ascii="宋体" w:hAnsi="宋体" w:eastAsia="宋体" w:cs="宋体"/>
                <w:color w:val="auto"/>
                <w:sz w:val="24"/>
                <w:szCs w:val="24"/>
                <w:highlight w:val="none"/>
                <w:lang w:val="en-US" w:eastAsia="zh-CN"/>
              </w:rPr>
              <w:t>其他社保</w:t>
            </w:r>
            <w:r>
              <w:rPr>
                <w:rFonts w:hint="eastAsia" w:ascii="宋体" w:hAnsi="宋体" w:eastAsia="宋体" w:cs="宋体"/>
                <w:color w:val="auto"/>
                <w:sz w:val="24"/>
                <w:szCs w:val="24"/>
                <w:highlight w:val="none"/>
              </w:rPr>
              <w:t>证明</w:t>
            </w:r>
            <w:r>
              <w:rPr>
                <w:rFonts w:hint="eastAsia" w:ascii="宋体" w:hAnsi="宋体" w:eastAsia="宋体" w:cs="宋体"/>
                <w:color w:val="auto"/>
                <w:sz w:val="24"/>
                <w:szCs w:val="24"/>
                <w:highlight w:val="none"/>
                <w:lang w:val="en-US" w:eastAsia="zh-CN"/>
              </w:rPr>
              <w:t>材料</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复印件加盖公章</w:t>
            </w:r>
            <w:r>
              <w:rPr>
                <w:rFonts w:hint="eastAsia" w:ascii="宋体" w:hAnsi="宋体" w:eastAsia="宋体" w:cs="宋体"/>
                <w:color w:val="auto"/>
                <w:sz w:val="24"/>
                <w:szCs w:val="24"/>
                <w:highlight w:val="none"/>
                <w:lang w:eastAsia="zh-CN"/>
              </w:rPr>
              <w:t>)。</w:t>
            </w:r>
          </w:p>
        </w:tc>
        <w:tc>
          <w:tcPr>
            <w:tcW w:w="962" w:type="dxa"/>
            <w:vAlign w:val="center"/>
          </w:tcPr>
          <w:p w14:paraId="74BB210B">
            <w:pPr>
              <w:snapToGrid w:val="0"/>
              <w:jc w:val="center"/>
              <w:rPr>
                <w:rFonts w:hint="eastAsia" w:ascii="宋体" w:hAnsi="宋体" w:eastAsia="宋体" w:cs="宋体"/>
                <w:color w:val="auto"/>
                <w:sz w:val="24"/>
                <w:szCs w:val="24"/>
              </w:rPr>
            </w:pPr>
          </w:p>
        </w:tc>
      </w:tr>
      <w:tr w14:paraId="6E9AA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710" w:type="dxa"/>
            <w:vAlign w:val="center"/>
          </w:tcPr>
          <w:p w14:paraId="1EF2836B">
            <w:pPr>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6</w:t>
            </w:r>
          </w:p>
        </w:tc>
        <w:tc>
          <w:tcPr>
            <w:tcW w:w="3160" w:type="dxa"/>
            <w:vAlign w:val="center"/>
          </w:tcPr>
          <w:p w14:paraId="63B4FCD7">
            <w:pPr>
              <w:snapToGrid w:val="0"/>
              <w:jc w:val="left"/>
              <w:rPr>
                <w:rFonts w:hint="eastAsia" w:ascii="宋体" w:hAnsi="宋体" w:eastAsia="宋体" w:cs="宋体"/>
                <w:color w:val="auto"/>
                <w:sz w:val="24"/>
                <w:szCs w:val="24"/>
              </w:rPr>
            </w:pPr>
            <w:r>
              <w:rPr>
                <w:rFonts w:hint="eastAsia" w:ascii="宋体" w:hAnsi="宋体" w:eastAsia="宋体" w:cs="宋体"/>
                <w:color w:val="auto"/>
                <w:sz w:val="24"/>
                <w:szCs w:val="24"/>
              </w:rPr>
              <w:t>参加政府采购活动前三年内，在经营活动中没有重大违法记录</w:t>
            </w:r>
          </w:p>
        </w:tc>
        <w:tc>
          <w:tcPr>
            <w:tcW w:w="5130" w:type="dxa"/>
            <w:vAlign w:val="top"/>
          </w:tcPr>
          <w:p w14:paraId="124F67AB">
            <w:pPr>
              <w:snapToGrid w:val="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提供了有效的参加政府采购活动前3年内在经营活动中没有重大违法记录的书面声明</w:t>
            </w:r>
            <w:r>
              <w:rPr>
                <w:rFonts w:hint="eastAsia" w:ascii="宋体" w:hAnsi="宋体" w:eastAsia="宋体" w:cs="宋体"/>
                <w:color w:val="auto"/>
                <w:sz w:val="24"/>
                <w:szCs w:val="24"/>
                <w:lang w:eastAsia="zh-CN"/>
              </w:rPr>
              <w:t>。</w:t>
            </w:r>
          </w:p>
        </w:tc>
        <w:tc>
          <w:tcPr>
            <w:tcW w:w="962" w:type="dxa"/>
            <w:vAlign w:val="center"/>
          </w:tcPr>
          <w:p w14:paraId="611E0A7B">
            <w:pPr>
              <w:snapToGrid w:val="0"/>
              <w:jc w:val="center"/>
              <w:rPr>
                <w:rFonts w:hint="eastAsia" w:ascii="宋体" w:hAnsi="宋体" w:eastAsia="宋体" w:cs="宋体"/>
                <w:color w:val="auto"/>
                <w:sz w:val="24"/>
                <w:szCs w:val="24"/>
              </w:rPr>
            </w:pPr>
          </w:p>
        </w:tc>
      </w:tr>
      <w:tr w14:paraId="2CE4A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10" w:type="dxa"/>
            <w:vAlign w:val="center"/>
          </w:tcPr>
          <w:p w14:paraId="57F51F0E">
            <w:pPr>
              <w:snapToGrid w:val="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7</w:t>
            </w:r>
          </w:p>
        </w:tc>
        <w:tc>
          <w:tcPr>
            <w:tcW w:w="3160" w:type="dxa"/>
            <w:vAlign w:val="center"/>
          </w:tcPr>
          <w:p w14:paraId="6A41682F">
            <w:pPr>
              <w:snapToGrid w:val="0"/>
              <w:jc w:val="left"/>
              <w:rPr>
                <w:rFonts w:hint="eastAsia" w:ascii="宋体" w:hAnsi="宋体" w:eastAsia="宋体" w:cs="宋体"/>
                <w:color w:val="auto"/>
                <w:sz w:val="24"/>
                <w:szCs w:val="24"/>
              </w:rPr>
            </w:pPr>
            <w:r>
              <w:rPr>
                <w:rFonts w:hint="eastAsia" w:ascii="宋体" w:hAnsi="宋体" w:eastAsia="宋体" w:cs="宋体"/>
                <w:color w:val="auto"/>
                <w:sz w:val="24"/>
                <w:szCs w:val="24"/>
              </w:rPr>
              <w:t>联合体投标</w:t>
            </w:r>
          </w:p>
        </w:tc>
        <w:tc>
          <w:tcPr>
            <w:tcW w:w="5130" w:type="dxa"/>
            <w:vAlign w:val="top"/>
          </w:tcPr>
          <w:p w14:paraId="1ED2EA54">
            <w:pPr>
              <w:snapToGrid w:val="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本项目不</w:t>
            </w:r>
            <w:r>
              <w:rPr>
                <w:rFonts w:hint="eastAsia" w:ascii="宋体" w:hAnsi="宋体" w:eastAsia="宋体" w:cs="宋体"/>
                <w:color w:val="auto"/>
                <w:sz w:val="24"/>
                <w:szCs w:val="24"/>
              </w:rPr>
              <w:t>允许联合体投标</w:t>
            </w:r>
            <w:r>
              <w:rPr>
                <w:rFonts w:hint="eastAsia" w:ascii="宋体" w:hAnsi="宋体" w:cs="宋体"/>
                <w:color w:val="auto"/>
                <w:sz w:val="24"/>
                <w:szCs w:val="24"/>
                <w:lang w:eastAsia="zh-CN"/>
              </w:rPr>
              <w:t>。</w:t>
            </w:r>
          </w:p>
        </w:tc>
        <w:tc>
          <w:tcPr>
            <w:tcW w:w="962" w:type="dxa"/>
            <w:vAlign w:val="center"/>
          </w:tcPr>
          <w:p w14:paraId="24FC4E94">
            <w:pPr>
              <w:snapToGrid w:val="0"/>
              <w:ind w:left="425"/>
              <w:jc w:val="center"/>
              <w:rPr>
                <w:rFonts w:hint="eastAsia" w:ascii="宋体" w:hAnsi="宋体" w:eastAsia="宋体" w:cs="宋体"/>
                <w:color w:val="auto"/>
                <w:sz w:val="24"/>
                <w:szCs w:val="24"/>
              </w:rPr>
            </w:pPr>
          </w:p>
        </w:tc>
      </w:tr>
      <w:tr w14:paraId="50071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7" w:hRule="atLeast"/>
          <w:jc w:val="center"/>
        </w:trPr>
        <w:tc>
          <w:tcPr>
            <w:tcW w:w="710" w:type="dxa"/>
            <w:vAlign w:val="center"/>
          </w:tcPr>
          <w:p w14:paraId="1F7FF5FC">
            <w:pPr>
              <w:snapToGrid w:val="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8</w:t>
            </w:r>
          </w:p>
        </w:tc>
        <w:tc>
          <w:tcPr>
            <w:tcW w:w="3160" w:type="dxa"/>
            <w:vAlign w:val="center"/>
          </w:tcPr>
          <w:p w14:paraId="0475898B">
            <w:pPr>
              <w:snapToGrid w:val="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特定资格条件</w:t>
            </w:r>
            <w:r>
              <w:rPr>
                <w:rFonts w:hint="eastAsia" w:ascii="宋体" w:hAnsi="宋体" w:eastAsia="宋体" w:cs="宋体"/>
                <w:color w:val="auto"/>
                <w:sz w:val="24"/>
                <w:szCs w:val="24"/>
                <w:lang w:val="en-US" w:eastAsia="zh-CN"/>
              </w:rPr>
              <w:t>1</w:t>
            </w:r>
          </w:p>
        </w:tc>
        <w:tc>
          <w:tcPr>
            <w:tcW w:w="5130" w:type="dxa"/>
            <w:vAlign w:val="top"/>
          </w:tcPr>
          <w:p w14:paraId="538EA5DF">
            <w:pPr>
              <w:snapToGrid w:val="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未被“信用中国”网站(www.creditchina.gov.cn)中列入失信被执行人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重大税收违法案件当事人名单的供应商、未被中国政府采购网(www.ccgp.gov.cn)列入政府采购严重违法失信行为记录名单中被财政部门禁止参加政府采购活动的供应商</w:t>
            </w:r>
            <w:r>
              <w:rPr>
                <w:rFonts w:hint="eastAsia" w:ascii="宋体" w:hAnsi="宋体" w:eastAsia="宋体" w:cs="宋体"/>
                <w:color w:val="auto"/>
                <w:sz w:val="24"/>
                <w:szCs w:val="24"/>
                <w:lang w:eastAsia="zh-CN"/>
              </w:rPr>
              <w:t>。</w:t>
            </w:r>
          </w:p>
        </w:tc>
        <w:tc>
          <w:tcPr>
            <w:tcW w:w="962" w:type="dxa"/>
            <w:vAlign w:val="center"/>
          </w:tcPr>
          <w:p w14:paraId="241C8239">
            <w:pPr>
              <w:snapToGrid w:val="0"/>
              <w:ind w:left="425"/>
              <w:jc w:val="center"/>
              <w:rPr>
                <w:rFonts w:hint="eastAsia" w:ascii="宋体" w:hAnsi="宋体" w:eastAsia="宋体" w:cs="宋体"/>
                <w:color w:val="auto"/>
                <w:sz w:val="24"/>
                <w:szCs w:val="24"/>
              </w:rPr>
            </w:pPr>
          </w:p>
        </w:tc>
      </w:tr>
      <w:tr w14:paraId="1DB26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jc w:val="center"/>
        </w:trPr>
        <w:tc>
          <w:tcPr>
            <w:tcW w:w="710" w:type="dxa"/>
            <w:vAlign w:val="center"/>
          </w:tcPr>
          <w:p w14:paraId="19D18535">
            <w:pPr>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w:t>
            </w:r>
          </w:p>
        </w:tc>
        <w:tc>
          <w:tcPr>
            <w:tcW w:w="3160" w:type="dxa"/>
            <w:vAlign w:val="center"/>
          </w:tcPr>
          <w:p w14:paraId="71E4A46D">
            <w:pPr>
              <w:snapToGrid w:val="0"/>
              <w:jc w:val="lef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特定资格条件</w:t>
            </w:r>
            <w:r>
              <w:rPr>
                <w:rFonts w:hint="eastAsia" w:ascii="宋体" w:hAnsi="宋体" w:eastAsia="宋体" w:cs="宋体"/>
                <w:color w:val="auto"/>
                <w:sz w:val="24"/>
                <w:szCs w:val="24"/>
                <w:lang w:val="en-US" w:eastAsia="zh-CN"/>
              </w:rPr>
              <w:t>2</w:t>
            </w:r>
          </w:p>
        </w:tc>
        <w:tc>
          <w:tcPr>
            <w:tcW w:w="5130" w:type="dxa"/>
            <w:vAlign w:val="top"/>
          </w:tcPr>
          <w:p w14:paraId="0DEA7ED7">
            <w:pPr>
              <w:snapToGrid w:val="0"/>
              <w:jc w:val="left"/>
              <w:rPr>
                <w:rFonts w:hint="eastAsia" w:ascii="宋体" w:hAnsi="宋体" w:eastAsia="宋体" w:cs="宋体"/>
                <w:color w:val="auto"/>
                <w:sz w:val="24"/>
                <w:szCs w:val="24"/>
                <w:highlight w:val="cyan"/>
                <w:lang w:eastAsia="zh-CN"/>
              </w:rPr>
            </w:pPr>
            <w:r>
              <w:rPr>
                <w:rFonts w:hint="eastAsia" w:ascii="宋体" w:hAnsi="宋体" w:eastAsia="宋体" w:cs="宋体"/>
                <w:color w:val="auto"/>
                <w:sz w:val="24"/>
                <w:szCs w:val="24"/>
                <w:highlight w:val="none"/>
              </w:rPr>
              <w:t>单位负责人为同一人或者存在直接控股、管理关系的不同供应商，不得参加同一合同项下的政府采购活动</w:t>
            </w:r>
            <w:r>
              <w:rPr>
                <w:rFonts w:hint="eastAsia" w:ascii="宋体" w:hAnsi="宋体" w:eastAsia="宋体" w:cs="宋体"/>
                <w:color w:val="auto"/>
                <w:sz w:val="24"/>
                <w:szCs w:val="24"/>
                <w:highlight w:val="none"/>
                <w:lang w:eastAsia="zh-CN"/>
              </w:rPr>
              <w:t>；提供了“供应商关联企业情况声明”。各供应商之间不存在单位负责人为同一人或者存在控股、管理关系情形。</w:t>
            </w:r>
          </w:p>
        </w:tc>
        <w:tc>
          <w:tcPr>
            <w:tcW w:w="962" w:type="dxa"/>
            <w:vAlign w:val="center"/>
          </w:tcPr>
          <w:p w14:paraId="19608FF0">
            <w:pPr>
              <w:snapToGrid w:val="0"/>
              <w:ind w:left="425"/>
              <w:jc w:val="center"/>
              <w:rPr>
                <w:rFonts w:hint="default" w:ascii="宋体" w:hAnsi="宋体" w:eastAsia="宋体" w:cs="宋体"/>
                <w:color w:val="auto"/>
                <w:sz w:val="24"/>
                <w:szCs w:val="24"/>
                <w:highlight w:val="cyan"/>
                <w:lang w:val="en-US" w:eastAsia="zh-CN"/>
              </w:rPr>
            </w:pPr>
          </w:p>
        </w:tc>
      </w:tr>
      <w:tr w14:paraId="7A511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710" w:type="dxa"/>
            <w:vAlign w:val="center"/>
          </w:tcPr>
          <w:p w14:paraId="30F76D8D">
            <w:pPr>
              <w:snapToGrid w:val="0"/>
              <w:jc w:val="center"/>
              <w:rPr>
                <w:rFonts w:hint="eastAsia" w:ascii="宋体" w:hAnsi="宋体" w:eastAsia="宋体" w:cs="宋体"/>
                <w:color w:val="auto"/>
                <w:sz w:val="24"/>
                <w:szCs w:val="24"/>
              </w:rPr>
            </w:pPr>
          </w:p>
        </w:tc>
        <w:tc>
          <w:tcPr>
            <w:tcW w:w="3160" w:type="dxa"/>
            <w:vAlign w:val="center"/>
          </w:tcPr>
          <w:p w14:paraId="7BF37A9F">
            <w:pPr>
              <w:snapToGrid w:val="0"/>
              <w:ind w:left="425"/>
              <w:jc w:val="center"/>
              <w:rPr>
                <w:rFonts w:hint="eastAsia" w:ascii="宋体" w:hAnsi="宋体" w:eastAsia="宋体" w:cs="宋体"/>
                <w:color w:val="auto"/>
                <w:sz w:val="24"/>
                <w:szCs w:val="24"/>
              </w:rPr>
            </w:pPr>
            <w:r>
              <w:rPr>
                <w:rFonts w:hint="eastAsia" w:ascii="宋体" w:hAnsi="宋体" w:eastAsia="宋体" w:cs="宋体"/>
                <w:color w:val="auto"/>
                <w:sz w:val="24"/>
                <w:szCs w:val="24"/>
              </w:rPr>
              <w:t>结论</w:t>
            </w:r>
          </w:p>
        </w:tc>
        <w:tc>
          <w:tcPr>
            <w:tcW w:w="5130" w:type="dxa"/>
            <w:vAlign w:val="top"/>
          </w:tcPr>
          <w:p w14:paraId="625D2CC5">
            <w:pPr>
              <w:snapToGrid w:val="0"/>
              <w:jc w:val="center"/>
              <w:rPr>
                <w:rFonts w:hint="eastAsia" w:ascii="宋体" w:hAnsi="宋体" w:eastAsia="宋体" w:cs="宋体"/>
                <w:color w:val="auto"/>
                <w:sz w:val="24"/>
                <w:szCs w:val="24"/>
              </w:rPr>
            </w:pPr>
          </w:p>
        </w:tc>
        <w:tc>
          <w:tcPr>
            <w:tcW w:w="962" w:type="dxa"/>
            <w:vAlign w:val="center"/>
          </w:tcPr>
          <w:p w14:paraId="3538E0E4">
            <w:pPr>
              <w:snapToGrid w:val="0"/>
              <w:ind w:left="425"/>
              <w:jc w:val="center"/>
              <w:rPr>
                <w:rFonts w:hint="eastAsia" w:ascii="宋体" w:hAnsi="宋体" w:eastAsia="宋体" w:cs="宋体"/>
                <w:color w:val="auto"/>
                <w:sz w:val="24"/>
                <w:szCs w:val="24"/>
              </w:rPr>
            </w:pPr>
          </w:p>
        </w:tc>
      </w:tr>
    </w:tbl>
    <w:p w14:paraId="3CFD6A22">
      <w:pPr>
        <w:spacing w:line="0" w:lineRule="atLeast"/>
        <w:ind w:left="425"/>
        <w:rPr>
          <w:rFonts w:hint="eastAsia" w:ascii="宋体" w:hAnsi="宋体" w:eastAsia="宋体" w:cs="宋体"/>
          <w:color w:val="auto"/>
          <w:sz w:val="24"/>
          <w:szCs w:val="24"/>
        </w:rPr>
      </w:pPr>
      <w:r>
        <w:rPr>
          <w:rFonts w:hint="eastAsia" w:ascii="宋体" w:hAnsi="宋体" w:eastAsia="宋体" w:cs="宋体"/>
          <w:color w:val="auto"/>
          <w:sz w:val="24"/>
          <w:szCs w:val="24"/>
        </w:rPr>
        <w:t>注</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符合要求用“</w:t>
      </w:r>
      <w:r>
        <w:rPr>
          <w:rFonts w:hint="eastAsia" w:ascii="宋体" w:hAnsi="宋体" w:eastAsia="宋体" w:cs="宋体"/>
          <w:b/>
          <w:color w:val="auto"/>
          <w:sz w:val="24"/>
          <w:szCs w:val="24"/>
        </w:rPr>
        <w:t>√</w:t>
      </w:r>
      <w:r>
        <w:rPr>
          <w:rFonts w:hint="eastAsia" w:ascii="宋体" w:hAnsi="宋体" w:eastAsia="宋体" w:cs="宋体"/>
          <w:color w:val="auto"/>
          <w:sz w:val="24"/>
          <w:szCs w:val="24"/>
        </w:rPr>
        <w:t>”表示，不符合用“×”表示。有一项不符合要求，结论为不合格。</w:t>
      </w:r>
    </w:p>
    <w:p w14:paraId="3AF01A95">
      <w:pPr>
        <w:tabs>
          <w:tab w:val="left" w:pos="-94"/>
          <w:tab w:val="left" w:pos="428"/>
        </w:tabs>
        <w:adjustRightInd w:val="0"/>
        <w:spacing w:line="360" w:lineRule="auto"/>
        <w:jc w:val="center"/>
        <w:textAlignment w:val="baseline"/>
        <w:outlineLvl w:val="1"/>
        <w:rPr>
          <w:rFonts w:hint="eastAsia" w:ascii="宋体" w:hAnsi="宋体" w:eastAsia="宋体" w:cs="宋体"/>
          <w:b/>
          <w:color w:val="auto"/>
          <w:sz w:val="24"/>
          <w:szCs w:val="24"/>
        </w:rPr>
      </w:pPr>
      <w:r>
        <w:rPr>
          <w:color w:val="auto"/>
          <w:szCs w:val="21"/>
        </w:rPr>
        <w:br w:type="page"/>
      </w:r>
      <w:bookmarkStart w:id="147" w:name="_Toc414446033"/>
      <w:bookmarkStart w:id="148" w:name="_Toc23856"/>
      <w:bookmarkStart w:id="149" w:name="_Toc410631197"/>
      <w:bookmarkStart w:id="150" w:name="_Toc29013"/>
      <w:bookmarkStart w:id="151" w:name="_Toc8377"/>
      <w:bookmarkStart w:id="152" w:name="_Toc13254"/>
      <w:r>
        <w:rPr>
          <w:rFonts w:hint="eastAsia"/>
          <w:b/>
          <w:color w:val="auto"/>
          <w:sz w:val="28"/>
          <w:szCs w:val="28"/>
        </w:rPr>
        <w:t xml:space="preserve">附表二 </w:t>
      </w:r>
      <w:r>
        <w:rPr>
          <w:b/>
          <w:color w:val="auto"/>
          <w:sz w:val="28"/>
          <w:szCs w:val="28"/>
        </w:rPr>
        <w:t>符合性审查表</w:t>
      </w:r>
      <w:bookmarkEnd w:id="147"/>
      <w:bookmarkEnd w:id="148"/>
      <w:bookmarkEnd w:id="149"/>
      <w:bookmarkEnd w:id="150"/>
      <w:bookmarkEnd w:id="151"/>
      <w:bookmarkEnd w:id="152"/>
    </w:p>
    <w:tbl>
      <w:tblPr>
        <w:tblStyle w:val="43"/>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02"/>
        <w:gridCol w:w="1850"/>
        <w:gridCol w:w="5800"/>
        <w:gridCol w:w="1410"/>
      </w:tblGrid>
      <w:tr w14:paraId="15DA7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02" w:type="dxa"/>
            <w:vAlign w:val="center"/>
          </w:tcPr>
          <w:p w14:paraId="55F81359">
            <w:pPr>
              <w:tabs>
                <w:tab w:val="left" w:pos="1260"/>
                <w:tab w:val="left" w:pos="1620"/>
              </w:tabs>
              <w:adjustRightInd w:val="0"/>
              <w:snapToGrid w:val="0"/>
              <w:jc w:val="center"/>
              <w:textAlignment w:val="baseline"/>
              <w:rPr>
                <w:rFonts w:hint="eastAsia" w:ascii="宋体" w:hAnsi="宋体" w:eastAsia="宋体" w:cs="宋体"/>
                <w:b/>
                <w:caps/>
                <w:color w:val="auto"/>
                <w:sz w:val="24"/>
                <w:szCs w:val="24"/>
              </w:rPr>
            </w:pPr>
            <w:r>
              <w:rPr>
                <w:rFonts w:hint="eastAsia" w:ascii="宋体" w:hAnsi="宋体" w:eastAsia="宋体" w:cs="宋体"/>
                <w:b/>
                <w:caps/>
                <w:color w:val="auto"/>
                <w:sz w:val="24"/>
                <w:szCs w:val="24"/>
              </w:rPr>
              <w:t>序号</w:t>
            </w:r>
          </w:p>
        </w:tc>
        <w:tc>
          <w:tcPr>
            <w:tcW w:w="1851" w:type="dxa"/>
            <w:vAlign w:val="center"/>
          </w:tcPr>
          <w:p w14:paraId="2912D16A">
            <w:pPr>
              <w:tabs>
                <w:tab w:val="left" w:pos="1260"/>
                <w:tab w:val="left" w:pos="1620"/>
              </w:tabs>
              <w:adjustRightInd w:val="0"/>
              <w:snapToGrid w:val="0"/>
              <w:jc w:val="center"/>
              <w:textAlignment w:val="baseline"/>
              <w:rPr>
                <w:rFonts w:hint="eastAsia" w:ascii="宋体" w:hAnsi="宋体" w:eastAsia="宋体" w:cs="宋体"/>
                <w:b/>
                <w:caps/>
                <w:color w:val="auto"/>
                <w:sz w:val="24"/>
                <w:szCs w:val="24"/>
              </w:rPr>
            </w:pPr>
            <w:r>
              <w:rPr>
                <w:rFonts w:hint="eastAsia" w:ascii="宋体" w:hAnsi="宋体" w:eastAsia="宋体" w:cs="宋体"/>
                <w:b/>
                <w:caps/>
                <w:color w:val="auto"/>
                <w:sz w:val="24"/>
                <w:szCs w:val="24"/>
              </w:rPr>
              <w:t>评审项目</w:t>
            </w:r>
          </w:p>
        </w:tc>
        <w:tc>
          <w:tcPr>
            <w:tcW w:w="5799" w:type="dxa"/>
            <w:vAlign w:val="center"/>
          </w:tcPr>
          <w:p w14:paraId="74FF1411">
            <w:pPr>
              <w:tabs>
                <w:tab w:val="left" w:pos="1260"/>
                <w:tab w:val="left" w:pos="1620"/>
              </w:tabs>
              <w:adjustRightInd w:val="0"/>
              <w:snapToGrid w:val="0"/>
              <w:jc w:val="center"/>
              <w:textAlignment w:val="baseline"/>
              <w:rPr>
                <w:rFonts w:hint="eastAsia" w:ascii="宋体" w:hAnsi="宋体" w:eastAsia="宋体" w:cs="宋体"/>
                <w:b/>
                <w:caps/>
                <w:color w:val="auto"/>
                <w:sz w:val="24"/>
                <w:szCs w:val="24"/>
              </w:rPr>
            </w:pPr>
            <w:r>
              <w:rPr>
                <w:rFonts w:hint="eastAsia" w:ascii="宋体" w:hAnsi="宋体" w:eastAsia="宋体" w:cs="宋体"/>
                <w:b/>
                <w:caps/>
                <w:color w:val="auto"/>
                <w:sz w:val="24"/>
                <w:szCs w:val="24"/>
              </w:rPr>
              <w:t>评审标准</w:t>
            </w:r>
          </w:p>
        </w:tc>
        <w:tc>
          <w:tcPr>
            <w:tcW w:w="1410" w:type="dxa"/>
            <w:vAlign w:val="center"/>
          </w:tcPr>
          <w:p w14:paraId="28C9A689">
            <w:pPr>
              <w:tabs>
                <w:tab w:val="left" w:pos="1260"/>
                <w:tab w:val="left" w:pos="1620"/>
              </w:tabs>
              <w:adjustRightInd w:val="0"/>
              <w:snapToGrid w:val="0"/>
              <w:jc w:val="center"/>
              <w:textAlignment w:val="baseline"/>
              <w:rPr>
                <w:rFonts w:hint="eastAsia" w:ascii="宋体" w:hAnsi="宋体" w:eastAsia="宋体" w:cs="宋体"/>
                <w:b/>
                <w:caps/>
                <w:color w:val="auto"/>
                <w:sz w:val="24"/>
                <w:szCs w:val="24"/>
              </w:rPr>
            </w:pPr>
            <w:r>
              <w:rPr>
                <w:rFonts w:hint="eastAsia" w:ascii="宋体" w:hAnsi="宋体" w:eastAsia="宋体" w:cs="宋体"/>
                <w:b/>
                <w:caps/>
                <w:color w:val="auto"/>
                <w:sz w:val="24"/>
                <w:szCs w:val="24"/>
              </w:rPr>
              <w:t>评审结论</w:t>
            </w:r>
          </w:p>
          <w:p w14:paraId="42086DEE">
            <w:pPr>
              <w:tabs>
                <w:tab w:val="left" w:pos="1260"/>
                <w:tab w:val="left" w:pos="1620"/>
              </w:tabs>
              <w:adjustRightInd w:val="0"/>
              <w:snapToGrid w:val="0"/>
              <w:jc w:val="center"/>
              <w:textAlignment w:val="baseline"/>
              <w:rPr>
                <w:rFonts w:hint="eastAsia" w:ascii="宋体" w:hAnsi="宋体" w:eastAsia="宋体" w:cs="宋体"/>
                <w:b/>
                <w:caps/>
                <w:color w:val="auto"/>
                <w:sz w:val="24"/>
                <w:szCs w:val="24"/>
                <w:lang w:eastAsia="zh-CN"/>
              </w:rPr>
            </w:pPr>
            <w:r>
              <w:rPr>
                <w:rFonts w:hint="eastAsia" w:ascii="宋体" w:hAnsi="宋体" w:eastAsia="宋体" w:cs="宋体"/>
                <w:b/>
                <w:caps/>
                <w:color w:val="auto"/>
                <w:sz w:val="24"/>
                <w:szCs w:val="24"/>
                <w:lang w:eastAsia="zh-CN"/>
              </w:rPr>
              <w:t>(</w:t>
            </w:r>
            <w:r>
              <w:rPr>
                <w:rFonts w:hint="eastAsia" w:ascii="宋体" w:hAnsi="宋体" w:eastAsia="宋体" w:cs="宋体"/>
                <w:b/>
                <w:color w:val="auto"/>
                <w:sz w:val="24"/>
                <w:szCs w:val="24"/>
              </w:rPr>
              <w:t>√</w:t>
            </w:r>
            <w:r>
              <w:rPr>
                <w:rFonts w:hint="eastAsia" w:ascii="宋体" w:hAnsi="宋体" w:eastAsia="宋体" w:cs="宋体"/>
                <w:b/>
                <w:caps/>
                <w:color w:val="auto"/>
                <w:sz w:val="24"/>
                <w:szCs w:val="24"/>
              </w:rPr>
              <w:t>/</w:t>
            </w:r>
            <w:r>
              <w:rPr>
                <w:rFonts w:hint="eastAsia" w:ascii="宋体" w:hAnsi="宋体" w:eastAsia="宋体" w:cs="宋体"/>
                <w:color w:val="auto"/>
                <w:sz w:val="24"/>
                <w:szCs w:val="24"/>
              </w:rPr>
              <w:t>×</w:t>
            </w:r>
            <w:r>
              <w:rPr>
                <w:rFonts w:hint="eastAsia" w:ascii="宋体" w:hAnsi="宋体" w:eastAsia="宋体" w:cs="宋体"/>
                <w:b/>
                <w:caps/>
                <w:color w:val="auto"/>
                <w:sz w:val="24"/>
                <w:szCs w:val="24"/>
                <w:lang w:eastAsia="zh-CN"/>
              </w:rPr>
              <w:t>)</w:t>
            </w:r>
          </w:p>
        </w:tc>
      </w:tr>
      <w:tr w14:paraId="45358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02" w:type="dxa"/>
            <w:vAlign w:val="center"/>
          </w:tcPr>
          <w:p w14:paraId="6C20C36B">
            <w:pPr>
              <w:numPr>
                <w:ilvl w:val="0"/>
                <w:numId w:val="0"/>
              </w:numPr>
              <w:tabs>
                <w:tab w:val="left" w:pos="1260"/>
                <w:tab w:val="left" w:pos="1620"/>
              </w:tabs>
              <w:adjustRightInd w:val="0"/>
              <w:snapToGrid w:val="0"/>
              <w:ind w:left="425" w:leftChars="0" w:hanging="425" w:firstLineChars="0"/>
              <w:jc w:val="center"/>
              <w:textAlignment w:val="baseline"/>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1</w:t>
            </w:r>
          </w:p>
        </w:tc>
        <w:tc>
          <w:tcPr>
            <w:tcW w:w="1851" w:type="dxa"/>
            <w:vAlign w:val="center"/>
          </w:tcPr>
          <w:p w14:paraId="2EAF6B02">
            <w:pPr>
              <w:tabs>
                <w:tab w:val="left" w:pos="1260"/>
                <w:tab w:val="left" w:pos="1620"/>
              </w:tabs>
              <w:adjustRightInd w:val="0"/>
              <w:snapToGrid w:val="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投标保证金</w:t>
            </w:r>
          </w:p>
        </w:tc>
        <w:tc>
          <w:tcPr>
            <w:tcW w:w="5799" w:type="dxa"/>
            <w:vAlign w:val="center"/>
          </w:tcPr>
          <w:p w14:paraId="231F009D">
            <w:pPr>
              <w:tabs>
                <w:tab w:val="left" w:pos="1260"/>
                <w:tab w:val="left" w:pos="1620"/>
              </w:tabs>
              <w:adjustRightInd w:val="0"/>
              <w:snapToGrid w:val="0"/>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按照招标文件的规定提交投标保证金</w:t>
            </w:r>
            <w:r>
              <w:rPr>
                <w:rFonts w:hint="eastAsia" w:ascii="宋体" w:hAnsi="宋体" w:eastAsia="宋体" w:cs="宋体"/>
                <w:color w:val="auto"/>
                <w:sz w:val="24"/>
                <w:szCs w:val="24"/>
                <w:lang w:eastAsia="zh-CN"/>
              </w:rPr>
              <w:t>。</w:t>
            </w:r>
          </w:p>
        </w:tc>
        <w:tc>
          <w:tcPr>
            <w:tcW w:w="1410" w:type="dxa"/>
            <w:vAlign w:val="center"/>
          </w:tcPr>
          <w:p w14:paraId="36379029">
            <w:pPr>
              <w:tabs>
                <w:tab w:val="left" w:pos="1260"/>
                <w:tab w:val="left" w:pos="1620"/>
              </w:tabs>
              <w:adjustRightInd w:val="0"/>
              <w:snapToGrid w:val="0"/>
              <w:textAlignment w:val="baseline"/>
              <w:rPr>
                <w:rFonts w:hint="eastAsia" w:ascii="宋体" w:hAnsi="宋体" w:eastAsia="宋体" w:cs="宋体"/>
                <w:color w:val="auto"/>
                <w:sz w:val="24"/>
                <w:szCs w:val="24"/>
              </w:rPr>
            </w:pPr>
          </w:p>
        </w:tc>
      </w:tr>
      <w:tr w14:paraId="05218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2" w:hRule="atLeast"/>
          <w:jc w:val="center"/>
        </w:trPr>
        <w:tc>
          <w:tcPr>
            <w:tcW w:w="902" w:type="dxa"/>
            <w:vAlign w:val="center"/>
          </w:tcPr>
          <w:p w14:paraId="5AA07C3D">
            <w:pPr>
              <w:numPr>
                <w:ilvl w:val="0"/>
                <w:numId w:val="0"/>
              </w:numPr>
              <w:tabs>
                <w:tab w:val="left" w:pos="1260"/>
                <w:tab w:val="left" w:pos="1620"/>
              </w:tabs>
              <w:adjustRightInd w:val="0"/>
              <w:snapToGrid w:val="0"/>
              <w:ind w:left="425" w:leftChars="0" w:hanging="425" w:firstLineChars="0"/>
              <w:jc w:val="center"/>
              <w:textAlignment w:val="baseline"/>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2</w:t>
            </w:r>
          </w:p>
        </w:tc>
        <w:tc>
          <w:tcPr>
            <w:tcW w:w="1851" w:type="dxa"/>
            <w:vAlign w:val="center"/>
          </w:tcPr>
          <w:p w14:paraId="58E122C6">
            <w:pPr>
              <w:tabs>
                <w:tab w:val="left" w:pos="1260"/>
                <w:tab w:val="left" w:pos="1620"/>
              </w:tabs>
              <w:adjustRightInd w:val="0"/>
              <w:snapToGrid w:val="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投标文件签署盖章</w:t>
            </w:r>
          </w:p>
        </w:tc>
        <w:tc>
          <w:tcPr>
            <w:tcW w:w="5799" w:type="dxa"/>
            <w:vAlign w:val="center"/>
          </w:tcPr>
          <w:p w14:paraId="5E455976">
            <w:pPr>
              <w:tabs>
                <w:tab w:val="left" w:pos="1260"/>
                <w:tab w:val="left" w:pos="1620"/>
              </w:tabs>
              <w:adjustRightInd w:val="0"/>
              <w:snapToGrid w:val="0"/>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文件上法定代表人或其</w:t>
            </w:r>
            <w:r>
              <w:rPr>
                <w:rFonts w:hint="eastAsia" w:ascii="宋体" w:hAnsi="宋体" w:eastAsia="宋体" w:cs="宋体"/>
                <w:color w:val="auto"/>
                <w:sz w:val="24"/>
                <w:szCs w:val="24"/>
                <w:highlight w:val="none"/>
                <w:lang w:eastAsia="zh-CN"/>
              </w:rPr>
              <w:t>委托</w:t>
            </w:r>
            <w:r>
              <w:rPr>
                <w:rFonts w:hint="eastAsia" w:ascii="宋体" w:hAnsi="宋体" w:eastAsia="宋体" w:cs="宋体"/>
                <w:color w:val="auto"/>
                <w:sz w:val="24"/>
                <w:szCs w:val="24"/>
                <w:highlight w:val="none"/>
              </w:rPr>
              <w:t>代理人的签字或盖章、</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的单位章齐全符合</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文件规定</w:t>
            </w:r>
            <w:r>
              <w:rPr>
                <w:rFonts w:hint="eastAsia" w:ascii="宋体" w:hAnsi="宋体" w:eastAsia="宋体" w:cs="宋体"/>
                <w:color w:val="auto"/>
                <w:sz w:val="24"/>
                <w:szCs w:val="24"/>
                <w:highlight w:val="none"/>
                <w:lang w:eastAsia="zh-CN"/>
              </w:rPr>
              <w:t>。</w:t>
            </w:r>
          </w:p>
        </w:tc>
        <w:tc>
          <w:tcPr>
            <w:tcW w:w="1410" w:type="dxa"/>
            <w:vAlign w:val="center"/>
          </w:tcPr>
          <w:p w14:paraId="62C5FA6B">
            <w:pPr>
              <w:tabs>
                <w:tab w:val="left" w:pos="1260"/>
                <w:tab w:val="left" w:pos="1620"/>
              </w:tabs>
              <w:adjustRightInd w:val="0"/>
              <w:snapToGrid w:val="0"/>
              <w:textAlignment w:val="baseline"/>
              <w:rPr>
                <w:rFonts w:hint="eastAsia" w:ascii="宋体" w:hAnsi="宋体" w:eastAsia="宋体" w:cs="宋体"/>
                <w:color w:val="auto"/>
                <w:sz w:val="24"/>
                <w:szCs w:val="24"/>
              </w:rPr>
            </w:pPr>
          </w:p>
        </w:tc>
      </w:tr>
      <w:tr w14:paraId="34D3A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45" w:hRule="atLeast"/>
          <w:jc w:val="center"/>
        </w:trPr>
        <w:tc>
          <w:tcPr>
            <w:tcW w:w="902" w:type="dxa"/>
            <w:vAlign w:val="center"/>
          </w:tcPr>
          <w:p w14:paraId="28401BD3">
            <w:pPr>
              <w:numPr>
                <w:ilvl w:val="0"/>
                <w:numId w:val="0"/>
              </w:numPr>
              <w:tabs>
                <w:tab w:val="left" w:pos="1260"/>
                <w:tab w:val="left" w:pos="1620"/>
              </w:tabs>
              <w:adjustRightInd w:val="0"/>
              <w:snapToGrid w:val="0"/>
              <w:ind w:left="425" w:leftChars="0" w:hanging="425" w:firstLineChars="0"/>
              <w:jc w:val="center"/>
              <w:textAlignment w:val="baseline"/>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3</w:t>
            </w:r>
          </w:p>
        </w:tc>
        <w:tc>
          <w:tcPr>
            <w:tcW w:w="1851" w:type="dxa"/>
            <w:vAlign w:val="center"/>
          </w:tcPr>
          <w:p w14:paraId="045E9B77">
            <w:pPr>
              <w:tabs>
                <w:tab w:val="left" w:pos="1260"/>
                <w:tab w:val="left" w:pos="1620"/>
              </w:tabs>
              <w:adjustRightInd w:val="0"/>
              <w:snapToGrid w:val="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投标报价</w:t>
            </w:r>
          </w:p>
        </w:tc>
        <w:tc>
          <w:tcPr>
            <w:tcW w:w="5799" w:type="dxa"/>
            <w:vAlign w:val="center"/>
          </w:tcPr>
          <w:p w14:paraId="70FEFA98">
            <w:pPr>
              <w:tabs>
                <w:tab w:val="left" w:pos="1260"/>
                <w:tab w:val="left" w:pos="1620"/>
              </w:tabs>
              <w:adjustRightInd w:val="0"/>
              <w:snapToGrid w:val="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投标报价是固定价且未超过预算金额</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招标文件有最高限价的，报价未超过最高限价</w:t>
            </w:r>
            <w:r>
              <w:rPr>
                <w:rFonts w:hint="eastAsia" w:ascii="宋体" w:hAnsi="宋体" w:eastAsia="宋体" w:cs="宋体"/>
                <w:color w:val="auto"/>
                <w:sz w:val="24"/>
                <w:szCs w:val="24"/>
                <w:lang w:eastAsia="zh-CN"/>
              </w:rPr>
              <w:t>)。</w:t>
            </w:r>
          </w:p>
        </w:tc>
        <w:tc>
          <w:tcPr>
            <w:tcW w:w="1410" w:type="dxa"/>
            <w:vAlign w:val="center"/>
          </w:tcPr>
          <w:p w14:paraId="373C2121">
            <w:pPr>
              <w:tabs>
                <w:tab w:val="left" w:pos="1260"/>
                <w:tab w:val="left" w:pos="1620"/>
              </w:tabs>
              <w:adjustRightInd w:val="0"/>
              <w:snapToGrid w:val="0"/>
              <w:textAlignment w:val="baseline"/>
              <w:rPr>
                <w:rFonts w:hint="eastAsia" w:ascii="宋体" w:hAnsi="宋体" w:eastAsia="宋体" w:cs="宋体"/>
                <w:color w:val="auto"/>
                <w:sz w:val="24"/>
                <w:szCs w:val="24"/>
              </w:rPr>
            </w:pPr>
          </w:p>
        </w:tc>
      </w:tr>
      <w:tr w14:paraId="0FD9C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1" w:hRule="atLeast"/>
          <w:jc w:val="center"/>
        </w:trPr>
        <w:tc>
          <w:tcPr>
            <w:tcW w:w="902" w:type="dxa"/>
            <w:vAlign w:val="center"/>
          </w:tcPr>
          <w:p w14:paraId="7ED8DCC6">
            <w:pPr>
              <w:numPr>
                <w:ilvl w:val="0"/>
                <w:numId w:val="0"/>
              </w:numPr>
              <w:tabs>
                <w:tab w:val="left" w:pos="1260"/>
                <w:tab w:val="left" w:pos="1620"/>
              </w:tabs>
              <w:adjustRightInd w:val="0"/>
              <w:snapToGrid w:val="0"/>
              <w:ind w:left="425" w:leftChars="0" w:hanging="425" w:firstLineChars="0"/>
              <w:jc w:val="center"/>
              <w:textAlignment w:val="baseline"/>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4</w:t>
            </w:r>
          </w:p>
        </w:tc>
        <w:tc>
          <w:tcPr>
            <w:tcW w:w="1851" w:type="dxa"/>
            <w:vAlign w:val="center"/>
          </w:tcPr>
          <w:p w14:paraId="262D7744">
            <w:pPr>
              <w:tabs>
                <w:tab w:val="left" w:pos="1260"/>
                <w:tab w:val="left" w:pos="1620"/>
              </w:tabs>
              <w:adjustRightInd w:val="0"/>
              <w:snapToGrid w:val="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合同履约期限</w:t>
            </w:r>
          </w:p>
        </w:tc>
        <w:tc>
          <w:tcPr>
            <w:tcW w:w="5799" w:type="dxa"/>
            <w:vAlign w:val="center"/>
          </w:tcPr>
          <w:p w14:paraId="43D42285">
            <w:pPr>
              <w:tabs>
                <w:tab w:val="left" w:pos="1260"/>
                <w:tab w:val="left" w:pos="1620"/>
              </w:tabs>
              <w:adjustRightInd w:val="0"/>
              <w:snapToGrid w:val="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满足招标文件规定的合同履约期限。</w:t>
            </w:r>
          </w:p>
        </w:tc>
        <w:tc>
          <w:tcPr>
            <w:tcW w:w="1410" w:type="dxa"/>
            <w:vAlign w:val="center"/>
          </w:tcPr>
          <w:p w14:paraId="6FD7CA52">
            <w:pPr>
              <w:tabs>
                <w:tab w:val="left" w:pos="1260"/>
                <w:tab w:val="left" w:pos="1620"/>
              </w:tabs>
              <w:adjustRightInd w:val="0"/>
              <w:snapToGrid w:val="0"/>
              <w:textAlignment w:val="baseline"/>
              <w:rPr>
                <w:rFonts w:hint="eastAsia" w:ascii="宋体" w:hAnsi="宋体" w:eastAsia="宋体" w:cs="宋体"/>
                <w:color w:val="auto"/>
                <w:sz w:val="24"/>
                <w:szCs w:val="24"/>
              </w:rPr>
            </w:pPr>
          </w:p>
        </w:tc>
      </w:tr>
      <w:tr w14:paraId="78DE6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1" w:hRule="atLeast"/>
          <w:jc w:val="center"/>
        </w:trPr>
        <w:tc>
          <w:tcPr>
            <w:tcW w:w="902" w:type="dxa"/>
            <w:vAlign w:val="center"/>
          </w:tcPr>
          <w:p w14:paraId="51142BBD">
            <w:pPr>
              <w:numPr>
                <w:ilvl w:val="0"/>
                <w:numId w:val="0"/>
              </w:numPr>
              <w:tabs>
                <w:tab w:val="left" w:pos="1260"/>
                <w:tab w:val="left" w:pos="1620"/>
              </w:tabs>
              <w:adjustRightInd w:val="0"/>
              <w:snapToGrid w:val="0"/>
              <w:ind w:left="425" w:leftChars="0" w:hanging="425" w:firstLineChars="0"/>
              <w:jc w:val="center"/>
              <w:textAlignment w:val="baseline"/>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5</w:t>
            </w:r>
          </w:p>
        </w:tc>
        <w:tc>
          <w:tcPr>
            <w:tcW w:w="1851" w:type="dxa"/>
            <w:vAlign w:val="center"/>
          </w:tcPr>
          <w:p w14:paraId="308F587C">
            <w:pPr>
              <w:tabs>
                <w:tab w:val="left" w:pos="1260"/>
                <w:tab w:val="left" w:pos="1620"/>
              </w:tabs>
              <w:adjustRightInd w:val="0"/>
              <w:snapToGrid w:val="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附加条件</w:t>
            </w:r>
          </w:p>
        </w:tc>
        <w:tc>
          <w:tcPr>
            <w:tcW w:w="5799" w:type="dxa"/>
            <w:vAlign w:val="center"/>
          </w:tcPr>
          <w:p w14:paraId="18369A0A">
            <w:pPr>
              <w:tabs>
                <w:tab w:val="left" w:pos="1260"/>
                <w:tab w:val="left" w:pos="1620"/>
              </w:tabs>
              <w:adjustRightInd w:val="0"/>
              <w:snapToGrid w:val="0"/>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投标文件不含有采购人不能接受的附加条件</w:t>
            </w:r>
            <w:r>
              <w:rPr>
                <w:rFonts w:hint="eastAsia" w:ascii="宋体" w:hAnsi="宋体" w:eastAsia="宋体" w:cs="宋体"/>
                <w:color w:val="auto"/>
                <w:sz w:val="24"/>
                <w:szCs w:val="24"/>
                <w:lang w:eastAsia="zh-CN"/>
              </w:rPr>
              <w:t>。</w:t>
            </w:r>
          </w:p>
        </w:tc>
        <w:tc>
          <w:tcPr>
            <w:tcW w:w="1410" w:type="dxa"/>
            <w:vAlign w:val="center"/>
          </w:tcPr>
          <w:p w14:paraId="2C8E1F32">
            <w:pPr>
              <w:tabs>
                <w:tab w:val="left" w:pos="1260"/>
                <w:tab w:val="left" w:pos="1620"/>
              </w:tabs>
              <w:adjustRightInd w:val="0"/>
              <w:snapToGrid w:val="0"/>
              <w:textAlignment w:val="baseline"/>
              <w:rPr>
                <w:rFonts w:hint="eastAsia" w:ascii="宋体" w:hAnsi="宋体" w:eastAsia="宋体" w:cs="宋体"/>
                <w:color w:val="auto"/>
                <w:sz w:val="24"/>
                <w:szCs w:val="24"/>
              </w:rPr>
            </w:pPr>
          </w:p>
        </w:tc>
      </w:tr>
      <w:tr w14:paraId="310AA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02" w:type="dxa"/>
            <w:vAlign w:val="center"/>
          </w:tcPr>
          <w:p w14:paraId="34A4D202">
            <w:pPr>
              <w:numPr>
                <w:ilvl w:val="0"/>
                <w:numId w:val="0"/>
              </w:numPr>
              <w:tabs>
                <w:tab w:val="left" w:pos="1260"/>
                <w:tab w:val="left" w:pos="1620"/>
              </w:tabs>
              <w:adjustRightInd w:val="0"/>
              <w:snapToGrid w:val="0"/>
              <w:ind w:leftChars="0"/>
              <w:jc w:val="center"/>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1851" w:type="dxa"/>
            <w:vAlign w:val="center"/>
          </w:tcPr>
          <w:p w14:paraId="6907C787">
            <w:pPr>
              <w:tabs>
                <w:tab w:val="left" w:pos="1260"/>
                <w:tab w:val="left" w:pos="1620"/>
              </w:tabs>
              <w:adjustRightInd w:val="0"/>
              <w:snapToGrid w:val="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其他无效情形</w:t>
            </w:r>
          </w:p>
        </w:tc>
        <w:tc>
          <w:tcPr>
            <w:tcW w:w="5799" w:type="dxa"/>
            <w:vAlign w:val="center"/>
          </w:tcPr>
          <w:p w14:paraId="6112D5F9">
            <w:pPr>
              <w:tabs>
                <w:tab w:val="left" w:pos="1260"/>
                <w:tab w:val="left" w:pos="1620"/>
              </w:tabs>
              <w:adjustRightInd w:val="0"/>
              <w:snapToGrid w:val="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不存在招标文件中规定的下列情形：</w:t>
            </w:r>
          </w:p>
          <w:p w14:paraId="246AA067">
            <w:pPr>
              <w:keepNext w:val="0"/>
              <w:keepLines w:val="0"/>
              <w:pageBreakBefore w:val="0"/>
              <w:widowControl w:val="0"/>
              <w:numPr>
                <w:ilvl w:val="0"/>
                <w:numId w:val="0"/>
              </w:numPr>
              <w:tabs>
                <w:tab w:val="left" w:pos="1260"/>
                <w:tab w:val="left" w:pos="1620"/>
              </w:tabs>
              <w:kinsoku/>
              <w:wordWrap/>
              <w:overflowPunct/>
              <w:topLinePunct w:val="0"/>
              <w:autoSpaceDE/>
              <w:autoSpaceDN/>
              <w:bidi w:val="0"/>
              <w:adjustRightInd w:val="0"/>
              <w:snapToGrid w:val="0"/>
              <w:ind w:left="0" w:leftChars="0" w:firstLine="0" w:firstLineChars="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bidi="ar-SA"/>
              </w:rPr>
              <w:t>(1)</w:t>
            </w:r>
            <w:r>
              <w:rPr>
                <w:rFonts w:hint="eastAsia" w:ascii="宋体" w:hAnsi="宋体" w:eastAsia="宋体" w:cs="宋体"/>
                <w:color w:val="auto"/>
                <w:sz w:val="24"/>
                <w:szCs w:val="24"/>
                <w:lang w:val="en-US" w:eastAsia="zh-CN"/>
              </w:rPr>
              <w:t>不同供应商的投标文件由同一单位或者个人编制；</w:t>
            </w:r>
          </w:p>
          <w:p w14:paraId="102911FE">
            <w:pPr>
              <w:keepNext w:val="0"/>
              <w:keepLines w:val="0"/>
              <w:pageBreakBefore w:val="0"/>
              <w:widowControl w:val="0"/>
              <w:numPr>
                <w:ilvl w:val="0"/>
                <w:numId w:val="0"/>
              </w:numPr>
              <w:tabs>
                <w:tab w:val="left" w:pos="1260"/>
                <w:tab w:val="left" w:pos="1620"/>
              </w:tabs>
              <w:kinsoku/>
              <w:wordWrap/>
              <w:overflowPunct/>
              <w:topLinePunct w:val="0"/>
              <w:autoSpaceDE/>
              <w:autoSpaceDN/>
              <w:bidi w:val="0"/>
              <w:adjustRightInd w:val="0"/>
              <w:snapToGrid w:val="0"/>
              <w:ind w:left="0" w:leftChars="0" w:firstLine="0" w:firstLineChars="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szCs w:val="24"/>
                <w:lang w:val="en-US" w:eastAsia="zh-CN"/>
              </w:rPr>
              <w:t>不同供应商委托同一单位或者个人办理投标事宜；</w:t>
            </w:r>
          </w:p>
          <w:p w14:paraId="71B1F802">
            <w:pPr>
              <w:keepNext w:val="0"/>
              <w:keepLines w:val="0"/>
              <w:pageBreakBefore w:val="0"/>
              <w:widowControl w:val="0"/>
              <w:numPr>
                <w:ilvl w:val="0"/>
                <w:numId w:val="0"/>
              </w:numPr>
              <w:tabs>
                <w:tab w:val="left" w:pos="1260"/>
                <w:tab w:val="left" w:pos="1620"/>
              </w:tabs>
              <w:kinsoku/>
              <w:wordWrap/>
              <w:overflowPunct/>
              <w:topLinePunct w:val="0"/>
              <w:autoSpaceDE/>
              <w:autoSpaceDN/>
              <w:bidi w:val="0"/>
              <w:adjustRightInd w:val="0"/>
              <w:snapToGrid w:val="0"/>
              <w:ind w:left="0" w:leftChars="0" w:firstLine="0" w:firstLineChars="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bidi="ar-SA"/>
              </w:rPr>
              <w:t>(3)</w:t>
            </w:r>
            <w:r>
              <w:rPr>
                <w:rFonts w:hint="eastAsia" w:ascii="宋体" w:hAnsi="宋体" w:eastAsia="宋体" w:cs="宋体"/>
                <w:color w:val="auto"/>
                <w:sz w:val="24"/>
                <w:szCs w:val="24"/>
                <w:lang w:val="en-US" w:eastAsia="zh-CN"/>
              </w:rPr>
              <w:t>不同供应商的投标文件载明的项目管理成员或者联系人员为同一人；</w:t>
            </w:r>
          </w:p>
          <w:p w14:paraId="22077FDF">
            <w:pPr>
              <w:keepNext w:val="0"/>
              <w:keepLines w:val="0"/>
              <w:pageBreakBefore w:val="0"/>
              <w:widowControl w:val="0"/>
              <w:numPr>
                <w:ilvl w:val="0"/>
                <w:numId w:val="0"/>
              </w:numPr>
              <w:tabs>
                <w:tab w:val="left" w:pos="1260"/>
                <w:tab w:val="left" w:pos="1620"/>
              </w:tabs>
              <w:kinsoku/>
              <w:wordWrap/>
              <w:overflowPunct/>
              <w:topLinePunct w:val="0"/>
              <w:autoSpaceDE/>
              <w:autoSpaceDN/>
              <w:bidi w:val="0"/>
              <w:adjustRightInd w:val="0"/>
              <w:snapToGrid w:val="0"/>
              <w:ind w:left="0" w:leftChars="0" w:firstLine="0" w:firstLineChars="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bidi="ar-SA"/>
              </w:rPr>
              <w:t>(4)</w:t>
            </w:r>
            <w:r>
              <w:rPr>
                <w:rFonts w:hint="eastAsia" w:ascii="宋体" w:hAnsi="宋体" w:eastAsia="宋体" w:cs="宋体"/>
                <w:color w:val="auto"/>
                <w:sz w:val="24"/>
                <w:szCs w:val="24"/>
                <w:lang w:val="en-US" w:eastAsia="zh-CN"/>
              </w:rPr>
              <w:t>不同供应商的投标文件异常一致或者投标报价呈规律性差异；</w:t>
            </w:r>
          </w:p>
          <w:p w14:paraId="53B1FF30">
            <w:pPr>
              <w:keepNext w:val="0"/>
              <w:keepLines w:val="0"/>
              <w:pageBreakBefore w:val="0"/>
              <w:widowControl w:val="0"/>
              <w:numPr>
                <w:ilvl w:val="0"/>
                <w:numId w:val="0"/>
              </w:numPr>
              <w:tabs>
                <w:tab w:val="left" w:pos="1260"/>
                <w:tab w:val="left" w:pos="1620"/>
              </w:tabs>
              <w:kinsoku/>
              <w:wordWrap/>
              <w:overflowPunct/>
              <w:topLinePunct w:val="0"/>
              <w:autoSpaceDE/>
              <w:autoSpaceDN/>
              <w:bidi w:val="0"/>
              <w:adjustRightInd w:val="0"/>
              <w:snapToGrid w:val="0"/>
              <w:ind w:left="0" w:leftChars="0" w:firstLine="0" w:firstLineChars="0"/>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(5)</w:t>
            </w:r>
            <w:r>
              <w:rPr>
                <w:rFonts w:hint="eastAsia" w:ascii="宋体" w:hAnsi="宋体" w:eastAsia="宋体" w:cs="宋体"/>
                <w:color w:val="auto"/>
                <w:sz w:val="24"/>
                <w:szCs w:val="24"/>
                <w:highlight w:val="none"/>
                <w:lang w:val="en-US" w:eastAsia="zh-CN"/>
              </w:rPr>
              <w:t>不同供应商的投标文件编制机器码、网卡MAC地址、硬盘序列号相同的。</w:t>
            </w:r>
          </w:p>
          <w:p w14:paraId="547DBCBA">
            <w:pPr>
              <w:keepNext w:val="0"/>
              <w:keepLines w:val="0"/>
              <w:pageBreakBefore w:val="0"/>
              <w:widowControl w:val="0"/>
              <w:numPr>
                <w:ilvl w:val="0"/>
                <w:numId w:val="0"/>
              </w:numPr>
              <w:tabs>
                <w:tab w:val="left" w:pos="1260"/>
                <w:tab w:val="left" w:pos="1620"/>
              </w:tabs>
              <w:kinsoku/>
              <w:wordWrap/>
              <w:overflowPunct/>
              <w:topLinePunct w:val="0"/>
              <w:autoSpaceDE/>
              <w:autoSpaceDN/>
              <w:bidi w:val="0"/>
              <w:adjustRightInd w:val="0"/>
              <w:snapToGrid w:val="0"/>
              <w:ind w:left="0" w:leftChars="0" w:firstLine="0" w:firstLineChars="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bidi="ar-SA"/>
              </w:rPr>
              <w:t>(6)</w:t>
            </w:r>
            <w:r>
              <w:rPr>
                <w:rFonts w:hint="eastAsia" w:ascii="宋体" w:hAnsi="宋体" w:eastAsia="宋体" w:cs="宋体"/>
                <w:color w:val="auto"/>
                <w:sz w:val="24"/>
                <w:szCs w:val="24"/>
                <w:lang w:val="en-US" w:eastAsia="zh-CN"/>
              </w:rPr>
              <w:t>不同供应商的投标保证金从同一单位或者个人的账户转出。</w:t>
            </w:r>
          </w:p>
          <w:p w14:paraId="531FF16B">
            <w:pPr>
              <w:keepNext w:val="0"/>
              <w:keepLines w:val="0"/>
              <w:pageBreakBefore w:val="0"/>
              <w:widowControl w:val="0"/>
              <w:numPr>
                <w:ilvl w:val="0"/>
                <w:numId w:val="0"/>
              </w:numPr>
              <w:tabs>
                <w:tab w:val="left" w:pos="1260"/>
                <w:tab w:val="left" w:pos="1620"/>
              </w:tabs>
              <w:kinsoku/>
              <w:wordWrap/>
              <w:overflowPunct/>
              <w:topLinePunct w:val="0"/>
              <w:autoSpaceDE/>
              <w:autoSpaceDN/>
              <w:bidi w:val="0"/>
              <w:adjustRightInd w:val="0"/>
              <w:snapToGrid w:val="0"/>
              <w:ind w:left="0" w:leftChars="0" w:firstLine="0" w:firstLineChars="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bidi="ar-SA"/>
              </w:rPr>
              <w:t>(7)</w:t>
            </w:r>
            <w:r>
              <w:rPr>
                <w:rFonts w:hint="eastAsia" w:ascii="宋体" w:hAnsi="宋体" w:eastAsia="宋体" w:cs="宋体"/>
                <w:color w:val="auto"/>
                <w:sz w:val="24"/>
                <w:szCs w:val="24"/>
                <w:lang w:val="en-US" w:eastAsia="zh-CN"/>
              </w:rPr>
              <w:t>使用伪造、变造的许可证件；</w:t>
            </w:r>
          </w:p>
          <w:p w14:paraId="32AD6278">
            <w:pPr>
              <w:keepNext w:val="0"/>
              <w:keepLines w:val="0"/>
              <w:pageBreakBefore w:val="0"/>
              <w:widowControl w:val="0"/>
              <w:numPr>
                <w:ilvl w:val="0"/>
                <w:numId w:val="0"/>
              </w:numPr>
              <w:tabs>
                <w:tab w:val="left" w:pos="1260"/>
                <w:tab w:val="left" w:pos="1620"/>
              </w:tabs>
              <w:kinsoku/>
              <w:wordWrap/>
              <w:overflowPunct/>
              <w:topLinePunct w:val="0"/>
              <w:autoSpaceDE/>
              <w:autoSpaceDN/>
              <w:bidi w:val="0"/>
              <w:adjustRightInd w:val="0"/>
              <w:snapToGrid w:val="0"/>
              <w:ind w:left="0" w:leftChars="0" w:firstLine="0" w:firstLineChars="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bidi="ar-SA"/>
              </w:rPr>
              <w:t>(8)</w:t>
            </w:r>
            <w:r>
              <w:rPr>
                <w:rFonts w:hint="eastAsia" w:ascii="宋体" w:hAnsi="宋体" w:eastAsia="宋体" w:cs="宋体"/>
                <w:color w:val="auto"/>
                <w:sz w:val="24"/>
                <w:szCs w:val="24"/>
                <w:lang w:val="en-US" w:eastAsia="zh-CN"/>
              </w:rPr>
              <w:t>提供虚假的财务状况或者业绩；</w:t>
            </w:r>
          </w:p>
          <w:p w14:paraId="3DD5D982">
            <w:pPr>
              <w:keepNext w:val="0"/>
              <w:keepLines w:val="0"/>
              <w:pageBreakBefore w:val="0"/>
              <w:widowControl w:val="0"/>
              <w:numPr>
                <w:ilvl w:val="0"/>
                <w:numId w:val="0"/>
              </w:numPr>
              <w:tabs>
                <w:tab w:val="left" w:pos="1260"/>
                <w:tab w:val="left" w:pos="1620"/>
              </w:tabs>
              <w:kinsoku/>
              <w:wordWrap/>
              <w:overflowPunct/>
              <w:topLinePunct w:val="0"/>
              <w:autoSpaceDE/>
              <w:autoSpaceDN/>
              <w:bidi w:val="0"/>
              <w:adjustRightInd w:val="0"/>
              <w:snapToGrid w:val="0"/>
              <w:ind w:left="0" w:leftChars="0" w:firstLine="0" w:firstLineChars="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bidi="ar-SA"/>
              </w:rPr>
              <w:t>(9)</w:t>
            </w:r>
            <w:r>
              <w:rPr>
                <w:rFonts w:hint="eastAsia" w:ascii="宋体" w:hAnsi="宋体" w:eastAsia="宋体" w:cs="宋体"/>
                <w:color w:val="auto"/>
                <w:sz w:val="24"/>
                <w:szCs w:val="24"/>
                <w:lang w:val="en-US" w:eastAsia="zh-CN"/>
              </w:rPr>
              <w:t>提供虚假的项目负责人或者主要技术人员简历、劳动关系证明；</w:t>
            </w:r>
          </w:p>
          <w:p w14:paraId="642C4B3F">
            <w:pPr>
              <w:keepNext w:val="0"/>
              <w:keepLines w:val="0"/>
              <w:pageBreakBefore w:val="0"/>
              <w:widowControl w:val="0"/>
              <w:numPr>
                <w:ilvl w:val="0"/>
                <w:numId w:val="0"/>
              </w:numPr>
              <w:tabs>
                <w:tab w:val="left" w:pos="1260"/>
                <w:tab w:val="left" w:pos="1620"/>
              </w:tabs>
              <w:kinsoku/>
              <w:wordWrap/>
              <w:overflowPunct/>
              <w:topLinePunct w:val="0"/>
              <w:autoSpaceDE/>
              <w:autoSpaceDN/>
              <w:bidi w:val="0"/>
              <w:adjustRightInd w:val="0"/>
              <w:snapToGrid w:val="0"/>
              <w:ind w:left="0" w:leftChars="0" w:firstLine="0" w:firstLineChars="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bidi="ar-SA"/>
              </w:rPr>
              <w:t>(10)</w:t>
            </w:r>
            <w:r>
              <w:rPr>
                <w:rFonts w:hint="eastAsia" w:ascii="宋体" w:hAnsi="宋体" w:eastAsia="宋体" w:cs="宋体"/>
                <w:color w:val="auto"/>
                <w:sz w:val="24"/>
                <w:szCs w:val="24"/>
                <w:lang w:val="en-US" w:eastAsia="zh-CN"/>
              </w:rPr>
              <w:t>提供虚假的信用状况；</w:t>
            </w:r>
          </w:p>
          <w:p w14:paraId="641E5DDF">
            <w:pPr>
              <w:keepNext w:val="0"/>
              <w:keepLines w:val="0"/>
              <w:pageBreakBefore w:val="0"/>
              <w:widowControl w:val="0"/>
              <w:numPr>
                <w:ilvl w:val="0"/>
                <w:numId w:val="0"/>
              </w:numPr>
              <w:tabs>
                <w:tab w:val="left" w:pos="1260"/>
                <w:tab w:val="left" w:pos="1620"/>
              </w:tabs>
              <w:kinsoku/>
              <w:wordWrap/>
              <w:overflowPunct/>
              <w:topLinePunct w:val="0"/>
              <w:autoSpaceDE/>
              <w:autoSpaceDN/>
              <w:bidi w:val="0"/>
              <w:adjustRightInd w:val="0"/>
              <w:snapToGrid w:val="0"/>
              <w:ind w:left="0" w:leftChars="0" w:firstLine="0" w:firstLineChars="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bidi="ar-SA"/>
              </w:rPr>
              <w:t>(11)</w:t>
            </w:r>
            <w:r>
              <w:rPr>
                <w:rFonts w:hint="eastAsia" w:ascii="宋体" w:hAnsi="宋体" w:eastAsia="宋体" w:cs="宋体"/>
                <w:color w:val="auto"/>
                <w:sz w:val="24"/>
                <w:szCs w:val="24"/>
                <w:lang w:val="en-US" w:eastAsia="zh-CN"/>
              </w:rPr>
              <w:t>其他弄虚作假的行为。</w:t>
            </w:r>
          </w:p>
        </w:tc>
        <w:tc>
          <w:tcPr>
            <w:tcW w:w="1410" w:type="dxa"/>
            <w:vAlign w:val="center"/>
          </w:tcPr>
          <w:p w14:paraId="2F4C8620">
            <w:pPr>
              <w:tabs>
                <w:tab w:val="left" w:pos="1260"/>
                <w:tab w:val="left" w:pos="1620"/>
              </w:tabs>
              <w:adjustRightInd w:val="0"/>
              <w:snapToGrid w:val="0"/>
              <w:textAlignment w:val="baseline"/>
              <w:rPr>
                <w:rFonts w:hint="eastAsia" w:ascii="宋体" w:hAnsi="宋体" w:eastAsia="宋体" w:cs="宋体"/>
                <w:color w:val="auto"/>
                <w:sz w:val="24"/>
                <w:szCs w:val="24"/>
              </w:rPr>
            </w:pPr>
          </w:p>
        </w:tc>
      </w:tr>
      <w:tr w14:paraId="72575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02" w:type="dxa"/>
            <w:vAlign w:val="center"/>
          </w:tcPr>
          <w:p w14:paraId="2CBE4ADD">
            <w:pPr>
              <w:numPr>
                <w:ilvl w:val="0"/>
                <w:numId w:val="0"/>
              </w:numPr>
              <w:tabs>
                <w:tab w:val="left" w:pos="1260"/>
                <w:tab w:val="left" w:pos="1620"/>
              </w:tabs>
              <w:adjustRightInd w:val="0"/>
              <w:snapToGrid w:val="0"/>
              <w:ind w:left="425" w:leftChars="0" w:hanging="425" w:firstLineChars="0"/>
              <w:jc w:val="center"/>
              <w:textAlignment w:val="baseline"/>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7</w:t>
            </w:r>
          </w:p>
        </w:tc>
        <w:tc>
          <w:tcPr>
            <w:tcW w:w="1851" w:type="dxa"/>
            <w:vAlign w:val="center"/>
          </w:tcPr>
          <w:p w14:paraId="2A331E61">
            <w:pPr>
              <w:tabs>
                <w:tab w:val="left" w:pos="1260"/>
                <w:tab w:val="left" w:pos="1620"/>
              </w:tabs>
              <w:adjustRightInd w:val="0"/>
              <w:snapToGrid w:val="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投标有效期</w:t>
            </w:r>
          </w:p>
        </w:tc>
        <w:tc>
          <w:tcPr>
            <w:tcW w:w="5799" w:type="dxa"/>
            <w:vAlign w:val="center"/>
          </w:tcPr>
          <w:p w14:paraId="37B9B4AE">
            <w:pPr>
              <w:tabs>
                <w:tab w:val="left" w:pos="1260"/>
                <w:tab w:val="left" w:pos="1620"/>
              </w:tabs>
              <w:adjustRightInd w:val="0"/>
              <w:snapToGrid w:val="0"/>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投标有效期满足招标文件要求的</w:t>
            </w:r>
            <w:r>
              <w:rPr>
                <w:rFonts w:hint="eastAsia" w:ascii="宋体" w:hAnsi="宋体" w:eastAsia="宋体" w:cs="宋体"/>
                <w:color w:val="auto"/>
                <w:sz w:val="24"/>
                <w:szCs w:val="24"/>
                <w:lang w:eastAsia="zh-CN"/>
              </w:rPr>
              <w:t>。</w:t>
            </w:r>
          </w:p>
        </w:tc>
        <w:tc>
          <w:tcPr>
            <w:tcW w:w="1410" w:type="dxa"/>
            <w:vAlign w:val="center"/>
          </w:tcPr>
          <w:p w14:paraId="7F6DFEAC">
            <w:pPr>
              <w:tabs>
                <w:tab w:val="left" w:pos="1260"/>
                <w:tab w:val="left" w:pos="1620"/>
              </w:tabs>
              <w:adjustRightInd w:val="0"/>
              <w:snapToGrid w:val="0"/>
              <w:textAlignment w:val="baseline"/>
              <w:rPr>
                <w:rFonts w:hint="eastAsia" w:ascii="宋体" w:hAnsi="宋体" w:eastAsia="宋体" w:cs="宋体"/>
                <w:color w:val="auto"/>
                <w:sz w:val="24"/>
                <w:szCs w:val="24"/>
              </w:rPr>
            </w:pPr>
          </w:p>
        </w:tc>
      </w:tr>
      <w:tr w14:paraId="069A8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02" w:type="dxa"/>
            <w:vAlign w:val="center"/>
          </w:tcPr>
          <w:p w14:paraId="3D26E4E5">
            <w:pPr>
              <w:numPr>
                <w:ilvl w:val="0"/>
                <w:numId w:val="0"/>
              </w:numPr>
              <w:tabs>
                <w:tab w:val="left" w:pos="1260"/>
                <w:tab w:val="left" w:pos="1620"/>
              </w:tabs>
              <w:adjustRightInd w:val="0"/>
              <w:snapToGrid w:val="0"/>
              <w:ind w:left="425" w:leftChars="0" w:hanging="425" w:firstLineChars="0"/>
              <w:jc w:val="center"/>
              <w:textAlignment w:val="baseline"/>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8</w:t>
            </w:r>
          </w:p>
        </w:tc>
        <w:tc>
          <w:tcPr>
            <w:tcW w:w="1851" w:type="dxa"/>
            <w:vAlign w:val="center"/>
          </w:tcPr>
          <w:p w14:paraId="15B6C1F0">
            <w:pPr>
              <w:tabs>
                <w:tab w:val="left" w:pos="1260"/>
                <w:tab w:val="left" w:pos="1620"/>
              </w:tabs>
              <w:adjustRightInd w:val="0"/>
              <w:snapToGrid w:val="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备选方案</w:t>
            </w:r>
          </w:p>
        </w:tc>
        <w:tc>
          <w:tcPr>
            <w:tcW w:w="5799" w:type="dxa"/>
            <w:vAlign w:val="center"/>
          </w:tcPr>
          <w:p w14:paraId="6AFCEAB8">
            <w:pPr>
              <w:tabs>
                <w:tab w:val="left" w:pos="1260"/>
                <w:tab w:val="left" w:pos="1620"/>
              </w:tabs>
              <w:adjustRightInd w:val="0"/>
              <w:snapToGrid w:val="0"/>
              <w:textAlignment w:val="baseline"/>
              <w:rPr>
                <w:rFonts w:hint="eastAsia" w:ascii="宋体" w:hAnsi="宋体" w:eastAsia="宋体" w:cs="宋体"/>
                <w:strike/>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不得提交两份或者多份内容不同的投标文件，或者在同一份投标文件中对同一招标项目有两个或者多个报价</w:t>
            </w:r>
            <w:r>
              <w:rPr>
                <w:rFonts w:hint="eastAsia" w:ascii="宋体" w:hAnsi="宋体" w:eastAsia="宋体" w:cs="宋体"/>
                <w:color w:val="auto"/>
                <w:sz w:val="24"/>
                <w:szCs w:val="24"/>
                <w:lang w:eastAsia="zh-CN"/>
              </w:rPr>
              <w:t>。</w:t>
            </w:r>
          </w:p>
        </w:tc>
        <w:tc>
          <w:tcPr>
            <w:tcW w:w="1410" w:type="dxa"/>
            <w:vAlign w:val="center"/>
          </w:tcPr>
          <w:p w14:paraId="425B81B8">
            <w:pPr>
              <w:tabs>
                <w:tab w:val="left" w:pos="1260"/>
                <w:tab w:val="left" w:pos="1620"/>
              </w:tabs>
              <w:adjustRightInd w:val="0"/>
              <w:snapToGrid w:val="0"/>
              <w:textAlignment w:val="baseline"/>
              <w:rPr>
                <w:rFonts w:hint="eastAsia" w:ascii="宋体" w:hAnsi="宋体" w:eastAsia="宋体" w:cs="宋体"/>
                <w:color w:val="auto"/>
                <w:sz w:val="24"/>
                <w:szCs w:val="24"/>
              </w:rPr>
            </w:pPr>
          </w:p>
        </w:tc>
      </w:tr>
      <w:tr w14:paraId="69665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02" w:type="dxa"/>
            <w:vAlign w:val="center"/>
          </w:tcPr>
          <w:p w14:paraId="4B8D1F15">
            <w:pPr>
              <w:numPr>
                <w:ilvl w:val="0"/>
                <w:numId w:val="0"/>
              </w:numPr>
              <w:tabs>
                <w:tab w:val="left" w:pos="1260"/>
                <w:tab w:val="left" w:pos="1620"/>
              </w:tabs>
              <w:adjustRightInd w:val="0"/>
              <w:snapToGrid w:val="0"/>
              <w:ind w:left="425" w:leftChars="0" w:hanging="425" w:firstLineChars="0"/>
              <w:jc w:val="center"/>
              <w:textAlignment w:val="baseline"/>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SA"/>
              </w:rPr>
              <w:t>9</w:t>
            </w:r>
          </w:p>
        </w:tc>
        <w:tc>
          <w:tcPr>
            <w:tcW w:w="1851" w:type="dxa"/>
            <w:vAlign w:val="center"/>
          </w:tcPr>
          <w:p w14:paraId="45EDF794">
            <w:pPr>
              <w:tabs>
                <w:tab w:val="left" w:pos="1260"/>
                <w:tab w:val="left" w:pos="1620"/>
              </w:tabs>
              <w:adjustRightInd w:val="0"/>
              <w:snapToGrid w:val="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投标内容</w:t>
            </w:r>
          </w:p>
        </w:tc>
        <w:tc>
          <w:tcPr>
            <w:tcW w:w="5799" w:type="dxa"/>
            <w:vAlign w:val="center"/>
          </w:tcPr>
          <w:p w14:paraId="75FEC582">
            <w:pPr>
              <w:tabs>
                <w:tab w:val="left" w:pos="1260"/>
                <w:tab w:val="left" w:pos="1620"/>
              </w:tabs>
              <w:adjustRightInd w:val="0"/>
              <w:snapToGrid w:val="0"/>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提供的服务无实质性遗漏</w:t>
            </w:r>
            <w:r>
              <w:rPr>
                <w:rFonts w:hint="eastAsia" w:ascii="宋体" w:hAnsi="宋体" w:eastAsia="宋体" w:cs="宋体"/>
                <w:color w:val="auto"/>
                <w:sz w:val="24"/>
                <w:szCs w:val="24"/>
                <w:lang w:eastAsia="zh-CN"/>
              </w:rPr>
              <w:t>。</w:t>
            </w:r>
          </w:p>
        </w:tc>
        <w:tc>
          <w:tcPr>
            <w:tcW w:w="1410" w:type="dxa"/>
            <w:vAlign w:val="center"/>
          </w:tcPr>
          <w:p w14:paraId="5C889A04">
            <w:pPr>
              <w:tabs>
                <w:tab w:val="left" w:pos="1260"/>
                <w:tab w:val="left" w:pos="1620"/>
              </w:tabs>
              <w:adjustRightInd w:val="0"/>
              <w:snapToGrid w:val="0"/>
              <w:textAlignment w:val="baseline"/>
              <w:rPr>
                <w:rFonts w:hint="eastAsia" w:ascii="宋体" w:hAnsi="宋体" w:eastAsia="宋体" w:cs="宋体"/>
                <w:color w:val="auto"/>
                <w:sz w:val="24"/>
                <w:szCs w:val="24"/>
              </w:rPr>
            </w:pPr>
          </w:p>
        </w:tc>
      </w:tr>
      <w:tr w14:paraId="0B6A6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02" w:type="dxa"/>
            <w:vAlign w:val="center"/>
          </w:tcPr>
          <w:p w14:paraId="37BA7F02">
            <w:pPr>
              <w:numPr>
                <w:ilvl w:val="0"/>
                <w:numId w:val="0"/>
              </w:numPr>
              <w:tabs>
                <w:tab w:val="left" w:pos="1260"/>
                <w:tab w:val="left" w:pos="1620"/>
              </w:tabs>
              <w:adjustRightInd w:val="0"/>
              <w:snapToGrid w:val="0"/>
              <w:ind w:left="425" w:leftChars="0" w:hanging="425" w:firstLineChars="0"/>
              <w:jc w:val="center"/>
              <w:textAlignment w:val="baseline"/>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SA"/>
              </w:rPr>
              <w:t>10</w:t>
            </w:r>
          </w:p>
        </w:tc>
        <w:tc>
          <w:tcPr>
            <w:tcW w:w="1851" w:type="dxa"/>
            <w:vAlign w:val="center"/>
          </w:tcPr>
          <w:p w14:paraId="6C60149F">
            <w:pPr>
              <w:tabs>
                <w:tab w:val="left" w:pos="1260"/>
                <w:tab w:val="left" w:pos="1620"/>
              </w:tabs>
              <w:adjustRightInd w:val="0"/>
              <w:snapToGrid w:val="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未</w:t>
            </w:r>
            <w:r>
              <w:rPr>
                <w:rFonts w:hint="eastAsia" w:ascii="宋体" w:hAnsi="宋体" w:eastAsia="宋体" w:cs="宋体"/>
                <w:color w:val="auto"/>
                <w:sz w:val="24"/>
                <w:szCs w:val="24"/>
              </w:rPr>
              <w:t>采用分包方式履行合同</w:t>
            </w:r>
          </w:p>
        </w:tc>
        <w:tc>
          <w:tcPr>
            <w:tcW w:w="5799" w:type="dxa"/>
            <w:vAlign w:val="center"/>
          </w:tcPr>
          <w:p w14:paraId="28923706">
            <w:pPr>
              <w:tabs>
                <w:tab w:val="left" w:pos="1260"/>
                <w:tab w:val="left" w:pos="1620"/>
              </w:tabs>
              <w:adjustRightInd w:val="0"/>
              <w:snapToGrid w:val="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招标文件不允许分包，供应商未分包。</w:t>
            </w:r>
          </w:p>
        </w:tc>
        <w:tc>
          <w:tcPr>
            <w:tcW w:w="1410" w:type="dxa"/>
            <w:vAlign w:val="center"/>
          </w:tcPr>
          <w:p w14:paraId="76B3B0E0">
            <w:pPr>
              <w:tabs>
                <w:tab w:val="left" w:pos="1260"/>
                <w:tab w:val="left" w:pos="1620"/>
              </w:tabs>
              <w:adjustRightInd w:val="0"/>
              <w:snapToGrid w:val="0"/>
              <w:textAlignment w:val="baseline"/>
              <w:rPr>
                <w:rFonts w:hint="eastAsia" w:ascii="宋体" w:hAnsi="宋体" w:eastAsia="宋体" w:cs="宋体"/>
                <w:color w:val="auto"/>
                <w:sz w:val="24"/>
                <w:szCs w:val="24"/>
              </w:rPr>
            </w:pPr>
          </w:p>
        </w:tc>
      </w:tr>
      <w:tr w14:paraId="34C12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02" w:type="dxa"/>
            <w:vAlign w:val="center"/>
          </w:tcPr>
          <w:p w14:paraId="32EA8E72">
            <w:pPr>
              <w:numPr>
                <w:ilvl w:val="0"/>
                <w:numId w:val="0"/>
              </w:numPr>
              <w:tabs>
                <w:tab w:val="left" w:pos="1260"/>
                <w:tab w:val="left" w:pos="1620"/>
              </w:tabs>
              <w:adjustRightInd w:val="0"/>
              <w:snapToGrid w:val="0"/>
              <w:ind w:left="425" w:leftChars="0" w:hanging="425" w:firstLineChars="0"/>
              <w:jc w:val="center"/>
              <w:textAlignment w:val="baseline"/>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SA"/>
              </w:rPr>
              <w:t>11</w:t>
            </w:r>
          </w:p>
        </w:tc>
        <w:tc>
          <w:tcPr>
            <w:tcW w:w="1851" w:type="dxa"/>
            <w:vAlign w:val="center"/>
          </w:tcPr>
          <w:p w14:paraId="0637A701">
            <w:pPr>
              <w:tabs>
                <w:tab w:val="left" w:pos="1260"/>
                <w:tab w:val="left" w:pos="1620"/>
              </w:tabs>
              <w:adjustRightInd w:val="0"/>
              <w:snapToGrid w:val="0"/>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实质性响应</w:t>
            </w:r>
          </w:p>
        </w:tc>
        <w:tc>
          <w:tcPr>
            <w:tcW w:w="5799" w:type="dxa"/>
            <w:vAlign w:val="center"/>
          </w:tcPr>
          <w:p w14:paraId="50258099">
            <w:pPr>
              <w:tabs>
                <w:tab w:val="left" w:pos="1260"/>
                <w:tab w:val="left" w:pos="1620"/>
              </w:tabs>
              <w:adjustRightInd w:val="0"/>
              <w:snapToGrid w:val="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符合“采购需求”要求</w:t>
            </w:r>
            <w:r>
              <w:rPr>
                <w:rFonts w:hint="eastAsia" w:ascii="宋体" w:hAnsi="宋体" w:eastAsia="宋体" w:cs="宋体"/>
                <w:color w:val="auto"/>
                <w:sz w:val="24"/>
                <w:szCs w:val="24"/>
                <w:highlight w:val="none"/>
                <w:lang w:eastAsia="zh-CN"/>
              </w:rPr>
              <w:t>。</w:t>
            </w:r>
          </w:p>
        </w:tc>
        <w:tc>
          <w:tcPr>
            <w:tcW w:w="1410" w:type="dxa"/>
            <w:vAlign w:val="center"/>
          </w:tcPr>
          <w:p w14:paraId="277A5B2A">
            <w:pPr>
              <w:tabs>
                <w:tab w:val="left" w:pos="1260"/>
                <w:tab w:val="left" w:pos="1620"/>
              </w:tabs>
              <w:adjustRightInd w:val="0"/>
              <w:snapToGrid w:val="0"/>
              <w:textAlignment w:val="baseline"/>
              <w:rPr>
                <w:rFonts w:hint="eastAsia" w:ascii="宋体" w:hAnsi="宋体" w:eastAsia="宋体" w:cs="宋体"/>
                <w:color w:val="auto"/>
                <w:sz w:val="24"/>
                <w:szCs w:val="24"/>
              </w:rPr>
            </w:pPr>
          </w:p>
        </w:tc>
      </w:tr>
      <w:tr w14:paraId="0B98B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02" w:type="dxa"/>
            <w:vAlign w:val="center"/>
          </w:tcPr>
          <w:p w14:paraId="2D9E4A18">
            <w:pPr>
              <w:numPr>
                <w:ilvl w:val="0"/>
                <w:numId w:val="0"/>
              </w:numPr>
              <w:tabs>
                <w:tab w:val="left" w:pos="1260"/>
                <w:tab w:val="left" w:pos="1620"/>
              </w:tabs>
              <w:adjustRightInd w:val="0"/>
              <w:snapToGrid w:val="0"/>
              <w:ind w:left="425" w:leftChars="0" w:hanging="425" w:firstLineChars="0"/>
              <w:jc w:val="center"/>
              <w:textAlignment w:val="baseline"/>
              <w:rPr>
                <w:rFonts w:hint="eastAsia" w:ascii="宋体" w:hAnsi="宋体" w:eastAsia="宋体" w:cs="宋体"/>
                <w:i w:val="0"/>
                <w:iCs w:val="0"/>
                <w:color w:val="auto"/>
                <w:sz w:val="24"/>
                <w:szCs w:val="24"/>
                <w:lang w:val="en-US"/>
              </w:rPr>
            </w:pPr>
            <w:r>
              <w:rPr>
                <w:rFonts w:hint="eastAsia" w:ascii="宋体" w:hAnsi="宋体" w:eastAsia="宋体" w:cs="宋体"/>
                <w:i w:val="0"/>
                <w:iCs w:val="0"/>
                <w:color w:val="auto"/>
                <w:kern w:val="2"/>
                <w:sz w:val="24"/>
                <w:szCs w:val="24"/>
                <w:lang w:val="en-US" w:eastAsia="zh-CN" w:bidi="ar-SA"/>
              </w:rPr>
              <w:t>12</w:t>
            </w:r>
          </w:p>
        </w:tc>
        <w:tc>
          <w:tcPr>
            <w:tcW w:w="1851" w:type="dxa"/>
            <w:vAlign w:val="center"/>
          </w:tcPr>
          <w:p w14:paraId="6991BBC4">
            <w:pPr>
              <w:tabs>
                <w:tab w:val="left" w:pos="1260"/>
                <w:tab w:val="left" w:pos="1620"/>
              </w:tabs>
              <w:adjustRightInd w:val="0"/>
              <w:snapToGrid w:val="0"/>
              <w:textAlignment w:val="baseline"/>
              <w:rPr>
                <w:rFonts w:hint="eastAsia" w:ascii="宋体" w:hAnsi="宋体" w:eastAsia="宋体" w:cs="宋体"/>
                <w:i w:val="0"/>
                <w:iCs w:val="0"/>
                <w:color w:val="auto"/>
                <w:sz w:val="24"/>
                <w:szCs w:val="24"/>
              </w:rPr>
            </w:pPr>
            <w:r>
              <w:rPr>
                <w:rFonts w:hint="eastAsia" w:ascii="宋体" w:hAnsi="宋体" w:eastAsia="宋体" w:cs="宋体"/>
                <w:i w:val="0"/>
                <w:iCs w:val="0"/>
                <w:color w:val="auto"/>
                <w:sz w:val="24"/>
                <w:szCs w:val="24"/>
              </w:rPr>
              <w:t>服务地点</w:t>
            </w:r>
          </w:p>
        </w:tc>
        <w:tc>
          <w:tcPr>
            <w:tcW w:w="5799" w:type="dxa"/>
            <w:vAlign w:val="center"/>
          </w:tcPr>
          <w:p w14:paraId="1EC26493">
            <w:pPr>
              <w:tabs>
                <w:tab w:val="left" w:pos="1260"/>
                <w:tab w:val="left" w:pos="1620"/>
              </w:tabs>
              <w:adjustRightInd w:val="0"/>
              <w:snapToGrid w:val="0"/>
              <w:textAlignment w:val="baseline"/>
              <w:rPr>
                <w:rFonts w:hint="eastAsia" w:ascii="宋体" w:hAnsi="宋体" w:eastAsia="宋体" w:cs="宋体"/>
                <w:i w:val="0"/>
                <w:iCs w:val="0"/>
                <w:color w:val="auto"/>
                <w:sz w:val="24"/>
                <w:szCs w:val="24"/>
                <w:lang w:eastAsia="zh-CN"/>
              </w:rPr>
            </w:pPr>
            <w:r>
              <w:rPr>
                <w:rFonts w:hint="eastAsia" w:ascii="宋体" w:hAnsi="宋体" w:eastAsia="宋体" w:cs="宋体"/>
                <w:i w:val="0"/>
                <w:iCs w:val="0"/>
                <w:color w:val="auto"/>
                <w:sz w:val="24"/>
                <w:szCs w:val="24"/>
              </w:rPr>
              <w:t>满足招标文件要求</w:t>
            </w:r>
            <w:r>
              <w:rPr>
                <w:rFonts w:hint="eastAsia" w:ascii="宋体" w:hAnsi="宋体" w:eastAsia="宋体" w:cs="宋体"/>
                <w:i w:val="0"/>
                <w:iCs w:val="0"/>
                <w:color w:val="auto"/>
                <w:sz w:val="24"/>
                <w:szCs w:val="24"/>
                <w:lang w:eastAsia="zh-CN"/>
              </w:rPr>
              <w:t>。</w:t>
            </w:r>
          </w:p>
        </w:tc>
        <w:tc>
          <w:tcPr>
            <w:tcW w:w="1410" w:type="dxa"/>
            <w:vAlign w:val="center"/>
          </w:tcPr>
          <w:p w14:paraId="750DFE7F">
            <w:pPr>
              <w:tabs>
                <w:tab w:val="left" w:pos="1260"/>
                <w:tab w:val="left" w:pos="1620"/>
              </w:tabs>
              <w:adjustRightInd w:val="0"/>
              <w:snapToGrid w:val="0"/>
              <w:textAlignment w:val="baseline"/>
              <w:rPr>
                <w:rFonts w:hint="eastAsia" w:ascii="宋体" w:hAnsi="宋体" w:eastAsia="宋体" w:cs="宋体"/>
                <w:i w:val="0"/>
                <w:iCs w:val="0"/>
                <w:color w:val="auto"/>
                <w:sz w:val="24"/>
                <w:szCs w:val="24"/>
              </w:rPr>
            </w:pPr>
          </w:p>
        </w:tc>
      </w:tr>
      <w:tr w14:paraId="3CB0A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53" w:type="dxa"/>
            <w:gridSpan w:val="2"/>
            <w:vAlign w:val="center"/>
          </w:tcPr>
          <w:p w14:paraId="16B7B2C2">
            <w:pPr>
              <w:tabs>
                <w:tab w:val="left" w:pos="1260"/>
                <w:tab w:val="left" w:pos="1620"/>
              </w:tabs>
              <w:adjustRightInd w:val="0"/>
              <w:snapToGrid w:val="0"/>
              <w:textAlignment w:val="baseline"/>
              <w:rPr>
                <w:rFonts w:hint="eastAsia" w:ascii="宋体" w:hAnsi="宋体" w:eastAsia="宋体" w:cs="宋体"/>
                <w:color w:val="auto"/>
                <w:sz w:val="24"/>
                <w:szCs w:val="24"/>
                <w:lang w:eastAsia="zh-CN"/>
              </w:rPr>
            </w:pPr>
            <w:r>
              <w:rPr>
                <w:rFonts w:hint="eastAsia" w:ascii="宋体" w:hAnsi="宋体" w:eastAsia="宋体" w:cs="宋体"/>
                <w:b/>
                <w:color w:val="auto"/>
                <w:sz w:val="24"/>
                <w:szCs w:val="24"/>
              </w:rPr>
              <w:t>结论</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通过或未通过</w:t>
            </w:r>
            <w:r>
              <w:rPr>
                <w:rFonts w:hint="eastAsia" w:ascii="宋体" w:hAnsi="宋体" w:eastAsia="宋体" w:cs="宋体"/>
                <w:b/>
                <w:color w:val="auto"/>
                <w:sz w:val="24"/>
                <w:szCs w:val="24"/>
                <w:lang w:eastAsia="zh-CN"/>
              </w:rPr>
              <w:t>)</w:t>
            </w:r>
          </w:p>
        </w:tc>
        <w:tc>
          <w:tcPr>
            <w:tcW w:w="5799" w:type="dxa"/>
            <w:vAlign w:val="center"/>
          </w:tcPr>
          <w:p w14:paraId="39B1F567">
            <w:pPr>
              <w:tabs>
                <w:tab w:val="left" w:pos="1260"/>
                <w:tab w:val="left" w:pos="1620"/>
              </w:tabs>
              <w:adjustRightInd w:val="0"/>
              <w:snapToGrid w:val="0"/>
              <w:textAlignment w:val="baseline"/>
              <w:rPr>
                <w:rFonts w:hint="eastAsia" w:ascii="宋体" w:hAnsi="宋体" w:eastAsia="宋体" w:cs="宋体"/>
                <w:color w:val="auto"/>
                <w:sz w:val="24"/>
                <w:szCs w:val="24"/>
              </w:rPr>
            </w:pPr>
          </w:p>
        </w:tc>
        <w:tc>
          <w:tcPr>
            <w:tcW w:w="1410" w:type="dxa"/>
            <w:vAlign w:val="center"/>
          </w:tcPr>
          <w:p w14:paraId="2277A786">
            <w:pPr>
              <w:tabs>
                <w:tab w:val="left" w:pos="1260"/>
                <w:tab w:val="left" w:pos="1620"/>
              </w:tabs>
              <w:adjustRightInd w:val="0"/>
              <w:snapToGrid w:val="0"/>
              <w:textAlignment w:val="baseline"/>
              <w:rPr>
                <w:rFonts w:hint="eastAsia" w:ascii="宋体" w:hAnsi="宋体" w:eastAsia="宋体" w:cs="宋体"/>
                <w:color w:val="auto"/>
                <w:sz w:val="24"/>
                <w:szCs w:val="24"/>
              </w:rPr>
            </w:pPr>
          </w:p>
        </w:tc>
      </w:tr>
    </w:tbl>
    <w:p w14:paraId="1EE96FD2">
      <w:pPr>
        <w:tabs>
          <w:tab w:val="left" w:pos="1260"/>
          <w:tab w:val="left" w:pos="1620"/>
        </w:tabs>
        <w:adjustRightInd w:val="0"/>
        <w:spacing w:line="360" w:lineRule="auto"/>
        <w:jc w:val="left"/>
        <w:textAlignment w:val="baseline"/>
        <w:rPr>
          <w:rFonts w:hint="eastAsia" w:ascii="宋体" w:hAnsi="宋体" w:eastAsia="宋体" w:cs="宋体"/>
          <w:b/>
          <w:color w:val="auto"/>
          <w:sz w:val="22"/>
          <w:szCs w:val="22"/>
        </w:rPr>
      </w:pPr>
      <w:r>
        <w:rPr>
          <w:rFonts w:hint="eastAsia" w:ascii="宋体" w:hAnsi="宋体" w:eastAsia="宋体" w:cs="宋体"/>
          <w:b/>
          <w:color w:val="auto"/>
          <w:sz w:val="22"/>
          <w:szCs w:val="22"/>
        </w:rPr>
        <w:t>注</w:t>
      </w:r>
      <w:r>
        <w:rPr>
          <w:rFonts w:hint="eastAsia" w:ascii="宋体" w:hAnsi="宋体" w:eastAsia="宋体" w:cs="宋体"/>
          <w:b/>
          <w:color w:val="auto"/>
          <w:sz w:val="22"/>
          <w:szCs w:val="22"/>
          <w:lang w:eastAsia="zh-CN"/>
        </w:rPr>
        <w:t>:</w:t>
      </w:r>
      <w:r>
        <w:rPr>
          <w:rFonts w:hint="eastAsia" w:ascii="宋体" w:hAnsi="宋体" w:eastAsia="宋体" w:cs="宋体"/>
          <w:b/>
          <w:color w:val="auto"/>
          <w:sz w:val="22"/>
          <w:szCs w:val="22"/>
        </w:rPr>
        <w:t>1、符合招标文件要求用“√”表示，不符合用“×”表示。有一项不符合要求，结论为不合格。</w:t>
      </w:r>
    </w:p>
    <w:p w14:paraId="5A52C739">
      <w:pPr>
        <w:tabs>
          <w:tab w:val="left" w:pos="-94"/>
          <w:tab w:val="left" w:pos="428"/>
        </w:tabs>
        <w:adjustRightInd w:val="0"/>
        <w:spacing w:line="360" w:lineRule="auto"/>
        <w:ind w:left="23" w:leftChars="11"/>
        <w:jc w:val="center"/>
        <w:textAlignment w:val="baseline"/>
        <w:outlineLvl w:val="1"/>
        <w:rPr>
          <w:rFonts w:hint="eastAsia" w:ascii="宋体" w:hAnsi="宋体" w:eastAsia="宋体" w:cs="宋体"/>
          <w:b/>
          <w:color w:val="auto"/>
          <w:sz w:val="24"/>
          <w:szCs w:val="24"/>
          <w:highlight w:val="none"/>
        </w:rPr>
      </w:pPr>
      <w:bookmarkStart w:id="153" w:name="_Toc410631198"/>
      <w:bookmarkStart w:id="154" w:name="_Toc15146"/>
      <w:bookmarkStart w:id="155" w:name="_Toc7519"/>
      <w:bookmarkStart w:id="156" w:name="_Toc414446034"/>
      <w:bookmarkStart w:id="157" w:name="_Toc8984"/>
      <w:bookmarkStart w:id="158" w:name="_Toc23977"/>
      <w:r>
        <w:rPr>
          <w:b/>
          <w:color w:val="auto"/>
          <w:sz w:val="28"/>
          <w:szCs w:val="28"/>
          <w:highlight w:val="none"/>
        </w:rPr>
        <w:t>附表</w:t>
      </w:r>
      <w:r>
        <w:rPr>
          <w:rFonts w:hint="eastAsia"/>
          <w:b/>
          <w:color w:val="auto"/>
          <w:sz w:val="28"/>
          <w:szCs w:val="28"/>
          <w:highlight w:val="none"/>
        </w:rPr>
        <w:t xml:space="preserve">三 </w:t>
      </w:r>
      <w:bookmarkEnd w:id="153"/>
      <w:bookmarkEnd w:id="154"/>
      <w:bookmarkEnd w:id="155"/>
      <w:bookmarkEnd w:id="156"/>
      <w:bookmarkEnd w:id="157"/>
      <w:bookmarkEnd w:id="158"/>
      <w:bookmarkStart w:id="159" w:name="_Toc29684"/>
      <w:r>
        <w:rPr>
          <w:b/>
          <w:color w:val="auto"/>
          <w:sz w:val="28"/>
          <w:szCs w:val="28"/>
          <w:highlight w:val="none"/>
        </w:rPr>
        <w:t>评审因素及分值分配表</w:t>
      </w:r>
    </w:p>
    <w:p w14:paraId="207B1300">
      <w:pPr>
        <w:tabs>
          <w:tab w:val="left" w:pos="-94"/>
          <w:tab w:val="left" w:pos="1620"/>
        </w:tabs>
        <w:adjustRightInd w:val="0"/>
        <w:spacing w:line="360" w:lineRule="auto"/>
        <w:ind w:left="23" w:leftChars="11"/>
        <w:jc w:val="center"/>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满分</w:t>
      </w:r>
      <w:r>
        <w:rPr>
          <w:rFonts w:hint="eastAsia" w:ascii="宋体" w:hAnsi="宋体" w:eastAsia="宋体" w:cs="宋体"/>
          <w:color w:val="auto"/>
          <w:sz w:val="24"/>
          <w:szCs w:val="24"/>
          <w:highlight w:val="none"/>
          <w:lang w:val="en-US" w:eastAsia="zh-CN"/>
        </w:rPr>
        <w:t>100</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1656"/>
        <w:gridCol w:w="1106"/>
        <w:gridCol w:w="5526"/>
        <w:gridCol w:w="1105"/>
      </w:tblGrid>
      <w:tr w14:paraId="362D0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69" w:type="dxa"/>
            <w:vAlign w:val="center"/>
          </w:tcPr>
          <w:p w14:paraId="5C871324">
            <w:pPr>
              <w:snapToGrid w:val="0"/>
              <w:jc w:val="center"/>
              <w:rPr>
                <w:rFonts w:hint="eastAsia" w:ascii="宋体" w:hAnsi="宋体" w:eastAsia="宋体" w:cs="宋体"/>
                <w:b/>
                <w:bCs/>
                <w:caps/>
                <w:color w:val="auto"/>
                <w:sz w:val="24"/>
                <w:szCs w:val="24"/>
                <w:highlight w:val="none"/>
              </w:rPr>
            </w:pPr>
            <w:r>
              <w:rPr>
                <w:rFonts w:hint="eastAsia" w:ascii="宋体" w:hAnsi="宋体" w:eastAsia="宋体" w:cs="宋体"/>
                <w:b/>
                <w:bCs/>
                <w:caps/>
                <w:color w:val="auto"/>
                <w:sz w:val="24"/>
                <w:szCs w:val="24"/>
                <w:highlight w:val="none"/>
              </w:rPr>
              <w:t>序号</w:t>
            </w:r>
          </w:p>
        </w:tc>
        <w:tc>
          <w:tcPr>
            <w:tcW w:w="1656" w:type="dxa"/>
            <w:vAlign w:val="center"/>
          </w:tcPr>
          <w:p w14:paraId="5A536441">
            <w:pPr>
              <w:snapToGrid w:val="0"/>
              <w:jc w:val="center"/>
              <w:rPr>
                <w:rFonts w:hint="eastAsia" w:ascii="宋体" w:hAnsi="宋体" w:eastAsia="宋体" w:cs="宋体"/>
                <w:b/>
                <w:bCs/>
                <w:caps/>
                <w:color w:val="auto"/>
                <w:sz w:val="24"/>
                <w:szCs w:val="24"/>
                <w:highlight w:val="none"/>
              </w:rPr>
            </w:pPr>
            <w:r>
              <w:rPr>
                <w:rFonts w:hint="eastAsia" w:ascii="宋体" w:hAnsi="宋体" w:eastAsia="宋体" w:cs="宋体"/>
                <w:b/>
                <w:bCs/>
                <w:caps/>
                <w:color w:val="auto"/>
                <w:sz w:val="24"/>
                <w:szCs w:val="24"/>
                <w:highlight w:val="none"/>
              </w:rPr>
              <w:t>评审内容</w:t>
            </w:r>
          </w:p>
        </w:tc>
        <w:tc>
          <w:tcPr>
            <w:tcW w:w="1106" w:type="dxa"/>
            <w:vAlign w:val="center"/>
          </w:tcPr>
          <w:p w14:paraId="6669741B">
            <w:pPr>
              <w:snapToGrid w:val="0"/>
              <w:jc w:val="center"/>
              <w:rPr>
                <w:rFonts w:hint="eastAsia" w:ascii="宋体" w:hAnsi="宋体" w:eastAsia="宋体" w:cs="宋体"/>
                <w:b/>
                <w:bCs/>
                <w:caps/>
                <w:color w:val="auto"/>
                <w:sz w:val="24"/>
                <w:szCs w:val="24"/>
                <w:highlight w:val="none"/>
              </w:rPr>
            </w:pPr>
            <w:r>
              <w:rPr>
                <w:rFonts w:hint="eastAsia" w:ascii="宋体" w:hAnsi="宋体" w:eastAsia="宋体" w:cs="宋体"/>
                <w:b/>
                <w:bCs/>
                <w:caps/>
                <w:color w:val="auto"/>
                <w:sz w:val="24"/>
                <w:szCs w:val="24"/>
                <w:highlight w:val="none"/>
              </w:rPr>
              <w:t>标准分</w:t>
            </w:r>
          </w:p>
        </w:tc>
        <w:tc>
          <w:tcPr>
            <w:tcW w:w="5526" w:type="dxa"/>
            <w:vAlign w:val="center"/>
          </w:tcPr>
          <w:p w14:paraId="4CFD622C">
            <w:pPr>
              <w:snapToGrid w:val="0"/>
              <w:jc w:val="center"/>
              <w:rPr>
                <w:rFonts w:hint="eastAsia" w:ascii="宋体" w:hAnsi="宋体" w:eastAsia="宋体" w:cs="宋体"/>
                <w:b/>
                <w:bCs/>
                <w:caps/>
                <w:color w:val="auto"/>
                <w:sz w:val="24"/>
                <w:szCs w:val="24"/>
                <w:highlight w:val="none"/>
              </w:rPr>
            </w:pPr>
            <w:r>
              <w:rPr>
                <w:rFonts w:hint="eastAsia" w:ascii="宋体" w:hAnsi="宋体" w:eastAsia="宋体" w:cs="宋体"/>
                <w:b/>
                <w:bCs/>
                <w:caps/>
                <w:color w:val="auto"/>
                <w:sz w:val="24"/>
                <w:szCs w:val="24"/>
                <w:highlight w:val="none"/>
              </w:rPr>
              <w:t>评  审  标  准</w:t>
            </w:r>
          </w:p>
        </w:tc>
        <w:tc>
          <w:tcPr>
            <w:tcW w:w="1105" w:type="dxa"/>
            <w:vAlign w:val="center"/>
          </w:tcPr>
          <w:p w14:paraId="3C45024B">
            <w:pPr>
              <w:snapToGrid w:val="0"/>
              <w:jc w:val="center"/>
              <w:rPr>
                <w:rFonts w:hint="eastAsia" w:ascii="宋体" w:hAnsi="宋体" w:eastAsia="宋体" w:cs="宋体"/>
                <w:b/>
                <w:bCs/>
                <w:caps/>
                <w:color w:val="auto"/>
                <w:sz w:val="24"/>
                <w:szCs w:val="24"/>
                <w:highlight w:val="none"/>
              </w:rPr>
            </w:pPr>
            <w:r>
              <w:rPr>
                <w:rFonts w:hint="eastAsia" w:ascii="宋体" w:hAnsi="宋体" w:eastAsia="宋体" w:cs="宋体"/>
                <w:b/>
                <w:bCs/>
                <w:caps/>
                <w:color w:val="auto"/>
                <w:sz w:val="24"/>
                <w:szCs w:val="24"/>
                <w:highlight w:val="none"/>
              </w:rPr>
              <w:t>得分</w:t>
            </w:r>
          </w:p>
        </w:tc>
      </w:tr>
      <w:tr w14:paraId="16393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1" w:hRule="atLeast"/>
          <w:jc w:val="center"/>
        </w:trPr>
        <w:tc>
          <w:tcPr>
            <w:tcW w:w="569" w:type="dxa"/>
            <w:vAlign w:val="center"/>
          </w:tcPr>
          <w:p w14:paraId="36C06990">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1</w:t>
            </w:r>
          </w:p>
        </w:tc>
        <w:tc>
          <w:tcPr>
            <w:tcW w:w="1656" w:type="dxa"/>
            <w:vAlign w:val="center"/>
          </w:tcPr>
          <w:p w14:paraId="477B694E">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类似业绩</w:t>
            </w:r>
          </w:p>
        </w:tc>
        <w:tc>
          <w:tcPr>
            <w:tcW w:w="1106" w:type="dxa"/>
            <w:vAlign w:val="center"/>
          </w:tcPr>
          <w:p w14:paraId="32BAE7F4">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cs="宋体"/>
                <w:i w:val="0"/>
                <w:iCs w:val="0"/>
                <w:color w:val="auto"/>
                <w:kern w:val="0"/>
                <w:sz w:val="24"/>
                <w:szCs w:val="24"/>
                <w:highlight w:val="none"/>
                <w:u w:val="none"/>
                <w:lang w:val="en-US" w:eastAsia="zh-CN" w:bidi="ar"/>
              </w:rPr>
              <w:t>8</w:t>
            </w:r>
          </w:p>
        </w:tc>
        <w:tc>
          <w:tcPr>
            <w:tcW w:w="5526" w:type="dxa"/>
            <w:vAlign w:val="center"/>
          </w:tcPr>
          <w:p w14:paraId="3C62BBBF">
            <w:pPr>
              <w:keepNext w:val="0"/>
              <w:keepLines w:val="0"/>
              <w:pageBreakBefore w:val="0"/>
              <w:widowControl/>
              <w:suppressLineNumbers w:val="0"/>
              <w:kinsoku/>
              <w:wordWrap/>
              <w:overflowPunct/>
              <w:topLinePunct w:val="0"/>
              <w:autoSpaceDE/>
              <w:autoSpaceDN/>
              <w:bidi w:val="0"/>
              <w:snapToGrid/>
              <w:spacing w:line="390" w:lineRule="exact"/>
              <w:jc w:val="left"/>
              <w:textAlignment w:val="center"/>
              <w:rPr>
                <w:rFonts w:hint="eastAsia" w:ascii="宋体" w:hAnsi="宋体" w:eastAsia="宋体" w:cs="宋体"/>
                <w:color w:val="auto"/>
                <w:sz w:val="24"/>
                <w:szCs w:val="24"/>
                <w:highlight w:val="none"/>
                <w:lang w:val="en-US" w:eastAsia="zh-Hans"/>
              </w:rPr>
            </w:pPr>
            <w:r>
              <w:rPr>
                <w:rFonts w:hint="eastAsia" w:ascii="宋体" w:hAnsi="宋体" w:eastAsia="宋体" w:cs="宋体"/>
                <w:i w:val="0"/>
                <w:iCs w:val="0"/>
                <w:color w:val="auto"/>
                <w:kern w:val="0"/>
                <w:sz w:val="24"/>
                <w:szCs w:val="24"/>
                <w:highlight w:val="none"/>
                <w:u w:val="none"/>
                <w:lang w:val="en-US" w:eastAsia="zh-CN" w:bidi="ar"/>
              </w:rPr>
              <w:t>供应商近三年（2023年01月01日—至今，时间以合同签订时间为准）承担过的类似项目，提供1项类似业绩得</w:t>
            </w:r>
            <w:r>
              <w:rPr>
                <w:rFonts w:hint="eastAsia" w:ascii="宋体" w:hAnsi="宋体" w:cs="宋体"/>
                <w:i w:val="0"/>
                <w:iCs w:val="0"/>
                <w:color w:val="auto"/>
                <w:kern w:val="0"/>
                <w:sz w:val="24"/>
                <w:szCs w:val="24"/>
                <w:highlight w:val="none"/>
                <w:u w:val="none"/>
                <w:lang w:val="en-US" w:eastAsia="zh-CN" w:bidi="ar"/>
              </w:rPr>
              <w:t>4</w:t>
            </w:r>
            <w:r>
              <w:rPr>
                <w:rFonts w:hint="eastAsia" w:ascii="宋体" w:hAnsi="宋体" w:eastAsia="宋体" w:cs="宋体"/>
                <w:i w:val="0"/>
                <w:iCs w:val="0"/>
                <w:color w:val="auto"/>
                <w:kern w:val="0"/>
                <w:sz w:val="24"/>
                <w:szCs w:val="24"/>
                <w:highlight w:val="none"/>
                <w:u w:val="none"/>
                <w:lang w:val="en-US" w:eastAsia="zh-CN" w:bidi="ar"/>
              </w:rPr>
              <w:t>分，最高得</w:t>
            </w:r>
            <w:r>
              <w:rPr>
                <w:rFonts w:hint="eastAsia" w:ascii="宋体" w:hAnsi="宋体" w:cs="宋体"/>
                <w:i w:val="0"/>
                <w:iCs w:val="0"/>
                <w:color w:val="auto"/>
                <w:kern w:val="0"/>
                <w:sz w:val="24"/>
                <w:szCs w:val="24"/>
                <w:highlight w:val="none"/>
                <w:u w:val="none"/>
                <w:lang w:val="en-US" w:eastAsia="zh-CN" w:bidi="ar"/>
              </w:rPr>
              <w:t>8</w:t>
            </w:r>
            <w:r>
              <w:rPr>
                <w:rFonts w:hint="eastAsia" w:ascii="宋体" w:hAnsi="宋体" w:eastAsia="宋体" w:cs="宋体"/>
                <w:i w:val="0"/>
                <w:iCs w:val="0"/>
                <w:color w:val="auto"/>
                <w:kern w:val="0"/>
                <w:sz w:val="24"/>
                <w:szCs w:val="24"/>
                <w:highlight w:val="none"/>
                <w:u w:val="none"/>
                <w:lang w:val="en-US" w:eastAsia="zh-CN" w:bidi="ar"/>
              </w:rPr>
              <w:t>分。（服务内容或范围中须包含环卫、市政、园林养护作业中的任意一项工作内容），须提供</w:t>
            </w:r>
            <w:r>
              <w:rPr>
                <w:rFonts w:hint="eastAsia" w:ascii="宋体" w:hAnsi="宋体" w:cs="宋体"/>
                <w:i w:val="0"/>
                <w:iCs w:val="0"/>
                <w:color w:val="auto"/>
                <w:kern w:val="0"/>
                <w:sz w:val="24"/>
                <w:szCs w:val="24"/>
                <w:highlight w:val="none"/>
                <w:u w:val="none"/>
                <w:lang w:val="en-US" w:eastAsia="zh-CN" w:bidi="ar"/>
              </w:rPr>
              <w:t>中标（成交）通知书或</w:t>
            </w:r>
            <w:r>
              <w:rPr>
                <w:rFonts w:hint="eastAsia" w:ascii="宋体" w:hAnsi="宋体" w:eastAsia="宋体" w:cs="宋体"/>
                <w:i w:val="0"/>
                <w:iCs w:val="0"/>
                <w:color w:val="auto"/>
                <w:kern w:val="0"/>
                <w:sz w:val="24"/>
                <w:szCs w:val="24"/>
                <w:highlight w:val="none"/>
                <w:u w:val="none"/>
                <w:lang w:val="en-US" w:eastAsia="zh-CN" w:bidi="ar"/>
              </w:rPr>
              <w:t>合同复印件加盖公章。</w:t>
            </w:r>
          </w:p>
        </w:tc>
        <w:tc>
          <w:tcPr>
            <w:tcW w:w="1105" w:type="dxa"/>
            <w:vAlign w:val="center"/>
          </w:tcPr>
          <w:p w14:paraId="52550D2B">
            <w:pPr>
              <w:tabs>
                <w:tab w:val="left" w:pos="-94"/>
                <w:tab w:val="left" w:pos="1620"/>
              </w:tabs>
              <w:adjustRightInd w:val="0"/>
              <w:snapToGrid w:val="0"/>
              <w:jc w:val="center"/>
              <w:textAlignment w:val="baseline"/>
              <w:outlineLvl w:val="9"/>
              <w:rPr>
                <w:rFonts w:hint="eastAsia" w:ascii="宋体" w:hAnsi="宋体" w:eastAsia="宋体" w:cs="宋体"/>
                <w:color w:val="auto"/>
                <w:sz w:val="24"/>
                <w:szCs w:val="24"/>
                <w:highlight w:val="none"/>
              </w:rPr>
            </w:pPr>
          </w:p>
        </w:tc>
      </w:tr>
      <w:tr w14:paraId="3EEF0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1" w:hRule="atLeast"/>
          <w:jc w:val="center"/>
        </w:trPr>
        <w:tc>
          <w:tcPr>
            <w:tcW w:w="569" w:type="dxa"/>
            <w:vAlign w:val="center"/>
          </w:tcPr>
          <w:p w14:paraId="0E021A51">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w:t>
            </w:r>
          </w:p>
        </w:tc>
        <w:tc>
          <w:tcPr>
            <w:tcW w:w="1656" w:type="dxa"/>
            <w:vAlign w:val="center"/>
          </w:tcPr>
          <w:p w14:paraId="5C09EF3B">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车辆租赁</w:t>
            </w:r>
          </w:p>
        </w:tc>
        <w:tc>
          <w:tcPr>
            <w:tcW w:w="1106" w:type="dxa"/>
            <w:vAlign w:val="center"/>
          </w:tcPr>
          <w:p w14:paraId="29CB16B8">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5</w:t>
            </w:r>
          </w:p>
        </w:tc>
        <w:tc>
          <w:tcPr>
            <w:tcW w:w="5526" w:type="dxa"/>
            <w:vAlign w:val="center"/>
          </w:tcPr>
          <w:p w14:paraId="4A694BCF">
            <w:pPr>
              <w:keepNext w:val="0"/>
              <w:keepLines w:val="0"/>
              <w:pageBreakBefore w:val="0"/>
              <w:widowControl/>
              <w:numPr>
                <w:ilvl w:val="0"/>
                <w:numId w:val="0"/>
              </w:numPr>
              <w:suppressLineNumbers w:val="0"/>
              <w:kinsoku/>
              <w:wordWrap/>
              <w:overflowPunct/>
              <w:topLinePunct w:val="0"/>
              <w:autoSpaceDE/>
              <w:autoSpaceDN/>
              <w:bidi w:val="0"/>
              <w:snapToGrid/>
              <w:spacing w:line="390" w:lineRule="exact"/>
              <w:jc w:val="left"/>
              <w:textAlignment w:val="center"/>
              <w:rPr>
                <w:rFonts w:hint="eastAsia" w:ascii="宋体" w:hAnsi="宋体" w:eastAsia="宋体" w:cs="宋体"/>
                <w:i w:val="0"/>
                <w:iCs w:val="0"/>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lang w:val="en-US" w:eastAsia="zh-CN" w:bidi="ar"/>
              </w:rPr>
              <w:t>供应商根据采购需求提供自有或租赁的车辆不少于300辆得3分，在此基础上每增加50辆得1分，最高得5分。</w:t>
            </w:r>
          </w:p>
          <w:p w14:paraId="358CDFBE">
            <w:pPr>
              <w:keepNext w:val="0"/>
              <w:keepLines w:val="0"/>
              <w:pageBreakBefore w:val="0"/>
              <w:widowControl/>
              <w:numPr>
                <w:ilvl w:val="0"/>
                <w:numId w:val="0"/>
              </w:numPr>
              <w:suppressLineNumbers w:val="0"/>
              <w:kinsoku/>
              <w:wordWrap/>
              <w:overflowPunct/>
              <w:topLinePunct w:val="0"/>
              <w:autoSpaceDE/>
              <w:autoSpaceDN/>
              <w:bidi w:val="0"/>
              <w:snapToGrid/>
              <w:spacing w:line="39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bidi="ar"/>
              </w:rPr>
              <w:t>注：提供</w:t>
            </w:r>
            <w:r>
              <w:rPr>
                <w:rFonts w:hint="eastAsia" w:ascii="宋体" w:hAnsi="宋体" w:cs="宋体"/>
                <w:i w:val="0"/>
                <w:iCs w:val="0"/>
                <w:color w:val="auto"/>
                <w:kern w:val="0"/>
                <w:sz w:val="24"/>
                <w:szCs w:val="24"/>
                <w:highlight w:val="none"/>
                <w:lang w:val="en-US" w:eastAsia="zh-CN" w:bidi="ar"/>
              </w:rPr>
              <w:t>各类型作业车辆实景</w:t>
            </w:r>
            <w:r>
              <w:rPr>
                <w:rFonts w:hint="eastAsia" w:ascii="宋体" w:hAnsi="宋体" w:eastAsia="宋体" w:cs="宋体"/>
                <w:i w:val="0"/>
                <w:iCs w:val="0"/>
                <w:color w:val="auto"/>
                <w:kern w:val="0"/>
                <w:sz w:val="24"/>
                <w:szCs w:val="24"/>
                <w:highlight w:val="none"/>
                <w:lang w:val="en-US" w:eastAsia="zh-CN" w:bidi="ar"/>
              </w:rPr>
              <w:t>图片、机动车登记证书、租赁车辆还需提供租赁协议/合同。</w:t>
            </w:r>
          </w:p>
        </w:tc>
        <w:tc>
          <w:tcPr>
            <w:tcW w:w="1105" w:type="dxa"/>
            <w:vAlign w:val="center"/>
          </w:tcPr>
          <w:p w14:paraId="178EEB8C">
            <w:pPr>
              <w:tabs>
                <w:tab w:val="left" w:pos="-94"/>
                <w:tab w:val="left" w:pos="1620"/>
              </w:tabs>
              <w:adjustRightInd w:val="0"/>
              <w:snapToGrid w:val="0"/>
              <w:jc w:val="center"/>
              <w:textAlignment w:val="baseline"/>
              <w:outlineLvl w:val="9"/>
              <w:rPr>
                <w:rFonts w:hint="eastAsia" w:ascii="宋体" w:hAnsi="宋体" w:eastAsia="宋体" w:cs="宋体"/>
                <w:color w:val="auto"/>
                <w:sz w:val="24"/>
                <w:szCs w:val="24"/>
                <w:highlight w:val="none"/>
              </w:rPr>
            </w:pPr>
          </w:p>
        </w:tc>
      </w:tr>
      <w:tr w14:paraId="79FA7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jc w:val="center"/>
        </w:trPr>
        <w:tc>
          <w:tcPr>
            <w:tcW w:w="569" w:type="dxa"/>
            <w:vAlign w:val="center"/>
          </w:tcPr>
          <w:p w14:paraId="65B13A62">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w:t>
            </w:r>
          </w:p>
        </w:tc>
        <w:tc>
          <w:tcPr>
            <w:tcW w:w="1656" w:type="dxa"/>
            <w:vAlign w:val="center"/>
          </w:tcPr>
          <w:p w14:paraId="1ABD8EA9">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场地面积</w:t>
            </w:r>
          </w:p>
        </w:tc>
        <w:tc>
          <w:tcPr>
            <w:tcW w:w="1106" w:type="dxa"/>
            <w:vAlign w:val="center"/>
          </w:tcPr>
          <w:p w14:paraId="144B7864">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5</w:t>
            </w:r>
          </w:p>
        </w:tc>
        <w:tc>
          <w:tcPr>
            <w:tcW w:w="5526" w:type="dxa"/>
            <w:vAlign w:val="center"/>
          </w:tcPr>
          <w:p w14:paraId="38B63752">
            <w:pPr>
              <w:keepNext w:val="0"/>
              <w:keepLines w:val="0"/>
              <w:pageBreakBefore w:val="0"/>
              <w:widowControl/>
              <w:suppressLineNumbers w:val="0"/>
              <w:kinsoku/>
              <w:wordWrap/>
              <w:overflowPunct/>
              <w:topLinePunct w:val="0"/>
              <w:autoSpaceDE/>
              <w:autoSpaceDN/>
              <w:bidi w:val="0"/>
              <w:snapToGrid/>
              <w:spacing w:line="39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供应商提供自有或租赁的场地面积不小于</w:t>
            </w:r>
            <w:r>
              <w:rPr>
                <w:rFonts w:hint="eastAsia" w:ascii="宋体" w:hAnsi="宋体" w:cs="宋体"/>
                <w:i w:val="0"/>
                <w:iCs w:val="0"/>
                <w:color w:val="auto"/>
                <w:kern w:val="0"/>
                <w:sz w:val="24"/>
                <w:szCs w:val="24"/>
                <w:highlight w:val="none"/>
                <w:u w:val="none"/>
                <w:lang w:val="en-US" w:eastAsia="zh-CN" w:bidi="ar"/>
              </w:rPr>
              <w:t>40</w:t>
            </w:r>
            <w:r>
              <w:rPr>
                <w:rFonts w:hint="eastAsia" w:ascii="宋体" w:hAnsi="宋体" w:eastAsia="宋体" w:cs="宋体"/>
                <w:i w:val="0"/>
                <w:iCs w:val="0"/>
                <w:color w:val="auto"/>
                <w:kern w:val="0"/>
                <w:sz w:val="24"/>
                <w:szCs w:val="24"/>
                <w:highlight w:val="none"/>
                <w:u w:val="none"/>
                <w:lang w:val="en-US" w:eastAsia="zh-CN" w:bidi="ar"/>
              </w:rPr>
              <w:t>000㎡得</w:t>
            </w:r>
            <w:r>
              <w:rPr>
                <w:rFonts w:hint="eastAsia" w:ascii="宋体" w:hAnsi="宋体" w:cs="宋体"/>
                <w:i w:val="0"/>
                <w:iCs w:val="0"/>
                <w:color w:val="auto"/>
                <w:kern w:val="0"/>
                <w:sz w:val="24"/>
                <w:szCs w:val="24"/>
                <w:highlight w:val="none"/>
                <w:u w:val="none"/>
                <w:lang w:val="en-US" w:eastAsia="zh-CN" w:bidi="ar"/>
              </w:rPr>
              <w:t>3</w:t>
            </w:r>
            <w:r>
              <w:rPr>
                <w:rFonts w:hint="eastAsia" w:ascii="宋体" w:hAnsi="宋体" w:eastAsia="宋体" w:cs="宋体"/>
                <w:i w:val="0"/>
                <w:iCs w:val="0"/>
                <w:color w:val="auto"/>
                <w:kern w:val="0"/>
                <w:sz w:val="24"/>
                <w:szCs w:val="24"/>
                <w:highlight w:val="none"/>
                <w:u w:val="none"/>
                <w:lang w:val="en-US" w:eastAsia="zh-CN" w:bidi="ar"/>
              </w:rPr>
              <w:t>分，在此基础上每增加2500㎡得1分，最高得</w:t>
            </w:r>
            <w:r>
              <w:rPr>
                <w:rFonts w:hint="eastAsia" w:ascii="宋体" w:hAnsi="宋体" w:cs="宋体"/>
                <w:i w:val="0"/>
                <w:iCs w:val="0"/>
                <w:color w:val="auto"/>
                <w:kern w:val="0"/>
                <w:sz w:val="24"/>
                <w:szCs w:val="24"/>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分。</w:t>
            </w:r>
          </w:p>
          <w:p w14:paraId="6A4CD603">
            <w:pPr>
              <w:keepNext w:val="0"/>
              <w:keepLines w:val="0"/>
              <w:pageBreakBefore w:val="0"/>
              <w:widowControl/>
              <w:suppressLineNumbers w:val="0"/>
              <w:kinsoku/>
              <w:wordWrap/>
              <w:overflowPunct/>
              <w:topLinePunct w:val="0"/>
              <w:autoSpaceDE/>
              <w:autoSpaceDN/>
              <w:bidi w:val="0"/>
              <w:snapToGrid/>
              <w:spacing w:line="39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注：自有场地提供</w:t>
            </w:r>
            <w:r>
              <w:rPr>
                <w:rFonts w:hint="eastAsia" w:ascii="宋体" w:hAnsi="宋体" w:cs="宋体"/>
                <w:i w:val="0"/>
                <w:iCs w:val="0"/>
                <w:color w:val="auto"/>
                <w:kern w:val="0"/>
                <w:sz w:val="24"/>
                <w:szCs w:val="24"/>
                <w:highlight w:val="none"/>
                <w:u w:val="none"/>
                <w:lang w:val="en-US" w:eastAsia="zh-CN" w:bidi="ar"/>
              </w:rPr>
              <w:t>土地使用</w:t>
            </w:r>
            <w:r>
              <w:rPr>
                <w:rFonts w:hint="eastAsia" w:ascii="宋体" w:hAnsi="宋体" w:eastAsia="宋体" w:cs="宋体"/>
                <w:i w:val="0"/>
                <w:iCs w:val="0"/>
                <w:color w:val="auto"/>
                <w:kern w:val="0"/>
                <w:sz w:val="24"/>
                <w:szCs w:val="24"/>
                <w:highlight w:val="none"/>
                <w:u w:val="none"/>
                <w:lang w:val="en-US" w:eastAsia="zh-CN" w:bidi="ar"/>
              </w:rPr>
              <w:t>证</w:t>
            </w:r>
            <w:r>
              <w:rPr>
                <w:rFonts w:hint="eastAsia" w:ascii="宋体" w:hAnsi="宋体" w:cs="宋体"/>
                <w:i w:val="0"/>
                <w:iCs w:val="0"/>
                <w:color w:val="auto"/>
                <w:kern w:val="0"/>
                <w:sz w:val="24"/>
                <w:szCs w:val="24"/>
                <w:highlight w:val="none"/>
                <w:u w:val="none"/>
                <w:lang w:val="en-US" w:eastAsia="zh-CN" w:bidi="ar"/>
              </w:rPr>
              <w:t>书</w:t>
            </w:r>
            <w:r>
              <w:rPr>
                <w:rFonts w:hint="eastAsia" w:ascii="宋体" w:hAnsi="宋体" w:eastAsia="宋体" w:cs="宋体"/>
                <w:i w:val="0"/>
                <w:iCs w:val="0"/>
                <w:color w:val="auto"/>
                <w:kern w:val="0"/>
                <w:sz w:val="24"/>
                <w:szCs w:val="24"/>
                <w:highlight w:val="none"/>
                <w:u w:val="none"/>
                <w:lang w:val="en-US" w:eastAsia="zh-CN" w:bidi="ar"/>
              </w:rPr>
              <w:t>，租赁场地提供租赁协议</w:t>
            </w:r>
            <w:r>
              <w:rPr>
                <w:rFonts w:hint="eastAsia" w:ascii="宋体" w:hAnsi="宋体" w:cs="宋体"/>
                <w:i w:val="0"/>
                <w:iCs w:val="0"/>
                <w:color w:val="auto"/>
                <w:kern w:val="0"/>
                <w:sz w:val="24"/>
                <w:szCs w:val="24"/>
                <w:highlight w:val="none"/>
                <w:u w:val="none"/>
                <w:lang w:val="en-US" w:eastAsia="zh-CN" w:bidi="ar"/>
              </w:rPr>
              <w:t>及土地使用证（或其他证明材料）、场地图片等材料</w:t>
            </w:r>
            <w:r>
              <w:rPr>
                <w:rFonts w:hint="eastAsia" w:ascii="宋体" w:hAnsi="宋体" w:eastAsia="宋体" w:cs="宋体"/>
                <w:i w:val="0"/>
                <w:iCs w:val="0"/>
                <w:color w:val="auto"/>
                <w:kern w:val="0"/>
                <w:sz w:val="24"/>
                <w:szCs w:val="24"/>
                <w:highlight w:val="none"/>
                <w:u w:val="none"/>
                <w:lang w:val="en-US" w:eastAsia="zh-CN" w:bidi="ar"/>
              </w:rPr>
              <w:t>。</w:t>
            </w:r>
          </w:p>
        </w:tc>
        <w:tc>
          <w:tcPr>
            <w:tcW w:w="1105" w:type="dxa"/>
            <w:vAlign w:val="center"/>
          </w:tcPr>
          <w:p w14:paraId="426081A7">
            <w:pPr>
              <w:tabs>
                <w:tab w:val="left" w:pos="-94"/>
                <w:tab w:val="left" w:pos="1620"/>
              </w:tabs>
              <w:adjustRightInd w:val="0"/>
              <w:snapToGrid w:val="0"/>
              <w:jc w:val="center"/>
              <w:textAlignment w:val="baseline"/>
              <w:outlineLvl w:val="9"/>
              <w:rPr>
                <w:rFonts w:hint="eastAsia" w:ascii="宋体" w:hAnsi="宋体" w:eastAsia="宋体" w:cs="宋体"/>
                <w:color w:val="auto"/>
                <w:sz w:val="24"/>
                <w:szCs w:val="24"/>
                <w:highlight w:val="none"/>
              </w:rPr>
            </w:pPr>
          </w:p>
        </w:tc>
      </w:tr>
      <w:tr w14:paraId="0FA7B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7" w:hRule="atLeast"/>
          <w:jc w:val="center"/>
        </w:trPr>
        <w:tc>
          <w:tcPr>
            <w:tcW w:w="569" w:type="dxa"/>
            <w:vAlign w:val="center"/>
          </w:tcPr>
          <w:p w14:paraId="07B0FF40">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w:t>
            </w:r>
          </w:p>
        </w:tc>
        <w:tc>
          <w:tcPr>
            <w:tcW w:w="1656" w:type="dxa"/>
            <w:vAlign w:val="center"/>
          </w:tcPr>
          <w:p w14:paraId="06357BF9">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项目管理人员</w:t>
            </w:r>
          </w:p>
        </w:tc>
        <w:tc>
          <w:tcPr>
            <w:tcW w:w="1106" w:type="dxa"/>
            <w:vAlign w:val="center"/>
          </w:tcPr>
          <w:p w14:paraId="718FE442">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w:t>
            </w:r>
          </w:p>
        </w:tc>
        <w:tc>
          <w:tcPr>
            <w:tcW w:w="5526" w:type="dxa"/>
            <w:vAlign w:val="center"/>
          </w:tcPr>
          <w:p w14:paraId="26B32A5A">
            <w:pPr>
              <w:keepNext w:val="0"/>
              <w:keepLines w:val="0"/>
              <w:pageBreakBefore w:val="0"/>
              <w:widowControl/>
              <w:suppressLineNumbers w:val="0"/>
              <w:kinsoku/>
              <w:wordWrap/>
              <w:overflowPunct/>
              <w:topLinePunct w:val="0"/>
              <w:autoSpaceDE/>
              <w:autoSpaceDN/>
              <w:bidi w:val="0"/>
              <w:snapToGrid/>
              <w:spacing w:line="39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供应商配备总负责人1名，园林负责人1名、环卫负责人1名、市政养护负责人1名、执法辅助负责人1名、数字城管负责人1名，以上人员不得兼任。人员齐全得6分，未提供的不得分。</w:t>
            </w:r>
          </w:p>
          <w:p w14:paraId="552F0670">
            <w:pPr>
              <w:keepNext w:val="0"/>
              <w:keepLines w:val="0"/>
              <w:pageBreakBefore w:val="0"/>
              <w:widowControl/>
              <w:suppressLineNumbers w:val="0"/>
              <w:kinsoku/>
              <w:wordWrap/>
              <w:overflowPunct/>
              <w:topLinePunct w:val="0"/>
              <w:autoSpaceDE/>
              <w:autoSpaceDN/>
              <w:bidi w:val="0"/>
              <w:snapToGrid/>
              <w:spacing w:line="390" w:lineRule="exact"/>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注：以上人员</w:t>
            </w:r>
            <w:r>
              <w:rPr>
                <w:rFonts w:hint="eastAsia" w:ascii="宋体" w:hAnsi="宋体" w:cs="宋体"/>
                <w:i w:val="0"/>
                <w:iCs w:val="0"/>
                <w:color w:val="auto"/>
                <w:kern w:val="0"/>
                <w:sz w:val="24"/>
                <w:szCs w:val="24"/>
                <w:highlight w:val="none"/>
                <w:u w:val="none"/>
                <w:lang w:val="en-US" w:eastAsia="zh-CN" w:bidi="ar"/>
              </w:rPr>
              <w:t>须</w:t>
            </w:r>
            <w:r>
              <w:rPr>
                <w:rFonts w:hint="eastAsia" w:ascii="宋体" w:hAnsi="宋体" w:eastAsia="宋体" w:cs="宋体"/>
                <w:i w:val="0"/>
                <w:iCs w:val="0"/>
                <w:color w:val="auto"/>
                <w:kern w:val="0"/>
                <w:sz w:val="24"/>
                <w:szCs w:val="24"/>
                <w:highlight w:val="none"/>
                <w:u w:val="none"/>
                <w:lang w:val="en-US" w:eastAsia="zh-CN" w:bidi="ar"/>
              </w:rPr>
              <w:t>提供身份证</w:t>
            </w:r>
            <w:r>
              <w:rPr>
                <w:rFonts w:hint="eastAsia" w:ascii="宋体" w:hAnsi="宋体" w:cs="宋体"/>
                <w:i w:val="0"/>
                <w:iCs w:val="0"/>
                <w:color w:val="auto"/>
                <w:kern w:val="0"/>
                <w:sz w:val="24"/>
                <w:szCs w:val="24"/>
                <w:highlight w:val="none"/>
                <w:u w:val="none"/>
                <w:lang w:val="en-US" w:eastAsia="zh-CN" w:bidi="ar"/>
              </w:rPr>
              <w:t>及</w:t>
            </w:r>
            <w:r>
              <w:rPr>
                <w:rFonts w:hint="eastAsia" w:ascii="宋体" w:hAnsi="宋体" w:eastAsia="宋体" w:cs="宋体"/>
                <w:i w:val="0"/>
                <w:iCs w:val="0"/>
                <w:color w:val="auto"/>
                <w:kern w:val="0"/>
                <w:sz w:val="24"/>
                <w:szCs w:val="24"/>
                <w:highlight w:val="none"/>
                <w:u w:val="none"/>
                <w:lang w:val="en-US" w:eastAsia="zh-CN" w:bidi="ar"/>
              </w:rPr>
              <w:t>近半年</w:t>
            </w:r>
            <w:r>
              <w:rPr>
                <w:rFonts w:hint="eastAsia" w:ascii="宋体" w:hAnsi="宋体" w:cs="宋体"/>
                <w:i w:val="0"/>
                <w:iCs w:val="0"/>
                <w:color w:val="auto"/>
                <w:kern w:val="0"/>
                <w:sz w:val="24"/>
                <w:szCs w:val="24"/>
                <w:highlight w:val="none"/>
                <w:u w:val="none"/>
                <w:lang w:val="en-US" w:eastAsia="zh-CN" w:bidi="ar"/>
              </w:rPr>
              <w:t>（2025年12月至2026年5月）</w:t>
            </w:r>
            <w:r>
              <w:rPr>
                <w:rFonts w:hint="eastAsia" w:ascii="宋体" w:hAnsi="宋体" w:eastAsia="宋体" w:cs="宋体"/>
                <w:i w:val="0"/>
                <w:iCs w:val="0"/>
                <w:color w:val="auto"/>
                <w:kern w:val="0"/>
                <w:sz w:val="24"/>
                <w:szCs w:val="24"/>
                <w:highlight w:val="none"/>
                <w:u w:val="none"/>
                <w:lang w:val="en-US" w:eastAsia="zh-CN" w:bidi="ar"/>
              </w:rPr>
              <w:t>在本单位缴纳社保的凭证。</w:t>
            </w:r>
          </w:p>
        </w:tc>
        <w:tc>
          <w:tcPr>
            <w:tcW w:w="1105" w:type="dxa"/>
            <w:vAlign w:val="center"/>
          </w:tcPr>
          <w:p w14:paraId="57A37F19">
            <w:pPr>
              <w:tabs>
                <w:tab w:val="left" w:pos="-94"/>
                <w:tab w:val="left" w:pos="1620"/>
              </w:tabs>
              <w:adjustRightInd w:val="0"/>
              <w:snapToGrid w:val="0"/>
              <w:jc w:val="center"/>
              <w:textAlignment w:val="baseline"/>
              <w:outlineLvl w:val="9"/>
              <w:rPr>
                <w:rFonts w:hint="eastAsia" w:ascii="宋体" w:hAnsi="宋体" w:eastAsia="宋体" w:cs="宋体"/>
                <w:color w:val="auto"/>
                <w:sz w:val="24"/>
                <w:szCs w:val="24"/>
                <w:highlight w:val="none"/>
              </w:rPr>
            </w:pPr>
          </w:p>
        </w:tc>
      </w:tr>
      <w:tr w14:paraId="79AFE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9" w:type="dxa"/>
            <w:vAlign w:val="center"/>
          </w:tcPr>
          <w:p w14:paraId="3DA86EF8">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w:t>
            </w:r>
          </w:p>
        </w:tc>
        <w:tc>
          <w:tcPr>
            <w:tcW w:w="1656" w:type="dxa"/>
            <w:vAlign w:val="center"/>
          </w:tcPr>
          <w:p w14:paraId="24A77A20">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Style w:val="427"/>
                <w:rFonts w:hint="eastAsia" w:ascii="宋体" w:hAnsi="宋体" w:eastAsia="宋体" w:cs="宋体"/>
                <w:b w:val="0"/>
                <w:i w:val="0"/>
                <w:caps w:val="0"/>
                <w:color w:val="auto"/>
                <w:spacing w:val="0"/>
                <w:w w:val="100"/>
                <w:kern w:val="2"/>
                <w:sz w:val="24"/>
                <w:szCs w:val="24"/>
                <w:highlight w:val="none"/>
                <w:lang w:val="en-US" w:eastAsia="zh-CN" w:bidi="ar-SA"/>
              </w:rPr>
              <w:t>作业人员配置</w:t>
            </w:r>
          </w:p>
        </w:tc>
        <w:tc>
          <w:tcPr>
            <w:tcW w:w="1106" w:type="dxa"/>
            <w:vAlign w:val="center"/>
          </w:tcPr>
          <w:p w14:paraId="271C26C7">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w:t>
            </w:r>
          </w:p>
        </w:tc>
        <w:tc>
          <w:tcPr>
            <w:tcW w:w="5526" w:type="dxa"/>
            <w:vAlign w:val="center"/>
          </w:tcPr>
          <w:p w14:paraId="28A28727">
            <w:pPr>
              <w:keepNext w:val="0"/>
              <w:keepLines w:val="0"/>
              <w:pageBreakBefore w:val="0"/>
              <w:widowControl/>
              <w:suppressLineNumbers w:val="0"/>
              <w:kinsoku/>
              <w:wordWrap/>
              <w:overflowPunct/>
              <w:topLinePunct w:val="0"/>
              <w:autoSpaceDE/>
              <w:autoSpaceDN/>
              <w:bidi w:val="0"/>
              <w:snapToGrid/>
              <w:spacing w:line="39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Style w:val="427"/>
                <w:rFonts w:hint="eastAsia" w:ascii="宋体" w:hAnsi="宋体" w:eastAsia="宋体" w:cs="宋体"/>
                <w:b w:val="0"/>
                <w:i w:val="0"/>
                <w:caps w:val="0"/>
                <w:color w:val="auto"/>
                <w:spacing w:val="0"/>
                <w:w w:val="100"/>
                <w:kern w:val="2"/>
                <w:sz w:val="24"/>
                <w:szCs w:val="24"/>
                <w:highlight w:val="none"/>
                <w:lang w:val="en-US" w:eastAsia="zh-CN" w:bidi="ar-SA"/>
              </w:rPr>
              <w:t>人员配置包括但不限于：①、项目班子人员及组织机构；②、成员结构（至少应包括岗位设置、劳动时间安排)；③、人员岗位配置；④、岗位职责。以上4项每项内容完整、全面条理清晰、完全符合项目实际情况得满分8分。每缺一项要素扣2分，每个要素里每有一处内容缺陷扣1分(扣完为止)。注：需提供团队成员名单等相关材料。</w:t>
            </w:r>
          </w:p>
        </w:tc>
        <w:tc>
          <w:tcPr>
            <w:tcW w:w="1105" w:type="dxa"/>
            <w:vAlign w:val="center"/>
          </w:tcPr>
          <w:p w14:paraId="42413A73">
            <w:pPr>
              <w:tabs>
                <w:tab w:val="left" w:pos="-94"/>
                <w:tab w:val="left" w:pos="1620"/>
              </w:tabs>
              <w:adjustRightInd w:val="0"/>
              <w:snapToGrid w:val="0"/>
              <w:jc w:val="center"/>
              <w:textAlignment w:val="baseline"/>
              <w:outlineLvl w:val="9"/>
              <w:rPr>
                <w:rFonts w:hint="eastAsia" w:ascii="宋体" w:hAnsi="宋体" w:eastAsia="宋体" w:cs="宋体"/>
                <w:color w:val="auto"/>
                <w:sz w:val="24"/>
                <w:szCs w:val="24"/>
                <w:highlight w:val="none"/>
              </w:rPr>
            </w:pPr>
          </w:p>
        </w:tc>
      </w:tr>
      <w:tr w14:paraId="7E084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569" w:type="dxa"/>
            <w:vAlign w:val="center"/>
          </w:tcPr>
          <w:p w14:paraId="12E4659D">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6</w:t>
            </w:r>
          </w:p>
        </w:tc>
        <w:tc>
          <w:tcPr>
            <w:tcW w:w="1656" w:type="dxa"/>
            <w:vAlign w:val="center"/>
          </w:tcPr>
          <w:p w14:paraId="146FD8BE">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Hans"/>
              </w:rPr>
            </w:pPr>
            <w:r>
              <w:rPr>
                <w:rFonts w:hint="eastAsia" w:ascii="宋体" w:hAnsi="宋体" w:eastAsia="宋体" w:cs="宋体"/>
                <w:color w:val="auto"/>
                <w:sz w:val="24"/>
                <w:szCs w:val="24"/>
                <w:highlight w:val="none"/>
                <w:lang w:val="en-US" w:eastAsia="zh-Hans"/>
              </w:rPr>
              <w:t xml:space="preserve">绿化管护服 </w:t>
            </w:r>
          </w:p>
          <w:p w14:paraId="2429B8C8">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Hans"/>
              </w:rPr>
            </w:pPr>
            <w:r>
              <w:rPr>
                <w:rFonts w:hint="eastAsia" w:ascii="宋体" w:hAnsi="宋体" w:eastAsia="宋体" w:cs="宋体"/>
                <w:color w:val="auto"/>
                <w:sz w:val="24"/>
                <w:szCs w:val="24"/>
                <w:highlight w:val="none"/>
                <w:lang w:val="en-US" w:eastAsia="zh-Hans"/>
              </w:rPr>
              <w:t>务实施方案</w:t>
            </w:r>
          </w:p>
          <w:p w14:paraId="7454D950">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Hans"/>
              </w:rPr>
            </w:pPr>
          </w:p>
        </w:tc>
        <w:tc>
          <w:tcPr>
            <w:tcW w:w="1106" w:type="dxa"/>
            <w:vAlign w:val="center"/>
          </w:tcPr>
          <w:p w14:paraId="4934252B">
            <w:pPr>
              <w:keepNext w:val="0"/>
              <w:keepLines w:val="0"/>
              <w:widowControl/>
              <w:suppressLineNumbers w:val="0"/>
              <w:jc w:val="center"/>
              <w:textAlignment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12</w:t>
            </w:r>
          </w:p>
        </w:tc>
        <w:tc>
          <w:tcPr>
            <w:tcW w:w="5526" w:type="dxa"/>
            <w:vAlign w:val="center"/>
          </w:tcPr>
          <w:p w14:paraId="5B1AA465">
            <w:pPr>
              <w:keepNext w:val="0"/>
              <w:keepLines w:val="0"/>
              <w:pageBreakBefore w:val="0"/>
              <w:widowControl/>
              <w:suppressLineNumbers w:val="0"/>
              <w:kinsoku/>
              <w:wordWrap/>
              <w:overflowPunct/>
              <w:topLinePunct w:val="0"/>
              <w:autoSpaceDE/>
              <w:autoSpaceDN/>
              <w:bidi w:val="0"/>
              <w:snapToGrid/>
              <w:spacing w:line="39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供应商根据本项目需求提供详细的项目绿化养护实施方案，绿化养护方案结合当地环境及季节变化，考虑各类园林植物特性，养护计划周密，措施有效，且方案能结合实地现场，内容包括但不限于：①、管护方案及措施；②、病虫害防治方案； ③、花草灌木补植修剪方案； ④、附属设施维护方案； ⑤、巡护防火方案；⑥</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道路、管线维护方案。</w:t>
            </w:r>
          </w:p>
          <w:p w14:paraId="2F2611C6">
            <w:pPr>
              <w:keepNext w:val="0"/>
              <w:keepLines w:val="0"/>
              <w:pageBreakBefore w:val="0"/>
              <w:widowControl/>
              <w:suppressLineNumbers w:val="0"/>
              <w:kinsoku/>
              <w:wordWrap/>
              <w:overflowPunct/>
              <w:topLinePunct w:val="0"/>
              <w:autoSpaceDE/>
              <w:autoSpaceDN/>
              <w:bidi w:val="0"/>
              <w:snapToGrid/>
              <w:spacing w:line="390" w:lineRule="exact"/>
              <w:jc w:val="left"/>
              <w:textAlignment w:val="center"/>
              <w:rPr>
                <w:rFonts w:hint="eastAsia" w:ascii="宋体" w:hAnsi="宋体" w:eastAsia="宋体" w:cs="宋体"/>
                <w:color w:val="auto"/>
                <w:sz w:val="24"/>
                <w:szCs w:val="24"/>
                <w:highlight w:val="none"/>
                <w:lang w:val="en-US" w:eastAsia="zh-Hans"/>
              </w:rPr>
            </w:pPr>
            <w:r>
              <w:rPr>
                <w:rFonts w:hint="eastAsia" w:ascii="宋体" w:hAnsi="宋体" w:eastAsia="宋体" w:cs="宋体"/>
                <w:i w:val="0"/>
                <w:iCs w:val="0"/>
                <w:color w:val="auto"/>
                <w:kern w:val="0"/>
                <w:sz w:val="24"/>
                <w:szCs w:val="24"/>
                <w:highlight w:val="none"/>
                <w:u w:val="none"/>
                <w:lang w:val="en-US" w:eastAsia="zh-CN" w:bidi="ar"/>
              </w:rPr>
              <w:t>以上方案内容完整清晰明确且科学合理、可行性高具有针对性并满足采购需求的</w:t>
            </w:r>
            <w:r>
              <w:rPr>
                <w:rStyle w:val="427"/>
                <w:rFonts w:hint="eastAsia" w:ascii="宋体" w:hAnsi="宋体" w:eastAsia="宋体" w:cs="宋体"/>
                <w:b w:val="0"/>
                <w:i w:val="0"/>
                <w:caps w:val="0"/>
                <w:color w:val="auto"/>
                <w:spacing w:val="0"/>
                <w:w w:val="100"/>
                <w:kern w:val="2"/>
                <w:sz w:val="24"/>
                <w:szCs w:val="24"/>
                <w:highlight w:val="none"/>
                <w:lang w:val="en-US" w:eastAsia="zh-CN" w:bidi="ar-SA"/>
              </w:rPr>
              <w:t>得满分</w:t>
            </w:r>
            <w:r>
              <w:rPr>
                <w:rStyle w:val="427"/>
                <w:rFonts w:hint="eastAsia" w:ascii="宋体" w:hAnsi="宋体" w:cs="宋体"/>
                <w:b w:val="0"/>
                <w:i w:val="0"/>
                <w:caps w:val="0"/>
                <w:color w:val="auto"/>
                <w:spacing w:val="0"/>
                <w:w w:val="100"/>
                <w:kern w:val="2"/>
                <w:sz w:val="24"/>
                <w:szCs w:val="24"/>
                <w:highlight w:val="none"/>
                <w:lang w:val="en-US" w:eastAsia="zh-CN" w:bidi="ar-SA"/>
              </w:rPr>
              <w:t>12</w:t>
            </w:r>
            <w:r>
              <w:rPr>
                <w:rStyle w:val="427"/>
                <w:rFonts w:hint="eastAsia" w:ascii="宋体" w:hAnsi="宋体" w:eastAsia="宋体" w:cs="宋体"/>
                <w:b w:val="0"/>
                <w:i w:val="0"/>
                <w:caps w:val="0"/>
                <w:color w:val="auto"/>
                <w:spacing w:val="0"/>
                <w:w w:val="100"/>
                <w:kern w:val="2"/>
                <w:sz w:val="24"/>
                <w:szCs w:val="24"/>
                <w:highlight w:val="none"/>
                <w:lang w:val="en-US" w:eastAsia="zh-CN" w:bidi="ar-SA"/>
              </w:rPr>
              <w:t>分。每缺一项要素扣</w:t>
            </w:r>
            <w:r>
              <w:rPr>
                <w:rStyle w:val="427"/>
                <w:rFonts w:hint="eastAsia" w:ascii="宋体" w:hAnsi="宋体" w:cs="宋体"/>
                <w:b w:val="0"/>
                <w:i w:val="0"/>
                <w:caps w:val="0"/>
                <w:color w:val="auto"/>
                <w:spacing w:val="0"/>
                <w:w w:val="100"/>
                <w:kern w:val="2"/>
                <w:sz w:val="24"/>
                <w:szCs w:val="24"/>
                <w:highlight w:val="none"/>
                <w:lang w:val="en-US" w:eastAsia="zh-CN" w:bidi="ar-SA"/>
              </w:rPr>
              <w:t>2</w:t>
            </w:r>
            <w:r>
              <w:rPr>
                <w:rStyle w:val="427"/>
                <w:rFonts w:hint="eastAsia" w:ascii="宋体" w:hAnsi="宋体" w:eastAsia="宋体" w:cs="宋体"/>
                <w:b w:val="0"/>
                <w:i w:val="0"/>
                <w:caps w:val="0"/>
                <w:color w:val="auto"/>
                <w:spacing w:val="0"/>
                <w:w w:val="100"/>
                <w:kern w:val="2"/>
                <w:sz w:val="24"/>
                <w:szCs w:val="24"/>
                <w:highlight w:val="none"/>
                <w:lang w:val="en-US" w:eastAsia="zh-CN" w:bidi="ar-SA"/>
              </w:rPr>
              <w:t>分，每个要素里每有一处内容缺陷</w:t>
            </w:r>
            <w:r>
              <w:rPr>
                <w:rStyle w:val="427"/>
                <w:rFonts w:hint="eastAsia" w:ascii="宋体" w:hAnsi="宋体" w:cs="宋体"/>
                <w:b w:val="0"/>
                <w:i w:val="0"/>
                <w:caps w:val="0"/>
                <w:color w:val="auto"/>
                <w:spacing w:val="0"/>
                <w:w w:val="100"/>
                <w:kern w:val="2"/>
                <w:sz w:val="24"/>
                <w:szCs w:val="24"/>
                <w:highlight w:val="none"/>
                <w:lang w:val="en-US" w:eastAsia="zh-CN" w:bidi="ar-SA"/>
              </w:rPr>
              <w:t>或内容不完善</w:t>
            </w:r>
            <w:r>
              <w:rPr>
                <w:rStyle w:val="427"/>
                <w:rFonts w:hint="eastAsia" w:ascii="宋体" w:hAnsi="宋体" w:eastAsia="宋体" w:cs="宋体"/>
                <w:b w:val="0"/>
                <w:i w:val="0"/>
                <w:caps w:val="0"/>
                <w:color w:val="auto"/>
                <w:spacing w:val="0"/>
                <w:w w:val="100"/>
                <w:kern w:val="2"/>
                <w:sz w:val="24"/>
                <w:szCs w:val="24"/>
                <w:highlight w:val="none"/>
                <w:lang w:val="en-US" w:eastAsia="zh-CN" w:bidi="ar-SA"/>
              </w:rPr>
              <w:t>扣1分(扣完为止)。</w:t>
            </w:r>
          </w:p>
        </w:tc>
        <w:tc>
          <w:tcPr>
            <w:tcW w:w="1105" w:type="dxa"/>
            <w:vAlign w:val="center"/>
          </w:tcPr>
          <w:p w14:paraId="69432D6D">
            <w:pPr>
              <w:tabs>
                <w:tab w:val="left" w:pos="-94"/>
                <w:tab w:val="left" w:pos="1620"/>
              </w:tabs>
              <w:adjustRightInd w:val="0"/>
              <w:snapToGrid w:val="0"/>
              <w:jc w:val="center"/>
              <w:textAlignment w:val="baseline"/>
              <w:outlineLvl w:val="9"/>
              <w:rPr>
                <w:rFonts w:hint="eastAsia" w:ascii="宋体" w:hAnsi="宋体" w:eastAsia="宋体" w:cs="宋体"/>
                <w:color w:val="auto"/>
                <w:sz w:val="24"/>
                <w:szCs w:val="24"/>
                <w:highlight w:val="none"/>
              </w:rPr>
            </w:pPr>
          </w:p>
        </w:tc>
      </w:tr>
      <w:tr w14:paraId="51A81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9" w:hRule="atLeast"/>
          <w:jc w:val="center"/>
        </w:trPr>
        <w:tc>
          <w:tcPr>
            <w:tcW w:w="569" w:type="dxa"/>
            <w:vAlign w:val="center"/>
          </w:tcPr>
          <w:p w14:paraId="610FE666">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w:t>
            </w:r>
          </w:p>
        </w:tc>
        <w:tc>
          <w:tcPr>
            <w:tcW w:w="1656" w:type="dxa"/>
            <w:vAlign w:val="center"/>
          </w:tcPr>
          <w:p w14:paraId="45CE4D0F">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Hans"/>
              </w:rPr>
            </w:pPr>
            <w:r>
              <w:rPr>
                <w:rFonts w:hint="eastAsia" w:ascii="宋体" w:hAnsi="宋体" w:eastAsia="宋体" w:cs="宋体"/>
                <w:color w:val="auto"/>
                <w:sz w:val="24"/>
                <w:szCs w:val="24"/>
                <w:highlight w:val="none"/>
                <w:lang w:val="en-US" w:eastAsia="zh-Hans"/>
              </w:rPr>
              <w:t xml:space="preserve">环卫保洁服 </w:t>
            </w:r>
          </w:p>
          <w:p w14:paraId="5B8FC7B1">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Hans"/>
              </w:rPr>
            </w:pPr>
            <w:r>
              <w:rPr>
                <w:rFonts w:hint="eastAsia" w:ascii="宋体" w:hAnsi="宋体" w:eastAsia="宋体" w:cs="宋体"/>
                <w:color w:val="auto"/>
                <w:sz w:val="24"/>
                <w:szCs w:val="24"/>
                <w:highlight w:val="none"/>
                <w:lang w:val="en-US" w:eastAsia="zh-Hans"/>
              </w:rPr>
              <w:t>务实施方案</w:t>
            </w:r>
          </w:p>
          <w:p w14:paraId="42E44807">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Hans"/>
              </w:rPr>
            </w:pPr>
          </w:p>
        </w:tc>
        <w:tc>
          <w:tcPr>
            <w:tcW w:w="1106" w:type="dxa"/>
            <w:vAlign w:val="center"/>
          </w:tcPr>
          <w:p w14:paraId="2CBE25D7">
            <w:pPr>
              <w:keepNext w:val="0"/>
              <w:keepLines w:val="0"/>
              <w:widowControl/>
              <w:suppressLineNumbers w:val="0"/>
              <w:jc w:val="center"/>
              <w:textAlignment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c>
          <w:tcPr>
            <w:tcW w:w="5526" w:type="dxa"/>
            <w:vAlign w:val="center"/>
          </w:tcPr>
          <w:p w14:paraId="6E702CF9">
            <w:pPr>
              <w:keepNext w:val="0"/>
              <w:keepLines w:val="0"/>
              <w:pageBreakBefore w:val="0"/>
              <w:widowControl/>
              <w:suppressLineNumbers w:val="0"/>
              <w:kinsoku/>
              <w:wordWrap/>
              <w:overflowPunct/>
              <w:topLinePunct w:val="0"/>
              <w:autoSpaceDE/>
              <w:autoSpaceDN/>
              <w:bidi w:val="0"/>
              <w:snapToGrid/>
              <w:spacing w:line="39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供应商根据本项目需求提供详细的环卫服务措施方案等内容，内容包含但不限于： ①、清扫保洁方案； ②</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果皮箱保洁方案；③、洒水降尘方案；④、公厕管护及日常保洁方案</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⑤、垃圾中转站日常管护、站内保洁消杀</w:t>
            </w:r>
            <w:r>
              <w:rPr>
                <w:rFonts w:hint="eastAsia" w:ascii="宋体" w:hAnsi="宋体" w:cs="宋体"/>
                <w:i w:val="0"/>
                <w:iCs w:val="0"/>
                <w:color w:val="auto"/>
                <w:kern w:val="0"/>
                <w:sz w:val="24"/>
                <w:szCs w:val="24"/>
                <w:highlight w:val="none"/>
                <w:u w:val="none"/>
                <w:lang w:val="en-US" w:eastAsia="zh-CN" w:bidi="ar"/>
              </w:rPr>
              <w:t>。</w:t>
            </w:r>
          </w:p>
          <w:p w14:paraId="32A13DD0">
            <w:pPr>
              <w:keepNext w:val="0"/>
              <w:keepLines w:val="0"/>
              <w:pageBreakBefore w:val="0"/>
              <w:widowControl/>
              <w:suppressLineNumbers w:val="0"/>
              <w:kinsoku/>
              <w:wordWrap/>
              <w:overflowPunct/>
              <w:topLinePunct w:val="0"/>
              <w:autoSpaceDE/>
              <w:autoSpaceDN/>
              <w:bidi w:val="0"/>
              <w:snapToGrid/>
              <w:spacing w:line="39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以上方案内容完整清晰明确且科学合理、可行性高具有针对性并满足采购需求的</w:t>
            </w:r>
            <w:r>
              <w:rPr>
                <w:rStyle w:val="427"/>
                <w:rFonts w:hint="eastAsia" w:ascii="宋体" w:hAnsi="宋体" w:eastAsia="宋体" w:cs="宋体"/>
                <w:b w:val="0"/>
                <w:i w:val="0"/>
                <w:caps w:val="0"/>
                <w:color w:val="auto"/>
                <w:spacing w:val="0"/>
                <w:w w:val="100"/>
                <w:kern w:val="2"/>
                <w:sz w:val="24"/>
                <w:szCs w:val="24"/>
                <w:highlight w:val="none"/>
                <w:lang w:val="en-US" w:eastAsia="zh-CN" w:bidi="ar-SA"/>
              </w:rPr>
              <w:t>得满分</w:t>
            </w:r>
            <w:r>
              <w:rPr>
                <w:rStyle w:val="427"/>
                <w:rFonts w:hint="eastAsia" w:ascii="宋体" w:hAnsi="宋体" w:cs="宋体"/>
                <w:b w:val="0"/>
                <w:i w:val="0"/>
                <w:caps w:val="0"/>
                <w:color w:val="auto"/>
                <w:spacing w:val="0"/>
                <w:w w:val="100"/>
                <w:kern w:val="2"/>
                <w:sz w:val="24"/>
                <w:szCs w:val="24"/>
                <w:highlight w:val="none"/>
                <w:lang w:val="en-US" w:eastAsia="zh-CN" w:bidi="ar-SA"/>
              </w:rPr>
              <w:t>10</w:t>
            </w:r>
            <w:r>
              <w:rPr>
                <w:rStyle w:val="427"/>
                <w:rFonts w:hint="eastAsia" w:ascii="宋体" w:hAnsi="宋体" w:eastAsia="宋体" w:cs="宋体"/>
                <w:b w:val="0"/>
                <w:i w:val="0"/>
                <w:caps w:val="0"/>
                <w:color w:val="auto"/>
                <w:spacing w:val="0"/>
                <w:w w:val="100"/>
                <w:kern w:val="2"/>
                <w:sz w:val="24"/>
                <w:szCs w:val="24"/>
                <w:highlight w:val="none"/>
                <w:lang w:val="en-US" w:eastAsia="zh-CN" w:bidi="ar-SA"/>
              </w:rPr>
              <w:t>分。每缺一项要素扣</w:t>
            </w:r>
            <w:r>
              <w:rPr>
                <w:rStyle w:val="427"/>
                <w:rFonts w:hint="eastAsia" w:ascii="宋体" w:hAnsi="宋体" w:cs="宋体"/>
                <w:b w:val="0"/>
                <w:i w:val="0"/>
                <w:caps w:val="0"/>
                <w:color w:val="auto"/>
                <w:spacing w:val="0"/>
                <w:w w:val="100"/>
                <w:kern w:val="2"/>
                <w:sz w:val="24"/>
                <w:szCs w:val="24"/>
                <w:highlight w:val="none"/>
                <w:lang w:val="en-US" w:eastAsia="zh-CN" w:bidi="ar-SA"/>
              </w:rPr>
              <w:t>2</w:t>
            </w:r>
            <w:r>
              <w:rPr>
                <w:rStyle w:val="427"/>
                <w:rFonts w:hint="eastAsia" w:ascii="宋体" w:hAnsi="宋体" w:eastAsia="宋体" w:cs="宋体"/>
                <w:b w:val="0"/>
                <w:i w:val="0"/>
                <w:caps w:val="0"/>
                <w:color w:val="auto"/>
                <w:spacing w:val="0"/>
                <w:w w:val="100"/>
                <w:kern w:val="2"/>
                <w:sz w:val="24"/>
                <w:szCs w:val="24"/>
                <w:highlight w:val="none"/>
                <w:lang w:val="en-US" w:eastAsia="zh-CN" w:bidi="ar-SA"/>
              </w:rPr>
              <w:t>分，每个要素里每有一处内容缺陷</w:t>
            </w:r>
            <w:r>
              <w:rPr>
                <w:rStyle w:val="427"/>
                <w:rFonts w:hint="eastAsia" w:ascii="宋体" w:hAnsi="宋体" w:cs="宋体"/>
                <w:b w:val="0"/>
                <w:i w:val="0"/>
                <w:caps w:val="0"/>
                <w:color w:val="auto"/>
                <w:spacing w:val="0"/>
                <w:w w:val="100"/>
                <w:kern w:val="2"/>
                <w:sz w:val="24"/>
                <w:szCs w:val="24"/>
                <w:highlight w:val="none"/>
                <w:lang w:val="en-US" w:eastAsia="zh-CN" w:bidi="ar-SA"/>
              </w:rPr>
              <w:t>或内容不完善</w:t>
            </w:r>
            <w:r>
              <w:rPr>
                <w:rStyle w:val="427"/>
                <w:rFonts w:hint="eastAsia" w:ascii="宋体" w:hAnsi="宋体" w:eastAsia="宋体" w:cs="宋体"/>
                <w:b w:val="0"/>
                <w:i w:val="0"/>
                <w:caps w:val="0"/>
                <w:color w:val="auto"/>
                <w:spacing w:val="0"/>
                <w:w w:val="100"/>
                <w:kern w:val="2"/>
                <w:sz w:val="24"/>
                <w:szCs w:val="24"/>
                <w:highlight w:val="none"/>
                <w:lang w:val="en-US" w:eastAsia="zh-CN" w:bidi="ar-SA"/>
              </w:rPr>
              <w:t>扣1分(扣完为止)。</w:t>
            </w:r>
          </w:p>
        </w:tc>
        <w:tc>
          <w:tcPr>
            <w:tcW w:w="1105" w:type="dxa"/>
            <w:vAlign w:val="center"/>
          </w:tcPr>
          <w:p w14:paraId="69660A06">
            <w:pPr>
              <w:tabs>
                <w:tab w:val="left" w:pos="-94"/>
                <w:tab w:val="left" w:pos="1620"/>
              </w:tabs>
              <w:adjustRightInd w:val="0"/>
              <w:snapToGrid w:val="0"/>
              <w:jc w:val="center"/>
              <w:textAlignment w:val="baseline"/>
              <w:outlineLvl w:val="9"/>
              <w:rPr>
                <w:rFonts w:hint="eastAsia" w:ascii="宋体" w:hAnsi="宋体" w:eastAsia="宋体" w:cs="宋体"/>
                <w:color w:val="auto"/>
                <w:sz w:val="24"/>
                <w:szCs w:val="24"/>
                <w:highlight w:val="none"/>
              </w:rPr>
            </w:pPr>
          </w:p>
        </w:tc>
      </w:tr>
      <w:tr w14:paraId="3DAB8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4" w:hRule="atLeast"/>
          <w:jc w:val="center"/>
        </w:trPr>
        <w:tc>
          <w:tcPr>
            <w:tcW w:w="569" w:type="dxa"/>
            <w:vAlign w:val="center"/>
          </w:tcPr>
          <w:p w14:paraId="6F848EF4">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w:t>
            </w:r>
          </w:p>
        </w:tc>
        <w:tc>
          <w:tcPr>
            <w:tcW w:w="1656" w:type="dxa"/>
            <w:vAlign w:val="center"/>
          </w:tcPr>
          <w:p w14:paraId="2375D314">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巡查方案</w:t>
            </w:r>
          </w:p>
        </w:tc>
        <w:tc>
          <w:tcPr>
            <w:tcW w:w="1106" w:type="dxa"/>
            <w:vAlign w:val="center"/>
          </w:tcPr>
          <w:p w14:paraId="59B80B7B">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5526" w:type="dxa"/>
            <w:vAlign w:val="center"/>
          </w:tcPr>
          <w:p w14:paraId="28447336">
            <w:pPr>
              <w:keepNext w:val="0"/>
              <w:keepLines w:val="0"/>
              <w:pageBreakBefore w:val="0"/>
              <w:widowControl/>
              <w:suppressLineNumbers w:val="0"/>
              <w:kinsoku/>
              <w:wordWrap/>
              <w:overflowPunct/>
              <w:topLinePunct w:val="0"/>
              <w:autoSpaceDE/>
              <w:autoSpaceDN/>
              <w:bidi w:val="0"/>
              <w:snapToGrid/>
              <w:spacing w:line="39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根据供应商所提供的针对本项目巡查方案，内容包含但不限于：①、巡查与处置工作流程；②、质量保障与考核响应；</w:t>
            </w:r>
            <w:r>
              <w:rPr>
                <w:rStyle w:val="427"/>
                <w:rFonts w:hint="eastAsia" w:ascii="宋体" w:hAnsi="宋体" w:eastAsia="宋体" w:cs="宋体"/>
                <w:b w:val="0"/>
                <w:i w:val="0"/>
                <w:caps w:val="0"/>
                <w:color w:val="auto"/>
                <w:spacing w:val="0"/>
                <w:w w:val="100"/>
                <w:kern w:val="2"/>
                <w:sz w:val="24"/>
                <w:szCs w:val="24"/>
                <w:highlight w:val="none"/>
                <w:lang w:val="en-US" w:eastAsia="zh-CN" w:bidi="ar-SA"/>
              </w:rPr>
              <w:t>③、</w:t>
            </w:r>
            <w:r>
              <w:rPr>
                <w:rFonts w:hint="eastAsia" w:ascii="宋体" w:hAnsi="宋体" w:eastAsia="宋体" w:cs="宋体"/>
                <w:i w:val="0"/>
                <w:iCs w:val="0"/>
                <w:color w:val="auto"/>
                <w:kern w:val="0"/>
                <w:sz w:val="24"/>
                <w:szCs w:val="24"/>
                <w:highlight w:val="none"/>
                <w:u w:val="none"/>
                <w:lang w:val="en-US" w:eastAsia="zh-CN" w:bidi="ar"/>
              </w:rPr>
              <w:t>安全管理与文明作业。</w:t>
            </w:r>
          </w:p>
          <w:p w14:paraId="2109D7D1">
            <w:pPr>
              <w:pStyle w:val="2"/>
              <w:keepNext w:val="0"/>
              <w:keepLines w:val="0"/>
              <w:pageBreakBefore w:val="0"/>
              <w:kinsoku/>
              <w:wordWrap/>
              <w:overflowPunct/>
              <w:topLinePunct w:val="0"/>
              <w:autoSpaceDE/>
              <w:autoSpaceDN/>
              <w:bidi w:val="0"/>
              <w:snapToGrid/>
              <w:spacing w:line="390" w:lineRule="exact"/>
              <w:rPr>
                <w:rFonts w:hint="eastAsia" w:ascii="宋体" w:hAnsi="宋体" w:eastAsia="宋体" w:cs="宋体"/>
                <w:color w:val="auto"/>
                <w:sz w:val="24"/>
                <w:szCs w:val="24"/>
                <w:highlight w:val="none"/>
                <w:lang w:val="en-US" w:eastAsia="zh-CN"/>
              </w:rPr>
            </w:pPr>
            <w:r>
              <w:rPr>
                <w:rFonts w:hint="eastAsia" w:ascii="宋体" w:hAnsi="宋体" w:eastAsia="宋体" w:cs="宋体"/>
                <w:b w:val="0"/>
                <w:i w:val="0"/>
                <w:iCs w:val="0"/>
                <w:color w:val="auto"/>
                <w:kern w:val="0"/>
                <w:sz w:val="24"/>
                <w:szCs w:val="24"/>
                <w:highlight w:val="none"/>
                <w:u w:val="none"/>
                <w:lang w:val="en-US" w:eastAsia="zh-CN" w:bidi="ar"/>
              </w:rPr>
              <w:t>以上方案内容完整清晰明确且科学合理、可行性高具有针对性并满足采购需求的得满分6分。每缺一项要素扣2分，</w:t>
            </w:r>
            <w:r>
              <w:rPr>
                <w:rStyle w:val="427"/>
                <w:rFonts w:hint="eastAsia" w:ascii="宋体" w:hAnsi="宋体" w:eastAsia="宋体" w:cs="宋体"/>
                <w:b w:val="0"/>
                <w:i w:val="0"/>
                <w:caps w:val="0"/>
                <w:color w:val="auto"/>
                <w:spacing w:val="0"/>
                <w:w w:val="100"/>
                <w:kern w:val="2"/>
                <w:sz w:val="24"/>
                <w:szCs w:val="24"/>
                <w:highlight w:val="none"/>
                <w:lang w:val="en-US" w:eastAsia="zh-CN" w:bidi="ar-SA"/>
              </w:rPr>
              <w:t>每个要素里每有一处内容缺陷</w:t>
            </w:r>
            <w:r>
              <w:rPr>
                <w:rStyle w:val="427"/>
                <w:rFonts w:hint="eastAsia" w:ascii="宋体" w:hAnsi="宋体" w:cs="宋体"/>
                <w:b w:val="0"/>
                <w:i w:val="0"/>
                <w:caps w:val="0"/>
                <w:color w:val="auto"/>
                <w:spacing w:val="0"/>
                <w:w w:val="100"/>
                <w:kern w:val="2"/>
                <w:sz w:val="24"/>
                <w:szCs w:val="24"/>
                <w:highlight w:val="none"/>
                <w:lang w:val="en-US" w:eastAsia="zh-CN" w:bidi="ar-SA"/>
              </w:rPr>
              <w:t>或内容不完善</w:t>
            </w:r>
            <w:r>
              <w:rPr>
                <w:rStyle w:val="427"/>
                <w:rFonts w:hint="eastAsia" w:ascii="宋体" w:hAnsi="宋体" w:eastAsia="宋体" w:cs="宋体"/>
                <w:b w:val="0"/>
                <w:i w:val="0"/>
                <w:caps w:val="0"/>
                <w:color w:val="auto"/>
                <w:spacing w:val="0"/>
                <w:w w:val="100"/>
                <w:kern w:val="2"/>
                <w:sz w:val="24"/>
                <w:szCs w:val="24"/>
                <w:highlight w:val="none"/>
                <w:lang w:val="en-US" w:eastAsia="zh-CN" w:bidi="ar-SA"/>
              </w:rPr>
              <w:t>扣1分(扣完为止)。</w:t>
            </w:r>
          </w:p>
        </w:tc>
        <w:tc>
          <w:tcPr>
            <w:tcW w:w="1105" w:type="dxa"/>
            <w:vAlign w:val="center"/>
          </w:tcPr>
          <w:p w14:paraId="27D4DEB6">
            <w:pPr>
              <w:tabs>
                <w:tab w:val="left" w:pos="-94"/>
                <w:tab w:val="left" w:pos="1620"/>
              </w:tabs>
              <w:adjustRightInd w:val="0"/>
              <w:snapToGrid w:val="0"/>
              <w:jc w:val="center"/>
              <w:textAlignment w:val="baseline"/>
              <w:outlineLvl w:val="9"/>
              <w:rPr>
                <w:rFonts w:hint="eastAsia" w:ascii="宋体" w:hAnsi="宋体" w:eastAsia="宋体" w:cs="宋体"/>
                <w:color w:val="auto"/>
                <w:sz w:val="24"/>
                <w:szCs w:val="24"/>
                <w:highlight w:val="none"/>
              </w:rPr>
            </w:pPr>
          </w:p>
        </w:tc>
      </w:tr>
      <w:tr w14:paraId="6F0CE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jc w:val="center"/>
        </w:trPr>
        <w:tc>
          <w:tcPr>
            <w:tcW w:w="569" w:type="dxa"/>
            <w:vAlign w:val="center"/>
          </w:tcPr>
          <w:p w14:paraId="6CA06706">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9</w:t>
            </w:r>
          </w:p>
        </w:tc>
        <w:tc>
          <w:tcPr>
            <w:tcW w:w="1656" w:type="dxa"/>
            <w:vAlign w:val="center"/>
          </w:tcPr>
          <w:p w14:paraId="5FA1E5D2">
            <w:pPr>
              <w:keepNext w:val="0"/>
              <w:keepLines w:val="0"/>
              <w:widowControl/>
              <w:suppressLineNumbers w:val="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冬季清雪</w:t>
            </w:r>
            <w:r>
              <w:rPr>
                <w:rFonts w:hint="eastAsia" w:ascii="宋体" w:hAnsi="宋体" w:cs="宋体"/>
                <w:color w:val="auto"/>
                <w:sz w:val="24"/>
                <w:szCs w:val="24"/>
                <w:highlight w:val="none"/>
                <w:lang w:val="en-US" w:eastAsia="zh-CN"/>
              </w:rPr>
              <w:t>方案</w:t>
            </w:r>
          </w:p>
          <w:p w14:paraId="7896C0B1">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p>
        </w:tc>
        <w:tc>
          <w:tcPr>
            <w:tcW w:w="1106" w:type="dxa"/>
            <w:vAlign w:val="center"/>
          </w:tcPr>
          <w:p w14:paraId="3F755433">
            <w:pPr>
              <w:keepNext w:val="0"/>
              <w:keepLines w:val="0"/>
              <w:widowControl/>
              <w:suppressLineNumbers w:val="0"/>
              <w:jc w:val="center"/>
              <w:textAlignment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c>
          <w:tcPr>
            <w:tcW w:w="5526" w:type="dxa"/>
            <w:vAlign w:val="center"/>
          </w:tcPr>
          <w:p w14:paraId="68374B77">
            <w:pPr>
              <w:keepNext w:val="0"/>
              <w:keepLines w:val="0"/>
              <w:pageBreakBefore w:val="0"/>
              <w:widowControl/>
              <w:suppressLineNumbers w:val="0"/>
              <w:kinsoku/>
              <w:wordWrap/>
              <w:overflowPunct/>
              <w:topLinePunct w:val="0"/>
              <w:autoSpaceDE/>
              <w:autoSpaceDN/>
              <w:bidi w:val="0"/>
              <w:snapToGrid/>
              <w:spacing w:line="39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供应商根据本项目需求提供详细的冬季清雪方案等内容，内容包含但不限于：①</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冬季除雪扫雪总体实施方案；②、降雪分级响应机制（小雪/中雪/大雪/暴雪</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；③、机械化+人工协同扫雪作业工艺技术措施；④</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 xml:space="preserve">冬季防冻、防滑、融雪剂规范使用技术措施；⑤、重点区域专项扫雪保障措施。 </w:t>
            </w:r>
          </w:p>
          <w:p w14:paraId="4BEE49B6">
            <w:pPr>
              <w:pStyle w:val="2"/>
              <w:keepNext w:val="0"/>
              <w:keepLines w:val="0"/>
              <w:pageBreakBefore w:val="0"/>
              <w:kinsoku/>
              <w:wordWrap/>
              <w:overflowPunct/>
              <w:topLinePunct w:val="0"/>
              <w:autoSpaceDE/>
              <w:autoSpaceDN/>
              <w:bidi w:val="0"/>
              <w:snapToGrid/>
              <w:spacing w:line="390" w:lineRule="exact"/>
              <w:rPr>
                <w:rFonts w:hint="eastAsia" w:ascii="宋体" w:hAnsi="宋体" w:eastAsia="宋体" w:cs="宋体"/>
                <w:b w:val="0"/>
                <w:i w:val="0"/>
                <w:iCs w:val="0"/>
                <w:color w:val="auto"/>
                <w:kern w:val="0"/>
                <w:sz w:val="24"/>
                <w:szCs w:val="24"/>
                <w:highlight w:val="none"/>
                <w:u w:val="none"/>
                <w:lang w:val="en-US" w:eastAsia="zh-CN" w:bidi="ar"/>
              </w:rPr>
            </w:pPr>
            <w:r>
              <w:rPr>
                <w:rFonts w:hint="eastAsia" w:ascii="宋体" w:hAnsi="宋体" w:eastAsia="宋体" w:cs="宋体"/>
                <w:b w:val="0"/>
                <w:bCs/>
                <w:i w:val="0"/>
                <w:iCs w:val="0"/>
                <w:color w:val="auto"/>
                <w:kern w:val="0"/>
                <w:sz w:val="24"/>
                <w:szCs w:val="24"/>
                <w:highlight w:val="none"/>
                <w:u w:val="none"/>
                <w:lang w:val="en-US" w:eastAsia="zh-CN" w:bidi="ar"/>
              </w:rPr>
              <w:t>以上方案内容完整清晰明确且科学合理、可行性高具有针对性并满足采购需求的得满分10分。每缺一项要素扣2分，每个要素里每有一处内容缺陷或内容不完善扣1分(扣完为止)。</w:t>
            </w:r>
          </w:p>
        </w:tc>
        <w:tc>
          <w:tcPr>
            <w:tcW w:w="1105" w:type="dxa"/>
            <w:vAlign w:val="center"/>
          </w:tcPr>
          <w:p w14:paraId="776BC774">
            <w:pPr>
              <w:tabs>
                <w:tab w:val="left" w:pos="-94"/>
                <w:tab w:val="left" w:pos="1620"/>
              </w:tabs>
              <w:adjustRightInd w:val="0"/>
              <w:snapToGrid w:val="0"/>
              <w:jc w:val="center"/>
              <w:textAlignment w:val="baseline"/>
              <w:outlineLvl w:val="9"/>
              <w:rPr>
                <w:rFonts w:hint="eastAsia" w:ascii="宋体" w:hAnsi="宋体" w:eastAsia="宋体" w:cs="宋体"/>
                <w:color w:val="auto"/>
                <w:sz w:val="24"/>
                <w:szCs w:val="24"/>
                <w:highlight w:val="none"/>
              </w:rPr>
            </w:pPr>
          </w:p>
        </w:tc>
      </w:tr>
      <w:tr w14:paraId="11599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9" w:type="dxa"/>
            <w:vAlign w:val="center"/>
          </w:tcPr>
          <w:p w14:paraId="7F9C2E1D">
            <w:pPr>
              <w:keepNext w:val="0"/>
              <w:keepLines w:val="0"/>
              <w:widowControl/>
              <w:suppressLineNumbers w:val="0"/>
              <w:jc w:val="center"/>
              <w:textAlignment w:val="center"/>
              <w:rPr>
                <w:rFonts w:hint="default" w:ascii="宋体" w:hAnsi="宋体" w:eastAsia="宋体" w:cs="宋体"/>
                <w:color w:val="auto"/>
                <w:sz w:val="24"/>
                <w:szCs w:val="24"/>
                <w:highlight w:val="none"/>
                <w:lang w:val="en-US"/>
              </w:rPr>
            </w:pPr>
            <w:r>
              <w:rPr>
                <w:rFonts w:hint="eastAsia" w:ascii="宋体" w:hAnsi="宋体" w:cs="宋体"/>
                <w:i w:val="0"/>
                <w:iCs w:val="0"/>
                <w:color w:val="auto"/>
                <w:kern w:val="0"/>
                <w:sz w:val="24"/>
                <w:szCs w:val="24"/>
                <w:highlight w:val="none"/>
                <w:u w:val="none"/>
                <w:lang w:val="en-US" w:eastAsia="zh-CN" w:bidi="ar"/>
              </w:rPr>
              <w:t>10</w:t>
            </w:r>
          </w:p>
        </w:tc>
        <w:tc>
          <w:tcPr>
            <w:tcW w:w="1656" w:type="dxa"/>
            <w:vAlign w:val="center"/>
          </w:tcPr>
          <w:p w14:paraId="1F50E5CC">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Hans"/>
              </w:rPr>
            </w:pPr>
            <w:r>
              <w:rPr>
                <w:rFonts w:hint="eastAsia" w:ascii="宋体" w:hAnsi="宋体" w:eastAsia="宋体" w:cs="宋体"/>
                <w:i w:val="0"/>
                <w:iCs w:val="0"/>
                <w:color w:val="auto"/>
                <w:kern w:val="0"/>
                <w:sz w:val="24"/>
                <w:szCs w:val="24"/>
                <w:highlight w:val="none"/>
                <w:u w:val="none"/>
                <w:lang w:val="en-US" w:eastAsia="zh-CN" w:bidi="ar"/>
              </w:rPr>
              <w:t>重大活动、节假日保洁工作任务安排方案</w:t>
            </w:r>
          </w:p>
        </w:tc>
        <w:tc>
          <w:tcPr>
            <w:tcW w:w="1106" w:type="dxa"/>
            <w:vAlign w:val="center"/>
          </w:tcPr>
          <w:p w14:paraId="26D2F01A">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5</w:t>
            </w:r>
          </w:p>
        </w:tc>
        <w:tc>
          <w:tcPr>
            <w:tcW w:w="5526" w:type="dxa"/>
            <w:vAlign w:val="center"/>
          </w:tcPr>
          <w:p w14:paraId="314B9A43">
            <w:pPr>
              <w:keepNext w:val="0"/>
              <w:keepLines w:val="0"/>
              <w:pageBreakBefore w:val="0"/>
              <w:widowControl/>
              <w:suppressLineNumbers w:val="0"/>
              <w:kinsoku/>
              <w:wordWrap/>
              <w:overflowPunct/>
              <w:topLinePunct w:val="0"/>
              <w:autoSpaceDE/>
              <w:autoSpaceDN/>
              <w:bidi w:val="0"/>
              <w:snapToGrid/>
              <w:spacing w:line="390" w:lineRule="exact"/>
              <w:jc w:val="left"/>
              <w:textAlignment w:val="center"/>
              <w:rPr>
                <w:rFonts w:hint="eastAsia" w:ascii="宋体" w:hAnsi="宋体" w:eastAsia="宋体" w:cs="宋体"/>
                <w:color w:val="auto"/>
                <w:sz w:val="24"/>
                <w:szCs w:val="24"/>
                <w:highlight w:val="none"/>
                <w:lang w:val="en-US" w:eastAsia="zh-Hans"/>
              </w:rPr>
            </w:pPr>
            <w:r>
              <w:rPr>
                <w:rFonts w:hint="eastAsia" w:ascii="宋体" w:hAnsi="宋体" w:eastAsia="宋体" w:cs="宋体"/>
                <w:i w:val="0"/>
                <w:iCs w:val="0"/>
                <w:color w:val="auto"/>
                <w:kern w:val="0"/>
                <w:sz w:val="24"/>
                <w:szCs w:val="24"/>
                <w:highlight w:val="none"/>
                <w:u w:val="none"/>
                <w:lang w:val="en-US" w:eastAsia="zh-CN" w:bidi="ar"/>
              </w:rPr>
              <w:t>根据供应商所提供的针对本项目实际情况的重大活动、节假日保洁的工作任务安排方案，方案内容至少须包含：①、项目重大活动、节假日、</w:t>
            </w:r>
            <w:r>
              <w:rPr>
                <w:rFonts w:hint="eastAsia" w:ascii="宋体" w:hAnsi="宋体" w:eastAsia="宋体" w:cs="宋体"/>
                <w:color w:val="auto"/>
                <w:sz w:val="24"/>
                <w:szCs w:val="24"/>
                <w:highlight w:val="none"/>
                <w:lang w:val="en-US" w:eastAsia="zh-CN"/>
              </w:rPr>
              <w:t>创文、创卫、重大迎检、恶劣天气气候影响</w:t>
            </w:r>
            <w:r>
              <w:rPr>
                <w:rFonts w:hint="eastAsia" w:ascii="宋体" w:hAnsi="宋体" w:eastAsia="宋体" w:cs="宋体"/>
                <w:i w:val="0"/>
                <w:iCs w:val="0"/>
                <w:color w:val="auto"/>
                <w:kern w:val="0"/>
                <w:sz w:val="24"/>
                <w:szCs w:val="24"/>
                <w:highlight w:val="none"/>
                <w:u w:val="none"/>
                <w:lang w:val="en-US" w:eastAsia="zh-CN" w:bidi="ar"/>
              </w:rPr>
              <w:t>环卫保洁和园林绿化养护质量标准方案；②、项目重大活动、节假日、</w:t>
            </w:r>
            <w:r>
              <w:rPr>
                <w:rFonts w:hint="eastAsia" w:ascii="宋体" w:hAnsi="宋体" w:eastAsia="宋体" w:cs="宋体"/>
                <w:color w:val="auto"/>
                <w:sz w:val="24"/>
                <w:szCs w:val="24"/>
                <w:highlight w:val="none"/>
                <w:lang w:val="en-US" w:eastAsia="zh-CN"/>
              </w:rPr>
              <w:t>创文、创卫、重大迎检、恶劣天气气候影响</w:t>
            </w:r>
            <w:r>
              <w:rPr>
                <w:rFonts w:hint="eastAsia" w:ascii="宋体" w:hAnsi="宋体" w:eastAsia="宋体" w:cs="宋体"/>
                <w:i w:val="0"/>
                <w:iCs w:val="0"/>
                <w:color w:val="auto"/>
                <w:kern w:val="0"/>
                <w:sz w:val="24"/>
                <w:szCs w:val="24"/>
                <w:highlight w:val="none"/>
                <w:u w:val="none"/>
                <w:lang w:val="en-US" w:eastAsia="zh-CN" w:bidi="ar"/>
              </w:rPr>
              <w:t>环卫保洁和园林绿化养护措施方案。方案内容完整、能满足采购需求、可操作性强的，得5分；方案内容完整，能满足采购需求、但可操作性欠缺的，得3分；方案内容完整，但对需求的把握不到位、可操作性欠缺的，得1分，未提供的不得分。</w:t>
            </w:r>
          </w:p>
        </w:tc>
        <w:tc>
          <w:tcPr>
            <w:tcW w:w="1105" w:type="dxa"/>
            <w:vAlign w:val="center"/>
          </w:tcPr>
          <w:p w14:paraId="04435872">
            <w:pPr>
              <w:tabs>
                <w:tab w:val="left" w:pos="-94"/>
                <w:tab w:val="left" w:pos="1620"/>
              </w:tabs>
              <w:adjustRightInd w:val="0"/>
              <w:snapToGrid w:val="0"/>
              <w:jc w:val="center"/>
              <w:textAlignment w:val="baseline"/>
              <w:outlineLvl w:val="9"/>
              <w:rPr>
                <w:rFonts w:hint="eastAsia" w:ascii="宋体" w:hAnsi="宋体" w:eastAsia="宋体" w:cs="宋体"/>
                <w:color w:val="auto"/>
                <w:sz w:val="24"/>
                <w:szCs w:val="24"/>
                <w:highlight w:val="none"/>
              </w:rPr>
            </w:pPr>
          </w:p>
        </w:tc>
      </w:tr>
      <w:tr w14:paraId="2D0BA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9" w:type="dxa"/>
            <w:vAlign w:val="center"/>
          </w:tcPr>
          <w:p w14:paraId="04A51FC3">
            <w:pPr>
              <w:keepNext w:val="0"/>
              <w:keepLines w:val="0"/>
              <w:widowControl/>
              <w:suppressLineNumbers w:val="0"/>
              <w:jc w:val="center"/>
              <w:textAlignment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p>
        </w:tc>
        <w:tc>
          <w:tcPr>
            <w:tcW w:w="1656" w:type="dxa"/>
            <w:vAlign w:val="center"/>
          </w:tcPr>
          <w:p w14:paraId="441B3627">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Hans"/>
              </w:rPr>
            </w:pPr>
            <w:r>
              <w:rPr>
                <w:rFonts w:hint="eastAsia" w:ascii="宋体" w:hAnsi="宋体" w:eastAsia="宋体" w:cs="宋体"/>
                <w:i w:val="0"/>
                <w:iCs w:val="0"/>
                <w:color w:val="auto"/>
                <w:kern w:val="0"/>
                <w:sz w:val="24"/>
                <w:szCs w:val="24"/>
                <w:highlight w:val="none"/>
                <w:u w:val="none"/>
                <w:lang w:val="en-US" w:eastAsia="zh-CN" w:bidi="ar"/>
              </w:rPr>
              <w:t>劳保用品配置方案</w:t>
            </w:r>
          </w:p>
        </w:tc>
        <w:tc>
          <w:tcPr>
            <w:tcW w:w="1106" w:type="dxa"/>
            <w:vAlign w:val="center"/>
          </w:tcPr>
          <w:p w14:paraId="435B2F99">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5</w:t>
            </w:r>
          </w:p>
        </w:tc>
        <w:tc>
          <w:tcPr>
            <w:tcW w:w="5526" w:type="dxa"/>
            <w:vAlign w:val="center"/>
          </w:tcPr>
          <w:p w14:paraId="6D03AF2B">
            <w:pPr>
              <w:keepNext w:val="0"/>
              <w:keepLines w:val="0"/>
              <w:pageBreakBefore w:val="0"/>
              <w:widowControl/>
              <w:suppressLineNumbers w:val="0"/>
              <w:kinsoku/>
              <w:wordWrap/>
              <w:overflowPunct/>
              <w:topLinePunct w:val="0"/>
              <w:autoSpaceDE/>
              <w:autoSpaceDN/>
              <w:bidi w:val="0"/>
              <w:snapToGrid/>
              <w:spacing w:line="390" w:lineRule="exact"/>
              <w:jc w:val="left"/>
              <w:textAlignment w:val="center"/>
              <w:rPr>
                <w:rFonts w:hint="eastAsia" w:ascii="宋体" w:hAnsi="宋体" w:eastAsia="宋体" w:cs="宋体"/>
                <w:color w:val="auto"/>
                <w:sz w:val="24"/>
                <w:szCs w:val="24"/>
                <w:highlight w:val="none"/>
                <w:lang w:val="en-US" w:eastAsia="zh-Hans"/>
              </w:rPr>
            </w:pPr>
            <w:r>
              <w:rPr>
                <w:rFonts w:hint="eastAsia" w:ascii="宋体" w:hAnsi="宋体" w:eastAsia="宋体" w:cs="宋体"/>
                <w:i w:val="0"/>
                <w:iCs w:val="0"/>
                <w:color w:val="auto"/>
                <w:kern w:val="0"/>
                <w:sz w:val="24"/>
                <w:szCs w:val="24"/>
                <w:highlight w:val="none"/>
                <w:u w:val="none"/>
                <w:lang w:val="en-US" w:eastAsia="zh-CN" w:bidi="ar"/>
              </w:rPr>
              <w:t>根据供应商所提供的针对本项目的劳保用品配置方案，方案内容至少须包含：①、拟投入劳保用品配置清单；②、劳保用品管理方案。方案内容完整、能满足采购需求、可操作性强的，得5分；方案内容完整，能满足采购需求、但可操作性欠缺的，得3分；方案内容完整，但对需求的把握不到位、可操作性欠缺的，得1分，未提供的不得分。</w:t>
            </w:r>
          </w:p>
        </w:tc>
        <w:tc>
          <w:tcPr>
            <w:tcW w:w="1105" w:type="dxa"/>
            <w:vAlign w:val="center"/>
          </w:tcPr>
          <w:p w14:paraId="1C96CA65">
            <w:pPr>
              <w:tabs>
                <w:tab w:val="left" w:pos="-94"/>
                <w:tab w:val="left" w:pos="1620"/>
              </w:tabs>
              <w:adjustRightInd w:val="0"/>
              <w:snapToGrid w:val="0"/>
              <w:jc w:val="center"/>
              <w:textAlignment w:val="baseline"/>
              <w:outlineLvl w:val="9"/>
              <w:rPr>
                <w:rFonts w:hint="eastAsia" w:ascii="宋体" w:hAnsi="宋体" w:eastAsia="宋体" w:cs="宋体"/>
                <w:color w:val="auto"/>
                <w:sz w:val="24"/>
                <w:szCs w:val="24"/>
                <w:highlight w:val="none"/>
              </w:rPr>
            </w:pPr>
          </w:p>
        </w:tc>
      </w:tr>
      <w:tr w14:paraId="43CEF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569" w:type="dxa"/>
            <w:vAlign w:val="center"/>
          </w:tcPr>
          <w:p w14:paraId="51729211">
            <w:pPr>
              <w:keepNext w:val="0"/>
              <w:keepLines w:val="0"/>
              <w:widowControl/>
              <w:suppressLineNumbers w:val="0"/>
              <w:jc w:val="center"/>
              <w:textAlignment w:val="center"/>
              <w:rPr>
                <w:rFonts w:hint="default" w:ascii="宋体" w:hAnsi="宋体" w:eastAsia="宋体" w:cs="宋体"/>
                <w:color w:val="auto"/>
                <w:sz w:val="24"/>
                <w:szCs w:val="24"/>
                <w:highlight w:val="none"/>
                <w:lang w:val="en-US"/>
              </w:rPr>
            </w:pPr>
            <w:r>
              <w:rPr>
                <w:rFonts w:hint="eastAsia" w:ascii="宋体" w:hAnsi="宋体" w:cs="宋体"/>
                <w:i w:val="0"/>
                <w:iCs w:val="0"/>
                <w:color w:val="auto"/>
                <w:kern w:val="0"/>
                <w:sz w:val="24"/>
                <w:szCs w:val="24"/>
                <w:highlight w:val="none"/>
                <w:u w:val="none"/>
                <w:lang w:val="en-US" w:eastAsia="zh-CN" w:bidi="ar"/>
              </w:rPr>
              <w:t>12</w:t>
            </w:r>
          </w:p>
        </w:tc>
        <w:tc>
          <w:tcPr>
            <w:tcW w:w="1656" w:type="dxa"/>
            <w:vAlign w:val="center"/>
          </w:tcPr>
          <w:p w14:paraId="42EA2840">
            <w:pPr>
              <w:keepNext w:val="0"/>
              <w:keepLines w:val="0"/>
              <w:pageBreakBefore w:val="0"/>
              <w:widowControl/>
              <w:suppressLineNumbers w:val="0"/>
              <w:kinsoku/>
              <w:wordWrap/>
              <w:overflowPunct/>
              <w:topLinePunct w:val="0"/>
              <w:autoSpaceDE/>
              <w:autoSpaceDN/>
              <w:bidi w:val="0"/>
              <w:snapToGrid/>
              <w:spacing w:line="400" w:lineRule="exact"/>
              <w:jc w:val="center"/>
              <w:textAlignment w:val="center"/>
              <w:rPr>
                <w:rFonts w:hint="eastAsia" w:ascii="宋体" w:hAnsi="宋体" w:eastAsia="宋体" w:cs="宋体"/>
                <w:i w:val="0"/>
                <w:iCs w:val="0"/>
                <w:color w:val="auto"/>
                <w:kern w:val="0"/>
                <w:sz w:val="24"/>
                <w:szCs w:val="24"/>
                <w:highlight w:val="none"/>
                <w:u w:val="none"/>
                <w:lang w:val="en-US" w:eastAsia="zh-Hans" w:bidi="ar"/>
              </w:rPr>
            </w:pPr>
            <w:r>
              <w:rPr>
                <w:rFonts w:hint="eastAsia" w:ascii="宋体" w:hAnsi="宋体" w:eastAsia="宋体" w:cs="宋体"/>
                <w:i w:val="0"/>
                <w:iCs w:val="0"/>
                <w:color w:val="auto"/>
                <w:kern w:val="0"/>
                <w:sz w:val="24"/>
                <w:szCs w:val="24"/>
                <w:highlight w:val="none"/>
                <w:u w:val="none"/>
                <w:lang w:val="en-US" w:eastAsia="zh-Hans" w:bidi="ar"/>
              </w:rPr>
              <w:t>安全生产作业措施</w:t>
            </w:r>
          </w:p>
          <w:p w14:paraId="5DFA095A">
            <w:pPr>
              <w:keepNext w:val="0"/>
              <w:keepLines w:val="0"/>
              <w:pageBreakBefore w:val="0"/>
              <w:widowControl/>
              <w:suppressLineNumbers w:val="0"/>
              <w:kinsoku/>
              <w:wordWrap/>
              <w:overflowPunct/>
              <w:topLinePunct w:val="0"/>
              <w:autoSpaceDE/>
              <w:autoSpaceDN/>
              <w:bidi w:val="0"/>
              <w:snapToGrid/>
              <w:spacing w:line="400" w:lineRule="exact"/>
              <w:jc w:val="left"/>
              <w:textAlignment w:val="center"/>
              <w:rPr>
                <w:rFonts w:hint="eastAsia" w:ascii="宋体" w:hAnsi="宋体" w:eastAsia="宋体" w:cs="宋体"/>
                <w:i w:val="0"/>
                <w:iCs w:val="0"/>
                <w:color w:val="auto"/>
                <w:kern w:val="0"/>
                <w:sz w:val="24"/>
                <w:szCs w:val="24"/>
                <w:highlight w:val="none"/>
                <w:u w:val="none"/>
                <w:lang w:val="en-US" w:eastAsia="zh-Hans" w:bidi="ar"/>
              </w:rPr>
            </w:pPr>
          </w:p>
        </w:tc>
        <w:tc>
          <w:tcPr>
            <w:tcW w:w="1106" w:type="dxa"/>
            <w:vAlign w:val="center"/>
          </w:tcPr>
          <w:p w14:paraId="6E122567">
            <w:pPr>
              <w:keepNext w:val="0"/>
              <w:keepLines w:val="0"/>
              <w:pageBreakBefore w:val="0"/>
              <w:widowControl/>
              <w:suppressLineNumbers w:val="0"/>
              <w:kinsoku/>
              <w:wordWrap/>
              <w:overflowPunct/>
              <w:topLinePunct w:val="0"/>
              <w:autoSpaceDE/>
              <w:autoSpaceDN/>
              <w:bidi w:val="0"/>
              <w:snapToGrid/>
              <w:spacing w:line="40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w:t>
            </w:r>
          </w:p>
        </w:tc>
        <w:tc>
          <w:tcPr>
            <w:tcW w:w="5526" w:type="dxa"/>
            <w:vAlign w:val="center"/>
          </w:tcPr>
          <w:p w14:paraId="64426333">
            <w:pPr>
              <w:keepNext w:val="0"/>
              <w:keepLines w:val="0"/>
              <w:pageBreakBefore w:val="0"/>
              <w:widowControl/>
              <w:suppressLineNumbers w:val="0"/>
              <w:kinsoku/>
              <w:wordWrap/>
              <w:overflowPunct/>
              <w:topLinePunct w:val="0"/>
              <w:autoSpaceDE/>
              <w:autoSpaceDN/>
              <w:bidi w:val="0"/>
              <w:snapToGrid/>
              <w:spacing w:line="39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供应商根据本项目需求提供详细的安全生产作业措施方案，内容包括但不限于：</w:t>
            </w:r>
          </w:p>
          <w:p w14:paraId="5B8ADE01">
            <w:pPr>
              <w:keepNext w:val="0"/>
              <w:keepLines w:val="0"/>
              <w:pageBreakBefore w:val="0"/>
              <w:widowControl/>
              <w:suppressLineNumbers w:val="0"/>
              <w:kinsoku/>
              <w:wordWrap/>
              <w:overflowPunct/>
              <w:topLinePunct w:val="0"/>
              <w:autoSpaceDE/>
              <w:autoSpaceDN/>
              <w:bidi w:val="0"/>
              <w:snapToGrid/>
              <w:spacing w:line="39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①安全防护措施；②设备使用安全操作规程。</w:t>
            </w:r>
          </w:p>
          <w:p w14:paraId="3ABACBBF">
            <w:pPr>
              <w:keepNext w:val="0"/>
              <w:keepLines w:val="0"/>
              <w:pageBreakBefore w:val="0"/>
              <w:widowControl/>
              <w:suppressLineNumbers w:val="0"/>
              <w:kinsoku/>
              <w:wordWrap/>
              <w:overflowPunct/>
              <w:topLinePunct w:val="0"/>
              <w:autoSpaceDE/>
              <w:autoSpaceDN/>
              <w:bidi w:val="0"/>
              <w:snapToGrid/>
              <w:spacing w:line="390" w:lineRule="exact"/>
              <w:jc w:val="left"/>
              <w:textAlignment w:val="center"/>
              <w:rPr>
                <w:rFonts w:hint="eastAsia" w:ascii="宋体" w:hAnsi="宋体" w:eastAsia="宋体" w:cs="宋体"/>
                <w:i w:val="0"/>
                <w:iCs w:val="0"/>
                <w:color w:val="auto"/>
                <w:kern w:val="0"/>
                <w:sz w:val="24"/>
                <w:szCs w:val="24"/>
                <w:highlight w:val="none"/>
                <w:u w:val="none"/>
                <w:lang w:val="en-US" w:eastAsia="zh-Hans" w:bidi="ar"/>
              </w:rPr>
            </w:pPr>
            <w:r>
              <w:rPr>
                <w:rFonts w:hint="eastAsia" w:ascii="宋体" w:hAnsi="宋体" w:eastAsia="宋体" w:cs="宋体"/>
                <w:i w:val="0"/>
                <w:iCs w:val="0"/>
                <w:color w:val="auto"/>
                <w:kern w:val="0"/>
                <w:sz w:val="24"/>
                <w:szCs w:val="24"/>
                <w:highlight w:val="none"/>
                <w:u w:val="none"/>
                <w:lang w:val="en-US" w:eastAsia="zh-CN" w:bidi="ar"/>
              </w:rPr>
              <w:t>以上方案内容完整清晰明确、科学合理、提高作业能力且满足采购需求的得5分。</w:t>
            </w:r>
            <w:r>
              <w:rPr>
                <w:rStyle w:val="427"/>
                <w:rFonts w:hint="eastAsia" w:ascii="宋体" w:hAnsi="宋体" w:eastAsia="宋体" w:cs="宋体"/>
                <w:b w:val="0"/>
                <w:i w:val="0"/>
                <w:caps w:val="0"/>
                <w:color w:val="auto"/>
                <w:spacing w:val="0"/>
                <w:w w:val="100"/>
                <w:kern w:val="2"/>
                <w:sz w:val="24"/>
                <w:szCs w:val="24"/>
                <w:highlight w:val="none"/>
                <w:lang w:val="en-US" w:eastAsia="zh-CN" w:bidi="ar-SA"/>
              </w:rPr>
              <w:t>每缺一项要素扣2</w:t>
            </w:r>
            <w:r>
              <w:rPr>
                <w:rStyle w:val="427"/>
                <w:rFonts w:hint="eastAsia" w:ascii="宋体" w:hAnsi="宋体" w:cs="宋体"/>
                <w:b w:val="0"/>
                <w:i w:val="0"/>
                <w:caps w:val="0"/>
                <w:color w:val="auto"/>
                <w:spacing w:val="0"/>
                <w:w w:val="100"/>
                <w:kern w:val="2"/>
                <w:sz w:val="24"/>
                <w:szCs w:val="24"/>
                <w:highlight w:val="none"/>
                <w:lang w:val="en-US" w:eastAsia="zh-CN" w:bidi="ar-SA"/>
              </w:rPr>
              <w:t>.5</w:t>
            </w:r>
            <w:r>
              <w:rPr>
                <w:rStyle w:val="427"/>
                <w:rFonts w:hint="eastAsia" w:ascii="宋体" w:hAnsi="宋体" w:eastAsia="宋体" w:cs="宋体"/>
                <w:b w:val="0"/>
                <w:i w:val="0"/>
                <w:caps w:val="0"/>
                <w:color w:val="auto"/>
                <w:spacing w:val="0"/>
                <w:w w:val="100"/>
                <w:kern w:val="2"/>
                <w:sz w:val="24"/>
                <w:szCs w:val="24"/>
                <w:highlight w:val="none"/>
                <w:lang w:val="en-US" w:eastAsia="zh-CN" w:bidi="ar-SA"/>
              </w:rPr>
              <w:t>分，每个要素里每有一处内容缺陷</w:t>
            </w:r>
            <w:r>
              <w:rPr>
                <w:rStyle w:val="427"/>
                <w:rFonts w:hint="eastAsia" w:ascii="宋体" w:hAnsi="宋体" w:cs="宋体"/>
                <w:b w:val="0"/>
                <w:i w:val="0"/>
                <w:caps w:val="0"/>
                <w:color w:val="auto"/>
                <w:spacing w:val="0"/>
                <w:w w:val="100"/>
                <w:kern w:val="2"/>
                <w:sz w:val="24"/>
                <w:szCs w:val="24"/>
                <w:highlight w:val="none"/>
                <w:lang w:val="en-US" w:eastAsia="zh-CN" w:bidi="ar-SA"/>
              </w:rPr>
              <w:t>或内容不完善</w:t>
            </w:r>
            <w:r>
              <w:rPr>
                <w:rStyle w:val="427"/>
                <w:rFonts w:hint="eastAsia" w:ascii="宋体" w:hAnsi="宋体" w:eastAsia="宋体" w:cs="宋体"/>
                <w:b w:val="0"/>
                <w:i w:val="0"/>
                <w:caps w:val="0"/>
                <w:color w:val="auto"/>
                <w:spacing w:val="0"/>
                <w:w w:val="100"/>
                <w:kern w:val="2"/>
                <w:sz w:val="24"/>
                <w:szCs w:val="24"/>
                <w:highlight w:val="none"/>
                <w:lang w:val="en-US" w:eastAsia="zh-CN" w:bidi="ar-SA"/>
              </w:rPr>
              <w:t>扣</w:t>
            </w:r>
            <w:r>
              <w:rPr>
                <w:rStyle w:val="427"/>
                <w:rFonts w:hint="eastAsia" w:ascii="宋体" w:hAnsi="宋体" w:cs="宋体"/>
                <w:b w:val="0"/>
                <w:i w:val="0"/>
                <w:caps w:val="0"/>
                <w:color w:val="auto"/>
                <w:spacing w:val="0"/>
                <w:w w:val="100"/>
                <w:kern w:val="2"/>
                <w:sz w:val="24"/>
                <w:szCs w:val="24"/>
                <w:highlight w:val="none"/>
                <w:lang w:val="en-US" w:eastAsia="zh-CN" w:bidi="ar-SA"/>
              </w:rPr>
              <w:t>0.5</w:t>
            </w:r>
            <w:r>
              <w:rPr>
                <w:rStyle w:val="427"/>
                <w:rFonts w:hint="eastAsia" w:ascii="宋体" w:hAnsi="宋体" w:eastAsia="宋体" w:cs="宋体"/>
                <w:b w:val="0"/>
                <w:i w:val="0"/>
                <w:caps w:val="0"/>
                <w:color w:val="auto"/>
                <w:spacing w:val="0"/>
                <w:w w:val="100"/>
                <w:kern w:val="2"/>
                <w:sz w:val="24"/>
                <w:szCs w:val="24"/>
                <w:highlight w:val="none"/>
                <w:lang w:val="en-US" w:eastAsia="zh-CN" w:bidi="ar-SA"/>
              </w:rPr>
              <w:t>分(扣完为止)。</w:t>
            </w:r>
          </w:p>
        </w:tc>
        <w:tc>
          <w:tcPr>
            <w:tcW w:w="1105" w:type="dxa"/>
            <w:vAlign w:val="center"/>
          </w:tcPr>
          <w:p w14:paraId="77FA0B69">
            <w:pPr>
              <w:tabs>
                <w:tab w:val="left" w:pos="-94"/>
                <w:tab w:val="left" w:pos="1620"/>
              </w:tabs>
              <w:adjustRightInd w:val="0"/>
              <w:snapToGrid w:val="0"/>
              <w:jc w:val="center"/>
              <w:textAlignment w:val="baseline"/>
              <w:outlineLvl w:val="9"/>
              <w:rPr>
                <w:rFonts w:hint="eastAsia" w:ascii="宋体" w:hAnsi="宋体" w:eastAsia="宋体" w:cs="宋体"/>
                <w:color w:val="auto"/>
                <w:sz w:val="24"/>
                <w:szCs w:val="24"/>
                <w:highlight w:val="none"/>
              </w:rPr>
            </w:pPr>
          </w:p>
        </w:tc>
      </w:tr>
      <w:tr w14:paraId="021DD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9" w:type="dxa"/>
            <w:vAlign w:val="center"/>
          </w:tcPr>
          <w:p w14:paraId="3524F697">
            <w:pPr>
              <w:keepNext w:val="0"/>
              <w:keepLines w:val="0"/>
              <w:widowControl/>
              <w:suppressLineNumbers w:val="0"/>
              <w:jc w:val="center"/>
              <w:textAlignment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w:t>
            </w:r>
          </w:p>
        </w:tc>
        <w:tc>
          <w:tcPr>
            <w:tcW w:w="1656" w:type="dxa"/>
            <w:vAlign w:val="center"/>
          </w:tcPr>
          <w:p w14:paraId="443FF5EE">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Hans"/>
              </w:rPr>
            </w:pPr>
            <w:r>
              <w:rPr>
                <w:rFonts w:hint="eastAsia" w:ascii="宋体" w:hAnsi="宋体" w:eastAsia="宋体" w:cs="宋体"/>
                <w:i w:val="0"/>
                <w:iCs w:val="0"/>
                <w:color w:val="auto"/>
                <w:kern w:val="0"/>
                <w:sz w:val="24"/>
                <w:szCs w:val="24"/>
                <w:highlight w:val="none"/>
                <w:u w:val="none"/>
                <w:lang w:val="en-US" w:eastAsia="zh-Hans" w:bidi="ar"/>
              </w:rPr>
              <w:t>服务承诺及保障措施</w:t>
            </w:r>
          </w:p>
        </w:tc>
        <w:tc>
          <w:tcPr>
            <w:tcW w:w="1106" w:type="dxa"/>
            <w:vAlign w:val="center"/>
          </w:tcPr>
          <w:p w14:paraId="42A5ED6A">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5526" w:type="dxa"/>
            <w:vAlign w:val="center"/>
          </w:tcPr>
          <w:p w14:paraId="3D92F80B">
            <w:pPr>
              <w:keepNext w:val="0"/>
              <w:keepLines w:val="0"/>
              <w:pageBreakBefore w:val="0"/>
              <w:widowControl w:val="0"/>
              <w:numPr>
                <w:ilvl w:val="0"/>
                <w:numId w:val="0"/>
              </w:numPr>
              <w:kinsoku/>
              <w:wordWrap/>
              <w:overflowPunct/>
              <w:topLinePunct w:val="0"/>
              <w:autoSpaceDE/>
              <w:autoSpaceDN/>
              <w:bidi w:val="0"/>
              <w:adjustRightInd w:val="0"/>
              <w:snapToGrid/>
              <w:spacing w:line="390" w:lineRule="exact"/>
              <w:textAlignment w:val="baseline"/>
              <w:rPr>
                <w:rStyle w:val="427"/>
                <w:rFonts w:hint="eastAsia" w:ascii="宋体" w:hAnsi="宋体" w:eastAsia="宋体" w:cs="宋体"/>
                <w:b w:val="0"/>
                <w:i w:val="0"/>
                <w:caps w:val="0"/>
                <w:color w:val="auto"/>
                <w:spacing w:val="0"/>
                <w:w w:val="100"/>
                <w:kern w:val="2"/>
                <w:sz w:val="24"/>
                <w:szCs w:val="24"/>
                <w:highlight w:val="none"/>
                <w:lang w:val="en-US" w:eastAsia="zh-Hans" w:bidi="ar-SA"/>
              </w:rPr>
            </w:pPr>
            <w:r>
              <w:rPr>
                <w:rStyle w:val="427"/>
                <w:rFonts w:hint="eastAsia" w:ascii="宋体" w:hAnsi="宋体" w:eastAsia="宋体" w:cs="宋体"/>
                <w:b w:val="0"/>
                <w:i w:val="0"/>
                <w:caps w:val="0"/>
                <w:color w:val="auto"/>
                <w:spacing w:val="0"/>
                <w:w w:val="100"/>
                <w:kern w:val="2"/>
                <w:sz w:val="24"/>
                <w:szCs w:val="24"/>
                <w:highlight w:val="none"/>
                <w:lang w:val="en-US" w:eastAsia="zh-Hans" w:bidi="ar-SA"/>
              </w:rPr>
              <w:t>有全面可行的服务承诺，包括</w:t>
            </w:r>
            <w:r>
              <w:rPr>
                <w:rStyle w:val="427"/>
                <w:rFonts w:hint="eastAsia" w:ascii="宋体" w:hAnsi="宋体" w:eastAsia="宋体" w:cs="宋体"/>
                <w:b w:val="0"/>
                <w:i w:val="0"/>
                <w:caps w:val="0"/>
                <w:color w:val="auto"/>
                <w:spacing w:val="0"/>
                <w:w w:val="100"/>
                <w:kern w:val="2"/>
                <w:sz w:val="24"/>
                <w:szCs w:val="24"/>
                <w:highlight w:val="none"/>
                <w:lang w:val="en-US" w:eastAsia="zh-CN" w:bidi="ar-SA"/>
              </w:rPr>
              <w:t>：</w:t>
            </w:r>
            <w:r>
              <w:rPr>
                <w:rStyle w:val="427"/>
                <w:rFonts w:hint="eastAsia" w:ascii="宋体" w:hAnsi="宋体" w:eastAsia="宋体" w:cs="宋体"/>
                <w:b w:val="0"/>
                <w:i w:val="0"/>
                <w:caps w:val="0"/>
                <w:color w:val="auto"/>
                <w:spacing w:val="0"/>
                <w:w w:val="100"/>
                <w:kern w:val="2"/>
                <w:sz w:val="24"/>
                <w:szCs w:val="24"/>
                <w:highlight w:val="none"/>
                <w:lang w:val="en-US" w:eastAsia="zh-CN" w:bidi="ar-SA"/>
              </w:rPr>
              <w:fldChar w:fldCharType="begin"/>
            </w:r>
            <w:r>
              <w:rPr>
                <w:rStyle w:val="427"/>
                <w:rFonts w:hint="eastAsia" w:ascii="宋体" w:hAnsi="宋体" w:eastAsia="宋体" w:cs="宋体"/>
                <w:b w:val="0"/>
                <w:i w:val="0"/>
                <w:caps w:val="0"/>
                <w:color w:val="auto"/>
                <w:spacing w:val="0"/>
                <w:w w:val="100"/>
                <w:kern w:val="2"/>
                <w:sz w:val="24"/>
                <w:szCs w:val="24"/>
                <w:highlight w:val="none"/>
                <w:lang w:val="en-US" w:eastAsia="zh-CN" w:bidi="ar-SA"/>
              </w:rPr>
              <w:instrText xml:space="preserve"> = 1 \* GB3 \* MERGEFORMAT </w:instrText>
            </w:r>
            <w:r>
              <w:rPr>
                <w:rStyle w:val="427"/>
                <w:rFonts w:hint="eastAsia" w:ascii="宋体" w:hAnsi="宋体" w:eastAsia="宋体" w:cs="宋体"/>
                <w:b w:val="0"/>
                <w:i w:val="0"/>
                <w:caps w:val="0"/>
                <w:color w:val="auto"/>
                <w:spacing w:val="0"/>
                <w:w w:val="100"/>
                <w:kern w:val="2"/>
                <w:sz w:val="24"/>
                <w:szCs w:val="24"/>
                <w:highlight w:val="none"/>
                <w:lang w:val="en-US" w:eastAsia="zh-CN" w:bidi="ar-SA"/>
              </w:rPr>
              <w:fldChar w:fldCharType="separate"/>
            </w:r>
            <w:r>
              <w:rPr>
                <w:rFonts w:hint="eastAsia" w:ascii="宋体" w:hAnsi="宋体" w:eastAsia="宋体" w:cs="宋体"/>
                <w:color w:val="auto"/>
                <w:sz w:val="24"/>
                <w:szCs w:val="24"/>
                <w:highlight w:val="none"/>
              </w:rPr>
              <w:t>①</w:t>
            </w:r>
            <w:r>
              <w:rPr>
                <w:rStyle w:val="427"/>
                <w:rFonts w:hint="eastAsia" w:ascii="宋体" w:hAnsi="宋体" w:eastAsia="宋体" w:cs="宋体"/>
                <w:b w:val="0"/>
                <w:i w:val="0"/>
                <w:caps w:val="0"/>
                <w:color w:val="auto"/>
                <w:spacing w:val="0"/>
                <w:w w:val="100"/>
                <w:kern w:val="2"/>
                <w:sz w:val="24"/>
                <w:szCs w:val="24"/>
                <w:highlight w:val="none"/>
                <w:lang w:val="en-US" w:eastAsia="zh-CN" w:bidi="ar-SA"/>
              </w:rPr>
              <w:fldChar w:fldCharType="end"/>
            </w:r>
            <w:r>
              <w:rPr>
                <w:rStyle w:val="427"/>
                <w:rFonts w:hint="eastAsia" w:ascii="宋体" w:hAnsi="宋体" w:eastAsia="宋体" w:cs="宋体"/>
                <w:b w:val="0"/>
                <w:i w:val="0"/>
                <w:caps w:val="0"/>
                <w:color w:val="auto"/>
                <w:spacing w:val="0"/>
                <w:w w:val="100"/>
                <w:kern w:val="2"/>
                <w:sz w:val="24"/>
                <w:szCs w:val="24"/>
                <w:highlight w:val="none"/>
                <w:lang w:val="en-US" w:eastAsia="zh-CN" w:bidi="ar-SA"/>
              </w:rPr>
              <w:t>、</w:t>
            </w:r>
            <w:r>
              <w:rPr>
                <w:rStyle w:val="427"/>
                <w:rFonts w:hint="eastAsia" w:ascii="宋体" w:hAnsi="宋体" w:eastAsia="宋体" w:cs="宋体"/>
                <w:b w:val="0"/>
                <w:i w:val="0"/>
                <w:caps w:val="0"/>
                <w:color w:val="auto"/>
                <w:spacing w:val="0"/>
                <w:w w:val="100"/>
                <w:kern w:val="2"/>
                <w:sz w:val="24"/>
                <w:szCs w:val="24"/>
                <w:highlight w:val="none"/>
                <w:lang w:val="en-US" w:eastAsia="zh-Hans" w:bidi="ar-SA"/>
              </w:rPr>
              <w:t>完全响应招标文件</w:t>
            </w:r>
            <w:r>
              <w:rPr>
                <w:rStyle w:val="427"/>
                <w:rFonts w:hint="eastAsia" w:ascii="宋体" w:hAnsi="宋体" w:eastAsia="宋体" w:cs="宋体"/>
                <w:b w:val="0"/>
                <w:i w:val="0"/>
                <w:caps w:val="0"/>
                <w:color w:val="auto"/>
                <w:spacing w:val="0"/>
                <w:w w:val="100"/>
                <w:kern w:val="2"/>
                <w:sz w:val="24"/>
                <w:szCs w:val="24"/>
                <w:highlight w:val="none"/>
                <w:lang w:val="en-US" w:eastAsia="zh-CN" w:bidi="ar-SA"/>
              </w:rPr>
              <w:t>采购需求</w:t>
            </w:r>
            <w:r>
              <w:rPr>
                <w:rStyle w:val="427"/>
                <w:rFonts w:hint="eastAsia" w:ascii="宋体" w:hAnsi="宋体" w:eastAsia="宋体" w:cs="宋体"/>
                <w:b w:val="0"/>
                <w:i w:val="0"/>
                <w:caps w:val="0"/>
                <w:color w:val="auto"/>
                <w:spacing w:val="0"/>
                <w:w w:val="100"/>
                <w:kern w:val="2"/>
                <w:sz w:val="24"/>
                <w:szCs w:val="24"/>
                <w:highlight w:val="none"/>
                <w:lang w:val="en-US" w:eastAsia="zh-Hans" w:bidi="ar-SA"/>
              </w:rPr>
              <w:t>及要求的承诺</w:t>
            </w:r>
            <w:r>
              <w:rPr>
                <w:rStyle w:val="427"/>
                <w:rFonts w:hint="eastAsia" w:ascii="宋体" w:hAnsi="宋体" w:eastAsia="宋体" w:cs="宋体"/>
                <w:b w:val="0"/>
                <w:i w:val="0"/>
                <w:caps w:val="0"/>
                <w:color w:val="auto"/>
                <w:spacing w:val="0"/>
                <w:w w:val="100"/>
                <w:kern w:val="2"/>
                <w:sz w:val="24"/>
                <w:szCs w:val="24"/>
                <w:highlight w:val="none"/>
                <w:lang w:val="en-US" w:eastAsia="zh-CN" w:bidi="ar-SA"/>
              </w:rPr>
              <w:t>；</w:t>
            </w:r>
            <w:r>
              <w:rPr>
                <w:rStyle w:val="427"/>
                <w:rFonts w:hint="eastAsia" w:ascii="宋体" w:hAnsi="宋体" w:eastAsia="宋体" w:cs="宋体"/>
                <w:b w:val="0"/>
                <w:i w:val="0"/>
                <w:caps w:val="0"/>
                <w:color w:val="auto"/>
                <w:spacing w:val="0"/>
                <w:w w:val="100"/>
                <w:kern w:val="2"/>
                <w:sz w:val="24"/>
                <w:szCs w:val="24"/>
                <w:highlight w:val="none"/>
                <w:lang w:val="en-US" w:eastAsia="zh-Hans" w:bidi="ar-SA"/>
              </w:rPr>
              <w:fldChar w:fldCharType="begin"/>
            </w:r>
            <w:r>
              <w:rPr>
                <w:rStyle w:val="427"/>
                <w:rFonts w:hint="eastAsia" w:ascii="宋体" w:hAnsi="宋体" w:eastAsia="宋体" w:cs="宋体"/>
                <w:b w:val="0"/>
                <w:i w:val="0"/>
                <w:caps w:val="0"/>
                <w:color w:val="auto"/>
                <w:spacing w:val="0"/>
                <w:w w:val="100"/>
                <w:kern w:val="2"/>
                <w:sz w:val="24"/>
                <w:szCs w:val="24"/>
                <w:highlight w:val="none"/>
                <w:lang w:val="en-US" w:eastAsia="zh-Hans" w:bidi="ar-SA"/>
              </w:rPr>
              <w:instrText xml:space="preserve"> = 2 \* GB3 \* MERGEFORMAT </w:instrText>
            </w:r>
            <w:r>
              <w:rPr>
                <w:rStyle w:val="427"/>
                <w:rFonts w:hint="eastAsia" w:ascii="宋体" w:hAnsi="宋体" w:eastAsia="宋体" w:cs="宋体"/>
                <w:b w:val="0"/>
                <w:i w:val="0"/>
                <w:caps w:val="0"/>
                <w:color w:val="auto"/>
                <w:spacing w:val="0"/>
                <w:w w:val="100"/>
                <w:kern w:val="2"/>
                <w:sz w:val="24"/>
                <w:szCs w:val="24"/>
                <w:highlight w:val="none"/>
                <w:lang w:val="en-US" w:eastAsia="zh-Hans" w:bidi="ar-SA"/>
              </w:rPr>
              <w:fldChar w:fldCharType="separate"/>
            </w:r>
            <w:r>
              <w:rPr>
                <w:rFonts w:hint="eastAsia" w:ascii="宋体" w:hAnsi="宋体" w:eastAsia="宋体" w:cs="宋体"/>
                <w:color w:val="auto"/>
                <w:sz w:val="24"/>
                <w:szCs w:val="24"/>
                <w:highlight w:val="none"/>
              </w:rPr>
              <w:t>②</w:t>
            </w:r>
            <w:r>
              <w:rPr>
                <w:rStyle w:val="427"/>
                <w:rFonts w:hint="eastAsia" w:ascii="宋体" w:hAnsi="宋体" w:eastAsia="宋体" w:cs="宋体"/>
                <w:b w:val="0"/>
                <w:i w:val="0"/>
                <w:caps w:val="0"/>
                <w:color w:val="auto"/>
                <w:spacing w:val="0"/>
                <w:w w:val="100"/>
                <w:kern w:val="2"/>
                <w:sz w:val="24"/>
                <w:szCs w:val="24"/>
                <w:highlight w:val="none"/>
                <w:lang w:val="en-US" w:eastAsia="zh-Hans" w:bidi="ar-SA"/>
              </w:rPr>
              <w:fldChar w:fldCharType="end"/>
            </w:r>
            <w:r>
              <w:rPr>
                <w:rStyle w:val="427"/>
                <w:rFonts w:hint="eastAsia" w:ascii="宋体" w:hAnsi="宋体" w:eastAsia="宋体" w:cs="宋体"/>
                <w:b w:val="0"/>
                <w:i w:val="0"/>
                <w:caps w:val="0"/>
                <w:color w:val="auto"/>
                <w:spacing w:val="0"/>
                <w:w w:val="100"/>
                <w:kern w:val="2"/>
                <w:sz w:val="24"/>
                <w:szCs w:val="24"/>
                <w:highlight w:val="none"/>
                <w:lang w:val="en-US" w:eastAsia="zh-CN" w:bidi="ar-SA"/>
              </w:rPr>
              <w:t>、</w:t>
            </w:r>
            <w:r>
              <w:rPr>
                <w:rStyle w:val="427"/>
                <w:rFonts w:hint="eastAsia" w:ascii="宋体" w:hAnsi="宋体" w:eastAsia="宋体" w:cs="宋体"/>
                <w:b w:val="0"/>
                <w:i w:val="0"/>
                <w:caps w:val="0"/>
                <w:color w:val="auto"/>
                <w:spacing w:val="0"/>
                <w:w w:val="100"/>
                <w:kern w:val="2"/>
                <w:sz w:val="24"/>
                <w:szCs w:val="24"/>
                <w:highlight w:val="none"/>
                <w:lang w:val="en-US" w:eastAsia="zh-Hans" w:bidi="ar-SA"/>
              </w:rPr>
              <w:t>严格按照</w:t>
            </w:r>
            <w:r>
              <w:rPr>
                <w:rStyle w:val="427"/>
                <w:rFonts w:hint="eastAsia" w:ascii="宋体" w:hAnsi="宋体" w:eastAsia="宋体" w:cs="宋体"/>
                <w:b w:val="0"/>
                <w:i w:val="0"/>
                <w:caps w:val="0"/>
                <w:color w:val="auto"/>
                <w:spacing w:val="0"/>
                <w:w w:val="100"/>
                <w:kern w:val="2"/>
                <w:sz w:val="24"/>
                <w:szCs w:val="24"/>
                <w:highlight w:val="none"/>
                <w:lang w:val="en-US" w:eastAsia="zh-CN" w:bidi="ar-SA"/>
              </w:rPr>
              <w:t>实施措施</w:t>
            </w:r>
            <w:r>
              <w:rPr>
                <w:rStyle w:val="427"/>
                <w:rFonts w:hint="eastAsia" w:ascii="宋体" w:hAnsi="宋体" w:eastAsia="宋体" w:cs="宋体"/>
                <w:b w:val="0"/>
                <w:i w:val="0"/>
                <w:caps w:val="0"/>
                <w:color w:val="auto"/>
                <w:spacing w:val="0"/>
                <w:w w:val="100"/>
                <w:kern w:val="2"/>
                <w:sz w:val="24"/>
                <w:szCs w:val="24"/>
                <w:highlight w:val="none"/>
                <w:lang w:val="en-US" w:eastAsia="zh-Hans" w:bidi="ar-SA"/>
              </w:rPr>
              <w:t>方案执行并保证实现服务目标的承诺</w:t>
            </w:r>
            <w:r>
              <w:rPr>
                <w:rStyle w:val="427"/>
                <w:rFonts w:hint="eastAsia" w:ascii="宋体" w:hAnsi="宋体" w:eastAsia="宋体" w:cs="宋体"/>
                <w:b w:val="0"/>
                <w:i w:val="0"/>
                <w:caps w:val="0"/>
                <w:color w:val="auto"/>
                <w:spacing w:val="0"/>
                <w:w w:val="100"/>
                <w:kern w:val="2"/>
                <w:sz w:val="24"/>
                <w:szCs w:val="24"/>
                <w:highlight w:val="none"/>
                <w:lang w:val="en-US" w:eastAsia="zh-CN" w:bidi="ar-SA"/>
              </w:rPr>
              <w:t>。</w:t>
            </w:r>
            <w:r>
              <w:rPr>
                <w:rStyle w:val="427"/>
                <w:rFonts w:hint="eastAsia" w:ascii="宋体" w:hAnsi="宋体" w:eastAsia="宋体" w:cs="宋体"/>
                <w:b w:val="0"/>
                <w:i w:val="0"/>
                <w:caps w:val="0"/>
                <w:color w:val="auto"/>
                <w:spacing w:val="0"/>
                <w:w w:val="100"/>
                <w:kern w:val="2"/>
                <w:sz w:val="24"/>
                <w:szCs w:val="24"/>
                <w:highlight w:val="none"/>
                <w:lang w:val="en-US" w:eastAsia="zh-Hans" w:bidi="ar-SA"/>
              </w:rPr>
              <w:t>服务承诺全面、保障措施合理可行、遇到问题时响应速度迅速，得</w:t>
            </w:r>
            <w:r>
              <w:rPr>
                <w:rStyle w:val="427"/>
                <w:rFonts w:hint="eastAsia" w:ascii="宋体" w:hAnsi="宋体" w:eastAsia="宋体" w:cs="宋体"/>
                <w:b w:val="0"/>
                <w:i w:val="0"/>
                <w:caps w:val="0"/>
                <w:color w:val="auto"/>
                <w:spacing w:val="0"/>
                <w:w w:val="100"/>
                <w:kern w:val="2"/>
                <w:sz w:val="24"/>
                <w:szCs w:val="24"/>
                <w:highlight w:val="none"/>
                <w:lang w:val="en-US" w:eastAsia="zh-CN" w:bidi="ar-SA"/>
              </w:rPr>
              <w:t>5</w:t>
            </w:r>
            <w:r>
              <w:rPr>
                <w:rStyle w:val="427"/>
                <w:rFonts w:hint="eastAsia" w:ascii="宋体" w:hAnsi="宋体" w:eastAsia="宋体" w:cs="宋体"/>
                <w:b w:val="0"/>
                <w:i w:val="0"/>
                <w:caps w:val="0"/>
                <w:color w:val="auto"/>
                <w:spacing w:val="0"/>
                <w:w w:val="100"/>
                <w:kern w:val="2"/>
                <w:sz w:val="24"/>
                <w:szCs w:val="24"/>
                <w:highlight w:val="none"/>
                <w:lang w:val="en-US" w:eastAsia="zh-Hans" w:bidi="ar-SA"/>
              </w:rPr>
              <w:t>分；服务承诺完善，保障措施可行性一般，遇到问题时响应速度一般，得</w:t>
            </w:r>
            <w:r>
              <w:rPr>
                <w:rStyle w:val="427"/>
                <w:rFonts w:hint="eastAsia" w:ascii="宋体" w:hAnsi="宋体" w:eastAsia="宋体" w:cs="宋体"/>
                <w:b w:val="0"/>
                <w:i w:val="0"/>
                <w:caps w:val="0"/>
                <w:color w:val="auto"/>
                <w:spacing w:val="0"/>
                <w:w w:val="100"/>
                <w:kern w:val="2"/>
                <w:sz w:val="24"/>
                <w:szCs w:val="24"/>
                <w:highlight w:val="none"/>
                <w:lang w:val="en-US" w:eastAsia="zh-CN" w:bidi="ar-SA"/>
              </w:rPr>
              <w:t>3</w:t>
            </w:r>
            <w:r>
              <w:rPr>
                <w:rStyle w:val="427"/>
                <w:rFonts w:hint="eastAsia" w:ascii="宋体" w:hAnsi="宋体" w:eastAsia="宋体" w:cs="宋体"/>
                <w:b w:val="0"/>
                <w:i w:val="0"/>
                <w:caps w:val="0"/>
                <w:color w:val="auto"/>
                <w:spacing w:val="0"/>
                <w:w w:val="100"/>
                <w:kern w:val="2"/>
                <w:sz w:val="24"/>
                <w:szCs w:val="24"/>
                <w:highlight w:val="none"/>
                <w:lang w:val="en-US" w:eastAsia="zh-Hans" w:bidi="ar-SA"/>
              </w:rPr>
              <w:t>分；</w:t>
            </w:r>
          </w:p>
          <w:p w14:paraId="66914B6E">
            <w:pPr>
              <w:keepNext w:val="0"/>
              <w:keepLines w:val="0"/>
              <w:pageBreakBefore w:val="0"/>
              <w:widowControl w:val="0"/>
              <w:numPr>
                <w:ilvl w:val="0"/>
                <w:numId w:val="0"/>
              </w:numPr>
              <w:kinsoku/>
              <w:wordWrap/>
              <w:overflowPunct/>
              <w:topLinePunct w:val="0"/>
              <w:autoSpaceDE/>
              <w:autoSpaceDN/>
              <w:bidi w:val="0"/>
              <w:adjustRightInd w:val="0"/>
              <w:snapToGrid/>
              <w:spacing w:line="390" w:lineRule="exact"/>
              <w:textAlignment w:val="baseline"/>
              <w:rPr>
                <w:rStyle w:val="427"/>
                <w:rFonts w:hint="eastAsia" w:ascii="宋体" w:hAnsi="宋体" w:eastAsia="宋体" w:cs="宋体"/>
                <w:b w:val="0"/>
                <w:i w:val="0"/>
                <w:caps w:val="0"/>
                <w:color w:val="auto"/>
                <w:spacing w:val="0"/>
                <w:w w:val="100"/>
                <w:kern w:val="2"/>
                <w:sz w:val="24"/>
                <w:szCs w:val="24"/>
                <w:highlight w:val="none"/>
                <w:lang w:val="en-US" w:eastAsia="zh-CN" w:bidi="ar-SA"/>
              </w:rPr>
            </w:pPr>
            <w:r>
              <w:rPr>
                <w:rStyle w:val="427"/>
                <w:rFonts w:hint="eastAsia" w:ascii="宋体" w:hAnsi="宋体" w:eastAsia="宋体" w:cs="宋体"/>
                <w:b w:val="0"/>
                <w:i w:val="0"/>
                <w:caps w:val="0"/>
                <w:color w:val="auto"/>
                <w:spacing w:val="0"/>
                <w:w w:val="100"/>
                <w:kern w:val="2"/>
                <w:sz w:val="24"/>
                <w:szCs w:val="24"/>
                <w:highlight w:val="none"/>
                <w:lang w:val="en-US" w:eastAsia="zh-Hans" w:bidi="ar-SA"/>
              </w:rPr>
              <w:t>服务承诺较简单，保障措施可行性较差，遇到问题时响应速度较慢或未明确响应时间的，得</w:t>
            </w:r>
            <w:r>
              <w:rPr>
                <w:rStyle w:val="427"/>
                <w:rFonts w:hint="eastAsia" w:ascii="宋体" w:hAnsi="宋体" w:eastAsia="宋体" w:cs="宋体"/>
                <w:b w:val="0"/>
                <w:i w:val="0"/>
                <w:caps w:val="0"/>
                <w:color w:val="auto"/>
                <w:spacing w:val="0"/>
                <w:w w:val="100"/>
                <w:kern w:val="2"/>
                <w:sz w:val="24"/>
                <w:szCs w:val="24"/>
                <w:highlight w:val="none"/>
                <w:lang w:val="en-US" w:eastAsia="zh-CN" w:bidi="ar-SA"/>
              </w:rPr>
              <w:t>1</w:t>
            </w:r>
            <w:r>
              <w:rPr>
                <w:rStyle w:val="427"/>
                <w:rFonts w:hint="eastAsia" w:ascii="宋体" w:hAnsi="宋体" w:eastAsia="宋体" w:cs="宋体"/>
                <w:b w:val="0"/>
                <w:i w:val="0"/>
                <w:caps w:val="0"/>
                <w:color w:val="auto"/>
                <w:spacing w:val="0"/>
                <w:w w:val="100"/>
                <w:kern w:val="2"/>
                <w:sz w:val="24"/>
                <w:szCs w:val="24"/>
                <w:highlight w:val="none"/>
                <w:lang w:val="en-US" w:eastAsia="zh-Hans" w:bidi="ar-SA"/>
              </w:rPr>
              <w:t>分</w:t>
            </w:r>
            <w:r>
              <w:rPr>
                <w:rStyle w:val="427"/>
                <w:rFonts w:hint="eastAsia" w:ascii="宋体" w:hAnsi="宋体" w:eastAsia="宋体" w:cs="宋体"/>
                <w:b w:val="0"/>
                <w:i w:val="0"/>
                <w:caps w:val="0"/>
                <w:color w:val="auto"/>
                <w:spacing w:val="0"/>
                <w:w w:val="100"/>
                <w:kern w:val="2"/>
                <w:sz w:val="24"/>
                <w:szCs w:val="24"/>
                <w:highlight w:val="none"/>
                <w:lang w:val="en-US" w:eastAsia="zh-CN" w:bidi="ar-SA"/>
              </w:rPr>
              <w:t>。</w:t>
            </w:r>
          </w:p>
          <w:p w14:paraId="064B77F4">
            <w:pPr>
              <w:keepNext w:val="0"/>
              <w:keepLines w:val="0"/>
              <w:pageBreakBefore w:val="0"/>
              <w:widowControl w:val="0"/>
              <w:numPr>
                <w:ilvl w:val="0"/>
                <w:numId w:val="0"/>
              </w:numPr>
              <w:kinsoku/>
              <w:wordWrap/>
              <w:overflowPunct/>
              <w:topLinePunct w:val="0"/>
              <w:autoSpaceDE/>
              <w:autoSpaceDN/>
              <w:bidi w:val="0"/>
              <w:adjustRightInd w:val="0"/>
              <w:snapToGrid/>
              <w:spacing w:line="390" w:lineRule="exact"/>
              <w:textAlignment w:val="baseline"/>
              <w:rPr>
                <w:rStyle w:val="427"/>
                <w:rFonts w:hint="eastAsia" w:ascii="宋体" w:hAnsi="宋体" w:eastAsia="宋体" w:cs="宋体"/>
                <w:b w:val="0"/>
                <w:i w:val="0"/>
                <w:caps w:val="0"/>
                <w:color w:val="auto"/>
                <w:spacing w:val="0"/>
                <w:w w:val="100"/>
                <w:kern w:val="2"/>
                <w:sz w:val="24"/>
                <w:szCs w:val="24"/>
                <w:highlight w:val="none"/>
                <w:lang w:val="en-US" w:eastAsia="zh-Hans" w:bidi="ar-SA"/>
              </w:rPr>
            </w:pPr>
            <w:r>
              <w:rPr>
                <w:rFonts w:hint="eastAsia" w:ascii="宋体" w:hAnsi="宋体" w:eastAsia="宋体" w:cs="宋体"/>
                <w:i w:val="0"/>
                <w:iCs w:val="0"/>
                <w:color w:val="auto"/>
                <w:kern w:val="0"/>
                <w:sz w:val="24"/>
                <w:szCs w:val="24"/>
                <w:highlight w:val="none"/>
                <w:u w:val="none"/>
                <w:lang w:val="en-US" w:eastAsia="zh-CN" w:bidi="ar"/>
              </w:rPr>
              <w:t>未提供的不得分。</w:t>
            </w:r>
          </w:p>
        </w:tc>
        <w:tc>
          <w:tcPr>
            <w:tcW w:w="1105" w:type="dxa"/>
            <w:vAlign w:val="center"/>
          </w:tcPr>
          <w:p w14:paraId="07E6D49A">
            <w:pPr>
              <w:tabs>
                <w:tab w:val="left" w:pos="-94"/>
                <w:tab w:val="left" w:pos="1620"/>
              </w:tabs>
              <w:adjustRightInd w:val="0"/>
              <w:snapToGrid w:val="0"/>
              <w:jc w:val="center"/>
              <w:textAlignment w:val="baseline"/>
              <w:outlineLvl w:val="9"/>
              <w:rPr>
                <w:rFonts w:hint="eastAsia" w:ascii="宋体" w:hAnsi="宋体" w:eastAsia="宋体" w:cs="宋体"/>
                <w:color w:val="auto"/>
                <w:sz w:val="24"/>
                <w:szCs w:val="24"/>
                <w:highlight w:val="none"/>
              </w:rPr>
            </w:pPr>
          </w:p>
        </w:tc>
      </w:tr>
      <w:tr w14:paraId="5112E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9" w:type="dxa"/>
            <w:vAlign w:val="center"/>
          </w:tcPr>
          <w:p w14:paraId="2D2CCEA3">
            <w:pPr>
              <w:keepNext w:val="0"/>
              <w:keepLines w:val="0"/>
              <w:widowControl/>
              <w:suppressLineNumbers w:val="0"/>
              <w:jc w:val="center"/>
              <w:textAlignment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14</w:t>
            </w:r>
          </w:p>
        </w:tc>
        <w:tc>
          <w:tcPr>
            <w:tcW w:w="1656" w:type="dxa"/>
            <w:vAlign w:val="center"/>
          </w:tcPr>
          <w:p w14:paraId="2147042D">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报价得分</w:t>
            </w:r>
          </w:p>
        </w:tc>
        <w:tc>
          <w:tcPr>
            <w:tcW w:w="1106" w:type="dxa"/>
            <w:vAlign w:val="center"/>
          </w:tcPr>
          <w:p w14:paraId="7FCEA9F7">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5526" w:type="dxa"/>
            <w:vAlign w:val="center"/>
          </w:tcPr>
          <w:p w14:paraId="4263CB03">
            <w:pPr>
              <w:keepNext w:val="0"/>
              <w:keepLines w:val="0"/>
              <w:pageBreakBefore w:val="0"/>
              <w:widowControl w:val="0"/>
              <w:numPr>
                <w:ilvl w:val="0"/>
                <w:numId w:val="10"/>
              </w:numPr>
              <w:kinsoku/>
              <w:wordWrap/>
              <w:overflowPunct/>
              <w:topLinePunct w:val="0"/>
              <w:autoSpaceDE/>
              <w:autoSpaceDN/>
              <w:bidi w:val="0"/>
              <w:adjustRightInd w:val="0"/>
              <w:snapToGrid/>
              <w:spacing w:line="390" w:lineRule="exact"/>
              <w:textAlignment w:val="baseline"/>
              <w:rPr>
                <w:rStyle w:val="427"/>
                <w:rFonts w:hint="eastAsia" w:ascii="宋体" w:hAnsi="宋体" w:eastAsia="宋体" w:cs="宋体"/>
                <w:b w:val="0"/>
                <w:i w:val="0"/>
                <w:caps w:val="0"/>
                <w:color w:val="auto"/>
                <w:spacing w:val="0"/>
                <w:w w:val="100"/>
                <w:kern w:val="2"/>
                <w:sz w:val="24"/>
                <w:szCs w:val="24"/>
                <w:highlight w:val="none"/>
                <w:lang w:val="en-US" w:eastAsia="zh-CN" w:bidi="ar-SA"/>
              </w:rPr>
            </w:pPr>
            <w:r>
              <w:rPr>
                <w:rStyle w:val="427"/>
                <w:rFonts w:hint="eastAsia" w:ascii="宋体" w:hAnsi="宋体" w:eastAsia="宋体" w:cs="宋体"/>
                <w:b w:val="0"/>
                <w:i w:val="0"/>
                <w:caps w:val="0"/>
                <w:color w:val="auto"/>
                <w:spacing w:val="0"/>
                <w:w w:val="100"/>
                <w:kern w:val="2"/>
                <w:sz w:val="24"/>
                <w:szCs w:val="24"/>
                <w:highlight w:val="none"/>
                <w:lang w:val="en-US" w:eastAsia="zh-Hans" w:bidi="ar-SA"/>
              </w:rPr>
              <w:t>投标报价得分=(评标基准价／投标报价)×</w:t>
            </w:r>
            <w:r>
              <w:rPr>
                <w:rStyle w:val="427"/>
                <w:rFonts w:hint="eastAsia" w:ascii="宋体" w:hAnsi="宋体" w:eastAsia="宋体" w:cs="宋体"/>
                <w:b w:val="0"/>
                <w:i w:val="0"/>
                <w:caps w:val="0"/>
                <w:color w:val="auto"/>
                <w:spacing w:val="0"/>
                <w:w w:val="100"/>
                <w:kern w:val="2"/>
                <w:sz w:val="24"/>
                <w:szCs w:val="24"/>
                <w:highlight w:val="none"/>
                <w:lang w:val="en-US" w:eastAsia="zh-CN" w:bidi="ar-SA"/>
              </w:rPr>
              <w:t>报价最高分值；</w:t>
            </w:r>
          </w:p>
          <w:p w14:paraId="180C78F5">
            <w:pPr>
              <w:keepNext w:val="0"/>
              <w:keepLines w:val="0"/>
              <w:pageBreakBefore w:val="0"/>
              <w:widowControl w:val="0"/>
              <w:numPr>
                <w:ilvl w:val="0"/>
                <w:numId w:val="10"/>
              </w:numPr>
              <w:kinsoku/>
              <w:wordWrap/>
              <w:overflowPunct/>
              <w:topLinePunct w:val="0"/>
              <w:autoSpaceDE/>
              <w:autoSpaceDN/>
              <w:bidi w:val="0"/>
              <w:adjustRightInd w:val="0"/>
              <w:snapToGrid/>
              <w:spacing w:line="390" w:lineRule="exact"/>
              <w:textAlignment w:val="baseline"/>
              <w:rPr>
                <w:rStyle w:val="427"/>
                <w:rFonts w:hint="eastAsia" w:ascii="宋体" w:hAnsi="宋体" w:eastAsia="宋体" w:cs="宋体"/>
                <w:b w:val="0"/>
                <w:i w:val="0"/>
                <w:caps w:val="0"/>
                <w:color w:val="auto"/>
                <w:spacing w:val="0"/>
                <w:w w:val="100"/>
                <w:kern w:val="2"/>
                <w:sz w:val="24"/>
                <w:szCs w:val="24"/>
                <w:highlight w:val="none"/>
                <w:lang w:val="en-US" w:eastAsia="zh-CN" w:bidi="ar-SA"/>
              </w:rPr>
            </w:pPr>
            <w:r>
              <w:rPr>
                <w:rStyle w:val="427"/>
                <w:rFonts w:hint="eastAsia" w:ascii="宋体" w:hAnsi="宋体" w:eastAsia="宋体" w:cs="宋体"/>
                <w:b w:val="0"/>
                <w:i w:val="0"/>
                <w:caps w:val="0"/>
                <w:color w:val="auto"/>
                <w:spacing w:val="0"/>
                <w:w w:val="100"/>
                <w:kern w:val="2"/>
                <w:sz w:val="24"/>
                <w:szCs w:val="24"/>
                <w:highlight w:val="none"/>
                <w:lang w:val="en-US" w:eastAsia="zh-Hans" w:bidi="ar-SA"/>
              </w:rPr>
              <w:t>价格评分采用低价优先法计算</w:t>
            </w:r>
            <w:r>
              <w:rPr>
                <w:rStyle w:val="427"/>
                <w:rFonts w:hint="eastAsia" w:ascii="宋体" w:hAnsi="宋体" w:eastAsia="宋体" w:cs="宋体"/>
                <w:b w:val="0"/>
                <w:i w:val="0"/>
                <w:caps w:val="0"/>
                <w:color w:val="auto"/>
                <w:spacing w:val="0"/>
                <w:w w:val="100"/>
                <w:kern w:val="2"/>
                <w:sz w:val="24"/>
                <w:szCs w:val="24"/>
                <w:highlight w:val="none"/>
                <w:lang w:val="en-US" w:eastAsia="zh-CN" w:bidi="ar-SA"/>
              </w:rPr>
              <w:t>，</w:t>
            </w:r>
            <w:r>
              <w:rPr>
                <w:rStyle w:val="427"/>
                <w:rFonts w:hint="eastAsia" w:ascii="宋体" w:hAnsi="宋体" w:eastAsia="宋体" w:cs="宋体"/>
                <w:b w:val="0"/>
                <w:i w:val="0"/>
                <w:caps w:val="0"/>
                <w:color w:val="auto"/>
                <w:spacing w:val="0"/>
                <w:w w:val="100"/>
                <w:kern w:val="2"/>
                <w:sz w:val="24"/>
                <w:szCs w:val="24"/>
                <w:highlight w:val="none"/>
                <w:lang w:val="en-US" w:eastAsia="zh-Hans" w:bidi="ar-SA"/>
              </w:rPr>
              <w:t>评标基准价：满足</w:t>
            </w:r>
            <w:r>
              <w:rPr>
                <w:rStyle w:val="427"/>
                <w:rFonts w:hint="eastAsia" w:ascii="宋体" w:hAnsi="宋体" w:eastAsia="宋体" w:cs="宋体"/>
                <w:b w:val="0"/>
                <w:i w:val="0"/>
                <w:caps w:val="0"/>
                <w:color w:val="auto"/>
                <w:spacing w:val="0"/>
                <w:w w:val="100"/>
                <w:kern w:val="2"/>
                <w:sz w:val="24"/>
                <w:szCs w:val="24"/>
                <w:highlight w:val="none"/>
                <w:lang w:val="en-US" w:eastAsia="zh-CN" w:bidi="ar-SA"/>
              </w:rPr>
              <w:t>招标</w:t>
            </w:r>
            <w:r>
              <w:rPr>
                <w:rStyle w:val="427"/>
                <w:rFonts w:hint="eastAsia" w:ascii="宋体" w:hAnsi="宋体" w:eastAsia="宋体" w:cs="宋体"/>
                <w:b w:val="0"/>
                <w:i w:val="0"/>
                <w:caps w:val="0"/>
                <w:color w:val="auto"/>
                <w:spacing w:val="0"/>
                <w:w w:val="100"/>
                <w:kern w:val="2"/>
                <w:sz w:val="24"/>
                <w:szCs w:val="24"/>
                <w:highlight w:val="none"/>
                <w:lang w:val="en-US" w:eastAsia="zh-Hans" w:bidi="ar-SA"/>
              </w:rPr>
              <w:t>文件要求且经算术修正后的最低报价为评标基准价；</w:t>
            </w:r>
          </w:p>
          <w:p w14:paraId="3E756F05">
            <w:pPr>
              <w:keepNext w:val="0"/>
              <w:keepLines w:val="0"/>
              <w:pageBreakBefore w:val="0"/>
              <w:widowControl w:val="0"/>
              <w:numPr>
                <w:ilvl w:val="0"/>
                <w:numId w:val="0"/>
              </w:numPr>
              <w:kinsoku/>
              <w:wordWrap/>
              <w:overflowPunct/>
              <w:topLinePunct w:val="0"/>
              <w:autoSpaceDE/>
              <w:autoSpaceDN/>
              <w:bidi w:val="0"/>
              <w:adjustRightInd w:val="0"/>
              <w:snapToGrid/>
              <w:spacing w:line="390" w:lineRule="exact"/>
              <w:textAlignment w:val="baseline"/>
              <w:rPr>
                <w:rStyle w:val="427"/>
                <w:rFonts w:hint="eastAsia" w:ascii="宋体" w:hAnsi="宋体" w:eastAsia="宋体" w:cs="宋体"/>
                <w:b w:val="0"/>
                <w:i w:val="0"/>
                <w:caps w:val="0"/>
                <w:color w:val="auto"/>
                <w:spacing w:val="0"/>
                <w:w w:val="100"/>
                <w:kern w:val="2"/>
                <w:sz w:val="24"/>
                <w:szCs w:val="24"/>
                <w:highlight w:val="none"/>
                <w:lang w:val="en-US" w:eastAsia="zh-CN" w:bidi="ar-SA"/>
              </w:rPr>
            </w:pPr>
            <w:r>
              <w:rPr>
                <w:rStyle w:val="427"/>
                <w:rFonts w:hint="eastAsia" w:ascii="宋体" w:hAnsi="宋体" w:eastAsia="宋体" w:cs="宋体"/>
                <w:b w:val="0"/>
                <w:i w:val="0"/>
                <w:caps w:val="0"/>
                <w:color w:val="auto"/>
                <w:spacing w:val="0"/>
                <w:w w:val="100"/>
                <w:kern w:val="2"/>
                <w:sz w:val="24"/>
                <w:szCs w:val="24"/>
                <w:highlight w:val="none"/>
                <w:lang w:val="en-US" w:eastAsia="zh-CN" w:bidi="ar-SA"/>
              </w:rPr>
              <w:t>3、</w:t>
            </w:r>
            <w:r>
              <w:rPr>
                <w:rStyle w:val="427"/>
                <w:rFonts w:hint="eastAsia" w:ascii="宋体" w:hAnsi="宋体" w:eastAsia="宋体" w:cs="宋体"/>
                <w:b w:val="0"/>
                <w:i w:val="0"/>
                <w:caps w:val="0"/>
                <w:color w:val="auto"/>
                <w:spacing w:val="0"/>
                <w:w w:val="100"/>
                <w:kern w:val="2"/>
                <w:sz w:val="24"/>
                <w:szCs w:val="24"/>
                <w:highlight w:val="none"/>
                <w:lang w:val="en-US" w:eastAsia="zh-Hans" w:bidi="ar-SA"/>
              </w:rPr>
              <w:t>根据《关于印发政府采购促进中小企业发展管理办法的通知》（财库[2020]46号文）、《关于进一步加大政府采购支持中小企业力度的通知》（财库〔2022〕19号）规定要求，给予小型和微型企业产品或服务的价格给予10%-20%的扣除，用扣除后的价格参与评审（监狱企业、残疾人福利性质单位视同为小微企业）。本项目具体扣除优惠为：10%。</w:t>
            </w:r>
            <w:r>
              <w:rPr>
                <w:rStyle w:val="427"/>
                <w:rFonts w:hint="eastAsia" w:ascii="宋体" w:hAnsi="宋体" w:eastAsia="宋体" w:cs="宋体"/>
                <w:b w:val="0"/>
                <w:i w:val="0"/>
                <w:caps w:val="0"/>
                <w:color w:val="auto"/>
                <w:spacing w:val="0"/>
                <w:w w:val="100"/>
                <w:kern w:val="2"/>
                <w:sz w:val="24"/>
                <w:szCs w:val="24"/>
                <w:highlight w:val="none"/>
                <w:lang w:val="en-US" w:eastAsia="zh-CN" w:bidi="ar-SA"/>
              </w:rPr>
              <w:t>用扣除后的价格参与评审。</w:t>
            </w:r>
          </w:p>
        </w:tc>
        <w:tc>
          <w:tcPr>
            <w:tcW w:w="1105" w:type="dxa"/>
            <w:vAlign w:val="center"/>
          </w:tcPr>
          <w:p w14:paraId="07A7D4F4">
            <w:pPr>
              <w:keepNext w:val="0"/>
              <w:keepLines w:val="0"/>
              <w:pageBreakBefore w:val="0"/>
              <w:widowControl w:val="0"/>
              <w:numPr>
                <w:ilvl w:val="0"/>
                <w:numId w:val="0"/>
              </w:numPr>
              <w:kinsoku/>
              <w:wordWrap/>
              <w:overflowPunct/>
              <w:topLinePunct w:val="0"/>
              <w:autoSpaceDE/>
              <w:autoSpaceDN/>
              <w:bidi w:val="0"/>
              <w:adjustRightInd w:val="0"/>
              <w:spacing w:line="300" w:lineRule="exact"/>
              <w:textAlignment w:val="baseline"/>
              <w:rPr>
                <w:rStyle w:val="427"/>
                <w:rFonts w:hint="eastAsia" w:ascii="宋体" w:hAnsi="宋体" w:eastAsia="宋体" w:cs="宋体"/>
                <w:b w:val="0"/>
                <w:i w:val="0"/>
                <w:caps w:val="0"/>
                <w:color w:val="auto"/>
                <w:spacing w:val="0"/>
                <w:w w:val="100"/>
                <w:kern w:val="2"/>
                <w:sz w:val="24"/>
                <w:szCs w:val="24"/>
                <w:highlight w:val="none"/>
                <w:lang w:val="en-US" w:eastAsia="zh-Hans" w:bidi="ar-SA"/>
              </w:rPr>
            </w:pPr>
          </w:p>
        </w:tc>
      </w:tr>
      <w:bookmarkEnd w:id="159"/>
    </w:tbl>
    <w:p w14:paraId="2B016979">
      <w:pPr>
        <w:rPr>
          <w:rFonts w:hint="eastAsia" w:ascii="宋体" w:hAnsi="宋体" w:cs="黑体"/>
          <w:color w:val="auto"/>
          <w:kern w:val="0"/>
          <w:sz w:val="32"/>
          <w:szCs w:val="32"/>
          <w:lang w:val="en-US" w:eastAsia="zh-CN"/>
        </w:rPr>
      </w:pPr>
      <w:bookmarkStart w:id="160" w:name="_Toc9913"/>
      <w:bookmarkStart w:id="161" w:name="_Toc970"/>
      <w:bookmarkStart w:id="162" w:name="_Toc27964"/>
      <w:r>
        <w:rPr>
          <w:rFonts w:hint="eastAsia" w:ascii="宋体" w:hAnsi="宋体" w:cs="黑体"/>
          <w:color w:val="auto"/>
          <w:kern w:val="0"/>
          <w:sz w:val="32"/>
          <w:szCs w:val="32"/>
          <w:lang w:val="en-US" w:eastAsia="zh-CN"/>
        </w:rPr>
        <w:br w:type="page"/>
      </w:r>
    </w:p>
    <w:p w14:paraId="4FB599A4">
      <w:pPr>
        <w:autoSpaceDE w:val="0"/>
        <w:autoSpaceDN w:val="0"/>
        <w:adjustRightInd w:val="0"/>
        <w:snapToGrid w:val="0"/>
        <w:spacing w:afterLines="50"/>
        <w:jc w:val="center"/>
        <w:outlineLvl w:val="0"/>
        <w:rPr>
          <w:rFonts w:hint="eastAsia" w:ascii="宋体" w:hAnsi="宋体" w:cs="黑体"/>
          <w:color w:val="auto"/>
          <w:kern w:val="0"/>
          <w:sz w:val="32"/>
          <w:szCs w:val="32"/>
          <w:lang w:val="en-US" w:eastAsia="zh-CN"/>
        </w:rPr>
      </w:pPr>
      <w:r>
        <w:rPr>
          <w:rFonts w:hint="eastAsia" w:ascii="宋体" w:hAnsi="宋体" w:cs="黑体"/>
          <w:color w:val="auto"/>
          <w:kern w:val="0"/>
          <w:sz w:val="32"/>
          <w:szCs w:val="32"/>
          <w:lang w:val="en-US" w:eastAsia="zh-CN"/>
        </w:rPr>
        <w:t>第四章 合同条款</w:t>
      </w:r>
      <w:bookmarkEnd w:id="160"/>
      <w:bookmarkEnd w:id="161"/>
      <w:bookmarkEnd w:id="162"/>
    </w:p>
    <w:p w14:paraId="45CF4588">
      <w:pPr>
        <w:snapToGrid w:val="0"/>
        <w:spacing w:line="360" w:lineRule="auto"/>
        <w:jc w:val="center"/>
        <w:rPr>
          <w:rFonts w:ascii="宋体" w:hAnsi="宋体" w:cs="宋体"/>
          <w:color w:val="auto"/>
          <w:highlight w:val="none"/>
        </w:rPr>
      </w:pPr>
      <w:r>
        <w:rPr>
          <w:rFonts w:hint="eastAsia" w:ascii="宋体" w:hAnsi="宋体" w:cs="宋体"/>
          <w:color w:val="auto"/>
          <w:highlight w:val="none"/>
        </w:rPr>
        <w:t>（所提供为合同条款</w:t>
      </w:r>
      <w:r>
        <w:rPr>
          <w:rFonts w:hint="eastAsia" w:ascii="宋体" w:hAnsi="宋体" w:cs="宋体"/>
          <w:color w:val="auto"/>
          <w:highlight w:val="none"/>
          <w:lang w:val="en-US" w:eastAsia="zh-CN"/>
        </w:rPr>
        <w:t>参考</w:t>
      </w:r>
      <w:r>
        <w:rPr>
          <w:rFonts w:hint="eastAsia" w:ascii="宋体" w:hAnsi="宋体" w:cs="宋体"/>
          <w:color w:val="auto"/>
          <w:highlight w:val="none"/>
        </w:rPr>
        <w:t>格式，</w:t>
      </w:r>
      <w:r>
        <w:rPr>
          <w:rFonts w:hint="eastAsia" w:ascii="宋体" w:hAnsi="宋体" w:cs="宋体"/>
          <w:color w:val="auto"/>
          <w:highlight w:val="none"/>
          <w:lang w:val="en-US" w:eastAsia="zh-CN"/>
        </w:rPr>
        <w:t>最终以实际签订合同为准</w:t>
      </w:r>
      <w:r>
        <w:rPr>
          <w:rFonts w:hint="eastAsia" w:ascii="宋体" w:hAnsi="宋体" w:cs="宋体"/>
          <w:color w:val="auto"/>
          <w:highlight w:val="none"/>
        </w:rPr>
        <w:t>）</w:t>
      </w:r>
    </w:p>
    <w:p w14:paraId="4867B8B7">
      <w:pPr>
        <w:snapToGrid w:val="0"/>
        <w:spacing w:line="360" w:lineRule="auto"/>
        <w:jc w:val="center"/>
        <w:outlineLvl w:val="1"/>
        <w:rPr>
          <w:rFonts w:hint="eastAsia" w:ascii="方正小标宋简体" w:eastAsia="方正小标宋简体" w:cs="方正小标宋简体"/>
          <w:color w:val="auto"/>
          <w:sz w:val="48"/>
          <w:szCs w:val="48"/>
          <w:u w:val="single"/>
          <w:lang w:eastAsia="zh-CN"/>
        </w:rPr>
      </w:pPr>
      <w:bookmarkStart w:id="163" w:name="_Toc23860"/>
      <w:bookmarkStart w:id="164" w:name="_Toc30677"/>
    </w:p>
    <w:p w14:paraId="53ED3DB7">
      <w:pPr>
        <w:snapToGrid w:val="0"/>
        <w:spacing w:line="360" w:lineRule="auto"/>
        <w:jc w:val="center"/>
        <w:outlineLvl w:val="1"/>
        <w:rPr>
          <w:rFonts w:hint="eastAsia" w:ascii="方正小标宋简体" w:eastAsia="方正小标宋简体" w:cs="方正小标宋简体"/>
          <w:color w:val="auto"/>
          <w:sz w:val="48"/>
          <w:szCs w:val="48"/>
          <w:u w:val="single"/>
          <w:lang w:eastAsia="zh-CN"/>
        </w:rPr>
      </w:pPr>
    </w:p>
    <w:p w14:paraId="768B5AD4">
      <w:pPr>
        <w:snapToGrid w:val="0"/>
        <w:spacing w:line="360" w:lineRule="auto"/>
        <w:jc w:val="center"/>
        <w:outlineLvl w:val="1"/>
        <w:rPr>
          <w:rFonts w:hint="eastAsia" w:ascii="方正小标宋简体" w:eastAsia="方正小标宋简体" w:cs="方正小标宋简体"/>
          <w:color w:val="auto"/>
          <w:sz w:val="48"/>
          <w:szCs w:val="48"/>
          <w:u w:val="single"/>
          <w:lang w:eastAsia="zh-CN"/>
        </w:rPr>
      </w:pPr>
    </w:p>
    <w:p w14:paraId="7609D509">
      <w:pPr>
        <w:snapToGrid w:val="0"/>
        <w:spacing w:line="360" w:lineRule="auto"/>
        <w:jc w:val="center"/>
        <w:outlineLvl w:val="1"/>
        <w:rPr>
          <w:rFonts w:hint="eastAsia" w:ascii="方正小标宋简体" w:eastAsia="方正小标宋简体" w:cs="方正小标宋简体"/>
          <w:color w:val="auto"/>
          <w:sz w:val="48"/>
          <w:szCs w:val="48"/>
          <w:u w:val="single"/>
          <w:lang w:val="en-US" w:eastAsia="zh-CN"/>
        </w:rPr>
      </w:pPr>
      <w:r>
        <w:rPr>
          <w:rFonts w:hint="eastAsia" w:ascii="方正小标宋简体" w:eastAsia="方正小标宋简体" w:cs="方正小标宋简体"/>
          <w:color w:val="auto"/>
          <w:sz w:val="48"/>
          <w:szCs w:val="48"/>
          <w:u w:val="single"/>
          <w:lang w:val="en-US" w:eastAsia="zh-CN"/>
        </w:rPr>
        <w:t>昌吉市城市管理系统政府购买服务</w:t>
      </w:r>
    </w:p>
    <w:p w14:paraId="00886577">
      <w:pPr>
        <w:snapToGrid w:val="0"/>
        <w:spacing w:line="360" w:lineRule="auto"/>
        <w:jc w:val="center"/>
        <w:outlineLvl w:val="1"/>
        <w:rPr>
          <w:rFonts w:ascii="方正小标宋简体" w:eastAsia="方正小标宋简体" w:cs="Times New Roman"/>
          <w:color w:val="auto"/>
          <w:sz w:val="48"/>
          <w:szCs w:val="48"/>
        </w:rPr>
      </w:pPr>
      <w:r>
        <w:rPr>
          <w:rFonts w:hint="eastAsia" w:ascii="方正小标宋简体" w:eastAsia="方正小标宋简体" w:cs="方正小标宋简体"/>
          <w:color w:val="auto"/>
          <w:sz w:val="48"/>
          <w:szCs w:val="48"/>
        </w:rPr>
        <w:t>合同</w:t>
      </w:r>
      <w:bookmarkEnd w:id="163"/>
      <w:bookmarkEnd w:id="164"/>
    </w:p>
    <w:p w14:paraId="13A9D396">
      <w:pPr>
        <w:snapToGrid w:val="0"/>
        <w:spacing w:line="360" w:lineRule="auto"/>
        <w:jc w:val="both"/>
        <w:rPr>
          <w:rFonts w:ascii="方正楷体简体" w:eastAsia="方正楷体简体" w:cs="Times New Roman"/>
          <w:color w:val="auto"/>
          <w:sz w:val="84"/>
          <w:szCs w:val="84"/>
        </w:rPr>
      </w:pPr>
    </w:p>
    <w:p w14:paraId="23B33AFE">
      <w:pPr>
        <w:snapToGrid w:val="0"/>
        <w:spacing w:line="400" w:lineRule="exact"/>
        <w:jc w:val="both"/>
        <w:rPr>
          <w:rFonts w:ascii="方正楷体简体" w:eastAsia="方正楷体简体" w:cs="Times New Roman"/>
          <w:color w:val="auto"/>
          <w:sz w:val="84"/>
          <w:szCs w:val="84"/>
        </w:rPr>
      </w:pPr>
    </w:p>
    <w:p w14:paraId="74322D13">
      <w:pPr>
        <w:snapToGrid w:val="0"/>
        <w:spacing w:line="400" w:lineRule="exact"/>
        <w:jc w:val="both"/>
        <w:rPr>
          <w:rFonts w:ascii="方正楷体简体" w:eastAsia="方正楷体简体" w:cs="Times New Roman"/>
          <w:color w:val="auto"/>
          <w:sz w:val="84"/>
          <w:szCs w:val="84"/>
        </w:rPr>
      </w:pPr>
    </w:p>
    <w:p w14:paraId="318C91B5">
      <w:pPr>
        <w:snapToGrid w:val="0"/>
        <w:spacing w:line="400" w:lineRule="exact"/>
        <w:jc w:val="both"/>
        <w:rPr>
          <w:rFonts w:ascii="楷体_GB2312" w:hAnsi="楷体_GB2312" w:eastAsia="楷体_GB2312" w:cs="Times New Roman"/>
          <w:color w:val="auto"/>
          <w:sz w:val="32"/>
          <w:szCs w:val="32"/>
        </w:rPr>
      </w:pPr>
    </w:p>
    <w:p w14:paraId="7323F2E2">
      <w:pPr>
        <w:snapToGrid w:val="0"/>
        <w:spacing w:line="400" w:lineRule="exact"/>
        <w:jc w:val="both"/>
        <w:rPr>
          <w:rFonts w:ascii="楷体_GB2312" w:hAnsi="楷体_GB2312" w:eastAsia="楷体_GB2312" w:cs="Times New Roman"/>
          <w:color w:val="auto"/>
          <w:sz w:val="32"/>
          <w:szCs w:val="32"/>
        </w:rPr>
      </w:pPr>
    </w:p>
    <w:p w14:paraId="6E67FF8B">
      <w:pPr>
        <w:snapToGrid w:val="0"/>
        <w:spacing w:line="400" w:lineRule="exact"/>
        <w:jc w:val="both"/>
        <w:rPr>
          <w:rFonts w:ascii="楷体_GB2312" w:hAnsi="楷体_GB2312" w:eastAsia="楷体_GB2312" w:cs="Times New Roman"/>
          <w:color w:val="auto"/>
          <w:sz w:val="32"/>
          <w:szCs w:val="32"/>
        </w:rPr>
      </w:pPr>
    </w:p>
    <w:p w14:paraId="7686C26C">
      <w:pPr>
        <w:snapToGrid w:val="0"/>
        <w:spacing w:line="400" w:lineRule="exact"/>
        <w:ind w:firstLine="960" w:firstLineChars="300"/>
        <w:jc w:val="both"/>
        <w:rPr>
          <w:rFonts w:ascii="楷体_GB2312" w:hAnsi="楷体_GB2312" w:eastAsia="楷体_GB2312" w:cs="Times New Roman"/>
          <w:color w:val="auto"/>
          <w:sz w:val="32"/>
          <w:szCs w:val="32"/>
        </w:rPr>
      </w:pPr>
    </w:p>
    <w:p w14:paraId="138EE78D">
      <w:pPr>
        <w:snapToGrid w:val="0"/>
        <w:spacing w:line="400" w:lineRule="exact"/>
        <w:jc w:val="both"/>
        <w:rPr>
          <w:rFonts w:ascii="方正楷体简体" w:eastAsia="方正楷体简体" w:cs="Times New Roman"/>
          <w:color w:val="auto"/>
          <w:sz w:val="32"/>
          <w:szCs w:val="32"/>
        </w:rPr>
      </w:pPr>
    </w:p>
    <w:p w14:paraId="5D9D983C">
      <w:pPr>
        <w:snapToGrid w:val="0"/>
        <w:spacing w:line="400" w:lineRule="exact"/>
        <w:jc w:val="both"/>
        <w:rPr>
          <w:rFonts w:ascii="方正楷体简体" w:eastAsia="方正楷体简体" w:cs="Times New Roman"/>
          <w:color w:val="auto"/>
          <w:sz w:val="32"/>
          <w:szCs w:val="32"/>
        </w:rPr>
      </w:pPr>
    </w:p>
    <w:p w14:paraId="4FA65F2F">
      <w:pPr>
        <w:snapToGrid w:val="0"/>
        <w:spacing w:line="400" w:lineRule="exact"/>
        <w:rPr>
          <w:rFonts w:ascii="方正楷体简体" w:eastAsia="方正楷体简体" w:cs="Times New Roman"/>
          <w:color w:val="auto"/>
          <w:sz w:val="32"/>
          <w:szCs w:val="32"/>
        </w:rPr>
      </w:pPr>
    </w:p>
    <w:p w14:paraId="798CB928">
      <w:pPr>
        <w:snapToGrid w:val="0"/>
        <w:spacing w:line="400" w:lineRule="exact"/>
        <w:jc w:val="center"/>
        <w:rPr>
          <w:rFonts w:ascii="楷体_GB2312" w:hAnsi="楷体_GB2312" w:eastAsia="楷体_GB2312" w:cs="Times New Roman"/>
          <w:color w:val="auto"/>
          <w:sz w:val="32"/>
          <w:szCs w:val="32"/>
        </w:rPr>
      </w:pPr>
    </w:p>
    <w:p w14:paraId="028F5CF2">
      <w:pPr>
        <w:snapToGrid w:val="0"/>
        <w:spacing w:line="400" w:lineRule="exact"/>
        <w:jc w:val="center"/>
        <w:rPr>
          <w:rFonts w:ascii="楷体_GB2312" w:hAnsi="楷体_GB2312" w:eastAsia="楷体_GB2312" w:cs="Times New Roman"/>
          <w:color w:val="auto"/>
          <w:sz w:val="32"/>
          <w:szCs w:val="32"/>
        </w:rPr>
      </w:pPr>
    </w:p>
    <w:p w14:paraId="7C0F53A8">
      <w:pPr>
        <w:widowControl/>
        <w:snapToGrid w:val="0"/>
        <w:spacing w:line="400" w:lineRule="exact"/>
        <w:ind w:firstLine="640" w:firstLineChars="200"/>
        <w:textAlignment w:val="auto"/>
        <w:rPr>
          <w:rFonts w:ascii="宋体" w:cs="宋体"/>
          <w:color w:val="auto"/>
        </w:rPr>
      </w:pPr>
      <w:r>
        <w:rPr>
          <w:rFonts w:ascii="楷体_GB2312" w:hAnsi="楷体_GB2312" w:eastAsia="楷体_GB2312" w:cs="Times New Roman"/>
          <w:color w:val="auto"/>
          <w:sz w:val="32"/>
          <w:szCs w:val="32"/>
        </w:rPr>
        <w:br w:type="page"/>
      </w:r>
    </w:p>
    <w:p w14:paraId="6ADEE1A5">
      <w:pPr>
        <w:keepLines w:val="0"/>
        <w:pageBreakBefore w:val="0"/>
        <w:kinsoku/>
        <w:wordWrap/>
        <w:overflowPunct/>
        <w:topLinePunct w:val="0"/>
        <w:autoSpaceDE/>
        <w:autoSpaceDN/>
        <w:bidi w:val="0"/>
        <w:snapToGrid w:val="0"/>
        <w:spacing w:line="360" w:lineRule="auto"/>
        <w:ind w:firstLine="0" w:firstLineChars="0"/>
        <w:textAlignment w:val="auto"/>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rPr>
        <w:t>项目编号</w:t>
      </w:r>
      <w:r>
        <w:rPr>
          <w:rFonts w:hint="eastAsia" w:ascii="宋体" w:hAnsi="宋体" w:eastAsia="宋体" w:cs="宋体"/>
          <w:color w:val="auto"/>
          <w:sz w:val="24"/>
          <w:szCs w:val="24"/>
          <w:lang w:eastAsia="zh-CN"/>
        </w:rPr>
        <w:t>:</w:t>
      </w:r>
    </w:p>
    <w:p w14:paraId="63DFDD1B">
      <w:pPr>
        <w:keepLines w:val="0"/>
        <w:pageBreakBefore w:val="0"/>
        <w:kinsoku/>
        <w:wordWrap/>
        <w:overflowPunct/>
        <w:topLinePunct w:val="0"/>
        <w:autoSpaceDE/>
        <w:autoSpaceDN/>
        <w:bidi w:val="0"/>
        <w:snapToGrid w:val="0"/>
        <w:spacing w:line="360" w:lineRule="auto"/>
        <w:ind w:firstLine="0" w:firstLineChars="0"/>
        <w:jc w:val="both"/>
        <w:textAlignment w:val="auto"/>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rPr>
        <w:t>合同编号</w:t>
      </w:r>
      <w:r>
        <w:rPr>
          <w:rFonts w:hint="eastAsia" w:ascii="宋体" w:hAnsi="宋体" w:eastAsia="宋体" w:cs="宋体"/>
          <w:color w:val="auto"/>
          <w:sz w:val="24"/>
          <w:szCs w:val="24"/>
          <w:lang w:eastAsia="zh-CN"/>
        </w:rPr>
        <w:t>:</w:t>
      </w:r>
    </w:p>
    <w:p w14:paraId="3994CE9D">
      <w:pPr>
        <w:keepLines w:val="0"/>
        <w:pageBreakBefore w:val="0"/>
        <w:kinsoku/>
        <w:wordWrap/>
        <w:overflowPunct/>
        <w:topLinePunct w:val="0"/>
        <w:autoSpaceDE/>
        <w:autoSpaceDN/>
        <w:bidi w:val="0"/>
        <w:snapToGrid w:val="0"/>
        <w:spacing w:line="360" w:lineRule="auto"/>
        <w:ind w:firstLine="0" w:firstLineChars="0"/>
        <w:jc w:val="both"/>
        <w:textAlignment w:val="auto"/>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rPr>
        <w:t>甲方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买方</w:t>
      </w:r>
      <w:r>
        <w:rPr>
          <w:rFonts w:hint="eastAsia" w:ascii="宋体" w:hAnsi="宋体" w:eastAsia="宋体" w:cs="宋体"/>
          <w:color w:val="auto"/>
          <w:sz w:val="24"/>
          <w:szCs w:val="24"/>
          <w:lang w:eastAsia="zh-CN"/>
        </w:rPr>
        <w:t>):</w:t>
      </w:r>
    </w:p>
    <w:p w14:paraId="56350B3D">
      <w:pPr>
        <w:keepLines w:val="0"/>
        <w:pageBreakBefore w:val="0"/>
        <w:widowControl/>
        <w:kinsoku/>
        <w:wordWrap/>
        <w:overflowPunct/>
        <w:topLinePunct w:val="0"/>
        <w:autoSpaceDE/>
        <w:autoSpaceDN/>
        <w:bidi w:val="0"/>
        <w:snapToGrid w:val="0"/>
        <w:spacing w:line="360" w:lineRule="auto"/>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卖方</w:t>
      </w:r>
      <w:r>
        <w:rPr>
          <w:rFonts w:hint="eastAsia" w:ascii="宋体" w:hAnsi="宋体" w:eastAsia="宋体" w:cs="宋体"/>
          <w:color w:val="auto"/>
          <w:sz w:val="24"/>
          <w:szCs w:val="24"/>
          <w:lang w:eastAsia="zh-CN"/>
        </w:rPr>
        <w:t>):</w:t>
      </w:r>
    </w:p>
    <w:p w14:paraId="11B9BBE6">
      <w:pPr>
        <w:keepLines w:val="0"/>
        <w:pageBreakBefore w:val="0"/>
        <w:widowControl/>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甲方与乙方就</w:t>
      </w:r>
      <w:r>
        <w:rPr>
          <w:rFonts w:hint="eastAsia" w:ascii="宋体" w:hAnsi="宋体" w:eastAsia="宋体" w:cs="宋体"/>
          <w:color w:val="auto"/>
          <w:sz w:val="24"/>
          <w:szCs w:val="24"/>
          <w:u w:val="single"/>
          <w:lang w:eastAsia="zh-CN"/>
        </w:rPr>
        <w:t>(</w:t>
      </w:r>
      <w:r>
        <w:rPr>
          <w:rFonts w:hint="eastAsia" w:ascii="宋体" w:hAnsi="宋体" w:eastAsia="宋体" w:cs="宋体"/>
          <w:color w:val="auto"/>
          <w:sz w:val="24"/>
          <w:szCs w:val="24"/>
          <w:u w:val="single"/>
        </w:rPr>
        <w:t>填写项目名称</w:t>
      </w:r>
      <w:r>
        <w:rPr>
          <w:rFonts w:hint="eastAsia" w:ascii="宋体" w:hAnsi="宋体" w:eastAsia="宋体" w:cs="宋体"/>
          <w:color w:val="auto"/>
          <w:sz w:val="24"/>
          <w:szCs w:val="24"/>
          <w:u w:val="single"/>
          <w:lang w:eastAsia="zh-CN"/>
        </w:rPr>
        <w:t>)</w:t>
      </w:r>
      <w:r>
        <w:rPr>
          <w:rFonts w:hint="eastAsia" w:ascii="宋体" w:hAnsi="宋体" w:eastAsia="宋体" w:cs="宋体"/>
          <w:color w:val="auto"/>
          <w:sz w:val="24"/>
          <w:szCs w:val="24"/>
        </w:rPr>
        <w:t>相关事宜进行友好协商，根据《中华人民共和国民法典》的规定，按下述条款签订本合同。</w:t>
      </w:r>
    </w:p>
    <w:p w14:paraId="204E0158">
      <w:pPr>
        <w:pStyle w:val="422"/>
        <w:keepLines w:val="0"/>
        <w:pageBreakBefore w:val="0"/>
        <w:kinsoku/>
        <w:wordWrap/>
        <w:overflowPunct/>
        <w:topLinePunct w:val="0"/>
        <w:autoSpaceDE/>
        <w:autoSpaceDN/>
        <w:bidi w:val="0"/>
        <w:adjustRightInd w:val="0"/>
        <w:snapToGrid w:val="0"/>
        <w:spacing w:before="0" w:after="0" w:line="360" w:lineRule="auto"/>
        <w:ind w:firstLine="357" w:firstLineChars="149"/>
        <w:jc w:val="both"/>
        <w:textAlignment w:val="auto"/>
        <w:outlineLvl w:val="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一、定义</w:t>
      </w:r>
    </w:p>
    <w:p w14:paraId="0C31024A">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rPr>
        <w:t>1.本合同下列术语解释</w:t>
      </w:r>
      <w:r>
        <w:rPr>
          <w:rFonts w:hint="eastAsia" w:ascii="宋体" w:hAnsi="宋体" w:eastAsia="宋体" w:cs="宋体"/>
          <w:bCs/>
          <w:color w:val="auto"/>
          <w:sz w:val="24"/>
          <w:szCs w:val="24"/>
          <w:lang w:eastAsia="zh-CN"/>
        </w:rPr>
        <w:t>:</w:t>
      </w:r>
    </w:p>
    <w:p w14:paraId="1D2C0199">
      <w:pPr>
        <w:keepLines w:val="0"/>
        <w:pageBreakBefore w:val="0"/>
        <w:widowControl/>
        <w:kinsoku/>
        <w:wordWrap/>
        <w:overflowPunct/>
        <w:topLinePunct w:val="0"/>
        <w:autoSpaceDE/>
        <w:autoSpaceDN/>
        <w:bidi w:val="0"/>
        <w:snapToGrid w:val="0"/>
        <w:spacing w:line="360" w:lineRule="auto"/>
        <w:ind w:firstLine="424" w:firstLineChars="17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1.1 “合同”系指买卖双方签署的、合同格式中载明的买卖双方所达成的协议，包括所有的附件、附录和构成合同的其他文件。</w:t>
      </w:r>
    </w:p>
    <w:p w14:paraId="65136C0A">
      <w:pPr>
        <w:keepLines w:val="0"/>
        <w:pageBreakBefore w:val="0"/>
        <w:widowControl/>
        <w:kinsoku/>
        <w:wordWrap/>
        <w:overflowPunct/>
        <w:topLinePunct w:val="0"/>
        <w:autoSpaceDE/>
        <w:autoSpaceDN/>
        <w:bidi w:val="0"/>
        <w:snapToGrid w:val="0"/>
        <w:spacing w:line="360" w:lineRule="auto"/>
        <w:ind w:firstLine="424" w:firstLineChars="17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1.2 “合同价”系指根据合同约定，</w:t>
      </w:r>
      <w:r>
        <w:rPr>
          <w:rFonts w:hint="eastAsia" w:ascii="宋体" w:hAnsi="宋体" w:cs="宋体"/>
          <w:color w:val="auto"/>
          <w:sz w:val="24"/>
          <w:szCs w:val="24"/>
          <w:lang w:val="en-US" w:eastAsia="zh-CN"/>
        </w:rPr>
        <w:t>乙方</w:t>
      </w:r>
      <w:r>
        <w:rPr>
          <w:rFonts w:hint="eastAsia" w:ascii="宋体" w:hAnsi="宋体" w:eastAsia="宋体" w:cs="宋体"/>
          <w:color w:val="auto"/>
          <w:sz w:val="24"/>
          <w:szCs w:val="24"/>
        </w:rPr>
        <w:t>在完全履行合同义务后</w:t>
      </w:r>
      <w:r>
        <w:rPr>
          <w:rFonts w:hint="eastAsia" w:ascii="宋体" w:hAnsi="宋体" w:cs="宋体"/>
          <w:color w:val="auto"/>
          <w:sz w:val="24"/>
          <w:szCs w:val="24"/>
          <w:lang w:val="en-US" w:eastAsia="zh-CN"/>
        </w:rPr>
        <w:t>甲</w:t>
      </w:r>
      <w:r>
        <w:rPr>
          <w:rFonts w:hint="eastAsia" w:ascii="宋体" w:hAnsi="宋体" w:eastAsia="宋体" w:cs="宋体"/>
          <w:color w:val="auto"/>
          <w:sz w:val="24"/>
          <w:szCs w:val="24"/>
        </w:rPr>
        <w:t>方应付给</w:t>
      </w:r>
      <w:r>
        <w:rPr>
          <w:rFonts w:hint="eastAsia" w:ascii="宋体" w:hAnsi="宋体" w:cs="宋体"/>
          <w:color w:val="auto"/>
          <w:sz w:val="24"/>
          <w:szCs w:val="24"/>
          <w:lang w:val="en-US" w:eastAsia="zh-CN"/>
        </w:rPr>
        <w:t>乙方</w:t>
      </w:r>
      <w:r>
        <w:rPr>
          <w:rFonts w:hint="eastAsia" w:ascii="宋体" w:hAnsi="宋体" w:eastAsia="宋体" w:cs="宋体"/>
          <w:color w:val="auto"/>
          <w:sz w:val="24"/>
          <w:szCs w:val="24"/>
        </w:rPr>
        <w:t>的价格。</w:t>
      </w:r>
    </w:p>
    <w:p w14:paraId="5848CD52">
      <w:pPr>
        <w:keepLines w:val="0"/>
        <w:pageBreakBefore w:val="0"/>
        <w:widowControl/>
        <w:kinsoku/>
        <w:wordWrap/>
        <w:overflowPunct/>
        <w:topLinePunct w:val="0"/>
        <w:autoSpaceDE/>
        <w:autoSpaceDN/>
        <w:bidi w:val="0"/>
        <w:snapToGrid w:val="0"/>
        <w:spacing w:line="360" w:lineRule="auto"/>
        <w:ind w:firstLine="424" w:firstLineChars="177"/>
        <w:textAlignment w:val="auto"/>
        <w:rPr>
          <w:rFonts w:hint="eastAsia" w:ascii="宋体" w:hAnsi="宋体" w:eastAsia="宋体" w:cs="宋体"/>
          <w:color w:val="auto"/>
          <w:sz w:val="24"/>
          <w:szCs w:val="24"/>
        </w:rPr>
      </w:pPr>
      <w:bookmarkStart w:id="165" w:name="_Ref467378840"/>
      <w:r>
        <w:rPr>
          <w:rFonts w:hint="eastAsia" w:ascii="宋体" w:hAnsi="宋体" w:eastAsia="宋体" w:cs="宋体"/>
          <w:color w:val="auto"/>
          <w:sz w:val="24"/>
          <w:szCs w:val="24"/>
        </w:rPr>
        <w:t>1.3 “甲方”系指与中标人签署合同的人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含最终用户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bookmarkEnd w:id="165"/>
    </w:p>
    <w:p w14:paraId="4F665807">
      <w:pPr>
        <w:keepLines w:val="0"/>
        <w:pageBreakBefore w:val="0"/>
        <w:widowControl/>
        <w:kinsoku/>
        <w:wordWrap/>
        <w:overflowPunct/>
        <w:topLinePunct w:val="0"/>
        <w:autoSpaceDE/>
        <w:autoSpaceDN/>
        <w:bidi w:val="0"/>
        <w:snapToGrid w:val="0"/>
        <w:spacing w:line="360" w:lineRule="auto"/>
        <w:ind w:firstLine="424" w:firstLineChars="177"/>
        <w:textAlignment w:val="auto"/>
        <w:rPr>
          <w:rFonts w:hint="eastAsia" w:ascii="宋体" w:hAnsi="宋体" w:eastAsia="宋体" w:cs="宋体"/>
          <w:color w:val="auto"/>
          <w:sz w:val="24"/>
          <w:szCs w:val="24"/>
        </w:rPr>
      </w:pPr>
      <w:bookmarkStart w:id="166" w:name="_Ref467379400"/>
      <w:r>
        <w:rPr>
          <w:rFonts w:hint="eastAsia" w:ascii="宋体" w:hAnsi="宋体" w:eastAsia="宋体" w:cs="宋体"/>
          <w:color w:val="auto"/>
          <w:sz w:val="24"/>
          <w:szCs w:val="24"/>
        </w:rPr>
        <w:t>1.4 “乙方”系指根据合同约定提供相关服务的中标人。</w:t>
      </w:r>
      <w:bookmarkEnd w:id="166"/>
    </w:p>
    <w:p w14:paraId="696567FB">
      <w:pPr>
        <w:pStyle w:val="422"/>
        <w:keepLines w:val="0"/>
        <w:pageBreakBefore w:val="0"/>
        <w:kinsoku/>
        <w:wordWrap/>
        <w:overflowPunct/>
        <w:topLinePunct w:val="0"/>
        <w:autoSpaceDE/>
        <w:autoSpaceDN/>
        <w:bidi w:val="0"/>
        <w:adjustRightInd w:val="0"/>
        <w:snapToGrid w:val="0"/>
        <w:spacing w:before="0" w:after="0" w:line="360" w:lineRule="auto"/>
        <w:ind w:firstLine="357" w:firstLineChars="149"/>
        <w:jc w:val="both"/>
        <w:textAlignment w:val="auto"/>
        <w:outlineLvl w:val="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二、合同内容及期限</w:t>
      </w:r>
    </w:p>
    <w:p w14:paraId="02B8AA87">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
          <w:bCs/>
          <w:color w:val="auto"/>
          <w:sz w:val="24"/>
          <w:szCs w:val="24"/>
        </w:rPr>
      </w:pPr>
      <w:r>
        <w:rPr>
          <w:rFonts w:hint="eastAsia" w:ascii="宋体" w:hAnsi="宋体" w:eastAsia="宋体" w:cs="宋体"/>
          <w:bCs/>
          <w:color w:val="auto"/>
          <w:sz w:val="24"/>
          <w:szCs w:val="24"/>
        </w:rPr>
        <w:t>2.甲方购买乙方提供的以下服务</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u w:val="single"/>
          <w:lang w:eastAsia="zh-CN"/>
        </w:rPr>
        <w:t>(</w:t>
      </w:r>
      <w:r>
        <w:rPr>
          <w:rFonts w:hint="eastAsia" w:ascii="宋体" w:hAnsi="宋体" w:eastAsia="宋体" w:cs="宋体"/>
          <w:bCs/>
          <w:color w:val="auto"/>
          <w:sz w:val="24"/>
          <w:szCs w:val="24"/>
          <w:u w:val="single"/>
        </w:rPr>
        <w:t>填写项目名称</w:t>
      </w:r>
      <w:r>
        <w:rPr>
          <w:rFonts w:hint="eastAsia" w:ascii="宋体" w:hAnsi="宋体" w:eastAsia="宋体" w:cs="宋体"/>
          <w:bCs/>
          <w:color w:val="auto"/>
          <w:sz w:val="24"/>
          <w:szCs w:val="24"/>
          <w:u w:val="single"/>
          <w:lang w:eastAsia="zh-CN"/>
        </w:rPr>
        <w:t>)</w:t>
      </w:r>
      <w:r>
        <w:rPr>
          <w:rFonts w:hint="eastAsia" w:ascii="宋体" w:hAnsi="宋体" w:eastAsia="宋体" w:cs="宋体"/>
          <w:color w:val="auto"/>
          <w:sz w:val="24"/>
          <w:szCs w:val="24"/>
          <w:u w:val="none"/>
        </w:rPr>
        <w:t>。</w:t>
      </w:r>
    </w:p>
    <w:p w14:paraId="66568626">
      <w:pPr>
        <w:keepLines w:val="0"/>
        <w:pageBreakBefore w:val="0"/>
        <w:widowControl/>
        <w:kinsoku/>
        <w:wordWrap/>
        <w:overflowPunct/>
        <w:topLinePunct w:val="0"/>
        <w:autoSpaceDE/>
        <w:autoSpaceDN/>
        <w:bidi w:val="0"/>
        <w:snapToGrid w:val="0"/>
        <w:spacing w:line="360" w:lineRule="auto"/>
        <w:ind w:firstLine="424" w:firstLineChars="177"/>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2.1 服务项目要求</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工作任务、工作任务下达方式、数量/质量要求、完成方式、特殊需求等</w:t>
      </w:r>
      <w:r>
        <w:rPr>
          <w:rFonts w:hint="eastAsia" w:ascii="宋体" w:hAnsi="宋体" w:eastAsia="宋体" w:cs="宋体"/>
          <w:color w:val="auto"/>
          <w:sz w:val="24"/>
          <w:szCs w:val="24"/>
          <w:lang w:eastAsia="zh-CN"/>
        </w:rPr>
        <w:t>)</w:t>
      </w:r>
    </w:p>
    <w:p w14:paraId="175B8161">
      <w:pPr>
        <w:keepLines w:val="0"/>
        <w:pageBreakBefore w:val="0"/>
        <w:kinsoku/>
        <w:wordWrap/>
        <w:overflowPunct/>
        <w:topLinePunct w:val="0"/>
        <w:autoSpaceDE/>
        <w:autoSpaceDN/>
        <w:bidi w:val="0"/>
        <w:spacing w:line="360" w:lineRule="auto"/>
        <w:ind w:firstLine="424" w:firstLineChars="177"/>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FDBA9C7">
      <w:pPr>
        <w:keepLines w:val="0"/>
        <w:pageBreakBefore w:val="0"/>
        <w:kinsoku/>
        <w:wordWrap/>
        <w:overflowPunct/>
        <w:topLinePunct w:val="0"/>
        <w:autoSpaceDE/>
        <w:autoSpaceDN/>
        <w:bidi w:val="0"/>
        <w:spacing w:line="360" w:lineRule="auto"/>
        <w:ind w:firstLine="424" w:firstLineChars="177"/>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73A50D1">
      <w:pPr>
        <w:keepLines w:val="0"/>
        <w:pageBreakBefore w:val="0"/>
        <w:kinsoku/>
        <w:wordWrap/>
        <w:overflowPunct/>
        <w:topLinePunct w:val="0"/>
        <w:autoSpaceDE/>
        <w:autoSpaceDN/>
        <w:bidi w:val="0"/>
        <w:spacing w:line="360" w:lineRule="auto"/>
        <w:ind w:firstLine="424" w:firstLineChars="177"/>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36E840C">
      <w:pPr>
        <w:keepLines w:val="0"/>
        <w:pageBreakBefore w:val="0"/>
        <w:widowControl/>
        <w:kinsoku/>
        <w:wordWrap/>
        <w:overflowPunct/>
        <w:topLinePunct w:val="0"/>
        <w:autoSpaceDE/>
        <w:autoSpaceDN/>
        <w:bidi w:val="0"/>
        <w:snapToGrid w:val="0"/>
        <w:spacing w:line="360" w:lineRule="auto"/>
        <w:ind w:firstLine="424" w:firstLineChars="177"/>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rPr>
        <w:t>2.2 提供服务地点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4166115">
      <w:pPr>
        <w:keepLines w:val="0"/>
        <w:pageBreakBefore w:val="0"/>
        <w:widowControl/>
        <w:kinsoku/>
        <w:wordWrap/>
        <w:overflowPunct/>
        <w:topLinePunct w:val="0"/>
        <w:autoSpaceDE/>
        <w:autoSpaceDN/>
        <w:bidi w:val="0"/>
        <w:snapToGrid w:val="0"/>
        <w:spacing w:line="360" w:lineRule="auto"/>
        <w:ind w:firstLine="424" w:firstLineChars="177"/>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3.本</w:t>
      </w:r>
      <w:r>
        <w:rPr>
          <w:rFonts w:hint="eastAsia" w:ascii="宋体" w:hAnsi="宋体" w:eastAsia="宋体" w:cs="宋体"/>
          <w:color w:val="auto"/>
          <w:sz w:val="24"/>
          <w:szCs w:val="24"/>
        </w:rPr>
        <w:t>合同</w:t>
      </w:r>
      <w:r>
        <w:rPr>
          <w:rFonts w:hint="eastAsia" w:ascii="宋体" w:hAnsi="宋体" w:eastAsia="宋体" w:cs="宋体"/>
          <w:bCs/>
          <w:color w:val="auto"/>
          <w:sz w:val="24"/>
          <w:szCs w:val="24"/>
        </w:rPr>
        <w:t>项目下的服务期限</w:t>
      </w:r>
    </w:p>
    <w:p w14:paraId="61EAD5CE">
      <w:pPr>
        <w:keepLines w:val="0"/>
        <w:pageBreakBefore w:val="0"/>
        <w:widowControl/>
        <w:kinsoku/>
        <w:wordWrap/>
        <w:overflowPunct/>
        <w:topLinePunct w:val="0"/>
        <w:autoSpaceDE/>
        <w:autoSpaceDN/>
        <w:bidi w:val="0"/>
        <w:snapToGrid w:val="0"/>
        <w:spacing w:line="360" w:lineRule="auto"/>
        <w:ind w:firstLine="424" w:firstLineChars="17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3.1 自合同生效起至_____年___月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日止。</w:t>
      </w:r>
    </w:p>
    <w:p w14:paraId="04D928FD">
      <w:pPr>
        <w:pStyle w:val="422"/>
        <w:keepLines w:val="0"/>
        <w:pageBreakBefore w:val="0"/>
        <w:kinsoku/>
        <w:wordWrap/>
        <w:overflowPunct/>
        <w:topLinePunct w:val="0"/>
        <w:autoSpaceDE/>
        <w:autoSpaceDN/>
        <w:bidi w:val="0"/>
        <w:adjustRightInd w:val="0"/>
        <w:snapToGrid w:val="0"/>
        <w:spacing w:before="0" w:after="0" w:line="360" w:lineRule="auto"/>
        <w:ind w:firstLine="357" w:firstLineChars="149"/>
        <w:jc w:val="both"/>
        <w:textAlignment w:val="auto"/>
        <w:outlineLvl w:val="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三、合同价格</w:t>
      </w:r>
    </w:p>
    <w:p w14:paraId="2E271181">
      <w:pPr>
        <w:keepLines w:val="0"/>
        <w:pageBreakBefore w:val="0"/>
        <w:widowControl/>
        <w:kinsoku/>
        <w:wordWrap/>
        <w:overflowPunct/>
        <w:topLinePunct w:val="0"/>
        <w:autoSpaceDE/>
        <w:autoSpaceDN/>
        <w:bidi w:val="0"/>
        <w:snapToGrid w:val="0"/>
        <w:spacing w:line="360" w:lineRule="auto"/>
        <w:ind w:firstLine="424" w:firstLineChars="177"/>
        <w:textAlignment w:val="auto"/>
        <w:rPr>
          <w:rFonts w:hint="eastAsia" w:ascii="宋体" w:hAnsi="宋体" w:eastAsia="宋体" w:cs="宋体"/>
          <w:color w:val="auto"/>
          <w:sz w:val="24"/>
          <w:szCs w:val="24"/>
          <w:lang w:eastAsia="zh-CN"/>
        </w:rPr>
      </w:pPr>
      <w:r>
        <w:rPr>
          <w:rFonts w:hint="eastAsia" w:ascii="宋体" w:hAnsi="宋体" w:eastAsia="宋体" w:cs="宋体"/>
          <w:bCs/>
          <w:color w:val="auto"/>
          <w:sz w:val="24"/>
          <w:szCs w:val="24"/>
        </w:rPr>
        <w:t>4.本合同</w:t>
      </w:r>
      <w:r>
        <w:rPr>
          <w:rFonts w:hint="eastAsia" w:ascii="宋体" w:hAnsi="宋体" w:eastAsia="宋体" w:cs="宋体"/>
          <w:color w:val="auto"/>
          <w:sz w:val="24"/>
          <w:szCs w:val="24"/>
        </w:rPr>
        <w:t>服务费</w:t>
      </w:r>
      <w:r>
        <w:rPr>
          <w:rFonts w:hint="eastAsia" w:ascii="宋体" w:hAnsi="宋体" w:eastAsia="宋体" w:cs="宋体"/>
          <w:bCs/>
          <w:color w:val="auto"/>
          <w:sz w:val="24"/>
          <w:szCs w:val="24"/>
        </w:rPr>
        <w:t>总金额为人民币</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大写</w:t>
      </w:r>
      <w:r>
        <w:rPr>
          <w:rFonts w:hint="eastAsia" w:ascii="宋体" w:hAnsi="宋体" w:eastAsia="宋体" w:cs="宋体"/>
          <w:bCs/>
          <w:color w:val="auto"/>
          <w:sz w:val="24"/>
          <w:szCs w:val="24"/>
          <w:lang w:eastAsia="zh-CN"/>
        </w:rPr>
        <w:t>):</w:t>
      </w:r>
      <w:r>
        <w:rPr>
          <w:rFonts w:hint="eastAsia" w:ascii="宋体" w:hAnsi="宋体" w:eastAsia="宋体" w:cs="宋体"/>
          <w:color w:val="auto"/>
          <w:sz w:val="24"/>
          <w:szCs w:val="24"/>
        </w:rPr>
        <w:t>__________元</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￥____元</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此项目发生的与本合同执行有关的一切税费均由乙方负担</w:t>
      </w:r>
      <w:r>
        <w:rPr>
          <w:rFonts w:hint="eastAsia" w:ascii="宋体" w:hAnsi="宋体" w:eastAsia="宋体" w:cs="宋体"/>
          <w:color w:val="auto"/>
          <w:sz w:val="24"/>
          <w:szCs w:val="24"/>
          <w:lang w:eastAsia="zh-CN"/>
        </w:rPr>
        <w:t>)</w:t>
      </w:r>
    </w:p>
    <w:p w14:paraId="3F11D83B">
      <w:pPr>
        <w:keepLines w:val="0"/>
        <w:pageBreakBefore w:val="0"/>
        <w:widowControl/>
        <w:kinsoku/>
        <w:wordWrap/>
        <w:overflowPunct/>
        <w:topLinePunct w:val="0"/>
        <w:autoSpaceDE/>
        <w:autoSpaceDN/>
        <w:bidi w:val="0"/>
        <w:snapToGrid w:val="0"/>
        <w:spacing w:line="360" w:lineRule="auto"/>
        <w:ind w:firstLine="424" w:firstLineChars="177"/>
        <w:textAlignment w:val="auto"/>
        <w:rPr>
          <w:rFonts w:hint="eastAsia" w:ascii="宋体" w:hAnsi="宋体" w:eastAsia="宋体" w:cs="宋体"/>
          <w:color w:val="auto"/>
          <w:sz w:val="24"/>
          <w:szCs w:val="24"/>
        </w:rPr>
      </w:pPr>
      <w:r>
        <w:rPr>
          <w:rFonts w:hint="eastAsia" w:ascii="宋体" w:hAnsi="宋体" w:eastAsia="宋体" w:cs="宋体"/>
          <w:bCs/>
          <w:color w:val="auto"/>
          <w:kern w:val="20"/>
          <w:sz w:val="24"/>
          <w:szCs w:val="24"/>
          <w:lang w:val="zh-CN"/>
        </w:rPr>
        <w:t>5.</w:t>
      </w:r>
      <w:r>
        <w:rPr>
          <w:rFonts w:hint="eastAsia" w:ascii="宋体" w:hAnsi="宋体" w:eastAsia="宋体" w:cs="宋体"/>
          <w:color w:val="auto"/>
          <w:sz w:val="24"/>
          <w:szCs w:val="24"/>
        </w:rPr>
        <w:t>服务</w:t>
      </w:r>
      <w:r>
        <w:rPr>
          <w:rFonts w:hint="eastAsia" w:ascii="宋体" w:hAnsi="宋体" w:eastAsia="宋体" w:cs="宋体"/>
          <w:bCs/>
          <w:color w:val="auto"/>
          <w:kern w:val="20"/>
          <w:sz w:val="24"/>
          <w:szCs w:val="24"/>
          <w:lang w:val="zh-CN"/>
        </w:rPr>
        <w:t>支出包括</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780FD8A">
      <w:pPr>
        <w:pStyle w:val="422"/>
        <w:keepLines w:val="0"/>
        <w:pageBreakBefore w:val="0"/>
        <w:kinsoku/>
        <w:wordWrap/>
        <w:overflowPunct/>
        <w:topLinePunct w:val="0"/>
        <w:autoSpaceDE/>
        <w:autoSpaceDN/>
        <w:bidi w:val="0"/>
        <w:adjustRightInd w:val="0"/>
        <w:snapToGrid w:val="0"/>
        <w:spacing w:before="0" w:after="0" w:line="360" w:lineRule="auto"/>
        <w:ind w:firstLine="357" w:firstLineChars="149"/>
        <w:jc w:val="both"/>
        <w:textAlignment w:val="auto"/>
        <w:outlineLvl w:val="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四、支付和结算方式</w:t>
      </w:r>
    </w:p>
    <w:p w14:paraId="641D05D5">
      <w:pPr>
        <w:keepLines w:val="0"/>
        <w:pageBreakBefore w:val="0"/>
        <w:widowControl/>
        <w:kinsoku/>
        <w:wordWrap/>
        <w:overflowPunct/>
        <w:topLinePunct w:val="0"/>
        <w:autoSpaceDE/>
        <w:autoSpaceDN/>
        <w:bidi w:val="0"/>
        <w:snapToGrid w:val="0"/>
        <w:spacing w:line="360" w:lineRule="auto"/>
        <w:ind w:firstLine="424" w:firstLineChars="177"/>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zh-CN"/>
        </w:rPr>
        <w:t>6</w:t>
      </w:r>
      <w:r>
        <w:rPr>
          <w:rFonts w:hint="eastAsia" w:ascii="宋体" w:hAnsi="宋体" w:eastAsia="宋体" w:cs="宋体"/>
          <w:bCs/>
          <w:color w:val="auto"/>
          <w:sz w:val="24"/>
          <w:szCs w:val="24"/>
        </w:rPr>
        <w:t>.双方因本合同发生的一切费用均以人民币结算及支付。</w:t>
      </w:r>
    </w:p>
    <w:p w14:paraId="7DCBD6AA">
      <w:pPr>
        <w:keepLines w:val="0"/>
        <w:pageBreakBefore w:val="0"/>
        <w:widowControl/>
        <w:kinsoku/>
        <w:wordWrap/>
        <w:overflowPunct/>
        <w:topLinePunct w:val="0"/>
        <w:autoSpaceDE/>
        <w:autoSpaceDN/>
        <w:bidi w:val="0"/>
        <w:snapToGrid w:val="0"/>
        <w:spacing w:line="360" w:lineRule="auto"/>
        <w:ind w:firstLine="424" w:firstLineChars="177"/>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7.双方的帐户名称、开户银行及帐号以本合同提供的为准。</w:t>
      </w:r>
    </w:p>
    <w:p w14:paraId="0C4B9EAA">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rPr>
        <w:t>8.付款方式</w:t>
      </w:r>
      <w:r>
        <w:rPr>
          <w:rFonts w:hint="eastAsia" w:ascii="宋体" w:hAnsi="宋体" w:eastAsia="宋体" w:cs="宋体"/>
          <w:bCs/>
          <w:color w:val="auto"/>
          <w:sz w:val="24"/>
          <w:szCs w:val="24"/>
          <w:lang w:eastAsia="zh-CN"/>
        </w:rPr>
        <w:t>:</w:t>
      </w:r>
    </w:p>
    <w:p w14:paraId="74DB72D4">
      <w:pPr>
        <w:pStyle w:val="199"/>
        <w:keepLines w:val="0"/>
        <w:pageBreakBefore w:val="0"/>
        <w:kinsoku/>
        <w:wordWrap/>
        <w:overflowPunct/>
        <w:topLinePunct w:val="0"/>
        <w:autoSpaceDE/>
        <w:autoSpaceDN/>
        <w:bidi w:val="0"/>
        <w:snapToGrid w:val="0"/>
        <w:spacing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val="en-US" w:eastAsia="zh-CN"/>
        </w:rPr>
        <w:sym w:font="Wingdings" w:char="00A8"/>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一次性支付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val="en-US" w:eastAsia="zh-CN"/>
        </w:rPr>
        <w:sym w:font="Wingdings" w:char="00A8"/>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分期支付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val="en-US" w:eastAsia="zh-CN"/>
        </w:rPr>
        <w:sym w:font="Wingdings" w:char="00A8"/>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按服务进度支付</w:t>
      </w:r>
    </w:p>
    <w:p w14:paraId="7E87DFDF">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8.1 一次性支付</w:t>
      </w:r>
    </w:p>
    <w:p w14:paraId="07CEAC0E">
      <w:pPr>
        <w:pStyle w:val="199"/>
        <w:keepLines w:val="0"/>
        <w:pageBreakBefore w:val="0"/>
        <w:kinsoku/>
        <w:wordWrap/>
        <w:overflowPunct/>
        <w:topLinePunct w:val="0"/>
        <w:autoSpaceDE/>
        <w:autoSpaceDN/>
        <w:bidi w:val="0"/>
        <w:snapToGrid w:val="0"/>
        <w:spacing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乙方履约完毕经甲方验收合格后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日内，一次性支付全部服务费。</w:t>
      </w:r>
    </w:p>
    <w:p w14:paraId="7E6C3081">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8.2 分期支付</w:t>
      </w:r>
    </w:p>
    <w:p w14:paraId="1BC63BD4">
      <w:pPr>
        <w:pStyle w:val="199"/>
        <w:keepLines w:val="0"/>
        <w:pageBreakBefore w:val="0"/>
        <w:kinsoku/>
        <w:wordWrap/>
        <w:overflowPunct/>
        <w:topLinePunct w:val="0"/>
        <w:autoSpaceDE/>
        <w:autoSpaceDN/>
        <w:bidi w:val="0"/>
        <w:snapToGrid w:val="0"/>
        <w:spacing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合同签订后</w:t>
      </w:r>
      <w:r>
        <w:rPr>
          <w:rFonts w:hint="eastAsia" w:ascii="宋体" w:hAnsi="宋体" w:eastAsia="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hint="eastAsia" w:ascii="宋体" w:hAnsi="宋体" w:eastAsia="宋体" w:cs="宋体"/>
          <w:color w:val="auto"/>
          <w:sz w:val="24"/>
          <w:szCs w:val="24"/>
        </w:rPr>
        <w:t>日内，甲方向乙方支付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或服务费总额的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p>
    <w:p w14:paraId="615BD4F7">
      <w:pPr>
        <w:pStyle w:val="199"/>
        <w:keepLines w:val="0"/>
        <w:pageBreakBefore w:val="0"/>
        <w:kinsoku/>
        <w:wordWrap/>
        <w:overflowPunct/>
        <w:topLinePunct w:val="0"/>
        <w:autoSpaceDE/>
        <w:autoSpaceDN/>
        <w:bidi w:val="0"/>
        <w:snapToGrid w:val="0"/>
        <w:spacing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乙方履约完毕，甲方验收合格后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日内，支付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或服务费总额的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p>
    <w:p w14:paraId="49F13FFA">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8.3 按服务进度支付</w:t>
      </w:r>
    </w:p>
    <w:p w14:paraId="2588E5C8">
      <w:pPr>
        <w:pStyle w:val="199"/>
        <w:keepLines w:val="0"/>
        <w:pageBreakBefore w:val="0"/>
        <w:kinsoku/>
        <w:wordWrap/>
        <w:overflowPunct/>
        <w:topLinePunct w:val="0"/>
        <w:autoSpaceDE/>
        <w:autoSpaceDN/>
        <w:bidi w:val="0"/>
        <w:snapToGrid w:val="0"/>
        <w:spacing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1)服务人员到达服务地并提交服务实施方案后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天内，甲方应向乙方支付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或服务费总额的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p>
    <w:p w14:paraId="2149DE2D">
      <w:pPr>
        <w:pStyle w:val="199"/>
        <w:keepLines w:val="0"/>
        <w:pageBreakBefore w:val="0"/>
        <w:kinsoku/>
        <w:wordWrap/>
        <w:overflowPunct/>
        <w:topLinePunct w:val="0"/>
        <w:autoSpaceDE/>
        <w:autoSpaceDN/>
        <w:bidi w:val="0"/>
        <w:snapToGrid w:val="0"/>
        <w:spacing w:line="360" w:lineRule="auto"/>
        <w:ind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2)乙方履约完毕，甲方验收合格后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日内，支付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或服务费总额的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p>
    <w:p w14:paraId="1FA343AB">
      <w:pPr>
        <w:pStyle w:val="422"/>
        <w:keepLines w:val="0"/>
        <w:pageBreakBefore w:val="0"/>
        <w:kinsoku/>
        <w:wordWrap/>
        <w:overflowPunct/>
        <w:topLinePunct w:val="0"/>
        <w:autoSpaceDE/>
        <w:autoSpaceDN/>
        <w:bidi w:val="0"/>
        <w:adjustRightInd w:val="0"/>
        <w:snapToGrid w:val="0"/>
        <w:spacing w:before="0" w:after="0" w:line="360" w:lineRule="auto"/>
        <w:ind w:firstLine="357" w:firstLineChars="149"/>
        <w:jc w:val="both"/>
        <w:textAlignment w:val="auto"/>
        <w:outlineLvl w:val="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五.履约验收</w:t>
      </w:r>
    </w:p>
    <w:p w14:paraId="35C569AF">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9.验收时间</w:t>
      </w:r>
      <w:r>
        <w:rPr>
          <w:rFonts w:hint="eastAsia" w:ascii="宋体" w:hAnsi="宋体" w:eastAsia="宋体" w:cs="宋体"/>
          <w:b/>
          <w:bCs/>
          <w:color w:val="auto"/>
          <w:sz w:val="24"/>
          <w:szCs w:val="24"/>
          <w:lang w:eastAsia="zh-CN"/>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2FD15510">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rPr>
        <w:t>10.验收方式</w:t>
      </w:r>
      <w:r>
        <w:rPr>
          <w:rFonts w:hint="eastAsia" w:ascii="宋体" w:hAnsi="宋体" w:eastAsia="宋体" w:cs="宋体"/>
          <w:bCs/>
          <w:color w:val="auto"/>
          <w:sz w:val="24"/>
          <w:szCs w:val="24"/>
          <w:lang w:eastAsia="zh-CN"/>
        </w:rPr>
        <w:t>:</w:t>
      </w:r>
    </w:p>
    <w:p w14:paraId="2249878C">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rPr>
        <w:t>11.验收程序与标准</w:t>
      </w:r>
      <w:r>
        <w:rPr>
          <w:rFonts w:hint="eastAsia" w:ascii="宋体" w:hAnsi="宋体" w:eastAsia="宋体" w:cs="宋体"/>
          <w:bCs/>
          <w:color w:val="auto"/>
          <w:sz w:val="24"/>
          <w:szCs w:val="24"/>
          <w:lang w:eastAsia="zh-CN"/>
        </w:rPr>
        <w:t>:</w:t>
      </w:r>
    </w:p>
    <w:p w14:paraId="27C56085">
      <w:pPr>
        <w:pStyle w:val="422"/>
        <w:keepLines w:val="0"/>
        <w:pageBreakBefore w:val="0"/>
        <w:kinsoku/>
        <w:wordWrap/>
        <w:overflowPunct/>
        <w:topLinePunct w:val="0"/>
        <w:autoSpaceDE/>
        <w:autoSpaceDN/>
        <w:bidi w:val="0"/>
        <w:adjustRightInd w:val="0"/>
        <w:snapToGrid w:val="0"/>
        <w:spacing w:before="0" w:after="0" w:line="360" w:lineRule="auto"/>
        <w:ind w:firstLine="357" w:firstLineChars="149"/>
        <w:jc w:val="both"/>
        <w:textAlignment w:val="auto"/>
        <w:outlineLvl w:val="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六、甲乙双方权利义务</w:t>
      </w:r>
    </w:p>
    <w:p w14:paraId="123293E6">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12.甲方的权利和义务</w:t>
      </w:r>
    </w:p>
    <w:p w14:paraId="62D4F440">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12.1根据需要向乙方以书面形式下达工作任务。</w:t>
      </w:r>
    </w:p>
    <w:p w14:paraId="115D11F9">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12.2根据项目要求，监督乙方的服务质量。</w:t>
      </w:r>
    </w:p>
    <w:p w14:paraId="1F58FB94">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12.3协调乙方在提供服务过程相关的政府部门和单位有关事宜。</w:t>
      </w:r>
    </w:p>
    <w:p w14:paraId="5C983920">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12.4 ……</w:t>
      </w:r>
    </w:p>
    <w:p w14:paraId="0BA5100B">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rPr>
        <w:t>13.乙方的权利和义务</w:t>
      </w:r>
      <w:r>
        <w:rPr>
          <w:rFonts w:hint="eastAsia" w:ascii="宋体" w:hAnsi="宋体" w:eastAsia="宋体" w:cs="宋体"/>
          <w:bCs/>
          <w:color w:val="auto"/>
          <w:sz w:val="24"/>
          <w:szCs w:val="24"/>
          <w:lang w:eastAsia="zh-CN"/>
        </w:rPr>
        <w:t>:</w:t>
      </w:r>
    </w:p>
    <w:p w14:paraId="4FDD8E01">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13.1乙方可要求甲方按本合同的规定按时足额拨付项目经费。</w:t>
      </w:r>
    </w:p>
    <w:p w14:paraId="1961FB73">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13.2应依法独立完成的工作任务，不得以任何形式转包于其他机构。</w:t>
      </w:r>
    </w:p>
    <w:p w14:paraId="2068D6C1">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13.3乙方应严格按照服务承诺完成相关工作。</w:t>
      </w:r>
    </w:p>
    <w:p w14:paraId="07641123">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13.4乙方对甲方提供的资料负有保密义务。</w:t>
      </w:r>
    </w:p>
    <w:p w14:paraId="463F6E13">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13.5</w:t>
      </w:r>
      <w:r>
        <w:rPr>
          <w:rFonts w:hint="eastAsia" w:ascii="宋体" w:hAnsi="宋体" w:eastAsia="宋体" w:cs="宋体"/>
          <w:bCs/>
          <w:color w:val="auto"/>
          <w:sz w:val="24"/>
          <w:szCs w:val="24"/>
          <w:lang w:val="en-US" w:eastAsia="zh-CN"/>
        </w:rPr>
        <w:t xml:space="preserve"> </w:t>
      </w:r>
      <w:r>
        <w:rPr>
          <w:rFonts w:hint="eastAsia" w:ascii="宋体" w:hAnsi="宋体" w:eastAsia="宋体" w:cs="宋体"/>
          <w:bCs/>
          <w:color w:val="auto"/>
          <w:sz w:val="24"/>
          <w:szCs w:val="24"/>
        </w:rPr>
        <w:t>……</w:t>
      </w:r>
    </w:p>
    <w:p w14:paraId="53089079">
      <w:pPr>
        <w:pStyle w:val="422"/>
        <w:keepLines w:val="0"/>
        <w:pageBreakBefore w:val="0"/>
        <w:kinsoku/>
        <w:wordWrap/>
        <w:overflowPunct/>
        <w:topLinePunct w:val="0"/>
        <w:autoSpaceDE/>
        <w:autoSpaceDN/>
        <w:bidi w:val="0"/>
        <w:adjustRightInd w:val="0"/>
        <w:snapToGrid w:val="0"/>
        <w:spacing w:before="0" w:after="0" w:line="360" w:lineRule="auto"/>
        <w:ind w:firstLine="357" w:firstLineChars="149"/>
        <w:jc w:val="both"/>
        <w:textAlignment w:val="auto"/>
        <w:outlineLvl w:val="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七、知识产权和使用权</w:t>
      </w:r>
    </w:p>
    <w:p w14:paraId="5014E104">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
          <w:bCs/>
          <w:color w:val="auto"/>
          <w:sz w:val="24"/>
          <w:szCs w:val="24"/>
        </w:rPr>
      </w:pPr>
      <w:r>
        <w:rPr>
          <w:rFonts w:hint="eastAsia" w:ascii="宋体" w:hAnsi="宋体" w:eastAsia="宋体" w:cs="宋体"/>
          <w:bCs/>
          <w:color w:val="auto"/>
          <w:sz w:val="24"/>
          <w:szCs w:val="24"/>
        </w:rPr>
        <w:t>14.知识产权和使用权归属</w:t>
      </w:r>
      <w:r>
        <w:rPr>
          <w:rFonts w:hint="eastAsia" w:ascii="宋体" w:hAnsi="宋体" w:eastAsia="宋体" w:cs="宋体"/>
          <w:bCs/>
          <w:color w:val="auto"/>
          <w:sz w:val="24"/>
          <w:szCs w:val="24"/>
          <w:lang w:eastAsia="zh-CN"/>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35FF472">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15.乙方应保证，甲方在使用乙方提供的服务或与服务配套的货物时，免受第三方提出的侵犯其专利权、商标权或工业设计权等的起诉。如果任何第三方提出侵权指控，</w:t>
      </w:r>
      <w:r>
        <w:rPr>
          <w:rFonts w:hint="eastAsia" w:ascii="宋体" w:hAnsi="宋体" w:eastAsia="宋体" w:cs="宋体"/>
          <w:bCs/>
          <w:color w:val="auto"/>
          <w:sz w:val="24"/>
          <w:szCs w:val="24"/>
          <w:lang w:val="en-US" w:eastAsia="zh-CN"/>
        </w:rPr>
        <w:t>乙方</w:t>
      </w:r>
      <w:r>
        <w:rPr>
          <w:rFonts w:hint="eastAsia" w:ascii="宋体" w:hAnsi="宋体" w:eastAsia="宋体" w:cs="宋体"/>
          <w:bCs/>
          <w:color w:val="auto"/>
          <w:sz w:val="24"/>
          <w:szCs w:val="24"/>
        </w:rPr>
        <w:t>须与第三方交涉并承担由此发生的一切责任、费用和经济赔偿。</w:t>
      </w:r>
    </w:p>
    <w:p w14:paraId="6FBC3005">
      <w:pPr>
        <w:pStyle w:val="422"/>
        <w:keepLines w:val="0"/>
        <w:pageBreakBefore w:val="0"/>
        <w:kinsoku/>
        <w:wordWrap/>
        <w:overflowPunct/>
        <w:topLinePunct w:val="0"/>
        <w:autoSpaceDE/>
        <w:autoSpaceDN/>
        <w:bidi w:val="0"/>
        <w:adjustRightInd w:val="0"/>
        <w:snapToGrid w:val="0"/>
        <w:spacing w:before="0" w:after="0" w:line="360" w:lineRule="auto"/>
        <w:ind w:firstLine="357" w:firstLineChars="149"/>
        <w:jc w:val="both"/>
        <w:textAlignment w:val="auto"/>
        <w:outlineLvl w:val="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八、履约保证金和预付款保证金</w:t>
      </w:r>
    </w:p>
    <w:p w14:paraId="395F6119">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16.履约保证金</w:t>
      </w:r>
    </w:p>
    <w:p w14:paraId="510F2B19">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16.1 乙方在合同签订后且甲方付款前，向甲方提供合同总价</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%的履约保证金。</w:t>
      </w:r>
    </w:p>
    <w:p w14:paraId="53BC25A7">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16.2 乙方的履约保证金将在合同执行完成并且甲方完成支付后</w:t>
      </w:r>
      <w:r>
        <w:rPr>
          <w:rFonts w:hint="eastAsia" w:ascii="宋体" w:hAnsi="宋体" w:eastAsia="宋体" w:cs="宋体"/>
          <w:bCs/>
          <w:color w:val="auto"/>
          <w:sz w:val="24"/>
          <w:szCs w:val="24"/>
          <w:u w:val="single"/>
        </w:rPr>
        <w:t xml:space="preserve"> 7 </w:t>
      </w:r>
      <w:r>
        <w:rPr>
          <w:rFonts w:hint="eastAsia" w:ascii="宋体" w:hAnsi="宋体" w:eastAsia="宋体" w:cs="宋体"/>
          <w:bCs/>
          <w:color w:val="auto"/>
          <w:sz w:val="24"/>
          <w:szCs w:val="24"/>
        </w:rPr>
        <w:t>个工作日内提交退款手续办理退保证金事宜。</w:t>
      </w:r>
    </w:p>
    <w:p w14:paraId="40EA43CF">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16.3 履约保证金以电汇、履约保函或双发约定的其他形式向甲方提供履约保证金。</w:t>
      </w:r>
    </w:p>
    <w:p w14:paraId="45B5ECDF">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17.预付款保函</w:t>
      </w:r>
    </w:p>
    <w:p w14:paraId="4A61D16E">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17.1 乙方在合同签订后且甲方付款前，向甲方提供相当于合同总价</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%的预付款保函。</w:t>
      </w:r>
    </w:p>
    <w:p w14:paraId="7808CE4D">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17.2 乙方的预付款保函将在合同执行完成并且甲方完成支付后</w:t>
      </w:r>
      <w:r>
        <w:rPr>
          <w:rFonts w:hint="eastAsia" w:ascii="宋体" w:hAnsi="宋体" w:eastAsia="宋体" w:cs="宋体"/>
          <w:bCs/>
          <w:color w:val="auto"/>
          <w:sz w:val="24"/>
          <w:szCs w:val="24"/>
          <w:u w:val="single"/>
        </w:rPr>
        <w:t xml:space="preserve"> 7 </w:t>
      </w:r>
      <w:r>
        <w:rPr>
          <w:rFonts w:hint="eastAsia" w:ascii="宋体" w:hAnsi="宋体" w:eastAsia="宋体" w:cs="宋体"/>
          <w:bCs/>
          <w:color w:val="auto"/>
          <w:sz w:val="24"/>
          <w:szCs w:val="24"/>
        </w:rPr>
        <w:t>个工作日内提交退款手续办理退预付款保函事宜。</w:t>
      </w:r>
    </w:p>
    <w:p w14:paraId="2E709081">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17.3 预付款保函以电汇、履约保函或双发约定的其他形式向甲方提供履约保证金。</w:t>
      </w:r>
    </w:p>
    <w:p w14:paraId="615799D6">
      <w:pPr>
        <w:pStyle w:val="422"/>
        <w:keepLines w:val="0"/>
        <w:pageBreakBefore w:val="0"/>
        <w:kinsoku/>
        <w:wordWrap/>
        <w:overflowPunct/>
        <w:topLinePunct w:val="0"/>
        <w:autoSpaceDE/>
        <w:autoSpaceDN/>
        <w:bidi w:val="0"/>
        <w:adjustRightInd w:val="0"/>
        <w:snapToGrid w:val="0"/>
        <w:spacing w:before="0" w:after="0" w:line="360" w:lineRule="auto"/>
        <w:ind w:firstLine="357" w:firstLineChars="149"/>
        <w:jc w:val="both"/>
        <w:textAlignment w:val="auto"/>
        <w:outlineLvl w:val="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九、违约责任</w:t>
      </w:r>
    </w:p>
    <w:p w14:paraId="69E44083">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18.因乙方提供的服务使合同标的无法实现的；乙方转包服务的；或未按规定时间提供服务逾期超过</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天以上的，甲方有权解除合同，乙方须向甲方支付本合同总价___%的违约金。</w:t>
      </w:r>
    </w:p>
    <w:p w14:paraId="267D9825">
      <w:pPr>
        <w:pStyle w:val="422"/>
        <w:keepLines w:val="0"/>
        <w:pageBreakBefore w:val="0"/>
        <w:kinsoku/>
        <w:wordWrap/>
        <w:overflowPunct/>
        <w:topLinePunct w:val="0"/>
        <w:autoSpaceDE/>
        <w:autoSpaceDN/>
        <w:bidi w:val="0"/>
        <w:adjustRightInd w:val="0"/>
        <w:snapToGrid w:val="0"/>
        <w:spacing w:before="0" w:after="0" w:line="360" w:lineRule="auto"/>
        <w:ind w:firstLine="357" w:firstLineChars="149"/>
        <w:jc w:val="both"/>
        <w:textAlignment w:val="auto"/>
        <w:outlineLvl w:val="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十、不可抗力</w:t>
      </w:r>
    </w:p>
    <w:p w14:paraId="3701A847">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19.不可抗力指下列事件</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战争、动乱、瘟疫、严重火灾、洪水、地震、风暴或其他自然灾害，以及本合同各方不可预见、不可防止并不能避免或克服的一切其他因素及事件。</w:t>
      </w:r>
    </w:p>
    <w:p w14:paraId="2337AE2D">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20.任何一方因不可抗力不能履行本合同规定的全部或部分义务，该方应尽快通知另一方，并须在不可抗力发生后三日内以书面形式向另一方提供详细情况报告及不可抗力对履行本合同的影响程度的说明。就上述不可抗力的发生须由受到不可抗力影响的一方负责同时提供由公证机关作出的公证证明。</w:t>
      </w:r>
    </w:p>
    <w:p w14:paraId="7F52C471">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21.发生不可抗力事件，任何一方均不对因不可抗力无法履行或迟延履行本合同义务而使另一方蒙受的任何损失承担责任。但遭受不可抗力影响的一方有责任尽可能及时采取适当或必要措施减少或消除不可抗力的影响。遭受不可抗力影响的一方对因未尽本项责任而造成的相关损失承担责任。</w:t>
      </w:r>
    </w:p>
    <w:p w14:paraId="42935069">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22.合同各方应根据不可抗力对本合同履行的影响程度，协商确定是否终止本合同，或是继续履行本合同。</w:t>
      </w:r>
    </w:p>
    <w:p w14:paraId="4F5F3808">
      <w:pPr>
        <w:pStyle w:val="422"/>
        <w:keepLines w:val="0"/>
        <w:pageBreakBefore w:val="0"/>
        <w:kinsoku/>
        <w:wordWrap/>
        <w:overflowPunct/>
        <w:topLinePunct w:val="0"/>
        <w:autoSpaceDE/>
        <w:autoSpaceDN/>
        <w:bidi w:val="0"/>
        <w:adjustRightInd w:val="0"/>
        <w:snapToGrid w:val="0"/>
        <w:spacing w:before="0" w:after="0" w:line="360" w:lineRule="auto"/>
        <w:ind w:firstLine="357" w:firstLineChars="149"/>
        <w:jc w:val="both"/>
        <w:textAlignment w:val="auto"/>
        <w:outlineLvl w:val="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十一、保密条款</w:t>
      </w:r>
    </w:p>
    <w:p w14:paraId="3CF49D9F">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23.任何一方对其获知的本合同及附件中其他各方的商业秘密和国家秘密负有保密义务。</w:t>
      </w:r>
    </w:p>
    <w:p w14:paraId="2EA541C2">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24.在下列情形下</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当发布中标公告和其它公告时，当国家机关调查、审查、审计时，以及其他符合法律规定的情形下，无须事先征求</w:t>
      </w:r>
      <w:r>
        <w:rPr>
          <w:rFonts w:hint="eastAsia" w:ascii="宋体" w:hAnsi="宋体" w:eastAsia="宋体" w:cs="宋体"/>
          <w:bCs/>
          <w:color w:val="auto"/>
          <w:sz w:val="24"/>
          <w:szCs w:val="24"/>
          <w:lang w:eastAsia="zh-CN"/>
        </w:rPr>
        <w:t>供应商</w:t>
      </w:r>
      <w:r>
        <w:rPr>
          <w:rFonts w:hint="eastAsia" w:ascii="宋体" w:hAnsi="宋体" w:eastAsia="宋体" w:cs="宋体"/>
          <w:bCs/>
          <w:color w:val="auto"/>
          <w:sz w:val="24"/>
          <w:szCs w:val="24"/>
        </w:rPr>
        <w:t>/中标供应商同意而可以披露关于采购过程、合同文本、签署情况的资料、</w:t>
      </w:r>
      <w:r>
        <w:rPr>
          <w:rFonts w:hint="eastAsia" w:ascii="宋体" w:hAnsi="宋体" w:eastAsia="宋体" w:cs="宋体"/>
          <w:bCs/>
          <w:color w:val="auto"/>
          <w:sz w:val="24"/>
          <w:szCs w:val="24"/>
          <w:lang w:eastAsia="zh-CN"/>
        </w:rPr>
        <w:t>供应商</w:t>
      </w:r>
      <w:r>
        <w:rPr>
          <w:rFonts w:hint="eastAsia" w:ascii="宋体" w:hAnsi="宋体" w:eastAsia="宋体" w:cs="宋体"/>
          <w:bCs/>
          <w:color w:val="auto"/>
          <w:sz w:val="24"/>
          <w:szCs w:val="24"/>
        </w:rPr>
        <w:t>/中标供应商的名称及地址、采购内容的有关信息以及补充条款等，但应当在合理的必要范围内。对任何已经公布过的内容或与之内容相同的资料，以及</w:t>
      </w:r>
      <w:r>
        <w:rPr>
          <w:rFonts w:hint="eastAsia" w:ascii="宋体" w:hAnsi="宋体" w:eastAsia="宋体" w:cs="宋体"/>
          <w:bCs/>
          <w:color w:val="auto"/>
          <w:sz w:val="24"/>
          <w:szCs w:val="24"/>
          <w:lang w:eastAsia="zh-CN"/>
        </w:rPr>
        <w:t>供应商</w:t>
      </w:r>
      <w:r>
        <w:rPr>
          <w:rFonts w:hint="eastAsia" w:ascii="宋体" w:hAnsi="宋体" w:eastAsia="宋体" w:cs="宋体"/>
          <w:bCs/>
          <w:color w:val="auto"/>
          <w:sz w:val="24"/>
          <w:szCs w:val="24"/>
        </w:rPr>
        <w:t>/中标供应商已经泄露或公开的，无须再承担保密责任。</w:t>
      </w:r>
    </w:p>
    <w:p w14:paraId="33825A7F">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25.此外的其它情形下，除非法律、法规另有规定或得到本合同之其他各方的书面许可，任何一方不得向第三人泄露前款规定的商业秘密和国家秘密。保密期限自任何一方获知该商业秘密和国家秘密之日起至本条规定的秘密成为公众信息之日止。</w:t>
      </w:r>
    </w:p>
    <w:p w14:paraId="2758868D">
      <w:pPr>
        <w:pStyle w:val="422"/>
        <w:keepNext/>
        <w:keepLines w:val="0"/>
        <w:pageBreakBefore w:val="0"/>
        <w:widowControl/>
        <w:kinsoku/>
        <w:wordWrap/>
        <w:overflowPunct/>
        <w:topLinePunct w:val="0"/>
        <w:autoSpaceDE/>
        <w:autoSpaceDN/>
        <w:bidi w:val="0"/>
        <w:adjustRightInd w:val="0"/>
        <w:snapToGrid w:val="0"/>
        <w:spacing w:before="0" w:after="0" w:line="360" w:lineRule="auto"/>
        <w:ind w:firstLine="357" w:firstLineChars="149"/>
        <w:jc w:val="both"/>
        <w:textAlignment w:val="auto"/>
        <w:outlineLvl w:val="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十二、合同的解释和法律适用</w:t>
      </w:r>
    </w:p>
    <w:p w14:paraId="62EA200C">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26.任何一方对本合同及其附件的解释均应遵循诚实信用原则,依照本合同签订时有效的中国法律、法规以及通常的理解进行。</w:t>
      </w:r>
    </w:p>
    <w:p w14:paraId="3DFB80DC">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27.本合同标题仅供查阅方便，并非对本合同的诠释或解释；本合同中以日表述的时间期限均指自然日。</w:t>
      </w:r>
    </w:p>
    <w:p w14:paraId="73647970">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28.对本合同的任何解释均应以书面作出。</w:t>
      </w:r>
    </w:p>
    <w:p w14:paraId="75269F34">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29.本合同及附件的订立、效力、解释、履行、争议的解决等适用本合同签订时有效的中华人民共和国法律、法规的有关规定。</w:t>
      </w:r>
    </w:p>
    <w:p w14:paraId="0C8CDB68">
      <w:pPr>
        <w:pStyle w:val="422"/>
        <w:keepLines w:val="0"/>
        <w:pageBreakBefore w:val="0"/>
        <w:kinsoku/>
        <w:wordWrap/>
        <w:overflowPunct/>
        <w:topLinePunct w:val="0"/>
        <w:autoSpaceDE/>
        <w:autoSpaceDN/>
        <w:bidi w:val="0"/>
        <w:adjustRightInd w:val="0"/>
        <w:snapToGrid w:val="0"/>
        <w:spacing w:before="0" w:after="0" w:line="360" w:lineRule="auto"/>
        <w:ind w:firstLine="357" w:firstLineChars="149"/>
        <w:jc w:val="both"/>
        <w:textAlignment w:val="auto"/>
        <w:outlineLvl w:val="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十三、合同的终止</w:t>
      </w:r>
    </w:p>
    <w:p w14:paraId="0886B532">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rPr>
        <w:t>30.本合同因下列原因而终止</w:t>
      </w:r>
      <w:r>
        <w:rPr>
          <w:rFonts w:hint="eastAsia" w:ascii="宋体" w:hAnsi="宋体" w:eastAsia="宋体" w:cs="宋体"/>
          <w:bCs/>
          <w:color w:val="auto"/>
          <w:sz w:val="24"/>
          <w:szCs w:val="24"/>
          <w:lang w:eastAsia="zh-CN"/>
        </w:rPr>
        <w:t>:</w:t>
      </w:r>
    </w:p>
    <w:p w14:paraId="3AF56BE6">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30.1本合同正常履行完毕。</w:t>
      </w:r>
    </w:p>
    <w:p w14:paraId="057B2E01">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30.2合同双方协议终止本合同的履行。</w:t>
      </w:r>
    </w:p>
    <w:p w14:paraId="4CA13DF4">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30.3不可抗力事件导致本合同无法履行或履行不必要。</w:t>
      </w:r>
    </w:p>
    <w:p w14:paraId="79D116CE">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30.4任何一方行使解除权，解除本合同。</w:t>
      </w:r>
    </w:p>
    <w:p w14:paraId="37E15CD7">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31.对本合同终止有过错的一方应赔偿另一方因合同终止而受到的损失。对合同终止双方均无过错的，则各自承担所受到的损失。</w:t>
      </w:r>
    </w:p>
    <w:p w14:paraId="13E74BC4">
      <w:pPr>
        <w:pStyle w:val="422"/>
        <w:keepLines w:val="0"/>
        <w:pageBreakBefore w:val="0"/>
        <w:kinsoku/>
        <w:wordWrap/>
        <w:overflowPunct/>
        <w:topLinePunct w:val="0"/>
        <w:autoSpaceDE/>
        <w:autoSpaceDN/>
        <w:bidi w:val="0"/>
        <w:adjustRightInd w:val="0"/>
        <w:snapToGrid w:val="0"/>
        <w:spacing w:before="0" w:after="0" w:line="360" w:lineRule="auto"/>
        <w:ind w:firstLine="357" w:firstLineChars="149"/>
        <w:jc w:val="both"/>
        <w:textAlignment w:val="auto"/>
        <w:outlineLvl w:val="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十四、权利的保留</w:t>
      </w:r>
    </w:p>
    <w:p w14:paraId="69D628BB">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32.任何一方没有行使其权利或没有就违约方的违约行为采取任何行动，不应被视为是对其权利的放弃或对追究另一方违约责任权利的放弃。任何一方放弃针对违约方的某种权利，或放弃追究违约方的某种责任，不应视为对其他权利或追究其他责任的放弃。</w:t>
      </w:r>
    </w:p>
    <w:p w14:paraId="3421FA0A">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33.如果本合同部分条款依据现行有关法律、法规被确认为无效或无法履行，且该部分无效或无法履行的条款不影响本合同其他条款效力的，本合同其他条款继续有效；同时，合同双方应根据现行有关法律、法规对该部分无效或无法履行的条款进行调整，使其依法成为有效条款，并尽量符合本合同所体现的原则和精神。</w:t>
      </w:r>
    </w:p>
    <w:p w14:paraId="186FAD43">
      <w:pPr>
        <w:pStyle w:val="422"/>
        <w:keepLines w:val="0"/>
        <w:pageBreakBefore w:val="0"/>
        <w:kinsoku/>
        <w:wordWrap/>
        <w:overflowPunct/>
        <w:topLinePunct w:val="0"/>
        <w:autoSpaceDE/>
        <w:autoSpaceDN/>
        <w:bidi w:val="0"/>
        <w:adjustRightInd w:val="0"/>
        <w:snapToGrid w:val="0"/>
        <w:spacing w:before="0" w:after="0" w:line="360" w:lineRule="auto"/>
        <w:ind w:firstLine="357" w:firstLineChars="149"/>
        <w:jc w:val="both"/>
        <w:textAlignment w:val="auto"/>
        <w:outlineLvl w:val="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十五、争议的解决</w:t>
      </w:r>
    </w:p>
    <w:p w14:paraId="7A1CEBC7">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rPr>
        <w:t>34.合同双方应通过友好协商解决因解释﹑执行本合同所发生的和本合同有关的一切争议。如果经协商不能达成协议，则双方同意</w:t>
      </w:r>
      <w:r>
        <w:rPr>
          <w:rFonts w:hint="eastAsia" w:ascii="宋体" w:hAnsi="宋体" w:eastAsia="宋体" w:cs="宋体"/>
          <w:bCs/>
          <w:color w:val="auto"/>
          <w:sz w:val="24"/>
          <w:szCs w:val="24"/>
          <w:lang w:eastAsia="zh-CN"/>
        </w:rPr>
        <w:t>:</w:t>
      </w:r>
    </w:p>
    <w:p w14:paraId="3EA48202">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34.1 在甲方住所地有管辖权的人民法院提起诉讼；</w:t>
      </w:r>
    </w:p>
    <w:p w14:paraId="6EF1CC7E">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34.2 由贸易仲裁委员会根据其现行有效的仲裁程序进行仲裁。仲裁裁决为最终裁决对双方均具有约束力。</w:t>
      </w:r>
    </w:p>
    <w:p w14:paraId="4A6E2016">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35.本合同甲、乙双方一致认为，本合同仅属于甲、乙双方之间的协议，任何争议均只应当按照本合同的约定方式处理，任何情形下采购代理机构均不应当成为该等争议的当事人，无论该等仲裁或诉讼均不得针对采购代理机构提起。</w:t>
      </w:r>
    </w:p>
    <w:p w14:paraId="3E51CE70">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36.在争议解决期间，除了诉讼或仲裁进行过程中正在解决的那部分问题外，合同其余部分应继续履行。</w:t>
      </w:r>
    </w:p>
    <w:p w14:paraId="376F51D1">
      <w:pPr>
        <w:pStyle w:val="422"/>
        <w:keepLines w:val="0"/>
        <w:pageBreakBefore w:val="0"/>
        <w:kinsoku/>
        <w:wordWrap/>
        <w:overflowPunct/>
        <w:topLinePunct w:val="0"/>
        <w:autoSpaceDE/>
        <w:autoSpaceDN/>
        <w:bidi w:val="0"/>
        <w:adjustRightInd w:val="0"/>
        <w:snapToGrid w:val="0"/>
        <w:spacing w:before="0" w:after="0" w:line="360" w:lineRule="auto"/>
        <w:ind w:firstLine="357" w:firstLineChars="149"/>
        <w:jc w:val="both"/>
        <w:textAlignment w:val="auto"/>
        <w:outlineLvl w:val="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十六、合同的补充修改和变更</w:t>
      </w:r>
    </w:p>
    <w:p w14:paraId="7C19F22C">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37.双方协商一致，可以对本合同进行补充、修改或变更。</w:t>
      </w:r>
    </w:p>
    <w:p w14:paraId="3AAA8C7F">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38.对本合同的补充、修改或变更必须以书面形式进行，并由乙方自签订补充合同之日起五日内报采购代理机构备案。补充、修改或变更的协议的签署及生效方式与本合同的签署及生效方式相同。</w:t>
      </w:r>
    </w:p>
    <w:p w14:paraId="5EBBC363">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39.招投标文件及其全部条款、双方签订的补充协议以及修改或变更的条款与本合同具有同等法律效力。</w:t>
      </w:r>
    </w:p>
    <w:p w14:paraId="6EC5BB37">
      <w:pPr>
        <w:pStyle w:val="422"/>
        <w:keepLines w:val="0"/>
        <w:pageBreakBefore w:val="0"/>
        <w:kinsoku/>
        <w:wordWrap/>
        <w:overflowPunct/>
        <w:topLinePunct w:val="0"/>
        <w:autoSpaceDE/>
        <w:autoSpaceDN/>
        <w:bidi w:val="0"/>
        <w:adjustRightInd w:val="0"/>
        <w:snapToGrid w:val="0"/>
        <w:spacing w:before="0" w:after="0" w:line="360" w:lineRule="auto"/>
        <w:ind w:firstLine="357" w:firstLineChars="149"/>
        <w:jc w:val="both"/>
        <w:textAlignment w:val="auto"/>
        <w:outlineLvl w:val="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十七、合同的生效</w:t>
      </w:r>
    </w:p>
    <w:p w14:paraId="71A64B5F">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40.本合同经双方法定代表人</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负责人</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或授权代表签字并加盖单位公章后生效。</w:t>
      </w:r>
    </w:p>
    <w:p w14:paraId="0CB92173">
      <w:pPr>
        <w:pStyle w:val="422"/>
        <w:keepLines w:val="0"/>
        <w:pageBreakBefore w:val="0"/>
        <w:kinsoku/>
        <w:wordWrap/>
        <w:overflowPunct/>
        <w:topLinePunct w:val="0"/>
        <w:autoSpaceDE/>
        <w:autoSpaceDN/>
        <w:bidi w:val="0"/>
        <w:adjustRightInd w:val="0"/>
        <w:snapToGrid w:val="0"/>
        <w:spacing w:before="0" w:after="0" w:line="360" w:lineRule="auto"/>
        <w:ind w:firstLine="357" w:firstLineChars="149"/>
        <w:jc w:val="both"/>
        <w:textAlignment w:val="auto"/>
        <w:outlineLvl w:val="2"/>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十八、其他约定事项</w:t>
      </w:r>
    </w:p>
    <w:p w14:paraId="39B2D053">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41.本合同中的附件均为本合同不可分割的部分，与本合同具有相同的法律效力。</w:t>
      </w:r>
    </w:p>
    <w:p w14:paraId="5DA4A913">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42.一方当事人未经另一方事先书面同意，不得将其在合同项下的权利或义务全部或部分转让给第三人，有关分包事项或服务委托等须事先取得采购代理机构书面同意并且须遵守相关法律、法规；有关联合投标须在本次招标允许的情况下并须符合本次招标的全部规定。</w:t>
      </w:r>
    </w:p>
    <w:p w14:paraId="70BAC79D">
      <w:pPr>
        <w:pStyle w:val="422"/>
        <w:keepLines w:val="0"/>
        <w:pageBreakBefore w:val="0"/>
        <w:kinsoku/>
        <w:wordWrap/>
        <w:overflowPunct/>
        <w:topLinePunct w:val="0"/>
        <w:autoSpaceDE/>
        <w:autoSpaceDN/>
        <w:bidi w:val="0"/>
        <w:adjustRightInd w:val="0"/>
        <w:snapToGrid w:val="0"/>
        <w:spacing w:before="0" w:after="0" w:line="360" w:lineRule="auto"/>
        <w:ind w:firstLine="422" w:firstLineChars="176"/>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43.本合同正本一式</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份，甲、乙双方各执</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rPr>
        <w:t>份，每份正本具有同等法律效力。</w:t>
      </w:r>
    </w:p>
    <w:p w14:paraId="5CCA06E5">
      <w:pPr>
        <w:snapToGrid w:val="0"/>
        <w:spacing w:line="400" w:lineRule="exact"/>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甲乙双方签字盖公章</w:t>
      </w:r>
      <w:r>
        <w:rPr>
          <w:rFonts w:hint="eastAsia" w:ascii="宋体" w:hAnsi="宋体" w:eastAsia="宋体" w:cs="宋体"/>
          <w:b w:val="0"/>
          <w:bCs w:val="0"/>
          <w:color w:val="auto"/>
          <w:sz w:val="24"/>
          <w:szCs w:val="24"/>
          <w:lang w:eastAsia="zh-CN"/>
        </w:rPr>
        <w:t>:</w:t>
      </w:r>
    </w:p>
    <w:p w14:paraId="25CA9B1B">
      <w:pPr>
        <w:snapToGrid w:val="0"/>
        <w:spacing w:line="400" w:lineRule="exact"/>
        <w:jc w:val="both"/>
        <w:textAlignment w:val="auto"/>
        <w:rPr>
          <w:rFonts w:hint="eastAsia" w:ascii="宋体" w:hAnsi="宋体" w:eastAsia="宋体" w:cs="宋体"/>
          <w:color w:val="auto"/>
          <w:sz w:val="24"/>
          <w:szCs w:val="24"/>
        </w:rPr>
      </w:pPr>
    </w:p>
    <w:p w14:paraId="3AD3CA7F">
      <w:pPr>
        <w:snapToGrid w:val="0"/>
        <w:spacing w:line="40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甲方</w:t>
      </w:r>
      <w:r>
        <w:rPr>
          <w:rFonts w:hint="eastAsia" w:ascii="宋体" w:hAnsi="宋体" w:eastAsia="宋体" w:cs="宋体"/>
          <w:color w:val="auto"/>
          <w:sz w:val="24"/>
          <w:szCs w:val="24"/>
          <w:lang w:eastAsia="zh-CN"/>
        </w:rPr>
        <w:t>:</w:t>
      </w:r>
    </w:p>
    <w:p w14:paraId="319A0B82">
      <w:pPr>
        <w:snapToGrid w:val="0"/>
        <w:spacing w:line="40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联系人</w:t>
      </w:r>
      <w:r>
        <w:rPr>
          <w:rFonts w:hint="eastAsia" w:ascii="宋体" w:hAnsi="宋体" w:eastAsia="宋体" w:cs="宋体"/>
          <w:color w:val="auto"/>
          <w:sz w:val="24"/>
          <w:szCs w:val="24"/>
          <w:lang w:eastAsia="zh-CN"/>
        </w:rPr>
        <w:t>:</w:t>
      </w:r>
    </w:p>
    <w:p w14:paraId="48283333">
      <w:pPr>
        <w:snapToGrid w:val="0"/>
        <w:spacing w:line="40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地址</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邮编</w:t>
      </w:r>
      <w:r>
        <w:rPr>
          <w:rFonts w:hint="eastAsia" w:ascii="宋体" w:hAnsi="宋体" w:eastAsia="宋体" w:cs="宋体"/>
          <w:color w:val="auto"/>
          <w:sz w:val="24"/>
          <w:szCs w:val="24"/>
          <w:lang w:eastAsia="zh-CN"/>
        </w:rPr>
        <w:t>:</w:t>
      </w:r>
    </w:p>
    <w:p w14:paraId="79BEE187">
      <w:pPr>
        <w:snapToGrid w:val="0"/>
        <w:spacing w:line="40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电话</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传真</w:t>
      </w:r>
      <w:r>
        <w:rPr>
          <w:rFonts w:hint="eastAsia" w:ascii="宋体" w:hAnsi="宋体" w:eastAsia="宋体" w:cs="宋体"/>
          <w:color w:val="auto"/>
          <w:sz w:val="24"/>
          <w:szCs w:val="24"/>
          <w:lang w:eastAsia="zh-CN"/>
        </w:rPr>
        <w:t>:</w:t>
      </w:r>
    </w:p>
    <w:p w14:paraId="0C84C5C1">
      <w:pPr>
        <w:snapToGrid w:val="0"/>
        <w:spacing w:line="40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开户银行及帐号</w:t>
      </w:r>
      <w:r>
        <w:rPr>
          <w:rFonts w:hint="eastAsia" w:ascii="宋体" w:hAnsi="宋体" w:eastAsia="宋体" w:cs="宋体"/>
          <w:color w:val="auto"/>
          <w:sz w:val="24"/>
          <w:szCs w:val="24"/>
          <w:lang w:eastAsia="zh-CN"/>
        </w:rPr>
        <w:t>:</w:t>
      </w:r>
    </w:p>
    <w:p w14:paraId="353A36D7">
      <w:pPr>
        <w:snapToGrid w:val="0"/>
        <w:spacing w:line="40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法人或授权代表</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single"/>
          <w:lang w:eastAsia="zh-CN"/>
        </w:rPr>
        <w:t>(</w:t>
      </w:r>
      <w:r>
        <w:rPr>
          <w:rFonts w:hint="eastAsia" w:ascii="宋体" w:hAnsi="宋体" w:eastAsia="宋体" w:cs="宋体"/>
          <w:color w:val="auto"/>
          <w:sz w:val="24"/>
          <w:szCs w:val="24"/>
          <w:u w:val="single"/>
        </w:rPr>
        <w:t>签名</w:t>
      </w:r>
      <w:r>
        <w:rPr>
          <w:rFonts w:hint="eastAsia" w:ascii="宋体" w:hAnsi="宋体" w:eastAsia="宋体" w:cs="宋体"/>
          <w:color w:val="auto"/>
          <w:sz w:val="24"/>
          <w:szCs w:val="24"/>
          <w:u w:val="single"/>
          <w:lang w:eastAsia="zh-CN"/>
        </w:rPr>
        <w:t>)</w:t>
      </w:r>
    </w:p>
    <w:p w14:paraId="13E081D3">
      <w:pPr>
        <w:snapToGrid w:val="0"/>
        <w:spacing w:line="400" w:lineRule="exact"/>
        <w:ind w:right="480" w:firstLine="4800" w:firstLineChars="2000"/>
        <w:rPr>
          <w:rFonts w:hint="eastAsia" w:ascii="宋体" w:hAnsi="宋体" w:eastAsia="宋体" w:cs="宋体"/>
          <w:color w:val="auto"/>
          <w:sz w:val="24"/>
          <w:szCs w:val="24"/>
        </w:rPr>
      </w:pPr>
    </w:p>
    <w:p w14:paraId="40B5E880">
      <w:pPr>
        <w:snapToGrid w:val="0"/>
        <w:spacing w:line="400" w:lineRule="exact"/>
        <w:ind w:right="480" w:firstLine="5760" w:firstLineChars="2400"/>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p w14:paraId="608209EE">
      <w:pPr>
        <w:snapToGrid w:val="0"/>
        <w:spacing w:line="400" w:lineRule="exact"/>
        <w:rPr>
          <w:rFonts w:hint="eastAsia" w:ascii="宋体" w:hAnsi="宋体" w:eastAsia="宋体" w:cs="宋体"/>
          <w:color w:val="auto"/>
          <w:sz w:val="24"/>
          <w:szCs w:val="24"/>
        </w:rPr>
      </w:pPr>
      <w:r>
        <w:rPr>
          <w:rFonts w:hint="eastAsia" w:ascii="宋体" w:hAnsi="宋体" w:eastAsia="宋体" w:cs="宋体"/>
          <w:color w:val="auto"/>
          <w:sz w:val="24"/>
          <w:szCs w:val="24"/>
        </w:rPr>
        <w:t>乙方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ab/>
      </w:r>
    </w:p>
    <w:p w14:paraId="1882D180">
      <w:pPr>
        <w:snapToGrid w:val="0"/>
        <w:spacing w:line="40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联系人</w:t>
      </w:r>
      <w:r>
        <w:rPr>
          <w:rFonts w:hint="eastAsia" w:ascii="宋体" w:hAnsi="宋体" w:eastAsia="宋体" w:cs="宋体"/>
          <w:color w:val="auto"/>
          <w:sz w:val="24"/>
          <w:szCs w:val="24"/>
          <w:lang w:eastAsia="zh-CN"/>
        </w:rPr>
        <w:t>:</w:t>
      </w:r>
    </w:p>
    <w:p w14:paraId="58F344BE">
      <w:pPr>
        <w:snapToGrid w:val="0"/>
        <w:spacing w:line="40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地址</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邮编</w:t>
      </w:r>
      <w:r>
        <w:rPr>
          <w:rFonts w:hint="eastAsia" w:ascii="宋体" w:hAnsi="宋体" w:eastAsia="宋体" w:cs="宋体"/>
          <w:color w:val="auto"/>
          <w:sz w:val="24"/>
          <w:szCs w:val="24"/>
          <w:lang w:eastAsia="zh-CN"/>
        </w:rPr>
        <w:t>:</w:t>
      </w:r>
    </w:p>
    <w:p w14:paraId="43855BC1">
      <w:pPr>
        <w:snapToGrid w:val="0"/>
        <w:spacing w:line="40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电话</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传真</w:t>
      </w:r>
      <w:r>
        <w:rPr>
          <w:rFonts w:hint="eastAsia" w:ascii="宋体" w:hAnsi="宋体" w:eastAsia="宋体" w:cs="宋体"/>
          <w:color w:val="auto"/>
          <w:sz w:val="24"/>
          <w:szCs w:val="24"/>
          <w:lang w:eastAsia="zh-CN"/>
        </w:rPr>
        <w:t>:</w:t>
      </w:r>
    </w:p>
    <w:p w14:paraId="22A50233">
      <w:pPr>
        <w:snapToGrid w:val="0"/>
        <w:spacing w:line="40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开户银行及帐号</w:t>
      </w:r>
      <w:r>
        <w:rPr>
          <w:rFonts w:hint="eastAsia" w:ascii="宋体" w:hAnsi="宋体" w:eastAsia="宋体" w:cs="宋体"/>
          <w:color w:val="auto"/>
          <w:sz w:val="24"/>
          <w:szCs w:val="24"/>
          <w:lang w:eastAsia="zh-CN"/>
        </w:rPr>
        <w:t>:</w:t>
      </w:r>
    </w:p>
    <w:p w14:paraId="15BA4FC6">
      <w:pPr>
        <w:snapToGrid w:val="0"/>
        <w:spacing w:line="40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法人或授权代表</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single"/>
          <w:lang w:eastAsia="zh-CN"/>
        </w:rPr>
        <w:t>(</w:t>
      </w:r>
      <w:r>
        <w:rPr>
          <w:rFonts w:hint="eastAsia" w:ascii="宋体" w:hAnsi="宋体" w:eastAsia="宋体" w:cs="宋体"/>
          <w:color w:val="auto"/>
          <w:sz w:val="24"/>
          <w:szCs w:val="24"/>
          <w:u w:val="single"/>
        </w:rPr>
        <w:t>签名</w:t>
      </w:r>
      <w:r>
        <w:rPr>
          <w:rFonts w:hint="eastAsia" w:ascii="宋体" w:hAnsi="宋体" w:eastAsia="宋体" w:cs="宋体"/>
          <w:color w:val="auto"/>
          <w:sz w:val="24"/>
          <w:szCs w:val="24"/>
          <w:u w:val="single"/>
          <w:lang w:eastAsia="zh-CN"/>
        </w:rPr>
        <w:t>)</w:t>
      </w:r>
    </w:p>
    <w:p w14:paraId="0A5E8A05">
      <w:pPr>
        <w:snapToGrid w:val="0"/>
        <w:spacing w:line="400" w:lineRule="exact"/>
        <w:ind w:right="480" w:firstLine="4800" w:firstLineChars="2000"/>
        <w:rPr>
          <w:rFonts w:hint="eastAsia" w:ascii="宋体" w:hAnsi="宋体" w:eastAsia="宋体" w:cs="宋体"/>
          <w:color w:val="auto"/>
          <w:sz w:val="24"/>
          <w:szCs w:val="24"/>
        </w:rPr>
      </w:pPr>
    </w:p>
    <w:p w14:paraId="3A0F8EDB">
      <w:pPr>
        <w:snapToGrid w:val="0"/>
        <w:spacing w:line="400" w:lineRule="exact"/>
        <w:ind w:right="480" w:firstLine="5760" w:firstLineChars="2400"/>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p w14:paraId="1DEF18A4">
      <w:pPr>
        <w:pStyle w:val="81"/>
        <w:snapToGrid w:val="0"/>
        <w:spacing w:afterLines="50"/>
        <w:jc w:val="left"/>
        <w:outlineLvl w:val="1"/>
        <w:rPr>
          <w:rFonts w:hint="eastAsia" w:ascii="宋体" w:hAnsi="宋体" w:eastAsia="宋体" w:cs="宋体"/>
          <w:color w:val="auto"/>
          <w:sz w:val="24"/>
          <w:szCs w:val="24"/>
          <w:lang w:eastAsia="zh-CN"/>
        </w:rPr>
      </w:pPr>
      <w:r>
        <w:rPr>
          <w:rFonts w:hint="eastAsia" w:ascii="宋体" w:hAnsi="宋体" w:eastAsia="宋体" w:cs="宋体"/>
          <w:color w:val="auto"/>
          <w:sz w:val="24"/>
          <w:szCs w:val="24"/>
        </w:rPr>
        <w:br w:type="page"/>
      </w:r>
      <w:bookmarkStart w:id="167" w:name="_Toc7530"/>
      <w:bookmarkStart w:id="168" w:name="_Toc27696"/>
      <w:bookmarkStart w:id="169" w:name="_Toc1445"/>
      <w:r>
        <w:rPr>
          <w:rFonts w:hint="eastAsia" w:ascii="宋体" w:hAnsi="宋体" w:eastAsia="宋体" w:cs="宋体"/>
          <w:color w:val="auto"/>
          <w:sz w:val="24"/>
          <w:szCs w:val="24"/>
          <w:lang w:val="en-US" w:eastAsia="zh-CN"/>
        </w:rPr>
        <w:t>合同附件一</w:t>
      </w:r>
      <w:bookmarkEnd w:id="167"/>
      <w:bookmarkStart w:id="170" w:name="_Toc23276"/>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采购需求、项目验收标准和程序</w:t>
      </w:r>
      <w:bookmarkEnd w:id="168"/>
      <w:bookmarkEnd w:id="169"/>
      <w:bookmarkEnd w:id="170"/>
    </w:p>
    <w:p w14:paraId="22C51523">
      <w:pPr>
        <w:pStyle w:val="81"/>
        <w:snapToGrid w:val="0"/>
        <w:spacing w:afterLines="50"/>
        <w:jc w:val="left"/>
        <w:outlineLvl w:val="9"/>
        <w:rPr>
          <w:rFonts w:hint="eastAsia" w:ascii="宋体" w:hAnsi="宋体" w:eastAsia="宋体" w:cs="宋体"/>
          <w:color w:val="auto"/>
          <w:sz w:val="24"/>
          <w:szCs w:val="24"/>
        </w:rPr>
      </w:pPr>
    </w:p>
    <w:p w14:paraId="42F9A87A">
      <w:pPr>
        <w:pStyle w:val="81"/>
        <w:snapToGrid w:val="0"/>
        <w:spacing w:afterLines="50"/>
        <w:jc w:val="left"/>
        <w:outlineLvl w:val="9"/>
        <w:rPr>
          <w:rFonts w:hint="eastAsia" w:ascii="宋体" w:hAnsi="宋体" w:eastAsia="宋体" w:cs="宋体"/>
          <w:color w:val="auto"/>
          <w:sz w:val="24"/>
          <w:szCs w:val="24"/>
        </w:rPr>
      </w:pPr>
    </w:p>
    <w:p w14:paraId="1DAF3E3D">
      <w:pPr>
        <w:pStyle w:val="81"/>
        <w:snapToGrid w:val="0"/>
        <w:spacing w:afterLines="50"/>
        <w:jc w:val="left"/>
        <w:outlineLvl w:val="9"/>
        <w:rPr>
          <w:rFonts w:hint="eastAsia" w:ascii="宋体" w:hAnsi="宋体" w:eastAsia="宋体" w:cs="宋体"/>
          <w:color w:val="auto"/>
          <w:sz w:val="24"/>
          <w:szCs w:val="24"/>
        </w:rPr>
      </w:pPr>
    </w:p>
    <w:p w14:paraId="4B98AAFF">
      <w:pPr>
        <w:pStyle w:val="81"/>
        <w:snapToGrid w:val="0"/>
        <w:spacing w:afterLines="50"/>
        <w:jc w:val="left"/>
        <w:outlineLvl w:val="9"/>
        <w:rPr>
          <w:rFonts w:hint="eastAsia" w:ascii="宋体" w:hAnsi="宋体" w:eastAsia="宋体" w:cs="宋体"/>
          <w:color w:val="auto"/>
          <w:sz w:val="24"/>
          <w:szCs w:val="24"/>
        </w:rPr>
      </w:pPr>
    </w:p>
    <w:p w14:paraId="05B5C01C">
      <w:pPr>
        <w:pStyle w:val="81"/>
        <w:snapToGrid w:val="0"/>
        <w:spacing w:afterLines="50"/>
        <w:jc w:val="left"/>
        <w:outlineLvl w:val="9"/>
        <w:rPr>
          <w:rFonts w:hint="eastAsia" w:ascii="宋体" w:hAnsi="宋体" w:eastAsia="宋体" w:cs="宋体"/>
          <w:color w:val="auto"/>
          <w:sz w:val="24"/>
          <w:szCs w:val="24"/>
        </w:rPr>
      </w:pPr>
    </w:p>
    <w:p w14:paraId="5D8C1A2F">
      <w:pPr>
        <w:pStyle w:val="81"/>
        <w:snapToGrid w:val="0"/>
        <w:spacing w:afterLines="50"/>
        <w:jc w:val="left"/>
        <w:outlineLvl w:val="1"/>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br w:type="page"/>
      </w:r>
      <w:bookmarkStart w:id="171" w:name="_Toc4582"/>
      <w:bookmarkStart w:id="172" w:name="_Toc28638"/>
      <w:bookmarkStart w:id="173" w:name="_Toc14515"/>
      <w:r>
        <w:rPr>
          <w:rFonts w:hint="eastAsia" w:ascii="宋体" w:hAnsi="宋体" w:eastAsia="宋体" w:cs="宋体"/>
          <w:color w:val="auto"/>
          <w:sz w:val="24"/>
          <w:szCs w:val="24"/>
          <w:lang w:val="en-US" w:eastAsia="zh-CN"/>
        </w:rPr>
        <w:t>合同附件二</w:t>
      </w:r>
      <w:bookmarkEnd w:id="171"/>
      <w:r>
        <w:rPr>
          <w:rFonts w:hint="eastAsia" w:ascii="宋体" w:hAnsi="宋体" w:eastAsia="宋体" w:cs="宋体"/>
          <w:color w:val="auto"/>
          <w:sz w:val="24"/>
          <w:szCs w:val="24"/>
          <w:lang w:val="en-US" w:eastAsia="zh-CN"/>
        </w:rPr>
        <w:t>:履约保证金担保函(格式</w:t>
      </w:r>
      <w:bookmarkEnd w:id="172"/>
      <w:r>
        <w:rPr>
          <w:rFonts w:hint="eastAsia" w:ascii="宋体" w:hAnsi="宋体" w:eastAsia="宋体" w:cs="宋体"/>
          <w:color w:val="auto"/>
          <w:sz w:val="24"/>
          <w:szCs w:val="24"/>
          <w:lang w:val="en-US" w:eastAsia="zh-CN"/>
        </w:rPr>
        <w:t>)</w:t>
      </w:r>
      <w:bookmarkEnd w:id="173"/>
    </w:p>
    <w:p w14:paraId="27E6E587">
      <w:pPr>
        <w:snapToGrid w:val="0"/>
        <w:spacing w:line="400" w:lineRule="exact"/>
        <w:jc w:val="center"/>
        <w:rPr>
          <w:rFonts w:hint="eastAsia" w:ascii="宋体" w:hAnsi="宋体" w:eastAsia="宋体" w:cs="宋体"/>
          <w:caps/>
          <w:color w:val="auto"/>
          <w:sz w:val="24"/>
          <w:szCs w:val="24"/>
          <w:lang w:val="en-US" w:eastAsia="zh-CN"/>
        </w:rPr>
      </w:pPr>
      <w:r>
        <w:rPr>
          <w:rFonts w:hint="eastAsia" w:ascii="宋体" w:hAnsi="宋体" w:eastAsia="宋体" w:cs="宋体"/>
          <w:caps/>
          <w:color w:val="auto"/>
          <w:sz w:val="24"/>
          <w:szCs w:val="24"/>
        </w:rPr>
        <w:t>履约保证金担保函</w:t>
      </w:r>
      <w:r>
        <w:rPr>
          <w:rFonts w:hint="eastAsia" w:ascii="宋体" w:hAnsi="宋体" w:eastAsia="宋体" w:cs="宋体"/>
          <w:caps/>
          <w:color w:val="auto"/>
          <w:sz w:val="24"/>
          <w:szCs w:val="24"/>
          <w:lang w:eastAsia="zh-CN"/>
        </w:rPr>
        <w:t>(</w:t>
      </w:r>
      <w:r>
        <w:rPr>
          <w:rFonts w:hint="eastAsia" w:ascii="宋体" w:hAnsi="宋体" w:eastAsia="宋体" w:cs="宋体"/>
          <w:caps/>
          <w:color w:val="auto"/>
          <w:sz w:val="24"/>
          <w:szCs w:val="24"/>
          <w:lang w:val="en-US" w:eastAsia="zh-CN"/>
        </w:rPr>
        <w:t>格式)</w:t>
      </w:r>
    </w:p>
    <w:p w14:paraId="657B08E7">
      <w:pPr>
        <w:snapToGrid w:val="0"/>
        <w:spacing w:line="400" w:lineRule="exact"/>
        <w:rPr>
          <w:rFonts w:hint="eastAsia" w:ascii="宋体" w:hAnsi="宋体" w:eastAsia="宋体" w:cs="宋体"/>
          <w:color w:val="auto"/>
          <w:sz w:val="24"/>
          <w:szCs w:val="24"/>
        </w:rPr>
      </w:pPr>
    </w:p>
    <w:p w14:paraId="236DB7F9">
      <w:pPr>
        <w:snapToGrid w:val="0"/>
        <w:spacing w:line="400" w:lineRule="exact"/>
        <w:rPr>
          <w:rFonts w:hint="eastAsia" w:ascii="宋体" w:hAnsi="宋体" w:eastAsia="宋体" w:cs="宋体"/>
          <w:b/>
          <w:color w:val="auto"/>
          <w:sz w:val="24"/>
          <w:szCs w:val="24"/>
          <w:lang w:eastAsia="zh-CN"/>
        </w:rPr>
      </w:pPr>
      <w:r>
        <w:rPr>
          <w:rFonts w:hint="eastAsia" w:ascii="宋体" w:hAnsi="宋体" w:eastAsia="宋体" w:cs="宋体"/>
          <w:color w:val="auto"/>
          <w:sz w:val="24"/>
          <w:szCs w:val="24"/>
        </w:rPr>
        <w:t>编号</w:t>
      </w:r>
      <w:r>
        <w:rPr>
          <w:rFonts w:hint="eastAsia" w:ascii="宋体" w:hAnsi="宋体" w:eastAsia="宋体" w:cs="宋体"/>
          <w:color w:val="auto"/>
          <w:sz w:val="24"/>
          <w:szCs w:val="24"/>
          <w:lang w:eastAsia="zh-CN"/>
        </w:rPr>
        <w:t>:</w:t>
      </w:r>
    </w:p>
    <w:p w14:paraId="2050150A">
      <w:pPr>
        <w:snapToGrid w:val="0"/>
        <w:spacing w:line="400" w:lineRule="exact"/>
        <w:rPr>
          <w:rFonts w:hint="eastAsia" w:ascii="宋体" w:hAnsi="宋体" w:eastAsia="宋体" w:cs="宋体"/>
          <w:color w:val="auto"/>
          <w:sz w:val="24"/>
          <w:szCs w:val="24"/>
        </w:rPr>
      </w:pPr>
      <w:r>
        <w:rPr>
          <w:rFonts w:hint="eastAsia" w:ascii="宋体" w:hAnsi="宋体" w:eastAsia="宋体" w:cs="宋体"/>
          <w:color w:val="auto"/>
          <w:sz w:val="24"/>
          <w:szCs w:val="24"/>
          <w:u w:val="single"/>
          <w:lang w:eastAsia="zh-CN"/>
        </w:rPr>
        <w:t>(</w:t>
      </w:r>
      <w:r>
        <w:rPr>
          <w:rFonts w:hint="eastAsia" w:ascii="宋体" w:hAnsi="宋体" w:eastAsia="宋体" w:cs="宋体"/>
          <w:color w:val="auto"/>
          <w:sz w:val="24"/>
          <w:szCs w:val="24"/>
          <w:u w:val="single"/>
        </w:rPr>
        <w:t>填写买方名称</w:t>
      </w:r>
      <w:r>
        <w:rPr>
          <w:rFonts w:hint="eastAsia" w:ascii="宋体" w:hAnsi="宋体" w:eastAsia="宋体" w:cs="宋体"/>
          <w:color w:val="auto"/>
          <w:sz w:val="24"/>
          <w:szCs w:val="24"/>
          <w:u w:val="single"/>
          <w:lang w:eastAsia="zh-CN"/>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w:t>
      </w:r>
    </w:p>
    <w:p w14:paraId="16B68B7E">
      <w:pPr>
        <w:snapToGrid w:val="0"/>
        <w:spacing w:line="400" w:lineRule="exact"/>
        <w:ind w:firstLine="480" w:firstLineChars="200"/>
        <w:rPr>
          <w:rFonts w:hint="eastAsia" w:ascii="宋体" w:hAnsi="宋体" w:eastAsia="宋体" w:cs="宋体"/>
          <w:color w:val="auto"/>
          <w:sz w:val="24"/>
          <w:szCs w:val="24"/>
        </w:rPr>
      </w:pPr>
    </w:p>
    <w:p w14:paraId="4724F95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rPr>
        <w:t>鉴于你方与</w:t>
      </w:r>
      <w:r>
        <w:rPr>
          <w:rFonts w:hint="eastAsia" w:ascii="宋体" w:hAnsi="宋体" w:eastAsia="宋体" w:cs="宋体"/>
          <w:color w:val="auto"/>
          <w:sz w:val="24"/>
          <w:szCs w:val="24"/>
          <w:u w:val="single"/>
          <w:lang w:eastAsia="zh-CN"/>
        </w:rPr>
        <w:t>(</w:t>
      </w:r>
      <w:r>
        <w:rPr>
          <w:rFonts w:hint="eastAsia" w:ascii="宋体" w:hAnsi="宋体" w:eastAsia="宋体" w:cs="宋体"/>
          <w:color w:val="auto"/>
          <w:sz w:val="24"/>
          <w:szCs w:val="24"/>
          <w:u w:val="single"/>
        </w:rPr>
        <w:t>填写供应商名称</w:t>
      </w:r>
      <w:r>
        <w:rPr>
          <w:rFonts w:hint="eastAsia" w:ascii="宋体" w:hAnsi="宋体" w:eastAsia="宋体" w:cs="宋体"/>
          <w:color w:val="auto"/>
          <w:sz w:val="24"/>
          <w:szCs w:val="24"/>
          <w:u w:val="single"/>
          <w:lang w:eastAsia="zh-CN"/>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以下简称供应商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日签定的《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政府采购合同》</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以下简称主合同</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，且依据该合同的约定，供应商应在</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日前向你方交纳履约保证金，且可以履约担保函的形式交纳履约保证金。应供应商的申请，我方以保证的方式向你方提供如下履约保证金担保</w:t>
      </w:r>
      <w:r>
        <w:rPr>
          <w:rFonts w:hint="eastAsia" w:ascii="宋体" w:hAnsi="宋体" w:eastAsia="宋体" w:cs="宋体"/>
          <w:color w:val="auto"/>
          <w:sz w:val="24"/>
          <w:szCs w:val="24"/>
          <w:lang w:eastAsia="zh-CN"/>
        </w:rPr>
        <w:t>:</w:t>
      </w:r>
    </w:p>
    <w:p w14:paraId="3C3324C2">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一、保证责任的情形及保证金额</w:t>
      </w:r>
    </w:p>
    <w:p w14:paraId="4990D88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一</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在供应商出现下列情形之一时，我方承担保证责任</w:t>
      </w:r>
      <w:r>
        <w:rPr>
          <w:rFonts w:hint="eastAsia" w:ascii="宋体" w:hAnsi="宋体" w:eastAsia="宋体" w:cs="宋体"/>
          <w:color w:val="auto"/>
          <w:sz w:val="24"/>
          <w:szCs w:val="24"/>
          <w:lang w:eastAsia="zh-CN"/>
        </w:rPr>
        <w:t>:</w:t>
      </w:r>
    </w:p>
    <w:p w14:paraId="7D2360E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1.将中标项目转让给他人，或者在投标文件中未说明，且未经采购人同意，将中标项目分包给他人的；</w:t>
      </w:r>
    </w:p>
    <w:p w14:paraId="0A6C77C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rPr>
        <w:t>2.未按主合同约定的质量、数量和期限执行的。</w:t>
      </w:r>
    </w:p>
    <w:p w14:paraId="7569713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二</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我方的保证范围是主合同约定的合同价款总额的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%数额为人民币</w:t>
      </w:r>
      <w:r>
        <w:rPr>
          <w:rFonts w:hint="eastAsia" w:ascii="宋体" w:hAnsi="宋体" w:eastAsia="宋体" w:cs="宋体"/>
          <w:color w:val="auto"/>
          <w:sz w:val="24"/>
          <w:szCs w:val="24"/>
          <w:u w:val="single"/>
        </w:rPr>
        <w:t xml:space="preserve">  大写金额  </w:t>
      </w:r>
      <w:r>
        <w:rPr>
          <w:rFonts w:hint="eastAsia" w:ascii="宋体" w:hAnsi="宋体" w:eastAsia="宋体" w:cs="宋体"/>
          <w:color w:val="auto"/>
          <w:sz w:val="24"/>
          <w:szCs w:val="24"/>
        </w:rPr>
        <w:t>元整</w:t>
      </w:r>
      <w:r>
        <w:rPr>
          <w:rFonts w:hint="eastAsia" w:ascii="宋体" w:hAnsi="宋体" w:eastAsia="宋体" w:cs="宋体"/>
          <w:color w:val="auto"/>
          <w:sz w:val="24"/>
          <w:szCs w:val="24"/>
          <w:lang w:eastAsia="zh-CN"/>
        </w:rPr>
        <w:t>(</w:t>
      </w:r>
      <w:r>
        <w:rPr>
          <w:rFonts w:hint="eastAsia" w:ascii="宋体" w:hAnsi="宋体" w:eastAsia="宋体" w:cs="宋体"/>
          <w:bCs/>
          <w:color w:val="auto"/>
          <w:sz w:val="24"/>
          <w:szCs w:val="24"/>
        </w:rPr>
        <w:t>¥</w:t>
      </w:r>
      <w:r>
        <w:rPr>
          <w:rFonts w:hint="eastAsia" w:ascii="宋体" w:hAnsi="宋体" w:eastAsia="宋体" w:cs="宋体"/>
          <w:bCs/>
          <w:color w:val="auto"/>
          <w:sz w:val="24"/>
          <w:szCs w:val="24"/>
          <w:u w:val="single"/>
        </w:rPr>
        <w:t>小写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即主合同履约保证金金额</w:t>
      </w:r>
      <w:r>
        <w:rPr>
          <w:rFonts w:hint="eastAsia" w:ascii="宋体" w:hAnsi="宋体" w:eastAsia="宋体" w:cs="宋体"/>
          <w:color w:val="auto"/>
          <w:sz w:val="24"/>
          <w:szCs w:val="24"/>
          <w:lang w:eastAsia="zh-CN"/>
        </w:rPr>
        <w:t>)</w:t>
      </w:r>
    </w:p>
    <w:p w14:paraId="1F9CD290">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 xml:space="preserve">二、保证的方式及保证期间 </w:t>
      </w:r>
    </w:p>
    <w:p w14:paraId="43AD32B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我方保证的方式为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连带责任保证。 </w:t>
      </w:r>
    </w:p>
    <w:p w14:paraId="76E948B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我方保证的期间为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自本合同生效之日起至供应商按照主合同约定的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服务 </w:t>
      </w:r>
      <w:r>
        <w:rPr>
          <w:rFonts w:hint="eastAsia" w:ascii="宋体" w:hAnsi="宋体" w:eastAsia="宋体" w:cs="宋体"/>
          <w:color w:val="auto"/>
          <w:sz w:val="24"/>
          <w:szCs w:val="24"/>
        </w:rPr>
        <w:t>期限届满后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日内。</w:t>
      </w:r>
    </w:p>
    <w:p w14:paraId="6B58E34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如果供应商未按主合同约定向贵方提供服务的，由我方在保证金额内向你方支付上述款项。 </w:t>
      </w:r>
    </w:p>
    <w:p w14:paraId="766EA2FE">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三、承担保证责任的程序</w:t>
      </w:r>
    </w:p>
    <w:p w14:paraId="5558EF3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rPr>
        <w:t xml:space="preserve">1.你方要求我方承担保证责任的，应在本保函保证期间内向我方发出书面索赔通知。索赔通知应写明要求索赔的金额，支付款项应到达的帐号。并附有证明供应商违约事实的证明材料。 </w:t>
      </w:r>
    </w:p>
    <w:p w14:paraId="1AAFCB5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如果你方与供应商因服务质量问题产生争议，你方还需同时提供有关部门出具的质量检测报告，或经诉讼</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仲裁</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程序裁决后的裁决书、调解书，本保证人即按照检测结果或裁决书、调解书决定是否承担保证责任。</w:t>
      </w:r>
    </w:p>
    <w:p w14:paraId="5F866A6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2.我方收到你方的书面索赔通知及相应证明材料，在</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个工作日内进行核定后按照本保函的承诺承担保证责任。</w:t>
      </w:r>
    </w:p>
    <w:p w14:paraId="50B83455">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四、保证责任的终止</w:t>
      </w:r>
    </w:p>
    <w:p w14:paraId="5397204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1.保证期满你方未向我方书面主张保证责任的，自保证期间届满次日起，我方保证责任自动终止。</w:t>
      </w:r>
    </w:p>
    <w:p w14:paraId="561044F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2.我方按照本保函向你方履行了保证责任后，自我方向你方支付款项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支付款项从我方账户划出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之日起，保证责任即终止。</w:t>
      </w:r>
    </w:p>
    <w:p w14:paraId="5964010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3.按照法律法规的规定或出现应终止我方保证责任的其它情形的，我方在本保函项下的保证责任亦终止。</w:t>
      </w:r>
    </w:p>
    <w:p w14:paraId="37C77BD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5548D3E4">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五、免责条款</w:t>
      </w:r>
    </w:p>
    <w:p w14:paraId="042227C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1.因你方违反主合同约定致使供应商不能履行义务的，我方不承担保证责任。</w:t>
      </w:r>
    </w:p>
    <w:p w14:paraId="14349B7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rPr>
        <w:t>2.依照法律法规的规定或你方与供应商的另行约定，全部或者部分免除供应商应缴纳的保证金义务的，我方亦免除相应的保证责任。</w:t>
      </w:r>
    </w:p>
    <w:p w14:paraId="1635BE4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3.因不可抗力造成供应商不能履行合同义务的，我方不承担保证责任。</w:t>
      </w:r>
    </w:p>
    <w:p w14:paraId="5E172D95">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六、争议的解决</w:t>
      </w:r>
    </w:p>
    <w:p w14:paraId="0D17866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因本保函发生的纠纷，由你我双方协商解决，协商不成的，通过诉讼程序解决，诉讼管辖地法院为法院。</w:t>
      </w:r>
    </w:p>
    <w:p w14:paraId="42119697">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 xml:space="preserve">七、保函的生效 </w:t>
      </w:r>
    </w:p>
    <w:p w14:paraId="33D42D1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本保函自我方加盖公章之日起生效。 </w:t>
      </w:r>
    </w:p>
    <w:p w14:paraId="0F70411E">
      <w:pPr>
        <w:snapToGrid w:val="0"/>
        <w:spacing w:line="400" w:lineRule="exact"/>
        <w:ind w:right="960" w:firstLine="4620"/>
        <w:jc w:val="right"/>
        <w:rPr>
          <w:rFonts w:hint="eastAsia" w:ascii="宋体" w:hAnsi="宋体" w:eastAsia="宋体" w:cs="宋体"/>
          <w:color w:val="auto"/>
          <w:sz w:val="24"/>
          <w:szCs w:val="24"/>
        </w:rPr>
      </w:pPr>
    </w:p>
    <w:p w14:paraId="0089F8AC">
      <w:pPr>
        <w:snapToGrid w:val="0"/>
        <w:spacing w:line="400" w:lineRule="exact"/>
        <w:ind w:right="960" w:firstLine="4620"/>
        <w:jc w:val="right"/>
        <w:rPr>
          <w:rFonts w:hint="eastAsia" w:ascii="宋体" w:hAnsi="宋体" w:eastAsia="宋体" w:cs="宋体"/>
          <w:color w:val="auto"/>
          <w:sz w:val="24"/>
          <w:szCs w:val="24"/>
        </w:rPr>
      </w:pPr>
    </w:p>
    <w:p w14:paraId="2F24D77D">
      <w:pPr>
        <w:snapToGrid w:val="0"/>
        <w:spacing w:line="400" w:lineRule="exact"/>
        <w:ind w:right="960" w:firstLine="4620"/>
        <w:jc w:val="center"/>
        <w:rPr>
          <w:rFonts w:hint="eastAsia" w:ascii="宋体" w:hAnsi="宋体" w:eastAsia="宋体" w:cs="宋体"/>
          <w:color w:val="auto"/>
          <w:sz w:val="24"/>
          <w:szCs w:val="24"/>
        </w:rPr>
      </w:pP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rPr>
        <w:t>保证人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公章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w:t>
      </w:r>
    </w:p>
    <w:p w14:paraId="3AD76FA2">
      <w:pPr>
        <w:snapToGrid w:val="0"/>
        <w:spacing w:line="400" w:lineRule="exact"/>
        <w:jc w:val="right"/>
        <w:rPr>
          <w:rFonts w:hint="eastAsia" w:ascii="宋体" w:hAnsi="宋体" w:eastAsia="宋体" w:cs="宋体"/>
          <w:color w:val="auto"/>
          <w:sz w:val="24"/>
          <w:szCs w:val="24"/>
        </w:rPr>
      </w:pPr>
    </w:p>
    <w:p w14:paraId="43D3C4A7">
      <w:pPr>
        <w:snapToGrid w:val="0"/>
        <w:spacing w:line="400" w:lineRule="exact"/>
        <w:jc w:val="center"/>
        <w:rPr>
          <w:rFonts w:hint="eastAsia" w:ascii="宋体" w:hAnsi="宋体" w:eastAsia="宋体" w:cs="宋体"/>
          <w:caps/>
          <w:color w:val="auto"/>
          <w:sz w:val="24"/>
          <w:szCs w:val="24"/>
        </w:rPr>
      </w:pPr>
      <w:r>
        <w:rPr>
          <w:rFonts w:hint="eastAsia" w:ascii="宋体" w:hAnsi="宋体" w:eastAsia="宋体" w:cs="宋体"/>
          <w:color w:val="auto"/>
          <w:sz w:val="24"/>
          <w:szCs w:val="24"/>
        </w:rPr>
        <w:t xml:space="preserve">                                    年   月   日</w:t>
      </w:r>
    </w:p>
    <w:p w14:paraId="7ECD5358">
      <w:pPr>
        <w:pStyle w:val="272"/>
        <w:adjustRightInd w:val="0"/>
        <w:snapToGrid w:val="0"/>
        <w:spacing w:line="400" w:lineRule="exact"/>
        <w:jc w:val="left"/>
        <w:outlineLvl w:val="1"/>
        <w:rPr>
          <w:rFonts w:hint="eastAsia" w:ascii="宋体" w:hAnsi="宋体" w:eastAsia="宋体" w:cs="宋体"/>
          <w:color w:val="auto"/>
          <w:kern w:val="2"/>
          <w:sz w:val="24"/>
          <w:szCs w:val="24"/>
          <w:lang w:eastAsia="zh-CN"/>
        </w:rPr>
      </w:pPr>
      <w:r>
        <w:rPr>
          <w:rFonts w:hint="eastAsia" w:ascii="宋体" w:hAnsi="宋体" w:eastAsia="宋体" w:cs="宋体"/>
          <w:caps/>
          <w:color w:val="auto"/>
          <w:sz w:val="24"/>
          <w:szCs w:val="24"/>
        </w:rPr>
        <w:br w:type="page"/>
      </w:r>
      <w:bookmarkStart w:id="174" w:name="_Toc477185362"/>
      <w:bookmarkStart w:id="175" w:name="_Toc11013"/>
      <w:bookmarkStart w:id="176" w:name="_Toc31512"/>
      <w:r>
        <w:rPr>
          <w:rFonts w:hint="eastAsia" w:ascii="宋体" w:hAnsi="宋体" w:eastAsia="宋体" w:cs="宋体"/>
          <w:caps w:val="0"/>
          <w:color w:val="auto"/>
          <w:kern w:val="2"/>
          <w:sz w:val="24"/>
          <w:szCs w:val="24"/>
          <w:lang w:val="en-US" w:eastAsia="zh-CN"/>
        </w:rPr>
        <w:t>合同附件三</w:t>
      </w:r>
      <w:bookmarkEnd w:id="174"/>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预付款保证金担保函</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格式</w:t>
      </w:r>
      <w:bookmarkEnd w:id="175"/>
      <w:r>
        <w:rPr>
          <w:rFonts w:hint="eastAsia" w:ascii="宋体" w:hAnsi="宋体" w:eastAsia="宋体" w:cs="宋体"/>
          <w:color w:val="auto"/>
          <w:kern w:val="2"/>
          <w:sz w:val="24"/>
          <w:szCs w:val="24"/>
          <w:lang w:eastAsia="zh-CN"/>
        </w:rPr>
        <w:t>)</w:t>
      </w:r>
      <w:bookmarkEnd w:id="176"/>
    </w:p>
    <w:p w14:paraId="1EA4E078">
      <w:pPr>
        <w:snapToGrid w:val="0"/>
        <w:spacing w:line="400" w:lineRule="exact"/>
        <w:jc w:val="both"/>
        <w:rPr>
          <w:rFonts w:hint="eastAsia" w:ascii="宋体" w:hAnsi="宋体" w:eastAsia="宋体" w:cs="宋体"/>
          <w:color w:val="auto"/>
          <w:sz w:val="24"/>
          <w:szCs w:val="24"/>
        </w:rPr>
      </w:pPr>
    </w:p>
    <w:p w14:paraId="44DD4030">
      <w:pPr>
        <w:snapToGrid w:val="0"/>
        <w:spacing w:line="400" w:lineRule="exact"/>
        <w:jc w:val="center"/>
        <w:rPr>
          <w:rFonts w:hint="eastAsia" w:ascii="宋体" w:hAnsi="宋体" w:eastAsia="宋体" w:cs="宋体"/>
          <w:caps/>
          <w:color w:val="auto"/>
          <w:sz w:val="24"/>
          <w:szCs w:val="24"/>
          <w:lang w:val="en-US" w:eastAsia="zh-CN"/>
        </w:rPr>
      </w:pPr>
      <w:r>
        <w:rPr>
          <w:rFonts w:hint="eastAsia" w:ascii="宋体" w:hAnsi="宋体" w:eastAsia="宋体" w:cs="宋体"/>
          <w:caps/>
          <w:color w:val="auto"/>
          <w:sz w:val="24"/>
          <w:szCs w:val="24"/>
        </w:rPr>
        <w:t>预付款保证金担保函</w:t>
      </w:r>
      <w:r>
        <w:rPr>
          <w:rFonts w:hint="eastAsia" w:ascii="宋体" w:hAnsi="宋体" w:eastAsia="宋体" w:cs="宋体"/>
          <w:caps/>
          <w:color w:val="auto"/>
          <w:sz w:val="24"/>
          <w:szCs w:val="24"/>
          <w:lang w:eastAsia="zh-CN"/>
        </w:rPr>
        <w:t>(</w:t>
      </w:r>
      <w:r>
        <w:rPr>
          <w:rFonts w:hint="eastAsia" w:ascii="宋体" w:hAnsi="宋体" w:eastAsia="宋体" w:cs="宋体"/>
          <w:caps/>
          <w:color w:val="auto"/>
          <w:sz w:val="24"/>
          <w:szCs w:val="24"/>
          <w:lang w:val="en-US" w:eastAsia="zh-CN"/>
        </w:rPr>
        <w:t>格式)</w:t>
      </w:r>
    </w:p>
    <w:p w14:paraId="471AC6E4">
      <w:pPr>
        <w:snapToGrid w:val="0"/>
        <w:spacing w:line="400" w:lineRule="exact"/>
        <w:rPr>
          <w:rFonts w:hint="eastAsia" w:ascii="宋体" w:hAnsi="宋体" w:eastAsia="宋体" w:cs="宋体"/>
          <w:b/>
          <w:color w:val="auto"/>
          <w:sz w:val="24"/>
          <w:szCs w:val="24"/>
          <w:lang w:eastAsia="zh-CN"/>
        </w:rPr>
      </w:pPr>
      <w:r>
        <w:rPr>
          <w:rFonts w:hint="eastAsia" w:ascii="宋体" w:hAnsi="宋体" w:eastAsia="宋体" w:cs="宋体"/>
          <w:color w:val="auto"/>
          <w:sz w:val="24"/>
          <w:szCs w:val="24"/>
        </w:rPr>
        <w:t>编号</w:t>
      </w:r>
      <w:r>
        <w:rPr>
          <w:rFonts w:hint="eastAsia" w:ascii="宋体" w:hAnsi="宋体" w:eastAsia="宋体" w:cs="宋体"/>
          <w:color w:val="auto"/>
          <w:sz w:val="24"/>
          <w:szCs w:val="24"/>
          <w:lang w:eastAsia="zh-CN"/>
        </w:rPr>
        <w:t>:</w:t>
      </w:r>
    </w:p>
    <w:p w14:paraId="0B5A4A98">
      <w:pPr>
        <w:snapToGrid w:val="0"/>
        <w:spacing w:line="400" w:lineRule="exact"/>
        <w:rPr>
          <w:rFonts w:hint="eastAsia" w:ascii="宋体" w:hAnsi="宋体" w:eastAsia="宋体" w:cs="宋体"/>
          <w:color w:val="auto"/>
          <w:sz w:val="24"/>
          <w:szCs w:val="24"/>
        </w:rPr>
      </w:pPr>
      <w:r>
        <w:rPr>
          <w:rFonts w:hint="eastAsia" w:ascii="宋体" w:hAnsi="宋体" w:eastAsia="宋体" w:cs="宋体"/>
          <w:color w:val="auto"/>
          <w:sz w:val="24"/>
          <w:szCs w:val="24"/>
          <w:u w:val="single"/>
          <w:lang w:eastAsia="zh-CN"/>
        </w:rPr>
        <w:t>(</w:t>
      </w:r>
      <w:r>
        <w:rPr>
          <w:rFonts w:hint="eastAsia" w:ascii="宋体" w:hAnsi="宋体" w:eastAsia="宋体" w:cs="宋体"/>
          <w:color w:val="auto"/>
          <w:sz w:val="24"/>
          <w:szCs w:val="24"/>
          <w:u w:val="single"/>
        </w:rPr>
        <w:t>填写买方名称</w:t>
      </w:r>
      <w:r>
        <w:rPr>
          <w:rFonts w:hint="eastAsia" w:ascii="宋体" w:hAnsi="宋体" w:eastAsia="宋体" w:cs="宋体"/>
          <w:color w:val="auto"/>
          <w:sz w:val="24"/>
          <w:szCs w:val="24"/>
          <w:u w:val="single"/>
          <w:lang w:eastAsia="zh-CN"/>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w:t>
      </w:r>
    </w:p>
    <w:p w14:paraId="29CFCC74">
      <w:pPr>
        <w:snapToGrid w:val="0"/>
        <w:spacing w:line="400" w:lineRule="exact"/>
        <w:ind w:firstLine="480" w:firstLineChars="200"/>
        <w:rPr>
          <w:rFonts w:hint="eastAsia" w:ascii="宋体" w:hAnsi="宋体" w:eastAsia="宋体" w:cs="宋体"/>
          <w:color w:val="auto"/>
          <w:sz w:val="24"/>
          <w:szCs w:val="24"/>
        </w:rPr>
      </w:pPr>
    </w:p>
    <w:p w14:paraId="0AC307F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rPr>
        <w:t>鉴于你方与</w:t>
      </w:r>
      <w:r>
        <w:rPr>
          <w:rFonts w:hint="eastAsia" w:ascii="宋体" w:hAnsi="宋体" w:eastAsia="宋体" w:cs="宋体"/>
          <w:color w:val="auto"/>
          <w:sz w:val="24"/>
          <w:szCs w:val="24"/>
          <w:u w:val="single"/>
          <w:lang w:eastAsia="zh-CN"/>
        </w:rPr>
        <w:t>(</w:t>
      </w:r>
      <w:r>
        <w:rPr>
          <w:rFonts w:hint="eastAsia" w:ascii="宋体" w:hAnsi="宋体" w:eastAsia="宋体" w:cs="宋体"/>
          <w:color w:val="auto"/>
          <w:sz w:val="24"/>
          <w:szCs w:val="24"/>
          <w:u w:val="single"/>
        </w:rPr>
        <w:t>填写供应商名称</w:t>
      </w:r>
      <w:r>
        <w:rPr>
          <w:rFonts w:hint="eastAsia" w:ascii="宋体" w:hAnsi="宋体" w:eastAsia="宋体" w:cs="宋体"/>
          <w:color w:val="auto"/>
          <w:sz w:val="24"/>
          <w:szCs w:val="24"/>
          <w:u w:val="single"/>
          <w:lang w:eastAsia="zh-CN"/>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以下简称供应商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日签定的《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政府采购合同》</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以下简称主合同</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，且依据该合同的约定，供应商应在</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日前向你方交纳预付款保证金，且可以预付款担保函的形式交纳预付款保证金。应供应商的申请，我方以保证的方式向你方提供如下预付款保证金担保</w:t>
      </w:r>
      <w:r>
        <w:rPr>
          <w:rFonts w:hint="eastAsia" w:ascii="宋体" w:hAnsi="宋体" w:eastAsia="宋体" w:cs="宋体"/>
          <w:color w:val="auto"/>
          <w:sz w:val="24"/>
          <w:szCs w:val="24"/>
          <w:lang w:eastAsia="zh-CN"/>
        </w:rPr>
        <w:t>:</w:t>
      </w:r>
    </w:p>
    <w:p w14:paraId="5824D821">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一、保证责任的情形及保证金额</w:t>
      </w:r>
    </w:p>
    <w:p w14:paraId="33F337A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一</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在供应商出现下列情形之一时，我方承担保证责任</w:t>
      </w:r>
      <w:r>
        <w:rPr>
          <w:rFonts w:hint="eastAsia" w:ascii="宋体" w:hAnsi="宋体" w:eastAsia="宋体" w:cs="宋体"/>
          <w:color w:val="auto"/>
          <w:sz w:val="24"/>
          <w:szCs w:val="24"/>
          <w:lang w:eastAsia="zh-CN"/>
        </w:rPr>
        <w:t>:</w:t>
      </w:r>
    </w:p>
    <w:p w14:paraId="3C14D11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1.将中标项目转让给他人，或者在投标文件中未说明，且未经采购人同意，将中标项目分包给他人的；</w:t>
      </w:r>
    </w:p>
    <w:p w14:paraId="4A91070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2.未按主合同约定的质量、数量和期限执行的。 </w:t>
      </w:r>
    </w:p>
    <w:p w14:paraId="3A5D23E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二</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我方的保证范围是主合同约定的合同价款总额的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%数额为人民币</w:t>
      </w:r>
      <w:r>
        <w:rPr>
          <w:rFonts w:hint="eastAsia" w:ascii="宋体" w:hAnsi="宋体" w:eastAsia="宋体" w:cs="宋体"/>
          <w:color w:val="auto"/>
          <w:sz w:val="24"/>
          <w:szCs w:val="24"/>
          <w:u w:val="single"/>
        </w:rPr>
        <w:t xml:space="preserve">  大写金额  </w:t>
      </w:r>
      <w:r>
        <w:rPr>
          <w:rFonts w:hint="eastAsia" w:ascii="宋体" w:hAnsi="宋体" w:eastAsia="宋体" w:cs="宋体"/>
          <w:color w:val="auto"/>
          <w:sz w:val="24"/>
          <w:szCs w:val="24"/>
        </w:rPr>
        <w:t>元整</w:t>
      </w:r>
      <w:r>
        <w:rPr>
          <w:rFonts w:hint="eastAsia" w:ascii="宋体" w:hAnsi="宋体" w:eastAsia="宋体" w:cs="宋体"/>
          <w:color w:val="auto"/>
          <w:sz w:val="24"/>
          <w:szCs w:val="24"/>
          <w:lang w:eastAsia="zh-CN"/>
        </w:rPr>
        <w:t>(</w:t>
      </w:r>
      <w:r>
        <w:rPr>
          <w:rFonts w:hint="eastAsia" w:ascii="宋体" w:hAnsi="宋体" w:eastAsia="宋体" w:cs="宋体"/>
          <w:bCs/>
          <w:color w:val="auto"/>
          <w:sz w:val="24"/>
          <w:szCs w:val="24"/>
        </w:rPr>
        <w:t>¥</w:t>
      </w:r>
      <w:r>
        <w:rPr>
          <w:rFonts w:hint="eastAsia" w:ascii="宋体" w:hAnsi="宋体" w:eastAsia="宋体" w:cs="宋体"/>
          <w:bCs/>
          <w:color w:val="auto"/>
          <w:sz w:val="24"/>
          <w:szCs w:val="24"/>
          <w:u w:val="single"/>
        </w:rPr>
        <w:t>小写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即主合同预付款保证金金额</w:t>
      </w:r>
      <w:r>
        <w:rPr>
          <w:rFonts w:hint="eastAsia" w:ascii="宋体" w:hAnsi="宋体" w:eastAsia="宋体" w:cs="宋体"/>
          <w:color w:val="auto"/>
          <w:sz w:val="24"/>
          <w:szCs w:val="24"/>
          <w:lang w:eastAsia="zh-CN"/>
        </w:rPr>
        <w:t>)</w:t>
      </w:r>
    </w:p>
    <w:p w14:paraId="58B234F2">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 xml:space="preserve">二、保证的方式及保证期间 </w:t>
      </w:r>
    </w:p>
    <w:p w14:paraId="05CD2FF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我方保证的方式为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连带责任保证。 </w:t>
      </w:r>
    </w:p>
    <w:p w14:paraId="4480062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我方保证的期间为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自本合同生效之日起至供应商按照主合同约定的服务完工期限届满后日内。</w:t>
      </w:r>
    </w:p>
    <w:p w14:paraId="5817866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如果供应商未按主合同约定向贵方提供服务的，由我方在保证金额内向你方支付上述款项。 </w:t>
      </w:r>
    </w:p>
    <w:p w14:paraId="2220292A">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三、承担保证责任的程序</w:t>
      </w:r>
    </w:p>
    <w:p w14:paraId="05E4C05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rPr>
        <w:t xml:space="preserve">1.你方要求我方承担保证责任的，应在本保函保证期间内向我方发出书面索赔通知。索赔通知应写明要求索赔的金额，支付款项应到达的帐号。并附有证明供应商违约事实的证明材料。 </w:t>
      </w:r>
    </w:p>
    <w:p w14:paraId="6D43F1B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如果你方与供应商因服务质量问题产生争议，你方还需同时提供有关部门出具的质量检测报告，或经诉讼</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仲裁</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程序裁决后的裁决书、调解书，本保证人即按照检测结果或裁决书、调解书决定是否承担保证责任。</w:t>
      </w:r>
    </w:p>
    <w:p w14:paraId="2C214FD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2.我方收到你方的书面索赔通知及相应证明材料，在工作日内进行核定后按照本保函的承诺承担保证责任。</w:t>
      </w:r>
    </w:p>
    <w:p w14:paraId="64B54564">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四、保证责任的终止</w:t>
      </w:r>
    </w:p>
    <w:p w14:paraId="3614FAB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1.保证期间届满你方未向我方书面主张保证责任的，自保证期间届满次日起，我方保证责任自动终止。</w:t>
      </w:r>
    </w:p>
    <w:p w14:paraId="782FC53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2.我方按照本保函向你方履行了保证责任后，自我方向你方支付款项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支付款项从我方账户划出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之日起，保证责任即终止。</w:t>
      </w:r>
    </w:p>
    <w:p w14:paraId="62575F8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3.按照法律法规的规定或出现应终止我方保证责任的其它情形的，我方在本保函项下的保证责任亦终止。</w:t>
      </w:r>
    </w:p>
    <w:p w14:paraId="56C0B8B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1AD7E86B">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五、免责条款</w:t>
      </w:r>
    </w:p>
    <w:p w14:paraId="2B1B89F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1.因你方违反主合同约定致使供应商不能履行义务的，我方不承担保证责任。</w:t>
      </w:r>
    </w:p>
    <w:p w14:paraId="620EA24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rPr>
        <w:t>2.依照法律法规的规定或你方与供应商的另行约定，全部或者部分免除供应商应缴纳的保证金义务的，我方亦免除相应的保证责任。</w:t>
      </w:r>
    </w:p>
    <w:p w14:paraId="2623520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3.因不可抗力造成供应商不能履行合同义务的，我方不承担保证责任。</w:t>
      </w:r>
    </w:p>
    <w:p w14:paraId="514C92FF">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六、争议的解决</w:t>
      </w:r>
    </w:p>
    <w:p w14:paraId="4B5713F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因本保函发生的纠纷，由你我双方协商解决，协商不成的，通过诉讼程序解决，诉讼管辖地法院为法院。</w:t>
      </w:r>
    </w:p>
    <w:p w14:paraId="11EB9C09">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 xml:space="preserve">七、保函的生效 </w:t>
      </w:r>
    </w:p>
    <w:p w14:paraId="1D76961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本保函自我方加盖公章之日起生效。 </w:t>
      </w:r>
    </w:p>
    <w:p w14:paraId="166F8C81">
      <w:pPr>
        <w:snapToGrid w:val="0"/>
        <w:spacing w:line="400" w:lineRule="exact"/>
        <w:ind w:right="960" w:firstLine="4620"/>
        <w:jc w:val="right"/>
        <w:rPr>
          <w:rFonts w:hint="eastAsia" w:ascii="宋体" w:hAnsi="宋体" w:eastAsia="宋体" w:cs="宋体"/>
          <w:color w:val="auto"/>
          <w:sz w:val="24"/>
          <w:szCs w:val="24"/>
        </w:rPr>
      </w:pPr>
    </w:p>
    <w:p w14:paraId="25596ABA">
      <w:pPr>
        <w:snapToGrid w:val="0"/>
        <w:spacing w:line="400" w:lineRule="exact"/>
        <w:ind w:right="960" w:firstLine="4620"/>
        <w:jc w:val="right"/>
        <w:rPr>
          <w:rFonts w:hint="eastAsia" w:ascii="宋体" w:hAnsi="宋体" w:eastAsia="宋体" w:cs="宋体"/>
          <w:color w:val="auto"/>
          <w:sz w:val="24"/>
          <w:szCs w:val="24"/>
        </w:rPr>
      </w:pPr>
    </w:p>
    <w:p w14:paraId="2415CEE1">
      <w:pPr>
        <w:snapToGrid w:val="0"/>
        <w:spacing w:line="400" w:lineRule="exact"/>
        <w:ind w:right="960" w:firstLine="4620"/>
        <w:jc w:val="center"/>
        <w:rPr>
          <w:rFonts w:hint="eastAsia" w:ascii="宋体" w:hAnsi="宋体" w:eastAsia="宋体" w:cs="宋体"/>
          <w:color w:val="auto"/>
          <w:sz w:val="24"/>
          <w:szCs w:val="24"/>
        </w:rPr>
      </w:pP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rPr>
        <w:t>保证人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公章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w:t>
      </w:r>
    </w:p>
    <w:p w14:paraId="3367BD8A">
      <w:pPr>
        <w:snapToGrid w:val="0"/>
        <w:spacing w:line="400" w:lineRule="exact"/>
        <w:jc w:val="right"/>
        <w:rPr>
          <w:rFonts w:hint="eastAsia" w:ascii="宋体" w:hAnsi="宋体" w:eastAsia="宋体" w:cs="宋体"/>
          <w:color w:val="auto"/>
          <w:sz w:val="24"/>
          <w:szCs w:val="24"/>
        </w:rPr>
      </w:pPr>
    </w:p>
    <w:p w14:paraId="5821F4DE">
      <w:pPr>
        <w:snapToGrid w:val="0"/>
        <w:spacing w:line="400" w:lineRule="exact"/>
        <w:jc w:val="center"/>
        <w:rPr>
          <w:rFonts w:hint="eastAsia" w:ascii="宋体" w:hAnsi="宋体" w:eastAsia="宋体" w:cs="宋体"/>
          <w:caps/>
          <w:color w:val="auto"/>
          <w:sz w:val="24"/>
          <w:szCs w:val="24"/>
        </w:rPr>
      </w:pPr>
      <w:r>
        <w:rPr>
          <w:rFonts w:hint="eastAsia" w:ascii="宋体" w:hAnsi="宋体" w:eastAsia="宋体" w:cs="宋体"/>
          <w:color w:val="auto"/>
          <w:sz w:val="24"/>
          <w:szCs w:val="24"/>
        </w:rPr>
        <w:t xml:space="preserve">                                    年   月   日</w:t>
      </w:r>
    </w:p>
    <w:p w14:paraId="4C1DFC61">
      <w:pPr>
        <w:snapToGrid w:val="0"/>
        <w:spacing w:line="400" w:lineRule="exact"/>
        <w:jc w:val="center"/>
        <w:rPr>
          <w:rFonts w:ascii="方正小标宋简体" w:hAnsi="微软雅黑" w:eastAsia="方正小标宋简体" w:cs="方正小标宋简体"/>
          <w:caps/>
          <w:color w:val="auto"/>
          <w:sz w:val="32"/>
          <w:szCs w:val="32"/>
        </w:rPr>
      </w:pPr>
    </w:p>
    <w:p w14:paraId="225827C3">
      <w:pPr>
        <w:snapToGrid w:val="0"/>
        <w:spacing w:line="360" w:lineRule="auto"/>
        <w:jc w:val="both"/>
        <w:rPr>
          <w:rFonts w:ascii="方正楷体简体" w:eastAsia="方正楷体简体" w:cs="Times New Roman"/>
          <w:color w:val="auto"/>
          <w:sz w:val="28"/>
          <w:szCs w:val="28"/>
        </w:rPr>
      </w:pPr>
    </w:p>
    <w:p w14:paraId="126F3C26">
      <w:pPr>
        <w:snapToGrid w:val="0"/>
        <w:spacing w:line="360" w:lineRule="auto"/>
        <w:jc w:val="both"/>
        <w:rPr>
          <w:rFonts w:ascii="方正小标宋简体" w:hAnsi="微软雅黑" w:eastAsia="方正小标宋简体" w:cs="方正小标宋简体"/>
          <w:caps/>
          <w:color w:val="auto"/>
          <w:sz w:val="32"/>
          <w:szCs w:val="32"/>
        </w:rPr>
      </w:pPr>
      <w:r>
        <w:rPr>
          <w:rFonts w:ascii="方正楷体简体" w:eastAsia="方正楷体简体" w:cs="Times New Roman"/>
          <w:color w:val="auto"/>
          <w:sz w:val="28"/>
          <w:szCs w:val="28"/>
        </w:rPr>
        <w:br w:type="page"/>
      </w:r>
    </w:p>
    <w:p w14:paraId="63970FFD">
      <w:pPr>
        <w:snapToGrid w:val="0"/>
        <w:spacing w:afterLines="50"/>
        <w:jc w:val="center"/>
        <w:outlineLvl w:val="0"/>
        <w:rPr>
          <w:rFonts w:hint="eastAsia" w:ascii="宋体" w:hAnsi="宋体" w:eastAsia="宋体" w:cs="宋体"/>
          <w:b/>
          <w:bCs/>
          <w:color w:val="auto"/>
          <w:kern w:val="0"/>
          <w:sz w:val="24"/>
          <w:szCs w:val="24"/>
          <w:highlight w:val="none"/>
          <w:lang w:eastAsia="zh-CN"/>
        </w:rPr>
      </w:pPr>
      <w:bookmarkStart w:id="177" w:name="_Toc3921"/>
      <w:bookmarkStart w:id="178" w:name="_Toc5156"/>
      <w:bookmarkStart w:id="179" w:name="_Toc3180"/>
      <w:bookmarkStart w:id="180" w:name="_Toc12898"/>
      <w:bookmarkStart w:id="181" w:name="_Toc16172"/>
      <w:bookmarkStart w:id="182" w:name="_Toc14167"/>
      <w:bookmarkStart w:id="183" w:name="_Toc11689"/>
      <w:bookmarkStart w:id="184" w:name="_Toc22084"/>
      <w:bookmarkStart w:id="185" w:name="_Toc13663"/>
      <w:bookmarkStart w:id="186" w:name="_Toc1195"/>
      <w:r>
        <w:rPr>
          <w:rFonts w:hint="eastAsia"/>
          <w:b/>
          <w:bCs/>
          <w:color w:val="auto"/>
          <w:sz w:val="32"/>
          <w:szCs w:val="32"/>
          <w:highlight w:val="none"/>
        </w:rPr>
        <w:t>第五章</w:t>
      </w:r>
      <w:r>
        <w:rPr>
          <w:rFonts w:hint="eastAsia"/>
          <w:b/>
          <w:bCs/>
          <w:color w:val="auto"/>
          <w:sz w:val="32"/>
          <w:szCs w:val="32"/>
          <w:highlight w:val="none"/>
          <w:lang w:val="en-US" w:eastAsia="zh-CN"/>
        </w:rPr>
        <w:t xml:space="preserve"> </w:t>
      </w:r>
      <w:r>
        <w:rPr>
          <w:rFonts w:hint="eastAsia"/>
          <w:b/>
          <w:bCs/>
          <w:color w:val="auto"/>
          <w:sz w:val="32"/>
          <w:szCs w:val="32"/>
          <w:highlight w:val="none"/>
        </w:rPr>
        <w:t>采购需求</w:t>
      </w:r>
      <w:bookmarkEnd w:id="177"/>
      <w:bookmarkEnd w:id="178"/>
      <w:bookmarkEnd w:id="179"/>
    </w:p>
    <w:bookmarkEnd w:id="180"/>
    <w:bookmarkEnd w:id="181"/>
    <w:bookmarkEnd w:id="182"/>
    <w:bookmarkEnd w:id="183"/>
    <w:bookmarkEnd w:id="184"/>
    <w:p w14:paraId="7B1410AD">
      <w:pPr>
        <w:keepNext w:val="0"/>
        <w:keepLines w:val="0"/>
        <w:pageBreakBefore w:val="0"/>
        <w:widowControl/>
        <w:shd w:val="clear"/>
        <w:kinsoku/>
        <w:wordWrap/>
        <w:overflowPunct/>
        <w:topLinePunct w:val="0"/>
        <w:autoSpaceDE/>
        <w:autoSpaceDN/>
        <w:bidi w:val="0"/>
        <w:adjustRightInd w:val="0"/>
        <w:snapToGrid w:val="0"/>
        <w:spacing w:beforeAutospacing="0" w:afterAutospacing="0" w:line="360" w:lineRule="auto"/>
        <w:ind w:firstLine="0" w:firstLineChars="0"/>
        <w:jc w:val="left"/>
        <w:textAlignment w:val="auto"/>
        <w:outlineLvl w:val="1"/>
        <w:rPr>
          <w:rFonts w:hint="eastAsia" w:ascii="宋体" w:hAnsi="宋体" w:eastAsia="宋体" w:cs="宋体"/>
          <w:b/>
          <w:bCs/>
          <w:color w:val="auto"/>
          <w:kern w:val="0"/>
          <w:sz w:val="24"/>
          <w:szCs w:val="24"/>
          <w:highlight w:val="none"/>
          <w:lang w:val="en-US" w:eastAsia="zh-CN"/>
        </w:rPr>
      </w:pPr>
      <w:bookmarkStart w:id="187" w:name="_Toc3798"/>
      <w:r>
        <w:rPr>
          <w:rFonts w:hint="eastAsia" w:ascii="宋体" w:hAnsi="宋体" w:eastAsia="宋体" w:cs="宋体"/>
          <w:b/>
          <w:bCs/>
          <w:color w:val="auto"/>
          <w:kern w:val="0"/>
          <w:sz w:val="24"/>
          <w:szCs w:val="24"/>
          <w:highlight w:val="none"/>
          <w:lang w:val="en-US" w:eastAsia="zh-CN"/>
        </w:rPr>
        <w:t>(一)采购服务需实现的功能或者目标</w:t>
      </w:r>
    </w:p>
    <w:p w14:paraId="0DF801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按照昌吉市市委、市政府的总体要求及城市管理局相关规定，现须采购昌吉市道路保洁、垃圾清运、公厕管理、园林绿化、市政养护、执法辅助、数字城管等其他服务工作。</w:t>
      </w:r>
    </w:p>
    <w:p w14:paraId="126BA3BE">
      <w:pPr>
        <w:keepNext w:val="0"/>
        <w:keepLines w:val="0"/>
        <w:pageBreakBefore w:val="0"/>
        <w:widowControl/>
        <w:shd w:val="clear"/>
        <w:kinsoku/>
        <w:wordWrap/>
        <w:overflowPunct/>
        <w:topLinePunct w:val="0"/>
        <w:autoSpaceDE/>
        <w:autoSpaceDN/>
        <w:bidi w:val="0"/>
        <w:adjustRightInd w:val="0"/>
        <w:snapToGrid w:val="0"/>
        <w:spacing w:beforeAutospacing="0" w:afterAutospacing="0" w:line="360" w:lineRule="auto"/>
        <w:ind w:firstLine="0" w:firstLineChars="0"/>
        <w:jc w:val="left"/>
        <w:textAlignment w:val="auto"/>
        <w:outlineLvl w:val="1"/>
        <w:rPr>
          <w:rFonts w:hint="eastAsia" w:ascii="宋体" w:hAnsi="宋体" w:eastAsia="宋体" w:cs="宋体"/>
          <w:b/>
          <w:bCs/>
          <w:color w:val="auto"/>
          <w:kern w:val="0"/>
          <w:sz w:val="24"/>
          <w:szCs w:val="24"/>
          <w:highlight w:val="none"/>
          <w:lang w:val="en-US" w:eastAsia="zh-CN"/>
        </w:rPr>
      </w:pPr>
      <w:bookmarkStart w:id="188" w:name="_Toc3864"/>
      <w:r>
        <w:rPr>
          <w:rFonts w:hint="eastAsia" w:ascii="宋体" w:hAnsi="宋体" w:eastAsia="宋体" w:cs="宋体"/>
          <w:b/>
          <w:bCs/>
          <w:color w:val="auto"/>
          <w:kern w:val="0"/>
          <w:sz w:val="24"/>
          <w:szCs w:val="24"/>
          <w:highlight w:val="none"/>
          <w:lang w:val="en-US" w:eastAsia="zh-CN"/>
        </w:rPr>
        <w:t>(二)</w:t>
      </w:r>
      <w:r>
        <w:rPr>
          <w:rFonts w:hint="eastAsia" w:ascii="宋体" w:hAnsi="宋体" w:eastAsia="宋体" w:cs="宋体"/>
          <w:b/>
          <w:bCs/>
          <w:color w:val="auto"/>
          <w:kern w:val="0"/>
          <w:sz w:val="24"/>
          <w:szCs w:val="24"/>
          <w:highlight w:val="none"/>
          <w:lang w:eastAsia="zh-CN"/>
        </w:rPr>
        <w:t>采购</w:t>
      </w:r>
      <w:r>
        <w:rPr>
          <w:rFonts w:hint="eastAsia" w:ascii="宋体" w:hAnsi="宋体" w:eastAsia="宋体" w:cs="宋体"/>
          <w:b/>
          <w:bCs/>
          <w:color w:val="auto"/>
          <w:kern w:val="0"/>
          <w:sz w:val="24"/>
          <w:szCs w:val="24"/>
          <w:highlight w:val="none"/>
          <w:lang w:val="en-US" w:eastAsia="zh-CN"/>
        </w:rPr>
        <w:t>服务</w:t>
      </w:r>
      <w:r>
        <w:rPr>
          <w:rFonts w:hint="eastAsia" w:ascii="宋体" w:hAnsi="宋体" w:eastAsia="宋体" w:cs="宋体"/>
          <w:b/>
          <w:bCs/>
          <w:color w:val="auto"/>
          <w:kern w:val="0"/>
          <w:sz w:val="24"/>
          <w:szCs w:val="24"/>
          <w:highlight w:val="none"/>
          <w:lang w:eastAsia="zh-CN"/>
        </w:rPr>
        <w:t>需执行的国家相关标准、行业标准、地方标准或者其他标准、规范</w:t>
      </w:r>
      <w:bookmarkEnd w:id="188"/>
    </w:p>
    <w:p w14:paraId="016C751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《国家卫生城市标准》</w:t>
      </w:r>
    </w:p>
    <w:p w14:paraId="5FFA26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《中华人民共和国固体废物污染环境防治法》（中华人民共和国主席令第58号）</w:t>
      </w:r>
    </w:p>
    <w:p w14:paraId="537C6C6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《城市市容和环境卫生管理条例》（国务院令第101号）</w:t>
      </w:r>
    </w:p>
    <w:p w14:paraId="6251330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《城市生活垃圾管理办法》（建设部令第157号）</w:t>
      </w:r>
    </w:p>
    <w:p w14:paraId="1EB3503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《生活垃圾无害化填埋标准》（CJJ17-2004 ）</w:t>
      </w:r>
    </w:p>
    <w:p w14:paraId="6839866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《生活垃圾渗滤液处理技术规范》（CJJ150-2010）</w:t>
      </w:r>
    </w:p>
    <w:p w14:paraId="6040186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《城市建筑垃圾管理规定》（建设部令第139号）</w:t>
      </w:r>
    </w:p>
    <w:p w14:paraId="2E9353A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《新疆维吾尔自治区工程建设标准--城市绿地养护管理标准》XJJ046-2012</w:t>
      </w:r>
    </w:p>
    <w:p w14:paraId="521E096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Hans"/>
        </w:rPr>
        <w:t>《</w:t>
      </w:r>
      <w:r>
        <w:rPr>
          <w:rFonts w:hint="eastAsia"/>
          <w:color w:val="auto"/>
          <w:sz w:val="24"/>
          <w:szCs w:val="24"/>
          <w:lang w:val="en-US" w:eastAsia="zh-CN"/>
        </w:rPr>
        <w:t>昌吉市园林绿化管理局标准-城市绿化 养护考核</w:t>
      </w:r>
      <w:r>
        <w:rPr>
          <w:rFonts w:hint="eastAsia"/>
          <w:color w:val="auto"/>
          <w:sz w:val="24"/>
          <w:szCs w:val="24"/>
          <w:lang w:val="en-US" w:eastAsia="zh-Hans"/>
        </w:rPr>
        <w:t>》</w:t>
      </w:r>
      <w:r>
        <w:rPr>
          <w:rFonts w:hint="eastAsia"/>
          <w:color w:val="auto"/>
          <w:sz w:val="24"/>
          <w:szCs w:val="24"/>
          <w:lang w:val="en-US" w:eastAsia="zh-CN"/>
        </w:rPr>
        <w:t>Q/YLB 007—2017</w:t>
      </w:r>
    </w:p>
    <w:p w14:paraId="2F09FD42">
      <w:pPr>
        <w:keepNext w:val="0"/>
        <w:keepLines w:val="0"/>
        <w:pageBreakBefore w:val="0"/>
        <w:widowControl/>
        <w:shd w:val="clear"/>
        <w:kinsoku/>
        <w:wordWrap/>
        <w:overflowPunct/>
        <w:topLinePunct w:val="0"/>
        <w:autoSpaceDE/>
        <w:autoSpaceDN/>
        <w:bidi w:val="0"/>
        <w:adjustRightInd w:val="0"/>
        <w:snapToGrid w:val="0"/>
        <w:spacing w:beforeAutospacing="0" w:afterAutospacing="0" w:line="360" w:lineRule="auto"/>
        <w:ind w:firstLine="0" w:firstLineChars="0"/>
        <w:jc w:val="left"/>
        <w:textAlignment w:val="auto"/>
        <w:outlineLvl w:val="1"/>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（三）服务范围及服务工作、考核细则</w:t>
      </w:r>
    </w:p>
    <w:p w14:paraId="07A2BA4D">
      <w:pPr>
        <w:keepNext w:val="0"/>
        <w:keepLines w:val="0"/>
        <w:pageBreakBefore w:val="0"/>
        <w:widowControl/>
        <w:shd w:val="clear"/>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b/>
          <w:bCs/>
          <w:color w:val="auto"/>
          <w:kern w:val="0"/>
          <w:sz w:val="28"/>
          <w:szCs w:val="28"/>
          <w:highlight w:val="none"/>
          <w:lang w:val="en-US" w:eastAsia="zh-CN"/>
        </w:rPr>
      </w:pPr>
      <w:r>
        <w:rPr>
          <w:rFonts w:hint="eastAsia" w:ascii="宋体" w:hAnsi="宋体" w:eastAsia="宋体" w:cs="宋体"/>
          <w:b/>
          <w:bCs/>
          <w:color w:val="auto"/>
          <w:kern w:val="0"/>
          <w:sz w:val="28"/>
          <w:szCs w:val="28"/>
          <w:highlight w:val="none"/>
          <w:lang w:val="en-US" w:eastAsia="zh-CN"/>
        </w:rPr>
        <w:t>（1）市容环卫</w:t>
      </w:r>
    </w:p>
    <w:p w14:paraId="3F3ECD4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概述：负责昌吉市</w:t>
      </w:r>
      <w:r>
        <w:rPr>
          <w:rFonts w:hint="eastAsia" w:ascii="宋体" w:hAnsi="宋体" w:cs="宋体"/>
          <w:b w:val="0"/>
          <w:color w:val="auto"/>
          <w:kern w:val="0"/>
          <w:sz w:val="24"/>
          <w:szCs w:val="24"/>
          <w:lang w:val="en-US" w:eastAsia="zh-CN" w:bidi="ar"/>
        </w:rPr>
        <w:t>166条</w:t>
      </w:r>
      <w:r>
        <w:rPr>
          <w:rFonts w:hint="eastAsia" w:ascii="宋体" w:hAnsi="宋体" w:eastAsia="宋体" w:cs="宋体"/>
          <w:b w:val="0"/>
          <w:color w:val="auto"/>
          <w:kern w:val="0"/>
          <w:sz w:val="24"/>
          <w:szCs w:val="24"/>
          <w:lang w:val="en-US" w:eastAsia="zh-CN" w:bidi="ar"/>
        </w:rPr>
        <w:t>主次干道机械化清扫、洒水降尘、清雪及积雪拉运工作，道路清扫保洁总面积</w:t>
      </w:r>
      <w:r>
        <w:rPr>
          <w:rFonts w:hint="eastAsia" w:ascii="宋体" w:hAnsi="宋体" w:cs="宋体"/>
          <w:b w:val="0"/>
          <w:color w:val="auto"/>
          <w:kern w:val="0"/>
          <w:sz w:val="24"/>
          <w:szCs w:val="24"/>
          <w:lang w:val="en-US" w:eastAsia="zh-CN" w:bidi="ar"/>
        </w:rPr>
        <w:t>1317.59</w:t>
      </w:r>
      <w:r>
        <w:rPr>
          <w:rFonts w:hint="eastAsia" w:ascii="宋体" w:hAnsi="宋体" w:eastAsia="宋体" w:cs="宋体"/>
          <w:b w:val="0"/>
          <w:color w:val="auto"/>
          <w:kern w:val="0"/>
          <w:sz w:val="24"/>
          <w:szCs w:val="24"/>
          <w:lang w:val="en-US" w:eastAsia="zh-CN" w:bidi="ar"/>
        </w:rPr>
        <w:t>万㎡。</w:t>
      </w:r>
      <w:r>
        <w:rPr>
          <w:rFonts w:hint="eastAsia" w:ascii="宋体" w:hAnsi="宋体" w:cs="宋体"/>
          <w:b w:val="0"/>
          <w:color w:val="auto"/>
          <w:kern w:val="0"/>
          <w:sz w:val="24"/>
          <w:szCs w:val="24"/>
          <w:lang w:val="en-US" w:eastAsia="zh-CN" w:bidi="ar"/>
        </w:rPr>
        <w:t>其中：</w:t>
      </w:r>
      <w:r>
        <w:rPr>
          <w:rFonts w:hint="eastAsia" w:ascii="宋体" w:hAnsi="宋体" w:eastAsia="宋体" w:cs="宋体"/>
          <w:b w:val="0"/>
          <w:color w:val="auto"/>
          <w:kern w:val="0"/>
          <w:sz w:val="24"/>
          <w:szCs w:val="24"/>
          <w:lang w:val="en-US" w:eastAsia="zh-CN" w:bidi="ar"/>
        </w:rPr>
        <w:t>机械化清扫、清雪面积</w:t>
      </w:r>
      <w:r>
        <w:rPr>
          <w:rFonts w:hint="eastAsia" w:ascii="宋体" w:hAnsi="宋体" w:cs="宋体"/>
          <w:b w:val="0"/>
          <w:color w:val="auto"/>
          <w:kern w:val="0"/>
          <w:sz w:val="24"/>
          <w:szCs w:val="24"/>
          <w:lang w:val="en-US" w:eastAsia="zh-CN" w:bidi="ar"/>
        </w:rPr>
        <w:t>672.83</w:t>
      </w:r>
      <w:r>
        <w:rPr>
          <w:rFonts w:hint="eastAsia" w:ascii="宋体" w:hAnsi="宋体" w:eastAsia="宋体" w:cs="宋体"/>
          <w:b w:val="0"/>
          <w:color w:val="auto"/>
          <w:kern w:val="0"/>
          <w:sz w:val="24"/>
          <w:szCs w:val="24"/>
          <w:lang w:val="en-US" w:eastAsia="zh-CN" w:bidi="ar"/>
        </w:rPr>
        <w:t>万㎡，人工清扫保洁面积</w:t>
      </w:r>
      <w:r>
        <w:rPr>
          <w:rFonts w:hint="eastAsia" w:ascii="宋体" w:hAnsi="宋体" w:cs="宋体"/>
          <w:b w:val="0"/>
          <w:color w:val="auto"/>
          <w:kern w:val="0"/>
          <w:sz w:val="24"/>
          <w:szCs w:val="24"/>
          <w:lang w:val="en-US" w:eastAsia="zh-CN" w:bidi="ar"/>
        </w:rPr>
        <w:t>644</w:t>
      </w:r>
      <w:r>
        <w:rPr>
          <w:rFonts w:hint="eastAsia" w:ascii="宋体" w:hAnsi="宋体" w:eastAsia="宋体" w:cs="宋体"/>
          <w:b w:val="0"/>
          <w:color w:val="auto"/>
          <w:kern w:val="0"/>
          <w:sz w:val="24"/>
          <w:szCs w:val="24"/>
          <w:lang w:val="en-US" w:eastAsia="zh-CN" w:bidi="ar"/>
        </w:rPr>
        <w:t>.76万㎡。负责维修管护公共环卫设施4699个，清洗擦拭道路护栏49.3公里、公交站台</w:t>
      </w:r>
      <w:r>
        <w:rPr>
          <w:rFonts w:hint="eastAsia" w:ascii="宋体" w:hAnsi="宋体" w:cs="宋体"/>
          <w:b w:val="0"/>
          <w:color w:val="auto"/>
          <w:kern w:val="0"/>
          <w:sz w:val="24"/>
          <w:szCs w:val="24"/>
          <w:lang w:val="en-US" w:eastAsia="zh-CN" w:bidi="ar"/>
        </w:rPr>
        <w:t>279</w:t>
      </w:r>
      <w:r>
        <w:rPr>
          <w:rFonts w:hint="eastAsia" w:ascii="宋体" w:hAnsi="宋体" w:eastAsia="宋体" w:cs="宋体"/>
          <w:b w:val="0"/>
          <w:color w:val="auto"/>
          <w:kern w:val="0"/>
          <w:sz w:val="24"/>
          <w:szCs w:val="24"/>
          <w:lang w:val="en-US" w:eastAsia="zh-CN" w:bidi="ar"/>
        </w:rPr>
        <w:t>个、路灯杆8900个；管理免费公厕</w:t>
      </w:r>
      <w:r>
        <w:rPr>
          <w:rFonts w:hint="eastAsia" w:ascii="宋体" w:hAnsi="宋体" w:cs="宋体"/>
          <w:b w:val="0"/>
          <w:color w:val="auto"/>
          <w:kern w:val="0"/>
          <w:sz w:val="24"/>
          <w:szCs w:val="24"/>
          <w:lang w:val="en-US" w:eastAsia="zh-CN" w:bidi="ar"/>
        </w:rPr>
        <w:t>114</w:t>
      </w:r>
      <w:r>
        <w:rPr>
          <w:rFonts w:hint="eastAsia" w:ascii="宋体" w:hAnsi="宋体" w:eastAsia="宋体" w:cs="宋体"/>
          <w:b w:val="0"/>
          <w:color w:val="auto"/>
          <w:kern w:val="0"/>
          <w:sz w:val="24"/>
          <w:szCs w:val="24"/>
          <w:lang w:val="en-US" w:eastAsia="zh-CN" w:bidi="ar"/>
        </w:rPr>
        <w:t>座；日均拉运、处理生活垃圾600吨，日均处理建筑垃圾</w:t>
      </w:r>
      <w:r>
        <w:rPr>
          <w:rFonts w:hint="eastAsia" w:ascii="宋体" w:hAnsi="宋体" w:cs="宋体"/>
          <w:b w:val="0"/>
          <w:color w:val="auto"/>
          <w:kern w:val="0"/>
          <w:sz w:val="24"/>
          <w:szCs w:val="24"/>
          <w:lang w:val="en-US" w:eastAsia="zh-CN" w:bidi="ar"/>
        </w:rPr>
        <w:t>220</w:t>
      </w:r>
      <w:r>
        <w:rPr>
          <w:rFonts w:hint="eastAsia" w:ascii="宋体" w:hAnsi="宋体" w:eastAsia="宋体" w:cs="宋体"/>
          <w:b w:val="0"/>
          <w:color w:val="auto"/>
          <w:kern w:val="0"/>
          <w:sz w:val="24"/>
          <w:szCs w:val="24"/>
          <w:lang w:val="en-US" w:eastAsia="zh-CN" w:bidi="ar"/>
        </w:rPr>
        <w:t>方，年均收容管理流浪狗200只；管理</w:t>
      </w:r>
      <w:r>
        <w:rPr>
          <w:rFonts w:hint="eastAsia" w:ascii="宋体" w:hAnsi="宋体" w:cs="宋体"/>
          <w:b w:val="0"/>
          <w:color w:val="auto"/>
          <w:kern w:val="0"/>
          <w:sz w:val="24"/>
          <w:szCs w:val="24"/>
          <w:lang w:val="en-US" w:eastAsia="zh-CN" w:bidi="ar"/>
        </w:rPr>
        <w:t>生活</w:t>
      </w:r>
      <w:r>
        <w:rPr>
          <w:rFonts w:hint="eastAsia" w:ascii="宋体" w:hAnsi="宋体" w:eastAsia="宋体" w:cs="宋体"/>
          <w:b w:val="0"/>
          <w:color w:val="auto"/>
          <w:kern w:val="0"/>
          <w:sz w:val="24"/>
          <w:szCs w:val="24"/>
          <w:lang w:val="en-US" w:eastAsia="zh-CN" w:bidi="ar"/>
        </w:rPr>
        <w:t>垃圾填埋场</w:t>
      </w:r>
      <w:r>
        <w:rPr>
          <w:rFonts w:hint="eastAsia" w:ascii="宋体" w:hAnsi="宋体" w:cs="宋体"/>
          <w:b w:val="0"/>
          <w:color w:val="auto"/>
          <w:kern w:val="0"/>
          <w:sz w:val="24"/>
          <w:szCs w:val="24"/>
          <w:lang w:val="en-US" w:eastAsia="zh-CN" w:bidi="ar"/>
        </w:rPr>
        <w:t>2</w:t>
      </w:r>
      <w:r>
        <w:rPr>
          <w:rFonts w:hint="eastAsia" w:ascii="宋体" w:hAnsi="宋体" w:eastAsia="宋体" w:cs="宋体"/>
          <w:b w:val="0"/>
          <w:color w:val="auto"/>
          <w:kern w:val="0"/>
          <w:sz w:val="24"/>
          <w:szCs w:val="24"/>
          <w:lang w:val="en-US" w:eastAsia="zh-CN" w:bidi="ar"/>
        </w:rPr>
        <w:t>座、</w:t>
      </w:r>
      <w:r>
        <w:rPr>
          <w:rFonts w:hint="eastAsia" w:ascii="宋体" w:hAnsi="宋体" w:cs="宋体"/>
          <w:b w:val="0"/>
          <w:color w:val="auto"/>
          <w:kern w:val="0"/>
          <w:sz w:val="24"/>
          <w:szCs w:val="24"/>
          <w:lang w:val="en-US" w:eastAsia="zh-CN" w:bidi="ar"/>
        </w:rPr>
        <w:t>建筑垃圾场1座、</w:t>
      </w:r>
      <w:r>
        <w:rPr>
          <w:rFonts w:hint="eastAsia" w:ascii="宋体" w:hAnsi="宋体" w:eastAsia="宋体" w:cs="宋体"/>
          <w:b w:val="0"/>
          <w:color w:val="auto"/>
          <w:kern w:val="0"/>
          <w:sz w:val="24"/>
          <w:szCs w:val="24"/>
          <w:lang w:val="en-US" w:eastAsia="zh-CN" w:bidi="ar"/>
        </w:rPr>
        <w:t>垃圾转运站</w:t>
      </w:r>
      <w:r>
        <w:rPr>
          <w:rFonts w:hint="eastAsia" w:ascii="宋体" w:hAnsi="宋体" w:cs="宋体"/>
          <w:b w:val="0"/>
          <w:color w:val="auto"/>
          <w:kern w:val="0"/>
          <w:sz w:val="24"/>
          <w:szCs w:val="24"/>
          <w:lang w:val="en-US" w:eastAsia="zh-CN" w:bidi="ar"/>
        </w:rPr>
        <w:t>4</w:t>
      </w:r>
      <w:r>
        <w:rPr>
          <w:rFonts w:hint="eastAsia" w:ascii="宋体" w:hAnsi="宋体" w:eastAsia="宋体" w:cs="宋体"/>
          <w:b w:val="0"/>
          <w:color w:val="auto"/>
          <w:kern w:val="0"/>
          <w:sz w:val="24"/>
          <w:szCs w:val="24"/>
          <w:lang w:val="en-US" w:eastAsia="zh-CN" w:bidi="ar"/>
        </w:rPr>
        <w:t>座。</w:t>
      </w:r>
    </w:p>
    <w:p w14:paraId="2FAD6E6D">
      <w:pPr>
        <w:pStyle w:val="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1）道路清扫保洁</w:t>
      </w:r>
    </w:p>
    <w:p w14:paraId="0427796C">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负责道路机械化清扫、夏季洒水降尘、隔离护栏清洗工作，采取“清扫+高压清洗”联合作业模式，市区主干道机械化清扫率达到100%。严格按照作业要求开展市区洒水降尘、抑尘工作，单车作业时间为4小时/车/班次，扣除加水、倒垃圾、放污水等辅助时间后，实际有效作业时间3小时/班次，作业时速控制在10公里/小时，单车清扫面积为5万㎡/小时，单班次合计清扫面积15万㎡/车。负责全市</w:t>
      </w:r>
      <w:r>
        <w:rPr>
          <w:rFonts w:hint="eastAsia" w:ascii="宋体" w:hAnsi="宋体" w:cs="宋体"/>
          <w:b w:val="0"/>
          <w:color w:val="auto"/>
          <w:kern w:val="0"/>
          <w:sz w:val="24"/>
          <w:szCs w:val="24"/>
          <w:lang w:val="en-US" w:eastAsia="zh-CN" w:bidi="ar"/>
        </w:rPr>
        <w:t>主次干道</w:t>
      </w:r>
      <w:r>
        <w:rPr>
          <w:rFonts w:hint="eastAsia" w:ascii="宋体" w:hAnsi="宋体" w:eastAsia="宋体" w:cs="宋体"/>
          <w:b w:val="0"/>
          <w:color w:val="auto"/>
          <w:kern w:val="0"/>
          <w:sz w:val="24"/>
          <w:szCs w:val="24"/>
          <w:lang w:val="en-US" w:eastAsia="zh-CN" w:bidi="ar"/>
        </w:rPr>
        <w:t>、非机动车道、人行道及道路两侧空地的全方位清扫保洁，实行“两扫全保”模式，即每日早9点前、下午4点后各完成1次人工普扫；主要道路实行</w:t>
      </w:r>
      <w:r>
        <w:rPr>
          <w:rFonts w:hint="eastAsia" w:ascii="宋体" w:hAnsi="宋体" w:cs="宋体"/>
          <w:b w:val="0"/>
          <w:color w:val="auto"/>
          <w:kern w:val="0"/>
          <w:sz w:val="24"/>
          <w:szCs w:val="24"/>
          <w:lang w:val="en-US" w:eastAsia="zh-CN" w:bidi="ar"/>
        </w:rPr>
        <w:t>16</w:t>
      </w:r>
      <w:r>
        <w:rPr>
          <w:rFonts w:hint="eastAsia" w:ascii="宋体" w:hAnsi="宋体" w:eastAsia="宋体" w:cs="宋体"/>
          <w:b w:val="0"/>
          <w:color w:val="auto"/>
          <w:kern w:val="0"/>
          <w:sz w:val="24"/>
          <w:szCs w:val="24"/>
          <w:lang w:val="en-US" w:eastAsia="zh-CN" w:bidi="ar"/>
        </w:rPr>
        <w:t>小时不间断巡回保洁，确保路面见本色、无脱扫、无漏保、无杂物、无死角、无积水。每日对全市5800个果皮箱、</w:t>
      </w:r>
      <w:r>
        <w:rPr>
          <w:rFonts w:hint="eastAsia" w:ascii="宋体" w:hAnsi="宋体" w:cs="宋体"/>
          <w:b w:val="0"/>
          <w:color w:val="auto"/>
          <w:kern w:val="0"/>
          <w:sz w:val="24"/>
          <w:szCs w:val="24"/>
          <w:lang w:val="en-US" w:eastAsia="zh-CN" w:bidi="ar"/>
        </w:rPr>
        <w:t>279</w:t>
      </w:r>
      <w:r>
        <w:rPr>
          <w:rFonts w:hint="eastAsia" w:ascii="宋体" w:hAnsi="宋体" w:eastAsia="宋体" w:cs="宋体"/>
          <w:b w:val="0"/>
          <w:color w:val="auto"/>
          <w:kern w:val="0"/>
          <w:sz w:val="24"/>
          <w:szCs w:val="24"/>
          <w:lang w:val="en-US" w:eastAsia="zh-CN" w:bidi="ar"/>
        </w:rPr>
        <w:t>个公交站台、1200余个休闲座椅、2000余个广告牌匾、425座花坛等公共设施进行擦洗保洁，做到设施整洁无积尘、无污渍。</w:t>
      </w:r>
    </w:p>
    <w:p w14:paraId="5509561E">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center"/>
        <w:textAlignment w:val="auto"/>
        <w:rPr>
          <w:rFonts w:hint="eastAsia" w:asciiTheme="minorEastAsia" w:hAnsiTheme="minorEastAsia" w:eastAsiaTheme="minorEastAsia" w:cstheme="minorEastAsia"/>
          <w:b w:val="0"/>
          <w:color w:val="auto"/>
          <w:sz w:val="24"/>
          <w:szCs w:val="24"/>
          <w:highlight w:val="none"/>
        </w:rPr>
      </w:pPr>
      <w:r>
        <w:rPr>
          <w:rFonts w:hint="eastAsia" w:asciiTheme="minorEastAsia" w:hAnsiTheme="minorEastAsia" w:eastAsiaTheme="minorEastAsia" w:cstheme="minorEastAsia"/>
          <w:b w:val="0"/>
          <w:color w:val="auto"/>
          <w:sz w:val="24"/>
          <w:szCs w:val="24"/>
          <w:highlight w:val="none"/>
        </w:rPr>
        <w:t>一市两区道路清扫等级面积表</w:t>
      </w:r>
    </w:p>
    <w:tbl>
      <w:tblPr>
        <w:tblStyle w:val="43"/>
        <w:tblW w:w="98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872"/>
        <w:gridCol w:w="1007"/>
        <w:gridCol w:w="1633"/>
        <w:gridCol w:w="1967"/>
        <w:gridCol w:w="1867"/>
        <w:gridCol w:w="2550"/>
      </w:tblGrid>
      <w:tr w14:paraId="5EB63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09" w:hRule="atLeast"/>
          <w:tblHeader/>
        </w:trPr>
        <w:tc>
          <w:tcPr>
            <w:tcW w:w="872" w:type="dxa"/>
            <w:shd w:val="clear" w:color="auto" w:fill="F2F3F5"/>
            <w:tcMar>
              <w:top w:w="120" w:type="dxa"/>
              <w:left w:w="120" w:type="dxa"/>
              <w:bottom w:w="120" w:type="dxa"/>
              <w:right w:w="120" w:type="dxa"/>
            </w:tcMar>
            <w:vAlign w:val="center"/>
          </w:tcPr>
          <w:p w14:paraId="57F194B5">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auto"/>
                <w:kern w:val="0"/>
                <w:sz w:val="24"/>
                <w:szCs w:val="24"/>
                <w:u w:val="none"/>
                <w:lang w:val="en-US" w:eastAsia="zh-CN" w:bidi="ar"/>
              </w:rPr>
            </w:pPr>
          </w:p>
          <w:p w14:paraId="07987927">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b w:val="0"/>
                <w:color w:val="auto"/>
                <w:sz w:val="24"/>
                <w:szCs w:val="24"/>
              </w:rPr>
            </w:pPr>
            <w:r>
              <w:rPr>
                <w:rFonts w:hint="eastAsia" w:ascii="宋体" w:hAnsi="宋体" w:eastAsia="宋体" w:cs="宋体"/>
                <w:i w:val="0"/>
                <w:iCs w:val="0"/>
                <w:color w:val="auto"/>
                <w:kern w:val="0"/>
                <w:sz w:val="24"/>
                <w:szCs w:val="24"/>
                <w:u w:val="none"/>
                <w:lang w:val="en-US" w:eastAsia="zh-CN" w:bidi="ar"/>
              </w:rPr>
              <w:t>道路等级</w:t>
            </w:r>
          </w:p>
        </w:tc>
        <w:tc>
          <w:tcPr>
            <w:tcW w:w="1007" w:type="dxa"/>
            <w:shd w:val="clear" w:color="auto" w:fill="F2F3F5"/>
            <w:tcMar>
              <w:top w:w="120" w:type="dxa"/>
              <w:left w:w="120" w:type="dxa"/>
              <w:bottom w:w="120" w:type="dxa"/>
              <w:right w:w="120" w:type="dxa"/>
            </w:tcMar>
            <w:vAlign w:val="center"/>
          </w:tcPr>
          <w:p w14:paraId="3DA447D3">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auto"/>
                <w:kern w:val="0"/>
                <w:sz w:val="24"/>
                <w:szCs w:val="24"/>
                <w:u w:val="none"/>
                <w:lang w:val="en-US" w:eastAsia="zh-CN" w:bidi="ar"/>
              </w:rPr>
            </w:pPr>
          </w:p>
          <w:p w14:paraId="443F06C0">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b w:val="0"/>
                <w:color w:val="auto"/>
                <w:sz w:val="24"/>
                <w:szCs w:val="24"/>
              </w:rPr>
            </w:pPr>
            <w:r>
              <w:rPr>
                <w:rFonts w:hint="eastAsia" w:ascii="宋体" w:hAnsi="宋体" w:eastAsia="宋体" w:cs="宋体"/>
                <w:i w:val="0"/>
                <w:iCs w:val="0"/>
                <w:color w:val="auto"/>
                <w:kern w:val="0"/>
                <w:sz w:val="24"/>
                <w:szCs w:val="24"/>
                <w:u w:val="none"/>
                <w:lang w:val="en-US" w:eastAsia="zh-CN" w:bidi="ar"/>
              </w:rPr>
              <w:t>区域</w:t>
            </w:r>
          </w:p>
        </w:tc>
        <w:tc>
          <w:tcPr>
            <w:tcW w:w="1633" w:type="dxa"/>
            <w:shd w:val="clear" w:color="auto" w:fill="F2F3F5"/>
            <w:tcMar>
              <w:top w:w="120" w:type="dxa"/>
              <w:left w:w="120" w:type="dxa"/>
              <w:bottom w:w="120" w:type="dxa"/>
              <w:right w:w="120" w:type="dxa"/>
            </w:tcMar>
            <w:vAlign w:val="center"/>
          </w:tcPr>
          <w:p w14:paraId="79BC0DAE">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b w:val="0"/>
                <w:color w:val="auto"/>
                <w:sz w:val="24"/>
                <w:szCs w:val="24"/>
              </w:rPr>
            </w:pPr>
            <w:r>
              <w:rPr>
                <w:rFonts w:hint="eastAsia" w:ascii="宋体" w:hAnsi="宋体" w:eastAsia="宋体" w:cs="宋体"/>
                <w:i w:val="0"/>
                <w:iCs w:val="0"/>
                <w:color w:val="auto"/>
                <w:kern w:val="0"/>
                <w:sz w:val="24"/>
                <w:szCs w:val="24"/>
                <w:u w:val="none"/>
                <w:lang w:val="en-US" w:eastAsia="zh-CN" w:bidi="ar"/>
              </w:rPr>
              <w:t>主干道面积     （平方米）</w:t>
            </w:r>
          </w:p>
        </w:tc>
        <w:tc>
          <w:tcPr>
            <w:tcW w:w="1967" w:type="dxa"/>
            <w:shd w:val="clear" w:color="auto" w:fill="F2F3F5"/>
            <w:tcMar>
              <w:top w:w="120" w:type="dxa"/>
              <w:left w:w="120" w:type="dxa"/>
              <w:bottom w:w="120" w:type="dxa"/>
              <w:right w:w="120" w:type="dxa"/>
            </w:tcMar>
            <w:vAlign w:val="center"/>
          </w:tcPr>
          <w:p w14:paraId="38F3EBA5">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b w:val="0"/>
                <w:color w:val="auto"/>
                <w:sz w:val="24"/>
                <w:szCs w:val="24"/>
              </w:rPr>
            </w:pPr>
            <w:r>
              <w:rPr>
                <w:rFonts w:hint="eastAsia" w:ascii="宋体" w:hAnsi="宋体" w:eastAsia="宋体" w:cs="宋体"/>
                <w:i w:val="0"/>
                <w:iCs w:val="0"/>
                <w:color w:val="auto"/>
                <w:kern w:val="0"/>
                <w:sz w:val="24"/>
                <w:szCs w:val="24"/>
                <w:u w:val="none"/>
                <w:lang w:val="en-US" w:eastAsia="zh-CN" w:bidi="ar"/>
              </w:rPr>
              <w:t>非机动车道面积     （平方米）</w:t>
            </w:r>
          </w:p>
        </w:tc>
        <w:tc>
          <w:tcPr>
            <w:tcW w:w="1867" w:type="dxa"/>
            <w:shd w:val="clear" w:color="auto" w:fill="F2F3F5"/>
            <w:tcMar>
              <w:top w:w="120" w:type="dxa"/>
              <w:left w:w="120" w:type="dxa"/>
              <w:bottom w:w="120" w:type="dxa"/>
              <w:right w:w="120" w:type="dxa"/>
            </w:tcMar>
            <w:vAlign w:val="center"/>
          </w:tcPr>
          <w:p w14:paraId="2AAC871E">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auto"/>
                <w:kern w:val="0"/>
                <w:sz w:val="24"/>
                <w:szCs w:val="24"/>
                <w:u w:val="none"/>
                <w:lang w:val="en-US" w:eastAsia="zh-CN" w:bidi="ar"/>
              </w:rPr>
            </w:pPr>
          </w:p>
          <w:p w14:paraId="36BC6CFC">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b w:val="0"/>
                <w:color w:val="auto"/>
                <w:sz w:val="24"/>
                <w:szCs w:val="24"/>
              </w:rPr>
            </w:pPr>
            <w:r>
              <w:rPr>
                <w:rFonts w:hint="eastAsia" w:ascii="宋体" w:hAnsi="宋体" w:eastAsia="宋体" w:cs="宋体"/>
                <w:i w:val="0"/>
                <w:iCs w:val="0"/>
                <w:color w:val="auto"/>
                <w:kern w:val="0"/>
                <w:sz w:val="24"/>
                <w:szCs w:val="24"/>
                <w:u w:val="none"/>
                <w:lang w:val="en-US" w:eastAsia="zh-CN" w:bidi="ar"/>
              </w:rPr>
              <w:t>人行道面积     （平方米）</w:t>
            </w:r>
          </w:p>
        </w:tc>
        <w:tc>
          <w:tcPr>
            <w:tcW w:w="2550" w:type="dxa"/>
            <w:shd w:val="clear" w:color="auto" w:fill="F2F3F5"/>
            <w:tcMar>
              <w:top w:w="120" w:type="dxa"/>
              <w:left w:w="120" w:type="dxa"/>
              <w:bottom w:w="120" w:type="dxa"/>
              <w:right w:w="120" w:type="dxa"/>
            </w:tcMar>
            <w:vAlign w:val="center"/>
          </w:tcPr>
          <w:p w14:paraId="38DE5C87">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i w:val="0"/>
                <w:iCs w:val="0"/>
                <w:color w:val="auto"/>
                <w:kern w:val="0"/>
                <w:sz w:val="24"/>
                <w:szCs w:val="24"/>
                <w:u w:val="none"/>
                <w:lang w:val="en-US" w:eastAsia="zh-CN" w:bidi="ar"/>
              </w:rPr>
            </w:pPr>
          </w:p>
          <w:p w14:paraId="3294A07B">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b w:val="0"/>
                <w:color w:val="auto"/>
                <w:sz w:val="24"/>
                <w:szCs w:val="24"/>
              </w:rPr>
            </w:pPr>
            <w:r>
              <w:rPr>
                <w:rFonts w:hint="eastAsia" w:ascii="宋体" w:hAnsi="宋体" w:eastAsia="宋体" w:cs="宋体"/>
                <w:i w:val="0"/>
                <w:iCs w:val="0"/>
                <w:color w:val="auto"/>
                <w:kern w:val="0"/>
                <w:sz w:val="24"/>
                <w:szCs w:val="24"/>
                <w:u w:val="none"/>
                <w:lang w:val="en-US" w:eastAsia="zh-CN" w:bidi="ar"/>
              </w:rPr>
              <w:t>总面积  （平方米）</w:t>
            </w:r>
          </w:p>
        </w:tc>
      </w:tr>
      <w:tr w14:paraId="74863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6" w:hRule="atLeast"/>
        </w:trPr>
        <w:tc>
          <w:tcPr>
            <w:tcW w:w="872" w:type="dxa"/>
            <w:shd w:val="clear" w:color="auto" w:fill="auto"/>
            <w:tcMar>
              <w:top w:w="120" w:type="dxa"/>
              <w:left w:w="120" w:type="dxa"/>
              <w:bottom w:w="120" w:type="dxa"/>
              <w:right w:w="120" w:type="dxa"/>
            </w:tcMar>
            <w:vAlign w:val="center"/>
          </w:tcPr>
          <w:p w14:paraId="5C8C0A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宋体" w:hAnsi="宋体" w:eastAsia="宋体" w:cs="宋体"/>
                <w:b w:val="0"/>
                <w:color w:val="auto"/>
                <w:sz w:val="24"/>
                <w:szCs w:val="24"/>
              </w:rPr>
            </w:pPr>
            <w:r>
              <w:rPr>
                <w:rFonts w:hint="eastAsia" w:ascii="宋体" w:hAnsi="宋体" w:eastAsia="宋体" w:cs="宋体"/>
                <w:i w:val="0"/>
                <w:iCs w:val="0"/>
                <w:color w:val="auto"/>
                <w:kern w:val="0"/>
                <w:sz w:val="24"/>
                <w:szCs w:val="24"/>
                <w:u w:val="none"/>
                <w:lang w:val="en-US" w:eastAsia="zh-CN" w:bidi="ar"/>
              </w:rPr>
              <w:t>一级道路</w:t>
            </w:r>
          </w:p>
        </w:tc>
        <w:tc>
          <w:tcPr>
            <w:tcW w:w="1007" w:type="dxa"/>
            <w:shd w:val="clear" w:color="auto" w:fill="auto"/>
            <w:tcMar>
              <w:top w:w="120" w:type="dxa"/>
              <w:left w:w="120" w:type="dxa"/>
              <w:bottom w:w="120" w:type="dxa"/>
              <w:right w:w="120" w:type="dxa"/>
            </w:tcMar>
            <w:vAlign w:val="center"/>
          </w:tcPr>
          <w:p w14:paraId="4D72CF4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宋体" w:hAnsi="宋体" w:eastAsia="宋体" w:cs="宋体"/>
                <w:b w:val="0"/>
                <w:color w:val="auto"/>
                <w:sz w:val="24"/>
                <w:szCs w:val="24"/>
              </w:rPr>
            </w:pPr>
            <w:r>
              <w:rPr>
                <w:rFonts w:hint="eastAsia" w:ascii="宋体" w:hAnsi="宋体" w:eastAsia="宋体" w:cs="宋体"/>
                <w:i w:val="0"/>
                <w:iCs w:val="0"/>
                <w:color w:val="auto"/>
                <w:kern w:val="0"/>
                <w:sz w:val="24"/>
                <w:szCs w:val="24"/>
                <w:u w:val="none"/>
                <w:lang w:val="en-US" w:eastAsia="zh-CN" w:bidi="ar"/>
              </w:rPr>
              <w:t>昌吉市</w:t>
            </w:r>
          </w:p>
        </w:tc>
        <w:tc>
          <w:tcPr>
            <w:tcW w:w="1633" w:type="dxa"/>
            <w:shd w:val="clear" w:color="auto" w:fill="auto"/>
            <w:tcMar>
              <w:top w:w="120" w:type="dxa"/>
              <w:left w:w="120" w:type="dxa"/>
              <w:bottom w:w="120" w:type="dxa"/>
              <w:right w:w="120" w:type="dxa"/>
            </w:tcMar>
            <w:vAlign w:val="center"/>
          </w:tcPr>
          <w:p w14:paraId="03E4E9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宋体" w:hAnsi="宋体" w:eastAsia="宋体" w:cs="宋体"/>
                <w:b w:val="0"/>
                <w:color w:val="auto"/>
                <w:sz w:val="24"/>
                <w:szCs w:val="24"/>
              </w:rPr>
            </w:pPr>
            <w:r>
              <w:rPr>
                <w:rFonts w:hint="eastAsia" w:ascii="宋体" w:hAnsi="宋体" w:eastAsia="宋体" w:cs="宋体"/>
                <w:i w:val="0"/>
                <w:iCs w:val="0"/>
                <w:color w:val="auto"/>
                <w:kern w:val="0"/>
                <w:sz w:val="24"/>
                <w:szCs w:val="24"/>
                <w:u w:val="none"/>
                <w:lang w:val="en-US" w:eastAsia="zh-CN" w:bidi="ar"/>
              </w:rPr>
              <w:t>1596162</w:t>
            </w:r>
          </w:p>
        </w:tc>
        <w:tc>
          <w:tcPr>
            <w:tcW w:w="1967" w:type="dxa"/>
            <w:shd w:val="clear" w:color="auto" w:fill="auto"/>
            <w:tcMar>
              <w:top w:w="120" w:type="dxa"/>
              <w:left w:w="120" w:type="dxa"/>
              <w:bottom w:w="120" w:type="dxa"/>
              <w:right w:w="120" w:type="dxa"/>
            </w:tcMar>
            <w:vAlign w:val="center"/>
          </w:tcPr>
          <w:p w14:paraId="7B2CE4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宋体" w:hAnsi="宋体" w:eastAsia="宋体" w:cs="宋体"/>
                <w:b w:val="0"/>
                <w:color w:val="auto"/>
                <w:sz w:val="24"/>
                <w:szCs w:val="24"/>
              </w:rPr>
            </w:pPr>
            <w:r>
              <w:rPr>
                <w:rFonts w:hint="eastAsia" w:ascii="宋体" w:hAnsi="宋体" w:eastAsia="宋体" w:cs="宋体"/>
                <w:i w:val="0"/>
                <w:iCs w:val="0"/>
                <w:color w:val="auto"/>
                <w:kern w:val="0"/>
                <w:sz w:val="24"/>
                <w:szCs w:val="24"/>
                <w:u w:val="none"/>
                <w:lang w:val="en-US" w:eastAsia="zh-CN" w:bidi="ar"/>
              </w:rPr>
              <w:t>2029940</w:t>
            </w:r>
          </w:p>
        </w:tc>
        <w:tc>
          <w:tcPr>
            <w:tcW w:w="1867" w:type="dxa"/>
            <w:shd w:val="clear" w:color="auto" w:fill="auto"/>
            <w:tcMar>
              <w:top w:w="120" w:type="dxa"/>
              <w:left w:w="120" w:type="dxa"/>
              <w:bottom w:w="120" w:type="dxa"/>
              <w:right w:w="120" w:type="dxa"/>
            </w:tcMar>
            <w:vAlign w:val="center"/>
          </w:tcPr>
          <w:p w14:paraId="46489D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宋体" w:hAnsi="宋体" w:eastAsia="宋体" w:cs="宋体"/>
                <w:b w:val="0"/>
                <w:color w:val="auto"/>
                <w:sz w:val="24"/>
                <w:szCs w:val="24"/>
              </w:rPr>
            </w:pPr>
            <w:r>
              <w:rPr>
                <w:rFonts w:hint="eastAsia" w:ascii="宋体" w:hAnsi="宋体" w:eastAsia="宋体" w:cs="宋体"/>
                <w:i w:val="0"/>
                <w:iCs w:val="0"/>
                <w:color w:val="auto"/>
                <w:kern w:val="0"/>
                <w:sz w:val="24"/>
                <w:szCs w:val="24"/>
                <w:u w:val="none"/>
                <w:lang w:val="en-US" w:eastAsia="zh-CN" w:bidi="ar"/>
              </w:rPr>
              <w:t>607946</w:t>
            </w:r>
          </w:p>
        </w:tc>
        <w:tc>
          <w:tcPr>
            <w:tcW w:w="2550" w:type="dxa"/>
            <w:shd w:val="clear" w:color="auto" w:fill="auto"/>
            <w:tcMar>
              <w:top w:w="120" w:type="dxa"/>
              <w:left w:w="120" w:type="dxa"/>
              <w:bottom w:w="120" w:type="dxa"/>
              <w:right w:w="120" w:type="dxa"/>
            </w:tcMar>
            <w:vAlign w:val="center"/>
          </w:tcPr>
          <w:p w14:paraId="02C62A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宋体" w:hAnsi="宋体" w:eastAsia="宋体" w:cs="宋体"/>
                <w:b w:val="0"/>
                <w:color w:val="auto"/>
                <w:sz w:val="24"/>
                <w:szCs w:val="24"/>
              </w:rPr>
            </w:pPr>
            <w:r>
              <w:rPr>
                <w:rFonts w:hint="eastAsia" w:ascii="宋体" w:hAnsi="宋体" w:eastAsia="宋体" w:cs="宋体"/>
                <w:i w:val="0"/>
                <w:iCs w:val="0"/>
                <w:color w:val="auto"/>
                <w:kern w:val="0"/>
                <w:sz w:val="24"/>
                <w:szCs w:val="24"/>
                <w:u w:val="none"/>
                <w:lang w:val="en-US" w:eastAsia="zh-CN" w:bidi="ar"/>
              </w:rPr>
              <w:t>4234048</w:t>
            </w:r>
          </w:p>
        </w:tc>
      </w:tr>
      <w:tr w14:paraId="2EA1D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5" w:hRule="atLeast"/>
        </w:trPr>
        <w:tc>
          <w:tcPr>
            <w:tcW w:w="872" w:type="dxa"/>
            <w:shd w:val="clear" w:color="auto" w:fill="auto"/>
            <w:tcMar>
              <w:top w:w="120" w:type="dxa"/>
              <w:left w:w="120" w:type="dxa"/>
              <w:bottom w:w="120" w:type="dxa"/>
              <w:right w:w="120" w:type="dxa"/>
            </w:tcMar>
            <w:vAlign w:val="center"/>
          </w:tcPr>
          <w:p w14:paraId="1FEC4B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宋体" w:hAnsi="宋体" w:eastAsia="宋体" w:cs="宋体"/>
                <w:b w:val="0"/>
                <w:color w:val="auto"/>
                <w:sz w:val="24"/>
                <w:szCs w:val="24"/>
              </w:rPr>
            </w:pPr>
            <w:r>
              <w:rPr>
                <w:rFonts w:hint="eastAsia" w:ascii="宋体" w:hAnsi="宋体" w:eastAsia="宋体" w:cs="宋体"/>
                <w:i w:val="0"/>
                <w:iCs w:val="0"/>
                <w:color w:val="auto"/>
                <w:kern w:val="0"/>
                <w:sz w:val="24"/>
                <w:szCs w:val="24"/>
                <w:u w:val="none"/>
                <w:lang w:val="en-US" w:eastAsia="zh-CN" w:bidi="ar"/>
              </w:rPr>
              <w:t>二级道路</w:t>
            </w:r>
          </w:p>
        </w:tc>
        <w:tc>
          <w:tcPr>
            <w:tcW w:w="1007" w:type="dxa"/>
            <w:shd w:val="clear" w:color="auto" w:fill="auto"/>
            <w:tcMar>
              <w:top w:w="120" w:type="dxa"/>
              <w:left w:w="120" w:type="dxa"/>
              <w:bottom w:w="120" w:type="dxa"/>
              <w:right w:w="120" w:type="dxa"/>
            </w:tcMar>
            <w:vAlign w:val="center"/>
          </w:tcPr>
          <w:p w14:paraId="12E82E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宋体" w:hAnsi="宋体" w:eastAsia="宋体" w:cs="宋体"/>
                <w:b w:val="0"/>
                <w:color w:val="auto"/>
                <w:sz w:val="24"/>
                <w:szCs w:val="24"/>
              </w:rPr>
            </w:pPr>
            <w:r>
              <w:rPr>
                <w:rFonts w:hint="eastAsia" w:ascii="宋体" w:hAnsi="宋体" w:eastAsia="宋体" w:cs="宋体"/>
                <w:i w:val="0"/>
                <w:iCs w:val="0"/>
                <w:color w:val="auto"/>
                <w:kern w:val="0"/>
                <w:sz w:val="24"/>
                <w:szCs w:val="24"/>
                <w:u w:val="none"/>
                <w:lang w:val="en-US" w:eastAsia="zh-CN" w:bidi="ar"/>
              </w:rPr>
              <w:t>昌吉市</w:t>
            </w:r>
          </w:p>
        </w:tc>
        <w:tc>
          <w:tcPr>
            <w:tcW w:w="1633" w:type="dxa"/>
            <w:shd w:val="clear" w:color="auto" w:fill="auto"/>
            <w:tcMar>
              <w:top w:w="120" w:type="dxa"/>
              <w:left w:w="120" w:type="dxa"/>
              <w:bottom w:w="120" w:type="dxa"/>
              <w:right w:w="120" w:type="dxa"/>
            </w:tcMar>
            <w:vAlign w:val="center"/>
          </w:tcPr>
          <w:p w14:paraId="12A984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宋体" w:hAnsi="宋体" w:eastAsia="宋体" w:cs="宋体"/>
                <w:b w:val="0"/>
                <w:color w:val="auto"/>
                <w:sz w:val="24"/>
                <w:szCs w:val="24"/>
              </w:rPr>
            </w:pPr>
            <w:r>
              <w:rPr>
                <w:rFonts w:hint="eastAsia" w:ascii="宋体" w:hAnsi="宋体" w:eastAsia="宋体" w:cs="宋体"/>
                <w:i w:val="0"/>
                <w:iCs w:val="0"/>
                <w:color w:val="auto"/>
                <w:kern w:val="0"/>
                <w:sz w:val="24"/>
                <w:szCs w:val="24"/>
                <w:u w:val="none"/>
                <w:lang w:val="en-US" w:eastAsia="zh-CN" w:bidi="ar"/>
              </w:rPr>
              <w:t>2604380</w:t>
            </w:r>
          </w:p>
        </w:tc>
        <w:tc>
          <w:tcPr>
            <w:tcW w:w="1967" w:type="dxa"/>
            <w:shd w:val="clear" w:color="auto" w:fill="auto"/>
            <w:tcMar>
              <w:top w:w="120" w:type="dxa"/>
              <w:left w:w="120" w:type="dxa"/>
              <w:bottom w:w="120" w:type="dxa"/>
              <w:right w:w="120" w:type="dxa"/>
            </w:tcMar>
            <w:vAlign w:val="center"/>
          </w:tcPr>
          <w:p w14:paraId="4E8782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宋体" w:hAnsi="宋体" w:eastAsia="宋体" w:cs="宋体"/>
                <w:b w:val="0"/>
                <w:color w:val="auto"/>
                <w:sz w:val="24"/>
                <w:szCs w:val="24"/>
              </w:rPr>
            </w:pPr>
            <w:r>
              <w:rPr>
                <w:rFonts w:hint="eastAsia" w:ascii="宋体" w:hAnsi="宋体" w:eastAsia="宋体" w:cs="宋体"/>
                <w:i w:val="0"/>
                <w:iCs w:val="0"/>
                <w:color w:val="auto"/>
                <w:kern w:val="0"/>
                <w:sz w:val="24"/>
                <w:szCs w:val="24"/>
                <w:u w:val="none"/>
                <w:lang w:val="en-US" w:eastAsia="zh-CN" w:bidi="ar"/>
              </w:rPr>
              <w:t>592260</w:t>
            </w:r>
          </w:p>
        </w:tc>
        <w:tc>
          <w:tcPr>
            <w:tcW w:w="1867" w:type="dxa"/>
            <w:shd w:val="clear" w:color="auto" w:fill="auto"/>
            <w:tcMar>
              <w:top w:w="120" w:type="dxa"/>
              <w:left w:w="120" w:type="dxa"/>
              <w:bottom w:w="120" w:type="dxa"/>
              <w:right w:w="120" w:type="dxa"/>
            </w:tcMar>
            <w:vAlign w:val="center"/>
          </w:tcPr>
          <w:p w14:paraId="0ACA680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宋体" w:hAnsi="宋体" w:eastAsia="宋体" w:cs="宋体"/>
                <w:b w:val="0"/>
                <w:color w:val="auto"/>
                <w:sz w:val="24"/>
                <w:szCs w:val="24"/>
              </w:rPr>
            </w:pPr>
            <w:r>
              <w:rPr>
                <w:rFonts w:hint="eastAsia" w:ascii="宋体" w:hAnsi="宋体" w:eastAsia="宋体" w:cs="宋体"/>
                <w:i w:val="0"/>
                <w:iCs w:val="0"/>
                <w:color w:val="auto"/>
                <w:kern w:val="0"/>
                <w:sz w:val="24"/>
                <w:szCs w:val="24"/>
                <w:u w:val="none"/>
                <w:lang w:val="en-US" w:eastAsia="zh-CN" w:bidi="ar"/>
              </w:rPr>
              <w:t>200120</w:t>
            </w:r>
          </w:p>
        </w:tc>
        <w:tc>
          <w:tcPr>
            <w:tcW w:w="2550" w:type="dxa"/>
            <w:shd w:val="clear" w:color="auto" w:fill="auto"/>
            <w:tcMar>
              <w:top w:w="120" w:type="dxa"/>
              <w:left w:w="120" w:type="dxa"/>
              <w:bottom w:w="120" w:type="dxa"/>
              <w:right w:w="120" w:type="dxa"/>
            </w:tcMar>
            <w:vAlign w:val="center"/>
          </w:tcPr>
          <w:p w14:paraId="78AB11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宋体" w:hAnsi="宋体" w:eastAsia="宋体" w:cs="宋体"/>
                <w:b w:val="0"/>
                <w:color w:val="auto"/>
                <w:sz w:val="24"/>
                <w:szCs w:val="24"/>
              </w:rPr>
            </w:pPr>
            <w:r>
              <w:rPr>
                <w:rFonts w:hint="eastAsia" w:ascii="宋体" w:hAnsi="宋体" w:eastAsia="宋体" w:cs="宋体"/>
                <w:i w:val="0"/>
                <w:iCs w:val="0"/>
                <w:color w:val="auto"/>
                <w:kern w:val="0"/>
                <w:sz w:val="24"/>
                <w:szCs w:val="24"/>
                <w:u w:val="none"/>
                <w:lang w:val="en-US" w:eastAsia="zh-CN" w:bidi="ar"/>
              </w:rPr>
              <w:t>3396760</w:t>
            </w:r>
          </w:p>
        </w:tc>
      </w:tr>
      <w:tr w14:paraId="08155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85" w:hRule="atLeast"/>
        </w:trPr>
        <w:tc>
          <w:tcPr>
            <w:tcW w:w="872" w:type="dxa"/>
            <w:shd w:val="clear" w:color="auto" w:fill="auto"/>
            <w:tcMar>
              <w:top w:w="120" w:type="dxa"/>
              <w:left w:w="120" w:type="dxa"/>
              <w:bottom w:w="120" w:type="dxa"/>
              <w:right w:w="120" w:type="dxa"/>
            </w:tcMar>
            <w:vAlign w:val="center"/>
          </w:tcPr>
          <w:p w14:paraId="6DBFA09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宋体" w:hAnsi="宋体" w:eastAsia="宋体" w:cs="宋体"/>
                <w:b w:val="0"/>
                <w:color w:val="auto"/>
                <w:sz w:val="24"/>
                <w:szCs w:val="24"/>
              </w:rPr>
            </w:pPr>
            <w:r>
              <w:rPr>
                <w:rFonts w:hint="eastAsia" w:ascii="宋体" w:hAnsi="宋体" w:eastAsia="宋体" w:cs="宋体"/>
                <w:i w:val="0"/>
                <w:iCs w:val="0"/>
                <w:color w:val="auto"/>
                <w:kern w:val="0"/>
                <w:sz w:val="24"/>
                <w:szCs w:val="24"/>
                <w:u w:val="none"/>
                <w:lang w:val="en-US" w:eastAsia="zh-CN" w:bidi="ar"/>
              </w:rPr>
              <w:t>三级道路</w:t>
            </w:r>
          </w:p>
        </w:tc>
        <w:tc>
          <w:tcPr>
            <w:tcW w:w="1007" w:type="dxa"/>
            <w:shd w:val="clear" w:color="auto" w:fill="auto"/>
            <w:tcMar>
              <w:top w:w="120" w:type="dxa"/>
              <w:left w:w="120" w:type="dxa"/>
              <w:bottom w:w="120" w:type="dxa"/>
              <w:right w:w="120" w:type="dxa"/>
            </w:tcMar>
            <w:vAlign w:val="center"/>
          </w:tcPr>
          <w:p w14:paraId="0C65F4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宋体" w:hAnsi="宋体" w:eastAsia="宋体" w:cs="宋体"/>
                <w:b w:val="0"/>
                <w:color w:val="auto"/>
                <w:sz w:val="24"/>
                <w:szCs w:val="24"/>
              </w:rPr>
            </w:pPr>
            <w:r>
              <w:rPr>
                <w:rFonts w:hint="eastAsia" w:ascii="宋体" w:hAnsi="宋体" w:eastAsia="宋体" w:cs="宋体"/>
                <w:i w:val="0"/>
                <w:iCs w:val="0"/>
                <w:color w:val="auto"/>
                <w:kern w:val="0"/>
                <w:sz w:val="24"/>
                <w:szCs w:val="24"/>
                <w:u w:val="none"/>
                <w:lang w:val="en-US" w:eastAsia="zh-CN" w:bidi="ar"/>
              </w:rPr>
              <w:t>昌吉市</w:t>
            </w:r>
          </w:p>
        </w:tc>
        <w:tc>
          <w:tcPr>
            <w:tcW w:w="1633" w:type="dxa"/>
            <w:shd w:val="clear" w:color="auto" w:fill="auto"/>
            <w:tcMar>
              <w:top w:w="120" w:type="dxa"/>
              <w:left w:w="120" w:type="dxa"/>
              <w:bottom w:w="120" w:type="dxa"/>
              <w:right w:w="120" w:type="dxa"/>
            </w:tcMar>
            <w:vAlign w:val="center"/>
          </w:tcPr>
          <w:p w14:paraId="5B0896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宋体" w:hAnsi="宋体" w:eastAsia="宋体" w:cs="宋体"/>
                <w:b w:val="0"/>
                <w:color w:val="auto"/>
                <w:sz w:val="24"/>
                <w:szCs w:val="24"/>
              </w:rPr>
            </w:pPr>
            <w:r>
              <w:rPr>
                <w:rFonts w:hint="eastAsia" w:ascii="宋体" w:hAnsi="宋体" w:eastAsia="宋体" w:cs="宋体"/>
                <w:i w:val="0"/>
                <w:iCs w:val="0"/>
                <w:color w:val="auto"/>
                <w:kern w:val="0"/>
                <w:sz w:val="24"/>
                <w:szCs w:val="24"/>
                <w:u w:val="none"/>
                <w:lang w:val="en-US" w:eastAsia="zh-CN" w:bidi="ar"/>
              </w:rPr>
              <w:t>2527758</w:t>
            </w:r>
          </w:p>
        </w:tc>
        <w:tc>
          <w:tcPr>
            <w:tcW w:w="1967" w:type="dxa"/>
            <w:shd w:val="clear" w:color="auto" w:fill="auto"/>
            <w:tcMar>
              <w:top w:w="120" w:type="dxa"/>
              <w:left w:w="120" w:type="dxa"/>
              <w:bottom w:w="120" w:type="dxa"/>
              <w:right w:w="120" w:type="dxa"/>
            </w:tcMar>
            <w:vAlign w:val="center"/>
          </w:tcPr>
          <w:p w14:paraId="6789BB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宋体" w:hAnsi="宋体" w:eastAsia="宋体" w:cs="宋体"/>
                <w:b w:val="0"/>
                <w:color w:val="auto"/>
                <w:sz w:val="24"/>
                <w:szCs w:val="24"/>
              </w:rPr>
            </w:pPr>
            <w:r>
              <w:rPr>
                <w:rFonts w:hint="eastAsia" w:ascii="宋体" w:hAnsi="宋体" w:eastAsia="宋体" w:cs="宋体"/>
                <w:i w:val="0"/>
                <w:iCs w:val="0"/>
                <w:color w:val="auto"/>
                <w:kern w:val="0"/>
                <w:sz w:val="24"/>
                <w:szCs w:val="24"/>
                <w:u w:val="none"/>
                <w:lang w:val="en-US" w:eastAsia="zh-CN" w:bidi="ar"/>
              </w:rPr>
              <w:t>1835020</w:t>
            </w:r>
          </w:p>
        </w:tc>
        <w:tc>
          <w:tcPr>
            <w:tcW w:w="1867" w:type="dxa"/>
            <w:shd w:val="clear" w:color="auto" w:fill="auto"/>
            <w:tcMar>
              <w:top w:w="120" w:type="dxa"/>
              <w:left w:w="120" w:type="dxa"/>
              <w:bottom w:w="120" w:type="dxa"/>
              <w:right w:w="120" w:type="dxa"/>
            </w:tcMar>
            <w:vAlign w:val="center"/>
          </w:tcPr>
          <w:p w14:paraId="464152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宋体" w:hAnsi="宋体" w:eastAsia="宋体" w:cs="宋体"/>
                <w:b w:val="0"/>
                <w:color w:val="auto"/>
                <w:sz w:val="24"/>
                <w:szCs w:val="24"/>
              </w:rPr>
            </w:pPr>
            <w:r>
              <w:rPr>
                <w:rFonts w:hint="eastAsia" w:ascii="宋体" w:hAnsi="宋体" w:eastAsia="宋体" w:cs="宋体"/>
                <w:i w:val="0"/>
                <w:iCs w:val="0"/>
                <w:color w:val="auto"/>
                <w:kern w:val="0"/>
                <w:sz w:val="24"/>
                <w:szCs w:val="24"/>
                <w:u w:val="none"/>
                <w:lang w:val="en-US" w:eastAsia="zh-CN" w:bidi="ar"/>
              </w:rPr>
              <w:t>1182310</w:t>
            </w:r>
          </w:p>
        </w:tc>
        <w:tc>
          <w:tcPr>
            <w:tcW w:w="2550" w:type="dxa"/>
            <w:shd w:val="clear" w:color="auto" w:fill="auto"/>
            <w:tcMar>
              <w:top w:w="120" w:type="dxa"/>
              <w:left w:w="120" w:type="dxa"/>
              <w:bottom w:w="120" w:type="dxa"/>
              <w:right w:w="120" w:type="dxa"/>
            </w:tcMar>
            <w:vAlign w:val="center"/>
          </w:tcPr>
          <w:p w14:paraId="7C583BE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宋体" w:hAnsi="宋体" w:eastAsia="宋体" w:cs="宋体"/>
                <w:b w:val="0"/>
                <w:color w:val="auto"/>
                <w:sz w:val="24"/>
                <w:szCs w:val="24"/>
              </w:rPr>
            </w:pPr>
            <w:r>
              <w:rPr>
                <w:rFonts w:hint="eastAsia" w:ascii="宋体" w:hAnsi="宋体" w:eastAsia="宋体" w:cs="宋体"/>
                <w:i w:val="0"/>
                <w:iCs w:val="0"/>
                <w:color w:val="auto"/>
                <w:kern w:val="0"/>
                <w:sz w:val="24"/>
                <w:szCs w:val="24"/>
                <w:u w:val="none"/>
                <w:lang w:val="en-US" w:eastAsia="zh-CN" w:bidi="ar"/>
              </w:rPr>
              <w:t>5545088</w:t>
            </w:r>
          </w:p>
        </w:tc>
      </w:tr>
      <w:tr w14:paraId="628D6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93" w:hRule="atLeast"/>
        </w:trPr>
        <w:tc>
          <w:tcPr>
            <w:tcW w:w="872" w:type="dxa"/>
            <w:shd w:val="clear" w:color="auto" w:fill="auto"/>
            <w:tcMar>
              <w:top w:w="120" w:type="dxa"/>
              <w:left w:w="120" w:type="dxa"/>
              <w:bottom w:w="120" w:type="dxa"/>
              <w:right w:w="120" w:type="dxa"/>
            </w:tcMar>
            <w:vAlign w:val="center"/>
          </w:tcPr>
          <w:p w14:paraId="693222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宋体" w:hAnsi="宋体" w:eastAsia="宋体" w:cs="宋体"/>
                <w:b w:val="0"/>
                <w:color w:val="auto"/>
                <w:sz w:val="24"/>
                <w:szCs w:val="24"/>
              </w:rPr>
            </w:pPr>
            <w:r>
              <w:rPr>
                <w:rFonts w:hint="eastAsia" w:ascii="宋体" w:hAnsi="宋体" w:eastAsia="宋体" w:cs="宋体"/>
                <w:i w:val="0"/>
                <w:iCs w:val="0"/>
                <w:color w:val="auto"/>
                <w:kern w:val="0"/>
                <w:sz w:val="24"/>
                <w:szCs w:val="24"/>
                <w:u w:val="none"/>
                <w:lang w:val="en-US" w:eastAsia="zh-CN" w:bidi="ar"/>
              </w:rPr>
              <w:t>总计</w:t>
            </w:r>
          </w:p>
        </w:tc>
        <w:tc>
          <w:tcPr>
            <w:tcW w:w="1007" w:type="dxa"/>
            <w:shd w:val="clear" w:color="auto" w:fill="auto"/>
            <w:tcMar>
              <w:top w:w="120" w:type="dxa"/>
              <w:left w:w="120" w:type="dxa"/>
              <w:bottom w:w="120" w:type="dxa"/>
              <w:right w:w="120" w:type="dxa"/>
            </w:tcMar>
            <w:vAlign w:val="center"/>
          </w:tcPr>
          <w:p w14:paraId="12B510C1">
            <w:pPr>
              <w:keepNext w:val="0"/>
              <w:keepLines w:val="0"/>
              <w:pageBreakBefore w:val="0"/>
              <w:widowControl/>
              <w:suppressLineNumbers w:val="0"/>
              <w:kinsoku/>
              <w:wordWrap/>
              <w:overflowPunct/>
              <w:topLinePunct w:val="0"/>
              <w:autoSpaceDE/>
              <w:autoSpaceDN/>
              <w:bidi w:val="0"/>
              <w:adjustRightInd/>
              <w:snapToGrid/>
              <w:spacing w:line="240" w:lineRule="auto"/>
              <w:ind w:firstLine="240" w:firstLineChars="100"/>
              <w:jc w:val="center"/>
              <w:textAlignment w:val="top"/>
              <w:rPr>
                <w:rFonts w:hint="eastAsia" w:ascii="宋体" w:hAnsi="宋体" w:eastAsia="宋体" w:cs="宋体"/>
                <w:b w:val="0"/>
                <w:color w:val="auto"/>
                <w:sz w:val="24"/>
                <w:szCs w:val="24"/>
              </w:rPr>
            </w:pPr>
            <w:r>
              <w:rPr>
                <w:rFonts w:hint="eastAsia" w:ascii="宋体" w:hAnsi="宋体" w:eastAsia="宋体" w:cs="宋体"/>
                <w:i w:val="0"/>
                <w:iCs w:val="0"/>
                <w:color w:val="auto"/>
                <w:kern w:val="0"/>
                <w:sz w:val="24"/>
                <w:szCs w:val="24"/>
                <w:u w:val="none"/>
                <w:lang w:val="en-US" w:eastAsia="zh-CN" w:bidi="ar"/>
              </w:rPr>
              <w:t>-</w:t>
            </w:r>
          </w:p>
        </w:tc>
        <w:tc>
          <w:tcPr>
            <w:tcW w:w="1633" w:type="dxa"/>
            <w:shd w:val="clear" w:color="auto" w:fill="auto"/>
            <w:tcMar>
              <w:top w:w="120" w:type="dxa"/>
              <w:left w:w="120" w:type="dxa"/>
              <w:bottom w:w="120" w:type="dxa"/>
              <w:right w:w="120" w:type="dxa"/>
            </w:tcMar>
            <w:vAlign w:val="center"/>
          </w:tcPr>
          <w:p w14:paraId="0CD8E9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宋体" w:hAnsi="宋体" w:eastAsia="宋体" w:cs="宋体"/>
                <w:b w:val="0"/>
                <w:color w:val="auto"/>
                <w:sz w:val="24"/>
                <w:szCs w:val="24"/>
                <w:lang w:val="en-US" w:eastAsia="zh-CN"/>
              </w:rPr>
            </w:pPr>
            <w:r>
              <w:rPr>
                <w:rFonts w:hint="eastAsia" w:ascii="宋体" w:hAnsi="宋体" w:eastAsia="宋体" w:cs="宋体"/>
                <w:b w:val="0"/>
                <w:color w:val="auto"/>
                <w:sz w:val="24"/>
                <w:szCs w:val="24"/>
                <w:lang w:val="en-US" w:eastAsia="zh-CN"/>
              </w:rPr>
              <w:t>6728300</w:t>
            </w:r>
          </w:p>
        </w:tc>
        <w:tc>
          <w:tcPr>
            <w:tcW w:w="1967" w:type="dxa"/>
            <w:shd w:val="clear" w:color="auto" w:fill="auto"/>
            <w:tcMar>
              <w:top w:w="120" w:type="dxa"/>
              <w:left w:w="120" w:type="dxa"/>
              <w:bottom w:w="120" w:type="dxa"/>
              <w:right w:w="120" w:type="dxa"/>
            </w:tcMar>
            <w:vAlign w:val="center"/>
          </w:tcPr>
          <w:p w14:paraId="752AFB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宋体" w:hAnsi="宋体" w:eastAsia="宋体" w:cs="宋体"/>
                <w:b w:val="0"/>
                <w:color w:val="auto"/>
                <w:sz w:val="24"/>
                <w:szCs w:val="24"/>
                <w:lang w:val="en-US"/>
              </w:rPr>
            </w:pPr>
            <w:r>
              <w:rPr>
                <w:rFonts w:hint="eastAsia" w:ascii="宋体" w:hAnsi="宋体" w:eastAsia="宋体" w:cs="宋体"/>
                <w:i w:val="0"/>
                <w:iCs w:val="0"/>
                <w:color w:val="auto"/>
                <w:kern w:val="0"/>
                <w:sz w:val="24"/>
                <w:szCs w:val="24"/>
                <w:u w:val="none"/>
                <w:lang w:val="en-US" w:eastAsia="zh-CN" w:bidi="ar"/>
              </w:rPr>
              <w:t>4457220</w:t>
            </w:r>
          </w:p>
        </w:tc>
        <w:tc>
          <w:tcPr>
            <w:tcW w:w="1867" w:type="dxa"/>
            <w:shd w:val="clear" w:color="auto" w:fill="auto"/>
            <w:tcMar>
              <w:top w:w="120" w:type="dxa"/>
              <w:left w:w="120" w:type="dxa"/>
              <w:bottom w:w="120" w:type="dxa"/>
              <w:right w:w="120" w:type="dxa"/>
            </w:tcMar>
            <w:vAlign w:val="center"/>
          </w:tcPr>
          <w:p w14:paraId="436DCC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宋体" w:hAnsi="宋体" w:eastAsia="宋体" w:cs="宋体"/>
                <w:b w:val="0"/>
                <w:color w:val="auto"/>
                <w:sz w:val="24"/>
                <w:szCs w:val="24"/>
                <w:lang w:val="en-US" w:eastAsia="zh-CN"/>
              </w:rPr>
            </w:pPr>
            <w:r>
              <w:rPr>
                <w:rFonts w:hint="eastAsia" w:ascii="宋体" w:hAnsi="宋体" w:eastAsia="宋体" w:cs="宋体"/>
                <w:b w:val="0"/>
                <w:color w:val="auto"/>
                <w:sz w:val="24"/>
                <w:szCs w:val="24"/>
                <w:lang w:val="en-US" w:eastAsia="zh-CN"/>
              </w:rPr>
              <w:t>1990376</w:t>
            </w:r>
          </w:p>
        </w:tc>
        <w:tc>
          <w:tcPr>
            <w:tcW w:w="2550" w:type="dxa"/>
            <w:shd w:val="clear" w:color="auto" w:fill="auto"/>
            <w:tcMar>
              <w:top w:w="120" w:type="dxa"/>
              <w:left w:w="120" w:type="dxa"/>
              <w:bottom w:w="120" w:type="dxa"/>
              <w:right w:w="120" w:type="dxa"/>
            </w:tcMar>
            <w:vAlign w:val="center"/>
          </w:tcPr>
          <w:p w14:paraId="009FED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宋体" w:hAnsi="宋体" w:eastAsia="宋体" w:cs="宋体"/>
                <w:b w:val="0"/>
                <w:color w:val="auto"/>
                <w:sz w:val="24"/>
                <w:szCs w:val="24"/>
                <w:lang w:val="en-US"/>
              </w:rPr>
            </w:pPr>
            <w:r>
              <w:rPr>
                <w:rFonts w:hint="eastAsia" w:ascii="宋体" w:hAnsi="宋体" w:eastAsia="宋体" w:cs="宋体"/>
                <w:i w:val="0"/>
                <w:iCs w:val="0"/>
                <w:color w:val="auto"/>
                <w:kern w:val="0"/>
                <w:sz w:val="24"/>
                <w:szCs w:val="24"/>
                <w:u w:val="none"/>
                <w:lang w:val="en-US" w:eastAsia="zh-CN" w:bidi="ar"/>
              </w:rPr>
              <w:t>13175896</w:t>
            </w:r>
          </w:p>
        </w:tc>
      </w:tr>
    </w:tbl>
    <w:p w14:paraId="7690B9AF">
      <w:pPr>
        <w:pStyle w:val="6"/>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cs="宋体"/>
          <w:b w:val="0"/>
          <w:color w:val="auto"/>
          <w:sz w:val="24"/>
          <w:szCs w:val="24"/>
          <w:lang w:val="en-US" w:eastAsia="zh-CN"/>
        </w:rPr>
        <w:t>2</w:t>
      </w:r>
      <w:r>
        <w:rPr>
          <w:rFonts w:hint="eastAsia" w:ascii="宋体" w:hAnsi="宋体" w:eastAsia="宋体" w:cs="宋体"/>
          <w:b w:val="0"/>
          <w:color w:val="auto"/>
          <w:sz w:val="24"/>
          <w:szCs w:val="24"/>
        </w:rPr>
        <w:t>）道路清雪</w:t>
      </w:r>
    </w:p>
    <w:p w14:paraId="6FC374AA">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严格按照“即下即清即运、人机结合、循环作业、绿色清雪”的工作要求，有序开展清雪及积雪拉运工作，全力保障道路交通</w:t>
      </w:r>
      <w:r>
        <w:rPr>
          <w:rFonts w:hint="eastAsia" w:ascii="宋体" w:hAnsi="宋体" w:cs="宋体"/>
          <w:b w:val="0"/>
          <w:color w:val="auto"/>
          <w:kern w:val="0"/>
          <w:sz w:val="24"/>
          <w:szCs w:val="24"/>
          <w:lang w:val="en-US" w:eastAsia="zh-CN" w:bidi="ar"/>
        </w:rPr>
        <w:t>畅通</w:t>
      </w:r>
      <w:r>
        <w:rPr>
          <w:rFonts w:hint="eastAsia" w:ascii="宋体" w:hAnsi="宋体" w:eastAsia="宋体" w:cs="宋体"/>
          <w:b w:val="0"/>
          <w:color w:val="auto"/>
          <w:kern w:val="0"/>
          <w:sz w:val="24"/>
          <w:szCs w:val="24"/>
          <w:lang w:val="en-US" w:eastAsia="zh-CN" w:bidi="ar"/>
        </w:rPr>
        <w:t>。清雪编组作业时速控制在15公里/小时，每编组配备车辆</w:t>
      </w:r>
      <w:r>
        <w:rPr>
          <w:rFonts w:hint="eastAsia" w:ascii="宋体" w:hAnsi="宋体" w:cs="宋体"/>
          <w:b w:val="0"/>
          <w:color w:val="auto"/>
          <w:kern w:val="0"/>
          <w:sz w:val="24"/>
          <w:szCs w:val="24"/>
          <w:lang w:val="en-US" w:eastAsia="zh-CN" w:bidi="ar"/>
        </w:rPr>
        <w:t>4-</w:t>
      </w:r>
      <w:r>
        <w:rPr>
          <w:rFonts w:hint="eastAsia" w:ascii="宋体" w:hAnsi="宋体" w:eastAsia="宋体" w:cs="宋体"/>
          <w:b w:val="0"/>
          <w:color w:val="auto"/>
          <w:kern w:val="0"/>
          <w:sz w:val="24"/>
          <w:szCs w:val="24"/>
          <w:lang w:val="en-US" w:eastAsia="zh-CN" w:bidi="ar"/>
        </w:rPr>
        <w:t>6辆，机械化清雪面积共计</w:t>
      </w:r>
      <w:r>
        <w:rPr>
          <w:rFonts w:hint="eastAsia" w:ascii="宋体" w:hAnsi="宋体" w:cs="宋体"/>
          <w:b w:val="0"/>
          <w:color w:val="auto"/>
          <w:kern w:val="0"/>
          <w:sz w:val="24"/>
          <w:szCs w:val="24"/>
          <w:lang w:val="en-US" w:eastAsia="zh-CN" w:bidi="ar"/>
        </w:rPr>
        <w:t>672.83</w:t>
      </w:r>
      <w:r>
        <w:rPr>
          <w:rFonts w:hint="eastAsia" w:ascii="宋体" w:hAnsi="宋体" w:eastAsia="宋体" w:cs="宋体"/>
          <w:b w:val="0"/>
          <w:color w:val="auto"/>
          <w:kern w:val="0"/>
          <w:sz w:val="24"/>
          <w:szCs w:val="24"/>
          <w:lang w:val="en-US" w:eastAsia="zh-CN" w:bidi="ar"/>
        </w:rPr>
        <w:t>万㎡。</w:t>
      </w:r>
    </w:p>
    <w:p w14:paraId="085326BA">
      <w:pPr>
        <w:pStyle w:val="6"/>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cs="宋体"/>
          <w:b w:val="0"/>
          <w:color w:val="auto"/>
          <w:sz w:val="24"/>
          <w:szCs w:val="24"/>
          <w:lang w:val="en-US" w:eastAsia="zh-CN"/>
        </w:rPr>
        <w:t>3</w:t>
      </w:r>
      <w:r>
        <w:rPr>
          <w:rFonts w:hint="eastAsia" w:ascii="宋体" w:hAnsi="宋体" w:eastAsia="宋体" w:cs="宋体"/>
          <w:b w:val="0"/>
          <w:color w:val="auto"/>
          <w:sz w:val="24"/>
          <w:szCs w:val="24"/>
        </w:rPr>
        <w:t>）垃圾清运转运</w:t>
      </w:r>
    </w:p>
    <w:p w14:paraId="699471E1">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昌吉市生活垃圾清运采用“转运+直运”两种模式，日均清运量约580吨。其中，约400吨采用转运模式，由3吨、5吨垃圾压缩车从市区各垃圾收集点位压缩运输至城西、城北垃圾转运站进行二次压缩，再由大型勾臂式垃圾转运车转运至城北垃圾处理厂进行无害化处理；其余约180吨生活垃圾采用8吨、12吨垃圾压缩车直运至城北垃圾处理厂进行无害化处理。</w:t>
      </w:r>
    </w:p>
    <w:p w14:paraId="3628960F">
      <w:pPr>
        <w:pStyle w:val="6"/>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cs="宋体"/>
          <w:b w:val="0"/>
          <w:color w:val="auto"/>
          <w:sz w:val="24"/>
          <w:szCs w:val="24"/>
          <w:lang w:val="en-US" w:eastAsia="zh-CN"/>
        </w:rPr>
        <w:t>4</w:t>
      </w:r>
      <w:r>
        <w:rPr>
          <w:rFonts w:hint="eastAsia" w:ascii="宋体" w:hAnsi="宋体" w:eastAsia="宋体" w:cs="宋体"/>
          <w:b w:val="0"/>
          <w:color w:val="auto"/>
          <w:sz w:val="24"/>
          <w:szCs w:val="24"/>
        </w:rPr>
        <w:t>）环卫设施维护</w:t>
      </w:r>
    </w:p>
    <w:p w14:paraId="7AE2BB03">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主要负责昌吉市免费公厕、沿街果皮箱、垃圾容器等公共环卫设施的日常维修、养护及保洁工作，确保设施完好、正常使用，周边环境整洁。</w:t>
      </w:r>
    </w:p>
    <w:p w14:paraId="14B598F5">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cs="宋体"/>
          <w:b w:val="0"/>
          <w:color w:val="auto"/>
          <w:sz w:val="24"/>
          <w:szCs w:val="24"/>
          <w:lang w:val="en-US" w:eastAsia="zh-CN"/>
        </w:rPr>
        <w:t>5</w:t>
      </w:r>
      <w:r>
        <w:rPr>
          <w:rFonts w:hint="eastAsia" w:ascii="宋体" w:hAnsi="宋体" w:eastAsia="宋体" w:cs="宋体"/>
          <w:b w:val="0"/>
          <w:color w:val="auto"/>
          <w:sz w:val="24"/>
          <w:szCs w:val="24"/>
        </w:rPr>
        <w:t>）公厕管护</w:t>
      </w:r>
    </w:p>
    <w:p w14:paraId="60790161">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cs="宋体"/>
          <w:b w:val="0"/>
          <w:color w:val="auto"/>
          <w:kern w:val="0"/>
          <w:sz w:val="24"/>
          <w:szCs w:val="24"/>
          <w:lang w:val="en-US" w:eastAsia="zh-CN" w:bidi="ar"/>
        </w:rPr>
        <w:t>昌吉市</w:t>
      </w:r>
      <w:r>
        <w:rPr>
          <w:rFonts w:hint="eastAsia" w:ascii="宋体" w:hAnsi="宋体" w:eastAsia="宋体" w:cs="宋体"/>
          <w:b w:val="0"/>
          <w:color w:val="auto"/>
          <w:kern w:val="0"/>
          <w:sz w:val="24"/>
          <w:szCs w:val="24"/>
          <w:lang w:val="en-US" w:eastAsia="zh-CN" w:bidi="ar"/>
        </w:rPr>
        <w:t>现有免费公厕</w:t>
      </w:r>
      <w:r>
        <w:rPr>
          <w:rFonts w:hint="eastAsia" w:ascii="宋体" w:hAnsi="宋体" w:cs="宋体"/>
          <w:b w:val="0"/>
          <w:color w:val="auto"/>
          <w:kern w:val="0"/>
          <w:sz w:val="24"/>
          <w:szCs w:val="24"/>
          <w:lang w:val="en-US" w:eastAsia="zh-CN" w:bidi="ar"/>
        </w:rPr>
        <w:t>114</w:t>
      </w:r>
      <w:r>
        <w:rPr>
          <w:rFonts w:hint="eastAsia" w:ascii="宋体" w:hAnsi="宋体" w:eastAsia="宋体" w:cs="宋体"/>
          <w:b w:val="0"/>
          <w:color w:val="auto"/>
          <w:kern w:val="0"/>
          <w:sz w:val="24"/>
          <w:szCs w:val="24"/>
          <w:lang w:val="en-US" w:eastAsia="zh-CN" w:bidi="ar"/>
        </w:rPr>
        <w:t>座（含庭州绿谷2</w:t>
      </w:r>
      <w:r>
        <w:rPr>
          <w:rFonts w:hint="eastAsia" w:ascii="宋体" w:hAnsi="宋体" w:cs="宋体"/>
          <w:b w:val="0"/>
          <w:color w:val="auto"/>
          <w:kern w:val="0"/>
          <w:sz w:val="24"/>
          <w:szCs w:val="24"/>
          <w:lang w:val="en-US" w:eastAsia="zh-CN" w:bidi="ar"/>
        </w:rPr>
        <w:t>2</w:t>
      </w:r>
      <w:r>
        <w:rPr>
          <w:rFonts w:hint="eastAsia" w:ascii="宋体" w:hAnsi="宋体" w:eastAsia="宋体" w:cs="宋体"/>
          <w:b w:val="0"/>
          <w:color w:val="auto"/>
          <w:kern w:val="0"/>
          <w:sz w:val="24"/>
          <w:szCs w:val="24"/>
          <w:lang w:val="en-US" w:eastAsia="zh-CN" w:bidi="ar"/>
        </w:rPr>
        <w:t>座），其中一类公厕33座、二类公厕41座、三类公厕</w:t>
      </w:r>
      <w:r>
        <w:rPr>
          <w:rFonts w:hint="eastAsia" w:ascii="宋体" w:hAnsi="宋体" w:cs="宋体"/>
          <w:b w:val="0"/>
          <w:color w:val="auto"/>
          <w:kern w:val="0"/>
          <w:sz w:val="24"/>
          <w:szCs w:val="24"/>
          <w:lang w:val="en-US" w:eastAsia="zh-CN" w:bidi="ar"/>
        </w:rPr>
        <w:t>40</w:t>
      </w:r>
      <w:r>
        <w:rPr>
          <w:rFonts w:hint="eastAsia" w:ascii="宋体" w:hAnsi="宋体" w:eastAsia="宋体" w:cs="宋体"/>
          <w:b w:val="0"/>
          <w:color w:val="auto"/>
          <w:kern w:val="0"/>
          <w:sz w:val="24"/>
          <w:szCs w:val="24"/>
          <w:lang w:val="en-US" w:eastAsia="zh-CN" w:bidi="ar"/>
        </w:rPr>
        <w:t>座。公厕实行分季节开放管理，夏季（4月1日-10月31日）开放时间为7:00-24:00（共计17小时</w:t>
      </w:r>
      <w:r>
        <w:rPr>
          <w:rFonts w:hint="eastAsia" w:ascii="宋体" w:hAnsi="宋体" w:cs="宋体"/>
          <w:b w:val="0"/>
          <w:color w:val="auto"/>
          <w:kern w:val="0"/>
          <w:sz w:val="24"/>
          <w:szCs w:val="24"/>
          <w:lang w:val="en-US" w:eastAsia="zh-CN" w:bidi="ar"/>
        </w:rPr>
        <w:t>，部分公厕实行24小时开放</w:t>
      </w:r>
      <w:r>
        <w:rPr>
          <w:rFonts w:hint="eastAsia" w:ascii="宋体" w:hAnsi="宋体" w:eastAsia="宋体" w:cs="宋体"/>
          <w:b w:val="0"/>
          <w:color w:val="auto"/>
          <w:kern w:val="0"/>
          <w:sz w:val="24"/>
          <w:szCs w:val="24"/>
          <w:lang w:val="en-US" w:eastAsia="zh-CN" w:bidi="ar"/>
        </w:rPr>
        <w:t>），冬季（11月1日-次年3月31日）开放时间为8:00-23:00（共计15小时），安排专人负责日常管护，确保公厕整洁、设施完好。</w:t>
      </w:r>
    </w:p>
    <w:p w14:paraId="72349676">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cs="宋体"/>
          <w:b w:val="0"/>
          <w:color w:val="auto"/>
          <w:sz w:val="24"/>
          <w:szCs w:val="24"/>
          <w:lang w:val="en-US" w:eastAsia="zh-CN"/>
        </w:rPr>
        <w:t>6</w:t>
      </w:r>
      <w:r>
        <w:rPr>
          <w:rFonts w:hint="eastAsia" w:ascii="宋体" w:hAnsi="宋体" w:eastAsia="宋体" w:cs="宋体"/>
          <w:b w:val="0"/>
          <w:color w:val="auto"/>
          <w:sz w:val="24"/>
          <w:szCs w:val="24"/>
        </w:rPr>
        <w:t>）建筑垃圾处理</w:t>
      </w:r>
    </w:p>
    <w:p w14:paraId="3384B873">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昌吉市现有建筑垃圾处理场1座，采用卫生填埋方式处置建筑垃圾，日均处理量220立方，年均处理量约8万立方。建立建筑垃圾处置台账，严格落实环保处置要求，定期对填埋场进行覆盖、消杀，防止扬尘、异味污染。</w:t>
      </w:r>
    </w:p>
    <w:p w14:paraId="53DEAEA9">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cs="宋体"/>
          <w:b w:val="0"/>
          <w:color w:val="auto"/>
          <w:kern w:val="0"/>
          <w:sz w:val="24"/>
          <w:szCs w:val="24"/>
          <w:lang w:val="en-US" w:eastAsia="zh-CN" w:bidi="ar"/>
        </w:rPr>
        <w:t>7）</w:t>
      </w:r>
      <w:r>
        <w:rPr>
          <w:rFonts w:hint="eastAsia" w:ascii="宋体" w:hAnsi="宋体" w:eastAsia="宋体" w:cs="宋体"/>
          <w:b w:val="0"/>
          <w:color w:val="auto"/>
          <w:sz w:val="24"/>
          <w:szCs w:val="24"/>
        </w:rPr>
        <w:t>生活垃圾填埋场管理</w:t>
      </w:r>
    </w:p>
    <w:p w14:paraId="2E11922E">
      <w:pPr>
        <w:pStyle w:val="6"/>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昌吉市城市生活垃圾综合处理厂位于榆树沟镇312国道53公里处，距市区19公里，占地1320亩，2020年6月因库区容量饱和停止生活垃圾填埋作业，累计填埋总量约213万吨。目前，该厂主要负责厂区环保日常监测、流浪狗收容、渗滤液规范处置等常规工作，同时做好厂区绿化、环境卫生管理。昌吉市生活垃圾城北填埋场位于城北庙尔沟镇和谐2村北1.8公里处，距市区50公里，占</w:t>
      </w:r>
      <w:r>
        <w:rPr>
          <w:rFonts w:hint="eastAsia" w:ascii="宋体" w:hAnsi="宋体" w:cs="宋体"/>
          <w:b w:val="0"/>
          <w:color w:val="auto"/>
          <w:kern w:val="0"/>
          <w:sz w:val="24"/>
          <w:szCs w:val="24"/>
          <w:lang w:val="en-US" w:eastAsia="zh-CN" w:bidi="ar"/>
        </w:rPr>
        <w:t>地</w:t>
      </w:r>
      <w:r>
        <w:rPr>
          <w:rFonts w:hint="eastAsia" w:ascii="宋体" w:hAnsi="宋体" w:eastAsia="宋体" w:cs="宋体"/>
          <w:b w:val="0"/>
          <w:color w:val="auto"/>
          <w:kern w:val="0"/>
          <w:sz w:val="24"/>
          <w:szCs w:val="24"/>
          <w:lang w:val="en-US" w:eastAsia="zh-CN" w:bidi="ar"/>
        </w:rPr>
        <w:t>205.6亩，于2020年6月启动生活垃圾无害化卫生填埋工作，截至目前累计填埋处置生活垃圾约56万吨。2023年10月，生活垃圾焚烧处理厂建成投用后，昌吉市生活垃圾全部实现焚烧处置，</w:t>
      </w:r>
      <w:r>
        <w:rPr>
          <w:rFonts w:hint="eastAsia" w:ascii="宋体" w:hAnsi="宋体" w:cs="宋体"/>
          <w:b w:val="0"/>
          <w:color w:val="auto"/>
          <w:kern w:val="0"/>
          <w:sz w:val="24"/>
          <w:szCs w:val="24"/>
          <w:lang w:val="en-US" w:eastAsia="zh-CN" w:bidi="ar"/>
        </w:rPr>
        <w:t>达到</w:t>
      </w:r>
      <w:r>
        <w:rPr>
          <w:rFonts w:hint="eastAsia" w:ascii="宋体" w:hAnsi="宋体" w:eastAsia="宋体" w:cs="宋体"/>
          <w:b w:val="0"/>
          <w:color w:val="auto"/>
          <w:kern w:val="0"/>
          <w:sz w:val="24"/>
          <w:szCs w:val="24"/>
          <w:lang w:val="en-US" w:eastAsia="zh-CN" w:bidi="ar"/>
        </w:rPr>
        <w:t>“零填埋”目标。当前，城北填埋场主要负责厂区环保日常监测、渗滤液处置、填埋区域覆盖、扬尘管控、除臭灭蝇、生活垃圾数据统计核算、飞灰规范</w:t>
      </w:r>
      <w:r>
        <w:rPr>
          <w:rFonts w:hint="eastAsia" w:ascii="宋体" w:hAnsi="宋体" w:cs="宋体"/>
          <w:b w:val="0"/>
          <w:color w:val="auto"/>
          <w:kern w:val="0"/>
          <w:sz w:val="24"/>
          <w:szCs w:val="24"/>
          <w:lang w:val="en-US" w:eastAsia="zh-CN" w:bidi="ar"/>
        </w:rPr>
        <w:t>填埋</w:t>
      </w:r>
      <w:r>
        <w:rPr>
          <w:rFonts w:hint="eastAsia" w:ascii="宋体" w:hAnsi="宋体" w:eastAsia="宋体" w:cs="宋体"/>
          <w:b w:val="0"/>
          <w:color w:val="auto"/>
          <w:kern w:val="0"/>
          <w:sz w:val="24"/>
          <w:szCs w:val="24"/>
          <w:lang w:val="en-US" w:eastAsia="zh-CN" w:bidi="ar"/>
        </w:rPr>
        <w:t>等工作。</w:t>
      </w:r>
    </w:p>
    <w:p w14:paraId="1828CE20">
      <w:pPr>
        <w:keepNext w:val="0"/>
        <w:keepLines w:val="0"/>
        <w:pageBreakBefore w:val="0"/>
        <w:kinsoku/>
        <w:wordWrap/>
        <w:overflowPunct/>
        <w:topLinePunct w:val="0"/>
        <w:autoSpaceDE/>
        <w:autoSpaceDN/>
        <w:bidi w:val="0"/>
        <w:adjustRightInd/>
        <w:snapToGrid w:val="0"/>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br w:type="page"/>
      </w:r>
    </w:p>
    <w:p w14:paraId="1878B040">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附件a 环境卫生精细化管理标准及考核方案</w:t>
      </w:r>
    </w:p>
    <w:p w14:paraId="53974736">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2" w:firstLineChars="200"/>
        <w:jc w:val="left"/>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一、道路清扫保洁考核</w:t>
      </w:r>
    </w:p>
    <w:p w14:paraId="007D3798">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1、作业范围：昌吉市主次干道及巷道，道道路清扫保洁总面积1317.59万㎡。其中：机械化清扫、清雪面积672.83万㎡，人工清扫保洁面积644.76万㎡。</w:t>
      </w:r>
    </w:p>
    <w:p w14:paraId="0B47D18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2、清扫保洁模式</w:t>
      </w:r>
    </w:p>
    <w:p w14:paraId="6520A2F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1）模式一（人行道、慢车道）：支干道、慢车道采取“人工清扫死角+捡拾绿化带及隔离带垃圾”的作业模式，结合小型清扫车清扫人行道、慢车道垃圾，收集的垃圾统一使用电动三轮车、垃圾集运车、其他运输车辆转运至垃圾收集点或垃圾转运站，做到“垃圾不落地、日产日清”。</w:t>
      </w:r>
    </w:p>
    <w:p w14:paraId="50DF996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2）模式二（快车道、机动车道）：快车道及机动车道重点提升机械化作业频次，采用高压冲洗车，通过排冲、横冲相结合的方式，将路面垃圾及尘土冲至路沿两侧，再使用专业作业工具沿道路两侧进行集中清理，同步配备人工+小型收集车开展快速巡回保洁，确保路面无积尘、无垃圾。</w:t>
      </w:r>
    </w:p>
    <w:p w14:paraId="665740B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（一）人工作业</w:t>
      </w:r>
    </w:p>
    <w:p w14:paraId="18BEF63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1.作业时间</w:t>
      </w:r>
    </w:p>
    <w:p w14:paraId="2B28398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1）主干道：一级道路实行“每日两扫+16小时全天候不间断保洁”，清扫时间为上午5:00-9:00、下午16:00-20:30，可根据季节变化灵活调整作业时间；二级道路实行“每日两扫+12小时全天候不间断保洁”，清扫时间与一级道路一致，可结合季节调整。</w:t>
      </w:r>
    </w:p>
    <w:p w14:paraId="2C6C87E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（2）次干道及背街小巷：三级道路实行“每日一扫+10小时不间断保洁”，清扫时间为上午5:00-8:30，确保街巷整洁无死角。</w:t>
      </w:r>
    </w:p>
    <w:p w14:paraId="42F4CE4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2.作业方式</w:t>
      </w:r>
    </w:p>
    <w:p w14:paraId="6B4601A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保洁作业分为快速保洁和人工保洁两类。“快速保洁”是指环卫工人借助自行车、电动车等便捷设备开展巡回保洁，同时负责突发重大事件的快速清理处置；“人工保洁”是指使用扫把等工具对道路路面、人行道等区域的垃圾（含落叶）进行小面积清扫，使用湿抹布对果皮箱等道路附属设施进行擦洗保洁（抹布不得存放于果皮箱及其他公共设施内），使用铁钳等工具对作业区域内的散落垃圾进行捡拾清理，做到随产随清。</w:t>
      </w:r>
    </w:p>
    <w:p w14:paraId="7BCB838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3.作业标准</w:t>
      </w:r>
    </w:p>
    <w:p w14:paraId="6A00DE6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1）一级清扫保洁质量标准：达到“八无、六净”。“八无”即：无小广告、无堆积物、无砖头瓦块、无果皮纸屑、无塑料袋、无烟头积水、无积泥积尘、无人畜粪便呕吐物；“六净”即：下水净、树池净、绿带及周围净、路沿石净、人行道净、车行道净。</w:t>
      </w:r>
    </w:p>
    <w:p w14:paraId="39351B2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（2）二级道路达到“五无、四净”。“五无”即：无堆积物、无积泥积水积尘、无砖头瓦块、无果皮纸屑、无塑料袋；“四净”即：下水净、路沿石净、人行道净、车行道净。</w:t>
      </w:r>
    </w:p>
    <w:p w14:paraId="7AD662C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（3）主次干道（含人行天桥）、人行道、路面、边沟、树池、绿化带等区域保持整洁，路面见本色，无明显积尘、无散落垃圾。</w:t>
      </w:r>
    </w:p>
    <w:p w14:paraId="16D6CC4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（4）道路隔音设施、桥梁墩柱等部位定期进行清洗，保持干净整洁，无积尘、无污渍。</w:t>
      </w:r>
    </w:p>
    <w:p w14:paraId="46B55B9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（5）果皮箱、垃圾箱每日清洗1次，完好率达到95%以上。清扫作业时严格按规定使用清扫保洁工具和设备，工具、设备存放于隐蔽位置，不得影响市容市貌。</w:t>
      </w:r>
    </w:p>
    <w:p w14:paraId="536EF0E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（6）路段若遇突发情况，需及时设置路障安全警示标志，15分钟内组织人员开展清扫、清理、清运工作，并在15分钟内向主管部门报告处置情况。</w:t>
      </w:r>
    </w:p>
    <w:p w14:paraId="3C6C015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（7）路旁绿地、绿化隔离带、行道树池内无积存垃圾和人畜粪便，无明显杂草、杂物。</w:t>
      </w:r>
    </w:p>
    <w:p w14:paraId="2A16241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highlight w:val="yellow"/>
        </w:rPr>
      </w:pPr>
      <w:r>
        <w:rPr>
          <w:rFonts w:hint="eastAsia" w:ascii="宋体" w:hAnsi="宋体" w:eastAsia="宋体" w:cs="宋体"/>
          <w:b w:val="0"/>
          <w:color w:val="auto"/>
          <w:kern w:val="0"/>
          <w:sz w:val="24"/>
          <w:szCs w:val="24"/>
          <w:lang w:val="en-US" w:eastAsia="zh-CN" w:bidi="ar"/>
        </w:rPr>
        <w:t>（8）道路两侧建筑物外墙无明显污迹，无乱张贴、乱涂写和过时破损标语；一级保洁道路“墙到墙”之间所有构筑物和构件两米以下部分，每日清理乱张贴、乱涂乱画，做到及时清零。</w:t>
      </w:r>
    </w:p>
    <w:p w14:paraId="06DA210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（9）交通护栏无积尘、无明显污迹；一级保洁区域交通护栏每2天清洗1遍，其他区域每周清洗1遍，雨后及时补洗。支路、人行道护栏每周清洗不少于1次，雨后及时补洗。</w:t>
      </w:r>
    </w:p>
    <w:p w14:paraId="56158D0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（10）道路两侧名牌、指路牌、交通护栏以及路灯杆、交通指示牌杆等两米以下部分无污迹、无积尘；一级保洁道路相关设施每日清理1次、每周擦洗1次，其他区域每两周清理、擦洗1次。</w:t>
      </w:r>
    </w:p>
    <w:p w14:paraId="61F8E0B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（11）公交候车站保持整洁，保洁质量与所在道路保洁质量标准一致；一级保洁道路公交候车站设施每日清理乱张贴、乱涂乱画，每周清洗1次，雨后及时擦拭。</w:t>
      </w:r>
    </w:p>
    <w:p w14:paraId="35F4DEA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（12）道路两侧休闲椅、康体娱乐设施、雕塑等无积尘、无明显污迹；一级保洁道路相关设施每周擦洗1次，其他区域每两周擦洗1次。</w:t>
      </w:r>
    </w:p>
    <w:p w14:paraId="2C6860A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（13）高架桥桥面保洁质量与所连接道路保洁质量标准一致，桥栏杆干净整洁，无乱张贴、乱涂写，无积尘、无污渍。</w:t>
      </w:r>
    </w:p>
    <w:p w14:paraId="0359FEF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14）人行天桥桥面无明显垃圾，阶梯、扶手、栏杆干净整洁，无乱张贴、乱涂写；一级保洁道路人行天桥桥面每日冲洗1次，重点清理口香糖等顽固污垢，确保桥面见本色，阶梯、扶手、栏杆每日擦拭1次，乱张贴、乱涂写及时清理；其他道路人行天桥保洁质量参照一级保洁道路标准执行，天桥雨篷定期清理，确保无暴露垃圾。</w:t>
      </w:r>
    </w:p>
    <w:p w14:paraId="37FAA90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15）配合政府部门落实“门前三包”责任制，对责任单位“门前三包”执行情况进行日常监督；环卫作业人员发现责任单位“门前三包”执行不到位的，立即通过拍照、视频等方式取证，若责任单位在取证后15分钟内仍未整改，及时上报主管部门，并配合相关部门做好执法取证工作。</w:t>
      </w:r>
    </w:p>
    <w:p w14:paraId="7C8C76B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4.作业规程</w:t>
      </w:r>
    </w:p>
    <w:p w14:paraId="62D5840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（1）清扫作业前，保洁人员按岗位职责检查作业用具是否齐全、完好，能否正常使用，发现问题及时更换或维修，确保作业顺利开展。</w:t>
      </w:r>
    </w:p>
    <w:p w14:paraId="6233A7B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（2）清扫过程中，保洁人员必须身着统一款式环卫工作服，佩戴工号章及反光安全标志，保持着装整洁，不得蓬头垢面、衣衫不整。</w:t>
      </w:r>
    </w:p>
    <w:p w14:paraId="7306A1F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highlight w:val="yellow"/>
        </w:rPr>
      </w:pPr>
      <w:r>
        <w:rPr>
          <w:rFonts w:hint="eastAsia" w:ascii="宋体" w:hAnsi="宋体" w:eastAsia="宋体" w:cs="宋体"/>
          <w:b w:val="0"/>
          <w:color w:val="auto"/>
          <w:kern w:val="0"/>
          <w:sz w:val="24"/>
          <w:szCs w:val="24"/>
          <w:lang w:val="en-US" w:eastAsia="zh-CN" w:bidi="ar"/>
        </w:rPr>
        <w:t>（3）使用大扫把时，从身体左后侧、右后侧向前清扫，或从身体左前侧向右前侧清扫，双手紧握扫把顶端，匀速向前推进，确保清扫彻底。</w:t>
      </w:r>
    </w:p>
    <w:p w14:paraId="29C28D8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（4）留意风向变化，坚持顺风清扫，避免逆风清扫导致垃圾四散飘扬；清扫方向保持统一，不得多头作业，防止来回踩踏废弃物、降低工作效率。</w:t>
      </w:r>
    </w:p>
    <w:p w14:paraId="4D68508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（5）遵循“从狭窄处向宽敞处清扫”的原则，先清扫道路两侧墙边、墙角，将垃圾从边角位置向空旷处聚集，再进行集中收运处置。</w:t>
      </w:r>
    </w:p>
    <w:p w14:paraId="6827F94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（6）清扫路缘石时，贴近路沿作业，密切关注过往车辆，用扫把将垃圾向一侧扫出，或用垃圾铲逐一收集，避免垃圾遗留、散落。</w:t>
      </w:r>
    </w:p>
    <w:p w14:paraId="6DFFC49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7）清扫人行道时，可采用直线清扫或聚集式清扫两种方式：直线清扫即沿着人行道横向清扫，将垃圾统一扫至路沿，再沿路沿汇集；聚集式清扫即确定路沿某一临时汇集点，从路的四周呈扇形逐步向汇集点清扫聚集。</w:t>
      </w:r>
    </w:p>
    <w:p w14:paraId="7D55E96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highlight w:val="yellow"/>
        </w:rPr>
      </w:pPr>
      <w:r>
        <w:rPr>
          <w:rFonts w:hint="eastAsia" w:ascii="宋体" w:hAnsi="宋体" w:eastAsia="宋体" w:cs="宋体"/>
          <w:b w:val="0"/>
          <w:color w:val="auto"/>
          <w:kern w:val="0"/>
          <w:sz w:val="24"/>
          <w:szCs w:val="24"/>
          <w:lang w:val="en-US" w:eastAsia="zh-CN" w:bidi="ar"/>
        </w:rPr>
        <w:t>（8）沿线路面垃圾扫成堆放置，每隔15米左右堆放1堆，垃圾堆紧靠路沿石外侧摆放，不得占用行车道、人行道，避免影响通行。</w:t>
      </w:r>
    </w:p>
    <w:p w14:paraId="5D82485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（9）排水口、吊渠、沉沙井、绿化带及各类狭窄缝隙中的垃圾，若无法用扫把扫净，使用铁铲、铁钳、竹扒等工具彻底清除，确保无垃圾遗留。</w:t>
      </w:r>
    </w:p>
    <w:p w14:paraId="089B749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（10）清扫地下通道时，先清扫出入口，再清扫地下通道路面；也可先集中清扫通道一侧，从出入口顺着同一方向清扫，再从另一侧出入口往回扫，确保清扫无死角。</w:t>
      </w:r>
    </w:p>
    <w:p w14:paraId="35DCD05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11）清扫人行天桥时，先清扫桥面，再清扫阶梯，清扫阶梯时人站在下一阶，从阶梯一端向另一端清扫，最后将集中在一侧的垃圾逐层汇聚至桥面后清运，动作轻柔，避免灰尘、垃圾撒落在过往行人或车辆身上。</w:t>
      </w:r>
    </w:p>
    <w:p w14:paraId="4B42DF9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（12）道路保洁宽度延伸至两侧人行道的店铺、住户门前；与外单位路段连接的地段，保洁范围向外延伸10米，杜绝出现“两不管”保洁盲点，确保保洁全覆盖。</w:t>
      </w:r>
    </w:p>
    <w:p w14:paraId="15246DE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（二）机械作业</w:t>
      </w:r>
    </w:p>
    <w:p w14:paraId="6BA25E8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lang w:val="en-US" w:eastAsia="zh-CN" w:bidi="ar"/>
        </w:rPr>
        <w:t>1.清扫作业</w:t>
      </w:r>
    </w:p>
    <w:p w14:paraId="605B1B2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（1）作业时间</w:t>
      </w:r>
    </w:p>
    <w:p w14:paraId="6887B43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1）一级道路：每日两扫（机扫+人工辅助扫），作业时间为上午4:00-8:00、下午16:00-20:00，可根据季节变化、天气情况灵活调整。</w:t>
      </w:r>
    </w:p>
    <w:p w14:paraId="54FE4E5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2）二级道路：每日两扫（机扫+人工辅助扫），作业时间与一级道路一致，可结合季节、天气调整。</w:t>
      </w:r>
    </w:p>
    <w:p w14:paraId="2F0EC16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3）三级道路：每日两扫（机扫+人工辅助扫），作业时间为上午4:00-8:00、下午16:00-20:00。</w:t>
      </w:r>
    </w:p>
    <w:p w14:paraId="6B53696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4）四级道路：每日一扫（机扫+人工辅助扫），作业时间为上午4:00-8:30。</w:t>
      </w:r>
    </w:p>
    <w:p w14:paraId="6827BEF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5）道路机械化作业实行“夜间清洗、白天机扫”的工作机制，避开交通高峰时段，减少对市民出行的影响。</w:t>
      </w:r>
    </w:p>
    <w:p w14:paraId="09769A2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6）根据实际路况、天气情况，合理确定白天机扫时间、路段，确保每台车每日作业时长不低于10小时。</w:t>
      </w:r>
    </w:p>
    <w:p w14:paraId="462BF98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7）清扫保洁作业时速不超过15公里/小时，机械化作业期间禁止鸣笛，规范行车、文明作业。</w:t>
      </w:r>
    </w:p>
    <w:p w14:paraId="550B5E2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（2）机械清扫标准</w:t>
      </w:r>
    </w:p>
    <w:p w14:paraId="1F12655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1）作业时，确保车况良好、车容整洁，规范停放作业车辆，尽可能减少交通拥堵，保障道路通行顺畅。</w:t>
      </w:r>
    </w:p>
    <w:p w14:paraId="790EDE8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2）根据路面污染程度调整作业档位，清扫时选用一挡或二挡，保洁时选用二挡；夜间清扫时速不超过10公里/小时，白天保洁时速不超过10公里/小时，确保清扫、保洁质量。</w:t>
      </w:r>
    </w:p>
    <w:p w14:paraId="672AADF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3）车辆统一到指定地点加水、卸垃圾，不得随意加水、乱倒垃圾，避免造成二次污染。</w:t>
      </w:r>
    </w:p>
    <w:p w14:paraId="2A4D0AA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4）作业过程中无扬尘、不漏垃圾，清扫后路缘石无沉积泥砂，地面干净整洁无污物，作业里程达到规定标准。</w:t>
      </w:r>
    </w:p>
    <w:p w14:paraId="638C027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5）严格按照规定时间、作业区域到位作业，不得迟到、早退、漏扫、脱岗。</w:t>
      </w:r>
    </w:p>
    <w:p w14:paraId="4E11CF6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6）服从主管部门统一调度、统一安排，积极配合应急处置、重大保障等工作。</w:t>
      </w:r>
    </w:p>
    <w:p w14:paraId="3238ABD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7）路面、隔离桩下、路牙、下水口等区域整洁无残留垃圾、无漂浮垃圾、无积灰，路面见本色。</w:t>
      </w:r>
    </w:p>
    <w:p w14:paraId="5DC1189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8）地（路）面普扫必须在规定时间内完成，普扫结束后立即进入常态化保洁状态，确保路面持续整洁。</w:t>
      </w:r>
    </w:p>
    <w:p w14:paraId="4C2E551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9）地（路）面在规定作业时间内达到“六无”（无烟头纸屑、无粪便泥土、无污水、无瓜果皮核、无垃圾、无砖块沙石）、“六净”（路面净、路牙以上净、护栏净、下水道口净、树穴净、垃圾收集容器净）。</w:t>
      </w:r>
    </w:p>
    <w:p w14:paraId="107E954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（3）作业规程</w:t>
      </w:r>
    </w:p>
    <w:p w14:paraId="22B0733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1）洗扫车作业时必须开启警示灯，夜间作业时开启示宽灯、关闭提示音乐，避免扰民；司机和随车工人按规定着装，严格遵守操作规程和环卫作业规范，做到文明驾驶、文明作业。</w:t>
      </w:r>
    </w:p>
    <w:p w14:paraId="69D99D9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2）逐步建立“大型清扫车普扫+多功能洗扫车洗扫+小型电瓶车巡回保洁+人工清扫保洁”的机械化清扫保洁模式，确保机械化清扫率不低于80%。</w:t>
      </w:r>
    </w:p>
    <w:p w14:paraId="4D2DA49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3）每日出车前、收车后，及时填写运行记录，详细注明出收车时间、作业路线、运行时长、行驶距离及车辆状况等信息，做到台账完整、数据真实。</w:t>
      </w:r>
    </w:p>
    <w:p w14:paraId="7CF5135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highlight w:val="yellow"/>
        </w:rPr>
      </w:pPr>
      <w:r>
        <w:rPr>
          <w:rFonts w:hint="eastAsia" w:ascii="宋体" w:hAnsi="宋体" w:eastAsia="宋体" w:cs="宋体"/>
          <w:b w:val="0"/>
          <w:color w:val="auto"/>
          <w:kern w:val="0"/>
          <w:sz w:val="24"/>
          <w:szCs w:val="24"/>
          <w:lang w:val="en-US" w:eastAsia="zh-CN" w:bidi="ar"/>
        </w:rPr>
        <w:t>4）作业车辆标志清晰、齐全，保持车况良好，严禁带病上路；车辆出车前后进行清洗，保持车体整洁，无破损、锈蚀、污物、灰垢；清扫车存储箱保持密闭，作业过程中无垃圾、尘土扬撒、拖挂及污水滴漏现象。</w:t>
      </w:r>
    </w:p>
    <w:p w14:paraId="01774A1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5）车辆作业时开启警示灯或特效音乐提醒路人，禁止开启警报器，严格遵守交通法规，文明行车。</w:t>
      </w:r>
    </w:p>
    <w:p w14:paraId="2173FBB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6）杜绝空车不清扫、虚增作业里程等行为，作业车速不超过15公里/小时，清扫宽度不小于6米，清扫效率不低于80%；路面清扫后，达到路面净、侧石净，无烟头、纸屑、瓜果皮核、塑料袋、灰土砖石等废弃物，做到路面见本色。</w:t>
      </w:r>
    </w:p>
    <w:p w14:paraId="209ADC7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7）早班集中全部道路机扫车，以6-10km/h的速度对城区主要道路进行彻底清扫；白班大中型机扫车以8-12km/h的速度开展道路清扫保洁，中小型机扫车在城区值守保洁，随时处置突发垃圾污染。</w:t>
      </w:r>
    </w:p>
    <w:p w14:paraId="0A86E1D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8）利用专业车辆、专用工具，清理城市道路地面、建筑物立面、公共设施等部位的非法张贴宣传品和小广告；对公交车站、人行天桥、地下通道、广告牌、灯杆、电线杆、便民座椅、路牌、邮筒、读报栏、护栏、树木等公用设施进行机械清理保洁，非法广告实现“当天张贴、当天清理”，公共设施每日清理、全天保洁。</w:t>
      </w:r>
    </w:p>
    <w:p w14:paraId="5ED33C2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9）道路、绿化带护栏清洗保洁实行“机械化清洗+局部人工清洗”相结合的方式，正常天气下，根据护栏污染情况，每1-3天开展1次机械化清洗，人工保洁随时进行；雨后护栏污染严重时，在雨后24小时内完成1遍全面清洗，确保护栏整洁见本色。</w:t>
      </w:r>
    </w:p>
    <w:p w14:paraId="5052241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highlight w:val="yellow"/>
        </w:rPr>
      </w:pPr>
      <w:r>
        <w:rPr>
          <w:rFonts w:hint="eastAsia" w:ascii="宋体" w:hAnsi="宋体" w:eastAsia="宋体" w:cs="宋体"/>
          <w:b w:val="0"/>
          <w:color w:val="auto"/>
          <w:kern w:val="0"/>
          <w:sz w:val="24"/>
          <w:szCs w:val="24"/>
          <w:lang w:val="en-US" w:eastAsia="zh-CN" w:bidi="ar"/>
        </w:rPr>
        <w:t>10）机械无法作业的区域（如狭窄巷道、人行道边角等），采用人工作业；人工作业过程中，采取洒水降尘等措施，提高垃圾扫净率，防止扬尘污染。</w:t>
      </w:r>
    </w:p>
    <w:p w14:paraId="7C4EAEC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2.洒水降尘作业</w:t>
      </w:r>
    </w:p>
    <w:p w14:paraId="368E414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（1）作业时间</w:t>
      </w:r>
    </w:p>
    <w:p w14:paraId="79D99E5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1）主要道路每日洒水4次，夏季高温天气（气温≥37℃）每日洒水6次，重点区域不间断洒水，兼顾降尘、降温；特殊路段（如施工路段、沙尘污染严重路段）适当增加洒水频次，有施工渣土污染的路段重点值守、及时清洗。</w:t>
      </w:r>
    </w:p>
    <w:p w14:paraId="0CCA974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color w:val="auto"/>
          <w:kern w:val="0"/>
          <w:sz w:val="24"/>
          <w:szCs w:val="24"/>
          <w:lang w:val="en-US" w:eastAsia="zh-CN" w:bidi="ar"/>
        </w:rPr>
        <w:t>2）道路机械化作业实行“夜间清洗、白天机扫”的工作机制，洒水降尘作业避开交通高峰时段，减少对市民出行的影响。</w:t>
      </w:r>
    </w:p>
    <w:p w14:paraId="0EFEDF7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3）机械化清洗作业时速不超过10公里/小时，作业期间禁止鸣笛，文明作业。</w:t>
      </w:r>
    </w:p>
    <w:p w14:paraId="33B0981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（2）作业方式</w:t>
      </w:r>
    </w:p>
    <w:p w14:paraId="5899227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洒水降尘采取“车道直冲+机扫+人行道人工清洗”相结合的方式开展，结合道路实际路况、污染程度，合理确定作业设备、冲水及机扫遍数，确保降尘、保洁效果。</w:t>
      </w:r>
    </w:p>
    <w:p w14:paraId="4232E8A0">
      <w:pPr>
        <w:keepNext w:val="0"/>
        <w:keepLines w:val="0"/>
        <w:pageBreakBefore w:val="0"/>
        <w:widowControl/>
        <w:numPr>
          <w:ilvl w:val="0"/>
          <w:numId w:val="11"/>
        </w:numPr>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车道清洗（含非机动车道）作业方式：冲洗车开启2个鸭嘴形喷嘴沿黄线左（或右）侧冲洗路面，开启左（右）鸭嘴形喷嘴和左（右）侧喷杆冲洗左（右）侧石（交通标志线）和绿化带；冲水间隙同步开展机扫作业，确保垃圾及时收集，无遗留、无扬撒。对于无花坛的人行道侧石，可关闭喷杆；超宽道路适当增加直冲水遍数；上坡路选用合适冲洗方式，并加装警示设备，保障作业安全。</w:t>
      </w:r>
    </w:p>
    <w:p w14:paraId="3321350D">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2）人行道清洗（含花台花坛）作业方式：利用冲洗车、疏通车改装的人行道清洗车及高压电瓶车等设备，配合人工开展清洗作业，确保人行道、花台花坛无积尘、无污渍、无垃圾。</w:t>
      </w:r>
    </w:p>
    <w:p w14:paraId="099783D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（3）洒水车作业要求</w:t>
      </w:r>
    </w:p>
    <w:p w14:paraId="4075168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1）气温管控要求：当最低气温降至3-5℃且地面可能结冰时，22:00前完成桥面、快速环线的冲洗作业；当最低气温降至2℃及以下时，所有桥面、快速环线停止清洗作业，仅开展机械化清扫；当气温降至0℃及以下时，夜间道路机械化作业全部停止，待气温回升后，及时补做清洗、清扫作业，确保路面干净清爽，无结冰、无积尘。</w:t>
      </w:r>
    </w:p>
    <w:p w14:paraId="5DB76C2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2）作业量标准：高压水车每车每段作业面积20万平方米，半挂水车每车每段15万平方米，单机水车（5吨）每车每段10万平方米，确保作业量达标。</w:t>
      </w:r>
    </w:p>
    <w:p w14:paraId="6E52245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3）保持车身整洁，严格按照规定地段、路线、时间开展冲洒作业，不得擅自更改作业计划、漏洒、少洒。</w:t>
      </w:r>
    </w:p>
    <w:p w14:paraId="215BF9C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4）出车前，全面检查车辆状态，重点核查油泵、上水截阀、喷嘴等部件是否完好、灵敏有效，对制动系、传动系、转向系、润滑系进行全面检查，确保车辆安全可靠、正常作业。</w:t>
      </w:r>
    </w:p>
    <w:p w14:paraId="7E445A0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5）根据作业需求，按规定开启前后警示灯；夜间作业（23:00-6:30）严禁使用汽车警示音乐器，避免扰民。</w:t>
      </w:r>
    </w:p>
    <w:p w14:paraId="4F4D309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6）加水必须到指定环卫专用取水栓，不得擅自占用公共水源、居民用水设施加水。</w:t>
      </w:r>
    </w:p>
    <w:p w14:paraId="19F6118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7）遇到渣土污染或突发性污染时，及时调配机械化清扫设备或人工开展清洗作业，快速恢复路面整洁，避免污染扩散。</w:t>
      </w:r>
    </w:p>
    <w:p w14:paraId="3982F82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8）作业完毕后，对车辆进行清洗和日常保养，发现故障及时报修，确保次日正常用车；冬季作业完毕后，打开全车各截阀放净积水，防止部件冻裂，做好车辆防冻保护。</w:t>
      </w:r>
    </w:p>
    <w:p w14:paraId="6780759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（4）作业规程</w:t>
      </w:r>
    </w:p>
    <w:p w14:paraId="77D4591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1）洒水车作业时必须开启警示灯，夜间作业开启示宽灯、关闭提示音乐；司机和随车工人按规定着装，严格遵守操作规程和环卫作业规范，做到文明驾驶、文明作业。</w:t>
      </w:r>
    </w:p>
    <w:p w14:paraId="5D1D515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2）每日出车前、收车后，及时填写运行记录，详细注明出收车时间、作业路线、运行时长、行驶距离及车辆状况等信息，做到台账完整、可追溯。</w:t>
      </w:r>
    </w:p>
    <w:p w14:paraId="4606C7C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3）作业车辆标志清晰、齐全，保持车况良好，严禁带病上路；车辆出车前后进行清洗，保持车体整洁，无破损、锈蚀、污物、灰垢；清扫车存储箱保持密闭，作业过程中无垃圾、尘土扬撒、拖挂及污水滴漏现象。</w:t>
      </w:r>
    </w:p>
    <w:p w14:paraId="5927BEA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4）车辆作业时开启警示灯或特效音乐提醒路人，禁止开启警报器，严格遵守交通法规；洒水作业时控制适当水压和行速，避免水花溅到路人，妨碍行人和行车安全，文明作业、便民作业。</w:t>
      </w:r>
    </w:p>
    <w:p w14:paraId="5728FFC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（5）道路洒水降尘质量标准</w:t>
      </w:r>
    </w:p>
    <w:p w14:paraId="147E277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1）路面日间冲洗、洒水作业时，鸣报信号提醒路人，冲洗后的路面干净整洁、见本色，无油污、痰迹、口香糖等顽固污垢。</w:t>
      </w:r>
    </w:p>
    <w:p w14:paraId="02F9655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2）洒水作业坚持文明作业，遇过路行人减速提示，避免水花溅到路人，不得扰民、影响市民出行。</w:t>
      </w:r>
    </w:p>
    <w:p w14:paraId="3601363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3）洒洗作业后，道路车行道、人行道、花坛边、隔离设施底部无积尘、积泥、积水“三积”现象，路面整洁干爽。</w:t>
      </w:r>
    </w:p>
    <w:p w14:paraId="245C21A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4）严格按照规定时间、作业区域到位作业，不得迟到、早退、漏作业。</w:t>
      </w:r>
    </w:p>
    <w:p w14:paraId="1A21C78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5）服从主管部门统一调度、统一安排，积极配合应急处置、重大保障等工作。</w:t>
      </w:r>
    </w:p>
    <w:p w14:paraId="7E008C5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6）道路洒水和喷雾作业频次，根据路面积尘量、天气情况和空气质量灵活调整；抑尘剂按产品性能合理使用，不得违规使用；道路冲洗喷水设备水压不低于300Kpa，冲洗作业频次根据路面垃圾、尘土量动态调整，确保降尘效果。</w:t>
      </w:r>
    </w:p>
    <w:p w14:paraId="6EC73FB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7）城市道路喷雾压尘作业时速不超过20公里/小时，采用配备高压系统的水车开展喷雾增湿降尘，通过高压喷口将水呈雾状喷出，减少空气中可吸入颗粒物，同时润湿地面（地面见潮湿不见流水），减少车辆行驶扰动扬尘，覆盖全路面车道，达到增湿、降尘双重效果。</w:t>
      </w:r>
    </w:p>
    <w:p w14:paraId="2373448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8）道路污染清洗作业时速控制在5-8公里/小时，根据现场污染情况可反复洗刷，确保污染彻底清除；道路清洗采用“冲刷、清扫、收集”一体化多功能车辆，对污染路面进行综合处置，作业车辆配备前置盘刷、中置滚刷、边刷、冲洗喷口、吸盘等装置，箱体配备水箱、污物箱，盘刷、滚刷配合冲洗水与路面充分接触，实现彻底洗刷，同时通过盘刷与吸口配合将污物全部收集至水箱，作业后路面无污物、无流水、基本见本色。</w:t>
      </w:r>
    </w:p>
    <w:p w14:paraId="39438EB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3.道路冲洗作业</w:t>
      </w:r>
    </w:p>
    <w:p w14:paraId="3B01C0E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（1）作业时间</w:t>
      </w:r>
    </w:p>
    <w:p w14:paraId="4FAF52E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1）主要道路每日冲洗1次，夏季高温天气（气温≥37℃）每日冲洗2次，兼顾降尘、降温；特殊路段（施工路段、沙尘污染严重路段）适当增加冲洗频次，有施工渣土污染的路段重点值守、及时清洗，防止污染扩散。</w:t>
      </w:r>
    </w:p>
    <w:p w14:paraId="5CC3F1C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2）道路机械化作业实行“夜间清洗、白天机扫”的工作机制，冲洗作业避开交通高峰时段，减少对市民出行的影响。</w:t>
      </w:r>
    </w:p>
    <w:p w14:paraId="7BE0FDE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3）机械化冲洗作业时速不超过20公里/小时，作业期间禁止鸣笛，文明作业。</w:t>
      </w:r>
    </w:p>
    <w:p w14:paraId="5B9D3B5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（2）机械化作业方式</w:t>
      </w:r>
    </w:p>
    <w:p w14:paraId="5462B79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采用“以水为动力”的机械化冲洗作业模式，主要利用高压冲洗车、洗扫车，每日对城区主要干道冲洗2次，同步对路沿石进行冲洗；利用护栏清扫车对城区护栏进行全面清洗；对烧烤摊等遗留的顽固污渍，采用洗衣粉、火碱等清洁剂浸泡后，再用清水彻底冲洗，确保城区街面干净整洁、光亮如新。</w:t>
      </w:r>
    </w:p>
    <w:p w14:paraId="5924D7B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highlight w:val="yellow"/>
        </w:rPr>
      </w:pPr>
      <w:r>
        <w:rPr>
          <w:rFonts w:hint="eastAsia" w:ascii="宋体" w:hAnsi="宋体" w:eastAsia="宋体" w:cs="宋体"/>
          <w:b w:val="0"/>
          <w:color w:val="auto"/>
          <w:kern w:val="0"/>
          <w:sz w:val="24"/>
          <w:szCs w:val="24"/>
          <w:lang w:val="en-US" w:eastAsia="zh-CN" w:bidi="ar"/>
        </w:rPr>
        <w:t>（3）冲洗作业流程</w:t>
      </w:r>
    </w:p>
    <w:p w14:paraId="5EE8B4B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1）作业准备：出车前检查车辆状态、冲洗设备及清洁剂储备，明确作业路线、路段，避开交通高峰时段；2）前期清扫：先用机扫车对路面浮尘、垃圾进行初步清扫，减少冲洗时垃圾扬撒；3）分段冲洗：采用“先中央后两侧、先主道后人行道”的顺序，分段开展高压冲洗，同步配合洗扫车收集污水、垃圾；4）顽固污渍处理：对烧烤摊、施工路段等顽固污渍，喷洒清洁剂浸泡10-15分钟后，再用高压水枪冲洗，确保污渍彻底清除；5）收尾检查：冲洗完毕后，对作业路段进行全面检查，发现未冲洗干净、有污渍遗留的区域，及时补洗，确保作业质量。</w:t>
      </w:r>
    </w:p>
    <w:p w14:paraId="3A10E55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（4）作业要求</w:t>
      </w:r>
    </w:p>
    <w:p w14:paraId="35D6960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1）气温管控：参照洒水降尘作业气温管控要求执行，严防路面结冰，确保作业安全；2）作业量标准：参照洒水降尘作业车辆作业量标准执行，确保作业量达标；3）车辆管理：保持车身整洁，严格按规定地段、路线、时间作业，不得擅自更改作业计划；4）出车检查：出车前全面检查车辆部件，确保车辆安全可靠、正常作业；5）警示要求：根据作业需求开启警示灯，夜间作业（23:00-6:30）严禁使用警示音乐器，避免扰民；6）加水管理：统一到指定环卫专用取水栓加水，严禁占用公共水源；7）应急处置：遇到渣土污染或突发性污染时，及时调配设备、人员开展清洗，快速恢复路面整洁。</w:t>
      </w:r>
    </w:p>
    <w:p w14:paraId="351B86B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（5）作业规程</w:t>
      </w:r>
    </w:p>
    <w:p w14:paraId="23D5D78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1）出车前，全面检查车辆油泵、上水截阀、喷嘴等部件，以及制动系、传动系、转向系、润滑系，确保车辆安全可靠、设备正常运行。</w:t>
      </w:r>
    </w:p>
    <w:p w14:paraId="01C4FB2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2）发动车辆后，预热5分钟，待气压达到7兆帕后再起步，确保车辆性能稳定。</w:t>
      </w:r>
    </w:p>
    <w:p w14:paraId="1BB9C2E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3）冲洗作业坚持“先中央后两边、先人工辅助后低压强冲”的原则，确保路面全覆盖冲洗，作业时速控制在10-20公里/小时，严禁高速冲洗，避免水花溅到路人、损坏公共设施。</w:t>
      </w:r>
    </w:p>
    <w:p w14:paraId="708A277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4）冲洗作业坚持文明作业，遇过路行人减速提示、避让，避免扰民、影响市民出行。</w:t>
      </w:r>
    </w:p>
    <w:p w14:paraId="3997F2B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5）冲洗作业后，道路车行道、人行道、花坛边、隔离设施底部无“三积”现象，路面整洁、无积水、见本色。</w:t>
      </w:r>
    </w:p>
    <w:p w14:paraId="21512E3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6）严格按照规定时间、作业区域到位作业，作业完毕后返回停车场，对车辆进行正规检查、清洗及日常保养，确保次日正常用车。</w:t>
      </w:r>
    </w:p>
    <w:p w14:paraId="652FB16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7）服从主管部门统一调度、统一安排，积极配合应急处置、重大保障等工作。</w:t>
      </w:r>
    </w:p>
    <w:p w14:paraId="4BC3AD5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lang w:val="en-US" w:eastAsia="zh-CN" w:bidi="ar"/>
        </w:rPr>
        <w:t>4、护栏清洗作业</w:t>
      </w:r>
    </w:p>
    <w:p w14:paraId="13E836F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1）保洁标准：护栏内外侧、立柱、横杆、底座无浮尘、无泥垢、无油污、无痰渍、无口香糖残留，整洁见本色、无明显水印；</w:t>
      </w:r>
    </w:p>
    <w:p w14:paraId="4C267F2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2）无乱张贴、小广告、喷涂涂鸦，发现后及时清理，实现“清零”；</w:t>
      </w:r>
    </w:p>
    <w:p w14:paraId="067C24A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3）护栏底部、根部、夹缝无积沙、淤泥、垃圾，无积水、无结冰，冬季重点做好护栏人工除冰、清淤工作；</w:t>
      </w:r>
    </w:p>
    <w:p w14:paraId="413530D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4）清洗频次：主干道、核心区中央隔离护栏每日清洗2次，重大保障任务期间加密至每日3次；次干道、机非护栏每周清洗不少于2次（或隔日1次）；</w:t>
      </w:r>
    </w:p>
    <w:p w14:paraId="507DF82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highlight w:val="yellow"/>
        </w:rPr>
      </w:pPr>
      <w:r>
        <w:rPr>
          <w:rFonts w:hint="eastAsia" w:ascii="宋体" w:hAnsi="宋体" w:eastAsia="宋体" w:cs="宋体"/>
          <w:b w:val="0"/>
          <w:color w:val="auto"/>
          <w:kern w:val="0"/>
          <w:sz w:val="24"/>
          <w:szCs w:val="24"/>
          <w:lang w:val="en-US" w:eastAsia="zh-CN" w:bidi="ar"/>
        </w:rPr>
        <w:t>5）作业时段：避开早晚交通高峰（7:30-9:00、18:00-19:30），优先选择凌晨5:00–10:00、午后14:00–17:00作业；夜间作业需提前报备主管部门，开启警示灯，安排专人现场警戒，确保作业安全。</w:t>
      </w:r>
    </w:p>
    <w:p w14:paraId="6FD355F1">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2" w:firstLineChars="200"/>
        <w:jc w:val="left"/>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二、垃圾清运、转运考核</w:t>
      </w:r>
    </w:p>
    <w:p w14:paraId="7C511F5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1、作业范围</w:t>
      </w:r>
    </w:p>
    <w:p w14:paraId="62539DD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负责昌吉市作业范围内所有保洁路段的垃圾桶、垃圾箱垃圾收集工作，统一转运至4座垃圾中转站；每日将4座中转站的垃圾转运至垃圾处理场，实现生活垃圾“日产日清、应收尽收、密闭转运”，无堆积、无遗留。</w:t>
      </w:r>
    </w:p>
    <w:p w14:paraId="627E535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2、收集清运方式</w:t>
      </w:r>
    </w:p>
    <w:p w14:paraId="3C42EFB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垃圾收运分为“运贮、清运、转运”三个阶段，构成完整收运系统，结合不同垃圾产生场景，实行四种收集清运模式，确保收运规范、高效。</w:t>
      </w:r>
    </w:p>
    <w:p w14:paraId="254D1B1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第一阶段：运贮（搬运与贮存），环卫作业人员，将垃圾从产生源头转运至垃圾贮存容器或集装点的过程，确保垃圾不落地、不遗撒。</w:t>
      </w:r>
    </w:p>
    <w:p w14:paraId="4FA5A9D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第二阶段：清运（收集与清运），指垃圾的近距离运输，由清运车辆沿既定路线，收集、清除贮存容器或其他贮存设施中的垃圾，转运至垃圾中转站，部分近距离垃圾可直接转运至垃圾处理场（厂）。</w:t>
      </w:r>
    </w:p>
    <w:p w14:paraId="7602639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第三阶段：转运，指垃圾的远途运输，在垃圾中转站将垃圾转载至大容量运输工具，统一运往远处垃圾处理场（厂），实现集中处置。</w:t>
      </w:r>
    </w:p>
    <w:p w14:paraId="0B73AA3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四种垃圾收集清运模式：</w:t>
      </w:r>
    </w:p>
    <w:p w14:paraId="49DBA630">
      <w:pPr>
        <w:keepNext w:val="0"/>
        <w:keepLines w:val="0"/>
        <w:pageBreakBefore w:val="0"/>
        <w:widowControl/>
        <w:numPr>
          <w:ilvl w:val="0"/>
          <w:numId w:val="12"/>
        </w:numPr>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道路清扫垃圾收运模式：清扫产生的垃圾，由保洁车或清运车直接收集，转运至垃圾转运车、垃圾压缩车，或直接运送至垃圾中转站，确保清扫垃圾随产随清、无堆积。</w:t>
      </w:r>
    </w:p>
    <w:p w14:paraId="46A29232">
      <w:pPr>
        <w:keepNext w:val="0"/>
        <w:keepLines w:val="0"/>
        <w:pageBreakBefore w:val="0"/>
        <w:widowControl/>
        <w:numPr>
          <w:ilvl w:val="0"/>
          <w:numId w:val="12"/>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沿街门店垃圾收运模式：城区、乡镇沿街门店及个体户餐馆产生的垃圾，由商家定时定点装入垃圾袋，投放至指定垃圾桶或垃圾收集点；环卫作业人员使用保洁车、清运车或桶车，将垃圾收集转运至垃圾转运车、压缩车或中转站，再统一转运至垃圾处理场（厂），严禁商家乱堆乱倒垃圾。</w:t>
      </w:r>
    </w:p>
    <w:p w14:paraId="1D4A214C">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（3）果皮箱垃圾收运模式：果皮箱内垃圾统一装入垃圾袋，由清运车定时收集，转运至垃圾转运车、垃圾压缩车或中转站，再统一运往垃圾处理场（厂），确保果皮箱无满溢、垃圾不遗撒。</w:t>
      </w:r>
    </w:p>
    <w:p w14:paraId="5533ABE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highlight w:val="yellow"/>
        </w:rPr>
      </w:pPr>
      <w:r>
        <w:rPr>
          <w:rFonts w:hint="eastAsia" w:ascii="宋体" w:hAnsi="宋体" w:eastAsia="宋体" w:cs="宋体"/>
          <w:b w:val="0"/>
          <w:color w:val="auto"/>
          <w:kern w:val="0"/>
          <w:sz w:val="24"/>
          <w:szCs w:val="24"/>
          <w:lang w:val="en-US" w:eastAsia="zh-CN" w:bidi="ar"/>
        </w:rPr>
        <w:t>（4）集贸、单位垃圾收运模式：集贸市场、企事业单位产生的垃圾，部分由清运车直接收集转运至中转站；部分投放至垃圾收集点、垃圾房或垃圾桶，由桶车收运至中转设备，再统一转运至垃圾处理场（厂），确保垃圾日产日清、无积存、不腐烂发臭。</w:t>
      </w:r>
    </w:p>
    <w:p w14:paraId="55B2CE2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3、作业要求</w:t>
      </w:r>
    </w:p>
    <w:p w14:paraId="37C14F5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（1）作业时间</w:t>
      </w:r>
    </w:p>
    <w:p w14:paraId="1475777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表格</w:t>
      </w:r>
    </w:p>
    <w:tbl>
      <w:tblPr>
        <w:tblStyle w:val="43"/>
        <w:tblW w:w="9739" w:type="dxa"/>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102"/>
        <w:gridCol w:w="2887"/>
        <w:gridCol w:w="4750"/>
      </w:tblGrid>
      <w:tr w14:paraId="2A613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blHeader/>
          <w:tblCellSpacing w:w="15" w:type="dxa"/>
        </w:trPr>
        <w:tc>
          <w:tcPr>
            <w:tcW w:w="2057" w:type="dxa"/>
            <w:shd w:val="clear" w:color="auto" w:fill="auto"/>
            <w:vAlign w:val="center"/>
          </w:tcPr>
          <w:p w14:paraId="3AC60FE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720" w:firstLineChars="300"/>
              <w:jc w:val="both"/>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kern w:val="0"/>
                <w:sz w:val="24"/>
                <w:szCs w:val="24"/>
                <w:lang w:val="en-US" w:eastAsia="zh-CN" w:bidi="ar"/>
              </w:rPr>
              <w:t>类别</w:t>
            </w:r>
          </w:p>
        </w:tc>
        <w:tc>
          <w:tcPr>
            <w:tcW w:w="2857" w:type="dxa"/>
            <w:shd w:val="clear" w:color="auto" w:fill="auto"/>
            <w:vAlign w:val="center"/>
          </w:tcPr>
          <w:p w14:paraId="613EB11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firstLine="960" w:firstLineChars="400"/>
              <w:jc w:val="both"/>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kern w:val="0"/>
                <w:sz w:val="24"/>
                <w:szCs w:val="24"/>
                <w:lang w:val="en-US" w:eastAsia="zh-CN" w:bidi="ar"/>
              </w:rPr>
              <w:t>作业模式</w:t>
            </w:r>
          </w:p>
        </w:tc>
        <w:tc>
          <w:tcPr>
            <w:tcW w:w="4705" w:type="dxa"/>
            <w:shd w:val="clear" w:color="auto" w:fill="auto"/>
            <w:vAlign w:val="center"/>
          </w:tcPr>
          <w:p w14:paraId="615D2B9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center"/>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kern w:val="0"/>
                <w:sz w:val="24"/>
                <w:szCs w:val="24"/>
                <w:lang w:val="en-US" w:eastAsia="zh-CN" w:bidi="ar"/>
              </w:rPr>
              <w:t>作业时间</w:t>
            </w:r>
          </w:p>
        </w:tc>
      </w:tr>
      <w:tr w14:paraId="4BF4B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2057" w:type="dxa"/>
            <w:shd w:val="clear" w:color="auto" w:fill="auto"/>
            <w:vAlign w:val="center"/>
          </w:tcPr>
          <w:p w14:paraId="6D1BF1A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jc w:val="center"/>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垃圾收集运输</w:t>
            </w:r>
          </w:p>
        </w:tc>
        <w:tc>
          <w:tcPr>
            <w:tcW w:w="2857" w:type="dxa"/>
            <w:shd w:val="clear" w:color="auto" w:fill="auto"/>
            <w:vAlign w:val="center"/>
          </w:tcPr>
          <w:p w14:paraId="6712CAF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firstLine="960" w:firstLineChars="400"/>
              <w:jc w:val="both"/>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全闭收集</w:t>
            </w:r>
          </w:p>
        </w:tc>
        <w:tc>
          <w:tcPr>
            <w:tcW w:w="4705" w:type="dxa"/>
            <w:shd w:val="clear" w:color="auto" w:fill="auto"/>
            <w:vAlign w:val="center"/>
          </w:tcPr>
          <w:p w14:paraId="6CBA22F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firstLine="480" w:firstLineChars="200"/>
              <w:jc w:val="center"/>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5:00-14:00、16:00-19:00</w:t>
            </w:r>
          </w:p>
        </w:tc>
      </w:tr>
      <w:tr w14:paraId="2B9F4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blCellSpacing w:w="15" w:type="dxa"/>
        </w:trPr>
        <w:tc>
          <w:tcPr>
            <w:tcW w:w="2057" w:type="dxa"/>
            <w:shd w:val="clear" w:color="auto" w:fill="auto"/>
            <w:vAlign w:val="center"/>
          </w:tcPr>
          <w:p w14:paraId="7BF8069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firstLine="240" w:firstLineChars="100"/>
              <w:jc w:val="both"/>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生活垃圾转运</w:t>
            </w:r>
          </w:p>
        </w:tc>
        <w:tc>
          <w:tcPr>
            <w:tcW w:w="2857" w:type="dxa"/>
            <w:shd w:val="clear" w:color="auto" w:fill="auto"/>
            <w:vAlign w:val="center"/>
          </w:tcPr>
          <w:p w14:paraId="2636F78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jc w:val="center"/>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封闭车辆转运至垃圾处理厂</w:t>
            </w:r>
          </w:p>
        </w:tc>
        <w:tc>
          <w:tcPr>
            <w:tcW w:w="4705" w:type="dxa"/>
            <w:shd w:val="clear" w:color="auto" w:fill="auto"/>
            <w:vAlign w:val="center"/>
          </w:tcPr>
          <w:p w14:paraId="5F7AF0E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firstLine="480" w:firstLineChars="200"/>
              <w:jc w:val="center"/>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6:00-20:00</w:t>
            </w:r>
          </w:p>
        </w:tc>
      </w:tr>
    </w:tbl>
    <w:p w14:paraId="5B22B00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（2）收集作业要求</w:t>
      </w:r>
    </w:p>
    <w:p w14:paraId="6003A9B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b w:val="0"/>
          <w:color w:val="auto"/>
          <w:sz w:val="24"/>
          <w:szCs w:val="24"/>
          <w:highlight w:val="yellow"/>
        </w:rPr>
      </w:pPr>
      <w:r>
        <w:rPr>
          <w:rFonts w:hint="eastAsia" w:ascii="宋体" w:hAnsi="宋体" w:eastAsia="宋体" w:cs="宋体"/>
          <w:b w:val="0"/>
          <w:color w:val="auto"/>
          <w:kern w:val="0"/>
          <w:sz w:val="24"/>
          <w:szCs w:val="24"/>
          <w:lang w:val="en-US" w:eastAsia="zh-CN" w:bidi="ar"/>
        </w:rPr>
        <w:t>1）</w:t>
      </w:r>
      <w:r>
        <w:rPr>
          <w:rStyle w:val="46"/>
          <w:rFonts w:hint="eastAsia" w:ascii="宋体" w:hAnsi="宋体" w:eastAsia="宋体" w:cs="宋体"/>
          <w:b w:val="0"/>
          <w:bCs/>
          <w:color w:val="auto"/>
          <w:kern w:val="0"/>
          <w:sz w:val="24"/>
          <w:szCs w:val="24"/>
          <w:lang w:val="en-US" w:eastAsia="zh-CN" w:bidi="ar"/>
        </w:rPr>
        <w:t>昌吉市</w:t>
      </w:r>
      <w:r>
        <w:rPr>
          <w:rFonts w:hint="eastAsia" w:ascii="宋体" w:hAnsi="宋体" w:eastAsia="宋体" w:cs="宋体"/>
          <w:b w:val="0"/>
          <w:color w:val="auto"/>
          <w:kern w:val="0"/>
          <w:sz w:val="24"/>
          <w:szCs w:val="24"/>
          <w:lang w:val="en-US" w:eastAsia="zh-CN" w:bidi="ar"/>
        </w:rPr>
        <w:t>生活垃圾收集实行</w:t>
      </w:r>
      <w:r>
        <w:rPr>
          <w:rStyle w:val="46"/>
          <w:rFonts w:hint="eastAsia" w:ascii="宋体" w:hAnsi="宋体" w:eastAsia="宋体" w:cs="宋体"/>
          <w:b w:val="0"/>
          <w:bCs/>
          <w:color w:val="auto"/>
          <w:kern w:val="0"/>
          <w:sz w:val="24"/>
          <w:szCs w:val="24"/>
          <w:lang w:val="en-US" w:eastAsia="zh-CN" w:bidi="ar"/>
        </w:rPr>
        <w:t>定时定点、日产日清</w:t>
      </w:r>
      <w:r>
        <w:rPr>
          <w:rFonts w:hint="eastAsia" w:ascii="宋体" w:hAnsi="宋体" w:eastAsia="宋体" w:cs="宋体"/>
          <w:b w:val="0"/>
          <w:color w:val="auto"/>
          <w:kern w:val="0"/>
          <w:sz w:val="24"/>
          <w:szCs w:val="24"/>
          <w:lang w:val="en-US" w:eastAsia="zh-CN" w:bidi="ar"/>
        </w:rPr>
        <w:t>，严禁垃圾堆积滞留，污染城市环境。2）垃圾收集点服务半径不超过70m，未设置垃圾收集站的多层住宅，每4栋住宅设置1个垃圾收集点。3）垃圾收集容器</w:t>
      </w:r>
      <w:r>
        <w:rPr>
          <w:rStyle w:val="46"/>
          <w:rFonts w:hint="eastAsia" w:ascii="宋体" w:hAnsi="宋体" w:eastAsia="宋体" w:cs="宋体"/>
          <w:b w:val="0"/>
          <w:bCs/>
          <w:color w:val="auto"/>
          <w:kern w:val="0"/>
          <w:sz w:val="24"/>
          <w:szCs w:val="24"/>
          <w:lang w:val="en-US" w:eastAsia="zh-CN" w:bidi="ar"/>
        </w:rPr>
        <w:t>定点摆放、整齐规范</w:t>
      </w:r>
      <w:r>
        <w:rPr>
          <w:rFonts w:hint="eastAsia" w:ascii="宋体" w:hAnsi="宋体" w:eastAsia="宋体" w:cs="宋体"/>
          <w:b w:val="0"/>
          <w:color w:val="auto"/>
          <w:kern w:val="0"/>
          <w:sz w:val="24"/>
          <w:szCs w:val="24"/>
          <w:lang w:val="en-US" w:eastAsia="zh-CN" w:bidi="ar"/>
        </w:rPr>
        <w:t>，方便居民投放；收集点及周边5m范围内整洁，无散落垃圾、存留污水。4）垃圾收集实行</w:t>
      </w:r>
      <w:r>
        <w:rPr>
          <w:rStyle w:val="46"/>
          <w:rFonts w:hint="eastAsia" w:ascii="宋体" w:hAnsi="宋体" w:eastAsia="宋体" w:cs="宋体"/>
          <w:b w:val="0"/>
          <w:bCs/>
          <w:color w:val="auto"/>
          <w:kern w:val="0"/>
          <w:sz w:val="24"/>
          <w:szCs w:val="24"/>
          <w:lang w:val="en-US" w:eastAsia="zh-CN" w:bidi="ar"/>
        </w:rPr>
        <w:t>密闭化收集</w:t>
      </w:r>
      <w:r>
        <w:rPr>
          <w:rFonts w:hint="eastAsia" w:ascii="宋体" w:hAnsi="宋体" w:eastAsia="宋体" w:cs="宋体"/>
          <w:b w:val="0"/>
          <w:color w:val="auto"/>
          <w:kern w:val="0"/>
          <w:sz w:val="24"/>
          <w:szCs w:val="24"/>
          <w:lang w:val="en-US" w:eastAsia="zh-CN" w:bidi="ar"/>
        </w:rPr>
        <w:t>，逐步推行生活垃圾分类收集；收集容器无残缺破损、封闭严密、外观洁净，构筑物墙面无明显积尘、污迹。5）垃圾收集站（点）定期开展</w:t>
      </w:r>
      <w:r>
        <w:rPr>
          <w:rStyle w:val="46"/>
          <w:rFonts w:hint="eastAsia" w:ascii="宋体" w:hAnsi="宋体" w:eastAsia="宋体" w:cs="宋体"/>
          <w:b w:val="0"/>
          <w:bCs/>
          <w:color w:val="auto"/>
          <w:kern w:val="0"/>
          <w:sz w:val="24"/>
          <w:szCs w:val="24"/>
          <w:lang w:val="en-US" w:eastAsia="zh-CN" w:bidi="ar"/>
        </w:rPr>
        <w:t>消毒、灭蚊蝇、灭鼠</w:t>
      </w:r>
      <w:r>
        <w:rPr>
          <w:rFonts w:hint="eastAsia" w:ascii="宋体" w:hAnsi="宋体" w:eastAsia="宋体" w:cs="宋体"/>
          <w:b w:val="0"/>
          <w:color w:val="auto"/>
          <w:kern w:val="0"/>
          <w:sz w:val="24"/>
          <w:szCs w:val="24"/>
          <w:lang w:val="en-US" w:eastAsia="zh-CN" w:bidi="ar"/>
        </w:rPr>
        <w:t>作业，可视范围内苍蝇数量≤3只/次，无活鼠。6）居民需将生活垃圾</w:t>
      </w:r>
      <w:r>
        <w:rPr>
          <w:rStyle w:val="46"/>
          <w:rFonts w:hint="eastAsia" w:ascii="宋体" w:hAnsi="宋体" w:eastAsia="宋体" w:cs="宋体"/>
          <w:b w:val="0"/>
          <w:bCs/>
          <w:color w:val="auto"/>
          <w:kern w:val="0"/>
          <w:sz w:val="24"/>
          <w:szCs w:val="24"/>
          <w:lang w:val="en-US" w:eastAsia="zh-CN" w:bidi="ar"/>
        </w:rPr>
        <w:t>袋装化</w:t>
      </w:r>
      <w:r>
        <w:rPr>
          <w:rFonts w:hint="eastAsia" w:ascii="宋体" w:hAnsi="宋体" w:eastAsia="宋体" w:cs="宋体"/>
          <w:b w:val="0"/>
          <w:color w:val="auto"/>
          <w:kern w:val="0"/>
          <w:sz w:val="24"/>
          <w:szCs w:val="24"/>
          <w:lang w:val="en-US" w:eastAsia="zh-CN" w:bidi="ar"/>
        </w:rPr>
        <w:t>后投放至收集容器；实行垃圾分类的小区，居民需分类袋装，定时定点投放。7）机关企事业单位生活垃圾投放至自设收集容器内，</w:t>
      </w:r>
      <w:r>
        <w:rPr>
          <w:rStyle w:val="46"/>
          <w:rFonts w:hint="eastAsia" w:ascii="宋体" w:hAnsi="宋体" w:eastAsia="宋体" w:cs="宋体"/>
          <w:b w:val="0"/>
          <w:bCs/>
          <w:color w:val="auto"/>
          <w:kern w:val="0"/>
          <w:sz w:val="24"/>
          <w:szCs w:val="24"/>
          <w:lang w:val="en-US" w:eastAsia="zh-CN" w:bidi="ar"/>
        </w:rPr>
        <w:t>严禁裸露堆放</w:t>
      </w:r>
      <w:r>
        <w:rPr>
          <w:rFonts w:hint="eastAsia" w:ascii="宋体" w:hAnsi="宋体" w:eastAsia="宋体" w:cs="宋体"/>
          <w:b w:val="0"/>
          <w:color w:val="auto"/>
          <w:kern w:val="0"/>
          <w:sz w:val="24"/>
          <w:szCs w:val="24"/>
          <w:lang w:val="en-US" w:eastAsia="zh-CN" w:bidi="ar"/>
        </w:rPr>
        <w:t>；收集容器设置在单位红线内隐蔽位置，不影响市容观瞻。8）居民生活垃圾</w:t>
      </w:r>
      <w:r>
        <w:rPr>
          <w:rStyle w:val="46"/>
          <w:rFonts w:hint="eastAsia" w:ascii="宋体" w:hAnsi="宋体" w:eastAsia="宋体" w:cs="宋体"/>
          <w:b w:val="0"/>
          <w:bCs/>
          <w:color w:val="auto"/>
          <w:kern w:val="0"/>
          <w:sz w:val="24"/>
          <w:szCs w:val="24"/>
          <w:lang w:val="en-US" w:eastAsia="zh-CN" w:bidi="ar"/>
        </w:rPr>
        <w:t>每日清零无堆积</w:t>
      </w:r>
      <w:r>
        <w:rPr>
          <w:rFonts w:hint="eastAsia" w:ascii="宋体" w:hAnsi="宋体" w:eastAsia="宋体" w:cs="宋体"/>
          <w:b w:val="0"/>
          <w:color w:val="auto"/>
          <w:kern w:val="0"/>
          <w:sz w:val="24"/>
          <w:szCs w:val="24"/>
          <w:lang w:val="en-US" w:eastAsia="zh-CN" w:bidi="ar"/>
        </w:rPr>
        <w:t>，单位生活垃圾按时清运无腐烂发臭；废旧家具、家电等大件垃圾定点存放、定期清运，城市生活垃圾日清率 100%。9）垃圾收集搬运全程</w:t>
      </w:r>
      <w:r>
        <w:rPr>
          <w:rStyle w:val="46"/>
          <w:rFonts w:hint="eastAsia" w:ascii="宋体" w:hAnsi="宋体" w:eastAsia="宋体" w:cs="宋体"/>
          <w:b w:val="0"/>
          <w:bCs/>
          <w:color w:val="auto"/>
          <w:kern w:val="0"/>
          <w:sz w:val="24"/>
          <w:szCs w:val="24"/>
          <w:lang w:val="en-US" w:eastAsia="zh-CN" w:bidi="ar"/>
        </w:rPr>
        <w:t>无遗漏、无撒漏、无渗滤液滴漏</w:t>
      </w:r>
      <w:r>
        <w:rPr>
          <w:rFonts w:hint="eastAsia" w:ascii="宋体" w:hAnsi="宋体" w:eastAsia="宋体" w:cs="宋体"/>
          <w:b w:val="0"/>
          <w:color w:val="auto"/>
          <w:kern w:val="0"/>
          <w:sz w:val="24"/>
          <w:szCs w:val="24"/>
          <w:lang w:val="en-US" w:eastAsia="zh-CN" w:bidi="ar"/>
        </w:rPr>
        <w:t>；收集车密闭覆盖运输，严格执行 “垃圾不落地”，杜绝二次污染。10）路面、人行天桥、地下通道清扫垃圾</w:t>
      </w:r>
      <w:r>
        <w:rPr>
          <w:rStyle w:val="46"/>
          <w:rFonts w:hint="eastAsia" w:ascii="宋体" w:hAnsi="宋体" w:eastAsia="宋体" w:cs="宋体"/>
          <w:b w:val="0"/>
          <w:bCs/>
          <w:color w:val="auto"/>
          <w:kern w:val="0"/>
          <w:sz w:val="24"/>
          <w:szCs w:val="24"/>
          <w:lang w:val="en-US" w:eastAsia="zh-CN" w:bidi="ar"/>
        </w:rPr>
        <w:t>即时收集转运</w:t>
      </w:r>
      <w:r>
        <w:rPr>
          <w:rFonts w:hint="eastAsia" w:ascii="宋体" w:hAnsi="宋体" w:eastAsia="宋体" w:cs="宋体"/>
          <w:b w:val="0"/>
          <w:color w:val="auto"/>
          <w:kern w:val="0"/>
          <w:sz w:val="24"/>
          <w:szCs w:val="24"/>
          <w:lang w:val="en-US" w:eastAsia="zh-CN" w:bidi="ar"/>
        </w:rPr>
        <w:t>，严禁路边堆放。11）辖区内无主生活垃圾</w:t>
      </w:r>
      <w:r>
        <w:rPr>
          <w:rStyle w:val="46"/>
          <w:rFonts w:hint="eastAsia" w:ascii="宋体" w:hAnsi="宋体" w:eastAsia="宋体" w:cs="宋体"/>
          <w:b w:val="0"/>
          <w:bCs/>
          <w:color w:val="auto"/>
          <w:kern w:val="0"/>
          <w:sz w:val="24"/>
          <w:szCs w:val="24"/>
          <w:lang w:val="en-US" w:eastAsia="zh-CN" w:bidi="ar"/>
        </w:rPr>
        <w:t>及时发现、及时清运。</w:t>
      </w:r>
    </w:p>
    <w:p w14:paraId="23A60A9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（3）运输作业要求</w:t>
      </w:r>
    </w:p>
    <w:p w14:paraId="05F7D6F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1）昌吉市 生活垃圾</w:t>
      </w:r>
      <w:r>
        <w:rPr>
          <w:rStyle w:val="46"/>
          <w:rFonts w:hint="eastAsia" w:ascii="宋体" w:hAnsi="宋体" w:eastAsia="宋体" w:cs="宋体"/>
          <w:b w:val="0"/>
          <w:bCs/>
          <w:color w:val="auto"/>
          <w:kern w:val="0"/>
          <w:sz w:val="24"/>
          <w:szCs w:val="24"/>
          <w:lang w:val="en-US" w:eastAsia="zh-CN" w:bidi="ar"/>
        </w:rPr>
        <w:t>全密闭转运</w:t>
      </w:r>
      <w:r>
        <w:rPr>
          <w:rFonts w:hint="eastAsia" w:ascii="宋体" w:hAnsi="宋体" w:eastAsia="宋体" w:cs="宋体"/>
          <w:b w:val="0"/>
          <w:color w:val="auto"/>
          <w:kern w:val="0"/>
          <w:sz w:val="24"/>
          <w:szCs w:val="24"/>
          <w:lang w:val="en-US" w:eastAsia="zh-CN" w:bidi="ar"/>
        </w:rPr>
        <w:t>，严禁敞开式运输。2）运输过程无垃圾扬撒、拖挂、渗滤液滴漏，执行标准：A. 桶装垃圾加盖密闭，严禁超高、超载、挂包运输；B. 垃圾压缩车标配污水收集装置，进站装货时排空污水，出站后关闭排污口，杜绝沿途洒漏；C. 车辆在垃圾处理场（厂）卸料后，排空污水箱并清洗车体；D. 定期检查车辆密封构件，集装箱垃圾车及时更换密封条，确保密闭无渗漏。3）垃圾运输</w:t>
      </w:r>
      <w:r>
        <w:rPr>
          <w:rStyle w:val="46"/>
          <w:rFonts w:hint="eastAsia" w:ascii="宋体" w:hAnsi="宋体" w:eastAsia="宋体" w:cs="宋体"/>
          <w:b w:val="0"/>
          <w:bCs/>
          <w:color w:val="auto"/>
          <w:kern w:val="0"/>
          <w:sz w:val="24"/>
          <w:szCs w:val="24"/>
          <w:lang w:val="en-US" w:eastAsia="zh-CN" w:bidi="ar"/>
        </w:rPr>
        <w:t>避开早晚交通高峰</w:t>
      </w:r>
      <w:r>
        <w:rPr>
          <w:rFonts w:hint="eastAsia" w:ascii="宋体" w:hAnsi="宋体" w:eastAsia="宋体" w:cs="宋体"/>
          <w:b w:val="0"/>
          <w:color w:val="auto"/>
          <w:kern w:val="0"/>
          <w:sz w:val="24"/>
          <w:szCs w:val="24"/>
          <w:lang w:val="en-US" w:eastAsia="zh-CN" w:bidi="ar"/>
        </w:rPr>
        <w:t>，规范装卸作业，严禁乱倒、乱卸、乱抛；居民区周边垃圾收集作业严控噪声，避免扰民。4）运输车辆</w:t>
      </w:r>
      <w:r>
        <w:rPr>
          <w:rStyle w:val="46"/>
          <w:rFonts w:hint="eastAsia" w:ascii="宋体" w:hAnsi="宋体" w:eastAsia="宋体" w:cs="宋体"/>
          <w:b w:val="0"/>
          <w:bCs/>
          <w:color w:val="auto"/>
          <w:kern w:val="0"/>
          <w:sz w:val="24"/>
          <w:szCs w:val="24"/>
          <w:lang w:val="en-US" w:eastAsia="zh-CN" w:bidi="ar"/>
        </w:rPr>
        <w:t>车容整洁、车况良好、号牌完整</w:t>
      </w:r>
      <w:r>
        <w:rPr>
          <w:rFonts w:hint="eastAsia" w:ascii="宋体" w:hAnsi="宋体" w:eastAsia="宋体" w:cs="宋体"/>
          <w:b w:val="0"/>
          <w:color w:val="auto"/>
          <w:kern w:val="0"/>
          <w:sz w:val="24"/>
          <w:szCs w:val="24"/>
          <w:lang w:val="en-US" w:eastAsia="zh-CN" w:bidi="ar"/>
        </w:rPr>
        <w:t>，车门喷涂单位名称，车顶无违规加装设施。5）垃圾装运以车辆</w:t>
      </w:r>
      <w:r>
        <w:rPr>
          <w:rStyle w:val="46"/>
          <w:rFonts w:hint="eastAsia" w:ascii="宋体" w:hAnsi="宋体" w:eastAsia="宋体" w:cs="宋体"/>
          <w:b w:val="0"/>
          <w:bCs/>
          <w:color w:val="auto"/>
          <w:kern w:val="0"/>
          <w:sz w:val="24"/>
          <w:szCs w:val="24"/>
          <w:lang w:val="en-US" w:eastAsia="zh-CN" w:bidi="ar"/>
        </w:rPr>
        <w:t>额定荷载、有效容积为准</w:t>
      </w:r>
      <w:r>
        <w:rPr>
          <w:rFonts w:hint="eastAsia" w:ascii="宋体" w:hAnsi="宋体" w:eastAsia="宋体" w:cs="宋体"/>
          <w:b w:val="0"/>
          <w:color w:val="auto"/>
          <w:kern w:val="0"/>
          <w:sz w:val="24"/>
          <w:szCs w:val="24"/>
          <w:lang w:val="en-US" w:eastAsia="zh-CN" w:bidi="ar"/>
        </w:rPr>
        <w:t>严禁超重、超高运输。6）车辆安全管理落实 “四有一无”：有安全管理组织、有健全安全管理制度、有完善安全检查制度、有定期安全培训制度，</w:t>
      </w:r>
      <w:r>
        <w:rPr>
          <w:rStyle w:val="46"/>
          <w:rFonts w:hint="eastAsia" w:ascii="宋体" w:hAnsi="宋体" w:eastAsia="宋体" w:cs="宋体"/>
          <w:b w:val="0"/>
          <w:bCs/>
          <w:color w:val="auto"/>
          <w:kern w:val="0"/>
          <w:sz w:val="24"/>
          <w:szCs w:val="24"/>
          <w:lang w:val="en-US" w:eastAsia="zh-CN" w:bidi="ar"/>
        </w:rPr>
        <w:t>全年无安全责任事故</w:t>
      </w:r>
      <w:r>
        <w:rPr>
          <w:rFonts w:hint="eastAsia" w:ascii="宋体" w:hAnsi="宋体" w:eastAsia="宋体" w:cs="宋体"/>
          <w:b w:val="0"/>
          <w:color w:val="auto"/>
          <w:kern w:val="0"/>
          <w:sz w:val="24"/>
          <w:szCs w:val="24"/>
          <w:lang w:val="en-US" w:eastAsia="zh-CN" w:bidi="ar"/>
        </w:rPr>
        <w:t>。</w:t>
      </w:r>
    </w:p>
    <w:p w14:paraId="4C45240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（4）垃圾二级转运作业</w:t>
      </w:r>
    </w:p>
    <w:p w14:paraId="34BB648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1）异常垃圾进站须</w:t>
      </w:r>
      <w:r>
        <w:rPr>
          <w:rStyle w:val="46"/>
          <w:rFonts w:hint="eastAsia" w:ascii="宋体" w:hAnsi="宋体" w:eastAsia="宋体" w:cs="宋体"/>
          <w:b w:val="0"/>
          <w:bCs/>
          <w:color w:val="auto"/>
          <w:kern w:val="0"/>
          <w:sz w:val="24"/>
          <w:szCs w:val="24"/>
          <w:lang w:val="en-US" w:eastAsia="zh-CN" w:bidi="ar"/>
        </w:rPr>
        <w:t>详细登记备案</w:t>
      </w:r>
      <w:r>
        <w:rPr>
          <w:rFonts w:hint="eastAsia" w:ascii="宋体" w:hAnsi="宋体" w:eastAsia="宋体" w:cs="宋体"/>
          <w:b w:val="0"/>
          <w:color w:val="auto"/>
          <w:kern w:val="0"/>
          <w:sz w:val="24"/>
          <w:szCs w:val="24"/>
          <w:lang w:val="en-US" w:eastAsia="zh-CN" w:bidi="ar"/>
        </w:rPr>
        <w:t>，确保进站垃圾来源、种类、数量符合转运要求，实行全天候接纳。2）转运站严格执行 “垃圾不落地”</w:t>
      </w:r>
      <w:r>
        <w:rPr>
          <w:rStyle w:val="46"/>
          <w:rFonts w:hint="eastAsia" w:ascii="宋体" w:hAnsi="宋体" w:eastAsia="宋体" w:cs="宋体"/>
          <w:b w:val="0"/>
          <w:bCs/>
          <w:color w:val="auto"/>
          <w:kern w:val="0"/>
          <w:sz w:val="24"/>
          <w:szCs w:val="24"/>
          <w:lang w:val="en-US" w:eastAsia="zh-CN" w:bidi="ar"/>
        </w:rPr>
        <w:t>，垃圾进站即入车密闭转运，不站内堆积，全面采用压缩箱转运模式。3）进站垃圾</w:t>
      </w:r>
      <w:r>
        <w:rPr>
          <w:rFonts w:hint="eastAsia" w:ascii="宋体" w:hAnsi="宋体" w:eastAsia="宋体" w:cs="宋体"/>
          <w:b w:val="0"/>
          <w:color w:val="auto"/>
          <w:kern w:val="0"/>
          <w:sz w:val="24"/>
          <w:szCs w:val="24"/>
          <w:lang w:val="en-US" w:eastAsia="zh-CN" w:bidi="ar"/>
        </w:rPr>
        <w:t>当日转运、当日清零，按工艺规范送至对应处置厂，确保日产日清。4）单次转运作业结束后，全面清洗垃圾桶、地面、墙面，站内外无散落垃圾、无杂物堆积、无存留污水。5）转运车及集装箱</w:t>
      </w:r>
      <w:r>
        <w:rPr>
          <w:rStyle w:val="46"/>
          <w:rFonts w:hint="eastAsia" w:ascii="宋体" w:hAnsi="宋体" w:eastAsia="宋体" w:cs="宋体"/>
          <w:b w:val="0"/>
          <w:bCs/>
          <w:color w:val="auto"/>
          <w:kern w:val="0"/>
          <w:sz w:val="24"/>
          <w:szCs w:val="24"/>
          <w:lang w:val="en-US" w:eastAsia="zh-CN" w:bidi="ar"/>
        </w:rPr>
        <w:t>密闭运输</w:t>
      </w:r>
      <w:r>
        <w:rPr>
          <w:rFonts w:hint="eastAsia" w:ascii="宋体" w:hAnsi="宋体" w:eastAsia="宋体" w:cs="宋体"/>
          <w:b w:val="0"/>
          <w:color w:val="auto"/>
          <w:kern w:val="0"/>
          <w:sz w:val="24"/>
          <w:szCs w:val="24"/>
          <w:lang w:val="en-US" w:eastAsia="zh-CN" w:bidi="ar"/>
        </w:rPr>
        <w:t>，无垃圾飞扬、渗滤液遗洒、垃圾粘挂。6）转运站配套</w:t>
      </w:r>
      <w:r>
        <w:rPr>
          <w:rStyle w:val="46"/>
          <w:rFonts w:hint="eastAsia" w:ascii="宋体" w:hAnsi="宋体" w:eastAsia="宋体" w:cs="宋体"/>
          <w:b w:val="0"/>
          <w:bCs/>
          <w:color w:val="auto"/>
          <w:kern w:val="0"/>
          <w:sz w:val="24"/>
          <w:szCs w:val="24"/>
          <w:lang w:val="en-US" w:eastAsia="zh-CN" w:bidi="ar"/>
        </w:rPr>
        <w:t>渗滤液收集处理设施</w:t>
      </w:r>
      <w:r>
        <w:rPr>
          <w:rFonts w:hint="eastAsia" w:ascii="宋体" w:hAnsi="宋体" w:eastAsia="宋体" w:cs="宋体"/>
          <w:b w:val="0"/>
          <w:color w:val="auto"/>
          <w:kern w:val="0"/>
          <w:sz w:val="24"/>
          <w:szCs w:val="24"/>
          <w:lang w:val="en-US" w:eastAsia="zh-CN" w:bidi="ar"/>
        </w:rPr>
        <w:t>，当日产生渗滤液</w:t>
      </w:r>
      <w:r>
        <w:rPr>
          <w:rStyle w:val="46"/>
          <w:rFonts w:hint="eastAsia" w:ascii="宋体" w:hAnsi="宋体" w:eastAsia="宋体" w:cs="宋体"/>
          <w:b w:val="0"/>
          <w:bCs/>
          <w:color w:val="auto"/>
          <w:kern w:val="0"/>
          <w:sz w:val="24"/>
          <w:szCs w:val="24"/>
          <w:lang w:val="en-US" w:eastAsia="zh-CN" w:bidi="ar"/>
        </w:rPr>
        <w:t>当日转运处置</w:t>
      </w:r>
      <w:r>
        <w:rPr>
          <w:rFonts w:hint="eastAsia" w:ascii="宋体" w:hAnsi="宋体" w:eastAsia="宋体" w:cs="宋体"/>
          <w:b w:val="0"/>
          <w:color w:val="auto"/>
          <w:kern w:val="0"/>
          <w:sz w:val="24"/>
          <w:szCs w:val="24"/>
          <w:lang w:val="en-US" w:eastAsia="zh-CN" w:bidi="ar"/>
        </w:rPr>
        <w:t>。7）垃圾中转站按规范建设，地面硬化、配套给排水，配备专职管理人员。8）转运站设置绿化隔离带，配齐</w:t>
      </w:r>
      <w:r>
        <w:rPr>
          <w:rStyle w:val="46"/>
          <w:rFonts w:hint="eastAsia" w:ascii="宋体" w:hAnsi="宋体" w:eastAsia="宋体" w:cs="宋体"/>
          <w:b w:val="0"/>
          <w:bCs/>
          <w:color w:val="auto"/>
          <w:kern w:val="0"/>
          <w:sz w:val="24"/>
          <w:szCs w:val="24"/>
          <w:lang w:val="en-US" w:eastAsia="zh-CN" w:bidi="ar"/>
        </w:rPr>
        <w:t>防尘、除臭、污水处理</w:t>
      </w:r>
      <w:r>
        <w:rPr>
          <w:rFonts w:hint="eastAsia" w:ascii="宋体" w:hAnsi="宋体" w:eastAsia="宋体" w:cs="宋体"/>
          <w:b w:val="0"/>
          <w:color w:val="auto"/>
          <w:kern w:val="0"/>
          <w:sz w:val="24"/>
          <w:szCs w:val="24"/>
          <w:lang w:val="en-US" w:eastAsia="zh-CN" w:bidi="ar"/>
        </w:rPr>
        <w:t>设施，周边 50 米无明显垃圾异味。9）站内配备电力保障、应急处置机制，应对</w:t>
      </w:r>
      <w:r>
        <w:rPr>
          <w:rStyle w:val="46"/>
          <w:rFonts w:hint="eastAsia" w:ascii="宋体" w:hAnsi="宋体" w:eastAsia="宋体" w:cs="宋体"/>
          <w:b w:val="0"/>
          <w:bCs/>
          <w:color w:val="auto"/>
          <w:kern w:val="0"/>
          <w:sz w:val="24"/>
          <w:szCs w:val="24"/>
          <w:lang w:val="en-US" w:eastAsia="zh-CN" w:bidi="ar"/>
        </w:rPr>
        <w:t>突发事件</w:t>
      </w:r>
      <w:r>
        <w:rPr>
          <w:rFonts w:hint="eastAsia" w:ascii="宋体" w:hAnsi="宋体" w:eastAsia="宋体" w:cs="宋体"/>
          <w:b w:val="0"/>
          <w:color w:val="auto"/>
          <w:kern w:val="0"/>
          <w:sz w:val="24"/>
          <w:szCs w:val="24"/>
          <w:lang w:val="en-US" w:eastAsia="zh-CN" w:bidi="ar"/>
        </w:rPr>
        <w:t>保障正常运转。10）转运设备定期维保，外观整洁无破损、脱漆、锈蚀；电力设施完好、运行正常。11）站内设置规范标识牌，公示站点名称、作业时间、投诉电话；转运作业不占道、不阻碍交通。12）站内通风良好、无明显异味，墙壁、窗户无积尘、无蛛网。13）定期对转运车辆及站内消杀，可视范围内无苍蝇、活鼠。14）卸料点配备</w:t>
      </w:r>
      <w:r>
        <w:rPr>
          <w:rStyle w:val="46"/>
          <w:rFonts w:hint="eastAsia" w:ascii="宋体" w:hAnsi="宋体" w:eastAsia="宋体" w:cs="宋体"/>
          <w:b w:val="0"/>
          <w:bCs/>
          <w:color w:val="auto"/>
          <w:kern w:val="0"/>
          <w:sz w:val="24"/>
          <w:szCs w:val="24"/>
          <w:lang w:val="en-US" w:eastAsia="zh-CN" w:bidi="ar"/>
        </w:rPr>
        <w:t>吸风除尘、喷雾降尘、密闭作业</w:t>
      </w:r>
      <w:r>
        <w:rPr>
          <w:rFonts w:hint="eastAsia" w:ascii="宋体" w:hAnsi="宋体" w:eastAsia="宋体" w:cs="宋体"/>
          <w:b w:val="0"/>
          <w:color w:val="auto"/>
          <w:kern w:val="0"/>
          <w:sz w:val="24"/>
          <w:szCs w:val="24"/>
          <w:lang w:val="en-US" w:eastAsia="zh-CN" w:bidi="ar"/>
        </w:rPr>
        <w:t>系统。15）严格落实安全生产责任，保障站内设施设备完好及作业人员人身安全。</w:t>
      </w:r>
    </w:p>
    <w:p w14:paraId="51FE112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三、环卫设施管理</w:t>
      </w:r>
    </w:p>
    <w:p w14:paraId="3C4158B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1、</w:t>
      </w:r>
      <w:r>
        <w:rPr>
          <w:rStyle w:val="46"/>
          <w:rFonts w:hint="eastAsia" w:ascii="宋体" w:hAnsi="宋体" w:eastAsia="宋体" w:cs="宋体"/>
          <w:b w:val="0"/>
          <w:bCs/>
          <w:color w:val="auto"/>
          <w:kern w:val="0"/>
          <w:sz w:val="24"/>
          <w:szCs w:val="24"/>
          <w:lang w:val="en-US" w:eastAsia="zh-CN" w:bidi="ar"/>
        </w:rPr>
        <w:t>作业范围：</w:t>
      </w:r>
      <w:r>
        <w:rPr>
          <w:rFonts w:hint="eastAsia" w:ascii="宋体" w:hAnsi="宋体" w:eastAsia="宋体" w:cs="宋体"/>
          <w:b w:val="0"/>
          <w:color w:val="auto"/>
          <w:kern w:val="0"/>
          <w:sz w:val="24"/>
          <w:szCs w:val="24"/>
          <w:lang w:val="en-US" w:eastAsia="zh-CN" w:bidi="ar"/>
        </w:rPr>
        <w:t>昌吉市环卫设施含各类作业车辆及环卫容器，具体包括：清扫车、洒水车、吸污车、压缩式垃圾车、勾臂车、装载机、工具车、电动三轮车、人力三轮车、垃圾箱、垃圾桶、果皮箱等。</w:t>
      </w:r>
    </w:p>
    <w:p w14:paraId="67320B0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2、</w:t>
      </w:r>
      <w:r>
        <w:rPr>
          <w:rStyle w:val="46"/>
          <w:rFonts w:hint="eastAsia" w:ascii="宋体" w:hAnsi="宋体" w:eastAsia="宋体" w:cs="宋体"/>
          <w:b w:val="0"/>
          <w:bCs/>
          <w:color w:val="auto"/>
          <w:kern w:val="0"/>
          <w:sz w:val="24"/>
          <w:szCs w:val="24"/>
          <w:lang w:val="en-US" w:eastAsia="zh-CN" w:bidi="ar"/>
        </w:rPr>
        <w:t>作业要求：</w:t>
      </w:r>
      <w:r>
        <w:rPr>
          <w:rFonts w:hint="eastAsia" w:ascii="宋体" w:hAnsi="宋体" w:eastAsia="宋体" w:cs="宋体"/>
          <w:b w:val="0"/>
          <w:color w:val="auto"/>
          <w:kern w:val="0"/>
          <w:sz w:val="24"/>
          <w:szCs w:val="24"/>
          <w:lang w:val="en-US" w:eastAsia="zh-CN" w:bidi="ar"/>
        </w:rPr>
        <w:t>每日早 8:00 前完成设施垃圾</w:t>
      </w:r>
      <w:r>
        <w:rPr>
          <w:rStyle w:val="46"/>
          <w:rFonts w:hint="eastAsia" w:ascii="宋体" w:hAnsi="宋体" w:eastAsia="宋体" w:cs="宋体"/>
          <w:b w:val="0"/>
          <w:bCs/>
          <w:color w:val="auto"/>
          <w:kern w:val="0"/>
          <w:sz w:val="24"/>
          <w:szCs w:val="24"/>
          <w:lang w:val="en-US" w:eastAsia="zh-CN" w:bidi="ar"/>
        </w:rPr>
        <w:t>全面清空</w:t>
      </w:r>
      <w:r>
        <w:rPr>
          <w:rFonts w:hint="eastAsia" w:ascii="宋体" w:hAnsi="宋体" w:eastAsia="宋体" w:cs="宋体"/>
          <w:b w:val="0"/>
          <w:color w:val="auto"/>
          <w:kern w:val="0"/>
          <w:sz w:val="24"/>
          <w:szCs w:val="24"/>
          <w:lang w:val="en-US" w:eastAsia="zh-CN" w:bidi="ar"/>
        </w:rPr>
        <w:t>，作业时段巡回清理，每日下班前完成 1 次擦洗；环卫收集箱（桶）美观适用、与环境协调，</w:t>
      </w:r>
      <w:r>
        <w:rPr>
          <w:rStyle w:val="46"/>
          <w:rFonts w:hint="eastAsia" w:ascii="宋体" w:hAnsi="宋体" w:eastAsia="宋体" w:cs="宋体"/>
          <w:b w:val="0"/>
          <w:bCs/>
          <w:color w:val="auto"/>
          <w:kern w:val="0"/>
          <w:sz w:val="24"/>
          <w:szCs w:val="24"/>
          <w:lang w:val="en-US" w:eastAsia="zh-CN" w:bidi="ar"/>
        </w:rPr>
        <w:t>完好率≥95%</w:t>
      </w:r>
      <w:r>
        <w:rPr>
          <w:rFonts w:hint="eastAsia" w:ascii="宋体" w:hAnsi="宋体" w:eastAsia="宋体" w:cs="宋体"/>
          <w:b w:val="0"/>
          <w:color w:val="auto"/>
          <w:kern w:val="0"/>
          <w:sz w:val="24"/>
          <w:szCs w:val="24"/>
          <w:lang w:val="en-US" w:eastAsia="zh-CN" w:bidi="ar"/>
        </w:rPr>
        <w:t>；设施定点摆放、整齐无残缺、封闭严密、外观洁净；设置点周边 2～3m 范围内整洁，无散落垃圾、存留污水；箱（桶）内垃圾及时清理，定期消杀灭蚊蝇。</w:t>
      </w:r>
    </w:p>
    <w:p w14:paraId="1595A1F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3、</w:t>
      </w:r>
      <w:r>
        <w:rPr>
          <w:rStyle w:val="46"/>
          <w:rFonts w:hint="eastAsia" w:ascii="宋体" w:hAnsi="宋体" w:eastAsia="宋体" w:cs="宋体"/>
          <w:b w:val="0"/>
          <w:bCs/>
          <w:color w:val="auto"/>
          <w:kern w:val="0"/>
          <w:sz w:val="24"/>
          <w:szCs w:val="24"/>
          <w:lang w:val="en-US" w:eastAsia="zh-CN" w:bidi="ar"/>
        </w:rPr>
        <w:t>作业标准：</w:t>
      </w:r>
      <w:r>
        <w:rPr>
          <w:rFonts w:hint="eastAsia" w:ascii="宋体" w:hAnsi="宋体" w:eastAsia="宋体" w:cs="宋体"/>
          <w:b w:val="0"/>
          <w:color w:val="auto"/>
          <w:kern w:val="0"/>
          <w:sz w:val="24"/>
          <w:szCs w:val="24"/>
          <w:lang w:val="en-US" w:eastAsia="zh-CN" w:bidi="ar"/>
        </w:rPr>
        <w:t>（1）负责城市道路两侧、人行便道、绿地周边、广场、车站、商业步行街等公共场所垃圾桶 / 果皮箱的</w:t>
      </w:r>
      <w:r>
        <w:rPr>
          <w:rStyle w:val="46"/>
          <w:rFonts w:hint="eastAsia" w:ascii="宋体" w:hAnsi="宋体" w:eastAsia="宋体" w:cs="宋体"/>
          <w:b w:val="0"/>
          <w:bCs/>
          <w:color w:val="auto"/>
          <w:kern w:val="0"/>
          <w:sz w:val="24"/>
          <w:szCs w:val="24"/>
          <w:lang w:val="en-US" w:eastAsia="zh-CN" w:bidi="ar"/>
        </w:rPr>
        <w:t>人工清掏、常态化保洁</w:t>
      </w:r>
      <w:r>
        <w:rPr>
          <w:rFonts w:hint="eastAsia" w:ascii="宋体" w:hAnsi="宋体" w:eastAsia="宋体" w:cs="宋体"/>
          <w:b w:val="0"/>
          <w:color w:val="auto"/>
          <w:kern w:val="0"/>
          <w:sz w:val="24"/>
          <w:szCs w:val="24"/>
          <w:lang w:val="en-US" w:eastAsia="zh-CN" w:bidi="ar"/>
        </w:rPr>
        <w:t>。（2）每日按时清掏、更换垃圾袋，清掏完成后对箱体全面保洁。（3）箱（桶）垃圾</w:t>
      </w:r>
      <w:r>
        <w:rPr>
          <w:rStyle w:val="46"/>
          <w:rFonts w:hint="eastAsia" w:ascii="宋体" w:hAnsi="宋体" w:eastAsia="宋体" w:cs="宋体"/>
          <w:b w:val="0"/>
          <w:bCs/>
          <w:color w:val="auto"/>
          <w:kern w:val="0"/>
          <w:sz w:val="24"/>
          <w:szCs w:val="24"/>
          <w:lang w:val="en-US" w:eastAsia="zh-CN" w:bidi="ar"/>
        </w:rPr>
        <w:t>不满冒</w:t>
      </w:r>
      <w:r>
        <w:rPr>
          <w:rFonts w:hint="eastAsia" w:ascii="宋体" w:hAnsi="宋体" w:eastAsia="宋体" w:cs="宋体"/>
          <w:b w:val="0"/>
          <w:color w:val="auto"/>
          <w:kern w:val="0"/>
          <w:sz w:val="24"/>
          <w:szCs w:val="24"/>
          <w:lang w:val="en-US" w:eastAsia="zh-CN" w:bidi="ar"/>
        </w:rPr>
        <w:t>，日常存量控制在箱容 50% 以下；箱体整洁、无松动、倾斜、倒伏。（4）箱（桶）周边无散落垃圾、污物、污水。（5）箱（桶）丢失、损坏、移位，</w:t>
      </w:r>
      <w:r>
        <w:rPr>
          <w:rStyle w:val="46"/>
          <w:rFonts w:hint="eastAsia" w:ascii="宋体" w:hAnsi="宋体" w:eastAsia="宋体" w:cs="宋体"/>
          <w:b w:val="0"/>
          <w:bCs/>
          <w:color w:val="auto"/>
          <w:kern w:val="0"/>
          <w:sz w:val="24"/>
          <w:szCs w:val="24"/>
          <w:lang w:val="en-US" w:eastAsia="zh-CN" w:bidi="ar"/>
        </w:rPr>
        <w:t>24 小时内上报、维修、复位</w:t>
      </w:r>
      <w:r>
        <w:rPr>
          <w:rFonts w:hint="eastAsia" w:ascii="宋体" w:hAnsi="宋体" w:eastAsia="宋体" w:cs="宋体"/>
          <w:b w:val="0"/>
          <w:color w:val="auto"/>
          <w:kern w:val="0"/>
          <w:sz w:val="24"/>
          <w:szCs w:val="24"/>
          <w:lang w:val="en-US" w:eastAsia="zh-CN" w:bidi="ar"/>
        </w:rPr>
        <w:t>（6）箱体上小广告、乱涂写</w:t>
      </w:r>
      <w:r>
        <w:rPr>
          <w:rStyle w:val="46"/>
          <w:rFonts w:hint="eastAsia" w:ascii="宋体" w:hAnsi="宋体" w:eastAsia="宋体" w:cs="宋体"/>
          <w:b w:val="0"/>
          <w:bCs/>
          <w:color w:val="auto"/>
          <w:kern w:val="0"/>
          <w:sz w:val="24"/>
          <w:szCs w:val="24"/>
          <w:lang w:val="en-US" w:eastAsia="zh-CN" w:bidi="ar"/>
        </w:rPr>
        <w:t>即时清理</w:t>
      </w:r>
      <w:r>
        <w:rPr>
          <w:rFonts w:hint="eastAsia" w:ascii="宋体" w:hAnsi="宋体" w:eastAsia="宋体" w:cs="宋体"/>
          <w:b w:val="0"/>
          <w:color w:val="auto"/>
          <w:kern w:val="0"/>
          <w:sz w:val="24"/>
          <w:szCs w:val="24"/>
          <w:lang w:val="en-US" w:eastAsia="zh-CN" w:bidi="ar"/>
        </w:rPr>
        <w:t>。</w:t>
      </w:r>
    </w:p>
    <w:p w14:paraId="0AB905F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4、</w:t>
      </w:r>
      <w:r>
        <w:rPr>
          <w:rStyle w:val="46"/>
          <w:rFonts w:hint="eastAsia" w:ascii="宋体" w:hAnsi="宋体" w:eastAsia="宋体" w:cs="宋体"/>
          <w:b w:val="0"/>
          <w:bCs/>
          <w:color w:val="auto"/>
          <w:kern w:val="0"/>
          <w:sz w:val="24"/>
          <w:szCs w:val="24"/>
          <w:lang w:val="en-US" w:eastAsia="zh-CN" w:bidi="ar"/>
        </w:rPr>
        <w:t>作业规程：</w:t>
      </w:r>
      <w:r>
        <w:rPr>
          <w:rFonts w:hint="eastAsia" w:ascii="宋体" w:hAnsi="宋体" w:eastAsia="宋体" w:cs="宋体"/>
          <w:b w:val="0"/>
          <w:color w:val="auto"/>
          <w:kern w:val="0"/>
          <w:sz w:val="24"/>
          <w:szCs w:val="24"/>
          <w:lang w:val="en-US" w:eastAsia="zh-CN" w:bidi="ar"/>
        </w:rPr>
        <w:t>（1）实行</w:t>
      </w:r>
      <w:r>
        <w:rPr>
          <w:rStyle w:val="46"/>
          <w:rFonts w:hint="eastAsia" w:ascii="宋体" w:hAnsi="宋体" w:eastAsia="宋体" w:cs="宋体"/>
          <w:b w:val="0"/>
          <w:bCs/>
          <w:color w:val="auto"/>
          <w:kern w:val="0"/>
          <w:sz w:val="24"/>
          <w:szCs w:val="24"/>
          <w:lang w:val="en-US" w:eastAsia="zh-CN" w:bidi="ar"/>
        </w:rPr>
        <w:t>人工清掏 + 机械收运</w:t>
      </w:r>
      <w:r>
        <w:rPr>
          <w:rFonts w:hint="eastAsia" w:ascii="宋体" w:hAnsi="宋体" w:eastAsia="宋体" w:cs="宋体"/>
          <w:b w:val="0"/>
          <w:color w:val="auto"/>
          <w:kern w:val="0"/>
          <w:sz w:val="24"/>
          <w:szCs w:val="24"/>
          <w:lang w:val="en-US" w:eastAsia="zh-CN" w:bidi="ar"/>
        </w:rPr>
        <w:t>联合作业，配备收集车、扫帚、铲刀、簸箕、抹布、垃圾袋等工具，按作业片区配置小型高压清洗车。（2）每日早 8:00 前完成 1 次集中清掏，其余时段巡回清掏。（3）箱（桶）周边出现垃圾乱堆、大量遗撒，立即上报并启动应急处置。（4）清掏时先清理周边垃圾，复位内装容器、关闭箱门，再对箱体保洁。（5）箱体保洁后，同步清理周边环境卫生。（6）箱体顽固小广告使用高压清洗车处置，</w:t>
      </w:r>
      <w:r>
        <w:rPr>
          <w:rStyle w:val="46"/>
          <w:rFonts w:hint="eastAsia" w:ascii="宋体" w:hAnsi="宋体" w:eastAsia="宋体" w:cs="宋体"/>
          <w:b w:val="0"/>
          <w:bCs/>
          <w:color w:val="auto"/>
          <w:kern w:val="0"/>
          <w:sz w:val="24"/>
          <w:szCs w:val="24"/>
          <w:lang w:val="en-US" w:eastAsia="zh-CN" w:bidi="ar"/>
        </w:rPr>
        <w:t>保护箱体漆面及外观。</w:t>
      </w:r>
      <w:r>
        <w:rPr>
          <w:rFonts w:hint="eastAsia" w:ascii="宋体" w:hAnsi="宋体" w:eastAsia="宋体" w:cs="宋体"/>
          <w:b w:val="0"/>
          <w:color w:val="auto"/>
          <w:kern w:val="0"/>
          <w:sz w:val="24"/>
          <w:szCs w:val="24"/>
          <w:lang w:val="en-US" w:eastAsia="zh-CN" w:bidi="ar"/>
        </w:rPr>
        <w:t>（7）箱体损坏、漆面脱落，及时维修补漆，保持外观整洁。（8）当班作业结束后，对工具</w:t>
      </w:r>
      <w:r>
        <w:rPr>
          <w:rStyle w:val="46"/>
          <w:rFonts w:hint="eastAsia" w:ascii="宋体" w:hAnsi="宋体" w:eastAsia="宋体" w:cs="宋体"/>
          <w:b w:val="0"/>
          <w:bCs/>
          <w:color w:val="auto"/>
          <w:kern w:val="0"/>
          <w:sz w:val="24"/>
          <w:szCs w:val="24"/>
          <w:lang w:val="en-US" w:eastAsia="zh-CN" w:bidi="ar"/>
        </w:rPr>
        <w:t>清洁、检查、归位</w:t>
      </w:r>
      <w:r>
        <w:rPr>
          <w:rFonts w:hint="eastAsia" w:ascii="宋体" w:hAnsi="宋体" w:eastAsia="宋体" w:cs="宋体"/>
          <w:b w:val="0"/>
          <w:color w:val="auto"/>
          <w:kern w:val="0"/>
          <w:sz w:val="24"/>
          <w:szCs w:val="24"/>
          <w:lang w:val="en-US" w:eastAsia="zh-CN" w:bidi="ar"/>
        </w:rPr>
        <w:t>，损坏工具及时报修更换。</w:t>
      </w:r>
    </w:p>
    <w:p w14:paraId="16EEB53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四、公厕管理</w:t>
      </w:r>
    </w:p>
    <w:p w14:paraId="4B38A49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b w:val="0"/>
          <w:color w:val="auto"/>
          <w:sz w:val="24"/>
          <w:szCs w:val="24"/>
          <w:lang w:val="en-US"/>
        </w:rPr>
      </w:pPr>
      <w:r>
        <w:rPr>
          <w:rFonts w:hint="eastAsia" w:ascii="宋体" w:hAnsi="宋体" w:eastAsia="宋体" w:cs="宋体"/>
          <w:b w:val="0"/>
          <w:color w:val="auto"/>
          <w:kern w:val="0"/>
          <w:sz w:val="24"/>
          <w:szCs w:val="24"/>
          <w:lang w:val="en-US" w:eastAsia="zh-CN" w:bidi="ar"/>
        </w:rPr>
        <w:t>1、</w:t>
      </w:r>
      <w:r>
        <w:rPr>
          <w:rStyle w:val="46"/>
          <w:rFonts w:hint="eastAsia" w:ascii="宋体" w:hAnsi="宋体" w:eastAsia="宋体" w:cs="宋体"/>
          <w:b w:val="0"/>
          <w:bCs/>
          <w:color w:val="auto"/>
          <w:kern w:val="0"/>
          <w:sz w:val="24"/>
          <w:szCs w:val="24"/>
          <w:lang w:val="en-US" w:eastAsia="zh-CN" w:bidi="ar"/>
        </w:rPr>
        <w:t>作业范围</w:t>
      </w:r>
      <w:r>
        <w:rPr>
          <w:rFonts w:hint="eastAsia" w:ascii="宋体" w:hAnsi="宋体" w:eastAsia="宋体" w:cs="宋体"/>
          <w:b w:val="0"/>
          <w:color w:val="auto"/>
          <w:kern w:val="0"/>
          <w:sz w:val="24"/>
          <w:szCs w:val="24"/>
          <w:lang w:val="en-US" w:eastAsia="zh-CN" w:bidi="ar"/>
        </w:rPr>
        <w:t>：负责昌吉市114座公厕的日常保洁与管护。未移交公厕11座，待移交后按标准负责日常保洁、管护，并相应增加管护经费。</w:t>
      </w:r>
    </w:p>
    <w:p w14:paraId="00BBD0A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2、</w:t>
      </w:r>
      <w:r>
        <w:rPr>
          <w:rStyle w:val="46"/>
          <w:rFonts w:hint="eastAsia" w:ascii="宋体" w:hAnsi="宋体" w:eastAsia="宋体" w:cs="宋体"/>
          <w:b w:val="0"/>
          <w:bCs/>
          <w:color w:val="auto"/>
          <w:kern w:val="0"/>
          <w:sz w:val="24"/>
          <w:szCs w:val="24"/>
          <w:lang w:val="en-US" w:eastAsia="zh-CN" w:bidi="ar"/>
        </w:rPr>
        <w:t>作业标准：</w:t>
      </w:r>
      <w:r>
        <w:rPr>
          <w:rFonts w:hint="eastAsia" w:ascii="宋体" w:hAnsi="宋体" w:eastAsia="宋体" w:cs="宋体"/>
          <w:b w:val="0"/>
          <w:color w:val="auto"/>
          <w:kern w:val="0"/>
          <w:sz w:val="24"/>
          <w:szCs w:val="24"/>
          <w:lang w:val="en-US" w:eastAsia="zh-CN" w:bidi="ar"/>
        </w:rPr>
        <w:t>公厕实行</w:t>
      </w:r>
      <w:r>
        <w:rPr>
          <w:rStyle w:val="46"/>
          <w:rFonts w:hint="eastAsia" w:ascii="宋体" w:hAnsi="宋体" w:eastAsia="宋体" w:cs="宋体"/>
          <w:b w:val="0"/>
          <w:bCs/>
          <w:color w:val="auto"/>
          <w:kern w:val="0"/>
          <w:sz w:val="24"/>
          <w:szCs w:val="24"/>
          <w:lang w:val="en-US" w:eastAsia="zh-CN" w:bidi="ar"/>
        </w:rPr>
        <w:t>专人管理、免费开放</w:t>
      </w:r>
      <w:r>
        <w:rPr>
          <w:rFonts w:hint="eastAsia" w:ascii="宋体" w:hAnsi="宋体" w:eastAsia="宋体" w:cs="宋体"/>
          <w:b w:val="0"/>
          <w:color w:val="auto"/>
          <w:kern w:val="0"/>
          <w:sz w:val="24"/>
          <w:szCs w:val="24"/>
          <w:lang w:val="en-US" w:eastAsia="zh-CN" w:bidi="ar"/>
        </w:rPr>
        <w:t>，达到 “六无、五净、二通”标准：</w:t>
      </w:r>
      <w:r>
        <w:rPr>
          <w:rFonts w:hint="eastAsia" w:ascii="宋体" w:hAnsi="宋体" w:eastAsia="宋体" w:cs="宋体"/>
          <w:b w:val="0"/>
          <w:color w:val="auto"/>
          <w:sz w:val="24"/>
          <w:szCs w:val="24"/>
        </w:rPr>
        <w:t>六无：无尿垢、无积水、无蛆蝇、无蛛网、无粪便、无异味；五净：地面净、蹲坑净、门窗天花板净、管理间净、公厕</w:t>
      </w:r>
      <w:r>
        <w:rPr>
          <w:rFonts w:hint="eastAsia" w:ascii="宋体" w:hAnsi="宋体" w:eastAsia="宋体" w:cs="宋体"/>
          <w:b w:val="0"/>
          <w:color w:val="auto"/>
          <w:sz w:val="24"/>
          <w:szCs w:val="24"/>
          <w:lang w:val="en-US" w:eastAsia="zh-CN"/>
        </w:rPr>
        <w:t>周边50米范围</w:t>
      </w:r>
      <w:r>
        <w:rPr>
          <w:rFonts w:hint="eastAsia" w:ascii="宋体" w:hAnsi="宋体" w:eastAsia="宋体" w:cs="宋体"/>
          <w:b w:val="0"/>
          <w:color w:val="auto"/>
          <w:sz w:val="24"/>
          <w:szCs w:val="24"/>
        </w:rPr>
        <w:t>内净</w:t>
      </w:r>
      <w:r>
        <w:rPr>
          <w:rFonts w:hint="eastAsia" w:ascii="宋体" w:hAnsi="宋体" w:eastAsia="宋体" w:cs="宋体"/>
          <w:b w:val="0"/>
          <w:color w:val="auto"/>
          <w:sz w:val="24"/>
          <w:szCs w:val="24"/>
          <w:lang w:eastAsia="zh-CN"/>
        </w:rPr>
        <w:t>；</w:t>
      </w:r>
      <w:r>
        <w:rPr>
          <w:rFonts w:hint="eastAsia" w:ascii="宋体" w:hAnsi="宋体" w:eastAsia="宋体" w:cs="宋体"/>
          <w:b w:val="0"/>
          <w:color w:val="auto"/>
          <w:sz w:val="24"/>
          <w:szCs w:val="24"/>
        </w:rPr>
        <w:t>二通：上水通、下水通。</w:t>
      </w:r>
    </w:p>
    <w:p w14:paraId="52F7CD8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管理人员</w:t>
      </w:r>
      <w:r>
        <w:rPr>
          <w:rStyle w:val="46"/>
          <w:rFonts w:hint="eastAsia" w:ascii="宋体" w:hAnsi="宋体" w:eastAsia="宋体" w:cs="宋体"/>
          <w:b w:val="0"/>
          <w:bCs/>
          <w:color w:val="auto"/>
          <w:kern w:val="0"/>
          <w:sz w:val="24"/>
          <w:szCs w:val="24"/>
          <w:lang w:val="en-US" w:eastAsia="zh-CN" w:bidi="ar"/>
        </w:rPr>
        <w:t>统一着装、挂牌上岗</w:t>
      </w:r>
      <w:r>
        <w:rPr>
          <w:rFonts w:hint="eastAsia" w:ascii="宋体" w:hAnsi="宋体" w:eastAsia="宋体" w:cs="宋体"/>
          <w:b w:val="0"/>
          <w:color w:val="auto"/>
          <w:kern w:val="0"/>
          <w:sz w:val="24"/>
          <w:szCs w:val="24"/>
          <w:lang w:val="en-US" w:eastAsia="zh-CN" w:bidi="ar"/>
        </w:rPr>
        <w:t>，公厕标识牌、导向牌整洁完好；</w:t>
      </w:r>
      <w:r>
        <w:rPr>
          <w:rStyle w:val="46"/>
          <w:rFonts w:hint="eastAsia" w:ascii="宋体" w:hAnsi="宋体" w:eastAsia="宋体" w:cs="宋体"/>
          <w:b w:val="0"/>
          <w:bCs/>
          <w:color w:val="auto"/>
          <w:kern w:val="0"/>
          <w:sz w:val="24"/>
          <w:szCs w:val="24"/>
          <w:lang w:val="en-US" w:eastAsia="zh-CN" w:bidi="ar"/>
        </w:rPr>
        <w:t>开放时间</w:t>
      </w:r>
      <w:r>
        <w:rPr>
          <w:rFonts w:hint="eastAsia" w:ascii="宋体" w:hAnsi="宋体" w:eastAsia="宋体" w:cs="宋体"/>
          <w:b w:val="0"/>
          <w:color w:val="auto"/>
          <w:kern w:val="0"/>
          <w:sz w:val="24"/>
          <w:szCs w:val="24"/>
          <w:lang w:val="en-US" w:eastAsia="zh-CN" w:bidi="ar"/>
        </w:rPr>
        <w:t>：夏季（4月1日—10月31日）07:00—24:00，部分公厕实行24小时开放；冬季（11月1日—次年3月31日）08:00—23:00。</w:t>
      </w:r>
    </w:p>
    <w:p w14:paraId="2F6870C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3、</w:t>
      </w:r>
      <w:r>
        <w:rPr>
          <w:rStyle w:val="46"/>
          <w:rFonts w:hint="eastAsia" w:ascii="宋体" w:hAnsi="宋体" w:eastAsia="宋体" w:cs="宋体"/>
          <w:b w:val="0"/>
          <w:bCs/>
          <w:color w:val="auto"/>
          <w:kern w:val="0"/>
          <w:sz w:val="24"/>
          <w:szCs w:val="24"/>
          <w:lang w:val="en-US" w:eastAsia="zh-CN" w:bidi="ar"/>
        </w:rPr>
        <w:t>作业规范：</w:t>
      </w:r>
      <w:r>
        <w:rPr>
          <w:rFonts w:hint="eastAsia" w:ascii="宋体" w:hAnsi="宋体" w:eastAsia="宋体" w:cs="宋体"/>
          <w:b w:val="0"/>
          <w:color w:val="auto"/>
          <w:kern w:val="0"/>
          <w:sz w:val="24"/>
          <w:szCs w:val="24"/>
          <w:lang w:val="en-US" w:eastAsia="zh-CN" w:bidi="ar"/>
        </w:rPr>
        <w:t>（1）保洁员统一着装、佩戴工作牌，严禁佩戴金银首饰及无关饰物，上岗前整理仪容仪表。（2）文明服务、礼貌待人，严禁与市民发生争执。（3）作业时避让市民，尊重如厕隐私。（4）公厕耗材（洗手液、卫生纸等）</w:t>
      </w:r>
      <w:r>
        <w:rPr>
          <w:rStyle w:val="46"/>
          <w:rFonts w:hint="eastAsia" w:ascii="宋体" w:hAnsi="宋体" w:eastAsia="宋体" w:cs="宋体"/>
          <w:b w:val="0"/>
          <w:bCs/>
          <w:color w:val="auto"/>
          <w:kern w:val="0"/>
          <w:sz w:val="24"/>
          <w:szCs w:val="24"/>
          <w:lang w:val="en-US" w:eastAsia="zh-CN" w:bidi="ar"/>
        </w:rPr>
        <w:t>及时补充</w:t>
      </w:r>
      <w:r>
        <w:rPr>
          <w:rFonts w:hint="eastAsia" w:ascii="宋体" w:hAnsi="宋体" w:eastAsia="宋体" w:cs="宋体"/>
          <w:b w:val="0"/>
          <w:color w:val="auto"/>
          <w:kern w:val="0"/>
          <w:sz w:val="24"/>
          <w:szCs w:val="24"/>
          <w:lang w:val="en-US" w:eastAsia="zh-CN" w:bidi="ar"/>
        </w:rPr>
        <w:t>，杜绝市民索要。（5）主动为儿童、孕妇、残疾人等特殊群体提供帮扶。（6）配备音乐的公厕，按要求播放指定音乐，音量控制在30—40分贝。（7）配备便民服务设施，提供基础便民服务。（8）可为市民提供辖区基础咨询服务。</w:t>
      </w:r>
    </w:p>
    <w:p w14:paraId="02857B2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b w:val="0"/>
          <w:color w:val="auto"/>
          <w:sz w:val="24"/>
          <w:szCs w:val="24"/>
          <w:lang w:val="en-US"/>
        </w:rPr>
      </w:pPr>
      <w:r>
        <w:rPr>
          <w:rFonts w:hint="eastAsia" w:ascii="宋体" w:hAnsi="宋体" w:eastAsia="宋体" w:cs="宋体"/>
          <w:b w:val="0"/>
          <w:color w:val="auto"/>
          <w:kern w:val="0"/>
          <w:sz w:val="24"/>
          <w:szCs w:val="24"/>
          <w:lang w:val="en-US" w:eastAsia="zh-CN" w:bidi="ar"/>
        </w:rPr>
        <w:t>4、</w:t>
      </w:r>
      <w:r>
        <w:rPr>
          <w:rStyle w:val="46"/>
          <w:rFonts w:hint="eastAsia" w:ascii="宋体" w:hAnsi="宋体" w:eastAsia="宋体" w:cs="宋体"/>
          <w:b w:val="0"/>
          <w:bCs/>
          <w:color w:val="auto"/>
          <w:kern w:val="0"/>
          <w:sz w:val="24"/>
          <w:szCs w:val="24"/>
          <w:lang w:val="en-US" w:eastAsia="zh-CN" w:bidi="ar"/>
        </w:rPr>
        <w:t>作业要点：</w:t>
      </w:r>
      <w:r>
        <w:rPr>
          <w:rFonts w:hint="eastAsia" w:ascii="宋体" w:hAnsi="宋体" w:eastAsia="宋体" w:cs="宋体"/>
          <w:b w:val="0"/>
          <w:color w:val="auto"/>
          <w:kern w:val="0"/>
          <w:sz w:val="24"/>
          <w:szCs w:val="24"/>
          <w:lang w:val="en-US" w:eastAsia="zh-CN" w:bidi="ar"/>
        </w:rPr>
        <w:t>（1）班前检查水电、洁具、照明等设施，确保完好可用。（2）进入异性公厕保洁前，先确认无人；有人时先清洁外部，无人后挂牌保洁（</w:t>
      </w:r>
      <w:r>
        <w:rPr>
          <w:rStyle w:val="46"/>
          <w:rFonts w:hint="eastAsia" w:ascii="宋体" w:hAnsi="宋体" w:eastAsia="宋体" w:cs="宋体"/>
          <w:b w:val="0"/>
          <w:bCs/>
          <w:color w:val="auto"/>
          <w:kern w:val="0"/>
          <w:sz w:val="24"/>
          <w:szCs w:val="24"/>
          <w:lang w:val="en-US" w:eastAsia="zh-CN" w:bidi="ar"/>
        </w:rPr>
        <w:t>正在保洁，请稍后，谢谢合作</w:t>
      </w:r>
      <w:r>
        <w:rPr>
          <w:rFonts w:hint="eastAsia" w:ascii="宋体" w:hAnsi="宋体" w:eastAsia="宋体" w:cs="宋体"/>
          <w:b w:val="0"/>
          <w:color w:val="auto"/>
          <w:kern w:val="0"/>
          <w:sz w:val="24"/>
          <w:szCs w:val="24"/>
          <w:lang w:val="en-US" w:eastAsia="zh-CN" w:bidi="ar"/>
        </w:rPr>
        <w:t>），地面保洁设置防滑警示。（3）公厕堵塞、溢满、设施损坏，</w:t>
      </w:r>
      <w:r>
        <w:rPr>
          <w:rStyle w:val="46"/>
          <w:rFonts w:hint="eastAsia" w:ascii="宋体" w:hAnsi="宋体" w:eastAsia="宋体" w:cs="宋体"/>
          <w:b w:val="0"/>
          <w:bCs/>
          <w:color w:val="auto"/>
          <w:kern w:val="0"/>
          <w:sz w:val="24"/>
          <w:szCs w:val="24"/>
          <w:lang w:val="en-US" w:eastAsia="zh-CN" w:bidi="ar"/>
        </w:rPr>
        <w:t>当日发现、当日上报、当日处置</w:t>
      </w:r>
      <w:r>
        <w:rPr>
          <w:rFonts w:hint="eastAsia" w:ascii="宋体" w:hAnsi="宋体" w:eastAsia="宋体" w:cs="宋体"/>
          <w:b w:val="0"/>
          <w:color w:val="auto"/>
          <w:kern w:val="0"/>
          <w:sz w:val="24"/>
          <w:szCs w:val="24"/>
          <w:lang w:val="en-US" w:eastAsia="zh-CN" w:bidi="ar"/>
        </w:rPr>
        <w:t>。（4）严禁用水冲淋墙壁、纱窗、门窗，使用干抹布擦拭至无积尘。（5）便池使用洁厕灵清除尿碱，无痰迹、无污渍；及时清空纸篓，清理脚踏板、排水口。（6）保洁时避让如厕市民，避免溅水引发矛盾。（7）每日定时消杀、除臭，按季节投放灭鼠药物，确保公厕无异味、无虫害。（8）不得无理由关闭便池蹲位，如需维修须张贴维修告知通知，并标明设施维修时间及维修部件。</w:t>
      </w:r>
    </w:p>
    <w:p w14:paraId="529448B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五、小广告清理</w:t>
      </w:r>
    </w:p>
    <w:p w14:paraId="2A649E8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1、</w:t>
      </w:r>
      <w:r>
        <w:rPr>
          <w:rStyle w:val="46"/>
          <w:rFonts w:hint="eastAsia" w:ascii="宋体" w:hAnsi="宋体" w:eastAsia="宋体" w:cs="宋体"/>
          <w:b w:val="0"/>
          <w:bCs/>
          <w:color w:val="auto"/>
          <w:kern w:val="0"/>
          <w:sz w:val="24"/>
          <w:szCs w:val="24"/>
          <w:lang w:val="en-US" w:eastAsia="zh-CN" w:bidi="ar"/>
        </w:rPr>
        <w:t>作业内容</w:t>
      </w:r>
      <w:r>
        <w:rPr>
          <w:rFonts w:hint="eastAsia" w:ascii="宋体" w:hAnsi="宋体" w:eastAsia="宋体" w:cs="宋体"/>
          <w:b w:val="0"/>
          <w:color w:val="auto"/>
          <w:kern w:val="0"/>
          <w:sz w:val="24"/>
          <w:szCs w:val="24"/>
          <w:lang w:val="en-US" w:eastAsia="zh-CN" w:bidi="ar"/>
        </w:rPr>
        <w:t>清理道路两侧建（构）筑物立面、围墙（门）、车行道、人行道、桥梁桥墩、路灯杆、护栏、配电箱、路牌、公交站亭、电线杆、宣传栏、窨井盖、树木等设施</w:t>
      </w:r>
      <w:r>
        <w:rPr>
          <w:rStyle w:val="46"/>
          <w:rFonts w:hint="eastAsia" w:ascii="宋体" w:hAnsi="宋体" w:eastAsia="宋体" w:cs="宋体"/>
          <w:b w:val="0"/>
          <w:bCs/>
          <w:color w:val="auto"/>
          <w:kern w:val="0"/>
          <w:sz w:val="24"/>
          <w:szCs w:val="24"/>
          <w:lang w:val="en-US" w:eastAsia="zh-CN" w:bidi="ar"/>
        </w:rPr>
        <w:t>1.5 米以下</w:t>
      </w:r>
      <w:r>
        <w:rPr>
          <w:rFonts w:hint="eastAsia" w:ascii="宋体" w:hAnsi="宋体" w:eastAsia="宋体" w:cs="宋体"/>
          <w:b w:val="0"/>
          <w:color w:val="auto"/>
          <w:kern w:val="0"/>
          <w:sz w:val="24"/>
          <w:szCs w:val="24"/>
          <w:lang w:val="en-US" w:eastAsia="zh-CN" w:bidi="ar"/>
        </w:rPr>
        <w:t>乱张贴、乱涂写、乱刻画（城市 “牛皮癣”）。</w:t>
      </w:r>
    </w:p>
    <w:p w14:paraId="367953D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2、</w:t>
      </w:r>
      <w:r>
        <w:rPr>
          <w:rStyle w:val="46"/>
          <w:rFonts w:hint="eastAsia" w:ascii="宋体" w:hAnsi="宋体" w:eastAsia="宋体" w:cs="宋体"/>
          <w:b w:val="0"/>
          <w:bCs/>
          <w:color w:val="auto"/>
          <w:kern w:val="0"/>
          <w:sz w:val="24"/>
          <w:szCs w:val="24"/>
          <w:lang w:val="en-US" w:eastAsia="zh-CN" w:bidi="ar"/>
        </w:rPr>
        <w:t>清理标准</w:t>
      </w:r>
      <w:r>
        <w:rPr>
          <w:rFonts w:hint="eastAsia" w:ascii="宋体" w:hAnsi="宋体" w:eastAsia="宋体" w:cs="宋体"/>
          <w:b w:val="0"/>
          <w:color w:val="auto"/>
          <w:kern w:val="0"/>
          <w:sz w:val="24"/>
          <w:szCs w:val="24"/>
          <w:lang w:val="en-US" w:eastAsia="zh-CN" w:bidi="ar"/>
        </w:rPr>
        <w:t>城市“牛皮癣”实行</w:t>
      </w:r>
      <w:r>
        <w:rPr>
          <w:rStyle w:val="46"/>
          <w:rFonts w:hint="eastAsia" w:ascii="宋体" w:hAnsi="宋体" w:eastAsia="宋体" w:cs="宋体"/>
          <w:b w:val="0"/>
          <w:bCs/>
          <w:color w:val="auto"/>
          <w:kern w:val="0"/>
          <w:sz w:val="24"/>
          <w:szCs w:val="24"/>
          <w:lang w:val="en-US" w:eastAsia="zh-CN" w:bidi="ar"/>
        </w:rPr>
        <w:t>专人专职、随见随清</w:t>
      </w:r>
      <w:r>
        <w:rPr>
          <w:rFonts w:hint="eastAsia" w:ascii="宋体" w:hAnsi="宋体" w:eastAsia="宋体" w:cs="宋体"/>
          <w:b w:val="0"/>
          <w:color w:val="auto"/>
          <w:kern w:val="0"/>
          <w:sz w:val="24"/>
          <w:szCs w:val="24"/>
          <w:lang w:val="en-US" w:eastAsia="zh-CN" w:bidi="ar"/>
        </w:rPr>
        <w:t>，清理做到</w:t>
      </w:r>
      <w:r>
        <w:rPr>
          <w:rStyle w:val="46"/>
          <w:rFonts w:hint="eastAsia" w:ascii="宋体" w:hAnsi="宋体" w:eastAsia="宋体" w:cs="宋体"/>
          <w:b w:val="0"/>
          <w:bCs/>
          <w:color w:val="auto"/>
          <w:kern w:val="0"/>
          <w:sz w:val="24"/>
          <w:szCs w:val="24"/>
          <w:lang w:val="en-US" w:eastAsia="zh-CN" w:bidi="ar"/>
        </w:rPr>
        <w:t>同色覆盖、矩形修补、无痕处置</w:t>
      </w:r>
      <w:r>
        <w:rPr>
          <w:rFonts w:hint="eastAsia" w:ascii="宋体" w:hAnsi="宋体" w:eastAsia="宋体" w:cs="宋体"/>
          <w:b w:val="0"/>
          <w:color w:val="auto"/>
          <w:kern w:val="0"/>
          <w:sz w:val="24"/>
          <w:szCs w:val="24"/>
          <w:lang w:val="en-US" w:eastAsia="zh-CN" w:bidi="ar"/>
        </w:rPr>
        <w:t>：（1）道路两侧张贴、涂写类 “牛皮癣”，使用专业清理机或人工彻底清理；（2）大理石、花岗岩、瓷砖、铝塑板等光滑墙面喷涂广告，用药剂擦拭清除；（3）水泥、石材等粗糙墙面无法清洗的，采用同色涂料 / 油漆覆盖修复；（4）道路、公共场所、城中村、绿地市政设施上 “牛皮癣” 专人清理、达标清零；（5）沿街建筑外墙、果皮箱、灯杆、护栏等设施乱张贴</w:t>
      </w:r>
      <w:r>
        <w:rPr>
          <w:rStyle w:val="46"/>
          <w:rFonts w:hint="eastAsia" w:ascii="宋体" w:hAnsi="宋体" w:eastAsia="宋体" w:cs="宋体"/>
          <w:b w:val="0"/>
          <w:bCs/>
          <w:color w:val="auto"/>
          <w:kern w:val="0"/>
          <w:sz w:val="24"/>
          <w:szCs w:val="24"/>
          <w:lang w:val="en-US" w:eastAsia="zh-CN" w:bidi="ar"/>
        </w:rPr>
        <w:t>每 2 天清洗 1 次</w:t>
      </w:r>
      <w:r>
        <w:rPr>
          <w:rFonts w:hint="eastAsia" w:ascii="宋体" w:hAnsi="宋体" w:eastAsia="宋体" w:cs="宋体"/>
          <w:b w:val="0"/>
          <w:color w:val="auto"/>
          <w:kern w:val="0"/>
          <w:sz w:val="24"/>
          <w:szCs w:val="24"/>
          <w:lang w:val="en-US" w:eastAsia="zh-CN" w:bidi="ar"/>
        </w:rPr>
        <w:t>，即时清除。</w:t>
      </w:r>
    </w:p>
    <w:p w14:paraId="2B952F3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六、除雪作业</w:t>
      </w:r>
    </w:p>
    <w:p w14:paraId="3EB1743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1、作业范围及要求</w:t>
      </w:r>
    </w:p>
    <w:p w14:paraId="5976431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1）</w:t>
      </w:r>
      <w:r>
        <w:rPr>
          <w:rStyle w:val="46"/>
          <w:rFonts w:hint="eastAsia" w:ascii="宋体" w:hAnsi="宋体" w:eastAsia="宋体" w:cs="宋体"/>
          <w:b w:val="0"/>
          <w:bCs/>
          <w:color w:val="auto"/>
          <w:kern w:val="0"/>
          <w:sz w:val="24"/>
          <w:szCs w:val="24"/>
          <w:lang w:val="en-US" w:eastAsia="zh-CN" w:bidi="ar"/>
        </w:rPr>
        <w:t>作业范围</w:t>
      </w:r>
      <w:r>
        <w:rPr>
          <w:rFonts w:hint="eastAsia" w:ascii="宋体" w:hAnsi="宋体" w:eastAsia="宋体" w:cs="宋体"/>
          <w:b w:val="0"/>
          <w:color w:val="auto"/>
          <w:kern w:val="0"/>
          <w:sz w:val="24"/>
          <w:szCs w:val="24"/>
          <w:lang w:val="en-US" w:eastAsia="zh-CN" w:bidi="ar"/>
        </w:rPr>
        <w:t>：昌吉市主次干道、巷道车行道机械化清雪，清雪总面积 672.83万㎡。</w:t>
      </w:r>
    </w:p>
    <w:p w14:paraId="64ED462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2）</w:t>
      </w:r>
      <w:r>
        <w:rPr>
          <w:rStyle w:val="46"/>
          <w:rFonts w:hint="eastAsia" w:ascii="宋体" w:hAnsi="宋体" w:eastAsia="宋体" w:cs="宋体"/>
          <w:b w:val="0"/>
          <w:bCs/>
          <w:color w:val="auto"/>
          <w:kern w:val="0"/>
          <w:sz w:val="24"/>
          <w:szCs w:val="24"/>
          <w:lang w:val="en-US" w:eastAsia="zh-CN" w:bidi="ar"/>
        </w:rPr>
        <w:t>作业要求</w:t>
      </w:r>
      <w:r>
        <w:rPr>
          <w:rFonts w:hint="eastAsia" w:ascii="宋体" w:hAnsi="宋体" w:eastAsia="宋体" w:cs="宋体"/>
          <w:b w:val="0"/>
          <w:color w:val="auto"/>
          <w:kern w:val="0"/>
          <w:sz w:val="24"/>
          <w:szCs w:val="24"/>
          <w:lang w:val="en-US" w:eastAsia="zh-CN" w:bidi="ar"/>
        </w:rPr>
        <w:t>：按道路等级划分清雪区域、配足清雪车辆，编组作业避开早晚高峰；严格落实“即下即清、人机结合、循环作业、绿色清雪”要求，实行网格化管理；</w:t>
      </w:r>
      <w:r>
        <w:rPr>
          <w:rStyle w:val="46"/>
          <w:rFonts w:hint="eastAsia" w:ascii="宋体" w:hAnsi="宋体" w:eastAsia="宋体" w:cs="宋体"/>
          <w:b w:val="0"/>
          <w:bCs/>
          <w:color w:val="auto"/>
          <w:kern w:val="0"/>
          <w:sz w:val="24"/>
          <w:szCs w:val="24"/>
          <w:lang w:val="en-US" w:eastAsia="zh-CN" w:bidi="ar"/>
        </w:rPr>
        <w:t>以雪为令、闻雪而动</w:t>
      </w:r>
      <w:r>
        <w:rPr>
          <w:rFonts w:hint="eastAsia" w:ascii="宋体" w:hAnsi="宋体" w:eastAsia="宋体" w:cs="宋体"/>
          <w:b w:val="0"/>
          <w:color w:val="auto"/>
          <w:kern w:val="0"/>
          <w:sz w:val="24"/>
          <w:szCs w:val="24"/>
          <w:lang w:val="en-US" w:eastAsia="zh-CN" w:bidi="ar"/>
        </w:rPr>
        <w:t>，全员待命、到岗即战，保障通行安全；主次干道执行“即下即清即运”，人工配合积雪拉运。</w:t>
      </w:r>
    </w:p>
    <w:p w14:paraId="1431717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2、作业规程</w:t>
      </w:r>
    </w:p>
    <w:p w14:paraId="580DC79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（1）</w:t>
      </w:r>
      <w:r>
        <w:rPr>
          <w:rStyle w:val="46"/>
          <w:rFonts w:hint="eastAsia" w:ascii="宋体" w:hAnsi="宋体" w:eastAsia="宋体" w:cs="宋体"/>
          <w:b w:val="0"/>
          <w:bCs/>
          <w:color w:val="auto"/>
          <w:kern w:val="0"/>
          <w:sz w:val="24"/>
          <w:szCs w:val="24"/>
          <w:lang w:val="en-US" w:eastAsia="zh-CN" w:bidi="ar"/>
        </w:rPr>
        <w:t>主要街路</w:t>
      </w:r>
      <w:r>
        <w:rPr>
          <w:rFonts w:hint="eastAsia" w:ascii="宋体" w:hAnsi="宋体" w:eastAsia="宋体" w:cs="宋体"/>
          <w:b w:val="0"/>
          <w:color w:val="auto"/>
          <w:kern w:val="0"/>
          <w:sz w:val="24"/>
          <w:szCs w:val="24"/>
          <w:lang w:val="en-US" w:eastAsia="zh-CN" w:bidi="ar"/>
        </w:rPr>
        <w:t>城市主干道车流量大、路面易压实积雪，高架桥温度低易结冰，按雪情编组作业，</w:t>
      </w:r>
      <w:r>
        <w:rPr>
          <w:rStyle w:val="46"/>
          <w:rFonts w:hint="eastAsia" w:ascii="宋体" w:hAnsi="宋体" w:eastAsia="宋体" w:cs="宋体"/>
          <w:b w:val="0"/>
          <w:bCs/>
          <w:color w:val="auto"/>
          <w:kern w:val="0"/>
          <w:sz w:val="24"/>
          <w:szCs w:val="24"/>
          <w:lang w:val="en-US" w:eastAsia="zh-CN" w:bidi="ar"/>
        </w:rPr>
        <w:t>每60分钟完成1次循环</w:t>
      </w:r>
      <w:r>
        <w:rPr>
          <w:rFonts w:hint="eastAsia" w:ascii="宋体" w:hAnsi="宋体" w:eastAsia="宋体" w:cs="宋体"/>
          <w:b w:val="0"/>
          <w:color w:val="auto"/>
          <w:kern w:val="0"/>
          <w:sz w:val="24"/>
          <w:szCs w:val="24"/>
          <w:lang w:val="en-US" w:eastAsia="zh-CN" w:bidi="ar"/>
        </w:rPr>
        <w:t>，确保路见本色。坚持</w:t>
      </w:r>
      <w:r>
        <w:rPr>
          <w:rStyle w:val="46"/>
          <w:rFonts w:hint="eastAsia" w:ascii="宋体" w:hAnsi="宋体" w:eastAsia="宋体" w:cs="宋体"/>
          <w:b w:val="0"/>
          <w:bCs/>
          <w:color w:val="auto"/>
          <w:kern w:val="0"/>
          <w:sz w:val="24"/>
          <w:szCs w:val="24"/>
          <w:lang w:val="en-US" w:eastAsia="zh-CN" w:bidi="ar"/>
        </w:rPr>
        <w:t>绿色清雪、少用慎用融雪剂</w:t>
      </w:r>
      <w:r>
        <w:rPr>
          <w:rFonts w:hint="eastAsia" w:ascii="宋体" w:hAnsi="宋体" w:eastAsia="宋体" w:cs="宋体"/>
          <w:b w:val="0"/>
          <w:color w:val="auto"/>
          <w:kern w:val="0"/>
          <w:sz w:val="24"/>
          <w:szCs w:val="24"/>
          <w:lang w:val="en-US" w:eastAsia="zh-CN" w:bidi="ar"/>
        </w:rPr>
        <w:t>，路边积雪即时清运，不占用车道；采用滚刷+打垄机+滑移抛雪机</w:t>
      </w:r>
      <w:r>
        <w:rPr>
          <w:rStyle w:val="46"/>
          <w:rFonts w:hint="eastAsia" w:ascii="宋体" w:hAnsi="宋体" w:eastAsia="宋体" w:cs="宋体"/>
          <w:b w:val="0"/>
          <w:bCs/>
          <w:color w:val="auto"/>
          <w:kern w:val="0"/>
          <w:sz w:val="24"/>
          <w:szCs w:val="24"/>
          <w:lang w:val="en-US" w:eastAsia="zh-CN" w:bidi="ar"/>
        </w:rPr>
        <w:t>边清边运</w:t>
      </w:r>
      <w:r>
        <w:rPr>
          <w:rFonts w:hint="eastAsia" w:ascii="宋体" w:hAnsi="宋体" w:eastAsia="宋体" w:cs="宋体"/>
          <w:b w:val="0"/>
          <w:color w:val="auto"/>
          <w:kern w:val="0"/>
          <w:sz w:val="24"/>
          <w:szCs w:val="24"/>
          <w:lang w:val="en-US" w:eastAsia="zh-CN" w:bidi="ar"/>
        </w:rPr>
        <w:t>；路口易结冰路段加密清扫，适量使用融雪剂；护栏积雪使用吹雪机清理。</w:t>
      </w:r>
    </w:p>
    <w:p w14:paraId="293354B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（2）</w:t>
      </w:r>
      <w:r>
        <w:rPr>
          <w:rStyle w:val="46"/>
          <w:rFonts w:hint="eastAsia" w:ascii="宋体" w:hAnsi="宋体" w:eastAsia="宋体" w:cs="宋体"/>
          <w:b w:val="0"/>
          <w:bCs/>
          <w:color w:val="auto"/>
          <w:kern w:val="0"/>
          <w:sz w:val="24"/>
          <w:szCs w:val="24"/>
          <w:lang w:val="en-US" w:eastAsia="zh-CN" w:bidi="ar"/>
        </w:rPr>
        <w:t>次要街道</w:t>
      </w:r>
      <w:r>
        <w:rPr>
          <w:rFonts w:hint="eastAsia" w:ascii="宋体" w:hAnsi="宋体" w:eastAsia="宋体" w:cs="宋体"/>
          <w:b w:val="0"/>
          <w:color w:val="auto"/>
          <w:kern w:val="0"/>
          <w:sz w:val="24"/>
          <w:szCs w:val="24"/>
          <w:lang w:val="en-US" w:eastAsia="zh-CN" w:bidi="ar"/>
        </w:rPr>
        <w:t>分流道路车流量较小，路边积雪可装载机堆垛，</w:t>
      </w:r>
      <w:r>
        <w:rPr>
          <w:rStyle w:val="46"/>
          <w:rFonts w:hint="eastAsia" w:ascii="宋体" w:hAnsi="宋体" w:eastAsia="宋体" w:cs="宋体"/>
          <w:b w:val="0"/>
          <w:bCs/>
          <w:color w:val="auto"/>
          <w:kern w:val="0"/>
          <w:sz w:val="24"/>
          <w:szCs w:val="24"/>
          <w:lang w:val="en-US" w:eastAsia="zh-CN" w:bidi="ar"/>
        </w:rPr>
        <w:t>夜间集中拉运</w:t>
      </w:r>
      <w:r>
        <w:rPr>
          <w:rFonts w:hint="eastAsia" w:ascii="宋体" w:hAnsi="宋体" w:eastAsia="宋体" w:cs="宋体"/>
          <w:b w:val="0"/>
          <w:color w:val="auto"/>
          <w:kern w:val="0"/>
          <w:sz w:val="24"/>
          <w:szCs w:val="24"/>
          <w:lang w:val="en-US" w:eastAsia="zh-CN" w:bidi="ar"/>
        </w:rPr>
        <w:t>。</w:t>
      </w:r>
    </w:p>
    <w:p w14:paraId="2D6A8C8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（3）</w:t>
      </w:r>
      <w:r>
        <w:rPr>
          <w:rStyle w:val="46"/>
          <w:rFonts w:hint="eastAsia" w:ascii="宋体" w:hAnsi="宋体" w:eastAsia="宋体" w:cs="宋体"/>
          <w:b w:val="0"/>
          <w:bCs/>
          <w:color w:val="auto"/>
          <w:kern w:val="0"/>
          <w:sz w:val="24"/>
          <w:szCs w:val="24"/>
          <w:lang w:val="en-US" w:eastAsia="zh-CN" w:bidi="ar"/>
        </w:rPr>
        <w:t>背街小巷</w:t>
      </w:r>
      <w:r>
        <w:rPr>
          <w:rFonts w:hint="eastAsia" w:ascii="宋体" w:hAnsi="宋体" w:eastAsia="宋体" w:cs="宋体"/>
          <w:b w:val="0"/>
          <w:color w:val="auto"/>
          <w:kern w:val="0"/>
          <w:sz w:val="24"/>
          <w:szCs w:val="24"/>
          <w:lang w:val="en-US" w:eastAsia="zh-CN" w:bidi="ar"/>
        </w:rPr>
        <w:t>街巷狭窄，组织保洁员、街道、临街单位、居民</w:t>
      </w:r>
      <w:r>
        <w:rPr>
          <w:rStyle w:val="46"/>
          <w:rFonts w:hint="eastAsia" w:ascii="宋体" w:hAnsi="宋体" w:eastAsia="宋体" w:cs="宋体"/>
          <w:b w:val="0"/>
          <w:bCs/>
          <w:color w:val="auto"/>
          <w:kern w:val="0"/>
          <w:sz w:val="24"/>
          <w:szCs w:val="24"/>
          <w:lang w:val="en-US" w:eastAsia="zh-CN" w:bidi="ar"/>
        </w:rPr>
        <w:t>协同清雪、以通为主</w:t>
      </w:r>
      <w:r>
        <w:rPr>
          <w:rFonts w:hint="eastAsia" w:ascii="宋体" w:hAnsi="宋体" w:eastAsia="宋体" w:cs="宋体"/>
          <w:b w:val="0"/>
          <w:color w:val="auto"/>
          <w:kern w:val="0"/>
          <w:sz w:val="24"/>
          <w:szCs w:val="24"/>
          <w:lang w:val="en-US" w:eastAsia="zh-CN" w:bidi="ar"/>
        </w:rPr>
        <w:t>。</w:t>
      </w:r>
    </w:p>
    <w:p w14:paraId="4F19931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color w:val="auto"/>
          <w:sz w:val="24"/>
          <w:szCs w:val="24"/>
          <w:highlight w:val="yellow"/>
        </w:rPr>
      </w:pPr>
      <w:r>
        <w:rPr>
          <w:rFonts w:hint="eastAsia" w:ascii="宋体" w:hAnsi="宋体" w:eastAsia="宋体" w:cs="宋体"/>
          <w:b w:val="0"/>
          <w:color w:val="auto"/>
          <w:sz w:val="24"/>
          <w:szCs w:val="24"/>
        </w:rPr>
        <w:t>3、清雪作业标准</w:t>
      </w:r>
    </w:p>
    <w:p w14:paraId="5E6D1B2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1）与气象部门联动，收到降雪预警立即进入备战状态，人员集结、设备到位、融雪剂装车；实行24小时值班，</w:t>
      </w:r>
      <w:r>
        <w:rPr>
          <w:rStyle w:val="46"/>
          <w:rFonts w:hint="eastAsia" w:ascii="宋体" w:hAnsi="宋体" w:eastAsia="宋体" w:cs="宋体"/>
          <w:b w:val="0"/>
          <w:bCs/>
          <w:color w:val="auto"/>
          <w:kern w:val="0"/>
          <w:sz w:val="24"/>
          <w:szCs w:val="24"/>
          <w:lang w:val="en-US" w:eastAsia="zh-CN" w:bidi="ar"/>
        </w:rPr>
        <w:t>降雪20分钟内启动清雪</w:t>
      </w:r>
      <w:r>
        <w:rPr>
          <w:rFonts w:hint="eastAsia" w:ascii="宋体" w:hAnsi="宋体" w:eastAsia="宋体" w:cs="宋体"/>
          <w:b w:val="0"/>
          <w:color w:val="auto"/>
          <w:kern w:val="0"/>
          <w:sz w:val="24"/>
          <w:szCs w:val="24"/>
          <w:lang w:val="en-US" w:eastAsia="zh-CN" w:bidi="ar"/>
        </w:rPr>
        <w:t>。2）清雪遵循“先重点后一般、先主干后次道、先密集后边缘”</w:t>
      </w:r>
      <w:r>
        <w:rPr>
          <w:rStyle w:val="46"/>
          <w:rFonts w:hint="eastAsia" w:ascii="宋体" w:hAnsi="宋体" w:eastAsia="宋体" w:cs="宋体"/>
          <w:b w:val="0"/>
          <w:bCs/>
          <w:color w:val="auto"/>
          <w:kern w:val="0"/>
          <w:sz w:val="24"/>
          <w:szCs w:val="24"/>
          <w:lang w:val="en-US" w:eastAsia="zh-CN" w:bidi="ar"/>
        </w:rPr>
        <w:t>，即下即清、循环作业，避开交通高峰。（1）重点区域、一级道路：人机联合作业，40分钟1次循环；（2）二、三级道路：60分钟1次循环，防止积雪粘结路面，三级以下道路保通为主；（3）早晚高峰单组循环，60分钟清扫1遍；（4）严寒降温、高峰降雪易形成冰面时，适量、规范使用融雪剂。3）清雪达标率：一级道路≥90%，二级道路≥85%，三级道路≥80%，路面</w:t>
      </w:r>
      <w:r>
        <w:rPr>
          <w:rFonts w:hint="eastAsia" w:ascii="宋体" w:hAnsi="宋体" w:eastAsia="宋体" w:cs="宋体"/>
          <w:b w:val="0"/>
          <w:color w:val="auto"/>
          <w:kern w:val="0"/>
          <w:sz w:val="24"/>
          <w:szCs w:val="24"/>
          <w:lang w:val="en-US" w:eastAsia="zh-CN" w:bidi="ar"/>
        </w:rPr>
        <w:t>无雪道、无积冰、无漏段。</w:t>
      </w:r>
    </w:p>
    <w:p w14:paraId="393F3DB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color w:val="auto"/>
          <w:sz w:val="24"/>
          <w:szCs w:val="24"/>
          <w:highlight w:val="yellow"/>
        </w:rPr>
      </w:pPr>
      <w:r>
        <w:rPr>
          <w:rFonts w:hint="eastAsia" w:ascii="宋体" w:hAnsi="宋体" w:eastAsia="宋体" w:cs="宋体"/>
          <w:b w:val="0"/>
          <w:color w:val="auto"/>
          <w:sz w:val="24"/>
          <w:szCs w:val="24"/>
        </w:rPr>
        <w:t>4、积雪拉运</w:t>
      </w:r>
    </w:p>
    <w:p w14:paraId="3926204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1）积雪拉运为清雪核心环节，工作量占比约 2/3。2）采用抛雪机装车，先人工/打垄机规整雪垄（宽度≤1.8m），再抛雪入车；绿化带较宽路段，可将积雪抛至绿化带平整堆放。3）主次干道同步清雪，</w:t>
      </w:r>
      <w:r>
        <w:rPr>
          <w:rStyle w:val="46"/>
          <w:rFonts w:hint="eastAsia" w:ascii="宋体" w:hAnsi="宋体" w:eastAsia="宋体" w:cs="宋体"/>
          <w:b w:val="0"/>
          <w:bCs/>
          <w:color w:val="auto"/>
          <w:kern w:val="0"/>
          <w:sz w:val="24"/>
          <w:szCs w:val="24"/>
          <w:lang w:val="en-US" w:eastAsia="zh-CN" w:bidi="ar"/>
        </w:rPr>
        <w:t>雪停8小时内完成清雪</w:t>
      </w:r>
      <w:r>
        <w:rPr>
          <w:rFonts w:hint="eastAsia" w:ascii="宋体" w:hAnsi="宋体" w:eastAsia="宋体" w:cs="宋体"/>
          <w:b w:val="0"/>
          <w:color w:val="auto"/>
          <w:kern w:val="0"/>
          <w:sz w:val="24"/>
          <w:szCs w:val="24"/>
          <w:lang w:val="en-US" w:eastAsia="zh-CN" w:bidi="ar"/>
        </w:rPr>
        <w:t>；核心区8小时内拉运完毕，一二级道路24小时内拉运完毕，大雪/暴雪72小时内拉运完毕，按“核心区→外围”逐路清运。</w:t>
      </w:r>
    </w:p>
    <w:p w14:paraId="2442522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color w:val="auto"/>
          <w:sz w:val="24"/>
          <w:szCs w:val="24"/>
          <w:highlight w:val="yellow"/>
        </w:rPr>
      </w:pPr>
      <w:r>
        <w:rPr>
          <w:rFonts w:hint="eastAsia" w:ascii="宋体" w:hAnsi="宋体" w:eastAsia="宋体" w:cs="宋体"/>
          <w:b w:val="0"/>
          <w:color w:val="auto"/>
          <w:sz w:val="24"/>
          <w:szCs w:val="24"/>
        </w:rPr>
        <w:t>5、其他准备工作</w:t>
      </w:r>
    </w:p>
    <w:p w14:paraId="5846A04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1）</w:t>
      </w:r>
      <w:r>
        <w:rPr>
          <w:rStyle w:val="46"/>
          <w:rFonts w:hint="eastAsia" w:ascii="宋体" w:hAnsi="宋体" w:eastAsia="宋体" w:cs="宋体"/>
          <w:b w:val="0"/>
          <w:bCs/>
          <w:color w:val="auto"/>
          <w:kern w:val="0"/>
          <w:sz w:val="24"/>
          <w:szCs w:val="24"/>
          <w:lang w:val="en-US" w:eastAsia="zh-CN" w:bidi="ar"/>
        </w:rPr>
        <w:t>设备维保</w:t>
      </w:r>
      <w:r>
        <w:rPr>
          <w:rFonts w:hint="eastAsia" w:ascii="宋体" w:hAnsi="宋体" w:eastAsia="宋体" w:cs="宋体"/>
          <w:b w:val="0"/>
          <w:color w:val="auto"/>
          <w:kern w:val="0"/>
          <w:sz w:val="24"/>
          <w:szCs w:val="24"/>
          <w:lang w:val="en-US" w:eastAsia="zh-CN" w:bidi="ar"/>
        </w:rPr>
        <w:t>：清雪前全面检修设备，一场雪一维保一调试，</w:t>
      </w:r>
      <w:r>
        <w:rPr>
          <w:rStyle w:val="46"/>
          <w:rFonts w:hint="eastAsia" w:ascii="宋体" w:hAnsi="宋体" w:eastAsia="宋体" w:cs="宋体"/>
          <w:b w:val="0"/>
          <w:bCs/>
          <w:color w:val="auto"/>
          <w:kern w:val="0"/>
          <w:sz w:val="24"/>
          <w:szCs w:val="24"/>
          <w:lang w:val="en-US" w:eastAsia="zh-CN" w:bidi="ar"/>
        </w:rPr>
        <w:t>出车率100%</w:t>
      </w:r>
      <w:r>
        <w:rPr>
          <w:rFonts w:hint="eastAsia" w:ascii="宋体" w:hAnsi="宋体" w:eastAsia="宋体" w:cs="宋体"/>
          <w:b w:val="0"/>
          <w:color w:val="auto"/>
          <w:kern w:val="0"/>
          <w:sz w:val="24"/>
          <w:szCs w:val="24"/>
          <w:lang w:val="en-US" w:eastAsia="zh-CN" w:bidi="ar"/>
        </w:rPr>
        <w:t>。2）</w:t>
      </w:r>
      <w:r>
        <w:rPr>
          <w:rStyle w:val="46"/>
          <w:rFonts w:hint="eastAsia" w:ascii="宋体" w:hAnsi="宋体" w:eastAsia="宋体" w:cs="宋体"/>
          <w:b w:val="0"/>
          <w:bCs/>
          <w:color w:val="auto"/>
          <w:kern w:val="0"/>
          <w:sz w:val="24"/>
          <w:szCs w:val="24"/>
          <w:lang w:val="en-US" w:eastAsia="zh-CN" w:bidi="ar"/>
        </w:rPr>
        <w:t>人员培训</w:t>
      </w:r>
      <w:r>
        <w:rPr>
          <w:rFonts w:hint="eastAsia" w:ascii="宋体" w:hAnsi="宋体" w:eastAsia="宋体" w:cs="宋体"/>
          <w:b w:val="0"/>
          <w:color w:val="auto"/>
          <w:kern w:val="0"/>
          <w:sz w:val="24"/>
          <w:szCs w:val="24"/>
          <w:lang w:val="en-US" w:eastAsia="zh-CN" w:bidi="ar"/>
        </w:rPr>
        <w:t>：10月底前完成驾驶员招聘，11月1 日前完成全员业务及安全培训，开展清雪演练，发现问题即时整改。3）</w:t>
      </w:r>
      <w:r>
        <w:rPr>
          <w:rStyle w:val="46"/>
          <w:rFonts w:hint="eastAsia" w:ascii="宋体" w:hAnsi="宋体" w:eastAsia="宋体" w:cs="宋体"/>
          <w:b w:val="0"/>
          <w:bCs/>
          <w:color w:val="auto"/>
          <w:kern w:val="0"/>
          <w:sz w:val="24"/>
          <w:szCs w:val="24"/>
          <w:lang w:val="en-US" w:eastAsia="zh-CN" w:bidi="ar"/>
        </w:rPr>
        <w:t>预案保障</w:t>
      </w:r>
      <w:r>
        <w:rPr>
          <w:rFonts w:hint="eastAsia" w:ascii="宋体" w:hAnsi="宋体" w:eastAsia="宋体" w:cs="宋体"/>
          <w:b w:val="0"/>
          <w:color w:val="auto"/>
          <w:kern w:val="0"/>
          <w:sz w:val="24"/>
          <w:szCs w:val="24"/>
          <w:lang w:val="en-US" w:eastAsia="zh-CN" w:bidi="ar"/>
        </w:rPr>
        <w:t>：分场次制定清雪预案，与气象部门建立实时通报机制；合理设置</w:t>
      </w:r>
      <w:r>
        <w:rPr>
          <w:rStyle w:val="46"/>
          <w:rFonts w:hint="eastAsia" w:ascii="宋体" w:hAnsi="宋体" w:eastAsia="宋体" w:cs="宋体"/>
          <w:b w:val="0"/>
          <w:bCs/>
          <w:color w:val="auto"/>
          <w:kern w:val="0"/>
          <w:sz w:val="24"/>
          <w:szCs w:val="24"/>
          <w:lang w:val="en-US" w:eastAsia="zh-CN" w:bidi="ar"/>
        </w:rPr>
        <w:t>中转卸雪场、堆雪场</w:t>
      </w:r>
      <w:r>
        <w:rPr>
          <w:rFonts w:hint="eastAsia" w:ascii="宋体" w:hAnsi="宋体" w:eastAsia="宋体" w:cs="宋体"/>
          <w:b w:val="0"/>
          <w:color w:val="auto"/>
          <w:kern w:val="0"/>
          <w:sz w:val="24"/>
          <w:szCs w:val="24"/>
          <w:lang w:val="en-US" w:eastAsia="zh-CN" w:bidi="ar"/>
        </w:rPr>
        <w:t>；搭建数字化调度平台，保障设备、人员、后勤到位。</w:t>
      </w:r>
    </w:p>
    <w:p w14:paraId="3AFDF76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七、建筑垃圾日常管理</w:t>
      </w:r>
    </w:p>
    <w:p w14:paraId="55CDCEB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1、作业范围及要求</w:t>
      </w:r>
    </w:p>
    <w:p w14:paraId="768D90A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1）</w:t>
      </w:r>
      <w:r>
        <w:rPr>
          <w:rStyle w:val="46"/>
          <w:rFonts w:hint="eastAsia" w:ascii="宋体" w:hAnsi="宋体" w:eastAsia="宋体" w:cs="宋体"/>
          <w:b w:val="0"/>
          <w:bCs/>
          <w:color w:val="auto"/>
          <w:kern w:val="0"/>
          <w:sz w:val="24"/>
          <w:szCs w:val="24"/>
          <w:lang w:val="en-US" w:eastAsia="zh-CN" w:bidi="ar"/>
        </w:rPr>
        <w:t>作业范围</w:t>
      </w:r>
      <w:r>
        <w:rPr>
          <w:rFonts w:hint="eastAsia" w:ascii="宋体" w:hAnsi="宋体" w:eastAsia="宋体" w:cs="宋体"/>
          <w:b w:val="0"/>
          <w:color w:val="auto"/>
          <w:kern w:val="0"/>
          <w:sz w:val="24"/>
          <w:szCs w:val="24"/>
          <w:lang w:val="en-US" w:eastAsia="zh-CN" w:bidi="ar"/>
        </w:rPr>
        <w:t>：昌吉市建筑垃圾处理场1座，采用卫生填埋处置，日均处理 220立方米，年处理约8万立方米，负责建筑垃圾日常填埋作业。2）处理场实行</w:t>
      </w:r>
      <w:r>
        <w:rPr>
          <w:rStyle w:val="46"/>
          <w:rFonts w:hint="eastAsia" w:ascii="宋体" w:hAnsi="宋体" w:eastAsia="宋体" w:cs="宋体"/>
          <w:b w:val="0"/>
          <w:bCs/>
          <w:color w:val="auto"/>
          <w:kern w:val="0"/>
          <w:sz w:val="24"/>
          <w:szCs w:val="24"/>
          <w:lang w:val="en-US" w:eastAsia="zh-CN" w:bidi="ar"/>
        </w:rPr>
        <w:t>24小时无缝监管</w:t>
      </w:r>
      <w:r>
        <w:rPr>
          <w:rFonts w:hint="eastAsia" w:ascii="宋体" w:hAnsi="宋体" w:eastAsia="宋体" w:cs="宋体"/>
          <w:b w:val="0"/>
          <w:color w:val="auto"/>
          <w:kern w:val="0"/>
          <w:sz w:val="24"/>
          <w:szCs w:val="24"/>
          <w:lang w:val="en-US" w:eastAsia="zh-CN" w:bidi="ar"/>
        </w:rPr>
        <w:t>，值班人员日常巡查，督促洒水降尘、填埋压实；严格查验进场车辆，规范填埋覆盖，完善处置台账。3）配合行业主管部门完成环保检查及问题整改。4）查验建筑垃圾运输车辆票证，严查违规拉运、无手续运输，发现问题</w:t>
      </w:r>
      <w:r>
        <w:rPr>
          <w:rStyle w:val="46"/>
          <w:rFonts w:hint="eastAsia" w:ascii="宋体" w:hAnsi="宋体" w:eastAsia="宋体" w:cs="宋体"/>
          <w:b w:val="0"/>
          <w:bCs/>
          <w:color w:val="auto"/>
          <w:kern w:val="0"/>
          <w:sz w:val="24"/>
          <w:szCs w:val="24"/>
          <w:lang w:val="en-US" w:eastAsia="zh-CN" w:bidi="ar"/>
        </w:rPr>
        <w:t>立查立改</w:t>
      </w:r>
      <w:r>
        <w:rPr>
          <w:rFonts w:hint="eastAsia" w:ascii="宋体" w:hAnsi="宋体" w:eastAsia="宋体" w:cs="宋体"/>
          <w:b w:val="0"/>
          <w:color w:val="auto"/>
          <w:kern w:val="0"/>
          <w:sz w:val="24"/>
          <w:szCs w:val="24"/>
          <w:lang w:val="en-US" w:eastAsia="zh-CN" w:bidi="ar"/>
        </w:rPr>
        <w:t>。</w:t>
      </w:r>
    </w:p>
    <w:p w14:paraId="3BB0B8D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2、日常管理</w:t>
      </w:r>
    </w:p>
    <w:p w14:paraId="3B544C2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b w:val="0"/>
          <w:color w:val="auto"/>
          <w:sz w:val="24"/>
          <w:szCs w:val="24"/>
          <w:highlight w:val="yellow"/>
        </w:rPr>
      </w:pPr>
      <w:r>
        <w:rPr>
          <w:rFonts w:hint="eastAsia" w:ascii="宋体" w:hAnsi="宋体" w:eastAsia="宋体" w:cs="宋体"/>
          <w:b w:val="0"/>
          <w:color w:val="auto"/>
          <w:kern w:val="0"/>
          <w:sz w:val="24"/>
          <w:szCs w:val="24"/>
          <w:lang w:val="en-US" w:eastAsia="zh-CN" w:bidi="ar"/>
        </w:rPr>
        <w:t>1）实行</w:t>
      </w:r>
      <w:r>
        <w:rPr>
          <w:rStyle w:val="46"/>
          <w:rFonts w:hint="eastAsia" w:ascii="宋体" w:hAnsi="宋体" w:eastAsia="宋体" w:cs="宋体"/>
          <w:b w:val="0"/>
          <w:bCs/>
          <w:color w:val="auto"/>
          <w:kern w:val="0"/>
          <w:sz w:val="24"/>
          <w:szCs w:val="24"/>
          <w:lang w:val="en-US" w:eastAsia="zh-CN" w:bidi="ar"/>
        </w:rPr>
        <w:t>网格化分区管理</w:t>
      </w:r>
      <w:r>
        <w:rPr>
          <w:rFonts w:hint="eastAsia" w:ascii="宋体" w:hAnsi="宋体" w:eastAsia="宋体" w:cs="宋体"/>
          <w:b w:val="0"/>
          <w:color w:val="auto"/>
          <w:kern w:val="0"/>
          <w:sz w:val="24"/>
          <w:szCs w:val="24"/>
          <w:lang w:val="en-US" w:eastAsia="zh-CN" w:bidi="ar"/>
        </w:rPr>
        <w:t>，责任到人、履职到位。建立日常巡查考核制度，压实管理责任；建立巡查台账，及时整改</w:t>
      </w:r>
    </w:p>
    <w:p w14:paraId="6DDEF2C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八、环卫设施维修</w:t>
      </w:r>
    </w:p>
    <w:p w14:paraId="3B09A45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1、工作标准</w:t>
      </w:r>
    </w:p>
    <w:p w14:paraId="5933674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1）公厕、垃圾箱、果皮箱、垃圾桶等环卫设施及各办公场所设施损坏，</w:t>
      </w:r>
      <w:r>
        <w:rPr>
          <w:rStyle w:val="46"/>
          <w:rFonts w:hint="eastAsia" w:ascii="宋体" w:hAnsi="宋体" w:eastAsia="宋体" w:cs="宋体"/>
          <w:b w:val="0"/>
          <w:bCs/>
          <w:color w:val="auto"/>
          <w:kern w:val="0"/>
          <w:sz w:val="24"/>
          <w:szCs w:val="24"/>
          <w:lang w:val="en-US" w:eastAsia="zh-CN" w:bidi="ar"/>
        </w:rPr>
        <w:t>除无料、重大损坏外，4小时内维修到位，</w:t>
      </w:r>
      <w:r>
        <w:rPr>
          <w:rFonts w:hint="eastAsia" w:ascii="宋体" w:hAnsi="宋体" w:eastAsia="宋体" w:cs="宋体"/>
          <w:b w:val="0"/>
          <w:color w:val="auto"/>
          <w:kern w:val="0"/>
          <w:sz w:val="24"/>
          <w:szCs w:val="24"/>
          <w:lang w:val="en-US" w:eastAsia="zh-CN" w:bidi="ar"/>
        </w:rPr>
        <w:t>保障正常使用。2）垃圾收集房、地埋式箱、垃圾桶随时清洗，无油污、周边无污水。3）油污路面</w:t>
      </w:r>
      <w:r>
        <w:rPr>
          <w:rStyle w:val="46"/>
          <w:rFonts w:hint="eastAsia" w:ascii="宋体" w:hAnsi="宋体" w:eastAsia="宋体" w:cs="宋体"/>
          <w:b w:val="0"/>
          <w:bCs/>
          <w:color w:val="auto"/>
          <w:kern w:val="0"/>
          <w:sz w:val="24"/>
          <w:szCs w:val="24"/>
          <w:lang w:val="en-US" w:eastAsia="zh-CN" w:bidi="ar"/>
        </w:rPr>
        <w:t>巡回巡查、随脏随清</w:t>
      </w:r>
      <w:r>
        <w:rPr>
          <w:rFonts w:hint="eastAsia" w:ascii="宋体" w:hAnsi="宋体" w:eastAsia="宋体" w:cs="宋体"/>
          <w:b w:val="0"/>
          <w:color w:val="auto"/>
          <w:kern w:val="0"/>
          <w:sz w:val="24"/>
          <w:szCs w:val="24"/>
          <w:lang w:val="en-US" w:eastAsia="zh-CN" w:bidi="ar"/>
        </w:rPr>
        <w:t>，保障市容整洁。</w:t>
      </w:r>
    </w:p>
    <w:p w14:paraId="00F7AD5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2、工作要求</w:t>
      </w:r>
    </w:p>
    <w:p w14:paraId="41AE288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1）依据昌吉市环卫专项规划及设施标准，编制建设规划及实施计划并落地。2）按规范在公共区域配套垃圾收集容器。3）做好环卫设施日常维保，保持整洁、完好。</w:t>
      </w:r>
    </w:p>
    <w:p w14:paraId="3BD6EC6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3、长效管理机制</w:t>
      </w:r>
    </w:p>
    <w:p w14:paraId="6924DF0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建立日常巡查考核机制，责任到人；建立设施维保台账，问题即时上报、即时处置。</w:t>
      </w:r>
    </w:p>
    <w:p w14:paraId="69C2667D">
      <w:pPr>
        <w:pStyle w:val="4"/>
        <w:keepNext w:val="0"/>
        <w:keepLines w:val="0"/>
        <w:pageBreakBefore w:val="0"/>
        <w:widowControl/>
        <w:numPr>
          <w:ilvl w:val="0"/>
          <w:numId w:val="1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lang w:val="en-US" w:eastAsia="zh-CN"/>
        </w:rPr>
        <w:t>生活</w:t>
      </w:r>
      <w:r>
        <w:rPr>
          <w:rFonts w:hint="eastAsia" w:ascii="宋体" w:hAnsi="宋体" w:eastAsia="宋体" w:cs="宋体"/>
          <w:b/>
          <w:bCs w:val="0"/>
          <w:color w:val="auto"/>
          <w:sz w:val="24"/>
          <w:szCs w:val="24"/>
        </w:rPr>
        <w:t>垃圾填埋场日常管理</w:t>
      </w:r>
    </w:p>
    <w:p w14:paraId="7AF6AFE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rPr>
      </w:pPr>
      <w:r>
        <w:rPr>
          <w:rFonts w:hint="eastAsia" w:ascii="宋体" w:hAnsi="宋体" w:eastAsia="宋体" w:cs="宋体"/>
          <w:b w:val="0"/>
          <w:color w:val="auto"/>
          <w:kern w:val="0"/>
          <w:sz w:val="24"/>
          <w:szCs w:val="24"/>
          <w:lang w:val="en-US" w:eastAsia="zh-CN" w:bidi="ar"/>
        </w:rPr>
        <w:t>1）负责</w:t>
      </w:r>
      <w:r>
        <w:rPr>
          <w:rStyle w:val="46"/>
          <w:rFonts w:hint="eastAsia" w:ascii="宋体" w:hAnsi="宋体" w:eastAsia="宋体" w:cs="宋体"/>
          <w:b w:val="0"/>
          <w:bCs/>
          <w:color w:val="auto"/>
          <w:kern w:val="0"/>
          <w:sz w:val="24"/>
          <w:szCs w:val="24"/>
          <w:lang w:val="en-US" w:eastAsia="zh-CN" w:bidi="ar"/>
        </w:rPr>
        <w:t>榆树沟生活垃圾填埋场</w:t>
      </w:r>
      <w:r>
        <w:rPr>
          <w:rFonts w:hint="eastAsia" w:ascii="宋体" w:hAnsi="宋体" w:eastAsia="宋体" w:cs="宋体"/>
          <w:b w:val="0"/>
          <w:color w:val="auto"/>
          <w:kern w:val="0"/>
          <w:sz w:val="24"/>
          <w:szCs w:val="24"/>
          <w:lang w:val="en-US" w:eastAsia="zh-CN" w:bidi="ar"/>
        </w:rPr>
        <w:t>：环保监测、流浪狗收容、渗滤液处置、厂区绿化及环境卫生管理。2）负责</w:t>
      </w:r>
      <w:r>
        <w:rPr>
          <w:rStyle w:val="46"/>
          <w:rFonts w:hint="eastAsia" w:ascii="宋体" w:hAnsi="宋体" w:eastAsia="宋体" w:cs="宋体"/>
          <w:b w:val="0"/>
          <w:bCs/>
          <w:color w:val="auto"/>
          <w:kern w:val="0"/>
          <w:sz w:val="24"/>
          <w:szCs w:val="24"/>
          <w:lang w:val="en-US" w:eastAsia="zh-CN" w:bidi="ar"/>
        </w:rPr>
        <w:t>城北生活垃圾填埋场</w:t>
      </w:r>
      <w:r>
        <w:rPr>
          <w:rFonts w:hint="eastAsia" w:ascii="宋体" w:hAnsi="宋体" w:eastAsia="宋体" w:cs="宋体"/>
          <w:b w:val="0"/>
          <w:color w:val="auto"/>
          <w:kern w:val="0"/>
          <w:sz w:val="24"/>
          <w:szCs w:val="24"/>
          <w:lang w:val="en-US" w:eastAsia="zh-CN" w:bidi="ar"/>
        </w:rPr>
        <w:t>：环保监测、渗滤液处置、填埋覆盖、扬尘管控、除臭灭蝇、生活垃圾数据核算、飞灰规范填埋。</w:t>
      </w:r>
    </w:p>
    <w:p w14:paraId="4718CF9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十、各类应急事件处理方案</w:t>
      </w:r>
    </w:p>
    <w:p w14:paraId="261B30D7">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（一）应急处理的措施</w:t>
      </w:r>
    </w:p>
    <w:p w14:paraId="7367F4B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为保证各类应急事件发生时，能够得到正确、有效、及时的处理，防范化解环卫作业安全风险，在应急处理管理上实行三级安全防范措施，明确职责、闭环管理，具体如下：</w:t>
      </w:r>
    </w:p>
    <w:p w14:paraId="0C70730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highlight w:val="yellow"/>
        </w:rPr>
      </w:pPr>
      <w:r>
        <w:rPr>
          <w:rFonts w:hint="eastAsia" w:ascii="宋体" w:hAnsi="宋体" w:eastAsia="宋体" w:cs="宋体"/>
          <w:b w:val="0"/>
          <w:color w:val="auto"/>
          <w:kern w:val="0"/>
          <w:sz w:val="24"/>
          <w:szCs w:val="24"/>
          <w:lang w:val="en-US" w:eastAsia="zh-CN" w:bidi="ar"/>
        </w:rPr>
        <w:t>（1）强化全员安全防控意识，常态化开展安全培训，明确每位保洁员、作业人员均为兼职安全巡视员，发现职责范围内的异常情况（如垃圾溢满、设施破损、路面隐患等）第一时间处置；非职责范围内的，立即上报上级主管及甲方负责人，严禁拖延、隐瞒。（2）组建专职应急机动队伍，明确队伍人员、分工及联络方式，配备应急作业工具，确保紧急突发事件发生时，30分钟内赶赴市区现场、60分钟内赶赴城郊现场，快速开展处置工作。（3）建立后备应急机动队伍，与辖区环卫分部、就近保洁班组建立联动机制，需增援时，1小时内启动增援，实现应急处置无缝衔接、协同推进。（4）为应急队伍足额配置必备装备设备（含清扫车、洒水车、清运车、铁锹、融雪剂、急救包、警示标志、排水泵等），建立应急物资台账，定期检查、补充、维护，确保应急处置时资源保障到位，快速高效排除危机。</w:t>
      </w:r>
    </w:p>
    <w:p w14:paraId="5CA04E94">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（二）各类应急处理方案及重大突发事件处置措施</w:t>
      </w:r>
    </w:p>
    <w:p w14:paraId="2A1ECBBA">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1、重大活动或节假日保洁预案</w:t>
      </w:r>
    </w:p>
    <w:p w14:paraId="7290D85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highlight w:val="yellow"/>
        </w:rPr>
      </w:pPr>
      <w:r>
        <w:rPr>
          <w:rFonts w:hint="eastAsia" w:ascii="宋体" w:hAnsi="宋体" w:eastAsia="宋体" w:cs="宋体"/>
          <w:b w:val="0"/>
          <w:color w:val="auto"/>
          <w:kern w:val="0"/>
          <w:sz w:val="24"/>
          <w:szCs w:val="24"/>
          <w:lang w:val="en-US" w:eastAsia="zh-CN" w:bidi="ar"/>
        </w:rPr>
        <w:t>成立应急领导小组（由项目经理任组长，各作业班组负责人为成员），在国庆、元旦、春节、古尔邦节等重大节日及各类重大政务活动、大型群众活动来临前3天，由项目经理组织相关人员对保洁范围内进行全面排查，重点检查道路保洁质量、环卫设施完好情况、员工规范作业情况、应急物资储备情况等，建立问题清单，明确整改责任人及整改时限，限期闭环整改，以整洁、有序、规范的环境迎接节日及活动到来。</w:t>
      </w:r>
    </w:p>
    <w:p w14:paraId="7CF12546">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2、暴雨、暴雪、沙尘天气应急工作方案</w:t>
      </w:r>
    </w:p>
    <w:p w14:paraId="6FBB1EA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1）提前筹备：每年4月（暴雨来临前）、10月底（暴雪来临前）、3-5月（沙尘天气高发期），依据应急措施完成人员排班、物资储备、安全防护培训等准备工作，应急队伍全员待命，确保突发天气时快速响应。（2）现场处置：暴雨、暴雪、沙尘天气过后，立即组织人员排查辖区受灾情况（积水、积雪、沙尘堆积、设施损坏等），1小时内将受灾情况上报上级主管及甲方，同步组织应急队伍开展清理作业——暴雨后重点清理积水、淤泥及路面杂物，疏通雨水篦子；暴雪后重点清理主次干道积雪，优先保障交通通行；沙尘天气后加密路面清扫、洒水降尘频次，确保道路、人行道环境卫生质量达标。（3）现场督导：突发天气过程中，各级管理人员必须亲临现场指挥督导，明确作业流程及安全注意事项，督导作业人员规范、安全作业；对擅离职守、安排不当、督导不力引发安全事故或作业延误的，严肃追究相关责任人责任。（4）隐患排查：安排驻场清洁管理人员对全路段开展全面排查，暴雨天气重点检查下水道、雨水篦子是否堵塞、排水是否畅通，及时处置水浸隐患；暴雪天气重点检查路面结冰路段，适量铺设融雪剂（严禁过量使用污染绿化带）；沙尘天气重点检查环卫设施是否被沙尘掩埋，及时清理保障正常使用。</w:t>
      </w:r>
    </w:p>
    <w:p w14:paraId="52E732CF">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3、重大突发事件处置措施、异常事故应急工作方案</w:t>
      </w:r>
    </w:p>
    <w:p w14:paraId="2463814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1）交通事故处置：如辖区内发生交通事故且有人员伤亡，作业人员立即拨打120、122报警，保护好现场，严禁随意移动现场物品，同时尽力截停肇事车辆（如无法截停，准确记录车牌号码、车辆外观等信息）；若事故涉及我方作业人员，除按上述程序操作外，第一时间上报上级领导及甲方，同步协助做好伤员救治、现场配合工作。（2）其他异常情况处置：如辖区路面出现污水外溢、杂物堆积、设施损坏等异常情况，当值管理员第一时间采取有效措施处置，严格按照安全操作规程作业；若无法独立完成，立即上报上级领导及甲方，协同采取处置措施，严禁拖延、隐瞒。（3）责任追究：对各类突发事件、异常情况，未按要求处置、处置不当或隐瞒不报，造成人员伤亡、财产损失、环境污染等后果的，根据情节轻重严肃追究当值管理员及相关责任人责任。</w:t>
      </w:r>
    </w:p>
    <w:p w14:paraId="11D1777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具体措施：</w:t>
      </w:r>
    </w:p>
    <w:p w14:paraId="5C44F6C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（1）雨、污水井、管道污水外溢的清洁处理：</w:t>
      </w:r>
    </w:p>
    <w:p w14:paraId="3868FC2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1）接到指令后，30分钟内组织清洁人员携带垃圾车、扫把、吸污设备等工具赶赴现场，协助维修人员对堵塞处进行疏通清理，将污垢、杂物及时装运至垃圾车，严禁随意堆放，避免造成二次污染。</w:t>
      </w:r>
    </w:p>
    <w:p w14:paraId="3520EB8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2）清洁人员同步对地面被污染区域进行彻底清扫、冲洗，直至目视地面无污物、无异味，恢复路面整洁。</w:t>
      </w:r>
    </w:p>
    <w:p w14:paraId="2FE2646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（2）交通事故残留物、化学剂、油类倾洒等情况处理：</w:t>
      </w:r>
    </w:p>
    <w:p w14:paraId="34E3BF0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1）交通事故处置完毕后，在交警部门确认现场可清理后，应急队伍协同机动巡查车、道路清扫车，设置安全警示标志（避免二次事故），快速清理地面残留物、损坏物，确保路面畅通整洁。</w:t>
      </w:r>
    </w:p>
    <w:p w14:paraId="6A4D5D1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2）化学剂、油类倾洒等情况发生后，立即上报甲方及当地环保、应急部门，在相关部门现场确认无危险性、明确处置要求后，再协同开展清理作业，严禁盲目处置引发安全隐患；清理完毕后，对现场进行消毒、检测，确保无残留污染。</w:t>
      </w:r>
    </w:p>
    <w:p w14:paraId="26BB47F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3）泥沙、石块等杂物遗留在道路上时，应急队伍立即赶赴现场清理，优先保障交通通行，清理后的杂物按规定运至指定地点，严禁随意倾倒。</w:t>
      </w:r>
    </w:p>
    <w:p w14:paraId="5859701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4）紧急联络要求：场地清洁主管、项目负责人实行24小时通讯畅通，确保紧急情况能够及时联络、快速处置；对突发事件做到“接报即动、即时处置、闭环管理”。</w:t>
      </w:r>
    </w:p>
    <w:p w14:paraId="3BE3D219">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4、道路迎检方案</w:t>
      </w:r>
    </w:p>
    <w:p w14:paraId="663A2C9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（1）日常迎检准备：日常保洁清扫作业中，严格按照作业标准执行，随时做好各类迎检准备，确保路面、环卫设施、公共区域保洁质量持续达标，杜绝临时突击整改。</w:t>
      </w:r>
    </w:p>
    <w:p w14:paraId="28731A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 xml:space="preserve">（2）紧急检查处置：接到上级紧急检查通知后，项目负责人立即督导全体作业人员规范作业，根据检查重点合理调整员工岗位、优化作业流程，集中力量整改薄弱环节；对因工作安排不当、人员调配不妥导致迎检不合格的，追究项目负责人相关责任。  </w:t>
      </w:r>
    </w:p>
    <w:p w14:paraId="6DB1536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3）上级领导检查保障：接到上级领导检查通知后，提前按照甲方要求制定突击清洁服务方案，应急队、巡查车、清扫车、洒水车协同作业，全面清理各类污染、障碍物、乱张贴、小广告等有碍市容环境卫生的物品，重点整治卫生死角，确保迎检工作落实到位。</w:t>
      </w:r>
    </w:p>
    <w:p w14:paraId="4FF7B43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4）重大活动保障：当辖区内或周边举办重大政务活动、大型群众活动时，清扫作业管理人员高度重视，提前制定临时清扫保洁作业方案，加密作业频次、优化人员排班，配备移动式公厕设备或车辆负责保障。以高标准、高质量完成保洁保障工作，确保活动圆满结束；对因工作方法不当、重视不够导致卫生质量不达标或遭到投诉的，根据情节轻重追究辖区负责人领导责任；</w:t>
      </w:r>
    </w:p>
    <w:p w14:paraId="6C4B40F1">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宋体" w:hAnsi="宋体" w:eastAsia="宋体" w:cs="宋体"/>
          <w:b w:val="0"/>
          <w:color w:val="auto"/>
          <w:sz w:val="24"/>
          <w:szCs w:val="24"/>
          <w:lang w:eastAsia="zh-CN"/>
        </w:rPr>
      </w:pPr>
      <w:r>
        <w:rPr>
          <w:rFonts w:hint="eastAsia" w:ascii="宋体" w:hAnsi="宋体" w:eastAsia="宋体" w:cs="宋体"/>
          <w:b w:val="0"/>
          <w:color w:val="auto"/>
          <w:sz w:val="24"/>
          <w:szCs w:val="24"/>
        </w:rPr>
        <w:t>5、垃圾处理及其它事件处理应急预案</w:t>
      </w:r>
      <w:r>
        <w:rPr>
          <w:rFonts w:hint="eastAsia" w:ascii="宋体" w:hAnsi="宋体" w:eastAsia="宋体" w:cs="宋体"/>
          <w:b w:val="0"/>
          <w:color w:val="auto"/>
          <w:sz w:val="24"/>
          <w:szCs w:val="24"/>
          <w:lang w:eastAsia="zh-CN"/>
        </w:rPr>
        <w:t>（包括建筑垃圾、生活垃圾）</w:t>
      </w:r>
    </w:p>
    <w:p w14:paraId="2B50871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highlight w:val="yellow"/>
        </w:rPr>
      </w:pPr>
      <w:r>
        <w:rPr>
          <w:rFonts w:hint="eastAsia" w:ascii="宋体" w:hAnsi="宋体" w:eastAsia="宋体" w:cs="宋体"/>
          <w:b w:val="0"/>
          <w:color w:val="auto"/>
          <w:kern w:val="0"/>
          <w:sz w:val="24"/>
          <w:szCs w:val="24"/>
          <w:lang w:val="en-US" w:eastAsia="zh-CN" w:bidi="ar"/>
        </w:rPr>
        <w:t>（1）组织机构：成立垃圾处理应急小组，由项目负责人任组长，物资管理员、清运班组负责人、保洁班组负责人为成员，明确分工、压实责任，专门负责本项目市容清洁、垃圾处理相关应急管理工作，确保应急处置高效有序。</w:t>
      </w:r>
    </w:p>
    <w:p w14:paraId="7B77776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（2）垃圾应急处理：</w:t>
      </w:r>
    </w:p>
    <w:p w14:paraId="17EA642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1）因车辆故障导致垃圾堆积的，立即启动备用车辆调度机制，紧急调动其他分部或合作运输公司的车辆，在2小时内赶赴现场运走垃圾，确保垃圾不堆积、不腐烂发臭。</w:t>
      </w:r>
    </w:p>
    <w:p w14:paraId="0D10695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2）因某路段清洁工人出现群体事件导致垃圾堆积的，先安排专人安抚作业人员情绪、了解诉求，同步紧急调动机动人员及附近保洁人员赶赴现场，在4小时内完成垃圾清理，快速恢复垃圾清扫、收集系统正常运行；后续协同相关部门妥善处置群体事件，避免再次发生。</w:t>
      </w:r>
    </w:p>
    <w:p w14:paraId="15AD11A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3）市区范围内擅自乱倒、偷倒建筑垃圾，应甲方要求需现场清理、运输处置的，须在4小时内相应并组织人员、车辆开始清理，确保在最短时间内环境恢复。</w:t>
      </w:r>
    </w:p>
    <w:p w14:paraId="3599B51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4）若机动人员不足，立即招聘临时工人，明确作业标准及安全要求，突击清理垃圾，确保最短时间内恢复正常作业。</w:t>
      </w:r>
    </w:p>
    <w:p w14:paraId="2BFEE02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5）全程跟踪垃圾清理进度，及时上报甲方，确保垃圾清运闭环管理，不出现二次污染。</w:t>
      </w:r>
    </w:p>
    <w:p w14:paraId="2E6445E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（3）泼洒、淹水事故应急处理：</w:t>
      </w:r>
    </w:p>
    <w:p w14:paraId="44F97B3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1）接到事故报案后，1小时内紧急调动精干力量及作业车辆赶赴事故现场，明确处置方案，快速开展作业。</w:t>
      </w:r>
    </w:p>
    <w:p w14:paraId="26B61EB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2）发生非危险品泼洒事故时，由路段负责人现场指挥，工作人员严格按照操作规程开展清洁处理，清理完毕后对现场进行检查，确保无残留。</w:t>
      </w:r>
    </w:p>
    <w:p w14:paraId="034FBFC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3）发生危险品泼洒事故时，立即撤离现场作业人员，设置警戒区域，严禁无关人员进入，第一时间上报甲方及公安、消防、环保部门，在相关部门统一指挥下开展清洁处理，严禁盲目处置。</w:t>
      </w:r>
    </w:p>
    <w:p w14:paraId="57B4EE1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4）若有作业人员接触化学品，立即组织人员前往医院进行体检，建立健康跟踪台账，防范化学品伤害引发的后遗症；相关医疗费用按规定妥善处置。</w:t>
      </w:r>
    </w:p>
    <w:p w14:paraId="4AAB9D3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highlight w:val="yellow"/>
        </w:rPr>
      </w:pPr>
      <w:r>
        <w:rPr>
          <w:rFonts w:hint="eastAsia" w:ascii="宋体" w:hAnsi="宋体" w:eastAsia="宋体" w:cs="宋体"/>
          <w:b w:val="0"/>
          <w:color w:val="auto"/>
          <w:kern w:val="0"/>
          <w:sz w:val="24"/>
          <w:szCs w:val="24"/>
          <w:lang w:val="en-US" w:eastAsia="zh-CN" w:bidi="ar"/>
        </w:rPr>
        <w:t>5）发生淹水事故时，先配合消防、水利等职能部门，利用现有设备开展排水作业，在污水排干前严禁盲目清扫；待污水完全排干后，立即组织人员清理残留污物、淤泥，加密消毒频次，快速恢复现场整洁。</w:t>
      </w:r>
    </w:p>
    <w:p w14:paraId="35CB0D9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十一、后勤保障服务范围及工作内容</w:t>
      </w:r>
    </w:p>
    <w:p w14:paraId="3344716C">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（一）</w:t>
      </w:r>
      <w:r>
        <w:rPr>
          <w:rFonts w:hint="eastAsia" w:ascii="宋体" w:hAnsi="宋体" w:eastAsia="宋体" w:cs="宋体"/>
          <w:b w:val="0"/>
          <w:color w:val="auto"/>
          <w:sz w:val="24"/>
          <w:szCs w:val="24"/>
          <w:lang w:eastAsia="zh-CN"/>
        </w:rPr>
        <w:t>非作业车辆</w:t>
      </w:r>
      <w:r>
        <w:rPr>
          <w:rFonts w:hint="eastAsia" w:ascii="宋体" w:hAnsi="宋体" w:eastAsia="宋体" w:cs="宋体"/>
          <w:b w:val="0"/>
          <w:color w:val="auto"/>
          <w:sz w:val="24"/>
          <w:szCs w:val="24"/>
        </w:rPr>
        <w:t>驾驶员</w:t>
      </w:r>
    </w:p>
    <w:p w14:paraId="6243BF38">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1.核心服务标准</w:t>
      </w:r>
    </w:p>
    <w:p w14:paraId="1C90A45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highlight w:val="yellow"/>
        </w:rPr>
      </w:pPr>
      <w:r>
        <w:rPr>
          <w:rFonts w:hint="eastAsia" w:ascii="宋体" w:hAnsi="宋体" w:eastAsia="宋体" w:cs="宋体"/>
          <w:b w:val="0"/>
          <w:color w:val="auto"/>
          <w:kern w:val="0"/>
          <w:sz w:val="24"/>
          <w:szCs w:val="24"/>
          <w:lang w:val="en-US" w:eastAsia="zh-CN" w:bidi="ar"/>
        </w:rPr>
        <w:t>基础工作：每日出车前完成车辆全面晨检，重点核查轮胎气压、油量储备、制动系统、灯光、刹车、转向等关键部件，做好晨检记录，确保车辆性能完好；收车前完成车辆内外清洁、污水排空、杂物清理，及时办理入库登记，规范停放车辆。每日按照所属部门工作安排，负责日常环卫作业巡查、文件领取、职工外出办理业务、应急物资转运等工作用车，保障随用随到，不推诿、不延误。</w:t>
      </w:r>
    </w:p>
    <w:p w14:paraId="2E9EF6B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任务响应时效：接到常规派车指令后，15分钟内完成出车准备并出发；紧急任务（如应急抢修、物资转运）需在5分钟内响应、10分钟内出车，全程做好行车记录。</w:t>
      </w:r>
    </w:p>
    <w:p w14:paraId="558C463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车辆维护管理：严格按照车辆使用手册及合同约定，每5000公里完成常规保养（机油、滤芯更换等），每10000公里完成深度保养；每月定期开展车辆深度清洁，重点清理车厢、底盘杂物及油污。车辆出现故障报修后，2小时内反馈维修进度及预估修复时长，全程跟踪维修质量，维修完毕后做好验收记录，确保车辆修复后符合作业标准。</w:t>
      </w:r>
    </w:p>
    <w:p w14:paraId="0903F448">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2.量化指标</w:t>
      </w:r>
    </w:p>
    <w:p w14:paraId="72B7EE8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highlight w:val="yellow"/>
        </w:rPr>
      </w:pPr>
      <w:r>
        <w:rPr>
          <w:rFonts w:hint="eastAsia" w:ascii="宋体" w:hAnsi="宋体" w:eastAsia="宋体" w:cs="宋体"/>
          <w:b w:val="0"/>
          <w:color w:val="auto"/>
          <w:kern w:val="0"/>
          <w:sz w:val="24"/>
          <w:szCs w:val="24"/>
          <w:lang w:val="en-US" w:eastAsia="zh-CN" w:bidi="ar"/>
        </w:rPr>
        <w:t>效率与成本：有效出车率≥95%，百公里油耗不超过合同约定行业基准值5%，杜绝私车公养、违规用油。</w:t>
      </w:r>
    </w:p>
    <w:p w14:paraId="142F834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highlight w:val="yellow"/>
        </w:rPr>
      </w:pPr>
      <w:r>
        <w:rPr>
          <w:rFonts w:hint="eastAsia" w:ascii="宋体" w:hAnsi="宋体" w:eastAsia="宋体" w:cs="宋体"/>
          <w:b w:val="0"/>
          <w:color w:val="auto"/>
          <w:kern w:val="0"/>
          <w:sz w:val="24"/>
          <w:szCs w:val="24"/>
          <w:lang w:val="en-US" w:eastAsia="zh-CN" w:bidi="ar"/>
        </w:rPr>
        <w:t>服务与安全：服务对象满意度≥98%，全年无交通违章、无安全责任事故，行车记录仪完好率100%，行车记录完整可追溯。</w:t>
      </w:r>
    </w:p>
    <w:p w14:paraId="7A9FFEB0">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（二）</w:t>
      </w:r>
      <w:r>
        <w:rPr>
          <w:rFonts w:hint="eastAsia" w:ascii="宋体" w:hAnsi="宋体" w:eastAsia="宋体" w:cs="宋体"/>
          <w:b w:val="0"/>
          <w:color w:val="auto"/>
          <w:sz w:val="24"/>
          <w:szCs w:val="24"/>
          <w:lang w:eastAsia="zh-CN"/>
        </w:rPr>
        <w:t>特定区域</w:t>
      </w:r>
      <w:r>
        <w:rPr>
          <w:rFonts w:hint="eastAsia" w:ascii="宋体" w:hAnsi="宋体" w:eastAsia="宋体" w:cs="宋体"/>
          <w:b w:val="0"/>
          <w:color w:val="auto"/>
          <w:sz w:val="24"/>
          <w:szCs w:val="24"/>
        </w:rPr>
        <w:t>保洁</w:t>
      </w:r>
    </w:p>
    <w:p w14:paraId="1B69DA00">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1.核心服务标准</w:t>
      </w:r>
    </w:p>
    <w:p w14:paraId="651545C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日常清洁：负责垃圾压缩转运站、垃圾填埋场、机关办公楼等场所的作业区域、公共办公区域、会议室、走廊、卫生间等区域的全面清洁，具体包括散落垃圾清理、地面清扫拖拭、台面擦拭、门窗清洁、垃圾清运、卫生间消杀等，保持设施完好、环境整洁，无卫生死角。</w:t>
      </w:r>
    </w:p>
    <w:p w14:paraId="5E241DB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highlight w:val="yellow"/>
        </w:rPr>
      </w:pPr>
      <w:r>
        <w:rPr>
          <w:rFonts w:hint="eastAsia" w:ascii="宋体" w:hAnsi="宋体" w:eastAsia="宋体" w:cs="宋体"/>
          <w:b w:val="0"/>
          <w:color w:val="auto"/>
          <w:kern w:val="0"/>
          <w:sz w:val="24"/>
          <w:szCs w:val="24"/>
          <w:lang w:val="en-US" w:eastAsia="zh-CN" w:bidi="ar"/>
        </w:rPr>
        <w:t>重点区域：会议室使用结束后0.5小时内完成清理归位，包括桌椅摆放整齐、地面清洁、垃圾清运、设备关闭、门窗关闭等；每周对办公家具、门窗玻璃、墙角、踢脚线开展1次深度清洁，去除顽固污渍及积尘。垃圾实行日产日清，分类投放准确率≥95%，垃圾桶、垃圾篓每日清洁消毒不少于1次，蝇蛆季加密消杀频次。绿植养护管理：每周对办公区绿植进行浇水、叶片擦拭、枯枝修剪，保持绿植外观整洁；全面检查绿植病虫害情况，及时采取防治措施，定期施肥，确保绿植存活率≥98%，无枯萎、无大面积病虫害。</w:t>
      </w:r>
    </w:p>
    <w:p w14:paraId="1AA2BAC2">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2.量化指标</w:t>
      </w:r>
    </w:p>
    <w:p w14:paraId="29475F2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highlight w:val="yellow"/>
        </w:rPr>
      </w:pPr>
      <w:r>
        <w:rPr>
          <w:rFonts w:hint="eastAsia" w:ascii="宋体" w:hAnsi="宋体" w:eastAsia="宋体" w:cs="宋体"/>
          <w:b w:val="0"/>
          <w:color w:val="auto"/>
          <w:kern w:val="0"/>
          <w:sz w:val="24"/>
          <w:szCs w:val="24"/>
          <w:lang w:val="en-US" w:eastAsia="zh-CN" w:bidi="ar"/>
        </w:rPr>
        <w:t>清洁质量：责任区域环境整洁、无异味、无死角，卫生检查达标率≥98%，甲方抽查合格率100%。</w:t>
      </w:r>
    </w:p>
    <w:p w14:paraId="353C3CC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物资管理：清洁工具分类保管、定期维护，清洁用品按需领用、合理使用，建立领用台账，无浪费、无丢失现象。</w:t>
      </w:r>
    </w:p>
    <w:p w14:paraId="6A99D3D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highlight w:val="yellow"/>
        </w:rPr>
      </w:pPr>
      <w:r>
        <w:rPr>
          <w:rFonts w:hint="eastAsia" w:ascii="宋体" w:hAnsi="宋体" w:eastAsia="宋体" w:cs="宋体"/>
          <w:b w:val="0"/>
          <w:color w:val="auto"/>
          <w:kern w:val="0"/>
          <w:sz w:val="24"/>
          <w:szCs w:val="24"/>
          <w:lang w:val="en-US" w:eastAsia="zh-CN" w:bidi="ar"/>
        </w:rPr>
        <w:t>安全管理：规范操作清洁设备及药剂，佩戴必要的安全防护用品（如手套、口罩），工作期间无安全事故（如滑倒、药剂腐蚀、设备伤人等）。</w:t>
      </w:r>
    </w:p>
    <w:p w14:paraId="26002D40">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（三）</w:t>
      </w:r>
      <w:r>
        <w:rPr>
          <w:rFonts w:hint="eastAsia" w:ascii="宋体" w:hAnsi="宋体" w:eastAsia="宋体" w:cs="宋体"/>
          <w:b w:val="0"/>
          <w:color w:val="auto"/>
          <w:sz w:val="24"/>
          <w:szCs w:val="24"/>
          <w:lang w:eastAsia="zh-CN"/>
        </w:rPr>
        <w:t>职工食堂</w:t>
      </w:r>
      <w:r>
        <w:rPr>
          <w:rFonts w:hint="eastAsia" w:ascii="宋体" w:hAnsi="宋体" w:eastAsia="宋体" w:cs="宋体"/>
          <w:b w:val="0"/>
          <w:color w:val="auto"/>
          <w:sz w:val="24"/>
          <w:szCs w:val="24"/>
        </w:rPr>
        <w:t>厨师</w:t>
      </w:r>
    </w:p>
    <w:p w14:paraId="5AFB27FD">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1.核心工作标准</w:t>
      </w:r>
    </w:p>
    <w:p w14:paraId="1AC1C37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highlight w:val="yellow"/>
        </w:rPr>
      </w:pPr>
      <w:r>
        <w:rPr>
          <w:rFonts w:hint="eastAsia" w:ascii="宋体" w:hAnsi="宋体" w:eastAsia="宋体" w:cs="宋体"/>
          <w:b w:val="0"/>
          <w:color w:val="auto"/>
          <w:kern w:val="0"/>
          <w:sz w:val="24"/>
          <w:szCs w:val="24"/>
          <w:lang w:val="en-US" w:eastAsia="zh-CN" w:bidi="ar"/>
        </w:rPr>
        <w:t>餐食保障：结合昌吉本地饮食习惯及民族特点，按质、按量、按时、按每日菜单要求烹制饭菜，兼顾清真餐需求（如需），做到饭菜可口、保热保鲜、营养均衡、口味多样；服务周到、礼貌待人，主动了解就餐人员需求并及时优化。加工食材时必须对食材、厨具进行彻底清洗消毒，严格执行食品加工卫生规范，杜绝食品安全隐患。中午就餐时间13:45，下午就餐时间：夏季19:45、冬季19:15，严禁随意提前或推后供餐时间。</w:t>
      </w:r>
    </w:p>
    <w:p w14:paraId="0E519DA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食材与卫生管理：食堂从业人员必须持有效的《健康证》上岗，每年至少进行1次健康检查，新入职人员取得健康证后方可上岗；建立从业人员健康台账，发现发热、咳嗽等不适症状立即暂停上岗。每日对采购食材进行严格验收，核对食材新鲜度、资质、数量及保质期，详细登记溯源信息，严控食材损耗率≤3%，杜绝过期、变质食材入库。餐后1小时内完成厨房清洁、厨具消毒、餐具保洁，做到台面、地面、厨具无油污、无残留；每周开展1次厨房深度消杀，覆盖后厨各个区域、设备及储物间，做好消杀记录。</w:t>
      </w:r>
    </w:p>
    <w:p w14:paraId="00AC844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highlight w:val="yellow"/>
        </w:rPr>
      </w:pPr>
      <w:r>
        <w:rPr>
          <w:rFonts w:hint="eastAsia" w:ascii="宋体" w:hAnsi="宋体" w:eastAsia="宋体" w:cs="宋体"/>
          <w:b w:val="0"/>
          <w:color w:val="auto"/>
          <w:kern w:val="0"/>
          <w:sz w:val="24"/>
          <w:szCs w:val="24"/>
          <w:lang w:val="en-US" w:eastAsia="zh-CN" w:bidi="ar"/>
        </w:rPr>
        <w:t>定制服务优化：按需保障加班餐、值班餐、应急餐等，接到供餐通知后4小时内落实备餐计划，明确供餐时间、份数及口味要求，确保餐食按时供应、符合需求，无延误、无遗漏。</w:t>
      </w:r>
    </w:p>
    <w:p w14:paraId="42C5BCA3">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2.关键量化指标</w:t>
      </w:r>
    </w:p>
    <w:p w14:paraId="3C627BE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highlight w:val="yellow"/>
        </w:rPr>
      </w:pPr>
      <w:r>
        <w:rPr>
          <w:rFonts w:hint="eastAsia" w:ascii="宋体" w:hAnsi="宋体" w:eastAsia="宋体" w:cs="宋体"/>
          <w:b w:val="0"/>
          <w:color w:val="auto"/>
          <w:kern w:val="0"/>
          <w:sz w:val="24"/>
          <w:szCs w:val="24"/>
          <w:lang w:val="en-US" w:eastAsia="zh-CN" w:bidi="ar"/>
        </w:rPr>
        <w:t>餐食质量：就餐满意度≥90分（百分制），每月开展1次满意度调查并优化改进；食品卫生合格率100%，无食品安全投诉及事故。</w:t>
      </w:r>
    </w:p>
    <w:p w14:paraId="5555BBB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highlight w:val="yellow"/>
        </w:rPr>
      </w:pPr>
      <w:r>
        <w:rPr>
          <w:rFonts w:hint="eastAsia" w:ascii="宋体" w:hAnsi="宋体" w:eastAsia="宋体" w:cs="宋体"/>
          <w:b w:val="0"/>
          <w:color w:val="auto"/>
          <w:kern w:val="0"/>
          <w:sz w:val="24"/>
          <w:szCs w:val="24"/>
          <w:lang w:val="en-US" w:eastAsia="zh-CN" w:bidi="ar"/>
        </w:rPr>
        <w:t>供餐效率：日均供餐量按单位在岗人数精准核算，备餐及时率100%，无延误供餐、错供、漏供情况；餐具消毒合格率100%。</w:t>
      </w:r>
    </w:p>
    <w:p w14:paraId="6CA67B10">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（四）行政辅助人员</w:t>
      </w:r>
    </w:p>
    <w:p w14:paraId="31E960F9">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1.材料员、库管</w:t>
      </w:r>
    </w:p>
    <w:p w14:paraId="624D840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（1）核心服务标准</w:t>
      </w:r>
    </w:p>
    <w:p w14:paraId="0BBF4D1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物资采购辅助：根据各作业部门提交的物资需求计划，核对库存余量，结合环卫作业季节特点（如冬季融雪剂、春季沙尘天清洁用品）编制采购申请单，明确物资名称、规格、数量、质量标准、交付时限及预算，确保采购需求精准匹配作业实际，避免浪费。</w:t>
      </w:r>
    </w:p>
    <w:p w14:paraId="401FE60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入库验收管理：严格执行“双人验收、双人签字”制度，对到货物资的数量、规格、质量、合格证、生产日期等进行逐项核对，对照采购订单及验收标准，杜绝不合格物资入库；验收合格后24小时内完成入库登记，同步更新电子台账及实物标签，做到账物、账账、账证三相符，验收记录完整留存。【修改：明确验收签字要求，补充生产日期核对及台账核对标准】</w:t>
      </w:r>
    </w:p>
    <w:p w14:paraId="0A44EF1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存储保管维护：按照物资特性分类分区存放（如环卫工具、清洁药剂、劳保用品、机械设备配件等），落实防潮、防火、防盗、防腐蚀、防暴晒措施，定期检查库存物资状态；对易损耗、易过期物资设置预警机制，建立过期物资台账，优先发放临近有效期物资，避免浪费；废旧物资分类回收、规范处置，做好回收记录。</w:t>
      </w:r>
    </w:p>
    <w:p w14:paraId="17B6468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出库发放管控：凭各作业班组提交的领用申请单（需部门负责人签字确认）发放物资，核对领用人员身份、领用用途及领用数量，准确登记发放数量、领用日期、领用人及用途信息；推行“按需发放、节约使用”原则，对高价值或稀缺物资实行定额管控，建立领用限额台账，杜绝浪费。</w:t>
      </w:r>
    </w:p>
    <w:p w14:paraId="07F18A8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台账档案管理：建立健全物资管理电子台账及纸质档案，详细记录物资采购、入库、出库、库存、损耗、回收等全流程信息，做到台账更新及时、数据准确、档案完整；按月整理物资流转凭证，分类归档留存，便于追溯核查；每月底开展库存盘点，形成盘点报告，对盘盈、盘亏物资及时上报、妥善处置。</w:t>
      </w:r>
    </w:p>
    <w:p w14:paraId="08EE3BB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（2）量化考核指标</w:t>
      </w:r>
    </w:p>
    <w:p w14:paraId="60476B5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物资验收合格率≥99%，入库物资经检验符合质量标准及采购要求的比例，杜绝不合格物资流入作业环节。</w:t>
      </w:r>
    </w:p>
    <w:p w14:paraId="4E88D68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账物相符率100%，每月底库存盘点时，电子台账数据与实物数量完全一致，误差为零，盘盈盘亏处置及时率100%。</w:t>
      </w:r>
    </w:p>
    <w:p w14:paraId="1A88EF9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需求响应及时率≥98%，日常物资领用申请在2小时内完成发放的比例；应急物资调配按时完成率100%，确保应急作业不受影响。</w:t>
      </w:r>
    </w:p>
    <w:p w14:paraId="3F812EA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物资损耗率≤1%，库存物资因保管不当、过期、丢失等造成的损耗占总库存价值的比例，严控浪费。</w:t>
      </w:r>
    </w:p>
    <w:p w14:paraId="23F49BC5">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2.会计</w:t>
      </w:r>
    </w:p>
    <w:p w14:paraId="5F802BE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（1）核心工作标准：</w:t>
      </w:r>
    </w:p>
    <w:p w14:paraId="169BADD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highlight w:val="yellow"/>
          <w:lang w:val="en-US" w:eastAsia="zh-CN" w:bidi="ar"/>
        </w:rPr>
      </w:pPr>
      <w:r>
        <w:rPr>
          <w:rFonts w:hint="eastAsia" w:ascii="宋体" w:hAnsi="宋体" w:eastAsia="宋体" w:cs="宋体"/>
          <w:b w:val="0"/>
          <w:color w:val="auto"/>
          <w:kern w:val="0"/>
          <w:sz w:val="24"/>
          <w:szCs w:val="24"/>
          <w:lang w:val="en-US" w:eastAsia="zh-CN" w:bidi="ar"/>
        </w:rPr>
        <w:t>账务处理：严格审核各类原始凭证（发票、报销单、拨款单、物资采购单据等）的合规性、真实性、完整性，按行政事业单位会计制度及昌吉市环卫部门财务要求编制记账凭证，登记总账、明细账，做到账证、账账、账实三相符，账务处理规范有序。</w:t>
      </w:r>
    </w:p>
    <w:p w14:paraId="629C60D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预算与决算：协助编制年度部门预算（含作业经费、人员经费、设备采购费、应急经费等），配合做好预算执行管控，定期上报预算执行情况；协助完成年度决算工作，确保决算数据精准、报表完整。</w:t>
      </w:r>
    </w:p>
    <w:p w14:paraId="7A7710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资产核算：对接资产管理岗，做好固定资产（环卫车辆、设备、办公资产）、低值易耗品的入账、折旧计提、处置核销工作，建立固定资产台账，定期核对资产台账与实物，配合开展资产盘点，确保资产安全完整。</w:t>
      </w:r>
    </w:p>
    <w:p w14:paraId="6AE009E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财务报表：按月、季、年编制资产负债表、收支明细表、经费使用情况表等财务报表，做到数据精准、报送及时，同步做好报表归档留存；配合甲方及审计部门做好财务核查、审计工作，及时提供相关财务资料。</w:t>
      </w:r>
    </w:p>
    <w:p w14:paraId="02BC0A2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（2）量化考核指标</w:t>
      </w:r>
    </w:p>
    <w:p w14:paraId="6A001C8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账务处理准确率100%，记账凭证、账簿数据无差错，原始凭证审核无违规、遗漏、虚假情况。</w:t>
      </w:r>
    </w:p>
    <w:p w14:paraId="2C0E2D5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报表报送及时率100%，各类财务报表、税务报表按规定时限及甲方要求报送，无逾期、无差错。</w:t>
      </w:r>
    </w:p>
    <w:p w14:paraId="6B2BC77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资产账实相符率100%，固定资产核算与实物、台账完全一致，无账外资产、错核、漏核情况，资产处置合规率100%。</w:t>
      </w:r>
    </w:p>
    <w:p w14:paraId="61C57FA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财务档案完整率100%：记账凭证、报表、合同、发票等财务档案归档齐全、保管完好，可追溯核查，符合档案管理规范。</w:t>
      </w:r>
    </w:p>
    <w:p w14:paraId="62B20B1B">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3.计磅员、计量员</w:t>
      </w:r>
    </w:p>
    <w:p w14:paraId="0380F3C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highlight w:val="yellow"/>
          <w:lang w:val="en-US" w:eastAsia="zh-CN" w:bidi="ar"/>
        </w:rPr>
      </w:pPr>
      <w:r>
        <w:rPr>
          <w:rFonts w:hint="eastAsia" w:ascii="宋体" w:hAnsi="宋体" w:eastAsia="宋体" w:cs="宋体"/>
          <w:b w:val="0"/>
          <w:color w:val="auto"/>
          <w:kern w:val="0"/>
          <w:sz w:val="24"/>
          <w:szCs w:val="24"/>
          <w:lang w:val="en-US" w:eastAsia="zh-CN" w:bidi="ar"/>
        </w:rPr>
        <w:t>（1）核心工作内容：负责环卫中心垃圾、渣土等清运物资的计磅计量全流程工作，覆盖垃圾中转站、填埋场、焚烧厂对接点、作业车辆过磅等所有计量环节；服务对象含中心各清运班组、外包运输单位，负责计磅称重、数据记录、台账管理、计量核验，保障计量精准、数据真实，为成本核算、作业考核、绩效工资结算、环保统计提供准确依据。</w:t>
      </w:r>
    </w:p>
    <w:p w14:paraId="0AC5B48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（2）基础工作规范</w:t>
      </w:r>
    </w:p>
    <w:p w14:paraId="1F068C0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计磅操作：严格按规程操作地磅、电子秤等计量设备，每日班前对设备进行归零校准，对进场、出场的垃圾清运、转运车逐车过磅，仔细核对车辆信息、清运品类（垃圾、渣土、餐厨垃圾等），精准读取毛重、皮重，计算净重，杜绝人为误差、弄虚作假。</w:t>
      </w:r>
    </w:p>
    <w:p w14:paraId="226F6D8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数据核验登记：过磅后当场核对计量数据，同步登记车辆号牌、所属班组（或外包单位）、清运起止点、过磅时间、净重数值、清运品类等信息，要求驾驶员签字确认，做到一车一记录、一票一留存，数据不涂改、不遗漏、不伪造。</w:t>
      </w:r>
    </w:p>
    <w:p w14:paraId="1E83211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highlight w:val="yellow"/>
          <w:lang w:val="en-US" w:eastAsia="zh-CN" w:bidi="ar"/>
        </w:rPr>
      </w:pPr>
      <w:r>
        <w:rPr>
          <w:rFonts w:hint="eastAsia" w:ascii="宋体" w:hAnsi="宋体" w:eastAsia="宋体" w:cs="宋体"/>
          <w:b w:val="0"/>
          <w:color w:val="auto"/>
          <w:kern w:val="0"/>
          <w:sz w:val="24"/>
          <w:szCs w:val="24"/>
          <w:lang w:val="en-US" w:eastAsia="zh-CN" w:bidi="ar"/>
        </w:rPr>
        <w:t>台账管理：每日整理过磅记录，录入电子计量台账，分类统计班组、车辆（或外包单位）的清运量；按月汇总数据，形成计量报表，上报甲方及财务部门，确保台账与原始记录、电子数据、财务数据三相符。</w:t>
      </w:r>
    </w:p>
    <w:p w14:paraId="69758D5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设备维保：每日班前检查计量设备（地磅、传感器、显示屏、打印设备）运行状态，做好清洁、归零校准，发现设备异常立即停用并悬挂故障标识，做好异常记录；定期配合专业人员完成设备检定校准，留存检定报告，确保设备符合计量标准。</w:t>
      </w:r>
    </w:p>
    <w:p w14:paraId="078EBD0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单据管理：规范开具过磅单（一式多联），明确联次用途（驾驶员联、班组联、财务联、存档联），分发给相关人员及部门，做好单据领用、作废、留存登记，归档保存原始过磅单据，保存期限不少于1年，便于追溯核查。</w:t>
      </w:r>
    </w:p>
    <w:p w14:paraId="7A35E4A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（3）任务响应要求</w:t>
      </w:r>
    </w:p>
    <w:p w14:paraId="1613960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highlight w:val="yellow"/>
          <w:lang w:val="en-US" w:eastAsia="zh-CN" w:bidi="ar"/>
        </w:rPr>
      </w:pPr>
      <w:r>
        <w:rPr>
          <w:rFonts w:hint="eastAsia" w:ascii="宋体" w:hAnsi="宋体" w:eastAsia="宋体" w:cs="宋体"/>
          <w:b w:val="0"/>
          <w:color w:val="auto"/>
          <w:kern w:val="0"/>
          <w:sz w:val="24"/>
          <w:szCs w:val="24"/>
          <w:lang w:val="en-US" w:eastAsia="zh-CN" w:bidi="ar"/>
        </w:rPr>
        <w:t>日常过磅响应：作业时段内接到车辆过磅需求，即时响应，不积压、不推诿，单辆车过磅时间不超过5分钟，避免影响清运效率。</w:t>
      </w:r>
    </w:p>
    <w:p w14:paraId="3FD5940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设备故障响应：发现计量设备故障，立即停用并悬挂故障标识，10分钟内上报上级领导及维修部门，同步告知待磅车辆及相关班组，协调临时计量方案，减少作业延误。</w:t>
      </w:r>
    </w:p>
    <w:p w14:paraId="5A3BE56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应急保障响应：重大活动、应急清运、暴雪、暴雨等特殊时段，提前调试计量设备，全员在岗待命，延长作业时间，保障过磅工作不间断，随到随磅，确保清运工作有序推进。</w:t>
      </w:r>
    </w:p>
    <w:p w14:paraId="698EEF5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（4）量化考核指标</w:t>
      </w:r>
    </w:p>
    <w:p w14:paraId="192A884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计量数据准确率100%，过磅数据与设备检定标准一致，无错记、漏记、虚记、伪造数据情况，误差控制在设备允许范围内（≤±0.5%）。</w:t>
      </w:r>
    </w:p>
    <w:p w14:paraId="1F752EE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台账完整准确率100%，电子台账与原始单据、过磅记录、财务数据完全一致，数据无差错、无缺失、无涂改。</w:t>
      </w:r>
    </w:p>
    <w:p w14:paraId="72D70F5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单据规范率100%，过磅单开具规范、信息完整、签字齐全，单据归档完整，无丢失、无错发、无作废不规范情况。</w:t>
      </w:r>
    </w:p>
    <w:p w14:paraId="1965DF63">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4.绩效考核员</w:t>
      </w:r>
    </w:p>
    <w:p w14:paraId="5673BA8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highlight w:val="yellow"/>
          <w:lang w:val="en-US" w:eastAsia="zh-CN" w:bidi="ar"/>
        </w:rPr>
      </w:pPr>
      <w:r>
        <w:rPr>
          <w:rFonts w:hint="eastAsia" w:ascii="宋体" w:hAnsi="宋体" w:eastAsia="宋体" w:cs="宋体"/>
          <w:b w:val="0"/>
          <w:color w:val="auto"/>
          <w:kern w:val="0"/>
          <w:sz w:val="24"/>
          <w:szCs w:val="24"/>
          <w:lang w:val="en-US" w:eastAsia="zh-CN" w:bidi="ar"/>
        </w:rPr>
        <w:t>（1）核心服务范围：一线作业人员（清扫、清运、公厕管护等）及后勤岗位人员绩效数据的收集、核实、统计与分析；绩效结果的核算、反馈、应用及异议处理；对接中心相关部门及甲方的绩效考核工作要求，完成相关数据上报、材料备案及考核复盘工作，确保绩效考核工作公平、公正、公开、规范。</w:t>
      </w:r>
    </w:p>
    <w:p w14:paraId="01594C7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（2）核心工作内容</w:t>
      </w:r>
    </w:p>
    <w:p w14:paraId="25874AB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结合昌吉市环卫中心作业特性（如道路清扫、垃圾清运、公厕管护、物资保障、应急处置等），协同各业务部门及甲方，按中心的绩效考核制度、流程及评价标准，明确不同岗位（一线作业岗、管理岗、后勤岗）的考核指标、评分细则及权重，确保考核指标贴合岗位实际、可量化、可操作。</w:t>
      </w:r>
    </w:p>
    <w:p w14:paraId="4D317DB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制定绩效考核实施计划，明确考核周期（月度、季度、年度）、实施步骤、责任分工及时间节点，提前告知全体员工考核要求，确保考核工作有序推进、全员知晓。</w:t>
      </w:r>
    </w:p>
    <w:p w14:paraId="7AFBEE3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量化数据收集：重点收集作业量数据（如清扫面积、清运吨数、公厕保洁频次、物资领用数量等）、质量检查数据（如上级抽查评分、甲方检查结果、市民投诉整改率等）、考勤数据、安全作业数据、物资消耗数据、应急处置表现等；按考核周期及时收集各类数据，对接业务部门、财务部门、考勤管理员、甲方等，核实数据真实性、完整性，杜绝虚假数据。</w:t>
      </w:r>
    </w:p>
    <w:p w14:paraId="014F1C2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绩效核算与复核：按照既定评分规则，对核实后的绩效数据进行量化核算，计算员工个人及部门的最终绩效得分，形成绩效考核结果表；对考核结果进行双人复核，确保核算无误差，复核完成后提交中心各部门、中心领导及甲方审批。</w:t>
      </w:r>
    </w:p>
    <w:p w14:paraId="334A7D8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绩效反馈与异议处理：考核结果审批后，3个工作日内将绩效结果书面反馈给每位员工，说明得分情况、扣分原因及改进方向；对员工提出的绩效异议，5个工作日内完成核查、答复，妥善处置异议，确保员工认可。</w:t>
      </w:r>
    </w:p>
    <w:p w14:paraId="089151C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绩效应用与复盘：根据考核结果，协助落实绩效工资核算、评优评先、岗位调整等工作；按月、季度开展绩效考核复盘，分析考核过程中存在的问题，优化考核指标及评分细则，上报甲方及中心领导备案。</w:t>
      </w:r>
    </w:p>
    <w:p w14:paraId="4ABF2E7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highlight w:val="none"/>
          <w:lang w:val="en-US" w:eastAsia="zh-CN" w:bidi="ar"/>
        </w:rPr>
      </w:pPr>
      <w:r>
        <w:rPr>
          <w:rFonts w:hint="eastAsia" w:ascii="宋体" w:hAnsi="宋体" w:eastAsia="宋体" w:cs="宋体"/>
          <w:b w:val="0"/>
          <w:color w:val="auto"/>
          <w:kern w:val="0"/>
          <w:sz w:val="24"/>
          <w:szCs w:val="24"/>
          <w:highlight w:val="none"/>
          <w:lang w:val="en-US" w:eastAsia="zh-CN" w:bidi="ar"/>
        </w:rPr>
        <w:t>5.修理工</w:t>
      </w:r>
    </w:p>
    <w:p w14:paraId="3F7DB16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1）核心服务范围：负责环卫中心全类型作业车辆与配套设备的维修、保养、故障抢修，服务覆盖中心垃圾转运车、清扫车、洒水车、洗扫车、抛雪机等所有作业车辆及车载保洁设备、液压系统、电气系统等附属装置；兼顾车辆、设备日常维保、故障维修、应急抢修及车况、设备检测，保障环卫作业车辆、设备合规运行、无间断出勤，贴合昌吉冬季严寒、春季沙尘的作业环境特点。</w:t>
      </w:r>
    </w:p>
    <w:p w14:paraId="044CFBD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（2）核心工作内容</w:t>
      </w:r>
    </w:p>
    <w:p w14:paraId="26F3AE9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日常维保：按车辆、设备保养手册及季节特点，对在用车、设备开展定期分级保养（日常点检、小修、中修、大修），重点检查发动机、底盘、制动、转向、液压、电路及环卫专用作业装置（如清扫刷、压缩装置、抛雪装置）；冬季重点做好车辆防冻、电瓶维护，春季重点做好沙尘防护、滤芯清理，做好润滑、紧固、清洁、调整，提前排查故障隐患，做好维保记录。</w:t>
      </w:r>
    </w:p>
    <w:p w14:paraId="0A539DF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故障维修：接收车辆、设备报修工单，快速诊断机械、电路、液压等各类故障，制定科学合理的维修方案，规范使用工具、配件完成维修，确保车辆、设备性能达标，杜绝重复故障；维修过程中做好维修记录，详细注明故障情况、维修内容。</w:t>
      </w:r>
    </w:p>
    <w:p w14:paraId="75D38AC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配件管理：按需申领维修配件，核对配件规格、质量、型号，确保与车辆、设备匹配；妥善保管待用配件，做好废旧配件回收、登记、分类存放，区分可复用与报废配件，同步完善配件领用、更换台账；对报废配件，按规定流程处置，做好处置记录。</w:t>
      </w:r>
    </w:p>
    <w:p w14:paraId="65D3D23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车况、设备检测：配合完成车辆年检、安全检测，提前整改灯光、制动、尾气等不合格项，确保车辆符合作业与安全标准；定期对作业设备进行全面检测，发现隐患及时处置，做好检测记录。</w:t>
      </w:r>
    </w:p>
    <w:p w14:paraId="547C334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台账记录：详细填写维修、保养台账，注明车辆/设备信息、维修/保养日期、故障描述、维修/保养内容、更换配件、工时及维修/保养结果，做到一车一档、一台一档、有据可查，台账更新及时、数据准确。</w:t>
      </w:r>
    </w:p>
    <w:p w14:paraId="34BB3C4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（3）任务响应要求</w:t>
      </w:r>
    </w:p>
    <w:p w14:paraId="27DDEA9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日常维修响应：接到非紧急报修，立即对接报修人、确认故障情况，当日安排维修，一般故障24小时内修复，复杂故障明确修复时限（最长不超过72小时）并告知车队及甲方，同步跟踪维修进度，及时反馈。</w:t>
      </w:r>
    </w:p>
    <w:p w14:paraId="13F0073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应急抢修响应：作业车辆、设备在作业途中突发故障，接到通知后，城区内30分钟内抵达现场，城郊1小时内抵达现场，简易故障现场修复；无法现场处置的，协调拖车转运至维修场地，同步调配备用车辆/设备，保障作业不中断，做好抢修记录。</w:t>
      </w:r>
    </w:p>
    <w:p w14:paraId="741747C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特殊保障响应：重大活动、应急清淤、雨雪天、沙尘天等特殊作业时段，实行24小时待命，随叫随到，优先保障作业车辆、设备抢修，提前做好应急维保准备，确保车辆、设备全员在岗待命。</w:t>
      </w:r>
    </w:p>
    <w:p w14:paraId="5265E61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（4）量化考核指标（整合原重复部分）</w:t>
      </w:r>
    </w:p>
    <w:p w14:paraId="096CF42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维修质量：车辆/设备维修合格率≥99%，修后车辆/设备试运行无同类型故障，符合作业运行标准，无返修情况；维修后车辆返修率≤2%。</w:t>
      </w:r>
    </w:p>
    <w:p w14:paraId="6BDFBF7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效率与保障：故障处置及时率≥95%，一般故障24小时内修复率100%，复杂故障按时修复率≥98%；保养计划执行率100%，无漏保、脱保情况，不影响正常作业进度。</w:t>
      </w:r>
    </w:p>
    <w:p w14:paraId="6A55F79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安全管理：维修作业期间无安全事故（如设备伤人、火灾等），维修工具、配件管理规范，无丢失、浪费现象；废旧配件处置合规率100%。</w:t>
      </w:r>
    </w:p>
    <w:p w14:paraId="236AB53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台账管理：维修、保养台账完整准确率100%，一车一档、一台一档，记录齐全、数据真实。</w:t>
      </w:r>
    </w:p>
    <w:p w14:paraId="77DD3819">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6.操作工</w:t>
      </w:r>
    </w:p>
    <w:p w14:paraId="5CB36E0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（1）核心工作标准</w:t>
      </w:r>
    </w:p>
    <w:p w14:paraId="6CB550D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highlight w:val="yellow"/>
          <w:lang w:val="en-US" w:eastAsia="zh-CN" w:bidi="ar"/>
        </w:rPr>
      </w:pPr>
      <w:r>
        <w:rPr>
          <w:rFonts w:hint="eastAsia" w:ascii="宋体" w:hAnsi="宋体" w:eastAsia="宋体" w:cs="宋体"/>
          <w:b w:val="0"/>
          <w:color w:val="auto"/>
          <w:kern w:val="0"/>
          <w:sz w:val="24"/>
          <w:szCs w:val="24"/>
          <w:lang w:val="en-US" w:eastAsia="zh-CN" w:bidi="ar"/>
        </w:rPr>
        <w:t>垃圾接收核验：负责对接垃圾清运车辆（含外包运输车辆），逐一核对垃圾种类、重量、来源，严格查验是否含有毒有害、易燃易爆、放射性等违禁垃圾，对照清运凭证核实信息。对混装严重、含有违禁垃圾的，当场予以劝阻，要求清运方整改；无法整改的，按规定流程上报甲方及环保部门，详细做好接收登记台账，注明车辆信息、垃圾品类、重量、接收时间、异常情况等，确保台账信息完整可追溯。</w:t>
      </w:r>
    </w:p>
    <w:p w14:paraId="7A48B15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转运处置作业：严格按照垃圾压缩转运规范操作设备，规范操作压缩、转运等环节，避免垃圾泄漏、扬尘污染；合理安排转运流程，提高转运效率，为后续垃圾转运、终端处理环节提供保障，做好作业记录。</w:t>
      </w:r>
    </w:p>
    <w:p w14:paraId="4E7F34F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现场与台账管理：保持作业现场（中转站、接收点）环境整洁，及时督促清理散落垃圾、污水，督促做好场地消毒、除臭工作，每日消杀不少于2次，蝇蛆季加密频次。每日核对垃圾接收、转运数据，确保台账与实际情况、计量数据一致，按时上报相关统计数据及报表给甲方。</w:t>
      </w:r>
    </w:p>
    <w:p w14:paraId="6AF866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（2）关键量化指标</w:t>
      </w:r>
    </w:p>
    <w:p w14:paraId="4EA6851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接收管理：违禁垃圾拦截率100%，垃圾接收登记准确率100%，台账完整率100%，垃圾混装整改率100%。</w:t>
      </w:r>
    </w:p>
    <w:p w14:paraId="41DF43C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安全作业：作业期间无安全事故（如垃圾泄漏、设备损伤、人员受伤等），现场环境达标率100%，无异味、无垃圾堆积、无污水横流。</w:t>
      </w:r>
    </w:p>
    <w:p w14:paraId="3F53F12C">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7.电工</w:t>
      </w:r>
    </w:p>
    <w:p w14:paraId="43B34EB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b w:val="0"/>
          <w:color w:val="auto"/>
          <w:kern w:val="0"/>
          <w:sz w:val="24"/>
          <w:szCs w:val="24"/>
          <w:highlight w:val="yellow"/>
          <w:lang w:val="en-US" w:eastAsia="zh-CN" w:bidi="ar"/>
        </w:rPr>
      </w:pPr>
      <w:r>
        <w:rPr>
          <w:rFonts w:hint="eastAsia" w:ascii="宋体" w:hAnsi="宋体" w:eastAsia="宋体" w:cs="宋体"/>
          <w:b w:val="0"/>
          <w:color w:val="auto"/>
          <w:kern w:val="0"/>
          <w:sz w:val="24"/>
          <w:szCs w:val="24"/>
          <w:lang w:val="en-US" w:eastAsia="zh-CN" w:bidi="ar"/>
        </w:rPr>
        <w:t>（1）核心服务范围：负责环卫中心办公区域、作业区域（中转站、填埋场等）所有电气设施、设备的安装、维修、保养及安全管控，包括高低压线路、配电箱（柜）、开关、插座、照明设备、应急照明、漏电保护器、压缩机、生产辅助设备等电气系统；严格落实用电安全制度，定期开展电气安全巡检、隐患排查及整改，保障用电安全，贴合昌吉冬季严寒、夏季高温的用电特点。</w:t>
      </w:r>
    </w:p>
    <w:p w14:paraId="1D2FFAB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（2）核心工作内容</w:t>
      </w:r>
    </w:p>
    <w:p w14:paraId="224A44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线路巡检排查：每日对办公及生产区域的高低压线路、配电箱（柜）、开关、插座等电气设施开展全面巡检，重点排查线路老化、破损、松动、发热、短路等安全隐患，详细做好巡检记录；冬季重点检查防冻、防短路，夏季重点检查防过载、防漏电，对发现的隐患标记，明确整改措施及时限，杜绝电气设施“带病运行”。</w:t>
      </w:r>
    </w:p>
    <w:p w14:paraId="03110DA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设备电气维保：负责压缩机、生产辅助设备等各类电气设备日常维护工作，定期开展清洁、紧固、调试作业，检查电气元件性能状态，及时更换老化、损坏元件，延长设备使用寿命，确保设备稳定运行；做好维保记录。</w:t>
      </w:r>
    </w:p>
    <w:p w14:paraId="3310C67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安全管控执行：严格落实用电安全制度，定期检查消防应急照明、漏电保护器，确保灵敏有效；规范电气作业流程，作业时佩戴必要的安全防护用品，严禁违规操作；定期开展用电安全宣传，提醒员工注意用电安全。</w:t>
      </w:r>
    </w:p>
    <w:p w14:paraId="2EDFDDB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隐患闭环管理：建立电气隐患专项台账，对巡检发现的一般隐患立即整改；重大隐患第一时间上报主管领导及甲方，同步采取临时管控措施（如断电、悬挂警示标志），跟踪整改进度，确保隐患闭环处置。定期开展电气安全隐患复盘，优化巡检及维保方案，防范漏电、短路、火灾等安全事故。</w:t>
      </w:r>
    </w:p>
    <w:p w14:paraId="7FC6268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（3）任务响应要求</w:t>
      </w:r>
    </w:p>
    <w:p w14:paraId="384FB2D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日常故障响应：接到非紧急报修，当日安排处置，一般电气故障24小时内修复，复杂故障明确修复时限并告知报修人及甲方，及时反馈进度。</w:t>
      </w:r>
    </w:p>
    <w:p w14:paraId="63597D5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应急抢修响应：突发停电、漏电、短路等紧急情况，城区内30分钟内到场，城郊1小时内到场，优先抢修涉及作业中断、人员安全的故障，快速恢复供电、设备运行，做好抢修记录。</w:t>
      </w:r>
    </w:p>
    <w:p w14:paraId="25B2DC2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特殊场景响应：雨雪冰冻、高温、重大活动保障期，实行24小时待命，提前巡检易出故障点位（如户外线路、配电箱），做好应急处置准备。</w:t>
      </w:r>
    </w:p>
    <w:p w14:paraId="297C57F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隐患整改响应：巡检发现重大用电隐患，立即停工管控，24小时内完成整改；一般隐患3个工作日内闭环，同步反馈整改结果给主管领导及甲方，做好整改记录。</w:t>
      </w:r>
    </w:p>
    <w:p w14:paraId="79A12E9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（4）关键量化指标</w:t>
      </w:r>
    </w:p>
    <w:p w14:paraId="6EA3776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巡检与维保：电气设施巡检覆盖率100%，无漏检、漏记；维保计划执行率100%，按时完成各类电气设备维保。</w:t>
      </w:r>
    </w:p>
    <w:p w14:paraId="55BE0D7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隐患处置：一般隐患整改率100%，重大隐患闭环率100%，电气安全事故发生率为0；隐患整改反馈及时率100%。</w:t>
      </w:r>
    </w:p>
    <w:p w14:paraId="2FC25ED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kern w:val="0"/>
          <w:sz w:val="24"/>
          <w:szCs w:val="24"/>
          <w:lang w:val="en-US" w:eastAsia="zh-CN" w:bidi="ar"/>
        </w:rPr>
        <w:t>设备运行：电气设备完好率≥99%，因电气故障导致的设备停运时间≤2小时/月，电气故障维修合格率100%，修后无同类型重复故障且符合电气安全标准。</w:t>
      </w:r>
    </w:p>
    <w:p w14:paraId="6860E67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安全作业：全年无因操作不当引发的触电、火灾等安全事故，违规操作发生率为0；作业人员安全防护到位率100%。</w:t>
      </w:r>
    </w:p>
    <w:p w14:paraId="0719EFEB">
      <w:pPr>
        <w:pStyle w:val="434"/>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8.安保人员</w:t>
      </w:r>
    </w:p>
    <w:p w14:paraId="59F1D037">
      <w:pPr>
        <w:pStyle w:val="434"/>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1）服务范围：环卫中心办公区域、院落、停车场、出入口安全秩序维护；仓库、机械设备停放区、物资材料存放区安全值守；重点部位（财务室、档案室、配电房、监控室）巡查防护；单位外围及周边秩序、消防、治安隐患排查。</w:t>
      </w:r>
    </w:p>
    <w:p w14:paraId="045F7277">
      <w:pPr>
        <w:pStyle w:val="434"/>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2）核心服务标准：严防盗窃、火灾、斗殴、寻衅滋事等事件，确保人身及财产安全；着装整齐、用语文明、姿态端正，树立单位良好形象；突发事件第一时间响应、上报、处置，不拖延不推诿；定岗、定责、定时、定路线，闭环管理。</w:t>
      </w:r>
    </w:p>
    <w:p w14:paraId="6E86A458">
      <w:pPr>
        <w:pStyle w:val="434"/>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3）基础工作：人员、车辆进出登记、核实身份，引导有序通行；外来办事人员接待、问询指引，严禁无关人员随意进入；定时对办公区、设备区、仓库、消防设施巡逻检查；排查门窗、水电、消防器材、监控设备是否完好；规范车辆停放，保持通道畅通；劝阻违规吸烟、违规用电、堆放杂物等行为；熟悉消防器材位置及使用方法，定期检查；发现火情立即报警、先期处置并组织疏散；值班记录完整、清晰，异常情况及时向领导及主管部门汇报；</w:t>
      </w:r>
    </w:p>
    <w:p w14:paraId="2CBC00D9">
      <w:pPr>
        <w:pStyle w:val="434"/>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4）任务响应：按时到岗、交接班，严格执行值班制度；立即制止治安事件、保护现场、报警并上报；突发火灾隐患，先切断危险源，再报警、扑救、疏散；设备故障第一时间上报，设置警示，禁止靠近；重大活动、节假日加强巡逻密度，全员备勤待命。</w:t>
      </w:r>
    </w:p>
    <w:p w14:paraId="57F58681">
      <w:pPr>
        <w:pStyle w:val="434"/>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5）量化指标：在岗执勤率100%，着装规范率100%；外来人员、车辆登记率100%；每日巡逻不少于6次，重点区域每小时巡查1次；消防器材检查覆盖率100%，隐患整改率100%；值班记录完整率100%，突发事件上报及时率100%；责任区内无重大治安、火灾、安全责任事故.</w:t>
      </w:r>
    </w:p>
    <w:p w14:paraId="2A7CF44F">
      <w:pPr>
        <w:pStyle w:val="434"/>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（6）工作纪律：严禁脱岗、睡岗、酒后上岗、玩手机怠工；严禁私自放行、私自处理单位物资、收受财物；服从指挥、团结协作，严格执行单位各项规章制度。</w:t>
      </w:r>
    </w:p>
    <w:p w14:paraId="0D0C790C">
      <w:pPr>
        <w:rPr>
          <w:rFonts w:hint="eastAsia"/>
          <w:color w:val="auto"/>
        </w:rPr>
      </w:pPr>
      <w:r>
        <w:rPr>
          <w:rFonts w:hint="eastAsia"/>
          <w:color w:val="auto"/>
        </w:rPr>
        <w:br w:type="page"/>
      </w:r>
    </w:p>
    <w:tbl>
      <w:tblPr>
        <w:tblStyle w:val="43"/>
        <w:tblW w:w="9962" w:type="dxa"/>
        <w:tblInd w:w="-30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11"/>
        <w:gridCol w:w="3990"/>
        <w:gridCol w:w="3705"/>
        <w:gridCol w:w="956"/>
      </w:tblGrid>
      <w:tr w14:paraId="53CEF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9962" w:type="dxa"/>
            <w:gridSpan w:val="4"/>
            <w:tcBorders>
              <w:top w:val="nil"/>
              <w:left w:val="nil"/>
              <w:bottom w:val="nil"/>
              <w:right w:val="nil"/>
            </w:tcBorders>
            <w:shd w:val="clear" w:color="auto" w:fill="auto"/>
            <w:noWrap/>
            <w:vAlign w:val="center"/>
          </w:tcPr>
          <w:p w14:paraId="239CEED4">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b w:val="0"/>
                <w:bCs/>
                <w:i w:val="0"/>
                <w:iCs w:val="0"/>
                <w:color w:val="auto"/>
                <w:sz w:val="21"/>
                <w:szCs w:val="21"/>
                <w:u w:val="none"/>
              </w:rPr>
            </w:pPr>
            <w:r>
              <w:rPr>
                <w:rFonts w:hint="eastAsia" w:ascii="宋体" w:hAnsi="宋体" w:eastAsia="宋体" w:cs="宋体"/>
                <w:b w:val="0"/>
                <w:bCs/>
                <w:i w:val="0"/>
                <w:iCs w:val="0"/>
                <w:color w:val="auto"/>
                <w:kern w:val="0"/>
                <w:sz w:val="21"/>
                <w:szCs w:val="21"/>
                <w:u w:val="none"/>
                <w:lang w:val="en-US" w:eastAsia="zh-CN" w:bidi="ar"/>
              </w:rPr>
              <w:t>昌吉市环卫服务外包考核实施细则</w:t>
            </w:r>
          </w:p>
        </w:tc>
      </w:tr>
      <w:tr w14:paraId="71843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962"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1DFCBE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采用100分倒扣分制，按“道路保洁、垃圾收运转运、道路清雪、公厕、人员设备、运营应急”等模块细化工作标准与扣分规则，每项扣分不超模块总分，月度得分与服务费直接挂钩，便于合同落地与日常考核。</w:t>
            </w:r>
          </w:p>
        </w:tc>
      </w:tr>
      <w:tr w14:paraId="1FFFF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34F08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项目名称</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A3BBD1">
            <w:pPr>
              <w:pStyle w:val="434"/>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作业要求及质量标准</w:t>
            </w:r>
          </w:p>
        </w:tc>
        <w:tc>
          <w:tcPr>
            <w:tcW w:w="3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FCC01C">
            <w:pPr>
              <w:pStyle w:val="434"/>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扣分标准</w:t>
            </w:r>
          </w:p>
        </w:tc>
        <w:tc>
          <w:tcPr>
            <w:tcW w:w="9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D7934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备注</w:t>
            </w:r>
          </w:p>
        </w:tc>
      </w:tr>
      <w:tr w14:paraId="0F8C6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3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F179C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道路与公共区域保洁（25分）</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88EA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1.每日人工与机械清扫保洁时间不少于16小时。清扫时间：夏季早5：00-晚24：00 ，冬季人工清扫保洁早7：00-晚20：00，机械清扫率达到100%以上。</w:t>
            </w:r>
          </w:p>
          <w:p w14:paraId="35542EA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普扫：每日2次，全覆盖无漏扫；巡回保洁：一级路15分钟/次、二级路30分钟/次、三级路60分钟/次；质量：达到“六净六无”（路面、路牙、绿地、人行道、雨水口、树穴墙根净；无垃圾、杂物、积泥、积水、污迹、乱张贴）；尘土≤5g/m²，路面见本色。</w:t>
            </w:r>
          </w:p>
          <w:p w14:paraId="4203F0E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3.机械化：主车道每日洗扫2次，每日8小时机扫。洒水5次（30℃以上加1次）；人行道每周冲洗1次；大风沙尘天加密保洁。</w:t>
            </w:r>
          </w:p>
          <w:p w14:paraId="2C77EBD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4.特殊天气：雨后2小时清积水/积泥，雪后24小时清主干道积雪；及时清理雨水篦子防堵塞。</w:t>
            </w:r>
          </w:p>
          <w:p w14:paraId="434D9CF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5.重点区域洒水：春秋季每天车辆洒水降尘所有路段不少于5次。夏季不少于7次，如遇特殊情况随时洒水降尘。</w:t>
            </w:r>
          </w:p>
          <w:p w14:paraId="1EA6539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6.路灯杆、站台、绿地护栏、路牌、灯杆、灯箱、沿街小品、休闲座椅等公共设施每日清洗一次；沿街两侧2米以下建筑相关设施上的牛皮癣小广告等及时清理。</w:t>
            </w:r>
          </w:p>
          <w:p w14:paraId="042229A6">
            <w:pPr>
              <w:pStyle w:val="434"/>
              <w:keepNext w:val="0"/>
              <w:keepLines w:val="0"/>
              <w:pageBreakBefore w:val="0"/>
              <w:widowControl/>
              <w:kinsoku/>
              <w:wordWrap/>
              <w:overflowPunct/>
              <w:topLinePunct w:val="0"/>
              <w:autoSpaceDE/>
              <w:autoSpaceDN/>
              <w:bidi w:val="0"/>
              <w:adjustRightInd/>
              <w:snapToGrid/>
              <w:spacing w:line="240" w:lineRule="auto"/>
              <w:ind w:left="0" w:leftChars="0" w:firstLine="0" w:firstLineChars="0"/>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7.春夏秋每天冲洗所有清扫保洁路面最少1遍 ，每周擦洗护栏（含草坪护栏）最少3遍 ，冬季按气候决定，如遇特殊情况随时擦洗护栏。</w:t>
            </w:r>
          </w:p>
        </w:tc>
        <w:tc>
          <w:tcPr>
            <w:tcW w:w="3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D7431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人工不按时间清扫一次扣0.5分，机械未按时间清扫扣0.5分，机械清扫率不达标扣1分。</w:t>
            </w:r>
          </w:p>
          <w:p w14:paraId="170E3E9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普扫不达标/漏扫：0.2分/处；未按时完成首次普扫：0.5分/路段。</w:t>
            </w:r>
          </w:p>
          <w:p w14:paraId="238BBAA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零星垃圾（纸屑/烟头）：0.1分/处；成片垃圾（≥0.5㎡）：0.5分/处；卫生死角：1分/处。</w:t>
            </w:r>
          </w:p>
          <w:p w14:paraId="3F294D1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污渍/油污/积尘：0.1-0.3分/处；1㎡以上：0.5分/处；尘土超标：0.5分/路段。</w:t>
            </w:r>
          </w:p>
          <w:p w14:paraId="6333A2D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机械化频次不足：0.5分/次；漏扫路段：0.3分/段；未按特殊天气要求作业：1分/次。</w:t>
            </w:r>
          </w:p>
          <w:p w14:paraId="2F83FBA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保洁人员脱岗：0.5分/人次脱岗超30分钟：1分/人次着装不规范：0.2分/人次。</w:t>
            </w:r>
          </w:p>
          <w:p w14:paraId="1FD143B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绿化带/树穴垃圾：0.1分/处；成片：0.3分/处；树挂垃圾：0.2分/处]。</w:t>
            </w:r>
          </w:p>
          <w:p w14:paraId="267E0B9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工具乱堆放：0.1分/处；将垃圾扫入下水道/绿地：1分/次。</w:t>
            </w:r>
          </w:p>
          <w:p w14:paraId="7760D43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重点区域洒水降尘不足0.5分/次，临时安排洒水不执行的5分/次。</w:t>
            </w:r>
          </w:p>
          <w:p w14:paraId="57DE6DC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每少擦一项扣0.1分。</w:t>
            </w:r>
          </w:p>
          <w:p w14:paraId="61419AB1">
            <w:pPr>
              <w:pStyle w:val="434"/>
              <w:keepNext w:val="0"/>
              <w:keepLines w:val="0"/>
              <w:pageBreakBefore w:val="0"/>
              <w:widowControl/>
              <w:kinsoku/>
              <w:wordWrap/>
              <w:overflowPunct/>
              <w:topLinePunct w:val="0"/>
              <w:autoSpaceDE/>
              <w:autoSpaceDN/>
              <w:bidi w:val="0"/>
              <w:adjustRightInd/>
              <w:snapToGrid/>
              <w:spacing w:line="240" w:lineRule="auto"/>
              <w:ind w:left="0" w:leftChars="0" w:firstLine="0" w:firstLineChars="0"/>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每天冲洗路面少于1遍的、遗漏等扣0.5分，清洗护栏少于3遍 扣0.5分。</w:t>
            </w:r>
          </w:p>
        </w:tc>
        <w:tc>
          <w:tcPr>
            <w:tcW w:w="9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10D8E6">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b w:val="0"/>
                <w:bCs w:val="0"/>
                <w:i w:val="0"/>
                <w:iCs w:val="0"/>
                <w:color w:val="auto"/>
                <w:kern w:val="0"/>
                <w:sz w:val="21"/>
                <w:szCs w:val="21"/>
                <w:u w:val="none"/>
                <w:lang w:val="en-US" w:eastAsia="zh-CN" w:bidi="ar"/>
              </w:rPr>
            </w:pPr>
          </w:p>
        </w:tc>
      </w:tr>
      <w:tr w14:paraId="242C9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3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56C1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垃圾收集与清运（15分）</w:t>
            </w:r>
          </w:p>
          <w:p w14:paraId="0106F3E7">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b w:val="0"/>
                <w:bCs w:val="0"/>
                <w:i w:val="0"/>
                <w:iCs w:val="0"/>
                <w:color w:val="auto"/>
                <w:kern w:val="0"/>
                <w:sz w:val="21"/>
                <w:szCs w:val="21"/>
                <w:u w:val="none"/>
                <w:lang w:val="en-US" w:eastAsia="zh-CN" w:bidi="ar"/>
              </w:rPr>
            </w:pP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3B50E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1.收集点：垃圾桶完好率≥98%，分类标识清晰，摆放整齐；每日擦洗1次，蝇蛆季每日消杀1次。</w:t>
            </w:r>
          </w:p>
          <w:p w14:paraId="096B127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2.清运：“满即清”无满溢，日产日清；收集后周边无残留垃圾/污水；大件垃圾按指定时间收运。</w:t>
            </w:r>
          </w:p>
          <w:p w14:paraId="55529C5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3.运输：车辆密闭，无遗撒/滴漏；车体整洁，标识清晰；避开高峰时段，按指定路线运输。</w:t>
            </w:r>
          </w:p>
          <w:p w14:paraId="73BC2DE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4.转运站：站内整洁无异味，每日消毒；渗滤液规范处理，无满溢；台账记录完整。站内外整洁，无垃圾落地；设备完好，故障2小时内到场维修，24小时内修复小型故障；实行有限空间安全作业制度。定期进行环境监测。</w:t>
            </w:r>
          </w:p>
          <w:p w14:paraId="48EE9BC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5.台账：保洁、消杀、维修、渗滤液清运记录完整，可追溯。</w:t>
            </w:r>
          </w:p>
          <w:p w14:paraId="6441D6C5">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b w:val="0"/>
                <w:bCs w:val="0"/>
                <w:i w:val="0"/>
                <w:iCs w:val="0"/>
                <w:color w:val="auto"/>
                <w:kern w:val="0"/>
                <w:sz w:val="21"/>
                <w:szCs w:val="21"/>
                <w:u w:val="none"/>
                <w:lang w:val="en-US" w:eastAsia="zh-CN" w:bidi="ar"/>
              </w:rPr>
            </w:pPr>
          </w:p>
        </w:tc>
        <w:tc>
          <w:tcPr>
            <w:tcW w:w="3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6E8D6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垃圾桶满溢：0.2分/桶；破损/脏污/无标识：0.1分/桶；摆放不齐：0.1分/处。</w:t>
            </w:r>
          </w:p>
          <w:p w14:paraId="7BA6C8E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清运不及时：0.2分/处；收集后周边残留：0.1分/处；大件垃圾未按时收运：2分/次。</w:t>
            </w:r>
          </w:p>
          <w:p w14:paraId="4733227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车辆未密闭：1分/车；遗撒/滴漏：0.5分/处；严重滴漏：2分/车；车体不洁：0.1分/车。</w:t>
            </w:r>
          </w:p>
          <w:p w14:paraId="3FCC6EA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转运站垃圾积压：0.5分/次；未消毒/异味重：0.5分/次；渗滤液处理不规范：1分/次。</w:t>
            </w:r>
          </w:p>
          <w:p w14:paraId="52D3D84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违规倾倒：3分/次；造成污染：5分/次；焚烧垃圾：5分/次（被通报加扣10分）。</w:t>
            </w:r>
          </w:p>
          <w:p w14:paraId="66BE176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收集点未消杀/无记录：0.1分/处。</w:t>
            </w:r>
          </w:p>
          <w:p w14:paraId="1DB826A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转运站不洁：0.2分/处；垃圾落地：0.3分/处；设备故障未修：0.5分/处；未实行安全作业：1分/次。</w:t>
            </w:r>
          </w:p>
          <w:p w14:paraId="2567040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渗滤液满溢：2分/次；除臭设备未开启：1分/次。</w:t>
            </w:r>
          </w:p>
          <w:p w14:paraId="3B03B7A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台账不完整/无记录：0.5分/项。</w:t>
            </w:r>
          </w:p>
          <w:p w14:paraId="330139A8">
            <w:pPr>
              <w:pStyle w:val="2"/>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未定期开展环境监测的：5分/次</w:t>
            </w:r>
          </w:p>
        </w:tc>
        <w:tc>
          <w:tcPr>
            <w:tcW w:w="9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EF6E03">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b w:val="0"/>
                <w:bCs w:val="0"/>
                <w:i w:val="0"/>
                <w:iCs w:val="0"/>
                <w:color w:val="auto"/>
                <w:kern w:val="0"/>
                <w:sz w:val="21"/>
                <w:szCs w:val="21"/>
                <w:u w:val="none"/>
                <w:lang w:val="en-US" w:eastAsia="zh-CN" w:bidi="ar"/>
              </w:rPr>
            </w:pPr>
          </w:p>
        </w:tc>
      </w:tr>
      <w:tr w14:paraId="754CC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3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1462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环卫设施管理  （5分）</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864EA7">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果皮箱保洁：作业范围内的果皮箱，夏季每天擦洗消毒一次，冬季保持果皮箱外表清洁，无痰迹、污垢。不准使用有可能损坏箱体的工具洗刷果皮箱。</w:t>
            </w:r>
          </w:p>
          <w:p w14:paraId="3071551D">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2.全天保持做到果皮箱垃圾每天及时清除，无满溢、无污水溢出，周边无堆物，应及时关闭果皮箱门盖，保持果皮箱及周边的干净整洁。3.发现破损、歪斜和倒下的果皮箱，应及时修理、紧固。果皮箱被盗或严重损坏应24小时内更换，特殊情况除外。</w:t>
            </w:r>
          </w:p>
        </w:tc>
        <w:tc>
          <w:tcPr>
            <w:tcW w:w="3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00801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不按时清洗消毒果皮箱0.5分/处。</w:t>
            </w:r>
          </w:p>
          <w:p w14:paraId="1054063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果皮箱满溢等0.2分/处。</w:t>
            </w:r>
          </w:p>
          <w:p w14:paraId="4B970BD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kern w:val="2"/>
                <w:sz w:val="21"/>
                <w:szCs w:val="21"/>
                <w:u w:val="none"/>
                <w:lang w:val="en-US" w:eastAsia="zh-CN" w:bidi="ar-SA"/>
              </w:rPr>
            </w:pPr>
            <w:r>
              <w:rPr>
                <w:rFonts w:hint="eastAsia" w:ascii="宋体" w:hAnsi="宋体" w:eastAsia="宋体" w:cs="宋体"/>
                <w:b w:val="0"/>
                <w:bCs w:val="0"/>
                <w:i w:val="0"/>
                <w:iCs w:val="0"/>
                <w:color w:val="auto"/>
                <w:kern w:val="0"/>
                <w:sz w:val="21"/>
                <w:szCs w:val="21"/>
                <w:u w:val="none"/>
                <w:lang w:val="en-US" w:eastAsia="zh-CN" w:bidi="ar"/>
              </w:rPr>
              <w:t>未及时维修或更换果皮箱0.5分/处。</w:t>
            </w:r>
          </w:p>
        </w:tc>
        <w:tc>
          <w:tcPr>
            <w:tcW w:w="9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AD79F8">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b w:val="0"/>
                <w:bCs w:val="0"/>
                <w:i w:val="0"/>
                <w:iCs w:val="0"/>
                <w:color w:val="auto"/>
                <w:kern w:val="0"/>
                <w:sz w:val="21"/>
                <w:szCs w:val="21"/>
                <w:u w:val="none"/>
                <w:lang w:val="en-US" w:eastAsia="zh-CN" w:bidi="ar"/>
              </w:rPr>
            </w:pPr>
          </w:p>
        </w:tc>
      </w:tr>
      <w:tr w14:paraId="1B944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9151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kern w:val="2"/>
                <w:sz w:val="21"/>
                <w:szCs w:val="21"/>
                <w:u w:val="none"/>
                <w:lang w:val="en-US" w:eastAsia="zh-CN" w:bidi="ar-SA"/>
              </w:rPr>
            </w:pPr>
            <w:r>
              <w:rPr>
                <w:rFonts w:hint="eastAsia" w:ascii="宋体" w:hAnsi="宋体" w:eastAsia="宋体" w:cs="宋体"/>
                <w:b w:val="0"/>
                <w:bCs w:val="0"/>
                <w:i w:val="0"/>
                <w:iCs w:val="0"/>
                <w:color w:val="auto"/>
                <w:kern w:val="0"/>
                <w:sz w:val="21"/>
                <w:szCs w:val="21"/>
                <w:u w:val="none"/>
                <w:lang w:val="en-US" w:eastAsia="zh-CN" w:bidi="ar"/>
              </w:rPr>
              <w:t>冬季清雪（15）</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E2C94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1.冬季下雪前作业车辆和人员要提前进入各待命位置，开始降雪就开始进行除雪作业。</w:t>
            </w:r>
          </w:p>
          <w:p w14:paraId="2AD3B42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2.雪停4小时内保证主路面干净，12小时内并将积雪运至城外指定地点；</w:t>
            </w:r>
          </w:p>
          <w:p w14:paraId="792948F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3.在规定的时间内清除路面积雪，路面见本色，不得留有“鱼鳞状”。</w:t>
            </w:r>
          </w:p>
          <w:p w14:paraId="1728B631">
            <w:pPr>
              <w:pStyle w:val="434"/>
              <w:keepNext w:val="0"/>
              <w:keepLines w:val="0"/>
              <w:pageBreakBefore w:val="0"/>
              <w:widowControl/>
              <w:kinsoku/>
              <w:wordWrap/>
              <w:overflowPunct/>
              <w:topLinePunct w:val="0"/>
              <w:autoSpaceDE/>
              <w:autoSpaceDN/>
              <w:bidi w:val="0"/>
              <w:adjustRightInd/>
              <w:snapToGrid/>
              <w:spacing w:line="240" w:lineRule="auto"/>
              <w:ind w:left="0" w:leftChars="0" w:firstLine="0" w:firstLineChars="0"/>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4.严禁将路面积雪向绿化带、绿篱及公共区域倾倒、堆放。雪停3小时内护栏下的积雪清理完毕。</w:t>
            </w:r>
          </w:p>
          <w:p w14:paraId="5A5C72BB">
            <w:pPr>
              <w:pStyle w:val="434"/>
              <w:keepNext w:val="0"/>
              <w:keepLines w:val="0"/>
              <w:pageBreakBefore w:val="0"/>
              <w:widowControl/>
              <w:kinsoku/>
              <w:wordWrap/>
              <w:overflowPunct/>
              <w:topLinePunct w:val="0"/>
              <w:autoSpaceDE/>
              <w:autoSpaceDN/>
              <w:bidi w:val="0"/>
              <w:adjustRightInd/>
              <w:snapToGrid/>
              <w:spacing w:line="240" w:lineRule="auto"/>
              <w:ind w:left="0" w:leftChars="0" w:firstLine="0" w:firstLineChars="0"/>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5.各路段草坪内、区域内花池，积雪均不能超过60cm，进行做造型。</w:t>
            </w:r>
          </w:p>
        </w:tc>
        <w:tc>
          <w:tcPr>
            <w:tcW w:w="3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60E6E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kern w:val="2"/>
                <w:sz w:val="21"/>
                <w:szCs w:val="21"/>
                <w:u w:val="none"/>
                <w:lang w:val="en-US" w:eastAsia="zh-CN" w:bidi="ar-SA"/>
              </w:rPr>
            </w:pPr>
            <w:r>
              <w:rPr>
                <w:rFonts w:hint="eastAsia" w:ascii="宋体" w:hAnsi="宋体" w:eastAsia="宋体" w:cs="宋体"/>
                <w:b w:val="0"/>
                <w:bCs w:val="0"/>
                <w:i w:val="0"/>
                <w:iCs w:val="0"/>
                <w:color w:val="auto"/>
                <w:kern w:val="0"/>
                <w:sz w:val="21"/>
                <w:szCs w:val="21"/>
                <w:u w:val="none"/>
                <w:lang w:val="en-US" w:eastAsia="zh-CN" w:bidi="ar"/>
              </w:rPr>
              <w:t>未及时安排清扫作业的2分/次。未在规定时间内完成积雪拉运2分/次；未按指定地点倾倒2分/次；构成违法行为的依照相关法律法规，进行行政处罚。道路积雪未清理干净0.5分/处。未按规定堆放积雪0.5分/处。</w:t>
            </w:r>
          </w:p>
        </w:tc>
        <w:tc>
          <w:tcPr>
            <w:tcW w:w="956" w:type="dxa"/>
            <w:tcBorders>
              <w:top w:val="single" w:color="000000" w:sz="4" w:space="0"/>
              <w:left w:val="single" w:color="000000" w:sz="4" w:space="0"/>
              <w:bottom w:val="single" w:color="000000" w:sz="4" w:space="0"/>
              <w:right w:val="single" w:color="000000" w:sz="4" w:space="0"/>
            </w:tcBorders>
            <w:shd w:val="clear" w:color="auto" w:fill="FFFFFF"/>
            <w:vAlign w:val="bottom"/>
          </w:tcPr>
          <w:p w14:paraId="49B08EA3">
            <w:pPr>
              <w:keepNext w:val="0"/>
              <w:keepLines w:val="0"/>
              <w:pageBreakBefore w:val="0"/>
              <w:widowControl/>
              <w:kinsoku/>
              <w:wordWrap/>
              <w:overflowPunct/>
              <w:topLinePunct w:val="0"/>
              <w:autoSpaceDE/>
              <w:autoSpaceDN/>
              <w:bidi w:val="0"/>
              <w:adjustRightInd/>
              <w:snapToGrid/>
              <w:spacing w:line="240" w:lineRule="auto"/>
              <w:ind w:firstLine="420" w:firstLineChars="200"/>
              <w:rPr>
                <w:rFonts w:hint="eastAsia" w:ascii="宋体" w:hAnsi="宋体" w:eastAsia="宋体" w:cs="宋体"/>
                <w:b w:val="0"/>
                <w:bCs w:val="0"/>
                <w:i w:val="0"/>
                <w:iCs w:val="0"/>
                <w:color w:val="auto"/>
                <w:kern w:val="2"/>
                <w:sz w:val="21"/>
                <w:szCs w:val="21"/>
                <w:u w:val="none"/>
                <w:lang w:val="en-US" w:eastAsia="zh-CN" w:bidi="ar-SA"/>
              </w:rPr>
            </w:pPr>
          </w:p>
        </w:tc>
      </w:tr>
      <w:tr w14:paraId="01A0B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3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6F5DF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公厕管护（15分）</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B524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1.公厕管理制度上墙，公厕免费开放，落实专人管理；</w:t>
            </w:r>
          </w:p>
          <w:p w14:paraId="682EDDF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2.公厕图形标准按国标设置；</w:t>
            </w:r>
          </w:p>
          <w:p w14:paraId="06A03CA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3.有考核检查部门和专职考核员，并记录免费公厕检查考核台账；</w:t>
            </w:r>
          </w:p>
          <w:p w14:paraId="0CCFDF4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4.公厕内外设施、标识、标牌完好，配置达到标准，破损缺失在6小时内予以更新；</w:t>
            </w:r>
          </w:p>
          <w:p w14:paraId="1717B78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5.公厕按规定时间开放；</w:t>
            </w:r>
          </w:p>
          <w:p w14:paraId="43FF5DE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6.公厕保洁人员到岗到位，着装整齐，佩戴上岗证件；</w:t>
            </w:r>
          </w:p>
          <w:p w14:paraId="2D405BB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7.服务管理规范，文明用语，礼貌待人，不与群众吵架；</w:t>
            </w:r>
          </w:p>
          <w:p w14:paraId="4587A85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8.洗手处提供洗手液，管理房备有卫生纸等厕内用品；</w:t>
            </w:r>
          </w:p>
          <w:p w14:paraId="141587C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9.公厕内环境、设施保持经常整洁卫生，达到二类管理标准，无臭气、墙面、门、挡板无乱刻乱画、乱张贴，天花板、门窗、挡板无积灰、粪污渍、痰迹、蛛网、墙面砖光洁；</w:t>
            </w:r>
          </w:p>
          <w:p w14:paraId="1BF1BBC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10.公厕、便斗、大小便槽（蹲便器）两侧及槽底无粪便、无黄污渍、尿碱污渍、痰迹；</w:t>
            </w:r>
          </w:p>
          <w:p w14:paraId="325AC63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11.公厕周围环境卫生保洁，保持绿地内清洁；</w:t>
            </w:r>
          </w:p>
          <w:p w14:paraId="1EA7DF9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12.公厕内环境卫生保洁工作，做到见脏就保洁，见水就擦；</w:t>
            </w:r>
          </w:p>
          <w:p w14:paraId="68E45344">
            <w:pPr>
              <w:pStyle w:val="434"/>
              <w:keepNext w:val="0"/>
              <w:keepLines w:val="0"/>
              <w:pageBreakBefore w:val="0"/>
              <w:widowControl/>
              <w:kinsoku/>
              <w:wordWrap/>
              <w:overflowPunct/>
              <w:topLinePunct w:val="0"/>
              <w:autoSpaceDE/>
              <w:autoSpaceDN/>
              <w:bidi w:val="0"/>
              <w:adjustRightInd/>
              <w:snapToGrid/>
              <w:spacing w:line="240" w:lineRule="auto"/>
              <w:ind w:left="0" w:leftChars="0" w:firstLine="0" w:firstLineChars="0"/>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13.清洁工具摆放整齐。</w:t>
            </w:r>
          </w:p>
        </w:tc>
        <w:tc>
          <w:tcPr>
            <w:tcW w:w="3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9B624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管理制度未上墙扣1分/座；有收费行为的扣3分/座；有强卖手纸、厕内用品的扣2分/座；无专人管理的扣3分/座；</w:t>
            </w:r>
          </w:p>
          <w:p w14:paraId="008D9E8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未按标准设置导向牌、提示语、公厕标志的扣2分/座、项；</w:t>
            </w:r>
          </w:p>
          <w:p w14:paraId="28B98D5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无公厕检查部门和专职考核台账的扣1分/座；</w:t>
            </w:r>
          </w:p>
          <w:p w14:paraId="6738067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公厕内外设施不齐，未达到标准扣2分/座，设施（备）损坏未在6小时内予以更新的扣2分/处；</w:t>
            </w:r>
          </w:p>
          <w:p w14:paraId="5ECFF8A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未按规定时间及要求开、关公厕及蹲位间，扣2分/座；</w:t>
            </w:r>
          </w:p>
          <w:p w14:paraId="2E5EEEE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保洁人员不在岗扣1分/次，着装不统一扣1分/次，不佩带上岗证扣1分/次；</w:t>
            </w:r>
          </w:p>
          <w:p w14:paraId="0539B75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服务不规范扣1分/次，不礼貌待人，用语不文明扣1分/次，与群众吵架扣1分/次；</w:t>
            </w:r>
          </w:p>
          <w:p w14:paraId="6735026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未配备洗手液扣1分，未备有卫生纸等厕内用品扣1分/次座；</w:t>
            </w:r>
          </w:p>
          <w:p w14:paraId="1E9B98B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公厕内环境、设施不洁扣1分/座；内外墙面、门、挡板有乱刻乱画、乱张贴扣1分/项、处；天花板、门窗、挡板有积灰、粪污渍、痰迹、蛛网扣2分/项、处；墙面砖不光洁扣1分/处；未达到二类公厕管理标准扣1分/处；</w:t>
            </w:r>
          </w:p>
          <w:p w14:paraId="27A484B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公厕、便斗、大小便槽（蹲便器）两侧及槽底有粪便扣1分/项、处；有黄污渍尿碱污渍、痰迹扣1分/项、处；</w:t>
            </w:r>
          </w:p>
          <w:p w14:paraId="6B1C62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公厕周围环境卫生不清洁扣1.5分/处；</w:t>
            </w:r>
          </w:p>
          <w:p w14:paraId="035845D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公厕内外有垃圾废弃物扣0.5分/处；地面痰迹和其他污物扣0.5分/处；有积水扣1分/处；</w:t>
            </w:r>
          </w:p>
          <w:p w14:paraId="689F574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清洁工具摆放不整齐，杂乱无章扣1-2分；</w:t>
            </w:r>
          </w:p>
        </w:tc>
        <w:tc>
          <w:tcPr>
            <w:tcW w:w="956" w:type="dxa"/>
            <w:tcBorders>
              <w:top w:val="single" w:color="000000" w:sz="4" w:space="0"/>
              <w:left w:val="single" w:color="000000" w:sz="4" w:space="0"/>
              <w:bottom w:val="single" w:color="000000" w:sz="4" w:space="0"/>
              <w:right w:val="single" w:color="000000" w:sz="4" w:space="0"/>
            </w:tcBorders>
            <w:shd w:val="clear" w:color="auto" w:fill="FFFFFF"/>
            <w:vAlign w:val="bottom"/>
          </w:tcPr>
          <w:p w14:paraId="3EC15725">
            <w:pPr>
              <w:keepNext w:val="0"/>
              <w:keepLines w:val="0"/>
              <w:pageBreakBefore w:val="0"/>
              <w:widowControl/>
              <w:kinsoku/>
              <w:wordWrap/>
              <w:overflowPunct/>
              <w:topLinePunct w:val="0"/>
              <w:autoSpaceDE/>
              <w:autoSpaceDN/>
              <w:bidi w:val="0"/>
              <w:adjustRightInd/>
              <w:snapToGrid/>
              <w:spacing w:line="240" w:lineRule="auto"/>
              <w:ind w:firstLine="420" w:firstLineChars="200"/>
              <w:rPr>
                <w:rFonts w:hint="eastAsia" w:ascii="宋体" w:hAnsi="宋体" w:eastAsia="宋体" w:cs="宋体"/>
                <w:b w:val="0"/>
                <w:bCs w:val="0"/>
                <w:i w:val="0"/>
                <w:iCs w:val="0"/>
                <w:color w:val="auto"/>
                <w:kern w:val="2"/>
                <w:sz w:val="21"/>
                <w:szCs w:val="21"/>
                <w:u w:val="none"/>
                <w:lang w:val="en-US" w:eastAsia="zh-CN" w:bidi="ar-SA"/>
              </w:rPr>
            </w:pPr>
          </w:p>
        </w:tc>
      </w:tr>
      <w:tr w14:paraId="3B32C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3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87B1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建筑垃圾管理  （5分）</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CFCA76">
            <w:pPr>
              <w:keepNext w:val="0"/>
              <w:keepLines w:val="0"/>
              <w:pageBreakBefore w:val="0"/>
              <w:widowControl/>
              <w:numPr>
                <w:ilvl w:val="0"/>
                <w:numId w:val="0"/>
              </w:numPr>
              <w:kinsoku/>
              <w:wordWrap/>
              <w:overflowPunct/>
              <w:topLinePunct w:val="0"/>
              <w:autoSpaceDE/>
              <w:autoSpaceDN/>
              <w:bidi w:val="0"/>
              <w:adjustRightInd/>
              <w:snapToGrid/>
              <w:spacing w:line="240" w:lineRule="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1.</w:t>
            </w:r>
            <w:r>
              <w:rPr>
                <w:rFonts w:hint="eastAsia" w:ascii="宋体" w:hAnsi="宋体" w:eastAsia="宋体" w:cs="宋体"/>
                <w:b w:val="0"/>
                <w:bCs w:val="0"/>
                <w:color w:val="auto"/>
                <w:sz w:val="21"/>
                <w:szCs w:val="21"/>
              </w:rPr>
              <w:t>建筑垃圾场实行</w:t>
            </w:r>
            <w:r>
              <w:rPr>
                <w:rFonts w:hint="eastAsia" w:ascii="宋体" w:hAnsi="宋体" w:eastAsia="宋体" w:cs="宋体"/>
                <w:b w:val="0"/>
                <w:bCs w:val="0"/>
                <w:color w:val="auto"/>
                <w:sz w:val="21"/>
                <w:szCs w:val="21"/>
                <w:lang w:val="en-US" w:eastAsia="zh-CN"/>
              </w:rPr>
              <w:t>24</w:t>
            </w:r>
            <w:r>
              <w:rPr>
                <w:rFonts w:hint="eastAsia" w:ascii="宋体" w:hAnsi="宋体" w:eastAsia="宋体" w:cs="宋体"/>
                <w:b w:val="0"/>
                <w:bCs w:val="0"/>
                <w:color w:val="auto"/>
                <w:sz w:val="21"/>
                <w:szCs w:val="21"/>
              </w:rPr>
              <w:t>小时</w:t>
            </w:r>
            <w:r>
              <w:rPr>
                <w:rFonts w:hint="eastAsia" w:ascii="宋体" w:hAnsi="宋体" w:eastAsia="宋体" w:cs="宋体"/>
                <w:b w:val="0"/>
                <w:bCs w:val="0"/>
                <w:color w:val="auto"/>
                <w:sz w:val="21"/>
                <w:szCs w:val="21"/>
                <w:lang w:val="en-US" w:eastAsia="zh-CN"/>
              </w:rPr>
              <w:t>无缝隙</w:t>
            </w:r>
            <w:r>
              <w:rPr>
                <w:rFonts w:hint="eastAsia" w:ascii="宋体" w:hAnsi="宋体" w:eastAsia="宋体" w:cs="宋体"/>
                <w:b w:val="0"/>
                <w:bCs w:val="0"/>
                <w:color w:val="auto"/>
                <w:sz w:val="21"/>
                <w:szCs w:val="21"/>
              </w:rPr>
              <w:t>监管</w:t>
            </w:r>
            <w:r>
              <w:rPr>
                <w:rFonts w:hint="eastAsia" w:ascii="宋体" w:hAnsi="宋体" w:eastAsia="宋体" w:cs="宋体"/>
                <w:b w:val="0"/>
                <w:bCs w:val="0"/>
                <w:color w:val="auto"/>
                <w:sz w:val="21"/>
                <w:szCs w:val="21"/>
                <w:lang w:eastAsia="zh-CN"/>
              </w:rPr>
              <w:t>。</w:t>
            </w:r>
          </w:p>
          <w:p w14:paraId="0DC3D03A">
            <w:pPr>
              <w:keepNext w:val="0"/>
              <w:keepLines w:val="0"/>
              <w:pageBreakBefore w:val="0"/>
              <w:widowControl/>
              <w:numPr>
                <w:ilvl w:val="0"/>
                <w:numId w:val="0"/>
              </w:numPr>
              <w:kinsoku/>
              <w:wordWrap/>
              <w:overflowPunct/>
              <w:topLinePunct w:val="0"/>
              <w:autoSpaceDE/>
              <w:autoSpaceDN/>
              <w:bidi w:val="0"/>
              <w:adjustRightInd/>
              <w:snapToGrid/>
              <w:spacing w:line="240" w:lineRule="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2.值班人员</w:t>
            </w:r>
            <w:r>
              <w:rPr>
                <w:rFonts w:hint="eastAsia" w:ascii="宋体" w:hAnsi="宋体" w:eastAsia="宋体" w:cs="宋体"/>
                <w:b w:val="0"/>
                <w:bCs w:val="0"/>
                <w:color w:val="auto"/>
                <w:sz w:val="21"/>
                <w:szCs w:val="21"/>
                <w:lang w:eastAsia="zh-CN"/>
              </w:rPr>
              <w:t>对</w:t>
            </w:r>
            <w:r>
              <w:rPr>
                <w:rFonts w:hint="eastAsia" w:ascii="宋体" w:hAnsi="宋体" w:eastAsia="宋体" w:cs="宋体"/>
                <w:b w:val="0"/>
                <w:bCs w:val="0"/>
                <w:color w:val="auto"/>
                <w:sz w:val="21"/>
                <w:szCs w:val="21"/>
                <w:lang w:val="en-US" w:eastAsia="zh-CN"/>
              </w:rPr>
              <w:t>建筑垃圾场进行</w:t>
            </w:r>
            <w:r>
              <w:rPr>
                <w:rFonts w:hint="eastAsia" w:ascii="宋体" w:hAnsi="宋体" w:eastAsia="宋体" w:cs="宋体"/>
                <w:b w:val="0"/>
                <w:bCs w:val="0"/>
                <w:color w:val="auto"/>
                <w:sz w:val="21"/>
                <w:szCs w:val="21"/>
              </w:rPr>
              <w:t>日常巡查，</w:t>
            </w:r>
            <w:r>
              <w:rPr>
                <w:rFonts w:hint="eastAsia" w:ascii="宋体" w:hAnsi="宋体" w:eastAsia="宋体" w:cs="宋体"/>
                <w:b w:val="0"/>
                <w:bCs w:val="0"/>
                <w:color w:val="auto"/>
                <w:sz w:val="21"/>
                <w:szCs w:val="21"/>
                <w:lang w:eastAsia="zh-CN"/>
              </w:rPr>
              <w:t>督促</w:t>
            </w:r>
            <w:r>
              <w:rPr>
                <w:rFonts w:hint="eastAsia" w:ascii="宋体" w:hAnsi="宋体" w:eastAsia="宋体" w:cs="宋体"/>
                <w:b w:val="0"/>
                <w:bCs w:val="0"/>
                <w:color w:val="auto"/>
                <w:sz w:val="21"/>
                <w:szCs w:val="21"/>
                <w:lang w:val="en-US" w:eastAsia="zh-CN"/>
              </w:rPr>
              <w:t>洒水车</w:t>
            </w:r>
            <w:r>
              <w:rPr>
                <w:rFonts w:hint="eastAsia" w:ascii="宋体" w:hAnsi="宋体" w:eastAsia="宋体" w:cs="宋体"/>
                <w:b w:val="0"/>
                <w:bCs w:val="0"/>
                <w:color w:val="auto"/>
                <w:sz w:val="21"/>
                <w:szCs w:val="21"/>
              </w:rPr>
              <w:t>撒水压尘，</w:t>
            </w:r>
            <w:r>
              <w:rPr>
                <w:rFonts w:hint="eastAsia" w:ascii="宋体" w:hAnsi="宋体" w:eastAsia="宋体" w:cs="宋体"/>
                <w:b w:val="0"/>
                <w:bCs w:val="0"/>
                <w:color w:val="auto"/>
                <w:sz w:val="21"/>
                <w:szCs w:val="21"/>
                <w:lang w:val="en-US" w:eastAsia="zh-CN"/>
              </w:rPr>
              <w:t>装载机及时填埋，推土机</w:t>
            </w:r>
            <w:r>
              <w:rPr>
                <w:rFonts w:hint="eastAsia" w:ascii="宋体" w:hAnsi="宋体" w:eastAsia="宋体" w:cs="宋体"/>
                <w:b w:val="0"/>
                <w:bCs w:val="0"/>
                <w:color w:val="auto"/>
                <w:sz w:val="21"/>
                <w:szCs w:val="21"/>
              </w:rPr>
              <w:t>夯实碾压</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做好建筑垃圾场的值班值守工作,严格检查进场车辆,做好填埋区的日常覆盖及对应台账。</w:t>
            </w:r>
          </w:p>
          <w:p w14:paraId="3C5E4607">
            <w:pPr>
              <w:pStyle w:val="434"/>
              <w:keepNext w:val="0"/>
              <w:keepLines w:val="0"/>
              <w:pageBreakBefore w:val="0"/>
              <w:widowControl/>
              <w:kinsoku/>
              <w:wordWrap/>
              <w:overflowPunct/>
              <w:topLinePunct w:val="0"/>
              <w:autoSpaceDE/>
              <w:autoSpaceDN/>
              <w:bidi w:val="0"/>
              <w:adjustRightInd/>
              <w:snapToGrid/>
              <w:spacing w:line="240" w:lineRule="auto"/>
              <w:ind w:left="0" w:leftChars="0" w:firstLine="0" w:firstLineChars="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3.配合主管部门完成各级环保部门检查及整改工作。</w:t>
            </w:r>
          </w:p>
          <w:p w14:paraId="041F7AD3">
            <w:pPr>
              <w:keepNext w:val="0"/>
              <w:keepLines w:val="0"/>
              <w:pageBreakBefore w:val="0"/>
              <w:widowControl/>
              <w:shd w:val="clea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每天</w:t>
            </w:r>
            <w:r>
              <w:rPr>
                <w:rFonts w:hint="eastAsia" w:ascii="宋体" w:hAnsi="宋体" w:eastAsia="宋体" w:cs="宋体"/>
                <w:b w:val="0"/>
                <w:bCs w:val="0"/>
                <w:color w:val="auto"/>
                <w:sz w:val="21"/>
                <w:szCs w:val="21"/>
                <w:highlight w:val="none"/>
                <w:lang w:eastAsia="zh-CN"/>
              </w:rPr>
              <w:t>对</w:t>
            </w:r>
            <w:r>
              <w:rPr>
                <w:rFonts w:hint="eastAsia" w:ascii="宋体" w:hAnsi="宋体" w:eastAsia="宋体" w:cs="宋体"/>
                <w:b w:val="0"/>
                <w:bCs w:val="0"/>
                <w:color w:val="auto"/>
                <w:sz w:val="21"/>
                <w:szCs w:val="21"/>
                <w:highlight w:val="none"/>
              </w:rPr>
              <w:t>各施工工地进行巡查</w:t>
            </w:r>
            <w:r>
              <w:rPr>
                <w:rFonts w:hint="eastAsia" w:ascii="宋体" w:hAnsi="宋体" w:eastAsia="宋体" w:cs="宋体"/>
                <w:b w:val="0"/>
                <w:bCs w:val="0"/>
                <w:color w:val="auto"/>
                <w:sz w:val="21"/>
                <w:szCs w:val="21"/>
                <w:highlight w:val="none"/>
                <w:lang w:eastAsia="zh-CN"/>
              </w:rPr>
              <w:t>检查</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对垃圾场进行24小时值班监管，对拉运垃圾的车辆进行票、证检查</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检查商砼车辆是否符合拉运要求，是否办理商砼拉运手续。发现不达标或违规现象，立查立改。</w:t>
            </w:r>
          </w:p>
        </w:tc>
        <w:tc>
          <w:tcPr>
            <w:tcW w:w="3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CFA55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未24小时监管，0.5分/次。</w:t>
            </w:r>
          </w:p>
          <w:p w14:paraId="0B0B32C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未按规范填埋、降尘，1分/次。</w:t>
            </w:r>
          </w:p>
          <w:p w14:paraId="6A5E90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环保整改不彻底，1分/次；</w:t>
            </w:r>
          </w:p>
          <w:p w14:paraId="0378E6C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数据及相关台账不完整，0.5分/次。</w:t>
            </w:r>
          </w:p>
          <w:p w14:paraId="5621CD0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未做到每日巡查，0.5分/次。</w:t>
            </w:r>
          </w:p>
          <w:p w14:paraId="1034E44B">
            <w:pPr>
              <w:pStyle w:val="2"/>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环保措施落实不到位，发生重大环保事故，5分/次。</w:t>
            </w:r>
          </w:p>
        </w:tc>
        <w:tc>
          <w:tcPr>
            <w:tcW w:w="956" w:type="dxa"/>
            <w:tcBorders>
              <w:top w:val="single" w:color="000000" w:sz="4" w:space="0"/>
              <w:left w:val="single" w:color="000000" w:sz="4" w:space="0"/>
              <w:bottom w:val="single" w:color="000000" w:sz="4" w:space="0"/>
              <w:right w:val="single" w:color="000000" w:sz="4" w:space="0"/>
            </w:tcBorders>
            <w:shd w:val="clear" w:color="auto" w:fill="FFFFFF"/>
            <w:vAlign w:val="bottom"/>
          </w:tcPr>
          <w:p w14:paraId="14EB4B66">
            <w:pPr>
              <w:keepNext w:val="0"/>
              <w:keepLines w:val="0"/>
              <w:pageBreakBefore w:val="0"/>
              <w:widowControl/>
              <w:kinsoku/>
              <w:wordWrap/>
              <w:overflowPunct/>
              <w:topLinePunct w:val="0"/>
              <w:autoSpaceDE/>
              <w:autoSpaceDN/>
              <w:bidi w:val="0"/>
              <w:adjustRightInd/>
              <w:snapToGrid/>
              <w:spacing w:line="240" w:lineRule="auto"/>
              <w:ind w:firstLine="420" w:firstLineChars="200"/>
              <w:rPr>
                <w:rFonts w:hint="eastAsia" w:ascii="宋体" w:hAnsi="宋体" w:eastAsia="宋体" w:cs="宋体"/>
                <w:b w:val="0"/>
                <w:bCs w:val="0"/>
                <w:i w:val="0"/>
                <w:iCs w:val="0"/>
                <w:color w:val="auto"/>
                <w:kern w:val="2"/>
                <w:sz w:val="21"/>
                <w:szCs w:val="21"/>
                <w:u w:val="none"/>
                <w:lang w:val="en-US" w:eastAsia="zh-CN" w:bidi="ar-SA"/>
              </w:rPr>
            </w:pPr>
          </w:p>
        </w:tc>
      </w:tr>
      <w:tr w14:paraId="1B927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3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25894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生活垃圾填埋场管理（5分）</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888035">
            <w:pPr>
              <w:keepNext w:val="0"/>
              <w:keepLines w:val="0"/>
              <w:pageBreakBefore w:val="0"/>
              <w:widowControl/>
              <w:shd w:val="clear"/>
              <w:kinsoku/>
              <w:wordWrap/>
              <w:overflowPunct/>
              <w:topLinePunct w:val="0"/>
              <w:autoSpaceDE/>
              <w:autoSpaceDN/>
              <w:bidi w:val="0"/>
              <w:adjustRightInd/>
              <w:snapToGrid/>
              <w:spacing w:line="240" w:lineRule="auto"/>
              <w:ind w:left="0" w:leftChars="0" w:firstLine="0" w:firstLineChars="0"/>
              <w:jc w:val="both"/>
              <w:textAlignment w:val="auto"/>
              <w:outlineLvl w:val="3"/>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SA"/>
              </w:rPr>
              <w:t>1.有灭蝇、灭鼠设施，定期消毒灭蝇灭鼠、除臭，非垃圾堆放场地基本无蝇。</w:t>
            </w:r>
          </w:p>
          <w:p w14:paraId="0FC6CA09">
            <w:pPr>
              <w:keepNext w:val="0"/>
              <w:keepLines w:val="0"/>
              <w:pageBreakBefore w:val="0"/>
              <w:widowControl/>
              <w:shd w:val="clear"/>
              <w:kinsoku/>
              <w:wordWrap/>
              <w:overflowPunct/>
              <w:topLinePunct w:val="0"/>
              <w:autoSpaceDE/>
              <w:autoSpaceDN/>
              <w:bidi w:val="0"/>
              <w:adjustRightInd/>
              <w:snapToGrid/>
              <w:spacing w:line="240" w:lineRule="auto"/>
              <w:ind w:left="0" w:leftChars="0" w:firstLine="0" w:firstLineChars="0"/>
              <w:jc w:val="both"/>
              <w:textAlignment w:val="auto"/>
              <w:outlineLvl w:val="3"/>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SA"/>
              </w:rPr>
              <w:t>2.场内道路通畅，路面无泥沙、无扬尘，并及时清理道路排水沟，无积水。</w:t>
            </w:r>
          </w:p>
          <w:p w14:paraId="6153359C">
            <w:pPr>
              <w:keepNext w:val="0"/>
              <w:keepLines w:val="0"/>
              <w:pageBreakBefore w:val="0"/>
              <w:widowControl/>
              <w:shd w:val="clear"/>
              <w:kinsoku/>
              <w:wordWrap/>
              <w:overflowPunct/>
              <w:topLinePunct w:val="0"/>
              <w:autoSpaceDE/>
              <w:autoSpaceDN/>
              <w:bidi w:val="0"/>
              <w:adjustRightInd/>
              <w:snapToGrid/>
              <w:spacing w:line="240" w:lineRule="auto"/>
              <w:ind w:left="0" w:leftChars="0" w:firstLine="0" w:firstLineChars="0"/>
              <w:jc w:val="both"/>
              <w:textAlignment w:val="auto"/>
              <w:outlineLvl w:val="3"/>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SA"/>
              </w:rPr>
              <w:t>3.定期检查维护排气装置，确保填埋区气体正常排放。</w:t>
            </w:r>
          </w:p>
          <w:p w14:paraId="761977AF">
            <w:pPr>
              <w:keepNext w:val="0"/>
              <w:keepLines w:val="0"/>
              <w:pageBreakBefore w:val="0"/>
              <w:widowControl/>
              <w:shd w:val="clear"/>
              <w:kinsoku/>
              <w:wordWrap/>
              <w:overflowPunct/>
              <w:topLinePunct w:val="0"/>
              <w:autoSpaceDE/>
              <w:autoSpaceDN/>
              <w:bidi w:val="0"/>
              <w:adjustRightInd/>
              <w:snapToGrid/>
              <w:spacing w:line="240" w:lineRule="auto"/>
              <w:ind w:left="0" w:leftChars="0" w:firstLine="0" w:firstLineChars="0"/>
              <w:jc w:val="both"/>
              <w:textAlignment w:val="auto"/>
              <w:outlineLvl w:val="3"/>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SA"/>
              </w:rPr>
              <w:t>4.防飞散设施及措施管理良好，周围无飘扬物。</w:t>
            </w:r>
          </w:p>
          <w:p w14:paraId="76A3ABB7">
            <w:pPr>
              <w:keepNext w:val="0"/>
              <w:keepLines w:val="0"/>
              <w:pageBreakBefore w:val="0"/>
              <w:widowControl/>
              <w:shd w:val="clear"/>
              <w:kinsoku/>
              <w:wordWrap/>
              <w:overflowPunct/>
              <w:topLinePunct w:val="0"/>
              <w:autoSpaceDE/>
              <w:autoSpaceDN/>
              <w:bidi w:val="0"/>
              <w:adjustRightInd/>
              <w:snapToGrid/>
              <w:spacing w:line="240" w:lineRule="auto"/>
              <w:ind w:left="0" w:leftChars="0" w:firstLine="0" w:firstLineChars="0"/>
              <w:jc w:val="both"/>
              <w:textAlignment w:val="auto"/>
              <w:outlineLvl w:val="3"/>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SA"/>
              </w:rPr>
              <w:t>5.定期对大气、渗滤液、地下水等主要指标进行监测，能提供完整准确的监测资料和报告。</w:t>
            </w:r>
          </w:p>
          <w:p w14:paraId="7F1E686D">
            <w:pPr>
              <w:keepNext w:val="0"/>
              <w:keepLines w:val="0"/>
              <w:pageBreakBefore w:val="0"/>
              <w:widowControl/>
              <w:shd w:val="clear"/>
              <w:kinsoku/>
              <w:wordWrap/>
              <w:overflowPunct/>
              <w:topLinePunct w:val="0"/>
              <w:autoSpaceDE/>
              <w:autoSpaceDN/>
              <w:bidi w:val="0"/>
              <w:adjustRightInd/>
              <w:snapToGrid/>
              <w:spacing w:line="240" w:lineRule="auto"/>
              <w:ind w:left="0" w:leftChars="0" w:firstLine="0" w:firstLineChars="0"/>
              <w:jc w:val="both"/>
              <w:textAlignment w:val="auto"/>
              <w:outlineLvl w:val="3"/>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SA"/>
              </w:rPr>
              <w:t>6.有专人负责现场安全管理，采取安全保护措施，禁止非工作人员进入填埋场。</w:t>
            </w:r>
          </w:p>
          <w:p w14:paraId="0FB6B2AB">
            <w:pPr>
              <w:keepNext w:val="0"/>
              <w:keepLines w:val="0"/>
              <w:pageBreakBefore w:val="0"/>
              <w:widowControl/>
              <w:shd w:val="clear"/>
              <w:kinsoku/>
              <w:wordWrap/>
              <w:overflowPunct/>
              <w:topLinePunct w:val="0"/>
              <w:autoSpaceDE/>
              <w:autoSpaceDN/>
              <w:bidi w:val="0"/>
              <w:adjustRightInd/>
              <w:snapToGrid/>
              <w:spacing w:line="240" w:lineRule="auto"/>
              <w:ind w:left="0" w:leftChars="0" w:firstLine="0" w:firstLineChars="0"/>
              <w:jc w:val="both"/>
              <w:textAlignment w:val="auto"/>
              <w:outlineLvl w:val="3"/>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SA"/>
              </w:rPr>
              <w:t>7.有运行作业及设备保养维护台账；各类规章制度、岗位职责健全；场内标识齐全、规范。</w:t>
            </w:r>
          </w:p>
          <w:p w14:paraId="6A4E8E62">
            <w:pPr>
              <w:keepNext w:val="0"/>
              <w:keepLines w:val="0"/>
              <w:pageBreakBefore w:val="0"/>
              <w:widowControl/>
              <w:shd w:val="clear"/>
              <w:kinsoku/>
              <w:wordWrap/>
              <w:overflowPunct/>
              <w:topLinePunct w:val="0"/>
              <w:autoSpaceDE/>
              <w:autoSpaceDN/>
              <w:bidi w:val="0"/>
              <w:adjustRightInd/>
              <w:snapToGrid/>
              <w:spacing w:line="240" w:lineRule="auto"/>
              <w:ind w:left="0" w:leftChars="0" w:firstLine="0" w:firstLineChars="0"/>
              <w:jc w:val="both"/>
              <w:textAlignment w:val="auto"/>
              <w:outlineLvl w:val="3"/>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SA"/>
              </w:rPr>
              <w:t>8.各类资料台账齐全、规范。</w:t>
            </w:r>
          </w:p>
          <w:p w14:paraId="3749CB82">
            <w:pPr>
              <w:pStyle w:val="434"/>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rPr>
                <w:rFonts w:hint="eastAsia" w:ascii="宋体" w:hAnsi="宋体" w:eastAsia="宋体" w:cs="宋体"/>
                <w:b w:val="0"/>
                <w:bCs w:val="0"/>
                <w:i w:val="0"/>
                <w:iCs w:val="0"/>
                <w:color w:val="auto"/>
                <w:kern w:val="0"/>
                <w:sz w:val="21"/>
                <w:szCs w:val="21"/>
                <w:u w:val="none"/>
                <w:lang w:val="en-US" w:eastAsia="zh-CN" w:bidi="ar"/>
              </w:rPr>
            </w:pPr>
          </w:p>
        </w:tc>
        <w:tc>
          <w:tcPr>
            <w:tcW w:w="3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A5E4D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未开展消毒灭蝇灭鼠、除臭，0.5分/次。</w:t>
            </w:r>
          </w:p>
          <w:p w14:paraId="7325306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场内道路积水、扬尘，0.5分/处。</w:t>
            </w:r>
          </w:p>
          <w:p w14:paraId="6BA1B29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填埋场气体排放不正常，1分/次。</w:t>
            </w:r>
          </w:p>
          <w:p w14:paraId="4FCAD30F">
            <w:pPr>
              <w:pStyle w:val="434"/>
              <w:keepNext w:val="0"/>
              <w:keepLines w:val="0"/>
              <w:pageBreakBefore w:val="0"/>
              <w:widowControl/>
              <w:kinsoku/>
              <w:wordWrap/>
              <w:overflowPunct/>
              <w:topLinePunct w:val="0"/>
              <w:autoSpaceDE/>
              <w:autoSpaceDN/>
              <w:bidi w:val="0"/>
              <w:adjustRightInd/>
              <w:snapToGrid/>
              <w:spacing w:line="240" w:lineRule="auto"/>
              <w:ind w:left="0" w:leftChars="0" w:firstLine="0" w:firstLineChars="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防飞散网设施破损，且周边垃圾飘扬，0.5分/处。</w:t>
            </w:r>
          </w:p>
          <w:p w14:paraId="43FE55D6">
            <w:pPr>
              <w:pStyle w:val="434"/>
              <w:keepNext w:val="0"/>
              <w:keepLines w:val="0"/>
              <w:pageBreakBefore w:val="0"/>
              <w:widowControl/>
              <w:kinsoku/>
              <w:wordWrap/>
              <w:overflowPunct/>
              <w:topLinePunct w:val="0"/>
              <w:autoSpaceDE/>
              <w:autoSpaceDN/>
              <w:bidi w:val="0"/>
              <w:adjustRightInd/>
              <w:snapToGrid/>
              <w:spacing w:line="240" w:lineRule="auto"/>
              <w:ind w:left="0" w:leftChars="0" w:firstLine="0" w:firstLineChars="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未定期开展环保检测2分/次。</w:t>
            </w:r>
          </w:p>
          <w:p w14:paraId="0487D493">
            <w:pPr>
              <w:pStyle w:val="434"/>
              <w:keepNext w:val="0"/>
              <w:keepLines w:val="0"/>
              <w:pageBreakBefore w:val="0"/>
              <w:widowControl/>
              <w:kinsoku/>
              <w:wordWrap/>
              <w:overflowPunct/>
              <w:topLinePunct w:val="0"/>
              <w:autoSpaceDE/>
              <w:autoSpaceDN/>
              <w:bidi w:val="0"/>
              <w:adjustRightInd/>
              <w:snapToGrid/>
              <w:spacing w:line="240" w:lineRule="auto"/>
              <w:ind w:left="0" w:leftChars="0" w:firstLine="0" w:firstLineChars="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安全管理措施不全，1分/次。</w:t>
            </w:r>
          </w:p>
          <w:p w14:paraId="26AF307A">
            <w:pPr>
              <w:pStyle w:val="434"/>
              <w:keepNext w:val="0"/>
              <w:keepLines w:val="0"/>
              <w:pageBreakBefore w:val="0"/>
              <w:widowControl/>
              <w:kinsoku/>
              <w:wordWrap/>
              <w:overflowPunct/>
              <w:topLinePunct w:val="0"/>
              <w:autoSpaceDE/>
              <w:autoSpaceDN/>
              <w:bidi w:val="0"/>
              <w:adjustRightInd/>
              <w:snapToGrid/>
              <w:spacing w:line="240" w:lineRule="auto"/>
              <w:ind w:left="0" w:leftChars="0" w:firstLine="0" w:firstLineChars="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运维及资料台账不全，1分/次。</w:t>
            </w:r>
          </w:p>
          <w:p w14:paraId="5D93EECC">
            <w:pPr>
              <w:pStyle w:val="434"/>
              <w:keepNext w:val="0"/>
              <w:keepLines w:val="0"/>
              <w:pageBreakBefore w:val="0"/>
              <w:widowControl/>
              <w:kinsoku/>
              <w:wordWrap/>
              <w:overflowPunct/>
              <w:topLinePunct w:val="0"/>
              <w:autoSpaceDE/>
              <w:autoSpaceDN/>
              <w:bidi w:val="0"/>
              <w:adjustRightInd/>
              <w:snapToGrid/>
              <w:spacing w:line="240" w:lineRule="auto"/>
              <w:ind w:left="0" w:leftChars="0" w:firstLine="0" w:firstLineChars="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未按相关标准规范填埋，1分/次。</w:t>
            </w:r>
          </w:p>
          <w:p w14:paraId="6A1EF645">
            <w:pPr>
              <w:pStyle w:val="434"/>
              <w:keepNext w:val="0"/>
              <w:keepLines w:val="0"/>
              <w:pageBreakBefore w:val="0"/>
              <w:widowControl/>
              <w:kinsoku/>
              <w:wordWrap/>
              <w:overflowPunct/>
              <w:topLinePunct w:val="0"/>
              <w:autoSpaceDE/>
              <w:autoSpaceDN/>
              <w:bidi w:val="0"/>
              <w:adjustRightInd/>
              <w:snapToGrid/>
              <w:spacing w:line="240" w:lineRule="auto"/>
              <w:ind w:left="0" w:leftChars="0" w:firstLine="0" w:firstLineChars="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环保措施落实不到位，发生重大环保事故，5分/次。</w:t>
            </w:r>
          </w:p>
        </w:tc>
        <w:tc>
          <w:tcPr>
            <w:tcW w:w="956" w:type="dxa"/>
            <w:tcBorders>
              <w:top w:val="single" w:color="000000" w:sz="4" w:space="0"/>
              <w:left w:val="single" w:color="000000" w:sz="4" w:space="0"/>
              <w:bottom w:val="single" w:color="000000" w:sz="4" w:space="0"/>
              <w:right w:val="single" w:color="000000" w:sz="4" w:space="0"/>
            </w:tcBorders>
            <w:shd w:val="clear" w:color="auto" w:fill="FFFFFF"/>
            <w:vAlign w:val="bottom"/>
          </w:tcPr>
          <w:p w14:paraId="10E20387">
            <w:pPr>
              <w:keepNext w:val="0"/>
              <w:keepLines w:val="0"/>
              <w:pageBreakBefore w:val="0"/>
              <w:widowControl/>
              <w:kinsoku/>
              <w:wordWrap/>
              <w:overflowPunct/>
              <w:topLinePunct w:val="0"/>
              <w:autoSpaceDE/>
              <w:autoSpaceDN/>
              <w:bidi w:val="0"/>
              <w:adjustRightInd/>
              <w:snapToGrid/>
              <w:spacing w:line="240" w:lineRule="auto"/>
              <w:ind w:firstLine="420" w:firstLineChars="200"/>
              <w:rPr>
                <w:rFonts w:hint="eastAsia" w:ascii="宋体" w:hAnsi="宋体" w:eastAsia="宋体" w:cs="宋体"/>
                <w:b w:val="0"/>
                <w:bCs w:val="0"/>
                <w:i w:val="0"/>
                <w:iCs w:val="0"/>
                <w:color w:val="auto"/>
                <w:kern w:val="2"/>
                <w:sz w:val="21"/>
                <w:szCs w:val="21"/>
                <w:u w:val="none"/>
                <w:lang w:val="en-US" w:eastAsia="zh-CN" w:bidi="ar-SA"/>
              </w:rPr>
            </w:pPr>
          </w:p>
        </w:tc>
      </w:tr>
      <w:tr w14:paraId="103C2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3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15536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人员与设备管理（7分）</w:t>
            </w:r>
          </w:p>
          <w:p w14:paraId="4BE709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工作标准</w:t>
            </w:r>
          </w:p>
          <w:p w14:paraId="13211392">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b w:val="0"/>
                <w:bCs w:val="0"/>
                <w:i w:val="0"/>
                <w:iCs w:val="0"/>
                <w:color w:val="auto"/>
                <w:kern w:val="0"/>
                <w:sz w:val="21"/>
                <w:szCs w:val="21"/>
                <w:u w:val="none"/>
                <w:lang w:val="en-US" w:eastAsia="zh-CN" w:bidi="ar"/>
              </w:rPr>
            </w:pP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FD257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人员：足额配备，定岗定责；统一着装（带反光标识）；新员工岗前培训；按时发薪，无拖欠。</w:t>
            </w:r>
          </w:p>
          <w:p w14:paraId="2BC9734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设备：按合同投入，完好率≥95%；建立“一车一档”每日记录作业情况；定期保养，停放规范。</w:t>
            </w:r>
          </w:p>
          <w:p w14:paraId="4919C9F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安全：驾驶员持证上岗，无酒驾/违规操作；作业现场设置安全警示标志；定期开展安全培训。</w:t>
            </w:r>
          </w:p>
          <w:p w14:paraId="2058EE1C">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b w:val="0"/>
                <w:bCs w:val="0"/>
                <w:i w:val="0"/>
                <w:iCs w:val="0"/>
                <w:color w:val="auto"/>
                <w:kern w:val="0"/>
                <w:sz w:val="21"/>
                <w:szCs w:val="21"/>
                <w:u w:val="none"/>
                <w:lang w:val="en-US" w:eastAsia="zh-CN" w:bidi="ar"/>
              </w:rPr>
            </w:pPr>
          </w:p>
        </w:tc>
        <w:tc>
          <w:tcPr>
            <w:tcW w:w="3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6EF89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人员缺岗：每少5%扣1分；缺岗1人扣0.2分；脱岗/扎堆闲谈：0.5分/人次。</w:t>
            </w:r>
          </w:p>
          <w:p w14:paraId="556BF34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着装不规范：0.2分/人次。</w:t>
            </w:r>
          </w:p>
          <w:p w14:paraId="579F5F5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未开展岗前培训：1分/次。设备不到位：2分/车；未正常使用：1分/台；无台账：1分/台。</w:t>
            </w:r>
          </w:p>
          <w:p w14:paraId="2DE7879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无证操作：3分/次；酒驾/醉驾：3分/次；违规操作：2分/次。</w:t>
            </w:r>
          </w:p>
          <w:p w14:paraId="251A46F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未按时发薪：超10日扣3分/次；工人上访：3分/次。</w:t>
            </w:r>
          </w:p>
          <w:p w14:paraId="18FF7BF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设备私用：2分/次；乱停放：0.5分/台。</w:t>
            </w:r>
          </w:p>
        </w:tc>
        <w:tc>
          <w:tcPr>
            <w:tcW w:w="9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E25A46">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b w:val="0"/>
                <w:bCs w:val="0"/>
                <w:i w:val="0"/>
                <w:iCs w:val="0"/>
                <w:color w:val="auto"/>
                <w:kern w:val="0"/>
                <w:sz w:val="21"/>
                <w:szCs w:val="21"/>
                <w:u w:val="none"/>
                <w:lang w:val="en-US" w:eastAsia="zh-CN" w:bidi="ar"/>
              </w:rPr>
            </w:pPr>
          </w:p>
        </w:tc>
      </w:tr>
      <w:tr w14:paraId="3C2E6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ADA77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运营与应急管理（8分）</w:t>
            </w:r>
          </w:p>
          <w:p w14:paraId="00F643EC">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b w:val="0"/>
                <w:bCs w:val="0"/>
                <w:i w:val="0"/>
                <w:iCs w:val="0"/>
                <w:color w:val="auto"/>
                <w:kern w:val="0"/>
                <w:sz w:val="21"/>
                <w:szCs w:val="21"/>
                <w:u w:val="none"/>
                <w:lang w:val="en-US" w:eastAsia="zh-CN" w:bidi="ar"/>
              </w:rPr>
            </w:pP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7BC7C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投诉处理：12小时内响应，48小时内办结，反馈率100%；建立投诉台账，闭环管理。</w:t>
            </w:r>
          </w:p>
          <w:p w14:paraId="38C1FB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应急响应：制定暴雨、冰雪、沙尘等应急预案；服从调度，重大活动保障到位；突发情况2小时内到场处置。</w:t>
            </w:r>
          </w:p>
          <w:p w14:paraId="7B44C4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整改：对检查发现的问题，按时限整改，复查合格率100%；无虚假整改。</w:t>
            </w:r>
          </w:p>
          <w:p w14:paraId="7A48EE3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舆情与安全：无媒体曝光有责问题；无安全/环保事故；定期开展安全隐患排查。</w:t>
            </w:r>
          </w:p>
          <w:p w14:paraId="0FB311DD">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b w:val="0"/>
                <w:bCs w:val="0"/>
                <w:i w:val="0"/>
                <w:iCs w:val="0"/>
                <w:color w:val="auto"/>
                <w:kern w:val="0"/>
                <w:sz w:val="21"/>
                <w:szCs w:val="21"/>
                <w:u w:val="none"/>
                <w:lang w:val="en-US" w:eastAsia="zh-CN" w:bidi="ar"/>
              </w:rPr>
            </w:pPr>
          </w:p>
        </w:tc>
        <w:tc>
          <w:tcPr>
            <w:tcW w:w="3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20D04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有责投诉：1分/件；处理不及时：2分/件；督办未整改：3分/件；重复投诉：5分/件。</w:t>
            </w:r>
          </w:p>
          <w:p w14:paraId="52CEF9B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媒体曝光：一般舆情扣2-6分；重大舆情扣10-20分。</w:t>
            </w:r>
          </w:p>
          <w:p w14:paraId="530C1CD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应急不服从调度：2分/次；保障不力：0.5分/次；未处置突发情况：2分/次。</w:t>
            </w:r>
          </w:p>
          <w:p w14:paraId="3584C05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未按期整改：2分/项；虚假整改：3分/项。</w:t>
            </w:r>
          </w:p>
          <w:p w14:paraId="06D40B4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一般安全事故：2分/次；较大事故：5分/次；责任事故：3分/次。上级检查失误：市级批评扣5分；州级批评扣10分；纪律处分扣20分。</w:t>
            </w:r>
          </w:p>
          <w:p w14:paraId="63128989">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b w:val="0"/>
                <w:bCs w:val="0"/>
                <w:i w:val="0"/>
                <w:iCs w:val="0"/>
                <w:color w:val="auto"/>
                <w:kern w:val="0"/>
                <w:sz w:val="21"/>
                <w:szCs w:val="21"/>
                <w:u w:val="none"/>
                <w:lang w:val="en-US" w:eastAsia="zh-CN" w:bidi="ar"/>
              </w:rPr>
            </w:pPr>
          </w:p>
          <w:p w14:paraId="1E3B9C73">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b w:val="0"/>
                <w:bCs w:val="0"/>
                <w:i w:val="0"/>
                <w:iCs w:val="0"/>
                <w:color w:val="auto"/>
                <w:kern w:val="0"/>
                <w:sz w:val="21"/>
                <w:szCs w:val="21"/>
                <w:u w:val="none"/>
                <w:lang w:val="en-US" w:eastAsia="zh-CN" w:bidi="ar"/>
              </w:rPr>
            </w:pPr>
          </w:p>
        </w:tc>
        <w:tc>
          <w:tcPr>
            <w:tcW w:w="9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37C4D2">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b w:val="0"/>
                <w:bCs w:val="0"/>
                <w:i w:val="0"/>
                <w:iCs w:val="0"/>
                <w:color w:val="auto"/>
                <w:kern w:val="0"/>
                <w:sz w:val="21"/>
                <w:szCs w:val="21"/>
                <w:u w:val="none"/>
                <w:lang w:val="en-US" w:eastAsia="zh-CN" w:bidi="ar"/>
              </w:rPr>
            </w:pPr>
          </w:p>
        </w:tc>
      </w:tr>
      <w:tr w14:paraId="3D14B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13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E3EE20">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加分项</w:t>
            </w:r>
          </w:p>
        </w:tc>
        <w:tc>
          <w:tcPr>
            <w:tcW w:w="3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6F07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高标准、高质量完成重要政务活动环境保障等工作任务，包括领导视察（区级以上领导）或大型活动等，完成非责任范围内的应急保障工作任务的，突发事件应急保障中作用明显，经甲方书面认可，每次加5分</w:t>
            </w:r>
          </w:p>
        </w:tc>
        <w:tc>
          <w:tcPr>
            <w:tcW w:w="3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FD55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加5分</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1BB8C">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rPr>
                <w:rFonts w:hint="eastAsia" w:ascii="宋体" w:hAnsi="宋体" w:eastAsia="宋体" w:cs="宋体"/>
                <w:b w:val="0"/>
                <w:bCs w:val="0"/>
                <w:i w:val="0"/>
                <w:iCs w:val="0"/>
                <w:color w:val="auto"/>
                <w:sz w:val="21"/>
                <w:szCs w:val="21"/>
                <w:u w:val="none"/>
              </w:rPr>
            </w:pPr>
          </w:p>
        </w:tc>
      </w:tr>
      <w:tr w14:paraId="62178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3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6F2F1">
            <w:pPr>
              <w:keepNext w:val="0"/>
              <w:keepLines w:val="0"/>
              <w:pageBreakBefore w:val="0"/>
              <w:widowControl/>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b w:val="0"/>
                <w:bCs w:val="0"/>
                <w:i w:val="0"/>
                <w:iCs w:val="0"/>
                <w:color w:val="auto"/>
                <w:sz w:val="21"/>
                <w:szCs w:val="21"/>
                <w:u w:val="none"/>
              </w:rPr>
            </w:pPr>
          </w:p>
        </w:tc>
        <w:tc>
          <w:tcPr>
            <w:tcW w:w="3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1DD1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环卫保洁工作突出，有市级以上领导表扬批示并有相关文件，</w:t>
            </w:r>
            <w:r>
              <w:rPr>
                <w:rStyle w:val="431"/>
                <w:rFonts w:hint="eastAsia" w:ascii="宋体" w:hAnsi="宋体" w:eastAsia="宋体" w:cs="宋体"/>
                <w:b w:val="0"/>
                <w:bCs w:val="0"/>
                <w:color w:val="auto"/>
                <w:sz w:val="21"/>
                <w:szCs w:val="21"/>
                <w:lang w:val="en-US" w:eastAsia="zh-CN" w:bidi="ar"/>
              </w:rPr>
              <w:t>经甲方书面认可，</w:t>
            </w:r>
            <w:r>
              <w:rPr>
                <w:rStyle w:val="433"/>
                <w:rFonts w:hint="eastAsia" w:ascii="宋体" w:hAnsi="宋体" w:eastAsia="宋体" w:cs="宋体"/>
                <w:b w:val="0"/>
                <w:bCs w:val="0"/>
                <w:color w:val="auto"/>
                <w:sz w:val="21"/>
                <w:szCs w:val="21"/>
                <w:lang w:val="en-US" w:eastAsia="zh-CN" w:bidi="ar"/>
              </w:rPr>
              <w:t>每次加3分</w:t>
            </w:r>
          </w:p>
        </w:tc>
        <w:tc>
          <w:tcPr>
            <w:tcW w:w="3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2C32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加3分</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52F2C">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rPr>
                <w:rFonts w:hint="eastAsia" w:ascii="宋体" w:hAnsi="宋体" w:eastAsia="宋体" w:cs="宋体"/>
                <w:b w:val="0"/>
                <w:bCs w:val="0"/>
                <w:i w:val="0"/>
                <w:iCs w:val="0"/>
                <w:color w:val="auto"/>
                <w:sz w:val="21"/>
                <w:szCs w:val="21"/>
                <w:u w:val="none"/>
              </w:rPr>
            </w:pPr>
          </w:p>
        </w:tc>
      </w:tr>
      <w:tr w14:paraId="3C38D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5779A">
            <w:pPr>
              <w:keepNext w:val="0"/>
              <w:keepLines w:val="0"/>
              <w:pageBreakBefore w:val="0"/>
              <w:widowControl/>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b w:val="0"/>
                <w:bCs w:val="0"/>
                <w:i w:val="0"/>
                <w:iCs w:val="0"/>
                <w:color w:val="auto"/>
                <w:sz w:val="21"/>
                <w:szCs w:val="21"/>
                <w:u w:val="none"/>
              </w:rPr>
            </w:pPr>
          </w:p>
        </w:tc>
        <w:tc>
          <w:tcPr>
            <w:tcW w:w="3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352B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被区级以上新闻媒体表扬，经核实的，加2分。</w:t>
            </w:r>
          </w:p>
        </w:tc>
        <w:tc>
          <w:tcPr>
            <w:tcW w:w="3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3DE2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加2分</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D2475">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rPr>
                <w:rFonts w:hint="eastAsia" w:ascii="宋体" w:hAnsi="宋体" w:eastAsia="宋体" w:cs="宋体"/>
                <w:b w:val="0"/>
                <w:bCs w:val="0"/>
                <w:i w:val="0"/>
                <w:iCs w:val="0"/>
                <w:color w:val="auto"/>
                <w:sz w:val="21"/>
                <w:szCs w:val="21"/>
                <w:u w:val="none"/>
              </w:rPr>
            </w:pPr>
          </w:p>
        </w:tc>
      </w:tr>
      <w:tr w14:paraId="0BF64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DB117">
            <w:pPr>
              <w:keepNext w:val="0"/>
              <w:keepLines w:val="0"/>
              <w:pageBreakBefore w:val="0"/>
              <w:widowControl/>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b w:val="0"/>
                <w:bCs w:val="0"/>
                <w:i w:val="0"/>
                <w:iCs w:val="0"/>
                <w:color w:val="auto"/>
                <w:sz w:val="21"/>
                <w:szCs w:val="21"/>
                <w:u w:val="none"/>
              </w:rPr>
            </w:pPr>
          </w:p>
        </w:tc>
        <w:tc>
          <w:tcPr>
            <w:tcW w:w="3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5DAA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工作信息报送采用，需经甲方审核上报。</w:t>
            </w:r>
          </w:p>
        </w:tc>
        <w:tc>
          <w:tcPr>
            <w:tcW w:w="3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BBE3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同条内容信息被市级媒体采用1篇加0.1分，被州级媒体采用1篇加0.3分。</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59359">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rPr>
                <w:rFonts w:hint="eastAsia" w:ascii="宋体" w:hAnsi="宋体" w:eastAsia="宋体" w:cs="宋体"/>
                <w:b w:val="0"/>
                <w:bCs w:val="0"/>
                <w:i w:val="0"/>
                <w:iCs w:val="0"/>
                <w:color w:val="auto"/>
                <w:sz w:val="21"/>
                <w:szCs w:val="21"/>
                <w:u w:val="none"/>
              </w:rPr>
            </w:pPr>
          </w:p>
        </w:tc>
      </w:tr>
      <w:tr w14:paraId="54A0E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3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E00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考核方法</w:t>
            </w:r>
          </w:p>
        </w:tc>
        <w:tc>
          <w:tcPr>
            <w:tcW w:w="865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22C69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考核结果与付费挂钩</w:t>
            </w:r>
          </w:p>
          <w:p w14:paraId="420AE55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90分（含）以上：不扣服务费。</w:t>
            </w:r>
          </w:p>
          <w:p w14:paraId="6307269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85-89.9分：每少1分扣0.5%服务费。</w:t>
            </w:r>
          </w:p>
          <w:p w14:paraId="2CC725D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75-84.9分：每少1分扣1%服务费，限期整改。</w:t>
            </w:r>
          </w:p>
          <w:p w14:paraId="61166D7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75分以下：每少1分扣2%服务费；连续3个月不达标可终止合同。</w:t>
            </w:r>
          </w:p>
          <w:p w14:paraId="65F1875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执行要点：</w:t>
            </w:r>
          </w:p>
          <w:p w14:paraId="5E94131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日查+周评+月核，采用“问题清单+整改通知+复查销号”闭环管理。</w:t>
            </w:r>
          </w:p>
          <w:p w14:paraId="27DE78C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每项扣分不超模块总分；重大违规（如焚烧垃圾、重大事故）可叠加处罚。</w:t>
            </w:r>
          </w:p>
          <w:p w14:paraId="28C44A4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以合同约定为准，结合项目区域特点（如新疆沙尘天气）调整作业频次与扣分标准。</w:t>
            </w:r>
          </w:p>
          <w:p w14:paraId="3FFA95E4">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center"/>
              <w:textAlignment w:val="center"/>
              <w:rPr>
                <w:rFonts w:hint="eastAsia" w:ascii="宋体" w:hAnsi="宋体" w:eastAsia="宋体" w:cs="宋体"/>
                <w:b w:val="0"/>
                <w:bCs w:val="0"/>
                <w:i w:val="0"/>
                <w:iCs w:val="0"/>
                <w:color w:val="auto"/>
                <w:sz w:val="21"/>
                <w:szCs w:val="21"/>
                <w:u w:val="none"/>
              </w:rPr>
            </w:pPr>
          </w:p>
        </w:tc>
      </w:tr>
      <w:tr w14:paraId="21DFC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5B7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考核结果</w:t>
            </w:r>
          </w:p>
        </w:tc>
        <w:tc>
          <w:tcPr>
            <w:tcW w:w="865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536EF9">
            <w:pPr>
              <w:keepNext w:val="0"/>
              <w:keepLines w:val="0"/>
              <w:pageBreakBefore w:val="0"/>
              <w:widowControl/>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b w:val="0"/>
                <w:bCs w:val="0"/>
                <w:i w:val="0"/>
                <w:iCs w:val="0"/>
                <w:color w:val="auto"/>
                <w:sz w:val="21"/>
                <w:szCs w:val="21"/>
                <w:u w:val="none"/>
              </w:rPr>
            </w:pPr>
          </w:p>
        </w:tc>
      </w:tr>
    </w:tbl>
    <w:p w14:paraId="7EB6C989">
      <w:pPr>
        <w:pStyle w:val="2"/>
        <w:keepNext w:val="0"/>
        <w:keepLines w:val="0"/>
        <w:pageBreakBefore w:val="0"/>
        <w:kinsoku/>
        <w:wordWrap/>
        <w:overflowPunct/>
        <w:topLinePunct w:val="0"/>
        <w:autoSpaceDE/>
        <w:autoSpaceDN/>
        <w:bidi w:val="0"/>
        <w:adjustRightInd/>
        <w:snapToGrid/>
        <w:spacing w:line="360" w:lineRule="auto"/>
        <w:textAlignment w:val="auto"/>
        <w:rPr>
          <w:rFonts w:hint="eastAsia"/>
          <w:color w:val="auto"/>
        </w:rPr>
      </w:pPr>
      <w:r>
        <w:rPr>
          <w:rFonts w:hint="eastAsia" w:asciiTheme="minorEastAsia" w:hAnsiTheme="minorEastAsia" w:eastAsiaTheme="minorEastAsia" w:cstheme="minorEastAsia"/>
          <w:color w:val="auto"/>
          <w:sz w:val="20"/>
          <w:szCs w:val="20"/>
          <w:highlight w:val="none"/>
        </w:rPr>
        <w:br w:type="page"/>
      </w:r>
    </w:p>
    <w:p w14:paraId="4BF22BF4">
      <w:pPr>
        <w:keepNext/>
        <w:keepLines/>
        <w:pageBreakBefore w:val="0"/>
        <w:widowControl w:val="0"/>
        <w:shd w:val="clear"/>
        <w:kinsoku/>
        <w:wordWrap w:val="0"/>
        <w:overflowPunct/>
        <w:topLinePunct w:val="0"/>
        <w:autoSpaceDE/>
        <w:autoSpaceDN/>
        <w:bidi w:val="0"/>
        <w:adjustRightInd/>
        <w:snapToGrid/>
        <w:spacing w:before="0" w:beforeLines="0" w:beforeAutospacing="0" w:after="0" w:afterLines="0" w:afterAutospacing="0" w:line="240" w:lineRule="auto"/>
        <w:ind w:right="0"/>
        <w:jc w:val="center"/>
        <w:textAlignment w:val="auto"/>
        <w:outlineLvl w:val="2"/>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val="0"/>
          <w:bCs w:val="0"/>
          <w:color w:val="auto"/>
          <w:kern w:val="2"/>
          <w:sz w:val="24"/>
          <w:szCs w:val="24"/>
          <w:highlight w:val="none"/>
          <w:lang w:val="en-US" w:eastAsia="zh-CN" w:bidi="ar-SA"/>
        </w:rPr>
        <w:t>附件e：服务人员配置(最低)要求一览表</w:t>
      </w:r>
    </w:p>
    <w:tbl>
      <w:tblPr>
        <w:tblStyle w:val="4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1675"/>
        <w:gridCol w:w="1352"/>
        <w:gridCol w:w="769"/>
        <w:gridCol w:w="3706"/>
        <w:gridCol w:w="1697"/>
      </w:tblGrid>
      <w:tr w14:paraId="70AA4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81" w:type="pct"/>
            <w:noWrap w:val="0"/>
            <w:vAlign w:val="center"/>
          </w:tcPr>
          <w:p w14:paraId="6169EA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服务类别</w:t>
            </w:r>
          </w:p>
        </w:tc>
        <w:tc>
          <w:tcPr>
            <w:tcW w:w="841" w:type="pct"/>
            <w:noWrap w:val="0"/>
            <w:vAlign w:val="center"/>
          </w:tcPr>
          <w:p w14:paraId="56D123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服务工种</w:t>
            </w:r>
          </w:p>
        </w:tc>
        <w:tc>
          <w:tcPr>
            <w:tcW w:w="679" w:type="pct"/>
            <w:noWrap w:val="0"/>
            <w:vAlign w:val="center"/>
          </w:tcPr>
          <w:p w14:paraId="77B39B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人员证件要求</w:t>
            </w:r>
          </w:p>
        </w:tc>
        <w:tc>
          <w:tcPr>
            <w:tcW w:w="386" w:type="pct"/>
            <w:noWrap w:val="0"/>
            <w:vAlign w:val="center"/>
          </w:tcPr>
          <w:p w14:paraId="759655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用工人数</w:t>
            </w:r>
            <w:r>
              <w:rPr>
                <w:rFonts w:hint="eastAsia" w:ascii="宋体" w:hAnsi="宋体" w:eastAsia="宋体" w:cs="宋体"/>
                <w:b/>
                <w:bCs/>
                <w:i w:val="0"/>
                <w:iCs w:val="0"/>
                <w:color w:val="auto"/>
                <w:kern w:val="0"/>
                <w:sz w:val="21"/>
                <w:szCs w:val="21"/>
                <w:u w:val="none"/>
                <w:lang w:val="en-US" w:eastAsia="zh-CN" w:bidi="ar"/>
              </w:rPr>
              <w:br w:type="textWrapping"/>
            </w:r>
            <w:r>
              <w:rPr>
                <w:rFonts w:hint="eastAsia" w:ascii="宋体" w:hAnsi="宋体" w:eastAsia="宋体" w:cs="宋体"/>
                <w:b/>
                <w:bCs/>
                <w:i w:val="0"/>
                <w:iCs w:val="0"/>
                <w:color w:val="auto"/>
                <w:kern w:val="0"/>
                <w:sz w:val="21"/>
                <w:szCs w:val="21"/>
                <w:u w:val="none"/>
                <w:lang w:val="en-US" w:eastAsia="zh-CN" w:bidi="ar"/>
              </w:rPr>
              <w:t>(人)</w:t>
            </w:r>
          </w:p>
        </w:tc>
        <w:tc>
          <w:tcPr>
            <w:tcW w:w="1861" w:type="pct"/>
            <w:noWrap w:val="0"/>
            <w:vAlign w:val="center"/>
          </w:tcPr>
          <w:p w14:paraId="294E88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服务内容</w:t>
            </w:r>
          </w:p>
        </w:tc>
        <w:tc>
          <w:tcPr>
            <w:tcW w:w="851" w:type="pct"/>
            <w:noWrap w:val="0"/>
            <w:vAlign w:val="center"/>
          </w:tcPr>
          <w:p w14:paraId="32CB14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备注</w:t>
            </w:r>
          </w:p>
        </w:tc>
      </w:tr>
      <w:tr w14:paraId="2F5C0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6"/>
            <w:noWrap w:val="0"/>
            <w:vAlign w:val="center"/>
          </w:tcPr>
          <w:p w14:paraId="10CE558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昌吉市</w:t>
            </w:r>
          </w:p>
        </w:tc>
      </w:tr>
      <w:tr w14:paraId="18DAF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81" w:type="pct"/>
            <w:vMerge w:val="restart"/>
            <w:noWrap w:val="0"/>
            <w:vAlign w:val="center"/>
          </w:tcPr>
          <w:p w14:paraId="2D267F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lang w:eastAsia="zh-CN"/>
              </w:rPr>
            </w:pPr>
            <w:r>
              <w:rPr>
                <w:rFonts w:hint="eastAsia" w:ascii="宋体" w:hAnsi="宋体" w:eastAsia="宋体" w:cs="宋体"/>
                <w:b/>
                <w:bCs/>
                <w:i w:val="0"/>
                <w:iCs w:val="0"/>
                <w:color w:val="auto"/>
                <w:sz w:val="21"/>
                <w:szCs w:val="21"/>
                <w:u w:val="none"/>
                <w:lang w:eastAsia="zh-CN"/>
              </w:rPr>
              <w:t>环卫中心</w:t>
            </w:r>
            <w:r>
              <w:rPr>
                <w:rFonts w:hint="eastAsia" w:ascii="宋体" w:hAnsi="宋体" w:cs="宋体"/>
                <w:b/>
                <w:bCs/>
                <w:i w:val="0"/>
                <w:iCs w:val="0"/>
                <w:color w:val="auto"/>
                <w:sz w:val="21"/>
                <w:szCs w:val="21"/>
                <w:u w:val="none"/>
                <w:lang w:eastAsia="zh-CN"/>
              </w:rPr>
              <w:t>（昌吉市）</w:t>
            </w:r>
          </w:p>
        </w:tc>
        <w:tc>
          <w:tcPr>
            <w:tcW w:w="841" w:type="pct"/>
            <w:noWrap w:val="0"/>
            <w:vAlign w:val="center"/>
          </w:tcPr>
          <w:p w14:paraId="56FCF0F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清洁工</w:t>
            </w:r>
          </w:p>
        </w:tc>
        <w:tc>
          <w:tcPr>
            <w:tcW w:w="679" w:type="pct"/>
            <w:noWrap w:val="0"/>
            <w:vAlign w:val="center"/>
          </w:tcPr>
          <w:p w14:paraId="0A0D651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kern w:val="2"/>
                <w:sz w:val="21"/>
                <w:szCs w:val="21"/>
                <w:u w:val="none"/>
                <w:lang w:val="en-US" w:eastAsia="zh-CN" w:bidi="ar-SA"/>
              </w:rPr>
            </w:pPr>
          </w:p>
        </w:tc>
        <w:tc>
          <w:tcPr>
            <w:tcW w:w="386" w:type="pct"/>
            <w:noWrap w:val="0"/>
            <w:vAlign w:val="center"/>
          </w:tcPr>
          <w:p w14:paraId="5C48DC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sz w:val="21"/>
                <w:szCs w:val="21"/>
                <w:u w:val="none"/>
                <w:lang w:val="en-US" w:eastAsia="zh-CN"/>
              </w:rPr>
              <w:t>499</w:t>
            </w:r>
          </w:p>
        </w:tc>
        <w:tc>
          <w:tcPr>
            <w:tcW w:w="1861" w:type="pct"/>
            <w:noWrap w:val="0"/>
            <w:vAlign w:val="center"/>
          </w:tcPr>
          <w:p w14:paraId="0CF9C7EE">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2"/>
                <w:sz w:val="21"/>
                <w:szCs w:val="21"/>
                <w:u w:val="none"/>
                <w:lang w:val="en-US" w:eastAsia="zh-CN" w:bidi="ar-SA"/>
              </w:rPr>
              <w:t>负责市区范围内主次干道、非机动车道、步行道等日常清扫保洁</w:t>
            </w:r>
          </w:p>
        </w:tc>
        <w:tc>
          <w:tcPr>
            <w:tcW w:w="851" w:type="pct"/>
            <w:noWrap w:val="0"/>
            <w:vAlign w:val="center"/>
          </w:tcPr>
          <w:p w14:paraId="1A87C84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kern w:val="2"/>
                <w:sz w:val="21"/>
                <w:szCs w:val="21"/>
                <w:u w:val="none"/>
                <w:lang w:val="en-US" w:eastAsia="zh-CN" w:bidi="ar-SA"/>
              </w:rPr>
            </w:pPr>
          </w:p>
        </w:tc>
      </w:tr>
      <w:tr w14:paraId="16B3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381" w:type="pct"/>
            <w:vMerge w:val="continue"/>
            <w:noWrap w:val="0"/>
            <w:vAlign w:val="center"/>
          </w:tcPr>
          <w:p w14:paraId="70EB7E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noWrap w:val="0"/>
            <w:vAlign w:val="center"/>
          </w:tcPr>
          <w:p w14:paraId="779C96A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垃圾车驾驶员</w:t>
            </w:r>
          </w:p>
        </w:tc>
        <w:tc>
          <w:tcPr>
            <w:tcW w:w="679" w:type="pct"/>
            <w:noWrap w:val="0"/>
            <w:vAlign w:val="center"/>
          </w:tcPr>
          <w:p w14:paraId="4E9F97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B照</w:t>
            </w:r>
          </w:p>
        </w:tc>
        <w:tc>
          <w:tcPr>
            <w:tcW w:w="386" w:type="pct"/>
            <w:noWrap w:val="0"/>
            <w:vAlign w:val="center"/>
          </w:tcPr>
          <w:p w14:paraId="6BC109A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60</w:t>
            </w:r>
          </w:p>
        </w:tc>
        <w:tc>
          <w:tcPr>
            <w:tcW w:w="1861" w:type="pct"/>
            <w:noWrap w:val="0"/>
            <w:vAlign w:val="center"/>
          </w:tcPr>
          <w:p w14:paraId="1871AE54">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负责市区范围内小区、学校及各单位产生的生活垃圾清运</w:t>
            </w:r>
          </w:p>
        </w:tc>
        <w:tc>
          <w:tcPr>
            <w:tcW w:w="851" w:type="pct"/>
            <w:noWrap w:val="0"/>
            <w:vAlign w:val="center"/>
          </w:tcPr>
          <w:p w14:paraId="4CCDAC9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kern w:val="2"/>
                <w:sz w:val="21"/>
                <w:szCs w:val="21"/>
                <w:highlight w:val="none"/>
                <w:u w:val="none"/>
                <w:lang w:val="en-US" w:eastAsia="zh-CN" w:bidi="ar-SA"/>
              </w:rPr>
            </w:pPr>
          </w:p>
        </w:tc>
      </w:tr>
      <w:tr w14:paraId="1AB06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81" w:type="pct"/>
            <w:vMerge w:val="continue"/>
            <w:noWrap w:val="0"/>
            <w:vAlign w:val="center"/>
          </w:tcPr>
          <w:p w14:paraId="026863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noWrap w:val="0"/>
            <w:vAlign w:val="center"/>
          </w:tcPr>
          <w:p w14:paraId="0B54B8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跟车员</w:t>
            </w:r>
          </w:p>
        </w:tc>
        <w:tc>
          <w:tcPr>
            <w:tcW w:w="679" w:type="pct"/>
            <w:noWrap w:val="0"/>
            <w:vAlign w:val="center"/>
          </w:tcPr>
          <w:p w14:paraId="7CB103D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kern w:val="2"/>
                <w:sz w:val="21"/>
                <w:szCs w:val="21"/>
                <w:highlight w:val="none"/>
                <w:u w:val="none"/>
                <w:lang w:val="en-US" w:eastAsia="zh-CN" w:bidi="ar-SA"/>
              </w:rPr>
            </w:pPr>
          </w:p>
        </w:tc>
        <w:tc>
          <w:tcPr>
            <w:tcW w:w="386" w:type="pct"/>
            <w:noWrap w:val="0"/>
            <w:vAlign w:val="center"/>
          </w:tcPr>
          <w:p w14:paraId="45BE284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val="en-US" w:eastAsia="zh-CN"/>
              </w:rPr>
              <w:t>38</w:t>
            </w:r>
          </w:p>
        </w:tc>
        <w:tc>
          <w:tcPr>
            <w:tcW w:w="1861" w:type="pct"/>
            <w:noWrap w:val="0"/>
            <w:vAlign w:val="center"/>
          </w:tcPr>
          <w:p w14:paraId="28D48447">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负责协助市区范围内小区、学校及各单位产生的生活垃圾清运期间的安全管理</w:t>
            </w:r>
          </w:p>
        </w:tc>
        <w:tc>
          <w:tcPr>
            <w:tcW w:w="851" w:type="pct"/>
            <w:noWrap w:val="0"/>
            <w:vAlign w:val="center"/>
          </w:tcPr>
          <w:p w14:paraId="4A39709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kern w:val="2"/>
                <w:sz w:val="21"/>
                <w:szCs w:val="21"/>
                <w:highlight w:val="none"/>
                <w:u w:val="none"/>
                <w:lang w:val="en-US" w:eastAsia="zh-CN" w:bidi="ar-SA"/>
              </w:rPr>
            </w:pPr>
          </w:p>
        </w:tc>
      </w:tr>
      <w:tr w14:paraId="6C215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381" w:type="pct"/>
            <w:vMerge w:val="continue"/>
            <w:noWrap w:val="0"/>
            <w:vAlign w:val="center"/>
          </w:tcPr>
          <w:p w14:paraId="2DEB73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noWrap w:val="0"/>
            <w:vAlign w:val="center"/>
          </w:tcPr>
          <w:p w14:paraId="0F8D4B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装载机、挖掘机、中巴车驾驶员</w:t>
            </w:r>
          </w:p>
        </w:tc>
        <w:tc>
          <w:tcPr>
            <w:tcW w:w="679" w:type="pct"/>
            <w:noWrap w:val="0"/>
            <w:vAlign w:val="center"/>
          </w:tcPr>
          <w:p w14:paraId="31B7EEA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val="en-US" w:eastAsia="zh-CN"/>
              </w:rPr>
              <w:t>A照</w:t>
            </w:r>
          </w:p>
        </w:tc>
        <w:tc>
          <w:tcPr>
            <w:tcW w:w="386" w:type="pct"/>
            <w:noWrap w:val="0"/>
            <w:vAlign w:val="center"/>
          </w:tcPr>
          <w:p w14:paraId="15AF5A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w:t>
            </w:r>
          </w:p>
        </w:tc>
        <w:tc>
          <w:tcPr>
            <w:tcW w:w="1861" w:type="pct"/>
            <w:noWrap w:val="0"/>
            <w:vAlign w:val="center"/>
          </w:tcPr>
          <w:p w14:paraId="24D92536">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负责夏季清运建筑垃圾、冬季协助开展积雪清理、装填融雪剂、城北垃圾填埋场工作人员通勤用车</w:t>
            </w:r>
          </w:p>
        </w:tc>
        <w:tc>
          <w:tcPr>
            <w:tcW w:w="851" w:type="pct"/>
            <w:noWrap w:val="0"/>
            <w:vAlign w:val="center"/>
          </w:tcPr>
          <w:p w14:paraId="376E108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kern w:val="2"/>
                <w:sz w:val="21"/>
                <w:szCs w:val="21"/>
                <w:highlight w:val="none"/>
                <w:u w:val="none"/>
                <w:lang w:val="en-US" w:eastAsia="zh-CN" w:bidi="ar-SA"/>
              </w:rPr>
            </w:pPr>
          </w:p>
        </w:tc>
      </w:tr>
      <w:tr w14:paraId="7FAC5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81" w:type="pct"/>
            <w:vMerge w:val="continue"/>
            <w:noWrap w:val="0"/>
            <w:vAlign w:val="center"/>
          </w:tcPr>
          <w:p w14:paraId="719E67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noWrap w:val="0"/>
            <w:vAlign w:val="center"/>
          </w:tcPr>
          <w:p w14:paraId="133328B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公厕保洁员</w:t>
            </w:r>
          </w:p>
        </w:tc>
        <w:tc>
          <w:tcPr>
            <w:tcW w:w="679" w:type="pct"/>
            <w:noWrap w:val="0"/>
            <w:vAlign w:val="center"/>
          </w:tcPr>
          <w:p w14:paraId="2982EFD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kern w:val="2"/>
                <w:sz w:val="21"/>
                <w:szCs w:val="21"/>
                <w:highlight w:val="none"/>
                <w:u w:val="none"/>
                <w:lang w:val="en-US" w:eastAsia="zh-CN" w:bidi="ar-SA"/>
              </w:rPr>
            </w:pPr>
          </w:p>
        </w:tc>
        <w:tc>
          <w:tcPr>
            <w:tcW w:w="386" w:type="pct"/>
            <w:noWrap w:val="0"/>
            <w:vAlign w:val="center"/>
          </w:tcPr>
          <w:p w14:paraId="0891DC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181</w:t>
            </w:r>
          </w:p>
        </w:tc>
        <w:tc>
          <w:tcPr>
            <w:tcW w:w="1861" w:type="pct"/>
            <w:noWrap w:val="0"/>
            <w:vAlign w:val="center"/>
          </w:tcPr>
          <w:p w14:paraId="067682BA">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负责免费公厕日常保洁及管护</w:t>
            </w:r>
          </w:p>
        </w:tc>
        <w:tc>
          <w:tcPr>
            <w:tcW w:w="851" w:type="pct"/>
            <w:noWrap w:val="0"/>
            <w:vAlign w:val="center"/>
          </w:tcPr>
          <w:p w14:paraId="7CF2C65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kern w:val="2"/>
                <w:sz w:val="21"/>
                <w:szCs w:val="21"/>
                <w:highlight w:val="none"/>
                <w:u w:val="none"/>
                <w:lang w:val="en-US" w:eastAsia="zh-CN" w:bidi="ar-SA"/>
              </w:rPr>
            </w:pPr>
          </w:p>
        </w:tc>
      </w:tr>
      <w:tr w14:paraId="34AE6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81" w:type="pct"/>
            <w:vMerge w:val="continue"/>
            <w:noWrap w:val="0"/>
            <w:vAlign w:val="center"/>
          </w:tcPr>
          <w:p w14:paraId="08B45C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noWrap w:val="0"/>
            <w:vAlign w:val="center"/>
          </w:tcPr>
          <w:p w14:paraId="2CF65C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压实机、推土机驾驶员</w:t>
            </w:r>
          </w:p>
        </w:tc>
        <w:tc>
          <w:tcPr>
            <w:tcW w:w="679" w:type="pct"/>
            <w:noWrap w:val="0"/>
            <w:vAlign w:val="center"/>
          </w:tcPr>
          <w:p w14:paraId="1D016C1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val="en-US" w:eastAsia="zh-CN"/>
              </w:rPr>
              <w:t>B照</w:t>
            </w:r>
          </w:p>
        </w:tc>
        <w:tc>
          <w:tcPr>
            <w:tcW w:w="386" w:type="pct"/>
            <w:noWrap w:val="0"/>
            <w:vAlign w:val="center"/>
          </w:tcPr>
          <w:p w14:paraId="5948E3D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w:t>
            </w:r>
          </w:p>
        </w:tc>
        <w:tc>
          <w:tcPr>
            <w:tcW w:w="1861" w:type="pct"/>
            <w:noWrap w:val="0"/>
            <w:vAlign w:val="center"/>
          </w:tcPr>
          <w:p w14:paraId="56657FD4">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负责建筑垃圾场、生活垃圾场特种机械操作</w:t>
            </w:r>
          </w:p>
        </w:tc>
        <w:tc>
          <w:tcPr>
            <w:tcW w:w="851" w:type="pct"/>
            <w:noWrap w:val="0"/>
            <w:vAlign w:val="center"/>
          </w:tcPr>
          <w:p w14:paraId="33B47C90">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kern w:val="2"/>
                <w:sz w:val="21"/>
                <w:szCs w:val="21"/>
                <w:highlight w:val="none"/>
                <w:u w:val="none"/>
                <w:lang w:val="en-US" w:eastAsia="zh-CN" w:bidi="ar-SA"/>
              </w:rPr>
            </w:pPr>
          </w:p>
        </w:tc>
      </w:tr>
      <w:tr w14:paraId="2B7C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81" w:type="pct"/>
            <w:vMerge w:val="continue"/>
            <w:noWrap w:val="0"/>
            <w:vAlign w:val="center"/>
          </w:tcPr>
          <w:p w14:paraId="1A44093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noWrap w:val="0"/>
            <w:vAlign w:val="center"/>
          </w:tcPr>
          <w:p w14:paraId="1D7C349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巡查车、交通车驾驶员</w:t>
            </w:r>
          </w:p>
        </w:tc>
        <w:tc>
          <w:tcPr>
            <w:tcW w:w="679" w:type="pct"/>
            <w:noWrap w:val="0"/>
            <w:vAlign w:val="center"/>
          </w:tcPr>
          <w:p w14:paraId="591020D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val="en-US" w:eastAsia="zh-CN"/>
              </w:rPr>
              <w:t>A照、C照</w:t>
            </w:r>
          </w:p>
        </w:tc>
        <w:tc>
          <w:tcPr>
            <w:tcW w:w="386" w:type="pct"/>
            <w:noWrap w:val="0"/>
            <w:vAlign w:val="center"/>
          </w:tcPr>
          <w:p w14:paraId="272FEAB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32</w:t>
            </w:r>
          </w:p>
        </w:tc>
        <w:tc>
          <w:tcPr>
            <w:tcW w:w="1861" w:type="pct"/>
            <w:noWrap w:val="0"/>
            <w:vAlign w:val="center"/>
          </w:tcPr>
          <w:p w14:paraId="0C884526">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负责市区范围内日常巡检、大件垃圾回收、日常快速保洁</w:t>
            </w:r>
          </w:p>
        </w:tc>
        <w:tc>
          <w:tcPr>
            <w:tcW w:w="851" w:type="pct"/>
            <w:noWrap w:val="0"/>
            <w:vAlign w:val="center"/>
          </w:tcPr>
          <w:p w14:paraId="36112D5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kern w:val="2"/>
                <w:sz w:val="21"/>
                <w:szCs w:val="21"/>
                <w:highlight w:val="none"/>
                <w:u w:val="none"/>
                <w:lang w:val="en-US" w:eastAsia="zh-CN" w:bidi="ar-SA"/>
              </w:rPr>
            </w:pPr>
          </w:p>
        </w:tc>
      </w:tr>
      <w:tr w14:paraId="7EE83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81" w:type="pct"/>
            <w:vMerge w:val="continue"/>
            <w:noWrap w:val="0"/>
            <w:vAlign w:val="center"/>
          </w:tcPr>
          <w:p w14:paraId="3D978B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noWrap w:val="0"/>
            <w:vAlign w:val="center"/>
          </w:tcPr>
          <w:p w14:paraId="63B752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车辆维修工</w:t>
            </w:r>
          </w:p>
        </w:tc>
        <w:tc>
          <w:tcPr>
            <w:tcW w:w="679" w:type="pct"/>
            <w:noWrap w:val="0"/>
            <w:vAlign w:val="center"/>
          </w:tcPr>
          <w:p w14:paraId="6017944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val="en-US" w:eastAsia="zh-CN"/>
              </w:rPr>
              <w:t>初级证</w:t>
            </w:r>
          </w:p>
        </w:tc>
        <w:tc>
          <w:tcPr>
            <w:tcW w:w="386" w:type="pct"/>
            <w:noWrap w:val="0"/>
            <w:vAlign w:val="center"/>
          </w:tcPr>
          <w:p w14:paraId="2F5E82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w:t>
            </w:r>
          </w:p>
        </w:tc>
        <w:tc>
          <w:tcPr>
            <w:tcW w:w="1861" w:type="pct"/>
            <w:noWrap w:val="0"/>
            <w:vAlign w:val="center"/>
          </w:tcPr>
          <w:p w14:paraId="5593B8B8">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负责环卫特种作业车辆日常维修维护保养</w:t>
            </w:r>
          </w:p>
        </w:tc>
        <w:tc>
          <w:tcPr>
            <w:tcW w:w="851" w:type="pct"/>
            <w:noWrap w:val="0"/>
            <w:vAlign w:val="center"/>
          </w:tcPr>
          <w:p w14:paraId="4154FD2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kern w:val="2"/>
                <w:sz w:val="21"/>
                <w:szCs w:val="21"/>
                <w:highlight w:val="none"/>
                <w:u w:val="none"/>
                <w:lang w:val="en-US" w:eastAsia="zh-CN" w:bidi="ar-SA"/>
              </w:rPr>
            </w:pPr>
          </w:p>
        </w:tc>
      </w:tr>
      <w:tr w14:paraId="054E6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81" w:type="pct"/>
            <w:vMerge w:val="continue"/>
            <w:noWrap w:val="0"/>
            <w:vAlign w:val="center"/>
          </w:tcPr>
          <w:p w14:paraId="4B1CA3B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noWrap w:val="0"/>
            <w:vAlign w:val="center"/>
          </w:tcPr>
          <w:p w14:paraId="7AC1DD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设施维修工</w:t>
            </w:r>
          </w:p>
        </w:tc>
        <w:tc>
          <w:tcPr>
            <w:tcW w:w="679" w:type="pct"/>
            <w:noWrap w:val="0"/>
            <w:vAlign w:val="center"/>
          </w:tcPr>
          <w:p w14:paraId="3BD299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初级证书</w:t>
            </w:r>
          </w:p>
        </w:tc>
        <w:tc>
          <w:tcPr>
            <w:tcW w:w="386" w:type="pct"/>
            <w:noWrap w:val="0"/>
            <w:vAlign w:val="center"/>
          </w:tcPr>
          <w:p w14:paraId="50D9FE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val="en-US" w:eastAsia="zh-CN"/>
              </w:rPr>
              <w:t>26</w:t>
            </w:r>
          </w:p>
        </w:tc>
        <w:tc>
          <w:tcPr>
            <w:tcW w:w="1861" w:type="pct"/>
            <w:noWrap w:val="0"/>
            <w:vAlign w:val="center"/>
          </w:tcPr>
          <w:p w14:paraId="5AB6EBFE">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负责免费公厕、环卫设施日常维修维护</w:t>
            </w:r>
          </w:p>
        </w:tc>
        <w:tc>
          <w:tcPr>
            <w:tcW w:w="851" w:type="pct"/>
            <w:noWrap w:val="0"/>
            <w:vAlign w:val="center"/>
          </w:tcPr>
          <w:p w14:paraId="3F28469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kern w:val="2"/>
                <w:sz w:val="21"/>
                <w:szCs w:val="21"/>
                <w:highlight w:val="none"/>
                <w:u w:val="none"/>
                <w:lang w:val="en-US" w:eastAsia="zh-CN" w:bidi="ar-SA"/>
              </w:rPr>
            </w:pPr>
          </w:p>
        </w:tc>
      </w:tr>
      <w:tr w14:paraId="1FD15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81" w:type="pct"/>
            <w:vMerge w:val="continue"/>
            <w:noWrap w:val="0"/>
            <w:vAlign w:val="center"/>
          </w:tcPr>
          <w:p w14:paraId="5972A6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noWrap w:val="0"/>
            <w:vAlign w:val="center"/>
          </w:tcPr>
          <w:p w14:paraId="4F0F21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绿化工、卫生员、保洁员</w:t>
            </w:r>
          </w:p>
        </w:tc>
        <w:tc>
          <w:tcPr>
            <w:tcW w:w="679" w:type="pct"/>
            <w:noWrap w:val="0"/>
            <w:vAlign w:val="center"/>
          </w:tcPr>
          <w:p w14:paraId="234A81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86" w:type="pct"/>
            <w:noWrap w:val="0"/>
            <w:vAlign w:val="center"/>
          </w:tcPr>
          <w:p w14:paraId="5C16657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val="en-US" w:eastAsia="zh-CN"/>
              </w:rPr>
              <w:t>17</w:t>
            </w:r>
          </w:p>
        </w:tc>
        <w:tc>
          <w:tcPr>
            <w:tcW w:w="1861" w:type="pct"/>
            <w:noWrap w:val="0"/>
            <w:vAlign w:val="center"/>
          </w:tcPr>
          <w:p w14:paraId="1DB59F75">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负责城南车队、城北车队、3个转运站、榆树沟垃圾场、城北生活垃圾填埋场等场所绿化、保洁等</w:t>
            </w:r>
          </w:p>
        </w:tc>
        <w:tc>
          <w:tcPr>
            <w:tcW w:w="851" w:type="pct"/>
            <w:noWrap w:val="0"/>
            <w:vAlign w:val="center"/>
          </w:tcPr>
          <w:p w14:paraId="1C9A39B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kern w:val="2"/>
                <w:sz w:val="21"/>
                <w:szCs w:val="21"/>
                <w:highlight w:val="none"/>
                <w:u w:val="none"/>
                <w:lang w:val="en-US" w:eastAsia="zh-CN" w:bidi="ar-SA"/>
              </w:rPr>
            </w:pPr>
          </w:p>
        </w:tc>
      </w:tr>
      <w:tr w14:paraId="2E8AE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81" w:type="pct"/>
            <w:vMerge w:val="continue"/>
            <w:noWrap w:val="0"/>
            <w:vAlign w:val="center"/>
          </w:tcPr>
          <w:p w14:paraId="19CAC42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noWrap w:val="0"/>
            <w:vAlign w:val="center"/>
          </w:tcPr>
          <w:p w14:paraId="2F786F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厨师</w:t>
            </w:r>
          </w:p>
        </w:tc>
        <w:tc>
          <w:tcPr>
            <w:tcW w:w="679" w:type="pct"/>
            <w:noWrap w:val="0"/>
            <w:vAlign w:val="center"/>
          </w:tcPr>
          <w:p w14:paraId="382780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86" w:type="pct"/>
            <w:noWrap w:val="0"/>
            <w:vAlign w:val="center"/>
          </w:tcPr>
          <w:p w14:paraId="40946A8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val="en-US" w:eastAsia="zh-CN"/>
              </w:rPr>
              <w:t>4</w:t>
            </w:r>
          </w:p>
        </w:tc>
        <w:tc>
          <w:tcPr>
            <w:tcW w:w="1861" w:type="pct"/>
            <w:noWrap w:val="0"/>
            <w:vAlign w:val="center"/>
          </w:tcPr>
          <w:p w14:paraId="4DEF6A98">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负责城西转运站、城北生活垃圾填埋场职工午餐烹饪</w:t>
            </w:r>
          </w:p>
        </w:tc>
        <w:tc>
          <w:tcPr>
            <w:tcW w:w="851" w:type="pct"/>
            <w:noWrap w:val="0"/>
            <w:vAlign w:val="center"/>
          </w:tcPr>
          <w:p w14:paraId="0135BA0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kern w:val="2"/>
                <w:sz w:val="21"/>
                <w:szCs w:val="21"/>
                <w:highlight w:val="none"/>
                <w:u w:val="none"/>
                <w:lang w:val="en-US" w:eastAsia="zh-CN" w:bidi="ar-SA"/>
              </w:rPr>
            </w:pPr>
          </w:p>
        </w:tc>
      </w:tr>
      <w:tr w14:paraId="6C58C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81" w:type="pct"/>
            <w:vMerge w:val="continue"/>
            <w:noWrap w:val="0"/>
            <w:vAlign w:val="center"/>
          </w:tcPr>
          <w:p w14:paraId="1DC2D6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noWrap w:val="0"/>
            <w:vAlign w:val="center"/>
          </w:tcPr>
          <w:p w14:paraId="5F7B580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操作工、计磅员、计量员、库管</w:t>
            </w:r>
          </w:p>
        </w:tc>
        <w:tc>
          <w:tcPr>
            <w:tcW w:w="679" w:type="pct"/>
            <w:noWrap w:val="0"/>
            <w:vAlign w:val="center"/>
          </w:tcPr>
          <w:p w14:paraId="420511D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86" w:type="pct"/>
            <w:noWrap w:val="0"/>
            <w:vAlign w:val="center"/>
          </w:tcPr>
          <w:p w14:paraId="5C89A1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val="en-US" w:eastAsia="zh-CN"/>
              </w:rPr>
              <w:t>13</w:t>
            </w:r>
          </w:p>
        </w:tc>
        <w:tc>
          <w:tcPr>
            <w:tcW w:w="1861" w:type="pct"/>
            <w:noWrap w:val="0"/>
            <w:vAlign w:val="center"/>
          </w:tcPr>
          <w:p w14:paraId="252D7D4A">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负责三个转运站设备操作、计量，修理班库房材料管理</w:t>
            </w:r>
          </w:p>
        </w:tc>
        <w:tc>
          <w:tcPr>
            <w:tcW w:w="851" w:type="pct"/>
            <w:noWrap w:val="0"/>
            <w:vAlign w:val="center"/>
          </w:tcPr>
          <w:p w14:paraId="0558C06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kern w:val="2"/>
                <w:sz w:val="21"/>
                <w:szCs w:val="21"/>
                <w:highlight w:val="none"/>
                <w:u w:val="none"/>
                <w:lang w:val="en-US" w:eastAsia="zh-CN" w:bidi="ar-SA"/>
              </w:rPr>
            </w:pPr>
          </w:p>
        </w:tc>
      </w:tr>
      <w:tr w14:paraId="77E56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81" w:type="pct"/>
            <w:vMerge w:val="continue"/>
            <w:noWrap w:val="0"/>
            <w:vAlign w:val="center"/>
          </w:tcPr>
          <w:p w14:paraId="590A0B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noWrap w:val="0"/>
            <w:vAlign w:val="center"/>
          </w:tcPr>
          <w:p w14:paraId="73C77A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会计</w:t>
            </w:r>
          </w:p>
        </w:tc>
        <w:tc>
          <w:tcPr>
            <w:tcW w:w="679" w:type="pct"/>
            <w:noWrap w:val="0"/>
            <w:vAlign w:val="center"/>
          </w:tcPr>
          <w:p w14:paraId="4BFF7F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初级证</w:t>
            </w:r>
          </w:p>
        </w:tc>
        <w:tc>
          <w:tcPr>
            <w:tcW w:w="386" w:type="pct"/>
            <w:noWrap w:val="0"/>
            <w:vAlign w:val="center"/>
          </w:tcPr>
          <w:p w14:paraId="77D611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val="en-US" w:eastAsia="zh-CN"/>
              </w:rPr>
              <w:t>1</w:t>
            </w:r>
          </w:p>
        </w:tc>
        <w:tc>
          <w:tcPr>
            <w:tcW w:w="1861" w:type="pct"/>
            <w:noWrap w:val="0"/>
            <w:vAlign w:val="center"/>
          </w:tcPr>
          <w:p w14:paraId="764D05BE">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负责环卫中心各类凭证的审核、预算与决算、资产核算、财务报表等工作</w:t>
            </w:r>
          </w:p>
        </w:tc>
        <w:tc>
          <w:tcPr>
            <w:tcW w:w="851" w:type="pct"/>
            <w:noWrap w:val="0"/>
            <w:vAlign w:val="center"/>
          </w:tcPr>
          <w:p w14:paraId="0ADCEBC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kern w:val="2"/>
                <w:sz w:val="21"/>
                <w:szCs w:val="21"/>
                <w:highlight w:val="none"/>
                <w:u w:val="none"/>
                <w:lang w:val="en-US" w:eastAsia="zh-CN" w:bidi="ar-SA"/>
              </w:rPr>
            </w:pPr>
          </w:p>
        </w:tc>
      </w:tr>
      <w:tr w14:paraId="11465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81" w:type="pct"/>
            <w:vMerge w:val="continue"/>
            <w:noWrap w:val="0"/>
            <w:vAlign w:val="center"/>
          </w:tcPr>
          <w:p w14:paraId="2E696C8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noWrap w:val="0"/>
            <w:vAlign w:val="center"/>
          </w:tcPr>
          <w:p w14:paraId="604241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绩效考核员、材料员</w:t>
            </w:r>
          </w:p>
        </w:tc>
        <w:tc>
          <w:tcPr>
            <w:tcW w:w="679" w:type="pct"/>
            <w:noWrap w:val="0"/>
            <w:vAlign w:val="center"/>
          </w:tcPr>
          <w:p w14:paraId="4BD658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大专以上文凭</w:t>
            </w:r>
          </w:p>
        </w:tc>
        <w:tc>
          <w:tcPr>
            <w:tcW w:w="386" w:type="pct"/>
            <w:noWrap w:val="0"/>
            <w:vAlign w:val="center"/>
          </w:tcPr>
          <w:p w14:paraId="125A847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val="en-US" w:eastAsia="zh-CN"/>
              </w:rPr>
              <w:t>29</w:t>
            </w:r>
          </w:p>
        </w:tc>
        <w:tc>
          <w:tcPr>
            <w:tcW w:w="1861" w:type="pct"/>
            <w:noWrap w:val="0"/>
            <w:vAlign w:val="center"/>
          </w:tcPr>
          <w:p w14:paraId="5F6D2736">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负责从事一线环卫工作人员考勤、绩效、安全及工伤预防培训等</w:t>
            </w:r>
          </w:p>
        </w:tc>
        <w:tc>
          <w:tcPr>
            <w:tcW w:w="851" w:type="pct"/>
            <w:noWrap w:val="0"/>
            <w:vAlign w:val="center"/>
          </w:tcPr>
          <w:p w14:paraId="4C6C27B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kern w:val="2"/>
                <w:sz w:val="21"/>
                <w:szCs w:val="21"/>
                <w:highlight w:val="none"/>
                <w:u w:val="none"/>
                <w:lang w:val="en-US" w:eastAsia="zh-CN" w:bidi="ar-SA"/>
              </w:rPr>
            </w:pPr>
          </w:p>
        </w:tc>
      </w:tr>
      <w:tr w14:paraId="1CB20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81" w:type="pct"/>
            <w:vMerge w:val="continue"/>
            <w:noWrap w:val="0"/>
            <w:vAlign w:val="center"/>
          </w:tcPr>
          <w:p w14:paraId="787D33E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noWrap w:val="0"/>
            <w:vAlign w:val="center"/>
          </w:tcPr>
          <w:p w14:paraId="1065E2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锅炉工</w:t>
            </w:r>
          </w:p>
        </w:tc>
        <w:tc>
          <w:tcPr>
            <w:tcW w:w="679" w:type="pct"/>
            <w:noWrap w:val="0"/>
            <w:vAlign w:val="center"/>
          </w:tcPr>
          <w:p w14:paraId="32BAB4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初级证</w:t>
            </w:r>
          </w:p>
        </w:tc>
        <w:tc>
          <w:tcPr>
            <w:tcW w:w="386" w:type="pct"/>
            <w:noWrap w:val="0"/>
            <w:vAlign w:val="center"/>
          </w:tcPr>
          <w:p w14:paraId="59B4EBF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val="en-US" w:eastAsia="zh-CN"/>
              </w:rPr>
              <w:t>2</w:t>
            </w:r>
          </w:p>
        </w:tc>
        <w:tc>
          <w:tcPr>
            <w:tcW w:w="1861" w:type="pct"/>
            <w:noWrap w:val="0"/>
            <w:vAlign w:val="center"/>
          </w:tcPr>
          <w:p w14:paraId="4D8897C8">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负责中山路、建国路环卫所冬季电采暖锅炉操作；从事夏季道路保洁清扫等工作</w:t>
            </w:r>
          </w:p>
        </w:tc>
        <w:tc>
          <w:tcPr>
            <w:tcW w:w="851" w:type="pct"/>
            <w:noWrap w:val="0"/>
            <w:vAlign w:val="center"/>
          </w:tcPr>
          <w:p w14:paraId="7B73346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kern w:val="2"/>
                <w:sz w:val="21"/>
                <w:szCs w:val="21"/>
                <w:highlight w:val="none"/>
                <w:u w:val="none"/>
                <w:lang w:val="en-US" w:eastAsia="zh-CN" w:bidi="ar-SA"/>
              </w:rPr>
            </w:pPr>
          </w:p>
        </w:tc>
      </w:tr>
      <w:tr w14:paraId="36A8E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81" w:type="pct"/>
            <w:vMerge w:val="continue"/>
            <w:noWrap w:val="0"/>
            <w:vAlign w:val="center"/>
          </w:tcPr>
          <w:p w14:paraId="1F0F028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noWrap w:val="0"/>
            <w:vAlign w:val="center"/>
          </w:tcPr>
          <w:p w14:paraId="413E54B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清扫、清雪、洒水车驾驶员</w:t>
            </w:r>
          </w:p>
        </w:tc>
        <w:tc>
          <w:tcPr>
            <w:tcW w:w="679" w:type="pct"/>
            <w:noWrap w:val="0"/>
            <w:vAlign w:val="center"/>
          </w:tcPr>
          <w:p w14:paraId="0E88588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B照</w:t>
            </w:r>
          </w:p>
        </w:tc>
        <w:tc>
          <w:tcPr>
            <w:tcW w:w="386" w:type="pct"/>
            <w:noWrap w:val="0"/>
            <w:vAlign w:val="center"/>
          </w:tcPr>
          <w:p w14:paraId="76A77F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val="en-US" w:eastAsia="zh-CN"/>
              </w:rPr>
              <w:t>77</w:t>
            </w:r>
          </w:p>
        </w:tc>
        <w:tc>
          <w:tcPr>
            <w:tcW w:w="1861" w:type="pct"/>
            <w:noWrap w:val="0"/>
            <w:vAlign w:val="center"/>
          </w:tcPr>
          <w:p w14:paraId="780EFCA9">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从事夏季主干道道路清洗、清扫保洁、护栏清洗等工作；从事冬季主次干道机械化扫雪运雪工作</w:t>
            </w:r>
          </w:p>
        </w:tc>
        <w:tc>
          <w:tcPr>
            <w:tcW w:w="851" w:type="pct"/>
            <w:noWrap w:val="0"/>
            <w:vAlign w:val="center"/>
          </w:tcPr>
          <w:p w14:paraId="58A924C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kern w:val="2"/>
                <w:sz w:val="21"/>
                <w:szCs w:val="21"/>
                <w:highlight w:val="none"/>
                <w:u w:val="none"/>
                <w:lang w:val="en-US" w:eastAsia="zh-CN" w:bidi="ar-SA"/>
              </w:rPr>
            </w:pPr>
          </w:p>
        </w:tc>
      </w:tr>
      <w:tr w14:paraId="393BE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81" w:type="pct"/>
            <w:vMerge w:val="continue"/>
            <w:noWrap w:val="0"/>
            <w:vAlign w:val="center"/>
          </w:tcPr>
          <w:p w14:paraId="61BE89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noWrap w:val="0"/>
            <w:vAlign w:val="center"/>
          </w:tcPr>
          <w:p w14:paraId="7D4CD13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小扫车、小清洗车、滑移清雪车驾驶员</w:t>
            </w:r>
          </w:p>
        </w:tc>
        <w:tc>
          <w:tcPr>
            <w:tcW w:w="679" w:type="pct"/>
            <w:noWrap w:val="0"/>
            <w:vAlign w:val="center"/>
          </w:tcPr>
          <w:p w14:paraId="0BB610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B照</w:t>
            </w:r>
          </w:p>
        </w:tc>
        <w:tc>
          <w:tcPr>
            <w:tcW w:w="386" w:type="pct"/>
            <w:noWrap w:val="0"/>
            <w:vAlign w:val="center"/>
          </w:tcPr>
          <w:p w14:paraId="54F5E5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46</w:t>
            </w:r>
          </w:p>
        </w:tc>
        <w:tc>
          <w:tcPr>
            <w:tcW w:w="1861" w:type="pct"/>
            <w:noWrap w:val="0"/>
            <w:vAlign w:val="center"/>
          </w:tcPr>
          <w:p w14:paraId="3ED905D1">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从事夏季次干道、人行道、非机动车道等清扫保洁工作；从事冬季主次干道机械化扫雪运雪工作</w:t>
            </w:r>
          </w:p>
        </w:tc>
        <w:tc>
          <w:tcPr>
            <w:tcW w:w="851" w:type="pct"/>
            <w:noWrap w:val="0"/>
            <w:vAlign w:val="center"/>
          </w:tcPr>
          <w:p w14:paraId="31F9D4A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kern w:val="2"/>
                <w:sz w:val="21"/>
                <w:szCs w:val="21"/>
                <w:highlight w:val="none"/>
                <w:u w:val="none"/>
                <w:lang w:val="en-US" w:eastAsia="zh-CN" w:bidi="ar-SA"/>
              </w:rPr>
            </w:pPr>
          </w:p>
        </w:tc>
      </w:tr>
      <w:tr w14:paraId="07D8D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81" w:type="pct"/>
            <w:vMerge w:val="continue"/>
            <w:noWrap w:val="0"/>
            <w:vAlign w:val="center"/>
          </w:tcPr>
          <w:p w14:paraId="76CE02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noWrap w:val="0"/>
            <w:vAlign w:val="center"/>
          </w:tcPr>
          <w:p w14:paraId="01D7CC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清扫清雪车驾驶员</w:t>
            </w:r>
          </w:p>
        </w:tc>
        <w:tc>
          <w:tcPr>
            <w:tcW w:w="679" w:type="pct"/>
            <w:noWrap w:val="0"/>
            <w:vAlign w:val="center"/>
          </w:tcPr>
          <w:p w14:paraId="539415E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B照</w:t>
            </w:r>
          </w:p>
        </w:tc>
        <w:tc>
          <w:tcPr>
            <w:tcW w:w="386" w:type="pct"/>
            <w:noWrap w:val="0"/>
            <w:vAlign w:val="center"/>
          </w:tcPr>
          <w:p w14:paraId="092619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355</w:t>
            </w:r>
          </w:p>
        </w:tc>
        <w:tc>
          <w:tcPr>
            <w:tcW w:w="1861" w:type="pct"/>
            <w:noWrap w:val="0"/>
            <w:vAlign w:val="center"/>
          </w:tcPr>
          <w:p w14:paraId="554CA91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从事冬季主次干道机械化扫雪运雪工作</w:t>
            </w:r>
          </w:p>
        </w:tc>
        <w:tc>
          <w:tcPr>
            <w:tcW w:w="851" w:type="pct"/>
            <w:noWrap w:val="0"/>
            <w:vAlign w:val="center"/>
          </w:tcPr>
          <w:p w14:paraId="4AC9F29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冬季5个月（11月-次年3月）</w:t>
            </w:r>
          </w:p>
        </w:tc>
      </w:tr>
    </w:tbl>
    <w:p w14:paraId="6BC4A421">
      <w:pPr>
        <w:keepNext w:val="0"/>
        <w:keepLines w:val="0"/>
        <w:pageBreakBefore w:val="0"/>
        <w:widowControl/>
        <w:shd w:val="clear"/>
        <w:kinsoku/>
        <w:wordWrap/>
        <w:overflowPunct/>
        <w:topLinePunct w:val="0"/>
        <w:autoSpaceDE/>
        <w:autoSpaceDN/>
        <w:bidi w:val="0"/>
        <w:adjustRightInd/>
        <w:snapToGrid/>
        <w:spacing w:beforeAutospacing="0" w:afterAutospacing="0" w:line="500" w:lineRule="exact"/>
        <w:jc w:val="left"/>
        <w:textAlignment w:val="auto"/>
        <w:rPr>
          <w:rFonts w:hint="eastAsia" w:ascii="宋体" w:hAnsi="宋体" w:eastAsia="宋体" w:cs="宋体"/>
          <w:b/>
          <w:bCs/>
          <w:color w:val="auto"/>
          <w:kern w:val="0"/>
          <w:sz w:val="28"/>
          <w:szCs w:val="28"/>
          <w:highlight w:val="none"/>
          <w:lang w:val="en-US" w:eastAsia="zh-CN"/>
        </w:rPr>
      </w:pPr>
      <w:r>
        <w:rPr>
          <w:rFonts w:hint="eastAsia" w:ascii="宋体" w:hAnsi="宋体" w:eastAsia="宋体" w:cs="宋体"/>
          <w:b/>
          <w:bCs/>
          <w:color w:val="auto"/>
          <w:kern w:val="0"/>
          <w:sz w:val="28"/>
          <w:szCs w:val="28"/>
          <w:highlight w:val="none"/>
          <w:lang w:val="en-US" w:eastAsia="zh-CN"/>
        </w:rPr>
        <w:t>（2）市政养护管理</w:t>
      </w:r>
    </w:p>
    <w:p w14:paraId="1FAA0594">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2" w:firstLineChars="200"/>
        <w:jc w:val="left"/>
        <w:textAlignment w:val="baseline"/>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一、后勤保障服务</w:t>
      </w:r>
    </w:p>
    <w:p w14:paraId="2FE38F86">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2" w:firstLineChars="200"/>
        <w:jc w:val="left"/>
        <w:textAlignment w:val="baseline"/>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（一）服务范围</w:t>
      </w:r>
    </w:p>
    <w:p w14:paraId="429028B7">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 xml:space="preserve">    昌吉市市区范围内市政设施的养护维护后勤保障。</w:t>
      </w:r>
    </w:p>
    <w:p w14:paraId="170B5D83">
      <w:pPr>
        <w:keepNext w:val="0"/>
        <w:keepLines w:val="0"/>
        <w:pageBreakBefore w:val="0"/>
        <w:widowControl/>
        <w:kinsoku/>
        <w:wordWrap/>
        <w:overflowPunct/>
        <w:topLinePunct w:val="0"/>
        <w:autoSpaceDE/>
        <w:autoSpaceDN/>
        <w:bidi w:val="0"/>
        <w:adjustRightInd w:val="0"/>
        <w:snapToGrid w:val="0"/>
        <w:spacing w:line="360" w:lineRule="auto"/>
        <w:ind w:left="0" w:leftChars="0" w:firstLine="482" w:firstLineChars="200"/>
        <w:jc w:val="both"/>
        <w:textAlignment w:val="baseline"/>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（二）服务内容</w:t>
      </w:r>
    </w:p>
    <w:p w14:paraId="5F2B6165">
      <w:pPr>
        <w:pStyle w:val="2"/>
        <w:keepNext w:val="0"/>
        <w:keepLines w:val="0"/>
        <w:pageBreakBefore w:val="0"/>
        <w:kinsoku/>
        <w:wordWrap/>
        <w:overflowPunct/>
        <w:topLinePunct w:val="0"/>
        <w:autoSpaceDE/>
        <w:autoSpaceDN/>
        <w:bidi w:val="0"/>
        <w:adjustRightInd w:val="0"/>
        <w:snapToGrid w:val="0"/>
        <w:spacing w:line="360" w:lineRule="auto"/>
        <w:ind w:left="0" w:leftChars="0" w:firstLine="480" w:firstLineChars="200"/>
        <w:rPr>
          <w:rFonts w:hint="eastAsia" w:ascii="宋体" w:hAnsi="宋体" w:eastAsia="宋体" w:cs="宋体"/>
          <w:b w:val="0"/>
          <w:color w:val="auto"/>
          <w:kern w:val="0"/>
          <w:sz w:val="24"/>
          <w:szCs w:val="24"/>
          <w:lang w:val="en-US" w:eastAsia="zh-CN" w:bidi="ar-SA"/>
        </w:rPr>
      </w:pPr>
      <w:r>
        <w:rPr>
          <w:rFonts w:hint="eastAsia" w:ascii="宋体" w:hAnsi="宋体" w:eastAsia="宋体" w:cs="宋体"/>
          <w:b w:val="0"/>
          <w:color w:val="auto"/>
          <w:kern w:val="0"/>
          <w:sz w:val="24"/>
          <w:szCs w:val="24"/>
          <w:lang w:val="en-US" w:eastAsia="zh-CN" w:bidi="ar-SA"/>
        </w:rPr>
        <w:t>1.12345热线、吉事通、智慧综治、州市长信箱、城区6个街道精细化管理群内的市政设施问题接单、派单、回复工作。</w:t>
      </w:r>
    </w:p>
    <w:p w14:paraId="421BEDD2">
      <w:pPr>
        <w:pStyle w:val="2"/>
        <w:keepNext w:val="0"/>
        <w:keepLines w:val="0"/>
        <w:pageBreakBefore w:val="0"/>
        <w:kinsoku/>
        <w:wordWrap/>
        <w:overflowPunct/>
        <w:topLinePunct w:val="0"/>
        <w:autoSpaceDE/>
        <w:autoSpaceDN/>
        <w:bidi w:val="0"/>
        <w:adjustRightInd w:val="0"/>
        <w:snapToGrid w:val="0"/>
        <w:spacing w:line="360" w:lineRule="auto"/>
        <w:ind w:left="0" w:leftChars="0" w:firstLine="480" w:firstLineChars="200"/>
        <w:rPr>
          <w:rFonts w:hint="eastAsia" w:ascii="宋体" w:hAnsi="宋体" w:eastAsia="宋体" w:cs="宋体"/>
          <w:b w:val="0"/>
          <w:color w:val="auto"/>
          <w:kern w:val="0"/>
          <w:sz w:val="24"/>
          <w:szCs w:val="24"/>
          <w:lang w:val="en-US" w:eastAsia="zh-CN" w:bidi="ar-SA"/>
        </w:rPr>
      </w:pPr>
      <w:r>
        <w:rPr>
          <w:rFonts w:hint="eastAsia" w:ascii="宋体" w:hAnsi="宋体" w:eastAsia="宋体" w:cs="宋体"/>
          <w:b w:val="0"/>
          <w:color w:val="auto"/>
          <w:kern w:val="0"/>
          <w:sz w:val="24"/>
          <w:szCs w:val="24"/>
          <w:lang w:val="en-US" w:eastAsia="zh-CN" w:bidi="ar-SA"/>
        </w:rPr>
        <w:t>2.整理市政养护工作档案资料，定期形成工作报告。</w:t>
      </w:r>
    </w:p>
    <w:p w14:paraId="1F41831A">
      <w:pPr>
        <w:pStyle w:val="2"/>
        <w:keepNext w:val="0"/>
        <w:keepLines w:val="0"/>
        <w:pageBreakBefore w:val="0"/>
        <w:kinsoku/>
        <w:wordWrap/>
        <w:overflowPunct/>
        <w:topLinePunct w:val="0"/>
        <w:autoSpaceDE/>
        <w:autoSpaceDN/>
        <w:bidi w:val="0"/>
        <w:adjustRightInd w:val="0"/>
        <w:snapToGrid w:val="0"/>
        <w:spacing w:line="360" w:lineRule="auto"/>
        <w:ind w:left="0" w:leftChars="0" w:firstLine="480" w:firstLineChars="200"/>
        <w:rPr>
          <w:rFonts w:hint="eastAsia" w:ascii="宋体" w:hAnsi="宋体" w:eastAsia="宋体" w:cs="宋体"/>
          <w:b w:val="0"/>
          <w:color w:val="auto"/>
          <w:kern w:val="0"/>
          <w:sz w:val="24"/>
          <w:szCs w:val="24"/>
          <w:lang w:val="en-US" w:eastAsia="zh-CN" w:bidi="ar-SA"/>
        </w:rPr>
      </w:pPr>
      <w:r>
        <w:rPr>
          <w:rFonts w:hint="eastAsia" w:ascii="宋体" w:hAnsi="宋体" w:eastAsia="宋体" w:cs="宋体"/>
          <w:b w:val="0"/>
          <w:color w:val="auto"/>
          <w:kern w:val="0"/>
          <w:sz w:val="24"/>
          <w:szCs w:val="24"/>
          <w:lang w:val="en-US" w:eastAsia="zh-CN" w:bidi="ar-SA"/>
        </w:rPr>
        <w:t>3.按时完成市政设施电费、网络费用缴纳，故障报修，保障市政设施用电、网络正常运行。对接通信运营商，办理路灯及亮化监控平台的通信卡开通、资费缴纳、故障报修等业务；对接电业局，办理路灯及亮化电费缴纳及开具发票等相关业务。</w:t>
      </w:r>
    </w:p>
    <w:p w14:paraId="52CA1268">
      <w:pPr>
        <w:pStyle w:val="2"/>
        <w:keepNext w:val="0"/>
        <w:keepLines w:val="0"/>
        <w:pageBreakBefore w:val="0"/>
        <w:kinsoku/>
        <w:wordWrap/>
        <w:overflowPunct/>
        <w:topLinePunct w:val="0"/>
        <w:autoSpaceDE/>
        <w:autoSpaceDN/>
        <w:bidi w:val="0"/>
        <w:adjustRightInd w:val="0"/>
        <w:snapToGrid w:val="0"/>
        <w:spacing w:line="360" w:lineRule="auto"/>
        <w:ind w:left="0" w:leftChars="0" w:firstLine="480" w:firstLineChars="200"/>
        <w:rPr>
          <w:rFonts w:hint="eastAsia" w:ascii="宋体" w:hAnsi="宋体" w:eastAsia="宋体" w:cs="宋体"/>
          <w:b w:val="0"/>
          <w:color w:val="auto"/>
          <w:kern w:val="0"/>
          <w:sz w:val="24"/>
          <w:szCs w:val="24"/>
          <w:lang w:val="en-US" w:eastAsia="zh-CN" w:bidi="ar-SA"/>
        </w:rPr>
      </w:pPr>
      <w:r>
        <w:rPr>
          <w:rFonts w:hint="eastAsia" w:ascii="宋体" w:hAnsi="宋体" w:eastAsia="宋体" w:cs="宋体"/>
          <w:b w:val="0"/>
          <w:color w:val="auto"/>
          <w:kern w:val="0"/>
          <w:sz w:val="24"/>
          <w:szCs w:val="24"/>
          <w:lang w:val="en-US" w:eastAsia="zh-CN" w:bidi="ar-SA"/>
        </w:rPr>
        <w:t>4.根据单位安排对防汛、防涝等市政突发应急问题进行应急值班、巡查、处置工作。</w:t>
      </w:r>
    </w:p>
    <w:p w14:paraId="6B53F56F">
      <w:pPr>
        <w:pStyle w:val="2"/>
        <w:keepNext w:val="0"/>
        <w:keepLines w:val="0"/>
        <w:pageBreakBefore w:val="0"/>
        <w:kinsoku/>
        <w:wordWrap/>
        <w:overflowPunct/>
        <w:topLinePunct w:val="0"/>
        <w:autoSpaceDE/>
        <w:autoSpaceDN/>
        <w:bidi w:val="0"/>
        <w:adjustRightInd w:val="0"/>
        <w:snapToGrid w:val="0"/>
        <w:spacing w:line="360" w:lineRule="auto"/>
        <w:ind w:left="0" w:leftChars="0" w:firstLine="480" w:firstLineChars="200"/>
        <w:rPr>
          <w:rFonts w:hint="eastAsia" w:ascii="宋体" w:hAnsi="宋体" w:eastAsia="宋体" w:cs="宋体"/>
          <w:b w:val="0"/>
          <w:color w:val="auto"/>
          <w:kern w:val="0"/>
          <w:sz w:val="24"/>
          <w:szCs w:val="24"/>
          <w:lang w:val="en-US" w:eastAsia="zh-CN" w:bidi="ar-SA"/>
        </w:rPr>
      </w:pPr>
      <w:r>
        <w:rPr>
          <w:rFonts w:hint="eastAsia" w:ascii="宋体" w:hAnsi="宋体" w:eastAsia="宋体" w:cs="宋体"/>
          <w:b w:val="0"/>
          <w:color w:val="auto"/>
          <w:kern w:val="0"/>
          <w:sz w:val="24"/>
          <w:szCs w:val="24"/>
          <w:lang w:val="en-US" w:eastAsia="zh-CN" w:bidi="ar-SA"/>
        </w:rPr>
        <w:t>5.按照政府和上级部门的要求完成其他交办的工作任务。</w:t>
      </w:r>
    </w:p>
    <w:p w14:paraId="10BEAAFE">
      <w:pPr>
        <w:keepNext w:val="0"/>
        <w:keepLines w:val="0"/>
        <w:pageBreakBefore w:val="0"/>
        <w:widowControl/>
        <w:kinsoku/>
        <w:wordWrap/>
        <w:overflowPunct/>
        <w:topLinePunct w:val="0"/>
        <w:autoSpaceDE/>
        <w:autoSpaceDN/>
        <w:bidi w:val="0"/>
        <w:adjustRightInd w:val="0"/>
        <w:snapToGrid w:val="0"/>
        <w:spacing w:line="360" w:lineRule="auto"/>
        <w:ind w:left="0" w:leftChars="0" w:firstLine="482" w:firstLineChars="200"/>
        <w:jc w:val="both"/>
        <w:textAlignment w:val="baseline"/>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（三）工作标准</w:t>
      </w:r>
    </w:p>
    <w:p w14:paraId="2E5FB389">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12345昌吉州政务服务便民热线平台、昌吉市“吉事通”政务服务便民热线平台投诉件</w:t>
      </w:r>
      <w:r>
        <w:rPr>
          <w:rFonts w:hint="eastAsia" w:ascii="宋体" w:hAnsi="宋体" w:eastAsia="宋体" w:cs="宋体"/>
          <w:bCs/>
          <w:color w:val="auto"/>
          <w:kern w:val="2"/>
          <w:sz w:val="24"/>
          <w:szCs w:val="24"/>
          <w:highlight w:val="none"/>
          <w:lang w:val="en-US" w:eastAsia="zh-CN" w:bidi="ar-SA"/>
        </w:rPr>
        <w:t>任务</w:t>
      </w:r>
      <w:r>
        <w:rPr>
          <w:rFonts w:hint="eastAsia" w:ascii="宋体" w:hAnsi="宋体" w:eastAsia="宋体" w:cs="宋体"/>
          <w:color w:val="auto"/>
          <w:sz w:val="24"/>
          <w:szCs w:val="24"/>
        </w:rPr>
        <w:t>接单，派单和回复，接单率100%，</w:t>
      </w:r>
      <w:r>
        <w:rPr>
          <w:rFonts w:hint="eastAsia" w:ascii="宋体" w:hAnsi="宋体" w:eastAsia="宋体" w:cs="宋体"/>
          <w:color w:val="auto"/>
          <w:sz w:val="24"/>
          <w:szCs w:val="24"/>
          <w:lang w:val="en-US" w:eastAsia="zh-CN"/>
        </w:rPr>
        <w:t>派单率</w:t>
      </w:r>
      <w:r>
        <w:rPr>
          <w:rFonts w:hint="eastAsia" w:ascii="宋体" w:hAnsi="宋体" w:eastAsia="宋体" w:cs="宋体"/>
          <w:color w:val="auto"/>
          <w:sz w:val="24"/>
          <w:szCs w:val="24"/>
        </w:rPr>
        <w:t>100%，</w:t>
      </w:r>
      <w:r>
        <w:rPr>
          <w:rFonts w:hint="eastAsia" w:ascii="宋体" w:hAnsi="宋体" w:eastAsia="宋体" w:cs="宋体"/>
          <w:color w:val="auto"/>
          <w:sz w:val="24"/>
          <w:szCs w:val="24"/>
          <w:lang w:val="en-US" w:eastAsia="zh-CN"/>
        </w:rPr>
        <w:t>回复</w:t>
      </w:r>
      <w:r>
        <w:rPr>
          <w:rFonts w:hint="eastAsia" w:ascii="宋体" w:hAnsi="宋体" w:eastAsia="宋体" w:cs="宋体"/>
          <w:color w:val="auto"/>
          <w:sz w:val="24"/>
          <w:szCs w:val="24"/>
        </w:rPr>
        <w:t>满意率98%以上</w:t>
      </w:r>
      <w:r>
        <w:rPr>
          <w:rFonts w:hint="eastAsia" w:ascii="宋体" w:hAnsi="宋体" w:eastAsia="宋体" w:cs="宋体"/>
          <w:bCs/>
          <w:color w:val="auto"/>
          <w:kern w:val="2"/>
          <w:sz w:val="24"/>
          <w:szCs w:val="24"/>
          <w:highlight w:val="none"/>
          <w:lang w:val="en-US" w:eastAsia="zh-CN" w:bidi="ar-SA"/>
        </w:rPr>
        <w:t>。</w:t>
      </w:r>
      <w:r>
        <w:rPr>
          <w:rFonts w:hint="eastAsia" w:ascii="宋体" w:hAnsi="宋体" w:eastAsia="宋体" w:cs="宋体"/>
          <w:color w:val="auto"/>
          <w:sz w:val="24"/>
          <w:szCs w:val="24"/>
        </w:rPr>
        <w:t>涉及紧急类投诉件处理时限规定在2-6小时内完成平台反馈（如：井盖缺失，路面塌陷，雨水篦子缺失塌陷、人行道黑洞，护栏撞损，路灯箱变打火、电缆烧毁大面积灭灯）；涉及一般类投诉件处理时限规定在2-3天内完成平台反馈（如：人行道砖缺失，石球石墩缺失移位，挡车杆破损缺失，休闲石凳破损移位、公交站台宣传版面破损、公交站台防护栏破损缺失、护栏人行通道口，掉头口开设）涉及常态化投诉件处理时限规定5-7天内完成平台反馈（如：主次干道坑洼修补，人行道修补、路灯检修、路沿石修补、护栏安装，护栏交通标识指示灯的维护、</w:t>
      </w:r>
      <w:r>
        <w:rPr>
          <w:rFonts w:hint="eastAsia" w:ascii="宋体" w:hAnsi="宋体" w:eastAsia="宋体" w:cs="宋体"/>
          <w:color w:val="auto"/>
          <w:sz w:val="24"/>
          <w:szCs w:val="24"/>
          <w:lang w:val="en-US" w:eastAsia="zh-CN"/>
        </w:rPr>
        <w:t>亮</w:t>
      </w:r>
      <w:r>
        <w:rPr>
          <w:rFonts w:hint="eastAsia" w:ascii="宋体" w:hAnsi="宋体" w:eastAsia="宋体" w:cs="宋体"/>
          <w:color w:val="auto"/>
          <w:sz w:val="24"/>
          <w:szCs w:val="24"/>
        </w:rPr>
        <w:t>化维护等）；</w:t>
      </w:r>
    </w:p>
    <w:p w14:paraId="4BFA2553">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2.资料归档完整率100%，每月25日前完成分析报告；</w:t>
      </w:r>
    </w:p>
    <w:p w14:paraId="59AED946">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ascii="宋体" w:hAnsi="宋体" w:eastAsia="宋体" w:cs="宋体"/>
          <w:b w:val="0"/>
          <w:color w:val="auto"/>
          <w:kern w:val="0"/>
          <w:sz w:val="24"/>
          <w:szCs w:val="24"/>
          <w:lang w:val="en-US" w:eastAsia="zh-CN" w:bidi="ar-SA"/>
        </w:rPr>
      </w:pPr>
      <w:r>
        <w:rPr>
          <w:rFonts w:hint="eastAsia" w:ascii="宋体" w:hAnsi="宋体" w:eastAsia="宋体" w:cs="宋体"/>
          <w:color w:val="auto"/>
          <w:sz w:val="24"/>
          <w:szCs w:val="24"/>
          <w:lang w:val="en-US" w:eastAsia="zh-CN"/>
        </w:rPr>
        <w:t>3.</w:t>
      </w:r>
      <w:r>
        <w:rPr>
          <w:rFonts w:hint="eastAsia" w:ascii="宋体" w:hAnsi="宋体" w:eastAsia="宋体" w:cs="宋体"/>
          <w:b w:val="0"/>
          <w:color w:val="auto"/>
          <w:kern w:val="0"/>
          <w:sz w:val="24"/>
          <w:szCs w:val="24"/>
          <w:lang w:val="en-US" w:eastAsia="zh-CN" w:bidi="ar-SA"/>
        </w:rPr>
        <w:t>按时完成市政设施电费、网络费用缴纳，故障报修；</w:t>
      </w:r>
    </w:p>
    <w:p w14:paraId="13B6E7E9">
      <w:pPr>
        <w:pStyle w:val="2"/>
        <w:keepNext w:val="0"/>
        <w:keepLines w:val="0"/>
        <w:pageBreakBefore w:val="0"/>
        <w:kinsoku/>
        <w:wordWrap/>
        <w:overflowPunct/>
        <w:topLinePunct w:val="0"/>
        <w:autoSpaceDE/>
        <w:autoSpaceDN/>
        <w:bidi w:val="0"/>
        <w:adjustRightInd w:val="0"/>
        <w:snapToGrid w:val="0"/>
        <w:spacing w:line="360" w:lineRule="auto"/>
        <w:ind w:left="0" w:leftChars="0" w:firstLine="480" w:firstLineChars="200"/>
        <w:rPr>
          <w:rFonts w:hint="eastAsia" w:ascii="宋体" w:hAnsi="宋体" w:eastAsia="宋体" w:cs="宋体"/>
          <w:color w:val="auto"/>
          <w:sz w:val="24"/>
          <w:szCs w:val="24"/>
          <w:lang w:val="en-US" w:eastAsia="zh-CN"/>
        </w:rPr>
      </w:pPr>
      <w:r>
        <w:rPr>
          <w:rFonts w:hint="eastAsia" w:ascii="宋体" w:hAnsi="宋体" w:eastAsia="宋体" w:cs="宋体"/>
          <w:b w:val="0"/>
          <w:color w:val="auto"/>
          <w:kern w:val="0"/>
          <w:sz w:val="24"/>
          <w:szCs w:val="24"/>
          <w:lang w:val="en-US" w:eastAsia="zh-CN" w:bidi="ar-SA"/>
        </w:rPr>
        <w:t>4.按要求完成突发应急事件的支援及响应。</w:t>
      </w:r>
    </w:p>
    <w:p w14:paraId="1FECBA49">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ascii="宋体" w:hAnsi="宋体" w:eastAsia="宋体" w:cs="宋体"/>
          <w:b w:val="0"/>
          <w:color w:val="auto"/>
          <w:kern w:val="0"/>
          <w:sz w:val="24"/>
          <w:szCs w:val="24"/>
          <w:lang w:val="en-US" w:eastAsia="zh-CN" w:bidi="ar-SA"/>
        </w:rPr>
      </w:pPr>
      <w:r>
        <w:rPr>
          <w:rFonts w:hint="eastAsia" w:ascii="宋体" w:hAnsi="宋体" w:eastAsia="宋体" w:cs="宋体"/>
          <w:b w:val="0"/>
          <w:color w:val="auto"/>
          <w:kern w:val="0"/>
          <w:sz w:val="24"/>
          <w:szCs w:val="24"/>
          <w:lang w:val="en-US" w:eastAsia="zh-CN" w:bidi="ar-SA"/>
        </w:rPr>
        <w:t>5.按要求完成政府、上级部门安排的工作任务。</w:t>
      </w:r>
    </w:p>
    <w:p w14:paraId="3780029D">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2" w:firstLineChars="200"/>
        <w:jc w:val="left"/>
        <w:textAlignment w:val="baseline"/>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二、巡检服务</w:t>
      </w:r>
    </w:p>
    <w:p w14:paraId="148AD5B4">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2" w:firstLineChars="200"/>
        <w:jc w:val="left"/>
        <w:textAlignment w:val="baseline"/>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（一）服务范围</w:t>
      </w:r>
    </w:p>
    <w:p w14:paraId="2B3E1B08">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rPr>
          <w:rFonts w:hint="eastAsia" w:ascii="宋体" w:hAnsi="宋体" w:eastAsia="宋体" w:cs="宋体"/>
          <w:color w:val="auto"/>
          <w:sz w:val="24"/>
          <w:szCs w:val="24"/>
          <w:lang w:val="en-US" w:eastAsia="zh-CN"/>
        </w:rPr>
      </w:pPr>
      <w:r>
        <w:rPr>
          <w:rFonts w:hint="eastAsia" w:ascii="宋体" w:hAnsi="宋体" w:eastAsia="宋体" w:cs="宋体"/>
          <w:bCs/>
          <w:color w:val="auto"/>
          <w:kern w:val="2"/>
          <w:sz w:val="24"/>
          <w:szCs w:val="24"/>
          <w:highlight w:val="none"/>
          <w:lang w:val="en-US" w:eastAsia="zh-CN" w:bidi="ar-SA"/>
        </w:rPr>
        <w:t>昌吉市</w:t>
      </w:r>
      <w:r>
        <w:rPr>
          <w:rFonts w:hint="eastAsia" w:ascii="宋体" w:hAnsi="宋体" w:eastAsia="宋体" w:cs="宋体"/>
          <w:color w:val="auto"/>
          <w:kern w:val="0"/>
          <w:sz w:val="24"/>
          <w:szCs w:val="24"/>
          <w:lang w:val="en-US" w:eastAsia="zh-CN" w:bidi="ar-SA"/>
        </w:rPr>
        <w:t>市区范围内市政主次干道、</w:t>
      </w:r>
      <w:r>
        <w:rPr>
          <w:rFonts w:hint="eastAsia" w:ascii="宋体" w:hAnsi="宋体" w:eastAsia="宋体" w:cs="宋体"/>
          <w:bCs/>
          <w:color w:val="auto"/>
          <w:kern w:val="2"/>
          <w:sz w:val="24"/>
          <w:szCs w:val="24"/>
          <w:highlight w:val="none"/>
          <w:lang w:val="en-US" w:eastAsia="zh-CN" w:bidi="ar-SA"/>
        </w:rPr>
        <w:t>巷道及其他市政设施的巡查、检查</w:t>
      </w:r>
      <w:r>
        <w:rPr>
          <w:rFonts w:hint="eastAsia" w:ascii="宋体" w:hAnsi="宋体" w:eastAsia="宋体" w:cs="宋体"/>
          <w:b w:val="0"/>
          <w:bCs/>
          <w:color w:val="auto"/>
          <w:kern w:val="2"/>
          <w:sz w:val="24"/>
          <w:szCs w:val="24"/>
          <w:highlight w:val="none"/>
          <w:lang w:val="en-US" w:eastAsia="zh-CN" w:bidi="ar-SA"/>
        </w:rPr>
        <w:t>。</w:t>
      </w:r>
    </w:p>
    <w:p w14:paraId="4D5E4868">
      <w:pPr>
        <w:keepNext w:val="0"/>
        <w:keepLines w:val="0"/>
        <w:pageBreakBefore w:val="0"/>
        <w:widowControl/>
        <w:kinsoku/>
        <w:wordWrap/>
        <w:overflowPunct/>
        <w:topLinePunct w:val="0"/>
        <w:autoSpaceDE/>
        <w:autoSpaceDN/>
        <w:bidi w:val="0"/>
        <w:adjustRightInd w:val="0"/>
        <w:snapToGrid w:val="0"/>
        <w:spacing w:line="360" w:lineRule="auto"/>
        <w:ind w:left="0" w:leftChars="0" w:firstLine="482" w:firstLineChars="200"/>
        <w:jc w:val="both"/>
        <w:textAlignment w:val="baseline"/>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（二）服务内容</w:t>
      </w:r>
    </w:p>
    <w:p w14:paraId="08E2C510">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1.按时到达巡检区域，巡查市政道路、人行道、路灯、护栏、井盖、雨水篦子、公交站台、飞线、私自开挖等市政附属设施病害问题；</w:t>
      </w:r>
    </w:p>
    <w:p w14:paraId="0636B350">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2.及时对巡查内容及发现问题进行分类汇总，病害处理工作任务分派、处理情况跟踪，并对市政设施事故损坏现场核实和应急处理工作；</w:t>
      </w:r>
    </w:p>
    <w:p w14:paraId="0E70C95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3.定期完成亮灯率统计、报送分析表；</w:t>
      </w:r>
    </w:p>
    <w:p w14:paraId="35ACA921">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4.对投诉事件及养护中心指派的任务，及时赴现场核实情况；</w:t>
      </w:r>
    </w:p>
    <w:p w14:paraId="0C7276FC">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5.对施工现场进行安全生产检查，并对存在的问题及时上报、收集现场资料；</w:t>
      </w:r>
    </w:p>
    <w:p w14:paraId="1BA28C22">
      <w:pPr>
        <w:pStyle w:val="2"/>
        <w:keepNext w:val="0"/>
        <w:keepLines w:val="0"/>
        <w:pageBreakBefore w:val="0"/>
        <w:kinsoku/>
        <w:wordWrap/>
        <w:overflowPunct/>
        <w:topLinePunct w:val="0"/>
        <w:autoSpaceDE/>
        <w:autoSpaceDN/>
        <w:bidi w:val="0"/>
        <w:adjustRightInd w:val="0"/>
        <w:snapToGrid w:val="0"/>
        <w:spacing w:line="360" w:lineRule="auto"/>
        <w:ind w:left="0" w:leftChars="0" w:firstLine="480" w:firstLineChars="200"/>
        <w:rPr>
          <w:rFonts w:hint="eastAsia" w:ascii="宋体" w:hAnsi="宋体" w:eastAsia="宋体" w:cs="宋体"/>
          <w:b w:val="0"/>
          <w:color w:val="auto"/>
          <w:kern w:val="0"/>
          <w:sz w:val="24"/>
          <w:szCs w:val="24"/>
          <w:lang w:val="en-US" w:eastAsia="zh-CN" w:bidi="ar-SA"/>
        </w:rPr>
      </w:pPr>
      <w:r>
        <w:rPr>
          <w:rFonts w:hint="eastAsia" w:ascii="宋体" w:hAnsi="宋体" w:eastAsia="宋体" w:cs="宋体"/>
          <w:b w:val="0"/>
          <w:bCs/>
          <w:color w:val="auto"/>
          <w:kern w:val="2"/>
          <w:sz w:val="24"/>
          <w:szCs w:val="24"/>
          <w:highlight w:val="none"/>
          <w:lang w:val="en-US" w:eastAsia="zh-CN" w:bidi="ar-SA"/>
        </w:rPr>
        <w:t>6.</w:t>
      </w:r>
      <w:r>
        <w:rPr>
          <w:rFonts w:hint="eastAsia" w:ascii="宋体" w:hAnsi="宋体" w:eastAsia="宋体" w:cs="宋体"/>
          <w:b w:val="0"/>
          <w:color w:val="auto"/>
          <w:kern w:val="0"/>
          <w:sz w:val="24"/>
          <w:szCs w:val="24"/>
          <w:lang w:val="en-US" w:eastAsia="zh-CN" w:bidi="ar-SA"/>
        </w:rPr>
        <w:t>根据单位安排对防汛、防涝等市政突发应急问题进行应急值班、巡查、处置工作。</w:t>
      </w:r>
    </w:p>
    <w:p w14:paraId="1F8E434E">
      <w:pPr>
        <w:pStyle w:val="2"/>
        <w:keepNext w:val="0"/>
        <w:keepLines w:val="0"/>
        <w:pageBreakBefore w:val="0"/>
        <w:kinsoku/>
        <w:wordWrap/>
        <w:overflowPunct/>
        <w:topLinePunct w:val="0"/>
        <w:autoSpaceDE/>
        <w:autoSpaceDN/>
        <w:bidi w:val="0"/>
        <w:adjustRightInd w:val="0"/>
        <w:snapToGrid w:val="0"/>
        <w:spacing w:line="360" w:lineRule="auto"/>
        <w:ind w:left="0" w:leftChars="0" w:firstLine="480" w:firstLineChars="200"/>
        <w:rPr>
          <w:rFonts w:hint="eastAsia" w:ascii="宋体" w:hAnsi="宋体" w:eastAsia="宋体" w:cs="宋体"/>
          <w:color w:val="auto"/>
          <w:sz w:val="24"/>
          <w:szCs w:val="24"/>
          <w:lang w:val="en-US" w:eastAsia="zh-CN"/>
        </w:rPr>
      </w:pPr>
      <w:r>
        <w:rPr>
          <w:rFonts w:hint="eastAsia" w:ascii="宋体" w:hAnsi="宋体" w:eastAsia="宋体" w:cs="宋体"/>
          <w:b w:val="0"/>
          <w:color w:val="auto"/>
          <w:kern w:val="0"/>
          <w:sz w:val="24"/>
          <w:szCs w:val="24"/>
          <w:lang w:val="en-US" w:eastAsia="zh-CN" w:bidi="ar-SA"/>
        </w:rPr>
        <w:t>7.按照政府和上级部门的要求完成其他交办的工作任务。</w:t>
      </w:r>
    </w:p>
    <w:p w14:paraId="7B84E532">
      <w:pPr>
        <w:keepNext w:val="0"/>
        <w:keepLines w:val="0"/>
        <w:pageBreakBefore w:val="0"/>
        <w:widowControl/>
        <w:kinsoku/>
        <w:wordWrap/>
        <w:overflowPunct/>
        <w:topLinePunct w:val="0"/>
        <w:autoSpaceDE/>
        <w:autoSpaceDN/>
        <w:bidi w:val="0"/>
        <w:adjustRightInd w:val="0"/>
        <w:snapToGrid w:val="0"/>
        <w:spacing w:line="360" w:lineRule="auto"/>
        <w:ind w:left="0" w:leftChars="0" w:firstLine="482" w:firstLineChars="200"/>
        <w:jc w:val="both"/>
        <w:textAlignment w:val="baseline"/>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（三）工作标准</w:t>
      </w:r>
    </w:p>
    <w:p w14:paraId="7CA4E586">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1.按时到岗，出勤率100%；</w:t>
      </w:r>
    </w:p>
    <w:p w14:paraId="6323FDDB">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2.每天巡查发现市政设施病害问题不少于5条，并及时上报；</w:t>
      </w:r>
    </w:p>
    <w:p w14:paraId="11B61BB3">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3.每周报送巡查问题分类汇总及跟踪处理情况；</w:t>
      </w:r>
    </w:p>
    <w:p w14:paraId="70C8CF68">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4.每月25日前统计亮灯率，并报送分析报表；</w:t>
      </w:r>
    </w:p>
    <w:p w14:paraId="6A7FE508">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5.当接到投诉事件及单位领导指派的任务，30分钟内到达现场核实、处理；</w:t>
      </w:r>
    </w:p>
    <w:p w14:paraId="14276F30">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6.对市政养护中心负责的项目施工现场工程进度和安全设施巡检，发现安全隐患及时上报市政养护中心；</w:t>
      </w:r>
    </w:p>
    <w:p w14:paraId="2967B028">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both"/>
        <w:textAlignment w:val="baseline"/>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7.按要求完成突发应急事件的支援及响应。</w:t>
      </w:r>
    </w:p>
    <w:p w14:paraId="4F2BD2DD">
      <w:pPr>
        <w:pStyle w:val="2"/>
        <w:keepNext w:val="0"/>
        <w:keepLines w:val="0"/>
        <w:pageBreakBefore w:val="0"/>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b w:val="0"/>
          <w:color w:val="auto"/>
          <w:kern w:val="0"/>
          <w:sz w:val="24"/>
          <w:szCs w:val="24"/>
          <w:lang w:val="en-US" w:eastAsia="zh-CN" w:bidi="ar-SA"/>
        </w:rPr>
        <w:t>8.按要求完成政府、上级部门安排的工作任务。</w:t>
      </w:r>
    </w:p>
    <w:p w14:paraId="31FB727E">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1D1A8735">
      <w:pPr>
        <w:pStyle w:val="39"/>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firstLine="482" w:firstLineChars="200"/>
        <w:jc w:val="center"/>
        <w:textAlignment w:val="auto"/>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市政养护外包服务考核办法</w:t>
      </w:r>
    </w:p>
    <w:p w14:paraId="62A36FF0">
      <w:pPr>
        <w:pStyle w:val="39"/>
        <w:keepNext w:val="0"/>
        <w:keepLines w:val="0"/>
        <w:pageBreakBefore w:val="0"/>
        <w:widowControl/>
        <w:numPr>
          <w:ilvl w:val="0"/>
          <w:numId w:val="15"/>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firstLine="482" w:firstLineChars="200"/>
        <w:textAlignment w:val="auto"/>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考核项目</w:t>
      </w:r>
    </w:p>
    <w:p w14:paraId="08414EFC">
      <w:pPr>
        <w:keepNext w:val="0"/>
        <w:keepLines w:val="0"/>
        <w:pageBreakBefore w:val="0"/>
        <w:numPr>
          <w:ilvl w:val="0"/>
          <w:numId w:val="0"/>
        </w:numPr>
        <w:kinsoku/>
        <w:wordWrap/>
        <w:overflowPunct/>
        <w:topLinePunct w:val="0"/>
        <w:autoSpaceDE/>
        <w:autoSpaceDN/>
        <w:bidi w:val="0"/>
        <w:spacing w:line="360" w:lineRule="auto"/>
        <w:ind w:firstLine="480" w:firstLineChars="200"/>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外包服务单位必须遵守市政养护管理中心的各项规章制度，并按照政府和上级部门的要求完成其他交办的工作任务。</w:t>
      </w:r>
    </w:p>
    <w:p w14:paraId="2EE72406">
      <w:pPr>
        <w:pStyle w:val="39"/>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firstLine="482" w:firstLineChars="200"/>
        <w:textAlignment w:val="auto"/>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1.后勤保障服务</w:t>
      </w:r>
    </w:p>
    <w:p w14:paraId="42AE6EDF">
      <w:pPr>
        <w:pStyle w:val="39"/>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firstLine="480" w:firstLineChars="200"/>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服务范围内职责内容，包括平台接单、派单、回复满意率，投诉处理时间，档案资料，分析报告，市政设施电费、网络费用缴纳情况、故障报修情况，突发应急事件响应情况，政府和上级部门交办的工作任务完成情况。</w:t>
      </w:r>
    </w:p>
    <w:p w14:paraId="3A646875">
      <w:pPr>
        <w:pStyle w:val="39"/>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firstLine="482" w:firstLineChars="200"/>
        <w:textAlignment w:val="auto"/>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2.巡检服务</w:t>
      </w:r>
    </w:p>
    <w:p w14:paraId="0346A7D4">
      <w:pPr>
        <w:pStyle w:val="39"/>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firstLine="480" w:firstLineChars="200"/>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服务范围内职责内容，包括主次干道、人行道、路灯、护栏、石球石墩、井盖、雨水篦子、飞线等市政设施病害巡查，病害问题分析汇总及处理情况跟踪，市政设施事故损坏现场核实和应急处理，亮灯率统计及报表，投诉件及指派任务核实，市政工程施工现场安全检查情况，突发事件支援及响应情况，政府和上级部门交办的工作任务完成情况。</w:t>
      </w:r>
    </w:p>
    <w:p w14:paraId="5A8F14E8">
      <w:pPr>
        <w:pStyle w:val="39"/>
        <w:keepNext w:val="0"/>
        <w:keepLines w:val="0"/>
        <w:pageBreakBefore w:val="0"/>
        <w:widowControl/>
        <w:numPr>
          <w:ilvl w:val="0"/>
          <w:numId w:val="15"/>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firstLine="482" w:firstLineChars="200"/>
        <w:textAlignment w:val="auto"/>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考核方式</w:t>
      </w:r>
    </w:p>
    <w:p w14:paraId="425EABA3">
      <w:pPr>
        <w:pStyle w:val="435"/>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本着“客观公正、注重实绩、考评结合”的原则，采取“上级点评、定期考核、不定期考核”相结合的方式，由市政养护管理中心组织考核小组对提供服务情况进行综合考评。定期考核由考核小组在每月规定时限内进行考核，每月考核1次，不定期考核由考核小组随机抽取时间进行考核。</w:t>
      </w:r>
    </w:p>
    <w:p w14:paraId="732CB506">
      <w:pPr>
        <w:pStyle w:val="2"/>
        <w:keepNext w:val="0"/>
        <w:keepLines w:val="0"/>
        <w:pageBreakBefore w:val="0"/>
        <w:numPr>
          <w:ilvl w:val="0"/>
          <w:numId w:val="0"/>
        </w:numPr>
        <w:kinsoku/>
        <w:wordWrap/>
        <w:overflowPunct/>
        <w:topLinePunct w:val="0"/>
        <w:autoSpaceDE/>
        <w:autoSpaceDN/>
        <w:bidi w:val="0"/>
        <w:spacing w:line="360" w:lineRule="auto"/>
        <w:ind w:left="0" w:leftChars="0" w:firstLine="482" w:firstLineChars="200"/>
        <w:textAlignment w:val="auto"/>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三、考核评分</w:t>
      </w:r>
    </w:p>
    <w:p w14:paraId="2E30D3EE">
      <w:pPr>
        <w:pStyle w:val="2"/>
        <w:keepNext w:val="0"/>
        <w:keepLines w:val="0"/>
        <w:pageBreakBefore w:val="0"/>
        <w:numPr>
          <w:ilvl w:val="0"/>
          <w:numId w:val="0"/>
        </w:numPr>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每季度考核得分为季度内每月定期考核、不定期考核的得分平均综合计算，得出季度考核分。</w:t>
      </w:r>
    </w:p>
    <w:p w14:paraId="71B49E16">
      <w:pPr>
        <w:pStyle w:val="2"/>
        <w:keepNext w:val="0"/>
        <w:keepLines w:val="0"/>
        <w:pageBreakBefore w:val="0"/>
        <w:numPr>
          <w:ilvl w:val="0"/>
          <w:numId w:val="0"/>
        </w:numPr>
        <w:kinsoku/>
        <w:wordWrap/>
        <w:overflowPunct/>
        <w:topLinePunct w:val="0"/>
        <w:autoSpaceDE/>
        <w:autoSpaceDN/>
        <w:bidi w:val="0"/>
        <w:spacing w:line="360" w:lineRule="auto"/>
        <w:ind w:left="0" w:leftChars="0" w:firstLine="482" w:firstLineChars="200"/>
        <w:textAlignment w:val="auto"/>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四、经费核算</w:t>
      </w:r>
    </w:p>
    <w:p w14:paraId="5B8C2675">
      <w:pPr>
        <w:pStyle w:val="2"/>
        <w:keepNext w:val="0"/>
        <w:keepLines w:val="0"/>
        <w:pageBreakBefore w:val="0"/>
        <w:numPr>
          <w:ilvl w:val="0"/>
          <w:numId w:val="0"/>
        </w:numPr>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1.考核采取百分制，季度考核得分作为外包服务经费核算的依据。</w:t>
      </w:r>
    </w:p>
    <w:p w14:paraId="7299A820">
      <w:pPr>
        <w:pStyle w:val="2"/>
        <w:keepNext w:val="0"/>
        <w:keepLines w:val="0"/>
        <w:pageBreakBefore w:val="0"/>
        <w:numPr>
          <w:ilvl w:val="0"/>
          <w:numId w:val="0"/>
        </w:numPr>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A、季度考核分95分为合格，全额核拨当季外包服务经费。</w:t>
      </w:r>
    </w:p>
    <w:p w14:paraId="0E14440F">
      <w:pPr>
        <w:pStyle w:val="2"/>
        <w:keepNext w:val="0"/>
        <w:keepLines w:val="0"/>
        <w:pageBreakBefore w:val="0"/>
        <w:numPr>
          <w:ilvl w:val="0"/>
          <w:numId w:val="0"/>
        </w:numPr>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B、季度考核分90-95分（含90分），扣当季外包服务经费的1.5%。</w:t>
      </w:r>
    </w:p>
    <w:p w14:paraId="39D28AD9">
      <w:pPr>
        <w:pStyle w:val="2"/>
        <w:keepNext w:val="0"/>
        <w:keepLines w:val="0"/>
        <w:pageBreakBefore w:val="0"/>
        <w:numPr>
          <w:ilvl w:val="0"/>
          <w:numId w:val="0"/>
        </w:numPr>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C、季度考核分85-90分（含85分），扣当季外包服务经费的2.5%。</w:t>
      </w:r>
    </w:p>
    <w:p w14:paraId="079D78BD">
      <w:pPr>
        <w:pStyle w:val="2"/>
        <w:keepNext w:val="0"/>
        <w:keepLines w:val="0"/>
        <w:pageBreakBefore w:val="0"/>
        <w:numPr>
          <w:ilvl w:val="0"/>
          <w:numId w:val="0"/>
        </w:numPr>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D、季度考核分80-85分（含80分），扣当季外包服务经费的5%。</w:t>
      </w:r>
    </w:p>
    <w:p w14:paraId="0A45DE67">
      <w:pPr>
        <w:pStyle w:val="2"/>
        <w:keepNext w:val="0"/>
        <w:keepLines w:val="0"/>
        <w:pageBreakBefore w:val="0"/>
        <w:numPr>
          <w:ilvl w:val="0"/>
          <w:numId w:val="0"/>
        </w:numPr>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E、季度考核分80分以下，扣当月外包服务经费的10%。</w:t>
      </w:r>
    </w:p>
    <w:p w14:paraId="439C4054">
      <w:pPr>
        <w:pStyle w:val="2"/>
        <w:keepNext w:val="0"/>
        <w:keepLines w:val="0"/>
        <w:pageBreakBefore w:val="0"/>
        <w:numPr>
          <w:ilvl w:val="0"/>
          <w:numId w:val="0"/>
        </w:numPr>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2.季度外包服务经费结算采取季度核算、季度核拨的方式。</w:t>
      </w:r>
    </w:p>
    <w:p w14:paraId="0BE69FD5">
      <w:pPr>
        <w:pStyle w:val="2"/>
        <w:keepNext w:val="0"/>
        <w:keepLines w:val="0"/>
        <w:pageBreakBefore w:val="0"/>
        <w:numPr>
          <w:ilvl w:val="0"/>
          <w:numId w:val="0"/>
        </w:numPr>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3.全年外包服务经费分配按4个季度进行分摊。具体为：</w:t>
      </w:r>
    </w:p>
    <w:p w14:paraId="751497D6">
      <w:pPr>
        <w:pStyle w:val="2"/>
        <w:keepNext w:val="0"/>
        <w:keepLines w:val="0"/>
        <w:pageBreakBefore w:val="0"/>
        <w:numPr>
          <w:ilvl w:val="0"/>
          <w:numId w:val="0"/>
        </w:numPr>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A、1月中旬-4月中旬，外包服务经费为全年经费的25%。</w:t>
      </w:r>
    </w:p>
    <w:p w14:paraId="4F5B35A0">
      <w:pPr>
        <w:pStyle w:val="2"/>
        <w:keepNext w:val="0"/>
        <w:keepLines w:val="0"/>
        <w:pageBreakBefore w:val="0"/>
        <w:numPr>
          <w:ilvl w:val="0"/>
          <w:numId w:val="0"/>
        </w:numPr>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B、4月中旬-7月中旬，外包服务经费为全年经费的25%。</w:t>
      </w:r>
    </w:p>
    <w:p w14:paraId="3BE7BF42">
      <w:pPr>
        <w:pStyle w:val="2"/>
        <w:keepNext w:val="0"/>
        <w:keepLines w:val="0"/>
        <w:pageBreakBefore w:val="0"/>
        <w:numPr>
          <w:ilvl w:val="0"/>
          <w:numId w:val="0"/>
        </w:numPr>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C、7月中旬-11月中旬，外包服务经费为全年经费的25%。</w:t>
      </w:r>
    </w:p>
    <w:p w14:paraId="0024911D">
      <w:pPr>
        <w:pStyle w:val="2"/>
        <w:keepNext w:val="0"/>
        <w:keepLines w:val="0"/>
        <w:pageBreakBefore w:val="0"/>
        <w:numPr>
          <w:ilvl w:val="0"/>
          <w:numId w:val="0"/>
        </w:numPr>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D、11月中旬-次年1月中旬，外包服务经费为全年经费的25%。</w:t>
      </w:r>
    </w:p>
    <w:p w14:paraId="7F10B423">
      <w:pPr>
        <w:pStyle w:val="2"/>
        <w:keepNext w:val="0"/>
        <w:keepLines w:val="0"/>
        <w:pageBreakBefore w:val="0"/>
        <w:numPr>
          <w:ilvl w:val="0"/>
          <w:numId w:val="0"/>
        </w:numPr>
        <w:kinsoku/>
        <w:wordWrap/>
        <w:overflowPunct/>
        <w:topLinePunct w:val="0"/>
        <w:autoSpaceDE/>
        <w:autoSpaceDN/>
        <w:bidi w:val="0"/>
        <w:spacing w:line="360" w:lineRule="auto"/>
        <w:ind w:left="0" w:leftChars="0" w:firstLine="482" w:firstLineChars="200"/>
        <w:textAlignment w:val="auto"/>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五、考核细则（满分100分）</w:t>
      </w:r>
    </w:p>
    <w:tbl>
      <w:tblPr>
        <w:tblStyle w:val="43"/>
        <w:tblW w:w="97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735"/>
        <w:gridCol w:w="1890"/>
        <w:gridCol w:w="2659"/>
        <w:gridCol w:w="3908"/>
      </w:tblGrid>
      <w:tr w14:paraId="1A1C7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70" w:type="dxa"/>
            <w:tcBorders>
              <w:top w:val="single" w:color="auto" w:sz="4" w:space="0"/>
              <w:left w:val="single" w:color="auto" w:sz="4" w:space="0"/>
              <w:bottom w:val="single" w:color="auto" w:sz="4" w:space="0"/>
              <w:right w:val="single" w:color="auto" w:sz="4" w:space="0"/>
            </w:tcBorders>
            <w:noWrap w:val="0"/>
            <w:vAlign w:val="center"/>
          </w:tcPr>
          <w:p w14:paraId="383EB8B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序号</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300FB14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w:t>
            </w:r>
          </w:p>
        </w:tc>
        <w:tc>
          <w:tcPr>
            <w:tcW w:w="1890" w:type="dxa"/>
            <w:tcBorders>
              <w:top w:val="single" w:color="auto" w:sz="4" w:space="0"/>
              <w:left w:val="single" w:color="auto" w:sz="4" w:space="0"/>
              <w:bottom w:val="single" w:color="auto" w:sz="4" w:space="0"/>
              <w:right w:val="single" w:color="auto" w:sz="4" w:space="0"/>
            </w:tcBorders>
            <w:noWrap w:val="0"/>
            <w:vAlign w:val="center"/>
          </w:tcPr>
          <w:p w14:paraId="3C016BD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考核内容</w:t>
            </w:r>
          </w:p>
        </w:tc>
        <w:tc>
          <w:tcPr>
            <w:tcW w:w="2659" w:type="dxa"/>
            <w:tcBorders>
              <w:top w:val="single" w:color="auto" w:sz="4" w:space="0"/>
              <w:left w:val="single" w:color="auto" w:sz="4" w:space="0"/>
              <w:bottom w:val="single" w:color="auto" w:sz="4" w:space="0"/>
              <w:right w:val="single" w:color="auto" w:sz="4" w:space="0"/>
            </w:tcBorders>
            <w:noWrap w:val="0"/>
            <w:vAlign w:val="center"/>
          </w:tcPr>
          <w:p w14:paraId="18A8C89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考  核 标 准</w:t>
            </w:r>
          </w:p>
        </w:tc>
        <w:tc>
          <w:tcPr>
            <w:tcW w:w="3908" w:type="dxa"/>
            <w:tcBorders>
              <w:top w:val="single" w:color="auto" w:sz="4" w:space="0"/>
              <w:left w:val="single" w:color="auto" w:sz="4" w:space="0"/>
              <w:bottom w:val="single" w:color="auto" w:sz="4" w:space="0"/>
              <w:right w:val="single" w:color="auto" w:sz="4" w:space="0"/>
            </w:tcBorders>
            <w:noWrap w:val="0"/>
            <w:vAlign w:val="center"/>
          </w:tcPr>
          <w:p w14:paraId="5150696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考 核 计 分 依 据</w:t>
            </w:r>
          </w:p>
        </w:tc>
      </w:tr>
      <w:tr w14:paraId="031ED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0" w:type="dxa"/>
            <w:tcBorders>
              <w:top w:val="nil"/>
              <w:left w:val="single" w:color="auto" w:sz="4" w:space="0"/>
              <w:bottom w:val="single" w:color="auto" w:sz="4" w:space="0"/>
              <w:right w:val="single" w:color="auto" w:sz="4" w:space="0"/>
            </w:tcBorders>
            <w:noWrap w:val="0"/>
            <w:vAlign w:val="center"/>
          </w:tcPr>
          <w:p w14:paraId="79510AF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w:t>
            </w:r>
          </w:p>
        </w:tc>
        <w:tc>
          <w:tcPr>
            <w:tcW w:w="735" w:type="dxa"/>
            <w:vMerge w:val="restart"/>
            <w:tcBorders>
              <w:top w:val="nil"/>
              <w:left w:val="single" w:color="auto" w:sz="4" w:space="0"/>
              <w:right w:val="single" w:color="auto" w:sz="4" w:space="0"/>
            </w:tcBorders>
            <w:noWrap w:val="0"/>
            <w:vAlign w:val="center"/>
          </w:tcPr>
          <w:p w14:paraId="5B0A837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后勤保障</w:t>
            </w:r>
          </w:p>
        </w:tc>
        <w:tc>
          <w:tcPr>
            <w:tcW w:w="1890" w:type="dxa"/>
            <w:tcBorders>
              <w:top w:val="nil"/>
              <w:left w:val="single" w:color="auto" w:sz="4" w:space="0"/>
              <w:bottom w:val="single" w:color="auto" w:sz="4" w:space="0"/>
              <w:right w:val="single" w:color="auto" w:sz="4" w:space="0"/>
            </w:tcBorders>
            <w:noWrap w:val="0"/>
            <w:vAlign w:val="center"/>
          </w:tcPr>
          <w:p w14:paraId="2823351C">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平台投诉件的接单率、派单率和回复满意率</w:t>
            </w:r>
          </w:p>
        </w:tc>
        <w:tc>
          <w:tcPr>
            <w:tcW w:w="2659" w:type="dxa"/>
            <w:tcBorders>
              <w:top w:val="nil"/>
              <w:left w:val="single" w:color="auto" w:sz="4" w:space="0"/>
              <w:bottom w:val="single" w:color="auto" w:sz="4" w:space="0"/>
              <w:right w:val="single" w:color="auto" w:sz="4" w:space="0"/>
            </w:tcBorders>
            <w:noWrap w:val="0"/>
            <w:vAlign w:val="center"/>
          </w:tcPr>
          <w:p w14:paraId="2E05EE1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rPr>
              <w:t>接单率100%，</w:t>
            </w:r>
            <w:r>
              <w:rPr>
                <w:rFonts w:hint="eastAsia" w:ascii="宋体" w:hAnsi="宋体" w:eastAsia="宋体" w:cs="宋体"/>
                <w:color w:val="auto"/>
                <w:sz w:val="21"/>
                <w:szCs w:val="21"/>
                <w:lang w:val="en-US" w:eastAsia="zh-CN"/>
              </w:rPr>
              <w:t>派单率</w:t>
            </w:r>
            <w:r>
              <w:rPr>
                <w:rFonts w:hint="eastAsia" w:ascii="宋体" w:hAnsi="宋体" w:eastAsia="宋体" w:cs="宋体"/>
                <w:color w:val="auto"/>
                <w:sz w:val="21"/>
                <w:szCs w:val="21"/>
              </w:rPr>
              <w:t>100%，</w:t>
            </w:r>
            <w:r>
              <w:rPr>
                <w:rFonts w:hint="eastAsia" w:ascii="宋体" w:hAnsi="宋体" w:eastAsia="宋体" w:cs="宋体"/>
                <w:color w:val="auto"/>
                <w:sz w:val="21"/>
                <w:szCs w:val="21"/>
                <w:lang w:val="en-US" w:eastAsia="zh-CN"/>
              </w:rPr>
              <w:t>回复</w:t>
            </w:r>
            <w:r>
              <w:rPr>
                <w:rFonts w:hint="eastAsia" w:ascii="宋体" w:hAnsi="宋体" w:eastAsia="宋体" w:cs="宋体"/>
                <w:color w:val="auto"/>
                <w:sz w:val="21"/>
                <w:szCs w:val="21"/>
              </w:rPr>
              <w:t>满意率</w:t>
            </w:r>
            <w:r>
              <w:rPr>
                <w:rFonts w:hint="eastAsia" w:ascii="宋体" w:hAnsi="宋体" w:eastAsia="宋体" w:cs="宋体"/>
                <w:color w:val="auto"/>
                <w:sz w:val="21"/>
                <w:szCs w:val="21"/>
                <w:lang w:val="en-US" w:eastAsia="zh-CN"/>
              </w:rPr>
              <w:t>不小于</w:t>
            </w:r>
            <w:r>
              <w:rPr>
                <w:rFonts w:hint="eastAsia" w:ascii="宋体" w:hAnsi="宋体" w:eastAsia="宋体" w:cs="宋体"/>
                <w:color w:val="auto"/>
                <w:sz w:val="21"/>
                <w:szCs w:val="21"/>
              </w:rPr>
              <w:t>98%</w:t>
            </w:r>
          </w:p>
        </w:tc>
        <w:tc>
          <w:tcPr>
            <w:tcW w:w="3908" w:type="dxa"/>
            <w:tcBorders>
              <w:top w:val="single" w:color="auto" w:sz="4" w:space="0"/>
              <w:left w:val="single" w:color="auto" w:sz="4" w:space="0"/>
              <w:bottom w:val="single" w:color="auto" w:sz="4" w:space="0"/>
              <w:right w:val="single" w:color="auto" w:sz="4" w:space="0"/>
            </w:tcBorders>
            <w:noWrap w:val="0"/>
            <w:vAlign w:val="center"/>
          </w:tcPr>
          <w:p w14:paraId="70812E5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lang w:val="en-US" w:eastAsia="zh-CN"/>
              </w:rPr>
              <w:t>未接单、未派单、未回复每次扣1分；</w:t>
            </w:r>
            <w:r>
              <w:rPr>
                <w:rFonts w:hint="eastAsia" w:ascii="宋体" w:hAnsi="宋体" w:eastAsia="宋体" w:cs="宋体"/>
                <w:b w:val="0"/>
                <w:color w:val="auto"/>
                <w:kern w:val="2"/>
                <w:sz w:val="21"/>
                <w:szCs w:val="21"/>
                <w:highlight w:val="none"/>
                <w:lang w:val="en-US" w:eastAsia="zh-CN" w:bidi="ar-SA"/>
              </w:rPr>
              <w:t>回复满意率每少1个百分点扣0.5分。</w:t>
            </w:r>
          </w:p>
        </w:tc>
      </w:tr>
      <w:tr w14:paraId="22468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0" w:type="dxa"/>
            <w:tcBorders>
              <w:top w:val="single" w:color="auto" w:sz="4" w:space="0"/>
              <w:left w:val="single" w:color="auto" w:sz="4" w:space="0"/>
              <w:bottom w:val="single" w:color="auto" w:sz="4" w:space="0"/>
              <w:right w:val="single" w:color="auto" w:sz="4" w:space="0"/>
            </w:tcBorders>
            <w:noWrap w:val="0"/>
            <w:vAlign w:val="center"/>
          </w:tcPr>
          <w:p w14:paraId="2D6754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735" w:type="dxa"/>
            <w:vMerge w:val="continue"/>
            <w:tcBorders>
              <w:left w:val="single" w:color="auto" w:sz="4" w:space="0"/>
              <w:right w:val="single" w:color="auto" w:sz="4" w:space="0"/>
            </w:tcBorders>
            <w:noWrap w:val="0"/>
            <w:vAlign w:val="center"/>
          </w:tcPr>
          <w:p w14:paraId="0AB7FACC">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eastAsia="zh-CN"/>
              </w:rPr>
            </w:pPr>
          </w:p>
        </w:tc>
        <w:tc>
          <w:tcPr>
            <w:tcW w:w="1890" w:type="dxa"/>
            <w:tcBorders>
              <w:top w:val="single" w:color="auto" w:sz="4" w:space="0"/>
              <w:left w:val="single" w:color="auto" w:sz="4" w:space="0"/>
              <w:bottom w:val="single" w:color="auto" w:sz="4" w:space="0"/>
              <w:right w:val="single" w:color="auto" w:sz="4" w:space="0"/>
            </w:tcBorders>
            <w:noWrap w:val="0"/>
            <w:vAlign w:val="center"/>
          </w:tcPr>
          <w:p w14:paraId="3904C70C">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投诉处理时间</w:t>
            </w:r>
          </w:p>
        </w:tc>
        <w:tc>
          <w:tcPr>
            <w:tcW w:w="2659" w:type="dxa"/>
            <w:tcBorders>
              <w:top w:val="single" w:color="auto" w:sz="4" w:space="0"/>
              <w:left w:val="single" w:color="auto" w:sz="4" w:space="0"/>
              <w:bottom w:val="single" w:color="auto" w:sz="4" w:space="0"/>
              <w:right w:val="single" w:color="auto" w:sz="4" w:space="0"/>
            </w:tcBorders>
            <w:noWrap w:val="0"/>
            <w:vAlign w:val="center"/>
          </w:tcPr>
          <w:p w14:paraId="5A4A99D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rPr>
              <w:t>投诉件主要分为紧急类，一般类、常态化三种</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须在规定时限内完成单据反馈处理结果：其中：紧急类投诉件处理时限规定在2-6小时内完成平台反馈；一般类投诉件处理时限规定在2-3天内完成平台反馈</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常态化投诉件处理时限规定5-7天内完成平台反馈</w:t>
            </w:r>
          </w:p>
        </w:tc>
        <w:tc>
          <w:tcPr>
            <w:tcW w:w="3908" w:type="dxa"/>
            <w:tcBorders>
              <w:top w:val="single" w:color="auto" w:sz="4" w:space="0"/>
              <w:left w:val="single" w:color="auto" w:sz="4" w:space="0"/>
              <w:bottom w:val="single" w:color="auto" w:sz="4" w:space="0"/>
              <w:right w:val="single" w:color="auto" w:sz="4" w:space="0"/>
            </w:tcBorders>
            <w:noWrap w:val="0"/>
            <w:vAlign w:val="center"/>
          </w:tcPr>
          <w:p w14:paraId="0D21E855">
            <w:pPr>
              <w:pStyle w:val="2"/>
              <w:keepNext w:val="0"/>
              <w:keepLines w:val="0"/>
              <w:pageBreakBefore w:val="0"/>
              <w:widowControl/>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val="0"/>
                <w:color w:val="auto"/>
                <w:kern w:val="2"/>
                <w:sz w:val="21"/>
                <w:szCs w:val="21"/>
                <w:lang w:val="en-US" w:eastAsia="zh-CN" w:bidi="ar-SA"/>
              </w:rPr>
            </w:pPr>
            <w:r>
              <w:rPr>
                <w:rFonts w:hint="eastAsia" w:ascii="宋体" w:hAnsi="宋体" w:eastAsia="宋体" w:cs="宋体"/>
                <w:b w:val="0"/>
                <w:color w:val="auto"/>
                <w:kern w:val="2"/>
                <w:sz w:val="21"/>
                <w:szCs w:val="21"/>
                <w:lang w:val="en-US" w:eastAsia="zh-CN" w:bidi="ar-SA"/>
              </w:rPr>
              <w:t>紧急类未按时限完成每次扣1分；一般类，常态化类未按时限完成每次扣0.5分。</w:t>
            </w:r>
          </w:p>
        </w:tc>
      </w:tr>
      <w:tr w14:paraId="1309E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0" w:type="dxa"/>
            <w:tcBorders>
              <w:top w:val="single" w:color="auto" w:sz="4" w:space="0"/>
              <w:left w:val="single" w:color="auto" w:sz="4" w:space="0"/>
              <w:bottom w:val="single" w:color="auto" w:sz="4" w:space="0"/>
              <w:right w:val="single" w:color="auto" w:sz="4" w:space="0"/>
            </w:tcBorders>
            <w:noWrap w:val="0"/>
            <w:vAlign w:val="center"/>
          </w:tcPr>
          <w:p w14:paraId="726914A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735" w:type="dxa"/>
            <w:vMerge w:val="continue"/>
            <w:tcBorders>
              <w:left w:val="single" w:color="auto" w:sz="4" w:space="0"/>
              <w:right w:val="single" w:color="auto" w:sz="4" w:space="0"/>
            </w:tcBorders>
            <w:noWrap w:val="0"/>
            <w:vAlign w:val="center"/>
          </w:tcPr>
          <w:p w14:paraId="4C15A06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eastAsia="zh-CN"/>
              </w:rPr>
            </w:pPr>
          </w:p>
        </w:tc>
        <w:tc>
          <w:tcPr>
            <w:tcW w:w="1890" w:type="dxa"/>
            <w:tcBorders>
              <w:top w:val="single" w:color="auto" w:sz="4" w:space="0"/>
              <w:left w:val="single" w:color="auto" w:sz="4" w:space="0"/>
              <w:bottom w:val="single" w:color="auto" w:sz="4" w:space="0"/>
              <w:right w:val="single" w:color="auto" w:sz="4" w:space="0"/>
            </w:tcBorders>
            <w:noWrap w:val="0"/>
            <w:vAlign w:val="center"/>
          </w:tcPr>
          <w:p w14:paraId="390E0B6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档案资料</w:t>
            </w:r>
          </w:p>
        </w:tc>
        <w:tc>
          <w:tcPr>
            <w:tcW w:w="2659" w:type="dxa"/>
            <w:tcBorders>
              <w:top w:val="single" w:color="auto" w:sz="4" w:space="0"/>
              <w:left w:val="single" w:color="auto" w:sz="4" w:space="0"/>
              <w:bottom w:val="single" w:color="auto" w:sz="4" w:space="0"/>
              <w:right w:val="single" w:color="auto" w:sz="4" w:space="0"/>
            </w:tcBorders>
            <w:noWrap w:val="0"/>
            <w:vAlign w:val="center"/>
          </w:tcPr>
          <w:p w14:paraId="5BEB53A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资料档案完整率100%</w:t>
            </w:r>
          </w:p>
        </w:tc>
        <w:tc>
          <w:tcPr>
            <w:tcW w:w="3908" w:type="dxa"/>
            <w:tcBorders>
              <w:top w:val="single" w:color="auto" w:sz="4" w:space="0"/>
              <w:left w:val="single" w:color="auto" w:sz="4" w:space="0"/>
              <w:bottom w:val="single" w:color="auto" w:sz="4" w:space="0"/>
              <w:right w:val="single" w:color="auto" w:sz="4" w:space="0"/>
            </w:tcBorders>
            <w:noWrap w:val="0"/>
            <w:vAlign w:val="center"/>
          </w:tcPr>
          <w:p w14:paraId="70C32341">
            <w:pPr>
              <w:pStyle w:val="2"/>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每少一件档案资料扣1分。</w:t>
            </w:r>
          </w:p>
        </w:tc>
      </w:tr>
      <w:tr w14:paraId="64452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0" w:type="dxa"/>
            <w:tcBorders>
              <w:top w:val="single" w:color="auto" w:sz="4" w:space="0"/>
              <w:left w:val="single" w:color="auto" w:sz="4" w:space="0"/>
              <w:bottom w:val="single" w:color="auto" w:sz="4" w:space="0"/>
              <w:right w:val="single" w:color="auto" w:sz="4" w:space="0"/>
            </w:tcBorders>
            <w:noWrap w:val="0"/>
            <w:vAlign w:val="center"/>
          </w:tcPr>
          <w:p w14:paraId="2993FCF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735" w:type="dxa"/>
            <w:vMerge w:val="continue"/>
            <w:tcBorders>
              <w:left w:val="single" w:color="auto" w:sz="4" w:space="0"/>
              <w:right w:val="single" w:color="auto" w:sz="4" w:space="0"/>
            </w:tcBorders>
            <w:noWrap w:val="0"/>
            <w:vAlign w:val="center"/>
          </w:tcPr>
          <w:p w14:paraId="0008BD5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eastAsia="zh-CN"/>
              </w:rPr>
            </w:pPr>
          </w:p>
        </w:tc>
        <w:tc>
          <w:tcPr>
            <w:tcW w:w="1890" w:type="dxa"/>
            <w:tcBorders>
              <w:top w:val="single" w:color="auto" w:sz="4" w:space="0"/>
              <w:left w:val="single" w:color="auto" w:sz="4" w:space="0"/>
              <w:bottom w:val="single" w:color="auto" w:sz="4" w:space="0"/>
              <w:right w:val="single" w:color="auto" w:sz="4" w:space="0"/>
            </w:tcBorders>
            <w:noWrap w:val="0"/>
            <w:vAlign w:val="center"/>
          </w:tcPr>
          <w:p w14:paraId="25C1E8E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分析报告</w:t>
            </w:r>
          </w:p>
        </w:tc>
        <w:tc>
          <w:tcPr>
            <w:tcW w:w="2659" w:type="dxa"/>
            <w:tcBorders>
              <w:top w:val="single" w:color="auto" w:sz="4" w:space="0"/>
              <w:left w:val="single" w:color="auto" w:sz="4" w:space="0"/>
              <w:bottom w:val="single" w:color="auto" w:sz="4" w:space="0"/>
              <w:right w:val="single" w:color="auto" w:sz="4" w:space="0"/>
            </w:tcBorders>
            <w:noWrap w:val="0"/>
            <w:vAlign w:val="center"/>
          </w:tcPr>
          <w:p w14:paraId="4010473A">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分析报告按时完成</w:t>
            </w:r>
          </w:p>
        </w:tc>
        <w:tc>
          <w:tcPr>
            <w:tcW w:w="3908" w:type="dxa"/>
            <w:tcBorders>
              <w:top w:val="single" w:color="auto" w:sz="4" w:space="0"/>
              <w:left w:val="single" w:color="auto" w:sz="4" w:space="0"/>
              <w:bottom w:val="single" w:color="auto" w:sz="4" w:space="0"/>
              <w:right w:val="single" w:color="auto" w:sz="4" w:space="0"/>
            </w:tcBorders>
            <w:noWrap w:val="0"/>
            <w:vAlign w:val="center"/>
          </w:tcPr>
          <w:p w14:paraId="3A63A418">
            <w:pPr>
              <w:pStyle w:val="2"/>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未按时完成每次扣0.5分。</w:t>
            </w:r>
          </w:p>
        </w:tc>
      </w:tr>
      <w:tr w14:paraId="7232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0" w:type="dxa"/>
            <w:tcBorders>
              <w:top w:val="single" w:color="auto" w:sz="4" w:space="0"/>
              <w:left w:val="single" w:color="auto" w:sz="4" w:space="0"/>
              <w:bottom w:val="single" w:color="auto" w:sz="4" w:space="0"/>
              <w:right w:val="single" w:color="auto" w:sz="4" w:space="0"/>
            </w:tcBorders>
            <w:noWrap w:val="0"/>
            <w:vAlign w:val="center"/>
          </w:tcPr>
          <w:p w14:paraId="3C91D3B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735" w:type="dxa"/>
            <w:vMerge w:val="continue"/>
            <w:tcBorders>
              <w:left w:val="single" w:color="auto" w:sz="4" w:space="0"/>
              <w:right w:val="single" w:color="auto" w:sz="4" w:space="0"/>
            </w:tcBorders>
            <w:noWrap w:val="0"/>
            <w:vAlign w:val="center"/>
          </w:tcPr>
          <w:p w14:paraId="44ACBCE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eastAsia="zh-CN"/>
              </w:rPr>
            </w:pPr>
          </w:p>
        </w:tc>
        <w:tc>
          <w:tcPr>
            <w:tcW w:w="1890" w:type="dxa"/>
            <w:tcBorders>
              <w:top w:val="single" w:color="auto" w:sz="4" w:space="0"/>
              <w:left w:val="single" w:color="auto" w:sz="4" w:space="0"/>
              <w:bottom w:val="single" w:color="auto" w:sz="4" w:space="0"/>
              <w:right w:val="single" w:color="auto" w:sz="4" w:space="0"/>
            </w:tcBorders>
            <w:noWrap w:val="0"/>
            <w:vAlign w:val="center"/>
          </w:tcPr>
          <w:p w14:paraId="5A0B893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kern w:val="2"/>
                <w:sz w:val="21"/>
                <w:szCs w:val="21"/>
                <w:highlight w:val="none"/>
                <w:lang w:val="en-US" w:eastAsia="zh-CN" w:bidi="ar-SA"/>
              </w:rPr>
              <w:t>市政设施电费、网络费用缴纳、故障报修</w:t>
            </w:r>
          </w:p>
        </w:tc>
        <w:tc>
          <w:tcPr>
            <w:tcW w:w="2659" w:type="dxa"/>
            <w:tcBorders>
              <w:top w:val="single" w:color="auto" w:sz="4" w:space="0"/>
              <w:left w:val="single" w:color="auto" w:sz="4" w:space="0"/>
              <w:bottom w:val="single" w:color="auto" w:sz="4" w:space="0"/>
              <w:right w:val="single" w:color="auto" w:sz="4" w:space="0"/>
            </w:tcBorders>
            <w:noWrap w:val="0"/>
            <w:vAlign w:val="center"/>
          </w:tcPr>
          <w:p w14:paraId="469A7225">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及时缴纳</w:t>
            </w:r>
            <w:r>
              <w:rPr>
                <w:rFonts w:hint="eastAsia" w:ascii="宋体" w:hAnsi="宋体" w:eastAsia="宋体" w:cs="宋体"/>
                <w:bCs/>
                <w:color w:val="auto"/>
                <w:kern w:val="2"/>
                <w:sz w:val="21"/>
                <w:szCs w:val="21"/>
                <w:highlight w:val="none"/>
                <w:lang w:val="en-US" w:eastAsia="zh-CN" w:bidi="ar-SA"/>
              </w:rPr>
              <w:t>市政设施电费、网络费用，故障报修。</w:t>
            </w:r>
          </w:p>
        </w:tc>
        <w:tc>
          <w:tcPr>
            <w:tcW w:w="3908" w:type="dxa"/>
            <w:tcBorders>
              <w:top w:val="single" w:color="auto" w:sz="4" w:space="0"/>
              <w:left w:val="single" w:color="auto" w:sz="4" w:space="0"/>
              <w:bottom w:val="single" w:color="auto" w:sz="4" w:space="0"/>
              <w:right w:val="single" w:color="auto" w:sz="4" w:space="0"/>
            </w:tcBorders>
            <w:noWrap w:val="0"/>
            <w:vAlign w:val="center"/>
          </w:tcPr>
          <w:p w14:paraId="3E7693AD">
            <w:pPr>
              <w:pStyle w:val="2"/>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未及时缴纳费用、未及时故障报修导致设施不能正常使用每次扣0.5分。</w:t>
            </w:r>
          </w:p>
        </w:tc>
      </w:tr>
      <w:tr w14:paraId="17423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0" w:type="dxa"/>
            <w:tcBorders>
              <w:top w:val="single" w:color="auto" w:sz="4" w:space="0"/>
              <w:left w:val="single" w:color="auto" w:sz="4" w:space="0"/>
              <w:bottom w:val="single" w:color="auto" w:sz="4" w:space="0"/>
              <w:right w:val="single" w:color="auto" w:sz="4" w:space="0"/>
            </w:tcBorders>
            <w:noWrap w:val="0"/>
            <w:vAlign w:val="center"/>
          </w:tcPr>
          <w:p w14:paraId="27B720E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735" w:type="dxa"/>
            <w:vMerge w:val="continue"/>
            <w:tcBorders>
              <w:left w:val="single" w:color="auto" w:sz="4" w:space="0"/>
              <w:bottom w:val="single" w:color="auto" w:sz="4" w:space="0"/>
              <w:right w:val="single" w:color="auto" w:sz="4" w:space="0"/>
            </w:tcBorders>
            <w:noWrap w:val="0"/>
            <w:vAlign w:val="center"/>
          </w:tcPr>
          <w:p w14:paraId="53A0F39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eastAsia="zh-CN"/>
              </w:rPr>
            </w:pPr>
          </w:p>
        </w:tc>
        <w:tc>
          <w:tcPr>
            <w:tcW w:w="18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6EDD5AA">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突发事件支援响应</w:t>
            </w:r>
          </w:p>
        </w:tc>
        <w:tc>
          <w:tcPr>
            <w:tcW w:w="265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9A0C35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服从单位安排进行突发事件应急值班和响应。</w:t>
            </w:r>
          </w:p>
        </w:tc>
        <w:tc>
          <w:tcPr>
            <w:tcW w:w="390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EDE93E">
            <w:pPr>
              <w:pStyle w:val="2"/>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不服从安排扣2分，迟到、早退、消极应付每次扣1分。</w:t>
            </w:r>
          </w:p>
        </w:tc>
      </w:tr>
      <w:tr w14:paraId="26D63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0" w:type="dxa"/>
            <w:tcBorders>
              <w:top w:val="single" w:color="auto" w:sz="4" w:space="0"/>
              <w:left w:val="single" w:color="auto" w:sz="4" w:space="0"/>
              <w:bottom w:val="single" w:color="auto" w:sz="4" w:space="0"/>
              <w:right w:val="single" w:color="auto" w:sz="4" w:space="0"/>
            </w:tcBorders>
            <w:noWrap w:val="0"/>
            <w:vAlign w:val="center"/>
          </w:tcPr>
          <w:p w14:paraId="53BD2C4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735" w:type="dxa"/>
            <w:vMerge w:val="continue"/>
            <w:tcBorders>
              <w:left w:val="single" w:color="auto" w:sz="4" w:space="0"/>
              <w:bottom w:val="single" w:color="auto" w:sz="4" w:space="0"/>
              <w:right w:val="single" w:color="auto" w:sz="4" w:space="0"/>
            </w:tcBorders>
            <w:noWrap w:val="0"/>
            <w:vAlign w:val="center"/>
          </w:tcPr>
          <w:p w14:paraId="5C2335F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eastAsia="zh-CN"/>
              </w:rPr>
            </w:pPr>
          </w:p>
        </w:tc>
        <w:tc>
          <w:tcPr>
            <w:tcW w:w="1890" w:type="dxa"/>
            <w:tcBorders>
              <w:top w:val="single" w:color="auto" w:sz="4" w:space="0"/>
              <w:left w:val="single" w:color="auto" w:sz="4" w:space="0"/>
              <w:bottom w:val="single" w:color="auto" w:sz="4" w:space="0"/>
              <w:right w:val="single" w:color="auto" w:sz="4" w:space="0"/>
            </w:tcBorders>
            <w:noWrap w:val="0"/>
            <w:vAlign w:val="center"/>
          </w:tcPr>
          <w:p w14:paraId="3E08CF55">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政府和上级部门交办的工作任务</w:t>
            </w:r>
          </w:p>
        </w:tc>
        <w:tc>
          <w:tcPr>
            <w:tcW w:w="2659" w:type="dxa"/>
            <w:tcBorders>
              <w:top w:val="single" w:color="auto" w:sz="4" w:space="0"/>
              <w:left w:val="single" w:color="auto" w:sz="4" w:space="0"/>
              <w:bottom w:val="single" w:color="auto" w:sz="4" w:space="0"/>
              <w:right w:val="single" w:color="auto" w:sz="4" w:space="0"/>
            </w:tcBorders>
            <w:noWrap w:val="0"/>
            <w:vAlign w:val="center"/>
          </w:tcPr>
          <w:p w14:paraId="4FD6A3DC">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服从安排并按要求完成工作任务。</w:t>
            </w:r>
          </w:p>
        </w:tc>
        <w:tc>
          <w:tcPr>
            <w:tcW w:w="3908" w:type="dxa"/>
            <w:tcBorders>
              <w:top w:val="single" w:color="auto" w:sz="4" w:space="0"/>
              <w:left w:val="single" w:color="auto" w:sz="4" w:space="0"/>
              <w:bottom w:val="single" w:color="auto" w:sz="4" w:space="0"/>
              <w:right w:val="single" w:color="auto" w:sz="4" w:space="0"/>
            </w:tcBorders>
            <w:noWrap w:val="0"/>
            <w:vAlign w:val="center"/>
          </w:tcPr>
          <w:p w14:paraId="54294539">
            <w:pPr>
              <w:pStyle w:val="2"/>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不服从安排扣2分，迟到、早退、消极应付每次扣1分。</w:t>
            </w:r>
          </w:p>
        </w:tc>
      </w:tr>
      <w:tr w14:paraId="6FEE0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0" w:type="dxa"/>
            <w:tcBorders>
              <w:top w:val="single" w:color="auto" w:sz="4" w:space="0"/>
              <w:left w:val="single" w:color="auto" w:sz="4" w:space="0"/>
              <w:bottom w:val="single" w:color="auto" w:sz="4" w:space="0"/>
              <w:right w:val="single" w:color="auto" w:sz="4" w:space="0"/>
            </w:tcBorders>
            <w:noWrap w:val="0"/>
            <w:vAlign w:val="center"/>
          </w:tcPr>
          <w:p w14:paraId="71D319A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735" w:type="dxa"/>
            <w:vMerge w:val="restart"/>
            <w:tcBorders>
              <w:top w:val="single" w:color="auto" w:sz="4" w:space="0"/>
              <w:left w:val="single" w:color="auto" w:sz="4" w:space="0"/>
              <w:right w:val="single" w:color="auto" w:sz="4" w:space="0"/>
            </w:tcBorders>
            <w:noWrap w:val="0"/>
            <w:vAlign w:val="center"/>
          </w:tcPr>
          <w:p w14:paraId="6C983D6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巡检服务</w:t>
            </w:r>
          </w:p>
        </w:tc>
        <w:tc>
          <w:tcPr>
            <w:tcW w:w="1890" w:type="dxa"/>
            <w:tcBorders>
              <w:top w:val="single" w:color="auto" w:sz="4" w:space="0"/>
              <w:left w:val="single" w:color="auto" w:sz="4" w:space="0"/>
              <w:bottom w:val="single" w:color="auto" w:sz="4" w:space="0"/>
              <w:right w:val="single" w:color="auto" w:sz="4" w:space="0"/>
            </w:tcBorders>
            <w:noWrap w:val="0"/>
            <w:vAlign w:val="center"/>
          </w:tcPr>
          <w:p w14:paraId="5035072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市政病害巡查</w:t>
            </w:r>
          </w:p>
        </w:tc>
        <w:tc>
          <w:tcPr>
            <w:tcW w:w="2659" w:type="dxa"/>
            <w:tcBorders>
              <w:top w:val="single" w:color="auto" w:sz="4" w:space="0"/>
              <w:left w:val="single" w:color="auto" w:sz="4" w:space="0"/>
              <w:bottom w:val="single" w:color="auto" w:sz="4" w:space="0"/>
              <w:right w:val="single" w:color="auto" w:sz="4" w:space="0"/>
            </w:tcBorders>
            <w:noWrap w:val="0"/>
            <w:vAlign w:val="center"/>
          </w:tcPr>
          <w:p w14:paraId="21BEE2D5">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kern w:val="2"/>
                <w:sz w:val="21"/>
                <w:szCs w:val="21"/>
                <w:highlight w:val="none"/>
                <w:lang w:val="en-US" w:eastAsia="zh-CN" w:bidi="ar-SA"/>
              </w:rPr>
              <w:t>按时到岗，出勤率100%；市政病害发生10日内上报率100%；</w:t>
            </w:r>
          </w:p>
        </w:tc>
        <w:tc>
          <w:tcPr>
            <w:tcW w:w="3908" w:type="dxa"/>
            <w:tcBorders>
              <w:top w:val="single" w:color="auto" w:sz="4" w:space="0"/>
              <w:left w:val="single" w:color="auto" w:sz="4" w:space="0"/>
              <w:bottom w:val="single" w:color="auto" w:sz="4" w:space="0"/>
              <w:right w:val="single" w:color="auto" w:sz="4" w:space="0"/>
            </w:tcBorders>
            <w:noWrap w:val="0"/>
            <w:vAlign w:val="center"/>
          </w:tcPr>
          <w:p w14:paraId="10A4F1A2">
            <w:pPr>
              <w:pStyle w:val="2"/>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出现缺岗脱岗每次扣1分；未及时发现病害上报每次扣1分。</w:t>
            </w:r>
          </w:p>
        </w:tc>
      </w:tr>
      <w:tr w14:paraId="21895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0" w:type="dxa"/>
            <w:tcBorders>
              <w:top w:val="single" w:color="auto" w:sz="4" w:space="0"/>
              <w:left w:val="single" w:color="auto" w:sz="4" w:space="0"/>
              <w:bottom w:val="single" w:color="auto" w:sz="4" w:space="0"/>
              <w:right w:val="single" w:color="auto" w:sz="4" w:space="0"/>
            </w:tcBorders>
            <w:noWrap w:val="0"/>
            <w:vAlign w:val="center"/>
          </w:tcPr>
          <w:p w14:paraId="1F6F72E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735" w:type="dxa"/>
            <w:vMerge w:val="continue"/>
            <w:tcBorders>
              <w:left w:val="single" w:color="auto" w:sz="4" w:space="0"/>
              <w:right w:val="single" w:color="auto" w:sz="4" w:space="0"/>
            </w:tcBorders>
            <w:noWrap w:val="0"/>
            <w:vAlign w:val="center"/>
          </w:tcPr>
          <w:p w14:paraId="2C6F325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eastAsia="zh-CN"/>
              </w:rPr>
            </w:pPr>
          </w:p>
        </w:tc>
        <w:tc>
          <w:tcPr>
            <w:tcW w:w="1890" w:type="dxa"/>
            <w:tcBorders>
              <w:top w:val="single" w:color="auto" w:sz="4" w:space="0"/>
              <w:left w:val="single" w:color="auto" w:sz="4" w:space="0"/>
              <w:bottom w:val="single" w:color="auto" w:sz="4" w:space="0"/>
              <w:right w:val="single" w:color="auto" w:sz="4" w:space="0"/>
            </w:tcBorders>
            <w:noWrap w:val="0"/>
            <w:vAlign w:val="center"/>
          </w:tcPr>
          <w:p w14:paraId="6E189413">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病害问题分析汇总及处理情况跟踪</w:t>
            </w:r>
          </w:p>
        </w:tc>
        <w:tc>
          <w:tcPr>
            <w:tcW w:w="2659" w:type="dxa"/>
            <w:tcBorders>
              <w:top w:val="single" w:color="auto" w:sz="4" w:space="0"/>
              <w:left w:val="single" w:color="auto" w:sz="4" w:space="0"/>
              <w:bottom w:val="single" w:color="auto" w:sz="4" w:space="0"/>
              <w:right w:val="single" w:color="auto" w:sz="4" w:space="0"/>
            </w:tcBorders>
            <w:noWrap w:val="0"/>
            <w:vAlign w:val="center"/>
          </w:tcPr>
          <w:p w14:paraId="7ACCC96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kern w:val="2"/>
                <w:sz w:val="21"/>
                <w:szCs w:val="21"/>
                <w:highlight w:val="none"/>
                <w:lang w:val="en-US" w:eastAsia="zh-CN" w:bidi="ar-SA"/>
              </w:rPr>
              <w:t>每周五前报送巡查问题分类汇总及跟踪处理情况。</w:t>
            </w:r>
          </w:p>
        </w:tc>
        <w:tc>
          <w:tcPr>
            <w:tcW w:w="3908" w:type="dxa"/>
            <w:tcBorders>
              <w:top w:val="single" w:color="auto" w:sz="4" w:space="0"/>
              <w:left w:val="single" w:color="auto" w:sz="4" w:space="0"/>
              <w:bottom w:val="single" w:color="auto" w:sz="4" w:space="0"/>
              <w:right w:val="single" w:color="auto" w:sz="4" w:space="0"/>
            </w:tcBorders>
            <w:noWrap w:val="0"/>
            <w:vAlign w:val="center"/>
          </w:tcPr>
          <w:p w14:paraId="695CD349">
            <w:pPr>
              <w:pStyle w:val="2"/>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未按时报送每次扣0.5分，未跟踪处理情况导致病害未及时处理扣0.5分。</w:t>
            </w:r>
          </w:p>
        </w:tc>
      </w:tr>
      <w:tr w14:paraId="51A37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0" w:type="dxa"/>
            <w:tcBorders>
              <w:top w:val="single" w:color="auto" w:sz="4" w:space="0"/>
              <w:left w:val="single" w:color="auto" w:sz="4" w:space="0"/>
              <w:bottom w:val="single" w:color="auto" w:sz="4" w:space="0"/>
              <w:right w:val="single" w:color="auto" w:sz="4" w:space="0"/>
            </w:tcBorders>
            <w:noWrap w:val="0"/>
            <w:vAlign w:val="center"/>
          </w:tcPr>
          <w:p w14:paraId="3136EEA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735" w:type="dxa"/>
            <w:vMerge w:val="continue"/>
            <w:tcBorders>
              <w:left w:val="single" w:color="auto" w:sz="4" w:space="0"/>
              <w:right w:val="single" w:color="auto" w:sz="4" w:space="0"/>
            </w:tcBorders>
            <w:noWrap w:val="0"/>
            <w:vAlign w:val="center"/>
          </w:tcPr>
          <w:p w14:paraId="576EF11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eastAsia="zh-CN"/>
              </w:rPr>
            </w:pPr>
          </w:p>
        </w:tc>
        <w:tc>
          <w:tcPr>
            <w:tcW w:w="1890" w:type="dxa"/>
            <w:tcBorders>
              <w:top w:val="single" w:color="auto" w:sz="4" w:space="0"/>
              <w:left w:val="single" w:color="auto" w:sz="4" w:space="0"/>
              <w:bottom w:val="single" w:color="auto" w:sz="4" w:space="0"/>
              <w:right w:val="single" w:color="auto" w:sz="4" w:space="0"/>
            </w:tcBorders>
            <w:noWrap w:val="0"/>
            <w:vAlign w:val="center"/>
          </w:tcPr>
          <w:p w14:paraId="50F1F13A">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市政设施事故损坏现场核实和应急处理</w:t>
            </w:r>
          </w:p>
        </w:tc>
        <w:tc>
          <w:tcPr>
            <w:tcW w:w="2659" w:type="dxa"/>
            <w:tcBorders>
              <w:top w:val="single" w:color="auto" w:sz="4" w:space="0"/>
              <w:left w:val="single" w:color="auto" w:sz="4" w:space="0"/>
              <w:bottom w:val="single" w:color="auto" w:sz="4" w:space="0"/>
              <w:right w:val="single" w:color="auto" w:sz="4" w:space="0"/>
            </w:tcBorders>
            <w:noWrap w:val="0"/>
            <w:vAlign w:val="center"/>
          </w:tcPr>
          <w:p w14:paraId="65A4AC8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30分钟内到达现场核实并做好应急处理</w:t>
            </w:r>
          </w:p>
        </w:tc>
        <w:tc>
          <w:tcPr>
            <w:tcW w:w="3908" w:type="dxa"/>
            <w:tcBorders>
              <w:top w:val="single" w:color="auto" w:sz="4" w:space="0"/>
              <w:left w:val="single" w:color="auto" w:sz="4" w:space="0"/>
              <w:bottom w:val="single" w:color="auto" w:sz="4" w:space="0"/>
              <w:right w:val="single" w:color="auto" w:sz="4" w:space="0"/>
            </w:tcBorders>
            <w:noWrap w:val="0"/>
            <w:vAlign w:val="center"/>
          </w:tcPr>
          <w:p w14:paraId="78818244">
            <w:pPr>
              <w:pStyle w:val="2"/>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未及时到达现场做好应急处理每次扣1分。</w:t>
            </w:r>
          </w:p>
        </w:tc>
      </w:tr>
      <w:tr w14:paraId="66A8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0" w:type="dxa"/>
            <w:tcBorders>
              <w:top w:val="single" w:color="auto" w:sz="4" w:space="0"/>
              <w:left w:val="single" w:color="auto" w:sz="4" w:space="0"/>
              <w:bottom w:val="single" w:color="auto" w:sz="4" w:space="0"/>
              <w:right w:val="single" w:color="auto" w:sz="4" w:space="0"/>
            </w:tcBorders>
            <w:noWrap w:val="0"/>
            <w:vAlign w:val="center"/>
          </w:tcPr>
          <w:p w14:paraId="13FCDEF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735" w:type="dxa"/>
            <w:vMerge w:val="continue"/>
            <w:tcBorders>
              <w:left w:val="single" w:color="auto" w:sz="4" w:space="0"/>
              <w:right w:val="single" w:color="auto" w:sz="4" w:space="0"/>
            </w:tcBorders>
            <w:noWrap w:val="0"/>
            <w:vAlign w:val="center"/>
          </w:tcPr>
          <w:p w14:paraId="3800090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eastAsia="zh-CN"/>
              </w:rPr>
            </w:pPr>
          </w:p>
        </w:tc>
        <w:tc>
          <w:tcPr>
            <w:tcW w:w="1890" w:type="dxa"/>
            <w:tcBorders>
              <w:top w:val="single" w:color="auto" w:sz="4" w:space="0"/>
              <w:left w:val="single" w:color="auto" w:sz="4" w:space="0"/>
              <w:bottom w:val="single" w:color="auto" w:sz="4" w:space="0"/>
              <w:right w:val="single" w:color="auto" w:sz="4" w:space="0"/>
            </w:tcBorders>
            <w:noWrap w:val="0"/>
            <w:vAlign w:val="center"/>
          </w:tcPr>
          <w:p w14:paraId="26FDA9B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亮灯率统计及报表</w:t>
            </w:r>
          </w:p>
        </w:tc>
        <w:tc>
          <w:tcPr>
            <w:tcW w:w="2659" w:type="dxa"/>
            <w:tcBorders>
              <w:top w:val="single" w:color="auto" w:sz="4" w:space="0"/>
              <w:left w:val="single" w:color="auto" w:sz="4" w:space="0"/>
              <w:bottom w:val="single" w:color="auto" w:sz="4" w:space="0"/>
              <w:right w:val="single" w:color="auto" w:sz="4" w:space="0"/>
            </w:tcBorders>
            <w:noWrap w:val="0"/>
            <w:vAlign w:val="center"/>
          </w:tcPr>
          <w:p w14:paraId="192F2D8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kern w:val="2"/>
                <w:sz w:val="21"/>
                <w:szCs w:val="21"/>
                <w:highlight w:val="none"/>
                <w:lang w:val="en-US" w:eastAsia="zh-CN" w:bidi="ar-SA"/>
              </w:rPr>
              <w:t>每月25日前统计亮灯率，并报送分析报表</w:t>
            </w:r>
          </w:p>
        </w:tc>
        <w:tc>
          <w:tcPr>
            <w:tcW w:w="3908" w:type="dxa"/>
            <w:tcBorders>
              <w:top w:val="single" w:color="auto" w:sz="4" w:space="0"/>
              <w:left w:val="single" w:color="auto" w:sz="4" w:space="0"/>
              <w:bottom w:val="single" w:color="auto" w:sz="4" w:space="0"/>
              <w:right w:val="single" w:color="auto" w:sz="4" w:space="0"/>
            </w:tcBorders>
            <w:noWrap w:val="0"/>
            <w:vAlign w:val="center"/>
          </w:tcPr>
          <w:p w14:paraId="10742B1E">
            <w:pPr>
              <w:pStyle w:val="2"/>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未按时报送每次扣0.5分。</w:t>
            </w:r>
          </w:p>
        </w:tc>
      </w:tr>
      <w:tr w14:paraId="31E3E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0" w:type="dxa"/>
            <w:tcBorders>
              <w:top w:val="single" w:color="auto" w:sz="4" w:space="0"/>
              <w:left w:val="single" w:color="auto" w:sz="4" w:space="0"/>
              <w:bottom w:val="single" w:color="auto" w:sz="4" w:space="0"/>
              <w:right w:val="single" w:color="auto" w:sz="4" w:space="0"/>
            </w:tcBorders>
            <w:noWrap w:val="0"/>
            <w:vAlign w:val="center"/>
          </w:tcPr>
          <w:p w14:paraId="4FE9BF7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735" w:type="dxa"/>
            <w:vMerge w:val="continue"/>
            <w:tcBorders>
              <w:left w:val="single" w:color="auto" w:sz="4" w:space="0"/>
              <w:right w:val="single" w:color="auto" w:sz="4" w:space="0"/>
            </w:tcBorders>
            <w:noWrap w:val="0"/>
            <w:vAlign w:val="center"/>
          </w:tcPr>
          <w:p w14:paraId="0F6179E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eastAsia="zh-CN"/>
              </w:rPr>
            </w:pPr>
          </w:p>
        </w:tc>
        <w:tc>
          <w:tcPr>
            <w:tcW w:w="1890" w:type="dxa"/>
            <w:tcBorders>
              <w:top w:val="single" w:color="auto" w:sz="4" w:space="0"/>
              <w:left w:val="single" w:color="auto" w:sz="4" w:space="0"/>
              <w:bottom w:val="single" w:color="auto" w:sz="4" w:space="0"/>
              <w:right w:val="single" w:color="auto" w:sz="4" w:space="0"/>
            </w:tcBorders>
            <w:noWrap w:val="0"/>
            <w:vAlign w:val="center"/>
          </w:tcPr>
          <w:p w14:paraId="46354B8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投诉件及指派任务核实</w:t>
            </w:r>
          </w:p>
        </w:tc>
        <w:tc>
          <w:tcPr>
            <w:tcW w:w="2659" w:type="dxa"/>
            <w:tcBorders>
              <w:top w:val="single" w:color="auto" w:sz="4" w:space="0"/>
              <w:left w:val="single" w:color="auto" w:sz="4" w:space="0"/>
              <w:bottom w:val="single" w:color="auto" w:sz="4" w:space="0"/>
              <w:right w:val="single" w:color="auto" w:sz="4" w:space="0"/>
            </w:tcBorders>
            <w:noWrap w:val="0"/>
            <w:vAlign w:val="center"/>
          </w:tcPr>
          <w:p w14:paraId="7B2054A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kern w:val="2"/>
                <w:sz w:val="21"/>
                <w:szCs w:val="21"/>
                <w:highlight w:val="none"/>
                <w:lang w:val="en-US" w:eastAsia="zh-CN" w:bidi="ar-SA"/>
              </w:rPr>
              <w:t>30分钟内到达现场核实</w:t>
            </w:r>
          </w:p>
        </w:tc>
        <w:tc>
          <w:tcPr>
            <w:tcW w:w="3908" w:type="dxa"/>
            <w:tcBorders>
              <w:top w:val="single" w:color="auto" w:sz="4" w:space="0"/>
              <w:left w:val="single" w:color="auto" w:sz="4" w:space="0"/>
              <w:bottom w:val="single" w:color="auto" w:sz="4" w:space="0"/>
              <w:right w:val="single" w:color="auto" w:sz="4" w:space="0"/>
            </w:tcBorders>
            <w:noWrap w:val="0"/>
            <w:vAlign w:val="center"/>
          </w:tcPr>
          <w:p w14:paraId="0E7585BA">
            <w:pPr>
              <w:pStyle w:val="2"/>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未按时核实每次扣0.5分。</w:t>
            </w:r>
          </w:p>
        </w:tc>
      </w:tr>
      <w:tr w14:paraId="2EDD5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0" w:type="dxa"/>
            <w:tcBorders>
              <w:top w:val="single" w:color="auto" w:sz="4" w:space="0"/>
              <w:left w:val="single" w:color="auto" w:sz="4" w:space="0"/>
              <w:bottom w:val="single" w:color="auto" w:sz="4" w:space="0"/>
              <w:right w:val="single" w:color="auto" w:sz="4" w:space="0"/>
            </w:tcBorders>
            <w:noWrap w:val="0"/>
            <w:vAlign w:val="center"/>
          </w:tcPr>
          <w:p w14:paraId="3DBCD54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735" w:type="dxa"/>
            <w:vMerge w:val="continue"/>
            <w:tcBorders>
              <w:left w:val="single" w:color="auto" w:sz="4" w:space="0"/>
              <w:right w:val="single" w:color="auto" w:sz="4" w:space="0"/>
            </w:tcBorders>
            <w:noWrap w:val="0"/>
            <w:vAlign w:val="center"/>
          </w:tcPr>
          <w:p w14:paraId="22E60B2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eastAsia="zh-CN"/>
              </w:rPr>
            </w:pPr>
          </w:p>
        </w:tc>
        <w:tc>
          <w:tcPr>
            <w:tcW w:w="1890" w:type="dxa"/>
            <w:tcBorders>
              <w:top w:val="single" w:color="auto" w:sz="4" w:space="0"/>
              <w:left w:val="single" w:color="auto" w:sz="4" w:space="0"/>
              <w:bottom w:val="single" w:color="auto" w:sz="4" w:space="0"/>
              <w:right w:val="single" w:color="auto" w:sz="4" w:space="0"/>
            </w:tcBorders>
            <w:noWrap w:val="0"/>
            <w:vAlign w:val="center"/>
          </w:tcPr>
          <w:p w14:paraId="529360D3">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市政工程施工现场安全检查</w:t>
            </w:r>
          </w:p>
        </w:tc>
        <w:tc>
          <w:tcPr>
            <w:tcW w:w="2659" w:type="dxa"/>
            <w:tcBorders>
              <w:top w:val="single" w:color="auto" w:sz="4" w:space="0"/>
              <w:left w:val="single" w:color="auto" w:sz="4" w:space="0"/>
              <w:bottom w:val="single" w:color="auto" w:sz="4" w:space="0"/>
              <w:right w:val="single" w:color="auto" w:sz="4" w:space="0"/>
            </w:tcBorders>
            <w:noWrap w:val="0"/>
            <w:vAlign w:val="center"/>
          </w:tcPr>
          <w:p w14:paraId="550F47D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kern w:val="2"/>
                <w:sz w:val="21"/>
                <w:szCs w:val="21"/>
                <w:highlight w:val="none"/>
                <w:lang w:val="en-US" w:eastAsia="zh-CN" w:bidi="ar-SA"/>
              </w:rPr>
              <w:t>对市政养护中心负责照明、亮化项目现场的工程进度和安全生产进行监督检查，发现安全隐患上报科室负责人并及时跟踪整改进度</w:t>
            </w:r>
          </w:p>
        </w:tc>
        <w:tc>
          <w:tcPr>
            <w:tcW w:w="3908" w:type="dxa"/>
            <w:tcBorders>
              <w:top w:val="single" w:color="auto" w:sz="4" w:space="0"/>
              <w:left w:val="single" w:color="auto" w:sz="4" w:space="0"/>
              <w:bottom w:val="single" w:color="auto" w:sz="4" w:space="0"/>
              <w:right w:val="single" w:color="auto" w:sz="4" w:space="0"/>
            </w:tcBorders>
            <w:noWrap w:val="0"/>
            <w:vAlign w:val="center"/>
          </w:tcPr>
          <w:p w14:paraId="7EC2AA12">
            <w:pPr>
              <w:pStyle w:val="2"/>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一般安全生产事故扣1分，发生安全生产事故造成较大财产损失或人员伤亡扣5分，未建台账扣2分。</w:t>
            </w:r>
          </w:p>
        </w:tc>
      </w:tr>
      <w:tr w14:paraId="69D2F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0" w:type="dxa"/>
            <w:tcBorders>
              <w:top w:val="single" w:color="auto" w:sz="4" w:space="0"/>
              <w:left w:val="single" w:color="auto" w:sz="4" w:space="0"/>
              <w:bottom w:val="single" w:color="auto" w:sz="4" w:space="0"/>
              <w:right w:val="single" w:color="auto" w:sz="4" w:space="0"/>
            </w:tcBorders>
            <w:noWrap w:val="0"/>
            <w:vAlign w:val="center"/>
          </w:tcPr>
          <w:p w14:paraId="5F07173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735" w:type="dxa"/>
            <w:vMerge w:val="continue"/>
            <w:tcBorders>
              <w:left w:val="single" w:color="auto" w:sz="4" w:space="0"/>
              <w:right w:val="single" w:color="auto" w:sz="4" w:space="0"/>
            </w:tcBorders>
            <w:noWrap w:val="0"/>
            <w:vAlign w:val="center"/>
          </w:tcPr>
          <w:p w14:paraId="4A019B0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eastAsia="zh-CN"/>
              </w:rPr>
            </w:pPr>
          </w:p>
        </w:tc>
        <w:tc>
          <w:tcPr>
            <w:tcW w:w="18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C7932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突发事件支援响应</w:t>
            </w:r>
          </w:p>
        </w:tc>
        <w:tc>
          <w:tcPr>
            <w:tcW w:w="265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68FB12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服从单位安排进行突发事件应急值班和响应。</w:t>
            </w:r>
          </w:p>
        </w:tc>
        <w:tc>
          <w:tcPr>
            <w:tcW w:w="390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13859E">
            <w:pPr>
              <w:pStyle w:val="2"/>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不服从安排扣2分，迟到、早退、消极应付每次扣1分。</w:t>
            </w:r>
          </w:p>
        </w:tc>
      </w:tr>
      <w:tr w14:paraId="540C8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0" w:type="dxa"/>
            <w:tcBorders>
              <w:top w:val="single" w:color="auto" w:sz="4" w:space="0"/>
              <w:left w:val="single" w:color="auto" w:sz="4" w:space="0"/>
              <w:bottom w:val="single" w:color="auto" w:sz="4" w:space="0"/>
              <w:right w:val="single" w:color="auto" w:sz="4" w:space="0"/>
            </w:tcBorders>
            <w:noWrap w:val="0"/>
            <w:vAlign w:val="center"/>
          </w:tcPr>
          <w:p w14:paraId="3B6E278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735" w:type="dxa"/>
            <w:vMerge w:val="continue"/>
            <w:tcBorders>
              <w:left w:val="single" w:color="auto" w:sz="4" w:space="0"/>
              <w:right w:val="single" w:color="auto" w:sz="4" w:space="0"/>
            </w:tcBorders>
            <w:noWrap w:val="0"/>
            <w:vAlign w:val="center"/>
          </w:tcPr>
          <w:p w14:paraId="131390A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eastAsia="zh-CN"/>
              </w:rPr>
            </w:pPr>
          </w:p>
        </w:tc>
        <w:tc>
          <w:tcPr>
            <w:tcW w:w="18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152C7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政府和上级部门交办的工作任务</w:t>
            </w:r>
          </w:p>
        </w:tc>
        <w:tc>
          <w:tcPr>
            <w:tcW w:w="265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34685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服从安排并按要求完成工作任务。</w:t>
            </w:r>
          </w:p>
        </w:tc>
        <w:tc>
          <w:tcPr>
            <w:tcW w:w="390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114018">
            <w:pPr>
              <w:pStyle w:val="2"/>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不服从安排扣2分，迟到、早退、消极应付每次扣1分。</w:t>
            </w:r>
          </w:p>
        </w:tc>
      </w:tr>
      <w:tr w14:paraId="46F24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570" w:type="dxa"/>
            <w:tcBorders>
              <w:top w:val="single" w:color="auto" w:sz="4" w:space="0"/>
              <w:left w:val="single" w:color="auto" w:sz="4" w:space="0"/>
              <w:bottom w:val="single" w:color="auto" w:sz="4" w:space="0"/>
              <w:right w:val="single" w:color="auto" w:sz="4" w:space="0"/>
            </w:tcBorders>
            <w:noWrap w:val="0"/>
            <w:vAlign w:val="center"/>
          </w:tcPr>
          <w:p w14:paraId="4FCAC8B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p>
        </w:tc>
        <w:tc>
          <w:tcPr>
            <w:tcW w:w="735" w:type="dxa"/>
            <w:tcBorders>
              <w:left w:val="single" w:color="auto" w:sz="4" w:space="0"/>
              <w:bottom w:val="single" w:color="auto" w:sz="4" w:space="0"/>
              <w:right w:val="single" w:color="auto" w:sz="4" w:space="0"/>
            </w:tcBorders>
            <w:noWrap w:val="0"/>
            <w:vAlign w:val="center"/>
          </w:tcPr>
          <w:p w14:paraId="3784403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备注</w:t>
            </w:r>
          </w:p>
        </w:tc>
        <w:tc>
          <w:tcPr>
            <w:tcW w:w="8457"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0ED827AE">
            <w:pPr>
              <w:pStyle w:val="2"/>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考核分数85分以下为不合格，全年累计2个月不合格的人员进行调换。</w:t>
            </w:r>
          </w:p>
        </w:tc>
      </w:tr>
    </w:tbl>
    <w:p w14:paraId="57AA70D8">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6C620149">
      <w:pPr>
        <w:pStyle w:val="2"/>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附件：服务人员配置(最低)要求一览表</w:t>
      </w:r>
    </w:p>
    <w:tbl>
      <w:tblPr>
        <w:tblStyle w:val="4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5"/>
        <w:gridCol w:w="1675"/>
        <w:gridCol w:w="1352"/>
        <w:gridCol w:w="769"/>
        <w:gridCol w:w="3706"/>
        <w:gridCol w:w="1671"/>
      </w:tblGrid>
      <w:tr w14:paraId="3548C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94" w:type="pct"/>
            <w:tcBorders>
              <w:top w:val="single" w:color="auto" w:sz="4" w:space="0"/>
              <w:left w:val="single" w:color="auto" w:sz="4" w:space="0"/>
              <w:bottom w:val="single" w:color="auto" w:sz="4" w:space="0"/>
              <w:right w:val="single" w:color="auto" w:sz="4" w:space="0"/>
            </w:tcBorders>
            <w:noWrap w:val="0"/>
            <w:vAlign w:val="center"/>
          </w:tcPr>
          <w:p w14:paraId="067101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服务类别</w:t>
            </w:r>
          </w:p>
        </w:tc>
        <w:tc>
          <w:tcPr>
            <w:tcW w:w="841" w:type="pct"/>
            <w:tcBorders>
              <w:top w:val="single" w:color="auto" w:sz="4" w:space="0"/>
              <w:left w:val="single" w:color="auto" w:sz="4" w:space="0"/>
              <w:bottom w:val="single" w:color="auto" w:sz="4" w:space="0"/>
              <w:right w:val="single" w:color="auto" w:sz="4" w:space="0"/>
            </w:tcBorders>
            <w:noWrap w:val="0"/>
            <w:vAlign w:val="center"/>
          </w:tcPr>
          <w:p w14:paraId="553658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服务工种</w:t>
            </w:r>
          </w:p>
        </w:tc>
        <w:tc>
          <w:tcPr>
            <w:tcW w:w="679" w:type="pct"/>
            <w:tcBorders>
              <w:top w:val="single" w:color="auto" w:sz="4" w:space="0"/>
              <w:left w:val="single" w:color="auto" w:sz="4" w:space="0"/>
              <w:bottom w:val="single" w:color="auto" w:sz="4" w:space="0"/>
              <w:right w:val="single" w:color="auto" w:sz="4" w:space="0"/>
            </w:tcBorders>
            <w:noWrap w:val="0"/>
            <w:vAlign w:val="center"/>
          </w:tcPr>
          <w:p w14:paraId="6C5825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人员证件要求</w:t>
            </w:r>
          </w:p>
        </w:tc>
        <w:tc>
          <w:tcPr>
            <w:tcW w:w="386" w:type="pct"/>
            <w:tcBorders>
              <w:top w:val="single" w:color="auto" w:sz="4" w:space="0"/>
              <w:left w:val="single" w:color="auto" w:sz="4" w:space="0"/>
              <w:bottom w:val="single" w:color="auto" w:sz="4" w:space="0"/>
              <w:right w:val="single" w:color="auto" w:sz="4" w:space="0"/>
            </w:tcBorders>
            <w:noWrap w:val="0"/>
            <w:vAlign w:val="center"/>
          </w:tcPr>
          <w:p w14:paraId="35CD74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用工人数</w:t>
            </w:r>
            <w:r>
              <w:rPr>
                <w:rFonts w:hint="eastAsia" w:ascii="宋体" w:hAnsi="宋体" w:eastAsia="宋体" w:cs="宋体"/>
                <w:b/>
                <w:bCs/>
                <w:i w:val="0"/>
                <w:iCs w:val="0"/>
                <w:color w:val="auto"/>
                <w:kern w:val="0"/>
                <w:sz w:val="20"/>
                <w:szCs w:val="20"/>
                <w:highlight w:val="none"/>
                <w:u w:val="none"/>
                <w:lang w:val="en-US" w:eastAsia="zh-CN" w:bidi="ar"/>
              </w:rPr>
              <w:br w:type="textWrapping"/>
            </w:r>
            <w:r>
              <w:rPr>
                <w:rFonts w:hint="eastAsia" w:ascii="宋体" w:hAnsi="宋体" w:eastAsia="宋体" w:cs="宋体"/>
                <w:b/>
                <w:bCs/>
                <w:i w:val="0"/>
                <w:iCs w:val="0"/>
                <w:color w:val="auto"/>
                <w:kern w:val="0"/>
                <w:sz w:val="20"/>
                <w:szCs w:val="20"/>
                <w:highlight w:val="none"/>
                <w:u w:val="none"/>
                <w:lang w:val="en-US" w:eastAsia="zh-CN" w:bidi="ar"/>
              </w:rPr>
              <w:t>(人)</w:t>
            </w:r>
          </w:p>
        </w:tc>
        <w:tc>
          <w:tcPr>
            <w:tcW w:w="1861" w:type="pct"/>
            <w:tcBorders>
              <w:top w:val="single" w:color="auto" w:sz="4" w:space="0"/>
              <w:left w:val="single" w:color="auto" w:sz="4" w:space="0"/>
              <w:bottom w:val="single" w:color="auto" w:sz="4" w:space="0"/>
              <w:right w:val="single" w:color="auto" w:sz="4" w:space="0"/>
            </w:tcBorders>
            <w:noWrap w:val="0"/>
            <w:vAlign w:val="center"/>
          </w:tcPr>
          <w:p w14:paraId="4014EB1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服务内容</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47F6B0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备注</w:t>
            </w:r>
          </w:p>
        </w:tc>
      </w:tr>
      <w:tr w14:paraId="605EC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gridSpan w:val="6"/>
            <w:tcBorders>
              <w:top w:val="single" w:color="auto" w:sz="4" w:space="0"/>
              <w:left w:val="single" w:color="auto" w:sz="4" w:space="0"/>
              <w:bottom w:val="single" w:color="auto" w:sz="4" w:space="0"/>
              <w:right w:val="single" w:color="auto" w:sz="4" w:space="0"/>
            </w:tcBorders>
            <w:noWrap w:val="0"/>
            <w:vAlign w:val="center"/>
          </w:tcPr>
          <w:p w14:paraId="2D3131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昌吉市</w:t>
            </w:r>
          </w:p>
        </w:tc>
      </w:tr>
      <w:tr w14:paraId="1A659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94" w:type="pct"/>
            <w:vMerge w:val="restart"/>
            <w:tcBorders>
              <w:top w:val="single" w:color="auto" w:sz="4" w:space="0"/>
              <w:left w:val="single" w:color="auto" w:sz="4" w:space="0"/>
              <w:bottom w:val="single" w:color="auto" w:sz="4" w:space="0"/>
              <w:right w:val="single" w:color="auto" w:sz="4" w:space="0"/>
            </w:tcBorders>
            <w:noWrap w:val="0"/>
            <w:vAlign w:val="center"/>
          </w:tcPr>
          <w:p w14:paraId="3C3349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0"/>
                <w:szCs w:val="20"/>
                <w:highlight w:val="none"/>
                <w:u w:val="none"/>
                <w:lang w:eastAsia="zh-CN"/>
              </w:rPr>
            </w:pPr>
            <w:r>
              <w:rPr>
                <w:rFonts w:hint="eastAsia" w:ascii="宋体" w:hAnsi="宋体" w:eastAsia="宋体" w:cs="宋体"/>
                <w:i w:val="0"/>
                <w:iCs w:val="0"/>
                <w:color w:val="auto"/>
                <w:sz w:val="20"/>
                <w:szCs w:val="20"/>
                <w:highlight w:val="none"/>
                <w:u w:val="none"/>
                <w:lang w:eastAsia="zh-CN"/>
              </w:rPr>
              <w:t>市政养护中心</w:t>
            </w:r>
          </w:p>
        </w:tc>
        <w:tc>
          <w:tcPr>
            <w:tcW w:w="841" w:type="pct"/>
            <w:tcBorders>
              <w:top w:val="single" w:color="auto" w:sz="4" w:space="0"/>
              <w:left w:val="single" w:color="auto" w:sz="4" w:space="0"/>
              <w:bottom w:val="single" w:color="auto" w:sz="4" w:space="0"/>
              <w:right w:val="single" w:color="auto" w:sz="4" w:space="0"/>
            </w:tcBorders>
            <w:noWrap w:val="0"/>
            <w:vAlign w:val="center"/>
          </w:tcPr>
          <w:p w14:paraId="2744797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巡检员</w:t>
            </w:r>
          </w:p>
        </w:tc>
        <w:tc>
          <w:tcPr>
            <w:tcW w:w="679" w:type="pct"/>
            <w:tcBorders>
              <w:top w:val="single" w:color="auto" w:sz="4" w:space="0"/>
              <w:left w:val="single" w:color="auto" w:sz="4" w:space="0"/>
              <w:bottom w:val="single" w:color="auto" w:sz="4" w:space="0"/>
              <w:right w:val="single" w:color="auto" w:sz="4" w:space="0"/>
            </w:tcBorders>
            <w:noWrap w:val="0"/>
            <w:vAlign w:val="center"/>
          </w:tcPr>
          <w:p w14:paraId="0A6A0A9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大专及以上学历</w:t>
            </w:r>
          </w:p>
        </w:tc>
        <w:tc>
          <w:tcPr>
            <w:tcW w:w="386" w:type="pct"/>
            <w:tcBorders>
              <w:top w:val="single" w:color="auto" w:sz="4" w:space="0"/>
              <w:left w:val="single" w:color="auto" w:sz="4" w:space="0"/>
              <w:bottom w:val="single" w:color="auto" w:sz="4" w:space="0"/>
              <w:right w:val="single" w:color="auto" w:sz="4" w:space="0"/>
            </w:tcBorders>
            <w:noWrap w:val="0"/>
            <w:vAlign w:val="center"/>
          </w:tcPr>
          <w:p w14:paraId="5D33792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9</w:t>
            </w:r>
          </w:p>
        </w:tc>
        <w:tc>
          <w:tcPr>
            <w:tcW w:w="1861" w:type="pct"/>
            <w:tcBorders>
              <w:top w:val="single" w:color="auto" w:sz="4" w:space="0"/>
              <w:left w:val="single" w:color="auto" w:sz="4" w:space="0"/>
              <w:bottom w:val="single" w:color="auto" w:sz="4" w:space="0"/>
              <w:right w:val="single" w:color="auto" w:sz="4" w:space="0"/>
            </w:tcBorders>
            <w:noWrap w:val="0"/>
            <w:vAlign w:val="center"/>
          </w:tcPr>
          <w:p w14:paraId="5C2DD121">
            <w:pPr>
              <w:pStyle w:val="2"/>
              <w:keepNext w:val="0"/>
              <w:keepLines w:val="0"/>
              <w:pageBreakBefore w:val="0"/>
              <w:widowControl/>
              <w:kinsoku/>
              <w:wordWrap/>
              <w:overflowPunct/>
              <w:topLinePunct w:val="0"/>
              <w:autoSpaceDE/>
              <w:autoSpaceDN/>
              <w:bidi w:val="0"/>
              <w:adjustRightInd/>
              <w:snapToGrid/>
              <w:spacing w:line="300" w:lineRule="exact"/>
              <w:ind w:left="0" w:leftChars="0"/>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按照巡检服务内容及标准。</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3E93D9F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0"/>
                <w:szCs w:val="20"/>
                <w:highlight w:val="none"/>
                <w:u w:val="none"/>
              </w:rPr>
            </w:pPr>
          </w:p>
        </w:tc>
      </w:tr>
      <w:tr w14:paraId="2AF1F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94" w:type="pct"/>
            <w:vMerge w:val="continue"/>
            <w:tcBorders>
              <w:top w:val="single" w:color="auto" w:sz="4" w:space="0"/>
              <w:left w:val="single" w:color="auto" w:sz="4" w:space="0"/>
              <w:bottom w:val="single" w:color="auto" w:sz="4" w:space="0"/>
              <w:right w:val="single" w:color="auto" w:sz="4" w:space="0"/>
            </w:tcBorders>
            <w:noWrap w:val="0"/>
            <w:vAlign w:val="center"/>
          </w:tcPr>
          <w:p w14:paraId="1A9D44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0"/>
                <w:szCs w:val="20"/>
                <w:highlight w:val="none"/>
                <w:u w:val="none"/>
              </w:rPr>
            </w:pPr>
          </w:p>
        </w:tc>
        <w:tc>
          <w:tcPr>
            <w:tcW w:w="841" w:type="pct"/>
            <w:tcBorders>
              <w:top w:val="single" w:color="auto" w:sz="4" w:space="0"/>
              <w:left w:val="single" w:color="auto" w:sz="4" w:space="0"/>
              <w:bottom w:val="single" w:color="auto" w:sz="4" w:space="0"/>
              <w:right w:val="single" w:color="auto" w:sz="4" w:space="0"/>
            </w:tcBorders>
            <w:noWrap w:val="0"/>
            <w:vAlign w:val="center"/>
          </w:tcPr>
          <w:p w14:paraId="370104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后勤保障人员</w:t>
            </w:r>
          </w:p>
        </w:tc>
        <w:tc>
          <w:tcPr>
            <w:tcW w:w="679" w:type="pct"/>
            <w:tcBorders>
              <w:top w:val="single" w:color="auto" w:sz="4" w:space="0"/>
              <w:left w:val="single" w:color="auto" w:sz="4" w:space="0"/>
              <w:bottom w:val="single" w:color="auto" w:sz="4" w:space="0"/>
              <w:right w:val="single" w:color="auto" w:sz="4" w:space="0"/>
            </w:tcBorders>
            <w:noWrap w:val="0"/>
            <w:vAlign w:val="center"/>
          </w:tcPr>
          <w:p w14:paraId="7A74BE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大专及以上学历</w:t>
            </w:r>
          </w:p>
        </w:tc>
        <w:tc>
          <w:tcPr>
            <w:tcW w:w="386" w:type="pct"/>
            <w:tcBorders>
              <w:top w:val="single" w:color="auto" w:sz="4" w:space="0"/>
              <w:left w:val="single" w:color="auto" w:sz="4" w:space="0"/>
              <w:bottom w:val="single" w:color="auto" w:sz="4" w:space="0"/>
              <w:right w:val="single" w:color="auto" w:sz="4" w:space="0"/>
            </w:tcBorders>
            <w:noWrap w:val="0"/>
            <w:vAlign w:val="center"/>
          </w:tcPr>
          <w:p w14:paraId="3D84257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1</w:t>
            </w:r>
          </w:p>
        </w:tc>
        <w:tc>
          <w:tcPr>
            <w:tcW w:w="1861" w:type="pct"/>
            <w:tcBorders>
              <w:top w:val="single" w:color="auto" w:sz="4" w:space="0"/>
              <w:left w:val="single" w:color="auto" w:sz="4" w:space="0"/>
              <w:bottom w:val="single" w:color="auto" w:sz="4" w:space="0"/>
              <w:right w:val="single" w:color="auto" w:sz="4" w:space="0"/>
            </w:tcBorders>
            <w:noWrap w:val="0"/>
            <w:vAlign w:val="center"/>
          </w:tcPr>
          <w:p w14:paraId="17272414">
            <w:pPr>
              <w:pStyle w:val="2"/>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按照后勤保障服务内容及标准。</w:t>
            </w:r>
          </w:p>
        </w:tc>
        <w:tc>
          <w:tcPr>
            <w:tcW w:w="838" w:type="pct"/>
            <w:tcBorders>
              <w:top w:val="single" w:color="auto" w:sz="4" w:space="0"/>
              <w:left w:val="single" w:color="auto" w:sz="4" w:space="0"/>
              <w:bottom w:val="single" w:color="auto" w:sz="4" w:space="0"/>
              <w:right w:val="single" w:color="auto" w:sz="4" w:space="0"/>
            </w:tcBorders>
            <w:noWrap w:val="0"/>
            <w:vAlign w:val="center"/>
          </w:tcPr>
          <w:p w14:paraId="1BE28D9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0"/>
                <w:szCs w:val="20"/>
                <w:highlight w:val="none"/>
                <w:u w:val="none"/>
              </w:rPr>
            </w:pPr>
          </w:p>
        </w:tc>
      </w:tr>
    </w:tbl>
    <w:p w14:paraId="4CCD06FA">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5585157D">
      <w:pPr>
        <w:keepNext w:val="0"/>
        <w:keepLines w:val="0"/>
        <w:pageBreakBefore w:val="0"/>
        <w:widowControl/>
        <w:shd w:val="clear"/>
        <w:kinsoku/>
        <w:wordWrap/>
        <w:overflowPunct/>
        <w:topLinePunct w:val="0"/>
        <w:autoSpaceDE/>
        <w:autoSpaceDN/>
        <w:bidi w:val="0"/>
        <w:adjustRightInd/>
        <w:snapToGrid/>
        <w:spacing w:beforeAutospacing="0" w:afterAutospacing="0" w:line="312" w:lineRule="auto"/>
        <w:jc w:val="left"/>
        <w:textAlignment w:val="auto"/>
        <w:rPr>
          <w:rFonts w:hint="eastAsia" w:ascii="宋体" w:hAnsi="宋体" w:eastAsia="宋体" w:cs="宋体"/>
          <w:b/>
          <w:bCs/>
          <w:color w:val="auto"/>
          <w:kern w:val="0"/>
          <w:sz w:val="28"/>
          <w:szCs w:val="28"/>
          <w:highlight w:val="none"/>
          <w:lang w:val="en-US" w:eastAsia="zh-CN"/>
        </w:rPr>
      </w:pPr>
      <w:r>
        <w:rPr>
          <w:rFonts w:hint="eastAsia" w:ascii="宋体" w:hAnsi="宋体" w:eastAsia="宋体" w:cs="宋体"/>
          <w:b/>
          <w:bCs/>
          <w:color w:val="auto"/>
          <w:kern w:val="0"/>
          <w:sz w:val="28"/>
          <w:szCs w:val="28"/>
          <w:highlight w:val="none"/>
          <w:lang w:val="en-US" w:eastAsia="zh-CN"/>
        </w:rPr>
        <w:t>（</w:t>
      </w:r>
      <w:r>
        <w:rPr>
          <w:rFonts w:hint="eastAsia" w:ascii="宋体" w:hAnsi="宋体" w:cs="宋体"/>
          <w:b/>
          <w:bCs/>
          <w:color w:val="auto"/>
          <w:kern w:val="0"/>
          <w:sz w:val="28"/>
          <w:szCs w:val="28"/>
          <w:highlight w:val="none"/>
          <w:lang w:val="en-US" w:eastAsia="zh-CN"/>
        </w:rPr>
        <w:t>3</w:t>
      </w:r>
      <w:r>
        <w:rPr>
          <w:rFonts w:hint="eastAsia" w:ascii="宋体" w:hAnsi="宋体" w:eastAsia="宋体" w:cs="宋体"/>
          <w:b/>
          <w:bCs/>
          <w:color w:val="auto"/>
          <w:kern w:val="0"/>
          <w:sz w:val="28"/>
          <w:szCs w:val="28"/>
          <w:highlight w:val="none"/>
          <w:lang w:val="en-US" w:eastAsia="zh-CN"/>
        </w:rPr>
        <w:t>）园林养护</w:t>
      </w:r>
    </w:p>
    <w:p w14:paraId="0BBFDF46">
      <w:pPr>
        <w:keepNext w:val="0"/>
        <w:keepLines w:val="0"/>
        <w:pageBreakBefore w:val="0"/>
        <w:widowControl w:val="0"/>
        <w:shd w:val="clear" w:color="auto" w:fill="auto"/>
        <w:kinsoku/>
        <w:wordWrap/>
        <w:overflowPunct/>
        <w:topLinePunct w:val="0"/>
        <w:autoSpaceDE/>
        <w:autoSpaceDN/>
        <w:bidi w:val="0"/>
        <w:adjustRightInd/>
        <w:snapToGrid/>
        <w:spacing w:line="324" w:lineRule="auto"/>
        <w:ind w:firstLine="480" w:firstLineChars="200"/>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（一）昌吉市区</w:t>
      </w:r>
    </w:p>
    <w:p w14:paraId="3EB4EDB8">
      <w:pPr>
        <w:keepNext w:val="0"/>
        <w:keepLines w:val="0"/>
        <w:pageBreakBefore w:val="0"/>
        <w:widowControl w:val="0"/>
        <w:shd w:val="clear" w:color="auto" w:fill="auto"/>
        <w:kinsoku/>
        <w:wordWrap/>
        <w:overflowPunct/>
        <w:topLinePunct w:val="0"/>
        <w:autoSpaceDE/>
        <w:autoSpaceDN/>
        <w:bidi w:val="0"/>
        <w:adjustRightInd/>
        <w:snapToGrid/>
        <w:spacing w:line="324" w:lineRule="auto"/>
        <w:ind w:firstLine="480" w:firstLineChars="200"/>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1）负责市区16545.2亩绿地的养护管理，包括3个广场、5个公园、1个景观带、64个游园、20个街头绿地、92条道路绿地，8块苗圃绿地（包括科研圃地）、14块防护绿地以及公园、广场内26个公厕的清扫保洁工作。</w:t>
      </w:r>
    </w:p>
    <w:p w14:paraId="33E14BB4">
      <w:pPr>
        <w:keepNext w:val="0"/>
        <w:keepLines w:val="0"/>
        <w:pageBreakBefore w:val="0"/>
        <w:widowControl w:val="0"/>
        <w:shd w:val="clear" w:color="auto" w:fill="auto"/>
        <w:kinsoku/>
        <w:wordWrap/>
        <w:overflowPunct/>
        <w:topLinePunct w:val="0"/>
        <w:autoSpaceDE/>
        <w:autoSpaceDN/>
        <w:bidi w:val="0"/>
        <w:adjustRightInd/>
        <w:snapToGrid/>
        <w:spacing w:line="324" w:lineRule="auto"/>
        <w:ind w:firstLine="480" w:firstLineChars="200"/>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包括城市道路绿地、公园、游园、广场、科研圃地、防护林等市区范围内城市公共绿地的所有养护管理内容。主要包括公园、游园、广场清扫保洁、河道巡查、园内标志牌、指示牌、座椅、灯箱、庭院灯、栏杆、垃圾箱及园林建筑小品等设施设备进行维修、保养及更换；公厕清扫保洁；公园、游园、广场道路冬季清雪；公共绿地园林植物整形修剪、浇水排水、除草施肥、浇水管网维修维护、供水管道的应急抢修及病虫害防治、日常维护等；科研圃地盆花管理、新品种繁育、圃地日常管理等。</w:t>
      </w:r>
    </w:p>
    <w:p w14:paraId="49938627">
      <w:pPr>
        <w:keepNext w:val="0"/>
        <w:keepLines w:val="0"/>
        <w:pageBreakBefore w:val="0"/>
        <w:widowControl w:val="0"/>
        <w:shd w:val="clear" w:color="auto" w:fill="auto"/>
        <w:kinsoku/>
        <w:wordWrap/>
        <w:overflowPunct/>
        <w:topLinePunct w:val="0"/>
        <w:autoSpaceDE/>
        <w:autoSpaceDN/>
        <w:bidi w:val="0"/>
        <w:adjustRightInd/>
        <w:snapToGrid/>
        <w:spacing w:line="324" w:lineRule="auto"/>
        <w:ind w:firstLine="480" w:firstLineChars="200"/>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一级养护区域:宁边路以南(含宁边路)、南公园路以北(含南公园路)、建设路以西、乌伊路以南、绿洲路以西(含绿洲路)、中山路以东(含中山路)；二级养护区域:宁边路以北、北城路以南(含北城路)，绿洲路以东、屯河路以西(含屯河路)，南公园路以南、石河子路以北(含石河子路)，中山路以西、世纪大道以东(含世纪大道)；三级养护区域:北城路以北、北绕城以南(含北绕城)，乌伊路为分界线、屯河路以东、雪莲路以西(含雪莲路)，石河子路以南、南外环以北(含南外环)、世纪大道以西、西外环以东(含西外环)。</w:t>
      </w:r>
    </w:p>
    <w:p w14:paraId="7919113C">
      <w:pPr>
        <w:keepNext w:val="0"/>
        <w:keepLines w:val="0"/>
        <w:pageBreakBefore w:val="0"/>
        <w:shd w:val="clear" w:color="auto" w:fill="auto"/>
        <w:kinsoku/>
        <w:wordWrap/>
        <w:overflowPunct/>
        <w:topLinePunct w:val="0"/>
        <w:autoSpaceDE/>
        <w:autoSpaceDN/>
        <w:bidi w:val="0"/>
        <w:adjustRightInd/>
        <w:snapToGrid/>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
          <w:bCs/>
          <w:i w:val="0"/>
          <w:iCs w:val="0"/>
          <w:color w:val="auto"/>
          <w:kern w:val="0"/>
          <w:sz w:val="24"/>
          <w:szCs w:val="24"/>
          <w:highlight w:val="none"/>
          <w:u w:val="none"/>
          <w:lang w:val="en-US" w:eastAsia="zh-CN" w:bidi="ar"/>
        </w:rPr>
        <w:t>绿地养护分级面积汇总</w:t>
      </w:r>
    </w:p>
    <w:tbl>
      <w:tblPr>
        <w:tblStyle w:val="43"/>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29"/>
        <w:gridCol w:w="2297"/>
        <w:gridCol w:w="2486"/>
        <w:gridCol w:w="2074"/>
        <w:gridCol w:w="2074"/>
      </w:tblGrid>
      <w:tr w14:paraId="54743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81" w:type="dxa"/>
            <w:tcBorders>
              <w:top w:val="single" w:color="000000" w:sz="4" w:space="0"/>
              <w:left w:val="single" w:color="000000" w:sz="4" w:space="0"/>
              <w:bottom w:val="single" w:color="000000" w:sz="4" w:space="0"/>
              <w:right w:val="single" w:color="000000" w:sz="4" w:space="0"/>
            </w:tcBorders>
            <w:noWrap w:val="0"/>
            <w:vAlign w:val="center"/>
          </w:tcPr>
          <w:p w14:paraId="481A5D7D">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序号</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14:paraId="2BC7EBB3">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绿地分类</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14:paraId="106899EC">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绿地分级</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4A402EFD">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color w:val="auto"/>
                <w:sz w:val="24"/>
                <w:szCs w:val="24"/>
                <w:highlight w:val="none"/>
                <w:u w:val="none"/>
                <w:lang w:val="en-US" w:eastAsia="zh-CN" w:bidi="ar"/>
              </w:rPr>
              <w:t>绿地面积（㎡）</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593EC3FA">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color w:val="auto"/>
                <w:sz w:val="24"/>
                <w:szCs w:val="24"/>
                <w:highlight w:val="none"/>
                <w:u w:val="none"/>
                <w:lang w:val="en-US" w:eastAsia="zh-CN" w:bidi="ar"/>
              </w:rPr>
            </w:pPr>
            <w:r>
              <w:rPr>
                <w:rFonts w:hint="eastAsia" w:ascii="宋体" w:hAnsi="宋体" w:eastAsia="宋体" w:cs="宋体"/>
                <w:color w:val="auto"/>
                <w:sz w:val="24"/>
                <w:szCs w:val="24"/>
                <w:highlight w:val="none"/>
                <w:u w:val="none"/>
                <w:lang w:val="en-US" w:eastAsia="zh-CN" w:bidi="ar"/>
              </w:rPr>
              <w:t>绿地面积（亩）</w:t>
            </w:r>
          </w:p>
        </w:tc>
      </w:tr>
      <w:tr w14:paraId="17167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81" w:type="dxa"/>
            <w:tcBorders>
              <w:top w:val="single" w:color="000000" w:sz="4" w:space="0"/>
              <w:left w:val="single" w:color="000000" w:sz="4" w:space="0"/>
              <w:bottom w:val="single" w:color="000000" w:sz="4" w:space="0"/>
              <w:right w:val="single" w:color="000000" w:sz="4" w:space="0"/>
            </w:tcBorders>
            <w:noWrap w:val="0"/>
            <w:vAlign w:val="center"/>
          </w:tcPr>
          <w:p w14:paraId="0FD897F7">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14:paraId="11A65FD9">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道路绿地</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14:paraId="35B8D82D">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一级绿地</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69096AAA">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200515.29</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13B2C335">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300.62</w:t>
            </w:r>
          </w:p>
        </w:tc>
      </w:tr>
      <w:tr w14:paraId="6B751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81" w:type="dxa"/>
            <w:tcBorders>
              <w:top w:val="single" w:color="000000" w:sz="4" w:space="0"/>
              <w:left w:val="single" w:color="000000" w:sz="4" w:space="0"/>
              <w:bottom w:val="single" w:color="000000" w:sz="4" w:space="0"/>
              <w:right w:val="single" w:color="000000" w:sz="4" w:space="0"/>
            </w:tcBorders>
            <w:noWrap w:val="0"/>
            <w:vAlign w:val="center"/>
          </w:tcPr>
          <w:p w14:paraId="2BB8DDBE">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14:paraId="0F2102B9">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道路绿地</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14:paraId="5DF2B650">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二级绿地</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54938668">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1883150.21</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266FCB87">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2823.31</w:t>
            </w:r>
          </w:p>
        </w:tc>
      </w:tr>
      <w:tr w14:paraId="63FF0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81" w:type="dxa"/>
            <w:tcBorders>
              <w:top w:val="single" w:color="000000" w:sz="4" w:space="0"/>
              <w:left w:val="single" w:color="000000" w:sz="4" w:space="0"/>
              <w:bottom w:val="single" w:color="000000" w:sz="4" w:space="0"/>
              <w:right w:val="single" w:color="000000" w:sz="4" w:space="0"/>
            </w:tcBorders>
            <w:noWrap w:val="0"/>
            <w:vAlign w:val="center"/>
          </w:tcPr>
          <w:p w14:paraId="7435DBC7">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14:paraId="3ECBB1DF">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道路绿地</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14:paraId="1476FB15">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三级绿地</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4AE3EC22">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3010783</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3802A54C">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4513.92</w:t>
            </w:r>
          </w:p>
        </w:tc>
      </w:tr>
      <w:tr w14:paraId="0B90C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881" w:type="dxa"/>
            <w:tcBorders>
              <w:top w:val="single" w:color="000000" w:sz="4" w:space="0"/>
              <w:left w:val="single" w:color="000000" w:sz="4" w:space="0"/>
              <w:bottom w:val="single" w:color="000000" w:sz="4" w:space="0"/>
              <w:right w:val="single" w:color="000000" w:sz="4" w:space="0"/>
            </w:tcBorders>
            <w:noWrap w:val="0"/>
            <w:vAlign w:val="center"/>
          </w:tcPr>
          <w:p w14:paraId="1C07D8D4">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14:paraId="2CBD2DCF">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公园、广场、游园、街头绿地</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14:paraId="0B10219A">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一级绿地</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50DAD53E">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3909911.49</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6DCC7D0D">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5861.94</w:t>
            </w:r>
          </w:p>
        </w:tc>
      </w:tr>
      <w:tr w14:paraId="2C810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81" w:type="dxa"/>
            <w:tcBorders>
              <w:top w:val="single" w:color="000000" w:sz="4" w:space="0"/>
              <w:left w:val="single" w:color="000000" w:sz="4" w:space="0"/>
              <w:bottom w:val="single" w:color="000000" w:sz="4" w:space="0"/>
              <w:right w:val="single" w:color="000000" w:sz="4" w:space="0"/>
            </w:tcBorders>
            <w:noWrap w:val="0"/>
            <w:vAlign w:val="center"/>
          </w:tcPr>
          <w:p w14:paraId="7EF26D4C">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14:paraId="620491B7">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科研绿地</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14:paraId="10D9CC42">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一级绿地</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05119B07">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143615.5</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5610EAA9">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215.32</w:t>
            </w:r>
          </w:p>
        </w:tc>
      </w:tr>
      <w:tr w14:paraId="5979C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81" w:type="dxa"/>
            <w:tcBorders>
              <w:top w:val="single" w:color="000000" w:sz="4" w:space="0"/>
              <w:left w:val="single" w:color="000000" w:sz="4" w:space="0"/>
              <w:bottom w:val="single" w:color="000000" w:sz="4" w:space="0"/>
              <w:right w:val="single" w:color="000000" w:sz="4" w:space="0"/>
            </w:tcBorders>
            <w:noWrap w:val="0"/>
            <w:vAlign w:val="center"/>
          </w:tcPr>
          <w:p w14:paraId="10B61C06">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14:paraId="6E3B3DF1">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苗圃</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14:paraId="0D093CAF">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二级绿地</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41C537BB">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306364</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45839A60">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459.32</w:t>
            </w:r>
          </w:p>
        </w:tc>
      </w:tr>
      <w:tr w14:paraId="5B55C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81" w:type="dxa"/>
            <w:tcBorders>
              <w:top w:val="single" w:color="000000" w:sz="4" w:space="0"/>
              <w:left w:val="single" w:color="000000" w:sz="4" w:space="0"/>
              <w:bottom w:val="single" w:color="000000" w:sz="4" w:space="0"/>
              <w:right w:val="single" w:color="000000" w:sz="4" w:space="0"/>
            </w:tcBorders>
            <w:noWrap w:val="0"/>
            <w:vAlign w:val="center"/>
          </w:tcPr>
          <w:p w14:paraId="6681D8DF">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14:paraId="72C606AE">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苗圃</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14:paraId="0BBACBC4">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三级绿地</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20204A69">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884635</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2881849A">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1326.29</w:t>
            </w:r>
          </w:p>
        </w:tc>
      </w:tr>
      <w:tr w14:paraId="6821A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881" w:type="dxa"/>
            <w:tcBorders>
              <w:top w:val="single" w:color="000000" w:sz="4" w:space="0"/>
              <w:left w:val="single" w:color="000000" w:sz="4" w:space="0"/>
              <w:bottom w:val="single" w:color="000000" w:sz="4" w:space="0"/>
              <w:right w:val="single" w:color="000000" w:sz="4" w:space="0"/>
            </w:tcBorders>
            <w:noWrap w:val="0"/>
            <w:vAlign w:val="center"/>
          </w:tcPr>
          <w:p w14:paraId="116D9E23">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14:paraId="6D385489">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防护栏</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14:paraId="62B2360F">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三级绿地</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147B1F71">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696673.85</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4CDDBC7F">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1044.49</w:t>
            </w:r>
          </w:p>
        </w:tc>
      </w:tr>
      <w:tr w14:paraId="5345D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973" w:type="dxa"/>
            <w:gridSpan w:val="3"/>
            <w:tcBorders>
              <w:top w:val="single" w:color="000000" w:sz="4" w:space="0"/>
              <w:left w:val="single" w:color="000000" w:sz="4" w:space="0"/>
              <w:bottom w:val="single" w:color="000000" w:sz="4" w:space="0"/>
              <w:right w:val="single" w:color="000000" w:sz="4" w:space="0"/>
            </w:tcBorders>
            <w:noWrap w:val="0"/>
            <w:vAlign w:val="center"/>
          </w:tcPr>
          <w:p w14:paraId="66C79D9A">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合计</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04FE1306">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11035648.34</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6BF9F10F">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16545.2</w:t>
            </w:r>
          </w:p>
        </w:tc>
      </w:tr>
    </w:tbl>
    <w:p w14:paraId="1AEACBAD">
      <w:pPr>
        <w:keepNext/>
        <w:keepLines/>
        <w:pageBreakBefore w:val="0"/>
        <w:widowControl w:val="0"/>
        <w:kinsoku/>
        <w:wordWrap w:val="0"/>
        <w:overflowPunct/>
        <w:topLinePunct w:val="0"/>
        <w:autoSpaceDE/>
        <w:autoSpaceDN/>
        <w:bidi w:val="0"/>
        <w:adjustRightInd/>
        <w:snapToGrid/>
        <w:spacing w:line="360" w:lineRule="auto"/>
        <w:ind w:right="0"/>
        <w:textAlignment w:val="auto"/>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附件c 昌吉市城市绿地养护管理质量等级标准</w:t>
      </w:r>
    </w:p>
    <w:p w14:paraId="150DA2B2">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昌吉市城市绿地养护管理质量等级标准</w:t>
      </w:r>
    </w:p>
    <w:p w14:paraId="698342A8">
      <w:pPr>
        <w:keepNext w:val="0"/>
        <w:keepLines w:val="0"/>
        <w:pageBreakBefore w:val="0"/>
        <w:widowControl w:val="0"/>
        <w:kinsoku/>
        <w:wordWrap/>
        <w:overflowPunct/>
        <w:topLinePunct w:val="0"/>
        <w:autoSpaceDE/>
        <w:autoSpaceDN/>
        <w:bidi w:val="0"/>
        <w:adjustRightInd/>
        <w:snapToGrid/>
        <w:spacing w:line="360" w:lineRule="auto"/>
        <w:ind w:right="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w:t>
      </w:r>
      <w:r>
        <w:rPr>
          <w:rFonts w:hint="eastAsia" w:ascii="宋体" w:hAnsi="宋体" w:eastAsia="宋体" w:cs="宋体"/>
          <w:b/>
          <w:color w:val="auto"/>
          <w:sz w:val="24"/>
          <w:szCs w:val="24"/>
          <w:highlight w:val="none"/>
          <w:lang w:val="en-US" w:eastAsia="zh-CN"/>
        </w:rPr>
        <w:t>.</w:t>
      </w:r>
      <w:r>
        <w:rPr>
          <w:rFonts w:hint="eastAsia" w:ascii="宋体" w:hAnsi="宋体" w:eastAsia="宋体" w:cs="宋体"/>
          <w:b/>
          <w:color w:val="auto"/>
          <w:sz w:val="24"/>
          <w:szCs w:val="24"/>
          <w:highlight w:val="none"/>
        </w:rPr>
        <w:t>园林绿化一级养护质量标准</w:t>
      </w:r>
    </w:p>
    <w:p w14:paraId="7BA1B6F3">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1.1 绿化养护技术措施完善，管理得当，植物配置科学合理，达到黄土不露天。 </w:t>
      </w:r>
    </w:p>
    <w:p w14:paraId="52644CFC">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1.2园林植物</w:t>
      </w:r>
    </w:p>
    <w:p w14:paraId="557C1CF6">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生长健壮。新建绿地各种植物2年内达到正常形态。</w:t>
      </w:r>
    </w:p>
    <w:p w14:paraId="64BF713F">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园林树木树冠完整美观，分枝点合适，枝条粗壮，无枯枝死枝；主侧枝分布匀称，数量适宜，修剪科学合理；内瞠不乱，通风透光。花灌木开花及时，株形丰满，花后修剪及时合理。绿篱、色块等修剪及时，枝叶茂密，整齐一致，整型树木造型雅观。行道树无缺株，绿地内无死树。</w:t>
      </w:r>
    </w:p>
    <w:p w14:paraId="79A8AC98">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落叶树新梢生长健壮，叶片大小、颜色正常。在正常条件下无黄叶、焦叶、卷叶，正常叶片保存率在90%以上。针叶树针叶宿存3年以上。结果枝条在15%以下。</w:t>
      </w:r>
    </w:p>
    <w:p w14:paraId="4A40D552">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新植树木成活率在98%以上。</w:t>
      </w:r>
    </w:p>
    <w:p w14:paraId="37F6FB1E">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新植树木视情况做加固性保护，树体保持端正，有扶架措施。</w:t>
      </w:r>
    </w:p>
    <w:p w14:paraId="78E36051">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每年</w:t>
      </w:r>
      <w:r>
        <w:rPr>
          <w:rFonts w:hint="eastAsia" w:ascii="宋体" w:hAnsi="宋体" w:eastAsia="宋体" w:cs="宋体"/>
          <w:color w:val="auto"/>
          <w:sz w:val="24"/>
          <w:szCs w:val="24"/>
          <w:highlight w:val="none"/>
          <w:lang w:val="en-US" w:eastAsia="zh-CN"/>
        </w:rPr>
        <w:t>早春、晚秋对树干</w:t>
      </w:r>
      <w:r>
        <w:rPr>
          <w:rFonts w:hint="eastAsia" w:ascii="宋体" w:hAnsi="宋体" w:eastAsia="宋体" w:cs="宋体"/>
          <w:color w:val="auto"/>
          <w:sz w:val="24"/>
          <w:szCs w:val="24"/>
          <w:highlight w:val="none"/>
        </w:rPr>
        <w:t>各涂白1次，</w:t>
      </w:r>
      <w:r>
        <w:rPr>
          <w:rFonts w:hint="eastAsia" w:ascii="宋体" w:hAnsi="宋体" w:eastAsia="宋体" w:cs="宋体"/>
          <w:color w:val="auto"/>
          <w:sz w:val="24"/>
          <w:szCs w:val="24"/>
          <w:highlight w:val="none"/>
          <w:lang w:val="en-US" w:eastAsia="zh-CN"/>
        </w:rPr>
        <w:t>涂白从树干基部向上涂</w:t>
      </w:r>
      <w:r>
        <w:rPr>
          <w:rFonts w:hint="eastAsia" w:ascii="宋体" w:hAnsi="宋体" w:eastAsia="宋体" w:cs="宋体"/>
          <w:color w:val="auto"/>
          <w:sz w:val="24"/>
          <w:szCs w:val="24"/>
          <w:highlight w:val="none"/>
        </w:rPr>
        <w:t>1.2m</w:t>
      </w:r>
      <w:r>
        <w:rPr>
          <w:rFonts w:hint="eastAsia" w:ascii="宋体" w:hAnsi="宋体" w:eastAsia="宋体" w:cs="宋体"/>
          <w:color w:val="auto"/>
          <w:sz w:val="24"/>
          <w:szCs w:val="24"/>
          <w:highlight w:val="none"/>
          <w:lang w:val="en-US" w:eastAsia="zh-CN"/>
        </w:rPr>
        <w:t>至1.5m</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同一路段、区域的涂白高度应保持一致，达到整齐美观的效果。</w:t>
      </w:r>
    </w:p>
    <w:p w14:paraId="21FBDF4C">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花坛、花带轮廓清晰，整齐美观，色彩艳丽，无残缺，无残花败叶。</w:t>
      </w:r>
    </w:p>
    <w:p w14:paraId="63C84E25">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草坪及地被植物整齐雅观，覆盖率100%以上，草坪高度控制在15厘米以内，修剪后高度为3-5厘米。无杂草，无裸露地，无成片枯黄。</w:t>
      </w:r>
    </w:p>
    <w:p w14:paraId="61247268">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三年以上草坪原则上每年打孔3次。草花露地栽培或摆放的盆花一年更换或更新的次数根据花卉生长的具体情况而定，病、枯、残、败（指花朵开败后自身无法开花更新的）或缺株超过30%的应全部更新，以保证造型整齐美观，低于30%局部更新即可。</w:t>
      </w:r>
    </w:p>
    <w:p w14:paraId="03C90BE0">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水生植物植物长势好，完整美观；水面无杂质垃圾，残叶死株，水质清洁。</w:t>
      </w:r>
    </w:p>
    <w:p w14:paraId="7B68D128">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病虫害控制及时。绿地内蛀干害虫的有虫株率不能超过1%。枝干病害感病株率不能超过1%。枝梢害虫发生时，枝梢被害率不能超过5%—10%或叶片上的有虫率不能超过5%—10%。蚧类害虫在20cm枝条上发生数量不能超过1头/20cm枝。食叶害虫虫口密度不能超过1头/50cm枝条，叶片受损率每株不得超过5%。叶部病害感病株率不能超过3%—5%。</w:t>
      </w:r>
    </w:p>
    <w:p w14:paraId="675EAFA6">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垂直绿化应根据不同植物的攀援特点，及时采取相应的牵、引、设置网架等技术措施。开花的攀援植物应适时开花，且花繁色艳。</w:t>
      </w:r>
    </w:p>
    <w:p w14:paraId="00A5125B">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1.3栏杆、支撑架和护网、园路、桌椅、灯、井盖和牌示等园林设施完整、安全，维护及时。</w:t>
      </w:r>
    </w:p>
    <w:p w14:paraId="68C46D6B">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 绿地完整，无堆物、堆料、搭棚，树干上无钉拴刻画等现象。行道树下距树干2m范围内无堆物、堆料、圈栏或搭棚设摊等影响树木生长和养护管理的现象。</w:t>
      </w:r>
    </w:p>
    <w:p w14:paraId="464184C3">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1.5绿地保护责任意识强，所辖绿地无随意损坏绿化事件发生。损坏绿化现象得到有效遏制。</w:t>
      </w:r>
    </w:p>
    <w:p w14:paraId="7DA8FC58">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1.6</w:t>
      </w:r>
      <w:r>
        <w:rPr>
          <w:rFonts w:hint="eastAsia" w:ascii="宋体" w:hAnsi="宋体" w:eastAsia="宋体" w:cs="宋体"/>
          <w:color w:val="auto"/>
          <w:kern w:val="0"/>
          <w:sz w:val="24"/>
          <w:szCs w:val="24"/>
          <w:highlight w:val="none"/>
        </w:rPr>
        <w:t>公园内严格执行车辆管理规定，园内无车辆随意出入现象，各种车辆定线定点存放。</w:t>
      </w:r>
    </w:p>
    <w:p w14:paraId="45552138">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1.7卫生保洁</w:t>
      </w:r>
    </w:p>
    <w:p w14:paraId="6EA27164">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1.7.1公园、游园每天定点清扫不少于两次，垃圾随产随清，保持整洁的卫生环境，实行全天候保洁，园内无卫生死角，水面、渠系、道路、坐凳及小品等无影响景观的垃圾、杂物、污物。</w:t>
      </w:r>
    </w:p>
    <w:p w14:paraId="3399AFE1">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1.7.2公园、游园内绿化标志牌、指示牌、座椅、灯箱、庭院灯、栏杆、垃圾箱及园林建筑小品等设施保持完好、搽拭干净，无严重的人为损坏及倾倒等现象。  </w:t>
      </w:r>
    </w:p>
    <w:p w14:paraId="3C84A9B5">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1.7.3公园、游园内经营摊点证、照齐全，遵守管理单位的各项规章制度，要定点、定位，保持场地整洁，不影响交通和园容园貌，保持摊点卫生整洁、无废弃物，不经营国家禁止的或劣质商品。</w:t>
      </w:r>
    </w:p>
    <w:p w14:paraId="7CE38D11">
      <w:pPr>
        <w:keepNext w:val="0"/>
        <w:keepLines w:val="0"/>
        <w:pageBreakBefore w:val="0"/>
        <w:widowControl w:val="0"/>
        <w:kinsoku/>
        <w:wordWrap/>
        <w:overflowPunct/>
        <w:topLinePunct w:val="0"/>
        <w:autoSpaceDE/>
        <w:autoSpaceDN/>
        <w:bidi w:val="0"/>
        <w:adjustRightInd/>
        <w:snapToGrid/>
        <w:spacing w:line="360" w:lineRule="auto"/>
        <w:ind w:right="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cs="宋体"/>
          <w:b/>
          <w:color w:val="auto"/>
          <w:sz w:val="24"/>
          <w:szCs w:val="24"/>
          <w:highlight w:val="none"/>
          <w:lang w:val="en-US" w:eastAsia="zh-CN"/>
        </w:rPr>
        <w:t>.</w:t>
      </w:r>
      <w:r>
        <w:rPr>
          <w:rFonts w:hint="eastAsia" w:ascii="宋体" w:hAnsi="宋体" w:eastAsia="宋体" w:cs="宋体"/>
          <w:b/>
          <w:color w:val="auto"/>
          <w:sz w:val="24"/>
          <w:szCs w:val="24"/>
          <w:highlight w:val="none"/>
        </w:rPr>
        <w:t>园林绿化二级养护质量标准</w:t>
      </w:r>
    </w:p>
    <w:p w14:paraId="38787852">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绿化养护技术措施比较完善，管理基本得当，植物配置合理，基本达到黄土不露天。</w:t>
      </w:r>
    </w:p>
    <w:p w14:paraId="6015F53B">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园林植物</w:t>
      </w:r>
    </w:p>
    <w:p w14:paraId="752BBFA5">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生长正常。新建绿地各种植物3年内达到正常形态。</w:t>
      </w:r>
    </w:p>
    <w:p w14:paraId="5C5236C1">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园林树木树冠基本完整。主侧枝分布均称、数量适宜、修剪合理、内膛不乱、通风透光。花灌木开花及时、正常，花后修剪及时。绿篱、色块枝叶正常，整齐一致。行道树无缺株，绿地内无死树。</w:t>
      </w:r>
    </w:p>
    <w:p w14:paraId="276B47FD">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落叶树新梢生长正常，叶片大小、颜色正常，在正常条件下，黄叶、焦叶、卷叶和叶片受害率不得超过15%。针叶树针宿存2年以上，结果枝条不超过30%。</w:t>
      </w:r>
    </w:p>
    <w:p w14:paraId="46A6A117">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新植树木成活率在95%以上，保存率在90%以上。</w:t>
      </w:r>
    </w:p>
    <w:p w14:paraId="434BC410">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新植树木视情况做加固性保护，树体保持基本端正，有扶架措施。</w:t>
      </w:r>
    </w:p>
    <w:p w14:paraId="240C8970">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每年</w:t>
      </w:r>
      <w:r>
        <w:rPr>
          <w:rFonts w:hint="eastAsia" w:ascii="宋体" w:hAnsi="宋体" w:eastAsia="宋体" w:cs="宋体"/>
          <w:color w:val="auto"/>
          <w:sz w:val="24"/>
          <w:szCs w:val="24"/>
          <w:highlight w:val="none"/>
          <w:lang w:val="en-US" w:eastAsia="zh-CN"/>
        </w:rPr>
        <w:t>早春、晚秋对树干</w:t>
      </w:r>
      <w:r>
        <w:rPr>
          <w:rFonts w:hint="eastAsia" w:ascii="宋体" w:hAnsi="宋体" w:eastAsia="宋体" w:cs="宋体"/>
          <w:color w:val="auto"/>
          <w:sz w:val="24"/>
          <w:szCs w:val="24"/>
          <w:highlight w:val="none"/>
        </w:rPr>
        <w:t>各涂白1次，</w:t>
      </w:r>
      <w:r>
        <w:rPr>
          <w:rFonts w:hint="eastAsia" w:ascii="宋体" w:hAnsi="宋体" w:eastAsia="宋体" w:cs="宋体"/>
          <w:color w:val="auto"/>
          <w:sz w:val="24"/>
          <w:szCs w:val="24"/>
          <w:highlight w:val="none"/>
          <w:lang w:val="en-US" w:eastAsia="zh-CN"/>
        </w:rPr>
        <w:t>涂白从树干基部向上涂</w:t>
      </w:r>
      <w:r>
        <w:rPr>
          <w:rFonts w:hint="eastAsia" w:ascii="宋体" w:hAnsi="宋体" w:eastAsia="宋体" w:cs="宋体"/>
          <w:color w:val="auto"/>
          <w:sz w:val="24"/>
          <w:szCs w:val="24"/>
          <w:highlight w:val="none"/>
        </w:rPr>
        <w:t>1.2m</w:t>
      </w:r>
      <w:r>
        <w:rPr>
          <w:rFonts w:hint="eastAsia" w:ascii="宋体" w:hAnsi="宋体" w:eastAsia="宋体" w:cs="宋体"/>
          <w:color w:val="auto"/>
          <w:sz w:val="24"/>
          <w:szCs w:val="24"/>
          <w:highlight w:val="none"/>
          <w:lang w:val="en-US" w:eastAsia="zh-CN"/>
        </w:rPr>
        <w:t>至1.5m</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同一路段、区域的涂白高度应保持一致，达到整齐美观的效果。</w:t>
      </w:r>
    </w:p>
    <w:p w14:paraId="19FDD0EC">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花坛、花带轮廓清晰，整齐美观，适时开花，无残缺。</w:t>
      </w:r>
    </w:p>
    <w:p w14:paraId="5D241999">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草坪及地被植物整齐一致，覆盖率95%以上，草坪高度控制在15厘米以内，修剪后高度为3-5厘米。除缀花草坪外草坪内杂草率不得超过10%，无大面积裸露地，无成片枯黄。</w:t>
      </w:r>
    </w:p>
    <w:p w14:paraId="21EA8D31">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三年以上草坪原则上每年打孔3次。草花露地栽培或摆放的盆花一年更换或更新的次数根据花卉生长的具体情况而定，病、枯、残、败（指花朵开败后自身无法开花更新的）或缺株超过40%的应全部更新，以保证造型整齐美观，低于40%局部更新即可。</w:t>
      </w:r>
    </w:p>
    <w:p w14:paraId="26417B51">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病虫害控制及时，绿地内蛀干害虫的有虫株率不能超过3%。枝干病害感病株率不能超过5%。枝梢被害率不能超过10%～15%或叶片上的有虫率不能超过10%～15%。蚧类害虫在20cm枝条上发生数量不能超过5头/20cm枝。食叶害虫虫口密度不能超过3头/50cm枝条，叶片受损率每株不得超过10%。叶部病害感病株率不能超过5%～7%。（以上标准适用绿地养护中的一般病虫害防治，因外界导致而非本能控制的集中爆发式病虫害不计）</w:t>
      </w:r>
    </w:p>
    <w:p w14:paraId="1A6CE009">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2.3栏杆、支撑架和护网、园路、桌椅、灯、井盖和牌示等园林设施完整、安全，维护及时。</w:t>
      </w:r>
    </w:p>
    <w:p w14:paraId="314BA481">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绿地完整，无堆物、堆料、搭棚，树干上无钉拴刻画等现象。行道树下距树干2m范围内无堆物、堆料、圈栏或搭棚设摊等影响树木生长和养护管理的现象。</w:t>
      </w:r>
    </w:p>
    <w:p w14:paraId="04D6DC14">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2.5绿地保护责任意识强，所辖绿地无随意损坏绿化事件发生。损坏绿化现象得到有效遏制。</w:t>
      </w:r>
    </w:p>
    <w:p w14:paraId="42D46633">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2.7绿地整洁，基本无杂草，基本无杂藤攀缘植物，无污物杂物、无积水、清洁卫生；对绿化生产垃圾（如树枝、树叶、草屑等），绿地内水面杂物，重点地区随产随清，其它地区日产日清，做到巡视保洁。</w:t>
      </w:r>
    </w:p>
    <w:p w14:paraId="24C4D539">
      <w:pPr>
        <w:keepNext w:val="0"/>
        <w:keepLines w:val="0"/>
        <w:pageBreakBefore w:val="0"/>
        <w:widowControl w:val="0"/>
        <w:kinsoku/>
        <w:wordWrap/>
        <w:overflowPunct/>
        <w:topLinePunct w:val="0"/>
        <w:autoSpaceDE/>
        <w:autoSpaceDN/>
        <w:bidi w:val="0"/>
        <w:adjustRightInd/>
        <w:snapToGrid/>
        <w:spacing w:line="360" w:lineRule="auto"/>
        <w:ind w:right="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w:t>
      </w:r>
      <w:r>
        <w:rPr>
          <w:rFonts w:hint="eastAsia" w:ascii="宋体" w:hAnsi="宋体" w:cs="宋体"/>
          <w:b/>
          <w:color w:val="auto"/>
          <w:sz w:val="24"/>
          <w:szCs w:val="24"/>
          <w:highlight w:val="none"/>
          <w:lang w:val="en-US" w:eastAsia="zh-CN"/>
        </w:rPr>
        <w:t>.</w:t>
      </w:r>
      <w:r>
        <w:rPr>
          <w:rFonts w:hint="eastAsia" w:ascii="宋体" w:hAnsi="宋体" w:eastAsia="宋体" w:cs="宋体"/>
          <w:b/>
          <w:color w:val="auto"/>
          <w:sz w:val="24"/>
          <w:szCs w:val="24"/>
          <w:highlight w:val="none"/>
        </w:rPr>
        <w:t>园林绿化三级养护质量标准</w:t>
      </w:r>
    </w:p>
    <w:p w14:paraId="6226AAA4">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3.1绿化养护技术措施基本完善，植物配置基本合理，裸露土地不明显。</w:t>
      </w:r>
    </w:p>
    <w:p w14:paraId="12C6D769">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3.2园林植物</w:t>
      </w:r>
    </w:p>
    <w:p w14:paraId="0211DA74">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生长正常。新建绿地各种植物4年内达到正常形态。</w:t>
      </w:r>
    </w:p>
    <w:p w14:paraId="018C88F8">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园林树木树冠基本正常。修剪及时，无明显枯枝死叉。分枝点合适，枝条粗壮，行道树缺株率不超过2%，绿地内无死树。</w:t>
      </w:r>
    </w:p>
    <w:p w14:paraId="003D7731">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落叶树新梢生长基本正常，叶片大小、颜色正常，在正常条件下，有黄叶、焦叶、卷叶和带虫粪、虫网叶片的株数不得超过20%，正常叶片保存率在70%以上。针叶树针叶宿存1年以上，结果枝条不超过50%。</w:t>
      </w:r>
    </w:p>
    <w:p w14:paraId="189F2FA7">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新植树木成活率在90%以上，保存率在85%以上。（凡因受自然灾害、环境污染或非本职能所能控制等原因死亡的植株，计算时予以剔除）</w:t>
      </w:r>
    </w:p>
    <w:p w14:paraId="3B490E58">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新植树木视情况做加固性保护，有扶架措施。</w:t>
      </w:r>
    </w:p>
    <w:p w14:paraId="46DF77AD">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每年</w:t>
      </w:r>
      <w:r>
        <w:rPr>
          <w:rFonts w:hint="eastAsia" w:ascii="宋体" w:hAnsi="宋体" w:eastAsia="宋体" w:cs="宋体"/>
          <w:color w:val="auto"/>
          <w:sz w:val="24"/>
          <w:szCs w:val="24"/>
          <w:highlight w:val="none"/>
          <w:lang w:val="en-US" w:eastAsia="zh-CN"/>
        </w:rPr>
        <w:t>应对树木</w:t>
      </w:r>
      <w:r>
        <w:rPr>
          <w:rFonts w:hint="eastAsia" w:ascii="宋体" w:hAnsi="宋体" w:eastAsia="宋体" w:cs="宋体"/>
          <w:color w:val="auto"/>
          <w:sz w:val="24"/>
          <w:szCs w:val="24"/>
          <w:highlight w:val="none"/>
        </w:rPr>
        <w:t>涂白1次，</w:t>
      </w:r>
      <w:r>
        <w:rPr>
          <w:rFonts w:hint="eastAsia" w:ascii="宋体" w:hAnsi="宋体" w:eastAsia="宋体" w:cs="宋体"/>
          <w:color w:val="auto"/>
          <w:sz w:val="24"/>
          <w:szCs w:val="24"/>
          <w:highlight w:val="none"/>
          <w:lang w:val="en-US" w:eastAsia="zh-CN"/>
        </w:rPr>
        <w:t>涂白从树干基部向上涂</w:t>
      </w:r>
      <w:r>
        <w:rPr>
          <w:rFonts w:hint="eastAsia" w:ascii="宋体" w:hAnsi="宋体" w:eastAsia="宋体" w:cs="宋体"/>
          <w:color w:val="auto"/>
          <w:sz w:val="24"/>
          <w:szCs w:val="24"/>
          <w:highlight w:val="none"/>
        </w:rPr>
        <w:t>1.2m</w:t>
      </w:r>
      <w:r>
        <w:rPr>
          <w:rFonts w:hint="eastAsia" w:ascii="宋体" w:hAnsi="宋体" w:eastAsia="宋体" w:cs="宋体"/>
          <w:color w:val="auto"/>
          <w:sz w:val="24"/>
          <w:szCs w:val="24"/>
          <w:highlight w:val="none"/>
          <w:lang w:val="en-US" w:eastAsia="zh-CN"/>
        </w:rPr>
        <w:t>至1.5m</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同一路段、区域的涂白高度应保持一致，达到整齐美观的效果。</w:t>
      </w:r>
    </w:p>
    <w:p w14:paraId="1C69EABA">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花坛、花带轮廓基本清晰、整齐美观，无残缺。</w:t>
      </w:r>
    </w:p>
    <w:p w14:paraId="332359EE">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地被植物整齐一致，覆盖率85%以上，地被内杂草率不得超过20%。</w:t>
      </w:r>
    </w:p>
    <w:p w14:paraId="359A53BD">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病虫害控制比较及时。绿地内蛀干害虫的有虫株率不能超过5%。枝干病害感病株率不能超过10%。蚜虫、红蜘蛛、叶蝉等枝梢害虫发生时，枝梢被害率不能超过15%或叶片上的有虫率不能超过20%。蚧类害虫在20cm枝条上发生数量不能超过8头/20cm枝条。食叶害虫虫口密度不能超过5头/50cm枝条，叶片受损率每株不得超过15%。叶部病害感病株率不能超过10%。（以上标准适用绿地养护中的病虫害防治的一般情况，不同于由外界导致而非本能控制的集中爆发式病虫害情况）</w:t>
      </w:r>
    </w:p>
    <w:p w14:paraId="7A087B7A">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3.3绿化生产垃圾（如树枝、树叶、草屑等）、绿地内水面杂物能日产日清，能做到保洁及时。</w:t>
      </w:r>
    </w:p>
    <w:p w14:paraId="7EBA7A4B">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 栏杆、支撑架和护网、园路、桌椅、灯、井盖和牌示等园林设施基本完整，能进行维护。</w:t>
      </w:r>
    </w:p>
    <w:p w14:paraId="4B36F800">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7A5FE949">
      <w:pPr>
        <w:keepNext/>
        <w:keepLines/>
        <w:pageBreakBefore w:val="0"/>
        <w:widowControl w:val="0"/>
        <w:kinsoku/>
        <w:wordWrap w:val="0"/>
        <w:overflowPunct/>
        <w:topLinePunct w:val="0"/>
        <w:autoSpaceDE/>
        <w:autoSpaceDN/>
        <w:bidi w:val="0"/>
        <w:adjustRightInd/>
        <w:snapToGrid/>
        <w:spacing w:line="360" w:lineRule="auto"/>
        <w:ind w:right="0"/>
        <w:textAlignment w:val="auto"/>
        <w:outlineLvl w:val="3"/>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附件</w:t>
      </w:r>
      <w:r>
        <w:rPr>
          <w:rFonts w:hint="eastAsia" w:ascii="宋体" w:hAnsi="宋体" w:eastAsia="宋体" w:cs="宋体"/>
          <w:color w:val="auto"/>
          <w:sz w:val="24"/>
          <w:highlight w:val="none"/>
          <w:lang w:val="en-US" w:eastAsia="zh-CN"/>
        </w:rPr>
        <w:t>d  昌吉市绿地养护管理检查考核办法</w:t>
      </w:r>
    </w:p>
    <w:p w14:paraId="2D0157B4">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昌吉市绿地养护管理检查考核办法</w:t>
      </w:r>
    </w:p>
    <w:p w14:paraId="7AE80480">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一、考核范围：</w:t>
      </w:r>
      <w:r>
        <w:rPr>
          <w:rFonts w:hint="eastAsia" w:ascii="宋体" w:hAnsi="宋体" w:eastAsia="宋体" w:cs="宋体"/>
          <w:color w:val="auto"/>
          <w:sz w:val="24"/>
          <w:szCs w:val="24"/>
          <w:highlight w:val="none"/>
          <w:lang w:eastAsia="zh-CN"/>
        </w:rPr>
        <w:t>招标范围内包含</w:t>
      </w:r>
      <w:r>
        <w:rPr>
          <w:rFonts w:hint="eastAsia" w:ascii="宋体" w:hAnsi="宋体" w:eastAsia="宋体" w:cs="宋体"/>
          <w:color w:val="auto"/>
          <w:sz w:val="24"/>
          <w:szCs w:val="24"/>
          <w:highlight w:val="none"/>
        </w:rPr>
        <w:t>的城市绿化。</w:t>
      </w:r>
    </w:p>
    <w:p w14:paraId="24BB48B2">
      <w:pPr>
        <w:pStyle w:val="435"/>
        <w:keepNext w:val="0"/>
        <w:keepLines w:val="0"/>
        <w:pageBreakBefore w:val="0"/>
        <w:widowControl/>
        <w:kinsoku/>
        <w:wordWrap w:val="0"/>
        <w:overflowPunct/>
        <w:topLinePunct w:val="0"/>
        <w:autoSpaceDE/>
        <w:autoSpaceDN/>
        <w:bidi w:val="0"/>
        <w:adjustRightInd w:val="0"/>
        <w:snapToGrid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二、考核依据：考核依据</w:t>
      </w:r>
      <w:r>
        <w:rPr>
          <w:rFonts w:hint="eastAsia" w:ascii="宋体" w:hAnsi="宋体" w:eastAsia="宋体" w:cs="宋体"/>
          <w:color w:val="auto"/>
          <w:sz w:val="24"/>
          <w:szCs w:val="24"/>
          <w:highlight w:val="none"/>
          <w:lang w:eastAsia="zh-CN"/>
        </w:rPr>
        <w:t>《城市绿地养护管理标准》（</w:t>
      </w:r>
      <w:r>
        <w:rPr>
          <w:rFonts w:hint="eastAsia" w:ascii="宋体" w:hAnsi="宋体" w:eastAsia="宋体" w:cs="宋体"/>
          <w:color w:val="auto"/>
          <w:sz w:val="24"/>
          <w:szCs w:val="24"/>
          <w:highlight w:val="none"/>
          <w:lang w:val="en-US" w:eastAsia="zh-CN"/>
        </w:rPr>
        <w:t>XJJ046-2012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《昌吉市城市绿地养护管理质量等级标准》，《昌吉市绿地养护管理考核标准及考核计分依据》执行。</w:t>
      </w:r>
    </w:p>
    <w:p w14:paraId="3383D5ED">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三、考核机构：由园林中心组成考核小组进行考核评定。</w:t>
      </w:r>
    </w:p>
    <w:p w14:paraId="45CE8560">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四、考核项目：</w:t>
      </w:r>
    </w:p>
    <w:p w14:paraId="50F3BF53">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1、园林植物养护，植物病虫害防治，</w:t>
      </w:r>
      <w:r>
        <w:rPr>
          <w:rFonts w:hint="eastAsia" w:ascii="宋体" w:hAnsi="宋体" w:eastAsia="宋体" w:cs="宋体"/>
          <w:color w:val="auto"/>
          <w:sz w:val="24"/>
          <w:szCs w:val="24"/>
          <w:highlight w:val="none"/>
          <w:lang w:val="en-US" w:eastAsia="zh-CN"/>
        </w:rPr>
        <w:t>环境</w:t>
      </w:r>
      <w:r>
        <w:rPr>
          <w:rFonts w:hint="eastAsia" w:ascii="宋体" w:hAnsi="宋体" w:eastAsia="宋体" w:cs="宋体"/>
          <w:color w:val="auto"/>
          <w:sz w:val="24"/>
          <w:szCs w:val="24"/>
          <w:highlight w:val="none"/>
        </w:rPr>
        <w:t>卫生</w:t>
      </w:r>
      <w:r>
        <w:rPr>
          <w:rFonts w:hint="eastAsia" w:ascii="宋体" w:hAnsi="宋体" w:eastAsia="宋体" w:cs="宋体"/>
          <w:color w:val="auto"/>
          <w:sz w:val="24"/>
          <w:szCs w:val="24"/>
          <w:highlight w:val="none"/>
          <w:lang w:val="en-US" w:eastAsia="zh-CN"/>
        </w:rPr>
        <w:t>保洁</w:t>
      </w:r>
      <w:r>
        <w:rPr>
          <w:rFonts w:hint="eastAsia" w:ascii="宋体" w:hAnsi="宋体" w:eastAsia="宋体" w:cs="宋体"/>
          <w:color w:val="auto"/>
          <w:sz w:val="24"/>
          <w:szCs w:val="24"/>
          <w:highlight w:val="none"/>
        </w:rPr>
        <w:t>等。</w:t>
      </w:r>
    </w:p>
    <w:p w14:paraId="5FFF6EF5">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2、应急性及突发性事件的处置情况等。</w:t>
      </w:r>
    </w:p>
    <w:p w14:paraId="7697B545">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3、园林绿地整体景观效果。</w:t>
      </w:r>
    </w:p>
    <w:p w14:paraId="7D5431A8">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4、养护队伍管理及安全责任制落实情况。</w:t>
      </w:r>
    </w:p>
    <w:p w14:paraId="3571A222">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5、园林绿化保护等。</w:t>
      </w:r>
    </w:p>
    <w:p w14:paraId="32C28D8C">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6、人员配备情况。</w:t>
      </w:r>
    </w:p>
    <w:p w14:paraId="0464763C">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7、绿化养护档案的建立及规范性管理情况。</w:t>
      </w:r>
    </w:p>
    <w:p w14:paraId="5109DC61">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8.冬季冰雪清除完成情况</w:t>
      </w:r>
    </w:p>
    <w:p w14:paraId="79EF2CAC">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9、行风评议情况。</w:t>
      </w:r>
    </w:p>
    <w:p w14:paraId="7A2FCCAE">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10、上级部门、政府临时交办的工作任务。</w:t>
      </w:r>
    </w:p>
    <w:p w14:paraId="44DBFD57">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五、考核对象：</w:t>
      </w:r>
      <w:r>
        <w:rPr>
          <w:rFonts w:hint="eastAsia" w:ascii="宋体" w:hAnsi="宋体" w:eastAsia="宋体" w:cs="宋体"/>
          <w:color w:val="auto"/>
          <w:sz w:val="24"/>
          <w:szCs w:val="24"/>
          <w:highlight w:val="none"/>
          <w:lang w:val="en-US" w:eastAsia="zh-CN"/>
        </w:rPr>
        <w:t>昌吉市区</w:t>
      </w:r>
      <w:r>
        <w:rPr>
          <w:rFonts w:hint="eastAsia" w:ascii="宋体" w:hAnsi="宋体" w:eastAsia="宋体" w:cs="宋体"/>
          <w:color w:val="auto"/>
          <w:sz w:val="24"/>
          <w:szCs w:val="24"/>
          <w:highlight w:val="none"/>
        </w:rPr>
        <w:t>道路绿地、公园、游园、</w:t>
      </w:r>
      <w:r>
        <w:rPr>
          <w:rFonts w:hint="eastAsia" w:ascii="宋体" w:hAnsi="宋体" w:eastAsia="宋体" w:cs="宋体"/>
          <w:color w:val="auto"/>
          <w:sz w:val="24"/>
          <w:szCs w:val="24"/>
          <w:highlight w:val="none"/>
          <w:lang w:eastAsia="zh-CN"/>
        </w:rPr>
        <w:t>广场、科研圃地、防护林等城市公共绿地的所有养护管理内容</w:t>
      </w:r>
      <w:r>
        <w:rPr>
          <w:rFonts w:hint="eastAsia" w:ascii="宋体" w:hAnsi="宋体" w:eastAsia="宋体" w:cs="宋体"/>
          <w:color w:val="auto"/>
          <w:sz w:val="24"/>
          <w:szCs w:val="24"/>
          <w:highlight w:val="none"/>
        </w:rPr>
        <w:t>。</w:t>
      </w:r>
    </w:p>
    <w:p w14:paraId="0AB2FE6C">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六、考核方式：本着“客观公正、注重实绩、考评结合”的原则，采取“定期考核、不定期考核、社会监督考评”相结合的方式，由考核小组对各单位的绿化管养等情况进行综合的考评。</w:t>
      </w:r>
    </w:p>
    <w:p w14:paraId="2DCCC1DA">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1.定期考核：定期考核</w:t>
      </w:r>
      <w:r>
        <w:rPr>
          <w:rFonts w:hint="eastAsia" w:ascii="宋体" w:hAnsi="宋体" w:eastAsia="宋体" w:cs="宋体"/>
          <w:color w:val="auto"/>
          <w:sz w:val="24"/>
          <w:szCs w:val="24"/>
          <w:highlight w:val="none"/>
          <w:lang w:eastAsia="zh-CN"/>
        </w:rPr>
        <w:t>在每月</w:t>
      </w:r>
      <w:r>
        <w:rPr>
          <w:rFonts w:hint="eastAsia" w:ascii="宋体" w:hAnsi="宋体" w:eastAsia="宋体" w:cs="宋体"/>
          <w:color w:val="auto"/>
          <w:sz w:val="24"/>
          <w:szCs w:val="24"/>
          <w:highlight w:val="none"/>
        </w:rPr>
        <w:t>规定时限内</w:t>
      </w:r>
      <w:r>
        <w:rPr>
          <w:rFonts w:hint="eastAsia" w:ascii="宋体" w:hAnsi="宋体" w:eastAsia="宋体" w:cs="宋体"/>
          <w:color w:val="auto"/>
          <w:sz w:val="24"/>
          <w:szCs w:val="24"/>
          <w:highlight w:val="none"/>
          <w:lang w:eastAsia="zh-CN"/>
        </w:rPr>
        <w:t>进行</w:t>
      </w:r>
      <w:r>
        <w:rPr>
          <w:rFonts w:hint="eastAsia" w:ascii="宋体" w:hAnsi="宋体" w:eastAsia="宋体" w:cs="宋体"/>
          <w:color w:val="auto"/>
          <w:sz w:val="24"/>
          <w:szCs w:val="24"/>
          <w:highlight w:val="none"/>
        </w:rPr>
        <w:t>考核。考核次数每月不少于两次。</w:t>
      </w:r>
    </w:p>
    <w:p w14:paraId="6A64D319">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2.不定期考核：即经常性巡查及庆典、迎检等指令性检查时进行的随机检查考核。考核次数每月不少于三次。</w:t>
      </w:r>
    </w:p>
    <w:p w14:paraId="16D10039">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3.社会监督考评：根据领导批评、媒体曝光、群众举报、“1</w:t>
      </w:r>
      <w:r>
        <w:rPr>
          <w:rFonts w:hint="eastAsia" w:ascii="宋体" w:hAnsi="宋体" w:eastAsia="宋体" w:cs="宋体"/>
          <w:color w:val="auto"/>
          <w:sz w:val="24"/>
          <w:szCs w:val="24"/>
          <w:highlight w:val="none"/>
          <w:lang w:val="en-US" w:eastAsia="zh-CN"/>
        </w:rPr>
        <w:t>2345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、吉事通等</w:t>
      </w:r>
      <w:r>
        <w:rPr>
          <w:rFonts w:hint="eastAsia" w:ascii="宋体" w:hAnsi="宋体" w:eastAsia="宋体" w:cs="宋体"/>
          <w:color w:val="auto"/>
          <w:sz w:val="24"/>
          <w:szCs w:val="24"/>
          <w:highlight w:val="none"/>
        </w:rPr>
        <w:t>平台登载信息反映问题的情况进行考核量分。</w:t>
      </w:r>
    </w:p>
    <w:p w14:paraId="43993A0F">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定期考核、不定期考核均采取现场量分，经考核双方签字认可后生效；被考核单位拒绝签字的，考核方如有现场照片、视频、现场指正等事实证据，该次考核视为有效。</w:t>
      </w:r>
    </w:p>
    <w:p w14:paraId="7E252724">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考核过程如发生争议，双方可逐级反映。</w:t>
      </w:r>
    </w:p>
    <w:p w14:paraId="764A651A">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七、考核评分：考核</w:t>
      </w:r>
      <w:r>
        <w:rPr>
          <w:rFonts w:hint="eastAsia" w:ascii="宋体" w:hAnsi="宋体" w:eastAsia="宋体" w:cs="宋体"/>
          <w:color w:val="auto"/>
          <w:sz w:val="24"/>
          <w:szCs w:val="24"/>
          <w:highlight w:val="none"/>
          <w:lang w:eastAsia="zh-CN"/>
        </w:rPr>
        <w:t>分以</w:t>
      </w:r>
      <w:r>
        <w:rPr>
          <w:rFonts w:hint="eastAsia" w:ascii="宋体" w:hAnsi="宋体" w:eastAsia="宋体" w:cs="宋体"/>
          <w:color w:val="auto"/>
          <w:sz w:val="24"/>
          <w:szCs w:val="24"/>
          <w:highlight w:val="none"/>
        </w:rPr>
        <w:t>当月多次考核</w:t>
      </w:r>
      <w:r>
        <w:rPr>
          <w:rFonts w:hint="eastAsia" w:ascii="宋体" w:hAnsi="宋体" w:eastAsia="宋体" w:cs="宋体"/>
          <w:color w:val="auto"/>
          <w:sz w:val="24"/>
          <w:szCs w:val="24"/>
          <w:highlight w:val="none"/>
          <w:lang w:eastAsia="zh-CN"/>
        </w:rPr>
        <w:t>的累计扣分计算</w:t>
      </w:r>
      <w:r>
        <w:rPr>
          <w:rFonts w:hint="eastAsia" w:ascii="宋体" w:hAnsi="宋体" w:eastAsia="宋体" w:cs="宋体"/>
          <w:color w:val="auto"/>
          <w:sz w:val="24"/>
          <w:szCs w:val="24"/>
          <w:highlight w:val="none"/>
        </w:rPr>
        <w:t>。</w:t>
      </w:r>
    </w:p>
    <w:p w14:paraId="1BC5A351">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八、经费核算：</w:t>
      </w:r>
    </w:p>
    <w:p w14:paraId="7CB60ED8">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1、考核采取百分制，月考核得分作为当月绿化养护经费核算的依据。</w:t>
      </w:r>
    </w:p>
    <w:p w14:paraId="05176B15">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A、月考核分95分为合格，全额核拨当月养护经费。</w:t>
      </w:r>
    </w:p>
    <w:p w14:paraId="1E2F5D78">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B、月考核分90-95分（含90分），扣当月养护经费的1%。</w:t>
      </w:r>
    </w:p>
    <w:p w14:paraId="07F30CC1">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C、月考核分85-90分（含85分），扣当月养护经费的2%。</w:t>
      </w:r>
    </w:p>
    <w:p w14:paraId="235D6647">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D、月考核分80-85分（含80分），扣当月养护经费的5%。</w:t>
      </w:r>
    </w:p>
    <w:p w14:paraId="48AAA96E">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E、月考核分80分以下，扣当月养护经费的10%。</w:t>
      </w:r>
    </w:p>
    <w:p w14:paraId="2837F38C">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2、养护经费结算采取月核算、季核拨的方式。</w:t>
      </w:r>
    </w:p>
    <w:p w14:paraId="1E94CBAC">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3、全年养护经费分配按</w:t>
      </w: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个月进行分摊。具体为：</w:t>
      </w:r>
    </w:p>
    <w:p w14:paraId="70070D62">
      <w:pPr>
        <w:pStyle w:val="435"/>
        <w:keepNext w:val="0"/>
        <w:keepLines w:val="0"/>
        <w:pageBreakBefore w:val="0"/>
        <w:kinsoku/>
        <w:overflowPunct/>
        <w:topLinePunct w:val="0"/>
        <w:autoSpaceDE/>
        <w:autoSpaceDN/>
        <w:bidi w:val="0"/>
        <w:spacing w:line="360" w:lineRule="auto"/>
        <w:ind w:righ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A、3月中旬-8月中旬，养护经费为全年经费的</w:t>
      </w:r>
      <w:r>
        <w:rPr>
          <w:rFonts w:hint="eastAsia" w:ascii="宋体" w:hAnsi="宋体" w:eastAsia="宋体" w:cs="宋体"/>
          <w:b/>
          <w:bCs/>
          <w:color w:val="auto"/>
          <w:sz w:val="24"/>
          <w:szCs w:val="24"/>
          <w:highlight w:val="none"/>
          <w:lang w:val="en-US" w:eastAsia="zh-CN"/>
        </w:rPr>
        <w:t>60</w:t>
      </w:r>
      <w:r>
        <w:rPr>
          <w:rFonts w:hint="eastAsia" w:ascii="宋体" w:hAnsi="宋体" w:eastAsia="宋体" w:cs="宋体"/>
          <w:b/>
          <w:bCs/>
          <w:color w:val="auto"/>
          <w:sz w:val="24"/>
          <w:szCs w:val="24"/>
          <w:highlight w:val="none"/>
        </w:rPr>
        <w:t>%。</w:t>
      </w:r>
    </w:p>
    <w:p w14:paraId="74058AD1">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其中：3月中旬-4月中旬，养护经费为全年经费的</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w:t>
      </w:r>
    </w:p>
    <w:p w14:paraId="6201F13E">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4月中旬-5月中旬，养护经费为全年经费的</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w:t>
      </w:r>
    </w:p>
    <w:p w14:paraId="3C28FFDC">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月中旬-</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月中旬，养护经费为全年经费的1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p>
    <w:p w14:paraId="6BA57F6E">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 xml:space="preserve">   6月中旬-7月中旬，养护经费为全年经费的</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w:t>
      </w:r>
    </w:p>
    <w:p w14:paraId="0CF95299">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7月中旬-8月中旬，养护经费为全年经费的</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w:t>
      </w:r>
    </w:p>
    <w:p w14:paraId="7126DEB2">
      <w:pPr>
        <w:pStyle w:val="435"/>
        <w:keepNext w:val="0"/>
        <w:keepLines w:val="0"/>
        <w:pageBreakBefore w:val="0"/>
        <w:kinsoku/>
        <w:overflowPunct/>
        <w:topLinePunct w:val="0"/>
        <w:autoSpaceDE/>
        <w:autoSpaceDN/>
        <w:bidi w:val="0"/>
        <w:spacing w:line="360" w:lineRule="auto"/>
        <w:ind w:righ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B、8月中旬-11月中旬，养护经费为全年经费的3</w:t>
      </w:r>
      <w:r>
        <w:rPr>
          <w:rFonts w:hint="eastAsia" w:ascii="宋体" w:hAnsi="宋体" w:eastAsia="宋体" w:cs="宋体"/>
          <w:b/>
          <w:bCs/>
          <w:color w:val="auto"/>
          <w:sz w:val="24"/>
          <w:szCs w:val="24"/>
          <w:highlight w:val="none"/>
          <w:lang w:val="en-US" w:eastAsia="zh-CN"/>
        </w:rPr>
        <w:t>0</w:t>
      </w:r>
      <w:r>
        <w:rPr>
          <w:rFonts w:hint="eastAsia" w:ascii="宋体" w:hAnsi="宋体" w:eastAsia="宋体" w:cs="宋体"/>
          <w:b/>
          <w:bCs/>
          <w:color w:val="auto"/>
          <w:sz w:val="24"/>
          <w:szCs w:val="24"/>
          <w:highlight w:val="none"/>
        </w:rPr>
        <w:t>%。</w:t>
      </w:r>
    </w:p>
    <w:p w14:paraId="35C4490A">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其中：8月中旬-9月中旬，养护经费为全年经费的10%；</w:t>
      </w:r>
    </w:p>
    <w:p w14:paraId="2124383D">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9月中旬-10月中旬，养护经费为全年经费的10%；</w:t>
      </w:r>
    </w:p>
    <w:p w14:paraId="41871189">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 xml:space="preserve">   10月中旬-11月中旬，养护经费为全年经费的1</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p>
    <w:p w14:paraId="2FFC9741">
      <w:pPr>
        <w:pStyle w:val="435"/>
        <w:keepNext w:val="0"/>
        <w:keepLines w:val="0"/>
        <w:pageBreakBefore w:val="0"/>
        <w:numPr>
          <w:ilvl w:val="0"/>
          <w:numId w:val="0"/>
        </w:numPr>
        <w:kinsoku/>
        <w:overflowPunct/>
        <w:topLinePunct w:val="0"/>
        <w:autoSpaceDE/>
        <w:autoSpaceDN/>
        <w:bidi w:val="0"/>
        <w:spacing w:line="360" w:lineRule="auto"/>
        <w:ind w:right="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C、11月中旬-次年3月中旬，</w:t>
      </w:r>
      <w:r>
        <w:rPr>
          <w:rFonts w:hint="eastAsia" w:ascii="宋体" w:hAnsi="宋体" w:eastAsia="宋体" w:cs="宋体"/>
          <w:b/>
          <w:bCs/>
          <w:color w:val="auto"/>
          <w:sz w:val="24"/>
          <w:szCs w:val="24"/>
          <w:highlight w:val="none"/>
        </w:rPr>
        <w:t>养护经费为全年经费的10%</w:t>
      </w:r>
    </w:p>
    <w:p w14:paraId="04D2FC86">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其中：</w:t>
      </w: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月中旬-</w:t>
      </w: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月中旬，养护经费为全年经费的</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p>
    <w:p w14:paraId="6D333F5E">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月中旬-</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月中旬，养护经费为全年经费的</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p>
    <w:p w14:paraId="24C2AB72">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月中旬-</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月中旬，养护经费为全年经费的</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p>
    <w:p w14:paraId="44056EF0">
      <w:pPr>
        <w:pStyle w:val="435"/>
        <w:keepNext w:val="0"/>
        <w:keepLines w:val="0"/>
        <w:pageBreakBefore w:val="0"/>
        <w:kinsoku/>
        <w:overflowPunct/>
        <w:topLinePunct w:val="0"/>
        <w:autoSpaceDE/>
        <w:autoSpaceDN/>
        <w:bidi w:val="0"/>
        <w:spacing w:line="360" w:lineRule="auto"/>
        <w:ind w:right="0" w:firstLine="1200" w:firstLineChars="5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月中旬-</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月中旬，养护经费为全年经费的</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p>
    <w:p w14:paraId="21446923">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九、其他要求 </w:t>
      </w:r>
    </w:p>
    <w:p w14:paraId="56A23CA4">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1、考核小组在检查考核时应及时与被考核单位对接，被考核单位须积极配合考核组做好检查考核工作。</w:t>
      </w:r>
    </w:p>
    <w:p w14:paraId="5A1686EF">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2、每半月召开一次生产例会，被考核单位汇报阶段性工作开展情况，考核组提出意见和建议并通报当月被考核单位的考核情况。</w:t>
      </w:r>
    </w:p>
    <w:p w14:paraId="43F813B3">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3、被考核单位每月25日以文字形式上报当月工作完成情况及下月工作计划，要求内容详实、全面。</w:t>
      </w:r>
    </w:p>
    <w:p w14:paraId="71EE5B5F">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被考核单位需建立完善的绿地巡查制度，每天对绿地进行巡查并做好巡查记录，发现有损坏绿化设施，乱搭、乱建、随意挖掘绿地等行为的要及时制止并上报，否则由此造成绿化缺损、死亡等现象的，一切后果由被考核单位承担。</w:t>
      </w:r>
      <w:r>
        <w:rPr>
          <w:rFonts w:hint="eastAsia" w:ascii="宋体" w:hAnsi="宋体" w:eastAsia="宋体" w:cs="宋体"/>
          <w:color w:val="auto"/>
          <w:sz w:val="24"/>
          <w:szCs w:val="24"/>
          <w:highlight w:val="none"/>
          <w:lang w:eastAsia="zh-CN"/>
        </w:rPr>
        <w:t>被考核单位在施工作业、极端天气、水域管理中未做好安全防护措施，所造成的损失及后果，由被考核单位承担。</w:t>
      </w:r>
    </w:p>
    <w:p w14:paraId="642C4C55">
      <w:pPr>
        <w:pStyle w:val="435"/>
        <w:keepNext w:val="0"/>
        <w:keepLines w:val="0"/>
        <w:pageBreakBefore w:val="0"/>
        <w:kinsoku/>
        <w:overflowPunct/>
        <w:topLinePunct w:val="0"/>
        <w:autoSpaceDE/>
        <w:autoSpaceDN/>
        <w:bidi w:val="0"/>
        <w:spacing w:line="360" w:lineRule="auto"/>
        <w:ind w:righ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5、被考核单位应按照</w:t>
      </w:r>
      <w:r>
        <w:rPr>
          <w:rFonts w:hint="eastAsia" w:ascii="宋体" w:hAnsi="宋体" w:eastAsia="宋体" w:cs="宋体"/>
          <w:color w:val="auto"/>
          <w:sz w:val="24"/>
          <w:szCs w:val="24"/>
          <w:highlight w:val="none"/>
          <w:lang w:eastAsia="zh-CN"/>
        </w:rPr>
        <w:t>服务人员配置最低要求一览表（附件</w:t>
      </w:r>
      <w:r>
        <w:rPr>
          <w:rFonts w:hint="eastAsia" w:ascii="宋体" w:hAnsi="宋体" w:eastAsia="宋体" w:cs="宋体"/>
          <w:color w:val="auto"/>
          <w:sz w:val="24"/>
          <w:szCs w:val="24"/>
          <w:highlight w:val="none"/>
          <w:lang w:val="en-US" w:eastAsia="zh-CN"/>
        </w:rPr>
        <w:t>e</w:t>
      </w:r>
      <w:r>
        <w:rPr>
          <w:rFonts w:hint="eastAsia" w:ascii="宋体" w:hAnsi="宋体" w:eastAsia="宋体" w:cs="宋体"/>
          <w:color w:val="auto"/>
          <w:sz w:val="24"/>
          <w:szCs w:val="24"/>
          <w:highlight w:val="none"/>
          <w:lang w:eastAsia="zh-CN"/>
        </w:rPr>
        <w:t>）配备</w:t>
      </w:r>
      <w:r>
        <w:rPr>
          <w:rFonts w:hint="eastAsia" w:ascii="宋体" w:hAnsi="宋体" w:eastAsia="宋体" w:cs="宋体"/>
          <w:color w:val="auto"/>
          <w:sz w:val="24"/>
          <w:szCs w:val="24"/>
          <w:highlight w:val="none"/>
        </w:rPr>
        <w:t>养护人员，工作期间统一着装</w:t>
      </w:r>
      <w:r>
        <w:rPr>
          <w:rFonts w:hint="eastAsia" w:ascii="宋体" w:hAnsi="宋体" w:eastAsia="宋体" w:cs="宋体"/>
          <w:color w:val="auto"/>
          <w:sz w:val="24"/>
          <w:szCs w:val="24"/>
          <w:highlight w:val="none"/>
          <w:lang w:eastAsia="zh-CN"/>
        </w:rPr>
        <w:t>。</w:t>
      </w:r>
    </w:p>
    <w:p w14:paraId="6306CD4C">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09D4AA3B">
      <w:pPr>
        <w:ind w:right="1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w:t>
      </w:r>
      <w:r>
        <w:rPr>
          <w:rFonts w:hint="eastAsia" w:ascii="宋体" w:hAnsi="宋体" w:eastAsia="宋体" w:cs="宋体"/>
          <w:color w:val="auto"/>
          <w:sz w:val="24"/>
          <w:szCs w:val="24"/>
          <w:highlight w:val="none"/>
          <w:lang w:val="en-US" w:eastAsia="zh-CN"/>
        </w:rPr>
        <w:t>f</w:t>
      </w:r>
      <w:r>
        <w:rPr>
          <w:rFonts w:hint="eastAsia" w:ascii="宋体" w:hAnsi="宋体" w:eastAsia="宋体" w:cs="宋体"/>
          <w:color w:val="auto"/>
          <w:sz w:val="24"/>
          <w:szCs w:val="24"/>
          <w:highlight w:val="none"/>
        </w:rPr>
        <w:t>昌吉市绿地养护管理考核标准及考核计分依据</w:t>
      </w:r>
    </w:p>
    <w:p w14:paraId="2CD7ACD9">
      <w:pPr>
        <w:ind w:right="1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昌吉市绿地养护管理考核标准及考核计分依据</w:t>
      </w:r>
    </w:p>
    <w:tbl>
      <w:tblPr>
        <w:tblStyle w:val="43"/>
        <w:tblW w:w="106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794"/>
        <w:gridCol w:w="1845"/>
        <w:gridCol w:w="3551"/>
        <w:gridCol w:w="3845"/>
      </w:tblGrid>
      <w:tr w14:paraId="6204A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95" w:type="dxa"/>
            <w:tcBorders>
              <w:top w:val="single" w:color="auto" w:sz="4" w:space="0"/>
              <w:left w:val="single" w:color="auto" w:sz="4" w:space="0"/>
              <w:bottom w:val="single" w:color="auto" w:sz="4" w:space="0"/>
              <w:right w:val="single" w:color="auto" w:sz="4" w:space="0"/>
            </w:tcBorders>
            <w:noWrap w:val="0"/>
            <w:vAlign w:val="center"/>
          </w:tcPr>
          <w:p w14:paraId="14C67C5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bidi="ar"/>
              </w:rPr>
              <w:t>序号</w:t>
            </w:r>
          </w:p>
        </w:tc>
        <w:tc>
          <w:tcPr>
            <w:tcW w:w="794" w:type="dxa"/>
            <w:tcBorders>
              <w:top w:val="single" w:color="auto" w:sz="4" w:space="0"/>
              <w:left w:val="single" w:color="auto" w:sz="4" w:space="0"/>
              <w:bottom w:val="single" w:color="auto" w:sz="4" w:space="0"/>
              <w:right w:val="single" w:color="auto" w:sz="4" w:space="0"/>
            </w:tcBorders>
            <w:noWrap w:val="0"/>
            <w:vAlign w:val="center"/>
          </w:tcPr>
          <w:p w14:paraId="50BFD18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bidi="ar"/>
              </w:rPr>
              <w:t>项目</w:t>
            </w:r>
          </w:p>
        </w:tc>
        <w:tc>
          <w:tcPr>
            <w:tcW w:w="1845" w:type="dxa"/>
            <w:tcBorders>
              <w:top w:val="single" w:color="auto" w:sz="4" w:space="0"/>
              <w:left w:val="single" w:color="auto" w:sz="4" w:space="0"/>
              <w:bottom w:val="single" w:color="auto" w:sz="4" w:space="0"/>
              <w:right w:val="single" w:color="auto" w:sz="4" w:space="0"/>
            </w:tcBorders>
            <w:noWrap w:val="0"/>
            <w:vAlign w:val="center"/>
          </w:tcPr>
          <w:p w14:paraId="330A2D5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bidi="ar"/>
              </w:rPr>
              <w:t>养护质量标准</w:t>
            </w:r>
          </w:p>
        </w:tc>
        <w:tc>
          <w:tcPr>
            <w:tcW w:w="3551" w:type="dxa"/>
            <w:tcBorders>
              <w:top w:val="single" w:color="auto" w:sz="4" w:space="0"/>
              <w:left w:val="single" w:color="auto" w:sz="4" w:space="0"/>
              <w:bottom w:val="single" w:color="auto" w:sz="4" w:space="0"/>
              <w:right w:val="single" w:color="auto" w:sz="4" w:space="0"/>
            </w:tcBorders>
            <w:noWrap w:val="0"/>
            <w:vAlign w:val="center"/>
          </w:tcPr>
          <w:p w14:paraId="0A42C5F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bidi="ar"/>
              </w:rPr>
              <w:t>考  核 标 准</w:t>
            </w:r>
          </w:p>
        </w:tc>
        <w:tc>
          <w:tcPr>
            <w:tcW w:w="3845" w:type="dxa"/>
            <w:tcBorders>
              <w:top w:val="single" w:color="auto" w:sz="4" w:space="0"/>
              <w:left w:val="single" w:color="auto" w:sz="4" w:space="0"/>
              <w:bottom w:val="single" w:color="auto" w:sz="4" w:space="0"/>
              <w:right w:val="single" w:color="auto" w:sz="4" w:space="0"/>
            </w:tcBorders>
            <w:noWrap w:val="0"/>
            <w:vAlign w:val="center"/>
          </w:tcPr>
          <w:p w14:paraId="2DB94D4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bidi="ar"/>
              </w:rPr>
              <w:t>考 核 计 分 依 据</w:t>
            </w:r>
          </w:p>
        </w:tc>
      </w:tr>
      <w:tr w14:paraId="5482F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restart"/>
            <w:tcBorders>
              <w:top w:val="nil"/>
              <w:left w:val="single" w:color="auto" w:sz="4" w:space="0"/>
              <w:right w:val="single" w:color="auto" w:sz="4" w:space="0"/>
            </w:tcBorders>
            <w:noWrap w:val="0"/>
            <w:vAlign w:val="center"/>
          </w:tcPr>
          <w:p w14:paraId="48C7135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w:t>
            </w:r>
          </w:p>
        </w:tc>
        <w:tc>
          <w:tcPr>
            <w:tcW w:w="794" w:type="dxa"/>
            <w:vMerge w:val="restart"/>
            <w:tcBorders>
              <w:top w:val="nil"/>
              <w:left w:val="single" w:color="auto" w:sz="4" w:space="0"/>
              <w:right w:val="single" w:color="auto" w:sz="4" w:space="0"/>
            </w:tcBorders>
            <w:noWrap w:val="0"/>
            <w:vAlign w:val="center"/>
          </w:tcPr>
          <w:p w14:paraId="0809090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bidi="ar"/>
              </w:rPr>
              <w:t>浇水</w:t>
            </w:r>
            <w:r>
              <w:rPr>
                <w:rFonts w:hint="eastAsia" w:ascii="宋体" w:hAnsi="宋体" w:eastAsia="宋体" w:cs="宋体"/>
                <w:color w:val="auto"/>
                <w:kern w:val="0"/>
                <w:sz w:val="21"/>
                <w:szCs w:val="21"/>
                <w:highlight w:val="none"/>
                <w:lang w:bidi="ar"/>
              </w:rPr>
              <w:t>、排水</w:t>
            </w:r>
          </w:p>
        </w:tc>
        <w:tc>
          <w:tcPr>
            <w:tcW w:w="1845" w:type="dxa"/>
            <w:vMerge w:val="restart"/>
            <w:tcBorders>
              <w:top w:val="nil"/>
              <w:left w:val="single" w:color="auto" w:sz="4" w:space="0"/>
              <w:right w:val="single" w:color="auto" w:sz="4" w:space="0"/>
            </w:tcBorders>
            <w:noWrap w:val="0"/>
            <w:vAlign w:val="center"/>
          </w:tcPr>
          <w:p w14:paraId="0CD4E84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灌溉结合本市气候特点、土壤保水、植物需水、根系喜气、绿地现状等情况，适时适量进行浇水，促进园林植物正常生长</w:t>
            </w:r>
          </w:p>
        </w:tc>
        <w:tc>
          <w:tcPr>
            <w:tcW w:w="3551" w:type="dxa"/>
            <w:vMerge w:val="restart"/>
            <w:tcBorders>
              <w:top w:val="nil"/>
              <w:left w:val="single" w:color="auto" w:sz="4" w:space="0"/>
              <w:bottom w:val="single" w:color="auto" w:sz="4" w:space="0"/>
              <w:right w:val="single" w:color="auto" w:sz="4" w:space="0"/>
            </w:tcBorders>
            <w:noWrap w:val="0"/>
            <w:vAlign w:val="center"/>
          </w:tcPr>
          <w:p w14:paraId="5C222B2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保证供水设施（包括渠系）运行正常，自备井设施完好，确保正常使用。按通知时间前完成水系恢复工作。</w:t>
            </w:r>
          </w:p>
        </w:tc>
        <w:tc>
          <w:tcPr>
            <w:tcW w:w="3845" w:type="dxa"/>
            <w:tcBorders>
              <w:top w:val="single" w:color="auto" w:sz="4" w:space="0"/>
              <w:left w:val="single" w:color="auto" w:sz="4" w:space="0"/>
              <w:bottom w:val="single" w:color="auto" w:sz="4" w:space="0"/>
              <w:right w:val="single" w:color="auto" w:sz="4" w:space="0"/>
            </w:tcBorders>
            <w:noWrap w:val="0"/>
            <w:vAlign w:val="center"/>
          </w:tcPr>
          <w:p w14:paraId="034157F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1、在规定时间内必须保证水系畅通，不得以任何理由推诿，晚一天一处扣除</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3分。</w:t>
            </w:r>
          </w:p>
        </w:tc>
      </w:tr>
      <w:tr w14:paraId="0475E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continue"/>
            <w:tcBorders>
              <w:left w:val="single" w:color="auto" w:sz="4" w:space="0"/>
              <w:right w:val="single" w:color="auto" w:sz="4" w:space="0"/>
            </w:tcBorders>
            <w:noWrap w:val="0"/>
            <w:vAlign w:val="center"/>
          </w:tcPr>
          <w:p w14:paraId="3B7A0F90">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794" w:type="dxa"/>
            <w:vMerge w:val="continue"/>
            <w:tcBorders>
              <w:left w:val="single" w:color="auto" w:sz="4" w:space="0"/>
              <w:right w:val="single" w:color="auto" w:sz="4" w:space="0"/>
            </w:tcBorders>
            <w:noWrap w:val="0"/>
            <w:vAlign w:val="center"/>
          </w:tcPr>
          <w:p w14:paraId="63176127">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1845" w:type="dxa"/>
            <w:vMerge w:val="continue"/>
            <w:tcBorders>
              <w:left w:val="single" w:color="auto" w:sz="4" w:space="0"/>
              <w:right w:val="single" w:color="auto" w:sz="4" w:space="0"/>
            </w:tcBorders>
            <w:noWrap w:val="0"/>
            <w:vAlign w:val="center"/>
          </w:tcPr>
          <w:p w14:paraId="0CE9BD77">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3551" w:type="dxa"/>
            <w:vMerge w:val="continue"/>
            <w:tcBorders>
              <w:top w:val="nil"/>
              <w:left w:val="single" w:color="auto" w:sz="4" w:space="0"/>
              <w:bottom w:val="single" w:color="auto" w:sz="4" w:space="0"/>
              <w:right w:val="single" w:color="auto" w:sz="4" w:space="0"/>
            </w:tcBorders>
            <w:noWrap w:val="0"/>
            <w:vAlign w:val="center"/>
          </w:tcPr>
          <w:p w14:paraId="35FF1FEC">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3845" w:type="dxa"/>
            <w:tcBorders>
              <w:top w:val="single" w:color="auto" w:sz="4" w:space="0"/>
              <w:left w:val="single" w:color="auto" w:sz="4" w:space="0"/>
              <w:bottom w:val="single" w:color="auto" w:sz="4" w:space="0"/>
              <w:right w:val="single" w:color="auto" w:sz="4" w:space="0"/>
            </w:tcBorders>
            <w:noWrap w:val="0"/>
            <w:vAlign w:val="center"/>
          </w:tcPr>
          <w:p w14:paraId="2693E05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2、供水井不能正常供水的要及时告知养护科，如不上报绿地出现旱情，一次扣</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 xml:space="preserve">5分。漫灌地浇水期间阀门正常使用，田埂完好，流水通畅，浇透浇足，做好地势高低的围墒工作，因措施不到位影响浇水质量的一次扣1分。    </w:t>
            </w:r>
          </w:p>
        </w:tc>
      </w:tr>
      <w:tr w14:paraId="07677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continue"/>
            <w:tcBorders>
              <w:left w:val="single" w:color="auto" w:sz="4" w:space="0"/>
              <w:right w:val="single" w:color="auto" w:sz="4" w:space="0"/>
            </w:tcBorders>
            <w:noWrap w:val="0"/>
            <w:vAlign w:val="center"/>
          </w:tcPr>
          <w:p w14:paraId="7FCAC333">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794" w:type="dxa"/>
            <w:vMerge w:val="continue"/>
            <w:tcBorders>
              <w:left w:val="single" w:color="auto" w:sz="4" w:space="0"/>
              <w:right w:val="single" w:color="auto" w:sz="4" w:space="0"/>
            </w:tcBorders>
            <w:noWrap w:val="0"/>
            <w:vAlign w:val="center"/>
          </w:tcPr>
          <w:p w14:paraId="7F88097A">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1845" w:type="dxa"/>
            <w:vMerge w:val="continue"/>
            <w:tcBorders>
              <w:left w:val="single" w:color="auto" w:sz="4" w:space="0"/>
              <w:right w:val="single" w:color="auto" w:sz="4" w:space="0"/>
            </w:tcBorders>
            <w:noWrap w:val="0"/>
            <w:vAlign w:val="center"/>
          </w:tcPr>
          <w:p w14:paraId="009AD250">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3551" w:type="dxa"/>
            <w:tcBorders>
              <w:top w:val="single" w:color="auto" w:sz="4" w:space="0"/>
              <w:left w:val="single" w:color="auto" w:sz="4" w:space="0"/>
              <w:bottom w:val="single" w:color="auto" w:sz="4" w:space="0"/>
              <w:right w:val="single" w:color="auto" w:sz="4" w:space="0"/>
            </w:tcBorders>
            <w:noWrap w:val="0"/>
            <w:vAlign w:val="center"/>
          </w:tcPr>
          <w:p w14:paraId="5FA3599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适地适树、合理浇灌，保证浇水质量。</w:t>
            </w:r>
          </w:p>
        </w:tc>
        <w:tc>
          <w:tcPr>
            <w:tcW w:w="3845" w:type="dxa"/>
            <w:tcBorders>
              <w:top w:val="single" w:color="auto" w:sz="4" w:space="0"/>
              <w:left w:val="single" w:color="auto" w:sz="4" w:space="0"/>
              <w:bottom w:val="single" w:color="auto" w:sz="4" w:space="0"/>
              <w:right w:val="single" w:color="auto" w:sz="4" w:space="0"/>
            </w:tcBorders>
            <w:noWrap w:val="0"/>
            <w:vAlign w:val="center"/>
          </w:tcPr>
          <w:p w14:paraId="7382635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1、根据绿地土壤结构差异合理浇灌；如因浇水不当，造成植物生长异常，乔木或孤植灌木、片植灌木黄叶或非正常落叶的扣1.5分；造成死亡的乔木或孤植灌木，一株扣5-10分,花卉或片植灌木、地被每㎡扣2.5-5分。</w:t>
            </w:r>
          </w:p>
        </w:tc>
      </w:tr>
      <w:tr w14:paraId="1B8E3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continue"/>
            <w:tcBorders>
              <w:left w:val="single" w:color="auto" w:sz="4" w:space="0"/>
              <w:right w:val="single" w:color="auto" w:sz="4" w:space="0"/>
            </w:tcBorders>
            <w:noWrap w:val="0"/>
            <w:vAlign w:val="center"/>
          </w:tcPr>
          <w:p w14:paraId="5BE8EEB2">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794" w:type="dxa"/>
            <w:vMerge w:val="continue"/>
            <w:tcBorders>
              <w:left w:val="single" w:color="auto" w:sz="4" w:space="0"/>
              <w:right w:val="single" w:color="auto" w:sz="4" w:space="0"/>
            </w:tcBorders>
            <w:noWrap w:val="0"/>
            <w:vAlign w:val="center"/>
          </w:tcPr>
          <w:p w14:paraId="413451FE">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1845" w:type="dxa"/>
            <w:vMerge w:val="continue"/>
            <w:tcBorders>
              <w:left w:val="single" w:color="auto" w:sz="4" w:space="0"/>
              <w:right w:val="single" w:color="auto" w:sz="4" w:space="0"/>
            </w:tcBorders>
            <w:noWrap w:val="0"/>
            <w:vAlign w:val="center"/>
          </w:tcPr>
          <w:p w14:paraId="0F2FFC68">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3551" w:type="dxa"/>
            <w:vMerge w:val="restart"/>
            <w:tcBorders>
              <w:top w:val="nil"/>
              <w:left w:val="single" w:color="auto" w:sz="4" w:space="0"/>
              <w:bottom w:val="single" w:color="auto" w:sz="4" w:space="0"/>
              <w:right w:val="single" w:color="auto" w:sz="4" w:space="0"/>
            </w:tcBorders>
            <w:noWrap w:val="0"/>
            <w:vAlign w:val="center"/>
          </w:tcPr>
          <w:p w14:paraId="51B567C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 xml:space="preserve">浇水期间喷滴灌出水正常、喷头无缺失。夏季在规定时间内进行浇水；不得因绿地浇水不当造成路面积水。                              </w:t>
            </w:r>
          </w:p>
        </w:tc>
        <w:tc>
          <w:tcPr>
            <w:tcW w:w="3845" w:type="dxa"/>
            <w:tcBorders>
              <w:top w:val="single" w:color="auto" w:sz="4" w:space="0"/>
              <w:left w:val="single" w:color="auto" w:sz="4" w:space="0"/>
              <w:bottom w:val="single" w:color="auto" w:sz="4" w:space="0"/>
              <w:right w:val="single" w:color="auto" w:sz="4" w:space="0"/>
            </w:tcBorders>
            <w:noWrap w:val="0"/>
            <w:vAlign w:val="center"/>
          </w:tcPr>
          <w:p w14:paraId="0412C76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1、自来水严格按照夏季绿化用水时间进行浇水，如有违反发现一次扣1分；市民投诉且属实的一次扣1分；受到上级部门批评的，一次扣2分。</w:t>
            </w:r>
          </w:p>
        </w:tc>
      </w:tr>
      <w:tr w14:paraId="5B09E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continue"/>
            <w:tcBorders>
              <w:left w:val="single" w:color="auto" w:sz="4" w:space="0"/>
              <w:right w:val="single" w:color="auto" w:sz="4" w:space="0"/>
            </w:tcBorders>
            <w:noWrap w:val="0"/>
            <w:vAlign w:val="center"/>
          </w:tcPr>
          <w:p w14:paraId="5A6D6C1D">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794" w:type="dxa"/>
            <w:vMerge w:val="continue"/>
            <w:tcBorders>
              <w:left w:val="single" w:color="auto" w:sz="4" w:space="0"/>
              <w:right w:val="single" w:color="auto" w:sz="4" w:space="0"/>
            </w:tcBorders>
            <w:noWrap w:val="0"/>
            <w:vAlign w:val="center"/>
          </w:tcPr>
          <w:p w14:paraId="59B2C623">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1845" w:type="dxa"/>
            <w:vMerge w:val="continue"/>
            <w:tcBorders>
              <w:left w:val="single" w:color="auto" w:sz="4" w:space="0"/>
              <w:right w:val="single" w:color="auto" w:sz="4" w:space="0"/>
            </w:tcBorders>
            <w:noWrap w:val="0"/>
            <w:vAlign w:val="center"/>
          </w:tcPr>
          <w:p w14:paraId="486D652B">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3551" w:type="dxa"/>
            <w:vMerge w:val="continue"/>
            <w:tcBorders>
              <w:top w:val="nil"/>
              <w:left w:val="single" w:color="auto" w:sz="4" w:space="0"/>
              <w:bottom w:val="single" w:color="auto" w:sz="4" w:space="0"/>
              <w:right w:val="single" w:color="auto" w:sz="4" w:space="0"/>
            </w:tcBorders>
            <w:noWrap w:val="0"/>
            <w:vAlign w:val="center"/>
          </w:tcPr>
          <w:p w14:paraId="5DB72FDB">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3845" w:type="dxa"/>
            <w:tcBorders>
              <w:top w:val="single" w:color="auto" w:sz="4" w:space="0"/>
              <w:left w:val="single" w:color="auto" w:sz="4" w:space="0"/>
              <w:bottom w:val="single" w:color="auto" w:sz="4" w:space="0"/>
              <w:right w:val="single" w:color="auto" w:sz="4" w:space="0"/>
            </w:tcBorders>
            <w:noWrap w:val="0"/>
            <w:vAlign w:val="center"/>
          </w:tcPr>
          <w:p w14:paraId="640B9ED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2、浇水人员必须确保自己管辖范围内的浇水设施正常工作，人为破坏严重的地段重点巡查，发现水上路、插针倒斜、喷头不出水或出水异常的，未及时发现且未处置的出现一次扣1分。</w:t>
            </w:r>
          </w:p>
        </w:tc>
      </w:tr>
      <w:tr w14:paraId="0E536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continue"/>
            <w:tcBorders>
              <w:left w:val="single" w:color="auto" w:sz="4" w:space="0"/>
              <w:right w:val="single" w:color="auto" w:sz="4" w:space="0"/>
            </w:tcBorders>
            <w:noWrap w:val="0"/>
            <w:vAlign w:val="center"/>
          </w:tcPr>
          <w:p w14:paraId="051A1D82">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794" w:type="dxa"/>
            <w:vMerge w:val="continue"/>
            <w:tcBorders>
              <w:left w:val="single" w:color="auto" w:sz="4" w:space="0"/>
              <w:right w:val="single" w:color="auto" w:sz="4" w:space="0"/>
            </w:tcBorders>
            <w:noWrap w:val="0"/>
            <w:vAlign w:val="center"/>
          </w:tcPr>
          <w:p w14:paraId="7C360A1F">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1845" w:type="dxa"/>
            <w:vMerge w:val="continue"/>
            <w:tcBorders>
              <w:left w:val="single" w:color="auto" w:sz="4" w:space="0"/>
              <w:right w:val="single" w:color="auto" w:sz="4" w:space="0"/>
            </w:tcBorders>
            <w:noWrap w:val="0"/>
            <w:vAlign w:val="center"/>
          </w:tcPr>
          <w:p w14:paraId="3B09A3F6">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3551" w:type="dxa"/>
            <w:vMerge w:val="continue"/>
            <w:tcBorders>
              <w:top w:val="nil"/>
              <w:left w:val="single" w:color="auto" w:sz="4" w:space="0"/>
              <w:bottom w:val="single" w:color="auto" w:sz="4" w:space="0"/>
              <w:right w:val="single" w:color="auto" w:sz="4" w:space="0"/>
            </w:tcBorders>
            <w:noWrap w:val="0"/>
            <w:vAlign w:val="center"/>
          </w:tcPr>
          <w:p w14:paraId="6270C5A8">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3845" w:type="dxa"/>
            <w:tcBorders>
              <w:top w:val="single" w:color="auto" w:sz="4" w:space="0"/>
              <w:left w:val="single" w:color="auto" w:sz="4" w:space="0"/>
              <w:bottom w:val="single" w:color="auto" w:sz="4" w:space="0"/>
              <w:right w:val="single" w:color="auto" w:sz="4" w:space="0"/>
            </w:tcBorders>
            <w:noWrap w:val="0"/>
            <w:vAlign w:val="center"/>
          </w:tcPr>
          <w:p w14:paraId="635F5D9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3、浇水期间出现水上路、管线跑水造成路面积水一次扣</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5分。早</w:t>
            </w:r>
            <w:r>
              <w:rPr>
                <w:rFonts w:hint="eastAsia" w:ascii="宋体" w:hAnsi="宋体" w:eastAsia="宋体" w:cs="宋体"/>
                <w:color w:val="auto"/>
                <w:kern w:val="0"/>
                <w:sz w:val="21"/>
                <w:szCs w:val="21"/>
                <w:highlight w:val="none"/>
                <w:lang w:val="en-US" w:eastAsia="zh-CN" w:bidi="ar"/>
              </w:rPr>
              <w:t>7:30</w:t>
            </w:r>
            <w:r>
              <w:rPr>
                <w:rFonts w:hint="eastAsia" w:ascii="宋体" w:hAnsi="宋体" w:eastAsia="宋体" w:cs="宋体"/>
                <w:color w:val="auto"/>
                <w:kern w:val="0"/>
                <w:sz w:val="21"/>
                <w:szCs w:val="21"/>
                <w:highlight w:val="none"/>
                <w:lang w:bidi="ar"/>
              </w:rPr>
              <w:t>前清除因浇水造成的大于2㎡的路面积水，未按时完成的，发现一次扣0.5分。</w:t>
            </w:r>
          </w:p>
        </w:tc>
      </w:tr>
      <w:tr w14:paraId="719E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continue"/>
            <w:tcBorders>
              <w:left w:val="single" w:color="auto" w:sz="4" w:space="0"/>
              <w:right w:val="single" w:color="auto" w:sz="4" w:space="0"/>
            </w:tcBorders>
            <w:noWrap w:val="0"/>
            <w:vAlign w:val="center"/>
          </w:tcPr>
          <w:p w14:paraId="38FE9474">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794" w:type="dxa"/>
            <w:vMerge w:val="continue"/>
            <w:tcBorders>
              <w:left w:val="single" w:color="auto" w:sz="4" w:space="0"/>
              <w:right w:val="single" w:color="auto" w:sz="4" w:space="0"/>
            </w:tcBorders>
            <w:noWrap w:val="0"/>
            <w:vAlign w:val="center"/>
          </w:tcPr>
          <w:p w14:paraId="41E05224">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1845" w:type="dxa"/>
            <w:vMerge w:val="continue"/>
            <w:tcBorders>
              <w:left w:val="single" w:color="auto" w:sz="4" w:space="0"/>
              <w:right w:val="single" w:color="auto" w:sz="4" w:space="0"/>
            </w:tcBorders>
            <w:noWrap w:val="0"/>
            <w:vAlign w:val="center"/>
          </w:tcPr>
          <w:p w14:paraId="57ACC4C5">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3551" w:type="dxa"/>
            <w:vMerge w:val="continue"/>
            <w:tcBorders>
              <w:top w:val="nil"/>
              <w:left w:val="single" w:color="auto" w:sz="4" w:space="0"/>
              <w:bottom w:val="single" w:color="auto" w:sz="4" w:space="0"/>
              <w:right w:val="single" w:color="auto" w:sz="4" w:space="0"/>
            </w:tcBorders>
            <w:noWrap w:val="0"/>
            <w:vAlign w:val="center"/>
          </w:tcPr>
          <w:p w14:paraId="4C181663">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3845" w:type="dxa"/>
            <w:tcBorders>
              <w:top w:val="single" w:color="auto" w:sz="4" w:space="0"/>
              <w:left w:val="single" w:color="auto" w:sz="4" w:space="0"/>
              <w:bottom w:val="single" w:color="auto" w:sz="4" w:space="0"/>
              <w:right w:val="single" w:color="auto" w:sz="4" w:space="0"/>
            </w:tcBorders>
            <w:noWrap w:val="0"/>
            <w:vAlign w:val="center"/>
          </w:tcPr>
          <w:p w14:paraId="71B0B20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4、喷头、滴头未及时补充、更换、维修，影响浇水工作的，摇臂式喷头一个扣1分，微喷喷头一个扣0.5分,滴灌一处扣1分。</w:t>
            </w:r>
          </w:p>
        </w:tc>
      </w:tr>
      <w:tr w14:paraId="46B33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continue"/>
            <w:tcBorders>
              <w:left w:val="single" w:color="auto" w:sz="4" w:space="0"/>
              <w:right w:val="single" w:color="auto" w:sz="4" w:space="0"/>
            </w:tcBorders>
            <w:noWrap w:val="0"/>
            <w:vAlign w:val="center"/>
          </w:tcPr>
          <w:p w14:paraId="3288C5D9">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794" w:type="dxa"/>
            <w:vMerge w:val="continue"/>
            <w:tcBorders>
              <w:left w:val="single" w:color="auto" w:sz="4" w:space="0"/>
              <w:right w:val="single" w:color="auto" w:sz="4" w:space="0"/>
            </w:tcBorders>
            <w:noWrap w:val="0"/>
            <w:vAlign w:val="center"/>
          </w:tcPr>
          <w:p w14:paraId="4B70850A">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1845" w:type="dxa"/>
            <w:vMerge w:val="continue"/>
            <w:tcBorders>
              <w:left w:val="single" w:color="auto" w:sz="4" w:space="0"/>
              <w:right w:val="single" w:color="auto" w:sz="4" w:space="0"/>
            </w:tcBorders>
            <w:noWrap w:val="0"/>
            <w:vAlign w:val="center"/>
          </w:tcPr>
          <w:p w14:paraId="60D39BD0">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3551" w:type="dxa"/>
            <w:tcBorders>
              <w:top w:val="single" w:color="auto" w:sz="4" w:space="0"/>
              <w:left w:val="single" w:color="auto" w:sz="4" w:space="0"/>
              <w:bottom w:val="single" w:color="auto" w:sz="4" w:space="0"/>
              <w:right w:val="single" w:color="auto" w:sz="4" w:space="0"/>
            </w:tcBorders>
            <w:noWrap w:val="0"/>
            <w:vAlign w:val="center"/>
          </w:tcPr>
          <w:p w14:paraId="2A08706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 xml:space="preserve">适时浇好冬灌水并做好各类供水设施的入冬管理。                                                             </w:t>
            </w:r>
          </w:p>
        </w:tc>
        <w:tc>
          <w:tcPr>
            <w:tcW w:w="3845" w:type="dxa"/>
            <w:tcBorders>
              <w:top w:val="single" w:color="auto" w:sz="4" w:space="0"/>
              <w:left w:val="single" w:color="auto" w:sz="4" w:space="0"/>
              <w:bottom w:val="single" w:color="auto" w:sz="4" w:space="0"/>
              <w:right w:val="single" w:color="auto" w:sz="4" w:space="0"/>
            </w:tcBorders>
            <w:noWrap w:val="0"/>
            <w:vAlign w:val="center"/>
          </w:tcPr>
          <w:p w14:paraId="04BB144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 xml:space="preserve">1、在规定时间内浇好冬灌水，晚一天扣1分；排水不彻底造成管线、水表损坏等现象的一次扣5分。                        </w:t>
            </w:r>
          </w:p>
        </w:tc>
      </w:tr>
      <w:tr w14:paraId="28524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continue"/>
            <w:tcBorders>
              <w:left w:val="single" w:color="auto" w:sz="4" w:space="0"/>
              <w:right w:val="single" w:color="auto" w:sz="4" w:space="0"/>
            </w:tcBorders>
            <w:noWrap w:val="0"/>
            <w:vAlign w:val="center"/>
          </w:tcPr>
          <w:p w14:paraId="1EFE7DBB">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794" w:type="dxa"/>
            <w:vMerge w:val="continue"/>
            <w:tcBorders>
              <w:left w:val="single" w:color="auto" w:sz="4" w:space="0"/>
              <w:right w:val="single" w:color="auto" w:sz="4" w:space="0"/>
            </w:tcBorders>
            <w:noWrap w:val="0"/>
            <w:vAlign w:val="center"/>
          </w:tcPr>
          <w:p w14:paraId="66A8C172">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1845" w:type="dxa"/>
            <w:vMerge w:val="continue"/>
            <w:tcBorders>
              <w:left w:val="single" w:color="auto" w:sz="4" w:space="0"/>
              <w:right w:val="single" w:color="auto" w:sz="4" w:space="0"/>
            </w:tcBorders>
            <w:noWrap w:val="0"/>
            <w:vAlign w:val="center"/>
          </w:tcPr>
          <w:p w14:paraId="53CDAAF2">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3551" w:type="dxa"/>
            <w:tcBorders>
              <w:top w:val="single" w:color="auto" w:sz="4" w:space="0"/>
              <w:left w:val="single" w:color="auto" w:sz="4" w:space="0"/>
              <w:bottom w:val="single" w:color="auto" w:sz="4" w:space="0"/>
              <w:right w:val="single" w:color="auto" w:sz="4" w:space="0"/>
            </w:tcBorders>
            <w:noWrap w:val="0"/>
            <w:vAlign w:val="center"/>
          </w:tcPr>
          <w:p w14:paraId="404AE4F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漫灌地段绿带、树沟等平整、流水顺畅，保证浇水正常。</w:t>
            </w:r>
          </w:p>
        </w:tc>
        <w:tc>
          <w:tcPr>
            <w:tcW w:w="3845" w:type="dxa"/>
            <w:tcBorders>
              <w:top w:val="single" w:color="auto" w:sz="4" w:space="0"/>
              <w:left w:val="single" w:color="auto" w:sz="4" w:space="0"/>
              <w:bottom w:val="single" w:color="auto" w:sz="4" w:space="0"/>
              <w:right w:val="single" w:color="auto" w:sz="4" w:space="0"/>
            </w:tcBorders>
            <w:noWrap w:val="0"/>
            <w:vAlign w:val="center"/>
          </w:tcPr>
          <w:p w14:paraId="7003F3F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1、如发现清理、维护不及时、不彻底，影响浇水质量的，一处扣0.5分。</w:t>
            </w:r>
          </w:p>
        </w:tc>
      </w:tr>
      <w:tr w14:paraId="42B2D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continue"/>
            <w:tcBorders>
              <w:left w:val="single" w:color="auto" w:sz="4" w:space="0"/>
              <w:right w:val="single" w:color="auto" w:sz="4" w:space="0"/>
            </w:tcBorders>
            <w:noWrap w:val="0"/>
            <w:vAlign w:val="center"/>
          </w:tcPr>
          <w:p w14:paraId="75E3AA7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794" w:type="dxa"/>
            <w:vMerge w:val="continue"/>
            <w:tcBorders>
              <w:left w:val="single" w:color="auto" w:sz="4" w:space="0"/>
              <w:right w:val="single" w:color="auto" w:sz="4" w:space="0"/>
            </w:tcBorders>
            <w:noWrap w:val="0"/>
            <w:vAlign w:val="center"/>
          </w:tcPr>
          <w:p w14:paraId="1A69D4D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1845" w:type="dxa"/>
            <w:vMerge w:val="continue"/>
            <w:tcBorders>
              <w:left w:val="single" w:color="auto" w:sz="4" w:space="0"/>
              <w:right w:val="single" w:color="auto" w:sz="4" w:space="0"/>
            </w:tcBorders>
            <w:noWrap w:val="0"/>
            <w:vAlign w:val="center"/>
          </w:tcPr>
          <w:p w14:paraId="7AD65FA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p>
        </w:tc>
        <w:tc>
          <w:tcPr>
            <w:tcW w:w="3551" w:type="dxa"/>
            <w:tcBorders>
              <w:top w:val="single" w:color="auto" w:sz="4" w:space="0"/>
              <w:left w:val="single" w:color="auto" w:sz="4" w:space="0"/>
              <w:bottom w:val="single" w:color="auto" w:sz="4" w:space="0"/>
              <w:right w:val="single" w:color="auto" w:sz="4" w:space="0"/>
            </w:tcBorders>
            <w:noWrap w:val="0"/>
            <w:vAlign w:val="center"/>
          </w:tcPr>
          <w:p w14:paraId="184641B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保证新植、补植树木穴堰的完好，按树木胸径比例围堰（穴堰：胸径×10，深度不小于30厘米），并保证规格统一。</w:t>
            </w:r>
          </w:p>
        </w:tc>
        <w:tc>
          <w:tcPr>
            <w:tcW w:w="3845" w:type="dxa"/>
            <w:tcBorders>
              <w:top w:val="single" w:color="auto" w:sz="4" w:space="0"/>
              <w:left w:val="single" w:color="auto" w:sz="4" w:space="0"/>
              <w:bottom w:val="single" w:color="auto" w:sz="4" w:space="0"/>
              <w:right w:val="single" w:color="auto" w:sz="4" w:space="0"/>
            </w:tcBorders>
            <w:noWrap w:val="0"/>
            <w:vAlign w:val="center"/>
          </w:tcPr>
          <w:p w14:paraId="627D220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1、未按要求及时做好树木围堰，影响绿地浇水的出现一次扣</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 xml:space="preserve">5分；围堰质量不符合标准的每5株扣0.1分；对树木围堰未及时做好维护，出现跑、漏水现象的，每株扣0.5分。 </w:t>
            </w:r>
          </w:p>
        </w:tc>
      </w:tr>
      <w:tr w14:paraId="32B9F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continue"/>
            <w:tcBorders>
              <w:left w:val="single" w:color="auto" w:sz="4" w:space="0"/>
              <w:bottom w:val="single" w:color="auto" w:sz="4" w:space="0"/>
              <w:right w:val="single" w:color="auto" w:sz="4" w:space="0"/>
            </w:tcBorders>
            <w:noWrap w:val="0"/>
            <w:vAlign w:val="center"/>
          </w:tcPr>
          <w:p w14:paraId="29E47EFB">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794" w:type="dxa"/>
            <w:vMerge w:val="continue"/>
            <w:tcBorders>
              <w:left w:val="single" w:color="auto" w:sz="4" w:space="0"/>
              <w:bottom w:val="single" w:color="auto" w:sz="4" w:space="0"/>
              <w:right w:val="single" w:color="auto" w:sz="4" w:space="0"/>
            </w:tcBorders>
            <w:noWrap w:val="0"/>
            <w:vAlign w:val="center"/>
          </w:tcPr>
          <w:p w14:paraId="4B798072">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1845" w:type="dxa"/>
            <w:vMerge w:val="continue"/>
            <w:tcBorders>
              <w:left w:val="single" w:color="auto" w:sz="4" w:space="0"/>
              <w:bottom w:val="single" w:color="auto" w:sz="4" w:space="0"/>
              <w:right w:val="single" w:color="auto" w:sz="4" w:space="0"/>
            </w:tcBorders>
            <w:noWrap w:val="0"/>
            <w:vAlign w:val="center"/>
          </w:tcPr>
          <w:p w14:paraId="598BAE1F">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3551" w:type="dxa"/>
            <w:tcBorders>
              <w:top w:val="single" w:color="auto" w:sz="4" w:space="0"/>
              <w:left w:val="single" w:color="auto" w:sz="4" w:space="0"/>
              <w:bottom w:val="single" w:color="auto" w:sz="4" w:space="0"/>
              <w:right w:val="single" w:color="auto" w:sz="4" w:space="0"/>
            </w:tcBorders>
            <w:noWrap w:val="0"/>
            <w:vAlign w:val="center"/>
          </w:tcPr>
          <w:p w14:paraId="0F95713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水车浇水地段树穴、树沟及时清理及维护，保证储水需要。</w:t>
            </w:r>
          </w:p>
        </w:tc>
        <w:tc>
          <w:tcPr>
            <w:tcW w:w="3845" w:type="dxa"/>
            <w:tcBorders>
              <w:top w:val="single" w:color="auto" w:sz="4" w:space="0"/>
              <w:left w:val="single" w:color="auto" w:sz="4" w:space="0"/>
              <w:bottom w:val="single" w:color="auto" w:sz="4" w:space="0"/>
              <w:right w:val="single" w:color="auto" w:sz="4" w:space="0"/>
            </w:tcBorders>
            <w:noWrap w:val="0"/>
            <w:vAlign w:val="center"/>
          </w:tcPr>
          <w:p w14:paraId="3726A88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1、如发现清理、维护不及时，影响浇水的，一处扣0.5分。</w:t>
            </w:r>
          </w:p>
        </w:tc>
      </w:tr>
      <w:tr w14:paraId="53C16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restart"/>
            <w:tcBorders>
              <w:top w:val="nil"/>
              <w:left w:val="single" w:color="auto" w:sz="4" w:space="0"/>
              <w:bottom w:val="single" w:color="auto" w:sz="4" w:space="0"/>
              <w:right w:val="single" w:color="auto" w:sz="4" w:space="0"/>
            </w:tcBorders>
            <w:noWrap w:val="0"/>
            <w:vAlign w:val="center"/>
          </w:tcPr>
          <w:p w14:paraId="035EB26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w:t>
            </w:r>
          </w:p>
        </w:tc>
        <w:tc>
          <w:tcPr>
            <w:tcW w:w="794" w:type="dxa"/>
            <w:vMerge w:val="restart"/>
            <w:tcBorders>
              <w:top w:val="nil"/>
              <w:left w:val="single" w:color="auto" w:sz="4" w:space="0"/>
              <w:bottom w:val="single" w:color="auto" w:sz="4" w:space="0"/>
              <w:right w:val="single" w:color="auto" w:sz="4" w:space="0"/>
            </w:tcBorders>
            <w:noWrap w:val="0"/>
            <w:vAlign w:val="center"/>
          </w:tcPr>
          <w:p w14:paraId="14A7942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整形修剪</w:t>
            </w:r>
          </w:p>
        </w:tc>
        <w:tc>
          <w:tcPr>
            <w:tcW w:w="1845" w:type="dxa"/>
            <w:vMerge w:val="restart"/>
            <w:tcBorders>
              <w:top w:val="nil"/>
              <w:left w:val="single" w:color="auto" w:sz="4" w:space="0"/>
              <w:bottom w:val="single" w:color="auto" w:sz="4" w:space="0"/>
              <w:right w:val="single" w:color="auto" w:sz="4" w:space="0"/>
            </w:tcBorders>
            <w:noWrap w:val="0"/>
            <w:vAlign w:val="center"/>
          </w:tcPr>
          <w:p w14:paraId="189D5D7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结合各类植物的生长习性、长势特点，适时修剪等，保证达到良好的景观效果</w:t>
            </w:r>
          </w:p>
        </w:tc>
        <w:tc>
          <w:tcPr>
            <w:tcW w:w="3551" w:type="dxa"/>
            <w:vMerge w:val="restart"/>
            <w:tcBorders>
              <w:top w:val="nil"/>
              <w:left w:val="single" w:color="auto" w:sz="4" w:space="0"/>
              <w:bottom w:val="single" w:color="auto" w:sz="4" w:space="0"/>
              <w:right w:val="single" w:color="auto" w:sz="4" w:space="0"/>
            </w:tcBorders>
            <w:noWrap w:val="0"/>
            <w:vAlign w:val="center"/>
          </w:tcPr>
          <w:p w14:paraId="6040068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 xml:space="preserve">及时清除病虫枝、枯死枝、机械损伤枝及影响景观效果和人、车通行的枝条；及时清理死树，修剪物当天清运，有检疫对象的要集中销毁。  </w:t>
            </w:r>
          </w:p>
        </w:tc>
        <w:tc>
          <w:tcPr>
            <w:tcW w:w="3845" w:type="dxa"/>
            <w:tcBorders>
              <w:top w:val="single" w:color="auto" w:sz="4" w:space="0"/>
              <w:left w:val="single" w:color="auto" w:sz="4" w:space="0"/>
              <w:bottom w:val="single" w:color="auto" w:sz="4" w:space="0"/>
              <w:right w:val="single" w:color="auto" w:sz="4" w:space="0"/>
            </w:tcBorders>
            <w:noWrap w:val="0"/>
            <w:vAlign w:val="center"/>
          </w:tcPr>
          <w:p w14:paraId="0BD742A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1、未及时清除病虫枝、枯死枝、机械损伤枝及影响人、车通行枝条的，发现一处扣0.5分。</w:t>
            </w:r>
          </w:p>
        </w:tc>
      </w:tr>
      <w:tr w14:paraId="673CF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continue"/>
            <w:tcBorders>
              <w:top w:val="nil"/>
              <w:left w:val="single" w:color="auto" w:sz="4" w:space="0"/>
              <w:bottom w:val="single" w:color="auto" w:sz="4" w:space="0"/>
              <w:right w:val="single" w:color="auto" w:sz="4" w:space="0"/>
            </w:tcBorders>
            <w:noWrap w:val="0"/>
            <w:vAlign w:val="center"/>
          </w:tcPr>
          <w:p w14:paraId="146968FB">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794" w:type="dxa"/>
            <w:vMerge w:val="continue"/>
            <w:tcBorders>
              <w:top w:val="nil"/>
              <w:left w:val="single" w:color="auto" w:sz="4" w:space="0"/>
              <w:bottom w:val="single" w:color="auto" w:sz="4" w:space="0"/>
              <w:right w:val="single" w:color="auto" w:sz="4" w:space="0"/>
            </w:tcBorders>
            <w:noWrap w:val="0"/>
            <w:vAlign w:val="center"/>
          </w:tcPr>
          <w:p w14:paraId="6D82C5D1">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1845" w:type="dxa"/>
            <w:vMerge w:val="continue"/>
            <w:tcBorders>
              <w:top w:val="nil"/>
              <w:left w:val="single" w:color="auto" w:sz="4" w:space="0"/>
              <w:bottom w:val="single" w:color="auto" w:sz="4" w:space="0"/>
              <w:right w:val="single" w:color="auto" w:sz="4" w:space="0"/>
            </w:tcBorders>
            <w:noWrap w:val="0"/>
            <w:vAlign w:val="center"/>
          </w:tcPr>
          <w:p w14:paraId="3554E3BD">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3551" w:type="dxa"/>
            <w:vMerge w:val="continue"/>
            <w:tcBorders>
              <w:top w:val="nil"/>
              <w:left w:val="single" w:color="auto" w:sz="4" w:space="0"/>
              <w:bottom w:val="single" w:color="auto" w:sz="4" w:space="0"/>
              <w:right w:val="single" w:color="auto" w:sz="4" w:space="0"/>
            </w:tcBorders>
            <w:noWrap w:val="0"/>
            <w:vAlign w:val="center"/>
          </w:tcPr>
          <w:p w14:paraId="4EA18EF3">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3845" w:type="dxa"/>
            <w:tcBorders>
              <w:top w:val="single" w:color="auto" w:sz="4" w:space="0"/>
              <w:left w:val="single" w:color="auto" w:sz="4" w:space="0"/>
              <w:bottom w:val="single" w:color="auto" w:sz="4" w:space="0"/>
              <w:right w:val="single" w:color="auto" w:sz="4" w:space="0"/>
            </w:tcBorders>
            <w:noWrap w:val="0"/>
            <w:vAlign w:val="center"/>
          </w:tcPr>
          <w:p w14:paraId="5706D61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2、未在规定时间内完成死树清理的，（老旧</w:t>
            </w:r>
            <w:r>
              <w:rPr>
                <w:rFonts w:hint="eastAsia" w:ascii="宋体" w:hAnsi="宋体" w:eastAsia="宋体" w:cs="宋体"/>
                <w:color w:val="auto"/>
                <w:kern w:val="0"/>
                <w:sz w:val="21"/>
                <w:szCs w:val="21"/>
                <w:highlight w:val="none"/>
                <w:lang w:eastAsia="zh-CN" w:bidi="ar"/>
              </w:rPr>
              <w:t>枯死树木</w:t>
            </w:r>
            <w:r>
              <w:rPr>
                <w:rFonts w:hint="eastAsia" w:ascii="宋体" w:hAnsi="宋体" w:eastAsia="宋体" w:cs="宋体"/>
                <w:color w:val="auto"/>
                <w:kern w:val="0"/>
                <w:sz w:val="21"/>
                <w:szCs w:val="21"/>
                <w:highlight w:val="none"/>
                <w:lang w:bidi="ar"/>
              </w:rPr>
              <w:t>清理在6月15日前完成，当年或上年度栽植的树木除外）每株扣2分。</w:t>
            </w:r>
          </w:p>
        </w:tc>
      </w:tr>
      <w:tr w14:paraId="3A9F6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continue"/>
            <w:tcBorders>
              <w:top w:val="nil"/>
              <w:left w:val="single" w:color="auto" w:sz="4" w:space="0"/>
              <w:bottom w:val="single" w:color="auto" w:sz="4" w:space="0"/>
              <w:right w:val="single" w:color="auto" w:sz="4" w:space="0"/>
            </w:tcBorders>
            <w:noWrap w:val="0"/>
            <w:vAlign w:val="center"/>
          </w:tcPr>
          <w:p w14:paraId="04463B4E">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794" w:type="dxa"/>
            <w:vMerge w:val="continue"/>
            <w:tcBorders>
              <w:top w:val="nil"/>
              <w:left w:val="single" w:color="auto" w:sz="4" w:space="0"/>
              <w:bottom w:val="single" w:color="auto" w:sz="4" w:space="0"/>
              <w:right w:val="single" w:color="auto" w:sz="4" w:space="0"/>
            </w:tcBorders>
            <w:noWrap w:val="0"/>
            <w:vAlign w:val="center"/>
          </w:tcPr>
          <w:p w14:paraId="1EAD4ADC">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1845" w:type="dxa"/>
            <w:vMerge w:val="continue"/>
            <w:tcBorders>
              <w:top w:val="nil"/>
              <w:left w:val="single" w:color="auto" w:sz="4" w:space="0"/>
              <w:bottom w:val="single" w:color="auto" w:sz="4" w:space="0"/>
              <w:right w:val="single" w:color="auto" w:sz="4" w:space="0"/>
            </w:tcBorders>
            <w:noWrap w:val="0"/>
            <w:vAlign w:val="center"/>
          </w:tcPr>
          <w:p w14:paraId="4A263CBD">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3551" w:type="dxa"/>
            <w:vMerge w:val="continue"/>
            <w:tcBorders>
              <w:top w:val="nil"/>
              <w:left w:val="single" w:color="auto" w:sz="4" w:space="0"/>
              <w:bottom w:val="single" w:color="auto" w:sz="4" w:space="0"/>
              <w:right w:val="single" w:color="auto" w:sz="4" w:space="0"/>
            </w:tcBorders>
            <w:noWrap w:val="0"/>
            <w:vAlign w:val="center"/>
          </w:tcPr>
          <w:p w14:paraId="6464A3AB">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3845" w:type="dxa"/>
            <w:tcBorders>
              <w:top w:val="single" w:color="auto" w:sz="4" w:space="0"/>
              <w:left w:val="single" w:color="auto" w:sz="4" w:space="0"/>
              <w:bottom w:val="single" w:color="auto" w:sz="4" w:space="0"/>
              <w:right w:val="single" w:color="auto" w:sz="4" w:space="0"/>
            </w:tcBorders>
            <w:noWrap w:val="0"/>
            <w:vAlign w:val="center"/>
          </w:tcPr>
          <w:p w14:paraId="7ACDDF2C">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3、树木修剪物未按时清运或清运不彻底的，每延迟一天扣1分。</w:t>
            </w:r>
          </w:p>
        </w:tc>
      </w:tr>
      <w:tr w14:paraId="776BB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continue"/>
            <w:tcBorders>
              <w:top w:val="nil"/>
              <w:left w:val="single" w:color="auto" w:sz="4" w:space="0"/>
              <w:bottom w:val="single" w:color="auto" w:sz="4" w:space="0"/>
              <w:right w:val="single" w:color="auto" w:sz="4" w:space="0"/>
            </w:tcBorders>
            <w:noWrap w:val="0"/>
            <w:vAlign w:val="center"/>
          </w:tcPr>
          <w:p w14:paraId="5AA8A770">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794" w:type="dxa"/>
            <w:vMerge w:val="continue"/>
            <w:tcBorders>
              <w:top w:val="nil"/>
              <w:left w:val="single" w:color="auto" w:sz="4" w:space="0"/>
              <w:bottom w:val="single" w:color="auto" w:sz="4" w:space="0"/>
              <w:right w:val="single" w:color="auto" w:sz="4" w:space="0"/>
            </w:tcBorders>
            <w:noWrap w:val="0"/>
            <w:vAlign w:val="center"/>
          </w:tcPr>
          <w:p w14:paraId="431EE297">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1845" w:type="dxa"/>
            <w:vMerge w:val="continue"/>
            <w:tcBorders>
              <w:top w:val="nil"/>
              <w:left w:val="single" w:color="auto" w:sz="4" w:space="0"/>
              <w:bottom w:val="single" w:color="auto" w:sz="4" w:space="0"/>
              <w:right w:val="single" w:color="auto" w:sz="4" w:space="0"/>
            </w:tcBorders>
            <w:noWrap w:val="0"/>
            <w:vAlign w:val="center"/>
          </w:tcPr>
          <w:p w14:paraId="6641EF79">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3551" w:type="dxa"/>
            <w:tcBorders>
              <w:top w:val="single" w:color="auto" w:sz="4" w:space="0"/>
              <w:left w:val="single" w:color="auto" w:sz="4" w:space="0"/>
              <w:bottom w:val="single" w:color="auto" w:sz="4" w:space="0"/>
              <w:right w:val="single" w:color="auto" w:sz="4" w:space="0"/>
            </w:tcBorders>
            <w:noWrap w:val="0"/>
            <w:vAlign w:val="center"/>
          </w:tcPr>
          <w:p w14:paraId="0C9ED23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及时清除乔木（或有明显主干的灌木）枝下高以下和干基部的萌条、萌芽；开花灌木花后修剪及时；绿篱、色块适时修剪（当年生枝条不超过10cm,个别品种除外），修剪后保持冠型丰满，修剪面平滑，无偏冠、空洞。</w:t>
            </w:r>
          </w:p>
        </w:tc>
        <w:tc>
          <w:tcPr>
            <w:tcW w:w="3845" w:type="dxa"/>
            <w:tcBorders>
              <w:top w:val="single" w:color="auto" w:sz="4" w:space="0"/>
              <w:left w:val="single" w:color="auto" w:sz="4" w:space="0"/>
              <w:bottom w:val="single" w:color="auto" w:sz="4" w:space="0"/>
              <w:right w:val="single" w:color="auto" w:sz="4" w:space="0"/>
            </w:tcBorders>
            <w:noWrap w:val="0"/>
            <w:vAlign w:val="center"/>
          </w:tcPr>
          <w:p w14:paraId="24DD471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乔木“树干上”萌条长度超过5㎝未及时清除的，一株扣0.5分；花灌木花后残花败叶未及时修剪，影响景观效果每路段（或每园）扣3分；绿篱、色块修剪不及时，新生枝条超过10厘米的,每路段扣5分；修剪质量不符合要求的，一处扣1分。修剪物当天不清运的，一次扣除1分。</w:t>
            </w:r>
          </w:p>
        </w:tc>
      </w:tr>
      <w:tr w14:paraId="608D0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continue"/>
            <w:tcBorders>
              <w:top w:val="nil"/>
              <w:left w:val="single" w:color="auto" w:sz="4" w:space="0"/>
              <w:bottom w:val="single" w:color="auto" w:sz="4" w:space="0"/>
              <w:right w:val="single" w:color="auto" w:sz="4" w:space="0"/>
            </w:tcBorders>
            <w:noWrap w:val="0"/>
            <w:vAlign w:val="center"/>
          </w:tcPr>
          <w:p w14:paraId="14241BD5">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794" w:type="dxa"/>
            <w:vMerge w:val="continue"/>
            <w:tcBorders>
              <w:top w:val="nil"/>
              <w:left w:val="single" w:color="auto" w:sz="4" w:space="0"/>
              <w:bottom w:val="single" w:color="auto" w:sz="4" w:space="0"/>
              <w:right w:val="single" w:color="auto" w:sz="4" w:space="0"/>
            </w:tcBorders>
            <w:noWrap w:val="0"/>
            <w:vAlign w:val="center"/>
          </w:tcPr>
          <w:p w14:paraId="2EC7DB5B">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1845" w:type="dxa"/>
            <w:vMerge w:val="continue"/>
            <w:tcBorders>
              <w:top w:val="nil"/>
              <w:left w:val="single" w:color="auto" w:sz="4" w:space="0"/>
              <w:bottom w:val="single" w:color="auto" w:sz="4" w:space="0"/>
              <w:right w:val="single" w:color="auto" w:sz="4" w:space="0"/>
            </w:tcBorders>
            <w:noWrap w:val="0"/>
            <w:vAlign w:val="center"/>
          </w:tcPr>
          <w:p w14:paraId="4B6FC5BA">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3551" w:type="dxa"/>
            <w:tcBorders>
              <w:top w:val="single" w:color="auto" w:sz="4" w:space="0"/>
              <w:left w:val="single" w:color="auto" w:sz="4" w:space="0"/>
              <w:bottom w:val="single" w:color="auto" w:sz="4" w:space="0"/>
              <w:right w:val="single" w:color="auto" w:sz="4" w:space="0"/>
            </w:tcBorders>
            <w:noWrap w:val="0"/>
            <w:vAlign w:val="center"/>
          </w:tcPr>
          <w:p w14:paraId="7FE164D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 xml:space="preserve">草坪高度不得超过15cm，留茬高度3-5CM；剪后坪面平整、无遗漏、无空秃;修剪物在第二天清运完毕。草坪小面积过长单独修剪。         </w:t>
            </w:r>
          </w:p>
        </w:tc>
        <w:tc>
          <w:tcPr>
            <w:tcW w:w="3845" w:type="dxa"/>
            <w:tcBorders>
              <w:top w:val="single" w:color="auto" w:sz="4" w:space="0"/>
              <w:left w:val="single" w:color="auto" w:sz="4" w:space="0"/>
              <w:bottom w:val="single" w:color="auto" w:sz="4" w:space="0"/>
              <w:right w:val="single" w:color="auto" w:sz="4" w:space="0"/>
            </w:tcBorders>
            <w:noWrap w:val="0"/>
            <w:vAlign w:val="center"/>
          </w:tcPr>
          <w:p w14:paraId="0AFFB6B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1、草坪未及时修剪的，每延迟1天每路段扣2分;草坪修剪留茬高度不符合要求、修剪过重造成斑秃的或有遗漏的，发现一处扣1分；草坪修剪物未及时清理的，每延迟1天每处扣1分。</w:t>
            </w:r>
          </w:p>
        </w:tc>
      </w:tr>
      <w:tr w14:paraId="737D4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continue"/>
            <w:tcBorders>
              <w:top w:val="nil"/>
              <w:left w:val="single" w:color="auto" w:sz="4" w:space="0"/>
              <w:bottom w:val="single" w:color="auto" w:sz="4" w:space="0"/>
              <w:right w:val="single" w:color="auto" w:sz="4" w:space="0"/>
            </w:tcBorders>
            <w:noWrap w:val="0"/>
            <w:vAlign w:val="center"/>
          </w:tcPr>
          <w:p w14:paraId="34114E14">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794" w:type="dxa"/>
            <w:vMerge w:val="continue"/>
            <w:tcBorders>
              <w:top w:val="nil"/>
              <w:left w:val="single" w:color="auto" w:sz="4" w:space="0"/>
              <w:bottom w:val="single" w:color="auto" w:sz="4" w:space="0"/>
              <w:right w:val="single" w:color="auto" w:sz="4" w:space="0"/>
            </w:tcBorders>
            <w:noWrap w:val="0"/>
            <w:vAlign w:val="center"/>
          </w:tcPr>
          <w:p w14:paraId="5DD22174">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1845" w:type="dxa"/>
            <w:vMerge w:val="continue"/>
            <w:tcBorders>
              <w:top w:val="nil"/>
              <w:left w:val="single" w:color="auto" w:sz="4" w:space="0"/>
              <w:bottom w:val="single" w:color="auto" w:sz="4" w:space="0"/>
              <w:right w:val="single" w:color="auto" w:sz="4" w:space="0"/>
            </w:tcBorders>
            <w:noWrap w:val="0"/>
            <w:vAlign w:val="center"/>
          </w:tcPr>
          <w:p w14:paraId="4F7CD407">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3551" w:type="dxa"/>
            <w:tcBorders>
              <w:top w:val="single" w:color="auto" w:sz="4" w:space="0"/>
              <w:left w:val="single" w:color="auto" w:sz="4" w:space="0"/>
              <w:bottom w:val="single" w:color="auto" w:sz="4" w:space="0"/>
              <w:right w:val="single" w:color="auto" w:sz="4" w:space="0"/>
            </w:tcBorders>
            <w:noWrap w:val="0"/>
            <w:vAlign w:val="center"/>
          </w:tcPr>
          <w:p w14:paraId="582B29C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 xml:space="preserve">及时去除花卉衰败、枯萎的花蒂、残枝和枯黄叶及藤蔓类植物。         </w:t>
            </w:r>
          </w:p>
        </w:tc>
        <w:tc>
          <w:tcPr>
            <w:tcW w:w="3845" w:type="dxa"/>
            <w:tcBorders>
              <w:top w:val="single" w:color="auto" w:sz="4" w:space="0"/>
              <w:left w:val="single" w:color="auto" w:sz="4" w:space="0"/>
              <w:bottom w:val="single" w:color="auto" w:sz="4" w:space="0"/>
              <w:right w:val="single" w:color="auto" w:sz="4" w:space="0"/>
            </w:tcBorders>
            <w:noWrap w:val="0"/>
            <w:vAlign w:val="center"/>
          </w:tcPr>
          <w:p w14:paraId="7374229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 xml:space="preserve">1、未及时清除衰败、枯萎的花蒂及残枝和枯黄叶的，每发现一处残败量达到10%扣1分,20%扣2分,以此类推；发现有藤蔓植物的，每㎡扣1分。                    </w:t>
            </w:r>
          </w:p>
        </w:tc>
      </w:tr>
      <w:tr w14:paraId="2C4F6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tcBorders>
              <w:top w:val="single" w:color="auto" w:sz="4" w:space="0"/>
              <w:left w:val="single" w:color="auto" w:sz="4" w:space="0"/>
              <w:bottom w:val="single" w:color="auto" w:sz="4" w:space="0"/>
              <w:right w:val="single" w:color="auto" w:sz="4" w:space="0"/>
            </w:tcBorders>
            <w:noWrap w:val="0"/>
            <w:vAlign w:val="center"/>
          </w:tcPr>
          <w:p w14:paraId="4B25F5C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w:t>
            </w:r>
          </w:p>
        </w:tc>
        <w:tc>
          <w:tcPr>
            <w:tcW w:w="794" w:type="dxa"/>
            <w:tcBorders>
              <w:top w:val="single" w:color="auto" w:sz="4" w:space="0"/>
              <w:left w:val="single" w:color="auto" w:sz="4" w:space="0"/>
              <w:bottom w:val="single" w:color="auto" w:sz="4" w:space="0"/>
              <w:right w:val="single" w:color="auto" w:sz="4" w:space="0"/>
            </w:tcBorders>
            <w:noWrap w:val="0"/>
            <w:vAlign w:val="center"/>
          </w:tcPr>
          <w:p w14:paraId="1FE654F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整形修剪</w:t>
            </w:r>
          </w:p>
        </w:tc>
        <w:tc>
          <w:tcPr>
            <w:tcW w:w="1845" w:type="dxa"/>
            <w:tcBorders>
              <w:top w:val="single" w:color="auto" w:sz="4" w:space="0"/>
              <w:left w:val="single" w:color="auto" w:sz="4" w:space="0"/>
              <w:bottom w:val="single" w:color="auto" w:sz="4" w:space="0"/>
              <w:right w:val="single" w:color="auto" w:sz="4" w:space="0"/>
            </w:tcBorders>
            <w:noWrap w:val="0"/>
            <w:vAlign w:val="center"/>
          </w:tcPr>
          <w:p w14:paraId="20E5147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结合各类植物的生长习性、长势特点，适时修剪等，保证达到良好的景观效果</w:t>
            </w:r>
          </w:p>
        </w:tc>
        <w:tc>
          <w:tcPr>
            <w:tcW w:w="3551" w:type="dxa"/>
            <w:tcBorders>
              <w:top w:val="single" w:color="auto" w:sz="4" w:space="0"/>
              <w:left w:val="single" w:color="auto" w:sz="4" w:space="0"/>
              <w:bottom w:val="single" w:color="auto" w:sz="4" w:space="0"/>
              <w:right w:val="single" w:color="auto" w:sz="4" w:space="0"/>
            </w:tcBorders>
            <w:noWrap w:val="0"/>
            <w:vAlign w:val="center"/>
          </w:tcPr>
          <w:p w14:paraId="1895198C">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对倾斜树木及时发现，及时扶正并加固。对遗留在树干上的捆绑物、悬挂物及时清查并清除。</w:t>
            </w:r>
          </w:p>
        </w:tc>
        <w:tc>
          <w:tcPr>
            <w:tcW w:w="3845" w:type="dxa"/>
            <w:tcBorders>
              <w:top w:val="single" w:color="auto" w:sz="4" w:space="0"/>
              <w:left w:val="single" w:color="auto" w:sz="4" w:space="0"/>
              <w:bottom w:val="single" w:color="auto" w:sz="4" w:space="0"/>
              <w:right w:val="single" w:color="auto" w:sz="4" w:space="0"/>
            </w:tcBorders>
            <w:noWrap w:val="0"/>
            <w:vAlign w:val="center"/>
          </w:tcPr>
          <w:p w14:paraId="5DA352B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 xml:space="preserve">1、未及时扶正的，每株扣1分;对遗留在树干上的捆绑物、悬挂物及时清查并清除，清除不彻底的，每株扣0.5分。                               </w:t>
            </w:r>
          </w:p>
        </w:tc>
      </w:tr>
      <w:tr w14:paraId="5E56B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restart"/>
            <w:tcBorders>
              <w:top w:val="nil"/>
              <w:left w:val="single" w:color="auto" w:sz="4" w:space="0"/>
              <w:bottom w:val="single" w:color="auto" w:sz="4" w:space="0"/>
              <w:right w:val="single" w:color="auto" w:sz="4" w:space="0"/>
            </w:tcBorders>
            <w:noWrap w:val="0"/>
            <w:vAlign w:val="center"/>
          </w:tcPr>
          <w:p w14:paraId="387F50D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w:t>
            </w:r>
          </w:p>
        </w:tc>
        <w:tc>
          <w:tcPr>
            <w:tcW w:w="794" w:type="dxa"/>
            <w:vMerge w:val="restart"/>
            <w:tcBorders>
              <w:top w:val="nil"/>
              <w:left w:val="single" w:color="auto" w:sz="4" w:space="0"/>
              <w:bottom w:val="single" w:color="auto" w:sz="4" w:space="0"/>
              <w:right w:val="single" w:color="auto" w:sz="4" w:space="0"/>
            </w:tcBorders>
            <w:noWrap w:val="0"/>
            <w:vAlign w:val="center"/>
          </w:tcPr>
          <w:p w14:paraId="0ADB6C0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松土、除草、施肥</w:t>
            </w:r>
          </w:p>
        </w:tc>
        <w:tc>
          <w:tcPr>
            <w:tcW w:w="1845" w:type="dxa"/>
            <w:vMerge w:val="restart"/>
            <w:tcBorders>
              <w:top w:val="nil"/>
              <w:left w:val="single" w:color="auto" w:sz="4" w:space="0"/>
              <w:bottom w:val="single" w:color="auto" w:sz="4" w:space="0"/>
              <w:right w:val="single" w:color="auto" w:sz="4" w:space="0"/>
            </w:tcBorders>
            <w:noWrap w:val="0"/>
            <w:vAlign w:val="center"/>
          </w:tcPr>
          <w:p w14:paraId="683E88F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根据植物的生长需要，适时松土、除草、施肥保证植物长势优异</w:t>
            </w:r>
          </w:p>
        </w:tc>
        <w:tc>
          <w:tcPr>
            <w:tcW w:w="3551" w:type="dxa"/>
            <w:tcBorders>
              <w:top w:val="single" w:color="auto" w:sz="4" w:space="0"/>
              <w:left w:val="single" w:color="auto" w:sz="4" w:space="0"/>
              <w:bottom w:val="single" w:color="auto" w:sz="4" w:space="0"/>
              <w:right w:val="single" w:color="auto" w:sz="4" w:space="0"/>
            </w:tcBorders>
            <w:noWrap w:val="0"/>
            <w:vAlign w:val="center"/>
          </w:tcPr>
          <w:p w14:paraId="27FBF1E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适时做好各类绿地的松土除草工作。花堆、花钵内杂草必须及时清除；草坪地内不影响景观的野草可以不予清除，其他影响景观的必须随时清除；底层无绿化的绿地（如穴植坑、片林）杂草高度不得高于30厘米。</w:t>
            </w:r>
          </w:p>
        </w:tc>
        <w:tc>
          <w:tcPr>
            <w:tcW w:w="3845" w:type="dxa"/>
            <w:tcBorders>
              <w:top w:val="single" w:color="auto" w:sz="4" w:space="0"/>
              <w:left w:val="single" w:color="auto" w:sz="4" w:space="0"/>
              <w:bottom w:val="single" w:color="auto" w:sz="4" w:space="0"/>
              <w:right w:val="single" w:color="auto" w:sz="4" w:space="0"/>
            </w:tcBorders>
            <w:noWrap w:val="0"/>
            <w:vAlign w:val="center"/>
          </w:tcPr>
          <w:p w14:paraId="64CCDB9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 xml:space="preserve">1、花堆、花钵及造景地（含地被、宿根花卉、灌木组景）内杂草清除不及时，影响景观效果的，每㎡或累计出现2㎡扣0.5分，以此类推；底层无绿化的绿地杂草高度每超过5㎝扣1分，以此类推。                                                                                                             </w:t>
            </w:r>
          </w:p>
        </w:tc>
      </w:tr>
      <w:tr w14:paraId="6A05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continue"/>
            <w:tcBorders>
              <w:top w:val="nil"/>
              <w:left w:val="single" w:color="auto" w:sz="4" w:space="0"/>
              <w:bottom w:val="single" w:color="auto" w:sz="4" w:space="0"/>
              <w:right w:val="single" w:color="auto" w:sz="4" w:space="0"/>
            </w:tcBorders>
            <w:noWrap w:val="0"/>
            <w:vAlign w:val="center"/>
          </w:tcPr>
          <w:p w14:paraId="3602BE0D">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794" w:type="dxa"/>
            <w:vMerge w:val="continue"/>
            <w:tcBorders>
              <w:top w:val="nil"/>
              <w:left w:val="single" w:color="auto" w:sz="4" w:space="0"/>
              <w:bottom w:val="single" w:color="auto" w:sz="4" w:space="0"/>
              <w:right w:val="single" w:color="auto" w:sz="4" w:space="0"/>
            </w:tcBorders>
            <w:noWrap w:val="0"/>
            <w:vAlign w:val="center"/>
          </w:tcPr>
          <w:p w14:paraId="2FEA7AFD">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1845" w:type="dxa"/>
            <w:vMerge w:val="continue"/>
            <w:tcBorders>
              <w:top w:val="nil"/>
              <w:left w:val="single" w:color="auto" w:sz="4" w:space="0"/>
              <w:bottom w:val="single" w:color="auto" w:sz="4" w:space="0"/>
              <w:right w:val="single" w:color="auto" w:sz="4" w:space="0"/>
            </w:tcBorders>
            <w:noWrap w:val="0"/>
            <w:vAlign w:val="center"/>
          </w:tcPr>
          <w:p w14:paraId="67F55932">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3551" w:type="dxa"/>
            <w:tcBorders>
              <w:top w:val="single" w:color="auto" w:sz="4" w:space="0"/>
              <w:left w:val="single" w:color="auto" w:sz="4" w:space="0"/>
              <w:bottom w:val="single" w:color="auto" w:sz="4" w:space="0"/>
              <w:right w:val="single" w:color="auto" w:sz="4" w:space="0"/>
            </w:tcBorders>
            <w:noWrap w:val="0"/>
            <w:vAlign w:val="center"/>
          </w:tcPr>
          <w:p w14:paraId="1BA59CE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树木、花草按要求松土、施肥。</w:t>
            </w:r>
          </w:p>
        </w:tc>
        <w:tc>
          <w:tcPr>
            <w:tcW w:w="3845" w:type="dxa"/>
            <w:tcBorders>
              <w:top w:val="single" w:color="auto" w:sz="4" w:space="0"/>
              <w:left w:val="single" w:color="auto" w:sz="4" w:space="0"/>
              <w:bottom w:val="single" w:color="auto" w:sz="4" w:space="0"/>
              <w:right w:val="single" w:color="auto" w:sz="4" w:space="0"/>
            </w:tcBorders>
            <w:noWrap w:val="0"/>
            <w:vAlign w:val="center"/>
          </w:tcPr>
          <w:p w14:paraId="0134600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1、未按要求做好施肥工作的，每条道路扣</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w:t>
            </w:r>
            <w:r>
              <w:rPr>
                <w:rFonts w:hint="eastAsia" w:ascii="宋体" w:hAnsi="宋体" w:eastAsia="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bidi="ar"/>
              </w:rPr>
              <w:t>分；未在规定时间内完成的，每延迟1天扣1分。</w:t>
            </w:r>
          </w:p>
        </w:tc>
      </w:tr>
      <w:tr w14:paraId="01912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continue"/>
            <w:tcBorders>
              <w:top w:val="nil"/>
              <w:left w:val="single" w:color="auto" w:sz="4" w:space="0"/>
              <w:bottom w:val="single" w:color="auto" w:sz="4" w:space="0"/>
              <w:right w:val="single" w:color="auto" w:sz="4" w:space="0"/>
            </w:tcBorders>
            <w:noWrap w:val="0"/>
            <w:vAlign w:val="center"/>
          </w:tcPr>
          <w:p w14:paraId="54826F6C">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794" w:type="dxa"/>
            <w:vMerge w:val="continue"/>
            <w:tcBorders>
              <w:top w:val="nil"/>
              <w:left w:val="single" w:color="auto" w:sz="4" w:space="0"/>
              <w:bottom w:val="single" w:color="auto" w:sz="4" w:space="0"/>
              <w:right w:val="single" w:color="auto" w:sz="4" w:space="0"/>
            </w:tcBorders>
            <w:noWrap w:val="0"/>
            <w:vAlign w:val="center"/>
          </w:tcPr>
          <w:p w14:paraId="51819210">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1845" w:type="dxa"/>
            <w:vMerge w:val="continue"/>
            <w:tcBorders>
              <w:top w:val="nil"/>
              <w:left w:val="single" w:color="auto" w:sz="4" w:space="0"/>
              <w:bottom w:val="single" w:color="auto" w:sz="4" w:space="0"/>
              <w:right w:val="single" w:color="auto" w:sz="4" w:space="0"/>
            </w:tcBorders>
            <w:noWrap w:val="0"/>
            <w:vAlign w:val="center"/>
          </w:tcPr>
          <w:p w14:paraId="414F62B9">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3551" w:type="dxa"/>
            <w:tcBorders>
              <w:top w:val="single" w:color="auto" w:sz="4" w:space="0"/>
              <w:left w:val="single" w:color="auto" w:sz="4" w:space="0"/>
              <w:bottom w:val="single" w:color="auto" w:sz="4" w:space="0"/>
              <w:right w:val="single" w:color="auto" w:sz="4" w:space="0"/>
            </w:tcBorders>
            <w:noWrap w:val="0"/>
            <w:vAlign w:val="center"/>
          </w:tcPr>
          <w:p w14:paraId="45060395">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5月底前完成树木开盘、造型切边工作，保证一条道路上的树盘、切边深度、大小规格一致。</w:t>
            </w:r>
          </w:p>
        </w:tc>
        <w:tc>
          <w:tcPr>
            <w:tcW w:w="3845" w:type="dxa"/>
            <w:tcBorders>
              <w:top w:val="single" w:color="auto" w:sz="4" w:space="0"/>
              <w:left w:val="single" w:color="auto" w:sz="4" w:space="0"/>
              <w:bottom w:val="single" w:color="auto" w:sz="4" w:space="0"/>
              <w:right w:val="single" w:color="auto" w:sz="4" w:space="0"/>
            </w:tcBorders>
            <w:noWrap w:val="0"/>
            <w:vAlign w:val="center"/>
          </w:tcPr>
          <w:p w14:paraId="178502D3">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 xml:space="preserve">1、未按要求做好开盘工作，每株或每㎡扣0.1分；未在规定时间内完成的，每株或每㎡扣0.2分。 </w:t>
            </w:r>
          </w:p>
        </w:tc>
      </w:tr>
      <w:tr w14:paraId="1E4BD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restart"/>
            <w:tcBorders>
              <w:top w:val="nil"/>
              <w:left w:val="single" w:color="auto" w:sz="4" w:space="0"/>
              <w:bottom w:val="single" w:color="auto" w:sz="4" w:space="0"/>
              <w:right w:val="single" w:color="auto" w:sz="4" w:space="0"/>
            </w:tcBorders>
            <w:noWrap w:val="0"/>
            <w:vAlign w:val="center"/>
          </w:tcPr>
          <w:p w14:paraId="4DEFB7B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4</w:t>
            </w:r>
          </w:p>
        </w:tc>
        <w:tc>
          <w:tcPr>
            <w:tcW w:w="794" w:type="dxa"/>
            <w:vMerge w:val="restart"/>
            <w:tcBorders>
              <w:top w:val="nil"/>
              <w:left w:val="single" w:color="auto" w:sz="4" w:space="0"/>
              <w:bottom w:val="single" w:color="auto" w:sz="4" w:space="0"/>
              <w:right w:val="single" w:color="auto" w:sz="4" w:space="0"/>
            </w:tcBorders>
            <w:noWrap w:val="0"/>
            <w:vAlign w:val="center"/>
          </w:tcPr>
          <w:p w14:paraId="4F1D334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病虫防治</w:t>
            </w:r>
          </w:p>
        </w:tc>
        <w:tc>
          <w:tcPr>
            <w:tcW w:w="1845" w:type="dxa"/>
            <w:vMerge w:val="restart"/>
            <w:tcBorders>
              <w:top w:val="nil"/>
              <w:left w:val="single" w:color="auto" w:sz="4" w:space="0"/>
              <w:bottom w:val="single" w:color="auto" w:sz="4" w:space="0"/>
              <w:right w:val="single" w:color="auto" w:sz="4" w:space="0"/>
            </w:tcBorders>
            <w:noWrap w:val="0"/>
            <w:vAlign w:val="center"/>
          </w:tcPr>
          <w:p w14:paraId="5B33F8A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病虫草害防治及时，效果明显</w:t>
            </w:r>
          </w:p>
        </w:tc>
        <w:tc>
          <w:tcPr>
            <w:tcW w:w="3551" w:type="dxa"/>
            <w:tcBorders>
              <w:top w:val="single" w:color="auto" w:sz="4" w:space="0"/>
              <w:left w:val="single" w:color="auto" w:sz="4" w:space="0"/>
              <w:bottom w:val="single" w:color="auto" w:sz="4" w:space="0"/>
              <w:right w:val="single" w:color="auto" w:sz="4" w:space="0"/>
            </w:tcBorders>
            <w:noWrap w:val="0"/>
            <w:vAlign w:val="center"/>
          </w:tcPr>
          <w:p w14:paraId="38007B8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及时做好病虫害的调查及防治，并上报调查结果。</w:t>
            </w:r>
          </w:p>
        </w:tc>
        <w:tc>
          <w:tcPr>
            <w:tcW w:w="3845" w:type="dxa"/>
            <w:tcBorders>
              <w:top w:val="single" w:color="auto" w:sz="4" w:space="0"/>
              <w:left w:val="single" w:color="auto" w:sz="4" w:space="0"/>
              <w:bottom w:val="single" w:color="auto" w:sz="4" w:space="0"/>
              <w:right w:val="single" w:color="auto" w:sz="4" w:space="0"/>
            </w:tcBorders>
            <w:noWrap w:val="0"/>
            <w:vAlign w:val="center"/>
          </w:tcPr>
          <w:p w14:paraId="1184BB35">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2、未及时上报</w:t>
            </w:r>
            <w:r>
              <w:rPr>
                <w:rFonts w:hint="eastAsia" w:ascii="宋体" w:hAnsi="宋体" w:eastAsia="宋体" w:cs="宋体"/>
                <w:color w:val="auto"/>
                <w:kern w:val="0"/>
                <w:sz w:val="21"/>
                <w:szCs w:val="21"/>
                <w:highlight w:val="none"/>
                <w:lang w:eastAsia="zh-CN" w:bidi="ar"/>
              </w:rPr>
              <w:t>病虫害</w:t>
            </w:r>
            <w:r>
              <w:rPr>
                <w:rFonts w:hint="eastAsia" w:ascii="宋体" w:hAnsi="宋体" w:eastAsia="宋体" w:cs="宋体"/>
                <w:color w:val="auto"/>
                <w:kern w:val="0"/>
                <w:sz w:val="21"/>
                <w:szCs w:val="21"/>
                <w:highlight w:val="none"/>
                <w:lang w:bidi="ar"/>
              </w:rPr>
              <w:t>发生情况的，一次扣1分；未及时进行防治的，一次扣5分；</w:t>
            </w:r>
            <w:r>
              <w:rPr>
                <w:rFonts w:hint="eastAsia" w:ascii="宋体" w:hAnsi="宋体" w:eastAsia="宋体" w:cs="宋体"/>
                <w:color w:val="auto"/>
                <w:kern w:val="0"/>
                <w:sz w:val="21"/>
                <w:szCs w:val="21"/>
                <w:highlight w:val="none"/>
                <w:lang w:eastAsia="zh-CN" w:bidi="ar"/>
              </w:rPr>
              <w:t>病虫</w:t>
            </w:r>
            <w:r>
              <w:rPr>
                <w:rFonts w:hint="eastAsia" w:ascii="宋体" w:hAnsi="宋体" w:eastAsia="宋体" w:cs="宋体"/>
                <w:color w:val="auto"/>
                <w:kern w:val="0"/>
                <w:sz w:val="21"/>
                <w:szCs w:val="21"/>
                <w:highlight w:val="none"/>
                <w:lang w:bidi="ar"/>
              </w:rPr>
              <w:t>害防治记录不全面、不规范的，一次扣1分。</w:t>
            </w:r>
          </w:p>
        </w:tc>
      </w:tr>
      <w:tr w14:paraId="4EABB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continue"/>
            <w:tcBorders>
              <w:top w:val="nil"/>
              <w:left w:val="single" w:color="auto" w:sz="4" w:space="0"/>
              <w:bottom w:val="single" w:color="auto" w:sz="4" w:space="0"/>
              <w:right w:val="single" w:color="auto" w:sz="4" w:space="0"/>
            </w:tcBorders>
            <w:noWrap w:val="0"/>
            <w:vAlign w:val="center"/>
          </w:tcPr>
          <w:p w14:paraId="557E864B">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794" w:type="dxa"/>
            <w:vMerge w:val="continue"/>
            <w:tcBorders>
              <w:top w:val="nil"/>
              <w:left w:val="single" w:color="auto" w:sz="4" w:space="0"/>
              <w:bottom w:val="single" w:color="auto" w:sz="4" w:space="0"/>
              <w:right w:val="single" w:color="auto" w:sz="4" w:space="0"/>
            </w:tcBorders>
            <w:noWrap w:val="0"/>
            <w:vAlign w:val="center"/>
          </w:tcPr>
          <w:p w14:paraId="21C874C4">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1845" w:type="dxa"/>
            <w:vMerge w:val="continue"/>
            <w:tcBorders>
              <w:top w:val="nil"/>
              <w:left w:val="single" w:color="auto" w:sz="4" w:space="0"/>
              <w:bottom w:val="single" w:color="auto" w:sz="4" w:space="0"/>
              <w:right w:val="single" w:color="auto" w:sz="4" w:space="0"/>
            </w:tcBorders>
            <w:noWrap w:val="0"/>
            <w:vAlign w:val="center"/>
          </w:tcPr>
          <w:p w14:paraId="073440DB">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3551" w:type="dxa"/>
            <w:tcBorders>
              <w:top w:val="single" w:color="auto" w:sz="4" w:space="0"/>
              <w:left w:val="single" w:color="auto" w:sz="4" w:space="0"/>
              <w:bottom w:val="single" w:color="auto" w:sz="4" w:space="0"/>
              <w:right w:val="single" w:color="auto" w:sz="4" w:space="0"/>
            </w:tcBorders>
            <w:noWrap w:val="0"/>
            <w:vAlign w:val="center"/>
          </w:tcPr>
          <w:p w14:paraId="227ABC6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在规定时间内（</w:t>
            </w:r>
            <w:r>
              <w:rPr>
                <w:rFonts w:hint="eastAsia" w:ascii="宋体" w:hAnsi="宋体" w:eastAsia="宋体" w:cs="宋体"/>
                <w:color w:val="auto"/>
                <w:kern w:val="0"/>
                <w:sz w:val="21"/>
                <w:szCs w:val="21"/>
                <w:highlight w:val="none"/>
                <w:lang w:eastAsia="zh-CN" w:bidi="ar"/>
              </w:rPr>
              <w:t>春、秋两季</w:t>
            </w:r>
            <w:r>
              <w:rPr>
                <w:rFonts w:hint="eastAsia" w:ascii="宋体" w:hAnsi="宋体" w:eastAsia="宋体" w:cs="宋体"/>
                <w:color w:val="auto"/>
                <w:kern w:val="0"/>
                <w:sz w:val="21"/>
                <w:szCs w:val="21"/>
                <w:highlight w:val="none"/>
                <w:lang w:bidi="ar"/>
              </w:rPr>
              <w:t>）按要求做好树木涂白工作。</w:t>
            </w:r>
          </w:p>
        </w:tc>
        <w:tc>
          <w:tcPr>
            <w:tcW w:w="3845" w:type="dxa"/>
            <w:tcBorders>
              <w:top w:val="single" w:color="auto" w:sz="4" w:space="0"/>
              <w:left w:val="single" w:color="auto" w:sz="4" w:space="0"/>
              <w:bottom w:val="single" w:color="auto" w:sz="4" w:space="0"/>
              <w:right w:val="single" w:color="auto" w:sz="4" w:space="0"/>
            </w:tcBorders>
            <w:noWrap w:val="0"/>
            <w:vAlign w:val="center"/>
          </w:tcPr>
          <w:p w14:paraId="029208A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1、未按要求完成涂白工作的，一条道路或一个游园扣</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w:t>
            </w:r>
            <w:r>
              <w:rPr>
                <w:rFonts w:hint="eastAsia" w:ascii="宋体" w:hAnsi="宋体" w:eastAsia="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bidi="ar"/>
              </w:rPr>
              <w:t xml:space="preserve">分；涂白质量不达标的一处扣1分。 </w:t>
            </w:r>
          </w:p>
        </w:tc>
      </w:tr>
      <w:tr w14:paraId="130FD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tcBorders>
              <w:top w:val="single" w:color="auto" w:sz="4" w:space="0"/>
              <w:left w:val="single" w:color="auto" w:sz="4" w:space="0"/>
              <w:bottom w:val="single" w:color="auto" w:sz="4" w:space="0"/>
              <w:right w:val="single" w:color="auto" w:sz="4" w:space="0"/>
            </w:tcBorders>
            <w:noWrap w:val="0"/>
            <w:vAlign w:val="center"/>
          </w:tcPr>
          <w:p w14:paraId="4BE9266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5</w:t>
            </w:r>
          </w:p>
        </w:tc>
        <w:tc>
          <w:tcPr>
            <w:tcW w:w="794" w:type="dxa"/>
            <w:tcBorders>
              <w:top w:val="single" w:color="auto" w:sz="4" w:space="0"/>
              <w:left w:val="single" w:color="auto" w:sz="4" w:space="0"/>
              <w:bottom w:val="single" w:color="auto" w:sz="4" w:space="0"/>
              <w:right w:val="single" w:color="auto" w:sz="4" w:space="0"/>
            </w:tcBorders>
            <w:noWrap w:val="0"/>
            <w:vAlign w:val="center"/>
          </w:tcPr>
          <w:p w14:paraId="2C340AB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绿地保护</w:t>
            </w:r>
          </w:p>
        </w:tc>
        <w:tc>
          <w:tcPr>
            <w:tcW w:w="1845" w:type="dxa"/>
            <w:tcBorders>
              <w:top w:val="single" w:color="auto" w:sz="4" w:space="0"/>
              <w:left w:val="single" w:color="auto" w:sz="4" w:space="0"/>
              <w:bottom w:val="single" w:color="auto" w:sz="4" w:space="0"/>
              <w:right w:val="single" w:color="auto" w:sz="4" w:space="0"/>
            </w:tcBorders>
            <w:noWrap w:val="0"/>
            <w:vAlign w:val="center"/>
          </w:tcPr>
          <w:p w14:paraId="1D9EED8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责任意识强，损坏绿化现象得到有效遏制。</w:t>
            </w:r>
          </w:p>
        </w:tc>
        <w:tc>
          <w:tcPr>
            <w:tcW w:w="3551" w:type="dxa"/>
            <w:tcBorders>
              <w:top w:val="single" w:color="auto" w:sz="4" w:space="0"/>
              <w:left w:val="single" w:color="auto" w:sz="4" w:space="0"/>
              <w:bottom w:val="single" w:color="auto" w:sz="4" w:space="0"/>
              <w:right w:val="single" w:color="auto" w:sz="4" w:space="0"/>
            </w:tcBorders>
            <w:noWrap w:val="0"/>
            <w:vAlign w:val="center"/>
          </w:tcPr>
          <w:p w14:paraId="508C3253">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加强对各类绿地的绿化保护意识，所辖绿地无随意损坏绿化事件发生。</w:t>
            </w:r>
          </w:p>
        </w:tc>
        <w:tc>
          <w:tcPr>
            <w:tcW w:w="3845" w:type="dxa"/>
            <w:tcBorders>
              <w:top w:val="single" w:color="auto" w:sz="4" w:space="0"/>
              <w:left w:val="single" w:color="auto" w:sz="4" w:space="0"/>
              <w:bottom w:val="single" w:color="auto" w:sz="4" w:space="0"/>
              <w:right w:val="single" w:color="auto" w:sz="4" w:space="0"/>
            </w:tcBorders>
            <w:noWrap w:val="0"/>
            <w:vAlign w:val="center"/>
          </w:tcPr>
          <w:p w14:paraId="307694E5">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1、绿化保护工作不到位，所辖绿地内出现随意占用、损坏绿地及绿化设施的，一起扣1分；未及时发现的(如占用、开工或已完工的)，一起扣3分。</w:t>
            </w:r>
          </w:p>
        </w:tc>
      </w:tr>
      <w:tr w14:paraId="5BFF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tcBorders>
              <w:top w:val="single" w:color="auto" w:sz="4" w:space="0"/>
              <w:left w:val="single" w:color="auto" w:sz="4" w:space="0"/>
              <w:bottom w:val="single" w:color="auto" w:sz="4" w:space="0"/>
              <w:right w:val="single" w:color="auto" w:sz="4" w:space="0"/>
            </w:tcBorders>
            <w:noWrap w:val="0"/>
            <w:vAlign w:val="center"/>
          </w:tcPr>
          <w:p w14:paraId="6D86A58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6</w:t>
            </w:r>
          </w:p>
        </w:tc>
        <w:tc>
          <w:tcPr>
            <w:tcW w:w="794" w:type="dxa"/>
            <w:tcBorders>
              <w:top w:val="single" w:color="auto" w:sz="4" w:space="0"/>
              <w:left w:val="single" w:color="auto" w:sz="4" w:space="0"/>
              <w:bottom w:val="single" w:color="auto" w:sz="4" w:space="0"/>
              <w:right w:val="single" w:color="auto" w:sz="4" w:space="0"/>
            </w:tcBorders>
            <w:noWrap w:val="0"/>
            <w:vAlign w:val="center"/>
          </w:tcPr>
          <w:p w14:paraId="715B3B2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人员 配备</w:t>
            </w:r>
          </w:p>
        </w:tc>
        <w:tc>
          <w:tcPr>
            <w:tcW w:w="1845" w:type="dxa"/>
            <w:tcBorders>
              <w:top w:val="single" w:color="auto" w:sz="4" w:space="0"/>
              <w:left w:val="single" w:color="auto" w:sz="4" w:space="0"/>
              <w:bottom w:val="single" w:color="auto" w:sz="4" w:space="0"/>
              <w:right w:val="single" w:color="auto" w:sz="4" w:space="0"/>
            </w:tcBorders>
            <w:noWrap w:val="0"/>
            <w:vAlign w:val="center"/>
          </w:tcPr>
          <w:p w14:paraId="26D87DD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人员配备合理、规范着装</w:t>
            </w:r>
          </w:p>
        </w:tc>
        <w:tc>
          <w:tcPr>
            <w:tcW w:w="3551" w:type="dxa"/>
            <w:tcBorders>
              <w:top w:val="single" w:color="auto" w:sz="4" w:space="0"/>
              <w:left w:val="single" w:color="auto" w:sz="4" w:space="0"/>
              <w:bottom w:val="single" w:color="auto" w:sz="4" w:space="0"/>
              <w:right w:val="single" w:color="auto" w:sz="4" w:space="0"/>
            </w:tcBorders>
            <w:noWrap w:val="0"/>
            <w:vAlign w:val="center"/>
          </w:tcPr>
          <w:p w14:paraId="577CBB03">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按要求配备人员，并按要求统一着装。</w:t>
            </w:r>
          </w:p>
        </w:tc>
        <w:tc>
          <w:tcPr>
            <w:tcW w:w="3845" w:type="dxa"/>
            <w:tcBorders>
              <w:top w:val="single" w:color="auto" w:sz="4" w:space="0"/>
              <w:left w:val="single" w:color="auto" w:sz="4" w:space="0"/>
              <w:bottom w:val="single" w:color="auto" w:sz="4" w:space="0"/>
              <w:right w:val="single" w:color="auto" w:sz="4" w:space="0"/>
            </w:tcBorders>
            <w:noWrap w:val="0"/>
            <w:vAlign w:val="center"/>
          </w:tcPr>
          <w:p w14:paraId="50C9E5A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 xml:space="preserve">1、经督查，未按要求着装或配备人员的，出现一人次扣1分。      </w:t>
            </w:r>
          </w:p>
        </w:tc>
      </w:tr>
      <w:tr w14:paraId="1E26F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restart"/>
            <w:tcBorders>
              <w:top w:val="nil"/>
              <w:left w:val="single" w:color="auto" w:sz="4" w:space="0"/>
              <w:bottom w:val="single" w:color="auto" w:sz="4" w:space="0"/>
              <w:right w:val="single" w:color="auto" w:sz="4" w:space="0"/>
            </w:tcBorders>
            <w:noWrap w:val="0"/>
            <w:vAlign w:val="center"/>
          </w:tcPr>
          <w:p w14:paraId="63E33EF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7</w:t>
            </w:r>
          </w:p>
        </w:tc>
        <w:tc>
          <w:tcPr>
            <w:tcW w:w="794" w:type="dxa"/>
            <w:vMerge w:val="restart"/>
            <w:tcBorders>
              <w:top w:val="nil"/>
              <w:left w:val="single" w:color="auto" w:sz="4" w:space="0"/>
              <w:bottom w:val="single" w:color="auto" w:sz="4" w:space="0"/>
              <w:right w:val="single" w:color="auto" w:sz="4" w:space="0"/>
            </w:tcBorders>
            <w:noWrap w:val="0"/>
            <w:vAlign w:val="center"/>
          </w:tcPr>
          <w:p w14:paraId="31D8BBC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资料 报送</w:t>
            </w:r>
          </w:p>
        </w:tc>
        <w:tc>
          <w:tcPr>
            <w:tcW w:w="1845" w:type="dxa"/>
            <w:vMerge w:val="restart"/>
            <w:tcBorders>
              <w:top w:val="nil"/>
              <w:left w:val="single" w:color="auto" w:sz="4" w:space="0"/>
              <w:bottom w:val="single" w:color="auto" w:sz="4" w:space="0"/>
              <w:right w:val="single" w:color="auto" w:sz="4" w:space="0"/>
            </w:tcBorders>
            <w:noWrap w:val="0"/>
            <w:vAlign w:val="center"/>
          </w:tcPr>
          <w:p w14:paraId="71686F9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资料全面、内容详实</w:t>
            </w:r>
          </w:p>
        </w:tc>
        <w:tc>
          <w:tcPr>
            <w:tcW w:w="3551" w:type="dxa"/>
            <w:tcBorders>
              <w:top w:val="single" w:color="auto" w:sz="4" w:space="0"/>
              <w:left w:val="single" w:color="auto" w:sz="4" w:space="0"/>
              <w:bottom w:val="single" w:color="auto" w:sz="4" w:space="0"/>
              <w:right w:val="single" w:color="auto" w:sz="4" w:space="0"/>
            </w:tcBorders>
            <w:noWrap w:val="0"/>
            <w:vAlign w:val="top"/>
          </w:tcPr>
          <w:p w14:paraId="01CB9A2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按时报送月养护计划、小结、</w:t>
            </w:r>
            <w:r>
              <w:rPr>
                <w:rFonts w:hint="eastAsia" w:ascii="宋体" w:hAnsi="宋体" w:eastAsia="宋体" w:cs="宋体"/>
                <w:color w:val="auto"/>
                <w:kern w:val="0"/>
                <w:sz w:val="21"/>
                <w:szCs w:val="21"/>
                <w:highlight w:val="none"/>
                <w:lang w:eastAsia="zh-CN" w:bidi="ar"/>
              </w:rPr>
              <w:t>总结</w:t>
            </w:r>
            <w:r>
              <w:rPr>
                <w:rFonts w:hint="eastAsia" w:ascii="宋体" w:hAnsi="宋体" w:eastAsia="宋体" w:cs="宋体"/>
                <w:color w:val="auto"/>
                <w:kern w:val="0"/>
                <w:sz w:val="21"/>
                <w:szCs w:val="21"/>
                <w:highlight w:val="none"/>
                <w:lang w:bidi="ar"/>
              </w:rPr>
              <w:t>等，要求记录详实、内容全面。</w:t>
            </w:r>
          </w:p>
        </w:tc>
        <w:tc>
          <w:tcPr>
            <w:tcW w:w="3845" w:type="dxa"/>
            <w:tcBorders>
              <w:top w:val="single" w:color="auto" w:sz="4" w:space="0"/>
              <w:left w:val="single" w:color="auto" w:sz="4" w:space="0"/>
              <w:bottom w:val="single" w:color="auto" w:sz="4" w:space="0"/>
              <w:right w:val="single" w:color="auto" w:sz="4" w:space="0"/>
            </w:tcBorders>
            <w:noWrap w:val="0"/>
            <w:vAlign w:val="top"/>
          </w:tcPr>
          <w:p w14:paraId="19D5D4B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1、报送养护台帐内容不完整，每缺一项扣0.5分,未在规定时间内及时上报的，每延迟一天扣0.5分。</w:t>
            </w:r>
          </w:p>
        </w:tc>
      </w:tr>
      <w:tr w14:paraId="7129D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continue"/>
            <w:tcBorders>
              <w:top w:val="nil"/>
              <w:left w:val="single" w:color="auto" w:sz="4" w:space="0"/>
              <w:bottom w:val="single" w:color="auto" w:sz="4" w:space="0"/>
              <w:right w:val="single" w:color="auto" w:sz="4" w:space="0"/>
            </w:tcBorders>
            <w:noWrap w:val="0"/>
            <w:vAlign w:val="center"/>
          </w:tcPr>
          <w:p w14:paraId="079ADC9F">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794" w:type="dxa"/>
            <w:vMerge w:val="continue"/>
            <w:tcBorders>
              <w:top w:val="nil"/>
              <w:left w:val="single" w:color="auto" w:sz="4" w:space="0"/>
              <w:bottom w:val="single" w:color="auto" w:sz="4" w:space="0"/>
              <w:right w:val="single" w:color="auto" w:sz="4" w:space="0"/>
            </w:tcBorders>
            <w:noWrap w:val="0"/>
            <w:vAlign w:val="center"/>
          </w:tcPr>
          <w:p w14:paraId="1B5E6279">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1845" w:type="dxa"/>
            <w:vMerge w:val="continue"/>
            <w:tcBorders>
              <w:top w:val="nil"/>
              <w:left w:val="single" w:color="auto" w:sz="4" w:space="0"/>
              <w:bottom w:val="single" w:color="auto" w:sz="4" w:space="0"/>
              <w:right w:val="single" w:color="auto" w:sz="4" w:space="0"/>
            </w:tcBorders>
            <w:noWrap w:val="0"/>
            <w:vAlign w:val="center"/>
          </w:tcPr>
          <w:p w14:paraId="46FACAA0">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3551" w:type="dxa"/>
            <w:tcBorders>
              <w:top w:val="single" w:color="auto" w:sz="4" w:space="0"/>
              <w:left w:val="single" w:color="auto" w:sz="4" w:space="0"/>
              <w:bottom w:val="single" w:color="auto" w:sz="4" w:space="0"/>
              <w:right w:val="single" w:color="auto" w:sz="4" w:space="0"/>
            </w:tcBorders>
            <w:noWrap w:val="0"/>
            <w:vAlign w:val="top"/>
          </w:tcPr>
          <w:p w14:paraId="3ABF4383">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报送材料与实际情况相符。</w:t>
            </w:r>
          </w:p>
        </w:tc>
        <w:tc>
          <w:tcPr>
            <w:tcW w:w="3845" w:type="dxa"/>
            <w:tcBorders>
              <w:top w:val="single" w:color="auto" w:sz="4" w:space="0"/>
              <w:left w:val="single" w:color="auto" w:sz="4" w:space="0"/>
              <w:bottom w:val="single" w:color="auto" w:sz="4" w:space="0"/>
              <w:right w:val="single" w:color="auto" w:sz="4" w:space="0"/>
            </w:tcBorders>
            <w:noWrap w:val="0"/>
            <w:vAlign w:val="top"/>
          </w:tcPr>
          <w:p w14:paraId="299BD4B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1、报送材料与实际不符的每次扣1-</w:t>
            </w:r>
            <w:r>
              <w:rPr>
                <w:rFonts w:hint="eastAsia" w:ascii="宋体" w:hAnsi="宋体" w:eastAsia="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bidi="ar"/>
              </w:rPr>
              <w:t>分。</w:t>
            </w:r>
          </w:p>
        </w:tc>
      </w:tr>
      <w:tr w14:paraId="1B04D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tcBorders>
              <w:top w:val="nil"/>
              <w:left w:val="single" w:color="auto" w:sz="4" w:space="0"/>
              <w:bottom w:val="single" w:color="auto" w:sz="4" w:space="0"/>
              <w:right w:val="single" w:color="auto" w:sz="4" w:space="0"/>
            </w:tcBorders>
            <w:noWrap w:val="0"/>
            <w:vAlign w:val="center"/>
          </w:tcPr>
          <w:p w14:paraId="0B5B0BA8">
            <w:pPr>
              <w:keepNext w:val="0"/>
              <w:keepLines w:val="0"/>
              <w:pageBreakBefore w:val="0"/>
              <w:widowControl/>
              <w:kinsoku/>
              <w:wordWrap/>
              <w:overflowPunct/>
              <w:topLinePunct w:val="0"/>
              <w:autoSpaceDE/>
              <w:autoSpaceDN/>
              <w:bidi w:val="0"/>
              <w:adjustRightInd/>
              <w:snapToGrid/>
              <w:spacing w:line="240" w:lineRule="auto"/>
              <w:ind w:firstLine="210" w:firstLineChars="1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794" w:type="dxa"/>
            <w:tcBorders>
              <w:top w:val="nil"/>
              <w:left w:val="single" w:color="auto" w:sz="4" w:space="0"/>
              <w:bottom w:val="single" w:color="auto" w:sz="4" w:space="0"/>
              <w:right w:val="single" w:color="auto" w:sz="4" w:space="0"/>
            </w:tcBorders>
            <w:noWrap w:val="0"/>
            <w:vAlign w:val="center"/>
          </w:tcPr>
          <w:p w14:paraId="1860A462">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冰雪清除</w:t>
            </w:r>
          </w:p>
        </w:tc>
        <w:tc>
          <w:tcPr>
            <w:tcW w:w="1845" w:type="dxa"/>
            <w:tcBorders>
              <w:top w:val="nil"/>
              <w:left w:val="single" w:color="auto" w:sz="4" w:space="0"/>
              <w:bottom w:val="single" w:color="auto" w:sz="4" w:space="0"/>
              <w:right w:val="single" w:color="auto" w:sz="4" w:space="0"/>
            </w:tcBorders>
            <w:noWrap w:val="0"/>
            <w:vAlign w:val="center"/>
          </w:tcPr>
          <w:p w14:paraId="68981F5F">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按要求完成公园、游园、广场、景观带及周边道路冰雪清除任务。</w:t>
            </w:r>
          </w:p>
        </w:tc>
        <w:tc>
          <w:tcPr>
            <w:tcW w:w="3551" w:type="dxa"/>
            <w:tcBorders>
              <w:top w:val="single" w:color="auto" w:sz="4" w:space="0"/>
              <w:left w:val="single" w:color="auto" w:sz="4" w:space="0"/>
              <w:bottom w:val="single" w:color="auto" w:sz="4" w:space="0"/>
              <w:right w:val="single" w:color="auto" w:sz="4" w:space="0"/>
            </w:tcBorders>
            <w:noWrap w:val="0"/>
            <w:vAlign w:val="top"/>
          </w:tcPr>
          <w:p w14:paraId="352F0DAA">
            <w:pPr>
              <w:keepNext w:val="0"/>
              <w:keepLines w:val="0"/>
              <w:pageBreakBefore w:val="0"/>
              <w:widowControl/>
              <w:numPr>
                <w:ilvl w:val="0"/>
                <w:numId w:val="16"/>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eastAsia="zh-CN" w:bidi="ar"/>
              </w:rPr>
              <w:t>以降雪当日19:00为时间节点，19:00点以前的降雪要求雪停即清，2厘米以内的小雪在雪停后3小时内清除完毕，2—5厘米的中雪在雪停后4小时内清除完毕，5—10厘米的大雪在雪停后6小时内清除完毕，19:00点以后的降雪要求2厘米以内的小雪最迟在次日12:00点前清除完毕，2—5厘米的中雪最迟在次日13:00点前清除完毕，5—10厘米大雪最迟在次日16:00点前清除完毕。</w:t>
            </w:r>
          </w:p>
          <w:p w14:paraId="0BAA32D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bidi="ar"/>
              </w:rPr>
              <w:t>清雪要完全露出路面</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所有</w:t>
            </w:r>
            <w:r>
              <w:rPr>
                <w:rFonts w:hint="eastAsia" w:ascii="宋体" w:hAnsi="宋体" w:eastAsia="宋体" w:cs="宋体"/>
                <w:color w:val="auto"/>
                <w:kern w:val="0"/>
                <w:sz w:val="21"/>
                <w:szCs w:val="21"/>
                <w:highlight w:val="none"/>
                <w:lang w:eastAsia="zh-CN" w:bidi="ar"/>
              </w:rPr>
              <w:t>积雪清除区域</w:t>
            </w:r>
            <w:r>
              <w:rPr>
                <w:rFonts w:hint="eastAsia" w:ascii="宋体" w:hAnsi="宋体" w:eastAsia="宋体" w:cs="宋体"/>
                <w:color w:val="auto"/>
                <w:kern w:val="0"/>
                <w:sz w:val="21"/>
                <w:szCs w:val="21"/>
                <w:highlight w:val="none"/>
                <w:lang w:bidi="ar"/>
              </w:rPr>
              <w:t>要做到无雪道、雪条，达到见</w:t>
            </w:r>
            <w:r>
              <w:rPr>
                <w:rFonts w:hint="eastAsia" w:ascii="宋体" w:hAnsi="宋体" w:eastAsia="宋体" w:cs="宋体"/>
                <w:color w:val="auto"/>
                <w:kern w:val="0"/>
                <w:sz w:val="21"/>
                <w:szCs w:val="21"/>
                <w:highlight w:val="none"/>
                <w:lang w:eastAsia="zh-CN" w:bidi="ar"/>
              </w:rPr>
              <w:t>原</w:t>
            </w:r>
            <w:r>
              <w:rPr>
                <w:rFonts w:hint="eastAsia" w:ascii="宋体" w:hAnsi="宋体" w:eastAsia="宋体" w:cs="宋体"/>
                <w:color w:val="auto"/>
                <w:kern w:val="0"/>
                <w:sz w:val="21"/>
                <w:szCs w:val="21"/>
                <w:highlight w:val="none"/>
                <w:lang w:bidi="ar"/>
              </w:rPr>
              <w:t>路面、见标线、</w:t>
            </w:r>
            <w:r>
              <w:rPr>
                <w:rFonts w:hint="eastAsia" w:ascii="宋体" w:hAnsi="宋体" w:eastAsia="宋体" w:cs="宋体"/>
                <w:color w:val="auto"/>
                <w:kern w:val="0"/>
                <w:sz w:val="21"/>
                <w:szCs w:val="21"/>
                <w:highlight w:val="none"/>
                <w:lang w:eastAsia="zh-CN" w:bidi="ar"/>
              </w:rPr>
              <w:t>见人行道砖、</w:t>
            </w:r>
            <w:r>
              <w:rPr>
                <w:rFonts w:hint="eastAsia" w:ascii="宋体" w:hAnsi="宋体" w:eastAsia="宋体" w:cs="宋体"/>
                <w:color w:val="auto"/>
                <w:kern w:val="0"/>
                <w:sz w:val="21"/>
                <w:szCs w:val="21"/>
                <w:highlight w:val="none"/>
                <w:lang w:bidi="ar"/>
              </w:rPr>
              <w:t>见路沿石。</w:t>
            </w:r>
          </w:p>
          <w:p w14:paraId="713CD84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val="en-US" w:eastAsia="zh-CN" w:bidi="ar"/>
              </w:rPr>
              <w:t>3.慢车道、人行道积</w:t>
            </w:r>
            <w:r>
              <w:rPr>
                <w:rFonts w:hint="eastAsia" w:ascii="宋体" w:hAnsi="宋体" w:eastAsia="宋体" w:cs="宋体"/>
                <w:color w:val="auto"/>
                <w:kern w:val="0"/>
                <w:sz w:val="21"/>
                <w:szCs w:val="21"/>
                <w:highlight w:val="none"/>
                <w:lang w:bidi="ar"/>
              </w:rPr>
              <w:t>雪将运到指定场所</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bidi="ar"/>
              </w:rPr>
              <w:t>随时保证道路畅通，不得随处堆放。</w:t>
            </w:r>
            <w:r>
              <w:rPr>
                <w:rFonts w:hint="eastAsia" w:ascii="宋体" w:hAnsi="宋体" w:eastAsia="宋体" w:cs="宋体"/>
                <w:color w:val="auto"/>
                <w:kern w:val="0"/>
                <w:sz w:val="21"/>
                <w:szCs w:val="21"/>
                <w:highlight w:val="none"/>
                <w:lang w:eastAsia="zh-CN" w:bidi="ar"/>
              </w:rPr>
              <w:t>公园、广场、游园内积雪堆放在距离园路</w:t>
            </w:r>
            <w:r>
              <w:rPr>
                <w:rFonts w:hint="eastAsia" w:ascii="宋体" w:hAnsi="宋体" w:eastAsia="宋体" w:cs="宋体"/>
                <w:color w:val="auto"/>
                <w:kern w:val="0"/>
                <w:sz w:val="21"/>
                <w:szCs w:val="21"/>
                <w:highlight w:val="none"/>
                <w:lang w:val="en-US" w:eastAsia="zh-CN" w:bidi="ar"/>
              </w:rPr>
              <w:t>10cm的</w:t>
            </w:r>
            <w:r>
              <w:rPr>
                <w:rFonts w:hint="eastAsia" w:ascii="宋体" w:hAnsi="宋体" w:eastAsia="宋体" w:cs="宋体"/>
                <w:color w:val="auto"/>
                <w:kern w:val="0"/>
                <w:sz w:val="21"/>
                <w:szCs w:val="21"/>
                <w:highlight w:val="none"/>
                <w:lang w:eastAsia="zh-CN" w:bidi="ar"/>
              </w:rPr>
              <w:t>绿地内，</w:t>
            </w:r>
            <w:r>
              <w:rPr>
                <w:rFonts w:hint="eastAsia" w:ascii="宋体" w:hAnsi="宋体" w:eastAsia="宋体" w:cs="宋体"/>
                <w:color w:val="auto"/>
                <w:kern w:val="0"/>
                <w:sz w:val="21"/>
                <w:szCs w:val="21"/>
                <w:highlight w:val="none"/>
                <w:lang w:bidi="ar"/>
              </w:rPr>
              <w:t>堆放高度不超过50cm，超出高度无法堆放的积雪统一拉运至指定地点倾倒。</w:t>
            </w:r>
          </w:p>
        </w:tc>
        <w:tc>
          <w:tcPr>
            <w:tcW w:w="3845" w:type="dxa"/>
            <w:tcBorders>
              <w:top w:val="single" w:color="auto" w:sz="4" w:space="0"/>
              <w:left w:val="single" w:color="auto" w:sz="4" w:space="0"/>
              <w:bottom w:val="single" w:color="auto" w:sz="4" w:space="0"/>
              <w:right w:val="single" w:color="auto" w:sz="4" w:space="0"/>
            </w:tcBorders>
            <w:noWrap w:val="0"/>
            <w:vAlign w:val="top"/>
          </w:tcPr>
          <w:p w14:paraId="1E7AA9D5">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1、未按时限要求，完成冰雪清扫任务的，每次扣5-10分；</w:t>
            </w:r>
          </w:p>
          <w:p w14:paraId="6598AD3F">
            <w:pPr>
              <w:pStyle w:val="21"/>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2、未按清雪标准清扫或清扫不彻底，路面有雪条、雪道，标线不清晰等扣1-5分；</w:t>
            </w:r>
          </w:p>
          <w:p w14:paraId="6F4F630E">
            <w:pP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3、未将积雪拉运至指定位置扣1-5分。</w:t>
            </w:r>
          </w:p>
          <w:p w14:paraId="636380E8">
            <w:pPr>
              <w:pStyle w:val="21"/>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4、因清雪不及时被州、市以及上级部门通报的扣5-10分。</w:t>
            </w:r>
          </w:p>
        </w:tc>
      </w:tr>
      <w:tr w14:paraId="46F5B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tcBorders>
              <w:top w:val="single" w:color="auto" w:sz="4" w:space="0"/>
              <w:left w:val="single" w:color="auto" w:sz="4" w:space="0"/>
              <w:bottom w:val="single" w:color="auto" w:sz="4" w:space="0"/>
              <w:right w:val="single" w:color="auto" w:sz="4" w:space="0"/>
            </w:tcBorders>
            <w:noWrap w:val="0"/>
            <w:vAlign w:val="center"/>
          </w:tcPr>
          <w:p w14:paraId="5DF7F36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bidi="ar"/>
              </w:rPr>
              <w:t>9</w:t>
            </w:r>
          </w:p>
        </w:tc>
        <w:tc>
          <w:tcPr>
            <w:tcW w:w="794" w:type="dxa"/>
            <w:tcBorders>
              <w:top w:val="single" w:color="auto" w:sz="4" w:space="0"/>
              <w:left w:val="single" w:color="auto" w:sz="4" w:space="0"/>
              <w:bottom w:val="single" w:color="auto" w:sz="4" w:space="0"/>
              <w:right w:val="single" w:color="auto" w:sz="4" w:space="0"/>
            </w:tcBorders>
            <w:noWrap w:val="0"/>
            <w:vAlign w:val="center"/>
          </w:tcPr>
          <w:p w14:paraId="76A7387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行风 评议</w:t>
            </w:r>
          </w:p>
        </w:tc>
        <w:tc>
          <w:tcPr>
            <w:tcW w:w="1845" w:type="dxa"/>
            <w:tcBorders>
              <w:top w:val="single" w:color="auto" w:sz="4" w:space="0"/>
              <w:left w:val="single" w:color="auto" w:sz="4" w:space="0"/>
              <w:bottom w:val="single" w:color="auto" w:sz="4" w:space="0"/>
              <w:right w:val="single" w:color="auto" w:sz="4" w:space="0"/>
            </w:tcBorders>
            <w:noWrap w:val="0"/>
            <w:vAlign w:val="center"/>
          </w:tcPr>
          <w:p w14:paraId="565CEF5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社会反响好</w:t>
            </w:r>
          </w:p>
        </w:tc>
        <w:tc>
          <w:tcPr>
            <w:tcW w:w="3551" w:type="dxa"/>
            <w:tcBorders>
              <w:top w:val="single" w:color="auto" w:sz="4" w:space="0"/>
              <w:left w:val="single" w:color="auto" w:sz="4" w:space="0"/>
              <w:bottom w:val="single" w:color="auto" w:sz="4" w:space="0"/>
              <w:right w:val="single" w:color="auto" w:sz="4" w:space="0"/>
            </w:tcBorders>
            <w:noWrap w:val="0"/>
            <w:vAlign w:val="top"/>
          </w:tcPr>
          <w:p w14:paraId="15F1007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认真接受各级领导、媒体、相关部门和市民的监督。</w:t>
            </w:r>
          </w:p>
        </w:tc>
        <w:tc>
          <w:tcPr>
            <w:tcW w:w="3845" w:type="dxa"/>
            <w:tcBorders>
              <w:top w:val="single" w:color="auto" w:sz="4" w:space="0"/>
              <w:left w:val="single" w:color="auto" w:sz="4" w:space="0"/>
              <w:bottom w:val="single" w:color="auto" w:sz="4" w:space="0"/>
              <w:right w:val="single" w:color="auto" w:sz="4" w:space="0"/>
            </w:tcBorders>
            <w:noWrap w:val="0"/>
            <w:vAlign w:val="top"/>
          </w:tcPr>
          <w:p w14:paraId="75A000BC">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1、出现领导检查、新闻媒体报道、</w:t>
            </w:r>
            <w:r>
              <w:rPr>
                <w:rFonts w:hint="eastAsia" w:ascii="宋体" w:hAnsi="宋体" w:eastAsia="宋体" w:cs="宋体"/>
                <w:color w:val="auto"/>
                <w:kern w:val="0"/>
                <w:sz w:val="21"/>
                <w:szCs w:val="21"/>
                <w:highlight w:val="none"/>
                <w:lang w:val="en-US" w:eastAsia="zh-CN" w:bidi="ar"/>
              </w:rPr>
              <w:t>12345、吉事通等</w:t>
            </w:r>
            <w:r>
              <w:rPr>
                <w:rFonts w:hint="eastAsia" w:ascii="宋体" w:hAnsi="宋体" w:eastAsia="宋体" w:cs="宋体"/>
                <w:color w:val="auto"/>
                <w:kern w:val="0"/>
                <w:sz w:val="21"/>
                <w:szCs w:val="21"/>
                <w:highlight w:val="none"/>
                <w:lang w:bidi="ar"/>
              </w:rPr>
              <w:t>信息平台投诉的养护管理质量问题，每次扣2分。市民举报养护质量问题，每次扣1分。</w:t>
            </w:r>
          </w:p>
        </w:tc>
      </w:tr>
      <w:tr w14:paraId="53CF5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restart"/>
            <w:tcBorders>
              <w:top w:val="nil"/>
              <w:left w:val="single" w:color="auto" w:sz="4" w:space="0"/>
              <w:bottom w:val="single" w:color="auto" w:sz="4" w:space="0"/>
              <w:right w:val="single" w:color="auto" w:sz="4" w:space="0"/>
            </w:tcBorders>
            <w:noWrap w:val="0"/>
            <w:vAlign w:val="center"/>
          </w:tcPr>
          <w:p w14:paraId="54AAD0C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10</w:t>
            </w:r>
          </w:p>
        </w:tc>
        <w:tc>
          <w:tcPr>
            <w:tcW w:w="794" w:type="dxa"/>
            <w:vMerge w:val="restart"/>
            <w:tcBorders>
              <w:top w:val="nil"/>
              <w:left w:val="single" w:color="auto" w:sz="4" w:space="0"/>
              <w:bottom w:val="single" w:color="auto" w:sz="4" w:space="0"/>
              <w:right w:val="single" w:color="auto" w:sz="4" w:space="0"/>
            </w:tcBorders>
            <w:noWrap w:val="0"/>
            <w:vAlign w:val="center"/>
          </w:tcPr>
          <w:p w14:paraId="3351974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其他 工作</w:t>
            </w:r>
          </w:p>
        </w:tc>
        <w:tc>
          <w:tcPr>
            <w:tcW w:w="1845" w:type="dxa"/>
            <w:vMerge w:val="restart"/>
            <w:tcBorders>
              <w:top w:val="nil"/>
              <w:left w:val="single" w:color="auto" w:sz="4" w:space="0"/>
              <w:bottom w:val="single" w:color="auto" w:sz="4" w:space="0"/>
              <w:right w:val="single" w:color="auto" w:sz="4" w:space="0"/>
            </w:tcBorders>
            <w:noWrap w:val="0"/>
            <w:vAlign w:val="center"/>
          </w:tcPr>
          <w:p w14:paraId="5841FE6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应急性及突发事件处置及时、措施得当、效果良好。</w:t>
            </w:r>
          </w:p>
        </w:tc>
        <w:tc>
          <w:tcPr>
            <w:tcW w:w="3551" w:type="dxa"/>
            <w:tcBorders>
              <w:top w:val="single" w:color="auto" w:sz="4" w:space="0"/>
              <w:left w:val="single" w:color="auto" w:sz="4" w:space="0"/>
              <w:bottom w:val="single" w:color="auto" w:sz="4" w:space="0"/>
              <w:right w:val="single" w:color="auto" w:sz="4" w:space="0"/>
            </w:tcBorders>
            <w:noWrap w:val="0"/>
            <w:vAlign w:val="top"/>
          </w:tcPr>
          <w:p w14:paraId="0ABE5EE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建立紧急事件处理预案。</w:t>
            </w:r>
          </w:p>
        </w:tc>
        <w:tc>
          <w:tcPr>
            <w:tcW w:w="3845" w:type="dxa"/>
            <w:tcBorders>
              <w:top w:val="single" w:color="auto" w:sz="4" w:space="0"/>
              <w:left w:val="single" w:color="auto" w:sz="4" w:space="0"/>
              <w:bottom w:val="single" w:color="auto" w:sz="4" w:space="0"/>
              <w:right w:val="single" w:color="auto" w:sz="4" w:space="0"/>
            </w:tcBorders>
            <w:noWrap w:val="0"/>
            <w:vAlign w:val="top"/>
          </w:tcPr>
          <w:p w14:paraId="63ABFE9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1、无预案的扣1分，未按预案实施的，扣3分.</w:t>
            </w:r>
          </w:p>
        </w:tc>
      </w:tr>
      <w:tr w14:paraId="39148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continue"/>
            <w:tcBorders>
              <w:top w:val="nil"/>
              <w:left w:val="single" w:color="auto" w:sz="4" w:space="0"/>
              <w:bottom w:val="single" w:color="auto" w:sz="4" w:space="0"/>
              <w:right w:val="single" w:color="auto" w:sz="4" w:space="0"/>
            </w:tcBorders>
            <w:noWrap w:val="0"/>
            <w:vAlign w:val="center"/>
          </w:tcPr>
          <w:p w14:paraId="240FE473">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794" w:type="dxa"/>
            <w:vMerge w:val="continue"/>
            <w:tcBorders>
              <w:top w:val="nil"/>
              <w:left w:val="single" w:color="auto" w:sz="4" w:space="0"/>
              <w:bottom w:val="single" w:color="auto" w:sz="4" w:space="0"/>
              <w:right w:val="single" w:color="auto" w:sz="4" w:space="0"/>
            </w:tcBorders>
            <w:noWrap w:val="0"/>
            <w:vAlign w:val="center"/>
          </w:tcPr>
          <w:p w14:paraId="142320CA">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1845" w:type="dxa"/>
            <w:vMerge w:val="continue"/>
            <w:tcBorders>
              <w:top w:val="nil"/>
              <w:left w:val="single" w:color="auto" w:sz="4" w:space="0"/>
              <w:bottom w:val="single" w:color="auto" w:sz="4" w:space="0"/>
              <w:right w:val="single" w:color="auto" w:sz="4" w:space="0"/>
            </w:tcBorders>
            <w:noWrap w:val="0"/>
            <w:vAlign w:val="center"/>
          </w:tcPr>
          <w:p w14:paraId="7015E47F">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3551" w:type="dxa"/>
            <w:tcBorders>
              <w:top w:val="single" w:color="auto" w:sz="4" w:space="0"/>
              <w:left w:val="single" w:color="auto" w:sz="4" w:space="0"/>
              <w:bottom w:val="single" w:color="auto" w:sz="4" w:space="0"/>
              <w:right w:val="single" w:color="auto" w:sz="4" w:space="0"/>
            </w:tcBorders>
            <w:noWrap w:val="0"/>
            <w:vAlign w:val="top"/>
          </w:tcPr>
          <w:p w14:paraId="3A85F0E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按时完成上级部门、政府临时交办的工作任务</w:t>
            </w:r>
          </w:p>
        </w:tc>
        <w:tc>
          <w:tcPr>
            <w:tcW w:w="3845" w:type="dxa"/>
            <w:tcBorders>
              <w:top w:val="single" w:color="auto" w:sz="4" w:space="0"/>
              <w:left w:val="single" w:color="auto" w:sz="4" w:space="0"/>
              <w:bottom w:val="single" w:color="auto" w:sz="4" w:space="0"/>
              <w:right w:val="single" w:color="auto" w:sz="4" w:space="0"/>
            </w:tcBorders>
            <w:noWrap w:val="0"/>
            <w:vAlign w:val="top"/>
          </w:tcPr>
          <w:p w14:paraId="4920533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1、未按时完成上级部门、政府临时交办的工作任务扣5-10分。</w:t>
            </w:r>
          </w:p>
        </w:tc>
      </w:tr>
      <w:tr w14:paraId="4595A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continue"/>
            <w:tcBorders>
              <w:top w:val="nil"/>
              <w:left w:val="single" w:color="auto" w:sz="4" w:space="0"/>
              <w:bottom w:val="single" w:color="auto" w:sz="4" w:space="0"/>
              <w:right w:val="single" w:color="auto" w:sz="4" w:space="0"/>
            </w:tcBorders>
            <w:noWrap w:val="0"/>
            <w:vAlign w:val="center"/>
          </w:tcPr>
          <w:p w14:paraId="318CBD6D">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794" w:type="dxa"/>
            <w:vMerge w:val="continue"/>
            <w:tcBorders>
              <w:top w:val="nil"/>
              <w:left w:val="single" w:color="auto" w:sz="4" w:space="0"/>
              <w:bottom w:val="single" w:color="auto" w:sz="4" w:space="0"/>
              <w:right w:val="single" w:color="auto" w:sz="4" w:space="0"/>
            </w:tcBorders>
            <w:noWrap w:val="0"/>
            <w:vAlign w:val="center"/>
          </w:tcPr>
          <w:p w14:paraId="6B55852C">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1845" w:type="dxa"/>
            <w:vMerge w:val="continue"/>
            <w:tcBorders>
              <w:top w:val="nil"/>
              <w:left w:val="single" w:color="auto" w:sz="4" w:space="0"/>
              <w:bottom w:val="single" w:color="auto" w:sz="4" w:space="0"/>
              <w:right w:val="single" w:color="auto" w:sz="4" w:space="0"/>
            </w:tcBorders>
            <w:noWrap w:val="0"/>
            <w:vAlign w:val="center"/>
          </w:tcPr>
          <w:p w14:paraId="29E7BC92">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3551" w:type="dxa"/>
            <w:tcBorders>
              <w:top w:val="single" w:color="auto" w:sz="4" w:space="0"/>
              <w:left w:val="single" w:color="auto" w:sz="4" w:space="0"/>
              <w:bottom w:val="single" w:color="auto" w:sz="4" w:space="0"/>
              <w:right w:val="single" w:color="auto" w:sz="4" w:space="0"/>
            </w:tcBorders>
            <w:noWrap w:val="0"/>
            <w:vAlign w:val="top"/>
          </w:tcPr>
          <w:p w14:paraId="39873913">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bidi="ar"/>
              </w:rPr>
              <w:t>按时参加</w:t>
            </w:r>
            <w:r>
              <w:rPr>
                <w:rFonts w:hint="eastAsia" w:ascii="宋体" w:hAnsi="宋体" w:eastAsia="宋体" w:cs="宋体"/>
                <w:color w:val="auto"/>
                <w:kern w:val="0"/>
                <w:sz w:val="21"/>
                <w:szCs w:val="21"/>
                <w:highlight w:val="none"/>
                <w:lang w:eastAsia="zh-CN" w:bidi="ar"/>
              </w:rPr>
              <w:t>园林中心</w:t>
            </w:r>
            <w:r>
              <w:rPr>
                <w:rFonts w:hint="eastAsia" w:ascii="宋体" w:hAnsi="宋体" w:eastAsia="宋体" w:cs="宋体"/>
                <w:color w:val="auto"/>
                <w:kern w:val="0"/>
                <w:sz w:val="21"/>
                <w:szCs w:val="21"/>
                <w:highlight w:val="none"/>
                <w:lang w:bidi="ar"/>
              </w:rPr>
              <w:t xml:space="preserve">召开的业务会议、活动和各类业务培训。                                                      </w:t>
            </w:r>
          </w:p>
        </w:tc>
        <w:tc>
          <w:tcPr>
            <w:tcW w:w="3845" w:type="dxa"/>
            <w:tcBorders>
              <w:top w:val="single" w:color="auto" w:sz="4" w:space="0"/>
              <w:left w:val="single" w:color="auto" w:sz="4" w:space="0"/>
              <w:bottom w:val="single" w:color="auto" w:sz="4" w:space="0"/>
              <w:right w:val="single" w:color="auto" w:sz="4" w:space="0"/>
            </w:tcBorders>
            <w:noWrap w:val="0"/>
            <w:vAlign w:val="top"/>
          </w:tcPr>
          <w:p w14:paraId="5A5B462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bidi="ar"/>
              </w:rPr>
              <w:t xml:space="preserve">1、会议迟到每人次扣0.5分，无故缺席每人次扣2分，无故替开会每人次扣1分.                                       </w:t>
            </w:r>
          </w:p>
        </w:tc>
      </w:tr>
      <w:tr w14:paraId="0C97A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continue"/>
            <w:tcBorders>
              <w:top w:val="nil"/>
              <w:left w:val="single" w:color="auto" w:sz="4" w:space="0"/>
              <w:bottom w:val="single" w:color="auto" w:sz="4" w:space="0"/>
              <w:right w:val="single" w:color="auto" w:sz="4" w:space="0"/>
            </w:tcBorders>
            <w:noWrap w:val="0"/>
            <w:vAlign w:val="center"/>
          </w:tcPr>
          <w:p w14:paraId="144D8CB8">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794" w:type="dxa"/>
            <w:vMerge w:val="continue"/>
            <w:tcBorders>
              <w:top w:val="nil"/>
              <w:left w:val="single" w:color="auto" w:sz="4" w:space="0"/>
              <w:bottom w:val="single" w:color="auto" w:sz="4" w:space="0"/>
              <w:right w:val="single" w:color="auto" w:sz="4" w:space="0"/>
            </w:tcBorders>
            <w:noWrap w:val="0"/>
            <w:vAlign w:val="center"/>
          </w:tcPr>
          <w:p w14:paraId="0892E132">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1845" w:type="dxa"/>
            <w:vMerge w:val="continue"/>
            <w:tcBorders>
              <w:top w:val="nil"/>
              <w:left w:val="single" w:color="auto" w:sz="4" w:space="0"/>
              <w:bottom w:val="single" w:color="auto" w:sz="4" w:space="0"/>
              <w:right w:val="single" w:color="auto" w:sz="4" w:space="0"/>
            </w:tcBorders>
            <w:noWrap w:val="0"/>
            <w:vAlign w:val="center"/>
          </w:tcPr>
          <w:p w14:paraId="28BD70AA">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3551" w:type="dxa"/>
            <w:tcBorders>
              <w:top w:val="single" w:color="auto" w:sz="4" w:space="0"/>
              <w:left w:val="single" w:color="auto" w:sz="4" w:space="0"/>
              <w:bottom w:val="single" w:color="auto" w:sz="4" w:space="0"/>
              <w:right w:val="single" w:color="auto" w:sz="4" w:space="0"/>
            </w:tcBorders>
            <w:noWrap w:val="0"/>
            <w:vAlign w:val="top"/>
          </w:tcPr>
          <w:p w14:paraId="7958D84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对</w:t>
            </w:r>
            <w:r>
              <w:rPr>
                <w:rFonts w:hint="eastAsia" w:ascii="宋体" w:hAnsi="宋体" w:eastAsia="宋体" w:cs="宋体"/>
                <w:color w:val="auto"/>
                <w:kern w:val="0"/>
                <w:sz w:val="21"/>
                <w:szCs w:val="21"/>
                <w:highlight w:val="none"/>
                <w:lang w:eastAsia="zh-CN" w:bidi="ar"/>
              </w:rPr>
              <w:t>园林中心</w:t>
            </w:r>
            <w:r>
              <w:rPr>
                <w:rFonts w:hint="eastAsia" w:ascii="宋体" w:hAnsi="宋体" w:eastAsia="宋体" w:cs="宋体"/>
                <w:color w:val="auto"/>
                <w:kern w:val="0"/>
                <w:sz w:val="21"/>
                <w:szCs w:val="21"/>
                <w:highlight w:val="none"/>
                <w:lang w:bidi="ar"/>
              </w:rPr>
              <w:t>下达的中心或季节性、突击性工作、考核整改意见及时落实，及时反馈。</w:t>
            </w:r>
          </w:p>
        </w:tc>
        <w:tc>
          <w:tcPr>
            <w:tcW w:w="3845" w:type="dxa"/>
            <w:tcBorders>
              <w:top w:val="single" w:color="auto" w:sz="4" w:space="0"/>
              <w:left w:val="single" w:color="auto" w:sz="4" w:space="0"/>
              <w:bottom w:val="single" w:color="auto" w:sz="4" w:space="0"/>
              <w:right w:val="single" w:color="auto" w:sz="4" w:space="0"/>
            </w:tcBorders>
            <w:noWrap w:val="0"/>
            <w:vAlign w:val="top"/>
          </w:tcPr>
          <w:p w14:paraId="17D55E9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1、落实不到位扣0.5分；未按规定按期落实，每延误一天扣1分；未及时反馈的一次扣0.2分。突击性工作落实不到位扣5分；未按规定按期落实，每延误一天扣1分。</w:t>
            </w:r>
          </w:p>
        </w:tc>
      </w:tr>
      <w:tr w14:paraId="29E72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continue"/>
            <w:tcBorders>
              <w:top w:val="nil"/>
              <w:left w:val="single" w:color="auto" w:sz="4" w:space="0"/>
              <w:bottom w:val="single" w:color="auto" w:sz="4" w:space="0"/>
              <w:right w:val="single" w:color="auto" w:sz="4" w:space="0"/>
            </w:tcBorders>
            <w:noWrap w:val="0"/>
            <w:vAlign w:val="center"/>
          </w:tcPr>
          <w:p w14:paraId="7B374B83">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794" w:type="dxa"/>
            <w:vMerge w:val="continue"/>
            <w:tcBorders>
              <w:top w:val="nil"/>
              <w:left w:val="single" w:color="auto" w:sz="4" w:space="0"/>
              <w:bottom w:val="single" w:color="auto" w:sz="4" w:space="0"/>
              <w:right w:val="single" w:color="auto" w:sz="4" w:space="0"/>
            </w:tcBorders>
            <w:noWrap w:val="0"/>
            <w:vAlign w:val="center"/>
          </w:tcPr>
          <w:p w14:paraId="0EAE03C2">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1845" w:type="dxa"/>
            <w:vMerge w:val="continue"/>
            <w:tcBorders>
              <w:top w:val="nil"/>
              <w:left w:val="single" w:color="auto" w:sz="4" w:space="0"/>
              <w:bottom w:val="single" w:color="auto" w:sz="4" w:space="0"/>
              <w:right w:val="single" w:color="auto" w:sz="4" w:space="0"/>
            </w:tcBorders>
            <w:noWrap w:val="0"/>
            <w:vAlign w:val="center"/>
          </w:tcPr>
          <w:p w14:paraId="006252B4">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3551" w:type="dxa"/>
            <w:tcBorders>
              <w:top w:val="single" w:color="auto" w:sz="4" w:space="0"/>
              <w:left w:val="single" w:color="auto" w:sz="4" w:space="0"/>
              <w:bottom w:val="single" w:color="auto" w:sz="4" w:space="0"/>
              <w:right w:val="single" w:color="auto" w:sz="4" w:space="0"/>
            </w:tcBorders>
            <w:noWrap w:val="0"/>
            <w:vAlign w:val="top"/>
          </w:tcPr>
          <w:p w14:paraId="3D787D5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保证电话</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val="en-US" w:eastAsia="zh-CN" w:bidi="ar"/>
              </w:rPr>
              <w:t>对讲机</w:t>
            </w:r>
            <w:r>
              <w:rPr>
                <w:rFonts w:hint="eastAsia" w:ascii="宋体" w:hAnsi="宋体" w:eastAsia="宋体" w:cs="宋体"/>
                <w:color w:val="auto"/>
                <w:kern w:val="0"/>
                <w:sz w:val="21"/>
                <w:szCs w:val="21"/>
                <w:highlight w:val="none"/>
                <w:lang w:bidi="ar"/>
              </w:rPr>
              <w:t>时时畅通。</w:t>
            </w:r>
          </w:p>
        </w:tc>
        <w:tc>
          <w:tcPr>
            <w:tcW w:w="3845" w:type="dxa"/>
            <w:tcBorders>
              <w:top w:val="single" w:color="auto" w:sz="4" w:space="0"/>
              <w:left w:val="single" w:color="auto" w:sz="4" w:space="0"/>
              <w:bottom w:val="single" w:color="auto" w:sz="4" w:space="0"/>
              <w:right w:val="single" w:color="auto" w:sz="4" w:space="0"/>
            </w:tcBorders>
            <w:noWrap w:val="0"/>
            <w:vAlign w:val="top"/>
          </w:tcPr>
          <w:p w14:paraId="5B6F069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1、如出现电话不畅通，一次扣1分。</w:t>
            </w:r>
          </w:p>
        </w:tc>
      </w:tr>
      <w:tr w14:paraId="4B3B2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continue"/>
            <w:tcBorders>
              <w:top w:val="nil"/>
              <w:left w:val="single" w:color="auto" w:sz="4" w:space="0"/>
              <w:bottom w:val="single" w:color="auto" w:sz="4" w:space="0"/>
              <w:right w:val="single" w:color="auto" w:sz="4" w:space="0"/>
            </w:tcBorders>
            <w:noWrap w:val="0"/>
            <w:vAlign w:val="center"/>
          </w:tcPr>
          <w:p w14:paraId="340060FD">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794" w:type="dxa"/>
            <w:vMerge w:val="continue"/>
            <w:tcBorders>
              <w:top w:val="nil"/>
              <w:left w:val="single" w:color="auto" w:sz="4" w:space="0"/>
              <w:bottom w:val="single" w:color="auto" w:sz="4" w:space="0"/>
              <w:right w:val="single" w:color="auto" w:sz="4" w:space="0"/>
            </w:tcBorders>
            <w:noWrap w:val="0"/>
            <w:vAlign w:val="center"/>
          </w:tcPr>
          <w:p w14:paraId="48FC67DB">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1845" w:type="dxa"/>
            <w:vMerge w:val="continue"/>
            <w:tcBorders>
              <w:top w:val="nil"/>
              <w:left w:val="single" w:color="auto" w:sz="4" w:space="0"/>
              <w:bottom w:val="single" w:color="auto" w:sz="4" w:space="0"/>
              <w:right w:val="single" w:color="auto" w:sz="4" w:space="0"/>
            </w:tcBorders>
            <w:noWrap w:val="0"/>
            <w:vAlign w:val="center"/>
          </w:tcPr>
          <w:p w14:paraId="4A197582">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3551" w:type="dxa"/>
            <w:tcBorders>
              <w:top w:val="single" w:color="auto" w:sz="4" w:space="0"/>
              <w:left w:val="single" w:color="auto" w:sz="4" w:space="0"/>
              <w:bottom w:val="single" w:color="auto" w:sz="4" w:space="0"/>
              <w:right w:val="single" w:color="auto" w:sz="4" w:space="0"/>
            </w:tcBorders>
            <w:noWrap w:val="0"/>
            <w:vAlign w:val="top"/>
          </w:tcPr>
          <w:p w14:paraId="0FA171AA">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对领导检查、新闻媒体报道、</w:t>
            </w:r>
            <w:r>
              <w:rPr>
                <w:rFonts w:hint="eastAsia" w:ascii="宋体" w:hAnsi="宋体" w:eastAsia="宋体" w:cs="宋体"/>
                <w:color w:val="auto"/>
                <w:kern w:val="0"/>
                <w:sz w:val="21"/>
                <w:szCs w:val="21"/>
                <w:highlight w:val="none"/>
                <w:lang w:val="en-US" w:eastAsia="zh-CN" w:bidi="ar"/>
              </w:rPr>
              <w:t>12345、吉事通等</w:t>
            </w:r>
            <w:r>
              <w:rPr>
                <w:rFonts w:hint="eastAsia" w:ascii="宋体" w:hAnsi="宋体" w:eastAsia="宋体" w:cs="宋体"/>
                <w:color w:val="auto"/>
                <w:kern w:val="0"/>
                <w:sz w:val="21"/>
                <w:szCs w:val="21"/>
                <w:highlight w:val="none"/>
                <w:lang w:bidi="ar"/>
              </w:rPr>
              <w:t>信息平台反映的问题在24小时内处置并答复。</w:t>
            </w:r>
          </w:p>
        </w:tc>
        <w:tc>
          <w:tcPr>
            <w:tcW w:w="3845" w:type="dxa"/>
            <w:tcBorders>
              <w:top w:val="single" w:color="auto" w:sz="4" w:space="0"/>
              <w:left w:val="single" w:color="auto" w:sz="4" w:space="0"/>
              <w:bottom w:val="single" w:color="auto" w:sz="4" w:space="0"/>
              <w:right w:val="single" w:color="auto" w:sz="4" w:space="0"/>
            </w:tcBorders>
            <w:noWrap w:val="0"/>
            <w:vAlign w:val="center"/>
          </w:tcPr>
          <w:p w14:paraId="0B65F08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1、未在规定时间内处置的，扣1分；未及时答复的扣0.5分。</w:t>
            </w:r>
          </w:p>
        </w:tc>
      </w:tr>
      <w:tr w14:paraId="1E616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restart"/>
            <w:tcBorders>
              <w:top w:val="single" w:color="auto" w:sz="4" w:space="0"/>
              <w:left w:val="single" w:color="auto" w:sz="4" w:space="0"/>
              <w:bottom w:val="single" w:color="auto" w:sz="4" w:space="0"/>
              <w:right w:val="single" w:color="auto" w:sz="4" w:space="0"/>
            </w:tcBorders>
            <w:noWrap w:val="0"/>
            <w:vAlign w:val="center"/>
          </w:tcPr>
          <w:p w14:paraId="0DD11B3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11</w:t>
            </w:r>
          </w:p>
        </w:tc>
        <w:tc>
          <w:tcPr>
            <w:tcW w:w="794" w:type="dxa"/>
            <w:vMerge w:val="restart"/>
            <w:tcBorders>
              <w:top w:val="single" w:color="auto" w:sz="4" w:space="0"/>
              <w:left w:val="single" w:color="auto" w:sz="4" w:space="0"/>
              <w:bottom w:val="single" w:color="auto" w:sz="4" w:space="0"/>
              <w:right w:val="single" w:color="auto" w:sz="4" w:space="0"/>
            </w:tcBorders>
            <w:noWrap w:val="0"/>
            <w:vAlign w:val="center"/>
          </w:tcPr>
          <w:p w14:paraId="76D3768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环境卫生</w:t>
            </w:r>
          </w:p>
        </w:tc>
        <w:tc>
          <w:tcPr>
            <w:tcW w:w="1845" w:type="dxa"/>
            <w:vMerge w:val="restart"/>
            <w:tcBorders>
              <w:top w:val="single" w:color="auto" w:sz="4" w:space="0"/>
              <w:left w:val="single" w:color="auto" w:sz="4" w:space="0"/>
              <w:bottom w:val="single" w:color="auto" w:sz="4" w:space="0"/>
              <w:right w:val="single" w:color="auto" w:sz="4" w:space="0"/>
            </w:tcBorders>
            <w:noWrap w:val="0"/>
            <w:vAlign w:val="center"/>
          </w:tcPr>
          <w:p w14:paraId="74451A4A">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保洁到位、环境干净整洁，无卫生死角</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val="en-US" w:eastAsia="zh-CN" w:bidi="ar"/>
              </w:rPr>
              <w:t>公厕考核参考环卫考核标准</w:t>
            </w:r>
            <w:r>
              <w:rPr>
                <w:rFonts w:hint="eastAsia" w:ascii="宋体" w:hAnsi="宋体" w:eastAsia="宋体" w:cs="宋体"/>
                <w:color w:val="auto"/>
                <w:kern w:val="0"/>
                <w:sz w:val="21"/>
                <w:szCs w:val="21"/>
                <w:highlight w:val="none"/>
                <w:lang w:bidi="ar"/>
              </w:rPr>
              <w:t>。</w:t>
            </w:r>
          </w:p>
        </w:tc>
        <w:tc>
          <w:tcPr>
            <w:tcW w:w="3551" w:type="dxa"/>
            <w:tcBorders>
              <w:top w:val="single" w:color="auto" w:sz="4" w:space="0"/>
              <w:left w:val="single" w:color="auto" w:sz="4" w:space="0"/>
              <w:bottom w:val="single" w:color="auto" w:sz="4" w:space="0"/>
              <w:right w:val="single" w:color="auto" w:sz="4" w:space="0"/>
            </w:tcBorders>
            <w:noWrap w:val="0"/>
            <w:vAlign w:val="center"/>
          </w:tcPr>
          <w:p w14:paraId="3D234E4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 xml:space="preserve">每天定点清扫不少于两次，垃圾日产日清，保持整洁的卫生环境，实行全天候保洁，无卫生死角，水面、渠系、道路、坐凳及小品等无影响景观的垃圾、杂物、污物。                    </w:t>
            </w:r>
          </w:p>
        </w:tc>
        <w:tc>
          <w:tcPr>
            <w:tcW w:w="3845" w:type="dxa"/>
            <w:tcBorders>
              <w:top w:val="single" w:color="auto" w:sz="4" w:space="0"/>
              <w:left w:val="single" w:color="auto" w:sz="4" w:space="0"/>
              <w:bottom w:val="single" w:color="auto" w:sz="4" w:space="0"/>
              <w:right w:val="single" w:color="auto" w:sz="4" w:space="0"/>
            </w:tcBorders>
            <w:noWrap w:val="0"/>
            <w:vAlign w:val="center"/>
          </w:tcPr>
          <w:p w14:paraId="448256B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1、未在规定的时间内完成清扫、保洁工作，扣1分。2、未按要求设置卫生设施、引入产生污染的经营项目，影响公园整洁和环境出现一次扣1分。</w:t>
            </w:r>
          </w:p>
        </w:tc>
      </w:tr>
      <w:tr w14:paraId="4F979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continue"/>
            <w:tcBorders>
              <w:top w:val="single" w:color="auto" w:sz="4" w:space="0"/>
              <w:left w:val="single" w:color="auto" w:sz="4" w:space="0"/>
              <w:bottom w:val="single" w:color="auto" w:sz="4" w:space="0"/>
              <w:right w:val="single" w:color="auto" w:sz="4" w:space="0"/>
            </w:tcBorders>
            <w:noWrap w:val="0"/>
            <w:vAlign w:val="center"/>
          </w:tcPr>
          <w:p w14:paraId="7BAE7F54">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794" w:type="dxa"/>
            <w:vMerge w:val="continue"/>
            <w:tcBorders>
              <w:top w:val="single" w:color="auto" w:sz="4" w:space="0"/>
              <w:left w:val="single" w:color="auto" w:sz="4" w:space="0"/>
              <w:bottom w:val="single" w:color="auto" w:sz="4" w:space="0"/>
              <w:right w:val="single" w:color="auto" w:sz="4" w:space="0"/>
            </w:tcBorders>
            <w:noWrap w:val="0"/>
            <w:vAlign w:val="center"/>
          </w:tcPr>
          <w:p w14:paraId="34DDFC8D">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1845" w:type="dxa"/>
            <w:vMerge w:val="continue"/>
            <w:tcBorders>
              <w:top w:val="single" w:color="auto" w:sz="4" w:space="0"/>
              <w:left w:val="single" w:color="auto" w:sz="4" w:space="0"/>
              <w:bottom w:val="single" w:color="auto" w:sz="4" w:space="0"/>
              <w:right w:val="single" w:color="auto" w:sz="4" w:space="0"/>
            </w:tcBorders>
            <w:noWrap w:val="0"/>
            <w:vAlign w:val="center"/>
          </w:tcPr>
          <w:p w14:paraId="6DF0A564">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3551" w:type="dxa"/>
            <w:tcBorders>
              <w:top w:val="single" w:color="auto" w:sz="4" w:space="0"/>
              <w:left w:val="single" w:color="auto" w:sz="4" w:space="0"/>
              <w:bottom w:val="single" w:color="auto" w:sz="4" w:space="0"/>
              <w:right w:val="single" w:color="auto" w:sz="4" w:space="0"/>
            </w:tcBorders>
            <w:noWrap w:val="0"/>
            <w:vAlign w:val="center"/>
          </w:tcPr>
          <w:p w14:paraId="5787DF85">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 xml:space="preserve">绿化标志牌、指示牌、座椅、灯箱、庭院灯、栏杆、垃圾箱及园林建筑小品等设施保持完好、搽拭干净，无严重的人为损坏及倾倒等现象。                                        </w:t>
            </w:r>
          </w:p>
        </w:tc>
        <w:tc>
          <w:tcPr>
            <w:tcW w:w="3845" w:type="dxa"/>
            <w:tcBorders>
              <w:top w:val="single" w:color="auto" w:sz="4" w:space="0"/>
              <w:left w:val="single" w:color="auto" w:sz="4" w:space="0"/>
              <w:bottom w:val="single" w:color="auto" w:sz="4" w:space="0"/>
              <w:right w:val="single" w:color="auto" w:sz="4" w:space="0"/>
            </w:tcBorders>
            <w:noWrap w:val="0"/>
            <w:vAlign w:val="center"/>
          </w:tcPr>
          <w:p w14:paraId="2A7D80F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 xml:space="preserve">1、有一项内容卫生保洁达不到要求，扣1分，有一项设施未采取保护措施而被恶意损坏的扣2分。                                                 </w:t>
            </w:r>
          </w:p>
        </w:tc>
      </w:tr>
      <w:tr w14:paraId="3EBFB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continue"/>
            <w:tcBorders>
              <w:top w:val="single" w:color="auto" w:sz="4" w:space="0"/>
              <w:left w:val="single" w:color="auto" w:sz="4" w:space="0"/>
              <w:bottom w:val="single" w:color="auto" w:sz="4" w:space="0"/>
              <w:right w:val="single" w:color="auto" w:sz="4" w:space="0"/>
            </w:tcBorders>
            <w:noWrap w:val="0"/>
            <w:vAlign w:val="center"/>
          </w:tcPr>
          <w:p w14:paraId="7B9FF7D3">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794" w:type="dxa"/>
            <w:vMerge w:val="continue"/>
            <w:tcBorders>
              <w:top w:val="single" w:color="auto" w:sz="4" w:space="0"/>
              <w:left w:val="single" w:color="auto" w:sz="4" w:space="0"/>
              <w:bottom w:val="single" w:color="auto" w:sz="4" w:space="0"/>
              <w:right w:val="single" w:color="auto" w:sz="4" w:space="0"/>
            </w:tcBorders>
            <w:noWrap w:val="0"/>
            <w:vAlign w:val="center"/>
          </w:tcPr>
          <w:p w14:paraId="4E549087">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1845" w:type="dxa"/>
            <w:vMerge w:val="continue"/>
            <w:tcBorders>
              <w:top w:val="single" w:color="auto" w:sz="4" w:space="0"/>
              <w:left w:val="single" w:color="auto" w:sz="4" w:space="0"/>
              <w:bottom w:val="single" w:color="auto" w:sz="4" w:space="0"/>
              <w:right w:val="single" w:color="auto" w:sz="4" w:space="0"/>
            </w:tcBorders>
            <w:noWrap w:val="0"/>
            <w:vAlign w:val="center"/>
          </w:tcPr>
          <w:p w14:paraId="0A8BE669">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3551" w:type="dxa"/>
            <w:tcBorders>
              <w:top w:val="single" w:color="auto" w:sz="4" w:space="0"/>
              <w:left w:val="single" w:color="auto" w:sz="4" w:space="0"/>
              <w:bottom w:val="single" w:color="auto" w:sz="4" w:space="0"/>
              <w:right w:val="single" w:color="auto" w:sz="4" w:space="0"/>
            </w:tcBorders>
            <w:noWrap w:val="0"/>
            <w:vAlign w:val="center"/>
          </w:tcPr>
          <w:p w14:paraId="0E0C031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 xml:space="preserve">严格执行车辆管理规定，园内无车辆随意出入，各种车辆定线定点存放。                        </w:t>
            </w:r>
          </w:p>
        </w:tc>
        <w:tc>
          <w:tcPr>
            <w:tcW w:w="3845" w:type="dxa"/>
            <w:tcBorders>
              <w:top w:val="single" w:color="auto" w:sz="4" w:space="0"/>
              <w:left w:val="single" w:color="auto" w:sz="4" w:space="0"/>
              <w:bottom w:val="single" w:color="auto" w:sz="4" w:space="0"/>
              <w:right w:val="single" w:color="auto" w:sz="4" w:space="0"/>
            </w:tcBorders>
            <w:noWrap w:val="0"/>
            <w:vAlign w:val="center"/>
          </w:tcPr>
          <w:p w14:paraId="5030686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 xml:space="preserve">1、有违章车辆出入现象或各种车辆不定线定点存放的，发现一起扣1分。                                              </w:t>
            </w:r>
          </w:p>
        </w:tc>
      </w:tr>
      <w:tr w14:paraId="45AEF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restart"/>
            <w:tcBorders>
              <w:top w:val="single" w:color="auto" w:sz="4" w:space="0"/>
              <w:left w:val="single" w:color="auto" w:sz="4" w:space="0"/>
              <w:bottom w:val="single" w:color="auto" w:sz="4" w:space="0"/>
              <w:right w:val="single" w:color="auto" w:sz="4" w:space="0"/>
            </w:tcBorders>
            <w:noWrap w:val="0"/>
            <w:vAlign w:val="center"/>
          </w:tcPr>
          <w:p w14:paraId="20C3F2C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12</w:t>
            </w:r>
          </w:p>
        </w:tc>
        <w:tc>
          <w:tcPr>
            <w:tcW w:w="794" w:type="dxa"/>
            <w:vMerge w:val="restart"/>
            <w:tcBorders>
              <w:top w:val="single" w:color="auto" w:sz="4" w:space="0"/>
              <w:left w:val="single" w:color="auto" w:sz="4" w:space="0"/>
              <w:bottom w:val="single" w:color="auto" w:sz="4" w:space="0"/>
              <w:right w:val="single" w:color="auto" w:sz="4" w:space="0"/>
            </w:tcBorders>
            <w:noWrap w:val="0"/>
            <w:vAlign w:val="center"/>
          </w:tcPr>
          <w:p w14:paraId="1161BEBC">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安全管理</w:t>
            </w:r>
          </w:p>
        </w:tc>
        <w:tc>
          <w:tcPr>
            <w:tcW w:w="1845" w:type="dxa"/>
            <w:vMerge w:val="restart"/>
            <w:tcBorders>
              <w:top w:val="single" w:color="auto" w:sz="4" w:space="0"/>
              <w:left w:val="single" w:color="auto" w:sz="4" w:space="0"/>
              <w:bottom w:val="single" w:color="auto" w:sz="4" w:space="0"/>
              <w:right w:val="single" w:color="auto" w:sz="4" w:space="0"/>
            </w:tcBorders>
            <w:noWrap w:val="0"/>
            <w:vAlign w:val="center"/>
          </w:tcPr>
          <w:p w14:paraId="425120C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管理规范、制度健全</w:t>
            </w:r>
          </w:p>
        </w:tc>
        <w:tc>
          <w:tcPr>
            <w:tcW w:w="3551" w:type="dxa"/>
            <w:tcBorders>
              <w:top w:val="single" w:color="auto" w:sz="4" w:space="0"/>
              <w:left w:val="single" w:color="auto" w:sz="4" w:space="0"/>
              <w:bottom w:val="single" w:color="auto" w:sz="4" w:space="0"/>
              <w:right w:val="single" w:color="auto" w:sz="4" w:space="0"/>
            </w:tcBorders>
            <w:noWrap w:val="0"/>
            <w:vAlign w:val="center"/>
          </w:tcPr>
          <w:p w14:paraId="622743B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 xml:space="preserve">经营摊点证、照齐全，遵守管理单位的各项规章制度，要定点、定位，保持场地整洁，不影响交通和园容园貌，保持摊点卫生整洁、无废弃物，不经营国家禁止的或劣质商品。                 </w:t>
            </w:r>
          </w:p>
        </w:tc>
        <w:tc>
          <w:tcPr>
            <w:tcW w:w="3845" w:type="dxa"/>
            <w:tcBorders>
              <w:top w:val="single" w:color="auto" w:sz="4" w:space="0"/>
              <w:left w:val="single" w:color="auto" w:sz="4" w:space="0"/>
              <w:bottom w:val="single" w:color="auto" w:sz="4" w:space="0"/>
              <w:right w:val="single" w:color="auto" w:sz="4" w:space="0"/>
            </w:tcBorders>
            <w:noWrap w:val="0"/>
            <w:vAlign w:val="center"/>
          </w:tcPr>
          <w:p w14:paraId="41913A7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1、绿地内各类摊点证、照不齐全，发现一起扣1分；场地不整洁、影响交通和园容园貌，发现一起扣1分；发现有经营国家禁止的或劣质商品，一起扣3分。</w:t>
            </w:r>
          </w:p>
        </w:tc>
      </w:tr>
      <w:tr w14:paraId="008C8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5" w:type="dxa"/>
            <w:vMerge w:val="continue"/>
            <w:tcBorders>
              <w:top w:val="single" w:color="auto" w:sz="4" w:space="0"/>
              <w:left w:val="single" w:color="auto" w:sz="4" w:space="0"/>
              <w:bottom w:val="single" w:color="auto" w:sz="4" w:space="0"/>
              <w:right w:val="single" w:color="auto" w:sz="4" w:space="0"/>
            </w:tcBorders>
            <w:noWrap w:val="0"/>
            <w:vAlign w:val="center"/>
          </w:tcPr>
          <w:p w14:paraId="4F2EDCE9">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794" w:type="dxa"/>
            <w:vMerge w:val="continue"/>
            <w:tcBorders>
              <w:top w:val="single" w:color="auto" w:sz="4" w:space="0"/>
              <w:left w:val="single" w:color="auto" w:sz="4" w:space="0"/>
              <w:bottom w:val="single" w:color="auto" w:sz="4" w:space="0"/>
              <w:right w:val="single" w:color="auto" w:sz="4" w:space="0"/>
            </w:tcBorders>
            <w:noWrap w:val="0"/>
            <w:vAlign w:val="center"/>
          </w:tcPr>
          <w:p w14:paraId="4D24FFEC">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1845" w:type="dxa"/>
            <w:vMerge w:val="continue"/>
            <w:tcBorders>
              <w:top w:val="single" w:color="auto" w:sz="4" w:space="0"/>
              <w:left w:val="single" w:color="auto" w:sz="4" w:space="0"/>
              <w:bottom w:val="single" w:color="auto" w:sz="4" w:space="0"/>
              <w:right w:val="single" w:color="auto" w:sz="4" w:space="0"/>
            </w:tcBorders>
            <w:noWrap w:val="0"/>
            <w:vAlign w:val="center"/>
          </w:tcPr>
          <w:p w14:paraId="08FE4D4B">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p>
        </w:tc>
        <w:tc>
          <w:tcPr>
            <w:tcW w:w="3551" w:type="dxa"/>
            <w:tcBorders>
              <w:top w:val="single" w:color="auto" w:sz="4" w:space="0"/>
              <w:left w:val="single" w:color="auto" w:sz="4" w:space="0"/>
              <w:bottom w:val="single" w:color="auto" w:sz="4" w:space="0"/>
              <w:right w:val="single" w:color="auto" w:sz="4" w:space="0"/>
            </w:tcBorders>
            <w:noWrap w:val="0"/>
            <w:vAlign w:val="center"/>
          </w:tcPr>
          <w:p w14:paraId="46EDFD9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建立安全管理制度，设置必要的安全设施和警示标志，维持正常秩序，保证各种设施正常运转，其技术、安全指标应达到国家行业有关标准，经营者应当建立定期检查保养制度，严格执行安全操作规范,保障游客人身安全，预防事故发生。发生治安事件及时报警。</w:t>
            </w:r>
          </w:p>
        </w:tc>
        <w:tc>
          <w:tcPr>
            <w:tcW w:w="3845" w:type="dxa"/>
            <w:tcBorders>
              <w:top w:val="single" w:color="auto" w:sz="4" w:space="0"/>
              <w:left w:val="single" w:color="auto" w:sz="4" w:space="0"/>
              <w:bottom w:val="single" w:color="auto" w:sz="4" w:space="0"/>
              <w:right w:val="single" w:color="auto" w:sz="4" w:space="0"/>
            </w:tcBorders>
            <w:noWrap w:val="0"/>
            <w:vAlign w:val="center"/>
          </w:tcPr>
          <w:p w14:paraId="67BEDB3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没有安全管理制度，无安全设施和警示标志，一处扣1分；公园内各种游乐设施运转不正常，其技术、安全指标不能达到国家游乐行业有关标准，扣2分；经营者没有严格执行安全操作规范，发生安全事故扣10分；治安事件发现后未及时报警的，一次扣3分。</w:t>
            </w:r>
          </w:p>
        </w:tc>
      </w:tr>
      <w:tr w14:paraId="7776D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30" w:type="dxa"/>
            <w:gridSpan w:val="5"/>
            <w:tcBorders>
              <w:top w:val="single" w:color="auto" w:sz="4" w:space="0"/>
              <w:left w:val="single" w:color="auto" w:sz="4" w:space="0"/>
              <w:bottom w:val="single" w:color="auto" w:sz="4" w:space="0"/>
              <w:right w:val="single" w:color="auto" w:sz="4" w:space="0"/>
            </w:tcBorders>
            <w:noWrap w:val="0"/>
            <w:vAlign w:val="center"/>
          </w:tcPr>
          <w:p w14:paraId="2131B89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注：考核分值</w:t>
            </w:r>
            <w:r>
              <w:rPr>
                <w:rFonts w:hint="eastAsia" w:ascii="宋体" w:hAnsi="宋体" w:eastAsia="宋体" w:cs="宋体"/>
                <w:color w:val="auto"/>
                <w:kern w:val="0"/>
                <w:sz w:val="21"/>
                <w:szCs w:val="21"/>
                <w:highlight w:val="none"/>
                <w:lang w:eastAsia="zh-CN" w:bidi="ar"/>
              </w:rPr>
              <w:t>采取百分制，以《</w:t>
            </w:r>
            <w:r>
              <w:rPr>
                <w:rFonts w:hint="eastAsia" w:ascii="宋体" w:hAnsi="宋体" w:eastAsia="宋体" w:cs="宋体"/>
                <w:color w:val="auto"/>
                <w:kern w:val="0"/>
                <w:sz w:val="21"/>
                <w:szCs w:val="21"/>
                <w:highlight w:val="none"/>
                <w:lang w:val="en-US" w:eastAsia="zh-CN" w:bidi="ar"/>
              </w:rPr>
              <w:t>昌吉市绿地养护管理检查考核办法</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val="en-US" w:eastAsia="zh-CN" w:bidi="ar"/>
              </w:rPr>
              <w:t>为</w:t>
            </w:r>
            <w:r>
              <w:rPr>
                <w:rFonts w:hint="eastAsia" w:ascii="宋体" w:hAnsi="宋体" w:eastAsia="宋体" w:cs="宋体"/>
                <w:color w:val="auto"/>
                <w:kern w:val="0"/>
                <w:sz w:val="21"/>
                <w:szCs w:val="21"/>
                <w:highlight w:val="none"/>
                <w:lang w:bidi="ar"/>
              </w:rPr>
              <w:t>绩效考核</w:t>
            </w:r>
            <w:r>
              <w:rPr>
                <w:rFonts w:hint="eastAsia" w:ascii="宋体" w:hAnsi="宋体" w:eastAsia="宋体" w:cs="宋体"/>
                <w:color w:val="auto"/>
                <w:kern w:val="0"/>
                <w:sz w:val="21"/>
                <w:szCs w:val="21"/>
                <w:highlight w:val="none"/>
                <w:lang w:val="en-US" w:eastAsia="zh-CN" w:bidi="ar"/>
              </w:rPr>
              <w:t>依据。</w:t>
            </w:r>
          </w:p>
        </w:tc>
      </w:tr>
    </w:tbl>
    <w:p w14:paraId="37164F09">
      <w:pPr>
        <w:keepNext w:val="0"/>
        <w:keepLines w:val="0"/>
        <w:pageBreakBefore w:val="0"/>
        <w:widowControl/>
        <w:kinsoku/>
        <w:wordWrap/>
        <w:overflowPunct/>
        <w:topLinePunct w:val="0"/>
        <w:autoSpaceDE/>
        <w:autoSpaceDN/>
        <w:bidi w:val="0"/>
        <w:adjustRightInd/>
        <w:snapToGrid w:val="0"/>
        <w:spacing w:line="360" w:lineRule="auto"/>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val="0"/>
          <w:color w:val="auto"/>
          <w:kern w:val="2"/>
          <w:sz w:val="24"/>
          <w:szCs w:val="24"/>
          <w:highlight w:val="none"/>
          <w:lang w:val="en-US" w:eastAsia="zh-CN" w:bidi="ar-SA"/>
        </w:rPr>
        <w:t>后勤保障服务范围及工作内容</w:t>
      </w:r>
    </w:p>
    <w:p w14:paraId="380A8F8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1、保洁岗</w:t>
      </w:r>
    </w:p>
    <w:p w14:paraId="4349089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日常清洁：每日10时前完成公共区域（如游客集散中心大厅、办公室公共区域、会议室、走廊、卫生间等）全面清洁，12时、16时后各补清洁1次；卫生间每1小时巡检补水（洗手液、厕纸）,总服务面积1270㎡。</w:t>
      </w:r>
    </w:p>
    <w:p w14:paraId="2BD7882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重点区域：游客集散中心大厅需适时保洁；会议室使用后1小时内清理归位，每周对办公家具、门窗玻璃深度清洁1次；垃圾日产日清，分类投放准确率100%。</w:t>
      </w:r>
    </w:p>
    <w:p w14:paraId="6876A69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清洁标准：地面无明显污渍、水渍，桌面无灰尘、杂物，垃圾容器内外壁保持洁净，无异味，卫生检查达标。</w:t>
      </w:r>
    </w:p>
    <w:p w14:paraId="4954D3B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绿植养护：每周给办公区绿植浇水、擦拭叶片，每月检查病虫害，存活率≥90%。</w:t>
      </w:r>
    </w:p>
    <w:p w14:paraId="6305003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物资管理：工具保管得当，清洁用品使用合理，无浪费。</w:t>
      </w:r>
    </w:p>
    <w:p w14:paraId="5C2E8DE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安全意识：规范操作，正确使用清洁药剂，工作期间无安全事故。</w:t>
      </w:r>
    </w:p>
    <w:p w14:paraId="466FBD8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2、电工</w:t>
      </w:r>
    </w:p>
    <w:p w14:paraId="1982A25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1.负责滨湖河景观带、亚心广场内所有电气设备、设施（照明、水泵、监控）的日常巡检、维护与保养，做好巡检记录，及时排查安全隐患。</w:t>
      </w:r>
    </w:p>
    <w:p w14:paraId="7EC6954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2.快速处理滨湖河景观带、亚心广场内电气突发故障（如线路短路、灯具损坏、设备断电等），保障园区正常运营和游客安全。</w:t>
      </w:r>
    </w:p>
    <w:p w14:paraId="3DE8A2F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3.严格按照电气安全规范进行作业，做好停电、送电的操作流程，张贴警示标识，避免安全事故。</w:t>
      </w:r>
    </w:p>
    <w:p w14:paraId="6CE12B7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4.负责滨湖河景观带、亚心广场内电气线路、设备的定期检修、测试，更换老化线路、配件，确保设备符合安全运行标准。</w:t>
      </w:r>
    </w:p>
    <w:p w14:paraId="484AC37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5.配合公园整体运营工作，做好节假日、活动期间的电气保障，提前检查设备，值守待命处理突发情况。</w:t>
      </w:r>
    </w:p>
    <w:p w14:paraId="0A9F74B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6.妥善保管电气工具、维修材料，做好台账登记，做到领用、归还清晰，材料合理使用。</w:t>
      </w:r>
    </w:p>
    <w:p w14:paraId="61149DD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7.学习电气专业知识和安全规范，提升操作技能，严格遵守公园各项规章制度，服从工作安排。</w:t>
      </w:r>
    </w:p>
    <w:p w14:paraId="172DA56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8.做好电气安全宣传配合工作，劝阻游客在园区内的危险用电、破坏电气设施行为。</w:t>
      </w:r>
    </w:p>
    <w:p w14:paraId="52DA5AF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3、会计</w:t>
      </w:r>
    </w:p>
    <w:p w14:paraId="3888EBD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审核各站所绿化工工资、完成中心月度资金计划申请单的上报工作；根据财政要求按时完成预算编报工作及预算公开的上报工作；根据财政要求完成地方财政供养统计报表报送工作；根据财政要求及时完成当年人员增人增资工作及编报说明工作、完成年终决算的编制；决算说明的上报；决算公开的上报；根据项目经费的使用情况，及时完成绩效目标的编制工作；绩效目标监控的上报及绩效目标自评报告的上交；根据财政要求完成内部控制的编制及上报工作；完成政府财务报告编制及上报工作；财政2.0系统专项经费申报项目库及批复与调剂工作。</w:t>
      </w:r>
    </w:p>
    <w:p w14:paraId="5FE1341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4、驾驶员岗</w:t>
      </w:r>
    </w:p>
    <w:p w14:paraId="427F7B4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基础工作：每日10点前完成车辆晨检（轮胎、油量、制动等），10点前完成车辆清洁、消杀及入库登记；每月保障公务出行40趟次，年均安全行驶里程14000公里。</w:t>
      </w:r>
    </w:p>
    <w:p w14:paraId="7440EE2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驾驶员主要工作任务：开展市区养护绿地面积巡查工作、推进工程项目施工、实施庭院单位绿地巡查任务、进行绿化材料拉运作业以及执行其他公务用车相关事务。 </w:t>
      </w:r>
    </w:p>
    <w:p w14:paraId="1FFDB14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任务响应：接到派车指令后15分钟内出车（紧急任务5分钟内），跨市出行提前3天规划路线、准备物资。</w:t>
      </w:r>
    </w:p>
    <w:p w14:paraId="0CBB74E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车辆维护：按手册每5000公里完成常规保养，每月清洁车辆内饰20次，故障报修后1小时内反馈处理进度。</w:t>
      </w:r>
    </w:p>
    <w:p w14:paraId="6642AF4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有效出车率≥100%；</w:t>
      </w:r>
    </w:p>
    <w:p w14:paraId="25306FF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服务对象满意度≥100%，无交通违章及安全事故。</w:t>
      </w:r>
    </w:p>
    <w:p w14:paraId="1FDE79C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5、文员、技术员</w:t>
      </w:r>
    </w:p>
    <w:p w14:paraId="60DD5B2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事务处理：完成12345政务平台及吉事通接件、案件跟踪处理、反馈(每年约处理案件2000余件)；跟踪行政审批许可办理；协助网格员绿地巡查(公园、游园、广场及道路绿地)、绿地档案整理、安全隐患排查、绿化养护材料申领发放登记、各类报表数据统计汇总、协助完成临时性工作任务等。</w:t>
      </w:r>
    </w:p>
    <w:p w14:paraId="2579488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文件管理：协助完成各类文件、资料的分类、归档、保管及登记工作；完成文件复印、扫描、装订等。</w:t>
      </w:r>
    </w:p>
    <w:p w14:paraId="5833F8B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会务保障：协助做好各类会议的前期筹备，包括会议室设备调试(投影仪、音响、麦克风等)、会议材料打印分发、茶水供应等；会中做好现场服务及突发情况应对，会后及时清理会场并回收相关物资。</w:t>
      </w:r>
    </w:p>
    <w:p w14:paraId="09461B4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接待服务：做好滨湖河景区游客引导及接待工作，准确传达访客需求，协助安排会见，景区解说等，确保接待流程规范有序。</w:t>
      </w:r>
    </w:p>
    <w:p w14:paraId="0A291BF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办公用品管理：协助中心办公用品的申领、入库登记、</w:t>
      </w:r>
    </w:p>
    <w:p w14:paraId="2715004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发放及台账管理。</w:t>
      </w:r>
    </w:p>
    <w:p w14:paraId="49F235A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考勤与后勤：协助做好中心工作人员及季节工考勤数据的收集、核对与汇总(每月30日前完成上月考勤统计)；参与单位车辆调度协调、节假日值班安排等后勤保障工作，确保日常运转顺畅。</w:t>
      </w:r>
    </w:p>
    <w:p w14:paraId="26B95EE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信息报送：定期收集整理中心工作动态、总结汇报等材料，按要求及时向上级部门或相关科室报送</w:t>
      </w:r>
    </w:p>
    <w:p w14:paraId="515938C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工程档案收集、整理。</w:t>
      </w:r>
    </w:p>
    <w:p w14:paraId="1C839EE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后勤人员（班组长）：</w:t>
      </w:r>
    </w:p>
    <w:p w14:paraId="35A53E6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负责做好对滨湖河中央公园水域的安全巡逻管护工作，做好游客下水、戏水的劝导工作；及时处理园内突发情况，快速组织人员处理，对园内环境卫生、绿化养护、设施完好、安全隐患等情况做好巡查，发现问题立即组织整改或上报。</w:t>
      </w:r>
    </w:p>
    <w:p w14:paraId="11F4830C">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27499F42">
      <w:pPr>
        <w:keepNext w:val="0"/>
        <w:keepLines w:val="0"/>
        <w:pageBreakBefore w:val="0"/>
        <w:shd w:val="clear" w:color="auto" w:fill="auto"/>
        <w:kinsoku/>
        <w:wordWrap/>
        <w:overflowPunct/>
        <w:topLinePunct w:val="0"/>
        <w:autoSpaceDE/>
        <w:autoSpaceDN/>
        <w:bidi w:val="0"/>
        <w:adjustRightInd/>
        <w:snapToGrid/>
        <w:spacing w:line="360" w:lineRule="auto"/>
        <w:ind w:firstLine="482" w:firstLineChars="200"/>
        <w:textAlignment w:val="auto"/>
        <w:outlineLvl w:val="1"/>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bidi="ar-SA"/>
        </w:rPr>
        <w:t>(五）服务要求★</w:t>
      </w:r>
    </w:p>
    <w:p w14:paraId="0EAB428C">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360" w:lineRule="auto"/>
        <w:ind w:firstLine="482" w:firstLineChars="200"/>
        <w:jc w:val="left"/>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1.服务人员要求</w:t>
      </w:r>
    </w:p>
    <w:p w14:paraId="7824EA36">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（1）人员配置最低要求详见本章</w:t>
      </w:r>
      <w:r>
        <w:rPr>
          <w:rFonts w:hint="eastAsia" w:ascii="宋体" w:hAnsi="宋体" w:eastAsia="宋体" w:cs="宋体"/>
          <w:b/>
          <w:bCs/>
          <w:color w:val="auto"/>
          <w:kern w:val="0"/>
          <w:sz w:val="24"/>
          <w:szCs w:val="24"/>
          <w:highlight w:val="none"/>
          <w:lang w:val="en-US" w:eastAsia="zh-CN"/>
        </w:rPr>
        <w:t>附件e服务人员配置(最低)要求一览表</w:t>
      </w:r>
      <w:r>
        <w:rPr>
          <w:rFonts w:hint="eastAsia" w:ascii="宋体" w:hAnsi="宋体" w:eastAsia="宋体" w:cs="宋体"/>
          <w:b w:val="0"/>
          <w:bCs w:val="0"/>
          <w:color w:val="auto"/>
          <w:kern w:val="0"/>
          <w:sz w:val="24"/>
          <w:szCs w:val="24"/>
          <w:highlight w:val="none"/>
          <w:lang w:val="en-US" w:eastAsia="zh-Hans"/>
        </w:rPr>
        <w:t>，要求各工种人员配置至少满足附件内各工种数量进行配置，且最低配置数量的人员需全勤服务，不得用临时聘用工人充抵</w:t>
      </w:r>
      <w:r>
        <w:rPr>
          <w:rFonts w:hint="eastAsia" w:ascii="宋体" w:hAnsi="宋体" w:eastAsia="宋体" w:cs="宋体"/>
          <w:b w:val="0"/>
          <w:bCs w:val="0"/>
          <w:color w:val="auto"/>
          <w:kern w:val="0"/>
          <w:sz w:val="24"/>
          <w:szCs w:val="24"/>
          <w:highlight w:val="none"/>
          <w:lang w:val="en-US" w:eastAsia="zh-CN"/>
        </w:rPr>
        <w:t>；</w:t>
      </w:r>
    </w:p>
    <w:p w14:paraId="07F3063E">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所有人员须在合同签订后报送人员、证件信息至采购人，由采购人核验人证合一后方可开展工作，须持证上岗的特殊作业岗位必须依法取得相应资格(培训)证件。驾驶员（防治车驾驶员、130货车、皮卡车驾驶员、水车驾驶员以及特种车辆驾驶员、电工等特种作业工种</w:t>
      </w:r>
      <w:r>
        <w:rPr>
          <w:rFonts w:hint="eastAsia" w:ascii="宋体" w:hAnsi="宋体" w:eastAsia="宋体" w:cs="宋体"/>
          <w:color w:val="auto"/>
          <w:kern w:val="0"/>
          <w:sz w:val="24"/>
          <w:szCs w:val="24"/>
          <w:highlight w:val="none"/>
          <w:lang w:val="en-US" w:eastAsia="zh-Hans"/>
        </w:rPr>
        <w:t>）持证上岗率100%</w:t>
      </w:r>
      <w:r>
        <w:rPr>
          <w:rFonts w:hint="eastAsia" w:ascii="宋体" w:hAnsi="宋体" w:eastAsia="宋体" w:cs="宋体"/>
          <w:color w:val="auto"/>
          <w:kern w:val="0"/>
          <w:sz w:val="24"/>
          <w:szCs w:val="24"/>
          <w:highlight w:val="none"/>
          <w:lang w:val="en-US" w:eastAsia="zh-CN"/>
        </w:rPr>
        <w:t>。</w:t>
      </w:r>
      <w:bookmarkStart w:id="330" w:name="_GoBack"/>
      <w:bookmarkEnd w:id="330"/>
    </w:p>
    <w:p w14:paraId="2EEE6EB5">
      <w:pPr>
        <w:pStyle w:val="2"/>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附件e：服务人员配置(最低)要求一览表</w:t>
      </w:r>
    </w:p>
    <w:tbl>
      <w:tblPr>
        <w:tblStyle w:val="4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1676"/>
        <w:gridCol w:w="1353"/>
        <w:gridCol w:w="769"/>
        <w:gridCol w:w="4166"/>
        <w:gridCol w:w="1225"/>
      </w:tblGrid>
      <w:tr w14:paraId="3470E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6" w:type="pct"/>
            <w:vMerge w:val="restart"/>
            <w:tcBorders>
              <w:top w:val="single" w:color="auto" w:sz="4" w:space="0"/>
              <w:left w:val="single" w:color="000000" w:sz="4" w:space="0"/>
              <w:bottom w:val="single" w:color="auto" w:sz="4" w:space="0"/>
              <w:right w:val="single" w:color="000000" w:sz="4" w:space="0"/>
            </w:tcBorders>
            <w:noWrap w:val="0"/>
            <w:vAlign w:val="center"/>
          </w:tcPr>
          <w:p w14:paraId="4940549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园林（昌吉市）</w:t>
            </w:r>
          </w:p>
        </w:tc>
        <w:tc>
          <w:tcPr>
            <w:tcW w:w="841" w:type="pct"/>
            <w:tcBorders>
              <w:top w:val="single" w:color="000000" w:sz="4" w:space="0"/>
              <w:left w:val="single" w:color="000000" w:sz="4" w:space="0"/>
              <w:bottom w:val="single" w:color="000000" w:sz="4" w:space="0"/>
              <w:right w:val="single" w:color="000000" w:sz="4" w:space="0"/>
            </w:tcBorders>
            <w:noWrap w:val="0"/>
            <w:vAlign w:val="center"/>
          </w:tcPr>
          <w:p w14:paraId="329D902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val="en-US" w:eastAsia="zh-CN"/>
              </w:rPr>
              <w:t>井房、库房值班</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5C5750A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698A5D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val="en-US" w:eastAsia="zh-CN"/>
              </w:rPr>
              <w:t>16</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14:paraId="518FFA4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val="en-US" w:eastAsia="zh-CN"/>
              </w:rPr>
              <w:t>井房、库房安全管理值守</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4AD776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r>
      <w:tr w14:paraId="6A81A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6" w:type="pct"/>
            <w:vMerge w:val="continue"/>
            <w:tcBorders>
              <w:top w:val="single" w:color="auto" w:sz="4" w:space="0"/>
              <w:left w:val="single" w:color="000000" w:sz="4" w:space="0"/>
              <w:bottom w:val="single" w:color="auto" w:sz="4" w:space="0"/>
              <w:right w:val="single" w:color="000000" w:sz="4" w:space="0"/>
            </w:tcBorders>
            <w:noWrap w:val="0"/>
            <w:vAlign w:val="center"/>
          </w:tcPr>
          <w:p w14:paraId="71336C0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tcBorders>
              <w:top w:val="single" w:color="000000" w:sz="4" w:space="0"/>
              <w:left w:val="single" w:color="000000" w:sz="4" w:space="0"/>
              <w:bottom w:val="single" w:color="000000" w:sz="4" w:space="0"/>
              <w:right w:val="single" w:color="000000" w:sz="4" w:space="0"/>
            </w:tcBorders>
            <w:noWrap w:val="0"/>
            <w:vAlign w:val="center"/>
          </w:tcPr>
          <w:p w14:paraId="23E7DD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库房管理</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27F7993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1EA2BB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14:paraId="3E53744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各类绿化管材、修剪设备、维修材料的管理</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33C46C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E81C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6" w:type="pct"/>
            <w:vMerge w:val="continue"/>
            <w:tcBorders>
              <w:top w:val="single" w:color="auto" w:sz="4" w:space="0"/>
              <w:left w:val="single" w:color="000000" w:sz="4" w:space="0"/>
              <w:bottom w:val="single" w:color="auto" w:sz="4" w:space="0"/>
              <w:right w:val="single" w:color="000000" w:sz="4" w:space="0"/>
            </w:tcBorders>
            <w:noWrap w:val="0"/>
            <w:vAlign w:val="center"/>
          </w:tcPr>
          <w:p w14:paraId="10F300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tcBorders>
              <w:top w:val="single" w:color="000000" w:sz="4" w:space="0"/>
              <w:left w:val="single" w:color="000000" w:sz="4" w:space="0"/>
              <w:bottom w:val="single" w:color="000000" w:sz="4" w:space="0"/>
              <w:right w:val="single" w:color="000000" w:sz="4" w:space="0"/>
            </w:tcBorders>
            <w:noWrap w:val="0"/>
            <w:vAlign w:val="center"/>
          </w:tcPr>
          <w:p w14:paraId="0A7140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公厕保洁</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31A494F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3DF1C7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26</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14:paraId="373C693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负责广场、公园游园日常维护、管理、保洁</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4EF1662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3989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6" w:type="pct"/>
            <w:vMerge w:val="continue"/>
            <w:tcBorders>
              <w:top w:val="single" w:color="auto" w:sz="4" w:space="0"/>
              <w:left w:val="single" w:color="000000" w:sz="4" w:space="0"/>
              <w:bottom w:val="single" w:color="auto" w:sz="4" w:space="0"/>
              <w:right w:val="single" w:color="000000" w:sz="4" w:space="0"/>
            </w:tcBorders>
            <w:noWrap w:val="0"/>
            <w:vAlign w:val="center"/>
          </w:tcPr>
          <w:p w14:paraId="1ACF24B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tcBorders>
              <w:top w:val="single" w:color="000000" w:sz="4" w:space="0"/>
              <w:left w:val="single" w:color="000000" w:sz="4" w:space="0"/>
              <w:bottom w:val="single" w:color="000000" w:sz="4" w:space="0"/>
              <w:right w:val="single" w:color="000000" w:sz="4" w:space="0"/>
            </w:tcBorders>
            <w:noWrap w:val="0"/>
            <w:vAlign w:val="center"/>
          </w:tcPr>
          <w:p w14:paraId="3770149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皮卡车、130驾驶员</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054F4B5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C照驾驶证</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2EA7B7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28</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14:paraId="452468C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车辆驾驶及维护、保养</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564BCC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78A6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6" w:type="pct"/>
            <w:vMerge w:val="continue"/>
            <w:tcBorders>
              <w:top w:val="single" w:color="auto" w:sz="4" w:space="0"/>
              <w:left w:val="single" w:color="000000" w:sz="4" w:space="0"/>
              <w:bottom w:val="single" w:color="auto" w:sz="4" w:space="0"/>
              <w:right w:val="single" w:color="000000" w:sz="4" w:space="0"/>
            </w:tcBorders>
            <w:noWrap w:val="0"/>
            <w:vAlign w:val="center"/>
          </w:tcPr>
          <w:p w14:paraId="77E9D0C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tcBorders>
              <w:top w:val="single" w:color="000000" w:sz="4" w:space="0"/>
              <w:left w:val="single" w:color="000000" w:sz="4" w:space="0"/>
              <w:bottom w:val="single" w:color="000000" w:sz="4" w:space="0"/>
              <w:right w:val="single" w:color="000000" w:sz="4" w:space="0"/>
            </w:tcBorders>
            <w:noWrap w:val="0"/>
            <w:vAlign w:val="center"/>
          </w:tcPr>
          <w:p w14:paraId="7C71FB0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科研地育苗</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7F79DF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6B21DF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14:paraId="7EE52FA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冬季一年生花卉育苗，夏季扦插花灌木、地被、宿根花卉养护管理</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5995BE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0AA6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6" w:type="pct"/>
            <w:vMerge w:val="continue"/>
            <w:tcBorders>
              <w:top w:val="single" w:color="auto" w:sz="4" w:space="0"/>
              <w:left w:val="single" w:color="000000" w:sz="4" w:space="0"/>
              <w:bottom w:val="single" w:color="auto" w:sz="4" w:space="0"/>
              <w:right w:val="single" w:color="000000" w:sz="4" w:space="0"/>
            </w:tcBorders>
            <w:noWrap w:val="0"/>
            <w:vAlign w:val="center"/>
          </w:tcPr>
          <w:p w14:paraId="4E1F39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tcBorders>
              <w:top w:val="single" w:color="000000" w:sz="4" w:space="0"/>
              <w:left w:val="single" w:color="000000" w:sz="4" w:space="0"/>
              <w:bottom w:val="single" w:color="000000" w:sz="4" w:space="0"/>
              <w:right w:val="single" w:color="000000" w:sz="4" w:space="0"/>
            </w:tcBorders>
            <w:noWrap w:val="0"/>
            <w:vAlign w:val="center"/>
          </w:tcPr>
          <w:p w14:paraId="6A04AF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水电井维修</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3443E9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4557F56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14:paraId="24BCB57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机电井设施安装、调试、维修，电力设备、照明设施维护及检修</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0FD2898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D566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6" w:type="pct"/>
            <w:vMerge w:val="continue"/>
            <w:tcBorders>
              <w:top w:val="single" w:color="auto" w:sz="4" w:space="0"/>
              <w:left w:val="single" w:color="000000" w:sz="4" w:space="0"/>
              <w:bottom w:val="single" w:color="auto" w:sz="4" w:space="0"/>
              <w:right w:val="single" w:color="000000" w:sz="4" w:space="0"/>
            </w:tcBorders>
            <w:noWrap w:val="0"/>
            <w:vAlign w:val="center"/>
          </w:tcPr>
          <w:p w14:paraId="33A252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tcBorders>
              <w:top w:val="single" w:color="000000" w:sz="4" w:space="0"/>
              <w:left w:val="single" w:color="000000" w:sz="4" w:space="0"/>
              <w:bottom w:val="single" w:color="000000" w:sz="4" w:space="0"/>
              <w:right w:val="single" w:color="000000" w:sz="4" w:space="0"/>
            </w:tcBorders>
            <w:noWrap w:val="0"/>
            <w:vAlign w:val="center"/>
          </w:tcPr>
          <w:p w14:paraId="3DEB559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t>苗木繁育（扦插、扩繁）养护工</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4A7C1D4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631466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14:paraId="0FA70A8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冬季一年生花卉育苗，夏季扦插花灌木、地被、宿根花卉养护管理、温室大棚养护管理</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154C11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8A74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6" w:type="pct"/>
            <w:vMerge w:val="continue"/>
            <w:tcBorders>
              <w:top w:val="single" w:color="auto" w:sz="4" w:space="0"/>
              <w:left w:val="single" w:color="000000" w:sz="4" w:space="0"/>
              <w:bottom w:val="single" w:color="auto" w:sz="4" w:space="0"/>
              <w:right w:val="single" w:color="000000" w:sz="4" w:space="0"/>
            </w:tcBorders>
            <w:noWrap w:val="0"/>
            <w:vAlign w:val="center"/>
          </w:tcPr>
          <w:p w14:paraId="0980A20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tcBorders>
              <w:top w:val="single" w:color="000000" w:sz="4" w:space="0"/>
              <w:left w:val="single" w:color="000000" w:sz="4" w:space="0"/>
              <w:bottom w:val="single" w:color="000000" w:sz="4" w:space="0"/>
              <w:right w:val="single" w:color="000000" w:sz="4" w:space="0"/>
            </w:tcBorders>
            <w:noWrap w:val="0"/>
            <w:vAlign w:val="center"/>
          </w:tcPr>
          <w:p w14:paraId="15E381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长期用工（游园保洁、跟车防治、浇水拔草、灌木修剪、草坪修剪、冬季清雪）</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74FB38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6D28D55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346</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14:paraId="6F2219E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游园卫生清扫、保洁；园内体育设施、健身设施、园林建筑小品清洗、擦拭；树上悬挂物、广告清理；垃圾清运、冬季清雪</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77C204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A760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6" w:type="pct"/>
            <w:vMerge w:val="continue"/>
            <w:tcBorders>
              <w:top w:val="single" w:color="auto" w:sz="4" w:space="0"/>
              <w:left w:val="single" w:color="000000" w:sz="4" w:space="0"/>
              <w:bottom w:val="single" w:color="auto" w:sz="4" w:space="0"/>
              <w:right w:val="single" w:color="000000" w:sz="4" w:space="0"/>
            </w:tcBorders>
            <w:noWrap w:val="0"/>
            <w:vAlign w:val="center"/>
          </w:tcPr>
          <w:p w14:paraId="323477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tcBorders>
              <w:top w:val="single" w:color="000000" w:sz="4" w:space="0"/>
              <w:left w:val="single" w:color="000000" w:sz="4" w:space="0"/>
              <w:bottom w:val="single" w:color="000000" w:sz="4" w:space="0"/>
              <w:right w:val="single" w:color="000000" w:sz="4" w:space="0"/>
            </w:tcBorders>
            <w:noWrap w:val="0"/>
            <w:vAlign w:val="center"/>
          </w:tcPr>
          <w:p w14:paraId="3C4EDB6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病虫防治跟车浇水</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35B391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63B8B7E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14:paraId="581BFE3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负责园林小品、景观浇水、病虫害防治</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5F52531A">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季节工7个月（4月-10月）</w:t>
            </w:r>
          </w:p>
        </w:tc>
      </w:tr>
      <w:tr w14:paraId="32468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6" w:type="pct"/>
            <w:vMerge w:val="continue"/>
            <w:tcBorders>
              <w:top w:val="single" w:color="auto" w:sz="4" w:space="0"/>
              <w:left w:val="single" w:color="000000" w:sz="4" w:space="0"/>
              <w:bottom w:val="single" w:color="auto" w:sz="4" w:space="0"/>
              <w:right w:val="single" w:color="000000" w:sz="4" w:space="0"/>
            </w:tcBorders>
            <w:noWrap w:val="0"/>
            <w:vAlign w:val="center"/>
          </w:tcPr>
          <w:p w14:paraId="649CEB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tcBorders>
              <w:top w:val="single" w:color="000000" w:sz="4" w:space="0"/>
              <w:left w:val="single" w:color="000000" w:sz="4" w:space="0"/>
              <w:bottom w:val="single" w:color="000000" w:sz="4" w:space="0"/>
              <w:right w:val="single" w:color="000000" w:sz="4" w:space="0"/>
            </w:tcBorders>
            <w:noWrap w:val="0"/>
            <w:vAlign w:val="center"/>
          </w:tcPr>
          <w:p w14:paraId="2448B8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浇水、拔草、保洁</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0581754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4AB750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14:paraId="60D2065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道路、公园、广场、游园卫生保洁、清除杂草、清运、以及绿化浇水、灌溉</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00C21EB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季节工7个月（4月-10月）</w:t>
            </w:r>
          </w:p>
        </w:tc>
      </w:tr>
      <w:tr w14:paraId="4416E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6" w:type="pct"/>
            <w:vMerge w:val="continue"/>
            <w:tcBorders>
              <w:top w:val="single" w:color="auto" w:sz="4" w:space="0"/>
              <w:left w:val="single" w:color="000000" w:sz="4" w:space="0"/>
              <w:bottom w:val="single" w:color="auto" w:sz="4" w:space="0"/>
              <w:right w:val="single" w:color="000000" w:sz="4" w:space="0"/>
            </w:tcBorders>
            <w:noWrap w:val="0"/>
            <w:vAlign w:val="center"/>
          </w:tcPr>
          <w:p w14:paraId="2BA4E1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tcBorders>
              <w:top w:val="single" w:color="000000" w:sz="4" w:space="0"/>
              <w:left w:val="single" w:color="000000" w:sz="4" w:space="0"/>
              <w:bottom w:val="single" w:color="000000" w:sz="4" w:space="0"/>
              <w:right w:val="single" w:color="000000" w:sz="4" w:space="0"/>
            </w:tcBorders>
            <w:noWrap w:val="0"/>
            <w:vAlign w:val="center"/>
          </w:tcPr>
          <w:p w14:paraId="793ADF7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苗圃养护</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5E3DE9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5DBE168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19</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14:paraId="0F4C351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圃地管理、灌木造景、景观树培育，病虫害防治</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5F6BB7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季节工7个月（4月-10月）</w:t>
            </w:r>
          </w:p>
        </w:tc>
      </w:tr>
      <w:tr w14:paraId="5C40D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6" w:type="pct"/>
            <w:vMerge w:val="continue"/>
            <w:tcBorders>
              <w:top w:val="single" w:color="auto" w:sz="4" w:space="0"/>
              <w:left w:val="single" w:color="000000" w:sz="4" w:space="0"/>
              <w:bottom w:val="single" w:color="auto" w:sz="4" w:space="0"/>
              <w:right w:val="single" w:color="000000" w:sz="4" w:space="0"/>
            </w:tcBorders>
            <w:noWrap w:val="0"/>
            <w:vAlign w:val="center"/>
          </w:tcPr>
          <w:p w14:paraId="7DBEEF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tcBorders>
              <w:top w:val="single" w:color="000000" w:sz="4" w:space="0"/>
              <w:left w:val="single" w:color="000000" w:sz="4" w:space="0"/>
              <w:bottom w:val="single" w:color="000000" w:sz="4" w:space="0"/>
              <w:right w:val="single" w:color="000000" w:sz="4" w:space="0"/>
            </w:tcBorders>
            <w:noWrap w:val="0"/>
            <w:vAlign w:val="center"/>
          </w:tcPr>
          <w:p w14:paraId="5EC8D0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草坪修剪、浇水</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3B49A14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1F52D27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90</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14:paraId="082E9D0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浇水、管线检修、安装、调试、排水、绿带整理、松土、拔草养护、倾斜树木加固、草坪修剪清运</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6627B49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季节工7个月（4月-10月）</w:t>
            </w:r>
          </w:p>
        </w:tc>
      </w:tr>
      <w:tr w14:paraId="507DC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6" w:type="pct"/>
            <w:vMerge w:val="continue"/>
            <w:tcBorders>
              <w:top w:val="single" w:color="auto" w:sz="4" w:space="0"/>
              <w:left w:val="single" w:color="000000" w:sz="4" w:space="0"/>
              <w:bottom w:val="single" w:color="auto" w:sz="4" w:space="0"/>
              <w:right w:val="single" w:color="000000" w:sz="4" w:space="0"/>
            </w:tcBorders>
            <w:noWrap w:val="0"/>
            <w:vAlign w:val="center"/>
          </w:tcPr>
          <w:p w14:paraId="389666D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tcBorders>
              <w:top w:val="single" w:color="000000" w:sz="4" w:space="0"/>
              <w:left w:val="single" w:color="000000" w:sz="4" w:space="0"/>
              <w:bottom w:val="single" w:color="000000" w:sz="4" w:space="0"/>
              <w:right w:val="single" w:color="000000" w:sz="4" w:space="0"/>
            </w:tcBorders>
            <w:noWrap w:val="0"/>
            <w:vAlign w:val="center"/>
          </w:tcPr>
          <w:p w14:paraId="0BB866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灌木修剪</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365538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088D06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119</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14:paraId="31A6F4A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单株、片植绿篱、灌木萌条修剪；乔木整形修剪（淸除下垂枝、干枯枝、斜生枝、病虫枝等）、清理死树</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33D22C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季节工7个月（4月-10月）</w:t>
            </w:r>
          </w:p>
        </w:tc>
      </w:tr>
      <w:tr w14:paraId="52220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6" w:type="pct"/>
            <w:vMerge w:val="continue"/>
            <w:tcBorders>
              <w:top w:val="single" w:color="auto" w:sz="4" w:space="0"/>
              <w:left w:val="single" w:color="000000" w:sz="4" w:space="0"/>
              <w:bottom w:val="single" w:color="auto" w:sz="4" w:space="0"/>
              <w:right w:val="single" w:color="000000" w:sz="4" w:space="0"/>
            </w:tcBorders>
            <w:noWrap w:val="0"/>
            <w:vAlign w:val="center"/>
          </w:tcPr>
          <w:p w14:paraId="42D9490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tcBorders>
              <w:top w:val="single" w:color="000000" w:sz="4" w:space="0"/>
              <w:left w:val="single" w:color="000000" w:sz="4" w:space="0"/>
              <w:bottom w:val="single" w:color="000000" w:sz="4" w:space="0"/>
              <w:right w:val="single" w:color="000000" w:sz="4" w:space="0"/>
            </w:tcBorders>
            <w:noWrap w:val="0"/>
            <w:vAlign w:val="center"/>
          </w:tcPr>
          <w:p w14:paraId="16A55F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车下装枝</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46049F5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543912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14:paraId="46826C2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修剪后的树木枝条装车、现场清理</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102DCF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季节工7个月（4月-10月）</w:t>
            </w:r>
          </w:p>
        </w:tc>
      </w:tr>
      <w:tr w14:paraId="45FC3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6" w:type="pct"/>
            <w:vMerge w:val="continue"/>
            <w:tcBorders>
              <w:top w:val="single" w:color="auto" w:sz="4" w:space="0"/>
              <w:left w:val="single" w:color="000000" w:sz="4" w:space="0"/>
              <w:bottom w:val="single" w:color="auto" w:sz="4" w:space="0"/>
              <w:right w:val="single" w:color="000000" w:sz="4" w:space="0"/>
            </w:tcBorders>
            <w:noWrap w:val="0"/>
            <w:vAlign w:val="center"/>
          </w:tcPr>
          <w:p w14:paraId="61CA0D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tcBorders>
              <w:top w:val="single" w:color="000000" w:sz="4" w:space="0"/>
              <w:left w:val="single" w:color="000000" w:sz="4" w:space="0"/>
              <w:bottom w:val="single" w:color="000000" w:sz="4" w:space="0"/>
              <w:right w:val="single" w:color="000000" w:sz="4" w:space="0"/>
            </w:tcBorders>
            <w:noWrap w:val="0"/>
            <w:vAlign w:val="center"/>
          </w:tcPr>
          <w:p w14:paraId="59C8E6B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水车驾驶员</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2E4B8E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B照驾驶证</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345EBE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14:paraId="64B5C6E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车辆驾驶及维护、保养</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60500A8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季节工7个月（4月-10月）</w:t>
            </w:r>
          </w:p>
        </w:tc>
      </w:tr>
      <w:tr w14:paraId="4FEEA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6" w:type="pct"/>
            <w:vMerge w:val="continue"/>
            <w:tcBorders>
              <w:top w:val="single" w:color="auto" w:sz="4" w:space="0"/>
              <w:left w:val="single" w:color="000000" w:sz="4" w:space="0"/>
              <w:bottom w:val="single" w:color="auto" w:sz="4" w:space="0"/>
              <w:right w:val="single" w:color="000000" w:sz="4" w:space="0"/>
            </w:tcBorders>
            <w:noWrap w:val="0"/>
            <w:vAlign w:val="center"/>
          </w:tcPr>
          <w:p w14:paraId="72A938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tcBorders>
              <w:top w:val="single" w:color="000000" w:sz="4" w:space="0"/>
              <w:left w:val="single" w:color="000000" w:sz="4" w:space="0"/>
              <w:bottom w:val="single" w:color="000000" w:sz="4" w:space="0"/>
              <w:right w:val="single" w:color="000000" w:sz="4" w:space="0"/>
            </w:tcBorders>
            <w:noWrap w:val="0"/>
            <w:vAlign w:val="center"/>
          </w:tcPr>
          <w:p w14:paraId="1C7ED1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浇水、清渠、修渠</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0153C94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310DA0B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16</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14:paraId="4C51997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负责312国道沿线绿地浇水、渠道清理及维护</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771E037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季节工7个月（4月-10月）</w:t>
            </w:r>
          </w:p>
        </w:tc>
      </w:tr>
      <w:tr w14:paraId="167D2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6" w:type="pct"/>
            <w:vMerge w:val="continue"/>
            <w:tcBorders>
              <w:top w:val="single" w:color="auto" w:sz="4" w:space="0"/>
              <w:left w:val="single" w:color="000000" w:sz="4" w:space="0"/>
              <w:bottom w:val="single" w:color="auto" w:sz="4" w:space="0"/>
              <w:right w:val="single" w:color="000000" w:sz="4" w:space="0"/>
            </w:tcBorders>
            <w:noWrap w:val="0"/>
            <w:vAlign w:val="center"/>
          </w:tcPr>
          <w:p w14:paraId="75A885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tcBorders>
              <w:top w:val="single" w:color="000000" w:sz="4" w:space="0"/>
              <w:left w:val="single" w:color="000000" w:sz="4" w:space="0"/>
              <w:bottom w:val="single" w:color="000000" w:sz="4" w:space="0"/>
              <w:right w:val="single" w:color="000000" w:sz="4" w:space="0"/>
            </w:tcBorders>
            <w:noWrap w:val="0"/>
            <w:vAlign w:val="center"/>
          </w:tcPr>
          <w:p w14:paraId="6FAE3D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绿化管线维修</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4DD70D3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0C468FB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14:paraId="2609C55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浇水管线检修、安装、调试及材料入库、排水</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5B0F749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季节工7个月（4月-10月）</w:t>
            </w:r>
          </w:p>
        </w:tc>
      </w:tr>
      <w:tr w14:paraId="696EE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6" w:type="pct"/>
            <w:vMerge w:val="continue"/>
            <w:tcBorders>
              <w:top w:val="single" w:color="auto" w:sz="4" w:space="0"/>
              <w:left w:val="single" w:color="000000" w:sz="4" w:space="0"/>
              <w:bottom w:val="single" w:color="auto" w:sz="4" w:space="0"/>
              <w:right w:val="single" w:color="000000" w:sz="4" w:space="0"/>
            </w:tcBorders>
            <w:noWrap w:val="0"/>
            <w:vAlign w:val="center"/>
          </w:tcPr>
          <w:p w14:paraId="18DE07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tcBorders>
              <w:top w:val="single" w:color="000000" w:sz="4" w:space="0"/>
              <w:left w:val="single" w:color="000000" w:sz="4" w:space="0"/>
              <w:bottom w:val="single" w:color="000000" w:sz="4" w:space="0"/>
              <w:right w:val="single" w:color="000000" w:sz="4" w:space="0"/>
            </w:tcBorders>
            <w:noWrap w:val="0"/>
            <w:vAlign w:val="center"/>
          </w:tcPr>
          <w:p w14:paraId="57F245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高空车驾驶员</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6C615C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B照驾驶证</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0D04B79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14:paraId="5EC3FB3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负责道路两侧树木修剪车辆作业维修、保养</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50BD599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季节工7个月（4月-10月）</w:t>
            </w:r>
          </w:p>
        </w:tc>
      </w:tr>
      <w:tr w14:paraId="2DEC6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6" w:type="pct"/>
            <w:vMerge w:val="continue"/>
            <w:tcBorders>
              <w:top w:val="single" w:color="auto" w:sz="4" w:space="0"/>
              <w:left w:val="single" w:color="000000" w:sz="4" w:space="0"/>
              <w:bottom w:val="single" w:color="auto" w:sz="4" w:space="0"/>
              <w:right w:val="single" w:color="000000" w:sz="4" w:space="0"/>
            </w:tcBorders>
            <w:noWrap w:val="0"/>
            <w:vAlign w:val="center"/>
          </w:tcPr>
          <w:p w14:paraId="0B2359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tcBorders>
              <w:top w:val="single" w:color="000000" w:sz="4" w:space="0"/>
              <w:left w:val="single" w:color="000000" w:sz="4" w:space="0"/>
              <w:bottom w:val="single" w:color="000000" w:sz="4" w:space="0"/>
              <w:right w:val="single" w:color="000000" w:sz="4" w:space="0"/>
            </w:tcBorders>
            <w:noWrap w:val="0"/>
            <w:vAlign w:val="center"/>
          </w:tcPr>
          <w:p w14:paraId="4BDFB60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地面修剪</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346B84E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6AD31B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14:paraId="7DE50D5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乔木整形修剪（清除下垂枝、干枯枝、斜生枝、病虫枝等）</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36FB58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季节工7个月（4月-10月）</w:t>
            </w:r>
          </w:p>
        </w:tc>
      </w:tr>
      <w:tr w14:paraId="6BDFC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6" w:type="pct"/>
            <w:vMerge w:val="continue"/>
            <w:tcBorders>
              <w:top w:val="single" w:color="auto" w:sz="4" w:space="0"/>
              <w:left w:val="single" w:color="000000" w:sz="4" w:space="0"/>
              <w:bottom w:val="single" w:color="auto" w:sz="4" w:space="0"/>
              <w:right w:val="single" w:color="000000" w:sz="4" w:space="0"/>
            </w:tcBorders>
            <w:noWrap w:val="0"/>
            <w:vAlign w:val="center"/>
          </w:tcPr>
          <w:p w14:paraId="7D21E0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tcBorders>
              <w:top w:val="single" w:color="000000" w:sz="4" w:space="0"/>
              <w:left w:val="single" w:color="000000" w:sz="4" w:space="0"/>
              <w:bottom w:val="single" w:color="000000" w:sz="4" w:space="0"/>
              <w:right w:val="single" w:color="000000" w:sz="4" w:space="0"/>
            </w:tcBorders>
            <w:noWrap w:val="0"/>
            <w:vAlign w:val="center"/>
          </w:tcPr>
          <w:p w14:paraId="6B8238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车上装枝</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3725BF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6AFABE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14:paraId="7B7ABAE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修剪后的树木枝条车上装车</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5A3F26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季节工7个月（4月-10月）</w:t>
            </w:r>
          </w:p>
        </w:tc>
      </w:tr>
      <w:tr w14:paraId="16751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6" w:type="pct"/>
            <w:vMerge w:val="continue"/>
            <w:tcBorders>
              <w:top w:val="single" w:color="auto" w:sz="4" w:space="0"/>
              <w:left w:val="single" w:color="000000" w:sz="4" w:space="0"/>
              <w:bottom w:val="single" w:color="auto" w:sz="4" w:space="0"/>
              <w:right w:val="single" w:color="000000" w:sz="4" w:space="0"/>
            </w:tcBorders>
            <w:noWrap w:val="0"/>
            <w:vAlign w:val="center"/>
          </w:tcPr>
          <w:p w14:paraId="00686D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tcBorders>
              <w:top w:val="single" w:color="000000" w:sz="4" w:space="0"/>
              <w:left w:val="single" w:color="000000" w:sz="4" w:space="0"/>
              <w:bottom w:val="single" w:color="000000" w:sz="4" w:space="0"/>
              <w:right w:val="single" w:color="000000" w:sz="4" w:space="0"/>
            </w:tcBorders>
            <w:noWrap w:val="0"/>
            <w:vAlign w:val="center"/>
          </w:tcPr>
          <w:p w14:paraId="4716C29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防治车驾驶员</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7D0EDB3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B照驾驶证</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3AAD73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14:paraId="1B6F6DC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病虫害防治车辆驾驶及维护、保养</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510B375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季节工7个月（4月-10月）</w:t>
            </w:r>
          </w:p>
        </w:tc>
      </w:tr>
      <w:tr w14:paraId="4C0F3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6" w:type="pct"/>
            <w:vMerge w:val="continue"/>
            <w:tcBorders>
              <w:top w:val="single" w:color="auto" w:sz="4" w:space="0"/>
              <w:left w:val="single" w:color="000000" w:sz="4" w:space="0"/>
              <w:bottom w:val="single" w:color="auto" w:sz="4" w:space="0"/>
              <w:right w:val="single" w:color="000000" w:sz="4" w:space="0"/>
            </w:tcBorders>
            <w:noWrap w:val="0"/>
            <w:vAlign w:val="center"/>
          </w:tcPr>
          <w:p w14:paraId="17315A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tcBorders>
              <w:top w:val="single" w:color="000000" w:sz="4" w:space="0"/>
              <w:left w:val="single" w:color="000000" w:sz="4" w:space="0"/>
              <w:bottom w:val="single" w:color="000000" w:sz="4" w:space="0"/>
              <w:right w:val="single" w:color="000000" w:sz="4" w:space="0"/>
            </w:tcBorders>
            <w:noWrap w:val="0"/>
            <w:vAlign w:val="center"/>
          </w:tcPr>
          <w:p w14:paraId="2B3552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高空修剪作业</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600A18C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440366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14:paraId="0DA112B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乔木造型、疏枝、截干等修剪作业</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32C566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季节工7个月（4月-10月）</w:t>
            </w:r>
          </w:p>
        </w:tc>
      </w:tr>
      <w:tr w14:paraId="6C789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6" w:type="pct"/>
            <w:vMerge w:val="continue"/>
            <w:tcBorders>
              <w:top w:val="single" w:color="auto" w:sz="4" w:space="0"/>
              <w:left w:val="single" w:color="000000" w:sz="4" w:space="0"/>
              <w:bottom w:val="single" w:color="auto" w:sz="4" w:space="0"/>
              <w:right w:val="single" w:color="000000" w:sz="4" w:space="0"/>
            </w:tcBorders>
            <w:noWrap w:val="0"/>
            <w:vAlign w:val="center"/>
          </w:tcPr>
          <w:p w14:paraId="522103D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tcBorders>
              <w:top w:val="single" w:color="000000" w:sz="4" w:space="0"/>
              <w:left w:val="single" w:color="000000" w:sz="4" w:space="0"/>
              <w:bottom w:val="single" w:color="000000" w:sz="4" w:space="0"/>
              <w:right w:val="single" w:color="000000" w:sz="4" w:space="0"/>
            </w:tcBorders>
            <w:noWrap w:val="0"/>
            <w:vAlign w:val="center"/>
          </w:tcPr>
          <w:p w14:paraId="1E032A0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园林机械维修工</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1B97B4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0968779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14:paraId="139E2A7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园林机械设备检修维护</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495374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季节工7个月（4月-10月）</w:t>
            </w:r>
          </w:p>
        </w:tc>
      </w:tr>
      <w:tr w14:paraId="78856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6" w:type="pct"/>
            <w:vMerge w:val="continue"/>
            <w:tcBorders>
              <w:top w:val="single" w:color="auto" w:sz="4" w:space="0"/>
              <w:left w:val="single" w:color="000000" w:sz="4" w:space="0"/>
              <w:bottom w:val="single" w:color="auto" w:sz="4" w:space="0"/>
              <w:right w:val="single" w:color="000000" w:sz="4" w:space="0"/>
            </w:tcBorders>
            <w:noWrap w:val="0"/>
            <w:vAlign w:val="center"/>
          </w:tcPr>
          <w:p w14:paraId="7794A2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tcBorders>
              <w:top w:val="single" w:color="000000" w:sz="4" w:space="0"/>
              <w:left w:val="single" w:color="000000" w:sz="4" w:space="0"/>
              <w:bottom w:val="single" w:color="000000" w:sz="4" w:space="0"/>
              <w:right w:val="single" w:color="000000" w:sz="4" w:space="0"/>
            </w:tcBorders>
            <w:noWrap w:val="0"/>
            <w:vAlign w:val="center"/>
          </w:tcPr>
          <w:p w14:paraId="136143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保洁</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577188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178842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14:paraId="32AEC09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做好办公楼内卫生保洁工作</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4E6BA08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3C09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6" w:type="pct"/>
            <w:vMerge w:val="continue"/>
            <w:tcBorders>
              <w:top w:val="single" w:color="auto" w:sz="4" w:space="0"/>
              <w:left w:val="single" w:color="000000" w:sz="4" w:space="0"/>
              <w:bottom w:val="single" w:color="auto" w:sz="4" w:space="0"/>
              <w:right w:val="single" w:color="000000" w:sz="4" w:space="0"/>
            </w:tcBorders>
            <w:noWrap w:val="0"/>
            <w:vAlign w:val="center"/>
          </w:tcPr>
          <w:p w14:paraId="5D7B131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tcBorders>
              <w:top w:val="single" w:color="000000" w:sz="4" w:space="0"/>
              <w:left w:val="single" w:color="000000" w:sz="4" w:space="0"/>
              <w:bottom w:val="single" w:color="000000" w:sz="4" w:space="0"/>
              <w:right w:val="single" w:color="000000" w:sz="4" w:space="0"/>
            </w:tcBorders>
            <w:noWrap w:val="0"/>
            <w:vAlign w:val="center"/>
          </w:tcPr>
          <w:p w14:paraId="1F7FD85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电工</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76EC7F3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特种作业电工证</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6AE26D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14:paraId="0809746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电力设施安装、调试、维修，照明设施维护及检修</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1CDA79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9ABB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6" w:type="pct"/>
            <w:vMerge w:val="continue"/>
            <w:tcBorders>
              <w:top w:val="single" w:color="auto" w:sz="4" w:space="0"/>
              <w:left w:val="single" w:color="000000" w:sz="4" w:space="0"/>
              <w:bottom w:val="single" w:color="auto" w:sz="4" w:space="0"/>
              <w:right w:val="single" w:color="000000" w:sz="4" w:space="0"/>
            </w:tcBorders>
            <w:noWrap w:val="0"/>
            <w:vAlign w:val="center"/>
          </w:tcPr>
          <w:p w14:paraId="7B5509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tcBorders>
              <w:top w:val="single" w:color="000000" w:sz="4" w:space="0"/>
              <w:left w:val="single" w:color="000000" w:sz="4" w:space="0"/>
              <w:bottom w:val="single" w:color="000000" w:sz="4" w:space="0"/>
              <w:right w:val="single" w:color="000000" w:sz="4" w:space="0"/>
            </w:tcBorders>
            <w:noWrap w:val="0"/>
            <w:vAlign w:val="center"/>
          </w:tcPr>
          <w:p w14:paraId="52E0330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会计</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1136F82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223379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14:paraId="07575C5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审核各类原始凭证、预算、结算、资产核算、财务报表等工作</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0FF3FB2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A26B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386" w:type="pct"/>
            <w:vMerge w:val="continue"/>
            <w:tcBorders>
              <w:top w:val="single" w:color="auto" w:sz="4" w:space="0"/>
              <w:left w:val="single" w:color="000000" w:sz="4" w:space="0"/>
              <w:bottom w:val="single" w:color="auto" w:sz="4" w:space="0"/>
              <w:right w:val="single" w:color="000000" w:sz="4" w:space="0"/>
            </w:tcBorders>
            <w:noWrap w:val="0"/>
            <w:vAlign w:val="center"/>
          </w:tcPr>
          <w:p w14:paraId="59CFE95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tcBorders>
              <w:top w:val="single" w:color="000000" w:sz="4" w:space="0"/>
              <w:left w:val="single" w:color="000000" w:sz="4" w:space="0"/>
              <w:bottom w:val="single" w:color="000000" w:sz="4" w:space="0"/>
              <w:right w:val="single" w:color="000000" w:sz="4" w:space="0"/>
            </w:tcBorders>
            <w:noWrap w:val="0"/>
            <w:vAlign w:val="center"/>
          </w:tcPr>
          <w:p w14:paraId="1DDEBE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技术员</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2D16E4B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7E2974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14:paraId="77ED0C8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工程档案资料收集整理</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05570A3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8DD8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6" w:type="pct"/>
            <w:vMerge w:val="continue"/>
            <w:tcBorders>
              <w:top w:val="single" w:color="auto" w:sz="4" w:space="0"/>
              <w:left w:val="single" w:color="000000" w:sz="4" w:space="0"/>
              <w:bottom w:val="single" w:color="auto" w:sz="4" w:space="0"/>
              <w:right w:val="single" w:color="000000" w:sz="4" w:space="0"/>
            </w:tcBorders>
            <w:noWrap w:val="0"/>
            <w:vAlign w:val="center"/>
          </w:tcPr>
          <w:p w14:paraId="0643965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tcBorders>
              <w:top w:val="single" w:color="000000" w:sz="4" w:space="0"/>
              <w:left w:val="single" w:color="000000" w:sz="4" w:space="0"/>
              <w:bottom w:val="single" w:color="000000" w:sz="4" w:space="0"/>
              <w:right w:val="single" w:color="000000" w:sz="4" w:space="0"/>
            </w:tcBorders>
            <w:noWrap w:val="0"/>
            <w:vAlign w:val="center"/>
          </w:tcPr>
          <w:p w14:paraId="0DE764C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驾驶员</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2DA904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C照驾驶证</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57DB8D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14:paraId="2E68DF2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车辆驾驶及维护、保养</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52182F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7B35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6" w:type="pct"/>
            <w:vMerge w:val="continue"/>
            <w:tcBorders>
              <w:top w:val="single" w:color="auto" w:sz="4" w:space="0"/>
              <w:left w:val="single" w:color="000000" w:sz="4" w:space="0"/>
              <w:bottom w:val="single" w:color="auto" w:sz="4" w:space="0"/>
              <w:right w:val="single" w:color="000000" w:sz="4" w:space="0"/>
            </w:tcBorders>
            <w:noWrap w:val="0"/>
            <w:vAlign w:val="center"/>
          </w:tcPr>
          <w:p w14:paraId="2EE6013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tcBorders>
              <w:top w:val="single" w:color="000000" w:sz="4" w:space="0"/>
              <w:left w:val="single" w:color="000000" w:sz="4" w:space="0"/>
              <w:bottom w:val="single" w:color="000000" w:sz="4" w:space="0"/>
              <w:right w:val="single" w:color="000000" w:sz="4" w:space="0"/>
            </w:tcBorders>
            <w:noWrap w:val="0"/>
            <w:vAlign w:val="center"/>
          </w:tcPr>
          <w:p w14:paraId="7F3B4A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文员</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04EEF5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52D8DD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14:paraId="6F65067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收集整理各类业务数据、档案管理以及12345、吉事通等案件的接件、派件、处理等</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4F497C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D11F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6" w:type="pct"/>
            <w:vMerge w:val="continue"/>
            <w:tcBorders>
              <w:top w:val="single" w:color="auto" w:sz="4" w:space="0"/>
              <w:left w:val="single" w:color="000000" w:sz="4" w:space="0"/>
              <w:bottom w:val="single" w:color="auto" w:sz="4" w:space="0"/>
              <w:right w:val="single" w:color="000000" w:sz="4" w:space="0"/>
            </w:tcBorders>
            <w:noWrap w:val="0"/>
            <w:vAlign w:val="center"/>
          </w:tcPr>
          <w:p w14:paraId="599EB6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highlight w:val="none"/>
                <w:u w:val="none"/>
              </w:rPr>
            </w:pPr>
          </w:p>
        </w:tc>
        <w:tc>
          <w:tcPr>
            <w:tcW w:w="841" w:type="pct"/>
            <w:tcBorders>
              <w:top w:val="single" w:color="000000" w:sz="4" w:space="0"/>
              <w:left w:val="single" w:color="000000" w:sz="4" w:space="0"/>
              <w:bottom w:val="single" w:color="000000" w:sz="4" w:space="0"/>
              <w:right w:val="single" w:color="000000" w:sz="4" w:space="0"/>
            </w:tcBorders>
            <w:noWrap w:val="0"/>
            <w:vAlign w:val="center"/>
          </w:tcPr>
          <w:p w14:paraId="233B96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后勤人员</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6EF7A9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42B4FE5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2091" w:type="pct"/>
            <w:tcBorders>
              <w:top w:val="single" w:color="000000" w:sz="4" w:space="0"/>
              <w:left w:val="single" w:color="000000" w:sz="4" w:space="0"/>
              <w:bottom w:val="single" w:color="000000" w:sz="4" w:space="0"/>
              <w:right w:val="single" w:color="000000" w:sz="4" w:space="0"/>
            </w:tcBorders>
            <w:noWrap w:val="0"/>
            <w:vAlign w:val="center"/>
          </w:tcPr>
          <w:p w14:paraId="4E58CD7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对滨湖河水域安全的巡逻、对园内环境卫生、绿化养护、设施完好、安全隐患等情况做好巡查，发现问题立即组织整改或上报</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4857EC1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bl>
    <w:p w14:paraId="7BDF03D9">
      <w:pPr>
        <w:rPr>
          <w:color w:val="auto"/>
        </w:rPr>
      </w:pPr>
    </w:p>
    <w:p w14:paraId="3013F6FF">
      <w:pPr>
        <w:rPr>
          <w:rFonts w:hint="eastAsia" w:ascii="宋体" w:hAnsi="宋体" w:eastAsia="宋体" w:cs="宋体"/>
          <w:b/>
          <w:bCs/>
          <w:color w:val="auto"/>
          <w:kern w:val="0"/>
          <w:sz w:val="28"/>
          <w:szCs w:val="28"/>
          <w:highlight w:val="none"/>
          <w:lang w:val="en-US" w:eastAsia="zh-CN"/>
        </w:rPr>
      </w:pPr>
      <w:r>
        <w:rPr>
          <w:rFonts w:hint="eastAsia" w:ascii="宋体" w:hAnsi="宋体" w:eastAsia="宋体" w:cs="宋体"/>
          <w:b/>
          <w:bCs/>
          <w:color w:val="auto"/>
          <w:kern w:val="0"/>
          <w:sz w:val="28"/>
          <w:szCs w:val="28"/>
          <w:highlight w:val="none"/>
          <w:lang w:val="en-US" w:eastAsia="zh-CN"/>
        </w:rPr>
        <w:br w:type="page"/>
      </w:r>
    </w:p>
    <w:p w14:paraId="5DB75E67">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b/>
          <w:bCs/>
          <w:color w:val="auto"/>
          <w:kern w:val="0"/>
          <w:sz w:val="28"/>
          <w:szCs w:val="28"/>
          <w:highlight w:val="none"/>
          <w:lang w:val="en-US" w:eastAsia="zh-CN"/>
        </w:rPr>
      </w:pPr>
      <w:r>
        <w:rPr>
          <w:rFonts w:hint="eastAsia" w:ascii="宋体" w:hAnsi="宋体" w:eastAsia="宋体" w:cs="宋体"/>
          <w:b/>
          <w:bCs/>
          <w:color w:val="auto"/>
          <w:kern w:val="0"/>
          <w:sz w:val="28"/>
          <w:szCs w:val="28"/>
          <w:highlight w:val="none"/>
          <w:lang w:val="en-US" w:eastAsia="zh-CN"/>
        </w:rPr>
        <w:t>（4）城市执法辅助</w:t>
      </w:r>
      <w:r>
        <w:rPr>
          <w:rFonts w:hint="eastAsia" w:ascii="宋体" w:hAnsi="宋体" w:cs="宋体"/>
          <w:b/>
          <w:bCs/>
          <w:color w:val="auto"/>
          <w:kern w:val="0"/>
          <w:sz w:val="28"/>
          <w:szCs w:val="28"/>
          <w:highlight w:val="none"/>
          <w:lang w:val="en-US" w:eastAsia="zh-CN"/>
        </w:rPr>
        <w:t>服务</w:t>
      </w:r>
      <w:r>
        <w:rPr>
          <w:rFonts w:hint="eastAsia" w:ascii="宋体" w:hAnsi="宋体" w:eastAsia="宋体" w:cs="宋体"/>
          <w:b/>
          <w:bCs/>
          <w:color w:val="auto"/>
          <w:kern w:val="0"/>
          <w:sz w:val="28"/>
          <w:szCs w:val="28"/>
          <w:highlight w:val="none"/>
          <w:lang w:val="en-US" w:eastAsia="zh-CN"/>
        </w:rPr>
        <w:t>：</w:t>
      </w:r>
    </w:p>
    <w:p w14:paraId="742D5DE0">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1.1服务范围：昌吉市范围内所辖6个街道办事处、10个乡镇、</w:t>
      </w:r>
      <w:r>
        <w:rPr>
          <w:rFonts w:hint="eastAsia" w:ascii="宋体" w:hAnsi="宋体" w:cs="宋体"/>
          <w:color w:val="auto"/>
          <w:kern w:val="0"/>
          <w:sz w:val="24"/>
          <w:szCs w:val="24"/>
          <w:lang w:val="en-US" w:eastAsia="zh-CN" w:bidi="ar"/>
        </w:rPr>
        <w:t>昌吉市、</w:t>
      </w:r>
      <w:r>
        <w:rPr>
          <w:rFonts w:hint="eastAsia" w:ascii="宋体" w:hAnsi="宋体" w:eastAsia="宋体" w:cs="宋体"/>
          <w:color w:val="auto"/>
          <w:kern w:val="0"/>
          <w:sz w:val="24"/>
          <w:szCs w:val="24"/>
          <w:lang w:val="en-US" w:eastAsia="zh-CN" w:bidi="ar"/>
        </w:rPr>
        <w:t>庭州生态绿谷管理中心</w:t>
      </w:r>
      <w:r>
        <w:rPr>
          <w:rFonts w:hint="eastAsia" w:ascii="宋体" w:hAnsi="宋体" w:cs="宋体"/>
          <w:color w:val="auto"/>
          <w:kern w:val="0"/>
          <w:sz w:val="24"/>
          <w:szCs w:val="24"/>
          <w:lang w:val="en-US" w:eastAsia="zh-CN" w:bidi="ar"/>
        </w:rPr>
        <w:t>。</w:t>
      </w:r>
    </w:p>
    <w:p w14:paraId="36CBB074">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1.2服务内容：中华人民共和国住房和城乡建设部颁布的《城市管理执法办法》第十八条规定：城市管理执法主管部门可以配备城市管理执法协管人员，配合执法人员从事执法辅助事务，具体从事以下工作：一是法制宣传教育普法工作；二是巡查检查发现城市管理违法违规线索，记录巡查情况；三是信息收集上报和建立台帐收集档案工作；四是对在巡查中发现的轻微违法违规行为进行劝阻、引导、纠正；五是开展现场保护、秩序维护、文书传递、后勤保障等事务性工作。六是完成交办的其他工作任务。</w:t>
      </w:r>
    </w:p>
    <w:p w14:paraId="7599B2C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依据昌市党办【2019】18号《昌吉市城市管理综合执法大队机构职能编制规</w:t>
      </w:r>
      <w:r>
        <w:rPr>
          <w:rFonts w:hint="eastAsia" w:ascii="宋体" w:hAnsi="宋体" w:eastAsia="宋体" w:cs="宋体"/>
          <w:color w:val="auto"/>
          <w:kern w:val="0"/>
          <w:sz w:val="24"/>
          <w:szCs w:val="24"/>
          <w:highlight w:val="none"/>
          <w:lang w:val="en-US" w:eastAsia="zh-CN" w:bidi="ar"/>
        </w:rPr>
        <w:t>定》，将6个街道办事处、10个乡镇、</w:t>
      </w:r>
      <w:r>
        <w:rPr>
          <w:rFonts w:hint="eastAsia" w:ascii="宋体" w:hAnsi="宋体" w:cs="宋体"/>
          <w:color w:val="auto"/>
          <w:kern w:val="0"/>
          <w:sz w:val="24"/>
          <w:szCs w:val="24"/>
          <w:highlight w:val="none"/>
          <w:lang w:val="en-US" w:eastAsia="zh-CN" w:bidi="ar"/>
        </w:rPr>
        <w:t>昌吉</w:t>
      </w:r>
      <w:r>
        <w:rPr>
          <w:rFonts w:hint="eastAsia" w:ascii="宋体" w:hAnsi="宋体" w:eastAsia="宋体" w:cs="宋体"/>
          <w:color w:val="auto"/>
          <w:kern w:val="0"/>
          <w:sz w:val="24"/>
          <w:szCs w:val="24"/>
          <w:highlight w:val="none"/>
          <w:lang w:val="en-US" w:eastAsia="zh-CN" w:bidi="ar"/>
        </w:rPr>
        <w:t>市、庭州生</w:t>
      </w:r>
      <w:r>
        <w:rPr>
          <w:rFonts w:hint="eastAsia" w:ascii="宋体" w:hAnsi="宋体" w:eastAsia="宋体" w:cs="宋体"/>
          <w:color w:val="auto"/>
          <w:kern w:val="0"/>
          <w:sz w:val="24"/>
          <w:szCs w:val="24"/>
          <w:lang w:val="en-US" w:eastAsia="zh-CN" w:bidi="ar"/>
        </w:rPr>
        <w:t>态绿谷管理中心，编制为12个执法中队，需配备执法协管员辅助开展执法事务。</w:t>
      </w:r>
    </w:p>
    <w:p w14:paraId="3986DCAA">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1.3服务标准</w:t>
      </w:r>
    </w:p>
    <w:p w14:paraId="5F941D1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1、执法规范性。工作当中使用文明用语，做到态度温和、以理服人。</w:t>
      </w:r>
    </w:p>
    <w:p w14:paraId="1E045B3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2、市容秩序管理。落实责任区域定人定岗，责任区域内无证无照经营、占道经营、店外经营等职责范围内市容环境秩序得到有效控制，发现轻微违法违规行为及时处理。</w:t>
      </w:r>
    </w:p>
    <w:p w14:paraId="62B22D89">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3、在日常督查过程中，无经过电话投诉通知或工作群内拍照方式指出的问题，并且能够按规定时间完成整改。</w:t>
      </w:r>
    </w:p>
    <w:p w14:paraId="27A35364">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cs="宋体"/>
          <w:color w:val="auto"/>
          <w:kern w:val="0"/>
          <w:sz w:val="24"/>
          <w:szCs w:val="24"/>
          <w:lang w:val="en-US" w:eastAsia="zh-CN" w:bidi="ar"/>
        </w:rPr>
        <w:t>4</w:t>
      </w:r>
      <w:r>
        <w:rPr>
          <w:rFonts w:hint="eastAsia" w:ascii="宋体" w:hAnsi="宋体" w:eastAsia="宋体" w:cs="宋体"/>
          <w:color w:val="auto"/>
          <w:kern w:val="0"/>
          <w:sz w:val="24"/>
          <w:szCs w:val="24"/>
          <w:lang w:val="en-US" w:eastAsia="zh-CN" w:bidi="ar"/>
        </w:rPr>
        <w:t>、团队协作与执行力。服从工作安排，对安排的工作指令和会议精神迅速传达落实，积极配合同事完成协同任务，无推诿扯皮现象。</w:t>
      </w:r>
    </w:p>
    <w:p w14:paraId="652AF0F3">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1.4考核标准</w:t>
      </w:r>
    </w:p>
    <w:p w14:paraId="094B4E78">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昌吉市城市管理综合执法大队协管</w:t>
      </w:r>
      <w:r>
        <w:rPr>
          <w:rFonts w:hint="eastAsia" w:ascii="宋体" w:hAnsi="宋体" w:eastAsia="宋体" w:cs="宋体"/>
          <w:color w:val="auto"/>
          <w:sz w:val="21"/>
          <w:szCs w:val="21"/>
        </w:rPr>
        <w:t>员考核分值表</w:t>
      </w:r>
    </w:p>
    <w:tbl>
      <w:tblPr>
        <w:tblStyle w:val="43"/>
        <w:tblW w:w="8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7920"/>
      </w:tblGrid>
      <w:tr w14:paraId="4EE68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954" w:type="dxa"/>
            <w:noWrap w:val="0"/>
            <w:vAlign w:val="center"/>
          </w:tcPr>
          <w:p w14:paraId="1C6592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黑体" w:hAnsi="黑体" w:eastAsia="黑体"/>
                <w:color w:val="auto"/>
                <w:sz w:val="18"/>
                <w:szCs w:val="18"/>
              </w:rPr>
            </w:pPr>
            <w:r>
              <w:rPr>
                <w:rFonts w:hint="eastAsia" w:ascii="宋体" w:hAnsi="宋体" w:cs="宋体"/>
                <w:color w:val="auto"/>
                <w:sz w:val="18"/>
                <w:szCs w:val="18"/>
              </w:rPr>
              <w:t>项目</w:t>
            </w:r>
          </w:p>
        </w:tc>
        <w:tc>
          <w:tcPr>
            <w:tcW w:w="7920" w:type="dxa"/>
            <w:noWrap w:val="0"/>
            <w:vAlign w:val="center"/>
          </w:tcPr>
          <w:p w14:paraId="200C65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color w:val="auto"/>
                <w:sz w:val="18"/>
                <w:szCs w:val="18"/>
              </w:rPr>
            </w:pPr>
            <w:r>
              <w:rPr>
                <w:rFonts w:hint="eastAsia" w:ascii="宋体" w:hAnsi="宋体"/>
                <w:color w:val="auto"/>
                <w:kern w:val="0"/>
                <w:sz w:val="18"/>
                <w:szCs w:val="18"/>
              </w:rPr>
              <w:t>考核细则</w:t>
            </w:r>
          </w:p>
        </w:tc>
      </w:tr>
      <w:tr w14:paraId="1AD9C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954" w:type="dxa"/>
            <w:vMerge w:val="restart"/>
            <w:noWrap w:val="0"/>
            <w:vAlign w:val="center"/>
          </w:tcPr>
          <w:p w14:paraId="6247EC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auto"/>
                <w:spacing w:val="-6"/>
                <w:kern w:val="22"/>
                <w:sz w:val="18"/>
                <w:szCs w:val="18"/>
              </w:rPr>
            </w:pPr>
            <w:r>
              <w:rPr>
                <w:rFonts w:hint="eastAsia" w:ascii="宋体" w:hAnsi="宋体" w:eastAsia="宋体" w:cs="宋体"/>
                <w:snapToGrid w:val="0"/>
                <w:color w:val="auto"/>
                <w:spacing w:val="-6"/>
                <w:kern w:val="22"/>
                <w:sz w:val="18"/>
                <w:szCs w:val="18"/>
              </w:rPr>
              <w:t>考勤</w:t>
            </w:r>
          </w:p>
          <w:p w14:paraId="63AB70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snapToGrid w:val="0"/>
                <w:color w:val="auto"/>
                <w:spacing w:val="-6"/>
                <w:kern w:val="22"/>
                <w:sz w:val="18"/>
                <w:szCs w:val="18"/>
              </w:rPr>
              <w:t>（</w:t>
            </w:r>
            <w:r>
              <w:rPr>
                <w:rFonts w:hint="eastAsia" w:ascii="宋体" w:hAnsi="宋体" w:eastAsia="宋体" w:cs="宋体"/>
                <w:snapToGrid w:val="0"/>
                <w:color w:val="auto"/>
                <w:spacing w:val="-6"/>
                <w:kern w:val="22"/>
                <w:sz w:val="18"/>
                <w:szCs w:val="18"/>
                <w:lang w:val="en-US" w:eastAsia="zh-CN"/>
              </w:rPr>
              <w:t>20</w:t>
            </w:r>
            <w:r>
              <w:rPr>
                <w:rFonts w:hint="eastAsia" w:ascii="宋体" w:hAnsi="宋体" w:eastAsia="宋体" w:cs="宋体"/>
                <w:snapToGrid w:val="0"/>
                <w:color w:val="auto"/>
                <w:spacing w:val="-6"/>
                <w:kern w:val="22"/>
                <w:sz w:val="18"/>
                <w:szCs w:val="18"/>
              </w:rPr>
              <w:t>分）</w:t>
            </w:r>
          </w:p>
        </w:tc>
        <w:tc>
          <w:tcPr>
            <w:tcW w:w="7920" w:type="dxa"/>
            <w:noWrap w:val="0"/>
            <w:vAlign w:val="center"/>
          </w:tcPr>
          <w:p w14:paraId="43A5EA6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1、认真履行请销假制度。迟到一次扣</w:t>
            </w:r>
            <w:r>
              <w:rPr>
                <w:rFonts w:hint="eastAsia" w:ascii="宋体" w:hAnsi="宋体" w:eastAsia="宋体" w:cs="宋体"/>
                <w:color w:val="auto"/>
                <w:sz w:val="18"/>
                <w:szCs w:val="18"/>
                <w:lang w:val="en-US" w:eastAsia="zh-CN"/>
              </w:rPr>
              <w:t>2</w:t>
            </w:r>
            <w:r>
              <w:rPr>
                <w:rFonts w:hint="eastAsia" w:ascii="宋体" w:hAnsi="宋体" w:eastAsia="宋体" w:cs="宋体"/>
                <w:color w:val="auto"/>
                <w:sz w:val="18"/>
                <w:szCs w:val="18"/>
              </w:rPr>
              <w:t>分</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rPr>
              <w:t>早退一次扣</w:t>
            </w:r>
            <w:r>
              <w:rPr>
                <w:rFonts w:hint="eastAsia" w:ascii="宋体" w:hAnsi="宋体" w:eastAsia="宋体" w:cs="宋体"/>
                <w:color w:val="auto"/>
                <w:sz w:val="18"/>
                <w:szCs w:val="18"/>
                <w:lang w:val="en-US" w:eastAsia="zh-CN"/>
              </w:rPr>
              <w:t>3</w:t>
            </w:r>
            <w:r>
              <w:rPr>
                <w:rFonts w:hint="eastAsia" w:ascii="宋体" w:hAnsi="宋体" w:eastAsia="宋体" w:cs="宋体"/>
                <w:color w:val="auto"/>
                <w:sz w:val="18"/>
                <w:szCs w:val="18"/>
              </w:rPr>
              <w:t>分</w:t>
            </w:r>
            <w:r>
              <w:rPr>
                <w:rFonts w:hint="eastAsia" w:ascii="宋体" w:hAnsi="宋体" w:eastAsia="宋体" w:cs="宋体"/>
                <w:color w:val="auto"/>
                <w:sz w:val="18"/>
                <w:szCs w:val="18"/>
                <w:lang w:val="en-US" w:eastAsia="zh-CN"/>
              </w:rPr>
              <w:t>，</w:t>
            </w:r>
            <w:r>
              <w:rPr>
                <w:rFonts w:hint="eastAsia" w:ascii="宋体" w:hAnsi="宋体" w:eastAsia="宋体" w:cs="宋体"/>
                <w:color w:val="auto"/>
                <w:sz w:val="18"/>
                <w:szCs w:val="18"/>
              </w:rPr>
              <w:t>旷到</w:t>
            </w:r>
            <w:r>
              <w:rPr>
                <w:rFonts w:hint="eastAsia" w:ascii="宋体" w:hAnsi="宋体" w:eastAsia="宋体" w:cs="宋体"/>
                <w:color w:val="auto"/>
                <w:sz w:val="18"/>
                <w:szCs w:val="18"/>
                <w:lang w:val="en-US" w:eastAsia="zh-CN"/>
              </w:rPr>
              <w:t>一次</w:t>
            </w:r>
            <w:r>
              <w:rPr>
                <w:rFonts w:hint="eastAsia" w:ascii="宋体" w:hAnsi="宋体" w:eastAsia="宋体" w:cs="宋体"/>
                <w:color w:val="auto"/>
                <w:sz w:val="18"/>
                <w:szCs w:val="18"/>
              </w:rPr>
              <w:t>扣</w:t>
            </w:r>
            <w:r>
              <w:rPr>
                <w:rFonts w:hint="eastAsia" w:ascii="宋体" w:hAnsi="宋体" w:eastAsia="宋体" w:cs="宋体"/>
                <w:color w:val="auto"/>
                <w:sz w:val="18"/>
                <w:szCs w:val="18"/>
                <w:lang w:val="en-US" w:eastAsia="zh-CN"/>
              </w:rPr>
              <w:t>5</w:t>
            </w:r>
            <w:r>
              <w:rPr>
                <w:rFonts w:hint="eastAsia" w:ascii="宋体" w:hAnsi="宋体" w:eastAsia="宋体" w:cs="宋体"/>
                <w:color w:val="auto"/>
                <w:sz w:val="18"/>
                <w:szCs w:val="18"/>
              </w:rPr>
              <w:t>分；除国家规定的工伤假、休假、探亲假、婚丧假（仅限于直系亲属）、产假</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护理假、陪护假</w:t>
            </w:r>
            <w:r>
              <w:rPr>
                <w:rFonts w:hint="eastAsia" w:ascii="宋体" w:hAnsi="宋体" w:eastAsia="宋体" w:cs="宋体"/>
                <w:color w:val="auto"/>
                <w:sz w:val="18"/>
                <w:szCs w:val="18"/>
              </w:rPr>
              <w:t>等不扣分外，其它事假一天扣3分，病假三天以内不扣分，超过三天的每超一天扣3分（大病除外）。</w:t>
            </w:r>
          </w:p>
        </w:tc>
      </w:tr>
      <w:tr w14:paraId="6856E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exact"/>
          <w:jc w:val="center"/>
        </w:trPr>
        <w:tc>
          <w:tcPr>
            <w:tcW w:w="954" w:type="dxa"/>
            <w:vMerge w:val="continue"/>
            <w:noWrap w:val="0"/>
            <w:vAlign w:val="center"/>
          </w:tcPr>
          <w:p w14:paraId="64C6DD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rPr>
            </w:pPr>
          </w:p>
        </w:tc>
        <w:tc>
          <w:tcPr>
            <w:tcW w:w="7920" w:type="dxa"/>
            <w:noWrap w:val="0"/>
            <w:vAlign w:val="center"/>
          </w:tcPr>
          <w:p w14:paraId="4CC2FB8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2、按时参加</w:t>
            </w:r>
            <w:r>
              <w:rPr>
                <w:rFonts w:hint="eastAsia" w:ascii="宋体" w:hAnsi="宋体" w:eastAsia="宋体" w:cs="宋体"/>
                <w:color w:val="auto"/>
                <w:sz w:val="18"/>
                <w:szCs w:val="18"/>
                <w:lang w:val="en-US" w:eastAsia="zh-CN"/>
              </w:rPr>
              <w:t>大队</w:t>
            </w:r>
            <w:r>
              <w:rPr>
                <w:rFonts w:hint="eastAsia" w:ascii="宋体" w:hAnsi="宋体" w:eastAsia="宋体" w:cs="宋体"/>
                <w:color w:val="auto"/>
                <w:sz w:val="18"/>
                <w:szCs w:val="18"/>
              </w:rPr>
              <w:t>及上级安排的各种会议。迟到一次扣</w:t>
            </w:r>
            <w:r>
              <w:rPr>
                <w:rFonts w:hint="eastAsia" w:ascii="宋体" w:hAnsi="宋体" w:eastAsia="宋体" w:cs="宋体"/>
                <w:color w:val="auto"/>
                <w:sz w:val="18"/>
                <w:szCs w:val="18"/>
                <w:lang w:val="en-US" w:eastAsia="zh-CN"/>
              </w:rPr>
              <w:t>2</w:t>
            </w:r>
            <w:r>
              <w:rPr>
                <w:rFonts w:hint="eastAsia" w:ascii="宋体" w:hAnsi="宋体" w:eastAsia="宋体" w:cs="宋体"/>
                <w:color w:val="auto"/>
                <w:sz w:val="18"/>
                <w:szCs w:val="18"/>
              </w:rPr>
              <w:t>分</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rPr>
              <w:t>早退一次扣</w:t>
            </w:r>
            <w:r>
              <w:rPr>
                <w:rFonts w:hint="eastAsia" w:ascii="宋体" w:hAnsi="宋体" w:eastAsia="宋体" w:cs="宋体"/>
                <w:color w:val="auto"/>
                <w:sz w:val="18"/>
                <w:szCs w:val="18"/>
                <w:lang w:val="en-US" w:eastAsia="zh-CN"/>
              </w:rPr>
              <w:t>3</w:t>
            </w:r>
            <w:r>
              <w:rPr>
                <w:rFonts w:hint="eastAsia" w:ascii="宋体" w:hAnsi="宋体" w:eastAsia="宋体" w:cs="宋体"/>
                <w:color w:val="auto"/>
                <w:sz w:val="18"/>
                <w:szCs w:val="18"/>
              </w:rPr>
              <w:t>分</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rPr>
              <w:t>旷到</w:t>
            </w:r>
            <w:r>
              <w:rPr>
                <w:rFonts w:hint="eastAsia" w:ascii="宋体" w:hAnsi="宋体" w:eastAsia="宋体" w:cs="宋体"/>
                <w:color w:val="auto"/>
                <w:sz w:val="18"/>
                <w:szCs w:val="18"/>
                <w:lang w:val="en-US" w:eastAsia="zh-CN"/>
              </w:rPr>
              <w:t>一次</w:t>
            </w:r>
            <w:r>
              <w:rPr>
                <w:rFonts w:hint="eastAsia" w:ascii="宋体" w:hAnsi="宋体" w:eastAsia="宋体" w:cs="宋体"/>
                <w:color w:val="auto"/>
                <w:sz w:val="18"/>
                <w:szCs w:val="18"/>
              </w:rPr>
              <w:t>扣</w:t>
            </w:r>
            <w:r>
              <w:rPr>
                <w:rFonts w:hint="eastAsia" w:ascii="宋体" w:hAnsi="宋体" w:eastAsia="宋体" w:cs="宋体"/>
                <w:color w:val="auto"/>
                <w:sz w:val="18"/>
                <w:szCs w:val="18"/>
                <w:lang w:val="en-US" w:eastAsia="zh-CN"/>
              </w:rPr>
              <w:t>5</w:t>
            </w:r>
            <w:r>
              <w:rPr>
                <w:rFonts w:hint="eastAsia" w:ascii="宋体" w:hAnsi="宋体" w:eastAsia="宋体" w:cs="宋体"/>
                <w:color w:val="auto"/>
                <w:sz w:val="18"/>
                <w:szCs w:val="18"/>
              </w:rPr>
              <w:t>分；不遵守会议纪律被点名的扣</w:t>
            </w:r>
            <w:r>
              <w:rPr>
                <w:rFonts w:hint="eastAsia" w:ascii="宋体" w:hAnsi="宋体" w:eastAsia="宋体" w:cs="宋体"/>
                <w:color w:val="auto"/>
                <w:sz w:val="18"/>
                <w:szCs w:val="18"/>
                <w:lang w:val="en-US" w:eastAsia="zh-CN"/>
              </w:rPr>
              <w:t>1</w:t>
            </w:r>
            <w:r>
              <w:rPr>
                <w:rFonts w:hint="eastAsia" w:ascii="宋体" w:hAnsi="宋体" w:eastAsia="宋体" w:cs="宋体"/>
                <w:color w:val="auto"/>
                <w:sz w:val="18"/>
                <w:szCs w:val="18"/>
              </w:rPr>
              <w:t>分。</w:t>
            </w:r>
          </w:p>
          <w:p w14:paraId="1731A44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rPr>
            </w:pPr>
          </w:p>
        </w:tc>
      </w:tr>
      <w:tr w14:paraId="608C0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54" w:type="dxa"/>
            <w:vMerge w:val="continue"/>
            <w:noWrap w:val="0"/>
            <w:vAlign w:val="center"/>
          </w:tcPr>
          <w:p w14:paraId="6089B8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rPr>
            </w:pPr>
          </w:p>
        </w:tc>
        <w:tc>
          <w:tcPr>
            <w:tcW w:w="7920" w:type="dxa"/>
            <w:noWrap w:val="0"/>
            <w:vAlign w:val="center"/>
          </w:tcPr>
          <w:p w14:paraId="1990C08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rPr>
              <w:t>脱岗一次扣</w:t>
            </w:r>
            <w:r>
              <w:rPr>
                <w:rFonts w:hint="eastAsia" w:ascii="宋体" w:hAnsi="宋体" w:eastAsia="宋体" w:cs="宋体"/>
                <w:color w:val="auto"/>
                <w:sz w:val="18"/>
                <w:szCs w:val="18"/>
                <w:lang w:val="en-US" w:eastAsia="zh-CN"/>
              </w:rPr>
              <w:t>10</w:t>
            </w:r>
            <w:r>
              <w:rPr>
                <w:rFonts w:hint="eastAsia" w:ascii="宋体" w:hAnsi="宋体" w:eastAsia="宋体" w:cs="宋体"/>
                <w:color w:val="auto"/>
                <w:sz w:val="18"/>
                <w:szCs w:val="18"/>
              </w:rPr>
              <w:t>分</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对讲机呼叫两次内不应答扣2分，点位查岗人员不在或不回应扣5分</w:t>
            </w:r>
            <w:r>
              <w:rPr>
                <w:rFonts w:hint="eastAsia" w:ascii="宋体" w:hAnsi="宋体" w:eastAsia="宋体" w:cs="宋体"/>
                <w:color w:val="auto"/>
                <w:sz w:val="18"/>
                <w:szCs w:val="18"/>
              </w:rPr>
              <w:t>。</w:t>
            </w:r>
          </w:p>
        </w:tc>
      </w:tr>
      <w:tr w14:paraId="0F5E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54" w:type="dxa"/>
            <w:vMerge w:val="continue"/>
            <w:noWrap w:val="0"/>
            <w:vAlign w:val="center"/>
          </w:tcPr>
          <w:p w14:paraId="1D7F6F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rPr>
            </w:pPr>
          </w:p>
        </w:tc>
        <w:tc>
          <w:tcPr>
            <w:tcW w:w="7920" w:type="dxa"/>
            <w:noWrap w:val="0"/>
            <w:vAlign w:val="center"/>
          </w:tcPr>
          <w:p w14:paraId="3DB14E9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rPr>
              <w:t>按时参加各类集体活动及劳动，无故不参加的扣</w:t>
            </w:r>
            <w:r>
              <w:rPr>
                <w:rFonts w:hint="eastAsia" w:ascii="宋体" w:hAnsi="宋体" w:eastAsia="宋体" w:cs="宋体"/>
                <w:color w:val="auto"/>
                <w:sz w:val="18"/>
                <w:szCs w:val="18"/>
                <w:lang w:val="en-US" w:eastAsia="zh-CN"/>
              </w:rPr>
              <w:t>5</w:t>
            </w:r>
            <w:r>
              <w:rPr>
                <w:rFonts w:hint="eastAsia" w:ascii="宋体" w:hAnsi="宋体" w:eastAsia="宋体" w:cs="宋体"/>
                <w:color w:val="auto"/>
                <w:sz w:val="18"/>
                <w:szCs w:val="18"/>
              </w:rPr>
              <w:t>分，迟到一次扣</w:t>
            </w:r>
            <w:r>
              <w:rPr>
                <w:rFonts w:hint="eastAsia" w:ascii="宋体" w:hAnsi="宋体" w:eastAsia="宋体" w:cs="宋体"/>
                <w:color w:val="auto"/>
                <w:sz w:val="18"/>
                <w:szCs w:val="18"/>
                <w:lang w:val="en-US" w:eastAsia="zh-CN"/>
              </w:rPr>
              <w:t>2</w:t>
            </w:r>
            <w:r>
              <w:rPr>
                <w:rFonts w:hint="eastAsia" w:ascii="宋体" w:hAnsi="宋体" w:eastAsia="宋体" w:cs="宋体"/>
                <w:color w:val="auto"/>
                <w:sz w:val="18"/>
                <w:szCs w:val="18"/>
              </w:rPr>
              <w:t>分，早退一次扣</w:t>
            </w:r>
            <w:r>
              <w:rPr>
                <w:rFonts w:hint="eastAsia" w:ascii="宋体" w:hAnsi="宋体" w:eastAsia="宋体" w:cs="宋体"/>
                <w:color w:val="auto"/>
                <w:sz w:val="18"/>
                <w:szCs w:val="18"/>
                <w:lang w:val="en-US" w:eastAsia="zh-CN"/>
              </w:rPr>
              <w:t>3</w:t>
            </w:r>
            <w:r>
              <w:rPr>
                <w:rFonts w:hint="eastAsia" w:ascii="宋体" w:hAnsi="宋体" w:eastAsia="宋体" w:cs="宋体"/>
                <w:color w:val="auto"/>
                <w:sz w:val="18"/>
                <w:szCs w:val="18"/>
              </w:rPr>
              <w:t>分。</w:t>
            </w:r>
          </w:p>
        </w:tc>
      </w:tr>
      <w:tr w14:paraId="2352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exact"/>
          <w:jc w:val="center"/>
        </w:trPr>
        <w:tc>
          <w:tcPr>
            <w:tcW w:w="954" w:type="dxa"/>
            <w:vMerge w:val="restart"/>
            <w:noWrap w:val="0"/>
            <w:vAlign w:val="center"/>
          </w:tcPr>
          <w:p w14:paraId="3BAE45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auto"/>
                <w:spacing w:val="-6"/>
                <w:kern w:val="22"/>
                <w:sz w:val="18"/>
                <w:szCs w:val="18"/>
                <w:lang w:val="en-US" w:eastAsia="zh-CN"/>
              </w:rPr>
            </w:pPr>
            <w:r>
              <w:rPr>
                <w:rFonts w:hint="eastAsia" w:ascii="宋体" w:hAnsi="宋体" w:eastAsia="宋体" w:cs="宋体"/>
                <w:snapToGrid w:val="0"/>
                <w:color w:val="auto"/>
                <w:spacing w:val="-6"/>
                <w:kern w:val="22"/>
                <w:sz w:val="18"/>
                <w:szCs w:val="18"/>
                <w:lang w:val="en-US" w:eastAsia="zh-CN"/>
              </w:rPr>
              <w:t>日常学习</w:t>
            </w:r>
          </w:p>
          <w:p w14:paraId="4C6644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snapToGrid w:val="0"/>
                <w:color w:val="auto"/>
                <w:spacing w:val="-6"/>
                <w:kern w:val="22"/>
                <w:sz w:val="18"/>
                <w:szCs w:val="18"/>
              </w:rPr>
              <w:t>（10分）</w:t>
            </w:r>
          </w:p>
        </w:tc>
        <w:tc>
          <w:tcPr>
            <w:tcW w:w="7920" w:type="dxa"/>
            <w:noWrap w:val="0"/>
            <w:vAlign w:val="center"/>
          </w:tcPr>
          <w:p w14:paraId="360D48E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1、学习培训及例会（5分）：按时参加单位组织的培训</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rPr>
              <w:t>学习、例会</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rPr>
              <w:t>迟到一次扣</w:t>
            </w:r>
            <w:r>
              <w:rPr>
                <w:rFonts w:hint="eastAsia" w:ascii="宋体" w:hAnsi="宋体" w:eastAsia="宋体" w:cs="宋体"/>
                <w:color w:val="auto"/>
                <w:sz w:val="18"/>
                <w:szCs w:val="18"/>
                <w:lang w:val="en-US" w:eastAsia="zh-CN"/>
              </w:rPr>
              <w:t>2</w:t>
            </w:r>
            <w:r>
              <w:rPr>
                <w:rFonts w:hint="eastAsia" w:ascii="宋体" w:hAnsi="宋体" w:eastAsia="宋体" w:cs="宋体"/>
                <w:color w:val="auto"/>
                <w:sz w:val="18"/>
                <w:szCs w:val="18"/>
              </w:rPr>
              <w:t>分</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rPr>
              <w:t>早退一次扣</w:t>
            </w:r>
            <w:r>
              <w:rPr>
                <w:rFonts w:hint="eastAsia" w:ascii="宋体" w:hAnsi="宋体" w:eastAsia="宋体" w:cs="宋体"/>
                <w:color w:val="auto"/>
                <w:sz w:val="18"/>
                <w:szCs w:val="18"/>
                <w:lang w:val="en-US" w:eastAsia="zh-CN"/>
              </w:rPr>
              <w:t>3</w:t>
            </w:r>
            <w:r>
              <w:rPr>
                <w:rFonts w:hint="eastAsia" w:ascii="宋体" w:hAnsi="宋体" w:eastAsia="宋体" w:cs="宋体"/>
                <w:color w:val="auto"/>
                <w:sz w:val="18"/>
                <w:szCs w:val="18"/>
              </w:rPr>
              <w:t>分</w:t>
            </w:r>
            <w:r>
              <w:rPr>
                <w:rFonts w:hint="eastAsia" w:ascii="宋体" w:hAnsi="宋体" w:eastAsia="宋体" w:cs="宋体"/>
                <w:color w:val="auto"/>
                <w:sz w:val="18"/>
                <w:szCs w:val="18"/>
                <w:lang w:val="en-US" w:eastAsia="zh-CN"/>
              </w:rPr>
              <w:t>,</w:t>
            </w:r>
            <w:r>
              <w:rPr>
                <w:rFonts w:hint="eastAsia" w:ascii="宋体" w:hAnsi="宋体" w:eastAsia="宋体" w:cs="宋体"/>
                <w:color w:val="auto"/>
                <w:sz w:val="18"/>
                <w:szCs w:val="18"/>
              </w:rPr>
              <w:t>旷到1</w:t>
            </w:r>
            <w:r>
              <w:rPr>
                <w:rFonts w:hint="eastAsia" w:ascii="宋体" w:hAnsi="宋体" w:eastAsia="宋体" w:cs="宋体"/>
                <w:color w:val="auto"/>
                <w:sz w:val="18"/>
                <w:szCs w:val="18"/>
                <w:lang w:val="en-US" w:eastAsia="zh-CN"/>
              </w:rPr>
              <w:t>次</w:t>
            </w:r>
            <w:r>
              <w:rPr>
                <w:rFonts w:hint="eastAsia" w:ascii="宋体" w:hAnsi="宋体" w:eastAsia="宋体" w:cs="宋体"/>
                <w:color w:val="auto"/>
                <w:sz w:val="18"/>
                <w:szCs w:val="18"/>
              </w:rPr>
              <w:t>扣</w:t>
            </w:r>
            <w:r>
              <w:rPr>
                <w:rFonts w:hint="eastAsia" w:ascii="宋体" w:hAnsi="宋体" w:eastAsia="宋体" w:cs="宋体"/>
                <w:color w:val="auto"/>
                <w:sz w:val="18"/>
                <w:szCs w:val="18"/>
                <w:lang w:val="en-US" w:eastAsia="zh-CN"/>
              </w:rPr>
              <w:t>5</w:t>
            </w:r>
            <w:r>
              <w:rPr>
                <w:rFonts w:hint="eastAsia" w:ascii="宋体" w:hAnsi="宋体" w:eastAsia="宋体" w:cs="宋体"/>
                <w:color w:val="auto"/>
                <w:sz w:val="18"/>
                <w:szCs w:val="18"/>
              </w:rPr>
              <w:t>分</w:t>
            </w:r>
            <w:r>
              <w:rPr>
                <w:rFonts w:hint="eastAsia" w:ascii="宋体" w:hAnsi="宋体" w:eastAsia="宋体" w:cs="宋体"/>
                <w:color w:val="auto"/>
                <w:sz w:val="18"/>
                <w:szCs w:val="18"/>
                <w:lang w:eastAsia="zh-CN"/>
              </w:rPr>
              <w:t>。</w:t>
            </w:r>
          </w:p>
        </w:tc>
      </w:tr>
      <w:tr w14:paraId="727A4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exact"/>
          <w:jc w:val="center"/>
        </w:trPr>
        <w:tc>
          <w:tcPr>
            <w:tcW w:w="954" w:type="dxa"/>
            <w:vMerge w:val="continue"/>
            <w:noWrap w:val="0"/>
            <w:vAlign w:val="center"/>
          </w:tcPr>
          <w:p w14:paraId="78A8AB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rPr>
            </w:pPr>
          </w:p>
        </w:tc>
        <w:tc>
          <w:tcPr>
            <w:tcW w:w="7920" w:type="dxa"/>
            <w:noWrap w:val="0"/>
            <w:vAlign w:val="center"/>
          </w:tcPr>
          <w:p w14:paraId="5A9CFCD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2、学习笔记（5分）：根据学习安排认真学习，笔记缺一次扣2分</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rPr>
              <w:t>没有在规定时间内完成学习</w:t>
            </w:r>
            <w:r>
              <w:rPr>
                <w:rFonts w:hint="eastAsia" w:ascii="宋体" w:hAnsi="宋体" w:eastAsia="宋体" w:cs="宋体"/>
                <w:color w:val="auto"/>
                <w:sz w:val="18"/>
                <w:szCs w:val="18"/>
                <w:lang w:val="en-US" w:eastAsia="zh-CN"/>
              </w:rPr>
              <w:t>笔记</w:t>
            </w:r>
            <w:r>
              <w:rPr>
                <w:rFonts w:hint="eastAsia" w:ascii="宋体" w:hAnsi="宋体" w:eastAsia="宋体" w:cs="宋体"/>
                <w:color w:val="auto"/>
                <w:sz w:val="18"/>
                <w:szCs w:val="18"/>
              </w:rPr>
              <w:t>的一次扣</w:t>
            </w:r>
            <w:r>
              <w:rPr>
                <w:rFonts w:hint="eastAsia" w:ascii="宋体" w:hAnsi="宋体" w:eastAsia="宋体" w:cs="宋体"/>
                <w:color w:val="auto"/>
                <w:sz w:val="18"/>
                <w:szCs w:val="18"/>
                <w:lang w:val="en-US" w:eastAsia="zh-CN"/>
              </w:rPr>
              <w:t>3</w:t>
            </w:r>
            <w:r>
              <w:rPr>
                <w:rFonts w:hint="eastAsia" w:ascii="宋体" w:hAnsi="宋体" w:eastAsia="宋体" w:cs="宋体"/>
                <w:color w:val="auto"/>
                <w:sz w:val="18"/>
                <w:szCs w:val="18"/>
              </w:rPr>
              <w:t>分。</w:t>
            </w:r>
          </w:p>
        </w:tc>
      </w:tr>
      <w:tr w14:paraId="5B5E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954" w:type="dxa"/>
            <w:vMerge w:val="restart"/>
            <w:noWrap w:val="0"/>
            <w:vAlign w:val="center"/>
          </w:tcPr>
          <w:p w14:paraId="08CA9C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auto"/>
                <w:spacing w:val="-6"/>
                <w:kern w:val="22"/>
                <w:sz w:val="18"/>
                <w:szCs w:val="18"/>
              </w:rPr>
            </w:pPr>
            <w:r>
              <w:rPr>
                <w:rFonts w:hint="eastAsia" w:ascii="宋体" w:hAnsi="宋体" w:eastAsia="宋体" w:cs="宋体"/>
                <w:snapToGrid w:val="0"/>
                <w:color w:val="auto"/>
                <w:spacing w:val="-6"/>
                <w:kern w:val="22"/>
                <w:sz w:val="18"/>
                <w:szCs w:val="18"/>
              </w:rPr>
              <w:t>考绩</w:t>
            </w:r>
          </w:p>
          <w:p w14:paraId="74E088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snapToGrid w:val="0"/>
                <w:color w:val="auto"/>
                <w:spacing w:val="-6"/>
                <w:kern w:val="22"/>
                <w:sz w:val="18"/>
                <w:szCs w:val="18"/>
              </w:rPr>
              <w:t>（</w:t>
            </w:r>
            <w:r>
              <w:rPr>
                <w:rFonts w:hint="eastAsia" w:ascii="宋体" w:hAnsi="宋体" w:eastAsia="宋体" w:cs="宋体"/>
                <w:snapToGrid w:val="0"/>
                <w:color w:val="auto"/>
                <w:spacing w:val="-6"/>
                <w:kern w:val="22"/>
                <w:sz w:val="18"/>
                <w:szCs w:val="18"/>
                <w:lang w:val="en-US" w:eastAsia="zh-CN"/>
              </w:rPr>
              <w:t>50</w:t>
            </w:r>
            <w:r>
              <w:rPr>
                <w:rFonts w:hint="eastAsia" w:ascii="宋体" w:hAnsi="宋体" w:eastAsia="宋体" w:cs="宋体"/>
                <w:snapToGrid w:val="0"/>
                <w:color w:val="auto"/>
                <w:spacing w:val="-6"/>
                <w:kern w:val="22"/>
                <w:sz w:val="18"/>
                <w:szCs w:val="18"/>
              </w:rPr>
              <w:t>分）</w:t>
            </w:r>
          </w:p>
        </w:tc>
        <w:tc>
          <w:tcPr>
            <w:tcW w:w="7920" w:type="dxa"/>
            <w:noWrap w:val="0"/>
            <w:vAlign w:val="center"/>
          </w:tcPr>
          <w:p w14:paraId="30B3652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1、工作业绩（32分）</w:t>
            </w:r>
          </w:p>
          <w:p w14:paraId="279D15F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①</w:t>
            </w:r>
            <w:r>
              <w:rPr>
                <w:rFonts w:hint="eastAsia" w:ascii="宋体" w:hAnsi="宋体" w:eastAsia="宋体" w:cs="宋体"/>
                <w:color w:val="auto"/>
                <w:sz w:val="18"/>
                <w:szCs w:val="18"/>
              </w:rPr>
              <w:t>、</w:t>
            </w:r>
            <w:r>
              <w:rPr>
                <w:rFonts w:hint="eastAsia" w:ascii="宋体" w:hAnsi="宋体" w:eastAsia="宋体" w:cs="宋体"/>
                <w:color w:val="auto"/>
                <w:sz w:val="18"/>
                <w:szCs w:val="18"/>
                <w:lang w:val="en-US" w:eastAsia="zh-CN"/>
              </w:rPr>
              <w:t>市容秩序管理</w:t>
            </w:r>
            <w:r>
              <w:rPr>
                <w:rFonts w:hint="eastAsia" w:ascii="宋体" w:hAnsi="宋体" w:eastAsia="宋体" w:cs="宋体"/>
                <w:color w:val="auto"/>
                <w:sz w:val="18"/>
                <w:szCs w:val="18"/>
              </w:rPr>
              <w:t>（</w:t>
            </w:r>
            <w:r>
              <w:rPr>
                <w:rFonts w:hint="eastAsia" w:ascii="宋体" w:hAnsi="宋体" w:eastAsia="宋体" w:cs="宋体"/>
                <w:color w:val="auto"/>
                <w:sz w:val="18"/>
                <w:szCs w:val="18"/>
                <w:lang w:val="en-US" w:eastAsia="zh-CN"/>
              </w:rPr>
              <w:t>8</w:t>
            </w:r>
            <w:r>
              <w:rPr>
                <w:rFonts w:hint="eastAsia" w:ascii="宋体" w:hAnsi="宋体" w:eastAsia="宋体" w:cs="宋体"/>
                <w:color w:val="auto"/>
                <w:sz w:val="18"/>
                <w:szCs w:val="18"/>
              </w:rPr>
              <w:t>分）</w:t>
            </w:r>
            <w:r>
              <w:rPr>
                <w:rFonts w:hint="eastAsia" w:ascii="宋体" w:hAnsi="宋体" w:eastAsia="宋体" w:cs="宋体"/>
                <w:color w:val="auto"/>
                <w:sz w:val="18"/>
                <w:szCs w:val="18"/>
                <w:lang w:val="en-US" w:eastAsia="zh-CN"/>
              </w:rPr>
              <w:t>各片区要落实责任区域定人定岗定路段，责任区域内无证无照经营、占道经营、店外经营等职责范围内市容环境秩序得到有效控制，发现一处未及时处理拖延的一次扣1分；户外广告、拱门、横幅、道旗、门头店招等规范管理，对未备案违规设置的，发现一处未及时处理一次扣1分；乱贴乱画、乱拉乱挂、乱堆乱放等“六乱”现象整治有力，发现一处未及时处理一次扣1分。</w:t>
            </w:r>
          </w:p>
          <w:p w14:paraId="457F6F9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②环境卫生监督</w:t>
            </w:r>
            <w:r>
              <w:rPr>
                <w:rFonts w:hint="eastAsia" w:ascii="宋体" w:hAnsi="宋体" w:eastAsia="宋体" w:cs="宋体"/>
                <w:color w:val="auto"/>
                <w:sz w:val="18"/>
                <w:szCs w:val="18"/>
              </w:rPr>
              <w:t>（</w:t>
            </w:r>
            <w:r>
              <w:rPr>
                <w:rFonts w:hint="eastAsia" w:ascii="宋体" w:hAnsi="宋体" w:eastAsia="宋体" w:cs="宋体"/>
                <w:color w:val="auto"/>
                <w:sz w:val="18"/>
                <w:szCs w:val="18"/>
                <w:lang w:val="en-US" w:eastAsia="zh-CN"/>
              </w:rPr>
              <w:t>8</w:t>
            </w:r>
            <w:r>
              <w:rPr>
                <w:rFonts w:hint="eastAsia" w:ascii="宋体" w:hAnsi="宋体" w:eastAsia="宋体" w:cs="宋体"/>
                <w:color w:val="auto"/>
                <w:sz w:val="18"/>
                <w:szCs w:val="18"/>
              </w:rPr>
              <w:t>分）</w:t>
            </w:r>
            <w:r>
              <w:rPr>
                <w:rFonts w:hint="eastAsia" w:ascii="宋体" w:hAnsi="宋体" w:eastAsia="宋体" w:cs="宋体"/>
                <w:color w:val="auto"/>
                <w:sz w:val="18"/>
                <w:szCs w:val="18"/>
                <w:lang w:val="en-US" w:eastAsia="zh-CN"/>
              </w:rPr>
              <w:t>责任区域内发现高污染燃料、未使用果木炭、市区油烟大等环境卫生问题，发现一处未及时处理一次扣2分；对“门前三包”责任制落实情况进行有效监督，抽查不合格率高于标准1%扣1分；</w:t>
            </w:r>
          </w:p>
          <w:p w14:paraId="200894D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③违法建设管控（8分）对责任区域进行常态化巡查，对新发现私搭乱建、违章建筑等问题做到“第一时间发现、第一时间报告，及时处理”，漏报或处理不及时，每起案件扣2分；</w:t>
            </w:r>
          </w:p>
          <w:p w14:paraId="0B357EA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④中队长要合理统筹安排辖区各项工作任务，监督管理队员工作落实情况，未能履职尽责的一次扣5分；对领导交办的工作未按时办理、打折扣的一次扣5分。</w:t>
            </w:r>
          </w:p>
        </w:tc>
      </w:tr>
      <w:tr w14:paraId="30308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954" w:type="dxa"/>
            <w:vMerge w:val="continue"/>
            <w:noWrap w:val="0"/>
            <w:vAlign w:val="center"/>
          </w:tcPr>
          <w:p w14:paraId="11F0B3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rPr>
            </w:pPr>
          </w:p>
        </w:tc>
        <w:tc>
          <w:tcPr>
            <w:tcW w:w="7920" w:type="dxa"/>
            <w:noWrap w:val="0"/>
            <w:vAlign w:val="center"/>
          </w:tcPr>
          <w:p w14:paraId="493F7254">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val="0"/>
                <w:bCs/>
                <w:color w:val="auto"/>
                <w:sz w:val="18"/>
                <w:szCs w:val="18"/>
                <w:lang w:val="en-US" w:eastAsia="zh-CN"/>
              </w:rPr>
            </w:pPr>
            <w:r>
              <w:rPr>
                <w:rFonts w:hint="eastAsia" w:ascii="宋体" w:hAnsi="宋体" w:eastAsia="宋体" w:cs="宋体"/>
                <w:b w:val="0"/>
                <w:bCs/>
                <w:color w:val="auto"/>
                <w:sz w:val="18"/>
                <w:szCs w:val="18"/>
                <w:lang w:val="en-US" w:eastAsia="zh-CN"/>
              </w:rPr>
              <w:t>2、工作效能（18分）</w:t>
            </w:r>
          </w:p>
          <w:p w14:paraId="289BE560">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val="0"/>
                <w:bCs/>
                <w:color w:val="auto"/>
                <w:sz w:val="18"/>
                <w:szCs w:val="18"/>
                <w:lang w:val="en-US" w:eastAsia="zh-CN"/>
              </w:rPr>
            </w:pPr>
            <w:r>
              <w:rPr>
                <w:rFonts w:hint="eastAsia" w:ascii="宋体" w:hAnsi="宋体" w:eastAsia="宋体" w:cs="宋体"/>
                <w:b w:val="0"/>
                <w:bCs/>
                <w:color w:val="auto"/>
                <w:sz w:val="18"/>
                <w:szCs w:val="18"/>
                <w:lang w:val="en-US" w:eastAsia="zh-CN"/>
              </w:rPr>
              <w:t>①执法规范性（3分）使用文明用语，做到态度温和、以理服人，因言语不当引起投诉，经查实每次扣2分；执法文书制作规范、准确、及时，发现错漏每次扣2分。</w:t>
            </w:r>
          </w:p>
          <w:p w14:paraId="2249F9BF">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rPr>
            </w:pPr>
            <w:r>
              <w:rPr>
                <w:rFonts w:hint="eastAsia" w:ascii="宋体" w:hAnsi="宋体" w:eastAsia="宋体" w:cs="宋体"/>
                <w:b w:val="0"/>
                <w:bCs/>
                <w:color w:val="auto"/>
                <w:sz w:val="18"/>
                <w:szCs w:val="18"/>
                <w:lang w:val="en-US" w:eastAsia="zh-CN"/>
              </w:rPr>
              <w:t>②团队协作与执行力（15分）服从工作安排，对上级的工作指令和会议精神迅速传达落实，积极配合同事完成协同任务，无推诿扯皮现象。发现对安排工作不服从、打折扣、没有按要求完成等不力事项，每次扣5分，不服从中队长管理的，情节严重的发现一次扣8分。</w:t>
            </w:r>
          </w:p>
        </w:tc>
      </w:tr>
      <w:tr w14:paraId="24FF2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dxa"/>
            <w:noWrap w:val="0"/>
            <w:vAlign w:val="center"/>
          </w:tcPr>
          <w:p w14:paraId="7AE157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auto"/>
                <w:spacing w:val="-6"/>
                <w:kern w:val="22"/>
                <w:sz w:val="18"/>
                <w:szCs w:val="18"/>
                <w:lang w:eastAsia="zh-CN"/>
              </w:rPr>
            </w:pPr>
          </w:p>
          <w:p w14:paraId="10843F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auto"/>
                <w:spacing w:val="-6"/>
                <w:kern w:val="22"/>
                <w:sz w:val="18"/>
                <w:szCs w:val="18"/>
                <w:lang w:eastAsia="zh-CN"/>
              </w:rPr>
            </w:pPr>
          </w:p>
          <w:p w14:paraId="200F7F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auto"/>
                <w:spacing w:val="-6"/>
                <w:kern w:val="22"/>
                <w:sz w:val="18"/>
                <w:szCs w:val="18"/>
                <w:lang w:eastAsia="zh-CN"/>
              </w:rPr>
            </w:pPr>
            <w:r>
              <w:rPr>
                <w:rFonts w:hint="eastAsia" w:ascii="宋体" w:hAnsi="宋体" w:eastAsia="宋体" w:cs="宋体"/>
                <w:snapToGrid w:val="0"/>
                <w:color w:val="auto"/>
                <w:spacing w:val="-6"/>
                <w:kern w:val="22"/>
                <w:sz w:val="18"/>
                <w:szCs w:val="18"/>
                <w:lang w:eastAsia="zh-CN"/>
              </w:rPr>
              <w:t>考廉</w:t>
            </w:r>
          </w:p>
          <w:p w14:paraId="31444D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snapToGrid w:val="0"/>
                <w:color w:val="auto"/>
                <w:spacing w:val="-6"/>
                <w:kern w:val="22"/>
                <w:sz w:val="18"/>
                <w:szCs w:val="18"/>
              </w:rPr>
              <w:t>（</w:t>
            </w:r>
            <w:r>
              <w:rPr>
                <w:rFonts w:hint="eastAsia" w:ascii="宋体" w:hAnsi="宋体" w:eastAsia="宋体" w:cs="宋体"/>
                <w:snapToGrid w:val="0"/>
                <w:color w:val="auto"/>
                <w:spacing w:val="-6"/>
                <w:kern w:val="22"/>
                <w:sz w:val="18"/>
                <w:szCs w:val="18"/>
                <w:lang w:val="en-US" w:eastAsia="zh-CN"/>
              </w:rPr>
              <w:t>20</w:t>
            </w:r>
            <w:r>
              <w:rPr>
                <w:rFonts w:hint="eastAsia" w:ascii="宋体" w:hAnsi="宋体" w:eastAsia="宋体" w:cs="宋体"/>
                <w:snapToGrid w:val="0"/>
                <w:color w:val="auto"/>
                <w:spacing w:val="-6"/>
                <w:kern w:val="22"/>
                <w:sz w:val="18"/>
                <w:szCs w:val="18"/>
              </w:rPr>
              <w:t>分）</w:t>
            </w:r>
          </w:p>
        </w:tc>
        <w:tc>
          <w:tcPr>
            <w:tcW w:w="7920" w:type="dxa"/>
            <w:noWrap w:val="0"/>
            <w:vAlign w:val="center"/>
          </w:tcPr>
          <w:p w14:paraId="38059C26">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val="0"/>
                <w:bCs/>
                <w:color w:val="auto"/>
                <w:sz w:val="18"/>
                <w:szCs w:val="18"/>
                <w:lang w:val="en-US" w:eastAsia="zh-CN"/>
              </w:rPr>
            </w:pPr>
            <w:r>
              <w:rPr>
                <w:rFonts w:hint="eastAsia" w:ascii="宋体" w:hAnsi="宋体" w:eastAsia="宋体" w:cs="宋体"/>
                <w:b w:val="0"/>
                <w:bCs/>
                <w:color w:val="auto"/>
                <w:sz w:val="18"/>
                <w:szCs w:val="18"/>
                <w:lang w:val="en-US" w:eastAsia="zh-CN"/>
              </w:rPr>
              <w:t>1、廉洁自律（10分）严格遵守廉洁自律各项规定，无“吃、拿、卡、要”等行为。此为高压线，一经查实，此月考核为不合格，并视情节追究责任；无违规接受管理对象宴请、礼品、礼金等行为，如有此行为此月考核不合格。</w:t>
            </w:r>
          </w:p>
          <w:p w14:paraId="0B770D9D">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val="0"/>
                <w:bCs/>
                <w:color w:val="auto"/>
                <w:sz w:val="18"/>
                <w:szCs w:val="18"/>
                <w:lang w:val="en-US" w:eastAsia="zh-CN"/>
              </w:rPr>
            </w:pPr>
            <w:r>
              <w:rPr>
                <w:rFonts w:hint="eastAsia" w:ascii="宋体" w:hAnsi="宋体" w:eastAsia="宋体" w:cs="宋体"/>
                <w:b w:val="0"/>
                <w:bCs/>
                <w:color w:val="auto"/>
                <w:sz w:val="18"/>
                <w:szCs w:val="18"/>
                <w:lang w:val="en-US" w:eastAsia="zh-CN"/>
              </w:rPr>
              <w:t>2、学习与成长（5分）积极参加大队组织的政治理论、业务技能培训和学习，能够主动学习新法规、新政策，并应用于实际工作，无故缺席一次扣3分。</w:t>
            </w:r>
          </w:p>
          <w:p w14:paraId="50980287">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rPr>
            </w:pPr>
            <w:r>
              <w:rPr>
                <w:rFonts w:hint="eastAsia" w:ascii="宋体" w:hAnsi="宋体" w:eastAsia="宋体" w:cs="宋体"/>
                <w:b w:val="0"/>
                <w:bCs/>
                <w:color w:val="auto"/>
                <w:sz w:val="18"/>
                <w:szCs w:val="18"/>
                <w:lang w:val="en-US" w:eastAsia="zh-CN"/>
              </w:rPr>
              <w:t>3、个人管理（5分）做好个人卫生和形象管理，同时严格遵守单位《着装管理规定》，着统一制式服装，标志标识佩戴齐全，对违反《着装管理规定》的，一次扣2分；按时完成单位通知的各项事宜，一次未完成的扣3分。</w:t>
            </w:r>
          </w:p>
        </w:tc>
      </w:tr>
      <w:tr w14:paraId="6F37B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dxa"/>
            <w:noWrap w:val="0"/>
            <w:vAlign w:val="center"/>
          </w:tcPr>
          <w:p w14:paraId="62C292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auto"/>
                <w:spacing w:val="-6"/>
                <w:kern w:val="22"/>
                <w:sz w:val="18"/>
                <w:szCs w:val="18"/>
                <w:highlight w:val="none"/>
                <w:lang w:eastAsia="zh-CN"/>
              </w:rPr>
            </w:pPr>
            <w:r>
              <w:rPr>
                <w:rFonts w:hint="eastAsia" w:ascii="宋体" w:hAnsi="宋体" w:eastAsia="宋体" w:cs="宋体"/>
                <w:snapToGrid w:val="0"/>
                <w:color w:val="auto"/>
                <w:spacing w:val="-6"/>
                <w:kern w:val="22"/>
                <w:sz w:val="18"/>
                <w:szCs w:val="18"/>
                <w:highlight w:val="none"/>
                <w:lang w:eastAsia="zh-CN"/>
              </w:rPr>
              <w:t>备注</w:t>
            </w:r>
          </w:p>
        </w:tc>
        <w:tc>
          <w:tcPr>
            <w:tcW w:w="7920" w:type="dxa"/>
            <w:noWrap w:val="0"/>
            <w:vAlign w:val="center"/>
          </w:tcPr>
          <w:p w14:paraId="16DEE2D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color w:val="auto"/>
                <w:sz w:val="18"/>
                <w:szCs w:val="18"/>
                <w:highlight w:val="none"/>
                <w:lang w:val="en-US" w:eastAsia="zh-CN"/>
              </w:rPr>
            </w:pPr>
            <w:r>
              <w:rPr>
                <w:rFonts w:hint="eastAsia" w:ascii="宋体" w:hAnsi="宋体" w:eastAsia="宋体" w:cs="宋体"/>
                <w:b w:val="0"/>
                <w:bCs/>
                <w:color w:val="auto"/>
                <w:sz w:val="18"/>
                <w:szCs w:val="18"/>
                <w:highlight w:val="none"/>
                <w:lang w:val="en-US" w:eastAsia="zh-CN"/>
              </w:rPr>
              <w:t>考核分值为100分，97分及以上为优秀，91分及以上为称职，86分及以上为合格，85分及以下为不合格。称职及以上按照实际工作量全额核发服务费，合格核发95%服务费，不合格核发90%服务费。</w:t>
            </w:r>
          </w:p>
        </w:tc>
      </w:tr>
    </w:tbl>
    <w:p w14:paraId="00048807">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4AA5E7F6">
      <w:pPr>
        <w:pageBreakBefore w:val="0"/>
        <w:widowControl w:val="0"/>
        <w:shd w:val="clear" w:color="auto" w:fill="auto"/>
        <w:kinsoku/>
        <w:wordWrap/>
        <w:overflowPunct/>
        <w:topLinePunct w:val="0"/>
        <w:autoSpaceDE/>
        <w:autoSpaceDN/>
        <w:bidi w:val="0"/>
        <w:adjustRightInd/>
        <w:spacing w:before="0" w:beforeAutospacing="0" w:after="0" w:afterAutospacing="0" w:line="240" w:lineRule="auto"/>
        <w:ind w:right="120"/>
        <w:jc w:val="center"/>
        <w:textAlignment w:val="auto"/>
        <w:outlineLvl w:val="9"/>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附件</w:t>
      </w:r>
      <w:r>
        <w:rPr>
          <w:rFonts w:hint="eastAsia" w:ascii="宋体" w:hAnsi="宋体" w:cs="宋体"/>
          <w:b w:val="0"/>
          <w:bCs w:val="0"/>
          <w:color w:val="auto"/>
          <w:sz w:val="28"/>
          <w:szCs w:val="28"/>
          <w:highlight w:val="none"/>
          <w:lang w:val="en-US" w:eastAsia="zh-CN"/>
        </w:rPr>
        <w:t>：</w:t>
      </w:r>
      <w:r>
        <w:rPr>
          <w:rFonts w:hint="eastAsia" w:ascii="宋体" w:hAnsi="宋体" w:eastAsia="宋体" w:cs="宋体"/>
          <w:b w:val="0"/>
          <w:bCs w:val="0"/>
          <w:color w:val="auto"/>
          <w:sz w:val="28"/>
          <w:szCs w:val="28"/>
          <w:highlight w:val="none"/>
          <w:lang w:val="en-US" w:eastAsia="zh-CN"/>
        </w:rPr>
        <w:t>服务人员配置(最低)要求一览表</w:t>
      </w:r>
    </w:p>
    <w:tbl>
      <w:tblPr>
        <w:tblStyle w:val="43"/>
        <w:tblW w:w="502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91"/>
        <w:gridCol w:w="1670"/>
        <w:gridCol w:w="1350"/>
        <w:gridCol w:w="763"/>
        <w:gridCol w:w="3700"/>
        <w:gridCol w:w="1738"/>
      </w:tblGrid>
      <w:tr w14:paraId="77E55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6D21725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服务类别</w:t>
            </w:r>
          </w:p>
        </w:tc>
        <w:tc>
          <w:tcPr>
            <w:tcW w:w="834" w:type="pct"/>
            <w:tcBorders>
              <w:top w:val="single" w:color="000000" w:sz="4" w:space="0"/>
              <w:left w:val="single" w:color="000000" w:sz="4" w:space="0"/>
              <w:bottom w:val="single" w:color="000000" w:sz="4" w:space="0"/>
              <w:right w:val="single" w:color="000000" w:sz="4" w:space="0"/>
            </w:tcBorders>
            <w:noWrap w:val="0"/>
            <w:vAlign w:val="center"/>
          </w:tcPr>
          <w:p w14:paraId="18E748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服务工种</w:t>
            </w:r>
          </w:p>
        </w:tc>
        <w:tc>
          <w:tcPr>
            <w:tcW w:w="674" w:type="pct"/>
            <w:tcBorders>
              <w:top w:val="single" w:color="000000" w:sz="4" w:space="0"/>
              <w:left w:val="single" w:color="000000" w:sz="4" w:space="0"/>
              <w:bottom w:val="nil"/>
              <w:right w:val="single" w:color="000000" w:sz="4" w:space="0"/>
            </w:tcBorders>
            <w:noWrap w:val="0"/>
            <w:vAlign w:val="center"/>
          </w:tcPr>
          <w:p w14:paraId="192EC8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人员证件要求</w:t>
            </w:r>
          </w:p>
        </w:tc>
        <w:tc>
          <w:tcPr>
            <w:tcW w:w="381" w:type="pct"/>
            <w:tcBorders>
              <w:top w:val="single" w:color="000000" w:sz="4" w:space="0"/>
              <w:left w:val="single" w:color="000000" w:sz="4" w:space="0"/>
              <w:bottom w:val="nil"/>
              <w:right w:val="single" w:color="000000" w:sz="4" w:space="0"/>
            </w:tcBorders>
            <w:noWrap w:val="0"/>
            <w:vAlign w:val="center"/>
          </w:tcPr>
          <w:p w14:paraId="12C31E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用工人数</w:t>
            </w:r>
            <w:r>
              <w:rPr>
                <w:rFonts w:hint="eastAsia" w:ascii="宋体" w:hAnsi="宋体" w:eastAsia="宋体" w:cs="宋体"/>
                <w:b/>
                <w:bCs/>
                <w:i w:val="0"/>
                <w:iCs w:val="0"/>
                <w:color w:val="auto"/>
                <w:kern w:val="0"/>
                <w:sz w:val="21"/>
                <w:szCs w:val="21"/>
                <w:u w:val="none"/>
                <w:lang w:val="en-US" w:eastAsia="zh-CN" w:bidi="ar"/>
              </w:rPr>
              <w:br w:type="textWrapping"/>
            </w:r>
            <w:r>
              <w:rPr>
                <w:rFonts w:hint="eastAsia" w:ascii="宋体" w:hAnsi="宋体" w:eastAsia="宋体" w:cs="宋体"/>
                <w:b/>
                <w:bCs/>
                <w:i w:val="0"/>
                <w:iCs w:val="0"/>
                <w:color w:val="auto"/>
                <w:kern w:val="0"/>
                <w:sz w:val="21"/>
                <w:szCs w:val="21"/>
                <w:u w:val="none"/>
                <w:lang w:val="en-US" w:eastAsia="zh-CN" w:bidi="ar"/>
              </w:rPr>
              <w:t>(人)</w:t>
            </w:r>
          </w:p>
        </w:tc>
        <w:tc>
          <w:tcPr>
            <w:tcW w:w="1848" w:type="pct"/>
            <w:tcBorders>
              <w:top w:val="single" w:color="000000" w:sz="4" w:space="0"/>
              <w:left w:val="single" w:color="000000" w:sz="4" w:space="0"/>
              <w:bottom w:val="single" w:color="000000" w:sz="4" w:space="0"/>
              <w:right w:val="single" w:color="000000" w:sz="4" w:space="0"/>
            </w:tcBorders>
            <w:noWrap w:val="0"/>
            <w:vAlign w:val="center"/>
          </w:tcPr>
          <w:p w14:paraId="7615F2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服务内容</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14:paraId="4CA15D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备注</w:t>
            </w:r>
          </w:p>
        </w:tc>
      </w:tr>
      <w:tr w14:paraId="0AFC4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gridSpan w:val="6"/>
            <w:tcBorders>
              <w:top w:val="single" w:color="000000" w:sz="4" w:space="0"/>
              <w:left w:val="single" w:color="000000" w:sz="4" w:space="0"/>
              <w:bottom w:val="single" w:color="000000" w:sz="4" w:space="0"/>
              <w:right w:val="single" w:color="000000" w:sz="4" w:space="0"/>
            </w:tcBorders>
            <w:noWrap w:val="0"/>
            <w:vAlign w:val="center"/>
          </w:tcPr>
          <w:p w14:paraId="22B930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bCs/>
                <w:i w:val="0"/>
                <w:iCs w:val="0"/>
                <w:color w:val="auto"/>
                <w:kern w:val="0"/>
                <w:sz w:val="21"/>
                <w:szCs w:val="21"/>
                <w:u w:val="none"/>
                <w:lang w:val="en-US" w:eastAsia="zh-CN" w:bidi="ar"/>
              </w:rPr>
            </w:pPr>
            <w:r>
              <w:rPr>
                <w:rFonts w:hint="eastAsia" w:ascii="宋体" w:hAnsi="宋体" w:cs="宋体"/>
                <w:b/>
                <w:bCs/>
                <w:i w:val="0"/>
                <w:iCs w:val="0"/>
                <w:color w:val="auto"/>
                <w:kern w:val="0"/>
                <w:sz w:val="21"/>
                <w:szCs w:val="21"/>
                <w:u w:val="none"/>
                <w:lang w:val="en-US" w:eastAsia="zh-CN" w:bidi="ar"/>
              </w:rPr>
              <w:t>昌吉市</w:t>
            </w:r>
          </w:p>
        </w:tc>
      </w:tr>
      <w:tr w14:paraId="6FB94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740E4E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sz w:val="21"/>
                <w:szCs w:val="21"/>
                <w:u w:val="none"/>
              </w:rPr>
            </w:pPr>
            <w:r>
              <w:rPr>
                <w:rFonts w:hint="default" w:ascii="宋体" w:hAnsi="宋体" w:cs="宋体"/>
                <w:i w:val="0"/>
                <w:iCs w:val="0"/>
                <w:color w:val="auto"/>
                <w:sz w:val="21"/>
                <w:szCs w:val="21"/>
                <w:u w:val="none"/>
              </w:rPr>
              <w:t>城市管理综合执法大队</w:t>
            </w:r>
          </w:p>
        </w:tc>
        <w:tc>
          <w:tcPr>
            <w:tcW w:w="834" w:type="pct"/>
            <w:tcBorders>
              <w:top w:val="single" w:color="000000" w:sz="4" w:space="0"/>
              <w:left w:val="single" w:color="000000" w:sz="4" w:space="0"/>
              <w:bottom w:val="single" w:color="000000" w:sz="4" w:space="0"/>
              <w:right w:val="single" w:color="000000" w:sz="4" w:space="0"/>
            </w:tcBorders>
            <w:noWrap w:val="0"/>
            <w:vAlign w:val="center"/>
          </w:tcPr>
          <w:p w14:paraId="2FA81C6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sz w:val="21"/>
                <w:szCs w:val="21"/>
                <w:u w:val="none"/>
              </w:rPr>
            </w:pPr>
            <w:r>
              <w:rPr>
                <w:rFonts w:hint="default" w:ascii="宋体" w:hAnsi="宋体" w:cs="宋体"/>
                <w:i w:val="0"/>
                <w:iCs w:val="0"/>
                <w:color w:val="auto"/>
                <w:sz w:val="21"/>
                <w:szCs w:val="21"/>
                <w:u w:val="none"/>
              </w:rPr>
              <w:t>执法辅助人员</w:t>
            </w:r>
          </w:p>
        </w:tc>
        <w:tc>
          <w:tcPr>
            <w:tcW w:w="674" w:type="pct"/>
            <w:tcBorders>
              <w:top w:val="single" w:color="000000" w:sz="4" w:space="0"/>
              <w:left w:val="single" w:color="000000" w:sz="4" w:space="0"/>
              <w:bottom w:val="single" w:color="000000" w:sz="4" w:space="0"/>
              <w:right w:val="single" w:color="000000" w:sz="4" w:space="0"/>
            </w:tcBorders>
            <w:noWrap w:val="0"/>
            <w:vAlign w:val="center"/>
          </w:tcPr>
          <w:p w14:paraId="5BD808FA">
            <w:pPr>
              <w:keepNext w:val="0"/>
              <w:keepLines w:val="0"/>
              <w:pageBreakBefore w:val="0"/>
              <w:kinsoku/>
              <w:wordWrap/>
              <w:overflowPunct/>
              <w:topLinePunct w:val="0"/>
              <w:autoSpaceDE/>
              <w:autoSpaceDN/>
              <w:bidi w:val="0"/>
              <w:adjustRightInd/>
              <w:snapToGrid/>
              <w:jc w:val="center"/>
              <w:rPr>
                <w:rFonts w:hint="default" w:ascii="宋体" w:hAnsi="宋体" w:eastAsia="宋体" w:cs="宋体"/>
                <w:i w:val="0"/>
                <w:iCs w:val="0"/>
                <w:color w:val="auto"/>
                <w:sz w:val="21"/>
                <w:szCs w:val="21"/>
                <w:u w:val="none"/>
              </w:rPr>
            </w:pPr>
            <w:r>
              <w:rPr>
                <w:rFonts w:hint="default" w:ascii="宋体" w:hAnsi="宋体" w:cs="宋体"/>
                <w:i w:val="0"/>
                <w:iCs w:val="0"/>
                <w:color w:val="auto"/>
                <w:sz w:val="21"/>
                <w:szCs w:val="21"/>
                <w:u w:val="none"/>
              </w:rPr>
              <w:t>大专以上学历（含大专）</w:t>
            </w:r>
          </w:p>
        </w:tc>
        <w:tc>
          <w:tcPr>
            <w:tcW w:w="381" w:type="pct"/>
            <w:tcBorders>
              <w:top w:val="single" w:color="000000" w:sz="4" w:space="0"/>
              <w:left w:val="single" w:color="000000" w:sz="4" w:space="0"/>
              <w:bottom w:val="single" w:color="000000" w:sz="4" w:space="0"/>
              <w:right w:val="single" w:color="000000" w:sz="4" w:space="0"/>
            </w:tcBorders>
            <w:noWrap w:val="0"/>
            <w:vAlign w:val="center"/>
          </w:tcPr>
          <w:p w14:paraId="1FEBD1B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sz w:val="21"/>
                <w:szCs w:val="21"/>
                <w:u w:val="none"/>
              </w:rPr>
            </w:pPr>
            <w:r>
              <w:rPr>
                <w:rFonts w:hint="default" w:ascii="宋体" w:hAnsi="宋体" w:cs="宋体"/>
                <w:i w:val="0"/>
                <w:iCs w:val="0"/>
                <w:color w:val="auto"/>
                <w:sz w:val="21"/>
                <w:szCs w:val="21"/>
                <w:u w:val="none"/>
              </w:rPr>
              <w:t>39</w:t>
            </w:r>
          </w:p>
        </w:tc>
        <w:tc>
          <w:tcPr>
            <w:tcW w:w="1848" w:type="pct"/>
            <w:tcBorders>
              <w:top w:val="single" w:color="000000" w:sz="4" w:space="0"/>
              <w:left w:val="single" w:color="000000" w:sz="4" w:space="0"/>
              <w:bottom w:val="single" w:color="000000" w:sz="4" w:space="0"/>
              <w:right w:val="single" w:color="000000" w:sz="4" w:space="0"/>
            </w:tcBorders>
            <w:noWrap w:val="0"/>
            <w:vAlign w:val="center"/>
          </w:tcPr>
          <w:p w14:paraId="6095C0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rPr>
                <w:rFonts w:hint="default" w:ascii="宋体" w:hAnsi="宋体" w:eastAsia="宋体" w:cs="宋体"/>
                <w:i w:val="0"/>
                <w:iCs w:val="0"/>
                <w:color w:val="auto"/>
                <w:sz w:val="21"/>
                <w:szCs w:val="21"/>
                <w:u w:val="none"/>
              </w:rPr>
            </w:pPr>
            <w:r>
              <w:rPr>
                <w:rFonts w:hint="eastAsia" w:ascii="宋体" w:hAnsi="宋体" w:eastAsia="宋体" w:cs="宋体"/>
                <w:color w:val="auto"/>
                <w:kern w:val="2"/>
                <w:sz w:val="21"/>
                <w:szCs w:val="21"/>
                <w:lang w:eastAsia="zh-CN" w:bidi="ar"/>
              </w:rPr>
              <w:t xml:space="preserve">协助执法人员开展 </w:t>
            </w:r>
            <w:r>
              <w:rPr>
                <w:rFonts w:hint="eastAsia" w:ascii="宋体" w:hAnsi="宋体" w:eastAsia="宋体" w:cs="宋体"/>
                <w:color w:val="auto"/>
                <w:kern w:val="2"/>
                <w:sz w:val="21"/>
                <w:szCs w:val="21"/>
                <w:lang w:val="en-US" w:eastAsia="zh-CN" w:bidi="ar"/>
              </w:rPr>
              <w:t>法制宣传教育普法；巡查检查发现城市管理违法违规线索，记录巡查情况；信息收集上报和建立台帐收集档案工作；对在巡查中发现的轻微违法违规行为进行劝阻、引导、纠正 ；开展现场保护、秩序维护、文书传递、后勤保障等事务性工作</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14:paraId="760B2C33">
            <w:pPr>
              <w:keepNext w:val="0"/>
              <w:keepLines w:val="0"/>
              <w:pageBreakBefore w:val="0"/>
              <w:kinsoku/>
              <w:wordWrap/>
              <w:overflowPunct/>
              <w:topLinePunct w:val="0"/>
              <w:autoSpaceDE/>
              <w:autoSpaceDN/>
              <w:bidi w:val="0"/>
              <w:adjustRightInd/>
              <w:snapToGrid/>
              <w:jc w:val="center"/>
              <w:rPr>
                <w:rFonts w:hint="default" w:ascii="宋体" w:hAnsi="宋体" w:eastAsia="宋体" w:cs="宋体"/>
                <w:i w:val="0"/>
                <w:iCs w:val="0"/>
                <w:color w:val="auto"/>
                <w:sz w:val="21"/>
                <w:szCs w:val="21"/>
                <w:u w:val="none"/>
              </w:rPr>
            </w:pPr>
          </w:p>
        </w:tc>
      </w:tr>
    </w:tbl>
    <w:p w14:paraId="493789AB">
      <w:pPr>
        <w:rPr>
          <w:rFonts w:hint="eastAsia" w:ascii="宋体" w:hAnsi="宋体" w:eastAsia="宋体" w:cs="宋体"/>
          <w:b/>
          <w:bCs/>
          <w:color w:val="auto"/>
          <w:kern w:val="0"/>
          <w:sz w:val="28"/>
          <w:szCs w:val="28"/>
          <w:highlight w:val="none"/>
          <w:lang w:val="en-US" w:eastAsia="zh-CN"/>
        </w:rPr>
      </w:pPr>
      <w:r>
        <w:rPr>
          <w:rFonts w:hint="eastAsia" w:ascii="宋体" w:hAnsi="宋体" w:eastAsia="宋体" w:cs="宋体"/>
          <w:b/>
          <w:bCs/>
          <w:color w:val="auto"/>
          <w:kern w:val="0"/>
          <w:sz w:val="28"/>
          <w:szCs w:val="28"/>
          <w:highlight w:val="none"/>
          <w:lang w:val="en-US" w:eastAsia="zh-CN"/>
        </w:rPr>
        <w:br w:type="page"/>
      </w:r>
    </w:p>
    <w:p w14:paraId="744501A1">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b/>
          <w:bCs/>
          <w:color w:val="auto"/>
          <w:kern w:val="0"/>
          <w:sz w:val="28"/>
          <w:szCs w:val="28"/>
          <w:highlight w:val="none"/>
          <w:lang w:val="en-US" w:eastAsia="zh-CN"/>
        </w:rPr>
      </w:pPr>
      <w:r>
        <w:rPr>
          <w:rFonts w:hint="eastAsia" w:ascii="宋体" w:hAnsi="宋体" w:eastAsia="宋体" w:cs="宋体"/>
          <w:b/>
          <w:bCs/>
          <w:color w:val="auto"/>
          <w:kern w:val="0"/>
          <w:sz w:val="28"/>
          <w:szCs w:val="28"/>
          <w:highlight w:val="none"/>
          <w:lang w:val="en-US" w:eastAsia="zh-CN"/>
        </w:rPr>
        <w:t>（5）城市部件服务</w:t>
      </w:r>
    </w:p>
    <w:p w14:paraId="372E1899">
      <w:pPr>
        <w:pStyle w:val="39"/>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城市部件受理服务:</w:t>
      </w:r>
    </w:p>
    <w:p w14:paraId="40BF495D">
      <w:pPr>
        <w:pStyle w:val="39"/>
        <w:keepNext w:val="0"/>
        <w:keepLines w:val="0"/>
        <w:pageBreakBefore w:val="0"/>
        <w:widowControl/>
        <w:numPr>
          <w:ilvl w:val="0"/>
          <w:numId w:val="17"/>
        </w:numPr>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服务面积93.09平方公里</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包括6个街道六个街道（北京南路街道，绿洲路街道，宁边路街道，延安北路街道，中山路街道，建国路街道）以及高新区，农高区核心区域群众投诉</w:t>
      </w:r>
      <w:r>
        <w:rPr>
          <w:rFonts w:hint="eastAsia" w:ascii="宋体" w:hAnsi="宋体" w:eastAsia="宋体" w:cs="宋体"/>
          <w:color w:val="auto"/>
          <w:sz w:val="24"/>
          <w:szCs w:val="24"/>
          <w:lang w:val="en-US" w:eastAsia="zh-CN"/>
        </w:rPr>
        <w:t>及各级转办</w:t>
      </w:r>
      <w:r>
        <w:rPr>
          <w:rFonts w:hint="eastAsia" w:ascii="宋体" w:hAnsi="宋体" w:eastAsia="宋体" w:cs="宋体"/>
          <w:color w:val="auto"/>
          <w:sz w:val="24"/>
          <w:szCs w:val="24"/>
        </w:rPr>
        <w:t>的接单，派单和回复，接单率100%，办结率100%，满意率98%以上。</w:t>
      </w:r>
    </w:p>
    <w:p w14:paraId="624D9025">
      <w:pPr>
        <w:pStyle w:val="39"/>
        <w:keepNext w:val="0"/>
        <w:keepLines w:val="0"/>
        <w:pageBreakBefore w:val="0"/>
        <w:widowControl/>
        <w:numPr>
          <w:ilvl w:val="0"/>
          <w:numId w:val="17"/>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实时监控各平台的办理情况，对异常情况进行及时预警和处理，确保接单，派单准确无误。</w:t>
      </w:r>
    </w:p>
    <w:p w14:paraId="5E95EF9E">
      <w:pPr>
        <w:pStyle w:val="39"/>
        <w:keepNext w:val="0"/>
        <w:keepLines w:val="0"/>
        <w:pageBreakBefore w:val="0"/>
        <w:widowControl/>
        <w:numPr>
          <w:ilvl w:val="0"/>
          <w:numId w:val="17"/>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及时接收并记录投诉和建议，协调相关部门进行快速响应和解决。</w:t>
      </w:r>
    </w:p>
    <w:p w14:paraId="02C522DA">
      <w:pPr>
        <w:pStyle w:val="39"/>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Chars="0" w:right="0" w:righ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4、在突发事件发生起，迅速启动预案，确保热线服务的连续性和稳定性</w:t>
      </w:r>
    </w:p>
    <w:p w14:paraId="02EEE0BB">
      <w:pPr>
        <w:pStyle w:val="39"/>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Chars="0" w:right="0" w:righ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5、按月整改和分析热线数据，形成报告，以供上级领导和相关部门参考。</w:t>
      </w:r>
    </w:p>
    <w:p w14:paraId="0CA60F82">
      <w:pPr>
        <w:pStyle w:val="39"/>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Chars="0" w:right="0" w:righ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6、推动热线平台数字化建设，提升热线服务的智能化水平。</w:t>
      </w:r>
    </w:p>
    <w:p w14:paraId="56B00AAA">
      <w:pPr>
        <w:pStyle w:val="39"/>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Chars="0" w:right="0" w:righ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城市部件巡查</w:t>
      </w:r>
      <w:r>
        <w:rPr>
          <w:rFonts w:hint="eastAsia" w:ascii="宋体" w:hAnsi="宋体" w:cs="宋体"/>
          <w:b/>
          <w:bCs/>
          <w:color w:val="auto"/>
          <w:sz w:val="24"/>
          <w:szCs w:val="24"/>
          <w:lang w:eastAsia="zh-CN"/>
        </w:rPr>
        <w:t>服务</w:t>
      </w:r>
      <w:r>
        <w:rPr>
          <w:rFonts w:hint="eastAsia" w:ascii="宋体" w:hAnsi="宋体" w:eastAsia="宋体" w:cs="宋体"/>
          <w:b/>
          <w:bCs/>
          <w:color w:val="auto"/>
          <w:sz w:val="24"/>
          <w:szCs w:val="24"/>
        </w:rPr>
        <w:t>：</w:t>
      </w:r>
    </w:p>
    <w:p w14:paraId="7444BB52">
      <w:pPr>
        <w:pStyle w:val="39"/>
        <w:keepNext w:val="0"/>
        <w:keepLines w:val="0"/>
        <w:pageBreakBefore w:val="0"/>
        <w:widowControl/>
        <w:numPr>
          <w:ilvl w:val="0"/>
          <w:numId w:val="18"/>
        </w:numPr>
        <w:suppressLineNumbers w:val="0"/>
        <w:kinsoku/>
        <w:wordWrap/>
        <w:overflowPunct/>
        <w:topLinePunct w:val="0"/>
        <w:autoSpaceDE/>
        <w:autoSpaceDN/>
        <w:bidi w:val="0"/>
        <w:adjustRightInd w:val="0"/>
        <w:snapToGrid w:val="0"/>
        <w:spacing w:before="0" w:beforeAutospacing="0" w:after="0" w:afterAutospacing="0" w:line="360" w:lineRule="auto"/>
        <w:ind w:leftChars="0" w:right="0" w:righ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巡查员按照93.09平方公里</w:t>
      </w:r>
      <w:r>
        <w:rPr>
          <w:rFonts w:hint="eastAsia" w:ascii="宋体" w:hAnsi="宋体" w:eastAsia="宋体" w:cs="宋体"/>
          <w:color w:val="auto"/>
          <w:sz w:val="24"/>
          <w:szCs w:val="24"/>
          <w:lang w:val="en-US" w:eastAsia="zh-CN"/>
        </w:rPr>
        <w:t>开展</w:t>
      </w:r>
      <w:r>
        <w:rPr>
          <w:rFonts w:hint="eastAsia" w:ascii="宋体" w:hAnsi="宋体" w:eastAsia="宋体" w:cs="宋体"/>
          <w:color w:val="auto"/>
          <w:sz w:val="24"/>
          <w:szCs w:val="24"/>
        </w:rPr>
        <w:t>城市部件巡查，实时上报。</w:t>
      </w:r>
    </w:p>
    <w:p w14:paraId="1FB799CE">
      <w:pPr>
        <w:pStyle w:val="39"/>
        <w:keepNext w:val="0"/>
        <w:keepLines w:val="0"/>
        <w:pageBreakBefore w:val="0"/>
        <w:widowControl/>
        <w:numPr>
          <w:ilvl w:val="0"/>
          <w:numId w:val="18"/>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巡查内容包括城市管理方面的所有问题（详见指挥中心巡查员工作职责）。</w:t>
      </w:r>
    </w:p>
    <w:p w14:paraId="26ECC891">
      <w:pPr>
        <w:pStyle w:val="39"/>
        <w:keepNext w:val="0"/>
        <w:keepLines w:val="0"/>
        <w:pageBreakBefore w:val="0"/>
        <w:widowControl/>
        <w:numPr>
          <w:ilvl w:val="0"/>
          <w:numId w:val="18"/>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在巡查过程中如遇突发事件，及时启动预案，快速上报</w:t>
      </w:r>
      <w:r>
        <w:rPr>
          <w:rFonts w:hint="eastAsia" w:ascii="宋体" w:hAnsi="宋体" w:eastAsia="宋体" w:cs="宋体"/>
          <w:color w:val="auto"/>
          <w:sz w:val="24"/>
          <w:szCs w:val="24"/>
          <w:lang w:val="en-US" w:eastAsia="zh-CN"/>
        </w:rPr>
        <w:t>受理员</w:t>
      </w:r>
      <w:r>
        <w:rPr>
          <w:rFonts w:hint="eastAsia" w:ascii="宋体" w:hAnsi="宋体" w:eastAsia="宋体" w:cs="宋体"/>
          <w:color w:val="auto"/>
          <w:sz w:val="24"/>
          <w:szCs w:val="24"/>
        </w:rPr>
        <w:t>。</w:t>
      </w:r>
    </w:p>
    <w:p w14:paraId="4366CB51">
      <w:pPr>
        <w:pStyle w:val="39"/>
        <w:keepNext w:val="0"/>
        <w:keepLines w:val="0"/>
        <w:pageBreakBefore w:val="0"/>
        <w:widowControl/>
        <w:numPr>
          <w:ilvl w:val="0"/>
          <w:numId w:val="18"/>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冬季开展清雪检查，形成报告。</w:t>
      </w:r>
    </w:p>
    <w:p w14:paraId="567BC326">
      <w:pPr>
        <w:pStyle w:val="39"/>
        <w:keepNext w:val="0"/>
        <w:keepLines w:val="0"/>
        <w:pageBreakBefore w:val="0"/>
        <w:widowControl/>
        <w:numPr>
          <w:ilvl w:val="0"/>
          <w:numId w:val="18"/>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服从</w:t>
      </w:r>
      <w:r>
        <w:rPr>
          <w:rFonts w:hint="eastAsia" w:ascii="宋体" w:hAnsi="宋体" w:eastAsia="宋体" w:cs="宋体"/>
          <w:color w:val="auto"/>
          <w:sz w:val="24"/>
          <w:szCs w:val="24"/>
          <w:lang w:val="en-US" w:eastAsia="zh-CN"/>
        </w:rPr>
        <w:t>派遣员</w:t>
      </w:r>
      <w:r>
        <w:rPr>
          <w:rFonts w:hint="eastAsia" w:ascii="宋体" w:hAnsi="宋体" w:eastAsia="宋体" w:cs="宋体"/>
          <w:color w:val="auto"/>
          <w:sz w:val="24"/>
          <w:szCs w:val="24"/>
        </w:rPr>
        <w:t>调度，对于城市井盖确权进行核查并跟踪，直至按照时限办结。</w:t>
      </w:r>
    </w:p>
    <w:p w14:paraId="5A8BC4C6">
      <w:pPr>
        <w:pStyle w:val="39"/>
        <w:keepNext w:val="0"/>
        <w:keepLines w:val="0"/>
        <w:pageBreakBefore w:val="0"/>
        <w:widowControl/>
        <w:numPr>
          <w:ilvl w:val="0"/>
          <w:numId w:val="18"/>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人均</w:t>
      </w:r>
      <w:r>
        <w:rPr>
          <w:rFonts w:hint="eastAsia" w:ascii="宋体" w:hAnsi="宋体" w:eastAsia="宋体" w:cs="宋体"/>
          <w:color w:val="auto"/>
          <w:sz w:val="24"/>
          <w:szCs w:val="24"/>
        </w:rPr>
        <w:t>每月巡查案件不低于300条（不包括小案件如塑料袋挂在树枝上，垃圾随手可以捡拾等）</w:t>
      </w:r>
    </w:p>
    <w:p w14:paraId="149C5A42">
      <w:pPr>
        <w:pStyle w:val="39"/>
        <w:keepNext w:val="0"/>
        <w:keepLines w:val="0"/>
        <w:pageBreakBefore w:val="0"/>
        <w:widowControl/>
        <w:numPr>
          <w:ilvl w:val="0"/>
          <w:numId w:val="18"/>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不得以任何理由拒绝上级政府，部门临时交办的其他工作任务或者是临时安排的紧急工作任务。</w:t>
      </w:r>
    </w:p>
    <w:p w14:paraId="6125A9B9">
      <w:pPr>
        <w:keepNext w:val="0"/>
        <w:keepLines w:val="0"/>
        <w:pageBreakBefore w:val="0"/>
        <w:widowControl/>
        <w:numPr>
          <w:ilvl w:val="0"/>
          <w:numId w:val="0"/>
        </w:numPr>
        <w:shd w:val="clear"/>
        <w:kinsoku/>
        <w:wordWrap/>
        <w:overflowPunct/>
        <w:topLinePunct w:val="0"/>
        <w:autoSpaceDE/>
        <w:autoSpaceDN/>
        <w:bidi w:val="0"/>
        <w:adjustRightInd/>
        <w:snapToGrid/>
        <w:spacing w:beforeAutospacing="0" w:afterAutospacing="0" w:line="360" w:lineRule="auto"/>
        <w:ind w:firstLine="482" w:firstLineChars="200"/>
        <w:jc w:val="left"/>
        <w:textAlignment w:val="auto"/>
        <w:outlineLvl w:val="1"/>
        <w:rPr>
          <w:rFonts w:hint="eastAsia" w:ascii="宋体" w:hAnsi="宋体" w:eastAsia="宋体" w:cs="宋体"/>
          <w:b/>
          <w:bCs/>
          <w:color w:val="auto"/>
          <w:kern w:val="0"/>
          <w:sz w:val="24"/>
          <w:szCs w:val="24"/>
          <w:highlight w:val="none"/>
          <w:lang w:val="en-US" w:eastAsia="zh-CN" w:bidi="ar-SA"/>
        </w:rPr>
      </w:pPr>
    </w:p>
    <w:p w14:paraId="221142D7">
      <w:pPr>
        <w:keepNext w:val="0"/>
        <w:keepLines w:val="0"/>
        <w:pageBreakBefore w:val="0"/>
        <w:widowControl/>
        <w:numPr>
          <w:ilvl w:val="0"/>
          <w:numId w:val="0"/>
        </w:numPr>
        <w:shd w:val="clear"/>
        <w:kinsoku/>
        <w:wordWrap/>
        <w:overflowPunct/>
        <w:topLinePunct w:val="0"/>
        <w:autoSpaceDE/>
        <w:autoSpaceDN/>
        <w:bidi w:val="0"/>
        <w:adjustRightInd/>
        <w:snapToGrid/>
        <w:spacing w:beforeAutospacing="0" w:afterAutospacing="0" w:line="360" w:lineRule="auto"/>
        <w:ind w:firstLine="482" w:firstLineChars="200"/>
        <w:jc w:val="left"/>
        <w:textAlignment w:val="auto"/>
        <w:outlineLvl w:val="1"/>
        <w:rPr>
          <w:rFonts w:hint="eastAsia" w:ascii="宋体" w:hAnsi="宋体" w:eastAsia="宋体" w:cs="宋体"/>
          <w:b/>
          <w:bCs/>
          <w:color w:val="auto"/>
          <w:kern w:val="0"/>
          <w:sz w:val="24"/>
          <w:szCs w:val="24"/>
          <w:highlight w:val="none"/>
          <w:lang w:val="en-US" w:eastAsia="zh-CN" w:bidi="ar-SA"/>
        </w:rPr>
      </w:pPr>
    </w:p>
    <w:p w14:paraId="0672BE1A">
      <w:pPr>
        <w:keepNext w:val="0"/>
        <w:keepLines w:val="0"/>
        <w:pageBreakBefore w:val="0"/>
        <w:widowControl/>
        <w:numPr>
          <w:ilvl w:val="0"/>
          <w:numId w:val="0"/>
        </w:numPr>
        <w:shd w:val="clear"/>
        <w:kinsoku/>
        <w:wordWrap/>
        <w:overflowPunct/>
        <w:topLinePunct w:val="0"/>
        <w:autoSpaceDE/>
        <w:autoSpaceDN/>
        <w:bidi w:val="0"/>
        <w:adjustRightInd/>
        <w:snapToGrid/>
        <w:spacing w:beforeAutospacing="0" w:afterAutospacing="0" w:line="360" w:lineRule="auto"/>
        <w:ind w:firstLine="482" w:firstLineChars="200"/>
        <w:jc w:val="left"/>
        <w:textAlignment w:val="auto"/>
        <w:outlineLvl w:val="1"/>
        <w:rPr>
          <w:rFonts w:hint="eastAsia" w:ascii="宋体" w:hAnsi="宋体" w:eastAsia="宋体" w:cs="宋体"/>
          <w:b/>
          <w:bCs/>
          <w:color w:val="auto"/>
          <w:kern w:val="0"/>
          <w:sz w:val="24"/>
          <w:szCs w:val="24"/>
          <w:highlight w:val="none"/>
          <w:lang w:val="en-US" w:eastAsia="zh-CN" w:bidi="ar-SA"/>
        </w:rPr>
      </w:pPr>
    </w:p>
    <w:p w14:paraId="0D70B894">
      <w:pPr>
        <w:keepNext w:val="0"/>
        <w:keepLines w:val="0"/>
        <w:pageBreakBefore w:val="0"/>
        <w:widowControl/>
        <w:numPr>
          <w:ilvl w:val="0"/>
          <w:numId w:val="0"/>
        </w:numPr>
        <w:shd w:val="clear"/>
        <w:kinsoku/>
        <w:wordWrap/>
        <w:overflowPunct/>
        <w:topLinePunct w:val="0"/>
        <w:autoSpaceDE/>
        <w:autoSpaceDN/>
        <w:bidi w:val="0"/>
        <w:adjustRightInd/>
        <w:snapToGrid/>
        <w:spacing w:beforeAutospacing="0" w:afterAutospacing="0" w:line="360" w:lineRule="auto"/>
        <w:ind w:firstLine="482" w:firstLineChars="200"/>
        <w:jc w:val="left"/>
        <w:textAlignment w:val="auto"/>
        <w:outlineLvl w:val="1"/>
        <w:rPr>
          <w:rFonts w:hint="eastAsia" w:ascii="宋体" w:hAnsi="宋体" w:eastAsia="宋体" w:cs="宋体"/>
          <w:b/>
          <w:bCs/>
          <w:color w:val="auto"/>
          <w:kern w:val="0"/>
          <w:sz w:val="24"/>
          <w:szCs w:val="24"/>
          <w:highlight w:val="none"/>
          <w:lang w:val="en-US" w:eastAsia="zh-CN" w:bidi="ar-SA"/>
        </w:rPr>
      </w:pPr>
    </w:p>
    <w:p w14:paraId="236DA18E">
      <w:pPr>
        <w:keepNext w:val="0"/>
        <w:keepLines w:val="0"/>
        <w:pageBreakBefore w:val="0"/>
        <w:widowControl/>
        <w:numPr>
          <w:ilvl w:val="0"/>
          <w:numId w:val="0"/>
        </w:numPr>
        <w:shd w:val="clear"/>
        <w:kinsoku/>
        <w:wordWrap/>
        <w:overflowPunct/>
        <w:topLinePunct w:val="0"/>
        <w:autoSpaceDE/>
        <w:autoSpaceDN/>
        <w:bidi w:val="0"/>
        <w:adjustRightInd/>
        <w:snapToGrid/>
        <w:spacing w:beforeAutospacing="0" w:afterAutospacing="0" w:line="360" w:lineRule="auto"/>
        <w:ind w:firstLine="482" w:firstLineChars="200"/>
        <w:jc w:val="left"/>
        <w:textAlignment w:val="auto"/>
        <w:outlineLvl w:val="1"/>
        <w:rPr>
          <w:rFonts w:hint="eastAsia" w:ascii="宋体" w:hAnsi="宋体" w:eastAsia="宋体" w:cs="宋体"/>
          <w:b/>
          <w:bCs/>
          <w:color w:val="auto"/>
          <w:kern w:val="0"/>
          <w:sz w:val="24"/>
          <w:szCs w:val="24"/>
          <w:highlight w:val="none"/>
          <w:lang w:val="en-US" w:eastAsia="zh-CN" w:bidi="ar-SA"/>
        </w:rPr>
      </w:pPr>
    </w:p>
    <w:p w14:paraId="09FC6630">
      <w:pPr>
        <w:keepNext w:val="0"/>
        <w:keepLines w:val="0"/>
        <w:pageBreakBefore w:val="0"/>
        <w:widowControl/>
        <w:numPr>
          <w:ilvl w:val="0"/>
          <w:numId w:val="0"/>
        </w:numPr>
        <w:shd w:val="clear"/>
        <w:kinsoku/>
        <w:wordWrap/>
        <w:overflowPunct/>
        <w:topLinePunct w:val="0"/>
        <w:autoSpaceDE/>
        <w:autoSpaceDN/>
        <w:bidi w:val="0"/>
        <w:adjustRightInd/>
        <w:snapToGrid/>
        <w:spacing w:beforeAutospacing="0" w:afterAutospacing="0" w:line="360" w:lineRule="auto"/>
        <w:ind w:firstLine="482" w:firstLineChars="200"/>
        <w:jc w:val="left"/>
        <w:textAlignment w:val="auto"/>
        <w:outlineLvl w:val="1"/>
        <w:rPr>
          <w:rFonts w:hint="eastAsia" w:ascii="宋体" w:hAnsi="宋体" w:eastAsia="宋体" w:cs="宋体"/>
          <w:b/>
          <w:bCs/>
          <w:color w:val="auto"/>
          <w:kern w:val="0"/>
          <w:sz w:val="24"/>
          <w:szCs w:val="24"/>
          <w:highlight w:val="none"/>
          <w:lang w:val="en-US" w:eastAsia="zh-CN" w:bidi="ar-SA"/>
        </w:rPr>
      </w:pPr>
    </w:p>
    <w:p w14:paraId="291BEDF5">
      <w:pPr>
        <w:keepNext w:val="0"/>
        <w:keepLines w:val="0"/>
        <w:pageBreakBefore w:val="0"/>
        <w:widowControl/>
        <w:numPr>
          <w:ilvl w:val="0"/>
          <w:numId w:val="0"/>
        </w:numPr>
        <w:shd w:val="clear"/>
        <w:kinsoku/>
        <w:wordWrap/>
        <w:overflowPunct/>
        <w:topLinePunct w:val="0"/>
        <w:autoSpaceDE/>
        <w:autoSpaceDN/>
        <w:bidi w:val="0"/>
        <w:adjustRightInd/>
        <w:snapToGrid/>
        <w:spacing w:beforeAutospacing="0" w:afterAutospacing="0" w:line="360" w:lineRule="auto"/>
        <w:ind w:firstLine="482" w:firstLineChars="200"/>
        <w:jc w:val="left"/>
        <w:textAlignment w:val="auto"/>
        <w:outlineLvl w:val="1"/>
        <w:rPr>
          <w:rFonts w:hint="eastAsia" w:ascii="宋体" w:hAnsi="宋体" w:eastAsia="宋体" w:cs="宋体"/>
          <w:b/>
          <w:bCs/>
          <w:color w:val="auto"/>
          <w:kern w:val="0"/>
          <w:sz w:val="24"/>
          <w:szCs w:val="24"/>
          <w:highlight w:val="none"/>
          <w:lang w:val="en-US" w:eastAsia="zh-CN" w:bidi="ar-SA"/>
        </w:rPr>
      </w:pPr>
    </w:p>
    <w:p w14:paraId="58D7DE41">
      <w:pPr>
        <w:keepNext w:val="0"/>
        <w:keepLines w:val="0"/>
        <w:pageBreakBefore w:val="0"/>
        <w:widowControl/>
        <w:numPr>
          <w:ilvl w:val="0"/>
          <w:numId w:val="0"/>
        </w:numPr>
        <w:shd w:val="clear"/>
        <w:kinsoku/>
        <w:wordWrap/>
        <w:overflowPunct/>
        <w:topLinePunct w:val="0"/>
        <w:autoSpaceDE/>
        <w:autoSpaceDN/>
        <w:bidi w:val="0"/>
        <w:adjustRightInd/>
        <w:snapToGrid/>
        <w:spacing w:beforeAutospacing="0" w:afterAutospacing="0" w:line="360" w:lineRule="auto"/>
        <w:ind w:firstLine="482" w:firstLineChars="200"/>
        <w:jc w:val="left"/>
        <w:textAlignment w:val="auto"/>
        <w:outlineLvl w:val="1"/>
        <w:rPr>
          <w:rFonts w:hint="eastAsia" w:ascii="宋体" w:hAnsi="宋体" w:eastAsia="宋体" w:cs="宋体"/>
          <w:b/>
          <w:bCs/>
          <w:color w:val="auto"/>
          <w:kern w:val="0"/>
          <w:sz w:val="24"/>
          <w:szCs w:val="24"/>
          <w:highlight w:val="none"/>
          <w:lang w:val="en-US" w:eastAsia="zh-CN" w:bidi="ar-SA"/>
        </w:rPr>
      </w:pPr>
    </w:p>
    <w:p w14:paraId="7F009E77">
      <w:pPr>
        <w:keepNext w:val="0"/>
        <w:keepLines w:val="0"/>
        <w:pageBreakBefore w:val="0"/>
        <w:widowControl/>
        <w:numPr>
          <w:ilvl w:val="0"/>
          <w:numId w:val="0"/>
        </w:numPr>
        <w:shd w:val="clear"/>
        <w:kinsoku/>
        <w:wordWrap/>
        <w:overflowPunct/>
        <w:topLinePunct w:val="0"/>
        <w:autoSpaceDE/>
        <w:autoSpaceDN/>
        <w:bidi w:val="0"/>
        <w:adjustRightInd/>
        <w:snapToGrid/>
        <w:spacing w:beforeAutospacing="0" w:afterAutospacing="0" w:line="360" w:lineRule="auto"/>
        <w:ind w:firstLine="482" w:firstLineChars="200"/>
        <w:jc w:val="left"/>
        <w:textAlignment w:val="auto"/>
        <w:outlineLvl w:val="1"/>
        <w:rPr>
          <w:rFonts w:hint="eastAsia" w:ascii="宋体" w:hAnsi="宋体" w:eastAsia="宋体" w:cs="宋体"/>
          <w:b/>
          <w:bCs/>
          <w:color w:val="auto"/>
          <w:kern w:val="0"/>
          <w:sz w:val="24"/>
          <w:szCs w:val="24"/>
          <w:highlight w:val="none"/>
          <w:lang w:val="en-US" w:eastAsia="zh-CN" w:bidi="ar-SA"/>
        </w:rPr>
      </w:pPr>
    </w:p>
    <w:p w14:paraId="0973AD66">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firstLine="480" w:firstLineChars="200"/>
        <w:jc w:val="center"/>
        <w:textAlignment w:val="auto"/>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附件：服务人员配置(最低)要求一览表</w:t>
      </w:r>
    </w:p>
    <w:tbl>
      <w:tblPr>
        <w:tblStyle w:val="43"/>
        <w:tblW w:w="502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91"/>
        <w:gridCol w:w="1672"/>
        <w:gridCol w:w="1350"/>
        <w:gridCol w:w="763"/>
        <w:gridCol w:w="3702"/>
        <w:gridCol w:w="1734"/>
      </w:tblGrid>
      <w:tr w14:paraId="0B5AC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0"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5157D6B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服务类别</w:t>
            </w:r>
          </w:p>
        </w:tc>
        <w:tc>
          <w:tcPr>
            <w:tcW w:w="835" w:type="pct"/>
            <w:tcBorders>
              <w:top w:val="single" w:color="000000" w:sz="4" w:space="0"/>
              <w:left w:val="single" w:color="000000" w:sz="4" w:space="0"/>
              <w:bottom w:val="single" w:color="000000" w:sz="4" w:space="0"/>
              <w:right w:val="single" w:color="000000" w:sz="4" w:space="0"/>
            </w:tcBorders>
            <w:noWrap w:val="0"/>
            <w:vAlign w:val="center"/>
          </w:tcPr>
          <w:p w14:paraId="122B8C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服务工种</w:t>
            </w:r>
          </w:p>
        </w:tc>
        <w:tc>
          <w:tcPr>
            <w:tcW w:w="674" w:type="pct"/>
            <w:tcBorders>
              <w:top w:val="single" w:color="000000" w:sz="4" w:space="0"/>
              <w:left w:val="single" w:color="000000" w:sz="4" w:space="0"/>
              <w:bottom w:val="nil"/>
              <w:right w:val="single" w:color="000000" w:sz="4" w:space="0"/>
            </w:tcBorders>
            <w:noWrap w:val="0"/>
            <w:vAlign w:val="center"/>
          </w:tcPr>
          <w:p w14:paraId="691EF3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人员证件要求</w:t>
            </w:r>
          </w:p>
        </w:tc>
        <w:tc>
          <w:tcPr>
            <w:tcW w:w="381" w:type="pct"/>
            <w:tcBorders>
              <w:top w:val="single" w:color="000000" w:sz="4" w:space="0"/>
              <w:left w:val="single" w:color="000000" w:sz="4" w:space="0"/>
              <w:bottom w:val="nil"/>
              <w:right w:val="single" w:color="000000" w:sz="4" w:space="0"/>
            </w:tcBorders>
            <w:noWrap w:val="0"/>
            <w:vAlign w:val="center"/>
          </w:tcPr>
          <w:p w14:paraId="3931872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用工人数</w:t>
            </w:r>
            <w:r>
              <w:rPr>
                <w:rFonts w:hint="eastAsia" w:ascii="宋体" w:hAnsi="宋体" w:eastAsia="宋体" w:cs="宋体"/>
                <w:b/>
                <w:bCs/>
                <w:i w:val="0"/>
                <w:iCs w:val="0"/>
                <w:color w:val="auto"/>
                <w:kern w:val="0"/>
                <w:sz w:val="21"/>
                <w:szCs w:val="21"/>
                <w:u w:val="none"/>
                <w:lang w:val="en-US" w:eastAsia="zh-CN" w:bidi="ar"/>
              </w:rPr>
              <w:br w:type="textWrapping"/>
            </w:r>
            <w:r>
              <w:rPr>
                <w:rFonts w:hint="eastAsia" w:ascii="宋体" w:hAnsi="宋体" w:eastAsia="宋体" w:cs="宋体"/>
                <w:b/>
                <w:bCs/>
                <w:i w:val="0"/>
                <w:iCs w:val="0"/>
                <w:color w:val="auto"/>
                <w:kern w:val="0"/>
                <w:sz w:val="21"/>
                <w:szCs w:val="21"/>
                <w:u w:val="none"/>
                <w:lang w:val="en-US" w:eastAsia="zh-CN" w:bidi="ar"/>
              </w:rPr>
              <w:t>(人)</w:t>
            </w:r>
          </w:p>
        </w:tc>
        <w:tc>
          <w:tcPr>
            <w:tcW w:w="1849" w:type="pct"/>
            <w:tcBorders>
              <w:top w:val="single" w:color="000000" w:sz="4" w:space="0"/>
              <w:left w:val="single" w:color="000000" w:sz="4" w:space="0"/>
              <w:bottom w:val="single" w:color="000000" w:sz="4" w:space="0"/>
              <w:right w:val="single" w:color="000000" w:sz="4" w:space="0"/>
            </w:tcBorders>
            <w:noWrap w:val="0"/>
            <w:vAlign w:val="center"/>
          </w:tcPr>
          <w:p w14:paraId="62F821C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服务内容</w:t>
            </w:r>
          </w:p>
        </w:tc>
        <w:tc>
          <w:tcPr>
            <w:tcW w:w="863" w:type="pct"/>
            <w:tcBorders>
              <w:top w:val="single" w:color="000000" w:sz="4" w:space="0"/>
              <w:left w:val="single" w:color="000000" w:sz="4" w:space="0"/>
              <w:bottom w:val="single" w:color="000000" w:sz="4" w:space="0"/>
              <w:right w:val="single" w:color="000000" w:sz="4" w:space="0"/>
            </w:tcBorders>
            <w:noWrap w:val="0"/>
            <w:vAlign w:val="center"/>
          </w:tcPr>
          <w:p w14:paraId="5D5F82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备注</w:t>
            </w:r>
          </w:p>
        </w:tc>
      </w:tr>
      <w:tr w14:paraId="79FFE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gridSpan w:val="6"/>
            <w:tcBorders>
              <w:top w:val="single" w:color="000000" w:sz="4" w:space="0"/>
              <w:left w:val="single" w:color="000000" w:sz="4" w:space="0"/>
              <w:bottom w:val="single" w:color="000000" w:sz="4" w:space="0"/>
              <w:right w:val="single" w:color="000000" w:sz="4" w:space="0"/>
            </w:tcBorders>
            <w:noWrap w:val="0"/>
            <w:vAlign w:val="center"/>
          </w:tcPr>
          <w:p w14:paraId="72C70D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bCs/>
                <w:i w:val="0"/>
                <w:iCs w:val="0"/>
                <w:color w:val="auto"/>
                <w:kern w:val="0"/>
                <w:sz w:val="21"/>
                <w:szCs w:val="21"/>
                <w:u w:val="none"/>
                <w:lang w:val="en-US" w:eastAsia="zh-CN" w:bidi="ar"/>
              </w:rPr>
            </w:pPr>
            <w:r>
              <w:rPr>
                <w:rFonts w:hint="eastAsia" w:ascii="宋体" w:hAnsi="宋体" w:cs="宋体"/>
                <w:b/>
                <w:bCs/>
                <w:i w:val="0"/>
                <w:iCs w:val="0"/>
                <w:color w:val="auto"/>
                <w:kern w:val="0"/>
                <w:sz w:val="21"/>
                <w:szCs w:val="21"/>
                <w:u w:val="none"/>
                <w:lang w:val="en-US" w:eastAsia="zh-CN" w:bidi="ar"/>
              </w:rPr>
              <w:t>昌吉市</w:t>
            </w:r>
          </w:p>
        </w:tc>
      </w:tr>
      <w:tr w14:paraId="17846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95" w:type="pct"/>
            <w:vMerge w:val="restart"/>
            <w:tcBorders>
              <w:top w:val="single" w:color="000000" w:sz="4" w:space="0"/>
              <w:left w:val="single" w:color="000000" w:sz="4" w:space="0"/>
              <w:bottom w:val="single" w:color="000000" w:sz="4" w:space="0"/>
              <w:right w:val="single" w:color="000000" w:sz="4" w:space="0"/>
            </w:tcBorders>
            <w:noWrap w:val="0"/>
            <w:vAlign w:val="center"/>
          </w:tcPr>
          <w:p w14:paraId="3836D7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sz w:val="21"/>
                <w:szCs w:val="21"/>
                <w:u w:val="none"/>
              </w:rPr>
            </w:pPr>
            <w:r>
              <w:rPr>
                <w:rFonts w:hint="default" w:ascii="宋体" w:hAnsi="宋体" w:cs="宋体"/>
                <w:i w:val="0"/>
                <w:iCs w:val="0"/>
                <w:color w:val="auto"/>
                <w:sz w:val="21"/>
                <w:szCs w:val="21"/>
                <w:u w:val="none"/>
              </w:rPr>
              <w:t>城管指挥中心</w:t>
            </w:r>
          </w:p>
        </w:tc>
        <w:tc>
          <w:tcPr>
            <w:tcW w:w="835" w:type="pct"/>
            <w:tcBorders>
              <w:top w:val="single" w:color="000000" w:sz="4" w:space="0"/>
              <w:left w:val="single" w:color="000000" w:sz="4" w:space="0"/>
              <w:bottom w:val="single" w:color="000000" w:sz="4" w:space="0"/>
              <w:right w:val="single" w:color="000000" w:sz="4" w:space="0"/>
            </w:tcBorders>
            <w:noWrap w:val="0"/>
            <w:vAlign w:val="center"/>
          </w:tcPr>
          <w:p w14:paraId="6C5FAC3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sz w:val="21"/>
                <w:szCs w:val="21"/>
                <w:u w:val="none"/>
              </w:rPr>
            </w:pPr>
            <w:r>
              <w:rPr>
                <w:rFonts w:hint="default" w:ascii="宋体" w:hAnsi="宋体" w:cs="宋体"/>
                <w:i w:val="0"/>
                <w:iCs w:val="0"/>
                <w:color w:val="auto"/>
                <w:sz w:val="21"/>
                <w:szCs w:val="21"/>
                <w:u w:val="none"/>
              </w:rPr>
              <w:t>部件受理员</w:t>
            </w:r>
          </w:p>
        </w:tc>
        <w:tc>
          <w:tcPr>
            <w:tcW w:w="674" w:type="pct"/>
            <w:tcBorders>
              <w:top w:val="single" w:color="000000" w:sz="4" w:space="0"/>
              <w:left w:val="single" w:color="000000" w:sz="4" w:space="0"/>
              <w:bottom w:val="single" w:color="000000" w:sz="4" w:space="0"/>
              <w:right w:val="single" w:color="000000" w:sz="4" w:space="0"/>
            </w:tcBorders>
            <w:noWrap w:val="0"/>
            <w:vAlign w:val="center"/>
          </w:tcPr>
          <w:p w14:paraId="3DDD93F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r>
              <w:rPr>
                <w:rFonts w:hint="default" w:ascii="宋体" w:hAnsi="宋体" w:cs="宋体"/>
                <w:i w:val="0"/>
                <w:iCs w:val="0"/>
                <w:color w:val="auto"/>
                <w:sz w:val="21"/>
                <w:szCs w:val="21"/>
                <w:u w:val="none"/>
              </w:rPr>
              <w:t>大专以上学历</w:t>
            </w:r>
          </w:p>
        </w:tc>
        <w:tc>
          <w:tcPr>
            <w:tcW w:w="381" w:type="pct"/>
            <w:tcBorders>
              <w:top w:val="single" w:color="000000" w:sz="4" w:space="0"/>
              <w:left w:val="single" w:color="000000" w:sz="4" w:space="0"/>
              <w:bottom w:val="single" w:color="000000" w:sz="4" w:space="0"/>
              <w:right w:val="single" w:color="000000" w:sz="4" w:space="0"/>
            </w:tcBorders>
            <w:noWrap w:val="0"/>
            <w:vAlign w:val="center"/>
          </w:tcPr>
          <w:p w14:paraId="3BD00C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sz w:val="21"/>
                <w:szCs w:val="21"/>
                <w:u w:val="none"/>
              </w:rPr>
            </w:pPr>
            <w:r>
              <w:rPr>
                <w:rFonts w:hint="default" w:ascii="宋体" w:hAnsi="宋体" w:cs="宋体"/>
                <w:i w:val="0"/>
                <w:iCs w:val="0"/>
                <w:color w:val="auto"/>
                <w:sz w:val="21"/>
                <w:szCs w:val="21"/>
                <w:u w:val="none"/>
              </w:rPr>
              <w:t>3</w:t>
            </w:r>
          </w:p>
        </w:tc>
        <w:tc>
          <w:tcPr>
            <w:tcW w:w="1849" w:type="pct"/>
            <w:tcBorders>
              <w:top w:val="single" w:color="000000" w:sz="4" w:space="0"/>
              <w:left w:val="single" w:color="000000" w:sz="4" w:space="0"/>
              <w:bottom w:val="single" w:color="000000" w:sz="4" w:space="0"/>
              <w:right w:val="single" w:color="000000" w:sz="4" w:space="0"/>
            </w:tcBorders>
            <w:noWrap w:val="0"/>
            <w:vAlign w:val="center"/>
          </w:tcPr>
          <w:p w14:paraId="0BA30EE3">
            <w:pPr>
              <w:keepNext w:val="0"/>
              <w:keepLines w:val="0"/>
              <w:pageBreakBefore w:val="0"/>
              <w:widowControl/>
              <w:kinsoku/>
              <w:wordWrap/>
              <w:overflowPunct/>
              <w:topLinePunct w:val="0"/>
              <w:autoSpaceDE/>
              <w:autoSpaceDN/>
              <w:bidi w:val="0"/>
              <w:adjustRightInd/>
              <w:snapToGrid/>
              <w:jc w:val="left"/>
              <w:rPr>
                <w:rFonts w:hint="default" w:ascii="宋体" w:hAnsi="宋体" w:eastAsia="宋体" w:cs="宋体"/>
                <w:i w:val="0"/>
                <w:iCs w:val="0"/>
                <w:color w:val="auto"/>
                <w:sz w:val="21"/>
                <w:szCs w:val="21"/>
                <w:u w:val="none"/>
              </w:rPr>
            </w:pPr>
            <w:r>
              <w:rPr>
                <w:rFonts w:hint="default" w:ascii="宋体" w:hAnsi="宋体" w:cs="宋体"/>
                <w:i w:val="0"/>
                <w:iCs w:val="0"/>
                <w:color w:val="auto"/>
                <w:sz w:val="21"/>
                <w:szCs w:val="21"/>
                <w:u w:val="none"/>
              </w:rPr>
              <w:t>服务面积93.09平方公里的各平台及转办案件的接单，派单、确权、回复。</w:t>
            </w:r>
          </w:p>
        </w:tc>
        <w:tc>
          <w:tcPr>
            <w:tcW w:w="863" w:type="pct"/>
            <w:tcBorders>
              <w:top w:val="single" w:color="000000" w:sz="4" w:space="0"/>
              <w:left w:val="single" w:color="000000" w:sz="4" w:space="0"/>
              <w:bottom w:val="single" w:color="000000" w:sz="4" w:space="0"/>
              <w:right w:val="single" w:color="000000" w:sz="4" w:space="0"/>
            </w:tcBorders>
            <w:noWrap w:val="0"/>
            <w:vAlign w:val="center"/>
          </w:tcPr>
          <w:p w14:paraId="4FD65820">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r>
      <w:tr w14:paraId="2FDFA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9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3EBAFB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c>
          <w:tcPr>
            <w:tcW w:w="835" w:type="pct"/>
            <w:tcBorders>
              <w:top w:val="single" w:color="000000" w:sz="4" w:space="0"/>
              <w:left w:val="single" w:color="000000" w:sz="4" w:space="0"/>
              <w:bottom w:val="single" w:color="000000" w:sz="4" w:space="0"/>
              <w:right w:val="single" w:color="000000" w:sz="4" w:space="0"/>
            </w:tcBorders>
            <w:noWrap w:val="0"/>
            <w:vAlign w:val="center"/>
          </w:tcPr>
          <w:p w14:paraId="4FD8B7D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sz w:val="21"/>
                <w:szCs w:val="21"/>
                <w:u w:val="none"/>
              </w:rPr>
            </w:pPr>
            <w:r>
              <w:rPr>
                <w:rFonts w:hint="default" w:ascii="宋体" w:hAnsi="宋体" w:cs="宋体"/>
                <w:i w:val="0"/>
                <w:iCs w:val="0"/>
                <w:color w:val="auto"/>
                <w:sz w:val="21"/>
                <w:szCs w:val="21"/>
                <w:u w:val="none"/>
              </w:rPr>
              <w:t>部件巡查员</w:t>
            </w:r>
          </w:p>
        </w:tc>
        <w:tc>
          <w:tcPr>
            <w:tcW w:w="674" w:type="pct"/>
            <w:tcBorders>
              <w:top w:val="single" w:color="000000" w:sz="4" w:space="0"/>
              <w:left w:val="single" w:color="000000" w:sz="4" w:space="0"/>
              <w:bottom w:val="single" w:color="000000" w:sz="4" w:space="0"/>
              <w:right w:val="single" w:color="000000" w:sz="4" w:space="0"/>
            </w:tcBorders>
            <w:noWrap w:val="0"/>
            <w:vAlign w:val="center"/>
          </w:tcPr>
          <w:p w14:paraId="391527C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z w:val="21"/>
                <w:szCs w:val="21"/>
                <w:u w:val="none"/>
              </w:rPr>
            </w:pPr>
            <w:r>
              <w:rPr>
                <w:rFonts w:hint="default" w:ascii="宋体" w:hAnsi="宋体" w:cs="宋体"/>
                <w:i w:val="0"/>
                <w:iCs w:val="0"/>
                <w:color w:val="auto"/>
                <w:sz w:val="21"/>
                <w:szCs w:val="21"/>
                <w:u w:val="none"/>
              </w:rPr>
              <w:t>大专以上学历</w:t>
            </w:r>
          </w:p>
        </w:tc>
        <w:tc>
          <w:tcPr>
            <w:tcW w:w="381" w:type="pct"/>
            <w:tcBorders>
              <w:top w:val="single" w:color="000000" w:sz="4" w:space="0"/>
              <w:left w:val="single" w:color="000000" w:sz="4" w:space="0"/>
              <w:bottom w:val="single" w:color="000000" w:sz="4" w:space="0"/>
              <w:right w:val="single" w:color="000000" w:sz="4" w:space="0"/>
            </w:tcBorders>
            <w:noWrap w:val="0"/>
            <w:vAlign w:val="center"/>
          </w:tcPr>
          <w:p w14:paraId="730F2B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sz w:val="21"/>
                <w:szCs w:val="21"/>
                <w:u w:val="none"/>
              </w:rPr>
            </w:pPr>
            <w:r>
              <w:rPr>
                <w:rFonts w:hint="default" w:ascii="宋体" w:hAnsi="宋体" w:cs="宋体"/>
                <w:i w:val="0"/>
                <w:iCs w:val="0"/>
                <w:color w:val="auto"/>
                <w:sz w:val="21"/>
                <w:szCs w:val="21"/>
                <w:u w:val="none"/>
              </w:rPr>
              <w:t>6</w:t>
            </w:r>
          </w:p>
        </w:tc>
        <w:tc>
          <w:tcPr>
            <w:tcW w:w="1849" w:type="pct"/>
            <w:tcBorders>
              <w:top w:val="single" w:color="000000" w:sz="4" w:space="0"/>
              <w:left w:val="single" w:color="000000" w:sz="4" w:space="0"/>
              <w:bottom w:val="single" w:color="000000" w:sz="4" w:space="0"/>
              <w:right w:val="single" w:color="000000" w:sz="4" w:space="0"/>
            </w:tcBorders>
            <w:noWrap w:val="0"/>
            <w:vAlign w:val="center"/>
          </w:tcPr>
          <w:p w14:paraId="40428CB6">
            <w:pPr>
              <w:keepNext w:val="0"/>
              <w:keepLines w:val="0"/>
              <w:pageBreakBefore w:val="0"/>
              <w:widowControl/>
              <w:kinsoku/>
              <w:wordWrap/>
              <w:overflowPunct/>
              <w:topLinePunct w:val="0"/>
              <w:autoSpaceDE/>
              <w:autoSpaceDN/>
              <w:bidi w:val="0"/>
              <w:adjustRightInd/>
              <w:snapToGrid/>
              <w:jc w:val="left"/>
              <w:rPr>
                <w:rFonts w:hint="default" w:ascii="宋体" w:hAnsi="宋体" w:eastAsia="宋体" w:cs="宋体"/>
                <w:i w:val="0"/>
                <w:iCs w:val="0"/>
                <w:color w:val="auto"/>
                <w:sz w:val="21"/>
                <w:szCs w:val="21"/>
                <w:u w:val="none"/>
              </w:rPr>
            </w:pPr>
            <w:r>
              <w:rPr>
                <w:rFonts w:hint="default" w:ascii="宋体" w:hAnsi="宋体" w:cs="宋体"/>
                <w:i w:val="0"/>
                <w:iCs w:val="0"/>
                <w:color w:val="auto"/>
                <w:sz w:val="21"/>
                <w:szCs w:val="21"/>
                <w:u w:val="none"/>
              </w:rPr>
              <w:t>对于城市管理方面的问题进行巡查，人均月发现问</w:t>
            </w:r>
            <w:r>
              <w:rPr>
                <w:rFonts w:hint="eastAsia" w:ascii="宋体" w:hAnsi="宋体" w:cs="宋体"/>
                <w:i w:val="0"/>
                <w:iCs w:val="0"/>
                <w:color w:val="auto"/>
                <w:sz w:val="21"/>
                <w:szCs w:val="21"/>
                <w:u w:val="none"/>
                <w:lang w:val="en-US" w:eastAsia="zh-CN"/>
              </w:rPr>
              <w:t>题</w:t>
            </w:r>
            <w:r>
              <w:rPr>
                <w:rFonts w:hint="default" w:ascii="宋体" w:hAnsi="宋体" w:cs="宋体"/>
                <w:i w:val="0"/>
                <w:iCs w:val="0"/>
                <w:color w:val="auto"/>
                <w:sz w:val="21"/>
                <w:szCs w:val="21"/>
                <w:u w:val="none"/>
              </w:rPr>
              <w:t>300件。</w:t>
            </w:r>
          </w:p>
        </w:tc>
        <w:tc>
          <w:tcPr>
            <w:tcW w:w="863" w:type="pct"/>
            <w:tcBorders>
              <w:top w:val="single" w:color="000000" w:sz="4" w:space="0"/>
              <w:left w:val="single" w:color="000000" w:sz="4" w:space="0"/>
              <w:bottom w:val="single" w:color="000000" w:sz="4" w:space="0"/>
              <w:right w:val="single" w:color="000000" w:sz="4" w:space="0"/>
            </w:tcBorders>
            <w:noWrap w:val="0"/>
            <w:vAlign w:val="center"/>
          </w:tcPr>
          <w:p w14:paraId="0C1F392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auto"/>
                <w:sz w:val="21"/>
                <w:szCs w:val="21"/>
                <w:u w:val="none"/>
              </w:rPr>
            </w:pPr>
          </w:p>
        </w:tc>
      </w:tr>
    </w:tbl>
    <w:p w14:paraId="08B42D44">
      <w:pPr>
        <w:pStyle w:val="2"/>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宋体" w:hAnsi="宋体" w:eastAsia="宋体" w:cs="宋体"/>
          <w:color w:val="auto"/>
          <w:sz w:val="24"/>
          <w:szCs w:val="24"/>
        </w:rPr>
      </w:pPr>
    </w:p>
    <w:p w14:paraId="45F11D19">
      <w:pPr>
        <w:rPr>
          <w:rFonts w:hint="eastAsia" w:ascii="Times New Roman" w:hAnsi="Times New Roman" w:eastAsia="宋体" w:cs="Times New Roman"/>
          <w:color w:val="auto"/>
          <w:sz w:val="32"/>
          <w:szCs w:val="32"/>
          <w:lang w:val="en-US" w:eastAsia="zh-CN"/>
        </w:rPr>
      </w:pPr>
      <w:r>
        <w:rPr>
          <w:rFonts w:hint="eastAsia" w:ascii="Times New Roman" w:hAnsi="Times New Roman" w:eastAsia="宋体" w:cs="Times New Roman"/>
          <w:color w:val="auto"/>
          <w:sz w:val="32"/>
          <w:szCs w:val="32"/>
          <w:lang w:val="en-US" w:eastAsia="zh-CN"/>
        </w:rPr>
        <w:br w:type="page"/>
      </w:r>
    </w:p>
    <w:p w14:paraId="581C5672">
      <w:pPr>
        <w:snapToGrid w:val="0"/>
        <w:spacing w:afterLines="50"/>
        <w:jc w:val="center"/>
        <w:outlineLvl w:val="0"/>
        <w:rPr>
          <w:rFonts w:hint="eastAsia" w:ascii="Times New Roman" w:hAnsi="Times New Roman" w:eastAsia="宋体" w:cs="Times New Roman"/>
          <w:color w:val="auto"/>
          <w:sz w:val="32"/>
          <w:szCs w:val="32"/>
          <w:lang w:val="en-US" w:eastAsia="zh-CN"/>
        </w:rPr>
      </w:pPr>
      <w:r>
        <w:rPr>
          <w:rFonts w:hint="eastAsia" w:ascii="Times New Roman" w:hAnsi="Times New Roman" w:eastAsia="宋体" w:cs="Times New Roman"/>
          <w:color w:val="auto"/>
          <w:sz w:val="32"/>
          <w:szCs w:val="32"/>
          <w:lang w:val="en-US" w:eastAsia="zh-CN"/>
        </w:rPr>
        <w:t>第六章 投标文件格式</w:t>
      </w:r>
      <w:bookmarkEnd w:id="185"/>
      <w:bookmarkEnd w:id="186"/>
      <w:bookmarkEnd w:id="187"/>
    </w:p>
    <w:p w14:paraId="3088FEF4">
      <w:pPr>
        <w:snapToGrid w:val="0"/>
        <w:spacing w:afterLines="50"/>
        <w:rPr>
          <w:color w:val="auto"/>
        </w:rPr>
      </w:pPr>
    </w:p>
    <w:p w14:paraId="09D1B464">
      <w:pPr>
        <w:spacing w:line="360" w:lineRule="auto"/>
        <w:jc w:val="center"/>
        <w:outlineLvl w:val="1"/>
        <w:rPr>
          <w:b/>
          <w:color w:val="auto"/>
          <w:sz w:val="30"/>
          <w:szCs w:val="30"/>
        </w:rPr>
      </w:pPr>
      <w:r>
        <w:rPr>
          <w:color w:val="auto"/>
        </w:rPr>
        <w:br w:type="page"/>
      </w:r>
      <w:bookmarkStart w:id="189" w:name="_Toc298745650"/>
      <w:bookmarkStart w:id="190" w:name="_Toc298434528"/>
      <w:bookmarkStart w:id="191" w:name="_Toc23024"/>
      <w:bookmarkStart w:id="192" w:name="_Toc11147"/>
      <w:bookmarkStart w:id="193" w:name="_Toc29099"/>
      <w:bookmarkStart w:id="194" w:name="_Toc22735"/>
      <w:bookmarkStart w:id="195" w:name="_Toc298458725"/>
      <w:bookmarkStart w:id="196" w:name="_Toc332094984"/>
      <w:bookmarkStart w:id="197" w:name="_Toc416103813"/>
      <w:bookmarkStart w:id="198" w:name="_Toc298434671"/>
      <w:bookmarkStart w:id="199" w:name="_Toc410631171"/>
      <w:bookmarkStart w:id="200" w:name="_Toc6925"/>
      <w:bookmarkStart w:id="201" w:name="_Toc2190"/>
      <w:bookmarkStart w:id="202" w:name="_Toc327276295"/>
      <w:bookmarkStart w:id="203" w:name="_Toc414445763"/>
      <w:bookmarkStart w:id="204" w:name="_Toc4228"/>
      <w:bookmarkStart w:id="205" w:name="_Toc350418253"/>
      <w:bookmarkStart w:id="206" w:name="_Toc298745568"/>
      <w:r>
        <w:rPr>
          <w:b/>
          <w:color w:val="auto"/>
          <w:sz w:val="30"/>
          <w:szCs w:val="30"/>
        </w:rPr>
        <w:t>评标索引</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tbl>
      <w:tblPr>
        <w:tblStyle w:val="43"/>
        <w:tblW w:w="8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5"/>
        <w:gridCol w:w="1722"/>
        <w:gridCol w:w="4536"/>
        <w:gridCol w:w="1843"/>
      </w:tblGrid>
      <w:tr w14:paraId="31BD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vAlign w:val="center"/>
          </w:tcPr>
          <w:p w14:paraId="31AC8F8C">
            <w:pPr>
              <w:snapToGrid w:val="0"/>
              <w:jc w:val="center"/>
              <w:rPr>
                <w:rFonts w:ascii="宋体"/>
                <w:color w:val="auto"/>
                <w:szCs w:val="21"/>
              </w:rPr>
            </w:pPr>
            <w:r>
              <w:rPr>
                <w:rFonts w:hint="eastAsia" w:ascii="宋体"/>
                <w:color w:val="auto"/>
                <w:szCs w:val="21"/>
              </w:rPr>
              <w:t>序号</w:t>
            </w:r>
          </w:p>
        </w:tc>
        <w:tc>
          <w:tcPr>
            <w:tcW w:w="1722" w:type="dxa"/>
            <w:vAlign w:val="center"/>
          </w:tcPr>
          <w:p w14:paraId="2E9ED895">
            <w:pPr>
              <w:snapToGrid w:val="0"/>
              <w:jc w:val="center"/>
              <w:rPr>
                <w:rFonts w:ascii="宋体"/>
                <w:color w:val="auto"/>
                <w:szCs w:val="21"/>
              </w:rPr>
            </w:pPr>
            <w:r>
              <w:rPr>
                <w:rFonts w:hint="eastAsia" w:ascii="宋体"/>
                <w:color w:val="auto"/>
                <w:szCs w:val="21"/>
              </w:rPr>
              <w:t>评标办法条款号</w:t>
            </w:r>
          </w:p>
        </w:tc>
        <w:tc>
          <w:tcPr>
            <w:tcW w:w="4536" w:type="dxa"/>
            <w:vAlign w:val="center"/>
          </w:tcPr>
          <w:p w14:paraId="732ADC6F">
            <w:pPr>
              <w:snapToGrid w:val="0"/>
              <w:jc w:val="center"/>
              <w:rPr>
                <w:rFonts w:ascii="宋体"/>
                <w:color w:val="auto"/>
                <w:szCs w:val="21"/>
              </w:rPr>
            </w:pPr>
            <w:r>
              <w:rPr>
                <w:rFonts w:hint="eastAsia" w:ascii="宋体"/>
                <w:color w:val="auto"/>
                <w:szCs w:val="21"/>
              </w:rPr>
              <w:t>评标办法要求</w:t>
            </w:r>
          </w:p>
        </w:tc>
        <w:tc>
          <w:tcPr>
            <w:tcW w:w="1843" w:type="dxa"/>
            <w:vAlign w:val="center"/>
          </w:tcPr>
          <w:p w14:paraId="352BD8D0">
            <w:pPr>
              <w:snapToGrid w:val="0"/>
              <w:jc w:val="center"/>
              <w:rPr>
                <w:rFonts w:ascii="宋体"/>
                <w:color w:val="auto"/>
                <w:szCs w:val="21"/>
              </w:rPr>
            </w:pPr>
            <w:r>
              <w:rPr>
                <w:rFonts w:hint="eastAsia" w:ascii="宋体"/>
                <w:color w:val="auto"/>
                <w:szCs w:val="21"/>
              </w:rPr>
              <w:t>投标文件对应内容的册及页码</w:t>
            </w:r>
          </w:p>
        </w:tc>
      </w:tr>
      <w:tr w14:paraId="5764E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vAlign w:val="center"/>
          </w:tcPr>
          <w:p w14:paraId="78927492">
            <w:pPr>
              <w:snapToGrid w:val="0"/>
              <w:jc w:val="center"/>
              <w:rPr>
                <w:rFonts w:ascii="宋体"/>
                <w:color w:val="auto"/>
                <w:szCs w:val="21"/>
              </w:rPr>
            </w:pPr>
            <w:r>
              <w:rPr>
                <w:rFonts w:hint="eastAsia" w:ascii="宋体"/>
                <w:color w:val="auto"/>
                <w:szCs w:val="21"/>
              </w:rPr>
              <w:t>一</w:t>
            </w:r>
          </w:p>
        </w:tc>
        <w:tc>
          <w:tcPr>
            <w:tcW w:w="1722" w:type="dxa"/>
            <w:vAlign w:val="center"/>
          </w:tcPr>
          <w:p w14:paraId="35212E6A">
            <w:pPr>
              <w:snapToGrid w:val="0"/>
              <w:jc w:val="center"/>
              <w:rPr>
                <w:rFonts w:ascii="宋体"/>
                <w:color w:val="auto"/>
                <w:szCs w:val="21"/>
              </w:rPr>
            </w:pPr>
            <w:r>
              <w:rPr>
                <w:rFonts w:hint="eastAsia" w:ascii="宋体"/>
                <w:color w:val="auto"/>
                <w:szCs w:val="21"/>
              </w:rPr>
              <w:t>资格审查</w:t>
            </w:r>
          </w:p>
        </w:tc>
        <w:tc>
          <w:tcPr>
            <w:tcW w:w="4536" w:type="dxa"/>
            <w:vAlign w:val="center"/>
          </w:tcPr>
          <w:p w14:paraId="4EFBE539">
            <w:pPr>
              <w:snapToGrid w:val="0"/>
              <w:jc w:val="center"/>
              <w:rPr>
                <w:rFonts w:ascii="宋体"/>
                <w:color w:val="auto"/>
                <w:szCs w:val="21"/>
              </w:rPr>
            </w:pPr>
          </w:p>
        </w:tc>
        <w:tc>
          <w:tcPr>
            <w:tcW w:w="1843" w:type="dxa"/>
            <w:vAlign w:val="center"/>
          </w:tcPr>
          <w:p w14:paraId="47259B6E">
            <w:pPr>
              <w:snapToGrid w:val="0"/>
              <w:ind w:firstLine="480"/>
              <w:jc w:val="center"/>
              <w:rPr>
                <w:rFonts w:ascii="宋体"/>
                <w:color w:val="auto"/>
                <w:szCs w:val="21"/>
              </w:rPr>
            </w:pPr>
          </w:p>
        </w:tc>
      </w:tr>
      <w:tr w14:paraId="0754D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vAlign w:val="center"/>
          </w:tcPr>
          <w:p w14:paraId="5D66BD27">
            <w:pPr>
              <w:snapToGrid w:val="0"/>
              <w:jc w:val="center"/>
              <w:rPr>
                <w:rFonts w:ascii="宋体"/>
                <w:color w:val="auto"/>
                <w:szCs w:val="21"/>
              </w:rPr>
            </w:pPr>
            <w:r>
              <w:rPr>
                <w:rFonts w:hint="eastAsia" w:ascii="宋体"/>
                <w:color w:val="auto"/>
                <w:szCs w:val="21"/>
              </w:rPr>
              <w:t>1</w:t>
            </w:r>
          </w:p>
        </w:tc>
        <w:tc>
          <w:tcPr>
            <w:tcW w:w="1722" w:type="dxa"/>
            <w:vAlign w:val="center"/>
          </w:tcPr>
          <w:p w14:paraId="128516BE">
            <w:pPr>
              <w:snapToGrid w:val="0"/>
              <w:jc w:val="center"/>
              <w:rPr>
                <w:rFonts w:ascii="宋体"/>
                <w:color w:val="auto"/>
                <w:szCs w:val="21"/>
              </w:rPr>
            </w:pPr>
          </w:p>
        </w:tc>
        <w:tc>
          <w:tcPr>
            <w:tcW w:w="4536" w:type="dxa"/>
            <w:vAlign w:val="center"/>
          </w:tcPr>
          <w:p w14:paraId="1135A2D9">
            <w:pPr>
              <w:snapToGrid w:val="0"/>
              <w:jc w:val="center"/>
              <w:rPr>
                <w:rFonts w:ascii="宋体"/>
                <w:color w:val="auto"/>
                <w:szCs w:val="21"/>
              </w:rPr>
            </w:pPr>
          </w:p>
        </w:tc>
        <w:tc>
          <w:tcPr>
            <w:tcW w:w="1843" w:type="dxa"/>
            <w:vAlign w:val="center"/>
          </w:tcPr>
          <w:p w14:paraId="3745CFC8">
            <w:pPr>
              <w:snapToGrid w:val="0"/>
              <w:ind w:firstLine="480"/>
              <w:jc w:val="center"/>
              <w:rPr>
                <w:rFonts w:ascii="宋体"/>
                <w:color w:val="auto"/>
                <w:szCs w:val="21"/>
              </w:rPr>
            </w:pPr>
          </w:p>
        </w:tc>
      </w:tr>
      <w:tr w14:paraId="6ECBA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vAlign w:val="center"/>
          </w:tcPr>
          <w:p w14:paraId="2D957E5D">
            <w:pPr>
              <w:snapToGrid w:val="0"/>
              <w:jc w:val="center"/>
              <w:rPr>
                <w:rFonts w:ascii="宋体"/>
                <w:color w:val="auto"/>
                <w:szCs w:val="21"/>
              </w:rPr>
            </w:pPr>
            <w:r>
              <w:rPr>
                <w:rFonts w:hint="eastAsia" w:ascii="宋体"/>
                <w:color w:val="auto"/>
                <w:szCs w:val="21"/>
              </w:rPr>
              <w:t>2</w:t>
            </w:r>
          </w:p>
        </w:tc>
        <w:tc>
          <w:tcPr>
            <w:tcW w:w="1722" w:type="dxa"/>
            <w:vAlign w:val="center"/>
          </w:tcPr>
          <w:p w14:paraId="60769B17">
            <w:pPr>
              <w:snapToGrid w:val="0"/>
              <w:jc w:val="center"/>
              <w:rPr>
                <w:rFonts w:ascii="宋体"/>
                <w:color w:val="auto"/>
                <w:szCs w:val="21"/>
              </w:rPr>
            </w:pPr>
          </w:p>
        </w:tc>
        <w:tc>
          <w:tcPr>
            <w:tcW w:w="4536" w:type="dxa"/>
            <w:vAlign w:val="center"/>
          </w:tcPr>
          <w:p w14:paraId="2CAD842F">
            <w:pPr>
              <w:snapToGrid w:val="0"/>
              <w:jc w:val="center"/>
              <w:rPr>
                <w:rFonts w:ascii="宋体"/>
                <w:color w:val="auto"/>
                <w:szCs w:val="21"/>
              </w:rPr>
            </w:pPr>
          </w:p>
        </w:tc>
        <w:tc>
          <w:tcPr>
            <w:tcW w:w="1843" w:type="dxa"/>
            <w:vAlign w:val="center"/>
          </w:tcPr>
          <w:p w14:paraId="192F4627">
            <w:pPr>
              <w:snapToGrid w:val="0"/>
              <w:ind w:firstLine="480"/>
              <w:jc w:val="center"/>
              <w:rPr>
                <w:rFonts w:ascii="宋体"/>
                <w:color w:val="auto"/>
                <w:szCs w:val="21"/>
              </w:rPr>
            </w:pPr>
          </w:p>
        </w:tc>
      </w:tr>
      <w:tr w14:paraId="57B2A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vAlign w:val="center"/>
          </w:tcPr>
          <w:p w14:paraId="708A2864">
            <w:pPr>
              <w:snapToGrid w:val="0"/>
              <w:jc w:val="center"/>
              <w:rPr>
                <w:rFonts w:ascii="宋体"/>
                <w:color w:val="auto"/>
                <w:szCs w:val="21"/>
              </w:rPr>
            </w:pPr>
            <w:r>
              <w:rPr>
                <w:rFonts w:hint="eastAsia" w:ascii="宋体"/>
                <w:color w:val="auto"/>
                <w:szCs w:val="21"/>
              </w:rPr>
              <w:t>...</w:t>
            </w:r>
          </w:p>
        </w:tc>
        <w:tc>
          <w:tcPr>
            <w:tcW w:w="1722" w:type="dxa"/>
            <w:vAlign w:val="center"/>
          </w:tcPr>
          <w:p w14:paraId="140408A0">
            <w:pPr>
              <w:snapToGrid w:val="0"/>
              <w:jc w:val="center"/>
              <w:rPr>
                <w:rFonts w:ascii="宋体"/>
                <w:color w:val="auto"/>
                <w:szCs w:val="21"/>
              </w:rPr>
            </w:pPr>
          </w:p>
        </w:tc>
        <w:tc>
          <w:tcPr>
            <w:tcW w:w="4536" w:type="dxa"/>
            <w:vAlign w:val="center"/>
          </w:tcPr>
          <w:p w14:paraId="16F206CB">
            <w:pPr>
              <w:snapToGrid w:val="0"/>
              <w:jc w:val="center"/>
              <w:rPr>
                <w:rFonts w:ascii="宋体"/>
                <w:color w:val="auto"/>
                <w:szCs w:val="21"/>
              </w:rPr>
            </w:pPr>
          </w:p>
        </w:tc>
        <w:tc>
          <w:tcPr>
            <w:tcW w:w="1843" w:type="dxa"/>
            <w:vAlign w:val="center"/>
          </w:tcPr>
          <w:p w14:paraId="08DD36E6">
            <w:pPr>
              <w:snapToGrid w:val="0"/>
              <w:ind w:firstLine="480"/>
              <w:jc w:val="center"/>
              <w:rPr>
                <w:rFonts w:ascii="宋体"/>
                <w:color w:val="auto"/>
                <w:szCs w:val="21"/>
              </w:rPr>
            </w:pPr>
          </w:p>
        </w:tc>
      </w:tr>
      <w:tr w14:paraId="4D45D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vAlign w:val="center"/>
          </w:tcPr>
          <w:p w14:paraId="2F849C57">
            <w:pPr>
              <w:snapToGrid w:val="0"/>
              <w:jc w:val="center"/>
              <w:rPr>
                <w:rFonts w:ascii="宋体"/>
                <w:color w:val="auto"/>
                <w:szCs w:val="21"/>
              </w:rPr>
            </w:pPr>
            <w:r>
              <w:rPr>
                <w:rFonts w:hint="eastAsia" w:ascii="宋体"/>
                <w:color w:val="auto"/>
                <w:szCs w:val="21"/>
              </w:rPr>
              <w:t>二</w:t>
            </w:r>
          </w:p>
        </w:tc>
        <w:tc>
          <w:tcPr>
            <w:tcW w:w="1722" w:type="dxa"/>
            <w:vAlign w:val="center"/>
          </w:tcPr>
          <w:p w14:paraId="06237777">
            <w:pPr>
              <w:snapToGrid w:val="0"/>
              <w:jc w:val="center"/>
              <w:rPr>
                <w:rFonts w:ascii="宋体"/>
                <w:color w:val="auto"/>
                <w:szCs w:val="21"/>
              </w:rPr>
            </w:pPr>
            <w:r>
              <w:rPr>
                <w:rFonts w:hint="eastAsia" w:ascii="宋体"/>
                <w:color w:val="auto"/>
                <w:szCs w:val="21"/>
              </w:rPr>
              <w:t>符合性审查</w:t>
            </w:r>
          </w:p>
        </w:tc>
        <w:tc>
          <w:tcPr>
            <w:tcW w:w="4536" w:type="dxa"/>
            <w:vAlign w:val="center"/>
          </w:tcPr>
          <w:p w14:paraId="3382DB38">
            <w:pPr>
              <w:snapToGrid w:val="0"/>
              <w:jc w:val="center"/>
              <w:rPr>
                <w:rFonts w:ascii="宋体"/>
                <w:color w:val="auto"/>
                <w:szCs w:val="21"/>
              </w:rPr>
            </w:pPr>
          </w:p>
        </w:tc>
        <w:tc>
          <w:tcPr>
            <w:tcW w:w="1843" w:type="dxa"/>
            <w:vAlign w:val="center"/>
          </w:tcPr>
          <w:p w14:paraId="702ED8EE">
            <w:pPr>
              <w:snapToGrid w:val="0"/>
              <w:ind w:firstLine="480"/>
              <w:jc w:val="center"/>
              <w:rPr>
                <w:rFonts w:ascii="宋体"/>
                <w:color w:val="auto"/>
                <w:szCs w:val="21"/>
              </w:rPr>
            </w:pPr>
          </w:p>
        </w:tc>
      </w:tr>
      <w:tr w14:paraId="73337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vAlign w:val="center"/>
          </w:tcPr>
          <w:p w14:paraId="4A24183A">
            <w:pPr>
              <w:snapToGrid w:val="0"/>
              <w:jc w:val="center"/>
              <w:rPr>
                <w:rFonts w:ascii="宋体"/>
                <w:color w:val="auto"/>
                <w:szCs w:val="21"/>
              </w:rPr>
            </w:pPr>
            <w:r>
              <w:rPr>
                <w:rFonts w:hint="eastAsia" w:ascii="宋体"/>
                <w:color w:val="auto"/>
                <w:szCs w:val="21"/>
              </w:rPr>
              <w:t>1</w:t>
            </w:r>
          </w:p>
        </w:tc>
        <w:tc>
          <w:tcPr>
            <w:tcW w:w="1722" w:type="dxa"/>
            <w:vAlign w:val="center"/>
          </w:tcPr>
          <w:p w14:paraId="21B98BAD">
            <w:pPr>
              <w:snapToGrid w:val="0"/>
              <w:jc w:val="center"/>
              <w:rPr>
                <w:rFonts w:ascii="宋体"/>
                <w:color w:val="auto"/>
                <w:szCs w:val="21"/>
              </w:rPr>
            </w:pPr>
          </w:p>
        </w:tc>
        <w:tc>
          <w:tcPr>
            <w:tcW w:w="4536" w:type="dxa"/>
            <w:vAlign w:val="center"/>
          </w:tcPr>
          <w:p w14:paraId="01BCF861">
            <w:pPr>
              <w:snapToGrid w:val="0"/>
              <w:jc w:val="center"/>
              <w:rPr>
                <w:rFonts w:ascii="宋体"/>
                <w:color w:val="auto"/>
                <w:szCs w:val="21"/>
              </w:rPr>
            </w:pPr>
          </w:p>
        </w:tc>
        <w:tc>
          <w:tcPr>
            <w:tcW w:w="1843" w:type="dxa"/>
            <w:vAlign w:val="center"/>
          </w:tcPr>
          <w:p w14:paraId="43D036D0">
            <w:pPr>
              <w:snapToGrid w:val="0"/>
              <w:ind w:firstLine="480"/>
              <w:jc w:val="center"/>
              <w:rPr>
                <w:rFonts w:ascii="宋体"/>
                <w:color w:val="auto"/>
                <w:szCs w:val="21"/>
              </w:rPr>
            </w:pPr>
          </w:p>
        </w:tc>
      </w:tr>
      <w:tr w14:paraId="3FCE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vAlign w:val="center"/>
          </w:tcPr>
          <w:p w14:paraId="0DF25E5B">
            <w:pPr>
              <w:snapToGrid w:val="0"/>
              <w:jc w:val="center"/>
              <w:rPr>
                <w:rFonts w:ascii="宋体"/>
                <w:color w:val="auto"/>
                <w:szCs w:val="21"/>
              </w:rPr>
            </w:pPr>
            <w:r>
              <w:rPr>
                <w:rFonts w:hint="eastAsia" w:ascii="宋体"/>
                <w:color w:val="auto"/>
                <w:szCs w:val="21"/>
              </w:rPr>
              <w:t>2</w:t>
            </w:r>
          </w:p>
        </w:tc>
        <w:tc>
          <w:tcPr>
            <w:tcW w:w="1722" w:type="dxa"/>
            <w:vAlign w:val="center"/>
          </w:tcPr>
          <w:p w14:paraId="61AFE5C5">
            <w:pPr>
              <w:snapToGrid w:val="0"/>
              <w:jc w:val="center"/>
              <w:rPr>
                <w:rFonts w:ascii="宋体"/>
                <w:color w:val="auto"/>
                <w:szCs w:val="21"/>
              </w:rPr>
            </w:pPr>
          </w:p>
        </w:tc>
        <w:tc>
          <w:tcPr>
            <w:tcW w:w="4536" w:type="dxa"/>
            <w:vAlign w:val="center"/>
          </w:tcPr>
          <w:p w14:paraId="5203EE9D">
            <w:pPr>
              <w:snapToGrid w:val="0"/>
              <w:jc w:val="center"/>
              <w:rPr>
                <w:rFonts w:ascii="宋体"/>
                <w:color w:val="auto"/>
                <w:szCs w:val="21"/>
              </w:rPr>
            </w:pPr>
          </w:p>
        </w:tc>
        <w:tc>
          <w:tcPr>
            <w:tcW w:w="1843" w:type="dxa"/>
            <w:vAlign w:val="center"/>
          </w:tcPr>
          <w:p w14:paraId="6320A235">
            <w:pPr>
              <w:snapToGrid w:val="0"/>
              <w:ind w:firstLine="480"/>
              <w:jc w:val="center"/>
              <w:rPr>
                <w:rFonts w:ascii="宋体"/>
                <w:color w:val="auto"/>
                <w:szCs w:val="21"/>
              </w:rPr>
            </w:pPr>
          </w:p>
        </w:tc>
      </w:tr>
      <w:tr w14:paraId="0C233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vAlign w:val="center"/>
          </w:tcPr>
          <w:p w14:paraId="6868FB59">
            <w:pPr>
              <w:snapToGrid w:val="0"/>
              <w:jc w:val="center"/>
              <w:rPr>
                <w:rFonts w:ascii="宋体"/>
                <w:color w:val="auto"/>
                <w:szCs w:val="21"/>
              </w:rPr>
            </w:pPr>
            <w:r>
              <w:rPr>
                <w:rFonts w:hint="eastAsia" w:ascii="宋体"/>
                <w:color w:val="auto"/>
                <w:szCs w:val="21"/>
              </w:rPr>
              <w:t>...</w:t>
            </w:r>
          </w:p>
        </w:tc>
        <w:tc>
          <w:tcPr>
            <w:tcW w:w="1722" w:type="dxa"/>
            <w:vAlign w:val="center"/>
          </w:tcPr>
          <w:p w14:paraId="032759C9">
            <w:pPr>
              <w:snapToGrid w:val="0"/>
              <w:jc w:val="center"/>
              <w:rPr>
                <w:rFonts w:ascii="宋体"/>
                <w:color w:val="auto"/>
                <w:szCs w:val="21"/>
              </w:rPr>
            </w:pPr>
          </w:p>
        </w:tc>
        <w:tc>
          <w:tcPr>
            <w:tcW w:w="4536" w:type="dxa"/>
            <w:vAlign w:val="center"/>
          </w:tcPr>
          <w:p w14:paraId="13630B9E">
            <w:pPr>
              <w:snapToGrid w:val="0"/>
              <w:jc w:val="center"/>
              <w:rPr>
                <w:rFonts w:ascii="宋体"/>
                <w:color w:val="auto"/>
                <w:szCs w:val="21"/>
              </w:rPr>
            </w:pPr>
          </w:p>
        </w:tc>
        <w:tc>
          <w:tcPr>
            <w:tcW w:w="1843" w:type="dxa"/>
            <w:vAlign w:val="center"/>
          </w:tcPr>
          <w:p w14:paraId="7CF2741C">
            <w:pPr>
              <w:snapToGrid w:val="0"/>
              <w:ind w:firstLine="480"/>
              <w:jc w:val="center"/>
              <w:rPr>
                <w:rFonts w:ascii="宋体"/>
                <w:color w:val="auto"/>
                <w:szCs w:val="21"/>
              </w:rPr>
            </w:pPr>
          </w:p>
        </w:tc>
      </w:tr>
      <w:tr w14:paraId="3AB0D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vAlign w:val="center"/>
          </w:tcPr>
          <w:p w14:paraId="446FCA19">
            <w:pPr>
              <w:snapToGrid w:val="0"/>
              <w:jc w:val="center"/>
              <w:rPr>
                <w:rFonts w:ascii="宋体"/>
                <w:color w:val="auto"/>
                <w:szCs w:val="21"/>
              </w:rPr>
            </w:pPr>
            <w:r>
              <w:rPr>
                <w:rFonts w:hint="eastAsia" w:ascii="宋体"/>
                <w:color w:val="auto"/>
                <w:szCs w:val="21"/>
              </w:rPr>
              <w:t>三</w:t>
            </w:r>
          </w:p>
        </w:tc>
        <w:tc>
          <w:tcPr>
            <w:tcW w:w="1722" w:type="dxa"/>
            <w:vAlign w:val="center"/>
          </w:tcPr>
          <w:p w14:paraId="4E47A48F">
            <w:pPr>
              <w:snapToGrid w:val="0"/>
              <w:jc w:val="center"/>
              <w:rPr>
                <w:rFonts w:ascii="宋体"/>
                <w:color w:val="auto"/>
                <w:szCs w:val="21"/>
              </w:rPr>
            </w:pPr>
            <w:r>
              <w:rPr>
                <w:rFonts w:hint="eastAsia" w:ascii="宋体"/>
                <w:color w:val="auto"/>
                <w:szCs w:val="21"/>
              </w:rPr>
              <w:t>商务</w:t>
            </w:r>
            <w:r>
              <w:rPr>
                <w:rFonts w:hint="eastAsia" w:ascii="宋体"/>
                <w:color w:val="auto"/>
                <w:szCs w:val="21"/>
                <w:lang w:val="en-US" w:eastAsia="zh-CN"/>
              </w:rPr>
              <w:t>技术</w:t>
            </w:r>
            <w:r>
              <w:rPr>
                <w:rFonts w:hint="eastAsia" w:ascii="宋体"/>
                <w:color w:val="auto"/>
                <w:szCs w:val="21"/>
              </w:rPr>
              <w:t>评审</w:t>
            </w:r>
          </w:p>
        </w:tc>
        <w:tc>
          <w:tcPr>
            <w:tcW w:w="4536" w:type="dxa"/>
            <w:vAlign w:val="center"/>
          </w:tcPr>
          <w:p w14:paraId="52C65757">
            <w:pPr>
              <w:snapToGrid w:val="0"/>
              <w:jc w:val="center"/>
              <w:rPr>
                <w:rFonts w:ascii="宋体"/>
                <w:color w:val="auto"/>
                <w:szCs w:val="21"/>
              </w:rPr>
            </w:pPr>
          </w:p>
        </w:tc>
        <w:tc>
          <w:tcPr>
            <w:tcW w:w="1843" w:type="dxa"/>
            <w:vAlign w:val="center"/>
          </w:tcPr>
          <w:p w14:paraId="3735E40E">
            <w:pPr>
              <w:snapToGrid w:val="0"/>
              <w:ind w:firstLine="480"/>
              <w:jc w:val="center"/>
              <w:rPr>
                <w:rFonts w:ascii="宋体"/>
                <w:color w:val="auto"/>
                <w:szCs w:val="21"/>
              </w:rPr>
            </w:pPr>
          </w:p>
        </w:tc>
      </w:tr>
      <w:tr w14:paraId="3F6BA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vAlign w:val="center"/>
          </w:tcPr>
          <w:p w14:paraId="0C568EAD">
            <w:pPr>
              <w:snapToGrid w:val="0"/>
              <w:jc w:val="center"/>
              <w:rPr>
                <w:rFonts w:ascii="宋体"/>
                <w:color w:val="auto"/>
                <w:szCs w:val="21"/>
              </w:rPr>
            </w:pPr>
            <w:r>
              <w:rPr>
                <w:rFonts w:hint="eastAsia" w:ascii="宋体"/>
                <w:color w:val="auto"/>
                <w:szCs w:val="21"/>
              </w:rPr>
              <w:t>1</w:t>
            </w:r>
          </w:p>
        </w:tc>
        <w:tc>
          <w:tcPr>
            <w:tcW w:w="1722" w:type="dxa"/>
            <w:vAlign w:val="center"/>
          </w:tcPr>
          <w:p w14:paraId="68896B64">
            <w:pPr>
              <w:snapToGrid w:val="0"/>
              <w:jc w:val="center"/>
              <w:rPr>
                <w:rFonts w:ascii="宋体"/>
                <w:color w:val="auto"/>
                <w:szCs w:val="21"/>
              </w:rPr>
            </w:pPr>
          </w:p>
        </w:tc>
        <w:tc>
          <w:tcPr>
            <w:tcW w:w="4536" w:type="dxa"/>
            <w:vAlign w:val="center"/>
          </w:tcPr>
          <w:p w14:paraId="1131E216">
            <w:pPr>
              <w:snapToGrid w:val="0"/>
              <w:jc w:val="center"/>
              <w:rPr>
                <w:rFonts w:ascii="宋体"/>
                <w:color w:val="auto"/>
                <w:szCs w:val="21"/>
              </w:rPr>
            </w:pPr>
          </w:p>
        </w:tc>
        <w:tc>
          <w:tcPr>
            <w:tcW w:w="1843" w:type="dxa"/>
            <w:vAlign w:val="center"/>
          </w:tcPr>
          <w:p w14:paraId="7418A7AD">
            <w:pPr>
              <w:snapToGrid w:val="0"/>
              <w:ind w:firstLine="480"/>
              <w:jc w:val="center"/>
              <w:rPr>
                <w:rFonts w:ascii="宋体"/>
                <w:color w:val="auto"/>
                <w:szCs w:val="21"/>
              </w:rPr>
            </w:pPr>
          </w:p>
        </w:tc>
      </w:tr>
      <w:tr w14:paraId="599A9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vAlign w:val="center"/>
          </w:tcPr>
          <w:p w14:paraId="157D9000">
            <w:pPr>
              <w:snapToGrid w:val="0"/>
              <w:jc w:val="center"/>
              <w:rPr>
                <w:rFonts w:ascii="宋体"/>
                <w:color w:val="auto"/>
                <w:szCs w:val="21"/>
              </w:rPr>
            </w:pPr>
            <w:r>
              <w:rPr>
                <w:rFonts w:hint="eastAsia" w:ascii="宋体"/>
                <w:color w:val="auto"/>
                <w:szCs w:val="21"/>
              </w:rPr>
              <w:t>2</w:t>
            </w:r>
          </w:p>
        </w:tc>
        <w:tc>
          <w:tcPr>
            <w:tcW w:w="1722" w:type="dxa"/>
            <w:vAlign w:val="center"/>
          </w:tcPr>
          <w:p w14:paraId="326BBBF4">
            <w:pPr>
              <w:snapToGrid w:val="0"/>
              <w:jc w:val="center"/>
              <w:rPr>
                <w:rFonts w:ascii="宋体"/>
                <w:color w:val="auto"/>
                <w:szCs w:val="21"/>
              </w:rPr>
            </w:pPr>
          </w:p>
        </w:tc>
        <w:tc>
          <w:tcPr>
            <w:tcW w:w="4536" w:type="dxa"/>
            <w:vAlign w:val="center"/>
          </w:tcPr>
          <w:p w14:paraId="017C8A6B">
            <w:pPr>
              <w:snapToGrid w:val="0"/>
              <w:jc w:val="center"/>
              <w:rPr>
                <w:rFonts w:ascii="宋体"/>
                <w:color w:val="auto"/>
                <w:szCs w:val="21"/>
              </w:rPr>
            </w:pPr>
          </w:p>
        </w:tc>
        <w:tc>
          <w:tcPr>
            <w:tcW w:w="1843" w:type="dxa"/>
            <w:vAlign w:val="center"/>
          </w:tcPr>
          <w:p w14:paraId="668B81FD">
            <w:pPr>
              <w:snapToGrid w:val="0"/>
              <w:ind w:firstLine="480"/>
              <w:jc w:val="center"/>
              <w:rPr>
                <w:rFonts w:ascii="宋体"/>
                <w:color w:val="auto"/>
                <w:szCs w:val="21"/>
              </w:rPr>
            </w:pPr>
          </w:p>
        </w:tc>
      </w:tr>
      <w:tr w14:paraId="3A065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vAlign w:val="center"/>
          </w:tcPr>
          <w:p w14:paraId="703F8177">
            <w:pPr>
              <w:snapToGrid w:val="0"/>
              <w:jc w:val="center"/>
              <w:rPr>
                <w:rFonts w:ascii="宋体"/>
                <w:color w:val="auto"/>
                <w:szCs w:val="21"/>
              </w:rPr>
            </w:pPr>
            <w:r>
              <w:rPr>
                <w:rFonts w:hint="eastAsia" w:ascii="宋体"/>
                <w:color w:val="auto"/>
                <w:szCs w:val="21"/>
              </w:rPr>
              <w:t>...</w:t>
            </w:r>
          </w:p>
        </w:tc>
        <w:tc>
          <w:tcPr>
            <w:tcW w:w="1722" w:type="dxa"/>
            <w:vAlign w:val="center"/>
          </w:tcPr>
          <w:p w14:paraId="5C5ADEE4">
            <w:pPr>
              <w:snapToGrid w:val="0"/>
              <w:jc w:val="center"/>
              <w:rPr>
                <w:rFonts w:ascii="宋体"/>
                <w:color w:val="auto"/>
                <w:szCs w:val="21"/>
              </w:rPr>
            </w:pPr>
          </w:p>
        </w:tc>
        <w:tc>
          <w:tcPr>
            <w:tcW w:w="4536" w:type="dxa"/>
            <w:vAlign w:val="center"/>
          </w:tcPr>
          <w:p w14:paraId="648CBF1F">
            <w:pPr>
              <w:snapToGrid w:val="0"/>
              <w:jc w:val="center"/>
              <w:rPr>
                <w:rFonts w:ascii="宋体"/>
                <w:color w:val="auto"/>
                <w:szCs w:val="21"/>
              </w:rPr>
            </w:pPr>
          </w:p>
        </w:tc>
        <w:tc>
          <w:tcPr>
            <w:tcW w:w="1843" w:type="dxa"/>
            <w:vAlign w:val="center"/>
          </w:tcPr>
          <w:p w14:paraId="79D4074D">
            <w:pPr>
              <w:snapToGrid w:val="0"/>
              <w:ind w:firstLine="480"/>
              <w:jc w:val="center"/>
              <w:rPr>
                <w:rFonts w:ascii="宋体"/>
                <w:color w:val="auto"/>
                <w:szCs w:val="21"/>
              </w:rPr>
            </w:pPr>
          </w:p>
        </w:tc>
      </w:tr>
    </w:tbl>
    <w:p w14:paraId="7E8810AE">
      <w:pPr>
        <w:spacing w:line="360" w:lineRule="auto"/>
        <w:ind w:firstLine="480"/>
        <w:jc w:val="left"/>
        <w:rPr>
          <w:rFonts w:ascii="宋体"/>
          <w:color w:val="auto"/>
          <w:szCs w:val="21"/>
        </w:rPr>
      </w:pPr>
    </w:p>
    <w:p w14:paraId="5DF5CD35">
      <w:pPr>
        <w:rPr>
          <w:rFonts w:ascii="宋体"/>
          <w:color w:val="auto"/>
          <w:szCs w:val="21"/>
        </w:rPr>
      </w:pPr>
      <w:r>
        <w:rPr>
          <w:rFonts w:hint="eastAsia" w:ascii="宋体"/>
          <w:color w:val="auto"/>
          <w:szCs w:val="21"/>
        </w:rPr>
        <w:t>注</w:t>
      </w:r>
      <w:r>
        <w:rPr>
          <w:rFonts w:hint="eastAsia" w:ascii="宋体"/>
          <w:color w:val="auto"/>
          <w:szCs w:val="21"/>
          <w:lang w:eastAsia="zh-CN"/>
        </w:rPr>
        <w:t>:</w:t>
      </w:r>
      <w:r>
        <w:rPr>
          <w:rFonts w:hint="eastAsia" w:ascii="宋体"/>
          <w:color w:val="auto"/>
          <w:szCs w:val="21"/>
        </w:rPr>
        <w:t>该评标索引表格放在投标文件目录后，正文的第一页。</w:t>
      </w:r>
    </w:p>
    <w:p w14:paraId="776A2422">
      <w:pPr>
        <w:spacing w:line="360" w:lineRule="auto"/>
        <w:outlineLvl w:val="1"/>
        <w:rPr>
          <w:b/>
          <w:color w:val="auto"/>
          <w:sz w:val="24"/>
        </w:rPr>
      </w:pPr>
      <w:r>
        <w:rPr>
          <w:color w:val="auto"/>
          <w:sz w:val="24"/>
        </w:rPr>
        <w:br w:type="page"/>
      </w:r>
      <w:bookmarkStart w:id="207" w:name="_A1_投标书"/>
      <w:bookmarkEnd w:id="207"/>
      <w:bookmarkStart w:id="208" w:name="_Toc410631173"/>
      <w:bookmarkStart w:id="209" w:name="_Toc414445764"/>
      <w:bookmarkStart w:id="210" w:name="_Toc372807484"/>
      <w:bookmarkStart w:id="211" w:name="_Toc416103814"/>
      <w:bookmarkStart w:id="212" w:name="_Toc30875"/>
      <w:bookmarkStart w:id="213" w:name="_Toc181038076"/>
      <w:bookmarkStart w:id="214" w:name="_Toc192127127"/>
      <w:bookmarkStart w:id="215" w:name="_Toc11410"/>
      <w:bookmarkStart w:id="216" w:name="_Toc162669084"/>
      <w:bookmarkStart w:id="217" w:name="_Toc16687"/>
      <w:bookmarkStart w:id="218" w:name="_Toc128455956"/>
      <w:bookmarkStart w:id="219" w:name="_Toc176663528"/>
      <w:bookmarkStart w:id="220" w:name="_Toc179091096"/>
      <w:bookmarkStart w:id="221" w:name="_Toc192127128"/>
      <w:r>
        <w:rPr>
          <w:rFonts w:hint="eastAsia"/>
          <w:b/>
          <w:color w:val="auto"/>
          <w:sz w:val="24"/>
        </w:rPr>
        <w:t>附件1</w:t>
      </w:r>
      <w:bookmarkEnd w:id="208"/>
      <w:bookmarkEnd w:id="209"/>
      <w:bookmarkEnd w:id="210"/>
      <w:bookmarkEnd w:id="211"/>
      <w:r>
        <w:rPr>
          <w:rFonts w:hint="eastAsia" w:ascii="宋体" w:hAnsi="宋体" w:eastAsia="宋体" w:cs="宋体"/>
          <w:b/>
          <w:color w:val="auto"/>
          <w:sz w:val="24"/>
        </w:rPr>
        <w:t xml:space="preserve"> </w:t>
      </w:r>
      <w:r>
        <w:rPr>
          <w:b/>
          <w:color w:val="auto"/>
          <w:sz w:val="24"/>
        </w:rPr>
        <w:t>投标</w:t>
      </w:r>
      <w:r>
        <w:rPr>
          <w:rFonts w:hint="eastAsia"/>
          <w:b/>
          <w:color w:val="auto"/>
          <w:sz w:val="24"/>
        </w:rPr>
        <w:t>书</w:t>
      </w:r>
      <w:bookmarkEnd w:id="212"/>
      <w:bookmarkEnd w:id="213"/>
      <w:bookmarkEnd w:id="214"/>
      <w:bookmarkEnd w:id="215"/>
      <w:bookmarkEnd w:id="216"/>
      <w:bookmarkEnd w:id="217"/>
      <w:bookmarkEnd w:id="218"/>
      <w:bookmarkEnd w:id="219"/>
      <w:bookmarkEnd w:id="220"/>
    </w:p>
    <w:p w14:paraId="21B08606">
      <w:pPr>
        <w:autoSpaceDE w:val="0"/>
        <w:autoSpaceDN w:val="0"/>
        <w:adjustRightInd w:val="0"/>
        <w:jc w:val="center"/>
        <w:rPr>
          <w:rFonts w:ascii="宋体" w:hAnsi="宋体" w:cs="黑体"/>
          <w:color w:val="auto"/>
          <w:kern w:val="0"/>
          <w:sz w:val="24"/>
        </w:rPr>
      </w:pPr>
    </w:p>
    <w:p w14:paraId="33C4223C">
      <w:pPr>
        <w:autoSpaceDE w:val="0"/>
        <w:autoSpaceDN w:val="0"/>
        <w:adjustRightInd w:val="0"/>
        <w:jc w:val="center"/>
        <w:rPr>
          <w:rFonts w:ascii="宋体" w:hAnsi="宋体" w:cs="黑体"/>
          <w:color w:val="auto"/>
          <w:kern w:val="0"/>
          <w:sz w:val="24"/>
        </w:rPr>
      </w:pPr>
      <w:r>
        <w:rPr>
          <w:rFonts w:hint="eastAsia" w:ascii="宋体" w:hAnsi="宋体" w:cs="黑体"/>
          <w:color w:val="auto"/>
          <w:kern w:val="0"/>
          <w:sz w:val="24"/>
        </w:rPr>
        <w:t>投标书</w:t>
      </w:r>
    </w:p>
    <w:p w14:paraId="436EF447">
      <w:pPr>
        <w:autoSpaceDE w:val="0"/>
        <w:autoSpaceDN w:val="0"/>
        <w:adjustRightInd w:val="0"/>
        <w:jc w:val="center"/>
        <w:rPr>
          <w:rFonts w:ascii="宋体" w:hAnsi="宋体" w:cs="黑体"/>
          <w:color w:val="auto"/>
          <w:kern w:val="0"/>
          <w:sz w:val="24"/>
        </w:rPr>
      </w:pPr>
    </w:p>
    <w:p w14:paraId="4541845A">
      <w:pPr>
        <w:autoSpaceDE w:val="0"/>
        <w:autoSpaceDN w:val="0"/>
        <w:adjustRightInd w:val="0"/>
        <w:jc w:val="center"/>
        <w:rPr>
          <w:rFonts w:ascii="宋体" w:hAnsi="宋体" w:cs="黑体"/>
          <w:color w:val="auto"/>
          <w:kern w:val="0"/>
          <w:sz w:val="24"/>
        </w:rPr>
      </w:pPr>
    </w:p>
    <w:p w14:paraId="16973667">
      <w:pPr>
        <w:autoSpaceDE w:val="0"/>
        <w:autoSpaceDN w:val="0"/>
        <w:adjustRightInd w:val="0"/>
        <w:snapToGrid w:val="0"/>
        <w:spacing w:line="360" w:lineRule="auto"/>
        <w:jc w:val="left"/>
        <w:rPr>
          <w:rFonts w:hint="eastAsia" w:ascii="宋体" w:hAnsi="宋体" w:eastAsia="宋体" w:cs="仿宋_GB2312"/>
          <w:color w:val="auto"/>
          <w:kern w:val="0"/>
          <w:sz w:val="24"/>
          <w:lang w:eastAsia="zh-CN"/>
        </w:rPr>
      </w:pPr>
      <w:r>
        <w:rPr>
          <w:rFonts w:hint="eastAsia" w:ascii="宋体" w:hAnsi="宋体" w:cs="仿宋_GB2312"/>
          <w:color w:val="auto"/>
          <w:kern w:val="0"/>
          <w:sz w:val="24"/>
          <w:u w:val="single"/>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采购人名称</w:t>
      </w:r>
      <w:r>
        <w:rPr>
          <w:rFonts w:hint="eastAsia" w:ascii="宋体" w:hAnsi="宋体" w:cs="仿宋_GB2312"/>
          <w:color w:val="auto"/>
          <w:kern w:val="0"/>
          <w:sz w:val="24"/>
          <w:lang w:eastAsia="zh-CN"/>
        </w:rPr>
        <w:t>):</w:t>
      </w:r>
    </w:p>
    <w:p w14:paraId="4228EAC4">
      <w:pPr>
        <w:autoSpaceDE w:val="0"/>
        <w:autoSpaceDN w:val="0"/>
        <w:adjustRightInd w:val="0"/>
        <w:snapToGrid w:val="0"/>
        <w:spacing w:line="360" w:lineRule="auto"/>
        <w:ind w:firstLine="480" w:firstLineChars="200"/>
        <w:jc w:val="left"/>
        <w:rPr>
          <w:rFonts w:ascii="宋体" w:hAnsi="宋体" w:cs="仿宋_GB2312"/>
          <w:color w:val="auto"/>
          <w:kern w:val="0"/>
          <w:sz w:val="24"/>
        </w:rPr>
      </w:pPr>
      <w:r>
        <w:rPr>
          <w:rFonts w:hint="eastAsia" w:ascii="宋体" w:hAnsi="宋体" w:cs="TimesNewRomanPSMT"/>
          <w:color w:val="auto"/>
          <w:kern w:val="0"/>
          <w:sz w:val="24"/>
        </w:rPr>
        <w:t>1.</w:t>
      </w:r>
      <w:r>
        <w:rPr>
          <w:rFonts w:hint="eastAsia" w:ascii="宋体" w:hAnsi="宋体" w:cs="仿宋_GB2312"/>
          <w:color w:val="auto"/>
          <w:kern w:val="0"/>
          <w:sz w:val="24"/>
        </w:rPr>
        <w:t>我方已仔细研究了</w:t>
      </w:r>
      <w:r>
        <w:rPr>
          <w:rFonts w:hint="eastAsia" w:ascii="宋体" w:hAnsi="宋体" w:cs="仿宋_GB2312"/>
          <w:color w:val="auto"/>
          <w:kern w:val="0"/>
          <w:sz w:val="24"/>
          <w:u w:val="single"/>
        </w:rPr>
        <w:t xml:space="preserve">  </w:t>
      </w:r>
      <w:r>
        <w:rPr>
          <w:rFonts w:hint="eastAsia" w:ascii="宋体" w:hAnsi="宋体" w:cs="仿宋_GB2312"/>
          <w:color w:val="auto"/>
          <w:kern w:val="0"/>
          <w:sz w:val="24"/>
          <w:u w:val="single"/>
          <w:lang w:eastAsia="zh-CN"/>
        </w:rPr>
        <w:t>(</w:t>
      </w:r>
      <w:r>
        <w:rPr>
          <w:rFonts w:hint="eastAsia" w:ascii="宋体" w:hAnsi="宋体" w:cs="仿宋_GB2312"/>
          <w:color w:val="auto"/>
          <w:kern w:val="0"/>
          <w:sz w:val="24"/>
          <w:u w:val="single"/>
        </w:rPr>
        <w:t>项目名称</w:t>
      </w:r>
      <w:r>
        <w:rPr>
          <w:rFonts w:hint="eastAsia" w:ascii="宋体" w:hAnsi="宋体" w:cs="仿宋_GB2312"/>
          <w:color w:val="auto"/>
          <w:kern w:val="0"/>
          <w:sz w:val="24"/>
          <w:u w:val="single"/>
          <w:lang w:eastAsia="zh-CN"/>
        </w:rPr>
        <w:t>)</w:t>
      </w:r>
      <w:r>
        <w:rPr>
          <w:rFonts w:hint="eastAsia" w:ascii="宋体" w:hAnsi="宋体" w:cs="仿宋_GB2312"/>
          <w:color w:val="auto"/>
          <w:kern w:val="0"/>
          <w:sz w:val="24"/>
          <w:u w:val="single"/>
        </w:rPr>
        <w:t xml:space="preserve">   </w:t>
      </w:r>
      <w:r>
        <w:rPr>
          <w:rFonts w:hint="eastAsia" w:ascii="宋体" w:hAnsi="宋体" w:cs="仿宋_GB2312"/>
          <w:color w:val="auto"/>
          <w:kern w:val="0"/>
          <w:sz w:val="24"/>
        </w:rPr>
        <w:t>招标文件</w:t>
      </w:r>
      <w:r>
        <w:rPr>
          <w:rFonts w:hint="eastAsia" w:ascii="宋体" w:hAnsi="宋体" w:cs="仿宋_GB2312"/>
          <w:color w:val="auto"/>
          <w:kern w:val="0"/>
          <w:sz w:val="24"/>
          <w:lang w:eastAsia="zh-CN"/>
        </w:rPr>
        <w:t>(</w:t>
      </w:r>
      <w:r>
        <w:rPr>
          <w:rFonts w:hint="eastAsia" w:ascii="宋体" w:hAnsi="宋体" w:cs="仿宋_GB2312"/>
          <w:color w:val="auto"/>
          <w:kern w:val="0"/>
          <w:sz w:val="24"/>
        </w:rPr>
        <w:t>包括修改、澄清文件</w:t>
      </w:r>
      <w:r>
        <w:rPr>
          <w:rFonts w:hint="eastAsia" w:ascii="宋体" w:hAnsi="宋体" w:cs="仿宋_GB2312"/>
          <w:color w:val="auto"/>
          <w:kern w:val="0"/>
          <w:sz w:val="24"/>
          <w:lang w:eastAsia="zh-CN"/>
        </w:rPr>
        <w:t>)</w:t>
      </w:r>
      <w:r>
        <w:rPr>
          <w:rFonts w:hint="eastAsia" w:ascii="宋体" w:hAnsi="宋体" w:cs="仿宋_GB2312"/>
          <w:color w:val="auto"/>
          <w:kern w:val="0"/>
          <w:sz w:val="24"/>
        </w:rPr>
        <w:t>的全部内容，且对招标文件无任何异议，并愿意以“报价表”所填写的投标总价、合同履行期限及服务地点</w:t>
      </w:r>
      <w:r>
        <w:rPr>
          <w:rFonts w:hint="eastAsia" w:ascii="宋体" w:hAnsi="宋体" w:cs="TimesNewRomanPSMT"/>
          <w:color w:val="auto"/>
          <w:kern w:val="0"/>
          <w:sz w:val="24"/>
        </w:rPr>
        <w:t>，向你方</w:t>
      </w:r>
      <w:r>
        <w:rPr>
          <w:rFonts w:hint="eastAsia" w:ascii="宋体" w:hAnsi="宋体"/>
          <w:color w:val="auto"/>
          <w:sz w:val="24"/>
        </w:rPr>
        <w:t>提供招标文件要求的服务</w:t>
      </w:r>
      <w:r>
        <w:rPr>
          <w:rFonts w:hint="eastAsia" w:ascii="宋体" w:hAnsi="宋体" w:cs="仿宋_GB2312"/>
          <w:color w:val="auto"/>
          <w:kern w:val="0"/>
          <w:sz w:val="24"/>
        </w:rPr>
        <w:t>。</w:t>
      </w:r>
    </w:p>
    <w:p w14:paraId="43DEB2DC">
      <w:pPr>
        <w:autoSpaceDE w:val="0"/>
        <w:autoSpaceDN w:val="0"/>
        <w:adjustRightInd w:val="0"/>
        <w:snapToGrid w:val="0"/>
        <w:spacing w:line="360" w:lineRule="auto"/>
        <w:ind w:firstLine="480" w:firstLineChars="200"/>
        <w:jc w:val="left"/>
        <w:rPr>
          <w:rFonts w:ascii="宋体" w:hAnsi="宋体" w:cs="TimesNewRomanPSMT"/>
          <w:color w:val="auto"/>
          <w:kern w:val="0"/>
          <w:sz w:val="24"/>
        </w:rPr>
      </w:pPr>
      <w:r>
        <w:rPr>
          <w:rFonts w:hint="eastAsia" w:ascii="宋体" w:hAnsi="宋体" w:cs="TimesNewRomanPSMT"/>
          <w:color w:val="auto"/>
          <w:kern w:val="0"/>
          <w:sz w:val="24"/>
        </w:rPr>
        <w:t>2.我方承诺在投标有效期内不修改或撤销投标文件。否则，你方可不予退还我方的投标保证金。</w:t>
      </w:r>
    </w:p>
    <w:p w14:paraId="187674EF">
      <w:pPr>
        <w:autoSpaceDE w:val="0"/>
        <w:autoSpaceDN w:val="0"/>
        <w:adjustRightInd w:val="0"/>
        <w:snapToGrid w:val="0"/>
        <w:spacing w:line="360" w:lineRule="auto"/>
        <w:ind w:firstLine="480" w:firstLineChars="200"/>
        <w:jc w:val="left"/>
        <w:rPr>
          <w:rFonts w:ascii="宋体" w:hAnsi="宋体" w:cs="TimesNewRomanPSMT"/>
          <w:color w:val="auto"/>
          <w:kern w:val="0"/>
          <w:sz w:val="24"/>
        </w:rPr>
      </w:pPr>
      <w:r>
        <w:rPr>
          <w:rFonts w:hint="eastAsia" w:ascii="宋体" w:hAnsi="宋体" w:cs="TimesNewRomanPSMT"/>
          <w:color w:val="auto"/>
          <w:kern w:val="0"/>
          <w:sz w:val="24"/>
        </w:rPr>
        <w:t>3.随同本投标</w:t>
      </w:r>
      <w:r>
        <w:rPr>
          <w:rFonts w:hint="eastAsia" w:ascii="宋体" w:hAnsi="宋体" w:cs="TimesNewRomanPSMT"/>
          <w:color w:val="auto"/>
          <w:kern w:val="0"/>
          <w:sz w:val="24"/>
          <w:lang w:eastAsia="zh-CN"/>
        </w:rPr>
        <w:t>书</w:t>
      </w:r>
      <w:r>
        <w:rPr>
          <w:rFonts w:hint="eastAsia" w:ascii="宋体" w:hAnsi="宋体" w:cs="TimesNewRomanPSMT"/>
          <w:color w:val="auto"/>
          <w:kern w:val="0"/>
          <w:sz w:val="24"/>
        </w:rPr>
        <w:t>提交投标保证金一份，金额见“</w:t>
      </w:r>
      <w:r>
        <w:rPr>
          <w:rFonts w:hint="eastAsia" w:ascii="宋体" w:hAnsi="宋体" w:cs="仿宋_GB2312"/>
          <w:color w:val="auto"/>
          <w:kern w:val="0"/>
          <w:sz w:val="24"/>
        </w:rPr>
        <w:t>报价表”</w:t>
      </w:r>
      <w:r>
        <w:rPr>
          <w:rFonts w:hint="eastAsia" w:ascii="宋体" w:hAnsi="宋体" w:cs="TimesNewRomanPSMT"/>
          <w:color w:val="auto"/>
          <w:kern w:val="0"/>
          <w:sz w:val="24"/>
        </w:rPr>
        <w:t>。</w:t>
      </w:r>
    </w:p>
    <w:p w14:paraId="68984963">
      <w:pPr>
        <w:autoSpaceDE w:val="0"/>
        <w:autoSpaceDN w:val="0"/>
        <w:adjustRightInd w:val="0"/>
        <w:snapToGrid w:val="0"/>
        <w:spacing w:line="360" w:lineRule="auto"/>
        <w:ind w:firstLine="480" w:firstLineChars="200"/>
        <w:jc w:val="left"/>
        <w:rPr>
          <w:rFonts w:ascii="宋体" w:hAnsi="宋体" w:cs="TimesNewRomanPSMT"/>
          <w:color w:val="auto"/>
          <w:kern w:val="0"/>
          <w:sz w:val="24"/>
        </w:rPr>
      </w:pPr>
      <w:r>
        <w:rPr>
          <w:rFonts w:hint="eastAsia" w:ascii="宋体" w:hAnsi="宋体" w:cs="TimesNewRomanPSMT"/>
          <w:color w:val="auto"/>
          <w:kern w:val="0"/>
          <w:sz w:val="24"/>
        </w:rPr>
        <w:t>4.本投标的投标有效期为自投标截止之日起</w:t>
      </w:r>
      <w:r>
        <w:rPr>
          <w:rFonts w:hint="eastAsia" w:ascii="宋体" w:hAnsi="宋体" w:cs="TimesNewRomanPSMT"/>
          <w:color w:val="auto"/>
          <w:kern w:val="0"/>
          <w:sz w:val="24"/>
          <w:u w:val="single"/>
        </w:rPr>
        <w:t xml:space="preserve">    </w:t>
      </w:r>
      <w:r>
        <w:rPr>
          <w:rFonts w:hint="eastAsia" w:ascii="宋体" w:hAnsi="宋体" w:cs="TimesNewRomanPSMT"/>
          <w:color w:val="auto"/>
          <w:kern w:val="0"/>
          <w:sz w:val="24"/>
          <w:u w:val="single"/>
          <w:lang w:val="en-US" w:eastAsia="zh-CN"/>
        </w:rPr>
        <w:t xml:space="preserve">    </w:t>
      </w:r>
      <w:r>
        <w:rPr>
          <w:rFonts w:hint="eastAsia" w:ascii="宋体" w:hAnsi="宋体" w:cs="TimesNewRomanPSMT"/>
          <w:color w:val="auto"/>
          <w:kern w:val="0"/>
          <w:sz w:val="24"/>
        </w:rPr>
        <w:t>个日历天。</w:t>
      </w:r>
    </w:p>
    <w:p w14:paraId="60694B2E">
      <w:pPr>
        <w:autoSpaceDE w:val="0"/>
        <w:autoSpaceDN w:val="0"/>
        <w:adjustRightInd w:val="0"/>
        <w:snapToGrid w:val="0"/>
        <w:spacing w:line="360" w:lineRule="auto"/>
        <w:ind w:firstLine="480" w:firstLineChars="200"/>
        <w:jc w:val="left"/>
        <w:rPr>
          <w:rFonts w:ascii="宋体" w:hAnsi="宋体" w:cs="TimesNewRomanPSMT"/>
          <w:color w:val="auto"/>
          <w:kern w:val="0"/>
          <w:sz w:val="24"/>
        </w:rPr>
      </w:pPr>
      <w:r>
        <w:rPr>
          <w:rFonts w:hint="eastAsia" w:ascii="宋体" w:hAnsi="宋体" w:cs="TimesNewRomanPSMT"/>
          <w:color w:val="auto"/>
          <w:kern w:val="0"/>
          <w:sz w:val="24"/>
        </w:rPr>
        <w:t>5.我方承诺所提交的投标文件及有关资料是完整的、真实的和准确的，否则，我方承担由此造成的任何损失及引起的任何后果。若我方已经收到中标通知书，我方将无条件的承认该中标通知书无效，对采购人不具有任何法律约束力。</w:t>
      </w:r>
    </w:p>
    <w:p w14:paraId="4193C704">
      <w:pPr>
        <w:autoSpaceDE w:val="0"/>
        <w:autoSpaceDN w:val="0"/>
        <w:adjustRightInd w:val="0"/>
        <w:snapToGrid w:val="0"/>
        <w:spacing w:line="360" w:lineRule="auto"/>
        <w:ind w:firstLine="480" w:firstLineChars="200"/>
        <w:jc w:val="left"/>
        <w:outlineLvl w:val="9"/>
        <w:rPr>
          <w:rFonts w:hint="eastAsia" w:ascii="宋体" w:hAnsi="宋体" w:eastAsia="宋体" w:cs="TimesNewRomanPSMT"/>
          <w:color w:val="auto"/>
          <w:kern w:val="0"/>
          <w:sz w:val="24"/>
          <w:lang w:eastAsia="zh-CN"/>
        </w:rPr>
      </w:pPr>
      <w:r>
        <w:rPr>
          <w:rFonts w:hint="eastAsia" w:ascii="宋体" w:hAnsi="宋体" w:cs="TimesNewRomanPSMT"/>
          <w:color w:val="auto"/>
          <w:kern w:val="0"/>
          <w:sz w:val="24"/>
        </w:rPr>
        <w:t>6．如我方中标</w:t>
      </w:r>
      <w:r>
        <w:rPr>
          <w:rFonts w:hint="eastAsia" w:ascii="宋体" w:hAnsi="宋体" w:cs="TimesNewRomanPSMT"/>
          <w:color w:val="auto"/>
          <w:kern w:val="0"/>
          <w:sz w:val="24"/>
          <w:lang w:eastAsia="zh-CN"/>
        </w:rPr>
        <w:t>:</w:t>
      </w:r>
    </w:p>
    <w:p w14:paraId="32A6D136">
      <w:pPr>
        <w:autoSpaceDE w:val="0"/>
        <w:autoSpaceDN w:val="0"/>
        <w:adjustRightInd w:val="0"/>
        <w:snapToGrid w:val="0"/>
        <w:spacing w:line="360" w:lineRule="auto"/>
        <w:ind w:left="359" w:leftChars="171"/>
        <w:jc w:val="left"/>
        <w:rPr>
          <w:rFonts w:ascii="宋体" w:hAnsi="宋体" w:cs="仿宋_GB2312"/>
          <w:color w:val="auto"/>
          <w:kern w:val="0"/>
          <w:sz w:val="24"/>
        </w:rPr>
      </w:pPr>
      <w:r>
        <w:rPr>
          <w:rFonts w:hint="eastAsia" w:ascii="宋体" w:hAnsi="宋体" w:cs="仿宋_GB2312"/>
          <w:color w:val="auto"/>
          <w:kern w:val="0"/>
          <w:sz w:val="24"/>
          <w:lang w:eastAsia="zh-CN"/>
        </w:rPr>
        <w:t>(</w:t>
      </w:r>
      <w:r>
        <w:rPr>
          <w:rFonts w:ascii="宋体" w:hAnsi="宋体" w:cs="TimesNewRomanPSMT"/>
          <w:color w:val="auto"/>
          <w:kern w:val="0"/>
          <w:sz w:val="24"/>
        </w:rPr>
        <w:t>1</w:t>
      </w:r>
      <w:r>
        <w:rPr>
          <w:rFonts w:hint="eastAsia" w:ascii="宋体" w:hAnsi="宋体" w:cs="仿宋_GB2312"/>
          <w:color w:val="auto"/>
          <w:kern w:val="0"/>
          <w:sz w:val="24"/>
          <w:lang w:eastAsia="zh-CN"/>
        </w:rPr>
        <w:t>)</w:t>
      </w:r>
      <w:r>
        <w:rPr>
          <w:rFonts w:hint="eastAsia" w:ascii="宋体" w:hAnsi="宋体" w:cs="仿宋_GB2312"/>
          <w:color w:val="auto"/>
          <w:kern w:val="0"/>
          <w:sz w:val="24"/>
        </w:rPr>
        <w:t>我方承诺在收到中标通知书后，在中标通知书规定的期限内与你方签订合同。</w:t>
      </w:r>
    </w:p>
    <w:p w14:paraId="142042B1">
      <w:pPr>
        <w:autoSpaceDE w:val="0"/>
        <w:autoSpaceDN w:val="0"/>
        <w:adjustRightInd w:val="0"/>
        <w:snapToGrid w:val="0"/>
        <w:spacing w:line="360" w:lineRule="auto"/>
        <w:ind w:left="359" w:leftChars="171"/>
        <w:jc w:val="left"/>
        <w:rPr>
          <w:rFonts w:ascii="宋体" w:hAnsi="宋体" w:cs="仿宋_GB2312"/>
          <w:color w:val="auto"/>
          <w:kern w:val="0"/>
          <w:sz w:val="24"/>
        </w:rPr>
      </w:pPr>
      <w:r>
        <w:rPr>
          <w:rFonts w:hint="eastAsia" w:ascii="宋体" w:hAnsi="宋体" w:cs="仿宋_GB2312"/>
          <w:color w:val="auto"/>
          <w:kern w:val="0"/>
          <w:sz w:val="24"/>
          <w:lang w:eastAsia="zh-CN"/>
        </w:rPr>
        <w:t>(</w:t>
      </w:r>
      <w:r>
        <w:rPr>
          <w:rFonts w:hint="eastAsia" w:ascii="宋体" w:hAnsi="宋体" w:cs="TimesNewRomanPSMT"/>
          <w:color w:val="auto"/>
          <w:kern w:val="0"/>
          <w:sz w:val="24"/>
        </w:rPr>
        <w:t>2</w:t>
      </w:r>
      <w:r>
        <w:rPr>
          <w:rFonts w:hint="eastAsia" w:ascii="宋体" w:hAnsi="宋体" w:cs="仿宋_GB2312"/>
          <w:color w:val="auto"/>
          <w:kern w:val="0"/>
          <w:sz w:val="24"/>
          <w:lang w:eastAsia="zh-CN"/>
        </w:rPr>
        <w:t>)</w:t>
      </w:r>
      <w:r>
        <w:rPr>
          <w:rFonts w:hint="eastAsia" w:ascii="宋体" w:hAnsi="宋体" w:cs="仿宋_GB2312"/>
          <w:color w:val="auto"/>
          <w:kern w:val="0"/>
          <w:sz w:val="24"/>
        </w:rPr>
        <w:t>我方承诺按照招标文件规定向你方递交履约保证金。</w:t>
      </w:r>
    </w:p>
    <w:p w14:paraId="6060C41F">
      <w:pPr>
        <w:autoSpaceDE w:val="0"/>
        <w:autoSpaceDN w:val="0"/>
        <w:adjustRightInd w:val="0"/>
        <w:snapToGrid w:val="0"/>
        <w:spacing w:line="360" w:lineRule="auto"/>
        <w:ind w:left="359" w:leftChars="171"/>
        <w:jc w:val="left"/>
        <w:rPr>
          <w:rFonts w:ascii="宋体" w:hAnsi="宋体" w:cs="仿宋_GB2312"/>
          <w:color w:val="auto"/>
          <w:kern w:val="0"/>
          <w:sz w:val="24"/>
        </w:rPr>
      </w:pPr>
      <w:r>
        <w:rPr>
          <w:rFonts w:hint="eastAsia" w:ascii="宋体" w:hAnsi="宋体" w:cs="仿宋_GB2312"/>
          <w:color w:val="auto"/>
          <w:kern w:val="0"/>
          <w:sz w:val="24"/>
          <w:lang w:eastAsia="zh-CN"/>
        </w:rPr>
        <w:t>(</w:t>
      </w:r>
      <w:r>
        <w:rPr>
          <w:rFonts w:hint="eastAsia" w:ascii="宋体" w:hAnsi="宋体" w:cs="TimesNewRomanPSMT"/>
          <w:color w:val="auto"/>
          <w:kern w:val="0"/>
          <w:sz w:val="24"/>
        </w:rPr>
        <w:t>3</w:t>
      </w:r>
      <w:r>
        <w:rPr>
          <w:rFonts w:hint="eastAsia" w:ascii="宋体" w:hAnsi="宋体" w:cs="仿宋_GB2312"/>
          <w:color w:val="auto"/>
          <w:kern w:val="0"/>
          <w:sz w:val="24"/>
          <w:lang w:eastAsia="zh-CN"/>
        </w:rPr>
        <w:t>)</w:t>
      </w:r>
      <w:r>
        <w:rPr>
          <w:rFonts w:hint="eastAsia" w:ascii="宋体" w:hAnsi="宋体" w:cs="仿宋_GB2312"/>
          <w:color w:val="auto"/>
          <w:kern w:val="0"/>
          <w:sz w:val="24"/>
        </w:rPr>
        <w:t>我方承诺按合同约定的期限和地点，提供符合招标文件要求的全部的招标货物</w:t>
      </w:r>
      <w:r>
        <w:rPr>
          <w:rFonts w:hint="eastAsia" w:ascii="宋体" w:hAnsi="宋体" w:cs="仿宋_GB2312"/>
          <w:color w:val="auto"/>
          <w:kern w:val="0"/>
          <w:sz w:val="24"/>
          <w:lang w:eastAsia="zh-CN"/>
        </w:rPr>
        <w:t>(</w:t>
      </w:r>
      <w:r>
        <w:rPr>
          <w:rFonts w:hint="eastAsia" w:ascii="宋体" w:hAnsi="宋体" w:cs="仿宋_GB2312"/>
          <w:color w:val="auto"/>
          <w:kern w:val="0"/>
          <w:sz w:val="24"/>
        </w:rPr>
        <w:t>/或服务</w:t>
      </w:r>
      <w:r>
        <w:rPr>
          <w:rFonts w:hint="eastAsia" w:ascii="宋体" w:hAnsi="宋体" w:cs="仿宋_GB2312"/>
          <w:color w:val="auto"/>
          <w:kern w:val="0"/>
          <w:sz w:val="24"/>
          <w:lang w:eastAsia="zh-CN"/>
        </w:rPr>
        <w:t>)</w:t>
      </w:r>
      <w:r>
        <w:rPr>
          <w:rFonts w:hint="eastAsia" w:ascii="宋体" w:hAnsi="宋体" w:cs="仿宋_GB2312"/>
          <w:color w:val="auto"/>
          <w:kern w:val="0"/>
          <w:sz w:val="24"/>
        </w:rPr>
        <w:t>。</w:t>
      </w:r>
    </w:p>
    <w:p w14:paraId="02A14E08">
      <w:pPr>
        <w:autoSpaceDE w:val="0"/>
        <w:autoSpaceDN w:val="0"/>
        <w:adjustRightInd w:val="0"/>
        <w:snapToGrid w:val="0"/>
        <w:spacing w:line="360" w:lineRule="auto"/>
        <w:ind w:left="359" w:leftChars="171"/>
        <w:jc w:val="left"/>
        <w:rPr>
          <w:rFonts w:ascii="宋体" w:hAnsi="宋体" w:cs="仿宋_GB2312"/>
          <w:color w:val="auto"/>
          <w:kern w:val="0"/>
          <w:sz w:val="24"/>
        </w:rPr>
      </w:pPr>
      <w:r>
        <w:rPr>
          <w:rFonts w:hint="eastAsia" w:ascii="宋体" w:hAnsi="宋体" w:cs="仿宋_GB2312"/>
          <w:color w:val="auto"/>
          <w:kern w:val="0"/>
          <w:sz w:val="24"/>
          <w:lang w:eastAsia="zh-CN"/>
        </w:rPr>
        <w:t>(</w:t>
      </w:r>
      <w:r>
        <w:rPr>
          <w:rFonts w:hint="eastAsia" w:ascii="宋体" w:hAnsi="宋体" w:cs="仿宋_GB2312"/>
          <w:color w:val="auto"/>
          <w:kern w:val="0"/>
          <w:sz w:val="24"/>
        </w:rPr>
        <w:t>4</w:t>
      </w:r>
      <w:r>
        <w:rPr>
          <w:rFonts w:hint="eastAsia" w:ascii="宋体" w:hAnsi="宋体" w:cs="仿宋_GB2312"/>
          <w:color w:val="auto"/>
          <w:kern w:val="0"/>
          <w:sz w:val="24"/>
          <w:lang w:eastAsia="zh-CN"/>
        </w:rPr>
        <w:t>)</w:t>
      </w:r>
      <w:r>
        <w:rPr>
          <w:rFonts w:hint="eastAsia" w:ascii="宋体" w:hAnsi="宋体" w:cs="仿宋_GB2312"/>
          <w:color w:val="auto"/>
          <w:kern w:val="0"/>
          <w:sz w:val="24"/>
        </w:rPr>
        <w:t>我方将按招标文件规定提交履约保证金，作为履行合同的担保。</w:t>
      </w:r>
    </w:p>
    <w:p w14:paraId="2FCFCB6C">
      <w:pPr>
        <w:autoSpaceDE w:val="0"/>
        <w:autoSpaceDN w:val="0"/>
        <w:adjustRightInd w:val="0"/>
        <w:snapToGrid w:val="0"/>
        <w:spacing w:line="360" w:lineRule="auto"/>
        <w:ind w:left="359" w:leftChars="171"/>
        <w:jc w:val="left"/>
        <w:rPr>
          <w:rFonts w:ascii="宋体" w:hAnsi="宋体" w:cs="仿宋_GB2312"/>
          <w:color w:val="auto"/>
          <w:kern w:val="0"/>
          <w:sz w:val="24"/>
        </w:rPr>
      </w:pPr>
      <w:r>
        <w:rPr>
          <w:rFonts w:hint="eastAsia" w:ascii="宋体" w:hAnsi="宋体" w:cs="仿宋_GB2312"/>
          <w:color w:val="auto"/>
          <w:kern w:val="0"/>
          <w:sz w:val="24"/>
          <w:lang w:eastAsia="zh-CN"/>
        </w:rPr>
        <w:t>(</w:t>
      </w:r>
      <w:r>
        <w:rPr>
          <w:rFonts w:hint="eastAsia" w:ascii="宋体" w:hAnsi="宋体" w:cs="仿宋_GB2312"/>
          <w:color w:val="auto"/>
          <w:kern w:val="0"/>
          <w:sz w:val="24"/>
        </w:rPr>
        <w:t>5</w:t>
      </w:r>
      <w:r>
        <w:rPr>
          <w:rFonts w:hint="eastAsia" w:ascii="宋体" w:hAnsi="宋体" w:cs="仿宋_GB2312"/>
          <w:color w:val="auto"/>
          <w:kern w:val="0"/>
          <w:sz w:val="24"/>
          <w:lang w:eastAsia="zh-CN"/>
        </w:rPr>
        <w:t>)</w:t>
      </w:r>
      <w:r>
        <w:rPr>
          <w:rFonts w:hint="eastAsia" w:ascii="宋体" w:hAnsi="宋体" w:cs="仿宋_GB2312"/>
          <w:color w:val="auto"/>
          <w:kern w:val="0"/>
          <w:sz w:val="24"/>
        </w:rPr>
        <w:t>我方保证在收到中标通知书后五个工作日内按要求支付招标服务费。</w:t>
      </w:r>
    </w:p>
    <w:p w14:paraId="5C3BBE23">
      <w:pPr>
        <w:autoSpaceDE w:val="0"/>
        <w:autoSpaceDN w:val="0"/>
        <w:adjustRightInd w:val="0"/>
        <w:snapToGrid w:val="0"/>
        <w:spacing w:line="360" w:lineRule="auto"/>
        <w:ind w:firstLine="480" w:firstLineChars="200"/>
        <w:jc w:val="left"/>
        <w:rPr>
          <w:rFonts w:ascii="宋体" w:hAnsi="宋体" w:cs="TimesNewRomanPSMT"/>
          <w:color w:val="auto"/>
          <w:kern w:val="0"/>
          <w:sz w:val="24"/>
        </w:rPr>
      </w:pPr>
      <w:r>
        <w:rPr>
          <w:rFonts w:hint="eastAsia" w:ascii="宋体" w:hAnsi="宋体" w:cs="TimesNewRomanPSMT"/>
          <w:color w:val="auto"/>
          <w:kern w:val="0"/>
          <w:sz w:val="24"/>
        </w:rPr>
        <w:t>7．</w:t>
      </w:r>
      <w:r>
        <w:rPr>
          <w:rFonts w:hint="eastAsia" w:ascii="宋体" w:hAnsi="宋体" w:cs="TimesNewRomanPSMT"/>
          <w:color w:val="auto"/>
          <w:kern w:val="0"/>
          <w:sz w:val="24"/>
          <w:u w:val="single"/>
        </w:rPr>
        <w:t xml:space="preserve">               </w:t>
      </w:r>
      <w:r>
        <w:rPr>
          <w:rFonts w:ascii="宋体" w:hAnsi="宋体" w:cs="TimesNewRomanPSMT"/>
          <w:color w:val="auto"/>
          <w:kern w:val="0"/>
          <w:sz w:val="24"/>
          <w:u w:val="single"/>
        </w:rPr>
        <w:t xml:space="preserve"> </w:t>
      </w:r>
      <w:r>
        <w:rPr>
          <w:rFonts w:hint="eastAsia" w:ascii="宋体" w:hAnsi="宋体" w:cs="TimesNewRomanPSMT"/>
          <w:color w:val="auto"/>
          <w:kern w:val="0"/>
          <w:sz w:val="24"/>
          <w:lang w:eastAsia="zh-CN"/>
        </w:rPr>
        <w:t>(</w:t>
      </w:r>
      <w:r>
        <w:rPr>
          <w:rFonts w:hint="eastAsia" w:ascii="宋体" w:hAnsi="宋体" w:cs="TimesNewRomanPSMT"/>
          <w:color w:val="auto"/>
          <w:kern w:val="0"/>
          <w:sz w:val="24"/>
        </w:rPr>
        <w:t>其他补充说明</w:t>
      </w:r>
      <w:r>
        <w:rPr>
          <w:rFonts w:hint="eastAsia" w:ascii="宋体" w:hAnsi="宋体" w:cs="TimesNewRomanPSMT"/>
          <w:color w:val="auto"/>
          <w:kern w:val="0"/>
          <w:sz w:val="24"/>
          <w:lang w:eastAsia="zh-CN"/>
        </w:rPr>
        <w:t>)</w:t>
      </w:r>
      <w:r>
        <w:rPr>
          <w:rFonts w:hint="eastAsia" w:ascii="宋体" w:hAnsi="宋体" w:cs="TimesNewRomanPSMT"/>
          <w:color w:val="auto"/>
          <w:kern w:val="0"/>
          <w:sz w:val="24"/>
        </w:rPr>
        <w:t>。</w:t>
      </w:r>
    </w:p>
    <w:p w14:paraId="33359DF0">
      <w:pPr>
        <w:autoSpaceDE w:val="0"/>
        <w:autoSpaceDN w:val="0"/>
        <w:adjustRightInd w:val="0"/>
        <w:snapToGrid w:val="0"/>
        <w:spacing w:line="360" w:lineRule="auto"/>
        <w:jc w:val="left"/>
        <w:rPr>
          <w:rFonts w:ascii="宋体" w:hAnsi="宋体" w:cs="仿宋_GB2312"/>
          <w:color w:val="auto"/>
          <w:kern w:val="0"/>
          <w:sz w:val="24"/>
        </w:rPr>
      </w:pPr>
    </w:p>
    <w:p w14:paraId="6D394E3B">
      <w:pPr>
        <w:autoSpaceDE w:val="0"/>
        <w:autoSpaceDN w:val="0"/>
        <w:adjustRightInd w:val="0"/>
        <w:snapToGrid w:val="0"/>
        <w:spacing w:line="360" w:lineRule="auto"/>
        <w:ind w:left="3780" w:leftChars="1800"/>
        <w:jc w:val="left"/>
        <w:rPr>
          <w:rFonts w:hint="eastAsia" w:ascii="宋体" w:hAnsi="宋体" w:cs="仿宋_GB2312"/>
          <w:color w:val="auto"/>
          <w:kern w:val="0"/>
          <w:sz w:val="24"/>
        </w:rPr>
      </w:pPr>
      <w:r>
        <w:rPr>
          <w:rFonts w:hint="eastAsia" w:ascii="宋体" w:hAnsi="宋体" w:cs="仿宋_GB2312"/>
          <w:color w:val="auto"/>
          <w:kern w:val="0"/>
          <w:sz w:val="24"/>
          <w:lang w:eastAsia="zh-CN"/>
        </w:rPr>
        <w:t>供应商</w:t>
      </w:r>
      <w:r>
        <w:rPr>
          <w:rFonts w:hint="eastAsia" w:ascii="宋体" w:hAnsi="宋体" w:cs="仿宋_GB2312"/>
          <w:color w:val="auto"/>
          <w:kern w:val="0"/>
          <w:sz w:val="24"/>
        </w:rPr>
        <w:t>名称</w:t>
      </w:r>
      <w:r>
        <w:rPr>
          <w:rFonts w:hint="eastAsia" w:ascii="宋体" w:hAnsi="宋体" w:cs="仿宋_GB2312"/>
          <w:color w:val="auto"/>
          <w:kern w:val="0"/>
          <w:sz w:val="24"/>
          <w:lang w:eastAsia="zh-CN"/>
        </w:rPr>
        <w:t>(公章):</w:t>
      </w:r>
      <w:r>
        <w:rPr>
          <w:rFonts w:hint="eastAsia" w:ascii="宋体" w:hAnsi="宋体" w:cs="仿宋_GB2312"/>
          <w:color w:val="auto"/>
          <w:kern w:val="0"/>
          <w:sz w:val="24"/>
        </w:rPr>
        <w:t xml:space="preserve">  </w:t>
      </w:r>
    </w:p>
    <w:p w14:paraId="4D7984A0">
      <w:pPr>
        <w:autoSpaceDE w:val="0"/>
        <w:autoSpaceDN w:val="0"/>
        <w:adjustRightInd w:val="0"/>
        <w:snapToGrid w:val="0"/>
        <w:spacing w:line="360" w:lineRule="auto"/>
        <w:ind w:left="3780" w:leftChars="1800"/>
        <w:jc w:val="left"/>
        <w:rPr>
          <w:rFonts w:hint="default" w:ascii="宋体" w:hAnsi="宋体" w:cs="仿宋_GB2312"/>
          <w:color w:val="auto"/>
          <w:kern w:val="0"/>
          <w:sz w:val="24"/>
          <w:u w:val="single"/>
          <w:lang w:val="en-US" w:eastAsia="zh-CN"/>
        </w:rPr>
      </w:pPr>
      <w:r>
        <w:rPr>
          <w:rFonts w:hint="eastAsia" w:ascii="宋体" w:hAnsi="宋体" w:cs="仿宋_GB2312"/>
          <w:color w:val="auto"/>
          <w:kern w:val="0"/>
          <w:sz w:val="24"/>
        </w:rPr>
        <w:t>法定代表人或其委托代理人(签字或盖章)</w:t>
      </w:r>
      <w:r>
        <w:rPr>
          <w:rFonts w:hint="eastAsia" w:ascii="宋体" w:hAnsi="宋体" w:cs="仿宋_GB2312"/>
          <w:color w:val="auto"/>
          <w:kern w:val="0"/>
          <w:sz w:val="24"/>
          <w:lang w:eastAsia="zh-CN"/>
        </w:rPr>
        <w:t>:</w:t>
      </w:r>
    </w:p>
    <w:p w14:paraId="08A01B2F">
      <w:pPr>
        <w:autoSpaceDE w:val="0"/>
        <w:autoSpaceDN w:val="0"/>
        <w:adjustRightInd w:val="0"/>
        <w:snapToGrid w:val="0"/>
        <w:spacing w:line="360" w:lineRule="auto"/>
        <w:ind w:left="3780" w:leftChars="1800"/>
        <w:jc w:val="left"/>
        <w:rPr>
          <w:rFonts w:hint="eastAsia" w:ascii="宋体" w:hAnsi="宋体" w:eastAsia="宋体" w:cs="仿宋_GB2312"/>
          <w:color w:val="auto"/>
          <w:kern w:val="0"/>
          <w:sz w:val="24"/>
          <w:lang w:eastAsia="zh-CN"/>
        </w:rPr>
      </w:pPr>
      <w:r>
        <w:rPr>
          <w:rFonts w:hint="eastAsia" w:ascii="宋体" w:hAnsi="宋体" w:cs="仿宋_GB2312"/>
          <w:color w:val="auto"/>
          <w:kern w:val="0"/>
          <w:sz w:val="24"/>
        </w:rPr>
        <w:t>地址</w:t>
      </w:r>
      <w:r>
        <w:rPr>
          <w:rFonts w:hint="eastAsia" w:ascii="宋体" w:hAnsi="宋体" w:cs="仿宋_GB2312"/>
          <w:color w:val="auto"/>
          <w:kern w:val="0"/>
          <w:sz w:val="24"/>
          <w:lang w:eastAsia="zh-CN"/>
        </w:rPr>
        <w:t>:</w:t>
      </w:r>
    </w:p>
    <w:p w14:paraId="2EE16B42">
      <w:pPr>
        <w:autoSpaceDE w:val="0"/>
        <w:autoSpaceDN w:val="0"/>
        <w:adjustRightInd w:val="0"/>
        <w:snapToGrid w:val="0"/>
        <w:spacing w:line="360" w:lineRule="auto"/>
        <w:ind w:left="3780" w:leftChars="1800"/>
        <w:jc w:val="left"/>
        <w:rPr>
          <w:rFonts w:hint="eastAsia" w:ascii="宋体" w:hAnsi="宋体" w:eastAsia="宋体" w:cs="仿宋_GB2312"/>
          <w:color w:val="auto"/>
          <w:kern w:val="0"/>
          <w:sz w:val="24"/>
          <w:lang w:eastAsia="zh-CN"/>
        </w:rPr>
      </w:pPr>
      <w:r>
        <w:rPr>
          <w:rFonts w:hint="eastAsia" w:ascii="宋体" w:hAnsi="宋体" w:cs="仿宋_GB2312"/>
          <w:color w:val="auto"/>
          <w:kern w:val="0"/>
          <w:sz w:val="24"/>
        </w:rPr>
        <w:t>电话</w:t>
      </w:r>
      <w:r>
        <w:rPr>
          <w:rFonts w:hint="eastAsia" w:ascii="宋体" w:hAnsi="宋体" w:cs="仿宋_GB2312"/>
          <w:color w:val="auto"/>
          <w:kern w:val="0"/>
          <w:sz w:val="24"/>
          <w:lang w:eastAsia="zh-CN"/>
        </w:rPr>
        <w:t>:</w:t>
      </w:r>
    </w:p>
    <w:p w14:paraId="7A9936C5">
      <w:pPr>
        <w:autoSpaceDE w:val="0"/>
        <w:autoSpaceDN w:val="0"/>
        <w:adjustRightInd w:val="0"/>
        <w:snapToGrid w:val="0"/>
        <w:spacing w:line="360" w:lineRule="auto"/>
        <w:ind w:left="3780" w:leftChars="1800"/>
        <w:jc w:val="left"/>
        <w:rPr>
          <w:rFonts w:hint="eastAsia" w:ascii="宋体" w:hAnsi="宋体" w:cs="仿宋_GB2312"/>
          <w:color w:val="auto"/>
          <w:kern w:val="0"/>
          <w:sz w:val="24"/>
          <w:lang w:eastAsia="zh-CN"/>
        </w:rPr>
      </w:pPr>
      <w:r>
        <w:rPr>
          <w:rFonts w:hint="eastAsia" w:ascii="宋体" w:hAnsi="宋体" w:cs="仿宋_GB2312"/>
          <w:color w:val="auto"/>
          <w:kern w:val="0"/>
          <w:sz w:val="24"/>
        </w:rPr>
        <w:t>传真</w:t>
      </w:r>
      <w:r>
        <w:rPr>
          <w:rFonts w:hint="eastAsia" w:ascii="宋体" w:hAnsi="宋体" w:cs="仿宋_GB2312"/>
          <w:color w:val="auto"/>
          <w:kern w:val="0"/>
          <w:sz w:val="24"/>
          <w:lang w:eastAsia="zh-CN"/>
        </w:rPr>
        <w:t>:</w:t>
      </w:r>
    </w:p>
    <w:p w14:paraId="23645663">
      <w:pPr>
        <w:autoSpaceDE w:val="0"/>
        <w:autoSpaceDN w:val="0"/>
        <w:adjustRightInd w:val="0"/>
        <w:snapToGrid w:val="0"/>
        <w:spacing w:line="360" w:lineRule="auto"/>
        <w:ind w:left="3780" w:leftChars="1800"/>
        <w:jc w:val="left"/>
        <w:rPr>
          <w:rFonts w:ascii="宋体" w:hAnsi="宋体" w:cs="仿宋_GB2312"/>
          <w:color w:val="auto"/>
          <w:kern w:val="0"/>
          <w:sz w:val="24"/>
        </w:rPr>
      </w:pPr>
      <w:r>
        <w:rPr>
          <w:rFonts w:hint="eastAsia" w:ascii="宋体" w:hAnsi="宋体" w:cs="仿宋_GB2312"/>
          <w:color w:val="auto"/>
          <w:kern w:val="0"/>
          <w:sz w:val="24"/>
        </w:rPr>
        <w:t>年</w:t>
      </w:r>
      <w:r>
        <w:rPr>
          <w:rFonts w:ascii="宋体" w:hAnsi="宋体" w:cs="仿宋_GB2312"/>
          <w:color w:val="auto"/>
          <w:kern w:val="0"/>
          <w:sz w:val="24"/>
        </w:rPr>
        <w:t xml:space="preserve"> </w:t>
      </w:r>
      <w:r>
        <w:rPr>
          <w:rFonts w:hint="eastAsia" w:ascii="宋体" w:hAnsi="宋体" w:cs="仿宋_GB2312"/>
          <w:color w:val="auto"/>
          <w:kern w:val="0"/>
          <w:sz w:val="24"/>
        </w:rPr>
        <w:t>月</w:t>
      </w:r>
      <w:r>
        <w:rPr>
          <w:rFonts w:ascii="宋体" w:hAnsi="宋体" w:cs="仿宋_GB2312"/>
          <w:color w:val="auto"/>
          <w:kern w:val="0"/>
          <w:sz w:val="24"/>
        </w:rPr>
        <w:t xml:space="preserve"> </w:t>
      </w:r>
      <w:r>
        <w:rPr>
          <w:rFonts w:hint="eastAsia" w:ascii="宋体" w:hAnsi="宋体" w:cs="仿宋_GB2312"/>
          <w:color w:val="auto"/>
          <w:kern w:val="0"/>
          <w:sz w:val="24"/>
        </w:rPr>
        <w:t>日</w:t>
      </w:r>
    </w:p>
    <w:p w14:paraId="5A80EBC9">
      <w:pPr>
        <w:spacing w:line="360" w:lineRule="auto"/>
        <w:outlineLvl w:val="1"/>
        <w:rPr>
          <w:b/>
          <w:color w:val="auto"/>
          <w:sz w:val="24"/>
        </w:rPr>
      </w:pPr>
      <w:r>
        <w:rPr>
          <w:color w:val="auto"/>
        </w:rPr>
        <w:br w:type="page"/>
      </w:r>
      <w:bookmarkEnd w:id="221"/>
      <w:bookmarkStart w:id="222" w:name="_Toc7306"/>
      <w:bookmarkStart w:id="223" w:name="_Toc3327"/>
      <w:bookmarkStart w:id="224" w:name="_Toc19979"/>
      <w:bookmarkStart w:id="225" w:name="_Toc192127131"/>
      <w:bookmarkStart w:id="226" w:name="_Toc195922057"/>
      <w:r>
        <w:rPr>
          <w:rFonts w:hint="eastAsia"/>
          <w:b/>
          <w:color w:val="auto"/>
          <w:sz w:val="24"/>
        </w:rPr>
        <w:t>附件2</w:t>
      </w:r>
      <w:r>
        <w:rPr>
          <w:rFonts w:hint="eastAsia" w:ascii="宋体" w:hAnsi="宋体" w:eastAsia="宋体" w:cs="宋体"/>
          <w:b/>
          <w:color w:val="auto"/>
          <w:sz w:val="24"/>
        </w:rPr>
        <w:t xml:space="preserve"> </w:t>
      </w:r>
      <w:r>
        <w:rPr>
          <w:rFonts w:hint="eastAsia"/>
          <w:b/>
          <w:color w:val="auto"/>
          <w:sz w:val="24"/>
        </w:rPr>
        <w:t>报价表</w:t>
      </w:r>
      <w:bookmarkEnd w:id="222"/>
      <w:bookmarkEnd w:id="223"/>
      <w:bookmarkEnd w:id="224"/>
    </w:p>
    <w:p w14:paraId="7A914491">
      <w:pPr>
        <w:spacing w:line="360" w:lineRule="auto"/>
        <w:rPr>
          <w:rFonts w:hint="eastAsia" w:ascii="宋体" w:hAnsi="宋体" w:cs="宋体"/>
          <w:color w:val="auto"/>
          <w:sz w:val="24"/>
        </w:rPr>
      </w:pPr>
    </w:p>
    <w:p w14:paraId="1599017F">
      <w:pPr>
        <w:spacing w:line="360" w:lineRule="auto"/>
        <w:jc w:val="center"/>
        <w:rPr>
          <w:rFonts w:hint="eastAsia" w:ascii="宋体" w:hAnsi="宋体" w:cs="宋体"/>
          <w:color w:val="auto"/>
          <w:sz w:val="24"/>
        </w:rPr>
      </w:pPr>
      <w:r>
        <w:rPr>
          <w:rFonts w:hint="eastAsia" w:ascii="宋体" w:hAnsi="宋体" w:cs="宋体"/>
          <w:color w:val="auto"/>
          <w:sz w:val="24"/>
        </w:rPr>
        <w:t>报价表</w:t>
      </w:r>
    </w:p>
    <w:tbl>
      <w:tblPr>
        <w:tblStyle w:val="43"/>
        <w:tblW w:w="50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31"/>
        <w:gridCol w:w="7145"/>
      </w:tblGrid>
      <w:tr w14:paraId="5C577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6" w:hRule="atLeast"/>
          <w:jc w:val="center"/>
        </w:trPr>
        <w:tc>
          <w:tcPr>
            <w:tcW w:w="2628" w:type="dxa"/>
            <w:vAlign w:val="center"/>
          </w:tcPr>
          <w:p w14:paraId="5561366D">
            <w:pPr>
              <w:ind w:left="141" w:leftChars="67" w:right="103" w:rightChars="49"/>
              <w:jc w:val="center"/>
              <w:rPr>
                <w:rFonts w:hint="eastAsia" w:ascii="宋体" w:hAnsi="宋体" w:eastAsia="宋体" w:cs="宋体"/>
                <w:b/>
                <w:color w:val="auto"/>
                <w:sz w:val="24"/>
              </w:rPr>
            </w:pPr>
            <w:r>
              <w:rPr>
                <w:rFonts w:hint="eastAsia" w:ascii="宋体" w:hAnsi="宋体" w:eastAsia="宋体" w:cs="宋体"/>
                <w:b/>
                <w:color w:val="auto"/>
                <w:sz w:val="24"/>
              </w:rPr>
              <w:t>项目编号</w:t>
            </w:r>
          </w:p>
          <w:p w14:paraId="5B0742A5">
            <w:pPr>
              <w:ind w:left="141" w:leftChars="67" w:right="103" w:rightChars="49"/>
              <w:jc w:val="center"/>
              <w:rPr>
                <w:rFonts w:hint="eastAsia" w:ascii="宋体" w:hAnsi="宋体" w:eastAsia="宋体" w:cs="宋体"/>
                <w:b/>
                <w:color w:val="auto"/>
                <w:sz w:val="24"/>
              </w:rPr>
            </w:pPr>
            <w:r>
              <w:rPr>
                <w:rFonts w:hint="eastAsia" w:ascii="宋体" w:hAnsi="宋体" w:eastAsia="宋体" w:cs="宋体"/>
                <w:b/>
                <w:color w:val="auto"/>
                <w:sz w:val="24"/>
              </w:rPr>
              <w:t>及投标</w:t>
            </w:r>
            <w:r>
              <w:rPr>
                <w:rFonts w:hint="eastAsia" w:ascii="宋体" w:hAnsi="宋体" w:eastAsia="宋体" w:cs="宋体"/>
                <w:b/>
                <w:color w:val="auto"/>
                <w:sz w:val="24"/>
                <w:lang w:val="en-US" w:eastAsia="zh-CN"/>
              </w:rPr>
              <w:t>项目</w:t>
            </w:r>
            <w:r>
              <w:rPr>
                <w:rFonts w:hint="eastAsia" w:ascii="宋体" w:hAnsi="宋体" w:eastAsia="宋体" w:cs="宋体"/>
                <w:b/>
                <w:color w:val="auto"/>
                <w:sz w:val="24"/>
              </w:rPr>
              <w:t>名称</w:t>
            </w:r>
          </w:p>
        </w:tc>
        <w:tc>
          <w:tcPr>
            <w:tcW w:w="7138" w:type="dxa"/>
            <w:vAlign w:val="center"/>
          </w:tcPr>
          <w:p w14:paraId="317538AA">
            <w:pPr>
              <w:ind w:left="189" w:leftChars="90" w:firstLine="1"/>
              <w:rPr>
                <w:rFonts w:hint="eastAsia" w:ascii="宋体" w:hAnsi="宋体" w:eastAsia="宋体" w:cs="宋体"/>
                <w:color w:val="auto"/>
                <w:sz w:val="24"/>
                <w:lang w:eastAsia="zh-CN"/>
              </w:rPr>
            </w:pPr>
            <w:r>
              <w:rPr>
                <w:rFonts w:hint="eastAsia" w:ascii="宋体" w:hAnsi="宋体" w:eastAsia="宋体" w:cs="宋体"/>
                <w:color w:val="auto"/>
                <w:sz w:val="24"/>
              </w:rPr>
              <w:t>项目编号</w:t>
            </w:r>
            <w:r>
              <w:rPr>
                <w:rFonts w:hint="eastAsia" w:ascii="宋体" w:hAnsi="宋体" w:cs="宋体"/>
                <w:color w:val="auto"/>
                <w:sz w:val="24"/>
                <w:lang w:eastAsia="zh-CN"/>
              </w:rPr>
              <w:t>:</w:t>
            </w:r>
          </w:p>
          <w:p w14:paraId="6C308866">
            <w:pPr>
              <w:ind w:left="189" w:leftChars="90" w:firstLine="1"/>
              <w:rPr>
                <w:rFonts w:hint="eastAsia" w:ascii="宋体" w:hAnsi="宋体" w:eastAsia="宋体" w:cs="宋体"/>
                <w:color w:val="auto"/>
                <w:sz w:val="24"/>
              </w:rPr>
            </w:pPr>
          </w:p>
          <w:p w14:paraId="4F6996C0">
            <w:pPr>
              <w:ind w:left="189" w:leftChars="90" w:firstLine="1"/>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项目</w:t>
            </w:r>
            <w:r>
              <w:rPr>
                <w:rFonts w:hint="eastAsia" w:ascii="宋体" w:hAnsi="宋体" w:eastAsia="宋体" w:cs="宋体"/>
                <w:color w:val="auto"/>
                <w:sz w:val="24"/>
              </w:rPr>
              <w:t>名称</w:t>
            </w:r>
            <w:r>
              <w:rPr>
                <w:rFonts w:hint="eastAsia" w:ascii="宋体" w:hAnsi="宋体" w:cs="宋体"/>
                <w:color w:val="auto"/>
                <w:sz w:val="24"/>
                <w:lang w:eastAsia="zh-CN"/>
              </w:rPr>
              <w:t>:</w:t>
            </w:r>
          </w:p>
        </w:tc>
      </w:tr>
      <w:tr w14:paraId="0EB8B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6" w:hRule="atLeast"/>
          <w:jc w:val="center"/>
        </w:trPr>
        <w:tc>
          <w:tcPr>
            <w:tcW w:w="2628" w:type="dxa"/>
            <w:vAlign w:val="center"/>
          </w:tcPr>
          <w:p w14:paraId="2200FA1F">
            <w:pPr>
              <w:ind w:left="-13" w:leftChars="-6"/>
              <w:jc w:val="center"/>
              <w:rPr>
                <w:rFonts w:hint="eastAsia" w:ascii="宋体" w:hAnsi="宋体" w:eastAsia="宋体" w:cs="宋体"/>
                <w:b/>
                <w:color w:val="auto"/>
                <w:sz w:val="24"/>
              </w:rPr>
            </w:pPr>
            <w:r>
              <w:rPr>
                <w:rFonts w:hint="eastAsia" w:ascii="宋体" w:hAnsi="宋体" w:eastAsia="宋体" w:cs="宋体"/>
                <w:b/>
                <w:color w:val="auto"/>
                <w:sz w:val="24"/>
              </w:rPr>
              <w:t>投标总价</w:t>
            </w:r>
          </w:p>
        </w:tc>
        <w:tc>
          <w:tcPr>
            <w:tcW w:w="7138" w:type="dxa"/>
            <w:vAlign w:val="center"/>
          </w:tcPr>
          <w:p w14:paraId="3CF88E78">
            <w:pPr>
              <w:ind w:left="189" w:leftChars="90" w:firstLine="1"/>
              <w:jc w:val="both"/>
              <w:rPr>
                <w:rFonts w:hint="eastAsia" w:ascii="宋体" w:hAnsi="宋体" w:eastAsia="宋体" w:cs="宋体"/>
                <w:color w:val="auto"/>
                <w:sz w:val="24"/>
              </w:rPr>
            </w:pPr>
            <w:r>
              <w:rPr>
                <w:rFonts w:hint="eastAsia" w:ascii="宋体" w:hAnsi="宋体" w:eastAsia="宋体" w:cs="宋体"/>
                <w:color w:val="auto"/>
                <w:sz w:val="24"/>
              </w:rPr>
              <w:t>人民币</w:t>
            </w:r>
            <w:r>
              <w:rPr>
                <w:rFonts w:hint="eastAsia" w:ascii="宋体" w:hAnsi="宋体" w:cs="宋体"/>
                <w:color w:val="auto"/>
                <w:sz w:val="24"/>
                <w:lang w:eastAsia="zh-CN"/>
              </w:rPr>
              <w:t>(</w:t>
            </w:r>
            <w:r>
              <w:rPr>
                <w:rFonts w:hint="eastAsia" w:ascii="宋体" w:hAnsi="宋体" w:eastAsia="宋体" w:cs="宋体"/>
                <w:color w:val="auto"/>
                <w:sz w:val="24"/>
              </w:rPr>
              <w:t>小写金额</w:t>
            </w:r>
            <w:r>
              <w:rPr>
                <w:rFonts w:hint="eastAsia" w:ascii="宋体" w:hAnsi="宋体" w:cs="宋体"/>
                <w:color w:val="auto"/>
                <w:sz w:val="24"/>
                <w:lang w:eastAsia="zh-CN"/>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元</w:t>
            </w:r>
          </w:p>
          <w:p w14:paraId="083CBAFE">
            <w:pPr>
              <w:ind w:left="189" w:leftChars="90" w:firstLine="1"/>
              <w:jc w:val="both"/>
              <w:rPr>
                <w:rFonts w:hint="eastAsia" w:ascii="宋体" w:hAnsi="宋体" w:eastAsia="宋体" w:cs="宋体"/>
                <w:color w:val="auto"/>
                <w:sz w:val="24"/>
                <w:u w:val="single"/>
              </w:rPr>
            </w:pPr>
            <w:r>
              <w:rPr>
                <w:rFonts w:hint="eastAsia" w:ascii="宋体" w:hAnsi="宋体" w:eastAsia="宋体" w:cs="宋体"/>
                <w:color w:val="auto"/>
                <w:sz w:val="24"/>
              </w:rPr>
              <w:t>人民币</w:t>
            </w:r>
            <w:r>
              <w:rPr>
                <w:rFonts w:hint="eastAsia" w:ascii="宋体" w:hAnsi="宋体" w:cs="宋体"/>
                <w:color w:val="auto"/>
                <w:sz w:val="24"/>
                <w:lang w:eastAsia="zh-CN"/>
              </w:rPr>
              <w:t>(</w:t>
            </w:r>
            <w:r>
              <w:rPr>
                <w:rFonts w:hint="eastAsia" w:ascii="宋体" w:hAnsi="宋体" w:eastAsia="宋体" w:cs="宋体"/>
                <w:color w:val="auto"/>
                <w:sz w:val="24"/>
              </w:rPr>
              <w:t>大写金额</w:t>
            </w:r>
            <w:r>
              <w:rPr>
                <w:rFonts w:hint="eastAsia" w:ascii="宋体" w:hAnsi="宋体" w:cs="宋体"/>
                <w:color w:val="auto"/>
                <w:sz w:val="24"/>
                <w:lang w:eastAsia="zh-CN"/>
              </w:rPr>
              <w:t>):</w:t>
            </w:r>
            <w:r>
              <w:rPr>
                <w:rFonts w:hint="eastAsia" w:ascii="宋体" w:hAnsi="宋体" w:eastAsia="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u w:val="none"/>
              </w:rPr>
              <w:t>整</w:t>
            </w:r>
          </w:p>
          <w:p w14:paraId="0D2C638C">
            <w:pPr>
              <w:ind w:left="189" w:leftChars="90" w:firstLine="1"/>
              <w:jc w:val="both"/>
              <w:rPr>
                <w:rFonts w:hint="eastAsia" w:ascii="宋体" w:hAnsi="宋体" w:eastAsia="宋体" w:cs="宋体"/>
                <w:color w:val="auto"/>
                <w:sz w:val="24"/>
              </w:rPr>
            </w:pPr>
            <w:r>
              <w:rPr>
                <w:rFonts w:hint="eastAsia" w:ascii="宋体" w:hAnsi="宋体" w:eastAsia="宋体" w:cs="宋体"/>
                <w:color w:val="auto"/>
                <w:sz w:val="24"/>
              </w:rPr>
              <w:t>注</w:t>
            </w:r>
            <w:r>
              <w:rPr>
                <w:rFonts w:hint="eastAsia" w:ascii="宋体" w:hAnsi="宋体" w:cs="宋体"/>
                <w:color w:val="auto"/>
                <w:sz w:val="24"/>
                <w:lang w:eastAsia="zh-CN"/>
              </w:rPr>
              <w:t>:</w:t>
            </w:r>
            <w:r>
              <w:rPr>
                <w:rFonts w:hint="eastAsia" w:ascii="宋体" w:hAnsi="宋体" w:eastAsia="宋体" w:cs="宋体"/>
                <w:color w:val="auto"/>
                <w:sz w:val="24"/>
              </w:rPr>
              <w:t>如有不一致，以大写为准</w:t>
            </w:r>
          </w:p>
        </w:tc>
      </w:tr>
      <w:tr w14:paraId="048DA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0" w:hRule="atLeast"/>
          <w:jc w:val="center"/>
        </w:trPr>
        <w:tc>
          <w:tcPr>
            <w:tcW w:w="2628" w:type="dxa"/>
            <w:vAlign w:val="center"/>
          </w:tcPr>
          <w:p w14:paraId="272DCC49">
            <w:pPr>
              <w:ind w:left="-13" w:leftChars="-6"/>
              <w:jc w:val="center"/>
              <w:rPr>
                <w:rFonts w:hint="eastAsia" w:ascii="宋体" w:hAnsi="宋体" w:eastAsia="宋体" w:cs="宋体"/>
                <w:b/>
                <w:color w:val="auto"/>
                <w:sz w:val="24"/>
              </w:rPr>
            </w:pPr>
            <w:r>
              <w:rPr>
                <w:rFonts w:hint="eastAsia" w:ascii="宋体" w:hAnsi="宋体" w:eastAsia="宋体" w:cs="宋体"/>
                <w:b/>
                <w:color w:val="auto"/>
                <w:sz w:val="24"/>
              </w:rPr>
              <w:t>保证金缴纳方式（电汇/保函）</w:t>
            </w:r>
          </w:p>
        </w:tc>
        <w:tc>
          <w:tcPr>
            <w:tcW w:w="7138" w:type="dxa"/>
            <w:vAlign w:val="center"/>
          </w:tcPr>
          <w:p w14:paraId="03D1C797">
            <w:pPr>
              <w:ind w:left="189" w:leftChars="90" w:firstLine="1"/>
              <w:jc w:val="both"/>
              <w:rPr>
                <w:rFonts w:hint="eastAsia" w:ascii="宋体" w:hAnsi="宋体" w:eastAsia="宋体" w:cs="宋体"/>
                <w:color w:val="auto"/>
                <w:sz w:val="24"/>
                <w:lang w:eastAsia="zh-CN"/>
              </w:rPr>
            </w:pPr>
          </w:p>
        </w:tc>
      </w:tr>
      <w:tr w14:paraId="7310C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2628" w:type="dxa"/>
            <w:vAlign w:val="center"/>
          </w:tcPr>
          <w:p w14:paraId="31FA80A4">
            <w:pPr>
              <w:ind w:left="-13" w:leftChars="-6"/>
              <w:jc w:val="center"/>
              <w:rPr>
                <w:rFonts w:hint="eastAsia" w:ascii="宋体" w:hAnsi="宋体" w:eastAsia="宋体" w:cs="宋体"/>
                <w:b/>
                <w:color w:val="auto"/>
                <w:sz w:val="24"/>
              </w:rPr>
            </w:pPr>
            <w:r>
              <w:rPr>
                <w:rFonts w:hint="eastAsia" w:ascii="宋体" w:hAnsi="宋体" w:eastAsia="宋体" w:cs="宋体"/>
                <w:b/>
                <w:color w:val="auto"/>
                <w:sz w:val="24"/>
              </w:rPr>
              <w:t>合同履行期限</w:t>
            </w:r>
          </w:p>
        </w:tc>
        <w:tc>
          <w:tcPr>
            <w:tcW w:w="7138" w:type="dxa"/>
            <w:vAlign w:val="center"/>
          </w:tcPr>
          <w:p w14:paraId="6EEA75C4">
            <w:pPr>
              <w:ind w:left="189" w:leftChars="90" w:firstLine="1"/>
              <w:rPr>
                <w:rFonts w:hint="eastAsia" w:ascii="宋体" w:hAnsi="宋体" w:eastAsia="宋体" w:cs="宋体"/>
                <w:color w:val="auto"/>
                <w:sz w:val="24"/>
              </w:rPr>
            </w:pPr>
          </w:p>
        </w:tc>
      </w:tr>
      <w:tr w14:paraId="7B71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2628" w:type="dxa"/>
            <w:vAlign w:val="center"/>
          </w:tcPr>
          <w:p w14:paraId="31BD4B28">
            <w:pPr>
              <w:ind w:left="-13" w:leftChars="-6"/>
              <w:jc w:val="center"/>
              <w:rPr>
                <w:rFonts w:hint="eastAsia" w:ascii="宋体" w:hAnsi="宋体" w:eastAsia="宋体" w:cs="宋体"/>
                <w:b/>
                <w:color w:val="auto"/>
                <w:sz w:val="24"/>
              </w:rPr>
            </w:pPr>
            <w:r>
              <w:rPr>
                <w:rFonts w:hint="eastAsia" w:ascii="宋体" w:hAnsi="宋体" w:eastAsia="宋体" w:cs="宋体"/>
                <w:b/>
                <w:color w:val="auto"/>
                <w:sz w:val="24"/>
              </w:rPr>
              <w:t>服务地点</w:t>
            </w:r>
          </w:p>
        </w:tc>
        <w:tc>
          <w:tcPr>
            <w:tcW w:w="7138" w:type="dxa"/>
            <w:vAlign w:val="center"/>
          </w:tcPr>
          <w:p w14:paraId="2411CE9C">
            <w:pPr>
              <w:ind w:left="899" w:leftChars="428" w:firstLine="1"/>
              <w:rPr>
                <w:rFonts w:hint="eastAsia" w:ascii="宋体" w:hAnsi="宋体" w:eastAsia="宋体" w:cs="宋体"/>
                <w:color w:val="auto"/>
                <w:sz w:val="24"/>
              </w:rPr>
            </w:pPr>
          </w:p>
        </w:tc>
      </w:tr>
      <w:tr w14:paraId="6C46F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2628" w:type="dxa"/>
            <w:vAlign w:val="center"/>
          </w:tcPr>
          <w:p w14:paraId="0624DA14">
            <w:pPr>
              <w:jc w:val="center"/>
              <w:rPr>
                <w:rFonts w:hint="eastAsia" w:ascii="宋体" w:hAnsi="宋体" w:eastAsia="宋体" w:cs="宋体"/>
                <w:b/>
                <w:color w:val="auto"/>
                <w:sz w:val="24"/>
                <w:lang w:eastAsia="zh-CN"/>
              </w:rPr>
            </w:pPr>
            <w:r>
              <w:rPr>
                <w:rFonts w:hint="eastAsia" w:ascii="宋体" w:hAnsi="宋体" w:eastAsia="宋体" w:cs="宋体"/>
                <w:b/>
                <w:color w:val="auto"/>
                <w:sz w:val="24"/>
              </w:rPr>
              <w:t>其他声明</w:t>
            </w:r>
            <w:r>
              <w:rPr>
                <w:rFonts w:hint="eastAsia" w:ascii="宋体" w:hAnsi="宋体" w:cs="宋体"/>
                <w:b/>
                <w:color w:val="auto"/>
                <w:sz w:val="24"/>
                <w:lang w:eastAsia="zh-CN"/>
              </w:rPr>
              <w:t>(</w:t>
            </w:r>
            <w:r>
              <w:rPr>
                <w:rFonts w:hint="eastAsia" w:ascii="宋体" w:hAnsi="宋体" w:eastAsia="宋体" w:cs="宋体"/>
                <w:b/>
                <w:color w:val="auto"/>
                <w:sz w:val="24"/>
              </w:rPr>
              <w:t>如有</w:t>
            </w:r>
            <w:r>
              <w:rPr>
                <w:rFonts w:hint="eastAsia" w:ascii="宋体" w:hAnsi="宋体" w:cs="宋体"/>
                <w:b/>
                <w:color w:val="auto"/>
                <w:sz w:val="24"/>
                <w:lang w:eastAsia="zh-CN"/>
              </w:rPr>
              <w:t>)</w:t>
            </w:r>
          </w:p>
        </w:tc>
        <w:tc>
          <w:tcPr>
            <w:tcW w:w="7138" w:type="dxa"/>
            <w:vAlign w:val="center"/>
          </w:tcPr>
          <w:p w14:paraId="41567CC5">
            <w:pPr>
              <w:ind w:left="899" w:leftChars="428" w:firstLine="1"/>
              <w:rPr>
                <w:rFonts w:hint="eastAsia" w:ascii="宋体" w:hAnsi="宋体" w:eastAsia="宋体" w:cs="宋体"/>
                <w:color w:val="auto"/>
                <w:sz w:val="24"/>
              </w:rPr>
            </w:pPr>
          </w:p>
        </w:tc>
      </w:tr>
    </w:tbl>
    <w:p w14:paraId="1D13D7A1">
      <w:pPr>
        <w:pStyle w:val="81"/>
        <w:tabs>
          <w:tab w:val="left" w:pos="5580"/>
        </w:tabs>
        <w:spacing w:before="120"/>
        <w:ind w:firstLine="720" w:firstLineChars="300"/>
        <w:rPr>
          <w:rFonts w:hint="eastAsia" w:ascii="宋体" w:hAnsi="宋体" w:eastAsia="宋体" w:cs="宋体"/>
          <w:color w:val="auto"/>
          <w:sz w:val="24"/>
        </w:rPr>
      </w:pPr>
    </w:p>
    <w:p w14:paraId="72309D29">
      <w:pPr>
        <w:pStyle w:val="81"/>
        <w:tabs>
          <w:tab w:val="left" w:pos="5580"/>
        </w:tabs>
        <w:spacing w:before="120"/>
        <w:ind w:firstLine="720" w:firstLineChars="300"/>
        <w:rPr>
          <w:rFonts w:hint="eastAsia" w:ascii="宋体" w:hAnsi="宋体" w:eastAsia="宋体" w:cs="宋体"/>
          <w:color w:val="auto"/>
          <w:sz w:val="24"/>
        </w:rPr>
      </w:pPr>
      <w:r>
        <w:rPr>
          <w:rFonts w:hint="eastAsia" w:hAnsi="宋体" w:cs="宋体"/>
          <w:color w:val="auto"/>
          <w:sz w:val="24"/>
          <w:lang w:eastAsia="zh-CN"/>
        </w:rPr>
        <w:t>供应商</w:t>
      </w:r>
      <w:r>
        <w:rPr>
          <w:rFonts w:hint="eastAsia" w:ascii="宋体" w:hAnsi="宋体" w:eastAsia="宋体" w:cs="宋体"/>
          <w:color w:val="auto"/>
          <w:sz w:val="24"/>
        </w:rPr>
        <w:t>名称</w:t>
      </w:r>
      <w:r>
        <w:rPr>
          <w:rFonts w:hint="eastAsia" w:hAnsi="宋体" w:cs="宋体"/>
          <w:color w:val="auto"/>
          <w:sz w:val="24"/>
          <w:lang w:eastAsia="zh-CN"/>
        </w:rPr>
        <w:t>(公章):</w:t>
      </w:r>
    </w:p>
    <w:p w14:paraId="083CD911">
      <w:pPr>
        <w:pStyle w:val="81"/>
        <w:tabs>
          <w:tab w:val="left" w:pos="5340"/>
        </w:tabs>
        <w:spacing w:before="120"/>
        <w:ind w:firstLine="720" w:firstLineChars="300"/>
        <w:rPr>
          <w:rFonts w:hint="default" w:ascii="宋体" w:hAnsi="宋体" w:eastAsia="宋体" w:cs="宋体"/>
          <w:color w:val="auto"/>
          <w:sz w:val="24"/>
          <w:u w:val="single"/>
          <w:lang w:val="en-US" w:eastAsia="zh-CN"/>
        </w:rPr>
      </w:pPr>
      <w:r>
        <w:rPr>
          <w:rFonts w:hint="eastAsia" w:ascii="宋体" w:hAnsi="宋体" w:cs="宋体"/>
          <w:color w:val="auto"/>
          <w:kern w:val="0"/>
          <w:sz w:val="24"/>
        </w:rPr>
        <w:t>法定代表人或其委托代理人</w:t>
      </w:r>
      <w:r>
        <w:rPr>
          <w:rFonts w:hint="eastAsia" w:ascii="宋体" w:hAnsi="宋体" w:eastAsia="宋体" w:cs="宋体"/>
          <w:color w:val="auto"/>
          <w:sz w:val="24"/>
        </w:rPr>
        <w:t>(签字或盖章)</w:t>
      </w:r>
      <w:r>
        <w:rPr>
          <w:rFonts w:hint="eastAsia" w:hAnsi="宋体" w:cs="宋体"/>
          <w:color w:val="auto"/>
          <w:sz w:val="24"/>
          <w:lang w:eastAsia="zh-CN"/>
        </w:rPr>
        <w:t>:</w:t>
      </w:r>
    </w:p>
    <w:p w14:paraId="16D91D88">
      <w:pPr>
        <w:pStyle w:val="81"/>
        <w:tabs>
          <w:tab w:val="left" w:pos="5580"/>
        </w:tabs>
        <w:spacing w:before="120"/>
        <w:ind w:firstLine="720" w:firstLineChars="300"/>
        <w:rPr>
          <w:rFonts w:hint="eastAsia" w:hAnsi="宋体" w:cs="宋体"/>
          <w:color w:val="auto"/>
          <w:sz w:val="24"/>
          <w:lang w:eastAsia="zh-CN"/>
        </w:rPr>
      </w:pPr>
      <w:r>
        <w:rPr>
          <w:rFonts w:hint="eastAsia" w:ascii="宋体" w:hAnsi="宋体" w:eastAsia="宋体" w:cs="宋体"/>
          <w:color w:val="auto"/>
          <w:sz w:val="24"/>
        </w:rPr>
        <w:t>日期</w:t>
      </w:r>
      <w:r>
        <w:rPr>
          <w:rFonts w:hint="eastAsia" w:hAnsi="宋体" w:cs="宋体"/>
          <w:color w:val="auto"/>
          <w:sz w:val="24"/>
          <w:lang w:eastAsia="zh-CN"/>
        </w:rPr>
        <w:t>:</w:t>
      </w:r>
      <w:r>
        <w:rPr>
          <w:rFonts w:hint="eastAsia" w:hAnsi="宋体" w:cs="宋体"/>
          <w:color w:val="auto"/>
          <w:sz w:val="24"/>
          <w:lang w:val="en-US" w:eastAsia="zh-CN"/>
        </w:rPr>
        <w:t xml:space="preserve">  </w:t>
      </w:r>
      <w:r>
        <w:rPr>
          <w:rFonts w:hint="eastAsia" w:hAnsi="宋体" w:cs="宋体"/>
          <w:color w:val="auto"/>
          <w:sz w:val="24"/>
          <w:u w:val="none"/>
          <w:lang w:eastAsia="zh-CN"/>
        </w:rPr>
        <w:t>年</w:t>
      </w:r>
      <w:r>
        <w:rPr>
          <w:rFonts w:hint="eastAsia" w:hAnsi="宋体" w:cs="宋体"/>
          <w:color w:val="auto"/>
          <w:sz w:val="24"/>
          <w:u w:val="none"/>
          <w:lang w:val="en-US" w:eastAsia="zh-CN"/>
        </w:rPr>
        <w:t xml:space="preserve">   </w:t>
      </w:r>
      <w:r>
        <w:rPr>
          <w:rFonts w:hint="eastAsia" w:hAnsi="宋体" w:cs="宋体"/>
          <w:color w:val="auto"/>
          <w:sz w:val="24"/>
          <w:u w:val="none"/>
          <w:lang w:eastAsia="zh-CN"/>
        </w:rPr>
        <w:t>月</w:t>
      </w:r>
      <w:r>
        <w:rPr>
          <w:rFonts w:hint="eastAsia" w:hAnsi="宋体" w:cs="宋体"/>
          <w:color w:val="auto"/>
          <w:sz w:val="24"/>
          <w:u w:val="none"/>
          <w:lang w:val="en-US" w:eastAsia="zh-CN"/>
        </w:rPr>
        <w:t xml:space="preserve">   </w:t>
      </w:r>
      <w:r>
        <w:rPr>
          <w:rFonts w:hint="eastAsia" w:hAnsi="宋体" w:cs="宋体"/>
          <w:color w:val="auto"/>
          <w:sz w:val="24"/>
          <w:u w:val="none"/>
          <w:lang w:eastAsia="zh-CN"/>
        </w:rPr>
        <w:t>日</w:t>
      </w:r>
    </w:p>
    <w:p w14:paraId="2BB854E6">
      <w:pPr>
        <w:pStyle w:val="81"/>
        <w:tabs>
          <w:tab w:val="left" w:pos="5580"/>
        </w:tabs>
        <w:spacing w:before="120"/>
        <w:ind w:firstLine="720" w:firstLineChars="300"/>
        <w:rPr>
          <w:rFonts w:hint="eastAsia" w:ascii="宋体" w:hAnsi="宋体" w:eastAsia="宋体" w:cs="宋体"/>
          <w:color w:val="auto"/>
          <w:sz w:val="24"/>
          <w:u w:val="single"/>
        </w:rPr>
      </w:pPr>
    </w:p>
    <w:p w14:paraId="58FBA3A5">
      <w:pPr>
        <w:pStyle w:val="81"/>
        <w:tabs>
          <w:tab w:val="left" w:pos="5580"/>
        </w:tabs>
        <w:spacing w:before="120"/>
        <w:ind w:firstLine="720" w:firstLineChars="300"/>
        <w:rPr>
          <w:rFonts w:hint="eastAsia" w:ascii="宋体" w:hAnsi="宋体" w:eastAsia="宋体" w:cs="宋体"/>
          <w:color w:val="auto"/>
          <w:sz w:val="24"/>
          <w:u w:val="single"/>
        </w:rPr>
      </w:pPr>
    </w:p>
    <w:p w14:paraId="783B28A3">
      <w:pPr>
        <w:pStyle w:val="81"/>
        <w:tabs>
          <w:tab w:val="left" w:pos="5580"/>
        </w:tabs>
        <w:spacing w:before="120"/>
        <w:ind w:firstLine="720" w:firstLineChars="300"/>
        <w:rPr>
          <w:rFonts w:hint="eastAsia" w:ascii="宋体" w:hAnsi="宋体" w:eastAsia="宋体" w:cs="宋体"/>
          <w:color w:val="auto"/>
          <w:sz w:val="24"/>
        </w:rPr>
      </w:pPr>
    </w:p>
    <w:p w14:paraId="1FE52F74">
      <w:pPr>
        <w:pStyle w:val="81"/>
        <w:keepNext w:val="0"/>
        <w:keepLines w:val="0"/>
        <w:pageBreakBefore w:val="0"/>
        <w:widowControl w:val="0"/>
        <w:tabs>
          <w:tab w:val="left" w:pos="5580"/>
        </w:tabs>
        <w:kinsoku/>
        <w:wordWrap/>
        <w:overflowPunct/>
        <w:topLinePunct w:val="0"/>
        <w:autoSpaceDE/>
        <w:autoSpaceDN/>
        <w:bidi w:val="0"/>
        <w:adjustRightInd/>
        <w:snapToGrid/>
        <w:spacing w:line="360" w:lineRule="auto"/>
        <w:ind w:firstLine="720" w:firstLineChars="300"/>
        <w:textAlignment w:val="auto"/>
        <w:rPr>
          <w:rFonts w:hint="default" w:hAnsi="宋体" w:cs="宋体"/>
          <w:color w:val="auto"/>
          <w:sz w:val="24"/>
          <w:highlight w:val="none"/>
          <w:lang w:val="en-US" w:eastAsia="zh-CN"/>
        </w:rPr>
      </w:pPr>
      <w:r>
        <w:rPr>
          <w:rFonts w:hint="eastAsia" w:ascii="宋体" w:hAnsi="宋体" w:eastAsia="宋体" w:cs="宋体"/>
          <w:color w:val="auto"/>
          <w:sz w:val="24"/>
          <w:highlight w:val="none"/>
        </w:rPr>
        <w:t>注:</w:t>
      </w:r>
      <w:r>
        <w:rPr>
          <w:rFonts w:hint="eastAsia" w:hAnsi="宋体" w:cs="宋体"/>
          <w:color w:val="auto"/>
          <w:sz w:val="24"/>
          <w:highlight w:val="none"/>
          <w:lang w:val="en-US" w:eastAsia="zh-CN"/>
        </w:rPr>
        <w:t>1、该报价包括服务费、运行经费、车辆及场地租赁、税金等全部费用。</w:t>
      </w:r>
    </w:p>
    <w:p w14:paraId="204C09B4">
      <w:pPr>
        <w:pStyle w:val="81"/>
        <w:keepNext w:val="0"/>
        <w:keepLines w:val="0"/>
        <w:pageBreakBefore w:val="0"/>
        <w:widowControl w:val="0"/>
        <w:tabs>
          <w:tab w:val="left" w:pos="5580"/>
        </w:tabs>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color w:val="auto"/>
          <w:sz w:val="24"/>
        </w:rPr>
      </w:pPr>
      <w:r>
        <w:rPr>
          <w:rFonts w:hint="eastAsia" w:hAnsi="宋体" w:cs="宋体"/>
          <w:color w:val="auto"/>
          <w:sz w:val="24"/>
          <w:lang w:val="en-US" w:eastAsia="zh-CN"/>
        </w:rPr>
        <w:t>2、</w:t>
      </w:r>
      <w:r>
        <w:rPr>
          <w:rFonts w:hint="eastAsia" w:ascii="宋体" w:hAnsi="宋体" w:eastAsia="宋体" w:cs="宋体"/>
          <w:color w:val="auto"/>
          <w:sz w:val="24"/>
        </w:rPr>
        <w:t>此表中投标总价应与附件</w:t>
      </w:r>
      <w:r>
        <w:rPr>
          <w:rFonts w:hint="eastAsia" w:ascii="宋体" w:hAnsi="宋体" w:eastAsia="宋体" w:cs="宋体"/>
          <w:color w:val="auto"/>
          <w:sz w:val="24"/>
          <w:lang w:val="en-US" w:eastAsia="zh-CN"/>
        </w:rPr>
        <w:t>6</w:t>
      </w:r>
      <w:r>
        <w:rPr>
          <w:rFonts w:hint="eastAsia" w:ascii="宋体" w:hAnsi="宋体" w:eastAsia="宋体" w:cs="宋体"/>
          <w:color w:val="auto"/>
          <w:sz w:val="24"/>
        </w:rPr>
        <w:t>中的总价相一致。</w:t>
      </w:r>
    </w:p>
    <w:p w14:paraId="67D1516B">
      <w:pPr>
        <w:pStyle w:val="81"/>
        <w:tabs>
          <w:tab w:val="left" w:pos="5580"/>
        </w:tabs>
        <w:spacing w:before="120"/>
        <w:ind w:firstLine="720" w:firstLineChars="300"/>
        <w:rPr>
          <w:rFonts w:ascii="仿宋_GB2312" w:hAnsi="宋体" w:eastAsia="仿宋_GB2312"/>
          <w:color w:val="auto"/>
          <w:sz w:val="24"/>
        </w:rPr>
      </w:pPr>
      <w:r>
        <w:rPr>
          <w:rFonts w:hAnsi="宋体"/>
          <w:color w:val="auto"/>
          <w:sz w:val="24"/>
        </w:rPr>
        <w:br w:type="page"/>
      </w:r>
    </w:p>
    <w:p w14:paraId="456CF69A">
      <w:pPr>
        <w:spacing w:line="360" w:lineRule="auto"/>
        <w:outlineLvl w:val="1"/>
        <w:rPr>
          <w:b/>
          <w:color w:val="auto"/>
          <w:sz w:val="24"/>
        </w:rPr>
      </w:pPr>
      <w:bookmarkStart w:id="227" w:name="_Toc23334"/>
      <w:bookmarkStart w:id="228" w:name="_Toc23147"/>
      <w:bookmarkStart w:id="229" w:name="_Toc19178"/>
      <w:r>
        <w:rPr>
          <w:rFonts w:hint="eastAsia"/>
          <w:b/>
          <w:color w:val="auto"/>
          <w:sz w:val="24"/>
        </w:rPr>
        <w:t>附件3</w:t>
      </w:r>
      <w:r>
        <w:rPr>
          <w:rFonts w:hint="eastAsia" w:ascii="宋体" w:hAnsi="宋体" w:eastAsia="宋体" w:cs="宋体"/>
          <w:b/>
          <w:color w:val="auto"/>
          <w:sz w:val="24"/>
        </w:rPr>
        <w:t xml:space="preserve"> </w:t>
      </w:r>
      <w:r>
        <w:rPr>
          <w:rFonts w:hint="eastAsia"/>
          <w:b/>
          <w:color w:val="auto"/>
          <w:sz w:val="24"/>
        </w:rPr>
        <w:t>法定代表人身份证明</w:t>
      </w:r>
      <w:bookmarkEnd w:id="227"/>
      <w:bookmarkEnd w:id="228"/>
      <w:bookmarkEnd w:id="229"/>
    </w:p>
    <w:p w14:paraId="664A78BC">
      <w:pPr>
        <w:spacing w:beforeLines="50" w:line="288" w:lineRule="auto"/>
        <w:ind w:hanging="104"/>
        <w:jc w:val="center"/>
        <w:rPr>
          <w:rFonts w:ascii="宋体" w:hAnsi="宋体"/>
          <w:color w:val="auto"/>
          <w:szCs w:val="21"/>
        </w:rPr>
      </w:pPr>
    </w:p>
    <w:p w14:paraId="2E682BC4">
      <w:pPr>
        <w:autoSpaceDE w:val="0"/>
        <w:autoSpaceDN w:val="0"/>
        <w:adjustRightInd w:val="0"/>
        <w:jc w:val="center"/>
        <w:rPr>
          <w:rFonts w:ascii="宋体" w:hAnsi="宋体" w:cs="黑体"/>
          <w:color w:val="auto"/>
          <w:kern w:val="0"/>
          <w:sz w:val="28"/>
          <w:szCs w:val="28"/>
        </w:rPr>
      </w:pPr>
      <w:r>
        <w:rPr>
          <w:rFonts w:hint="eastAsia" w:ascii="宋体" w:hAnsi="宋体" w:cs="黑体"/>
          <w:color w:val="auto"/>
          <w:kern w:val="0"/>
          <w:sz w:val="28"/>
          <w:szCs w:val="28"/>
        </w:rPr>
        <w:t>法定代表人身份证明</w:t>
      </w:r>
    </w:p>
    <w:p w14:paraId="66496F2A">
      <w:pPr>
        <w:autoSpaceDE w:val="0"/>
        <w:autoSpaceDN w:val="0"/>
        <w:adjustRightInd w:val="0"/>
        <w:spacing w:line="360" w:lineRule="auto"/>
        <w:jc w:val="left"/>
        <w:rPr>
          <w:rFonts w:ascii="宋体" w:hAnsi="宋体" w:cs="仿宋_GB2312"/>
          <w:color w:val="auto"/>
          <w:kern w:val="0"/>
          <w:sz w:val="24"/>
        </w:rPr>
      </w:pPr>
    </w:p>
    <w:p w14:paraId="10317666">
      <w:pPr>
        <w:autoSpaceDE w:val="0"/>
        <w:autoSpaceDN w:val="0"/>
        <w:adjustRightInd w:val="0"/>
        <w:spacing w:line="360" w:lineRule="auto"/>
        <w:jc w:val="left"/>
        <w:rPr>
          <w:rFonts w:ascii="宋体" w:hAnsi="宋体" w:cs="仿宋_GB2312"/>
          <w:color w:val="auto"/>
          <w:kern w:val="0"/>
          <w:sz w:val="24"/>
        </w:rPr>
      </w:pPr>
    </w:p>
    <w:p w14:paraId="595F7DD1">
      <w:pPr>
        <w:autoSpaceDE w:val="0"/>
        <w:autoSpaceDN w:val="0"/>
        <w:adjustRightInd w:val="0"/>
        <w:spacing w:line="360" w:lineRule="auto"/>
        <w:jc w:val="left"/>
        <w:rPr>
          <w:rFonts w:ascii="宋体" w:hAnsi="宋体" w:cs="仿宋_GB2312"/>
          <w:color w:val="auto"/>
          <w:kern w:val="0"/>
          <w:sz w:val="24"/>
        </w:rPr>
      </w:pPr>
      <w:r>
        <w:rPr>
          <w:rFonts w:hint="eastAsia" w:ascii="宋体" w:hAnsi="宋体" w:cs="仿宋_GB2312"/>
          <w:color w:val="auto"/>
          <w:kern w:val="0"/>
          <w:sz w:val="24"/>
          <w:lang w:eastAsia="zh-CN"/>
        </w:rPr>
        <w:t>供应商</w:t>
      </w:r>
      <w:r>
        <w:rPr>
          <w:rFonts w:hint="eastAsia" w:ascii="宋体" w:hAnsi="宋体" w:cs="仿宋_GB2312"/>
          <w:color w:val="auto"/>
          <w:kern w:val="0"/>
          <w:sz w:val="24"/>
        </w:rPr>
        <w:t>名称</w:t>
      </w:r>
      <w:r>
        <w:rPr>
          <w:rFonts w:hint="eastAsia" w:ascii="宋体" w:hAnsi="宋体" w:cs="仿宋_GB2312"/>
          <w:color w:val="auto"/>
          <w:kern w:val="0"/>
          <w:sz w:val="24"/>
          <w:lang w:eastAsia="zh-CN"/>
        </w:rPr>
        <w:t>:</w:t>
      </w:r>
      <w:r>
        <w:rPr>
          <w:rFonts w:hint="eastAsia" w:ascii="宋体" w:hAnsi="宋体" w:cs="仿宋_GB2312"/>
          <w:color w:val="auto"/>
          <w:kern w:val="0"/>
          <w:sz w:val="24"/>
          <w:u w:val="single"/>
        </w:rPr>
        <w:t xml:space="preserve">                     </w:t>
      </w:r>
      <w:r>
        <w:rPr>
          <w:rFonts w:hint="eastAsia" w:ascii="宋体" w:hAnsi="宋体" w:cs="仿宋_GB2312"/>
          <w:color w:val="auto"/>
          <w:kern w:val="0"/>
          <w:sz w:val="24"/>
        </w:rPr>
        <w:t xml:space="preserve"> </w:t>
      </w:r>
    </w:p>
    <w:p w14:paraId="454504C2">
      <w:pPr>
        <w:autoSpaceDE w:val="0"/>
        <w:autoSpaceDN w:val="0"/>
        <w:adjustRightInd w:val="0"/>
        <w:spacing w:line="360" w:lineRule="auto"/>
        <w:jc w:val="left"/>
        <w:rPr>
          <w:rFonts w:ascii="宋体" w:hAnsi="宋体" w:cs="仿宋_GB2312"/>
          <w:color w:val="auto"/>
          <w:kern w:val="0"/>
          <w:sz w:val="24"/>
        </w:rPr>
      </w:pPr>
      <w:r>
        <w:rPr>
          <w:rFonts w:hint="eastAsia" w:ascii="宋体" w:hAnsi="宋体" w:cs="仿宋_GB2312"/>
          <w:color w:val="auto"/>
          <w:kern w:val="0"/>
          <w:sz w:val="24"/>
        </w:rPr>
        <w:t>单位性质</w:t>
      </w:r>
      <w:r>
        <w:rPr>
          <w:rFonts w:hint="eastAsia" w:ascii="宋体" w:hAnsi="宋体" w:cs="仿宋_GB2312"/>
          <w:color w:val="auto"/>
          <w:kern w:val="0"/>
          <w:sz w:val="24"/>
          <w:lang w:eastAsia="zh-CN"/>
        </w:rPr>
        <w:t>:</w:t>
      </w:r>
      <w:r>
        <w:rPr>
          <w:rFonts w:hint="eastAsia" w:ascii="宋体" w:hAnsi="宋体" w:cs="仿宋_GB2312"/>
          <w:color w:val="auto"/>
          <w:kern w:val="0"/>
          <w:sz w:val="24"/>
        </w:rPr>
        <w:t xml:space="preserve"> </w:t>
      </w:r>
      <w:r>
        <w:rPr>
          <w:rFonts w:hint="eastAsia" w:ascii="宋体" w:hAnsi="宋体" w:cs="仿宋_GB2312"/>
          <w:color w:val="auto"/>
          <w:kern w:val="0"/>
          <w:sz w:val="24"/>
          <w:u w:val="single"/>
        </w:rPr>
        <w:t xml:space="preserve">                      </w:t>
      </w:r>
      <w:r>
        <w:rPr>
          <w:rFonts w:hint="eastAsia" w:ascii="宋体" w:hAnsi="宋体" w:cs="仿宋_GB2312"/>
          <w:color w:val="auto"/>
          <w:kern w:val="0"/>
          <w:sz w:val="24"/>
        </w:rPr>
        <w:t xml:space="preserve"> </w:t>
      </w:r>
    </w:p>
    <w:p w14:paraId="2C6B7154">
      <w:pPr>
        <w:autoSpaceDE w:val="0"/>
        <w:autoSpaceDN w:val="0"/>
        <w:adjustRightInd w:val="0"/>
        <w:spacing w:line="360" w:lineRule="auto"/>
        <w:jc w:val="left"/>
        <w:rPr>
          <w:rFonts w:ascii="宋体" w:hAnsi="宋体" w:cs="仿宋_GB2312"/>
          <w:color w:val="auto"/>
          <w:kern w:val="0"/>
          <w:sz w:val="24"/>
        </w:rPr>
      </w:pPr>
      <w:r>
        <w:rPr>
          <w:rFonts w:hint="eastAsia" w:ascii="宋体" w:hAnsi="宋体" w:cs="仿宋_GB2312"/>
          <w:color w:val="auto"/>
          <w:kern w:val="0"/>
          <w:sz w:val="24"/>
        </w:rPr>
        <w:t>地    址</w:t>
      </w:r>
      <w:r>
        <w:rPr>
          <w:rFonts w:hint="eastAsia" w:ascii="宋体" w:hAnsi="宋体" w:cs="仿宋_GB2312"/>
          <w:color w:val="auto"/>
          <w:kern w:val="0"/>
          <w:sz w:val="24"/>
          <w:lang w:eastAsia="zh-CN"/>
        </w:rPr>
        <w:t>:</w:t>
      </w:r>
      <w:r>
        <w:rPr>
          <w:rFonts w:hint="eastAsia" w:ascii="宋体" w:hAnsi="宋体" w:cs="仿宋_GB2312"/>
          <w:color w:val="auto"/>
          <w:kern w:val="0"/>
          <w:sz w:val="24"/>
        </w:rPr>
        <w:t xml:space="preserve"> </w:t>
      </w:r>
      <w:r>
        <w:rPr>
          <w:rFonts w:hint="eastAsia" w:ascii="宋体" w:hAnsi="宋体" w:cs="仿宋_GB2312"/>
          <w:color w:val="auto"/>
          <w:kern w:val="0"/>
          <w:sz w:val="24"/>
          <w:u w:val="single"/>
        </w:rPr>
        <w:t xml:space="preserve">                       </w:t>
      </w:r>
    </w:p>
    <w:p w14:paraId="626923D4">
      <w:pPr>
        <w:autoSpaceDE w:val="0"/>
        <w:autoSpaceDN w:val="0"/>
        <w:adjustRightInd w:val="0"/>
        <w:spacing w:line="360" w:lineRule="auto"/>
        <w:jc w:val="left"/>
        <w:rPr>
          <w:rFonts w:ascii="宋体" w:hAnsi="宋体" w:cs="仿宋_GB2312"/>
          <w:color w:val="auto"/>
          <w:kern w:val="0"/>
          <w:sz w:val="24"/>
        </w:rPr>
      </w:pPr>
      <w:r>
        <w:rPr>
          <w:rFonts w:hint="eastAsia" w:ascii="宋体" w:hAnsi="宋体" w:cs="仿宋_GB2312"/>
          <w:color w:val="auto"/>
          <w:kern w:val="0"/>
          <w:sz w:val="24"/>
        </w:rPr>
        <w:t>成立时间</w:t>
      </w:r>
      <w:r>
        <w:rPr>
          <w:rFonts w:hint="eastAsia" w:ascii="宋体" w:hAnsi="宋体" w:cs="仿宋_GB2312"/>
          <w:color w:val="auto"/>
          <w:kern w:val="0"/>
          <w:sz w:val="24"/>
          <w:lang w:eastAsia="zh-CN"/>
        </w:rPr>
        <w:t>:</w:t>
      </w:r>
      <w:r>
        <w:rPr>
          <w:rFonts w:hint="eastAsia" w:ascii="宋体" w:hAnsi="宋体" w:cs="仿宋_GB2312"/>
          <w:color w:val="auto"/>
          <w:kern w:val="0"/>
          <w:sz w:val="24"/>
          <w:u w:val="single"/>
        </w:rPr>
        <w:t xml:space="preserve">     </w:t>
      </w:r>
      <w:r>
        <w:rPr>
          <w:rFonts w:hint="eastAsia" w:ascii="宋体" w:hAnsi="宋体" w:cs="仿宋_GB2312"/>
          <w:color w:val="auto"/>
          <w:kern w:val="0"/>
          <w:sz w:val="24"/>
        </w:rPr>
        <w:t>年</w:t>
      </w:r>
      <w:r>
        <w:rPr>
          <w:rFonts w:hint="eastAsia" w:ascii="宋体" w:hAnsi="宋体" w:cs="仿宋_GB2312"/>
          <w:color w:val="auto"/>
          <w:kern w:val="0"/>
          <w:sz w:val="24"/>
          <w:u w:val="single"/>
        </w:rPr>
        <w:t xml:space="preserve">  </w:t>
      </w:r>
      <w:r>
        <w:rPr>
          <w:rFonts w:hint="eastAsia" w:ascii="宋体" w:hAnsi="宋体" w:cs="仿宋_GB2312"/>
          <w:color w:val="auto"/>
          <w:kern w:val="0"/>
          <w:sz w:val="24"/>
          <w:u w:val="single"/>
          <w:lang w:val="en-US" w:eastAsia="zh-CN"/>
        </w:rPr>
        <w:t xml:space="preserve">  </w:t>
      </w:r>
      <w:r>
        <w:rPr>
          <w:rFonts w:hint="eastAsia" w:ascii="宋体" w:hAnsi="宋体" w:cs="仿宋_GB2312"/>
          <w:color w:val="auto"/>
          <w:kern w:val="0"/>
          <w:sz w:val="24"/>
        </w:rPr>
        <w:t>月</w:t>
      </w:r>
      <w:r>
        <w:rPr>
          <w:rFonts w:hint="eastAsia" w:ascii="宋体" w:hAnsi="宋体" w:cs="仿宋_GB2312"/>
          <w:color w:val="auto"/>
          <w:kern w:val="0"/>
          <w:sz w:val="24"/>
          <w:u w:val="single"/>
        </w:rPr>
        <w:t xml:space="preserve">  </w:t>
      </w:r>
      <w:r>
        <w:rPr>
          <w:rFonts w:ascii="宋体" w:hAnsi="宋体" w:cs="仿宋_GB2312"/>
          <w:color w:val="auto"/>
          <w:kern w:val="0"/>
          <w:sz w:val="24"/>
          <w:u w:val="single"/>
        </w:rPr>
        <w:t xml:space="preserve"> </w:t>
      </w:r>
      <w:r>
        <w:rPr>
          <w:rFonts w:hint="eastAsia" w:ascii="宋体" w:hAnsi="宋体" w:cs="仿宋_GB2312"/>
          <w:color w:val="auto"/>
          <w:kern w:val="0"/>
          <w:sz w:val="24"/>
          <w:u w:val="single"/>
          <w:lang w:val="en-US" w:eastAsia="zh-CN"/>
        </w:rPr>
        <w:t xml:space="preserve">  </w:t>
      </w:r>
      <w:r>
        <w:rPr>
          <w:rFonts w:hint="eastAsia" w:ascii="宋体" w:hAnsi="宋体" w:cs="仿宋_GB2312"/>
          <w:color w:val="auto"/>
          <w:kern w:val="0"/>
          <w:sz w:val="24"/>
        </w:rPr>
        <w:t>日</w:t>
      </w:r>
    </w:p>
    <w:p w14:paraId="6AE22240">
      <w:pPr>
        <w:autoSpaceDE w:val="0"/>
        <w:autoSpaceDN w:val="0"/>
        <w:adjustRightInd w:val="0"/>
        <w:spacing w:line="360" w:lineRule="auto"/>
        <w:jc w:val="left"/>
        <w:rPr>
          <w:rFonts w:hint="eastAsia" w:ascii="宋体" w:hAnsi="宋体" w:eastAsia="宋体" w:cs="仿宋_GB2312"/>
          <w:color w:val="auto"/>
          <w:kern w:val="0"/>
          <w:sz w:val="24"/>
          <w:lang w:eastAsia="zh-CN"/>
        </w:rPr>
      </w:pPr>
      <w:r>
        <w:rPr>
          <w:rFonts w:hint="eastAsia" w:ascii="宋体" w:hAnsi="宋体" w:cs="仿宋_GB2312"/>
          <w:color w:val="auto"/>
          <w:kern w:val="0"/>
          <w:sz w:val="24"/>
        </w:rPr>
        <w:t>经营期限</w:t>
      </w:r>
      <w:r>
        <w:rPr>
          <w:rFonts w:hint="eastAsia" w:ascii="宋体" w:hAnsi="宋体" w:cs="仿宋_GB2312"/>
          <w:color w:val="auto"/>
          <w:kern w:val="0"/>
          <w:sz w:val="24"/>
          <w:lang w:eastAsia="zh-CN"/>
        </w:rPr>
        <w:t>:</w:t>
      </w:r>
    </w:p>
    <w:p w14:paraId="380B4BEC">
      <w:pPr>
        <w:autoSpaceDE w:val="0"/>
        <w:autoSpaceDN w:val="0"/>
        <w:adjustRightInd w:val="0"/>
        <w:spacing w:line="360" w:lineRule="auto"/>
        <w:jc w:val="left"/>
        <w:rPr>
          <w:rFonts w:ascii="宋体" w:hAnsi="宋体" w:cs="仿宋_GB2312"/>
          <w:color w:val="auto"/>
          <w:kern w:val="0"/>
          <w:sz w:val="24"/>
        </w:rPr>
      </w:pPr>
    </w:p>
    <w:p w14:paraId="5D664624">
      <w:pPr>
        <w:autoSpaceDE w:val="0"/>
        <w:autoSpaceDN w:val="0"/>
        <w:adjustRightInd w:val="0"/>
        <w:spacing w:line="360" w:lineRule="auto"/>
        <w:jc w:val="left"/>
        <w:rPr>
          <w:rFonts w:ascii="宋体" w:hAnsi="宋体" w:cs="仿宋_GB2312"/>
          <w:color w:val="auto"/>
          <w:kern w:val="0"/>
          <w:sz w:val="24"/>
        </w:rPr>
      </w:pPr>
    </w:p>
    <w:p w14:paraId="6BB7D4D7">
      <w:pPr>
        <w:autoSpaceDE w:val="0"/>
        <w:autoSpaceDN w:val="0"/>
        <w:adjustRightInd w:val="0"/>
        <w:spacing w:line="360" w:lineRule="auto"/>
        <w:jc w:val="left"/>
        <w:rPr>
          <w:rFonts w:ascii="宋体" w:hAnsi="宋体" w:cs="仿宋_GB2312"/>
          <w:color w:val="auto"/>
          <w:kern w:val="0"/>
          <w:sz w:val="24"/>
        </w:rPr>
      </w:pPr>
      <w:r>
        <w:rPr>
          <w:rFonts w:hint="eastAsia" w:ascii="宋体" w:hAnsi="宋体" w:cs="仿宋_GB2312"/>
          <w:color w:val="auto"/>
          <w:kern w:val="0"/>
          <w:sz w:val="24"/>
        </w:rPr>
        <w:t>姓名</w:t>
      </w:r>
      <w:r>
        <w:rPr>
          <w:rFonts w:hint="eastAsia" w:ascii="宋体" w:hAnsi="宋体" w:cs="仿宋_GB2312"/>
          <w:color w:val="auto"/>
          <w:kern w:val="0"/>
          <w:sz w:val="24"/>
          <w:lang w:eastAsia="zh-CN"/>
        </w:rPr>
        <w:t>:</w:t>
      </w:r>
      <w:r>
        <w:rPr>
          <w:rFonts w:ascii="宋体" w:hAnsi="宋体" w:cs="仿宋_GB2312"/>
          <w:color w:val="auto"/>
          <w:kern w:val="0"/>
          <w:sz w:val="24"/>
          <w:u w:val="single"/>
        </w:rPr>
        <w:t xml:space="preserve"> </w:t>
      </w:r>
      <w:r>
        <w:rPr>
          <w:rFonts w:hint="eastAsia" w:ascii="宋体" w:hAnsi="宋体" w:cs="仿宋_GB2312"/>
          <w:color w:val="auto"/>
          <w:kern w:val="0"/>
          <w:sz w:val="24"/>
          <w:u w:val="single"/>
        </w:rPr>
        <w:t xml:space="preserve">   </w:t>
      </w:r>
      <w:r>
        <w:rPr>
          <w:rFonts w:hint="eastAsia" w:ascii="宋体" w:hAnsi="宋体" w:cs="仿宋_GB2312"/>
          <w:color w:val="auto"/>
          <w:kern w:val="0"/>
          <w:sz w:val="24"/>
        </w:rPr>
        <w:t>性别</w:t>
      </w:r>
      <w:r>
        <w:rPr>
          <w:rFonts w:hint="eastAsia" w:ascii="宋体" w:hAnsi="宋体" w:cs="仿宋_GB2312"/>
          <w:color w:val="auto"/>
          <w:kern w:val="0"/>
          <w:sz w:val="24"/>
          <w:lang w:eastAsia="zh-CN"/>
        </w:rPr>
        <w:t>:</w:t>
      </w:r>
      <w:r>
        <w:rPr>
          <w:rFonts w:ascii="宋体" w:hAnsi="宋体" w:cs="仿宋_GB2312"/>
          <w:color w:val="auto"/>
          <w:kern w:val="0"/>
          <w:sz w:val="24"/>
          <w:u w:val="single"/>
        </w:rPr>
        <w:t xml:space="preserve"> </w:t>
      </w:r>
      <w:r>
        <w:rPr>
          <w:rFonts w:hint="eastAsia" w:ascii="宋体" w:hAnsi="宋体" w:cs="仿宋_GB2312"/>
          <w:color w:val="auto"/>
          <w:kern w:val="0"/>
          <w:sz w:val="24"/>
          <w:u w:val="single"/>
        </w:rPr>
        <w:t xml:space="preserve">   </w:t>
      </w:r>
      <w:r>
        <w:rPr>
          <w:rFonts w:hint="eastAsia" w:ascii="宋体" w:hAnsi="宋体" w:cs="仿宋_GB2312"/>
          <w:color w:val="auto"/>
          <w:kern w:val="0"/>
          <w:sz w:val="24"/>
        </w:rPr>
        <w:t>年龄</w:t>
      </w:r>
      <w:r>
        <w:rPr>
          <w:rFonts w:hint="eastAsia" w:ascii="宋体" w:hAnsi="宋体" w:cs="仿宋_GB2312"/>
          <w:color w:val="auto"/>
          <w:kern w:val="0"/>
          <w:sz w:val="24"/>
          <w:lang w:eastAsia="zh-CN"/>
        </w:rPr>
        <w:t>:</w:t>
      </w:r>
      <w:r>
        <w:rPr>
          <w:rFonts w:ascii="宋体" w:hAnsi="宋体" w:cs="仿宋_GB2312"/>
          <w:color w:val="auto"/>
          <w:kern w:val="0"/>
          <w:sz w:val="24"/>
          <w:u w:val="single"/>
        </w:rPr>
        <w:t xml:space="preserve"> </w:t>
      </w:r>
      <w:r>
        <w:rPr>
          <w:rFonts w:hint="eastAsia" w:ascii="宋体" w:hAnsi="宋体" w:cs="仿宋_GB2312"/>
          <w:color w:val="auto"/>
          <w:kern w:val="0"/>
          <w:sz w:val="24"/>
          <w:u w:val="single"/>
        </w:rPr>
        <w:t xml:space="preserve">  </w:t>
      </w:r>
      <w:r>
        <w:rPr>
          <w:rFonts w:hint="eastAsia" w:ascii="宋体" w:hAnsi="宋体" w:cs="仿宋_GB2312"/>
          <w:color w:val="auto"/>
          <w:kern w:val="0"/>
          <w:sz w:val="24"/>
          <w:u w:val="single"/>
          <w:lang w:val="en-US" w:eastAsia="zh-CN"/>
        </w:rPr>
        <w:t xml:space="preserve"> </w:t>
      </w:r>
      <w:r>
        <w:rPr>
          <w:rFonts w:hint="eastAsia" w:ascii="宋体" w:hAnsi="宋体" w:cs="仿宋_GB2312"/>
          <w:color w:val="auto"/>
          <w:kern w:val="0"/>
          <w:sz w:val="24"/>
        </w:rPr>
        <w:t>职务</w:t>
      </w:r>
      <w:r>
        <w:rPr>
          <w:rFonts w:hint="eastAsia" w:ascii="宋体" w:hAnsi="宋体" w:cs="仿宋_GB2312"/>
          <w:color w:val="auto"/>
          <w:kern w:val="0"/>
          <w:sz w:val="24"/>
          <w:lang w:eastAsia="zh-CN"/>
        </w:rPr>
        <w:t>:</w:t>
      </w:r>
      <w:r>
        <w:rPr>
          <w:rFonts w:hint="eastAsia" w:ascii="宋体" w:hAnsi="宋体" w:cs="仿宋_GB2312"/>
          <w:color w:val="auto"/>
          <w:kern w:val="0"/>
          <w:sz w:val="24"/>
          <w:u w:val="single"/>
        </w:rPr>
        <w:t xml:space="preserve">     </w:t>
      </w:r>
      <w:r>
        <w:rPr>
          <w:rFonts w:hint="eastAsia" w:ascii="宋体" w:hAnsi="宋体" w:cs="仿宋_GB2312"/>
          <w:color w:val="auto"/>
          <w:kern w:val="0"/>
          <w:sz w:val="24"/>
        </w:rPr>
        <w:t>系</w:t>
      </w:r>
      <w:r>
        <w:rPr>
          <w:rFonts w:hint="eastAsia" w:ascii="宋体" w:hAnsi="宋体" w:cs="仿宋_GB2312"/>
          <w:color w:val="auto"/>
          <w:kern w:val="0"/>
          <w:sz w:val="24"/>
          <w:u w:val="single"/>
        </w:rPr>
        <w:t xml:space="preserve">             </w:t>
      </w:r>
      <w:r>
        <w:rPr>
          <w:rFonts w:hint="eastAsia" w:ascii="宋体" w:hAnsi="宋体" w:cs="仿宋_GB2312"/>
          <w:color w:val="auto"/>
          <w:kern w:val="0"/>
          <w:sz w:val="24"/>
          <w:lang w:eastAsia="zh-CN"/>
        </w:rPr>
        <w:t>(供应商</w:t>
      </w:r>
      <w:r>
        <w:rPr>
          <w:rFonts w:hint="eastAsia" w:ascii="宋体" w:hAnsi="宋体" w:cs="仿宋_GB2312"/>
          <w:color w:val="auto"/>
          <w:kern w:val="0"/>
          <w:sz w:val="24"/>
        </w:rPr>
        <w:t>名称</w:t>
      </w:r>
      <w:r>
        <w:rPr>
          <w:rFonts w:hint="eastAsia" w:ascii="宋体" w:hAnsi="宋体" w:cs="仿宋_GB2312"/>
          <w:color w:val="auto"/>
          <w:kern w:val="0"/>
          <w:sz w:val="24"/>
          <w:lang w:eastAsia="zh-CN"/>
        </w:rPr>
        <w:t>)</w:t>
      </w:r>
      <w:r>
        <w:rPr>
          <w:rFonts w:hint="eastAsia" w:ascii="宋体" w:hAnsi="宋体" w:cs="仿宋_GB2312"/>
          <w:color w:val="auto"/>
          <w:kern w:val="0"/>
          <w:sz w:val="24"/>
        </w:rPr>
        <w:t>的法定代表人。</w:t>
      </w:r>
    </w:p>
    <w:p w14:paraId="1FD813D1">
      <w:pPr>
        <w:autoSpaceDE w:val="0"/>
        <w:autoSpaceDN w:val="0"/>
        <w:adjustRightInd w:val="0"/>
        <w:spacing w:line="360" w:lineRule="auto"/>
        <w:jc w:val="left"/>
        <w:rPr>
          <w:rFonts w:ascii="宋体" w:hAnsi="宋体" w:cs="仿宋_GB2312"/>
          <w:color w:val="auto"/>
          <w:kern w:val="0"/>
          <w:sz w:val="24"/>
        </w:rPr>
      </w:pPr>
      <w:r>
        <w:rPr>
          <w:rFonts w:hint="eastAsia" w:ascii="宋体" w:hAnsi="宋体" w:cs="仿宋_GB2312"/>
          <w:color w:val="auto"/>
          <w:kern w:val="0"/>
          <w:sz w:val="24"/>
        </w:rPr>
        <w:t>特此证明。</w:t>
      </w:r>
    </w:p>
    <w:p w14:paraId="4E49843F">
      <w:pPr>
        <w:autoSpaceDE w:val="0"/>
        <w:autoSpaceDN w:val="0"/>
        <w:adjustRightInd w:val="0"/>
        <w:spacing w:line="360" w:lineRule="auto"/>
        <w:jc w:val="left"/>
        <w:rPr>
          <w:rFonts w:ascii="宋体" w:hAnsi="宋体" w:cs="仿宋_GB2312"/>
          <w:color w:val="auto"/>
          <w:kern w:val="0"/>
          <w:sz w:val="24"/>
        </w:rPr>
      </w:pPr>
    </w:p>
    <w:tbl>
      <w:tblPr>
        <w:tblStyle w:val="43"/>
        <w:tblW w:w="5000" w:type="pct"/>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186"/>
        <w:gridCol w:w="4388"/>
        <w:gridCol w:w="4388"/>
      </w:tblGrid>
      <w:tr w14:paraId="3583418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74" w:hRule="atLeast"/>
          <w:jc w:val="center"/>
        </w:trPr>
        <w:tc>
          <w:tcPr>
            <w:tcW w:w="988" w:type="dxa"/>
            <w:vAlign w:val="center"/>
          </w:tcPr>
          <w:p w14:paraId="096A4588">
            <w:pPr>
              <w:shd w:val="clear"/>
              <w:spacing w:line="240" w:lineRule="auto"/>
              <w:ind w:right="105"/>
              <w:jc w:val="center"/>
              <w:rPr>
                <w:rFonts w:ascii="宋体" w:hAnsi="宋体" w:eastAsia="宋体" w:cs="Times New Roman"/>
                <w:color w:val="auto"/>
                <w:sz w:val="24"/>
                <w:szCs w:val="24"/>
                <w:highlight w:val="none"/>
                <w:shd w:val="clear" w:color="auto" w:fill="auto"/>
                <w:lang w:eastAsia="zh-CN"/>
              </w:rPr>
            </w:pPr>
            <w:r>
              <w:rPr>
                <w:rFonts w:hint="eastAsia" w:ascii="宋体" w:hAnsi="宋体" w:eastAsia="宋体" w:cs="Times New Roman"/>
                <w:color w:val="auto"/>
                <w:sz w:val="24"/>
                <w:szCs w:val="24"/>
                <w:highlight w:val="none"/>
                <w:shd w:val="clear" w:color="auto" w:fill="auto"/>
                <w:lang w:eastAsia="zh-CN"/>
              </w:rPr>
              <w:t>法定代表人</w:t>
            </w:r>
          </w:p>
        </w:tc>
        <w:tc>
          <w:tcPr>
            <w:tcW w:w="3654" w:type="dxa"/>
            <w:vAlign w:val="center"/>
          </w:tcPr>
          <w:p w14:paraId="65F93F36">
            <w:pPr>
              <w:shd w:val="clear"/>
              <w:spacing w:line="240" w:lineRule="auto"/>
              <w:ind w:right="105" w:rightChars="0"/>
              <w:jc w:val="center"/>
              <w:rPr>
                <w:rFonts w:ascii="宋体" w:hAnsi="宋体" w:eastAsia="宋体" w:cs="Times New Roman"/>
                <w:color w:val="auto"/>
                <w:sz w:val="24"/>
                <w:szCs w:val="24"/>
                <w:highlight w:val="none"/>
                <w:shd w:val="clear" w:color="auto" w:fill="auto"/>
              </w:rPr>
            </w:pPr>
            <w:r>
              <w:rPr>
                <w:rFonts w:hint="eastAsia" w:ascii="宋体" w:hAnsi="宋体" w:eastAsia="宋体" w:cs="Times New Roman"/>
                <w:color w:val="auto"/>
                <w:sz w:val="24"/>
                <w:szCs w:val="24"/>
                <w:highlight w:val="none"/>
                <w:shd w:val="clear" w:color="auto" w:fill="auto"/>
                <w:lang w:val="en-US" w:eastAsia="zh-CN"/>
              </w:rPr>
              <w:t>国徽面</w:t>
            </w:r>
          </w:p>
        </w:tc>
        <w:tc>
          <w:tcPr>
            <w:tcW w:w="3654" w:type="dxa"/>
            <w:vAlign w:val="center"/>
          </w:tcPr>
          <w:p w14:paraId="2CB4711D">
            <w:pPr>
              <w:shd w:val="clear"/>
              <w:spacing w:line="240" w:lineRule="auto"/>
              <w:ind w:right="105" w:rightChars="0"/>
              <w:jc w:val="center"/>
              <w:rPr>
                <w:rFonts w:ascii="宋体" w:hAnsi="宋体" w:eastAsia="宋体" w:cs="Times New Roman"/>
                <w:color w:val="auto"/>
                <w:sz w:val="24"/>
                <w:szCs w:val="24"/>
                <w:highlight w:val="none"/>
                <w:shd w:val="clear" w:color="auto" w:fill="auto"/>
              </w:rPr>
            </w:pPr>
            <w:r>
              <w:rPr>
                <w:rFonts w:hint="eastAsia" w:ascii="宋体" w:hAnsi="宋体" w:eastAsia="宋体" w:cs="Times New Roman"/>
                <w:color w:val="auto"/>
                <w:sz w:val="24"/>
                <w:szCs w:val="24"/>
                <w:highlight w:val="none"/>
                <w:shd w:val="clear" w:color="auto" w:fill="auto"/>
                <w:lang w:val="en-US" w:eastAsia="zh-CN"/>
              </w:rPr>
              <w:t>人像面</w:t>
            </w:r>
          </w:p>
        </w:tc>
      </w:tr>
    </w:tbl>
    <w:p w14:paraId="54893D99">
      <w:pPr>
        <w:autoSpaceDE w:val="0"/>
        <w:autoSpaceDN w:val="0"/>
        <w:adjustRightInd w:val="0"/>
        <w:spacing w:line="360" w:lineRule="auto"/>
        <w:jc w:val="left"/>
        <w:rPr>
          <w:rFonts w:ascii="宋体" w:hAnsi="宋体" w:cs="仿宋_GB2312"/>
          <w:color w:val="auto"/>
          <w:kern w:val="0"/>
          <w:sz w:val="24"/>
        </w:rPr>
      </w:pPr>
    </w:p>
    <w:p w14:paraId="74AB4737">
      <w:pPr>
        <w:autoSpaceDE w:val="0"/>
        <w:autoSpaceDN w:val="0"/>
        <w:adjustRightInd w:val="0"/>
        <w:spacing w:line="360" w:lineRule="auto"/>
        <w:jc w:val="left"/>
        <w:rPr>
          <w:rFonts w:ascii="宋体" w:hAnsi="宋体" w:cs="仿宋_GB2312"/>
          <w:color w:val="auto"/>
          <w:kern w:val="0"/>
          <w:sz w:val="24"/>
        </w:rPr>
      </w:pPr>
    </w:p>
    <w:p w14:paraId="0ADFB325">
      <w:pPr>
        <w:autoSpaceDE w:val="0"/>
        <w:autoSpaceDN w:val="0"/>
        <w:adjustRightInd w:val="0"/>
        <w:spacing w:line="360" w:lineRule="auto"/>
        <w:jc w:val="left"/>
        <w:rPr>
          <w:rFonts w:ascii="宋体" w:hAnsi="宋体" w:cs="仿宋_GB2312"/>
          <w:color w:val="auto"/>
          <w:kern w:val="0"/>
          <w:sz w:val="24"/>
        </w:rPr>
      </w:pPr>
    </w:p>
    <w:p w14:paraId="07DD0465">
      <w:pPr>
        <w:pStyle w:val="81"/>
        <w:tabs>
          <w:tab w:val="left" w:pos="5580"/>
        </w:tabs>
        <w:spacing w:before="120"/>
        <w:ind w:firstLine="4320" w:firstLineChars="1800"/>
        <w:rPr>
          <w:rFonts w:hint="eastAsia" w:ascii="宋体" w:hAnsi="宋体" w:eastAsia="宋体" w:cs="宋体"/>
          <w:color w:val="auto"/>
          <w:sz w:val="24"/>
        </w:rPr>
      </w:pPr>
      <w:r>
        <w:rPr>
          <w:rFonts w:hint="eastAsia" w:hAnsi="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lang w:eastAsia="zh-CN"/>
        </w:rPr>
        <w:t>(公章):</w:t>
      </w:r>
    </w:p>
    <w:p w14:paraId="3F7E6DAF">
      <w:pPr>
        <w:autoSpaceDE w:val="0"/>
        <w:autoSpaceDN w:val="0"/>
        <w:adjustRightInd w:val="0"/>
        <w:spacing w:line="360" w:lineRule="auto"/>
        <w:ind w:left="5399" w:leftChars="2571"/>
        <w:jc w:val="left"/>
        <w:rPr>
          <w:rFonts w:hint="eastAsia" w:ascii="宋体" w:hAnsi="宋体" w:eastAsia="宋体" w:cs="宋体"/>
          <w:color w:val="auto"/>
          <w:kern w:val="0"/>
          <w:sz w:val="24"/>
        </w:rPr>
      </w:pPr>
    </w:p>
    <w:p w14:paraId="426FC34E">
      <w:pPr>
        <w:pStyle w:val="81"/>
        <w:tabs>
          <w:tab w:val="left" w:pos="5580"/>
        </w:tabs>
        <w:spacing w:before="120"/>
        <w:ind w:firstLine="4320" w:firstLineChars="1800"/>
        <w:rPr>
          <w:rFonts w:hint="eastAsia" w:ascii="宋体" w:hAnsi="宋体" w:eastAsia="宋体" w:cs="宋体"/>
          <w:color w:val="auto"/>
          <w:sz w:val="24"/>
          <w:lang w:eastAsia="zh-CN"/>
        </w:rPr>
      </w:pPr>
      <w:r>
        <w:rPr>
          <w:rFonts w:hint="eastAsia" w:ascii="宋体" w:hAnsi="宋体" w:eastAsia="宋体" w:cs="宋体"/>
          <w:color w:val="auto"/>
          <w:sz w:val="24"/>
        </w:rPr>
        <w:t>日期</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u w:val="none"/>
          <w:lang w:eastAsia="zh-CN"/>
        </w:rPr>
        <w:t>年</w:t>
      </w:r>
      <w:r>
        <w:rPr>
          <w:rFonts w:hint="eastAsia" w:ascii="宋体" w:hAnsi="宋体" w:eastAsia="宋体" w:cs="宋体"/>
          <w:color w:val="auto"/>
          <w:sz w:val="24"/>
          <w:u w:val="none"/>
          <w:lang w:val="en-US" w:eastAsia="zh-CN"/>
        </w:rPr>
        <w:t xml:space="preserve">  </w:t>
      </w:r>
      <w:r>
        <w:rPr>
          <w:rFonts w:hint="eastAsia" w:ascii="宋体" w:hAnsi="宋体" w:eastAsia="宋体" w:cs="宋体"/>
          <w:color w:val="auto"/>
          <w:sz w:val="24"/>
          <w:u w:val="none"/>
          <w:lang w:eastAsia="zh-CN"/>
        </w:rPr>
        <w:t>月</w:t>
      </w:r>
      <w:r>
        <w:rPr>
          <w:rFonts w:hint="eastAsia" w:ascii="宋体" w:hAnsi="宋体" w:eastAsia="宋体" w:cs="宋体"/>
          <w:color w:val="auto"/>
          <w:sz w:val="24"/>
          <w:u w:val="none"/>
          <w:lang w:val="en-US" w:eastAsia="zh-CN"/>
        </w:rPr>
        <w:t xml:space="preserve">  </w:t>
      </w:r>
      <w:r>
        <w:rPr>
          <w:rFonts w:hint="eastAsia" w:ascii="宋体" w:hAnsi="宋体" w:eastAsia="宋体" w:cs="宋体"/>
          <w:color w:val="auto"/>
          <w:sz w:val="24"/>
          <w:u w:val="none"/>
          <w:lang w:eastAsia="zh-CN"/>
        </w:rPr>
        <w:t>日</w:t>
      </w:r>
    </w:p>
    <w:p w14:paraId="06685911">
      <w:pPr>
        <w:spacing w:line="360" w:lineRule="auto"/>
        <w:outlineLvl w:val="1"/>
        <w:rPr>
          <w:b/>
          <w:color w:val="auto"/>
          <w:sz w:val="24"/>
        </w:rPr>
      </w:pPr>
      <w:r>
        <w:rPr>
          <w:rFonts w:ascii="宋体" w:hAnsi="宋体" w:cs="TimesNewRomanPSMT"/>
          <w:color w:val="auto"/>
          <w:kern w:val="0"/>
          <w:sz w:val="18"/>
          <w:szCs w:val="18"/>
        </w:rPr>
        <w:br w:type="page"/>
      </w:r>
      <w:bookmarkStart w:id="230" w:name="_Toc23211"/>
      <w:bookmarkStart w:id="231" w:name="_Toc26852"/>
      <w:bookmarkStart w:id="232" w:name="_Toc668"/>
      <w:bookmarkStart w:id="233" w:name="_Toc195922058"/>
      <w:r>
        <w:rPr>
          <w:rFonts w:hint="eastAsia"/>
          <w:b/>
          <w:color w:val="auto"/>
          <w:sz w:val="24"/>
        </w:rPr>
        <w:t>附件4</w:t>
      </w:r>
      <w:r>
        <w:rPr>
          <w:rFonts w:hint="eastAsia" w:ascii="宋体" w:hAnsi="宋体" w:eastAsia="宋体" w:cs="宋体"/>
          <w:b/>
          <w:color w:val="auto"/>
          <w:sz w:val="24"/>
        </w:rPr>
        <w:t xml:space="preserve"> </w:t>
      </w:r>
      <w:r>
        <w:rPr>
          <w:rFonts w:hint="eastAsia"/>
          <w:b/>
          <w:color w:val="auto"/>
          <w:sz w:val="24"/>
        </w:rPr>
        <w:t>授权委托书</w:t>
      </w:r>
      <w:bookmarkEnd w:id="230"/>
      <w:bookmarkEnd w:id="231"/>
      <w:bookmarkEnd w:id="232"/>
    </w:p>
    <w:p w14:paraId="4100E0E6">
      <w:pPr>
        <w:autoSpaceDE w:val="0"/>
        <w:autoSpaceDN w:val="0"/>
        <w:adjustRightInd w:val="0"/>
        <w:jc w:val="center"/>
        <w:rPr>
          <w:rFonts w:ascii="宋体" w:hAnsi="宋体" w:cs="TimesNewRomanPSMT"/>
          <w:color w:val="auto"/>
          <w:kern w:val="0"/>
          <w:sz w:val="18"/>
          <w:szCs w:val="18"/>
        </w:rPr>
      </w:pPr>
    </w:p>
    <w:p w14:paraId="0AE34824">
      <w:pPr>
        <w:autoSpaceDE w:val="0"/>
        <w:autoSpaceDN w:val="0"/>
        <w:adjustRightInd w:val="0"/>
        <w:jc w:val="center"/>
        <w:rPr>
          <w:rFonts w:ascii="宋体" w:hAnsi="宋体" w:cs="黑体"/>
          <w:color w:val="auto"/>
          <w:kern w:val="0"/>
          <w:sz w:val="28"/>
          <w:szCs w:val="28"/>
        </w:rPr>
      </w:pPr>
      <w:r>
        <w:rPr>
          <w:rFonts w:hint="eastAsia" w:ascii="宋体" w:hAnsi="宋体" w:cs="黑体"/>
          <w:color w:val="auto"/>
          <w:kern w:val="0"/>
          <w:sz w:val="28"/>
          <w:szCs w:val="28"/>
        </w:rPr>
        <w:t>授权委托书</w:t>
      </w:r>
      <w:bookmarkEnd w:id="233"/>
    </w:p>
    <w:p w14:paraId="04C412D1">
      <w:pPr>
        <w:autoSpaceDE w:val="0"/>
        <w:autoSpaceDN w:val="0"/>
        <w:adjustRightInd w:val="0"/>
        <w:jc w:val="center"/>
        <w:rPr>
          <w:rFonts w:ascii="宋体" w:hAnsi="宋体" w:cs="黑体"/>
          <w:color w:val="auto"/>
          <w:kern w:val="0"/>
          <w:sz w:val="28"/>
          <w:szCs w:val="28"/>
        </w:rPr>
      </w:pPr>
    </w:p>
    <w:p w14:paraId="777C2FF2">
      <w:pPr>
        <w:autoSpaceDE w:val="0"/>
        <w:autoSpaceDN w:val="0"/>
        <w:adjustRightInd w:val="0"/>
        <w:jc w:val="left"/>
        <w:rPr>
          <w:rFonts w:ascii="宋体" w:hAnsi="宋体" w:cs="仿宋_GB2312"/>
          <w:color w:val="auto"/>
          <w:kern w:val="0"/>
          <w:szCs w:val="21"/>
        </w:rPr>
      </w:pPr>
    </w:p>
    <w:p w14:paraId="7406EDDE">
      <w:pPr>
        <w:autoSpaceDE w:val="0"/>
        <w:autoSpaceDN w:val="0"/>
        <w:adjustRightInd w:val="0"/>
        <w:spacing w:line="360" w:lineRule="auto"/>
        <w:ind w:firstLine="480" w:firstLineChars="200"/>
        <w:jc w:val="left"/>
        <w:rPr>
          <w:rFonts w:ascii="宋体" w:hAnsi="宋体" w:cs="仿宋_GB2312"/>
          <w:color w:val="auto"/>
          <w:kern w:val="0"/>
          <w:sz w:val="24"/>
        </w:rPr>
      </w:pPr>
      <w:r>
        <w:rPr>
          <w:rFonts w:hint="eastAsia" w:ascii="宋体" w:hAnsi="宋体" w:cs="仿宋_GB2312"/>
          <w:color w:val="auto"/>
          <w:kern w:val="0"/>
          <w:sz w:val="24"/>
        </w:rPr>
        <w:t>本人</w:t>
      </w:r>
      <w:r>
        <w:rPr>
          <w:rFonts w:ascii="宋体" w:hAnsi="宋体" w:cs="仿宋_GB2312"/>
          <w:color w:val="auto"/>
          <w:kern w:val="0"/>
          <w:sz w:val="24"/>
          <w:u w:val="single"/>
        </w:rPr>
        <w:t xml:space="preserve"> </w:t>
      </w:r>
      <w:r>
        <w:rPr>
          <w:rFonts w:hint="eastAsia" w:ascii="宋体" w:hAnsi="宋体" w:cs="仿宋_GB2312"/>
          <w:color w:val="auto"/>
          <w:kern w:val="0"/>
          <w:sz w:val="24"/>
          <w:u w:val="single"/>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姓名</w:t>
      </w:r>
      <w:r>
        <w:rPr>
          <w:rFonts w:hint="eastAsia" w:ascii="宋体" w:hAnsi="宋体" w:cs="仿宋_GB2312"/>
          <w:color w:val="auto"/>
          <w:kern w:val="0"/>
          <w:sz w:val="24"/>
          <w:lang w:eastAsia="zh-CN"/>
        </w:rPr>
        <w:t>)</w:t>
      </w:r>
      <w:r>
        <w:rPr>
          <w:rFonts w:hint="eastAsia" w:ascii="宋体" w:hAnsi="宋体" w:cs="仿宋_GB2312"/>
          <w:color w:val="auto"/>
          <w:kern w:val="0"/>
          <w:sz w:val="24"/>
        </w:rPr>
        <w:t>系</w:t>
      </w:r>
      <w:r>
        <w:rPr>
          <w:rFonts w:ascii="宋体" w:hAnsi="宋体" w:cs="仿宋_GB2312"/>
          <w:color w:val="auto"/>
          <w:kern w:val="0"/>
          <w:sz w:val="24"/>
          <w:u w:val="single"/>
        </w:rPr>
        <w:t xml:space="preserve"> </w:t>
      </w:r>
      <w:r>
        <w:rPr>
          <w:rFonts w:hint="eastAsia" w:ascii="宋体" w:hAnsi="宋体" w:cs="仿宋_GB2312"/>
          <w:color w:val="auto"/>
          <w:kern w:val="0"/>
          <w:sz w:val="24"/>
          <w:u w:val="single"/>
        </w:rPr>
        <w:t xml:space="preserve">       </w:t>
      </w:r>
      <w:r>
        <w:rPr>
          <w:rFonts w:hint="eastAsia" w:ascii="宋体" w:hAnsi="宋体" w:cs="仿宋_GB2312"/>
          <w:color w:val="auto"/>
          <w:kern w:val="0"/>
          <w:sz w:val="24"/>
          <w:lang w:eastAsia="zh-CN"/>
        </w:rPr>
        <w:t>(供应商</w:t>
      </w:r>
      <w:r>
        <w:rPr>
          <w:rFonts w:hint="eastAsia" w:ascii="宋体" w:hAnsi="宋体" w:cs="仿宋_GB2312"/>
          <w:color w:val="auto"/>
          <w:kern w:val="0"/>
          <w:sz w:val="24"/>
        </w:rPr>
        <w:t>名称</w:t>
      </w:r>
      <w:r>
        <w:rPr>
          <w:rFonts w:hint="eastAsia" w:ascii="宋体" w:hAnsi="宋体" w:cs="仿宋_GB2312"/>
          <w:color w:val="auto"/>
          <w:kern w:val="0"/>
          <w:sz w:val="24"/>
          <w:lang w:eastAsia="zh-CN"/>
        </w:rPr>
        <w:t>)</w:t>
      </w:r>
      <w:r>
        <w:rPr>
          <w:rFonts w:hint="eastAsia" w:ascii="宋体" w:hAnsi="宋体" w:cs="仿宋_GB2312"/>
          <w:color w:val="auto"/>
          <w:kern w:val="0"/>
          <w:sz w:val="24"/>
        </w:rPr>
        <w:t>的法定代表人，现委托</w:t>
      </w:r>
      <w:r>
        <w:rPr>
          <w:rFonts w:hint="eastAsia" w:ascii="宋体" w:hAnsi="宋体" w:cs="仿宋_GB2312"/>
          <w:color w:val="auto"/>
          <w:kern w:val="0"/>
          <w:sz w:val="24"/>
          <w:u w:val="single"/>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姓名</w:t>
      </w:r>
      <w:r>
        <w:rPr>
          <w:rFonts w:hint="eastAsia" w:ascii="宋体" w:hAnsi="宋体" w:cs="仿宋_GB2312"/>
          <w:color w:val="auto"/>
          <w:kern w:val="0"/>
          <w:sz w:val="24"/>
          <w:lang w:eastAsia="zh-CN"/>
        </w:rPr>
        <w:t>)</w:t>
      </w:r>
      <w:r>
        <w:rPr>
          <w:rFonts w:hint="eastAsia" w:ascii="宋体" w:hAnsi="宋体" w:cs="仿宋_GB2312"/>
          <w:color w:val="auto"/>
          <w:kern w:val="0"/>
          <w:sz w:val="24"/>
        </w:rPr>
        <w:t>为我方代理人。代理人根据授权，以我方名义签署、澄清、说明、补正、递交、撤回、修改</w:t>
      </w:r>
      <w:r>
        <w:rPr>
          <w:rFonts w:ascii="宋体" w:hAnsi="宋体" w:cs="仿宋_GB2312"/>
          <w:color w:val="auto"/>
          <w:kern w:val="0"/>
          <w:sz w:val="24"/>
          <w:u w:val="single"/>
        </w:rPr>
        <w:t xml:space="preserve"> </w:t>
      </w:r>
      <w:r>
        <w:rPr>
          <w:rFonts w:hint="eastAsia" w:ascii="宋体" w:hAnsi="宋体" w:cs="仿宋_GB2312"/>
          <w:color w:val="auto"/>
          <w:kern w:val="0"/>
          <w:sz w:val="24"/>
          <w:u w:val="single"/>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项目名称</w:t>
      </w:r>
      <w:r>
        <w:rPr>
          <w:rFonts w:hint="eastAsia" w:ascii="宋体" w:hAnsi="宋体" w:cs="仿宋_GB2312"/>
          <w:color w:val="auto"/>
          <w:kern w:val="0"/>
          <w:sz w:val="24"/>
          <w:lang w:eastAsia="zh-CN"/>
        </w:rPr>
        <w:t>)</w:t>
      </w:r>
      <w:r>
        <w:rPr>
          <w:rFonts w:hint="eastAsia" w:ascii="宋体" w:hAnsi="宋体" w:cs="仿宋_GB2312"/>
          <w:color w:val="auto"/>
          <w:kern w:val="0"/>
          <w:sz w:val="24"/>
        </w:rPr>
        <w:t>投标文件、签订合同和处理有关事宜，其法律后果由我方承担。</w:t>
      </w:r>
    </w:p>
    <w:p w14:paraId="440E905C">
      <w:pPr>
        <w:autoSpaceDE w:val="0"/>
        <w:autoSpaceDN w:val="0"/>
        <w:adjustRightInd w:val="0"/>
        <w:spacing w:line="360" w:lineRule="auto"/>
        <w:jc w:val="left"/>
        <w:rPr>
          <w:rFonts w:ascii="宋体" w:hAnsi="宋体" w:cs="仿宋_GB2312"/>
          <w:color w:val="auto"/>
          <w:kern w:val="0"/>
          <w:sz w:val="24"/>
        </w:rPr>
      </w:pPr>
      <w:r>
        <w:rPr>
          <w:rFonts w:hint="eastAsia" w:ascii="宋体" w:hAnsi="宋体" w:cs="仿宋_GB2312"/>
          <w:color w:val="auto"/>
          <w:kern w:val="0"/>
          <w:sz w:val="24"/>
        </w:rPr>
        <w:t>委托期限</w:t>
      </w:r>
      <w:r>
        <w:rPr>
          <w:rFonts w:hint="eastAsia" w:ascii="宋体" w:hAnsi="宋体" w:cs="仿宋_GB2312"/>
          <w:color w:val="auto"/>
          <w:kern w:val="0"/>
          <w:sz w:val="24"/>
          <w:lang w:eastAsia="zh-CN"/>
        </w:rPr>
        <w:t>:</w:t>
      </w:r>
      <w:r>
        <w:rPr>
          <w:rFonts w:hint="eastAsia" w:ascii="宋体" w:hAnsi="宋体" w:cs="仿宋_GB2312"/>
          <w:color w:val="auto"/>
          <w:kern w:val="0"/>
          <w:sz w:val="24"/>
          <w:u w:val="single"/>
        </w:rPr>
        <w:t xml:space="preserve">             </w:t>
      </w:r>
      <w:r>
        <w:rPr>
          <w:rFonts w:ascii="宋体" w:hAnsi="宋体" w:cs="仿宋_GB2312"/>
          <w:color w:val="auto"/>
          <w:kern w:val="0"/>
          <w:sz w:val="24"/>
        </w:rPr>
        <w:t xml:space="preserve"> </w:t>
      </w:r>
      <w:r>
        <w:rPr>
          <w:rFonts w:hint="eastAsia" w:ascii="宋体" w:hAnsi="宋体" w:cs="仿宋_GB2312"/>
          <w:color w:val="auto"/>
          <w:kern w:val="0"/>
          <w:sz w:val="24"/>
        </w:rPr>
        <w:t>。</w:t>
      </w:r>
    </w:p>
    <w:p w14:paraId="331C19D9">
      <w:pPr>
        <w:autoSpaceDE w:val="0"/>
        <w:autoSpaceDN w:val="0"/>
        <w:adjustRightInd w:val="0"/>
        <w:spacing w:line="360" w:lineRule="auto"/>
        <w:jc w:val="left"/>
        <w:rPr>
          <w:rFonts w:ascii="宋体" w:hAnsi="宋体" w:cs="仿宋_GB2312"/>
          <w:color w:val="auto"/>
          <w:kern w:val="0"/>
          <w:sz w:val="24"/>
        </w:rPr>
      </w:pPr>
    </w:p>
    <w:p w14:paraId="75AF1112">
      <w:pPr>
        <w:autoSpaceDE w:val="0"/>
        <w:autoSpaceDN w:val="0"/>
        <w:adjustRightInd w:val="0"/>
        <w:spacing w:line="360" w:lineRule="auto"/>
        <w:jc w:val="left"/>
        <w:rPr>
          <w:rFonts w:ascii="宋体" w:hAnsi="宋体" w:eastAsia="宋体" w:cs="仿宋_GB2312"/>
          <w:color w:val="auto"/>
          <w:kern w:val="0"/>
          <w:sz w:val="24"/>
          <w:highlight w:val="none"/>
          <w:shd w:val="clear" w:color="auto" w:fill="auto"/>
        </w:rPr>
      </w:pPr>
      <w:r>
        <w:rPr>
          <w:rFonts w:hint="eastAsia" w:ascii="宋体" w:hAnsi="宋体" w:cs="仿宋_GB2312"/>
          <w:color w:val="auto"/>
          <w:kern w:val="0"/>
          <w:sz w:val="24"/>
        </w:rPr>
        <w:t>代理人无转委托权。</w:t>
      </w:r>
    </w:p>
    <w:p w14:paraId="30B311A2">
      <w:pPr>
        <w:shd w:val="clear"/>
        <w:autoSpaceDE w:val="0"/>
        <w:autoSpaceDN w:val="0"/>
        <w:adjustRightInd w:val="0"/>
        <w:spacing w:line="360" w:lineRule="auto"/>
        <w:jc w:val="left"/>
        <w:rPr>
          <w:rFonts w:ascii="宋体" w:hAnsi="宋体" w:eastAsia="宋体" w:cs="仿宋_GB2312"/>
          <w:color w:val="auto"/>
          <w:kern w:val="0"/>
          <w:sz w:val="24"/>
          <w:highlight w:val="none"/>
          <w:shd w:val="clear" w:color="auto" w:fill="auto"/>
        </w:rPr>
      </w:pPr>
    </w:p>
    <w:tbl>
      <w:tblPr>
        <w:tblStyle w:val="43"/>
        <w:tblW w:w="5000" w:type="pct"/>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186"/>
        <w:gridCol w:w="4388"/>
        <w:gridCol w:w="4388"/>
      </w:tblGrid>
      <w:tr w14:paraId="59ABCB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74" w:hRule="atLeast"/>
          <w:jc w:val="center"/>
        </w:trPr>
        <w:tc>
          <w:tcPr>
            <w:tcW w:w="988" w:type="dxa"/>
            <w:vAlign w:val="center"/>
          </w:tcPr>
          <w:p w14:paraId="7E3AE9BB">
            <w:pPr>
              <w:shd w:val="clear"/>
              <w:spacing w:line="240" w:lineRule="auto"/>
              <w:ind w:right="105"/>
              <w:jc w:val="center"/>
              <w:rPr>
                <w:rFonts w:ascii="宋体" w:hAnsi="宋体" w:eastAsia="宋体" w:cs="Times New Roman"/>
                <w:color w:val="auto"/>
                <w:sz w:val="24"/>
                <w:szCs w:val="24"/>
                <w:highlight w:val="none"/>
                <w:shd w:val="clear" w:color="auto" w:fill="auto"/>
                <w:lang w:eastAsia="zh-CN"/>
              </w:rPr>
            </w:pPr>
            <w:r>
              <w:rPr>
                <w:rFonts w:hint="eastAsia" w:ascii="宋体" w:hAnsi="宋体" w:eastAsia="宋体" w:cs="Times New Roman"/>
                <w:color w:val="auto"/>
                <w:sz w:val="24"/>
                <w:szCs w:val="24"/>
                <w:highlight w:val="none"/>
                <w:shd w:val="clear" w:color="auto" w:fill="auto"/>
                <w:lang w:eastAsia="zh-CN"/>
              </w:rPr>
              <w:t>法定代表人</w:t>
            </w:r>
          </w:p>
        </w:tc>
        <w:tc>
          <w:tcPr>
            <w:tcW w:w="3654" w:type="dxa"/>
            <w:vAlign w:val="center"/>
          </w:tcPr>
          <w:p w14:paraId="7B9479D3">
            <w:pPr>
              <w:shd w:val="clear"/>
              <w:spacing w:line="240" w:lineRule="auto"/>
              <w:ind w:right="105"/>
              <w:jc w:val="center"/>
              <w:rPr>
                <w:rFonts w:hint="eastAsia" w:ascii="宋体" w:hAnsi="宋体" w:eastAsia="宋体" w:cs="Times New Roman"/>
                <w:color w:val="auto"/>
                <w:sz w:val="24"/>
                <w:szCs w:val="24"/>
                <w:highlight w:val="none"/>
                <w:shd w:val="clear" w:color="auto" w:fill="auto"/>
                <w:lang w:eastAsia="zh-CN"/>
              </w:rPr>
            </w:pPr>
            <w:r>
              <w:rPr>
                <w:rFonts w:hint="eastAsia" w:ascii="宋体" w:hAnsi="宋体" w:eastAsia="宋体" w:cs="Times New Roman"/>
                <w:color w:val="auto"/>
                <w:sz w:val="24"/>
                <w:szCs w:val="24"/>
                <w:highlight w:val="none"/>
                <w:shd w:val="clear" w:color="auto" w:fill="auto"/>
                <w:lang w:val="en-US" w:eastAsia="zh-CN"/>
              </w:rPr>
              <w:t>国徽面</w:t>
            </w:r>
          </w:p>
        </w:tc>
        <w:tc>
          <w:tcPr>
            <w:tcW w:w="3654" w:type="dxa"/>
            <w:vAlign w:val="center"/>
          </w:tcPr>
          <w:p w14:paraId="59AF36D0">
            <w:pPr>
              <w:shd w:val="clear"/>
              <w:spacing w:line="240" w:lineRule="auto"/>
              <w:ind w:right="105"/>
              <w:jc w:val="center"/>
              <w:rPr>
                <w:rFonts w:hint="eastAsia" w:ascii="宋体" w:hAnsi="宋体" w:eastAsia="宋体" w:cs="Times New Roman"/>
                <w:color w:val="auto"/>
                <w:sz w:val="24"/>
                <w:szCs w:val="24"/>
                <w:highlight w:val="none"/>
                <w:shd w:val="clear" w:color="auto" w:fill="auto"/>
                <w:lang w:eastAsia="zh-CN"/>
              </w:rPr>
            </w:pPr>
            <w:r>
              <w:rPr>
                <w:rFonts w:hint="eastAsia" w:ascii="宋体" w:hAnsi="宋体" w:eastAsia="宋体" w:cs="Times New Roman"/>
                <w:color w:val="auto"/>
                <w:sz w:val="24"/>
                <w:szCs w:val="24"/>
                <w:highlight w:val="none"/>
                <w:shd w:val="clear" w:color="auto" w:fill="auto"/>
                <w:lang w:val="en-US" w:eastAsia="zh-CN"/>
              </w:rPr>
              <w:t>人像面</w:t>
            </w:r>
          </w:p>
        </w:tc>
      </w:tr>
      <w:tr w14:paraId="0AA065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74" w:hRule="atLeast"/>
          <w:jc w:val="center"/>
        </w:trPr>
        <w:tc>
          <w:tcPr>
            <w:tcW w:w="988" w:type="dxa"/>
            <w:vAlign w:val="center"/>
          </w:tcPr>
          <w:p w14:paraId="1A1D01BF">
            <w:pPr>
              <w:shd w:val="clear"/>
              <w:spacing w:line="240" w:lineRule="auto"/>
              <w:ind w:right="105"/>
              <w:jc w:val="center"/>
              <w:rPr>
                <w:rFonts w:ascii="宋体" w:hAnsi="宋体" w:eastAsia="宋体" w:cs="Times New Roman"/>
                <w:color w:val="auto"/>
                <w:sz w:val="24"/>
                <w:szCs w:val="24"/>
                <w:highlight w:val="none"/>
                <w:shd w:val="clear" w:color="auto" w:fill="auto"/>
              </w:rPr>
            </w:pPr>
            <w:r>
              <w:rPr>
                <w:rFonts w:hint="eastAsia" w:ascii="宋体" w:hAnsi="宋体" w:eastAsia="宋体" w:cs="Times New Roman"/>
                <w:color w:val="auto"/>
                <w:sz w:val="24"/>
                <w:szCs w:val="24"/>
                <w:highlight w:val="none"/>
                <w:shd w:val="clear" w:color="auto" w:fill="auto"/>
              </w:rPr>
              <w:t>委托代理人</w:t>
            </w:r>
          </w:p>
        </w:tc>
        <w:tc>
          <w:tcPr>
            <w:tcW w:w="3654" w:type="dxa"/>
            <w:vAlign w:val="center"/>
          </w:tcPr>
          <w:p w14:paraId="67BF8144">
            <w:pPr>
              <w:shd w:val="clear"/>
              <w:spacing w:line="240" w:lineRule="auto"/>
              <w:ind w:right="105" w:rightChars="0"/>
              <w:jc w:val="center"/>
              <w:rPr>
                <w:rFonts w:ascii="宋体" w:hAnsi="宋体" w:eastAsia="宋体" w:cs="Times New Roman"/>
                <w:color w:val="auto"/>
                <w:sz w:val="24"/>
                <w:szCs w:val="24"/>
                <w:highlight w:val="none"/>
                <w:shd w:val="clear" w:color="auto" w:fill="auto"/>
              </w:rPr>
            </w:pPr>
            <w:r>
              <w:rPr>
                <w:rFonts w:hint="eastAsia" w:ascii="宋体" w:hAnsi="宋体" w:eastAsia="宋体" w:cs="Times New Roman"/>
                <w:color w:val="auto"/>
                <w:sz w:val="24"/>
                <w:szCs w:val="24"/>
                <w:highlight w:val="none"/>
                <w:shd w:val="clear" w:color="auto" w:fill="auto"/>
                <w:lang w:val="en-US" w:eastAsia="zh-CN"/>
              </w:rPr>
              <w:t>国徽面</w:t>
            </w:r>
          </w:p>
        </w:tc>
        <w:tc>
          <w:tcPr>
            <w:tcW w:w="3654" w:type="dxa"/>
            <w:vAlign w:val="center"/>
          </w:tcPr>
          <w:p w14:paraId="7823721D">
            <w:pPr>
              <w:shd w:val="clear"/>
              <w:spacing w:line="240" w:lineRule="auto"/>
              <w:ind w:right="105" w:rightChars="0"/>
              <w:jc w:val="center"/>
              <w:rPr>
                <w:rFonts w:ascii="宋体" w:hAnsi="宋体" w:eastAsia="宋体" w:cs="Times New Roman"/>
                <w:color w:val="auto"/>
                <w:sz w:val="24"/>
                <w:szCs w:val="24"/>
                <w:highlight w:val="none"/>
                <w:shd w:val="clear" w:color="auto" w:fill="auto"/>
              </w:rPr>
            </w:pPr>
            <w:r>
              <w:rPr>
                <w:rFonts w:hint="eastAsia" w:ascii="宋体" w:hAnsi="宋体" w:eastAsia="宋体" w:cs="Times New Roman"/>
                <w:color w:val="auto"/>
                <w:sz w:val="24"/>
                <w:szCs w:val="24"/>
                <w:highlight w:val="none"/>
                <w:shd w:val="clear" w:color="auto" w:fill="auto"/>
                <w:lang w:val="en-US" w:eastAsia="zh-CN"/>
              </w:rPr>
              <w:t>人像面</w:t>
            </w:r>
          </w:p>
        </w:tc>
      </w:tr>
    </w:tbl>
    <w:p w14:paraId="6819F424">
      <w:pPr>
        <w:autoSpaceDE w:val="0"/>
        <w:autoSpaceDN w:val="0"/>
        <w:adjustRightInd w:val="0"/>
        <w:spacing w:line="360" w:lineRule="auto"/>
        <w:jc w:val="left"/>
        <w:rPr>
          <w:rFonts w:ascii="宋体" w:hAnsi="宋体" w:cs="仿宋_GB2312"/>
          <w:color w:val="auto"/>
          <w:kern w:val="0"/>
          <w:sz w:val="24"/>
        </w:rPr>
      </w:pPr>
    </w:p>
    <w:p w14:paraId="73C1900C">
      <w:pPr>
        <w:autoSpaceDE w:val="0"/>
        <w:autoSpaceDN w:val="0"/>
        <w:adjustRightInd w:val="0"/>
        <w:spacing w:line="360" w:lineRule="auto"/>
        <w:jc w:val="left"/>
        <w:rPr>
          <w:rFonts w:ascii="宋体" w:hAnsi="宋体" w:cs="仿宋_GB2312"/>
          <w:color w:val="auto"/>
          <w:kern w:val="0"/>
          <w:sz w:val="24"/>
        </w:rPr>
      </w:pPr>
    </w:p>
    <w:p w14:paraId="4D9938AC">
      <w:pPr>
        <w:pStyle w:val="81"/>
        <w:tabs>
          <w:tab w:val="left" w:pos="5580"/>
        </w:tabs>
        <w:spacing w:before="120"/>
        <w:ind w:firstLine="3840" w:firstLineChars="1600"/>
        <w:rPr>
          <w:rFonts w:hint="eastAsia" w:ascii="宋体" w:hAnsi="宋体" w:eastAsia="宋体" w:cs="宋体"/>
          <w:color w:val="auto"/>
          <w:sz w:val="24"/>
          <w:lang w:eastAsia="zh-CN"/>
        </w:rPr>
      </w:pPr>
      <w:r>
        <w:rPr>
          <w:rFonts w:hint="eastAsia" w:hAnsi="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lang w:eastAsia="zh-CN"/>
        </w:rPr>
        <w:t>(公章):</w:t>
      </w:r>
    </w:p>
    <w:p w14:paraId="60E0A51A">
      <w:pPr>
        <w:pStyle w:val="81"/>
        <w:tabs>
          <w:tab w:val="left" w:pos="5580"/>
        </w:tabs>
        <w:spacing w:before="120"/>
        <w:ind w:firstLine="3840" w:firstLineChars="1600"/>
        <w:rPr>
          <w:rFonts w:hint="eastAsia" w:ascii="宋体" w:hAnsi="宋体" w:eastAsia="宋体" w:cs="宋体"/>
          <w:color w:val="auto"/>
          <w:kern w:val="0"/>
          <w:sz w:val="24"/>
          <w:lang w:eastAsia="zh-CN"/>
        </w:rPr>
      </w:pPr>
      <w:r>
        <w:rPr>
          <w:rFonts w:hint="eastAsia" w:ascii="宋体" w:hAnsi="宋体" w:eastAsia="宋体" w:cs="宋体"/>
          <w:color w:val="auto"/>
          <w:kern w:val="0"/>
          <w:sz w:val="24"/>
        </w:rPr>
        <w:t>法定代表人</w:t>
      </w:r>
      <w:r>
        <w:rPr>
          <w:rFonts w:hint="eastAsia" w:ascii="宋体" w:hAnsi="宋体" w:eastAsia="宋体" w:cs="宋体"/>
          <w:color w:val="auto"/>
          <w:kern w:val="0"/>
          <w:sz w:val="24"/>
          <w:lang w:eastAsia="zh-CN"/>
        </w:rPr>
        <w:t>(</w:t>
      </w:r>
      <w:r>
        <w:rPr>
          <w:rFonts w:hint="eastAsia" w:ascii="宋体" w:hAnsi="宋体" w:eastAsia="宋体" w:cs="宋体"/>
          <w:color w:val="auto"/>
          <w:sz w:val="24"/>
        </w:rPr>
        <w:t>签字或盖章</w:t>
      </w:r>
      <w:r>
        <w:rPr>
          <w:rFonts w:hint="eastAsia" w:ascii="宋体" w:hAnsi="宋体" w:eastAsia="宋体" w:cs="宋体"/>
          <w:color w:val="auto"/>
          <w:kern w:val="0"/>
          <w:sz w:val="24"/>
          <w:lang w:eastAsia="zh-CN"/>
        </w:rPr>
        <w:t>)：</w:t>
      </w:r>
    </w:p>
    <w:p w14:paraId="73BB7F9A">
      <w:pPr>
        <w:pStyle w:val="81"/>
        <w:tabs>
          <w:tab w:val="left" w:pos="5580"/>
        </w:tabs>
        <w:spacing w:before="120"/>
        <w:ind w:firstLine="3840" w:firstLineChars="1600"/>
        <w:rPr>
          <w:rFonts w:hint="eastAsia" w:ascii="宋体" w:hAnsi="宋体" w:eastAsia="宋体" w:cs="宋体"/>
          <w:color w:val="auto"/>
          <w:kern w:val="0"/>
          <w:sz w:val="24"/>
          <w:lang w:eastAsia="zh-CN"/>
        </w:rPr>
      </w:pPr>
      <w:r>
        <w:rPr>
          <w:rFonts w:hint="eastAsia" w:ascii="宋体" w:hAnsi="宋体" w:eastAsia="宋体" w:cs="宋体"/>
          <w:color w:val="auto"/>
          <w:kern w:val="0"/>
          <w:sz w:val="24"/>
        </w:rPr>
        <w:t>身份证号码</w:t>
      </w:r>
      <w:r>
        <w:rPr>
          <w:rFonts w:hint="eastAsia" w:ascii="宋体" w:hAnsi="宋体" w:eastAsia="宋体" w:cs="宋体"/>
          <w:color w:val="auto"/>
          <w:kern w:val="0"/>
          <w:sz w:val="24"/>
          <w:lang w:eastAsia="zh-CN"/>
        </w:rPr>
        <w:t>:</w:t>
      </w:r>
    </w:p>
    <w:p w14:paraId="0C60C28D">
      <w:pPr>
        <w:pStyle w:val="81"/>
        <w:tabs>
          <w:tab w:val="left" w:pos="5580"/>
        </w:tabs>
        <w:spacing w:before="120"/>
        <w:ind w:firstLine="3840" w:firstLineChars="1600"/>
        <w:rPr>
          <w:rFonts w:hint="eastAsia" w:ascii="宋体" w:hAnsi="宋体" w:eastAsia="宋体" w:cs="宋体"/>
          <w:color w:val="auto"/>
          <w:kern w:val="0"/>
          <w:sz w:val="24"/>
          <w:lang w:eastAsia="zh-CN"/>
        </w:rPr>
      </w:pPr>
      <w:r>
        <w:rPr>
          <w:rFonts w:hint="eastAsia" w:ascii="宋体" w:hAnsi="宋体" w:eastAsia="宋体" w:cs="宋体"/>
          <w:color w:val="auto"/>
          <w:kern w:val="0"/>
          <w:sz w:val="24"/>
        </w:rPr>
        <w:t>委托代理人</w:t>
      </w:r>
      <w:r>
        <w:rPr>
          <w:rFonts w:hint="eastAsia" w:ascii="宋体" w:hAnsi="宋体" w:eastAsia="宋体" w:cs="宋体"/>
          <w:color w:val="auto"/>
          <w:kern w:val="0"/>
          <w:sz w:val="24"/>
          <w:lang w:eastAsia="zh-CN"/>
        </w:rPr>
        <w:t>(</w:t>
      </w:r>
      <w:r>
        <w:rPr>
          <w:rFonts w:hint="eastAsia" w:ascii="宋体" w:hAnsi="宋体" w:eastAsia="宋体" w:cs="宋体"/>
          <w:color w:val="auto"/>
          <w:sz w:val="24"/>
        </w:rPr>
        <w:t>签字或盖章</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 xml:space="preserve">         </w:t>
      </w:r>
    </w:p>
    <w:p w14:paraId="1E4F1C00">
      <w:pPr>
        <w:pStyle w:val="81"/>
        <w:tabs>
          <w:tab w:val="left" w:pos="5580"/>
        </w:tabs>
        <w:spacing w:before="120"/>
        <w:ind w:firstLine="3840" w:firstLineChars="1600"/>
        <w:rPr>
          <w:rFonts w:hint="eastAsia" w:ascii="宋体" w:hAnsi="宋体" w:eastAsia="宋体" w:cs="宋体"/>
          <w:color w:val="auto"/>
          <w:kern w:val="0"/>
          <w:sz w:val="24"/>
          <w:lang w:eastAsia="zh-CN"/>
        </w:rPr>
      </w:pPr>
      <w:r>
        <w:rPr>
          <w:rFonts w:hint="eastAsia" w:ascii="宋体" w:hAnsi="宋体" w:eastAsia="宋体" w:cs="宋体"/>
          <w:color w:val="auto"/>
          <w:kern w:val="0"/>
          <w:sz w:val="24"/>
        </w:rPr>
        <w:t>身份证号码</w:t>
      </w:r>
      <w:r>
        <w:rPr>
          <w:rFonts w:hint="eastAsia" w:ascii="宋体" w:hAnsi="宋体" w:eastAsia="宋体" w:cs="宋体"/>
          <w:color w:val="auto"/>
          <w:kern w:val="0"/>
          <w:sz w:val="24"/>
          <w:lang w:eastAsia="zh-CN"/>
        </w:rPr>
        <w:t>:</w:t>
      </w:r>
    </w:p>
    <w:p w14:paraId="3A510ED8">
      <w:pPr>
        <w:pStyle w:val="81"/>
        <w:tabs>
          <w:tab w:val="left" w:pos="5580"/>
        </w:tabs>
        <w:spacing w:before="120"/>
        <w:ind w:firstLine="3840" w:firstLineChars="1600"/>
        <w:rPr>
          <w:rFonts w:hint="eastAsia" w:ascii="宋体" w:hAnsi="宋体" w:eastAsia="宋体" w:cs="宋体"/>
          <w:color w:val="auto"/>
          <w:kern w:val="0"/>
          <w:sz w:val="24"/>
        </w:rPr>
      </w:pPr>
      <w:r>
        <w:rPr>
          <w:rFonts w:hint="eastAsia" w:ascii="宋体" w:hAnsi="宋体" w:eastAsia="宋体" w:cs="宋体"/>
          <w:color w:val="auto"/>
          <w:kern w:val="0"/>
          <w:sz w:val="24"/>
        </w:rPr>
        <w:t>年 月 日</w:t>
      </w:r>
    </w:p>
    <w:p w14:paraId="04A68D04">
      <w:pPr>
        <w:adjustRightInd/>
        <w:spacing w:line="360" w:lineRule="auto"/>
        <w:ind w:firstLine="0" w:firstLineChars="0"/>
        <w:jc w:val="both"/>
        <w:outlineLvl w:val="1"/>
        <w:rPr>
          <w:rFonts w:hint="eastAsia" w:ascii="宋体" w:hAnsi="宋体" w:eastAsia="宋体" w:cs="宋体"/>
          <w:b/>
          <w:color w:val="auto"/>
          <w:sz w:val="24"/>
        </w:rPr>
      </w:pPr>
      <w:bookmarkStart w:id="234" w:name="_Toc414445766"/>
      <w:bookmarkStart w:id="235" w:name="_Toc410631175"/>
      <w:r>
        <w:rPr>
          <w:rFonts w:ascii="Arial" w:hAnsi="宋体" w:cs="Arial"/>
          <w:color w:val="auto"/>
          <w:sz w:val="28"/>
          <w:szCs w:val="28"/>
        </w:rPr>
        <w:br w:type="page"/>
      </w:r>
      <w:bookmarkEnd w:id="234"/>
      <w:bookmarkEnd w:id="235"/>
      <w:bookmarkStart w:id="236" w:name="_Toc5219"/>
      <w:bookmarkStart w:id="237" w:name="_Toc763"/>
      <w:bookmarkStart w:id="238" w:name="_Toc14944"/>
      <w:r>
        <w:rPr>
          <w:rFonts w:hint="eastAsia" w:ascii="宋体" w:hAnsi="宋体" w:eastAsia="宋体" w:cs="宋体"/>
          <w:b/>
          <w:color w:val="auto"/>
          <w:sz w:val="24"/>
        </w:rPr>
        <w:t>附件5 投标保证金</w:t>
      </w:r>
      <w:bookmarkEnd w:id="225"/>
      <w:bookmarkEnd w:id="226"/>
      <w:bookmarkEnd w:id="236"/>
    </w:p>
    <w:bookmarkEnd w:id="237"/>
    <w:bookmarkEnd w:id="238"/>
    <w:p w14:paraId="14F962F7">
      <w:pPr>
        <w:shd w:val="clear"/>
        <w:spacing w:line="480" w:lineRule="exact"/>
        <w:ind w:firstLine="482" w:firstLineChars="200"/>
        <w:rPr>
          <w:rFonts w:ascii="仿宋_GB2312" w:hAnsi="仿宋_GB2312" w:eastAsia="仿宋_GB2312" w:cs="宋体"/>
          <w:b/>
          <w:color w:val="auto"/>
          <w:kern w:val="0"/>
          <w:sz w:val="24"/>
          <w:szCs w:val="28"/>
          <w:highlight w:val="none"/>
          <w:shd w:val="clear" w:color="auto" w:fill="auto"/>
        </w:rPr>
      </w:pPr>
      <w:r>
        <w:rPr>
          <w:rFonts w:hint="eastAsia" w:ascii="宋体" w:hAnsi="宋体" w:eastAsia="宋体" w:cs="Times New Roman"/>
          <w:b/>
          <w:color w:val="auto"/>
          <w:sz w:val="24"/>
          <w:highlight w:val="none"/>
          <w:shd w:val="clear" w:color="auto" w:fill="auto"/>
        </w:rPr>
        <w:t>（</w:t>
      </w:r>
      <w:r>
        <w:rPr>
          <w:rFonts w:hint="eastAsia" w:ascii="宋体" w:hAnsi="宋体" w:eastAsia="宋体" w:cs="Times New Roman"/>
          <w:color w:val="auto"/>
          <w:sz w:val="24"/>
          <w:highlight w:val="none"/>
          <w:shd w:val="clear" w:color="auto" w:fill="auto"/>
        </w:rPr>
        <w:t>支票、汇票或本票的</w:t>
      </w:r>
      <w:r>
        <w:rPr>
          <w:rFonts w:hint="eastAsia" w:ascii="宋体" w:hAnsi="宋体" w:eastAsia="宋体" w:cs="Times New Roman"/>
          <w:color w:val="auto"/>
          <w:sz w:val="24"/>
          <w:highlight w:val="none"/>
          <w:shd w:val="clear" w:color="auto" w:fill="auto"/>
          <w:lang w:val="en-US" w:eastAsia="zh-CN"/>
        </w:rPr>
        <w:t>原件扫描</w:t>
      </w:r>
      <w:r>
        <w:rPr>
          <w:rFonts w:hint="eastAsia" w:ascii="宋体" w:hAnsi="宋体" w:eastAsia="宋体" w:cs="Times New Roman"/>
          <w:color w:val="auto"/>
          <w:sz w:val="24"/>
          <w:highlight w:val="none"/>
          <w:shd w:val="clear" w:color="auto" w:fill="auto"/>
        </w:rPr>
        <w:t>件，或采用汇款、网银等方式提交的保证金的汇款底单</w:t>
      </w:r>
      <w:r>
        <w:rPr>
          <w:rFonts w:hint="eastAsia" w:ascii="宋体" w:hAnsi="宋体" w:eastAsia="宋体" w:cs="Times New Roman"/>
          <w:color w:val="auto"/>
          <w:sz w:val="24"/>
          <w:highlight w:val="none"/>
          <w:shd w:val="clear" w:color="auto" w:fill="auto"/>
          <w:lang w:val="en-US" w:eastAsia="zh-CN"/>
        </w:rPr>
        <w:t>扫描</w:t>
      </w:r>
      <w:r>
        <w:rPr>
          <w:rFonts w:hint="eastAsia" w:ascii="宋体" w:hAnsi="宋体" w:eastAsia="宋体" w:cs="Times New Roman"/>
          <w:color w:val="auto"/>
          <w:sz w:val="24"/>
          <w:highlight w:val="none"/>
          <w:shd w:val="clear" w:color="auto" w:fill="auto"/>
        </w:rPr>
        <w:t>件</w:t>
      </w:r>
      <w:r>
        <w:rPr>
          <w:rFonts w:hint="eastAsia" w:ascii="宋体" w:hAnsi="宋体" w:eastAsia="宋体" w:cs="Times New Roman"/>
          <w:color w:val="auto"/>
          <w:sz w:val="24"/>
          <w:highlight w:val="none"/>
          <w:shd w:val="clear" w:color="auto" w:fill="auto"/>
          <w:lang w:eastAsia="zh-CN"/>
        </w:rPr>
        <w:t>；采用银行保函的需提供保函原件</w:t>
      </w:r>
      <w:r>
        <w:rPr>
          <w:rFonts w:hint="eastAsia" w:ascii="宋体" w:hAnsi="宋体" w:eastAsia="宋体" w:cs="Times New Roman"/>
          <w:color w:val="auto"/>
          <w:sz w:val="24"/>
          <w:highlight w:val="none"/>
          <w:shd w:val="clear" w:color="auto" w:fill="auto"/>
          <w:lang w:val="en-US" w:eastAsia="zh-CN"/>
        </w:rPr>
        <w:t>扫描</w:t>
      </w:r>
      <w:r>
        <w:rPr>
          <w:rFonts w:hint="eastAsia" w:ascii="宋体" w:hAnsi="宋体" w:eastAsia="宋体" w:cs="Times New Roman"/>
          <w:color w:val="auto"/>
          <w:sz w:val="24"/>
          <w:highlight w:val="none"/>
          <w:shd w:val="clear" w:color="auto" w:fill="auto"/>
        </w:rPr>
        <w:t>件</w:t>
      </w:r>
      <w:r>
        <w:rPr>
          <w:rFonts w:hint="eastAsia" w:ascii="宋体" w:hAnsi="宋体" w:eastAsia="宋体" w:cs="Times New Roman"/>
          <w:b/>
          <w:color w:val="auto"/>
          <w:sz w:val="24"/>
          <w:highlight w:val="none"/>
          <w:shd w:val="clear" w:color="auto" w:fill="auto"/>
        </w:rPr>
        <w:t>）</w:t>
      </w:r>
    </w:p>
    <w:p w14:paraId="4030434E">
      <w:pPr>
        <w:jc w:val="center"/>
        <w:rPr>
          <w:b/>
          <w:color w:val="auto"/>
          <w:sz w:val="24"/>
        </w:rPr>
      </w:pPr>
    </w:p>
    <w:p w14:paraId="02C79337">
      <w:pPr>
        <w:ind w:firstLine="422"/>
        <w:rPr>
          <w:rFonts w:ascii="宋体"/>
          <w:b/>
          <w:color w:val="auto"/>
          <w:szCs w:val="21"/>
        </w:rPr>
      </w:pPr>
    </w:p>
    <w:p w14:paraId="6944DEE7">
      <w:pPr>
        <w:ind w:firstLine="422"/>
        <w:rPr>
          <w:rFonts w:hint="eastAsia" w:ascii="宋体"/>
          <w:b/>
          <w:color w:val="auto"/>
          <w:szCs w:val="21"/>
        </w:rPr>
      </w:pPr>
    </w:p>
    <w:p w14:paraId="5B5AF323">
      <w:pPr>
        <w:ind w:firstLine="422"/>
        <w:rPr>
          <w:rFonts w:hint="eastAsia" w:ascii="宋体"/>
          <w:b/>
          <w:color w:val="auto"/>
          <w:szCs w:val="21"/>
        </w:rPr>
      </w:pPr>
    </w:p>
    <w:p w14:paraId="0AA20419">
      <w:pPr>
        <w:ind w:firstLine="422"/>
        <w:rPr>
          <w:rFonts w:hint="eastAsia" w:ascii="宋体"/>
          <w:b/>
          <w:color w:val="auto"/>
          <w:szCs w:val="21"/>
        </w:rPr>
      </w:pPr>
    </w:p>
    <w:p w14:paraId="5630BF19">
      <w:pPr>
        <w:ind w:firstLine="422"/>
        <w:rPr>
          <w:rFonts w:hint="eastAsia" w:ascii="宋体"/>
          <w:b/>
          <w:color w:val="auto"/>
          <w:szCs w:val="21"/>
        </w:rPr>
      </w:pPr>
    </w:p>
    <w:p w14:paraId="018C135E">
      <w:pPr>
        <w:ind w:firstLine="422"/>
        <w:rPr>
          <w:rFonts w:hint="eastAsia" w:ascii="宋体"/>
          <w:b/>
          <w:color w:val="auto"/>
          <w:szCs w:val="21"/>
        </w:rPr>
      </w:pPr>
    </w:p>
    <w:p w14:paraId="6636ADB7">
      <w:pPr>
        <w:ind w:firstLine="422"/>
        <w:rPr>
          <w:rFonts w:ascii="宋体"/>
          <w:b/>
          <w:color w:val="auto"/>
          <w:szCs w:val="21"/>
        </w:rPr>
      </w:pPr>
    </w:p>
    <w:p w14:paraId="71B8D203">
      <w:pPr>
        <w:ind w:firstLine="422"/>
        <w:rPr>
          <w:rFonts w:ascii="宋体"/>
          <w:b/>
          <w:color w:val="auto"/>
          <w:szCs w:val="21"/>
        </w:rPr>
      </w:pPr>
    </w:p>
    <w:p w14:paraId="72DC8054">
      <w:pPr>
        <w:ind w:firstLine="422"/>
        <w:rPr>
          <w:rFonts w:ascii="宋体"/>
          <w:b/>
          <w:color w:val="auto"/>
          <w:szCs w:val="21"/>
        </w:rPr>
      </w:pPr>
    </w:p>
    <w:p w14:paraId="7249A1FF">
      <w:pPr>
        <w:spacing w:before="120" w:after="120" w:line="360" w:lineRule="auto"/>
        <w:ind w:firstLine="420" w:firstLineChars="200"/>
        <w:rPr>
          <w:rFonts w:ascii="宋体"/>
          <w:color w:val="auto"/>
          <w:szCs w:val="21"/>
        </w:rPr>
      </w:pPr>
    </w:p>
    <w:p w14:paraId="2AD5A6F8">
      <w:pPr>
        <w:spacing w:before="120" w:after="120" w:line="360" w:lineRule="auto"/>
        <w:ind w:firstLine="420" w:firstLineChars="200"/>
        <w:rPr>
          <w:rFonts w:ascii="宋体"/>
          <w:color w:val="auto"/>
          <w:szCs w:val="21"/>
        </w:rPr>
      </w:pPr>
    </w:p>
    <w:p w14:paraId="0821DEEE">
      <w:pPr>
        <w:spacing w:beforeLines="50" w:line="440" w:lineRule="exact"/>
        <w:ind w:firstLine="422"/>
        <w:rPr>
          <w:rFonts w:ascii="宋体"/>
          <w:b/>
          <w:color w:val="auto"/>
          <w:szCs w:val="21"/>
        </w:rPr>
      </w:pPr>
    </w:p>
    <w:p w14:paraId="6481D7F3">
      <w:pPr>
        <w:spacing w:line="288" w:lineRule="auto"/>
        <w:rPr>
          <w:rFonts w:ascii="宋体" w:hAnsi="宋体"/>
          <w:color w:val="auto"/>
          <w:szCs w:val="21"/>
        </w:rPr>
      </w:pPr>
    </w:p>
    <w:p w14:paraId="38251094">
      <w:pPr>
        <w:spacing w:line="360" w:lineRule="auto"/>
        <w:rPr>
          <w:rFonts w:ascii="宋体" w:hAnsi="宋体" w:eastAsia="宋体"/>
          <w:color w:val="auto"/>
          <w:sz w:val="24"/>
        </w:rPr>
      </w:pPr>
      <w:bookmarkStart w:id="239" w:name="_Toc410631176"/>
      <w:r>
        <w:rPr>
          <w:rFonts w:ascii="宋体" w:hAnsi="宋体" w:eastAsia="宋体"/>
          <w:b/>
          <w:color w:val="auto"/>
          <w:sz w:val="24"/>
        </w:rPr>
        <w:br w:type="page"/>
      </w:r>
      <w:bookmarkEnd w:id="239"/>
      <w:bookmarkStart w:id="240" w:name="_Toc143577473"/>
      <w:bookmarkStart w:id="241" w:name="_Toc468781351"/>
    </w:p>
    <w:p w14:paraId="09FB837C">
      <w:pPr>
        <w:spacing w:line="360" w:lineRule="auto"/>
        <w:outlineLvl w:val="1"/>
        <w:rPr>
          <w:rFonts w:hint="eastAsia" w:ascii="宋体" w:hAnsi="宋体" w:eastAsia="宋体" w:cs="宋体"/>
          <w:b/>
          <w:color w:val="auto"/>
          <w:sz w:val="24"/>
          <w:szCs w:val="24"/>
          <w:highlight w:val="none"/>
          <w:lang w:eastAsia="zh-CN"/>
        </w:rPr>
      </w:pPr>
      <w:bookmarkStart w:id="242" w:name="_Toc30741"/>
      <w:bookmarkStart w:id="243" w:name="_Toc31674"/>
      <w:bookmarkStart w:id="244" w:name="_Toc23984"/>
      <w:r>
        <w:rPr>
          <w:rFonts w:hint="eastAsia" w:ascii="宋体" w:hAnsi="宋体" w:eastAsia="宋体" w:cs="宋体"/>
          <w:b/>
          <w:color w:val="auto"/>
          <w:sz w:val="24"/>
          <w:szCs w:val="24"/>
          <w:highlight w:val="none"/>
        </w:rPr>
        <w:t>附件6 投标分项报价表</w:t>
      </w:r>
      <w:bookmarkEnd w:id="242"/>
      <w:bookmarkEnd w:id="243"/>
      <w:bookmarkEnd w:id="244"/>
    </w:p>
    <w:p w14:paraId="5478236C">
      <w:pPr>
        <w:spacing w:before="156" w:line="360" w:lineRule="auto"/>
        <w:outlineLvl w:val="9"/>
        <w:rPr>
          <w:rFonts w:hint="eastAsia" w:ascii="宋体" w:hAnsi="宋体" w:eastAsia="宋体" w:cs="宋体"/>
          <w:b/>
          <w:i w:val="0"/>
          <w:iCs w:val="0"/>
          <w:color w:val="auto"/>
          <w:sz w:val="24"/>
          <w:szCs w:val="24"/>
          <w:highlight w:val="none"/>
          <w:lang w:eastAsia="zh-CN"/>
        </w:rPr>
      </w:pPr>
      <w:r>
        <w:rPr>
          <w:rFonts w:hint="eastAsia" w:ascii="宋体" w:hAnsi="宋体" w:eastAsia="宋体" w:cs="宋体"/>
          <w:b/>
          <w:i w:val="0"/>
          <w:iCs w:val="0"/>
          <w:color w:val="auto"/>
          <w:sz w:val="24"/>
          <w:szCs w:val="24"/>
          <w:highlight w:val="none"/>
          <w:lang w:eastAsia="zh-CN"/>
        </w:rPr>
        <w:t>(</w:t>
      </w:r>
      <w:r>
        <w:rPr>
          <w:rFonts w:hint="eastAsia" w:ascii="宋体" w:hAnsi="宋体" w:cs="宋体"/>
          <w:b/>
          <w:i w:val="0"/>
          <w:iCs w:val="0"/>
          <w:color w:val="auto"/>
          <w:sz w:val="24"/>
          <w:szCs w:val="24"/>
          <w:highlight w:val="none"/>
          <w:lang w:val="en-US" w:eastAsia="zh-CN"/>
        </w:rPr>
        <w:t>供应商</w:t>
      </w:r>
      <w:r>
        <w:rPr>
          <w:rFonts w:hint="eastAsia" w:ascii="宋体" w:hAnsi="宋体" w:eastAsia="宋体" w:cs="宋体"/>
          <w:b/>
          <w:i w:val="0"/>
          <w:iCs w:val="0"/>
          <w:color w:val="auto"/>
          <w:sz w:val="24"/>
          <w:szCs w:val="24"/>
          <w:highlight w:val="none"/>
          <w:lang w:val="en-US" w:eastAsia="zh-CN"/>
        </w:rPr>
        <w:t>自拟格式</w:t>
      </w:r>
      <w:r>
        <w:rPr>
          <w:rFonts w:hint="eastAsia" w:ascii="宋体" w:hAnsi="宋体" w:eastAsia="宋体" w:cs="宋体"/>
          <w:b/>
          <w:i w:val="0"/>
          <w:iCs w:val="0"/>
          <w:color w:val="auto"/>
          <w:sz w:val="24"/>
          <w:szCs w:val="24"/>
          <w:highlight w:val="none"/>
          <w:lang w:eastAsia="zh-CN"/>
        </w:rPr>
        <w:t>)</w:t>
      </w:r>
    </w:p>
    <w:p w14:paraId="04D93EAC">
      <w:pPr>
        <w:pStyle w:val="362"/>
        <w:ind w:firstLine="0"/>
        <w:rPr>
          <w:rFonts w:hint="eastAsia" w:ascii="宋体" w:hAnsi="宋体" w:eastAsia="宋体" w:cs="宋体"/>
          <w:color w:val="auto"/>
          <w:sz w:val="24"/>
          <w:szCs w:val="24"/>
          <w:highlight w:val="yellow"/>
        </w:rPr>
      </w:pPr>
    </w:p>
    <w:p w14:paraId="16124823">
      <w:pPr>
        <w:snapToGrid w:val="0"/>
        <w:jc w:val="left"/>
        <w:rPr>
          <w:rFonts w:hint="eastAsia" w:ascii="宋体" w:hAnsi="宋体" w:eastAsia="宋体" w:cs="宋体"/>
          <w:color w:val="auto"/>
          <w:sz w:val="24"/>
          <w:szCs w:val="24"/>
        </w:rPr>
      </w:pPr>
    </w:p>
    <w:p w14:paraId="17B7C036">
      <w:pPr>
        <w:snapToGrid w:val="0"/>
        <w:jc w:val="left"/>
        <w:rPr>
          <w:rFonts w:hint="eastAsia" w:ascii="宋体" w:hAnsi="宋体" w:eastAsia="宋体" w:cs="宋体"/>
          <w:color w:val="auto"/>
          <w:sz w:val="24"/>
          <w:szCs w:val="24"/>
        </w:rPr>
      </w:pPr>
      <w:r>
        <w:rPr>
          <w:rFonts w:hint="eastAsia" w:ascii="宋体" w:hAnsi="宋体" w:eastAsia="宋体" w:cs="宋体"/>
          <w:color w:val="auto"/>
          <w:sz w:val="24"/>
          <w:szCs w:val="24"/>
        </w:rPr>
        <w:t>注</w:t>
      </w:r>
      <w:r>
        <w:rPr>
          <w:rFonts w:hint="eastAsia" w:ascii="宋体" w:hAnsi="宋体" w:eastAsia="宋体" w:cs="宋体"/>
          <w:color w:val="auto"/>
          <w:sz w:val="24"/>
          <w:szCs w:val="24"/>
          <w:lang w:eastAsia="zh-CN"/>
        </w:rPr>
        <w:t>:</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b/>
          <w:bCs/>
          <w:color w:val="auto"/>
          <w:sz w:val="24"/>
          <w:szCs w:val="24"/>
        </w:rPr>
        <w:t xml:space="preserve"> </w:t>
      </w:r>
      <w:r>
        <w:rPr>
          <w:rFonts w:hint="eastAsia" w:ascii="宋体" w:hAnsi="宋体" w:eastAsia="宋体" w:cs="宋体"/>
          <w:b/>
          <w:bCs/>
          <w:color w:val="auto"/>
          <w:sz w:val="24"/>
          <w:szCs w:val="24"/>
          <w:lang w:eastAsia="zh-CN"/>
        </w:rPr>
        <w:t>供应商</w:t>
      </w:r>
      <w:r>
        <w:rPr>
          <w:rFonts w:hint="eastAsia" w:ascii="宋体" w:hAnsi="宋体" w:eastAsia="宋体" w:cs="宋体"/>
          <w:b/>
          <w:bCs/>
          <w:color w:val="auto"/>
          <w:sz w:val="24"/>
          <w:szCs w:val="24"/>
        </w:rPr>
        <w:t>需按照招标文件的采购需求编写分项报价。</w:t>
      </w:r>
    </w:p>
    <w:p w14:paraId="4B5B0E5C">
      <w:pPr>
        <w:snapToGrid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2. </w:t>
      </w:r>
      <w:r>
        <w:rPr>
          <w:rFonts w:hint="eastAsia" w:ascii="宋体" w:hAnsi="宋体" w:cs="宋体"/>
          <w:b/>
          <w:bCs/>
          <w:color w:val="auto"/>
          <w:sz w:val="24"/>
          <w:szCs w:val="24"/>
          <w:lang w:eastAsia="zh-CN"/>
        </w:rPr>
        <w:t>供应商</w:t>
      </w:r>
      <w:r>
        <w:rPr>
          <w:rFonts w:hint="eastAsia" w:ascii="宋体" w:hAnsi="宋体" w:eastAsia="宋体" w:cs="宋体"/>
          <w:b/>
          <w:bCs/>
          <w:color w:val="auto"/>
          <w:sz w:val="24"/>
          <w:szCs w:val="24"/>
        </w:rPr>
        <w:t>可根据实际情况自行</w:t>
      </w:r>
      <w:r>
        <w:rPr>
          <w:rFonts w:hint="eastAsia" w:ascii="宋体" w:hAnsi="宋体" w:eastAsia="宋体" w:cs="宋体"/>
          <w:b/>
          <w:bCs/>
          <w:color w:val="auto"/>
          <w:sz w:val="24"/>
          <w:szCs w:val="24"/>
          <w:lang w:val="en-US" w:eastAsia="zh-CN"/>
        </w:rPr>
        <w:t>编制</w:t>
      </w:r>
      <w:r>
        <w:rPr>
          <w:rFonts w:hint="eastAsia" w:ascii="宋体" w:hAnsi="宋体" w:eastAsia="宋体" w:cs="宋体"/>
          <w:b/>
          <w:bCs/>
          <w:color w:val="auto"/>
          <w:sz w:val="24"/>
          <w:szCs w:val="24"/>
        </w:rPr>
        <w:t>表格</w:t>
      </w:r>
      <w:r>
        <w:rPr>
          <w:rFonts w:hint="eastAsia" w:ascii="宋体" w:hAnsi="宋体" w:eastAsia="宋体" w:cs="宋体"/>
          <w:color w:val="auto"/>
          <w:sz w:val="24"/>
          <w:szCs w:val="24"/>
        </w:rPr>
        <w:t>。</w:t>
      </w:r>
    </w:p>
    <w:p w14:paraId="4430F49A">
      <w:pPr>
        <w:snapToGrid w:val="0"/>
        <w:jc w:val="left"/>
        <w:rPr>
          <w:rFonts w:hint="eastAsia" w:ascii="宋体" w:hAnsi="宋体" w:eastAsia="宋体" w:cs="宋体"/>
          <w:color w:val="auto"/>
          <w:sz w:val="24"/>
          <w:szCs w:val="24"/>
        </w:rPr>
      </w:pPr>
    </w:p>
    <w:p w14:paraId="420884C8">
      <w:pPr>
        <w:spacing w:before="120" w:after="120" w:line="360" w:lineRule="auto"/>
        <w:ind w:firstLine="480" w:firstLineChars="200"/>
        <w:rPr>
          <w:rFonts w:hint="eastAsia" w:ascii="宋体" w:hAnsi="宋体" w:eastAsia="宋体" w:cs="宋体"/>
          <w:color w:val="auto"/>
          <w:sz w:val="24"/>
          <w:szCs w:val="24"/>
        </w:rPr>
      </w:pPr>
    </w:p>
    <w:p w14:paraId="670B3D52">
      <w:pPr>
        <w:keepNext w:val="0"/>
        <w:keepLines w:val="0"/>
        <w:pageBreakBefore w:val="0"/>
        <w:widowControl w:val="0"/>
        <w:kinsoku/>
        <w:wordWrap/>
        <w:overflowPunct/>
        <w:topLinePunct w:val="0"/>
        <w:autoSpaceDE/>
        <w:autoSpaceDN/>
        <w:bidi w:val="0"/>
        <w:adjustRightInd/>
        <w:snapToGrid/>
        <w:spacing w:before="120" w:after="120" w:line="360" w:lineRule="auto"/>
        <w:ind w:firstLine="480" w:firstLineChars="200"/>
        <w:textAlignment w:val="auto"/>
        <w:rPr>
          <w:rFonts w:hint="eastAsia" w:ascii="宋体" w:hAnsi="宋体" w:eastAsia="宋体" w:cs="宋体"/>
          <w:color w:val="auto"/>
          <w:sz w:val="24"/>
          <w:szCs w:val="24"/>
        </w:rPr>
      </w:pPr>
      <w:r>
        <w:rPr>
          <w:rFonts w:hint="eastAsia" w:ascii="宋体" w:hAnsi="宋体" w:cs="宋体"/>
          <w:color w:val="auto"/>
          <w:sz w:val="24"/>
          <w:szCs w:val="24"/>
          <w:lang w:eastAsia="zh-CN"/>
        </w:rPr>
        <w:t>供应商</w:t>
      </w:r>
      <w:r>
        <w:rPr>
          <w:rFonts w:hint="eastAsia" w:ascii="宋体" w:hAnsi="宋体" w:eastAsia="宋体" w:cs="宋体"/>
          <w:color w:val="auto"/>
          <w:sz w:val="24"/>
          <w:szCs w:val="24"/>
        </w:rPr>
        <w:t>名称</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公章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w:t>
      </w:r>
    </w:p>
    <w:p w14:paraId="4B211D2B">
      <w:pPr>
        <w:keepNext w:val="0"/>
        <w:keepLines w:val="0"/>
        <w:pageBreakBefore w:val="0"/>
        <w:widowControl w:val="0"/>
        <w:kinsoku/>
        <w:wordWrap/>
        <w:overflowPunct/>
        <w:topLinePunct w:val="0"/>
        <w:autoSpaceDE/>
        <w:autoSpaceDN/>
        <w:bidi w:val="0"/>
        <w:adjustRightInd/>
        <w:snapToGrid/>
        <w:spacing w:before="120" w:after="120"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法定代表人或其委托代理人</w:t>
      </w:r>
      <w:r>
        <w:rPr>
          <w:rFonts w:hint="eastAsia" w:ascii="宋体" w:hAnsi="宋体" w:eastAsia="宋体" w:cs="宋体"/>
          <w:color w:val="auto"/>
          <w:sz w:val="24"/>
          <w:szCs w:val="24"/>
          <w:lang w:eastAsia="zh-CN"/>
        </w:rPr>
        <w:t>(签字或盖章):</w:t>
      </w:r>
    </w:p>
    <w:p w14:paraId="3FD535DD">
      <w:pPr>
        <w:keepNext w:val="0"/>
        <w:keepLines w:val="0"/>
        <w:pageBreakBefore w:val="0"/>
        <w:widowControl w:val="0"/>
        <w:kinsoku/>
        <w:wordWrap/>
        <w:overflowPunct/>
        <w:topLinePunct w:val="0"/>
        <w:autoSpaceDE/>
        <w:autoSpaceDN/>
        <w:bidi w:val="0"/>
        <w:adjustRightInd/>
        <w:snapToGrid/>
        <w:spacing w:before="120" w:after="12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日    期</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年   月    日</w:t>
      </w:r>
    </w:p>
    <w:p w14:paraId="2C28BCE6">
      <w:pPr>
        <w:widowControl/>
        <w:jc w:val="left"/>
        <w:rPr>
          <w:color w:val="auto"/>
          <w:sz w:val="24"/>
        </w:rPr>
      </w:pPr>
      <w:r>
        <w:rPr>
          <w:color w:val="auto"/>
          <w:sz w:val="24"/>
        </w:rPr>
        <w:br w:type="page"/>
      </w:r>
    </w:p>
    <w:p w14:paraId="33EF27DD">
      <w:pPr>
        <w:spacing w:line="360" w:lineRule="auto"/>
        <w:outlineLvl w:val="1"/>
        <w:rPr>
          <w:rFonts w:hint="eastAsia" w:ascii="宋体" w:hAnsi="宋体" w:eastAsia="宋体" w:cs="宋体"/>
          <w:b/>
          <w:color w:val="auto"/>
          <w:sz w:val="24"/>
        </w:rPr>
      </w:pPr>
      <w:bookmarkStart w:id="245" w:name="_Toc30496"/>
      <w:bookmarkStart w:id="246" w:name="_Toc13786"/>
      <w:bookmarkStart w:id="247" w:name="_Toc2297"/>
      <w:r>
        <w:rPr>
          <w:rFonts w:hint="eastAsia" w:ascii="宋体" w:hAnsi="宋体" w:eastAsia="宋体" w:cs="宋体"/>
          <w:b/>
          <w:color w:val="auto"/>
          <w:sz w:val="24"/>
        </w:rPr>
        <w:t>附件7 商务偏差表</w:t>
      </w:r>
      <w:bookmarkEnd w:id="245"/>
      <w:bookmarkEnd w:id="246"/>
      <w:bookmarkEnd w:id="247"/>
    </w:p>
    <w:p w14:paraId="5CB8BE3B">
      <w:pPr>
        <w:spacing w:after="240"/>
        <w:ind w:hanging="119"/>
        <w:rPr>
          <w:rFonts w:hint="eastAsia" w:ascii="宋体" w:hAnsi="宋体" w:eastAsia="宋体" w:cs="宋体"/>
          <w:color w:val="auto"/>
        </w:rPr>
      </w:pPr>
    </w:p>
    <w:p w14:paraId="65E265C6">
      <w:pPr>
        <w:spacing w:after="240"/>
        <w:ind w:hanging="119"/>
        <w:rPr>
          <w:rFonts w:hint="eastAsia" w:ascii="宋体" w:hAnsi="宋体" w:eastAsia="宋体" w:cs="宋体"/>
          <w:color w:val="auto"/>
          <w:sz w:val="24"/>
          <w:lang w:eastAsia="zh-CN"/>
        </w:rPr>
      </w:pPr>
      <w:r>
        <w:rPr>
          <w:rFonts w:hint="eastAsia" w:ascii="宋体" w:hAnsi="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lang w:eastAsia="zh-CN"/>
        </w:rPr>
        <w:t>:</w:t>
      </w:r>
    </w:p>
    <w:tbl>
      <w:tblPr>
        <w:tblStyle w:val="43"/>
        <w:tblW w:w="8848" w:type="dxa"/>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28" w:type="dxa"/>
          <w:bottom w:w="0" w:type="dxa"/>
          <w:right w:w="28" w:type="dxa"/>
        </w:tblCellMar>
      </w:tblPr>
      <w:tblGrid>
        <w:gridCol w:w="628"/>
        <w:gridCol w:w="1920"/>
        <w:gridCol w:w="2160"/>
        <w:gridCol w:w="1800"/>
        <w:gridCol w:w="1440"/>
        <w:gridCol w:w="900"/>
      </w:tblGrid>
      <w:tr w14:paraId="6E854F8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628" w:type="dxa"/>
            <w:noWrap w:val="0"/>
            <w:vAlign w:val="center"/>
          </w:tcPr>
          <w:p w14:paraId="1608BA8F">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920" w:type="dxa"/>
            <w:noWrap w:val="0"/>
            <w:vAlign w:val="center"/>
          </w:tcPr>
          <w:p w14:paraId="58CFAD31">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招标文件条目号</w:t>
            </w:r>
          </w:p>
        </w:tc>
        <w:tc>
          <w:tcPr>
            <w:tcW w:w="2160" w:type="dxa"/>
            <w:noWrap w:val="0"/>
            <w:vAlign w:val="center"/>
          </w:tcPr>
          <w:p w14:paraId="1ECA50AA">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招标文件的规定</w:t>
            </w:r>
          </w:p>
          <w:p w14:paraId="113E18C0">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和要求</w:t>
            </w:r>
          </w:p>
        </w:tc>
        <w:tc>
          <w:tcPr>
            <w:tcW w:w="1800" w:type="dxa"/>
            <w:noWrap w:val="0"/>
            <w:vAlign w:val="center"/>
          </w:tcPr>
          <w:p w14:paraId="0CAB715B">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投标文件的响应</w:t>
            </w:r>
          </w:p>
        </w:tc>
        <w:tc>
          <w:tcPr>
            <w:tcW w:w="1440" w:type="dxa"/>
            <w:noWrap w:val="0"/>
            <w:vAlign w:val="center"/>
          </w:tcPr>
          <w:p w14:paraId="32FA6804">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偏差</w:t>
            </w:r>
          </w:p>
        </w:tc>
        <w:tc>
          <w:tcPr>
            <w:tcW w:w="900" w:type="dxa"/>
            <w:noWrap w:val="0"/>
            <w:vAlign w:val="center"/>
          </w:tcPr>
          <w:p w14:paraId="00CBBBBF">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说明</w:t>
            </w:r>
          </w:p>
        </w:tc>
      </w:tr>
      <w:tr w14:paraId="6754DDF5">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28" w:type="dxa"/>
          </w:tblCellMar>
        </w:tblPrEx>
        <w:trPr>
          <w:cantSplit/>
          <w:trHeight w:val="524" w:hRule="atLeast"/>
        </w:trPr>
        <w:tc>
          <w:tcPr>
            <w:tcW w:w="628" w:type="dxa"/>
            <w:noWrap w:val="0"/>
            <w:vAlign w:val="center"/>
          </w:tcPr>
          <w:p w14:paraId="042AF860">
            <w:pPr>
              <w:spacing w:line="240" w:lineRule="auto"/>
              <w:rPr>
                <w:rFonts w:hint="eastAsia" w:ascii="宋体" w:hAnsi="宋体" w:eastAsia="宋体" w:cs="宋体"/>
                <w:color w:val="auto"/>
                <w:sz w:val="24"/>
                <w:szCs w:val="24"/>
              </w:rPr>
            </w:pPr>
          </w:p>
        </w:tc>
        <w:tc>
          <w:tcPr>
            <w:tcW w:w="1920" w:type="dxa"/>
            <w:noWrap w:val="0"/>
            <w:vAlign w:val="center"/>
          </w:tcPr>
          <w:p w14:paraId="0FBE1376">
            <w:pPr>
              <w:spacing w:line="240" w:lineRule="auto"/>
              <w:rPr>
                <w:rFonts w:hint="eastAsia" w:ascii="宋体" w:hAnsi="宋体" w:eastAsia="宋体" w:cs="宋体"/>
                <w:color w:val="auto"/>
                <w:sz w:val="24"/>
                <w:szCs w:val="24"/>
              </w:rPr>
            </w:pPr>
          </w:p>
        </w:tc>
        <w:tc>
          <w:tcPr>
            <w:tcW w:w="2160" w:type="dxa"/>
            <w:noWrap w:val="0"/>
            <w:vAlign w:val="center"/>
          </w:tcPr>
          <w:p w14:paraId="5B548E4D">
            <w:pPr>
              <w:spacing w:line="240" w:lineRule="auto"/>
              <w:rPr>
                <w:rFonts w:hint="eastAsia" w:ascii="宋体" w:hAnsi="宋体" w:eastAsia="宋体" w:cs="宋体"/>
                <w:color w:val="auto"/>
                <w:sz w:val="24"/>
                <w:szCs w:val="24"/>
              </w:rPr>
            </w:pPr>
          </w:p>
        </w:tc>
        <w:tc>
          <w:tcPr>
            <w:tcW w:w="1800" w:type="dxa"/>
            <w:noWrap w:val="0"/>
            <w:vAlign w:val="center"/>
          </w:tcPr>
          <w:p w14:paraId="40AF4CAB">
            <w:pPr>
              <w:spacing w:line="240" w:lineRule="auto"/>
              <w:rPr>
                <w:rFonts w:hint="eastAsia" w:ascii="宋体" w:hAnsi="宋体" w:eastAsia="宋体" w:cs="宋体"/>
                <w:color w:val="auto"/>
                <w:sz w:val="24"/>
                <w:szCs w:val="24"/>
              </w:rPr>
            </w:pPr>
          </w:p>
        </w:tc>
        <w:tc>
          <w:tcPr>
            <w:tcW w:w="1440" w:type="dxa"/>
            <w:noWrap w:val="0"/>
            <w:vAlign w:val="center"/>
          </w:tcPr>
          <w:p w14:paraId="75ED839B">
            <w:pPr>
              <w:spacing w:line="240" w:lineRule="auto"/>
              <w:rPr>
                <w:rFonts w:hint="eastAsia" w:ascii="宋体" w:hAnsi="宋体" w:eastAsia="宋体" w:cs="宋体"/>
                <w:color w:val="auto"/>
                <w:sz w:val="24"/>
                <w:szCs w:val="24"/>
              </w:rPr>
            </w:pPr>
          </w:p>
        </w:tc>
        <w:tc>
          <w:tcPr>
            <w:tcW w:w="900" w:type="dxa"/>
            <w:noWrap w:val="0"/>
            <w:vAlign w:val="center"/>
          </w:tcPr>
          <w:p w14:paraId="2512749B">
            <w:pPr>
              <w:spacing w:line="240" w:lineRule="auto"/>
              <w:rPr>
                <w:rFonts w:hint="eastAsia" w:ascii="宋体" w:hAnsi="宋体" w:eastAsia="宋体" w:cs="宋体"/>
                <w:color w:val="auto"/>
                <w:sz w:val="24"/>
                <w:szCs w:val="24"/>
              </w:rPr>
            </w:pPr>
          </w:p>
        </w:tc>
      </w:tr>
      <w:tr w14:paraId="320352B5">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28" w:type="dxa"/>
          </w:tblCellMar>
        </w:tblPrEx>
        <w:trPr>
          <w:cantSplit/>
          <w:trHeight w:val="524" w:hRule="atLeast"/>
        </w:trPr>
        <w:tc>
          <w:tcPr>
            <w:tcW w:w="628" w:type="dxa"/>
            <w:noWrap w:val="0"/>
            <w:vAlign w:val="center"/>
          </w:tcPr>
          <w:p w14:paraId="27258342">
            <w:pPr>
              <w:spacing w:line="240" w:lineRule="auto"/>
              <w:rPr>
                <w:rFonts w:hint="eastAsia" w:ascii="宋体" w:hAnsi="宋体" w:eastAsia="宋体" w:cs="宋体"/>
                <w:color w:val="auto"/>
                <w:sz w:val="24"/>
                <w:szCs w:val="24"/>
              </w:rPr>
            </w:pPr>
          </w:p>
        </w:tc>
        <w:tc>
          <w:tcPr>
            <w:tcW w:w="1920" w:type="dxa"/>
            <w:noWrap w:val="0"/>
            <w:vAlign w:val="center"/>
          </w:tcPr>
          <w:p w14:paraId="1C8B3F85">
            <w:pPr>
              <w:spacing w:line="240" w:lineRule="auto"/>
              <w:rPr>
                <w:rFonts w:hint="eastAsia" w:ascii="宋体" w:hAnsi="宋体" w:eastAsia="宋体" w:cs="宋体"/>
                <w:color w:val="auto"/>
                <w:sz w:val="24"/>
                <w:szCs w:val="24"/>
              </w:rPr>
            </w:pPr>
          </w:p>
        </w:tc>
        <w:tc>
          <w:tcPr>
            <w:tcW w:w="2160" w:type="dxa"/>
            <w:noWrap w:val="0"/>
            <w:vAlign w:val="center"/>
          </w:tcPr>
          <w:p w14:paraId="577AC973">
            <w:pPr>
              <w:spacing w:line="240" w:lineRule="auto"/>
              <w:rPr>
                <w:rFonts w:hint="eastAsia" w:ascii="宋体" w:hAnsi="宋体" w:eastAsia="宋体" w:cs="宋体"/>
                <w:color w:val="auto"/>
                <w:sz w:val="24"/>
                <w:szCs w:val="24"/>
              </w:rPr>
            </w:pPr>
          </w:p>
        </w:tc>
        <w:tc>
          <w:tcPr>
            <w:tcW w:w="1800" w:type="dxa"/>
            <w:noWrap w:val="0"/>
            <w:vAlign w:val="center"/>
          </w:tcPr>
          <w:p w14:paraId="5219A65A">
            <w:pPr>
              <w:spacing w:line="240" w:lineRule="auto"/>
              <w:rPr>
                <w:rFonts w:hint="eastAsia" w:ascii="宋体" w:hAnsi="宋体" w:eastAsia="宋体" w:cs="宋体"/>
                <w:color w:val="auto"/>
                <w:sz w:val="24"/>
                <w:szCs w:val="24"/>
              </w:rPr>
            </w:pPr>
          </w:p>
        </w:tc>
        <w:tc>
          <w:tcPr>
            <w:tcW w:w="1440" w:type="dxa"/>
            <w:noWrap w:val="0"/>
            <w:vAlign w:val="center"/>
          </w:tcPr>
          <w:p w14:paraId="1F028D4B">
            <w:pPr>
              <w:spacing w:line="240" w:lineRule="auto"/>
              <w:rPr>
                <w:rFonts w:hint="eastAsia" w:ascii="宋体" w:hAnsi="宋体" w:eastAsia="宋体" w:cs="宋体"/>
                <w:color w:val="auto"/>
                <w:sz w:val="24"/>
                <w:szCs w:val="24"/>
              </w:rPr>
            </w:pPr>
          </w:p>
        </w:tc>
        <w:tc>
          <w:tcPr>
            <w:tcW w:w="900" w:type="dxa"/>
            <w:noWrap w:val="0"/>
            <w:vAlign w:val="center"/>
          </w:tcPr>
          <w:p w14:paraId="2A12A1F8">
            <w:pPr>
              <w:spacing w:line="240" w:lineRule="auto"/>
              <w:rPr>
                <w:rFonts w:hint="eastAsia" w:ascii="宋体" w:hAnsi="宋体" w:eastAsia="宋体" w:cs="宋体"/>
                <w:color w:val="auto"/>
                <w:sz w:val="24"/>
                <w:szCs w:val="24"/>
              </w:rPr>
            </w:pPr>
          </w:p>
        </w:tc>
      </w:tr>
      <w:tr w14:paraId="3386CE11">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28" w:type="dxa"/>
          </w:tblCellMar>
        </w:tblPrEx>
        <w:trPr>
          <w:cantSplit/>
          <w:trHeight w:val="524" w:hRule="atLeast"/>
        </w:trPr>
        <w:tc>
          <w:tcPr>
            <w:tcW w:w="628" w:type="dxa"/>
            <w:noWrap w:val="0"/>
            <w:vAlign w:val="center"/>
          </w:tcPr>
          <w:p w14:paraId="636D59D4">
            <w:pPr>
              <w:spacing w:line="240" w:lineRule="auto"/>
              <w:rPr>
                <w:rFonts w:hint="eastAsia" w:ascii="宋体" w:hAnsi="宋体" w:eastAsia="宋体" w:cs="宋体"/>
                <w:color w:val="auto"/>
                <w:sz w:val="24"/>
                <w:szCs w:val="24"/>
              </w:rPr>
            </w:pPr>
          </w:p>
        </w:tc>
        <w:tc>
          <w:tcPr>
            <w:tcW w:w="1920" w:type="dxa"/>
            <w:noWrap w:val="0"/>
            <w:vAlign w:val="center"/>
          </w:tcPr>
          <w:p w14:paraId="25FFB27E">
            <w:pPr>
              <w:spacing w:line="240" w:lineRule="auto"/>
              <w:rPr>
                <w:rFonts w:hint="eastAsia" w:ascii="宋体" w:hAnsi="宋体" w:eastAsia="宋体" w:cs="宋体"/>
                <w:color w:val="auto"/>
                <w:sz w:val="24"/>
                <w:szCs w:val="24"/>
              </w:rPr>
            </w:pPr>
          </w:p>
        </w:tc>
        <w:tc>
          <w:tcPr>
            <w:tcW w:w="2160" w:type="dxa"/>
            <w:noWrap w:val="0"/>
            <w:vAlign w:val="center"/>
          </w:tcPr>
          <w:p w14:paraId="7765E2B9">
            <w:pPr>
              <w:spacing w:line="240" w:lineRule="auto"/>
              <w:rPr>
                <w:rFonts w:hint="eastAsia" w:ascii="宋体" w:hAnsi="宋体" w:eastAsia="宋体" w:cs="宋体"/>
                <w:color w:val="auto"/>
                <w:sz w:val="24"/>
                <w:szCs w:val="24"/>
              </w:rPr>
            </w:pPr>
          </w:p>
        </w:tc>
        <w:tc>
          <w:tcPr>
            <w:tcW w:w="1800" w:type="dxa"/>
            <w:noWrap w:val="0"/>
            <w:vAlign w:val="center"/>
          </w:tcPr>
          <w:p w14:paraId="50AF7C5F">
            <w:pPr>
              <w:spacing w:line="240" w:lineRule="auto"/>
              <w:rPr>
                <w:rFonts w:hint="eastAsia" w:ascii="宋体" w:hAnsi="宋体" w:eastAsia="宋体" w:cs="宋体"/>
                <w:color w:val="auto"/>
                <w:sz w:val="24"/>
                <w:szCs w:val="24"/>
              </w:rPr>
            </w:pPr>
          </w:p>
        </w:tc>
        <w:tc>
          <w:tcPr>
            <w:tcW w:w="1440" w:type="dxa"/>
            <w:noWrap w:val="0"/>
            <w:vAlign w:val="center"/>
          </w:tcPr>
          <w:p w14:paraId="6FEBC069">
            <w:pPr>
              <w:spacing w:line="240" w:lineRule="auto"/>
              <w:rPr>
                <w:rFonts w:hint="eastAsia" w:ascii="宋体" w:hAnsi="宋体" w:eastAsia="宋体" w:cs="宋体"/>
                <w:color w:val="auto"/>
                <w:sz w:val="24"/>
                <w:szCs w:val="24"/>
              </w:rPr>
            </w:pPr>
          </w:p>
        </w:tc>
        <w:tc>
          <w:tcPr>
            <w:tcW w:w="900" w:type="dxa"/>
            <w:noWrap w:val="0"/>
            <w:vAlign w:val="center"/>
          </w:tcPr>
          <w:p w14:paraId="333C1E8D">
            <w:pPr>
              <w:spacing w:line="240" w:lineRule="auto"/>
              <w:rPr>
                <w:rFonts w:hint="eastAsia" w:ascii="宋体" w:hAnsi="宋体" w:eastAsia="宋体" w:cs="宋体"/>
                <w:color w:val="auto"/>
                <w:sz w:val="24"/>
                <w:szCs w:val="24"/>
              </w:rPr>
            </w:pPr>
          </w:p>
        </w:tc>
      </w:tr>
      <w:tr w14:paraId="26E6FFCD">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28" w:type="dxa"/>
          </w:tblCellMar>
        </w:tblPrEx>
        <w:trPr>
          <w:cantSplit/>
          <w:trHeight w:val="524" w:hRule="atLeast"/>
        </w:trPr>
        <w:tc>
          <w:tcPr>
            <w:tcW w:w="628" w:type="dxa"/>
            <w:noWrap w:val="0"/>
            <w:vAlign w:val="center"/>
          </w:tcPr>
          <w:p w14:paraId="504EE0C8">
            <w:pPr>
              <w:spacing w:line="240" w:lineRule="auto"/>
              <w:rPr>
                <w:rFonts w:hint="eastAsia" w:ascii="宋体" w:hAnsi="宋体" w:eastAsia="宋体" w:cs="宋体"/>
                <w:color w:val="auto"/>
                <w:sz w:val="24"/>
                <w:szCs w:val="24"/>
              </w:rPr>
            </w:pPr>
          </w:p>
        </w:tc>
        <w:tc>
          <w:tcPr>
            <w:tcW w:w="1920" w:type="dxa"/>
            <w:noWrap w:val="0"/>
            <w:vAlign w:val="center"/>
          </w:tcPr>
          <w:p w14:paraId="7487B0B7">
            <w:pPr>
              <w:spacing w:line="240" w:lineRule="auto"/>
              <w:rPr>
                <w:rFonts w:hint="eastAsia" w:ascii="宋体" w:hAnsi="宋体" w:eastAsia="宋体" w:cs="宋体"/>
                <w:color w:val="auto"/>
                <w:sz w:val="24"/>
                <w:szCs w:val="24"/>
              </w:rPr>
            </w:pPr>
          </w:p>
        </w:tc>
        <w:tc>
          <w:tcPr>
            <w:tcW w:w="2160" w:type="dxa"/>
            <w:noWrap w:val="0"/>
            <w:vAlign w:val="center"/>
          </w:tcPr>
          <w:p w14:paraId="0CBC61D9">
            <w:pPr>
              <w:spacing w:line="240" w:lineRule="auto"/>
              <w:rPr>
                <w:rFonts w:hint="eastAsia" w:ascii="宋体" w:hAnsi="宋体" w:eastAsia="宋体" w:cs="宋体"/>
                <w:color w:val="auto"/>
                <w:sz w:val="24"/>
                <w:szCs w:val="24"/>
              </w:rPr>
            </w:pPr>
          </w:p>
        </w:tc>
        <w:tc>
          <w:tcPr>
            <w:tcW w:w="1800" w:type="dxa"/>
            <w:noWrap w:val="0"/>
            <w:vAlign w:val="center"/>
          </w:tcPr>
          <w:p w14:paraId="74B0E9F4">
            <w:pPr>
              <w:spacing w:line="240" w:lineRule="auto"/>
              <w:rPr>
                <w:rFonts w:hint="eastAsia" w:ascii="宋体" w:hAnsi="宋体" w:eastAsia="宋体" w:cs="宋体"/>
                <w:color w:val="auto"/>
                <w:sz w:val="24"/>
                <w:szCs w:val="24"/>
              </w:rPr>
            </w:pPr>
          </w:p>
        </w:tc>
        <w:tc>
          <w:tcPr>
            <w:tcW w:w="1440" w:type="dxa"/>
            <w:noWrap w:val="0"/>
            <w:vAlign w:val="center"/>
          </w:tcPr>
          <w:p w14:paraId="6882C941">
            <w:pPr>
              <w:spacing w:line="240" w:lineRule="auto"/>
              <w:rPr>
                <w:rFonts w:hint="eastAsia" w:ascii="宋体" w:hAnsi="宋体" w:eastAsia="宋体" w:cs="宋体"/>
                <w:color w:val="auto"/>
                <w:sz w:val="24"/>
                <w:szCs w:val="24"/>
              </w:rPr>
            </w:pPr>
          </w:p>
        </w:tc>
        <w:tc>
          <w:tcPr>
            <w:tcW w:w="900" w:type="dxa"/>
            <w:noWrap w:val="0"/>
            <w:vAlign w:val="center"/>
          </w:tcPr>
          <w:p w14:paraId="2C27D6EA">
            <w:pPr>
              <w:spacing w:line="240" w:lineRule="auto"/>
              <w:rPr>
                <w:rFonts w:hint="eastAsia" w:ascii="宋体" w:hAnsi="宋体" w:eastAsia="宋体" w:cs="宋体"/>
                <w:color w:val="auto"/>
                <w:sz w:val="24"/>
                <w:szCs w:val="24"/>
              </w:rPr>
            </w:pPr>
          </w:p>
        </w:tc>
      </w:tr>
      <w:tr w14:paraId="2E1E3AFA">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28" w:type="dxa"/>
          </w:tblCellMar>
        </w:tblPrEx>
        <w:trPr>
          <w:cantSplit/>
          <w:trHeight w:val="524" w:hRule="atLeast"/>
        </w:trPr>
        <w:tc>
          <w:tcPr>
            <w:tcW w:w="628" w:type="dxa"/>
            <w:noWrap w:val="0"/>
            <w:vAlign w:val="center"/>
          </w:tcPr>
          <w:p w14:paraId="5162E3AF">
            <w:pPr>
              <w:spacing w:line="240" w:lineRule="auto"/>
              <w:rPr>
                <w:rFonts w:hint="eastAsia" w:ascii="宋体" w:hAnsi="宋体" w:eastAsia="宋体" w:cs="宋体"/>
                <w:color w:val="auto"/>
                <w:sz w:val="24"/>
                <w:szCs w:val="24"/>
              </w:rPr>
            </w:pPr>
          </w:p>
        </w:tc>
        <w:tc>
          <w:tcPr>
            <w:tcW w:w="1920" w:type="dxa"/>
            <w:noWrap w:val="0"/>
            <w:vAlign w:val="center"/>
          </w:tcPr>
          <w:p w14:paraId="18395522">
            <w:pPr>
              <w:spacing w:line="240" w:lineRule="auto"/>
              <w:rPr>
                <w:rFonts w:hint="eastAsia" w:ascii="宋体" w:hAnsi="宋体" w:eastAsia="宋体" w:cs="宋体"/>
                <w:color w:val="auto"/>
                <w:sz w:val="24"/>
                <w:szCs w:val="24"/>
              </w:rPr>
            </w:pPr>
          </w:p>
        </w:tc>
        <w:tc>
          <w:tcPr>
            <w:tcW w:w="2160" w:type="dxa"/>
            <w:noWrap w:val="0"/>
            <w:vAlign w:val="center"/>
          </w:tcPr>
          <w:p w14:paraId="7E6A1478">
            <w:pPr>
              <w:spacing w:line="240" w:lineRule="auto"/>
              <w:rPr>
                <w:rFonts w:hint="eastAsia" w:ascii="宋体" w:hAnsi="宋体" w:eastAsia="宋体" w:cs="宋体"/>
                <w:color w:val="auto"/>
                <w:sz w:val="24"/>
                <w:szCs w:val="24"/>
              </w:rPr>
            </w:pPr>
          </w:p>
        </w:tc>
        <w:tc>
          <w:tcPr>
            <w:tcW w:w="1800" w:type="dxa"/>
            <w:noWrap w:val="0"/>
            <w:vAlign w:val="center"/>
          </w:tcPr>
          <w:p w14:paraId="0CEC4E56">
            <w:pPr>
              <w:spacing w:line="240" w:lineRule="auto"/>
              <w:rPr>
                <w:rFonts w:hint="eastAsia" w:ascii="宋体" w:hAnsi="宋体" w:eastAsia="宋体" w:cs="宋体"/>
                <w:color w:val="auto"/>
                <w:sz w:val="24"/>
                <w:szCs w:val="24"/>
              </w:rPr>
            </w:pPr>
          </w:p>
        </w:tc>
        <w:tc>
          <w:tcPr>
            <w:tcW w:w="1440" w:type="dxa"/>
            <w:noWrap w:val="0"/>
            <w:vAlign w:val="center"/>
          </w:tcPr>
          <w:p w14:paraId="1F6357E2">
            <w:pPr>
              <w:spacing w:line="240" w:lineRule="auto"/>
              <w:rPr>
                <w:rFonts w:hint="eastAsia" w:ascii="宋体" w:hAnsi="宋体" w:eastAsia="宋体" w:cs="宋体"/>
                <w:color w:val="auto"/>
                <w:sz w:val="24"/>
                <w:szCs w:val="24"/>
              </w:rPr>
            </w:pPr>
          </w:p>
        </w:tc>
        <w:tc>
          <w:tcPr>
            <w:tcW w:w="900" w:type="dxa"/>
            <w:noWrap w:val="0"/>
            <w:vAlign w:val="center"/>
          </w:tcPr>
          <w:p w14:paraId="49DF1E53">
            <w:pPr>
              <w:spacing w:line="240" w:lineRule="auto"/>
              <w:rPr>
                <w:rFonts w:hint="eastAsia" w:ascii="宋体" w:hAnsi="宋体" w:eastAsia="宋体" w:cs="宋体"/>
                <w:color w:val="auto"/>
                <w:sz w:val="24"/>
                <w:szCs w:val="24"/>
              </w:rPr>
            </w:pPr>
          </w:p>
        </w:tc>
      </w:tr>
      <w:tr w14:paraId="652BEEF4">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28" w:type="dxa"/>
          </w:tblCellMar>
        </w:tblPrEx>
        <w:trPr>
          <w:cantSplit/>
          <w:trHeight w:val="524" w:hRule="atLeast"/>
        </w:trPr>
        <w:tc>
          <w:tcPr>
            <w:tcW w:w="628" w:type="dxa"/>
            <w:noWrap w:val="0"/>
            <w:vAlign w:val="center"/>
          </w:tcPr>
          <w:p w14:paraId="75B2DA53">
            <w:pPr>
              <w:spacing w:line="240" w:lineRule="auto"/>
              <w:rPr>
                <w:rFonts w:hint="eastAsia" w:ascii="宋体" w:hAnsi="宋体" w:eastAsia="宋体" w:cs="宋体"/>
                <w:color w:val="auto"/>
                <w:sz w:val="24"/>
                <w:szCs w:val="24"/>
              </w:rPr>
            </w:pPr>
          </w:p>
        </w:tc>
        <w:tc>
          <w:tcPr>
            <w:tcW w:w="1920" w:type="dxa"/>
            <w:noWrap w:val="0"/>
            <w:vAlign w:val="center"/>
          </w:tcPr>
          <w:p w14:paraId="2E60BE59">
            <w:pPr>
              <w:spacing w:line="240" w:lineRule="auto"/>
              <w:rPr>
                <w:rFonts w:hint="eastAsia" w:ascii="宋体" w:hAnsi="宋体" w:eastAsia="宋体" w:cs="宋体"/>
                <w:color w:val="auto"/>
                <w:sz w:val="24"/>
                <w:szCs w:val="24"/>
              </w:rPr>
            </w:pPr>
          </w:p>
        </w:tc>
        <w:tc>
          <w:tcPr>
            <w:tcW w:w="2160" w:type="dxa"/>
            <w:noWrap w:val="0"/>
            <w:vAlign w:val="center"/>
          </w:tcPr>
          <w:p w14:paraId="0033C999">
            <w:pPr>
              <w:spacing w:line="240" w:lineRule="auto"/>
              <w:rPr>
                <w:rFonts w:hint="eastAsia" w:ascii="宋体" w:hAnsi="宋体" w:eastAsia="宋体" w:cs="宋体"/>
                <w:color w:val="auto"/>
                <w:sz w:val="24"/>
                <w:szCs w:val="24"/>
              </w:rPr>
            </w:pPr>
          </w:p>
        </w:tc>
        <w:tc>
          <w:tcPr>
            <w:tcW w:w="1800" w:type="dxa"/>
            <w:noWrap w:val="0"/>
            <w:vAlign w:val="center"/>
          </w:tcPr>
          <w:p w14:paraId="0868D50C">
            <w:pPr>
              <w:spacing w:line="240" w:lineRule="auto"/>
              <w:rPr>
                <w:rFonts w:hint="eastAsia" w:ascii="宋体" w:hAnsi="宋体" w:eastAsia="宋体" w:cs="宋体"/>
                <w:color w:val="auto"/>
                <w:sz w:val="24"/>
                <w:szCs w:val="24"/>
              </w:rPr>
            </w:pPr>
          </w:p>
        </w:tc>
        <w:tc>
          <w:tcPr>
            <w:tcW w:w="1440" w:type="dxa"/>
            <w:noWrap w:val="0"/>
            <w:vAlign w:val="center"/>
          </w:tcPr>
          <w:p w14:paraId="1FD22991">
            <w:pPr>
              <w:spacing w:line="240" w:lineRule="auto"/>
              <w:rPr>
                <w:rFonts w:hint="eastAsia" w:ascii="宋体" w:hAnsi="宋体" w:eastAsia="宋体" w:cs="宋体"/>
                <w:color w:val="auto"/>
                <w:sz w:val="24"/>
                <w:szCs w:val="24"/>
              </w:rPr>
            </w:pPr>
          </w:p>
        </w:tc>
        <w:tc>
          <w:tcPr>
            <w:tcW w:w="900" w:type="dxa"/>
            <w:noWrap w:val="0"/>
            <w:vAlign w:val="center"/>
          </w:tcPr>
          <w:p w14:paraId="62F0ECD4">
            <w:pPr>
              <w:spacing w:line="240" w:lineRule="auto"/>
              <w:rPr>
                <w:rFonts w:hint="eastAsia" w:ascii="宋体" w:hAnsi="宋体" w:eastAsia="宋体" w:cs="宋体"/>
                <w:color w:val="auto"/>
                <w:sz w:val="24"/>
                <w:szCs w:val="24"/>
              </w:rPr>
            </w:pPr>
          </w:p>
        </w:tc>
      </w:tr>
      <w:tr w14:paraId="19C26B4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28" w:type="dxa"/>
          </w:tblCellMar>
        </w:tblPrEx>
        <w:trPr>
          <w:cantSplit/>
          <w:trHeight w:val="524" w:hRule="atLeast"/>
        </w:trPr>
        <w:tc>
          <w:tcPr>
            <w:tcW w:w="628" w:type="dxa"/>
            <w:noWrap w:val="0"/>
            <w:vAlign w:val="center"/>
          </w:tcPr>
          <w:p w14:paraId="72315B45">
            <w:pPr>
              <w:spacing w:line="240" w:lineRule="auto"/>
              <w:rPr>
                <w:rFonts w:hint="eastAsia" w:ascii="宋体" w:hAnsi="宋体" w:eastAsia="宋体" w:cs="宋体"/>
                <w:color w:val="auto"/>
                <w:sz w:val="24"/>
                <w:szCs w:val="24"/>
              </w:rPr>
            </w:pPr>
          </w:p>
        </w:tc>
        <w:tc>
          <w:tcPr>
            <w:tcW w:w="1920" w:type="dxa"/>
            <w:noWrap w:val="0"/>
            <w:vAlign w:val="center"/>
          </w:tcPr>
          <w:p w14:paraId="173F3A5F">
            <w:pPr>
              <w:spacing w:line="240" w:lineRule="auto"/>
              <w:rPr>
                <w:rFonts w:hint="eastAsia" w:ascii="宋体" w:hAnsi="宋体" w:eastAsia="宋体" w:cs="宋体"/>
                <w:color w:val="auto"/>
                <w:sz w:val="24"/>
                <w:szCs w:val="24"/>
              </w:rPr>
            </w:pPr>
          </w:p>
        </w:tc>
        <w:tc>
          <w:tcPr>
            <w:tcW w:w="2160" w:type="dxa"/>
            <w:noWrap w:val="0"/>
            <w:vAlign w:val="center"/>
          </w:tcPr>
          <w:p w14:paraId="20C62BB0">
            <w:pPr>
              <w:spacing w:line="240" w:lineRule="auto"/>
              <w:rPr>
                <w:rFonts w:hint="eastAsia" w:ascii="宋体" w:hAnsi="宋体" w:eastAsia="宋体" w:cs="宋体"/>
                <w:color w:val="auto"/>
                <w:sz w:val="24"/>
                <w:szCs w:val="24"/>
              </w:rPr>
            </w:pPr>
          </w:p>
        </w:tc>
        <w:tc>
          <w:tcPr>
            <w:tcW w:w="1800" w:type="dxa"/>
            <w:noWrap w:val="0"/>
            <w:vAlign w:val="center"/>
          </w:tcPr>
          <w:p w14:paraId="08A39B90">
            <w:pPr>
              <w:spacing w:line="240" w:lineRule="auto"/>
              <w:rPr>
                <w:rFonts w:hint="eastAsia" w:ascii="宋体" w:hAnsi="宋体" w:eastAsia="宋体" w:cs="宋体"/>
                <w:color w:val="auto"/>
                <w:sz w:val="24"/>
                <w:szCs w:val="24"/>
              </w:rPr>
            </w:pPr>
          </w:p>
        </w:tc>
        <w:tc>
          <w:tcPr>
            <w:tcW w:w="1440" w:type="dxa"/>
            <w:noWrap w:val="0"/>
            <w:vAlign w:val="center"/>
          </w:tcPr>
          <w:p w14:paraId="6D3959A4">
            <w:pPr>
              <w:spacing w:line="240" w:lineRule="auto"/>
              <w:rPr>
                <w:rFonts w:hint="eastAsia" w:ascii="宋体" w:hAnsi="宋体" w:eastAsia="宋体" w:cs="宋体"/>
                <w:color w:val="auto"/>
                <w:sz w:val="24"/>
                <w:szCs w:val="24"/>
              </w:rPr>
            </w:pPr>
          </w:p>
        </w:tc>
        <w:tc>
          <w:tcPr>
            <w:tcW w:w="900" w:type="dxa"/>
            <w:noWrap w:val="0"/>
            <w:vAlign w:val="center"/>
          </w:tcPr>
          <w:p w14:paraId="3C27A9A5">
            <w:pPr>
              <w:spacing w:line="240" w:lineRule="auto"/>
              <w:rPr>
                <w:rFonts w:hint="eastAsia" w:ascii="宋体" w:hAnsi="宋体" w:eastAsia="宋体" w:cs="宋体"/>
                <w:color w:val="auto"/>
                <w:sz w:val="24"/>
                <w:szCs w:val="24"/>
              </w:rPr>
            </w:pPr>
          </w:p>
        </w:tc>
      </w:tr>
    </w:tbl>
    <w:p w14:paraId="47B1FB39">
      <w:pPr>
        <w:spacing w:after="240"/>
        <w:ind w:hanging="119"/>
        <w:rPr>
          <w:rFonts w:hint="eastAsia" w:ascii="宋体" w:hAnsi="宋体" w:eastAsia="宋体" w:cs="宋体"/>
          <w:color w:val="auto"/>
        </w:rPr>
      </w:pPr>
    </w:p>
    <w:p w14:paraId="29B84018">
      <w:pPr>
        <w:pStyle w:val="81"/>
        <w:keepNext w:val="0"/>
        <w:keepLines w:val="0"/>
        <w:pageBreakBefore w:val="0"/>
        <w:widowControl w:val="0"/>
        <w:tabs>
          <w:tab w:val="left" w:pos="5580"/>
        </w:tabs>
        <w:kinsoku/>
        <w:wordWrap/>
        <w:overflowPunct/>
        <w:topLinePunct w:val="0"/>
        <w:autoSpaceDE/>
        <w:autoSpaceDN/>
        <w:bidi w:val="0"/>
        <w:adjustRightInd/>
        <w:snapToGrid/>
        <w:spacing w:before="120" w:line="360" w:lineRule="auto"/>
        <w:textAlignment w:val="auto"/>
        <w:rPr>
          <w:rFonts w:hint="eastAsia" w:ascii="宋体" w:hAnsi="宋体" w:eastAsia="宋体" w:cs="宋体"/>
          <w:color w:val="auto"/>
          <w:sz w:val="24"/>
        </w:rPr>
      </w:pPr>
      <w:r>
        <w:rPr>
          <w:rFonts w:hint="eastAsia" w:hAnsi="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lang w:eastAsia="zh-CN"/>
        </w:rPr>
        <w:t>(公章):</w:t>
      </w:r>
    </w:p>
    <w:p w14:paraId="36445FCA">
      <w:pPr>
        <w:pStyle w:val="81"/>
        <w:keepNext w:val="0"/>
        <w:keepLines w:val="0"/>
        <w:pageBreakBefore w:val="0"/>
        <w:widowControl w:val="0"/>
        <w:tabs>
          <w:tab w:val="left" w:pos="5340"/>
        </w:tabs>
        <w:kinsoku/>
        <w:wordWrap/>
        <w:overflowPunct/>
        <w:topLinePunct w:val="0"/>
        <w:autoSpaceDE/>
        <w:autoSpaceDN/>
        <w:bidi w:val="0"/>
        <w:adjustRightInd/>
        <w:snapToGrid/>
        <w:spacing w:before="120" w:line="360" w:lineRule="auto"/>
        <w:textAlignment w:val="auto"/>
        <w:rPr>
          <w:rFonts w:hint="eastAsia" w:ascii="宋体" w:hAnsi="宋体" w:eastAsia="宋体" w:cs="宋体"/>
          <w:color w:val="auto"/>
          <w:sz w:val="24"/>
          <w:u w:val="single"/>
          <w:lang w:val="en-US" w:eastAsia="zh-CN"/>
        </w:rPr>
      </w:pPr>
      <w:r>
        <w:rPr>
          <w:rFonts w:hint="eastAsia" w:ascii="宋体" w:hAnsi="宋体" w:eastAsia="宋体" w:cs="宋体"/>
          <w:color w:val="auto"/>
          <w:kern w:val="0"/>
          <w:sz w:val="24"/>
        </w:rPr>
        <w:t>法定代表人或其委托代理人</w:t>
      </w:r>
      <w:r>
        <w:rPr>
          <w:rFonts w:hint="eastAsia" w:ascii="宋体" w:hAnsi="宋体" w:eastAsia="宋体" w:cs="宋体"/>
          <w:color w:val="auto"/>
          <w:sz w:val="24"/>
        </w:rPr>
        <w:t>(签字或盖章)</w:t>
      </w:r>
      <w:r>
        <w:rPr>
          <w:rFonts w:hint="eastAsia" w:ascii="宋体" w:hAnsi="宋体" w:eastAsia="宋体" w:cs="宋体"/>
          <w:color w:val="auto"/>
          <w:sz w:val="24"/>
          <w:lang w:eastAsia="zh-CN"/>
        </w:rPr>
        <w:t>:</w:t>
      </w:r>
    </w:p>
    <w:p w14:paraId="4BE6953A">
      <w:pPr>
        <w:pStyle w:val="81"/>
        <w:keepNext w:val="0"/>
        <w:keepLines w:val="0"/>
        <w:pageBreakBefore w:val="0"/>
        <w:widowControl w:val="0"/>
        <w:tabs>
          <w:tab w:val="left" w:pos="5580"/>
        </w:tabs>
        <w:kinsoku/>
        <w:wordWrap/>
        <w:overflowPunct/>
        <w:topLinePunct w:val="0"/>
        <w:autoSpaceDE/>
        <w:autoSpaceDN/>
        <w:bidi w:val="0"/>
        <w:adjustRightInd/>
        <w:snapToGrid/>
        <w:spacing w:before="120" w:line="360" w:lineRule="auto"/>
        <w:textAlignment w:val="auto"/>
        <w:rPr>
          <w:rFonts w:hint="eastAsia" w:ascii="宋体" w:hAnsi="宋体" w:eastAsia="宋体" w:cs="宋体"/>
          <w:color w:val="auto"/>
          <w:sz w:val="24"/>
          <w:lang w:eastAsia="zh-CN"/>
        </w:rPr>
      </w:pPr>
      <w:r>
        <w:rPr>
          <w:rFonts w:hint="eastAsia" w:ascii="宋体" w:hAnsi="宋体" w:eastAsia="宋体" w:cs="宋体"/>
          <w:color w:val="auto"/>
          <w:sz w:val="24"/>
        </w:rPr>
        <w:t>日期</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u w:val="none"/>
          <w:lang w:eastAsia="zh-CN"/>
        </w:rPr>
        <w:t>年</w:t>
      </w:r>
      <w:r>
        <w:rPr>
          <w:rFonts w:hint="eastAsia" w:ascii="宋体" w:hAnsi="宋体" w:eastAsia="宋体" w:cs="宋体"/>
          <w:color w:val="auto"/>
          <w:sz w:val="24"/>
          <w:u w:val="none"/>
          <w:lang w:val="en-US" w:eastAsia="zh-CN"/>
        </w:rPr>
        <w:t xml:space="preserve">   </w:t>
      </w:r>
      <w:r>
        <w:rPr>
          <w:rFonts w:hint="eastAsia" w:ascii="宋体" w:hAnsi="宋体" w:eastAsia="宋体" w:cs="宋体"/>
          <w:color w:val="auto"/>
          <w:sz w:val="24"/>
          <w:u w:val="none"/>
          <w:lang w:eastAsia="zh-CN"/>
        </w:rPr>
        <w:t>月</w:t>
      </w:r>
      <w:r>
        <w:rPr>
          <w:rFonts w:hint="eastAsia" w:ascii="宋体" w:hAnsi="宋体" w:eastAsia="宋体" w:cs="宋体"/>
          <w:color w:val="auto"/>
          <w:sz w:val="24"/>
          <w:u w:val="none"/>
          <w:lang w:val="en-US" w:eastAsia="zh-CN"/>
        </w:rPr>
        <w:t xml:space="preserve">   </w:t>
      </w:r>
      <w:r>
        <w:rPr>
          <w:rFonts w:hint="eastAsia" w:ascii="宋体" w:hAnsi="宋体" w:eastAsia="宋体" w:cs="宋体"/>
          <w:color w:val="auto"/>
          <w:sz w:val="24"/>
          <w:u w:val="none"/>
          <w:lang w:eastAsia="zh-CN"/>
        </w:rPr>
        <w:t>日</w:t>
      </w:r>
    </w:p>
    <w:p w14:paraId="64EC7D5F">
      <w:pPr>
        <w:rPr>
          <w:rFonts w:hint="eastAsia" w:ascii="宋体" w:hAnsi="宋体" w:eastAsia="宋体" w:cs="宋体"/>
          <w:color w:val="auto"/>
        </w:rPr>
      </w:pPr>
    </w:p>
    <w:p w14:paraId="44ACDCE5">
      <w:pPr>
        <w:pStyle w:val="81"/>
        <w:keepNext w:val="0"/>
        <w:keepLines w:val="0"/>
        <w:pageBreakBefore w:val="0"/>
        <w:widowControl w:val="0"/>
        <w:tabs>
          <w:tab w:val="left" w:pos="5580"/>
        </w:tabs>
        <w:kinsoku/>
        <w:wordWrap/>
        <w:overflowPunct/>
        <w:topLinePunct w:val="0"/>
        <w:autoSpaceDE/>
        <w:autoSpaceDN/>
        <w:bidi w:val="0"/>
        <w:adjustRightInd/>
        <w:snapToGrid/>
        <w:spacing w:before="120" w:line="360" w:lineRule="auto"/>
        <w:textAlignment w:val="auto"/>
        <w:rPr>
          <w:rFonts w:hint="eastAsia" w:ascii="宋体" w:hAnsi="宋体" w:eastAsia="宋体" w:cs="宋体"/>
          <w:color w:val="auto"/>
          <w:sz w:val="24"/>
        </w:rPr>
      </w:pPr>
      <w:r>
        <w:rPr>
          <w:rFonts w:hint="eastAsia" w:ascii="宋体" w:hAnsi="宋体" w:eastAsia="宋体" w:cs="宋体"/>
          <w:color w:val="auto"/>
          <w:sz w:val="24"/>
        </w:rPr>
        <w:t>注</w:t>
      </w:r>
      <w:r>
        <w:rPr>
          <w:rFonts w:hint="eastAsia" w:ascii="宋体" w:hAnsi="宋体" w:eastAsia="宋体" w:cs="宋体"/>
          <w:color w:val="auto"/>
          <w:sz w:val="24"/>
          <w:lang w:eastAsia="zh-CN"/>
        </w:rPr>
        <w:t>:</w:t>
      </w:r>
      <w:r>
        <w:rPr>
          <w:rFonts w:hint="eastAsia" w:hAnsi="宋体" w:cs="宋体"/>
          <w:color w:val="auto"/>
          <w:sz w:val="24"/>
          <w:lang w:eastAsia="zh-CN"/>
        </w:rPr>
        <w:t>供应商</w:t>
      </w:r>
      <w:r>
        <w:rPr>
          <w:rFonts w:hint="eastAsia" w:ascii="宋体" w:hAnsi="宋体" w:eastAsia="宋体" w:cs="宋体"/>
          <w:color w:val="auto"/>
          <w:sz w:val="24"/>
        </w:rPr>
        <w:t>递交的投标文件中与招标文件的</w:t>
      </w:r>
      <w:r>
        <w:rPr>
          <w:rFonts w:hint="eastAsia" w:ascii="宋体" w:hAnsi="宋体" w:eastAsia="宋体" w:cs="宋体"/>
          <w:color w:val="auto"/>
          <w:sz w:val="24"/>
          <w:lang w:val="en-US" w:eastAsia="zh-CN"/>
        </w:rPr>
        <w:t>商务</w:t>
      </w:r>
      <w:r>
        <w:rPr>
          <w:rFonts w:hint="eastAsia" w:ascii="宋体" w:hAnsi="宋体" w:eastAsia="宋体" w:cs="宋体"/>
          <w:color w:val="auto"/>
          <w:sz w:val="24"/>
        </w:rPr>
        <w:t>部分的要求有不同时，应逐条列在</w:t>
      </w:r>
      <w:r>
        <w:rPr>
          <w:rFonts w:hint="eastAsia" w:ascii="宋体" w:hAnsi="宋体" w:eastAsia="宋体" w:cs="宋体"/>
          <w:color w:val="auto"/>
          <w:sz w:val="24"/>
          <w:lang w:val="en-US" w:eastAsia="zh-CN"/>
        </w:rPr>
        <w:t>商务</w:t>
      </w:r>
      <w:r>
        <w:rPr>
          <w:rFonts w:hint="eastAsia" w:ascii="宋体" w:hAnsi="宋体" w:eastAsia="宋体" w:cs="宋体"/>
          <w:color w:val="auto"/>
          <w:sz w:val="24"/>
        </w:rPr>
        <w:t>偏差表中，否则将认为</w:t>
      </w:r>
      <w:r>
        <w:rPr>
          <w:rFonts w:hint="eastAsia" w:hAnsi="宋体" w:cs="宋体"/>
          <w:color w:val="auto"/>
          <w:sz w:val="24"/>
          <w:lang w:eastAsia="zh-CN"/>
        </w:rPr>
        <w:t>供应商</w:t>
      </w:r>
      <w:r>
        <w:rPr>
          <w:rFonts w:hint="eastAsia" w:ascii="宋体" w:hAnsi="宋体" w:eastAsia="宋体" w:cs="宋体"/>
          <w:color w:val="auto"/>
          <w:sz w:val="24"/>
        </w:rPr>
        <w:t>接受招标文件的要求。</w:t>
      </w:r>
    </w:p>
    <w:p w14:paraId="5A491F87">
      <w:pPr>
        <w:outlineLvl w:val="9"/>
        <w:rPr>
          <w:rFonts w:ascii="宋体" w:hAnsi="宋体" w:cs="宋体"/>
          <w:b/>
          <w:color w:val="auto"/>
          <w:sz w:val="24"/>
        </w:rPr>
      </w:pPr>
      <w:r>
        <w:rPr>
          <w:rFonts w:hint="eastAsia" w:ascii="宋体" w:hAnsi="宋体" w:cs="宋体"/>
          <w:b/>
          <w:color w:val="auto"/>
          <w:sz w:val="24"/>
        </w:rPr>
        <w:br w:type="page"/>
      </w:r>
    </w:p>
    <w:p w14:paraId="64318898">
      <w:pPr>
        <w:spacing w:line="360" w:lineRule="auto"/>
        <w:outlineLvl w:val="1"/>
        <w:rPr>
          <w:rFonts w:hint="eastAsia" w:ascii="宋体" w:hAnsi="宋体" w:eastAsia="宋体" w:cs="宋体"/>
          <w:b/>
          <w:color w:val="auto"/>
          <w:sz w:val="24"/>
          <w:szCs w:val="24"/>
        </w:rPr>
      </w:pPr>
      <w:bookmarkStart w:id="248" w:name="_Toc9610"/>
      <w:bookmarkStart w:id="249" w:name="_Toc18481"/>
      <w:bookmarkStart w:id="250" w:name="_Toc9364"/>
      <w:r>
        <w:rPr>
          <w:rFonts w:hint="eastAsia" w:ascii="宋体" w:hAnsi="宋体" w:eastAsia="宋体" w:cs="宋体"/>
          <w:b/>
          <w:color w:val="auto"/>
          <w:sz w:val="24"/>
          <w:szCs w:val="24"/>
        </w:rPr>
        <w:t xml:space="preserve">附件8 </w:t>
      </w:r>
      <w:r>
        <w:rPr>
          <w:rFonts w:hint="eastAsia" w:ascii="宋体" w:hAnsi="宋体" w:cs="宋体"/>
          <w:b/>
          <w:color w:val="auto"/>
          <w:sz w:val="24"/>
          <w:szCs w:val="24"/>
          <w:lang w:eastAsia="zh-CN"/>
        </w:rPr>
        <w:t>供应商</w:t>
      </w:r>
      <w:r>
        <w:rPr>
          <w:rFonts w:hint="eastAsia" w:ascii="宋体" w:hAnsi="宋体" w:eastAsia="宋体" w:cs="宋体"/>
          <w:b/>
          <w:color w:val="auto"/>
          <w:sz w:val="24"/>
          <w:szCs w:val="24"/>
        </w:rPr>
        <w:t>基本情况表</w:t>
      </w:r>
      <w:bookmarkEnd w:id="248"/>
      <w:bookmarkEnd w:id="249"/>
      <w:bookmarkEnd w:id="250"/>
    </w:p>
    <w:p w14:paraId="67D4CF14">
      <w:pPr>
        <w:rPr>
          <w:rFonts w:hint="eastAsia" w:ascii="宋体" w:hAnsi="宋体" w:eastAsia="宋体" w:cs="宋体"/>
          <w:color w:val="auto"/>
          <w:sz w:val="24"/>
          <w:szCs w:val="24"/>
        </w:rPr>
      </w:pPr>
    </w:p>
    <w:p w14:paraId="2008DD91">
      <w:pPr>
        <w:spacing w:line="440" w:lineRule="exact"/>
        <w:ind w:firstLine="480" w:firstLineChars="200"/>
        <w:rPr>
          <w:rFonts w:hint="eastAsia" w:ascii="宋体" w:hAnsi="宋体" w:eastAsia="宋体" w:cs="宋体"/>
          <w:color w:val="auto"/>
          <w:sz w:val="24"/>
          <w:szCs w:val="24"/>
        </w:rPr>
      </w:pPr>
    </w:p>
    <w:tbl>
      <w:tblPr>
        <w:tblStyle w:val="4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97"/>
        <w:gridCol w:w="2887"/>
        <w:gridCol w:w="140"/>
        <w:gridCol w:w="1238"/>
        <w:gridCol w:w="197"/>
        <w:gridCol w:w="2363"/>
      </w:tblGrid>
      <w:tr w14:paraId="274F0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97" w:type="dxa"/>
            <w:vAlign w:val="center"/>
          </w:tcPr>
          <w:p w14:paraId="2E506703">
            <w:pPr>
              <w:rPr>
                <w:rFonts w:hint="eastAsia" w:ascii="宋体" w:hAnsi="宋体" w:eastAsia="宋体" w:cs="宋体"/>
                <w:color w:val="auto"/>
                <w:sz w:val="24"/>
                <w:szCs w:val="24"/>
              </w:rPr>
            </w:pPr>
            <w:r>
              <w:rPr>
                <w:rFonts w:hint="eastAsia" w:ascii="宋体" w:hAnsi="宋体" w:eastAsia="宋体" w:cs="宋体"/>
                <w:color w:val="auto"/>
                <w:sz w:val="24"/>
                <w:szCs w:val="24"/>
              </w:rPr>
              <w:t>企业名称</w:t>
            </w:r>
          </w:p>
        </w:tc>
        <w:tc>
          <w:tcPr>
            <w:tcW w:w="3027" w:type="dxa"/>
            <w:gridSpan w:val="2"/>
            <w:vAlign w:val="center"/>
          </w:tcPr>
          <w:p w14:paraId="590B6628">
            <w:pPr>
              <w:rPr>
                <w:rFonts w:hint="eastAsia" w:ascii="宋体" w:hAnsi="宋体" w:eastAsia="宋体" w:cs="宋体"/>
                <w:color w:val="auto"/>
                <w:sz w:val="24"/>
                <w:szCs w:val="24"/>
              </w:rPr>
            </w:pPr>
          </w:p>
        </w:tc>
        <w:tc>
          <w:tcPr>
            <w:tcW w:w="1435" w:type="dxa"/>
            <w:gridSpan w:val="2"/>
            <w:vAlign w:val="center"/>
          </w:tcPr>
          <w:p w14:paraId="1E6B4CBD">
            <w:pPr>
              <w:rPr>
                <w:rFonts w:hint="eastAsia" w:ascii="宋体" w:hAnsi="宋体" w:eastAsia="宋体" w:cs="宋体"/>
                <w:color w:val="auto"/>
                <w:sz w:val="24"/>
                <w:szCs w:val="24"/>
              </w:rPr>
            </w:pPr>
            <w:r>
              <w:rPr>
                <w:rFonts w:hint="eastAsia" w:ascii="宋体" w:hAnsi="宋体" w:eastAsia="宋体" w:cs="宋体"/>
                <w:color w:val="auto"/>
                <w:sz w:val="24"/>
                <w:szCs w:val="24"/>
              </w:rPr>
              <w:t>成立日期</w:t>
            </w:r>
          </w:p>
        </w:tc>
        <w:tc>
          <w:tcPr>
            <w:tcW w:w="2363" w:type="dxa"/>
            <w:vAlign w:val="center"/>
          </w:tcPr>
          <w:p w14:paraId="2C55567B">
            <w:pPr>
              <w:rPr>
                <w:rFonts w:hint="eastAsia" w:ascii="宋体" w:hAnsi="宋体" w:eastAsia="宋体" w:cs="宋体"/>
                <w:color w:val="auto"/>
                <w:sz w:val="24"/>
                <w:szCs w:val="24"/>
              </w:rPr>
            </w:pPr>
          </w:p>
        </w:tc>
      </w:tr>
      <w:tr w14:paraId="1E29D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24" w:type="dxa"/>
            <w:gridSpan w:val="3"/>
            <w:vAlign w:val="center"/>
          </w:tcPr>
          <w:p w14:paraId="4CFCAB49">
            <w:pPr>
              <w:rPr>
                <w:rFonts w:hint="eastAsia" w:ascii="宋体" w:hAnsi="宋体" w:eastAsia="宋体" w:cs="宋体"/>
                <w:color w:val="auto"/>
                <w:sz w:val="24"/>
                <w:szCs w:val="24"/>
              </w:rPr>
            </w:pPr>
            <w:r>
              <w:rPr>
                <w:rFonts w:hint="eastAsia" w:ascii="宋体" w:hAnsi="宋体" w:eastAsia="宋体" w:cs="宋体"/>
                <w:color w:val="auto"/>
                <w:sz w:val="24"/>
                <w:szCs w:val="24"/>
              </w:rPr>
              <w:t>企业法人</w:t>
            </w:r>
            <w:r>
              <w:rPr>
                <w:rFonts w:hint="eastAsia" w:ascii="宋体" w:hAnsi="宋体" w:eastAsia="宋体" w:cs="宋体"/>
                <w:color w:val="auto"/>
                <w:sz w:val="24"/>
                <w:szCs w:val="24"/>
                <w:lang w:val="en-US" w:eastAsia="zh-CN"/>
              </w:rPr>
              <w:t>统一社会信用代码</w:t>
            </w:r>
          </w:p>
        </w:tc>
        <w:tc>
          <w:tcPr>
            <w:tcW w:w="3798" w:type="dxa"/>
            <w:gridSpan w:val="3"/>
            <w:vAlign w:val="center"/>
          </w:tcPr>
          <w:p w14:paraId="0850743B">
            <w:pPr>
              <w:rPr>
                <w:rFonts w:hint="eastAsia" w:ascii="宋体" w:hAnsi="宋体" w:eastAsia="宋体" w:cs="宋体"/>
                <w:color w:val="auto"/>
                <w:sz w:val="24"/>
                <w:szCs w:val="24"/>
              </w:rPr>
            </w:pPr>
          </w:p>
        </w:tc>
      </w:tr>
      <w:tr w14:paraId="7047F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24" w:type="dxa"/>
            <w:gridSpan w:val="3"/>
            <w:vAlign w:val="center"/>
          </w:tcPr>
          <w:p w14:paraId="6ABAF0DA">
            <w:pPr>
              <w:rPr>
                <w:rFonts w:hint="eastAsia" w:ascii="宋体" w:hAnsi="宋体" w:eastAsia="宋体" w:cs="宋体"/>
                <w:color w:val="auto"/>
                <w:sz w:val="24"/>
                <w:szCs w:val="24"/>
              </w:rPr>
            </w:pPr>
            <w:r>
              <w:rPr>
                <w:rFonts w:hint="eastAsia" w:ascii="宋体" w:hAnsi="宋体" w:eastAsia="宋体" w:cs="宋体"/>
                <w:color w:val="auto"/>
                <w:sz w:val="24"/>
                <w:szCs w:val="24"/>
              </w:rPr>
              <w:t>批准登记机关</w:t>
            </w:r>
          </w:p>
        </w:tc>
        <w:tc>
          <w:tcPr>
            <w:tcW w:w="3798" w:type="dxa"/>
            <w:gridSpan w:val="3"/>
            <w:vAlign w:val="center"/>
          </w:tcPr>
          <w:p w14:paraId="2D7F28EB">
            <w:pPr>
              <w:rPr>
                <w:rFonts w:hint="eastAsia" w:ascii="宋体" w:hAnsi="宋体" w:eastAsia="宋体" w:cs="宋体"/>
                <w:color w:val="auto"/>
                <w:sz w:val="24"/>
                <w:szCs w:val="24"/>
              </w:rPr>
            </w:pPr>
          </w:p>
        </w:tc>
      </w:tr>
      <w:tr w14:paraId="38645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97" w:type="dxa"/>
            <w:vAlign w:val="center"/>
          </w:tcPr>
          <w:p w14:paraId="615EA6D0">
            <w:pPr>
              <w:rPr>
                <w:rFonts w:hint="eastAsia" w:ascii="宋体" w:hAnsi="宋体" w:eastAsia="宋体" w:cs="宋体"/>
                <w:color w:val="auto"/>
                <w:sz w:val="24"/>
                <w:szCs w:val="24"/>
              </w:rPr>
            </w:pPr>
            <w:r>
              <w:rPr>
                <w:rFonts w:hint="eastAsia" w:ascii="宋体" w:hAnsi="宋体" w:eastAsia="宋体" w:cs="宋体"/>
                <w:color w:val="auto"/>
                <w:sz w:val="24"/>
                <w:szCs w:val="24"/>
              </w:rPr>
              <w:t>注册资本</w:t>
            </w:r>
          </w:p>
        </w:tc>
        <w:tc>
          <w:tcPr>
            <w:tcW w:w="3027" w:type="dxa"/>
            <w:gridSpan w:val="2"/>
            <w:vAlign w:val="center"/>
          </w:tcPr>
          <w:p w14:paraId="35B81292">
            <w:pPr>
              <w:rPr>
                <w:rFonts w:hint="eastAsia" w:ascii="宋体" w:hAnsi="宋体" w:eastAsia="宋体" w:cs="宋体"/>
                <w:color w:val="auto"/>
                <w:sz w:val="24"/>
                <w:szCs w:val="24"/>
              </w:rPr>
            </w:pPr>
          </w:p>
        </w:tc>
        <w:tc>
          <w:tcPr>
            <w:tcW w:w="1435" w:type="dxa"/>
            <w:gridSpan w:val="2"/>
            <w:vAlign w:val="center"/>
          </w:tcPr>
          <w:p w14:paraId="4CC6728F">
            <w:pPr>
              <w:rPr>
                <w:rFonts w:hint="eastAsia" w:ascii="宋体" w:hAnsi="宋体" w:eastAsia="宋体" w:cs="宋体"/>
                <w:color w:val="auto"/>
                <w:sz w:val="24"/>
                <w:szCs w:val="24"/>
              </w:rPr>
            </w:pPr>
            <w:r>
              <w:rPr>
                <w:rFonts w:hint="eastAsia" w:ascii="宋体" w:hAnsi="宋体" w:eastAsia="宋体" w:cs="宋体"/>
                <w:color w:val="auto"/>
                <w:sz w:val="24"/>
                <w:szCs w:val="24"/>
              </w:rPr>
              <w:t>企业类型</w:t>
            </w:r>
          </w:p>
        </w:tc>
        <w:tc>
          <w:tcPr>
            <w:tcW w:w="2363" w:type="dxa"/>
            <w:vAlign w:val="center"/>
          </w:tcPr>
          <w:p w14:paraId="44659E7D">
            <w:pPr>
              <w:rPr>
                <w:rFonts w:hint="eastAsia" w:ascii="宋体" w:hAnsi="宋体" w:eastAsia="宋体" w:cs="宋体"/>
                <w:color w:val="auto"/>
                <w:sz w:val="24"/>
                <w:szCs w:val="24"/>
              </w:rPr>
            </w:pPr>
          </w:p>
        </w:tc>
      </w:tr>
      <w:tr w14:paraId="7B613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97" w:type="dxa"/>
            <w:vAlign w:val="center"/>
          </w:tcPr>
          <w:p w14:paraId="253FA9C4">
            <w:pP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3027" w:type="dxa"/>
            <w:gridSpan w:val="2"/>
            <w:vAlign w:val="center"/>
          </w:tcPr>
          <w:p w14:paraId="0ED3C1D4">
            <w:pPr>
              <w:rPr>
                <w:rFonts w:hint="eastAsia" w:ascii="宋体" w:hAnsi="宋体" w:eastAsia="宋体" w:cs="宋体"/>
                <w:color w:val="auto"/>
                <w:sz w:val="24"/>
                <w:szCs w:val="24"/>
              </w:rPr>
            </w:pPr>
          </w:p>
        </w:tc>
        <w:tc>
          <w:tcPr>
            <w:tcW w:w="1435" w:type="dxa"/>
            <w:gridSpan w:val="2"/>
            <w:vAlign w:val="center"/>
          </w:tcPr>
          <w:p w14:paraId="3A52B20A">
            <w:pPr>
              <w:rPr>
                <w:rFonts w:hint="eastAsia" w:ascii="宋体" w:hAnsi="宋体" w:eastAsia="宋体" w:cs="宋体"/>
                <w:color w:val="auto"/>
                <w:sz w:val="24"/>
                <w:szCs w:val="24"/>
              </w:rPr>
            </w:pPr>
            <w:r>
              <w:rPr>
                <w:rFonts w:hint="eastAsia" w:ascii="宋体" w:hAnsi="宋体" w:eastAsia="宋体" w:cs="宋体"/>
                <w:color w:val="auto"/>
                <w:sz w:val="24"/>
                <w:szCs w:val="24"/>
              </w:rPr>
              <w:t>营业期限</w:t>
            </w:r>
          </w:p>
        </w:tc>
        <w:tc>
          <w:tcPr>
            <w:tcW w:w="2363" w:type="dxa"/>
            <w:vAlign w:val="center"/>
          </w:tcPr>
          <w:p w14:paraId="2D5E149F">
            <w:pPr>
              <w:rPr>
                <w:rFonts w:hint="eastAsia" w:ascii="宋体" w:hAnsi="宋体" w:eastAsia="宋体" w:cs="宋体"/>
                <w:color w:val="auto"/>
                <w:sz w:val="24"/>
                <w:szCs w:val="24"/>
              </w:rPr>
            </w:pPr>
          </w:p>
        </w:tc>
      </w:tr>
      <w:tr w14:paraId="4B5EA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97" w:type="dxa"/>
            <w:vAlign w:val="center"/>
          </w:tcPr>
          <w:p w14:paraId="71A103FD">
            <w:pPr>
              <w:rPr>
                <w:rFonts w:hint="eastAsia" w:ascii="宋体" w:hAnsi="宋体" w:eastAsia="宋体" w:cs="宋体"/>
                <w:color w:val="auto"/>
                <w:sz w:val="24"/>
                <w:szCs w:val="24"/>
              </w:rPr>
            </w:pPr>
            <w:r>
              <w:rPr>
                <w:rFonts w:hint="eastAsia" w:ascii="宋体" w:hAnsi="宋体" w:eastAsia="宋体" w:cs="宋体"/>
                <w:color w:val="auto"/>
                <w:sz w:val="24"/>
                <w:szCs w:val="24"/>
              </w:rPr>
              <w:t>资质类型</w:t>
            </w:r>
          </w:p>
        </w:tc>
        <w:tc>
          <w:tcPr>
            <w:tcW w:w="3027" w:type="dxa"/>
            <w:gridSpan w:val="2"/>
            <w:vAlign w:val="center"/>
          </w:tcPr>
          <w:p w14:paraId="099A4B89">
            <w:pPr>
              <w:rPr>
                <w:rFonts w:hint="eastAsia" w:ascii="宋体" w:hAnsi="宋体" w:eastAsia="宋体" w:cs="宋体"/>
                <w:color w:val="auto"/>
                <w:sz w:val="24"/>
                <w:szCs w:val="24"/>
              </w:rPr>
            </w:pPr>
          </w:p>
        </w:tc>
        <w:tc>
          <w:tcPr>
            <w:tcW w:w="1435" w:type="dxa"/>
            <w:gridSpan w:val="2"/>
            <w:vAlign w:val="center"/>
          </w:tcPr>
          <w:p w14:paraId="39223F5C">
            <w:pPr>
              <w:rPr>
                <w:rFonts w:hint="eastAsia" w:ascii="宋体" w:hAnsi="宋体" w:eastAsia="宋体" w:cs="宋体"/>
                <w:color w:val="auto"/>
                <w:sz w:val="24"/>
                <w:szCs w:val="24"/>
              </w:rPr>
            </w:pPr>
            <w:r>
              <w:rPr>
                <w:rFonts w:hint="eastAsia" w:ascii="宋体" w:hAnsi="宋体" w:eastAsia="宋体" w:cs="宋体"/>
                <w:color w:val="auto"/>
                <w:sz w:val="24"/>
                <w:szCs w:val="24"/>
              </w:rPr>
              <w:t>资质等级</w:t>
            </w:r>
          </w:p>
        </w:tc>
        <w:tc>
          <w:tcPr>
            <w:tcW w:w="2363" w:type="dxa"/>
            <w:vAlign w:val="center"/>
          </w:tcPr>
          <w:p w14:paraId="6CA7A57F">
            <w:pPr>
              <w:rPr>
                <w:rFonts w:hint="eastAsia" w:ascii="宋体" w:hAnsi="宋体" w:eastAsia="宋体" w:cs="宋体"/>
                <w:color w:val="auto"/>
                <w:sz w:val="24"/>
                <w:szCs w:val="24"/>
              </w:rPr>
            </w:pPr>
          </w:p>
        </w:tc>
      </w:tr>
      <w:tr w14:paraId="07791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97" w:type="dxa"/>
            <w:vAlign w:val="center"/>
          </w:tcPr>
          <w:p w14:paraId="300BDE0E">
            <w:pPr>
              <w:rPr>
                <w:rFonts w:hint="eastAsia" w:ascii="宋体" w:hAnsi="宋体" w:eastAsia="宋体" w:cs="宋体"/>
                <w:color w:val="auto"/>
                <w:sz w:val="24"/>
                <w:szCs w:val="24"/>
              </w:rPr>
            </w:pPr>
            <w:r>
              <w:rPr>
                <w:rFonts w:hint="eastAsia" w:ascii="宋体" w:hAnsi="宋体" w:eastAsia="宋体" w:cs="宋体"/>
                <w:color w:val="auto"/>
                <w:sz w:val="24"/>
                <w:szCs w:val="24"/>
              </w:rPr>
              <w:t>主营业务</w:t>
            </w:r>
          </w:p>
        </w:tc>
        <w:tc>
          <w:tcPr>
            <w:tcW w:w="6825" w:type="dxa"/>
            <w:gridSpan w:val="5"/>
            <w:vAlign w:val="center"/>
          </w:tcPr>
          <w:p w14:paraId="30B6D681">
            <w:pPr>
              <w:rPr>
                <w:rFonts w:hint="eastAsia" w:ascii="宋体" w:hAnsi="宋体" w:eastAsia="宋体" w:cs="宋体"/>
                <w:color w:val="auto"/>
                <w:sz w:val="24"/>
                <w:szCs w:val="24"/>
              </w:rPr>
            </w:pPr>
          </w:p>
        </w:tc>
      </w:tr>
      <w:tr w14:paraId="23550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97" w:type="dxa"/>
            <w:vAlign w:val="center"/>
          </w:tcPr>
          <w:p w14:paraId="531EF545">
            <w:pPr>
              <w:rPr>
                <w:rFonts w:hint="eastAsia" w:ascii="宋体" w:hAnsi="宋体" w:eastAsia="宋体" w:cs="宋体"/>
                <w:color w:val="auto"/>
                <w:sz w:val="24"/>
                <w:szCs w:val="24"/>
              </w:rPr>
            </w:pPr>
            <w:r>
              <w:rPr>
                <w:rFonts w:hint="eastAsia" w:ascii="宋体" w:hAnsi="宋体" w:eastAsia="宋体" w:cs="宋体"/>
                <w:color w:val="auto"/>
                <w:sz w:val="24"/>
                <w:szCs w:val="24"/>
              </w:rPr>
              <w:t>地  址</w:t>
            </w:r>
          </w:p>
        </w:tc>
        <w:tc>
          <w:tcPr>
            <w:tcW w:w="6825" w:type="dxa"/>
            <w:gridSpan w:val="5"/>
            <w:vAlign w:val="center"/>
          </w:tcPr>
          <w:p w14:paraId="48FFCB7E">
            <w:pPr>
              <w:rPr>
                <w:rFonts w:hint="eastAsia" w:ascii="宋体" w:hAnsi="宋体" w:eastAsia="宋体" w:cs="宋体"/>
                <w:color w:val="auto"/>
                <w:sz w:val="24"/>
                <w:szCs w:val="24"/>
              </w:rPr>
            </w:pPr>
          </w:p>
        </w:tc>
      </w:tr>
      <w:tr w14:paraId="1A423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97" w:type="dxa"/>
            <w:vAlign w:val="center"/>
          </w:tcPr>
          <w:p w14:paraId="776314B6">
            <w:pPr>
              <w:rPr>
                <w:rFonts w:hint="eastAsia" w:ascii="宋体" w:hAnsi="宋体" w:eastAsia="宋体" w:cs="宋体"/>
                <w:color w:val="auto"/>
                <w:sz w:val="24"/>
                <w:szCs w:val="24"/>
              </w:rPr>
            </w:pPr>
            <w:r>
              <w:rPr>
                <w:rFonts w:hint="eastAsia" w:ascii="宋体" w:hAnsi="宋体" w:eastAsia="宋体" w:cs="宋体"/>
                <w:color w:val="auto"/>
                <w:sz w:val="24"/>
                <w:szCs w:val="24"/>
              </w:rPr>
              <w:t>开户银行</w:t>
            </w:r>
          </w:p>
        </w:tc>
        <w:tc>
          <w:tcPr>
            <w:tcW w:w="6825" w:type="dxa"/>
            <w:gridSpan w:val="5"/>
            <w:vAlign w:val="center"/>
          </w:tcPr>
          <w:p w14:paraId="025CF18A">
            <w:pPr>
              <w:rPr>
                <w:rFonts w:hint="eastAsia" w:ascii="宋体" w:hAnsi="宋体" w:eastAsia="宋体" w:cs="宋体"/>
                <w:color w:val="auto"/>
                <w:sz w:val="24"/>
                <w:szCs w:val="24"/>
              </w:rPr>
            </w:pPr>
          </w:p>
        </w:tc>
      </w:tr>
      <w:tr w14:paraId="2A4B3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97" w:type="dxa"/>
            <w:vAlign w:val="center"/>
          </w:tcPr>
          <w:p w14:paraId="57E3BB60">
            <w:pPr>
              <w:rPr>
                <w:rFonts w:hint="eastAsia" w:ascii="宋体" w:hAnsi="宋体" w:eastAsia="宋体" w:cs="宋体"/>
                <w:color w:val="auto"/>
                <w:sz w:val="24"/>
                <w:szCs w:val="24"/>
              </w:rPr>
            </w:pPr>
            <w:r>
              <w:rPr>
                <w:rFonts w:hint="eastAsia" w:ascii="宋体" w:hAnsi="宋体" w:eastAsia="宋体" w:cs="宋体"/>
                <w:color w:val="auto"/>
                <w:sz w:val="24"/>
                <w:szCs w:val="24"/>
              </w:rPr>
              <w:t>开户行号</w:t>
            </w:r>
          </w:p>
          <w:p w14:paraId="34F6EBE0">
            <w:pP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如有</w:t>
            </w:r>
            <w:r>
              <w:rPr>
                <w:rFonts w:hint="eastAsia" w:ascii="宋体" w:hAnsi="宋体" w:eastAsia="宋体" w:cs="宋体"/>
                <w:color w:val="auto"/>
                <w:sz w:val="24"/>
                <w:szCs w:val="24"/>
                <w:lang w:eastAsia="zh-CN"/>
              </w:rPr>
              <w:t>)</w:t>
            </w:r>
          </w:p>
        </w:tc>
        <w:tc>
          <w:tcPr>
            <w:tcW w:w="6825" w:type="dxa"/>
            <w:gridSpan w:val="5"/>
            <w:vAlign w:val="center"/>
          </w:tcPr>
          <w:p w14:paraId="4AFF93B5">
            <w:pPr>
              <w:rPr>
                <w:rFonts w:hint="eastAsia" w:ascii="宋体" w:hAnsi="宋体" w:eastAsia="宋体" w:cs="宋体"/>
                <w:color w:val="auto"/>
                <w:sz w:val="24"/>
                <w:szCs w:val="24"/>
              </w:rPr>
            </w:pPr>
          </w:p>
        </w:tc>
      </w:tr>
      <w:tr w14:paraId="001BD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97" w:type="dxa"/>
            <w:vAlign w:val="center"/>
          </w:tcPr>
          <w:p w14:paraId="4C1EBB3D">
            <w:pPr>
              <w:rPr>
                <w:rFonts w:hint="eastAsia" w:ascii="宋体" w:hAnsi="宋体" w:eastAsia="宋体" w:cs="宋体"/>
                <w:color w:val="auto"/>
                <w:sz w:val="24"/>
                <w:szCs w:val="24"/>
              </w:rPr>
            </w:pPr>
            <w:r>
              <w:rPr>
                <w:rFonts w:hint="eastAsia" w:ascii="宋体" w:hAnsi="宋体" w:eastAsia="宋体" w:cs="宋体"/>
                <w:color w:val="auto"/>
                <w:sz w:val="24"/>
                <w:szCs w:val="24"/>
              </w:rPr>
              <w:t>银行账号</w:t>
            </w:r>
          </w:p>
        </w:tc>
        <w:tc>
          <w:tcPr>
            <w:tcW w:w="6825" w:type="dxa"/>
            <w:gridSpan w:val="5"/>
            <w:vAlign w:val="center"/>
          </w:tcPr>
          <w:p w14:paraId="61221259">
            <w:pPr>
              <w:rPr>
                <w:rFonts w:hint="eastAsia" w:ascii="宋体" w:hAnsi="宋体" w:eastAsia="宋体" w:cs="宋体"/>
                <w:color w:val="auto"/>
                <w:sz w:val="24"/>
                <w:szCs w:val="24"/>
              </w:rPr>
            </w:pPr>
          </w:p>
        </w:tc>
      </w:tr>
      <w:tr w14:paraId="4CD1D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97" w:type="dxa"/>
            <w:vAlign w:val="center"/>
          </w:tcPr>
          <w:p w14:paraId="05009EF6">
            <w:pPr>
              <w:rPr>
                <w:rFonts w:hint="eastAsia" w:ascii="宋体" w:hAnsi="宋体" w:eastAsia="宋体" w:cs="宋体"/>
                <w:color w:val="auto"/>
                <w:sz w:val="24"/>
                <w:szCs w:val="24"/>
              </w:rPr>
            </w:pPr>
            <w:r>
              <w:rPr>
                <w:rFonts w:hint="eastAsia" w:ascii="宋体" w:hAnsi="宋体" w:eastAsia="宋体" w:cs="宋体"/>
                <w:color w:val="auto"/>
                <w:sz w:val="24"/>
                <w:szCs w:val="24"/>
              </w:rPr>
              <w:t>电  话</w:t>
            </w:r>
          </w:p>
        </w:tc>
        <w:tc>
          <w:tcPr>
            <w:tcW w:w="2887" w:type="dxa"/>
            <w:vAlign w:val="center"/>
          </w:tcPr>
          <w:p w14:paraId="78798B2E">
            <w:pPr>
              <w:rPr>
                <w:rFonts w:hint="eastAsia" w:ascii="宋体" w:hAnsi="宋体" w:eastAsia="宋体" w:cs="宋体"/>
                <w:color w:val="auto"/>
                <w:sz w:val="24"/>
                <w:szCs w:val="24"/>
              </w:rPr>
            </w:pPr>
          </w:p>
        </w:tc>
        <w:tc>
          <w:tcPr>
            <w:tcW w:w="1378" w:type="dxa"/>
            <w:gridSpan w:val="2"/>
            <w:vAlign w:val="center"/>
          </w:tcPr>
          <w:p w14:paraId="36BC66E2">
            <w:pPr>
              <w:rPr>
                <w:rFonts w:hint="eastAsia" w:ascii="宋体" w:hAnsi="宋体" w:eastAsia="宋体" w:cs="宋体"/>
                <w:color w:val="auto"/>
                <w:sz w:val="24"/>
                <w:szCs w:val="24"/>
              </w:rPr>
            </w:pPr>
            <w:r>
              <w:rPr>
                <w:rFonts w:hint="eastAsia" w:ascii="宋体" w:hAnsi="宋体" w:eastAsia="宋体" w:cs="宋体"/>
                <w:color w:val="auto"/>
                <w:sz w:val="24"/>
                <w:szCs w:val="24"/>
              </w:rPr>
              <w:t>传  真</w:t>
            </w:r>
          </w:p>
        </w:tc>
        <w:tc>
          <w:tcPr>
            <w:tcW w:w="2560" w:type="dxa"/>
            <w:gridSpan w:val="2"/>
            <w:vAlign w:val="center"/>
          </w:tcPr>
          <w:p w14:paraId="740837C7">
            <w:pPr>
              <w:rPr>
                <w:rFonts w:hint="eastAsia" w:ascii="宋体" w:hAnsi="宋体" w:eastAsia="宋体" w:cs="宋体"/>
                <w:color w:val="auto"/>
                <w:sz w:val="24"/>
                <w:szCs w:val="24"/>
              </w:rPr>
            </w:pPr>
          </w:p>
        </w:tc>
      </w:tr>
      <w:tr w14:paraId="64832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97" w:type="dxa"/>
            <w:vAlign w:val="center"/>
          </w:tcPr>
          <w:p w14:paraId="4D32293F">
            <w:pPr>
              <w:rPr>
                <w:rFonts w:hint="eastAsia" w:ascii="宋体" w:hAnsi="宋体" w:eastAsia="宋体" w:cs="宋体"/>
                <w:color w:val="auto"/>
                <w:sz w:val="24"/>
                <w:szCs w:val="24"/>
              </w:rPr>
            </w:pPr>
            <w:r>
              <w:rPr>
                <w:rFonts w:hint="eastAsia" w:ascii="宋体" w:hAnsi="宋体" w:eastAsia="宋体" w:cs="宋体"/>
                <w:color w:val="auto"/>
                <w:sz w:val="24"/>
                <w:szCs w:val="24"/>
              </w:rPr>
              <w:t>邮  箱</w:t>
            </w:r>
          </w:p>
        </w:tc>
        <w:tc>
          <w:tcPr>
            <w:tcW w:w="2887" w:type="dxa"/>
            <w:vAlign w:val="center"/>
          </w:tcPr>
          <w:p w14:paraId="600EC2F2">
            <w:pPr>
              <w:rPr>
                <w:rFonts w:hint="eastAsia" w:ascii="宋体" w:hAnsi="宋体" w:eastAsia="宋体" w:cs="宋体"/>
                <w:color w:val="auto"/>
                <w:sz w:val="24"/>
                <w:szCs w:val="24"/>
              </w:rPr>
            </w:pPr>
          </w:p>
        </w:tc>
        <w:tc>
          <w:tcPr>
            <w:tcW w:w="1378" w:type="dxa"/>
            <w:gridSpan w:val="2"/>
            <w:vAlign w:val="center"/>
          </w:tcPr>
          <w:p w14:paraId="1205CB38">
            <w:pPr>
              <w:rPr>
                <w:rFonts w:hint="eastAsia" w:ascii="宋体" w:hAnsi="宋体" w:eastAsia="宋体" w:cs="宋体"/>
                <w:color w:val="auto"/>
                <w:sz w:val="24"/>
                <w:szCs w:val="24"/>
              </w:rPr>
            </w:pPr>
            <w:r>
              <w:rPr>
                <w:rFonts w:hint="eastAsia" w:ascii="宋体" w:hAnsi="宋体" w:eastAsia="宋体" w:cs="宋体"/>
                <w:color w:val="auto"/>
                <w:sz w:val="24"/>
                <w:szCs w:val="24"/>
              </w:rPr>
              <w:t>邮  编</w:t>
            </w:r>
          </w:p>
        </w:tc>
        <w:tc>
          <w:tcPr>
            <w:tcW w:w="2560" w:type="dxa"/>
            <w:gridSpan w:val="2"/>
            <w:vAlign w:val="center"/>
          </w:tcPr>
          <w:p w14:paraId="7EE17B30">
            <w:pPr>
              <w:rPr>
                <w:rFonts w:hint="eastAsia" w:ascii="宋体" w:hAnsi="宋体" w:eastAsia="宋体" w:cs="宋体"/>
                <w:color w:val="auto"/>
                <w:sz w:val="24"/>
                <w:szCs w:val="24"/>
              </w:rPr>
            </w:pPr>
          </w:p>
        </w:tc>
      </w:tr>
      <w:tr w14:paraId="2A26B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97" w:type="dxa"/>
            <w:vAlign w:val="center"/>
          </w:tcPr>
          <w:p w14:paraId="352F5808">
            <w:pPr>
              <w:rPr>
                <w:rFonts w:hint="eastAsia" w:ascii="宋体" w:hAnsi="宋体" w:eastAsia="宋体" w:cs="宋体"/>
                <w:color w:val="auto"/>
                <w:sz w:val="24"/>
                <w:szCs w:val="24"/>
              </w:rPr>
            </w:pPr>
            <w:r>
              <w:rPr>
                <w:rFonts w:hint="eastAsia" w:ascii="宋体" w:hAnsi="宋体" w:eastAsia="宋体" w:cs="宋体"/>
                <w:color w:val="auto"/>
                <w:sz w:val="24"/>
                <w:szCs w:val="24"/>
              </w:rPr>
              <w:t>联系人</w:t>
            </w:r>
          </w:p>
        </w:tc>
        <w:tc>
          <w:tcPr>
            <w:tcW w:w="2887" w:type="dxa"/>
            <w:vAlign w:val="center"/>
          </w:tcPr>
          <w:p w14:paraId="2B25C21D">
            <w:pPr>
              <w:rPr>
                <w:rFonts w:hint="eastAsia" w:ascii="宋体" w:hAnsi="宋体" w:eastAsia="宋体" w:cs="宋体"/>
                <w:color w:val="auto"/>
                <w:sz w:val="24"/>
                <w:szCs w:val="24"/>
              </w:rPr>
            </w:pPr>
          </w:p>
        </w:tc>
        <w:tc>
          <w:tcPr>
            <w:tcW w:w="1378" w:type="dxa"/>
            <w:gridSpan w:val="2"/>
            <w:vAlign w:val="center"/>
          </w:tcPr>
          <w:p w14:paraId="1B2C3ACE">
            <w:pPr>
              <w:rPr>
                <w:rFonts w:hint="eastAsia" w:ascii="宋体" w:hAnsi="宋体" w:eastAsia="宋体" w:cs="宋体"/>
                <w:color w:val="auto"/>
                <w:sz w:val="24"/>
                <w:szCs w:val="24"/>
              </w:rPr>
            </w:pPr>
            <w:r>
              <w:rPr>
                <w:rFonts w:hint="eastAsia" w:ascii="宋体" w:hAnsi="宋体" w:eastAsia="宋体" w:cs="宋体"/>
                <w:color w:val="auto"/>
                <w:sz w:val="24"/>
                <w:szCs w:val="24"/>
              </w:rPr>
              <w:t>联系方式</w:t>
            </w:r>
          </w:p>
        </w:tc>
        <w:tc>
          <w:tcPr>
            <w:tcW w:w="2560" w:type="dxa"/>
            <w:gridSpan w:val="2"/>
            <w:vAlign w:val="center"/>
          </w:tcPr>
          <w:p w14:paraId="5617D722">
            <w:pPr>
              <w:rPr>
                <w:rFonts w:hint="eastAsia" w:ascii="宋体" w:hAnsi="宋体" w:eastAsia="宋体" w:cs="宋体"/>
                <w:color w:val="auto"/>
                <w:sz w:val="24"/>
                <w:szCs w:val="24"/>
              </w:rPr>
            </w:pPr>
          </w:p>
        </w:tc>
      </w:tr>
    </w:tbl>
    <w:p w14:paraId="22B02A61">
      <w:pPr>
        <w:spacing w:line="440" w:lineRule="exact"/>
        <w:ind w:firstLine="480" w:firstLineChars="200"/>
        <w:rPr>
          <w:rFonts w:hint="eastAsia" w:ascii="宋体" w:hAnsi="宋体" w:eastAsia="宋体" w:cs="宋体"/>
          <w:color w:val="auto"/>
          <w:sz w:val="24"/>
          <w:szCs w:val="24"/>
        </w:rPr>
      </w:pPr>
    </w:p>
    <w:p w14:paraId="179CD65B">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兹声明上述信息是真实、正确的，并提供了全部能提供的资料和数据；如我方提供的证明材料有虚假情况，愿承担相应后果。</w:t>
      </w:r>
    </w:p>
    <w:p w14:paraId="42B4E2BC">
      <w:pPr>
        <w:rPr>
          <w:rFonts w:hint="eastAsia" w:ascii="宋体" w:hAnsi="宋体" w:eastAsia="宋体" w:cs="宋体"/>
          <w:color w:val="auto"/>
          <w:sz w:val="24"/>
          <w:szCs w:val="24"/>
        </w:rPr>
      </w:pPr>
    </w:p>
    <w:p w14:paraId="59357E90">
      <w:pPr>
        <w:rPr>
          <w:rFonts w:hint="eastAsia" w:ascii="宋体" w:hAnsi="宋体" w:eastAsia="宋体" w:cs="宋体"/>
          <w:color w:val="auto"/>
          <w:sz w:val="24"/>
          <w:szCs w:val="24"/>
        </w:rPr>
      </w:pPr>
    </w:p>
    <w:p w14:paraId="52038312">
      <w:pPr>
        <w:rPr>
          <w:rFonts w:hint="eastAsia" w:ascii="宋体" w:hAnsi="宋体" w:eastAsia="宋体" w:cs="宋体"/>
          <w:color w:val="auto"/>
          <w:sz w:val="24"/>
          <w:szCs w:val="24"/>
        </w:rPr>
      </w:pPr>
    </w:p>
    <w:p w14:paraId="69B43F2A">
      <w:pPr>
        <w:pStyle w:val="81"/>
        <w:keepNext w:val="0"/>
        <w:keepLines w:val="0"/>
        <w:pageBreakBefore w:val="0"/>
        <w:widowControl w:val="0"/>
        <w:tabs>
          <w:tab w:val="left" w:pos="5580"/>
        </w:tabs>
        <w:kinsoku/>
        <w:wordWrap/>
        <w:overflowPunct/>
        <w:topLinePunct w:val="0"/>
        <w:autoSpaceDE/>
        <w:autoSpaceDN/>
        <w:bidi w:val="0"/>
        <w:adjustRightInd/>
        <w:snapToGrid/>
        <w:spacing w:before="120" w:line="360" w:lineRule="auto"/>
        <w:ind w:firstLine="480" w:firstLineChars="200"/>
        <w:textAlignment w:val="auto"/>
        <w:rPr>
          <w:rFonts w:hint="eastAsia" w:ascii="宋体" w:hAnsi="宋体" w:eastAsia="宋体" w:cs="宋体"/>
          <w:color w:val="auto"/>
          <w:sz w:val="24"/>
        </w:rPr>
      </w:pPr>
      <w:bookmarkStart w:id="251" w:name="_Toc410631178"/>
      <w:bookmarkStart w:id="252" w:name="_Toc416103819"/>
      <w:bookmarkStart w:id="253" w:name="_Toc414445769"/>
      <w:r>
        <w:rPr>
          <w:rFonts w:hint="eastAsia" w:hAnsi="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lang w:eastAsia="zh-CN"/>
        </w:rPr>
        <w:t>(公章):</w:t>
      </w:r>
    </w:p>
    <w:p w14:paraId="76D048D2">
      <w:pPr>
        <w:pStyle w:val="81"/>
        <w:keepNext w:val="0"/>
        <w:keepLines w:val="0"/>
        <w:pageBreakBefore w:val="0"/>
        <w:widowControl w:val="0"/>
        <w:tabs>
          <w:tab w:val="left" w:pos="5340"/>
        </w:tabs>
        <w:kinsoku/>
        <w:wordWrap/>
        <w:overflowPunct/>
        <w:topLinePunct w:val="0"/>
        <w:autoSpaceDE/>
        <w:autoSpaceDN/>
        <w:bidi w:val="0"/>
        <w:adjustRightInd/>
        <w:snapToGrid/>
        <w:spacing w:before="120" w:line="360" w:lineRule="auto"/>
        <w:ind w:firstLine="480" w:firstLineChars="200"/>
        <w:textAlignment w:val="auto"/>
        <w:rPr>
          <w:rFonts w:hint="eastAsia" w:ascii="宋体" w:hAnsi="宋体" w:eastAsia="宋体" w:cs="宋体"/>
          <w:color w:val="auto"/>
          <w:sz w:val="24"/>
          <w:u w:val="single"/>
          <w:lang w:val="en-US" w:eastAsia="zh-CN"/>
        </w:rPr>
      </w:pPr>
      <w:r>
        <w:rPr>
          <w:rFonts w:hint="eastAsia" w:ascii="宋体" w:hAnsi="宋体" w:eastAsia="宋体" w:cs="宋体"/>
          <w:color w:val="auto"/>
          <w:kern w:val="0"/>
          <w:sz w:val="24"/>
        </w:rPr>
        <w:t>法定代表人或其委托代理人</w:t>
      </w:r>
      <w:r>
        <w:rPr>
          <w:rFonts w:hint="eastAsia" w:ascii="宋体" w:hAnsi="宋体" w:eastAsia="宋体" w:cs="宋体"/>
          <w:color w:val="auto"/>
          <w:sz w:val="24"/>
        </w:rPr>
        <w:t>(签字或盖章)</w:t>
      </w:r>
      <w:r>
        <w:rPr>
          <w:rFonts w:hint="eastAsia" w:ascii="宋体" w:hAnsi="宋体" w:eastAsia="宋体" w:cs="宋体"/>
          <w:color w:val="auto"/>
          <w:sz w:val="24"/>
          <w:lang w:eastAsia="zh-CN"/>
        </w:rPr>
        <w:t>:</w:t>
      </w:r>
    </w:p>
    <w:p w14:paraId="47BD06E0">
      <w:pPr>
        <w:pStyle w:val="81"/>
        <w:keepNext w:val="0"/>
        <w:keepLines w:val="0"/>
        <w:pageBreakBefore w:val="0"/>
        <w:widowControl w:val="0"/>
        <w:tabs>
          <w:tab w:val="left" w:pos="5580"/>
        </w:tabs>
        <w:kinsoku/>
        <w:wordWrap/>
        <w:overflowPunct/>
        <w:topLinePunct w:val="0"/>
        <w:autoSpaceDE/>
        <w:autoSpaceDN/>
        <w:bidi w:val="0"/>
        <w:adjustRightInd/>
        <w:snapToGrid/>
        <w:spacing w:before="120" w:line="360" w:lineRule="auto"/>
        <w:ind w:firstLine="480" w:firstLineChars="200"/>
        <w:textAlignment w:val="auto"/>
        <w:rPr>
          <w:rFonts w:hint="eastAsia" w:ascii="宋体" w:hAnsi="宋体" w:eastAsia="宋体" w:cs="宋体"/>
          <w:color w:val="auto"/>
          <w:sz w:val="24"/>
          <w:lang w:eastAsia="zh-CN"/>
        </w:rPr>
      </w:pPr>
      <w:r>
        <w:rPr>
          <w:rFonts w:hint="eastAsia" w:ascii="宋体" w:hAnsi="宋体" w:eastAsia="宋体" w:cs="宋体"/>
          <w:color w:val="auto"/>
          <w:sz w:val="24"/>
        </w:rPr>
        <w:t>日期</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u w:val="none"/>
          <w:lang w:eastAsia="zh-CN"/>
        </w:rPr>
        <w:t>年</w:t>
      </w:r>
      <w:r>
        <w:rPr>
          <w:rFonts w:hint="eastAsia" w:ascii="宋体" w:hAnsi="宋体" w:eastAsia="宋体" w:cs="宋体"/>
          <w:color w:val="auto"/>
          <w:sz w:val="24"/>
          <w:u w:val="none"/>
          <w:lang w:val="en-US" w:eastAsia="zh-CN"/>
        </w:rPr>
        <w:t xml:space="preserve">   </w:t>
      </w:r>
      <w:r>
        <w:rPr>
          <w:rFonts w:hint="eastAsia" w:ascii="宋体" w:hAnsi="宋体" w:eastAsia="宋体" w:cs="宋体"/>
          <w:color w:val="auto"/>
          <w:sz w:val="24"/>
          <w:u w:val="none"/>
          <w:lang w:eastAsia="zh-CN"/>
        </w:rPr>
        <w:t>月</w:t>
      </w:r>
      <w:r>
        <w:rPr>
          <w:rFonts w:hint="eastAsia" w:ascii="宋体" w:hAnsi="宋体" w:eastAsia="宋体" w:cs="宋体"/>
          <w:color w:val="auto"/>
          <w:sz w:val="24"/>
          <w:u w:val="none"/>
          <w:lang w:val="en-US" w:eastAsia="zh-CN"/>
        </w:rPr>
        <w:t xml:space="preserve">   </w:t>
      </w:r>
      <w:r>
        <w:rPr>
          <w:rFonts w:hint="eastAsia" w:ascii="宋体" w:hAnsi="宋体" w:eastAsia="宋体" w:cs="宋体"/>
          <w:color w:val="auto"/>
          <w:sz w:val="24"/>
          <w:u w:val="none"/>
          <w:lang w:eastAsia="zh-CN"/>
        </w:rPr>
        <w:t>日</w:t>
      </w:r>
    </w:p>
    <w:p w14:paraId="49D4A9AC">
      <w:pPr>
        <w:spacing w:beforeLines="50" w:line="440" w:lineRule="exact"/>
        <w:ind w:left="460" w:leftChars="219"/>
        <w:rPr>
          <w:b/>
          <w:color w:val="auto"/>
          <w:sz w:val="24"/>
        </w:rPr>
      </w:pPr>
      <w:r>
        <w:rPr>
          <w:rFonts w:hint="eastAsia" w:ascii="宋体" w:hAnsi="宋体" w:eastAsia="宋体" w:cs="宋体"/>
          <w:b/>
          <w:color w:val="auto"/>
          <w:sz w:val="24"/>
          <w:szCs w:val="24"/>
        </w:rPr>
        <w:br w:type="page"/>
      </w:r>
    </w:p>
    <w:p w14:paraId="291E1BD3">
      <w:pPr>
        <w:keepNext w:val="0"/>
        <w:keepLines w:val="0"/>
        <w:pageBreakBefore w:val="0"/>
        <w:widowControl w:val="0"/>
        <w:kinsoku/>
        <w:wordWrap/>
        <w:overflowPunct/>
        <w:topLinePunct w:val="0"/>
        <w:autoSpaceDE/>
        <w:autoSpaceDN/>
        <w:bidi w:val="0"/>
        <w:spacing w:line="360" w:lineRule="auto"/>
        <w:outlineLvl w:val="1"/>
        <w:rPr>
          <w:rFonts w:hint="eastAsia" w:ascii="宋体" w:hAnsi="宋体" w:eastAsia="宋体" w:cs="宋体"/>
          <w:b/>
          <w:color w:val="auto"/>
          <w:sz w:val="24"/>
        </w:rPr>
      </w:pPr>
      <w:bookmarkStart w:id="254" w:name="_Toc18628"/>
      <w:bookmarkStart w:id="255" w:name="_Toc23004"/>
      <w:bookmarkStart w:id="256" w:name="_Toc8841"/>
      <w:r>
        <w:rPr>
          <w:rFonts w:hint="eastAsia" w:ascii="宋体" w:hAnsi="宋体" w:eastAsia="宋体" w:cs="宋体"/>
          <w:b/>
          <w:color w:val="auto"/>
          <w:sz w:val="24"/>
        </w:rPr>
        <w:t>附件9</w:t>
      </w:r>
      <w:bookmarkEnd w:id="251"/>
      <w:bookmarkEnd w:id="252"/>
      <w:bookmarkEnd w:id="253"/>
      <w:r>
        <w:rPr>
          <w:rFonts w:hint="eastAsia" w:ascii="宋体" w:hAnsi="宋体" w:eastAsia="宋体" w:cs="宋体"/>
          <w:b/>
          <w:color w:val="auto"/>
          <w:sz w:val="24"/>
        </w:rPr>
        <w:t xml:space="preserve"> 资格证明文件</w:t>
      </w:r>
      <w:bookmarkEnd w:id="254"/>
      <w:bookmarkEnd w:id="255"/>
      <w:bookmarkEnd w:id="256"/>
    </w:p>
    <w:p w14:paraId="156CDBC7">
      <w:pPr>
        <w:keepNext w:val="0"/>
        <w:keepLines w:val="0"/>
        <w:pageBreakBefore w:val="0"/>
        <w:widowControl w:val="0"/>
        <w:numPr>
          <w:ilvl w:val="1"/>
          <w:numId w:val="19"/>
        </w:numPr>
        <w:tabs>
          <w:tab w:val="left" w:pos="993"/>
          <w:tab w:val="left" w:pos="1030"/>
          <w:tab w:val="left" w:pos="8364"/>
        </w:tabs>
        <w:kinsoku/>
        <w:wordWrap/>
        <w:overflowPunct/>
        <w:topLinePunct w:val="0"/>
        <w:autoSpaceDE/>
        <w:autoSpaceDN/>
        <w:bidi w:val="0"/>
        <w:snapToGrid w:val="0"/>
        <w:spacing w:afterLines="50" w:line="360" w:lineRule="auto"/>
        <w:ind w:left="993" w:right="-57" w:rightChars="-27" w:hanging="573"/>
        <w:jc w:val="left"/>
        <w:outlineLvl w:val="9"/>
        <w:rPr>
          <w:rFonts w:hint="eastAsia" w:ascii="宋体" w:hAnsi="宋体" w:eastAsia="宋体" w:cs="宋体"/>
          <w:color w:val="auto"/>
          <w:sz w:val="24"/>
        </w:rPr>
      </w:pPr>
      <w:r>
        <w:rPr>
          <w:rFonts w:hint="eastAsia" w:ascii="宋体" w:hAnsi="宋体" w:cs="宋体"/>
          <w:color w:val="auto"/>
          <w:sz w:val="24"/>
          <w:lang w:eastAsia="zh-CN"/>
        </w:rPr>
        <w:t>供应商</w:t>
      </w:r>
      <w:r>
        <w:rPr>
          <w:rFonts w:hint="eastAsia" w:ascii="宋体" w:hAnsi="宋体" w:eastAsia="宋体" w:cs="宋体"/>
          <w:color w:val="auto"/>
          <w:sz w:val="24"/>
        </w:rPr>
        <w:t>“三证合一”的企业法人营业执照副本复印件；</w:t>
      </w:r>
    </w:p>
    <w:p w14:paraId="078CBDFD">
      <w:pPr>
        <w:keepNext w:val="0"/>
        <w:keepLines w:val="0"/>
        <w:pageBreakBefore w:val="0"/>
        <w:widowControl w:val="0"/>
        <w:numPr>
          <w:ilvl w:val="1"/>
          <w:numId w:val="19"/>
        </w:numPr>
        <w:tabs>
          <w:tab w:val="left" w:pos="993"/>
          <w:tab w:val="left" w:pos="1030"/>
          <w:tab w:val="left" w:pos="8364"/>
        </w:tabs>
        <w:kinsoku/>
        <w:wordWrap/>
        <w:overflowPunct/>
        <w:topLinePunct w:val="0"/>
        <w:autoSpaceDE/>
        <w:autoSpaceDN/>
        <w:bidi w:val="0"/>
        <w:adjustRightInd/>
        <w:snapToGrid w:val="0"/>
        <w:spacing w:afterLines="50" w:line="360" w:lineRule="auto"/>
        <w:ind w:left="420" w:right="-57" w:rightChars="-27" w:firstLine="0"/>
        <w:jc w:val="left"/>
        <w:textAlignment w:val="auto"/>
        <w:rPr>
          <w:rFonts w:hint="eastAsia" w:ascii="宋体" w:hAnsi="宋体" w:eastAsia="宋体" w:cs="宋体"/>
          <w:color w:val="auto"/>
          <w:sz w:val="24"/>
        </w:rPr>
      </w:pPr>
      <w:r>
        <w:rPr>
          <w:rFonts w:hint="eastAsia" w:ascii="宋体" w:hAnsi="宋体" w:cs="宋体"/>
          <w:color w:val="auto"/>
          <w:sz w:val="24"/>
          <w:lang w:eastAsia="zh-CN"/>
        </w:rPr>
        <w:t>供应商</w:t>
      </w:r>
      <w:r>
        <w:rPr>
          <w:rFonts w:hint="eastAsia" w:ascii="宋体" w:hAnsi="宋体" w:eastAsia="宋体" w:cs="宋体"/>
          <w:color w:val="auto"/>
          <w:sz w:val="24"/>
          <w:lang w:val="en-US" w:eastAsia="zh-CN"/>
        </w:rPr>
        <w:t>2024年度</w:t>
      </w:r>
      <w:r>
        <w:rPr>
          <w:rFonts w:hint="eastAsia" w:ascii="宋体" w:hAnsi="宋体" w:cs="宋体"/>
          <w:color w:val="auto"/>
          <w:sz w:val="24"/>
          <w:lang w:val="en-US" w:eastAsia="zh-CN"/>
        </w:rPr>
        <w:t>或2025年度</w:t>
      </w:r>
      <w:r>
        <w:rPr>
          <w:rFonts w:hint="eastAsia" w:ascii="宋体" w:hAnsi="宋体" w:eastAsia="宋体" w:cs="宋体"/>
          <w:color w:val="auto"/>
          <w:sz w:val="24"/>
        </w:rPr>
        <w:t>经会计师事务所或审计机构审计的财务审计报告</w:t>
      </w:r>
      <w:r>
        <w:rPr>
          <w:rFonts w:hint="eastAsia" w:ascii="宋体" w:hAnsi="宋体" w:eastAsia="宋体" w:cs="宋体"/>
          <w:color w:val="auto"/>
          <w:sz w:val="24"/>
          <w:lang w:eastAsia="zh-CN"/>
        </w:rPr>
        <w:t>(</w:t>
      </w:r>
      <w:r>
        <w:rPr>
          <w:rFonts w:hint="eastAsia" w:ascii="宋体" w:hAnsi="宋体" w:eastAsia="宋体" w:cs="宋体"/>
          <w:color w:val="auto"/>
          <w:sz w:val="24"/>
        </w:rPr>
        <w:t>包括资产负债表、现金流量表、利润表、所有者权益变动表及其附注</w:t>
      </w:r>
      <w:r>
        <w:rPr>
          <w:rFonts w:hint="eastAsia" w:ascii="宋体" w:hAnsi="宋体" w:eastAsia="宋体" w:cs="宋体"/>
          <w:color w:val="auto"/>
          <w:sz w:val="24"/>
          <w:lang w:eastAsia="zh-CN"/>
        </w:rPr>
        <w:t>)</w:t>
      </w:r>
      <w:r>
        <w:rPr>
          <w:rFonts w:hint="eastAsia" w:ascii="宋体" w:hAnsi="宋体" w:eastAsia="宋体" w:cs="宋体"/>
          <w:color w:val="auto"/>
          <w:sz w:val="24"/>
        </w:rPr>
        <w:t>或其</w:t>
      </w:r>
      <w:r>
        <w:rPr>
          <w:rFonts w:hint="eastAsia" w:ascii="宋体" w:hAnsi="宋体" w:eastAsia="宋体" w:cs="宋体"/>
          <w:color w:val="auto"/>
          <w:sz w:val="24"/>
          <w:lang w:eastAsia="zh-CN"/>
        </w:rPr>
        <w:t>上一年度</w:t>
      </w:r>
      <w:r>
        <w:rPr>
          <w:rFonts w:hint="eastAsia" w:ascii="宋体" w:hAnsi="宋体" w:eastAsia="宋体" w:cs="宋体"/>
          <w:color w:val="auto"/>
          <w:sz w:val="24"/>
        </w:rPr>
        <w:t>基本开户银行出具的资信证明原件</w:t>
      </w:r>
      <w:r>
        <w:rPr>
          <w:rFonts w:hint="eastAsia" w:ascii="宋体" w:hAnsi="宋体" w:eastAsia="宋体" w:cs="宋体"/>
          <w:color w:val="auto"/>
          <w:sz w:val="24"/>
          <w:lang w:eastAsia="zh-CN"/>
        </w:rPr>
        <w:t>(</w:t>
      </w:r>
      <w:r>
        <w:rPr>
          <w:rFonts w:hint="eastAsia" w:ascii="宋体" w:hAnsi="宋体" w:eastAsia="宋体" w:cs="宋体"/>
          <w:color w:val="auto"/>
          <w:sz w:val="24"/>
        </w:rPr>
        <w:t>格式要求见附件9-2</w:t>
      </w:r>
      <w:r>
        <w:rPr>
          <w:rFonts w:hint="eastAsia" w:ascii="宋体" w:hAnsi="宋体" w:eastAsia="宋体" w:cs="宋体"/>
          <w:color w:val="auto"/>
          <w:sz w:val="24"/>
          <w:lang w:eastAsia="zh-CN"/>
        </w:rPr>
        <w:t>)</w:t>
      </w:r>
      <w:r>
        <w:rPr>
          <w:rFonts w:hint="eastAsia" w:ascii="宋体" w:hAnsi="宋体" w:eastAsia="宋体" w:cs="宋体"/>
          <w:color w:val="auto"/>
          <w:sz w:val="24"/>
        </w:rPr>
        <w:t>；</w:t>
      </w:r>
    </w:p>
    <w:p w14:paraId="683112BC">
      <w:pPr>
        <w:keepNext w:val="0"/>
        <w:keepLines w:val="0"/>
        <w:pageBreakBefore w:val="0"/>
        <w:widowControl w:val="0"/>
        <w:numPr>
          <w:ilvl w:val="1"/>
          <w:numId w:val="19"/>
        </w:numPr>
        <w:tabs>
          <w:tab w:val="left" w:pos="993"/>
          <w:tab w:val="left" w:pos="1030"/>
          <w:tab w:val="left" w:pos="8364"/>
        </w:tabs>
        <w:kinsoku/>
        <w:wordWrap/>
        <w:overflowPunct/>
        <w:topLinePunct w:val="0"/>
        <w:autoSpaceDE/>
        <w:autoSpaceDN/>
        <w:bidi w:val="0"/>
        <w:snapToGrid w:val="0"/>
        <w:spacing w:afterLines="50" w:line="360" w:lineRule="auto"/>
        <w:ind w:left="993" w:right="-57" w:rightChars="-27" w:hanging="573"/>
        <w:jc w:val="left"/>
        <w:rPr>
          <w:rFonts w:hint="eastAsia" w:ascii="宋体" w:hAnsi="宋体" w:eastAsia="宋体" w:cs="宋体"/>
          <w:color w:val="auto"/>
          <w:sz w:val="24"/>
        </w:rPr>
      </w:pPr>
      <w:r>
        <w:rPr>
          <w:rFonts w:hint="eastAsia" w:ascii="宋体" w:hAnsi="宋体" w:eastAsia="宋体" w:cs="宋体"/>
          <w:color w:val="auto"/>
          <w:sz w:val="24"/>
        </w:rPr>
        <w:t>依法缴纳税收和社会保障资金的证明材料复印件</w:t>
      </w:r>
      <w:r>
        <w:rPr>
          <w:rFonts w:hint="eastAsia" w:ascii="宋体" w:hAnsi="宋体" w:eastAsia="宋体" w:cs="宋体"/>
          <w:color w:val="auto"/>
          <w:sz w:val="24"/>
          <w:lang w:eastAsia="zh-CN"/>
        </w:rPr>
        <w:t>(</w:t>
      </w:r>
      <w:r>
        <w:rPr>
          <w:rFonts w:hint="eastAsia" w:ascii="宋体" w:hAnsi="宋体" w:eastAsia="宋体" w:cs="宋体"/>
          <w:color w:val="auto"/>
          <w:sz w:val="24"/>
        </w:rPr>
        <w:t>格式见附件9-3、9-4</w:t>
      </w:r>
      <w:r>
        <w:rPr>
          <w:rFonts w:hint="eastAsia" w:ascii="宋体" w:hAnsi="宋体" w:eastAsia="宋体" w:cs="宋体"/>
          <w:color w:val="auto"/>
          <w:sz w:val="24"/>
          <w:lang w:eastAsia="zh-CN"/>
        </w:rPr>
        <w:t>)</w:t>
      </w:r>
    </w:p>
    <w:p w14:paraId="02D4B4C4">
      <w:pPr>
        <w:keepNext w:val="0"/>
        <w:keepLines w:val="0"/>
        <w:pageBreakBefore w:val="0"/>
        <w:widowControl w:val="0"/>
        <w:numPr>
          <w:ilvl w:val="1"/>
          <w:numId w:val="19"/>
        </w:numPr>
        <w:tabs>
          <w:tab w:val="left" w:pos="993"/>
          <w:tab w:val="left" w:pos="1030"/>
          <w:tab w:val="left" w:pos="8364"/>
        </w:tabs>
        <w:kinsoku/>
        <w:wordWrap/>
        <w:overflowPunct/>
        <w:topLinePunct w:val="0"/>
        <w:autoSpaceDE/>
        <w:autoSpaceDN/>
        <w:bidi w:val="0"/>
        <w:snapToGrid w:val="0"/>
        <w:spacing w:afterLines="50" w:line="360" w:lineRule="auto"/>
        <w:ind w:left="993" w:right="-57" w:rightChars="-27" w:hanging="573"/>
        <w:jc w:val="left"/>
        <w:rPr>
          <w:rFonts w:hint="eastAsia" w:ascii="宋体" w:hAnsi="宋体" w:eastAsia="宋体" w:cs="宋体"/>
          <w:color w:val="auto"/>
          <w:sz w:val="24"/>
        </w:rPr>
      </w:pPr>
      <w:r>
        <w:rPr>
          <w:rFonts w:hint="eastAsia" w:ascii="宋体" w:hAnsi="宋体" w:eastAsia="宋体" w:cs="宋体"/>
          <w:color w:val="auto"/>
          <w:sz w:val="24"/>
        </w:rPr>
        <w:t>具</w:t>
      </w:r>
      <w:r>
        <w:rPr>
          <w:rFonts w:hint="eastAsia" w:ascii="宋体" w:hAnsi="宋体" w:eastAsia="宋体" w:cs="宋体"/>
          <w:color w:val="auto"/>
          <w:sz w:val="24"/>
          <w:lang w:eastAsia="zh-CN"/>
        </w:rPr>
        <w:t>有</w:t>
      </w:r>
      <w:r>
        <w:rPr>
          <w:rFonts w:hint="eastAsia" w:ascii="宋体" w:hAnsi="宋体" w:eastAsia="宋体" w:cs="宋体"/>
          <w:color w:val="auto"/>
          <w:sz w:val="24"/>
        </w:rPr>
        <w:t>履行合同所必需的设备和专业技术能力的承诺</w:t>
      </w:r>
      <w:r>
        <w:rPr>
          <w:rFonts w:hint="eastAsia" w:ascii="宋体" w:hAnsi="宋体" w:cs="宋体"/>
          <w:color w:val="auto"/>
          <w:sz w:val="24"/>
          <w:lang w:val="en-US" w:eastAsia="zh-CN"/>
        </w:rPr>
        <w:t>书</w:t>
      </w:r>
      <w:r>
        <w:rPr>
          <w:rFonts w:hint="eastAsia" w:ascii="宋体" w:hAnsi="宋体" w:eastAsia="宋体" w:cs="宋体"/>
          <w:color w:val="auto"/>
          <w:sz w:val="24"/>
          <w:lang w:eastAsia="zh-CN"/>
        </w:rPr>
        <w:t>(</w:t>
      </w:r>
      <w:r>
        <w:rPr>
          <w:rFonts w:hint="eastAsia" w:ascii="宋体" w:hAnsi="宋体" w:eastAsia="宋体" w:cs="宋体"/>
          <w:color w:val="auto"/>
          <w:sz w:val="24"/>
        </w:rPr>
        <w:t>格式见附件9-5</w:t>
      </w:r>
      <w:r>
        <w:rPr>
          <w:rFonts w:hint="eastAsia" w:ascii="宋体" w:hAnsi="宋体" w:eastAsia="宋体" w:cs="宋体"/>
          <w:color w:val="auto"/>
          <w:sz w:val="24"/>
          <w:lang w:eastAsia="zh-CN"/>
        </w:rPr>
        <w:t>)</w:t>
      </w:r>
      <w:r>
        <w:rPr>
          <w:rFonts w:hint="eastAsia" w:ascii="宋体" w:hAnsi="宋体" w:eastAsia="宋体" w:cs="宋体"/>
          <w:color w:val="auto"/>
          <w:sz w:val="24"/>
        </w:rPr>
        <w:t>；</w:t>
      </w:r>
    </w:p>
    <w:p w14:paraId="29FA31D0">
      <w:pPr>
        <w:keepNext w:val="0"/>
        <w:keepLines w:val="0"/>
        <w:pageBreakBefore w:val="0"/>
        <w:widowControl w:val="0"/>
        <w:numPr>
          <w:ilvl w:val="1"/>
          <w:numId w:val="19"/>
        </w:numPr>
        <w:tabs>
          <w:tab w:val="left" w:pos="993"/>
          <w:tab w:val="left" w:pos="1030"/>
          <w:tab w:val="left" w:pos="8364"/>
        </w:tabs>
        <w:kinsoku/>
        <w:wordWrap/>
        <w:overflowPunct/>
        <w:topLinePunct w:val="0"/>
        <w:autoSpaceDE/>
        <w:autoSpaceDN/>
        <w:bidi w:val="0"/>
        <w:adjustRightInd/>
        <w:snapToGrid w:val="0"/>
        <w:spacing w:afterLines="50" w:line="360" w:lineRule="auto"/>
        <w:ind w:left="420" w:right="-57" w:rightChars="-27" w:firstLine="0"/>
        <w:jc w:val="left"/>
        <w:textAlignment w:val="auto"/>
        <w:rPr>
          <w:rFonts w:hint="eastAsia" w:ascii="宋体" w:hAnsi="宋体" w:eastAsia="宋体" w:cs="宋体"/>
          <w:color w:val="auto"/>
          <w:sz w:val="24"/>
        </w:rPr>
      </w:pPr>
      <w:r>
        <w:rPr>
          <w:rFonts w:hint="eastAsia" w:ascii="宋体" w:hAnsi="宋体" w:cs="宋体"/>
          <w:color w:val="auto"/>
          <w:sz w:val="24"/>
          <w:lang w:eastAsia="zh-CN"/>
        </w:rPr>
        <w:t>供应商</w:t>
      </w:r>
      <w:r>
        <w:rPr>
          <w:rFonts w:hint="eastAsia" w:ascii="宋体" w:hAnsi="宋体" w:eastAsia="宋体" w:cs="宋体"/>
          <w:color w:val="auto"/>
          <w:sz w:val="24"/>
        </w:rPr>
        <w:t>参加政府采购活动前3年内在经营活动中没有重大违法记录的书面声明</w:t>
      </w:r>
      <w:r>
        <w:rPr>
          <w:rFonts w:hint="eastAsia" w:ascii="宋体" w:hAnsi="宋体" w:cs="宋体"/>
          <w:color w:val="auto"/>
          <w:sz w:val="24"/>
          <w:lang w:val="en-US" w:eastAsia="zh-CN"/>
        </w:rPr>
        <w:t>函</w:t>
      </w:r>
      <w:r>
        <w:rPr>
          <w:rFonts w:hint="eastAsia" w:ascii="宋体" w:hAnsi="宋体" w:eastAsia="宋体" w:cs="宋体"/>
          <w:color w:val="auto"/>
          <w:sz w:val="24"/>
          <w:lang w:eastAsia="zh-CN"/>
        </w:rPr>
        <w:t>(</w:t>
      </w:r>
      <w:r>
        <w:rPr>
          <w:rFonts w:hint="eastAsia" w:ascii="宋体" w:hAnsi="宋体" w:eastAsia="宋体" w:cs="宋体"/>
          <w:color w:val="auto"/>
          <w:sz w:val="24"/>
        </w:rPr>
        <w:t>格式见附件9-6</w:t>
      </w:r>
      <w:r>
        <w:rPr>
          <w:rFonts w:hint="eastAsia" w:ascii="宋体" w:hAnsi="宋体" w:eastAsia="宋体" w:cs="宋体"/>
          <w:color w:val="auto"/>
          <w:sz w:val="24"/>
          <w:lang w:eastAsia="zh-CN"/>
        </w:rPr>
        <w:t>)</w:t>
      </w:r>
    </w:p>
    <w:p w14:paraId="109642FD">
      <w:pPr>
        <w:keepNext w:val="0"/>
        <w:keepLines w:val="0"/>
        <w:pageBreakBefore w:val="0"/>
        <w:widowControl w:val="0"/>
        <w:numPr>
          <w:ilvl w:val="1"/>
          <w:numId w:val="19"/>
        </w:numPr>
        <w:tabs>
          <w:tab w:val="left" w:pos="993"/>
          <w:tab w:val="left" w:pos="1030"/>
          <w:tab w:val="left" w:pos="8364"/>
        </w:tabs>
        <w:kinsoku/>
        <w:wordWrap/>
        <w:overflowPunct/>
        <w:topLinePunct w:val="0"/>
        <w:autoSpaceDE/>
        <w:autoSpaceDN/>
        <w:bidi w:val="0"/>
        <w:snapToGrid w:val="0"/>
        <w:spacing w:afterLines="50" w:line="360" w:lineRule="auto"/>
        <w:ind w:left="993" w:right="-57" w:rightChars="-27" w:hanging="573"/>
        <w:jc w:val="left"/>
        <w:outlineLvl w:val="9"/>
        <w:rPr>
          <w:rFonts w:hint="eastAsia" w:ascii="宋体" w:hAnsi="宋体" w:eastAsia="宋体" w:cs="宋体"/>
          <w:color w:val="auto"/>
          <w:sz w:val="24"/>
        </w:rPr>
      </w:pPr>
      <w:r>
        <w:rPr>
          <w:rFonts w:hint="eastAsia" w:ascii="宋体" w:hAnsi="宋体" w:eastAsia="宋体" w:cs="宋体"/>
          <w:color w:val="auto"/>
          <w:sz w:val="24"/>
        </w:rPr>
        <w:t>联合体协议书原件</w:t>
      </w:r>
      <w:r>
        <w:rPr>
          <w:rFonts w:hint="eastAsia" w:ascii="宋体" w:hAnsi="宋体" w:eastAsia="宋体" w:cs="宋体"/>
          <w:color w:val="auto"/>
          <w:sz w:val="24"/>
          <w:lang w:eastAsia="zh-CN"/>
        </w:rPr>
        <w:t>(</w:t>
      </w:r>
      <w:r>
        <w:rPr>
          <w:rFonts w:hint="eastAsia" w:ascii="宋体" w:hAnsi="宋体" w:eastAsia="宋体" w:cs="宋体"/>
          <w:color w:val="auto"/>
          <w:sz w:val="24"/>
        </w:rPr>
        <w:t>联合体投标时提供</w:t>
      </w:r>
      <w:r>
        <w:rPr>
          <w:rFonts w:hint="eastAsia" w:ascii="宋体" w:hAnsi="宋体" w:eastAsia="宋体" w:cs="宋体"/>
          <w:color w:val="auto"/>
          <w:sz w:val="24"/>
          <w:lang w:eastAsia="zh-CN"/>
        </w:rPr>
        <w:t>)(</w:t>
      </w:r>
      <w:r>
        <w:rPr>
          <w:rFonts w:hint="eastAsia" w:ascii="宋体" w:hAnsi="宋体" w:eastAsia="宋体" w:cs="宋体"/>
          <w:color w:val="auto"/>
          <w:sz w:val="24"/>
        </w:rPr>
        <w:t>格式见附件9-</w:t>
      </w:r>
      <w:r>
        <w:rPr>
          <w:rFonts w:hint="eastAsia" w:ascii="宋体" w:hAnsi="宋体" w:eastAsia="宋体" w:cs="宋体"/>
          <w:color w:val="auto"/>
          <w:sz w:val="24"/>
          <w:lang w:val="en-US" w:eastAsia="zh-CN"/>
        </w:rPr>
        <w:t>7</w:t>
      </w:r>
      <w:r>
        <w:rPr>
          <w:rFonts w:hint="eastAsia" w:ascii="宋体" w:hAnsi="宋体" w:eastAsia="宋体" w:cs="宋体"/>
          <w:color w:val="auto"/>
          <w:sz w:val="24"/>
        </w:rPr>
        <w:t>)</w:t>
      </w:r>
    </w:p>
    <w:p w14:paraId="7CFAC653">
      <w:pPr>
        <w:keepNext w:val="0"/>
        <w:keepLines w:val="0"/>
        <w:pageBreakBefore w:val="0"/>
        <w:widowControl w:val="0"/>
        <w:numPr>
          <w:ilvl w:val="1"/>
          <w:numId w:val="19"/>
        </w:numPr>
        <w:tabs>
          <w:tab w:val="left" w:pos="993"/>
          <w:tab w:val="left" w:pos="1030"/>
          <w:tab w:val="left" w:pos="8364"/>
        </w:tabs>
        <w:kinsoku/>
        <w:wordWrap/>
        <w:overflowPunct/>
        <w:topLinePunct w:val="0"/>
        <w:autoSpaceDE/>
        <w:autoSpaceDN/>
        <w:bidi w:val="0"/>
        <w:snapToGrid w:val="0"/>
        <w:spacing w:afterLines="50" w:line="360" w:lineRule="auto"/>
        <w:ind w:left="993" w:right="-57" w:rightChars="-27" w:hanging="573"/>
        <w:jc w:val="left"/>
        <w:rPr>
          <w:rFonts w:hint="eastAsia" w:ascii="宋体" w:hAnsi="宋体" w:eastAsia="宋体" w:cs="宋体"/>
          <w:color w:val="auto"/>
          <w:sz w:val="24"/>
        </w:rPr>
      </w:pPr>
      <w:r>
        <w:rPr>
          <w:rFonts w:hint="eastAsia" w:ascii="宋体" w:hAnsi="宋体" w:eastAsia="宋体" w:cs="宋体"/>
          <w:color w:val="auto"/>
          <w:sz w:val="24"/>
        </w:rPr>
        <w:t>证明</w:t>
      </w:r>
      <w:r>
        <w:rPr>
          <w:rFonts w:hint="eastAsia" w:ascii="宋体" w:hAnsi="宋体" w:cs="宋体"/>
          <w:color w:val="auto"/>
          <w:sz w:val="24"/>
          <w:lang w:eastAsia="zh-CN"/>
        </w:rPr>
        <w:t>供应商</w:t>
      </w:r>
      <w:r>
        <w:rPr>
          <w:rFonts w:hint="eastAsia" w:ascii="宋体" w:hAnsi="宋体" w:eastAsia="宋体" w:cs="宋体"/>
          <w:color w:val="auto"/>
          <w:sz w:val="24"/>
        </w:rPr>
        <w:t>符合特定资格条件的证明材料；</w:t>
      </w:r>
      <w:r>
        <w:rPr>
          <w:rFonts w:hint="eastAsia" w:ascii="宋体" w:hAnsi="宋体" w:eastAsia="宋体" w:cs="宋体"/>
          <w:color w:val="auto"/>
          <w:sz w:val="24"/>
          <w:lang w:eastAsia="zh-CN"/>
        </w:rPr>
        <w:t>(</w:t>
      </w:r>
      <w:r>
        <w:rPr>
          <w:rFonts w:hint="eastAsia" w:ascii="宋体" w:hAnsi="宋体" w:eastAsia="宋体" w:cs="宋体"/>
          <w:color w:val="auto"/>
          <w:sz w:val="24"/>
        </w:rPr>
        <w:t>格式见附件9-</w:t>
      </w:r>
      <w:r>
        <w:rPr>
          <w:rFonts w:hint="eastAsia" w:ascii="宋体" w:hAnsi="宋体" w:eastAsia="宋体" w:cs="宋体"/>
          <w:color w:val="auto"/>
          <w:sz w:val="24"/>
          <w:lang w:val="en-US" w:eastAsia="zh-CN"/>
        </w:rPr>
        <w:t>8</w:t>
      </w:r>
      <w:r>
        <w:rPr>
          <w:rFonts w:hint="eastAsia" w:ascii="宋体" w:hAnsi="宋体" w:eastAsia="宋体" w:cs="宋体"/>
          <w:color w:val="auto"/>
          <w:sz w:val="24"/>
        </w:rPr>
        <w:t>)</w:t>
      </w:r>
    </w:p>
    <w:p w14:paraId="77CB7FDD">
      <w:pPr>
        <w:keepNext w:val="0"/>
        <w:keepLines w:val="0"/>
        <w:pageBreakBefore w:val="0"/>
        <w:widowControl w:val="0"/>
        <w:kinsoku/>
        <w:wordWrap/>
        <w:overflowPunct/>
        <w:topLinePunct w:val="0"/>
        <w:autoSpaceDE/>
        <w:autoSpaceDN/>
        <w:bidi w:val="0"/>
        <w:adjustRightInd w:val="0"/>
        <w:spacing w:line="360" w:lineRule="auto"/>
        <w:jc w:val="left"/>
        <w:textAlignment w:val="baseline"/>
        <w:rPr>
          <w:rFonts w:hint="eastAsia" w:ascii="宋体" w:hAnsi="宋体" w:eastAsia="宋体" w:cs="宋体"/>
          <w:color w:val="auto"/>
          <w:sz w:val="24"/>
        </w:rPr>
      </w:pPr>
    </w:p>
    <w:p w14:paraId="1C07AF19">
      <w:pPr>
        <w:keepNext w:val="0"/>
        <w:keepLines w:val="0"/>
        <w:pageBreakBefore w:val="0"/>
        <w:widowControl w:val="0"/>
        <w:kinsoku/>
        <w:wordWrap/>
        <w:overflowPunct/>
        <w:topLinePunct w:val="0"/>
        <w:autoSpaceDE/>
        <w:autoSpaceDN/>
        <w:bidi w:val="0"/>
        <w:adjustRightInd w:val="0"/>
        <w:spacing w:line="360" w:lineRule="auto"/>
        <w:jc w:val="left"/>
        <w:textAlignment w:val="baseline"/>
        <w:rPr>
          <w:rFonts w:hint="eastAsia" w:ascii="宋体" w:hAnsi="宋体" w:eastAsia="宋体" w:cs="宋体"/>
          <w:color w:val="auto"/>
          <w:sz w:val="24"/>
        </w:rPr>
      </w:pPr>
      <w:r>
        <w:rPr>
          <w:rFonts w:hint="eastAsia" w:ascii="宋体" w:hAnsi="宋体" w:eastAsia="宋体" w:cs="宋体"/>
          <w:color w:val="auto"/>
          <w:sz w:val="24"/>
        </w:rPr>
        <w:t>以上提供的原件、扫描件、复印件必须加盖</w:t>
      </w:r>
      <w:r>
        <w:rPr>
          <w:rFonts w:hint="eastAsia" w:ascii="宋体" w:hAnsi="宋体" w:cs="宋体"/>
          <w:color w:val="auto"/>
          <w:sz w:val="24"/>
          <w:lang w:eastAsia="zh-CN"/>
        </w:rPr>
        <w:t>供应商</w:t>
      </w:r>
      <w:r>
        <w:rPr>
          <w:rFonts w:hint="eastAsia" w:ascii="宋体" w:hAnsi="宋体" w:eastAsia="宋体" w:cs="宋体"/>
          <w:color w:val="auto"/>
          <w:sz w:val="24"/>
        </w:rPr>
        <w:t>公章。</w:t>
      </w:r>
    </w:p>
    <w:p w14:paraId="03925AD8">
      <w:pPr>
        <w:jc w:val="center"/>
        <w:rPr>
          <w:color w:val="auto"/>
          <w:spacing w:val="20"/>
          <w:sz w:val="30"/>
          <w:szCs w:val="30"/>
        </w:rPr>
      </w:pPr>
      <w:r>
        <w:rPr>
          <w:color w:val="auto"/>
        </w:rPr>
        <w:br w:type="page"/>
      </w:r>
      <w:bookmarkStart w:id="257" w:name="_Hlt520274121"/>
      <w:bookmarkEnd w:id="257"/>
    </w:p>
    <w:p w14:paraId="18ABD2EA">
      <w:pPr>
        <w:jc w:val="center"/>
        <w:outlineLvl w:val="2"/>
        <w:rPr>
          <w:rFonts w:hint="eastAsia" w:ascii="宋体" w:hAnsi="宋体" w:eastAsia="宋体" w:cs="宋体"/>
          <w:b/>
          <w:color w:val="auto"/>
          <w:sz w:val="24"/>
          <w:lang w:eastAsia="zh-CN"/>
        </w:rPr>
      </w:pPr>
      <w:bookmarkStart w:id="258" w:name="_Toc18442"/>
      <w:bookmarkStart w:id="259" w:name="_Toc15604"/>
      <w:bookmarkStart w:id="260" w:name="_Toc25613"/>
      <w:bookmarkStart w:id="261" w:name="_Toc9712"/>
      <w:r>
        <w:rPr>
          <w:rFonts w:hint="eastAsia" w:ascii="宋体" w:hAnsi="宋体" w:eastAsia="宋体" w:cs="宋体"/>
          <w:b/>
          <w:color w:val="auto"/>
          <w:sz w:val="24"/>
        </w:rPr>
        <w:t xml:space="preserve">9-1 </w:t>
      </w:r>
      <w:r>
        <w:rPr>
          <w:rFonts w:hint="eastAsia" w:ascii="宋体" w:hAnsi="宋体" w:cs="宋体"/>
          <w:b/>
          <w:color w:val="auto"/>
          <w:sz w:val="24"/>
          <w:lang w:val="en-US" w:eastAsia="zh-CN"/>
        </w:rPr>
        <w:t xml:space="preserve"> </w:t>
      </w:r>
      <w:r>
        <w:rPr>
          <w:rFonts w:hint="eastAsia" w:ascii="宋体" w:hAnsi="宋体" w:cs="宋体"/>
          <w:b/>
          <w:color w:val="auto"/>
          <w:sz w:val="24"/>
          <w:lang w:eastAsia="zh-CN"/>
        </w:rPr>
        <w:t>供应商</w:t>
      </w:r>
      <w:r>
        <w:rPr>
          <w:rFonts w:hint="eastAsia" w:ascii="宋体" w:hAnsi="宋体" w:eastAsia="宋体" w:cs="宋体"/>
          <w:b/>
          <w:color w:val="auto"/>
          <w:sz w:val="24"/>
        </w:rPr>
        <w:t>“三证合一”的企业法人营业执照副本复印件</w:t>
      </w:r>
      <w:r>
        <w:rPr>
          <w:rFonts w:hint="eastAsia" w:ascii="宋体" w:hAnsi="宋体" w:cs="宋体"/>
          <w:b/>
          <w:color w:val="auto"/>
          <w:sz w:val="24"/>
          <w:lang w:eastAsia="zh-CN"/>
        </w:rPr>
        <w:t>(</w:t>
      </w:r>
      <w:r>
        <w:rPr>
          <w:rFonts w:hint="eastAsia" w:ascii="宋体" w:hAnsi="宋体" w:eastAsia="宋体" w:cs="宋体"/>
          <w:b/>
          <w:color w:val="auto"/>
          <w:sz w:val="24"/>
        </w:rPr>
        <w:t>加盖公章</w:t>
      </w:r>
      <w:bookmarkEnd w:id="258"/>
      <w:bookmarkEnd w:id="259"/>
      <w:bookmarkEnd w:id="260"/>
      <w:bookmarkEnd w:id="261"/>
      <w:r>
        <w:rPr>
          <w:rFonts w:hint="eastAsia" w:ascii="宋体" w:hAnsi="宋体" w:cs="宋体"/>
          <w:b/>
          <w:color w:val="auto"/>
          <w:sz w:val="24"/>
          <w:lang w:eastAsia="zh-CN"/>
        </w:rPr>
        <w:t>)</w:t>
      </w:r>
    </w:p>
    <w:p w14:paraId="728DA43F">
      <w:pPr>
        <w:jc w:val="left"/>
        <w:rPr>
          <w:rFonts w:hint="eastAsia" w:ascii="仿宋" w:hAnsi="仿宋" w:eastAsia="仿宋" w:cs="仿宋"/>
          <w:color w:val="auto"/>
          <w:sz w:val="24"/>
        </w:rPr>
      </w:pPr>
    </w:p>
    <w:p w14:paraId="3140D941">
      <w:pPr>
        <w:autoSpaceDE w:val="0"/>
        <w:autoSpaceDN w:val="0"/>
        <w:snapToGrid w:val="0"/>
        <w:spacing w:line="380" w:lineRule="exact"/>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eastAsia="zh-CN"/>
        </w:rPr>
        <w:t>:</w:t>
      </w:r>
    </w:p>
    <w:p w14:paraId="3703E50B">
      <w:pPr>
        <w:autoSpaceDE w:val="0"/>
        <w:autoSpaceDN w:val="0"/>
        <w:snapToGrid w:val="0"/>
        <w:spacing w:line="380" w:lineRule="exact"/>
        <w:ind w:firstLine="480" w:firstLineChars="200"/>
        <w:jc w:val="both"/>
        <w:rPr>
          <w:rFonts w:hint="eastAsia" w:ascii="宋体" w:hAnsi="宋体" w:eastAsia="宋体" w:cs="宋体"/>
          <w:color w:val="auto"/>
          <w:sz w:val="24"/>
          <w:szCs w:val="24"/>
        </w:rPr>
      </w:pPr>
      <w:r>
        <w:rPr>
          <w:rFonts w:hint="eastAsia" w:ascii="宋体" w:hAnsi="宋体" w:cs="宋体"/>
          <w:color w:val="auto"/>
          <w:sz w:val="24"/>
          <w:szCs w:val="24"/>
          <w:lang w:eastAsia="zh-CN"/>
        </w:rPr>
        <w:t>供应商</w:t>
      </w:r>
      <w:r>
        <w:rPr>
          <w:rFonts w:hint="eastAsia" w:ascii="宋体" w:hAnsi="宋体" w:eastAsia="宋体" w:cs="宋体"/>
          <w:color w:val="auto"/>
          <w:sz w:val="24"/>
          <w:szCs w:val="24"/>
        </w:rPr>
        <w:t>是企业</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包括合伙企业</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的，应提供其在工商部门注册的有效“企业法人营业执照”或“营业执照”的复印件；</w:t>
      </w:r>
    </w:p>
    <w:p w14:paraId="0DB22D9F">
      <w:pPr>
        <w:autoSpaceDE w:val="0"/>
        <w:autoSpaceDN w:val="0"/>
        <w:snapToGrid w:val="0"/>
        <w:spacing w:line="380" w:lineRule="exact"/>
        <w:ind w:firstLine="480" w:firstLineChars="200"/>
        <w:jc w:val="both"/>
        <w:rPr>
          <w:rFonts w:hint="eastAsia" w:ascii="宋体" w:hAnsi="宋体" w:eastAsia="宋体" w:cs="宋体"/>
          <w:color w:val="auto"/>
          <w:sz w:val="24"/>
          <w:szCs w:val="24"/>
        </w:rPr>
      </w:pPr>
      <w:r>
        <w:rPr>
          <w:rFonts w:hint="eastAsia" w:ascii="宋体" w:hAnsi="宋体" w:cs="宋体"/>
          <w:color w:val="auto"/>
          <w:sz w:val="24"/>
          <w:szCs w:val="24"/>
          <w:lang w:eastAsia="zh-CN"/>
        </w:rPr>
        <w:t>供应商</w:t>
      </w:r>
      <w:r>
        <w:rPr>
          <w:rFonts w:hint="eastAsia" w:ascii="宋体" w:hAnsi="宋体" w:eastAsia="宋体" w:cs="宋体"/>
          <w:color w:val="auto"/>
          <w:sz w:val="24"/>
          <w:szCs w:val="24"/>
        </w:rPr>
        <w:t>是事业单位的，应提供其有效的“事业单位法人证书”复印件；</w:t>
      </w:r>
    </w:p>
    <w:p w14:paraId="637BA0A5">
      <w:pPr>
        <w:autoSpaceDE w:val="0"/>
        <w:autoSpaceDN w:val="0"/>
        <w:snapToGrid w:val="0"/>
        <w:spacing w:line="380" w:lineRule="exact"/>
        <w:ind w:firstLine="480" w:firstLineChars="200"/>
        <w:jc w:val="both"/>
        <w:rPr>
          <w:rFonts w:hint="eastAsia" w:ascii="宋体" w:hAnsi="宋体" w:eastAsia="宋体" w:cs="宋体"/>
          <w:color w:val="auto"/>
          <w:sz w:val="24"/>
          <w:szCs w:val="24"/>
        </w:rPr>
      </w:pPr>
      <w:r>
        <w:rPr>
          <w:rFonts w:hint="eastAsia" w:ascii="宋体" w:hAnsi="宋体" w:cs="宋体"/>
          <w:color w:val="auto"/>
          <w:sz w:val="24"/>
          <w:szCs w:val="24"/>
          <w:lang w:eastAsia="zh-CN"/>
        </w:rPr>
        <w:t>供应商</w:t>
      </w:r>
      <w:r>
        <w:rPr>
          <w:rFonts w:hint="eastAsia" w:ascii="宋体" w:hAnsi="宋体" w:eastAsia="宋体" w:cs="宋体"/>
          <w:color w:val="auto"/>
          <w:sz w:val="24"/>
          <w:szCs w:val="24"/>
        </w:rPr>
        <w:t>是非企业专业服务机构的，应提供其有效的“执业许可证”复印件；</w:t>
      </w:r>
    </w:p>
    <w:p w14:paraId="2D5464A6">
      <w:pPr>
        <w:jc w:val="left"/>
        <w:rPr>
          <w:rFonts w:hint="eastAsia" w:ascii="仿宋_GB2312" w:hAnsi="宋体" w:eastAsia="仿宋_GB2312"/>
          <w:color w:val="auto"/>
          <w:sz w:val="24"/>
        </w:rPr>
      </w:pPr>
    </w:p>
    <w:p w14:paraId="3CC663A3">
      <w:pPr>
        <w:jc w:val="left"/>
        <w:rPr>
          <w:rFonts w:hint="eastAsia" w:ascii="仿宋_GB2312" w:hAnsi="宋体" w:eastAsia="仿宋_GB2312"/>
          <w:color w:val="auto"/>
          <w:sz w:val="24"/>
        </w:rPr>
      </w:pPr>
    </w:p>
    <w:p w14:paraId="53EC8953">
      <w:pPr>
        <w:adjustRightInd w:val="0"/>
        <w:spacing w:line="360" w:lineRule="atLeast"/>
        <w:jc w:val="left"/>
        <w:textAlignment w:val="baseline"/>
        <w:rPr>
          <w:b/>
          <w:color w:val="auto"/>
          <w:sz w:val="28"/>
        </w:rPr>
      </w:pPr>
      <w:r>
        <w:rPr>
          <w:b/>
          <w:color w:val="auto"/>
        </w:rPr>
        <w:br w:type="page"/>
      </w:r>
      <w:bookmarkEnd w:id="240"/>
    </w:p>
    <w:p w14:paraId="7DAF7B36">
      <w:pPr>
        <w:jc w:val="center"/>
        <w:outlineLvl w:val="2"/>
        <w:rPr>
          <w:rFonts w:hint="eastAsia" w:ascii="宋体" w:hAnsi="宋体" w:eastAsia="宋体" w:cs="宋体"/>
          <w:b/>
          <w:color w:val="auto"/>
          <w:sz w:val="24"/>
        </w:rPr>
      </w:pPr>
      <w:bookmarkStart w:id="262" w:name="_Toc21548"/>
      <w:bookmarkStart w:id="263" w:name="_Toc25484"/>
      <w:bookmarkStart w:id="264" w:name="_Toc20696"/>
      <w:bookmarkStart w:id="265" w:name="_Toc16787"/>
      <w:r>
        <w:rPr>
          <w:rFonts w:hint="eastAsia" w:ascii="宋体" w:hAnsi="宋体" w:eastAsia="宋体" w:cs="宋体"/>
          <w:b/>
          <w:color w:val="auto"/>
          <w:sz w:val="24"/>
        </w:rPr>
        <w:t xml:space="preserve">9-2 </w:t>
      </w:r>
      <w:r>
        <w:rPr>
          <w:rFonts w:hint="eastAsia" w:ascii="宋体" w:hAnsi="宋体" w:cs="宋体"/>
          <w:b/>
          <w:color w:val="auto"/>
          <w:sz w:val="24"/>
          <w:lang w:val="en-US" w:eastAsia="zh-CN"/>
        </w:rPr>
        <w:t xml:space="preserve"> 2024年</w:t>
      </w:r>
      <w:r>
        <w:rPr>
          <w:rFonts w:hint="eastAsia" w:ascii="宋体" w:hAnsi="宋体" w:cs="宋体"/>
          <w:b/>
          <w:color w:val="auto"/>
          <w:sz w:val="24"/>
          <w:lang w:eastAsia="zh-CN"/>
        </w:rPr>
        <w:t>度</w:t>
      </w:r>
      <w:r>
        <w:rPr>
          <w:rFonts w:hint="eastAsia" w:ascii="宋体" w:hAnsi="宋体" w:cs="宋体"/>
          <w:b/>
          <w:color w:val="auto"/>
          <w:sz w:val="24"/>
          <w:lang w:val="en-US" w:eastAsia="zh-CN"/>
        </w:rPr>
        <w:t>或2025年度</w:t>
      </w:r>
      <w:r>
        <w:rPr>
          <w:rFonts w:hint="eastAsia" w:ascii="宋体" w:hAnsi="宋体" w:eastAsia="宋体" w:cs="宋体"/>
          <w:b/>
          <w:color w:val="auto"/>
          <w:sz w:val="24"/>
        </w:rPr>
        <w:t>经审计的财务</w:t>
      </w:r>
      <w:r>
        <w:rPr>
          <w:rFonts w:hint="eastAsia" w:ascii="宋体" w:hAnsi="宋体" w:cs="宋体"/>
          <w:b/>
          <w:color w:val="auto"/>
          <w:sz w:val="24"/>
          <w:lang w:val="en-US" w:eastAsia="zh-CN"/>
        </w:rPr>
        <w:t>审计</w:t>
      </w:r>
      <w:r>
        <w:rPr>
          <w:rFonts w:hint="eastAsia" w:ascii="宋体" w:hAnsi="宋体" w:eastAsia="宋体" w:cs="宋体"/>
          <w:b/>
          <w:color w:val="auto"/>
          <w:sz w:val="24"/>
        </w:rPr>
        <w:t>报告</w:t>
      </w:r>
      <w:bookmarkEnd w:id="262"/>
      <w:bookmarkEnd w:id="263"/>
      <w:bookmarkEnd w:id="264"/>
      <w:bookmarkEnd w:id="265"/>
    </w:p>
    <w:p w14:paraId="2D01A582">
      <w:pPr>
        <w:spacing w:line="360" w:lineRule="auto"/>
        <w:rPr>
          <w:color w:val="auto"/>
          <w:szCs w:val="21"/>
        </w:rPr>
      </w:pPr>
    </w:p>
    <w:p w14:paraId="04982CA2">
      <w:pPr>
        <w:autoSpaceDE w:val="0"/>
        <w:autoSpaceDN w:val="0"/>
        <w:snapToGrid w:val="0"/>
        <w:spacing w:line="380" w:lineRule="exact"/>
        <w:jc w:val="both"/>
        <w:rPr>
          <w:rFonts w:hint="eastAsia" w:ascii="Times New Roman" w:hAnsi="Times New Roman" w:eastAsia="宋体" w:cs="宋体"/>
          <w:color w:val="auto"/>
          <w:lang w:eastAsia="zh-CN"/>
        </w:rPr>
      </w:pPr>
      <w:r>
        <w:rPr>
          <w:rFonts w:hint="eastAsia" w:ascii="Times New Roman" w:hAnsi="Times New Roman" w:cs="宋体"/>
          <w:color w:val="auto"/>
        </w:rPr>
        <w:t>说明</w:t>
      </w:r>
      <w:r>
        <w:rPr>
          <w:rFonts w:hint="eastAsia" w:cs="宋体"/>
          <w:color w:val="auto"/>
          <w:lang w:eastAsia="zh-CN"/>
        </w:rPr>
        <w:t>:</w:t>
      </w:r>
    </w:p>
    <w:p w14:paraId="7A23948D">
      <w:pPr>
        <w:spacing w:line="360" w:lineRule="auto"/>
        <w:ind w:right="155"/>
        <w:rPr>
          <w:rFonts w:hint="eastAsia"/>
          <w:color w:val="auto"/>
          <w:szCs w:val="21"/>
        </w:rPr>
      </w:pPr>
    </w:p>
    <w:p w14:paraId="23B61E74">
      <w:pPr>
        <w:autoSpaceDE w:val="0"/>
        <w:autoSpaceDN w:val="0"/>
        <w:snapToGrid w:val="0"/>
        <w:spacing w:line="380" w:lineRule="exact"/>
        <w:ind w:left="105" w:leftChars="5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lang w:val="en-US" w:eastAsia="zh-CN"/>
        </w:rPr>
        <w:t>2024年度或2025年度</w:t>
      </w:r>
      <w:r>
        <w:rPr>
          <w:rFonts w:hint="eastAsia" w:ascii="宋体" w:hAnsi="宋体" w:eastAsia="宋体" w:cs="宋体"/>
          <w:color w:val="auto"/>
          <w:sz w:val="24"/>
          <w:szCs w:val="24"/>
        </w:rPr>
        <w:t>经会计师事务所或审计机构审计的财务审计报告</w:t>
      </w:r>
      <w:r>
        <w:rPr>
          <w:rFonts w:hint="eastAsia" w:ascii="宋体" w:hAnsi="宋体" w:eastAsia="宋体" w:cs="宋体"/>
          <w:color w:val="auto"/>
          <w:sz w:val="24"/>
          <w:szCs w:val="24"/>
          <w:lang w:val="en-US" w:eastAsia="zh-CN"/>
        </w:rPr>
        <w:t>复印件加盖公章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包括资产负债表、现金流量表、利润表、所有者权益变动表及其附注</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复印件或扫描件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所有复印件或扫描件需加盖单位公章。</w:t>
      </w:r>
    </w:p>
    <w:p w14:paraId="47CDC879">
      <w:pPr>
        <w:spacing w:line="360" w:lineRule="auto"/>
        <w:rPr>
          <w:color w:val="auto"/>
          <w:szCs w:val="21"/>
        </w:rPr>
      </w:pPr>
    </w:p>
    <w:p w14:paraId="0180447B">
      <w:pPr>
        <w:spacing w:beforeLines="50" w:line="440" w:lineRule="exact"/>
        <w:ind w:left="687" w:leftChars="327"/>
        <w:rPr>
          <w:rFonts w:ascii="仿宋_GB2312" w:hAnsi="宋体" w:eastAsia="仿宋_GB2312"/>
          <w:color w:val="auto"/>
          <w:sz w:val="24"/>
        </w:rPr>
      </w:pPr>
    </w:p>
    <w:p w14:paraId="6802F912">
      <w:pPr>
        <w:tabs>
          <w:tab w:val="left" w:pos="993"/>
          <w:tab w:val="left" w:pos="1030"/>
          <w:tab w:val="left" w:pos="8364"/>
        </w:tabs>
        <w:snapToGrid w:val="0"/>
        <w:spacing w:afterLines="50"/>
        <w:ind w:left="420" w:right="-57" w:rightChars="-27"/>
        <w:jc w:val="left"/>
        <w:rPr>
          <w:b/>
          <w:color w:val="auto"/>
          <w:spacing w:val="20"/>
          <w:sz w:val="24"/>
        </w:rPr>
      </w:pPr>
      <w:r>
        <w:rPr>
          <w:b/>
          <w:color w:val="auto"/>
          <w:spacing w:val="20"/>
          <w:sz w:val="24"/>
        </w:rPr>
        <w:br w:type="page"/>
      </w:r>
    </w:p>
    <w:p w14:paraId="0CEAB86A">
      <w:pPr>
        <w:jc w:val="center"/>
        <w:outlineLvl w:val="2"/>
        <w:rPr>
          <w:rFonts w:hint="eastAsia" w:ascii="宋体" w:hAnsi="宋体" w:eastAsia="宋体" w:cs="宋体"/>
          <w:b/>
          <w:color w:val="auto"/>
          <w:sz w:val="24"/>
        </w:rPr>
      </w:pPr>
      <w:bookmarkStart w:id="266" w:name="_Toc29140"/>
      <w:bookmarkStart w:id="267" w:name="_Toc21360"/>
      <w:bookmarkStart w:id="268" w:name="_Toc11031"/>
      <w:bookmarkStart w:id="269" w:name="_Toc27129"/>
      <w:r>
        <w:rPr>
          <w:rFonts w:hint="eastAsia" w:ascii="宋体" w:hAnsi="宋体" w:eastAsia="宋体" w:cs="宋体"/>
          <w:b/>
          <w:color w:val="auto"/>
          <w:sz w:val="24"/>
        </w:rPr>
        <w:t xml:space="preserve">9-2 </w:t>
      </w:r>
      <w:r>
        <w:rPr>
          <w:rFonts w:hint="eastAsia" w:ascii="宋体" w:hAnsi="宋体" w:cs="宋体"/>
          <w:b/>
          <w:color w:val="auto"/>
          <w:sz w:val="24"/>
          <w:lang w:val="en-US" w:eastAsia="zh-CN"/>
        </w:rPr>
        <w:t xml:space="preserve"> </w:t>
      </w:r>
      <w:r>
        <w:rPr>
          <w:rFonts w:hint="eastAsia" w:ascii="宋体" w:hAnsi="宋体" w:cs="宋体"/>
          <w:b/>
          <w:color w:val="auto"/>
          <w:sz w:val="24"/>
          <w:lang w:eastAsia="zh-CN"/>
        </w:rPr>
        <w:t>上一年度</w:t>
      </w:r>
      <w:r>
        <w:rPr>
          <w:rFonts w:hint="eastAsia" w:ascii="宋体" w:hAnsi="宋体" w:eastAsia="宋体" w:cs="宋体"/>
          <w:b/>
          <w:color w:val="auto"/>
          <w:sz w:val="24"/>
        </w:rPr>
        <w:t>基本开户银行出具的资信证明</w:t>
      </w:r>
      <w:bookmarkEnd w:id="266"/>
      <w:bookmarkEnd w:id="267"/>
      <w:bookmarkEnd w:id="268"/>
      <w:bookmarkEnd w:id="269"/>
    </w:p>
    <w:p w14:paraId="6FFF7420">
      <w:pPr>
        <w:jc w:val="center"/>
        <w:rPr>
          <w:rFonts w:ascii="仿宋_GB2312" w:hAnsi="宋体" w:eastAsia="仿宋_GB2312"/>
          <w:b/>
          <w:color w:val="auto"/>
          <w:sz w:val="24"/>
        </w:rPr>
      </w:pPr>
    </w:p>
    <w:p w14:paraId="682ABBF6">
      <w:pPr>
        <w:pStyle w:val="18"/>
        <w:widowControl/>
        <w:spacing w:after="120" w:line="360" w:lineRule="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基本开户银行情况</w:t>
      </w:r>
    </w:p>
    <w:tbl>
      <w:tblPr>
        <w:tblStyle w:val="43"/>
        <w:tblW w:w="838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08"/>
        <w:gridCol w:w="3480"/>
        <w:gridCol w:w="3793"/>
      </w:tblGrid>
      <w:tr w14:paraId="1B91E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0" w:hRule="atLeast"/>
          <w:jc w:val="center"/>
        </w:trPr>
        <w:tc>
          <w:tcPr>
            <w:tcW w:w="1108" w:type="dxa"/>
            <w:vMerge w:val="restart"/>
            <w:vAlign w:val="center"/>
          </w:tcPr>
          <w:p w14:paraId="1BA190E1">
            <w:pPr>
              <w:snapToGrid w:val="0"/>
              <w:rPr>
                <w:color w:val="auto"/>
                <w:szCs w:val="21"/>
              </w:rPr>
            </w:pPr>
            <w:r>
              <w:rPr>
                <w:rFonts w:hAnsi="宋体"/>
                <w:b/>
                <w:color w:val="auto"/>
                <w:szCs w:val="21"/>
              </w:rPr>
              <w:t>开户银行</w:t>
            </w:r>
          </w:p>
        </w:tc>
        <w:tc>
          <w:tcPr>
            <w:tcW w:w="7273" w:type="dxa"/>
            <w:gridSpan w:val="2"/>
            <w:vAlign w:val="center"/>
          </w:tcPr>
          <w:p w14:paraId="254EE7EB">
            <w:pPr>
              <w:snapToGrid w:val="0"/>
              <w:ind w:left="92" w:firstLine="8"/>
              <w:rPr>
                <w:rFonts w:hint="eastAsia" w:eastAsia="宋体"/>
                <w:color w:val="auto"/>
                <w:szCs w:val="21"/>
                <w:lang w:eastAsia="zh-CN"/>
              </w:rPr>
            </w:pPr>
            <w:r>
              <w:rPr>
                <w:rFonts w:hAnsi="宋体"/>
                <w:color w:val="auto"/>
                <w:szCs w:val="21"/>
              </w:rPr>
              <w:t>名称</w:t>
            </w:r>
            <w:r>
              <w:rPr>
                <w:rFonts w:hint="eastAsia" w:hAnsi="宋体"/>
                <w:color w:val="auto"/>
                <w:szCs w:val="21"/>
                <w:lang w:eastAsia="zh-CN"/>
              </w:rPr>
              <w:t>:</w:t>
            </w:r>
          </w:p>
        </w:tc>
      </w:tr>
      <w:tr w14:paraId="35EFC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0" w:hRule="atLeast"/>
          <w:jc w:val="center"/>
        </w:trPr>
        <w:tc>
          <w:tcPr>
            <w:tcW w:w="1108" w:type="dxa"/>
            <w:vMerge w:val="continue"/>
            <w:vAlign w:val="center"/>
          </w:tcPr>
          <w:p w14:paraId="6887F7B8">
            <w:pPr>
              <w:snapToGrid w:val="0"/>
              <w:rPr>
                <w:color w:val="auto"/>
                <w:szCs w:val="21"/>
              </w:rPr>
            </w:pPr>
          </w:p>
        </w:tc>
        <w:tc>
          <w:tcPr>
            <w:tcW w:w="7273" w:type="dxa"/>
            <w:gridSpan w:val="2"/>
            <w:vAlign w:val="center"/>
          </w:tcPr>
          <w:p w14:paraId="4A8A5B37">
            <w:pPr>
              <w:snapToGrid w:val="0"/>
              <w:ind w:left="92" w:firstLine="8"/>
              <w:rPr>
                <w:rFonts w:hint="eastAsia" w:eastAsia="宋体"/>
                <w:color w:val="auto"/>
                <w:szCs w:val="21"/>
                <w:lang w:eastAsia="zh-CN"/>
              </w:rPr>
            </w:pPr>
            <w:r>
              <w:rPr>
                <w:rFonts w:hAnsi="宋体"/>
                <w:color w:val="auto"/>
                <w:szCs w:val="21"/>
              </w:rPr>
              <w:t>地址</w:t>
            </w:r>
            <w:r>
              <w:rPr>
                <w:rFonts w:hint="eastAsia" w:hAnsi="宋体"/>
                <w:color w:val="auto"/>
                <w:szCs w:val="21"/>
                <w:lang w:eastAsia="zh-CN"/>
              </w:rPr>
              <w:t>:</w:t>
            </w:r>
          </w:p>
        </w:tc>
      </w:tr>
      <w:tr w14:paraId="136D3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0" w:hRule="atLeast"/>
          <w:jc w:val="center"/>
        </w:trPr>
        <w:tc>
          <w:tcPr>
            <w:tcW w:w="1108" w:type="dxa"/>
            <w:vMerge w:val="continue"/>
            <w:vAlign w:val="center"/>
          </w:tcPr>
          <w:p w14:paraId="567A465C">
            <w:pPr>
              <w:snapToGrid w:val="0"/>
              <w:rPr>
                <w:color w:val="auto"/>
                <w:szCs w:val="21"/>
              </w:rPr>
            </w:pPr>
          </w:p>
        </w:tc>
        <w:tc>
          <w:tcPr>
            <w:tcW w:w="3480" w:type="dxa"/>
            <w:vAlign w:val="center"/>
          </w:tcPr>
          <w:p w14:paraId="3006F5E6">
            <w:pPr>
              <w:snapToGrid w:val="0"/>
              <w:ind w:left="92" w:firstLine="8"/>
              <w:rPr>
                <w:rFonts w:hint="eastAsia" w:eastAsia="宋体"/>
                <w:color w:val="auto"/>
                <w:szCs w:val="21"/>
                <w:lang w:eastAsia="zh-CN"/>
              </w:rPr>
            </w:pPr>
            <w:r>
              <w:rPr>
                <w:rFonts w:hAnsi="宋体"/>
                <w:color w:val="auto"/>
                <w:szCs w:val="21"/>
              </w:rPr>
              <w:t>电话</w:t>
            </w:r>
            <w:r>
              <w:rPr>
                <w:rFonts w:hint="eastAsia" w:hAnsi="宋体"/>
                <w:color w:val="auto"/>
                <w:szCs w:val="21"/>
                <w:lang w:eastAsia="zh-CN"/>
              </w:rPr>
              <w:t>:</w:t>
            </w:r>
          </w:p>
        </w:tc>
        <w:tc>
          <w:tcPr>
            <w:tcW w:w="3793" w:type="dxa"/>
            <w:vAlign w:val="center"/>
          </w:tcPr>
          <w:p w14:paraId="03F47DBF">
            <w:pPr>
              <w:snapToGrid w:val="0"/>
              <w:ind w:left="92" w:firstLine="8"/>
              <w:rPr>
                <w:rFonts w:hint="eastAsia" w:eastAsia="宋体"/>
                <w:color w:val="auto"/>
                <w:szCs w:val="21"/>
                <w:lang w:eastAsia="zh-CN"/>
              </w:rPr>
            </w:pPr>
            <w:r>
              <w:rPr>
                <w:rFonts w:hAnsi="宋体"/>
                <w:color w:val="auto"/>
                <w:szCs w:val="21"/>
              </w:rPr>
              <w:t>联系人及职务</w:t>
            </w:r>
            <w:r>
              <w:rPr>
                <w:rFonts w:hint="eastAsia" w:hAnsi="宋体"/>
                <w:color w:val="auto"/>
                <w:szCs w:val="21"/>
                <w:lang w:eastAsia="zh-CN"/>
              </w:rPr>
              <w:t>:</w:t>
            </w:r>
          </w:p>
        </w:tc>
      </w:tr>
      <w:tr w14:paraId="4CAA2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0" w:hRule="atLeast"/>
          <w:jc w:val="center"/>
        </w:trPr>
        <w:tc>
          <w:tcPr>
            <w:tcW w:w="1108" w:type="dxa"/>
            <w:vMerge w:val="continue"/>
            <w:vAlign w:val="center"/>
          </w:tcPr>
          <w:p w14:paraId="62F07E89">
            <w:pPr>
              <w:snapToGrid w:val="0"/>
              <w:rPr>
                <w:color w:val="auto"/>
                <w:szCs w:val="21"/>
              </w:rPr>
            </w:pPr>
          </w:p>
        </w:tc>
        <w:tc>
          <w:tcPr>
            <w:tcW w:w="3480" w:type="dxa"/>
            <w:vAlign w:val="center"/>
          </w:tcPr>
          <w:p w14:paraId="19BE24F6">
            <w:pPr>
              <w:snapToGrid w:val="0"/>
              <w:ind w:left="92" w:firstLine="8"/>
              <w:rPr>
                <w:rFonts w:hint="eastAsia" w:eastAsia="宋体"/>
                <w:color w:val="auto"/>
                <w:szCs w:val="21"/>
                <w:lang w:eastAsia="zh-CN"/>
              </w:rPr>
            </w:pPr>
            <w:r>
              <w:rPr>
                <w:rFonts w:hAnsi="宋体"/>
                <w:color w:val="auto"/>
                <w:szCs w:val="21"/>
              </w:rPr>
              <w:t>传真</w:t>
            </w:r>
            <w:r>
              <w:rPr>
                <w:rFonts w:hint="eastAsia" w:hAnsi="宋体"/>
                <w:color w:val="auto"/>
                <w:szCs w:val="21"/>
                <w:lang w:eastAsia="zh-CN"/>
              </w:rPr>
              <w:t>:</w:t>
            </w:r>
          </w:p>
        </w:tc>
        <w:tc>
          <w:tcPr>
            <w:tcW w:w="3793" w:type="dxa"/>
            <w:vAlign w:val="center"/>
          </w:tcPr>
          <w:p w14:paraId="5BB0D7BE">
            <w:pPr>
              <w:snapToGrid w:val="0"/>
              <w:ind w:left="92" w:firstLine="8"/>
              <w:rPr>
                <w:rFonts w:hint="eastAsia" w:eastAsia="宋体"/>
                <w:color w:val="auto"/>
                <w:szCs w:val="21"/>
                <w:lang w:eastAsia="zh-CN"/>
              </w:rPr>
            </w:pPr>
            <w:r>
              <w:rPr>
                <w:rFonts w:hAnsi="宋体"/>
                <w:color w:val="auto"/>
                <w:szCs w:val="21"/>
              </w:rPr>
              <w:t>电传</w:t>
            </w:r>
            <w:r>
              <w:rPr>
                <w:rFonts w:hint="eastAsia" w:hAnsi="宋体"/>
                <w:color w:val="auto"/>
                <w:szCs w:val="21"/>
                <w:lang w:eastAsia="zh-CN"/>
              </w:rPr>
              <w:t>:</w:t>
            </w:r>
          </w:p>
        </w:tc>
      </w:tr>
    </w:tbl>
    <w:p w14:paraId="7605C127">
      <w:pPr>
        <w:spacing w:line="360" w:lineRule="auto"/>
        <w:rPr>
          <w:rFonts w:hint="eastAsia"/>
          <w:color w:val="auto"/>
          <w:szCs w:val="21"/>
        </w:rPr>
      </w:pPr>
    </w:p>
    <w:p w14:paraId="364C1249">
      <w:pPr>
        <w:pStyle w:val="18"/>
        <w:widowControl/>
        <w:spacing w:after="120" w:line="360" w:lineRule="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注:附基本账户的“银行开户许可证”的复印件。</w:t>
      </w:r>
    </w:p>
    <w:p w14:paraId="0D204C2B">
      <w:pPr>
        <w:jc w:val="center"/>
        <w:rPr>
          <w:rFonts w:ascii="仿宋_GB2312" w:hAnsi="宋体" w:eastAsia="仿宋_GB2312"/>
          <w:b/>
          <w:color w:val="auto"/>
          <w:sz w:val="24"/>
        </w:rPr>
      </w:pPr>
    </w:p>
    <w:p w14:paraId="2C8B03A2">
      <w:pPr>
        <w:jc w:val="center"/>
        <w:rPr>
          <w:rFonts w:ascii="仿宋_GB2312" w:hAnsi="宋体" w:eastAsia="仿宋_GB2312"/>
          <w:b/>
          <w:color w:val="auto"/>
          <w:sz w:val="24"/>
        </w:rPr>
      </w:pPr>
    </w:p>
    <w:p w14:paraId="63A42113">
      <w:pPr>
        <w:jc w:val="center"/>
        <w:rPr>
          <w:rFonts w:hint="eastAsia" w:ascii="宋体" w:hAnsi="宋体" w:eastAsia="宋体" w:cs="宋体"/>
          <w:b/>
          <w:color w:val="auto"/>
          <w:sz w:val="24"/>
          <w:lang w:eastAsia="zh-CN"/>
        </w:rPr>
      </w:pPr>
      <w:r>
        <w:rPr>
          <w:rFonts w:hint="eastAsia" w:ascii="宋体" w:hAnsi="宋体" w:cs="宋体"/>
          <w:b/>
          <w:color w:val="auto"/>
          <w:sz w:val="24"/>
          <w:lang w:eastAsia="zh-CN"/>
        </w:rPr>
        <w:t>(</w:t>
      </w:r>
      <w:r>
        <w:rPr>
          <w:rFonts w:hint="eastAsia" w:ascii="宋体" w:hAnsi="宋体" w:eastAsia="宋体" w:cs="宋体"/>
          <w:b/>
          <w:color w:val="auto"/>
          <w:sz w:val="24"/>
        </w:rPr>
        <w:t>注</w:t>
      </w:r>
      <w:r>
        <w:rPr>
          <w:rFonts w:hint="eastAsia" w:ascii="宋体" w:hAnsi="宋体" w:cs="宋体"/>
          <w:b/>
          <w:color w:val="auto"/>
          <w:sz w:val="24"/>
          <w:lang w:eastAsia="zh-CN"/>
        </w:rPr>
        <w:t>:</w:t>
      </w:r>
      <w:r>
        <w:rPr>
          <w:rFonts w:hint="eastAsia" w:ascii="宋体" w:hAnsi="宋体" w:eastAsia="宋体" w:cs="宋体"/>
          <w:b/>
          <w:color w:val="auto"/>
          <w:sz w:val="24"/>
        </w:rPr>
        <w:t>银行资信证明与</w:t>
      </w:r>
      <w:r>
        <w:rPr>
          <w:rFonts w:hint="eastAsia" w:ascii="宋体" w:hAnsi="宋体" w:cs="宋体"/>
          <w:b/>
          <w:color w:val="auto"/>
          <w:sz w:val="24"/>
          <w:lang w:eastAsia="zh-CN"/>
        </w:rPr>
        <w:t>供应商</w:t>
      </w:r>
      <w:r>
        <w:rPr>
          <w:rFonts w:hint="eastAsia" w:ascii="宋体" w:hAnsi="宋体" w:eastAsia="宋体" w:cs="宋体"/>
          <w:b/>
          <w:color w:val="auto"/>
          <w:sz w:val="24"/>
        </w:rPr>
        <w:t>财务</w:t>
      </w:r>
      <w:r>
        <w:rPr>
          <w:rFonts w:hint="eastAsia" w:ascii="宋体" w:hAnsi="宋体" w:cs="宋体"/>
          <w:b/>
          <w:color w:val="auto"/>
          <w:sz w:val="24"/>
          <w:lang w:val="en-US" w:eastAsia="zh-CN"/>
        </w:rPr>
        <w:t>审计</w:t>
      </w:r>
      <w:r>
        <w:rPr>
          <w:rFonts w:hint="eastAsia" w:ascii="宋体" w:hAnsi="宋体" w:cs="宋体"/>
          <w:b/>
          <w:color w:val="auto"/>
          <w:sz w:val="24"/>
          <w:lang w:eastAsia="zh-CN"/>
        </w:rPr>
        <w:t>报告</w:t>
      </w:r>
      <w:r>
        <w:rPr>
          <w:rFonts w:hint="eastAsia" w:ascii="宋体" w:hAnsi="宋体" w:eastAsia="宋体" w:cs="宋体"/>
          <w:b/>
          <w:color w:val="auto"/>
          <w:sz w:val="24"/>
        </w:rPr>
        <w:t>二选一</w:t>
      </w:r>
      <w:r>
        <w:rPr>
          <w:rFonts w:hint="eastAsia" w:ascii="宋体" w:hAnsi="宋体" w:cs="宋体"/>
          <w:b/>
          <w:color w:val="auto"/>
          <w:sz w:val="24"/>
          <w:lang w:eastAsia="zh-CN"/>
        </w:rPr>
        <w:t>)</w:t>
      </w:r>
    </w:p>
    <w:p w14:paraId="1767999E">
      <w:pPr>
        <w:widowControl/>
        <w:jc w:val="left"/>
        <w:rPr>
          <w:b/>
          <w:color w:val="auto"/>
          <w:spacing w:val="20"/>
          <w:sz w:val="24"/>
        </w:rPr>
      </w:pPr>
      <w:r>
        <w:rPr>
          <w:b/>
          <w:color w:val="auto"/>
          <w:spacing w:val="20"/>
          <w:sz w:val="24"/>
        </w:rPr>
        <w:br w:type="page"/>
      </w:r>
    </w:p>
    <w:p w14:paraId="37BC6DE0">
      <w:pPr>
        <w:tabs>
          <w:tab w:val="left" w:pos="993"/>
          <w:tab w:val="left" w:pos="1030"/>
          <w:tab w:val="left" w:pos="8364"/>
        </w:tabs>
        <w:snapToGrid w:val="0"/>
        <w:spacing w:afterLines="50"/>
        <w:ind w:left="420" w:right="-57" w:rightChars="-27"/>
        <w:jc w:val="center"/>
        <w:outlineLvl w:val="2"/>
        <w:rPr>
          <w:rFonts w:ascii="宋体" w:hAnsi="宋体" w:eastAsia="宋体"/>
          <w:b/>
          <w:color w:val="auto"/>
          <w:sz w:val="24"/>
        </w:rPr>
      </w:pPr>
      <w:bookmarkStart w:id="270" w:name="_Toc25976"/>
      <w:bookmarkStart w:id="271" w:name="_Toc27218"/>
      <w:bookmarkStart w:id="272" w:name="_Toc19881"/>
      <w:bookmarkStart w:id="273" w:name="_Toc10448"/>
      <w:r>
        <w:rPr>
          <w:rFonts w:hint="eastAsia" w:ascii="宋体" w:hAnsi="宋体" w:eastAsia="宋体"/>
          <w:b/>
          <w:color w:val="auto"/>
          <w:sz w:val="24"/>
        </w:rPr>
        <w:t>9-3</w:t>
      </w:r>
      <w:r>
        <w:rPr>
          <w:rFonts w:hint="eastAsia" w:ascii="宋体" w:hAnsi="宋体" w:eastAsia="宋体" w:cs="宋体"/>
          <w:b/>
          <w:color w:val="auto"/>
          <w:sz w:val="24"/>
        </w:rPr>
        <w:t xml:space="preserve"> </w:t>
      </w:r>
      <w:r>
        <w:rPr>
          <w:rFonts w:hint="eastAsia" w:ascii="宋体" w:hAnsi="宋体" w:cs="宋体"/>
          <w:b/>
          <w:color w:val="auto"/>
          <w:sz w:val="24"/>
          <w:lang w:val="en-US" w:eastAsia="zh-CN"/>
        </w:rPr>
        <w:t xml:space="preserve"> </w:t>
      </w:r>
      <w:r>
        <w:rPr>
          <w:rFonts w:hint="eastAsia" w:ascii="宋体" w:hAnsi="宋体" w:eastAsia="宋体"/>
          <w:b/>
          <w:color w:val="auto"/>
          <w:sz w:val="24"/>
        </w:rPr>
        <w:t>依法缴纳税收的证明</w:t>
      </w:r>
      <w:bookmarkEnd w:id="270"/>
      <w:bookmarkEnd w:id="271"/>
      <w:bookmarkEnd w:id="272"/>
      <w:bookmarkEnd w:id="273"/>
    </w:p>
    <w:p w14:paraId="5903B7B5">
      <w:pPr>
        <w:tabs>
          <w:tab w:val="left" w:pos="993"/>
          <w:tab w:val="left" w:pos="1030"/>
          <w:tab w:val="left" w:pos="8364"/>
        </w:tabs>
        <w:snapToGrid w:val="0"/>
        <w:spacing w:afterLines="50"/>
        <w:ind w:left="420" w:right="-57" w:rightChars="-27" w:firstLine="480" w:firstLineChars="200"/>
        <w:jc w:val="left"/>
        <w:rPr>
          <w:rFonts w:ascii="宋体" w:hAnsi="宋体" w:eastAsia="宋体"/>
          <w:color w:val="auto"/>
          <w:sz w:val="24"/>
        </w:rPr>
      </w:pPr>
    </w:p>
    <w:p w14:paraId="0A96CD3A">
      <w:pPr>
        <w:tabs>
          <w:tab w:val="left" w:pos="993"/>
          <w:tab w:val="left" w:pos="1030"/>
          <w:tab w:val="left" w:pos="8364"/>
        </w:tabs>
        <w:snapToGrid w:val="0"/>
        <w:spacing w:afterLines="50"/>
        <w:ind w:left="420" w:right="-57" w:rightChars="-27" w:firstLine="480" w:firstLineChars="200"/>
        <w:jc w:val="left"/>
        <w:rPr>
          <w:rFonts w:ascii="宋体" w:hAnsi="宋体" w:eastAsia="宋体"/>
          <w:color w:val="auto"/>
          <w:sz w:val="24"/>
        </w:rPr>
      </w:pPr>
    </w:p>
    <w:p w14:paraId="4BE95334">
      <w:pPr>
        <w:tabs>
          <w:tab w:val="left" w:pos="993"/>
          <w:tab w:val="left" w:pos="1030"/>
          <w:tab w:val="left" w:pos="8364"/>
        </w:tabs>
        <w:snapToGrid w:val="0"/>
        <w:spacing w:afterLines="50"/>
        <w:ind w:left="420" w:right="-57" w:rightChars="-27" w:firstLine="480" w:firstLineChars="200"/>
        <w:jc w:val="left"/>
        <w:rPr>
          <w:rFonts w:ascii="宋体" w:hAnsi="宋体" w:eastAsia="宋体"/>
          <w:color w:val="auto"/>
          <w:sz w:val="24"/>
        </w:rPr>
      </w:pPr>
    </w:p>
    <w:p w14:paraId="2FDE64E8">
      <w:pPr>
        <w:tabs>
          <w:tab w:val="left" w:pos="993"/>
          <w:tab w:val="left" w:pos="1030"/>
          <w:tab w:val="left" w:pos="8364"/>
        </w:tabs>
        <w:snapToGrid w:val="0"/>
        <w:spacing w:afterLines="50"/>
        <w:ind w:left="0" w:right="-57" w:rightChars="-27" w:firstLine="0" w:firstLineChars="0"/>
        <w:jc w:val="left"/>
        <w:rPr>
          <w:rFonts w:hint="eastAsia" w:ascii="宋体" w:hAnsi="宋体" w:eastAsia="宋体" w:cs="宋体"/>
          <w:color w:val="auto"/>
          <w:sz w:val="24"/>
          <w:lang w:eastAsia="zh-CN"/>
        </w:rPr>
      </w:pPr>
      <w:r>
        <w:rPr>
          <w:rFonts w:hint="eastAsia" w:ascii="宋体" w:hAnsi="宋体" w:eastAsia="宋体" w:cs="宋体"/>
          <w:color w:val="auto"/>
          <w:sz w:val="24"/>
        </w:rPr>
        <w:t>说明</w:t>
      </w:r>
      <w:r>
        <w:rPr>
          <w:rFonts w:hint="eastAsia" w:ascii="宋体" w:hAnsi="宋体" w:cs="宋体"/>
          <w:color w:val="auto"/>
          <w:sz w:val="24"/>
          <w:lang w:eastAsia="zh-CN"/>
        </w:rPr>
        <w:t>:</w:t>
      </w:r>
    </w:p>
    <w:p w14:paraId="5FCD2030">
      <w:pPr>
        <w:keepNext w:val="0"/>
        <w:keepLines w:val="0"/>
        <w:pageBreakBefore w:val="0"/>
        <w:widowControl w:val="0"/>
        <w:tabs>
          <w:tab w:val="left" w:pos="993"/>
          <w:tab w:val="left" w:pos="1030"/>
          <w:tab w:val="left" w:pos="8364"/>
        </w:tabs>
        <w:kinsoku/>
        <w:wordWrap/>
        <w:overflowPunct/>
        <w:topLinePunct w:val="0"/>
        <w:autoSpaceDE/>
        <w:autoSpaceDN/>
        <w:bidi w:val="0"/>
        <w:adjustRightInd/>
        <w:snapToGrid w:val="0"/>
        <w:spacing w:afterLines="50" w:line="360" w:lineRule="auto"/>
        <w:ind w:left="420" w:right="-57" w:rightChars="-27" w:firstLine="480" w:firstLineChars="200"/>
        <w:jc w:val="left"/>
        <w:textAlignment w:val="auto"/>
        <w:rPr>
          <w:rFonts w:hint="eastAsia" w:ascii="宋体" w:hAnsi="宋体" w:eastAsia="宋体"/>
          <w:color w:val="auto"/>
          <w:sz w:val="24"/>
        </w:rPr>
      </w:pPr>
      <w:r>
        <w:rPr>
          <w:rFonts w:hint="eastAsia" w:ascii="宋体" w:hAnsi="宋体"/>
          <w:color w:val="auto"/>
          <w:sz w:val="24"/>
          <w:lang w:eastAsia="zh-CN"/>
        </w:rPr>
        <w:t>供应商</w:t>
      </w:r>
      <w:r>
        <w:rPr>
          <w:rFonts w:hint="eastAsia" w:ascii="宋体" w:hAnsi="宋体" w:eastAsia="宋体"/>
          <w:color w:val="auto"/>
          <w:sz w:val="24"/>
        </w:rPr>
        <w:t>应提供近六个月中至少一个月</w:t>
      </w:r>
      <w:r>
        <w:rPr>
          <w:rFonts w:hint="eastAsia" w:ascii="宋体" w:hAnsi="宋体" w:eastAsia="宋体"/>
          <w:color w:val="auto"/>
          <w:sz w:val="24"/>
          <w:lang w:val="en-US" w:eastAsia="zh-CN"/>
        </w:rPr>
        <w:t>的</w:t>
      </w:r>
      <w:r>
        <w:rPr>
          <w:rFonts w:hint="eastAsia" w:ascii="宋体" w:hAnsi="宋体" w:eastAsia="宋体"/>
          <w:color w:val="auto"/>
          <w:sz w:val="24"/>
        </w:rPr>
        <w:t>缴税凭证(银行出具的缴税凭证或税务机关出具的证明的复印件，并加盖本单位公章)或免税证明(复印件加盖公章)。</w:t>
      </w:r>
    </w:p>
    <w:p w14:paraId="16556D31">
      <w:pPr>
        <w:tabs>
          <w:tab w:val="left" w:pos="993"/>
          <w:tab w:val="left" w:pos="1030"/>
          <w:tab w:val="left" w:pos="8364"/>
        </w:tabs>
        <w:snapToGrid w:val="0"/>
        <w:spacing w:afterLines="50"/>
        <w:ind w:left="420" w:right="-57" w:rightChars="-27" w:firstLine="480" w:firstLineChars="200"/>
        <w:jc w:val="left"/>
        <w:rPr>
          <w:rFonts w:ascii="宋体" w:hAnsi="宋体" w:eastAsia="宋体"/>
          <w:color w:val="auto"/>
          <w:sz w:val="24"/>
        </w:rPr>
      </w:pPr>
    </w:p>
    <w:p w14:paraId="59C08161">
      <w:pPr>
        <w:tabs>
          <w:tab w:val="left" w:pos="993"/>
          <w:tab w:val="left" w:pos="1030"/>
          <w:tab w:val="left" w:pos="8364"/>
        </w:tabs>
        <w:snapToGrid w:val="0"/>
        <w:spacing w:afterLines="50"/>
        <w:ind w:left="420" w:right="-57" w:rightChars="-27" w:firstLine="480" w:firstLineChars="200"/>
        <w:jc w:val="left"/>
        <w:rPr>
          <w:rFonts w:ascii="宋体" w:hAnsi="宋体" w:eastAsia="宋体"/>
          <w:color w:val="auto"/>
          <w:sz w:val="24"/>
        </w:rPr>
      </w:pPr>
    </w:p>
    <w:p w14:paraId="25A55928">
      <w:pPr>
        <w:tabs>
          <w:tab w:val="left" w:pos="993"/>
          <w:tab w:val="left" w:pos="1030"/>
          <w:tab w:val="left" w:pos="8364"/>
        </w:tabs>
        <w:snapToGrid w:val="0"/>
        <w:spacing w:afterLines="50"/>
        <w:ind w:left="420" w:right="-57" w:rightChars="-27" w:firstLine="480" w:firstLineChars="200"/>
        <w:jc w:val="left"/>
        <w:rPr>
          <w:rFonts w:ascii="宋体" w:hAnsi="宋体" w:eastAsia="宋体"/>
          <w:color w:val="auto"/>
          <w:sz w:val="24"/>
        </w:rPr>
      </w:pPr>
    </w:p>
    <w:p w14:paraId="11A747E2">
      <w:pPr>
        <w:tabs>
          <w:tab w:val="left" w:pos="993"/>
          <w:tab w:val="left" w:pos="1030"/>
          <w:tab w:val="left" w:pos="8364"/>
        </w:tabs>
        <w:snapToGrid w:val="0"/>
        <w:spacing w:afterLines="50"/>
        <w:ind w:left="420" w:right="-57" w:rightChars="-27" w:firstLine="480" w:firstLineChars="200"/>
        <w:jc w:val="left"/>
        <w:rPr>
          <w:rFonts w:ascii="宋体" w:hAnsi="宋体" w:eastAsia="宋体"/>
          <w:color w:val="auto"/>
          <w:sz w:val="24"/>
        </w:rPr>
      </w:pPr>
    </w:p>
    <w:p w14:paraId="7C6A0C6F">
      <w:pPr>
        <w:tabs>
          <w:tab w:val="left" w:pos="993"/>
          <w:tab w:val="left" w:pos="1030"/>
          <w:tab w:val="left" w:pos="8364"/>
        </w:tabs>
        <w:snapToGrid w:val="0"/>
        <w:spacing w:afterLines="50"/>
        <w:ind w:left="420" w:right="-57" w:rightChars="-27"/>
        <w:jc w:val="center"/>
        <w:outlineLvl w:val="2"/>
        <w:rPr>
          <w:rFonts w:ascii="宋体" w:hAnsi="宋体" w:eastAsia="宋体"/>
          <w:b/>
          <w:color w:val="auto"/>
          <w:sz w:val="24"/>
        </w:rPr>
      </w:pPr>
      <w:bookmarkStart w:id="274" w:name="_Toc7409"/>
      <w:bookmarkStart w:id="275" w:name="_Toc8455"/>
      <w:bookmarkStart w:id="276" w:name="_Toc2794"/>
      <w:bookmarkStart w:id="277" w:name="_Toc16271"/>
      <w:r>
        <w:rPr>
          <w:rFonts w:hint="eastAsia" w:ascii="宋体" w:hAnsi="宋体" w:eastAsia="宋体"/>
          <w:b/>
          <w:color w:val="auto"/>
          <w:sz w:val="24"/>
        </w:rPr>
        <w:t>9-4</w:t>
      </w:r>
      <w:r>
        <w:rPr>
          <w:rFonts w:hint="eastAsia" w:ascii="宋体" w:hAnsi="宋体" w:eastAsia="宋体" w:cs="宋体"/>
          <w:b/>
          <w:color w:val="auto"/>
          <w:sz w:val="24"/>
        </w:rPr>
        <w:t xml:space="preserve"> </w:t>
      </w:r>
      <w:r>
        <w:rPr>
          <w:rFonts w:hint="eastAsia" w:ascii="宋体" w:hAnsi="宋体" w:cs="宋体"/>
          <w:b/>
          <w:color w:val="auto"/>
          <w:sz w:val="24"/>
          <w:lang w:val="en-US" w:eastAsia="zh-CN"/>
        </w:rPr>
        <w:t xml:space="preserve"> </w:t>
      </w:r>
      <w:r>
        <w:rPr>
          <w:rFonts w:hint="eastAsia" w:ascii="宋体" w:hAnsi="宋体" w:eastAsia="宋体"/>
          <w:b/>
          <w:color w:val="auto"/>
          <w:sz w:val="24"/>
        </w:rPr>
        <w:t>社会保障资金缴纳记录</w:t>
      </w:r>
      <w:bookmarkEnd w:id="274"/>
      <w:bookmarkEnd w:id="275"/>
      <w:bookmarkEnd w:id="276"/>
      <w:bookmarkEnd w:id="277"/>
    </w:p>
    <w:p w14:paraId="43D6615B">
      <w:pPr>
        <w:tabs>
          <w:tab w:val="left" w:pos="993"/>
          <w:tab w:val="left" w:pos="1030"/>
          <w:tab w:val="left" w:pos="8364"/>
        </w:tabs>
        <w:snapToGrid w:val="0"/>
        <w:spacing w:afterLines="50"/>
        <w:ind w:left="420" w:leftChars="200" w:right="-57" w:rightChars="-27"/>
        <w:jc w:val="left"/>
        <w:rPr>
          <w:rFonts w:ascii="宋体" w:hAnsi="宋体" w:eastAsia="宋体"/>
          <w:color w:val="auto"/>
          <w:sz w:val="24"/>
        </w:rPr>
      </w:pPr>
      <w:r>
        <w:rPr>
          <w:rFonts w:hint="eastAsia" w:ascii="宋体" w:hAnsi="宋体" w:eastAsia="宋体"/>
          <w:color w:val="auto"/>
          <w:sz w:val="24"/>
        </w:rPr>
        <w:cr/>
      </w:r>
    </w:p>
    <w:p w14:paraId="16648244">
      <w:pPr>
        <w:tabs>
          <w:tab w:val="left" w:pos="993"/>
          <w:tab w:val="left" w:pos="1030"/>
          <w:tab w:val="left" w:pos="8364"/>
        </w:tabs>
        <w:snapToGrid w:val="0"/>
        <w:spacing w:afterLines="50"/>
        <w:ind w:left="420" w:leftChars="200" w:right="-57" w:rightChars="-27"/>
        <w:jc w:val="left"/>
        <w:rPr>
          <w:rFonts w:ascii="宋体" w:hAnsi="宋体" w:eastAsia="宋体"/>
          <w:color w:val="auto"/>
          <w:sz w:val="24"/>
        </w:rPr>
      </w:pPr>
    </w:p>
    <w:p w14:paraId="08B38E51">
      <w:pPr>
        <w:tabs>
          <w:tab w:val="left" w:pos="993"/>
          <w:tab w:val="left" w:pos="1030"/>
          <w:tab w:val="left" w:pos="8364"/>
        </w:tabs>
        <w:snapToGrid w:val="0"/>
        <w:spacing w:afterLines="50"/>
        <w:ind w:left="420" w:leftChars="200" w:right="-57" w:rightChars="-27"/>
        <w:jc w:val="left"/>
        <w:rPr>
          <w:rFonts w:ascii="宋体" w:hAnsi="宋体" w:eastAsia="宋体"/>
          <w:color w:val="auto"/>
          <w:sz w:val="24"/>
        </w:rPr>
      </w:pPr>
    </w:p>
    <w:p w14:paraId="1FD14A7F">
      <w:pPr>
        <w:tabs>
          <w:tab w:val="left" w:pos="993"/>
          <w:tab w:val="left" w:pos="1030"/>
          <w:tab w:val="left" w:pos="8364"/>
        </w:tabs>
        <w:snapToGrid w:val="0"/>
        <w:spacing w:afterLines="50"/>
        <w:ind w:left="0" w:leftChars="0" w:right="-57" w:rightChars="-27"/>
        <w:jc w:val="left"/>
        <w:rPr>
          <w:rFonts w:hint="eastAsia" w:ascii="宋体" w:hAnsi="宋体" w:eastAsia="宋体" w:cs="宋体"/>
          <w:color w:val="auto"/>
          <w:sz w:val="24"/>
          <w:lang w:eastAsia="zh-CN"/>
        </w:rPr>
      </w:pPr>
      <w:r>
        <w:rPr>
          <w:rFonts w:hint="eastAsia" w:ascii="宋体" w:hAnsi="宋体" w:eastAsia="宋体" w:cs="宋体"/>
          <w:color w:val="auto"/>
          <w:sz w:val="24"/>
        </w:rPr>
        <w:t>说明</w:t>
      </w:r>
      <w:r>
        <w:rPr>
          <w:rFonts w:hint="eastAsia" w:ascii="宋体" w:hAnsi="宋体" w:cs="宋体"/>
          <w:color w:val="auto"/>
          <w:sz w:val="24"/>
          <w:lang w:eastAsia="zh-CN"/>
        </w:rPr>
        <w:t>:</w:t>
      </w:r>
    </w:p>
    <w:p w14:paraId="5DA6493B">
      <w:pPr>
        <w:keepNext w:val="0"/>
        <w:keepLines w:val="0"/>
        <w:pageBreakBefore w:val="0"/>
        <w:widowControl w:val="0"/>
        <w:tabs>
          <w:tab w:val="left" w:pos="993"/>
          <w:tab w:val="left" w:pos="1030"/>
          <w:tab w:val="left" w:pos="8364"/>
        </w:tabs>
        <w:kinsoku/>
        <w:wordWrap/>
        <w:overflowPunct/>
        <w:topLinePunct w:val="0"/>
        <w:autoSpaceDE/>
        <w:autoSpaceDN/>
        <w:bidi w:val="0"/>
        <w:adjustRightInd/>
        <w:snapToGrid w:val="0"/>
        <w:spacing w:afterLines="50" w:line="360" w:lineRule="auto"/>
        <w:ind w:left="420" w:right="-57" w:rightChars="-27" w:firstLine="480" w:firstLineChars="200"/>
        <w:jc w:val="left"/>
        <w:textAlignment w:val="auto"/>
        <w:rPr>
          <w:rFonts w:hint="eastAsia" w:ascii="宋体" w:hAnsi="宋体" w:eastAsia="宋体" w:cs="Times New Roman"/>
          <w:color w:val="auto"/>
          <w:sz w:val="24"/>
        </w:rPr>
      </w:pPr>
      <w:r>
        <w:rPr>
          <w:rFonts w:hint="eastAsia" w:ascii="宋体" w:hAnsi="宋体" w:cs="Times New Roman"/>
          <w:color w:val="auto"/>
          <w:sz w:val="24"/>
          <w:lang w:val="en-US" w:eastAsia="zh-CN"/>
        </w:rPr>
        <w:t>供应商</w:t>
      </w:r>
      <w:r>
        <w:rPr>
          <w:rFonts w:hint="eastAsia" w:ascii="宋体" w:hAnsi="宋体" w:eastAsia="宋体" w:cs="Times New Roman"/>
          <w:color w:val="auto"/>
          <w:sz w:val="24"/>
          <w:lang w:val="en-US" w:eastAsia="zh-CN"/>
        </w:rPr>
        <w:t>应提供近六个月中至少一个月的社会保障资金缴纳记录(专用收据或社会保险缴纳清单)(复印件加盖公章)。</w:t>
      </w:r>
    </w:p>
    <w:p w14:paraId="6FA689A3">
      <w:pPr>
        <w:tabs>
          <w:tab w:val="left" w:pos="993"/>
          <w:tab w:val="left" w:pos="1030"/>
          <w:tab w:val="left" w:pos="8364"/>
        </w:tabs>
        <w:snapToGrid w:val="0"/>
        <w:spacing w:line="240" w:lineRule="auto"/>
        <w:ind w:left="0" w:right="0" w:rightChars="0" w:firstLine="0"/>
        <w:jc w:val="left"/>
        <w:rPr>
          <w:rFonts w:hint="default" w:ascii="仿宋_GB2312" w:eastAsia="仿宋_GB2312"/>
          <w:color w:val="auto"/>
          <w:sz w:val="24"/>
          <w:lang w:val="en-US" w:eastAsia="zh-CN"/>
        </w:rPr>
      </w:pPr>
    </w:p>
    <w:p w14:paraId="695B3347">
      <w:pPr>
        <w:rPr>
          <w:rFonts w:hint="eastAsia" w:ascii="宋体" w:hAnsi="宋体" w:eastAsia="宋体"/>
          <w:b/>
          <w:color w:val="auto"/>
          <w:sz w:val="24"/>
        </w:rPr>
      </w:pPr>
      <w:bookmarkStart w:id="278" w:name="_Toc14366"/>
      <w:bookmarkStart w:id="279" w:name="_Toc7202"/>
      <w:bookmarkStart w:id="280" w:name="_Toc24176"/>
      <w:bookmarkStart w:id="281" w:name="_Toc27325"/>
      <w:r>
        <w:rPr>
          <w:rFonts w:hint="eastAsia" w:ascii="宋体" w:hAnsi="宋体" w:eastAsia="宋体"/>
          <w:b/>
          <w:color w:val="auto"/>
          <w:sz w:val="24"/>
        </w:rPr>
        <w:br w:type="page"/>
      </w:r>
    </w:p>
    <w:p w14:paraId="7962112C">
      <w:pPr>
        <w:tabs>
          <w:tab w:val="left" w:pos="993"/>
          <w:tab w:val="left" w:pos="1030"/>
          <w:tab w:val="left" w:pos="8364"/>
        </w:tabs>
        <w:snapToGrid w:val="0"/>
        <w:spacing w:afterLines="50"/>
        <w:ind w:left="420" w:right="-57" w:rightChars="-27"/>
        <w:jc w:val="center"/>
        <w:outlineLvl w:val="2"/>
        <w:rPr>
          <w:rFonts w:hint="eastAsia" w:ascii="宋体" w:hAnsi="宋体" w:eastAsia="宋体" w:cs="宋体"/>
          <w:b/>
          <w:color w:val="auto"/>
          <w:sz w:val="24"/>
        </w:rPr>
      </w:pPr>
      <w:r>
        <w:rPr>
          <w:rFonts w:hint="eastAsia" w:ascii="宋体" w:hAnsi="宋体" w:eastAsia="宋体" w:cs="宋体"/>
          <w:b/>
          <w:color w:val="auto"/>
          <w:sz w:val="24"/>
        </w:rPr>
        <w:t>9-5</w:t>
      </w:r>
      <w:r>
        <w:rPr>
          <w:rFonts w:hint="eastAsia" w:ascii="宋体" w:hAnsi="宋体" w:eastAsia="宋体" w:cs="宋体"/>
          <w:b/>
          <w:color w:val="auto"/>
          <w:sz w:val="24"/>
          <w:lang w:val="en-US" w:eastAsia="zh-CN"/>
        </w:rPr>
        <w:t xml:space="preserve"> </w:t>
      </w:r>
      <w:r>
        <w:rPr>
          <w:rFonts w:hint="eastAsia" w:ascii="宋体" w:hAnsi="宋体" w:eastAsia="宋体" w:cs="宋体"/>
          <w:b/>
          <w:color w:val="auto"/>
          <w:sz w:val="24"/>
        </w:rPr>
        <w:t xml:space="preserve"> 具</w:t>
      </w:r>
      <w:r>
        <w:rPr>
          <w:rFonts w:hint="eastAsia" w:ascii="宋体" w:hAnsi="宋体" w:eastAsia="宋体" w:cs="宋体"/>
          <w:b/>
          <w:color w:val="auto"/>
          <w:sz w:val="24"/>
          <w:lang w:eastAsia="zh-CN"/>
        </w:rPr>
        <w:t>有</w:t>
      </w:r>
      <w:r>
        <w:rPr>
          <w:rFonts w:hint="eastAsia" w:ascii="宋体" w:hAnsi="宋体" w:eastAsia="宋体" w:cs="宋体"/>
          <w:b/>
          <w:color w:val="auto"/>
          <w:sz w:val="24"/>
        </w:rPr>
        <w:t>履行合同所必需的设备和专业技术能力承诺书</w:t>
      </w:r>
      <w:bookmarkEnd w:id="278"/>
      <w:bookmarkEnd w:id="279"/>
      <w:bookmarkEnd w:id="280"/>
      <w:bookmarkEnd w:id="281"/>
    </w:p>
    <w:p w14:paraId="3C73FD66">
      <w:pPr>
        <w:ind w:firstLine="480"/>
        <w:rPr>
          <w:rFonts w:ascii="宋体" w:hAnsi="宋体" w:eastAsia="宋体" w:cs="宋体"/>
          <w:color w:val="auto"/>
          <w:kern w:val="0"/>
          <w:sz w:val="24"/>
        </w:rPr>
      </w:pPr>
    </w:p>
    <w:p w14:paraId="405F6CE0">
      <w:pPr>
        <w:ind w:firstLine="480"/>
        <w:rPr>
          <w:rFonts w:ascii="宋体" w:hAnsi="宋体" w:eastAsia="宋体" w:cs="宋体"/>
          <w:color w:val="auto"/>
          <w:kern w:val="0"/>
          <w:sz w:val="24"/>
        </w:rPr>
      </w:pPr>
    </w:p>
    <w:p w14:paraId="3052DC89">
      <w:pPr>
        <w:tabs>
          <w:tab w:val="left" w:pos="5580"/>
        </w:tabs>
        <w:spacing w:before="120" w:line="360" w:lineRule="auto"/>
        <w:rPr>
          <w:rFonts w:ascii="宋体" w:hAnsi="宋体" w:eastAsia="宋体"/>
          <w:color w:val="auto"/>
          <w:sz w:val="24"/>
        </w:rPr>
      </w:pPr>
      <w:r>
        <w:rPr>
          <w:rFonts w:hint="eastAsia" w:ascii="宋体" w:hAnsi="宋体"/>
          <w:color w:val="auto"/>
          <w:sz w:val="24"/>
          <w:lang w:val="en-US" w:eastAsia="zh-CN"/>
        </w:rPr>
        <w:t>致</w:t>
      </w:r>
      <w:r>
        <w:rPr>
          <w:rFonts w:hint="eastAsia" w:ascii="宋体" w:hAnsi="宋体"/>
          <w:color w:val="auto"/>
          <w:sz w:val="24"/>
          <w:lang w:eastAsia="zh-CN"/>
        </w:rPr>
        <w:t>:</w:t>
      </w:r>
      <w:r>
        <w:rPr>
          <w:rFonts w:hint="eastAsia" w:ascii="宋体" w:hAnsi="宋体" w:eastAsia="宋体"/>
          <w:color w:val="auto"/>
          <w:sz w:val="24"/>
          <w:u w:val="single"/>
        </w:rPr>
        <w:t xml:space="preserve">   </w:t>
      </w:r>
      <w:r>
        <w:rPr>
          <w:rFonts w:hint="eastAsia" w:ascii="宋体" w:hAnsi="宋体"/>
          <w:color w:val="auto"/>
          <w:sz w:val="24"/>
          <w:u w:val="single"/>
          <w:lang w:eastAsia="zh-CN"/>
        </w:rPr>
        <w:t>(</w:t>
      </w:r>
      <w:r>
        <w:rPr>
          <w:rFonts w:hint="eastAsia" w:ascii="宋体" w:hAnsi="宋体" w:eastAsia="宋体"/>
          <w:color w:val="auto"/>
          <w:sz w:val="24"/>
          <w:u w:val="single"/>
        </w:rPr>
        <w:t>采购人</w:t>
      </w:r>
      <w:r>
        <w:rPr>
          <w:rFonts w:hint="eastAsia" w:ascii="宋体" w:hAnsi="宋体"/>
          <w:color w:val="auto"/>
          <w:sz w:val="24"/>
          <w:u w:val="single"/>
          <w:lang w:eastAsia="zh-CN"/>
        </w:rPr>
        <w:t>)</w:t>
      </w:r>
      <w:r>
        <w:rPr>
          <w:rFonts w:hint="eastAsia" w:ascii="宋体" w:hAnsi="宋体" w:eastAsia="宋体"/>
          <w:color w:val="auto"/>
          <w:sz w:val="24"/>
          <w:u w:val="single"/>
        </w:rPr>
        <w:t xml:space="preserve">  </w:t>
      </w:r>
    </w:p>
    <w:p w14:paraId="06794ED2">
      <w:pPr>
        <w:ind w:firstLine="480"/>
        <w:rPr>
          <w:rFonts w:ascii="宋体" w:hAnsi="宋体" w:eastAsia="宋体" w:cs="宋体"/>
          <w:color w:val="auto"/>
          <w:kern w:val="0"/>
          <w:sz w:val="24"/>
        </w:rPr>
      </w:pPr>
    </w:p>
    <w:p w14:paraId="50EFFDA9">
      <w:pPr>
        <w:ind w:firstLine="480"/>
        <w:rPr>
          <w:rFonts w:ascii="宋体" w:hAnsi="宋体" w:eastAsia="宋体" w:cs="宋体"/>
          <w:color w:val="auto"/>
          <w:kern w:val="0"/>
          <w:sz w:val="24"/>
        </w:rPr>
      </w:pPr>
      <w:r>
        <w:rPr>
          <w:rFonts w:hint="eastAsia" w:ascii="宋体" w:hAnsi="宋体" w:eastAsia="宋体" w:cs="宋体"/>
          <w:color w:val="auto"/>
          <w:kern w:val="0"/>
          <w:sz w:val="24"/>
        </w:rPr>
        <w:t>我公司承诺</w:t>
      </w:r>
      <w:r>
        <w:rPr>
          <w:rFonts w:ascii="宋体" w:hAnsi="宋体" w:eastAsia="宋体"/>
          <w:color w:val="auto"/>
          <w:sz w:val="24"/>
        </w:rPr>
        <w:t>具</w:t>
      </w:r>
      <w:r>
        <w:rPr>
          <w:rFonts w:hint="eastAsia" w:ascii="宋体" w:hAnsi="宋体"/>
          <w:color w:val="auto"/>
          <w:sz w:val="24"/>
          <w:lang w:eastAsia="zh-CN"/>
        </w:rPr>
        <w:t>有</w:t>
      </w:r>
      <w:r>
        <w:rPr>
          <w:rFonts w:ascii="宋体" w:hAnsi="宋体" w:eastAsia="宋体"/>
          <w:color w:val="auto"/>
          <w:sz w:val="24"/>
        </w:rPr>
        <w:t>履行合同所必需的设备和专业技术能力</w:t>
      </w:r>
      <w:r>
        <w:rPr>
          <w:rFonts w:hint="eastAsia" w:ascii="宋体" w:hAnsi="宋体" w:eastAsia="宋体" w:cs="宋体"/>
          <w:color w:val="auto"/>
          <w:kern w:val="0"/>
          <w:sz w:val="24"/>
        </w:rPr>
        <w:t>。</w:t>
      </w:r>
    </w:p>
    <w:p w14:paraId="3AAB5937">
      <w:pPr>
        <w:ind w:firstLine="480"/>
        <w:rPr>
          <w:rFonts w:ascii="宋体" w:hAnsi="宋体" w:eastAsia="宋体"/>
          <w:b/>
          <w:color w:val="auto"/>
          <w:sz w:val="24"/>
        </w:rPr>
      </w:pPr>
    </w:p>
    <w:p w14:paraId="6DB9552B">
      <w:pPr>
        <w:ind w:firstLine="480"/>
        <w:rPr>
          <w:rFonts w:ascii="宋体" w:hAnsi="宋体" w:eastAsia="宋体"/>
          <w:b/>
          <w:color w:val="auto"/>
          <w:sz w:val="24"/>
        </w:rPr>
      </w:pPr>
    </w:p>
    <w:p w14:paraId="50DDB082">
      <w:pPr>
        <w:ind w:firstLine="480"/>
        <w:rPr>
          <w:rFonts w:ascii="宋体" w:hAnsi="宋体" w:eastAsia="宋体"/>
          <w:b/>
          <w:color w:val="auto"/>
          <w:sz w:val="24"/>
        </w:rPr>
      </w:pPr>
    </w:p>
    <w:p w14:paraId="47FC1447">
      <w:pPr>
        <w:keepNext w:val="0"/>
        <w:keepLines w:val="0"/>
        <w:pageBreakBefore w:val="0"/>
        <w:widowControl w:val="0"/>
        <w:kinsoku/>
        <w:wordWrap/>
        <w:overflowPunct/>
        <w:topLinePunct w:val="0"/>
        <w:autoSpaceDE/>
        <w:autoSpaceDN/>
        <w:bidi w:val="0"/>
        <w:adjustRightInd/>
        <w:snapToGrid/>
        <w:spacing w:line="360" w:lineRule="auto"/>
        <w:ind w:right="278"/>
        <w:textAlignment w:val="auto"/>
        <w:rPr>
          <w:rFonts w:hint="eastAsia" w:ascii="宋体" w:hAnsi="宋体" w:eastAsia="宋体"/>
          <w:color w:val="auto"/>
          <w:sz w:val="24"/>
        </w:rPr>
      </w:pPr>
      <w:r>
        <w:rPr>
          <w:rFonts w:hint="eastAsia" w:ascii="宋体" w:hAnsi="宋体"/>
          <w:color w:val="auto"/>
          <w:sz w:val="24"/>
          <w:lang w:eastAsia="zh-CN"/>
        </w:rPr>
        <w:t>供应商</w:t>
      </w:r>
      <w:r>
        <w:rPr>
          <w:rFonts w:hint="eastAsia" w:ascii="宋体" w:hAnsi="宋体" w:eastAsia="宋体"/>
          <w:color w:val="auto"/>
          <w:sz w:val="24"/>
        </w:rPr>
        <w:t>名称</w:t>
      </w:r>
      <w:r>
        <w:rPr>
          <w:rFonts w:hint="eastAsia" w:ascii="宋体" w:hAnsi="宋体" w:eastAsia="宋体"/>
          <w:color w:val="auto"/>
          <w:sz w:val="24"/>
          <w:lang w:eastAsia="zh-CN"/>
        </w:rPr>
        <w:t>(公章):</w:t>
      </w:r>
    </w:p>
    <w:p w14:paraId="34E047FB">
      <w:pPr>
        <w:keepNext w:val="0"/>
        <w:keepLines w:val="0"/>
        <w:pageBreakBefore w:val="0"/>
        <w:widowControl w:val="0"/>
        <w:kinsoku/>
        <w:wordWrap/>
        <w:overflowPunct/>
        <w:topLinePunct w:val="0"/>
        <w:autoSpaceDE/>
        <w:autoSpaceDN/>
        <w:bidi w:val="0"/>
        <w:adjustRightInd/>
        <w:snapToGrid/>
        <w:spacing w:line="360" w:lineRule="auto"/>
        <w:ind w:right="278"/>
        <w:textAlignment w:val="auto"/>
        <w:rPr>
          <w:rFonts w:hint="eastAsia" w:ascii="宋体" w:hAnsi="宋体" w:eastAsia="宋体"/>
          <w:color w:val="auto"/>
          <w:sz w:val="24"/>
          <w:lang w:val="en-US" w:eastAsia="zh-CN"/>
        </w:rPr>
      </w:pPr>
      <w:r>
        <w:rPr>
          <w:rFonts w:hint="eastAsia" w:ascii="宋体" w:hAnsi="宋体" w:eastAsia="宋体"/>
          <w:color w:val="auto"/>
          <w:sz w:val="24"/>
        </w:rPr>
        <w:t>法定代表人或其委托代理人(签字或盖章)</w:t>
      </w:r>
      <w:r>
        <w:rPr>
          <w:rFonts w:hint="eastAsia" w:ascii="宋体" w:hAnsi="宋体" w:eastAsia="宋体"/>
          <w:color w:val="auto"/>
          <w:sz w:val="24"/>
          <w:lang w:eastAsia="zh-CN"/>
        </w:rPr>
        <w:t>:</w:t>
      </w:r>
    </w:p>
    <w:p w14:paraId="03CAE3F2">
      <w:pPr>
        <w:keepNext w:val="0"/>
        <w:keepLines w:val="0"/>
        <w:pageBreakBefore w:val="0"/>
        <w:widowControl w:val="0"/>
        <w:kinsoku/>
        <w:wordWrap/>
        <w:overflowPunct/>
        <w:topLinePunct w:val="0"/>
        <w:autoSpaceDE/>
        <w:autoSpaceDN/>
        <w:bidi w:val="0"/>
        <w:adjustRightInd/>
        <w:snapToGrid/>
        <w:spacing w:line="360" w:lineRule="auto"/>
        <w:ind w:right="278"/>
        <w:textAlignment w:val="auto"/>
        <w:rPr>
          <w:rFonts w:hint="eastAsia" w:ascii="宋体" w:hAnsi="宋体" w:eastAsia="宋体"/>
          <w:color w:val="auto"/>
          <w:sz w:val="24"/>
          <w:lang w:eastAsia="zh-CN"/>
        </w:rPr>
      </w:pPr>
      <w:r>
        <w:rPr>
          <w:rFonts w:hint="eastAsia" w:ascii="宋体" w:hAnsi="宋体" w:eastAsia="宋体"/>
          <w:color w:val="auto"/>
          <w:sz w:val="24"/>
        </w:rPr>
        <w:t>日期</w:t>
      </w:r>
      <w:r>
        <w:rPr>
          <w:rFonts w:hint="eastAsia" w:ascii="宋体" w:hAnsi="宋体" w:eastAsia="宋体"/>
          <w:color w:val="auto"/>
          <w:sz w:val="24"/>
          <w:lang w:eastAsia="zh-CN"/>
        </w:rPr>
        <w:t>:</w:t>
      </w:r>
      <w:r>
        <w:rPr>
          <w:rFonts w:hint="eastAsia" w:ascii="宋体" w:hAnsi="宋体" w:eastAsia="宋体"/>
          <w:color w:val="auto"/>
          <w:sz w:val="24"/>
          <w:lang w:val="en-US" w:eastAsia="zh-CN"/>
        </w:rPr>
        <w:t xml:space="preserve">  </w:t>
      </w:r>
      <w:r>
        <w:rPr>
          <w:rFonts w:hint="eastAsia" w:ascii="宋体" w:hAnsi="宋体" w:eastAsia="宋体"/>
          <w:color w:val="auto"/>
          <w:sz w:val="24"/>
          <w:lang w:eastAsia="zh-CN"/>
        </w:rPr>
        <w:t>年</w:t>
      </w:r>
      <w:r>
        <w:rPr>
          <w:rFonts w:hint="eastAsia" w:ascii="宋体" w:hAnsi="宋体" w:eastAsia="宋体"/>
          <w:color w:val="auto"/>
          <w:sz w:val="24"/>
          <w:lang w:val="en-US" w:eastAsia="zh-CN"/>
        </w:rPr>
        <w:t xml:space="preserve">   </w:t>
      </w:r>
      <w:r>
        <w:rPr>
          <w:rFonts w:hint="eastAsia" w:ascii="宋体" w:hAnsi="宋体" w:eastAsia="宋体"/>
          <w:color w:val="auto"/>
          <w:sz w:val="24"/>
          <w:lang w:eastAsia="zh-CN"/>
        </w:rPr>
        <w:t>月</w:t>
      </w:r>
      <w:r>
        <w:rPr>
          <w:rFonts w:hint="eastAsia" w:ascii="宋体" w:hAnsi="宋体" w:eastAsia="宋体"/>
          <w:color w:val="auto"/>
          <w:sz w:val="24"/>
          <w:lang w:val="en-US" w:eastAsia="zh-CN"/>
        </w:rPr>
        <w:t xml:space="preserve">   </w:t>
      </w:r>
      <w:r>
        <w:rPr>
          <w:rFonts w:hint="eastAsia" w:ascii="宋体" w:hAnsi="宋体" w:eastAsia="宋体"/>
          <w:color w:val="auto"/>
          <w:sz w:val="24"/>
          <w:lang w:eastAsia="zh-CN"/>
        </w:rPr>
        <w:t>日</w:t>
      </w:r>
    </w:p>
    <w:p w14:paraId="4ECC1351">
      <w:pPr>
        <w:ind w:right="280"/>
        <w:rPr>
          <w:rFonts w:ascii="宋体" w:hAnsi="宋体" w:eastAsia="宋体"/>
          <w:color w:val="auto"/>
          <w:sz w:val="24"/>
        </w:rPr>
      </w:pPr>
    </w:p>
    <w:p w14:paraId="10B71E7C">
      <w:pPr>
        <w:tabs>
          <w:tab w:val="left" w:pos="5580"/>
        </w:tabs>
        <w:spacing w:before="120" w:line="360" w:lineRule="auto"/>
        <w:rPr>
          <w:rFonts w:ascii="宋体" w:hAnsi="宋体" w:eastAsia="宋体"/>
          <w:color w:val="auto"/>
          <w:sz w:val="24"/>
        </w:rPr>
      </w:pPr>
    </w:p>
    <w:p w14:paraId="4B05D226">
      <w:pPr>
        <w:tabs>
          <w:tab w:val="left" w:pos="5580"/>
        </w:tabs>
        <w:spacing w:before="120" w:line="360" w:lineRule="auto"/>
        <w:ind w:firstLine="480" w:firstLineChars="200"/>
        <w:rPr>
          <w:rFonts w:ascii="仿宋_GB2312" w:eastAsia="仿宋_GB2312"/>
          <w:color w:val="auto"/>
          <w:sz w:val="24"/>
        </w:rPr>
      </w:pPr>
    </w:p>
    <w:p w14:paraId="0215F266">
      <w:pPr>
        <w:tabs>
          <w:tab w:val="left" w:pos="5580"/>
        </w:tabs>
        <w:spacing w:before="120" w:line="360" w:lineRule="auto"/>
        <w:ind w:firstLine="480" w:firstLineChars="200"/>
        <w:rPr>
          <w:rFonts w:ascii="仿宋_GB2312" w:eastAsia="仿宋_GB2312"/>
          <w:color w:val="auto"/>
          <w:sz w:val="24"/>
        </w:rPr>
      </w:pPr>
    </w:p>
    <w:p w14:paraId="135EC687">
      <w:pPr>
        <w:tabs>
          <w:tab w:val="left" w:pos="993"/>
          <w:tab w:val="left" w:pos="1030"/>
          <w:tab w:val="left" w:pos="8364"/>
        </w:tabs>
        <w:snapToGrid w:val="0"/>
        <w:spacing w:afterLines="50"/>
        <w:ind w:left="420" w:right="-57" w:rightChars="-27" w:firstLine="480" w:firstLineChars="200"/>
        <w:jc w:val="left"/>
        <w:rPr>
          <w:rFonts w:ascii="仿宋_GB2312" w:eastAsia="仿宋_GB2312"/>
          <w:color w:val="auto"/>
          <w:sz w:val="24"/>
        </w:rPr>
      </w:pPr>
    </w:p>
    <w:p w14:paraId="7C76CB57">
      <w:pPr>
        <w:widowControl/>
        <w:jc w:val="left"/>
        <w:rPr>
          <w:rFonts w:ascii="仿宋_GB2312" w:hAnsi="宋体" w:eastAsia="仿宋_GB2312"/>
          <w:b/>
          <w:color w:val="auto"/>
          <w:sz w:val="24"/>
        </w:rPr>
      </w:pPr>
      <w:r>
        <w:rPr>
          <w:rFonts w:ascii="仿宋_GB2312" w:hAnsi="宋体" w:eastAsia="仿宋_GB2312"/>
          <w:b/>
          <w:color w:val="auto"/>
          <w:sz w:val="24"/>
        </w:rPr>
        <w:br w:type="page"/>
      </w:r>
    </w:p>
    <w:p w14:paraId="04FCC0F9">
      <w:pPr>
        <w:tabs>
          <w:tab w:val="left" w:pos="993"/>
          <w:tab w:val="left" w:pos="1030"/>
          <w:tab w:val="left" w:pos="8364"/>
        </w:tabs>
        <w:snapToGrid w:val="0"/>
        <w:spacing w:afterLines="50"/>
        <w:ind w:right="-57" w:rightChars="-27"/>
        <w:jc w:val="left"/>
        <w:outlineLvl w:val="2"/>
        <w:rPr>
          <w:rFonts w:hint="eastAsia" w:ascii="宋体" w:hAnsi="宋体" w:eastAsia="宋体"/>
          <w:b/>
          <w:color w:val="auto"/>
          <w:sz w:val="24"/>
          <w:lang w:eastAsia="zh-CN"/>
        </w:rPr>
      </w:pPr>
      <w:bookmarkStart w:id="282" w:name="_Toc12562"/>
      <w:bookmarkStart w:id="283" w:name="_Toc14762"/>
      <w:bookmarkStart w:id="284" w:name="_Toc2139"/>
      <w:bookmarkStart w:id="285" w:name="_Toc4170"/>
      <w:r>
        <w:rPr>
          <w:rFonts w:hint="eastAsia" w:ascii="宋体" w:hAnsi="宋体" w:eastAsia="宋体"/>
          <w:b/>
          <w:color w:val="auto"/>
          <w:sz w:val="24"/>
        </w:rPr>
        <w:t>9-6</w:t>
      </w:r>
      <w:r>
        <w:rPr>
          <w:rFonts w:hint="eastAsia" w:ascii="宋体" w:hAnsi="宋体" w:eastAsia="宋体" w:cs="宋体"/>
          <w:b/>
          <w:color w:val="auto"/>
          <w:sz w:val="24"/>
        </w:rPr>
        <w:t xml:space="preserve"> </w:t>
      </w:r>
      <w:r>
        <w:rPr>
          <w:rFonts w:hint="eastAsia" w:ascii="宋体" w:hAnsi="宋体" w:cs="宋体"/>
          <w:b/>
          <w:color w:val="auto"/>
          <w:sz w:val="24"/>
          <w:lang w:val="en-US" w:eastAsia="zh-CN"/>
        </w:rPr>
        <w:t xml:space="preserve"> </w:t>
      </w:r>
      <w:r>
        <w:rPr>
          <w:rFonts w:hint="eastAsia" w:ascii="宋体" w:hAnsi="宋体"/>
          <w:b/>
          <w:color w:val="auto"/>
          <w:sz w:val="24"/>
          <w:lang w:eastAsia="zh-CN"/>
        </w:rPr>
        <w:t>供应商</w:t>
      </w:r>
      <w:r>
        <w:rPr>
          <w:rFonts w:hint="eastAsia" w:ascii="宋体" w:hAnsi="宋体" w:eastAsia="宋体"/>
          <w:b/>
          <w:color w:val="auto"/>
          <w:sz w:val="24"/>
        </w:rPr>
        <w:t>参加政府采购活动前3年内在经营活动中没有重大违法记录的书面声明</w:t>
      </w:r>
      <w:r>
        <w:rPr>
          <w:rFonts w:hint="eastAsia" w:ascii="宋体" w:hAnsi="宋体"/>
          <w:b/>
          <w:color w:val="auto"/>
          <w:sz w:val="24"/>
          <w:lang w:eastAsia="zh-CN"/>
        </w:rPr>
        <w:t>(</w:t>
      </w:r>
      <w:r>
        <w:rPr>
          <w:rFonts w:hint="eastAsia" w:ascii="宋体" w:hAnsi="宋体" w:eastAsia="宋体"/>
          <w:b/>
          <w:color w:val="auto"/>
          <w:sz w:val="24"/>
        </w:rPr>
        <w:t>格式</w:t>
      </w:r>
      <w:bookmarkEnd w:id="282"/>
      <w:bookmarkEnd w:id="283"/>
      <w:bookmarkEnd w:id="284"/>
      <w:bookmarkEnd w:id="285"/>
      <w:r>
        <w:rPr>
          <w:rFonts w:hint="eastAsia" w:ascii="宋体" w:hAnsi="宋体"/>
          <w:b/>
          <w:color w:val="auto"/>
          <w:sz w:val="24"/>
          <w:lang w:eastAsia="zh-CN"/>
        </w:rPr>
        <w:t>)</w:t>
      </w:r>
    </w:p>
    <w:p w14:paraId="3A2D2FC4">
      <w:pPr>
        <w:jc w:val="center"/>
        <w:rPr>
          <w:rFonts w:ascii="宋体" w:hAnsi="宋体" w:eastAsia="宋体"/>
          <w:color w:val="auto"/>
          <w:sz w:val="24"/>
        </w:rPr>
      </w:pPr>
    </w:p>
    <w:p w14:paraId="6D8DD075">
      <w:pPr>
        <w:jc w:val="center"/>
        <w:rPr>
          <w:rFonts w:ascii="宋体" w:hAnsi="宋体" w:eastAsia="宋体"/>
          <w:b/>
          <w:color w:val="auto"/>
          <w:sz w:val="24"/>
        </w:rPr>
      </w:pPr>
      <w:r>
        <w:rPr>
          <w:rFonts w:hint="eastAsia" w:ascii="宋体" w:hAnsi="宋体" w:eastAsia="宋体"/>
          <w:b/>
          <w:color w:val="auto"/>
          <w:sz w:val="24"/>
        </w:rPr>
        <w:t>声明函</w:t>
      </w:r>
    </w:p>
    <w:p w14:paraId="6033B4C6">
      <w:pPr>
        <w:jc w:val="center"/>
        <w:rPr>
          <w:rFonts w:ascii="宋体" w:hAnsi="宋体" w:eastAsia="宋体"/>
          <w:color w:val="auto"/>
          <w:sz w:val="24"/>
        </w:rPr>
      </w:pPr>
    </w:p>
    <w:p w14:paraId="086A8C48">
      <w:pPr>
        <w:tabs>
          <w:tab w:val="left" w:pos="5580"/>
        </w:tabs>
        <w:spacing w:before="120" w:line="360" w:lineRule="auto"/>
        <w:rPr>
          <w:rFonts w:ascii="宋体" w:hAnsi="宋体" w:eastAsia="宋体"/>
          <w:color w:val="auto"/>
          <w:sz w:val="24"/>
        </w:rPr>
      </w:pPr>
      <w:r>
        <w:rPr>
          <w:rFonts w:hint="eastAsia" w:ascii="宋体" w:hAnsi="宋体"/>
          <w:color w:val="auto"/>
          <w:sz w:val="24"/>
          <w:lang w:val="en-US" w:eastAsia="zh-CN"/>
        </w:rPr>
        <w:t>致</w:t>
      </w:r>
      <w:r>
        <w:rPr>
          <w:rFonts w:hint="eastAsia" w:ascii="宋体" w:hAnsi="宋体"/>
          <w:color w:val="auto"/>
          <w:sz w:val="24"/>
          <w:lang w:eastAsia="zh-CN"/>
        </w:rPr>
        <w:t>:</w:t>
      </w:r>
      <w:r>
        <w:rPr>
          <w:rFonts w:hint="eastAsia" w:ascii="宋体" w:hAnsi="宋体" w:eastAsia="宋体"/>
          <w:color w:val="auto"/>
          <w:sz w:val="24"/>
          <w:u w:val="single"/>
        </w:rPr>
        <w:t xml:space="preserve">   </w:t>
      </w:r>
      <w:r>
        <w:rPr>
          <w:rFonts w:hint="eastAsia" w:ascii="宋体" w:hAnsi="宋体"/>
          <w:color w:val="auto"/>
          <w:sz w:val="24"/>
          <w:u w:val="single"/>
          <w:lang w:eastAsia="zh-CN"/>
        </w:rPr>
        <w:t>(</w:t>
      </w:r>
      <w:r>
        <w:rPr>
          <w:rFonts w:hint="eastAsia" w:ascii="宋体" w:hAnsi="宋体" w:eastAsia="宋体"/>
          <w:color w:val="auto"/>
          <w:sz w:val="24"/>
          <w:u w:val="single"/>
        </w:rPr>
        <w:t>采购人</w:t>
      </w:r>
      <w:r>
        <w:rPr>
          <w:rFonts w:hint="eastAsia" w:ascii="宋体" w:hAnsi="宋体"/>
          <w:color w:val="auto"/>
          <w:sz w:val="24"/>
          <w:u w:val="single"/>
          <w:lang w:eastAsia="zh-CN"/>
        </w:rPr>
        <w:t>)</w:t>
      </w:r>
      <w:r>
        <w:rPr>
          <w:rFonts w:hint="eastAsia" w:ascii="宋体" w:hAnsi="宋体" w:eastAsia="宋体"/>
          <w:color w:val="auto"/>
          <w:sz w:val="24"/>
          <w:u w:val="single"/>
        </w:rPr>
        <w:t xml:space="preserve">  </w:t>
      </w:r>
    </w:p>
    <w:p w14:paraId="1789A3BC">
      <w:pPr>
        <w:tabs>
          <w:tab w:val="left" w:pos="5580"/>
        </w:tabs>
        <w:spacing w:before="120" w:line="360" w:lineRule="auto"/>
        <w:ind w:firstLine="480" w:firstLineChars="200"/>
        <w:rPr>
          <w:rFonts w:ascii="宋体" w:hAnsi="宋体" w:eastAsia="宋体"/>
          <w:color w:val="auto"/>
          <w:sz w:val="24"/>
        </w:rPr>
      </w:pPr>
    </w:p>
    <w:p w14:paraId="615E36B6">
      <w:pPr>
        <w:tabs>
          <w:tab w:val="left" w:pos="5580"/>
        </w:tabs>
        <w:spacing w:before="120" w:line="360" w:lineRule="auto"/>
        <w:ind w:firstLine="480" w:firstLineChars="200"/>
        <w:rPr>
          <w:rFonts w:hint="eastAsia" w:ascii="宋体" w:hAnsi="宋体" w:eastAsia="宋体"/>
          <w:color w:val="auto"/>
          <w:sz w:val="24"/>
        </w:rPr>
      </w:pPr>
      <w:r>
        <w:rPr>
          <w:rFonts w:hint="eastAsia" w:ascii="宋体" w:hAnsi="宋体" w:eastAsia="宋体" w:cs="Times New Roman"/>
          <w:b w:val="0"/>
          <w:color w:val="auto"/>
          <w:sz w:val="24"/>
          <w:szCs w:val="24"/>
        </w:rPr>
        <w:t>在本项目投标文件截止时间前，</w:t>
      </w:r>
      <w:r>
        <w:rPr>
          <w:rFonts w:hint="eastAsia" w:ascii="宋体" w:hAnsi="宋体" w:eastAsia="宋体"/>
          <w:color w:val="auto"/>
          <w:sz w:val="24"/>
        </w:rPr>
        <w:t>我公司郑重承诺在参加本项目政府采购活动前三年内，在经营活动中无重大违法记录。公司未受到刑事处罚或责令停业、吊销许可证</w:t>
      </w:r>
      <w:r>
        <w:rPr>
          <w:rFonts w:hint="eastAsia" w:ascii="宋体" w:hAnsi="宋体"/>
          <w:color w:val="auto"/>
          <w:sz w:val="24"/>
          <w:lang w:eastAsia="zh-CN"/>
        </w:rPr>
        <w:t>(</w:t>
      </w:r>
      <w:r>
        <w:rPr>
          <w:rFonts w:hint="eastAsia" w:ascii="宋体" w:hAnsi="宋体" w:eastAsia="宋体"/>
          <w:color w:val="auto"/>
          <w:sz w:val="24"/>
        </w:rPr>
        <w:t>或执照</w:t>
      </w:r>
      <w:r>
        <w:rPr>
          <w:rFonts w:hint="eastAsia" w:ascii="宋体" w:hAnsi="宋体"/>
          <w:color w:val="auto"/>
          <w:sz w:val="24"/>
          <w:lang w:eastAsia="zh-CN"/>
        </w:rPr>
        <w:t>)</w:t>
      </w:r>
      <w:r>
        <w:rPr>
          <w:rFonts w:hint="eastAsia" w:ascii="宋体" w:hAnsi="宋体" w:cs="Times New Roman"/>
          <w:color w:val="auto"/>
          <w:sz w:val="24"/>
          <w:szCs w:val="24"/>
        </w:rPr>
        <w:t>、较大数额罚款等行政处罚</w:t>
      </w:r>
      <w:r>
        <w:rPr>
          <w:rFonts w:hint="eastAsia" w:ascii="宋体" w:hAnsi="宋体" w:eastAsia="宋体"/>
          <w:color w:val="auto"/>
          <w:sz w:val="24"/>
        </w:rPr>
        <w:t>；未处于财产被接管、冻结、破产状况。</w:t>
      </w:r>
    </w:p>
    <w:p w14:paraId="4A2FD9DB">
      <w:pPr>
        <w:tabs>
          <w:tab w:val="left" w:pos="5580"/>
        </w:tabs>
        <w:spacing w:before="120" w:line="360" w:lineRule="auto"/>
        <w:ind w:firstLine="480" w:firstLineChars="200"/>
        <w:rPr>
          <w:rFonts w:hint="eastAsia" w:ascii="宋体" w:hAnsi="宋体" w:eastAsia="宋体"/>
          <w:color w:val="auto"/>
          <w:sz w:val="24"/>
        </w:rPr>
      </w:pPr>
      <w:r>
        <w:rPr>
          <w:rFonts w:hint="eastAsia" w:ascii="宋体" w:hAnsi="宋体" w:eastAsia="宋体" w:cs="Times New Roman"/>
          <w:color w:val="auto"/>
          <w:sz w:val="24"/>
          <w:szCs w:val="24"/>
        </w:rPr>
        <w:t>如发现我单位提供的声明函不实时，我单位将按照《政府采购法》有关提供虚假材料的规定，接受处罚</w:t>
      </w:r>
      <w:r>
        <w:rPr>
          <w:rFonts w:hint="eastAsia" w:ascii="宋体" w:hAnsi="宋体" w:eastAsia="宋体" w:cs="Times New Roman"/>
          <w:color w:val="auto"/>
          <w:sz w:val="24"/>
          <w:szCs w:val="24"/>
          <w:lang w:eastAsia="zh-CN"/>
        </w:rPr>
        <w:t>。</w:t>
      </w:r>
    </w:p>
    <w:p w14:paraId="3FDA073B">
      <w:pPr>
        <w:tabs>
          <w:tab w:val="left" w:pos="5580"/>
        </w:tabs>
        <w:spacing w:before="120" w:line="360" w:lineRule="auto"/>
        <w:ind w:firstLine="480" w:firstLineChars="200"/>
        <w:rPr>
          <w:rFonts w:ascii="宋体" w:hAnsi="宋体" w:eastAsia="宋体"/>
          <w:color w:val="auto"/>
          <w:sz w:val="24"/>
        </w:rPr>
      </w:pPr>
      <w:r>
        <w:rPr>
          <w:rFonts w:hint="eastAsia" w:ascii="宋体" w:hAnsi="宋体" w:eastAsia="宋体"/>
          <w:color w:val="auto"/>
          <w:sz w:val="24"/>
        </w:rPr>
        <w:t>特此声明。</w:t>
      </w:r>
    </w:p>
    <w:p w14:paraId="13223C8C">
      <w:pPr>
        <w:tabs>
          <w:tab w:val="left" w:pos="5580"/>
        </w:tabs>
        <w:spacing w:before="120" w:line="360" w:lineRule="auto"/>
        <w:ind w:firstLine="480" w:firstLineChars="200"/>
        <w:rPr>
          <w:rFonts w:ascii="宋体" w:hAnsi="宋体" w:eastAsia="宋体"/>
          <w:color w:val="auto"/>
          <w:sz w:val="24"/>
        </w:rPr>
      </w:pPr>
    </w:p>
    <w:p w14:paraId="5A905798">
      <w:pPr>
        <w:tabs>
          <w:tab w:val="left" w:pos="5580"/>
        </w:tabs>
        <w:spacing w:before="120" w:line="360" w:lineRule="auto"/>
        <w:ind w:firstLine="480" w:firstLineChars="200"/>
        <w:rPr>
          <w:rFonts w:ascii="宋体" w:hAnsi="宋体" w:eastAsia="宋体"/>
          <w:color w:val="auto"/>
          <w:sz w:val="24"/>
        </w:rPr>
      </w:pPr>
    </w:p>
    <w:p w14:paraId="24288802">
      <w:pPr>
        <w:tabs>
          <w:tab w:val="left" w:pos="5580"/>
        </w:tabs>
        <w:spacing w:before="120" w:line="360" w:lineRule="auto"/>
        <w:ind w:firstLine="480" w:firstLineChars="200"/>
        <w:rPr>
          <w:rFonts w:ascii="宋体" w:hAnsi="宋体" w:eastAsia="宋体"/>
          <w:color w:val="auto"/>
          <w:sz w:val="24"/>
        </w:rPr>
      </w:pPr>
    </w:p>
    <w:p w14:paraId="68FCF37B">
      <w:pPr>
        <w:keepNext w:val="0"/>
        <w:keepLines w:val="0"/>
        <w:pageBreakBefore w:val="0"/>
        <w:widowControl w:val="0"/>
        <w:kinsoku/>
        <w:wordWrap/>
        <w:overflowPunct/>
        <w:topLinePunct w:val="0"/>
        <w:autoSpaceDE/>
        <w:autoSpaceDN/>
        <w:bidi w:val="0"/>
        <w:adjustRightInd/>
        <w:snapToGrid/>
        <w:spacing w:line="360" w:lineRule="auto"/>
        <w:ind w:right="278"/>
        <w:textAlignment w:val="auto"/>
        <w:rPr>
          <w:rFonts w:hint="eastAsia" w:ascii="宋体" w:hAnsi="宋体" w:eastAsia="宋体"/>
          <w:color w:val="auto"/>
          <w:sz w:val="24"/>
        </w:rPr>
      </w:pPr>
      <w:r>
        <w:rPr>
          <w:rFonts w:hint="eastAsia" w:ascii="宋体" w:hAnsi="宋体"/>
          <w:color w:val="auto"/>
          <w:sz w:val="24"/>
          <w:lang w:eastAsia="zh-CN"/>
        </w:rPr>
        <w:t>供应商</w:t>
      </w:r>
      <w:r>
        <w:rPr>
          <w:rFonts w:hint="eastAsia" w:ascii="宋体" w:hAnsi="宋体" w:eastAsia="宋体"/>
          <w:color w:val="auto"/>
          <w:sz w:val="24"/>
        </w:rPr>
        <w:t>名称</w:t>
      </w:r>
      <w:r>
        <w:rPr>
          <w:rFonts w:hint="eastAsia" w:ascii="宋体" w:hAnsi="宋体" w:eastAsia="宋体"/>
          <w:color w:val="auto"/>
          <w:sz w:val="24"/>
          <w:lang w:eastAsia="zh-CN"/>
        </w:rPr>
        <w:t>(公章):</w:t>
      </w:r>
    </w:p>
    <w:p w14:paraId="6BB89A7F">
      <w:pPr>
        <w:keepNext w:val="0"/>
        <w:keepLines w:val="0"/>
        <w:pageBreakBefore w:val="0"/>
        <w:widowControl w:val="0"/>
        <w:kinsoku/>
        <w:wordWrap/>
        <w:overflowPunct/>
        <w:topLinePunct w:val="0"/>
        <w:autoSpaceDE/>
        <w:autoSpaceDN/>
        <w:bidi w:val="0"/>
        <w:adjustRightInd/>
        <w:snapToGrid/>
        <w:spacing w:line="360" w:lineRule="auto"/>
        <w:ind w:right="278"/>
        <w:textAlignment w:val="auto"/>
        <w:rPr>
          <w:rFonts w:hint="eastAsia" w:ascii="宋体" w:hAnsi="宋体" w:eastAsia="宋体"/>
          <w:color w:val="auto"/>
          <w:sz w:val="24"/>
          <w:lang w:val="en-US" w:eastAsia="zh-CN"/>
        </w:rPr>
      </w:pPr>
      <w:r>
        <w:rPr>
          <w:rFonts w:hint="eastAsia" w:ascii="宋体" w:hAnsi="宋体" w:eastAsia="宋体"/>
          <w:color w:val="auto"/>
          <w:sz w:val="24"/>
        </w:rPr>
        <w:t>法定代表人或其委托代理人(签字或盖章)</w:t>
      </w:r>
      <w:r>
        <w:rPr>
          <w:rFonts w:hint="eastAsia" w:ascii="宋体" w:hAnsi="宋体" w:eastAsia="宋体"/>
          <w:color w:val="auto"/>
          <w:sz w:val="24"/>
          <w:lang w:eastAsia="zh-CN"/>
        </w:rPr>
        <w:t>:</w:t>
      </w:r>
    </w:p>
    <w:p w14:paraId="64B34B09">
      <w:pPr>
        <w:keepNext w:val="0"/>
        <w:keepLines w:val="0"/>
        <w:pageBreakBefore w:val="0"/>
        <w:widowControl w:val="0"/>
        <w:kinsoku/>
        <w:wordWrap/>
        <w:overflowPunct/>
        <w:topLinePunct w:val="0"/>
        <w:autoSpaceDE/>
        <w:autoSpaceDN/>
        <w:bidi w:val="0"/>
        <w:adjustRightInd/>
        <w:snapToGrid/>
        <w:spacing w:line="360" w:lineRule="auto"/>
        <w:ind w:right="278"/>
        <w:textAlignment w:val="auto"/>
        <w:rPr>
          <w:rFonts w:hint="eastAsia" w:ascii="宋体" w:hAnsi="宋体" w:eastAsia="宋体"/>
          <w:color w:val="auto"/>
          <w:sz w:val="24"/>
          <w:lang w:eastAsia="zh-CN"/>
        </w:rPr>
      </w:pPr>
      <w:r>
        <w:rPr>
          <w:rFonts w:hint="eastAsia" w:ascii="宋体" w:hAnsi="宋体" w:eastAsia="宋体"/>
          <w:color w:val="auto"/>
          <w:sz w:val="24"/>
        </w:rPr>
        <w:t>日期</w:t>
      </w:r>
      <w:r>
        <w:rPr>
          <w:rFonts w:hint="eastAsia" w:ascii="宋体" w:hAnsi="宋体" w:eastAsia="宋体"/>
          <w:color w:val="auto"/>
          <w:sz w:val="24"/>
          <w:lang w:eastAsia="zh-CN"/>
        </w:rPr>
        <w:t>:</w:t>
      </w:r>
      <w:r>
        <w:rPr>
          <w:rFonts w:hint="eastAsia" w:ascii="宋体" w:hAnsi="宋体" w:eastAsia="宋体"/>
          <w:color w:val="auto"/>
          <w:sz w:val="24"/>
          <w:lang w:val="en-US" w:eastAsia="zh-CN"/>
        </w:rPr>
        <w:t xml:space="preserve">  </w:t>
      </w:r>
      <w:r>
        <w:rPr>
          <w:rFonts w:hint="eastAsia" w:ascii="宋体" w:hAnsi="宋体" w:eastAsia="宋体"/>
          <w:color w:val="auto"/>
          <w:sz w:val="24"/>
          <w:lang w:eastAsia="zh-CN"/>
        </w:rPr>
        <w:t>年</w:t>
      </w:r>
      <w:r>
        <w:rPr>
          <w:rFonts w:hint="eastAsia" w:ascii="宋体" w:hAnsi="宋体" w:eastAsia="宋体"/>
          <w:color w:val="auto"/>
          <w:sz w:val="24"/>
          <w:lang w:val="en-US" w:eastAsia="zh-CN"/>
        </w:rPr>
        <w:t xml:space="preserve">   </w:t>
      </w:r>
      <w:r>
        <w:rPr>
          <w:rFonts w:hint="eastAsia" w:ascii="宋体" w:hAnsi="宋体" w:eastAsia="宋体"/>
          <w:color w:val="auto"/>
          <w:sz w:val="24"/>
          <w:lang w:eastAsia="zh-CN"/>
        </w:rPr>
        <w:t>月</w:t>
      </w:r>
      <w:r>
        <w:rPr>
          <w:rFonts w:hint="eastAsia" w:ascii="宋体" w:hAnsi="宋体" w:eastAsia="宋体"/>
          <w:color w:val="auto"/>
          <w:sz w:val="24"/>
          <w:lang w:val="en-US" w:eastAsia="zh-CN"/>
        </w:rPr>
        <w:t xml:space="preserve">   </w:t>
      </w:r>
      <w:r>
        <w:rPr>
          <w:rFonts w:hint="eastAsia" w:ascii="宋体" w:hAnsi="宋体" w:eastAsia="宋体"/>
          <w:color w:val="auto"/>
          <w:sz w:val="24"/>
          <w:lang w:eastAsia="zh-CN"/>
        </w:rPr>
        <w:t>日</w:t>
      </w:r>
    </w:p>
    <w:p w14:paraId="1174E6D4">
      <w:pPr>
        <w:pStyle w:val="81"/>
        <w:spacing w:line="360" w:lineRule="auto"/>
        <w:rPr>
          <w:rFonts w:ascii="宋体" w:hAnsi="宋体" w:eastAsia="宋体"/>
          <w:color w:val="auto"/>
          <w:sz w:val="24"/>
          <w:u w:val="single"/>
        </w:rPr>
      </w:pPr>
      <w:r>
        <w:rPr>
          <w:rFonts w:ascii="宋体" w:hAnsi="宋体" w:eastAsia="宋体"/>
          <w:color w:val="auto"/>
          <w:sz w:val="24"/>
          <w:u w:val="single"/>
        </w:rPr>
        <w:br w:type="page"/>
      </w:r>
    </w:p>
    <w:p w14:paraId="5B4E678B">
      <w:pPr>
        <w:jc w:val="center"/>
        <w:outlineLvl w:val="2"/>
        <w:rPr>
          <w:rFonts w:hAnsi="宋体"/>
          <w:b/>
          <w:bCs/>
          <w:color w:val="auto"/>
          <w:sz w:val="24"/>
          <w:szCs w:val="24"/>
        </w:rPr>
      </w:pPr>
      <w:bookmarkStart w:id="286" w:name="_Toc12322"/>
      <w:bookmarkStart w:id="287" w:name="_Toc8928"/>
      <w:bookmarkStart w:id="288" w:name="_Toc32187"/>
      <w:bookmarkStart w:id="289" w:name="_Toc26311"/>
      <w:r>
        <w:rPr>
          <w:rFonts w:hint="eastAsia" w:hAnsi="宋体"/>
          <w:b/>
          <w:bCs/>
          <w:color w:val="auto"/>
          <w:sz w:val="24"/>
          <w:szCs w:val="24"/>
        </w:rPr>
        <w:t>9-</w:t>
      </w:r>
      <w:r>
        <w:rPr>
          <w:rFonts w:hint="eastAsia" w:hAnsi="宋体"/>
          <w:b/>
          <w:bCs/>
          <w:color w:val="auto"/>
          <w:sz w:val="24"/>
          <w:szCs w:val="24"/>
          <w:lang w:val="en-US" w:eastAsia="zh-CN"/>
        </w:rPr>
        <w:t>7</w:t>
      </w:r>
      <w:r>
        <w:rPr>
          <w:rFonts w:hint="eastAsia" w:ascii="宋体" w:hAnsi="宋体" w:eastAsia="宋体" w:cs="宋体"/>
          <w:b/>
          <w:color w:val="auto"/>
          <w:sz w:val="24"/>
        </w:rPr>
        <w:t xml:space="preserve"> </w:t>
      </w:r>
      <w:r>
        <w:rPr>
          <w:rFonts w:hint="eastAsia" w:ascii="宋体" w:hAnsi="宋体" w:cs="宋体"/>
          <w:b/>
          <w:color w:val="auto"/>
          <w:sz w:val="24"/>
          <w:lang w:val="en-US" w:eastAsia="zh-CN"/>
        </w:rPr>
        <w:t xml:space="preserve"> </w:t>
      </w:r>
      <w:r>
        <w:rPr>
          <w:rFonts w:hint="eastAsia" w:hAnsi="宋体"/>
          <w:b/>
          <w:bCs/>
          <w:color w:val="auto"/>
          <w:sz w:val="24"/>
          <w:szCs w:val="24"/>
        </w:rPr>
        <w:t>联合体协议书</w:t>
      </w:r>
      <w:bookmarkEnd w:id="286"/>
      <w:bookmarkEnd w:id="287"/>
      <w:bookmarkEnd w:id="288"/>
      <w:bookmarkEnd w:id="289"/>
    </w:p>
    <w:p w14:paraId="2FFD8FC9">
      <w:pPr>
        <w:autoSpaceDE w:val="0"/>
        <w:autoSpaceDN w:val="0"/>
        <w:adjustRightInd w:val="0"/>
        <w:jc w:val="center"/>
        <w:rPr>
          <w:rFonts w:ascii="宋体" w:hAnsi="宋体" w:cs="黑体"/>
          <w:color w:val="auto"/>
          <w:kern w:val="0"/>
          <w:sz w:val="28"/>
          <w:szCs w:val="28"/>
        </w:rPr>
      </w:pPr>
    </w:p>
    <w:p w14:paraId="0A66A148">
      <w:pPr>
        <w:autoSpaceDE w:val="0"/>
        <w:autoSpaceDN w:val="0"/>
        <w:adjustRightInd w:val="0"/>
        <w:jc w:val="center"/>
        <w:rPr>
          <w:rFonts w:hint="eastAsia" w:ascii="宋体" w:hAnsi="宋体" w:eastAsia="宋体" w:cs="黑体"/>
          <w:b/>
          <w:bCs/>
          <w:i w:val="0"/>
          <w:iCs w:val="0"/>
          <w:color w:val="auto"/>
          <w:kern w:val="0"/>
          <w:szCs w:val="21"/>
          <w:lang w:eastAsia="zh-CN"/>
        </w:rPr>
      </w:pPr>
      <w:r>
        <w:rPr>
          <w:rFonts w:hint="eastAsia" w:ascii="宋体" w:hAnsi="宋体" w:cs="黑体"/>
          <w:color w:val="auto"/>
          <w:kern w:val="0"/>
          <w:sz w:val="28"/>
          <w:szCs w:val="28"/>
        </w:rPr>
        <w:t>联合体协议书</w:t>
      </w:r>
      <w:r>
        <w:rPr>
          <w:rFonts w:hint="eastAsia" w:ascii="宋体" w:hAnsi="宋体" w:cs="黑体"/>
          <w:b/>
          <w:bCs/>
          <w:i w:val="0"/>
          <w:iCs w:val="0"/>
          <w:color w:val="auto"/>
          <w:kern w:val="0"/>
          <w:szCs w:val="21"/>
          <w:lang w:eastAsia="zh-CN"/>
        </w:rPr>
        <w:t>(</w:t>
      </w:r>
      <w:r>
        <w:rPr>
          <w:rFonts w:hint="eastAsia" w:ascii="宋体" w:hAnsi="宋体" w:cs="黑体"/>
          <w:b/>
          <w:bCs/>
          <w:i w:val="0"/>
          <w:iCs w:val="0"/>
          <w:color w:val="auto"/>
          <w:kern w:val="0"/>
          <w:szCs w:val="21"/>
        </w:rPr>
        <w:t>注</w:t>
      </w:r>
      <w:r>
        <w:rPr>
          <w:rFonts w:hint="eastAsia" w:ascii="宋体" w:hAnsi="宋体" w:cs="黑体"/>
          <w:b/>
          <w:bCs/>
          <w:i w:val="0"/>
          <w:iCs w:val="0"/>
          <w:color w:val="auto"/>
          <w:kern w:val="0"/>
          <w:szCs w:val="21"/>
          <w:lang w:eastAsia="zh-CN"/>
        </w:rPr>
        <w:t>:</w:t>
      </w:r>
      <w:r>
        <w:rPr>
          <w:rFonts w:hint="eastAsia" w:ascii="宋体" w:hAnsi="宋体" w:cs="黑体"/>
          <w:b/>
          <w:bCs/>
          <w:i w:val="0"/>
          <w:iCs w:val="0"/>
          <w:color w:val="auto"/>
          <w:kern w:val="0"/>
          <w:szCs w:val="21"/>
          <w:lang w:val="en-US" w:eastAsia="zh-CN"/>
        </w:rPr>
        <w:t>本项目不适用，供应商无须提供该协议</w:t>
      </w:r>
      <w:r>
        <w:rPr>
          <w:rFonts w:hint="eastAsia" w:ascii="宋体" w:hAnsi="宋体" w:cs="黑体"/>
          <w:b/>
          <w:bCs/>
          <w:i w:val="0"/>
          <w:iCs w:val="0"/>
          <w:color w:val="auto"/>
          <w:kern w:val="0"/>
          <w:szCs w:val="21"/>
          <w:lang w:eastAsia="zh-CN"/>
        </w:rPr>
        <w:t>)</w:t>
      </w:r>
    </w:p>
    <w:p w14:paraId="54D28871">
      <w:pPr>
        <w:autoSpaceDE w:val="0"/>
        <w:autoSpaceDN w:val="0"/>
        <w:adjustRightInd w:val="0"/>
        <w:jc w:val="center"/>
        <w:rPr>
          <w:rFonts w:ascii="宋体" w:hAnsi="宋体" w:cs="黑体"/>
          <w:color w:val="auto"/>
          <w:kern w:val="0"/>
          <w:sz w:val="28"/>
          <w:szCs w:val="28"/>
        </w:rPr>
      </w:pPr>
    </w:p>
    <w:p w14:paraId="00C25E3C">
      <w:pPr>
        <w:autoSpaceDE w:val="0"/>
        <w:autoSpaceDN w:val="0"/>
        <w:adjustRightInd w:val="0"/>
        <w:jc w:val="center"/>
        <w:rPr>
          <w:rFonts w:ascii="宋体" w:hAnsi="宋体" w:cs="黑体"/>
          <w:i/>
          <w:iCs/>
          <w:color w:val="auto"/>
          <w:kern w:val="0"/>
          <w:szCs w:val="21"/>
        </w:rPr>
      </w:pPr>
    </w:p>
    <w:p w14:paraId="5348C6F4">
      <w:pPr>
        <w:autoSpaceDE w:val="0"/>
        <w:autoSpaceDN w:val="0"/>
        <w:adjustRightInd w:val="0"/>
        <w:spacing w:line="360" w:lineRule="auto"/>
        <w:ind w:firstLine="480" w:firstLineChars="200"/>
        <w:jc w:val="left"/>
        <w:rPr>
          <w:rFonts w:ascii="宋体" w:hAnsi="宋体" w:cs="仿宋_GB2312"/>
          <w:color w:val="auto"/>
          <w:kern w:val="0"/>
          <w:sz w:val="24"/>
        </w:rPr>
      </w:pPr>
      <w:r>
        <w:rPr>
          <w:rFonts w:ascii="宋体" w:hAnsi="宋体" w:cs="仿宋_GB2312"/>
          <w:color w:val="auto"/>
          <w:kern w:val="0"/>
          <w:sz w:val="24"/>
          <w:u w:val="single"/>
        </w:rPr>
        <w:t xml:space="preserve"> </w:t>
      </w:r>
      <w:r>
        <w:rPr>
          <w:rFonts w:hint="eastAsia" w:ascii="宋体" w:hAnsi="宋体" w:cs="仿宋_GB2312"/>
          <w:color w:val="auto"/>
          <w:kern w:val="0"/>
          <w:sz w:val="24"/>
          <w:u w:val="single"/>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所有成员单位名称</w:t>
      </w:r>
      <w:r>
        <w:rPr>
          <w:rFonts w:hint="eastAsia" w:ascii="宋体" w:hAnsi="宋体" w:cs="仿宋_GB2312"/>
          <w:color w:val="auto"/>
          <w:kern w:val="0"/>
          <w:sz w:val="24"/>
          <w:lang w:eastAsia="zh-CN"/>
        </w:rPr>
        <w:t>)</w:t>
      </w:r>
      <w:r>
        <w:rPr>
          <w:rFonts w:hint="eastAsia" w:ascii="宋体" w:hAnsi="宋体" w:cs="仿宋_GB2312"/>
          <w:color w:val="auto"/>
          <w:kern w:val="0"/>
          <w:sz w:val="24"/>
        </w:rPr>
        <w:t>自愿组成</w:t>
      </w:r>
      <w:r>
        <w:rPr>
          <w:rFonts w:ascii="宋体" w:hAnsi="宋体" w:cs="仿宋_GB2312"/>
          <w:color w:val="auto"/>
          <w:kern w:val="0"/>
          <w:sz w:val="24"/>
          <w:u w:val="single"/>
        </w:rPr>
        <w:t xml:space="preserve"> </w:t>
      </w:r>
      <w:r>
        <w:rPr>
          <w:rFonts w:hint="eastAsia" w:ascii="宋体" w:hAnsi="宋体" w:cs="仿宋_GB2312"/>
          <w:color w:val="auto"/>
          <w:kern w:val="0"/>
          <w:sz w:val="24"/>
          <w:u w:val="single"/>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联合体名称</w:t>
      </w:r>
      <w:r>
        <w:rPr>
          <w:rFonts w:hint="eastAsia" w:ascii="宋体" w:hAnsi="宋体" w:cs="仿宋_GB2312"/>
          <w:color w:val="auto"/>
          <w:kern w:val="0"/>
          <w:sz w:val="24"/>
          <w:lang w:eastAsia="zh-CN"/>
        </w:rPr>
        <w:t>)</w:t>
      </w:r>
      <w:r>
        <w:rPr>
          <w:rFonts w:hint="eastAsia" w:ascii="宋体" w:hAnsi="宋体" w:cs="仿宋_GB2312"/>
          <w:color w:val="auto"/>
          <w:kern w:val="0"/>
          <w:sz w:val="24"/>
        </w:rPr>
        <w:t>联合体，共同参加</w:t>
      </w:r>
      <w:r>
        <w:rPr>
          <w:rFonts w:ascii="宋体" w:hAnsi="宋体" w:cs="仿宋_GB2312"/>
          <w:color w:val="auto"/>
          <w:kern w:val="0"/>
          <w:sz w:val="24"/>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项目名称</w:t>
      </w:r>
      <w:r>
        <w:rPr>
          <w:rFonts w:hint="eastAsia" w:ascii="宋体" w:hAnsi="宋体" w:cs="仿宋_GB2312"/>
          <w:color w:val="auto"/>
          <w:kern w:val="0"/>
          <w:sz w:val="24"/>
          <w:lang w:eastAsia="zh-CN"/>
        </w:rPr>
        <w:t>)</w:t>
      </w:r>
      <w:r>
        <w:rPr>
          <w:rFonts w:hint="eastAsia" w:ascii="宋体" w:hAnsi="宋体" w:cs="仿宋_GB2312"/>
          <w:color w:val="auto"/>
          <w:kern w:val="0"/>
          <w:sz w:val="24"/>
        </w:rPr>
        <w:t xml:space="preserve"> 投标。现就联合体投标事宜订立如下协议。</w:t>
      </w:r>
    </w:p>
    <w:p w14:paraId="52459C21">
      <w:pPr>
        <w:autoSpaceDE w:val="0"/>
        <w:autoSpaceDN w:val="0"/>
        <w:adjustRightInd w:val="0"/>
        <w:spacing w:line="360" w:lineRule="auto"/>
        <w:ind w:firstLine="480" w:firstLineChars="200"/>
        <w:jc w:val="left"/>
        <w:rPr>
          <w:rFonts w:ascii="宋体" w:hAnsi="宋体" w:cs="仿宋_GB2312"/>
          <w:color w:val="auto"/>
          <w:kern w:val="0"/>
          <w:sz w:val="24"/>
        </w:rPr>
      </w:pPr>
      <w:r>
        <w:rPr>
          <w:rFonts w:ascii="宋体" w:hAnsi="宋体" w:cs="TimesNewRomanPSMT"/>
          <w:color w:val="auto"/>
          <w:kern w:val="0"/>
          <w:sz w:val="24"/>
        </w:rPr>
        <w:t>1</w:t>
      </w:r>
      <w:r>
        <w:rPr>
          <w:rFonts w:hint="eastAsia" w:ascii="宋体" w:hAnsi="宋体" w:cs="仿宋_GB2312"/>
          <w:color w:val="auto"/>
          <w:kern w:val="0"/>
          <w:sz w:val="24"/>
        </w:rPr>
        <w:t>、</w:t>
      </w:r>
      <w:r>
        <w:rPr>
          <w:rFonts w:ascii="宋体" w:hAnsi="宋体" w:cs="仿宋_GB2312"/>
          <w:color w:val="auto"/>
          <w:kern w:val="0"/>
          <w:sz w:val="24"/>
        </w:rPr>
        <w:t xml:space="preserve"> </w:t>
      </w:r>
      <w:r>
        <w:rPr>
          <w:rFonts w:hint="eastAsia" w:ascii="宋体" w:hAnsi="宋体" w:cs="仿宋_GB2312"/>
          <w:color w:val="auto"/>
          <w:kern w:val="0"/>
          <w:sz w:val="24"/>
          <w:u w:val="single"/>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某成员单位名称</w:t>
      </w:r>
      <w:r>
        <w:rPr>
          <w:rFonts w:hint="eastAsia" w:ascii="宋体" w:hAnsi="宋体" w:cs="仿宋_GB2312"/>
          <w:color w:val="auto"/>
          <w:kern w:val="0"/>
          <w:sz w:val="24"/>
          <w:lang w:eastAsia="zh-CN"/>
        </w:rPr>
        <w:t>)</w:t>
      </w:r>
      <w:r>
        <w:rPr>
          <w:rFonts w:hint="eastAsia" w:ascii="宋体" w:hAnsi="宋体" w:cs="仿宋_GB2312"/>
          <w:color w:val="auto"/>
          <w:kern w:val="0"/>
          <w:sz w:val="24"/>
        </w:rPr>
        <w:t>为</w:t>
      </w:r>
      <w:r>
        <w:rPr>
          <w:rFonts w:ascii="宋体" w:hAnsi="宋体" w:cs="仿宋_GB2312"/>
          <w:color w:val="auto"/>
          <w:kern w:val="0"/>
          <w:sz w:val="24"/>
          <w:u w:val="single"/>
        </w:rPr>
        <w:t xml:space="preserve"> </w:t>
      </w:r>
      <w:r>
        <w:rPr>
          <w:rFonts w:hint="eastAsia" w:ascii="宋体" w:hAnsi="宋体" w:cs="仿宋_GB2312"/>
          <w:color w:val="auto"/>
          <w:kern w:val="0"/>
          <w:sz w:val="24"/>
          <w:u w:val="single"/>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联合体名称</w:t>
      </w:r>
      <w:r>
        <w:rPr>
          <w:rFonts w:hint="eastAsia" w:ascii="宋体" w:hAnsi="宋体" w:cs="仿宋_GB2312"/>
          <w:color w:val="auto"/>
          <w:kern w:val="0"/>
          <w:sz w:val="24"/>
          <w:lang w:eastAsia="zh-CN"/>
        </w:rPr>
        <w:t>)</w:t>
      </w:r>
      <w:r>
        <w:rPr>
          <w:rFonts w:hint="eastAsia" w:ascii="宋体" w:hAnsi="宋体" w:cs="仿宋_GB2312"/>
          <w:color w:val="auto"/>
          <w:kern w:val="0"/>
          <w:sz w:val="24"/>
        </w:rPr>
        <w:t>牵头人。</w:t>
      </w:r>
    </w:p>
    <w:p w14:paraId="10E8F1D6">
      <w:pPr>
        <w:autoSpaceDE w:val="0"/>
        <w:autoSpaceDN w:val="0"/>
        <w:adjustRightInd w:val="0"/>
        <w:spacing w:line="360" w:lineRule="auto"/>
        <w:ind w:firstLine="480" w:firstLineChars="200"/>
        <w:jc w:val="left"/>
        <w:rPr>
          <w:rFonts w:ascii="宋体" w:hAnsi="宋体" w:cs="仿宋_GB2312"/>
          <w:color w:val="auto"/>
          <w:kern w:val="0"/>
          <w:sz w:val="24"/>
        </w:rPr>
      </w:pPr>
      <w:r>
        <w:rPr>
          <w:rFonts w:ascii="宋体" w:hAnsi="宋体" w:cs="TimesNewRomanPSMT"/>
          <w:color w:val="auto"/>
          <w:kern w:val="0"/>
          <w:sz w:val="24"/>
        </w:rPr>
        <w:t>2</w:t>
      </w:r>
      <w:r>
        <w:rPr>
          <w:rFonts w:hint="eastAsia" w:ascii="宋体" w:hAnsi="宋体" w:cs="仿宋_GB2312"/>
          <w:color w:val="auto"/>
          <w:kern w:val="0"/>
          <w:sz w:val="24"/>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4E0BCA7B">
      <w:pPr>
        <w:autoSpaceDE w:val="0"/>
        <w:autoSpaceDN w:val="0"/>
        <w:adjustRightInd w:val="0"/>
        <w:spacing w:line="360" w:lineRule="auto"/>
        <w:ind w:firstLine="480" w:firstLineChars="200"/>
        <w:jc w:val="left"/>
        <w:rPr>
          <w:rFonts w:ascii="宋体" w:hAnsi="宋体" w:cs="仿宋_GB2312"/>
          <w:color w:val="auto"/>
          <w:kern w:val="0"/>
          <w:sz w:val="24"/>
        </w:rPr>
      </w:pPr>
      <w:r>
        <w:rPr>
          <w:rFonts w:ascii="宋体" w:hAnsi="宋体" w:cs="TimesNewRomanPSMT"/>
          <w:color w:val="auto"/>
          <w:kern w:val="0"/>
          <w:sz w:val="24"/>
        </w:rPr>
        <w:t>3</w:t>
      </w:r>
      <w:r>
        <w:rPr>
          <w:rFonts w:hint="eastAsia" w:ascii="宋体" w:hAnsi="宋体" w:cs="仿宋_GB2312"/>
          <w:color w:val="auto"/>
          <w:kern w:val="0"/>
          <w:sz w:val="24"/>
        </w:rPr>
        <w:t>、联合体将严格按照招标文件的各项要求，递交投标文件，履行合同，并对外承担连带责任。</w:t>
      </w:r>
    </w:p>
    <w:p w14:paraId="4B015F6A">
      <w:pPr>
        <w:autoSpaceDE w:val="0"/>
        <w:autoSpaceDN w:val="0"/>
        <w:adjustRightInd w:val="0"/>
        <w:spacing w:line="360" w:lineRule="auto"/>
        <w:ind w:firstLine="480" w:firstLineChars="200"/>
        <w:jc w:val="left"/>
        <w:outlineLvl w:val="9"/>
        <w:rPr>
          <w:rFonts w:hint="eastAsia" w:ascii="宋体" w:hAnsi="宋体" w:eastAsia="宋体" w:cs="仿宋_GB2312"/>
          <w:color w:val="auto"/>
          <w:kern w:val="0"/>
          <w:sz w:val="24"/>
          <w:lang w:eastAsia="zh-CN"/>
        </w:rPr>
      </w:pPr>
      <w:r>
        <w:rPr>
          <w:rFonts w:ascii="宋体" w:hAnsi="宋体" w:cs="TimesNewRomanPSMT"/>
          <w:color w:val="auto"/>
          <w:kern w:val="0"/>
          <w:sz w:val="24"/>
        </w:rPr>
        <w:t>4</w:t>
      </w:r>
      <w:r>
        <w:rPr>
          <w:rFonts w:hint="eastAsia" w:ascii="宋体" w:hAnsi="宋体" w:cs="仿宋_GB2312"/>
          <w:color w:val="auto"/>
          <w:kern w:val="0"/>
          <w:sz w:val="24"/>
        </w:rPr>
        <w:t>、联合体各成员单位内部的职责分工如下</w:t>
      </w:r>
      <w:r>
        <w:rPr>
          <w:rFonts w:hint="eastAsia" w:ascii="宋体" w:hAnsi="宋体" w:cs="仿宋_GB2312"/>
          <w:color w:val="auto"/>
          <w:kern w:val="0"/>
          <w:sz w:val="24"/>
          <w:lang w:eastAsia="zh-CN"/>
        </w:rPr>
        <w:t>:</w:t>
      </w:r>
    </w:p>
    <w:p w14:paraId="61511585">
      <w:pPr>
        <w:autoSpaceDE w:val="0"/>
        <w:autoSpaceDN w:val="0"/>
        <w:adjustRightInd w:val="0"/>
        <w:spacing w:line="360" w:lineRule="auto"/>
        <w:ind w:firstLine="480" w:firstLineChars="200"/>
        <w:jc w:val="left"/>
        <w:rPr>
          <w:rFonts w:hint="default" w:ascii="宋体" w:hAnsi="宋体" w:eastAsia="宋体" w:cs="仿宋_GB2312"/>
          <w:color w:val="auto"/>
          <w:kern w:val="0"/>
          <w:sz w:val="24"/>
          <w:lang w:val="en-US" w:eastAsia="zh-CN"/>
        </w:rPr>
      </w:pPr>
      <w:r>
        <w:rPr>
          <w:rFonts w:hint="eastAsia" w:ascii="宋体" w:hAnsi="宋体" w:cs="仿宋_GB2312"/>
          <w:color w:val="auto"/>
          <w:kern w:val="0"/>
          <w:sz w:val="24"/>
          <w:lang w:eastAsia="zh-CN"/>
        </w:rPr>
        <w:t>(</w:t>
      </w:r>
      <w:r>
        <w:rPr>
          <w:rFonts w:hint="eastAsia" w:ascii="宋体" w:hAnsi="宋体" w:cs="仿宋_GB2312"/>
          <w:color w:val="auto"/>
          <w:kern w:val="0"/>
          <w:sz w:val="24"/>
          <w:lang w:val="en-US" w:eastAsia="zh-CN"/>
        </w:rPr>
        <w:t>成员单位名称及职责分工)</w:t>
      </w:r>
    </w:p>
    <w:p w14:paraId="25841778">
      <w:pPr>
        <w:autoSpaceDE w:val="0"/>
        <w:autoSpaceDN w:val="0"/>
        <w:adjustRightInd w:val="0"/>
        <w:spacing w:line="360" w:lineRule="auto"/>
        <w:ind w:firstLine="480" w:firstLineChars="200"/>
        <w:jc w:val="left"/>
        <w:rPr>
          <w:rFonts w:ascii="宋体" w:hAnsi="宋体" w:cs="仿宋_GB2312"/>
          <w:color w:val="auto"/>
          <w:kern w:val="0"/>
          <w:sz w:val="24"/>
        </w:rPr>
      </w:pPr>
    </w:p>
    <w:p w14:paraId="4420AD0B">
      <w:pPr>
        <w:autoSpaceDE w:val="0"/>
        <w:autoSpaceDN w:val="0"/>
        <w:adjustRightInd w:val="0"/>
        <w:spacing w:line="360" w:lineRule="auto"/>
        <w:ind w:firstLine="480" w:firstLineChars="200"/>
        <w:jc w:val="left"/>
        <w:rPr>
          <w:rFonts w:ascii="宋体" w:hAnsi="宋体" w:cs="仿宋_GB2312"/>
          <w:color w:val="auto"/>
          <w:kern w:val="0"/>
          <w:sz w:val="24"/>
        </w:rPr>
      </w:pPr>
    </w:p>
    <w:p w14:paraId="3FC6BBE0">
      <w:pPr>
        <w:autoSpaceDE w:val="0"/>
        <w:autoSpaceDN w:val="0"/>
        <w:adjustRightInd w:val="0"/>
        <w:spacing w:line="360" w:lineRule="auto"/>
        <w:ind w:firstLine="480" w:firstLineChars="200"/>
        <w:jc w:val="left"/>
        <w:rPr>
          <w:rFonts w:ascii="宋体" w:hAnsi="宋体" w:cs="仿宋_GB2312"/>
          <w:color w:val="auto"/>
          <w:kern w:val="0"/>
          <w:sz w:val="24"/>
        </w:rPr>
      </w:pPr>
      <w:r>
        <w:rPr>
          <w:rFonts w:ascii="宋体" w:hAnsi="宋体" w:cs="TimesNewRomanPSMT"/>
          <w:color w:val="auto"/>
          <w:kern w:val="0"/>
          <w:sz w:val="24"/>
        </w:rPr>
        <w:t>5</w:t>
      </w:r>
      <w:r>
        <w:rPr>
          <w:rFonts w:hint="eastAsia" w:ascii="宋体" w:hAnsi="宋体" w:cs="仿宋_GB2312"/>
          <w:color w:val="auto"/>
          <w:kern w:val="0"/>
          <w:sz w:val="24"/>
        </w:rPr>
        <w:t>、本协议书自签署之日起生效，合同履行完毕后自动失效。</w:t>
      </w:r>
    </w:p>
    <w:p w14:paraId="7DA41569">
      <w:pPr>
        <w:autoSpaceDE w:val="0"/>
        <w:autoSpaceDN w:val="0"/>
        <w:adjustRightInd w:val="0"/>
        <w:spacing w:line="360" w:lineRule="auto"/>
        <w:ind w:firstLine="480" w:firstLineChars="200"/>
        <w:jc w:val="left"/>
        <w:rPr>
          <w:rFonts w:ascii="宋体" w:hAnsi="宋体" w:cs="仿宋_GB2312"/>
          <w:color w:val="auto"/>
          <w:kern w:val="0"/>
          <w:sz w:val="24"/>
        </w:rPr>
      </w:pPr>
      <w:r>
        <w:rPr>
          <w:rFonts w:ascii="宋体" w:hAnsi="宋体" w:cs="TimesNewRomanPSMT"/>
          <w:color w:val="auto"/>
          <w:kern w:val="0"/>
          <w:sz w:val="24"/>
        </w:rPr>
        <w:t>6</w:t>
      </w:r>
      <w:r>
        <w:rPr>
          <w:rFonts w:hint="eastAsia" w:ascii="宋体" w:hAnsi="宋体" w:cs="仿宋_GB2312"/>
          <w:color w:val="auto"/>
          <w:kern w:val="0"/>
          <w:sz w:val="24"/>
        </w:rPr>
        <w:t>、本协议书一式</w:t>
      </w:r>
      <w:r>
        <w:rPr>
          <w:rFonts w:ascii="宋体" w:hAnsi="宋体" w:cs="仿宋_GB2312"/>
          <w:color w:val="auto"/>
          <w:kern w:val="0"/>
          <w:sz w:val="24"/>
        </w:rPr>
        <w:t xml:space="preserve"> </w:t>
      </w:r>
      <w:r>
        <w:rPr>
          <w:rFonts w:hint="eastAsia" w:ascii="宋体" w:hAnsi="宋体" w:cs="仿宋_GB2312"/>
          <w:color w:val="auto"/>
          <w:kern w:val="0"/>
          <w:sz w:val="24"/>
        </w:rPr>
        <w:t xml:space="preserve">  份，联合体成员和</w:t>
      </w:r>
      <w:r>
        <w:rPr>
          <w:rFonts w:hint="eastAsia" w:ascii="宋体" w:hAnsi="宋体" w:cs="仿宋_GB2312"/>
          <w:color w:val="auto"/>
          <w:kern w:val="0"/>
          <w:sz w:val="24"/>
          <w:lang w:val="en-US" w:eastAsia="zh-CN"/>
        </w:rPr>
        <w:t>采购</w:t>
      </w:r>
      <w:r>
        <w:rPr>
          <w:rFonts w:hint="eastAsia" w:ascii="宋体" w:hAnsi="宋体" w:cs="仿宋_GB2312"/>
          <w:color w:val="auto"/>
          <w:kern w:val="0"/>
          <w:sz w:val="24"/>
        </w:rPr>
        <w:t>人各执一份。</w:t>
      </w:r>
    </w:p>
    <w:p w14:paraId="047F7C8D">
      <w:pPr>
        <w:autoSpaceDE w:val="0"/>
        <w:autoSpaceDN w:val="0"/>
        <w:adjustRightInd w:val="0"/>
        <w:spacing w:line="360" w:lineRule="auto"/>
        <w:ind w:firstLine="480" w:firstLineChars="200"/>
        <w:jc w:val="left"/>
        <w:rPr>
          <w:rFonts w:ascii="宋体" w:hAnsi="宋体" w:cs="仿宋_GB2312"/>
          <w:color w:val="auto"/>
          <w:kern w:val="0"/>
          <w:sz w:val="24"/>
        </w:rPr>
      </w:pPr>
      <w:r>
        <w:rPr>
          <w:rFonts w:hint="eastAsia" w:ascii="宋体" w:hAnsi="宋体" w:cs="仿宋_GB2312"/>
          <w:color w:val="auto"/>
          <w:kern w:val="0"/>
          <w:sz w:val="24"/>
        </w:rPr>
        <w:t>注</w:t>
      </w:r>
      <w:r>
        <w:rPr>
          <w:rFonts w:hint="eastAsia" w:ascii="宋体" w:hAnsi="宋体" w:cs="仿宋_GB2312"/>
          <w:color w:val="auto"/>
          <w:kern w:val="0"/>
          <w:sz w:val="24"/>
          <w:lang w:eastAsia="zh-CN"/>
        </w:rPr>
        <w:t>:</w:t>
      </w:r>
      <w:r>
        <w:rPr>
          <w:rFonts w:hint="eastAsia" w:ascii="宋体" w:hAnsi="宋体" w:cs="仿宋_GB2312"/>
          <w:color w:val="auto"/>
          <w:kern w:val="0"/>
          <w:sz w:val="24"/>
        </w:rPr>
        <w:t>本协议书由委托代理人签字的，应附法定代表人签字的授权委托书。</w:t>
      </w:r>
    </w:p>
    <w:p w14:paraId="5ECAE831">
      <w:pPr>
        <w:autoSpaceDE w:val="0"/>
        <w:autoSpaceDN w:val="0"/>
        <w:adjustRightInd w:val="0"/>
        <w:spacing w:line="360" w:lineRule="auto"/>
        <w:ind w:firstLine="480" w:firstLineChars="200"/>
        <w:jc w:val="left"/>
        <w:rPr>
          <w:rFonts w:ascii="宋体" w:hAnsi="宋体" w:cs="仿宋_GB2312"/>
          <w:color w:val="auto"/>
          <w:kern w:val="0"/>
          <w:sz w:val="24"/>
        </w:rPr>
      </w:pPr>
    </w:p>
    <w:p w14:paraId="7DFF0C8F">
      <w:pPr>
        <w:autoSpaceDE w:val="0"/>
        <w:autoSpaceDN w:val="0"/>
        <w:adjustRightInd w:val="0"/>
        <w:spacing w:line="360" w:lineRule="auto"/>
        <w:ind w:firstLine="480" w:firstLineChars="200"/>
        <w:jc w:val="left"/>
        <w:rPr>
          <w:rFonts w:ascii="宋体" w:hAnsi="宋体" w:cs="仿宋_GB2312"/>
          <w:color w:val="auto"/>
          <w:kern w:val="0"/>
          <w:sz w:val="24"/>
        </w:rPr>
      </w:pPr>
    </w:p>
    <w:p w14:paraId="71C219ED">
      <w:pPr>
        <w:autoSpaceDE w:val="0"/>
        <w:autoSpaceDN w:val="0"/>
        <w:adjustRightInd w:val="0"/>
        <w:spacing w:line="360" w:lineRule="auto"/>
        <w:ind w:firstLine="480" w:firstLineChars="200"/>
        <w:jc w:val="left"/>
        <w:rPr>
          <w:rFonts w:hint="eastAsia" w:ascii="宋体" w:hAnsi="宋体" w:eastAsia="宋体" w:cs="仿宋_GB2312"/>
          <w:color w:val="auto"/>
          <w:kern w:val="0"/>
          <w:sz w:val="24"/>
          <w:lang w:eastAsia="zh-CN"/>
        </w:rPr>
      </w:pPr>
      <w:r>
        <w:rPr>
          <w:rFonts w:hint="eastAsia" w:ascii="宋体" w:hAnsi="宋体" w:cs="仿宋_GB2312"/>
          <w:color w:val="auto"/>
          <w:kern w:val="0"/>
          <w:sz w:val="24"/>
        </w:rPr>
        <w:t>牵头人名称</w:t>
      </w:r>
      <w:r>
        <w:rPr>
          <w:rFonts w:hint="eastAsia" w:ascii="宋体" w:hAnsi="宋体" w:cs="仿宋_GB2312"/>
          <w:color w:val="auto"/>
          <w:kern w:val="0"/>
          <w:sz w:val="24"/>
          <w:lang w:eastAsia="zh-CN"/>
        </w:rPr>
        <w:t>:</w:t>
      </w:r>
      <w:r>
        <w:rPr>
          <w:rFonts w:ascii="宋体" w:hAnsi="宋体" w:cs="仿宋_GB2312"/>
          <w:color w:val="auto"/>
          <w:kern w:val="0"/>
          <w:sz w:val="24"/>
        </w:rPr>
        <w:t xml:space="preserve"> </w:t>
      </w:r>
      <w:r>
        <w:rPr>
          <w:rFonts w:hint="eastAsia" w:ascii="宋体" w:hAnsi="宋体" w:cs="仿宋_GB2312"/>
          <w:color w:val="auto"/>
          <w:kern w:val="0"/>
          <w:sz w:val="24"/>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盖单位章</w:t>
      </w:r>
      <w:r>
        <w:rPr>
          <w:rFonts w:hint="eastAsia" w:ascii="宋体" w:hAnsi="宋体" w:cs="仿宋_GB2312"/>
          <w:color w:val="auto"/>
          <w:kern w:val="0"/>
          <w:sz w:val="24"/>
          <w:lang w:eastAsia="zh-CN"/>
        </w:rPr>
        <w:t>)</w:t>
      </w:r>
    </w:p>
    <w:p w14:paraId="651CF21D">
      <w:pPr>
        <w:autoSpaceDE w:val="0"/>
        <w:autoSpaceDN w:val="0"/>
        <w:adjustRightInd w:val="0"/>
        <w:spacing w:line="360" w:lineRule="auto"/>
        <w:ind w:firstLine="480" w:firstLineChars="200"/>
        <w:jc w:val="left"/>
        <w:rPr>
          <w:rFonts w:hint="eastAsia" w:ascii="宋体" w:hAnsi="宋体" w:eastAsia="宋体" w:cs="仿宋_GB2312"/>
          <w:color w:val="auto"/>
          <w:kern w:val="0"/>
          <w:sz w:val="24"/>
          <w:lang w:eastAsia="zh-CN"/>
        </w:rPr>
      </w:pPr>
      <w:r>
        <w:rPr>
          <w:rFonts w:hint="eastAsia" w:ascii="宋体" w:hAnsi="宋体" w:cs="仿宋_GB2312"/>
          <w:color w:val="auto"/>
          <w:kern w:val="0"/>
          <w:sz w:val="24"/>
        </w:rPr>
        <w:t>法定代表人或其委托代理人</w:t>
      </w:r>
      <w:r>
        <w:rPr>
          <w:rFonts w:hint="eastAsia" w:ascii="宋体" w:hAnsi="宋体" w:cs="仿宋_GB2312"/>
          <w:color w:val="auto"/>
          <w:kern w:val="0"/>
          <w:sz w:val="24"/>
          <w:lang w:eastAsia="zh-CN"/>
        </w:rPr>
        <w:t>:</w:t>
      </w:r>
      <w:r>
        <w:rPr>
          <w:rFonts w:ascii="宋体" w:hAnsi="宋体" w:cs="仿宋_GB2312"/>
          <w:color w:val="auto"/>
          <w:kern w:val="0"/>
          <w:sz w:val="24"/>
        </w:rPr>
        <w:t xml:space="preserve"> </w:t>
      </w:r>
      <w:r>
        <w:rPr>
          <w:rFonts w:hint="eastAsia" w:ascii="宋体" w:hAnsi="宋体" w:cs="仿宋_GB2312"/>
          <w:color w:val="auto"/>
          <w:kern w:val="0"/>
          <w:sz w:val="24"/>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签字</w:t>
      </w:r>
      <w:r>
        <w:rPr>
          <w:rFonts w:hint="eastAsia" w:ascii="宋体" w:hAnsi="宋体" w:cs="仿宋_GB2312"/>
          <w:color w:val="auto"/>
          <w:kern w:val="0"/>
          <w:sz w:val="24"/>
          <w:lang w:eastAsia="zh-CN"/>
        </w:rPr>
        <w:t>)</w:t>
      </w:r>
    </w:p>
    <w:p w14:paraId="701DD0D9">
      <w:pPr>
        <w:autoSpaceDE w:val="0"/>
        <w:autoSpaceDN w:val="0"/>
        <w:adjustRightInd w:val="0"/>
        <w:spacing w:line="360" w:lineRule="auto"/>
        <w:ind w:firstLine="480" w:firstLineChars="200"/>
        <w:jc w:val="left"/>
        <w:rPr>
          <w:rFonts w:hint="eastAsia" w:ascii="宋体" w:hAnsi="宋体" w:eastAsia="宋体" w:cs="仿宋_GB2312"/>
          <w:color w:val="auto"/>
          <w:kern w:val="0"/>
          <w:sz w:val="24"/>
          <w:lang w:eastAsia="zh-CN"/>
        </w:rPr>
      </w:pPr>
      <w:r>
        <w:rPr>
          <w:rFonts w:hint="eastAsia" w:ascii="宋体" w:hAnsi="宋体" w:cs="仿宋_GB2312"/>
          <w:color w:val="auto"/>
          <w:kern w:val="0"/>
          <w:sz w:val="24"/>
        </w:rPr>
        <w:t>成员一名称</w:t>
      </w:r>
      <w:r>
        <w:rPr>
          <w:rFonts w:hint="eastAsia" w:ascii="宋体" w:hAnsi="宋体" w:cs="仿宋_GB2312"/>
          <w:color w:val="auto"/>
          <w:kern w:val="0"/>
          <w:sz w:val="24"/>
          <w:lang w:eastAsia="zh-CN"/>
        </w:rPr>
        <w:t>:</w:t>
      </w:r>
      <w:r>
        <w:rPr>
          <w:rFonts w:ascii="宋体" w:hAnsi="宋体" w:cs="仿宋_GB2312"/>
          <w:color w:val="auto"/>
          <w:kern w:val="0"/>
          <w:sz w:val="24"/>
        </w:rPr>
        <w:t xml:space="preserve"> </w:t>
      </w:r>
      <w:r>
        <w:rPr>
          <w:rFonts w:hint="eastAsia" w:ascii="宋体" w:hAnsi="宋体" w:cs="仿宋_GB2312"/>
          <w:color w:val="auto"/>
          <w:kern w:val="0"/>
          <w:sz w:val="24"/>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盖单位章</w:t>
      </w:r>
      <w:r>
        <w:rPr>
          <w:rFonts w:hint="eastAsia" w:ascii="宋体" w:hAnsi="宋体" w:cs="仿宋_GB2312"/>
          <w:color w:val="auto"/>
          <w:kern w:val="0"/>
          <w:sz w:val="24"/>
          <w:lang w:eastAsia="zh-CN"/>
        </w:rPr>
        <w:t>)</w:t>
      </w:r>
    </w:p>
    <w:p w14:paraId="17527E35">
      <w:pPr>
        <w:autoSpaceDE w:val="0"/>
        <w:autoSpaceDN w:val="0"/>
        <w:adjustRightInd w:val="0"/>
        <w:spacing w:line="360" w:lineRule="auto"/>
        <w:ind w:firstLine="480" w:firstLineChars="200"/>
        <w:jc w:val="left"/>
        <w:rPr>
          <w:rFonts w:hint="eastAsia" w:ascii="宋体" w:hAnsi="宋体" w:eastAsia="宋体" w:cs="仿宋_GB2312"/>
          <w:color w:val="auto"/>
          <w:kern w:val="0"/>
          <w:sz w:val="24"/>
          <w:lang w:eastAsia="zh-CN"/>
        </w:rPr>
      </w:pPr>
      <w:r>
        <w:rPr>
          <w:rFonts w:hint="eastAsia" w:ascii="宋体" w:hAnsi="宋体" w:cs="仿宋_GB2312"/>
          <w:color w:val="auto"/>
          <w:kern w:val="0"/>
          <w:sz w:val="24"/>
        </w:rPr>
        <w:t>法定代表人或其委托代理人</w:t>
      </w:r>
      <w:r>
        <w:rPr>
          <w:rFonts w:hint="eastAsia" w:ascii="宋体" w:hAnsi="宋体" w:cs="仿宋_GB2312"/>
          <w:color w:val="auto"/>
          <w:kern w:val="0"/>
          <w:sz w:val="24"/>
          <w:lang w:eastAsia="zh-CN"/>
        </w:rPr>
        <w:t>:</w:t>
      </w:r>
      <w:r>
        <w:rPr>
          <w:rFonts w:hint="eastAsia" w:ascii="宋体" w:hAnsi="宋体" w:cs="仿宋_GB2312"/>
          <w:color w:val="auto"/>
          <w:kern w:val="0"/>
          <w:sz w:val="24"/>
        </w:rPr>
        <w:t xml:space="preserve">      </w:t>
      </w:r>
      <w:r>
        <w:rPr>
          <w:rFonts w:ascii="宋体" w:hAnsi="宋体" w:cs="仿宋_GB2312"/>
          <w:color w:val="auto"/>
          <w:kern w:val="0"/>
          <w:sz w:val="24"/>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签字</w:t>
      </w:r>
      <w:r>
        <w:rPr>
          <w:rFonts w:hint="eastAsia" w:ascii="宋体" w:hAnsi="宋体" w:cs="仿宋_GB2312"/>
          <w:color w:val="auto"/>
          <w:kern w:val="0"/>
          <w:sz w:val="24"/>
          <w:lang w:eastAsia="zh-CN"/>
        </w:rPr>
        <w:t>)</w:t>
      </w:r>
    </w:p>
    <w:p w14:paraId="252CDED6">
      <w:pPr>
        <w:autoSpaceDE w:val="0"/>
        <w:autoSpaceDN w:val="0"/>
        <w:adjustRightInd w:val="0"/>
        <w:spacing w:line="360" w:lineRule="auto"/>
        <w:ind w:firstLine="480" w:firstLineChars="200"/>
        <w:jc w:val="left"/>
        <w:rPr>
          <w:rFonts w:hint="eastAsia" w:ascii="宋体" w:hAnsi="宋体" w:eastAsia="宋体" w:cs="仿宋_GB2312"/>
          <w:color w:val="auto"/>
          <w:kern w:val="0"/>
          <w:sz w:val="24"/>
          <w:lang w:eastAsia="zh-CN"/>
        </w:rPr>
      </w:pPr>
      <w:r>
        <w:rPr>
          <w:rFonts w:hint="eastAsia" w:ascii="宋体" w:hAnsi="宋体" w:cs="仿宋_GB2312"/>
          <w:color w:val="auto"/>
          <w:kern w:val="0"/>
          <w:sz w:val="24"/>
        </w:rPr>
        <w:t>成员二名称</w:t>
      </w:r>
      <w:r>
        <w:rPr>
          <w:rFonts w:hint="eastAsia" w:ascii="宋体" w:hAnsi="宋体" w:cs="仿宋_GB2312"/>
          <w:color w:val="auto"/>
          <w:kern w:val="0"/>
          <w:sz w:val="24"/>
          <w:lang w:eastAsia="zh-CN"/>
        </w:rPr>
        <w:t>:</w:t>
      </w:r>
      <w:r>
        <w:rPr>
          <w:rFonts w:ascii="宋体" w:hAnsi="宋体" w:cs="仿宋_GB2312"/>
          <w:color w:val="auto"/>
          <w:kern w:val="0"/>
          <w:sz w:val="24"/>
        </w:rPr>
        <w:t xml:space="preserve"> </w:t>
      </w:r>
      <w:r>
        <w:rPr>
          <w:rFonts w:hint="eastAsia" w:ascii="宋体" w:hAnsi="宋体" w:cs="仿宋_GB2312"/>
          <w:color w:val="auto"/>
          <w:kern w:val="0"/>
          <w:sz w:val="24"/>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盖单位章</w:t>
      </w:r>
      <w:r>
        <w:rPr>
          <w:rFonts w:hint="eastAsia" w:ascii="宋体" w:hAnsi="宋体" w:cs="仿宋_GB2312"/>
          <w:color w:val="auto"/>
          <w:kern w:val="0"/>
          <w:sz w:val="24"/>
          <w:lang w:eastAsia="zh-CN"/>
        </w:rPr>
        <w:t>)</w:t>
      </w:r>
    </w:p>
    <w:p w14:paraId="1FC3E3BC">
      <w:pPr>
        <w:autoSpaceDE w:val="0"/>
        <w:autoSpaceDN w:val="0"/>
        <w:adjustRightInd w:val="0"/>
        <w:spacing w:line="360" w:lineRule="auto"/>
        <w:ind w:firstLine="480" w:firstLineChars="200"/>
        <w:jc w:val="left"/>
        <w:rPr>
          <w:rFonts w:hint="eastAsia" w:ascii="宋体" w:hAnsi="宋体" w:eastAsia="宋体" w:cs="仿宋_GB2312"/>
          <w:color w:val="auto"/>
          <w:kern w:val="0"/>
          <w:sz w:val="24"/>
          <w:lang w:eastAsia="zh-CN"/>
        </w:rPr>
      </w:pPr>
      <w:r>
        <w:rPr>
          <w:rFonts w:hint="eastAsia" w:ascii="宋体" w:hAnsi="宋体" w:cs="仿宋_GB2312"/>
          <w:color w:val="auto"/>
          <w:kern w:val="0"/>
          <w:sz w:val="24"/>
        </w:rPr>
        <w:t>法定代表人或其委托代理人</w:t>
      </w:r>
      <w:r>
        <w:rPr>
          <w:rFonts w:hint="eastAsia" w:ascii="宋体" w:hAnsi="宋体" w:cs="仿宋_GB2312"/>
          <w:color w:val="auto"/>
          <w:kern w:val="0"/>
          <w:sz w:val="24"/>
          <w:lang w:eastAsia="zh-CN"/>
        </w:rPr>
        <w:t>:</w:t>
      </w:r>
      <w:r>
        <w:rPr>
          <w:rFonts w:ascii="宋体" w:hAnsi="宋体" w:cs="仿宋_GB2312"/>
          <w:color w:val="auto"/>
          <w:kern w:val="0"/>
          <w:sz w:val="24"/>
        </w:rPr>
        <w:t xml:space="preserve"> </w:t>
      </w:r>
      <w:r>
        <w:rPr>
          <w:rFonts w:hint="eastAsia" w:ascii="宋体" w:hAnsi="宋体" w:cs="仿宋_GB2312"/>
          <w:color w:val="auto"/>
          <w:kern w:val="0"/>
          <w:sz w:val="24"/>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签字</w:t>
      </w:r>
      <w:r>
        <w:rPr>
          <w:rFonts w:hint="eastAsia" w:ascii="宋体" w:hAnsi="宋体" w:cs="仿宋_GB2312"/>
          <w:color w:val="auto"/>
          <w:kern w:val="0"/>
          <w:sz w:val="24"/>
          <w:lang w:eastAsia="zh-CN"/>
        </w:rPr>
        <w:t>)</w:t>
      </w:r>
    </w:p>
    <w:p w14:paraId="54BAA629">
      <w:pPr>
        <w:autoSpaceDE w:val="0"/>
        <w:autoSpaceDN w:val="0"/>
        <w:adjustRightInd w:val="0"/>
        <w:spacing w:line="360" w:lineRule="auto"/>
        <w:ind w:firstLine="480" w:firstLineChars="200"/>
        <w:jc w:val="left"/>
        <w:rPr>
          <w:rFonts w:ascii="宋体" w:hAnsi="宋体" w:cs="TimesNewRomanPSMT"/>
          <w:color w:val="auto"/>
          <w:kern w:val="0"/>
          <w:sz w:val="24"/>
        </w:rPr>
      </w:pPr>
      <w:r>
        <w:rPr>
          <w:rFonts w:ascii="宋体" w:hAnsi="宋体" w:cs="TimesNewRomanPSMT"/>
          <w:color w:val="auto"/>
          <w:kern w:val="0"/>
          <w:sz w:val="24"/>
        </w:rPr>
        <w:t>……</w:t>
      </w:r>
    </w:p>
    <w:p w14:paraId="7E6BBE82">
      <w:pPr>
        <w:autoSpaceDE w:val="0"/>
        <w:autoSpaceDN w:val="0"/>
        <w:adjustRightInd w:val="0"/>
        <w:spacing w:line="360" w:lineRule="auto"/>
        <w:ind w:firstLine="480" w:firstLineChars="200"/>
        <w:jc w:val="left"/>
        <w:rPr>
          <w:rFonts w:ascii="宋体" w:hAnsi="宋体" w:cs="仿宋_GB2312"/>
          <w:color w:val="auto"/>
          <w:kern w:val="0"/>
          <w:sz w:val="24"/>
        </w:rPr>
      </w:pPr>
      <w:r>
        <w:rPr>
          <w:rFonts w:hint="eastAsia" w:ascii="宋体" w:hAnsi="宋体" w:cs="仿宋_GB2312"/>
          <w:color w:val="auto"/>
          <w:kern w:val="0"/>
          <w:sz w:val="24"/>
        </w:rPr>
        <w:t>年</w:t>
      </w:r>
      <w:r>
        <w:rPr>
          <w:rFonts w:ascii="宋体" w:hAnsi="宋体" w:cs="仿宋_GB2312"/>
          <w:color w:val="auto"/>
          <w:kern w:val="0"/>
          <w:sz w:val="24"/>
        </w:rPr>
        <w:t xml:space="preserve"> </w:t>
      </w:r>
      <w:r>
        <w:rPr>
          <w:rFonts w:hint="eastAsia" w:ascii="宋体" w:hAnsi="宋体" w:cs="仿宋_GB2312"/>
          <w:color w:val="auto"/>
          <w:kern w:val="0"/>
          <w:sz w:val="24"/>
        </w:rPr>
        <w:t>月</w:t>
      </w:r>
      <w:r>
        <w:rPr>
          <w:rFonts w:ascii="宋体" w:hAnsi="宋体" w:cs="仿宋_GB2312"/>
          <w:color w:val="auto"/>
          <w:kern w:val="0"/>
          <w:sz w:val="24"/>
        </w:rPr>
        <w:t xml:space="preserve"> </w:t>
      </w:r>
      <w:r>
        <w:rPr>
          <w:rFonts w:hint="eastAsia" w:ascii="宋体" w:hAnsi="宋体" w:cs="仿宋_GB2312"/>
          <w:color w:val="auto"/>
          <w:kern w:val="0"/>
          <w:sz w:val="24"/>
        </w:rPr>
        <w:t>日</w:t>
      </w:r>
    </w:p>
    <w:p w14:paraId="0B6D1962">
      <w:pPr>
        <w:autoSpaceDE w:val="0"/>
        <w:autoSpaceDN w:val="0"/>
        <w:adjustRightInd w:val="0"/>
        <w:spacing w:line="360" w:lineRule="auto"/>
        <w:ind w:firstLine="480" w:firstLineChars="200"/>
        <w:jc w:val="left"/>
        <w:rPr>
          <w:rFonts w:hint="eastAsia" w:ascii="宋体" w:hAnsi="宋体" w:cs="仿宋_GB2312"/>
          <w:color w:val="auto"/>
          <w:kern w:val="0"/>
          <w:sz w:val="24"/>
        </w:rPr>
      </w:pPr>
    </w:p>
    <w:p w14:paraId="5B95F982">
      <w:pPr>
        <w:jc w:val="center"/>
        <w:outlineLvl w:val="2"/>
        <w:rPr>
          <w:rFonts w:hint="eastAsia" w:hAnsi="宋体"/>
          <w:b/>
          <w:bCs/>
          <w:color w:val="auto"/>
          <w:sz w:val="24"/>
          <w:szCs w:val="24"/>
          <w:lang w:eastAsia="zh-CN"/>
        </w:rPr>
      </w:pPr>
      <w:r>
        <w:rPr>
          <w:rFonts w:hint="eastAsia" w:hAnsi="宋体"/>
          <w:b/>
          <w:bCs/>
          <w:color w:val="auto"/>
          <w:sz w:val="24"/>
          <w:szCs w:val="24"/>
        </w:rPr>
        <w:t>9-</w:t>
      </w:r>
      <w:r>
        <w:rPr>
          <w:rFonts w:hint="eastAsia" w:hAnsi="宋体"/>
          <w:b/>
          <w:bCs/>
          <w:color w:val="auto"/>
          <w:sz w:val="24"/>
          <w:szCs w:val="24"/>
          <w:lang w:val="en-US" w:eastAsia="zh-CN"/>
        </w:rPr>
        <w:t>8</w:t>
      </w:r>
      <w:r>
        <w:rPr>
          <w:rFonts w:hint="eastAsia" w:ascii="宋体" w:hAnsi="宋体" w:eastAsia="宋体" w:cs="宋体"/>
          <w:b/>
          <w:color w:val="auto"/>
          <w:sz w:val="24"/>
        </w:rPr>
        <w:t xml:space="preserve"> </w:t>
      </w:r>
      <w:r>
        <w:rPr>
          <w:rFonts w:hint="eastAsia" w:ascii="宋体" w:hAnsi="宋体" w:cs="宋体"/>
          <w:b/>
          <w:color w:val="auto"/>
          <w:sz w:val="24"/>
          <w:lang w:val="en-US" w:eastAsia="zh-CN"/>
        </w:rPr>
        <w:t xml:space="preserve"> </w:t>
      </w:r>
      <w:r>
        <w:rPr>
          <w:rFonts w:hint="eastAsia" w:hAnsi="宋体"/>
          <w:b/>
          <w:bCs/>
          <w:color w:val="auto"/>
          <w:sz w:val="24"/>
          <w:szCs w:val="24"/>
          <w:lang w:eastAsia="zh-CN"/>
        </w:rPr>
        <w:t>网站查询截图</w:t>
      </w:r>
    </w:p>
    <w:p w14:paraId="353694AD">
      <w:pPr>
        <w:tabs>
          <w:tab w:val="left" w:pos="5580"/>
        </w:tabs>
        <w:spacing w:before="120" w:line="360" w:lineRule="auto"/>
        <w:ind w:firstLine="480" w:firstLineChars="200"/>
        <w:rPr>
          <w:rFonts w:hint="eastAsia" w:ascii="宋体" w:hAnsi="宋体" w:eastAsia="宋体" w:cs="Times New Roman"/>
          <w:b w:val="0"/>
          <w:color w:val="auto"/>
          <w:sz w:val="24"/>
          <w:szCs w:val="24"/>
          <w:lang w:eastAsia="zh-CN"/>
        </w:rPr>
      </w:pPr>
      <w:r>
        <w:rPr>
          <w:rFonts w:hint="eastAsia" w:ascii="宋体" w:hAnsi="宋体" w:eastAsia="宋体" w:cs="Times New Roman"/>
          <w:b w:val="0"/>
          <w:color w:val="auto"/>
          <w:sz w:val="24"/>
          <w:szCs w:val="24"/>
        </w:rPr>
        <w:t>未被“信用中国”网站(www.creditchina.gov.cn)中列入失信被执行人</w:t>
      </w:r>
      <w:r>
        <w:rPr>
          <w:rFonts w:hint="eastAsia" w:ascii="宋体" w:hAnsi="宋体" w:eastAsia="宋体" w:cs="Times New Roman"/>
          <w:b w:val="0"/>
          <w:color w:val="auto"/>
          <w:sz w:val="24"/>
          <w:szCs w:val="24"/>
          <w:lang w:eastAsia="zh-CN"/>
        </w:rPr>
        <w:t>、</w:t>
      </w:r>
      <w:r>
        <w:rPr>
          <w:rFonts w:hint="eastAsia" w:ascii="宋体" w:hAnsi="宋体" w:eastAsia="宋体" w:cs="Times New Roman"/>
          <w:b w:val="0"/>
          <w:color w:val="auto"/>
          <w:sz w:val="24"/>
          <w:szCs w:val="24"/>
        </w:rPr>
        <w:t>重大税收违法</w:t>
      </w:r>
      <w:r>
        <w:rPr>
          <w:rFonts w:hint="eastAsia" w:ascii="宋体" w:hAnsi="宋体" w:eastAsia="宋体" w:cs="Times New Roman"/>
          <w:b w:val="0"/>
          <w:color w:val="auto"/>
          <w:sz w:val="24"/>
          <w:szCs w:val="24"/>
          <w:lang w:val="en-US" w:eastAsia="zh-CN"/>
        </w:rPr>
        <w:t>失信主体名单</w:t>
      </w:r>
      <w:r>
        <w:rPr>
          <w:rFonts w:hint="eastAsia" w:ascii="宋体" w:hAnsi="宋体" w:eastAsia="宋体" w:cs="Times New Roman"/>
          <w:b w:val="0"/>
          <w:color w:val="auto"/>
          <w:sz w:val="24"/>
          <w:szCs w:val="24"/>
        </w:rPr>
        <w:t>的供应商、未被中国政府采购网(www.ccgp.gov.cn)列入政府采购严重违法失信行为记录名单中被财政部门禁止参加政府采购活动的供应商</w:t>
      </w:r>
      <w:r>
        <w:rPr>
          <w:rFonts w:hint="eastAsia" w:ascii="宋体" w:hAnsi="宋体" w:eastAsia="宋体" w:cs="Times New Roman"/>
          <w:b w:val="0"/>
          <w:color w:val="auto"/>
          <w:sz w:val="24"/>
          <w:szCs w:val="24"/>
          <w:lang w:eastAsia="zh-CN"/>
        </w:rPr>
        <w:t>。</w:t>
      </w:r>
    </w:p>
    <w:p w14:paraId="0AB4A17A">
      <w:pPr>
        <w:tabs>
          <w:tab w:val="left" w:pos="5580"/>
        </w:tabs>
        <w:spacing w:before="120" w:line="360" w:lineRule="auto"/>
        <w:ind w:firstLine="480" w:firstLineChars="200"/>
        <w:rPr>
          <w:rStyle w:val="49"/>
          <w:rFonts w:hint="eastAsia" w:ascii="宋体" w:hAnsi="宋体" w:eastAsia="宋体" w:cs="宋体"/>
          <w:b w:val="0"/>
          <w:i w:val="0"/>
          <w:iCs/>
          <w:caps w:val="0"/>
          <w:color w:val="auto"/>
          <w:spacing w:val="8"/>
          <w:sz w:val="24"/>
          <w:szCs w:val="24"/>
          <w:u w:val="single"/>
          <w:shd w:val="clear" w:fill="FFFFFF"/>
        </w:rPr>
      </w:pPr>
      <w:r>
        <w:rPr>
          <w:rFonts w:hint="eastAsia" w:ascii="宋体" w:hAnsi="宋体" w:cs="Times New Roman"/>
          <w:b w:val="0"/>
          <w:color w:val="auto"/>
          <w:sz w:val="24"/>
          <w:szCs w:val="24"/>
          <w:lang w:eastAsia="zh-CN"/>
        </w:rPr>
        <w:t>（</w:t>
      </w:r>
      <w:r>
        <w:rPr>
          <w:rFonts w:hint="eastAsia" w:ascii="宋体" w:hAnsi="宋体" w:cs="Times New Roman"/>
          <w:b w:val="0"/>
          <w:color w:val="auto"/>
          <w:sz w:val="24"/>
          <w:szCs w:val="24"/>
          <w:lang w:val="en-US" w:eastAsia="zh-CN"/>
        </w:rPr>
        <w:t>最终评定结果以招标代理机构开启现场查询为准</w:t>
      </w:r>
      <w:r>
        <w:rPr>
          <w:rFonts w:hint="eastAsia" w:ascii="宋体" w:hAnsi="宋体" w:cs="Times New Roman"/>
          <w:b w:val="0"/>
          <w:color w:val="auto"/>
          <w:sz w:val="24"/>
          <w:szCs w:val="24"/>
          <w:lang w:eastAsia="zh-CN"/>
        </w:rPr>
        <w:t>）</w:t>
      </w:r>
    </w:p>
    <w:p w14:paraId="79595E56">
      <w:pPr>
        <w:jc w:val="center"/>
        <w:outlineLvl w:val="2"/>
        <w:rPr>
          <w:rFonts w:hint="eastAsia" w:hAnsi="宋体"/>
          <w:b/>
          <w:bCs/>
          <w:color w:val="auto"/>
          <w:sz w:val="24"/>
          <w:szCs w:val="24"/>
          <w:lang w:eastAsia="zh-CN"/>
        </w:rPr>
      </w:pPr>
    </w:p>
    <w:p w14:paraId="2BA281BC">
      <w:pPr>
        <w:autoSpaceDE w:val="0"/>
        <w:autoSpaceDN w:val="0"/>
        <w:adjustRightInd w:val="0"/>
        <w:spacing w:line="360" w:lineRule="auto"/>
        <w:ind w:firstLine="480" w:firstLineChars="200"/>
        <w:jc w:val="left"/>
        <w:rPr>
          <w:rFonts w:hint="eastAsia" w:ascii="宋体" w:hAnsi="宋体" w:cs="仿宋_GB2312"/>
          <w:color w:val="auto"/>
          <w:kern w:val="0"/>
          <w:sz w:val="24"/>
        </w:rPr>
      </w:pPr>
    </w:p>
    <w:p w14:paraId="0D12D040">
      <w:pPr>
        <w:autoSpaceDE w:val="0"/>
        <w:autoSpaceDN w:val="0"/>
        <w:adjustRightInd w:val="0"/>
        <w:spacing w:line="360" w:lineRule="auto"/>
        <w:ind w:firstLine="480" w:firstLineChars="200"/>
        <w:jc w:val="left"/>
        <w:rPr>
          <w:rFonts w:hint="eastAsia" w:ascii="宋体" w:hAnsi="宋体" w:cs="仿宋_GB2312"/>
          <w:color w:val="auto"/>
          <w:kern w:val="0"/>
          <w:sz w:val="24"/>
        </w:rPr>
      </w:pPr>
      <w:r>
        <w:rPr>
          <w:rFonts w:hint="eastAsia" w:ascii="宋体" w:hAnsi="宋体" w:cs="仿宋_GB2312"/>
          <w:color w:val="auto"/>
          <w:kern w:val="0"/>
          <w:sz w:val="24"/>
        </w:rPr>
        <w:br w:type="page"/>
      </w:r>
    </w:p>
    <w:p w14:paraId="0B083582">
      <w:pPr>
        <w:jc w:val="center"/>
        <w:outlineLvl w:val="2"/>
        <w:rPr>
          <w:rFonts w:hint="eastAsia" w:hAnsi="宋体" w:eastAsia="宋体"/>
          <w:b/>
          <w:bCs/>
          <w:color w:val="auto"/>
          <w:sz w:val="24"/>
          <w:szCs w:val="24"/>
          <w:lang w:eastAsia="zh-CN"/>
        </w:rPr>
      </w:pPr>
      <w:r>
        <w:rPr>
          <w:rFonts w:hint="eastAsia" w:hAnsi="宋体"/>
          <w:b/>
          <w:bCs/>
          <w:color w:val="auto"/>
          <w:sz w:val="24"/>
          <w:szCs w:val="24"/>
        </w:rPr>
        <w:t>9-</w:t>
      </w:r>
      <w:r>
        <w:rPr>
          <w:rFonts w:hint="eastAsia" w:hAnsi="宋体"/>
          <w:b/>
          <w:bCs/>
          <w:color w:val="auto"/>
          <w:sz w:val="24"/>
          <w:szCs w:val="24"/>
          <w:lang w:val="en-US" w:eastAsia="zh-CN"/>
        </w:rPr>
        <w:t>8</w:t>
      </w:r>
      <w:r>
        <w:rPr>
          <w:rFonts w:hint="eastAsia" w:ascii="宋体" w:hAnsi="宋体" w:eastAsia="宋体" w:cs="宋体"/>
          <w:b/>
          <w:color w:val="auto"/>
          <w:sz w:val="24"/>
        </w:rPr>
        <w:t xml:space="preserve"> </w:t>
      </w:r>
      <w:r>
        <w:rPr>
          <w:rFonts w:hint="eastAsia" w:ascii="宋体" w:hAnsi="宋体" w:cs="宋体"/>
          <w:b/>
          <w:color w:val="auto"/>
          <w:sz w:val="24"/>
          <w:lang w:val="en-US" w:eastAsia="zh-CN"/>
        </w:rPr>
        <w:t xml:space="preserve"> </w:t>
      </w:r>
      <w:r>
        <w:rPr>
          <w:rFonts w:hint="eastAsia" w:hAnsi="宋体"/>
          <w:b/>
          <w:bCs/>
          <w:color w:val="auto"/>
          <w:sz w:val="24"/>
          <w:szCs w:val="24"/>
          <w:lang w:eastAsia="zh-CN"/>
        </w:rPr>
        <w:t>供应商控股股东名称、控股公司的名称和存在管理、被管理关系的单位名称说明</w:t>
      </w:r>
    </w:p>
    <w:p w14:paraId="348804F1">
      <w:pPr>
        <w:rPr>
          <w:color w:val="auto"/>
        </w:rPr>
      </w:pPr>
    </w:p>
    <w:p w14:paraId="55B51474">
      <w:pPr>
        <w:rPr>
          <w:color w:val="auto"/>
        </w:rPr>
      </w:pPr>
    </w:p>
    <w:p w14:paraId="4C775EE4">
      <w:pPr>
        <w:rPr>
          <w:color w:val="auto"/>
        </w:rPr>
      </w:pPr>
    </w:p>
    <w:p w14:paraId="32134E0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与我方的法定代表人(单位负责人)为同一人的企业如下:</w:t>
      </w:r>
    </w:p>
    <w:p w14:paraId="07DC81B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1F7468A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我方的控股股东如下:</w:t>
      </w:r>
    </w:p>
    <w:p w14:paraId="01DAA26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1C62323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我方直接控股的企业如下:</w:t>
      </w:r>
    </w:p>
    <w:p w14:paraId="10A947A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397B0AB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与我方存在管理、被管理关系的单位名称如下:</w:t>
      </w:r>
    </w:p>
    <w:p w14:paraId="098CE07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42C211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7DBFE00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cs="宋体"/>
          <w:color w:val="auto"/>
          <w:sz w:val="24"/>
          <w:szCs w:val="24"/>
          <w:lang w:eastAsia="zh-CN"/>
        </w:rPr>
        <w:t>供应商</w:t>
      </w:r>
      <w:r>
        <w:rPr>
          <w:rFonts w:hint="eastAsia" w:ascii="宋体" w:hAnsi="宋体" w:eastAsia="宋体" w:cs="宋体"/>
          <w:color w:val="auto"/>
          <w:sz w:val="24"/>
          <w:szCs w:val="24"/>
        </w:rPr>
        <w:t xml:space="preserve">名称(公章): </w:t>
      </w:r>
    </w:p>
    <w:p w14:paraId="4B438E6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法定代表人或其委托代理人(签字或盖章):</w:t>
      </w:r>
    </w:p>
    <w:p w14:paraId="0360053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日    期:     年   月    日</w:t>
      </w:r>
    </w:p>
    <w:p w14:paraId="72B609C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4C5C59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C7F0A6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0DC92D5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240FCCE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1B414C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3956E3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6442CD2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363D79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60B1D59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8DA02B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102306B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159832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9FFFA4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0371CE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26E67B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46F8F69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sectPr>
          <w:headerReference r:id="rId9" w:type="default"/>
          <w:footerReference r:id="rId10" w:type="default"/>
          <w:pgSz w:w="11906" w:h="16838"/>
          <w:pgMar w:top="1440" w:right="1080" w:bottom="1440" w:left="1080" w:header="851" w:footer="992" w:gutter="0"/>
          <w:pgNumType w:fmt="decimal"/>
          <w:cols w:space="720" w:num="1"/>
          <w:docGrid w:linePitch="312" w:charSpace="0"/>
        </w:sectPr>
      </w:pPr>
    </w:p>
    <w:p w14:paraId="4A0C1592">
      <w:pPr>
        <w:widowControl/>
        <w:jc w:val="left"/>
        <w:rPr>
          <w:rFonts w:ascii="Cambria" w:hAnsi="Cambria"/>
          <w:b/>
          <w:bCs/>
          <w:color w:val="auto"/>
          <w:sz w:val="24"/>
        </w:rPr>
      </w:pPr>
    </w:p>
    <w:p w14:paraId="294FEADE">
      <w:pPr>
        <w:jc w:val="center"/>
        <w:outlineLvl w:val="1"/>
        <w:rPr>
          <w:rFonts w:hint="eastAsia" w:asciiTheme="minorEastAsia" w:hAnsiTheme="minorEastAsia" w:eastAsiaTheme="minorEastAsia" w:cstheme="minorEastAsia"/>
          <w:b/>
          <w:color w:val="auto"/>
          <w:sz w:val="24"/>
        </w:rPr>
      </w:pPr>
      <w:bookmarkStart w:id="290" w:name="_Toc30632"/>
      <w:bookmarkStart w:id="291" w:name="_Toc22643"/>
      <w:bookmarkStart w:id="292" w:name="_Toc3599"/>
      <w:r>
        <w:rPr>
          <w:rFonts w:hint="eastAsia" w:asciiTheme="minorEastAsia" w:hAnsiTheme="minorEastAsia" w:eastAsiaTheme="minorEastAsia" w:cstheme="minorEastAsia"/>
          <w:b/>
          <w:color w:val="auto"/>
          <w:sz w:val="24"/>
        </w:rPr>
        <w:t>附件10</w:t>
      </w:r>
      <w:r>
        <w:rPr>
          <w:rFonts w:hint="eastAsia" w:ascii="宋体" w:hAnsi="宋体" w:eastAsia="宋体" w:cs="宋体"/>
          <w:b/>
          <w:color w:val="auto"/>
          <w:sz w:val="24"/>
        </w:rPr>
        <w:t xml:space="preserve"> </w:t>
      </w:r>
      <w:r>
        <w:rPr>
          <w:rFonts w:hint="eastAsia" w:asciiTheme="minorEastAsia" w:hAnsiTheme="minorEastAsia" w:eastAsiaTheme="minorEastAsia" w:cstheme="minorEastAsia"/>
          <w:b/>
          <w:color w:val="auto"/>
          <w:sz w:val="24"/>
          <w:lang w:eastAsia="zh-CN"/>
        </w:rPr>
        <w:t>供应商</w:t>
      </w:r>
      <w:r>
        <w:rPr>
          <w:rFonts w:hint="eastAsia" w:asciiTheme="minorEastAsia" w:hAnsiTheme="minorEastAsia" w:eastAsiaTheme="minorEastAsia" w:cstheme="minorEastAsia"/>
          <w:b/>
          <w:color w:val="auto"/>
          <w:sz w:val="24"/>
        </w:rPr>
        <w:t>服务业绩一览表</w:t>
      </w:r>
      <w:bookmarkEnd w:id="290"/>
      <w:bookmarkEnd w:id="291"/>
      <w:bookmarkEnd w:id="292"/>
    </w:p>
    <w:p w14:paraId="1605637E">
      <w:pPr>
        <w:rPr>
          <w:color w:val="auto"/>
        </w:rPr>
      </w:pPr>
    </w:p>
    <w:tbl>
      <w:tblPr>
        <w:tblStyle w:val="43"/>
        <w:tblW w:w="12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2271"/>
        <w:gridCol w:w="2646"/>
        <w:gridCol w:w="1454"/>
        <w:gridCol w:w="2234"/>
        <w:gridCol w:w="2104"/>
        <w:gridCol w:w="1245"/>
      </w:tblGrid>
      <w:tr w14:paraId="2A659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008" w:type="dxa"/>
            <w:vAlign w:val="center"/>
          </w:tcPr>
          <w:p w14:paraId="1A966AFB">
            <w:pPr>
              <w:jc w:val="center"/>
              <w:rPr>
                <w:rFonts w:ascii="宋体" w:hAnsi="宋体"/>
                <w:color w:val="auto"/>
                <w:sz w:val="24"/>
              </w:rPr>
            </w:pPr>
            <w:r>
              <w:rPr>
                <w:rFonts w:hint="eastAsia" w:ascii="宋体" w:hAnsi="宋体"/>
                <w:color w:val="auto"/>
                <w:sz w:val="24"/>
              </w:rPr>
              <w:t>年份</w:t>
            </w:r>
          </w:p>
        </w:tc>
        <w:tc>
          <w:tcPr>
            <w:tcW w:w="2271" w:type="dxa"/>
            <w:vAlign w:val="center"/>
          </w:tcPr>
          <w:p w14:paraId="709F7F6F">
            <w:pPr>
              <w:jc w:val="center"/>
              <w:rPr>
                <w:rFonts w:ascii="宋体" w:hAnsi="宋体"/>
                <w:color w:val="auto"/>
                <w:sz w:val="24"/>
              </w:rPr>
            </w:pPr>
            <w:r>
              <w:rPr>
                <w:rFonts w:ascii="宋体" w:hAnsi="宋体"/>
                <w:color w:val="auto"/>
                <w:sz w:val="24"/>
              </w:rPr>
              <w:t>服务名称</w:t>
            </w:r>
          </w:p>
        </w:tc>
        <w:tc>
          <w:tcPr>
            <w:tcW w:w="2646" w:type="dxa"/>
            <w:vAlign w:val="center"/>
          </w:tcPr>
          <w:p w14:paraId="7A56CE82">
            <w:pPr>
              <w:jc w:val="center"/>
              <w:rPr>
                <w:rFonts w:ascii="宋体" w:hAnsi="宋体"/>
                <w:color w:val="auto"/>
                <w:sz w:val="24"/>
              </w:rPr>
            </w:pPr>
            <w:r>
              <w:rPr>
                <w:rFonts w:hint="eastAsia" w:ascii="宋体" w:hAnsi="宋体"/>
                <w:color w:val="auto"/>
                <w:sz w:val="24"/>
              </w:rPr>
              <w:t>服务内容</w:t>
            </w:r>
          </w:p>
        </w:tc>
        <w:tc>
          <w:tcPr>
            <w:tcW w:w="1454" w:type="dxa"/>
            <w:vAlign w:val="center"/>
          </w:tcPr>
          <w:p w14:paraId="6FF5367D">
            <w:pPr>
              <w:jc w:val="center"/>
              <w:rPr>
                <w:rFonts w:ascii="宋体" w:hAnsi="宋体"/>
                <w:color w:val="auto"/>
                <w:sz w:val="24"/>
              </w:rPr>
            </w:pPr>
            <w:r>
              <w:rPr>
                <w:rFonts w:hint="eastAsia" w:ascii="宋体" w:hAnsi="宋体"/>
                <w:color w:val="auto"/>
                <w:sz w:val="24"/>
              </w:rPr>
              <w:t>合同总价</w:t>
            </w:r>
          </w:p>
        </w:tc>
        <w:tc>
          <w:tcPr>
            <w:tcW w:w="2234" w:type="dxa"/>
            <w:vAlign w:val="center"/>
          </w:tcPr>
          <w:p w14:paraId="6DDE3002">
            <w:pPr>
              <w:jc w:val="center"/>
              <w:rPr>
                <w:rFonts w:ascii="宋体" w:hAnsi="宋体"/>
                <w:color w:val="auto"/>
                <w:sz w:val="24"/>
              </w:rPr>
            </w:pPr>
            <w:r>
              <w:rPr>
                <w:rFonts w:hint="eastAsia" w:ascii="宋体" w:hAnsi="宋体"/>
                <w:color w:val="auto"/>
                <w:sz w:val="24"/>
              </w:rPr>
              <w:t>使用单位名称</w:t>
            </w:r>
          </w:p>
        </w:tc>
        <w:tc>
          <w:tcPr>
            <w:tcW w:w="2104" w:type="dxa"/>
            <w:vAlign w:val="center"/>
          </w:tcPr>
          <w:p w14:paraId="318B1B6D">
            <w:pPr>
              <w:jc w:val="center"/>
              <w:rPr>
                <w:rFonts w:ascii="宋体" w:hAnsi="宋体"/>
                <w:color w:val="auto"/>
                <w:sz w:val="24"/>
              </w:rPr>
            </w:pPr>
            <w:r>
              <w:rPr>
                <w:rFonts w:hint="eastAsia" w:ascii="宋体" w:hAnsi="宋体"/>
                <w:color w:val="auto"/>
                <w:sz w:val="24"/>
              </w:rPr>
              <w:t>使用单位联系人及电话</w:t>
            </w:r>
          </w:p>
        </w:tc>
        <w:tc>
          <w:tcPr>
            <w:tcW w:w="1245" w:type="dxa"/>
            <w:vAlign w:val="center"/>
          </w:tcPr>
          <w:p w14:paraId="70852398">
            <w:pPr>
              <w:jc w:val="center"/>
              <w:rPr>
                <w:rFonts w:ascii="宋体" w:hAnsi="宋体"/>
                <w:color w:val="auto"/>
                <w:sz w:val="24"/>
              </w:rPr>
            </w:pPr>
            <w:r>
              <w:rPr>
                <w:rFonts w:ascii="宋体" w:hAnsi="宋体"/>
                <w:color w:val="auto"/>
                <w:sz w:val="24"/>
              </w:rPr>
              <w:t>备注</w:t>
            </w:r>
          </w:p>
        </w:tc>
      </w:tr>
      <w:tr w14:paraId="2F15D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dxa"/>
            <w:vAlign w:val="center"/>
          </w:tcPr>
          <w:p w14:paraId="688ABB44">
            <w:pPr>
              <w:jc w:val="center"/>
              <w:rPr>
                <w:rFonts w:ascii="宋体" w:hAnsi="宋体"/>
                <w:color w:val="auto"/>
                <w:sz w:val="24"/>
              </w:rPr>
            </w:pPr>
            <w:r>
              <w:rPr>
                <w:rFonts w:hint="eastAsia" w:ascii="宋体" w:hAnsi="宋体"/>
                <w:color w:val="auto"/>
                <w:sz w:val="24"/>
              </w:rPr>
              <w:t>20  年</w:t>
            </w:r>
          </w:p>
        </w:tc>
        <w:tc>
          <w:tcPr>
            <w:tcW w:w="2271" w:type="dxa"/>
            <w:vAlign w:val="center"/>
          </w:tcPr>
          <w:p w14:paraId="17FFBCC6">
            <w:pPr>
              <w:jc w:val="center"/>
              <w:rPr>
                <w:rFonts w:ascii="宋体" w:hAnsi="宋体"/>
                <w:color w:val="auto"/>
                <w:sz w:val="24"/>
              </w:rPr>
            </w:pPr>
          </w:p>
        </w:tc>
        <w:tc>
          <w:tcPr>
            <w:tcW w:w="2646" w:type="dxa"/>
            <w:vAlign w:val="center"/>
          </w:tcPr>
          <w:p w14:paraId="0D229436">
            <w:pPr>
              <w:jc w:val="center"/>
              <w:rPr>
                <w:rFonts w:ascii="宋体" w:hAnsi="宋体"/>
                <w:color w:val="auto"/>
                <w:sz w:val="24"/>
              </w:rPr>
            </w:pPr>
          </w:p>
        </w:tc>
        <w:tc>
          <w:tcPr>
            <w:tcW w:w="1454" w:type="dxa"/>
            <w:vAlign w:val="center"/>
          </w:tcPr>
          <w:p w14:paraId="69D64595">
            <w:pPr>
              <w:jc w:val="center"/>
              <w:rPr>
                <w:rFonts w:ascii="宋体" w:hAnsi="宋体"/>
                <w:color w:val="auto"/>
                <w:sz w:val="24"/>
              </w:rPr>
            </w:pPr>
          </w:p>
        </w:tc>
        <w:tc>
          <w:tcPr>
            <w:tcW w:w="2234" w:type="dxa"/>
            <w:vAlign w:val="center"/>
          </w:tcPr>
          <w:p w14:paraId="751304DA">
            <w:pPr>
              <w:jc w:val="center"/>
              <w:rPr>
                <w:rFonts w:ascii="宋体" w:hAnsi="宋体"/>
                <w:color w:val="auto"/>
                <w:sz w:val="24"/>
              </w:rPr>
            </w:pPr>
          </w:p>
        </w:tc>
        <w:tc>
          <w:tcPr>
            <w:tcW w:w="2104" w:type="dxa"/>
            <w:vAlign w:val="center"/>
          </w:tcPr>
          <w:p w14:paraId="0123E978">
            <w:pPr>
              <w:jc w:val="center"/>
              <w:rPr>
                <w:rFonts w:ascii="宋体" w:hAnsi="宋体"/>
                <w:color w:val="auto"/>
                <w:sz w:val="24"/>
              </w:rPr>
            </w:pPr>
          </w:p>
        </w:tc>
        <w:tc>
          <w:tcPr>
            <w:tcW w:w="1245" w:type="dxa"/>
            <w:vAlign w:val="center"/>
          </w:tcPr>
          <w:p w14:paraId="232401AF">
            <w:pPr>
              <w:jc w:val="center"/>
              <w:rPr>
                <w:rFonts w:ascii="宋体" w:hAnsi="宋体"/>
                <w:color w:val="auto"/>
                <w:sz w:val="24"/>
              </w:rPr>
            </w:pPr>
          </w:p>
        </w:tc>
      </w:tr>
      <w:tr w14:paraId="0DFAA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dxa"/>
            <w:vAlign w:val="center"/>
          </w:tcPr>
          <w:p w14:paraId="0E8AA649">
            <w:pPr>
              <w:jc w:val="center"/>
              <w:rPr>
                <w:rFonts w:ascii="宋体" w:hAnsi="宋体"/>
                <w:color w:val="auto"/>
                <w:sz w:val="24"/>
              </w:rPr>
            </w:pPr>
          </w:p>
        </w:tc>
        <w:tc>
          <w:tcPr>
            <w:tcW w:w="2271" w:type="dxa"/>
            <w:vAlign w:val="center"/>
          </w:tcPr>
          <w:p w14:paraId="3AD3D3DC">
            <w:pPr>
              <w:jc w:val="center"/>
              <w:rPr>
                <w:rFonts w:ascii="宋体" w:hAnsi="宋体"/>
                <w:color w:val="auto"/>
                <w:sz w:val="24"/>
              </w:rPr>
            </w:pPr>
          </w:p>
        </w:tc>
        <w:tc>
          <w:tcPr>
            <w:tcW w:w="2646" w:type="dxa"/>
            <w:vAlign w:val="center"/>
          </w:tcPr>
          <w:p w14:paraId="032A9522">
            <w:pPr>
              <w:jc w:val="center"/>
              <w:rPr>
                <w:rFonts w:ascii="宋体" w:hAnsi="宋体"/>
                <w:color w:val="auto"/>
                <w:sz w:val="24"/>
              </w:rPr>
            </w:pPr>
          </w:p>
        </w:tc>
        <w:tc>
          <w:tcPr>
            <w:tcW w:w="1454" w:type="dxa"/>
            <w:vAlign w:val="center"/>
          </w:tcPr>
          <w:p w14:paraId="4FE25732">
            <w:pPr>
              <w:jc w:val="center"/>
              <w:rPr>
                <w:rFonts w:ascii="宋体" w:hAnsi="宋体"/>
                <w:color w:val="auto"/>
                <w:sz w:val="24"/>
              </w:rPr>
            </w:pPr>
          </w:p>
        </w:tc>
        <w:tc>
          <w:tcPr>
            <w:tcW w:w="2234" w:type="dxa"/>
            <w:vAlign w:val="center"/>
          </w:tcPr>
          <w:p w14:paraId="17D3A06E">
            <w:pPr>
              <w:jc w:val="center"/>
              <w:rPr>
                <w:rFonts w:ascii="宋体" w:hAnsi="宋体"/>
                <w:color w:val="auto"/>
                <w:sz w:val="24"/>
              </w:rPr>
            </w:pPr>
          </w:p>
        </w:tc>
        <w:tc>
          <w:tcPr>
            <w:tcW w:w="2104" w:type="dxa"/>
            <w:vAlign w:val="center"/>
          </w:tcPr>
          <w:p w14:paraId="696C1D84">
            <w:pPr>
              <w:jc w:val="center"/>
              <w:rPr>
                <w:rFonts w:ascii="宋体" w:hAnsi="宋体"/>
                <w:color w:val="auto"/>
                <w:sz w:val="24"/>
              </w:rPr>
            </w:pPr>
          </w:p>
        </w:tc>
        <w:tc>
          <w:tcPr>
            <w:tcW w:w="1245" w:type="dxa"/>
            <w:vAlign w:val="center"/>
          </w:tcPr>
          <w:p w14:paraId="768BF99E">
            <w:pPr>
              <w:jc w:val="center"/>
              <w:rPr>
                <w:rFonts w:ascii="宋体" w:hAnsi="宋体"/>
                <w:color w:val="auto"/>
                <w:sz w:val="24"/>
              </w:rPr>
            </w:pPr>
          </w:p>
        </w:tc>
      </w:tr>
      <w:tr w14:paraId="06389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dxa"/>
            <w:vAlign w:val="center"/>
          </w:tcPr>
          <w:p w14:paraId="4A540CA2">
            <w:pPr>
              <w:jc w:val="center"/>
              <w:rPr>
                <w:rFonts w:ascii="宋体" w:hAnsi="宋体"/>
                <w:color w:val="auto"/>
                <w:sz w:val="24"/>
              </w:rPr>
            </w:pPr>
            <w:r>
              <w:rPr>
                <w:rFonts w:hint="eastAsia" w:ascii="宋体" w:hAnsi="宋体"/>
                <w:color w:val="auto"/>
                <w:sz w:val="24"/>
              </w:rPr>
              <w:t>20  年</w:t>
            </w:r>
          </w:p>
        </w:tc>
        <w:tc>
          <w:tcPr>
            <w:tcW w:w="2271" w:type="dxa"/>
            <w:vAlign w:val="center"/>
          </w:tcPr>
          <w:p w14:paraId="7B02E7A8">
            <w:pPr>
              <w:jc w:val="center"/>
              <w:rPr>
                <w:rFonts w:ascii="宋体" w:hAnsi="宋体"/>
                <w:color w:val="auto"/>
                <w:sz w:val="24"/>
              </w:rPr>
            </w:pPr>
          </w:p>
        </w:tc>
        <w:tc>
          <w:tcPr>
            <w:tcW w:w="2646" w:type="dxa"/>
            <w:vAlign w:val="center"/>
          </w:tcPr>
          <w:p w14:paraId="0CA7ACCA">
            <w:pPr>
              <w:jc w:val="center"/>
              <w:rPr>
                <w:rFonts w:ascii="宋体" w:hAnsi="宋体"/>
                <w:color w:val="auto"/>
                <w:sz w:val="24"/>
              </w:rPr>
            </w:pPr>
          </w:p>
        </w:tc>
        <w:tc>
          <w:tcPr>
            <w:tcW w:w="1454" w:type="dxa"/>
            <w:vAlign w:val="center"/>
          </w:tcPr>
          <w:p w14:paraId="08493DDB">
            <w:pPr>
              <w:jc w:val="center"/>
              <w:rPr>
                <w:rFonts w:ascii="宋体" w:hAnsi="宋体"/>
                <w:color w:val="auto"/>
                <w:sz w:val="24"/>
              </w:rPr>
            </w:pPr>
          </w:p>
        </w:tc>
        <w:tc>
          <w:tcPr>
            <w:tcW w:w="2234" w:type="dxa"/>
            <w:vAlign w:val="center"/>
          </w:tcPr>
          <w:p w14:paraId="3FB91E8E">
            <w:pPr>
              <w:jc w:val="center"/>
              <w:rPr>
                <w:rFonts w:ascii="宋体" w:hAnsi="宋体"/>
                <w:color w:val="auto"/>
                <w:sz w:val="24"/>
              </w:rPr>
            </w:pPr>
          </w:p>
        </w:tc>
        <w:tc>
          <w:tcPr>
            <w:tcW w:w="2104" w:type="dxa"/>
            <w:vAlign w:val="center"/>
          </w:tcPr>
          <w:p w14:paraId="047F7DE8">
            <w:pPr>
              <w:jc w:val="center"/>
              <w:rPr>
                <w:rFonts w:ascii="宋体" w:hAnsi="宋体"/>
                <w:color w:val="auto"/>
                <w:sz w:val="24"/>
              </w:rPr>
            </w:pPr>
          </w:p>
        </w:tc>
        <w:tc>
          <w:tcPr>
            <w:tcW w:w="1245" w:type="dxa"/>
            <w:vAlign w:val="center"/>
          </w:tcPr>
          <w:p w14:paraId="5A199127">
            <w:pPr>
              <w:jc w:val="center"/>
              <w:rPr>
                <w:rFonts w:ascii="宋体" w:hAnsi="宋体"/>
                <w:color w:val="auto"/>
                <w:sz w:val="24"/>
              </w:rPr>
            </w:pPr>
          </w:p>
        </w:tc>
      </w:tr>
      <w:tr w14:paraId="18BEC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dxa"/>
            <w:vAlign w:val="center"/>
          </w:tcPr>
          <w:p w14:paraId="64ABD223">
            <w:pPr>
              <w:jc w:val="center"/>
              <w:rPr>
                <w:rFonts w:ascii="宋体" w:hAnsi="宋体"/>
                <w:color w:val="auto"/>
                <w:sz w:val="24"/>
              </w:rPr>
            </w:pPr>
          </w:p>
        </w:tc>
        <w:tc>
          <w:tcPr>
            <w:tcW w:w="2271" w:type="dxa"/>
            <w:vAlign w:val="center"/>
          </w:tcPr>
          <w:p w14:paraId="7900B0F5">
            <w:pPr>
              <w:jc w:val="center"/>
              <w:rPr>
                <w:rFonts w:ascii="宋体" w:hAnsi="宋体"/>
                <w:color w:val="auto"/>
                <w:sz w:val="24"/>
              </w:rPr>
            </w:pPr>
          </w:p>
        </w:tc>
        <w:tc>
          <w:tcPr>
            <w:tcW w:w="2646" w:type="dxa"/>
            <w:vAlign w:val="center"/>
          </w:tcPr>
          <w:p w14:paraId="6BE70EAD">
            <w:pPr>
              <w:jc w:val="center"/>
              <w:rPr>
                <w:rFonts w:ascii="宋体" w:hAnsi="宋体"/>
                <w:color w:val="auto"/>
                <w:sz w:val="24"/>
              </w:rPr>
            </w:pPr>
          </w:p>
        </w:tc>
        <w:tc>
          <w:tcPr>
            <w:tcW w:w="1454" w:type="dxa"/>
            <w:vAlign w:val="center"/>
          </w:tcPr>
          <w:p w14:paraId="123BC642">
            <w:pPr>
              <w:jc w:val="center"/>
              <w:rPr>
                <w:rFonts w:ascii="宋体" w:hAnsi="宋体"/>
                <w:color w:val="auto"/>
                <w:sz w:val="24"/>
              </w:rPr>
            </w:pPr>
          </w:p>
        </w:tc>
        <w:tc>
          <w:tcPr>
            <w:tcW w:w="2234" w:type="dxa"/>
            <w:vAlign w:val="center"/>
          </w:tcPr>
          <w:p w14:paraId="0D6C875B">
            <w:pPr>
              <w:jc w:val="center"/>
              <w:rPr>
                <w:rFonts w:ascii="宋体" w:hAnsi="宋体"/>
                <w:color w:val="auto"/>
                <w:sz w:val="24"/>
              </w:rPr>
            </w:pPr>
          </w:p>
        </w:tc>
        <w:tc>
          <w:tcPr>
            <w:tcW w:w="2104" w:type="dxa"/>
            <w:vAlign w:val="center"/>
          </w:tcPr>
          <w:p w14:paraId="64CB0411">
            <w:pPr>
              <w:jc w:val="center"/>
              <w:rPr>
                <w:rFonts w:ascii="宋体" w:hAnsi="宋体"/>
                <w:color w:val="auto"/>
                <w:sz w:val="24"/>
              </w:rPr>
            </w:pPr>
          </w:p>
        </w:tc>
        <w:tc>
          <w:tcPr>
            <w:tcW w:w="1245" w:type="dxa"/>
            <w:vAlign w:val="center"/>
          </w:tcPr>
          <w:p w14:paraId="2018427B">
            <w:pPr>
              <w:jc w:val="center"/>
              <w:rPr>
                <w:rFonts w:ascii="宋体" w:hAnsi="宋体"/>
                <w:color w:val="auto"/>
                <w:sz w:val="24"/>
              </w:rPr>
            </w:pPr>
          </w:p>
        </w:tc>
      </w:tr>
      <w:tr w14:paraId="42F58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dxa"/>
            <w:vAlign w:val="center"/>
          </w:tcPr>
          <w:p w14:paraId="33FD2795">
            <w:pPr>
              <w:jc w:val="center"/>
              <w:rPr>
                <w:rFonts w:ascii="宋体" w:hAnsi="宋体"/>
                <w:color w:val="auto"/>
                <w:sz w:val="24"/>
              </w:rPr>
            </w:pPr>
            <w:r>
              <w:rPr>
                <w:rFonts w:hint="eastAsia" w:ascii="宋体" w:hAnsi="宋体"/>
                <w:color w:val="auto"/>
                <w:sz w:val="24"/>
              </w:rPr>
              <w:t>20  年</w:t>
            </w:r>
          </w:p>
        </w:tc>
        <w:tc>
          <w:tcPr>
            <w:tcW w:w="2271" w:type="dxa"/>
            <w:vAlign w:val="center"/>
          </w:tcPr>
          <w:p w14:paraId="7626ECB2">
            <w:pPr>
              <w:jc w:val="center"/>
              <w:rPr>
                <w:rFonts w:ascii="宋体" w:hAnsi="宋体"/>
                <w:color w:val="auto"/>
                <w:sz w:val="24"/>
              </w:rPr>
            </w:pPr>
          </w:p>
        </w:tc>
        <w:tc>
          <w:tcPr>
            <w:tcW w:w="2646" w:type="dxa"/>
            <w:vAlign w:val="center"/>
          </w:tcPr>
          <w:p w14:paraId="646A9893">
            <w:pPr>
              <w:jc w:val="center"/>
              <w:rPr>
                <w:rFonts w:ascii="宋体" w:hAnsi="宋体"/>
                <w:color w:val="auto"/>
                <w:sz w:val="24"/>
              </w:rPr>
            </w:pPr>
          </w:p>
        </w:tc>
        <w:tc>
          <w:tcPr>
            <w:tcW w:w="1454" w:type="dxa"/>
            <w:vAlign w:val="center"/>
          </w:tcPr>
          <w:p w14:paraId="12C9438D">
            <w:pPr>
              <w:jc w:val="center"/>
              <w:rPr>
                <w:rFonts w:ascii="宋体" w:hAnsi="宋体"/>
                <w:color w:val="auto"/>
                <w:sz w:val="24"/>
              </w:rPr>
            </w:pPr>
          </w:p>
        </w:tc>
        <w:tc>
          <w:tcPr>
            <w:tcW w:w="2234" w:type="dxa"/>
            <w:vAlign w:val="center"/>
          </w:tcPr>
          <w:p w14:paraId="33E49EFE">
            <w:pPr>
              <w:jc w:val="center"/>
              <w:rPr>
                <w:rFonts w:ascii="宋体" w:hAnsi="宋体"/>
                <w:color w:val="auto"/>
                <w:sz w:val="24"/>
              </w:rPr>
            </w:pPr>
          </w:p>
        </w:tc>
        <w:tc>
          <w:tcPr>
            <w:tcW w:w="2104" w:type="dxa"/>
            <w:vAlign w:val="center"/>
          </w:tcPr>
          <w:p w14:paraId="057F53FE">
            <w:pPr>
              <w:jc w:val="center"/>
              <w:rPr>
                <w:rFonts w:ascii="宋体" w:hAnsi="宋体"/>
                <w:color w:val="auto"/>
                <w:sz w:val="24"/>
              </w:rPr>
            </w:pPr>
          </w:p>
        </w:tc>
        <w:tc>
          <w:tcPr>
            <w:tcW w:w="1245" w:type="dxa"/>
            <w:vAlign w:val="center"/>
          </w:tcPr>
          <w:p w14:paraId="2745D9AB">
            <w:pPr>
              <w:jc w:val="center"/>
              <w:rPr>
                <w:rFonts w:ascii="宋体" w:hAnsi="宋体"/>
                <w:color w:val="auto"/>
                <w:sz w:val="24"/>
              </w:rPr>
            </w:pPr>
          </w:p>
        </w:tc>
      </w:tr>
      <w:tr w14:paraId="43A6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dxa"/>
            <w:vAlign w:val="center"/>
          </w:tcPr>
          <w:p w14:paraId="78946BF9">
            <w:pPr>
              <w:jc w:val="center"/>
              <w:rPr>
                <w:rFonts w:ascii="宋体" w:hAnsi="宋体"/>
                <w:color w:val="auto"/>
                <w:sz w:val="24"/>
              </w:rPr>
            </w:pPr>
          </w:p>
        </w:tc>
        <w:tc>
          <w:tcPr>
            <w:tcW w:w="2271" w:type="dxa"/>
            <w:vAlign w:val="center"/>
          </w:tcPr>
          <w:p w14:paraId="2EC0E570">
            <w:pPr>
              <w:jc w:val="center"/>
              <w:rPr>
                <w:rFonts w:ascii="宋体" w:hAnsi="宋体"/>
                <w:color w:val="auto"/>
                <w:sz w:val="24"/>
              </w:rPr>
            </w:pPr>
          </w:p>
        </w:tc>
        <w:tc>
          <w:tcPr>
            <w:tcW w:w="2646" w:type="dxa"/>
            <w:vAlign w:val="center"/>
          </w:tcPr>
          <w:p w14:paraId="4E200DE3">
            <w:pPr>
              <w:jc w:val="center"/>
              <w:rPr>
                <w:rFonts w:ascii="宋体" w:hAnsi="宋体"/>
                <w:color w:val="auto"/>
                <w:sz w:val="24"/>
              </w:rPr>
            </w:pPr>
          </w:p>
        </w:tc>
        <w:tc>
          <w:tcPr>
            <w:tcW w:w="1454" w:type="dxa"/>
            <w:vAlign w:val="center"/>
          </w:tcPr>
          <w:p w14:paraId="2FFEAF27">
            <w:pPr>
              <w:jc w:val="center"/>
              <w:rPr>
                <w:rFonts w:ascii="宋体" w:hAnsi="宋体"/>
                <w:color w:val="auto"/>
                <w:sz w:val="24"/>
              </w:rPr>
            </w:pPr>
          </w:p>
        </w:tc>
        <w:tc>
          <w:tcPr>
            <w:tcW w:w="2234" w:type="dxa"/>
            <w:vAlign w:val="center"/>
          </w:tcPr>
          <w:p w14:paraId="4890A8A0">
            <w:pPr>
              <w:jc w:val="center"/>
              <w:rPr>
                <w:rFonts w:ascii="宋体" w:hAnsi="宋体"/>
                <w:color w:val="auto"/>
                <w:sz w:val="24"/>
              </w:rPr>
            </w:pPr>
          </w:p>
        </w:tc>
        <w:tc>
          <w:tcPr>
            <w:tcW w:w="2104" w:type="dxa"/>
            <w:vAlign w:val="center"/>
          </w:tcPr>
          <w:p w14:paraId="184BE05E">
            <w:pPr>
              <w:jc w:val="center"/>
              <w:rPr>
                <w:rFonts w:ascii="宋体" w:hAnsi="宋体"/>
                <w:color w:val="auto"/>
                <w:sz w:val="24"/>
              </w:rPr>
            </w:pPr>
          </w:p>
        </w:tc>
        <w:tc>
          <w:tcPr>
            <w:tcW w:w="1245" w:type="dxa"/>
            <w:vAlign w:val="center"/>
          </w:tcPr>
          <w:p w14:paraId="50E69F97">
            <w:pPr>
              <w:jc w:val="center"/>
              <w:rPr>
                <w:rFonts w:ascii="宋体" w:hAnsi="宋体"/>
                <w:color w:val="auto"/>
                <w:sz w:val="24"/>
              </w:rPr>
            </w:pPr>
          </w:p>
        </w:tc>
      </w:tr>
    </w:tbl>
    <w:p w14:paraId="34F91CA9">
      <w:pPr>
        <w:autoSpaceDE w:val="0"/>
        <w:autoSpaceDN w:val="0"/>
        <w:ind w:left="700" w:hanging="700" w:hangingChars="332"/>
        <w:rPr>
          <w:rFonts w:hAnsi="宋体"/>
          <w:b/>
          <w:color w:val="auto"/>
          <w:szCs w:val="21"/>
        </w:rPr>
      </w:pPr>
    </w:p>
    <w:p w14:paraId="367BC639">
      <w:pPr>
        <w:autoSpaceDE w:val="0"/>
        <w:autoSpaceDN w:val="0"/>
        <w:ind w:left="700" w:hanging="800" w:hangingChars="332"/>
        <w:rPr>
          <w:rFonts w:hint="eastAsia" w:ascii="宋体" w:hAnsi="宋体" w:eastAsia="宋体" w:cs="宋体"/>
          <w:color w:val="auto"/>
          <w:sz w:val="24"/>
          <w:szCs w:val="24"/>
        </w:rPr>
      </w:pPr>
      <w:r>
        <w:rPr>
          <w:rFonts w:hint="eastAsia" w:ascii="宋体" w:hAnsi="宋体" w:eastAsia="宋体" w:cs="宋体"/>
          <w:b/>
          <w:color w:val="auto"/>
          <w:sz w:val="24"/>
          <w:szCs w:val="24"/>
        </w:rPr>
        <w:t>注</w:t>
      </w:r>
      <w:r>
        <w:rPr>
          <w:rFonts w:hint="eastAsia" w:ascii="宋体" w:hAnsi="宋体" w:eastAsia="宋体" w:cs="宋体"/>
          <w:b/>
          <w:color w:val="auto"/>
          <w:sz w:val="24"/>
          <w:szCs w:val="24"/>
          <w:lang w:eastAsia="zh-CN"/>
        </w:rPr>
        <w:t>:</w:t>
      </w:r>
      <w:r>
        <w:rPr>
          <w:rFonts w:hint="eastAsia" w:ascii="宋体" w:hAnsi="宋体" w:cs="宋体"/>
          <w:color w:val="auto"/>
          <w:sz w:val="24"/>
          <w:szCs w:val="24"/>
          <w:lang w:eastAsia="zh-CN"/>
        </w:rPr>
        <w:t>供应商</w:t>
      </w:r>
      <w:r>
        <w:rPr>
          <w:rFonts w:hint="eastAsia" w:ascii="宋体" w:hAnsi="宋体" w:eastAsia="宋体" w:cs="宋体"/>
          <w:color w:val="auto"/>
          <w:sz w:val="24"/>
          <w:szCs w:val="24"/>
        </w:rPr>
        <w:t>须提供相应的证明文件</w:t>
      </w:r>
      <w:r>
        <w:rPr>
          <w:rFonts w:hint="eastAsia" w:ascii="宋体" w:hAnsi="宋体" w:eastAsia="宋体" w:cs="宋体"/>
          <w:color w:val="auto"/>
          <w:sz w:val="24"/>
          <w:szCs w:val="24"/>
          <w:lang w:eastAsia="zh-CN"/>
        </w:rPr>
        <w:t>(</w:t>
      </w:r>
      <w:r>
        <w:rPr>
          <w:rFonts w:hint="eastAsia" w:ascii="宋体" w:hAnsi="宋体" w:eastAsia="宋体" w:cs="宋体"/>
          <w:i w:val="0"/>
          <w:iCs w:val="0"/>
          <w:color w:val="auto"/>
          <w:kern w:val="0"/>
          <w:sz w:val="24"/>
          <w:szCs w:val="24"/>
          <w:highlight w:val="none"/>
          <w:u w:val="none"/>
          <w:lang w:val="en-US" w:eastAsia="zh-CN" w:bidi="ar"/>
        </w:rPr>
        <w:t>须提供</w:t>
      </w:r>
      <w:r>
        <w:rPr>
          <w:rFonts w:hint="eastAsia" w:ascii="宋体" w:hAnsi="宋体" w:cs="宋体"/>
          <w:i w:val="0"/>
          <w:iCs w:val="0"/>
          <w:color w:val="auto"/>
          <w:kern w:val="0"/>
          <w:sz w:val="24"/>
          <w:szCs w:val="24"/>
          <w:highlight w:val="none"/>
          <w:u w:val="none"/>
          <w:lang w:val="en-US" w:eastAsia="zh-CN" w:bidi="ar"/>
        </w:rPr>
        <w:t>中标（成交）通知书或</w:t>
      </w:r>
      <w:r>
        <w:rPr>
          <w:rFonts w:hint="eastAsia" w:ascii="宋体" w:hAnsi="宋体" w:eastAsia="宋体" w:cs="宋体"/>
          <w:i w:val="0"/>
          <w:iCs w:val="0"/>
          <w:color w:val="auto"/>
          <w:kern w:val="0"/>
          <w:sz w:val="24"/>
          <w:szCs w:val="24"/>
          <w:highlight w:val="none"/>
          <w:u w:val="none"/>
          <w:lang w:val="en-US" w:eastAsia="zh-CN" w:bidi="ar"/>
        </w:rPr>
        <w:t>合同复印件加盖公章</w:t>
      </w:r>
      <w:r>
        <w:rPr>
          <w:rFonts w:hint="eastAsia" w:ascii="宋体" w:hAnsi="宋体" w:eastAsia="宋体" w:cs="宋体"/>
          <w:color w:val="auto"/>
          <w:sz w:val="24"/>
          <w:szCs w:val="24"/>
          <w:lang w:eastAsia="zh-CN"/>
        </w:rPr>
        <w:t>)</w:t>
      </w:r>
      <w:r>
        <w:rPr>
          <w:rFonts w:hint="eastAsia" w:ascii="宋体" w:hAnsi="宋体" w:cs="宋体"/>
          <w:color w:val="auto"/>
          <w:sz w:val="24"/>
          <w:szCs w:val="24"/>
          <w:lang w:eastAsia="zh-CN"/>
        </w:rPr>
        <w:t>。</w:t>
      </w:r>
    </w:p>
    <w:p w14:paraId="1F81D2D4">
      <w:pPr>
        <w:pStyle w:val="35"/>
        <w:spacing w:before="120"/>
        <w:rPr>
          <w:rFonts w:hAnsi="宋体"/>
          <w:color w:val="auto"/>
          <w:sz w:val="21"/>
          <w:szCs w:val="21"/>
        </w:rPr>
      </w:pPr>
    </w:p>
    <w:p w14:paraId="570D5CBD">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rPr>
      </w:pPr>
      <w:r>
        <w:rPr>
          <w:rFonts w:hint="eastAsia" w:ascii="宋体" w:hAnsi="宋体" w:cs="宋体"/>
          <w:color w:val="auto"/>
          <w:sz w:val="24"/>
          <w:szCs w:val="24"/>
          <w:lang w:eastAsia="zh-CN"/>
        </w:rPr>
        <w:t>供应商</w:t>
      </w:r>
      <w:r>
        <w:rPr>
          <w:rFonts w:hint="eastAsia" w:ascii="宋体" w:hAnsi="宋体" w:eastAsia="宋体" w:cs="宋体"/>
          <w:color w:val="auto"/>
          <w:sz w:val="24"/>
          <w:szCs w:val="24"/>
        </w:rPr>
        <w:t xml:space="preserve">名称(公章): </w:t>
      </w:r>
    </w:p>
    <w:p w14:paraId="5640D74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法定代表人或其委托代理人(签字或盖章):</w:t>
      </w:r>
    </w:p>
    <w:p w14:paraId="4070ADE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color w:val="auto"/>
          <w:lang w:val="en-US" w:eastAsia="zh-CN"/>
        </w:rPr>
      </w:pPr>
      <w:r>
        <w:rPr>
          <w:rFonts w:hint="eastAsia"/>
          <w:color w:val="auto"/>
          <w:lang w:eastAsia="zh-CN"/>
        </w:rPr>
        <w:t>日期：</w:t>
      </w:r>
      <w:r>
        <w:rPr>
          <w:rFonts w:hint="eastAsia"/>
          <w:color w:val="auto"/>
          <w:lang w:val="en-US" w:eastAsia="zh-CN"/>
        </w:rPr>
        <w:t xml:space="preserve">  年  月  日</w:t>
      </w:r>
    </w:p>
    <w:p w14:paraId="5D2D59F5">
      <w:pPr>
        <w:spacing w:beforeLines="50"/>
        <w:ind w:left="-84" w:leftChars="-40" w:firstLine="525" w:firstLineChars="250"/>
        <w:rPr>
          <w:color w:val="auto"/>
        </w:rPr>
        <w:sectPr>
          <w:headerReference r:id="rId11" w:type="default"/>
          <w:footerReference r:id="rId12" w:type="default"/>
          <w:pgSz w:w="16838" w:h="11906" w:orient="landscape"/>
          <w:pgMar w:top="1440" w:right="1080" w:bottom="1440" w:left="1080" w:header="851" w:footer="992" w:gutter="0"/>
          <w:pgNumType w:fmt="decimal"/>
          <w:cols w:space="720" w:num="1"/>
          <w:docGrid w:linePitch="312" w:charSpace="0"/>
        </w:sectPr>
      </w:pPr>
    </w:p>
    <w:p w14:paraId="323E07F8">
      <w:pPr>
        <w:jc w:val="left"/>
        <w:outlineLvl w:val="1"/>
        <w:rPr>
          <w:rFonts w:hint="eastAsia" w:ascii="宋体" w:hAnsi="宋体" w:eastAsia="宋体" w:cs="宋体"/>
          <w:b/>
          <w:color w:val="auto"/>
          <w:sz w:val="24"/>
        </w:rPr>
      </w:pPr>
      <w:bookmarkStart w:id="293" w:name="_Toc15745"/>
      <w:bookmarkStart w:id="294" w:name="_Toc9094"/>
      <w:bookmarkStart w:id="295" w:name="_Toc16815"/>
      <w:r>
        <w:rPr>
          <w:rFonts w:hint="eastAsia" w:ascii="宋体" w:hAnsi="宋体" w:eastAsia="宋体" w:cs="宋体"/>
          <w:b/>
          <w:color w:val="auto"/>
          <w:sz w:val="24"/>
        </w:rPr>
        <w:t xml:space="preserve">附件11 </w:t>
      </w:r>
      <w:r>
        <w:rPr>
          <w:rFonts w:hint="eastAsia" w:ascii="宋体" w:hAnsi="宋体" w:eastAsia="宋体" w:cs="宋体"/>
          <w:b/>
          <w:color w:val="auto"/>
          <w:kern w:val="0"/>
          <w:sz w:val="24"/>
        </w:rPr>
        <w:t>小微企业、监狱企业、残疾人福利单位的声明函或证明材料</w:t>
      </w:r>
      <w:bookmarkEnd w:id="293"/>
      <w:bookmarkEnd w:id="294"/>
      <w:bookmarkEnd w:id="295"/>
    </w:p>
    <w:p w14:paraId="21CCDA9E">
      <w:pPr>
        <w:pStyle w:val="81"/>
        <w:snapToGrid w:val="0"/>
        <w:spacing w:beforeLines="50"/>
        <w:jc w:val="both"/>
        <w:outlineLvl w:val="9"/>
        <w:rPr>
          <w:rFonts w:hint="eastAsia" w:hAnsi="宋体" w:cs="宋体"/>
          <w:color w:val="auto"/>
          <w:sz w:val="24"/>
          <w:szCs w:val="24"/>
        </w:rPr>
      </w:pPr>
    </w:p>
    <w:p w14:paraId="480E5D39">
      <w:pPr>
        <w:jc w:val="center"/>
        <w:outlineLvl w:val="2"/>
        <w:rPr>
          <w:rFonts w:hint="eastAsia" w:ascii="宋体" w:hAnsi="宋体" w:eastAsia="宋体" w:cs="宋体"/>
          <w:i w:val="0"/>
          <w:iCs w:val="0"/>
          <w:color w:val="auto"/>
          <w:sz w:val="32"/>
          <w:szCs w:val="32"/>
          <w:lang w:eastAsia="zh-CN"/>
        </w:rPr>
      </w:pPr>
      <w:bookmarkStart w:id="296" w:name="_Toc21598"/>
      <w:bookmarkStart w:id="297" w:name="_Toc13843"/>
      <w:bookmarkStart w:id="298" w:name="_Toc21766"/>
      <w:bookmarkStart w:id="299" w:name="_Toc24338"/>
      <w:r>
        <w:rPr>
          <w:rFonts w:hint="eastAsia" w:ascii="宋体" w:hAnsi="宋体" w:eastAsia="宋体" w:cs="宋体"/>
          <w:i w:val="0"/>
          <w:iCs w:val="0"/>
          <w:color w:val="auto"/>
          <w:sz w:val="32"/>
          <w:szCs w:val="32"/>
          <w:lang w:eastAsia="zh-CN"/>
        </w:rPr>
        <w:t>(</w:t>
      </w:r>
      <w:r>
        <w:rPr>
          <w:rFonts w:hint="eastAsia" w:ascii="宋体" w:hAnsi="宋体" w:eastAsia="宋体" w:cs="宋体"/>
          <w:i w:val="0"/>
          <w:iCs w:val="0"/>
          <w:color w:val="auto"/>
          <w:sz w:val="32"/>
          <w:szCs w:val="32"/>
        </w:rPr>
        <w:t>一</w:t>
      </w:r>
      <w:r>
        <w:rPr>
          <w:rFonts w:hint="eastAsia" w:ascii="宋体" w:hAnsi="宋体" w:eastAsia="宋体" w:cs="宋体"/>
          <w:i w:val="0"/>
          <w:iCs w:val="0"/>
          <w:color w:val="auto"/>
          <w:sz w:val="32"/>
          <w:szCs w:val="32"/>
          <w:lang w:eastAsia="zh-CN"/>
        </w:rPr>
        <w:t>)</w:t>
      </w:r>
      <w:r>
        <w:rPr>
          <w:rFonts w:hint="eastAsia" w:ascii="宋体" w:hAnsi="宋体" w:eastAsia="宋体" w:cs="宋体"/>
          <w:i w:val="0"/>
          <w:iCs w:val="0"/>
          <w:color w:val="auto"/>
          <w:sz w:val="32"/>
          <w:szCs w:val="32"/>
        </w:rPr>
        <w:t>中小企业声明函</w:t>
      </w:r>
      <w:r>
        <w:rPr>
          <w:rFonts w:hint="eastAsia" w:ascii="宋体" w:hAnsi="宋体" w:eastAsia="宋体" w:cs="宋体"/>
          <w:i w:val="0"/>
          <w:iCs w:val="0"/>
          <w:color w:val="auto"/>
          <w:sz w:val="32"/>
          <w:szCs w:val="32"/>
          <w:lang w:eastAsia="zh-CN"/>
        </w:rPr>
        <w:t>(</w:t>
      </w:r>
      <w:r>
        <w:rPr>
          <w:rFonts w:hint="eastAsia" w:ascii="宋体" w:hAnsi="宋体" w:eastAsia="宋体" w:cs="宋体"/>
          <w:i w:val="0"/>
          <w:iCs w:val="0"/>
          <w:color w:val="auto"/>
          <w:sz w:val="32"/>
          <w:szCs w:val="32"/>
        </w:rPr>
        <w:t>服务</w:t>
      </w:r>
      <w:bookmarkEnd w:id="296"/>
      <w:bookmarkEnd w:id="297"/>
      <w:bookmarkEnd w:id="298"/>
      <w:bookmarkEnd w:id="299"/>
      <w:r>
        <w:rPr>
          <w:rFonts w:hint="eastAsia" w:ascii="宋体" w:hAnsi="宋体" w:eastAsia="宋体" w:cs="宋体"/>
          <w:i w:val="0"/>
          <w:iCs w:val="0"/>
          <w:color w:val="auto"/>
          <w:sz w:val="32"/>
          <w:szCs w:val="32"/>
          <w:lang w:eastAsia="zh-CN"/>
        </w:rPr>
        <w:t>)</w:t>
      </w:r>
    </w:p>
    <w:p w14:paraId="0AD16194">
      <w:pPr>
        <w:jc w:val="center"/>
        <w:outlineLvl w:val="9"/>
        <w:rPr>
          <w:rFonts w:hint="eastAsia" w:ascii="宋体" w:hAnsi="宋体" w:eastAsia="宋体" w:cs="宋体"/>
          <w:i w:val="0"/>
          <w:iCs w:val="0"/>
          <w:color w:val="auto"/>
          <w:sz w:val="24"/>
          <w:lang w:eastAsia="zh-CN"/>
        </w:rPr>
      </w:pPr>
      <w:r>
        <w:rPr>
          <w:rFonts w:hint="eastAsia" w:ascii="宋体" w:hAnsi="宋体" w:eastAsia="宋体" w:cs="宋体"/>
          <w:i w:val="0"/>
          <w:iCs w:val="0"/>
          <w:color w:val="auto"/>
          <w:sz w:val="24"/>
          <w:lang w:eastAsia="zh-CN"/>
        </w:rPr>
        <w:t>(</w:t>
      </w:r>
      <w:r>
        <w:rPr>
          <w:rFonts w:hint="eastAsia" w:ascii="宋体" w:hAnsi="宋体" w:eastAsia="宋体" w:cs="宋体"/>
          <w:i w:val="0"/>
          <w:iCs w:val="0"/>
          <w:color w:val="auto"/>
          <w:sz w:val="24"/>
        </w:rPr>
        <w:t>注</w:t>
      </w:r>
      <w:r>
        <w:rPr>
          <w:rFonts w:hint="eastAsia" w:ascii="宋体" w:hAnsi="宋体" w:eastAsia="宋体" w:cs="宋体"/>
          <w:i w:val="0"/>
          <w:iCs w:val="0"/>
          <w:color w:val="auto"/>
          <w:sz w:val="24"/>
          <w:lang w:eastAsia="zh-CN"/>
        </w:rPr>
        <w:t>:</w:t>
      </w:r>
      <w:r>
        <w:rPr>
          <w:rFonts w:hint="eastAsia" w:ascii="宋体" w:hAnsi="宋体" w:eastAsia="宋体" w:cs="宋体"/>
          <w:i w:val="0"/>
          <w:iCs w:val="0"/>
          <w:color w:val="auto"/>
          <w:sz w:val="24"/>
        </w:rPr>
        <w:t>符合中小企业划型标准的企业请提供本函，不符合的不提供本函</w:t>
      </w:r>
      <w:r>
        <w:rPr>
          <w:rFonts w:hint="eastAsia" w:ascii="宋体" w:hAnsi="宋体" w:eastAsia="宋体" w:cs="宋体"/>
          <w:i w:val="0"/>
          <w:iCs w:val="0"/>
          <w:color w:val="auto"/>
          <w:sz w:val="24"/>
          <w:lang w:eastAsia="zh-CN"/>
        </w:rPr>
        <w:t>)</w:t>
      </w:r>
    </w:p>
    <w:p w14:paraId="192D8262">
      <w:pPr>
        <w:pStyle w:val="81"/>
        <w:snapToGrid w:val="0"/>
        <w:spacing w:beforeLines="50"/>
        <w:rPr>
          <w:rFonts w:hint="eastAsia" w:ascii="宋体" w:hAnsi="宋体" w:eastAsia="宋体" w:cs="宋体"/>
          <w:i w:val="0"/>
          <w:iCs w:val="0"/>
          <w:color w:val="auto"/>
          <w:sz w:val="24"/>
          <w:szCs w:val="24"/>
        </w:rPr>
      </w:pPr>
    </w:p>
    <w:p w14:paraId="063199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 xml:space="preserve">本公司郑重声明，根据《政府采购促进中小企业发展管理办法》(财库﹝2020﹞46 号)的规定，本公司参加 </w:t>
      </w:r>
      <w:r>
        <w:rPr>
          <w:rFonts w:hint="eastAsia" w:ascii="宋体" w:hAnsi="宋体" w:eastAsia="宋体" w:cs="宋体"/>
          <w:i w:val="0"/>
          <w:iCs w:val="0"/>
          <w:color w:val="auto"/>
          <w:sz w:val="24"/>
          <w:szCs w:val="24"/>
          <w:u w:val="single"/>
          <w:lang w:val="en-US" w:eastAsia="zh-CN"/>
        </w:rPr>
        <w:t xml:space="preserve"> ( 单位名称 ) </w:t>
      </w:r>
      <w:r>
        <w:rPr>
          <w:rFonts w:hint="eastAsia" w:ascii="宋体" w:hAnsi="宋体" w:eastAsia="宋体" w:cs="宋体"/>
          <w:i w:val="0"/>
          <w:iCs w:val="0"/>
          <w:color w:val="auto"/>
          <w:sz w:val="24"/>
          <w:szCs w:val="24"/>
          <w:lang w:val="en-US" w:eastAsia="zh-CN"/>
        </w:rPr>
        <w:t>的</w:t>
      </w:r>
      <w:r>
        <w:rPr>
          <w:rFonts w:hint="eastAsia" w:ascii="宋体" w:hAnsi="宋体" w:eastAsia="宋体" w:cs="宋体"/>
          <w:i w:val="0"/>
          <w:iCs w:val="0"/>
          <w:color w:val="auto"/>
          <w:sz w:val="24"/>
          <w:szCs w:val="24"/>
          <w:u w:val="single"/>
          <w:lang w:val="en-US" w:eastAsia="zh-CN"/>
        </w:rPr>
        <w:t xml:space="preserve"> ( 项目名称 ) </w:t>
      </w:r>
      <w:r>
        <w:rPr>
          <w:rFonts w:hint="eastAsia" w:ascii="宋体" w:hAnsi="宋体" w:eastAsia="宋体" w:cs="宋体"/>
          <w:i w:val="0"/>
          <w:iCs w:val="0"/>
          <w:color w:val="auto"/>
          <w:sz w:val="24"/>
          <w:szCs w:val="24"/>
          <w:lang w:val="en-US" w:eastAsia="zh-CN"/>
        </w:rPr>
        <w:t>采购活动，服务全部由符合政策要求的中小企业承接。相关企业的具体情况如下:</w:t>
      </w:r>
    </w:p>
    <w:p w14:paraId="503187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1.</w:t>
      </w:r>
      <w:r>
        <w:rPr>
          <w:rFonts w:hint="eastAsia" w:ascii="宋体" w:hAnsi="宋体" w:eastAsia="宋体" w:cs="宋体"/>
          <w:i w:val="0"/>
          <w:iCs w:val="0"/>
          <w:color w:val="auto"/>
          <w:sz w:val="24"/>
          <w:szCs w:val="24"/>
          <w:u w:val="single"/>
          <w:lang w:val="en-US" w:eastAsia="zh-CN"/>
        </w:rPr>
        <w:t xml:space="preserve"> ( 标的名称 )</w:t>
      </w:r>
      <w:r>
        <w:rPr>
          <w:rFonts w:hint="eastAsia" w:ascii="宋体" w:hAnsi="宋体" w:eastAsia="宋体" w:cs="宋体"/>
          <w:i w:val="0"/>
          <w:iCs w:val="0"/>
          <w:color w:val="auto"/>
          <w:sz w:val="24"/>
          <w:szCs w:val="24"/>
          <w:lang w:val="en-US" w:eastAsia="zh-CN"/>
        </w:rPr>
        <w:t xml:space="preserve"> ，属于</w:t>
      </w:r>
      <w:r>
        <w:rPr>
          <w:rFonts w:hint="eastAsia" w:ascii="宋体" w:hAnsi="宋体" w:eastAsia="宋体" w:cs="宋体"/>
          <w:i w:val="0"/>
          <w:iCs w:val="0"/>
          <w:color w:val="auto"/>
          <w:sz w:val="24"/>
          <w:szCs w:val="24"/>
          <w:u w:val="single"/>
          <w:lang w:val="en-US" w:eastAsia="zh-CN"/>
        </w:rPr>
        <w:t xml:space="preserve"> ( </w:t>
      </w:r>
      <w:r>
        <w:rPr>
          <w:rFonts w:hint="eastAsia" w:ascii="宋体" w:hAnsi="宋体" w:cs="宋体"/>
          <w:i w:val="0"/>
          <w:iCs w:val="0"/>
          <w:color w:val="auto"/>
          <w:sz w:val="24"/>
          <w:szCs w:val="24"/>
          <w:u w:val="single"/>
          <w:lang w:val="en-US" w:eastAsia="zh-CN"/>
        </w:rPr>
        <w:t>招标文件</w:t>
      </w:r>
      <w:r>
        <w:rPr>
          <w:rFonts w:hint="eastAsia" w:ascii="宋体" w:hAnsi="宋体" w:eastAsia="宋体" w:cs="宋体"/>
          <w:i w:val="0"/>
          <w:iCs w:val="0"/>
          <w:color w:val="auto"/>
          <w:sz w:val="24"/>
          <w:szCs w:val="24"/>
          <w:u w:val="single"/>
          <w:lang w:val="en-US" w:eastAsia="zh-CN"/>
        </w:rPr>
        <w:t xml:space="preserve">中明确的所属行业 ) </w:t>
      </w:r>
      <w:r>
        <w:rPr>
          <w:rFonts w:hint="eastAsia" w:ascii="宋体" w:hAnsi="宋体" w:eastAsia="宋体" w:cs="宋体"/>
          <w:i w:val="0"/>
          <w:iCs w:val="0"/>
          <w:color w:val="auto"/>
          <w:sz w:val="24"/>
          <w:szCs w:val="24"/>
          <w:lang w:val="en-US" w:eastAsia="zh-CN"/>
        </w:rPr>
        <w:t>；承接企业为</w:t>
      </w:r>
      <w:r>
        <w:rPr>
          <w:rFonts w:hint="eastAsia" w:ascii="宋体" w:hAnsi="宋体" w:eastAsia="宋体" w:cs="宋体"/>
          <w:i w:val="0"/>
          <w:iCs w:val="0"/>
          <w:color w:val="auto"/>
          <w:sz w:val="24"/>
          <w:szCs w:val="24"/>
          <w:u w:val="single"/>
          <w:lang w:val="en-US" w:eastAsia="zh-CN"/>
        </w:rPr>
        <w:t xml:space="preserve"> ( 企业名称 ) </w:t>
      </w:r>
      <w:r>
        <w:rPr>
          <w:rFonts w:hint="eastAsia" w:ascii="宋体" w:hAnsi="宋体" w:eastAsia="宋体" w:cs="宋体"/>
          <w:i w:val="0"/>
          <w:iCs w:val="0"/>
          <w:color w:val="auto"/>
          <w:sz w:val="24"/>
          <w:szCs w:val="24"/>
          <w:lang w:val="en-US" w:eastAsia="zh-CN"/>
        </w:rPr>
        <w:t>，从业人员</w:t>
      </w:r>
      <w:r>
        <w:rPr>
          <w:rFonts w:hint="eastAsia" w:ascii="宋体" w:hAnsi="宋体" w:eastAsia="宋体" w:cs="宋体"/>
          <w:i w:val="0"/>
          <w:iCs w:val="0"/>
          <w:color w:val="auto"/>
          <w:sz w:val="24"/>
          <w:szCs w:val="24"/>
          <w:u w:val="single"/>
          <w:lang w:val="en-US" w:eastAsia="zh-CN"/>
        </w:rPr>
        <w:t xml:space="preserve">     </w:t>
      </w:r>
      <w:r>
        <w:rPr>
          <w:rFonts w:hint="eastAsia" w:ascii="宋体" w:hAnsi="宋体" w:eastAsia="宋体" w:cs="宋体"/>
          <w:i w:val="0"/>
          <w:iCs w:val="0"/>
          <w:color w:val="auto"/>
          <w:sz w:val="24"/>
          <w:szCs w:val="24"/>
          <w:lang w:val="en-US" w:eastAsia="zh-CN"/>
        </w:rPr>
        <w:t>人，营业收入为</w:t>
      </w:r>
      <w:r>
        <w:rPr>
          <w:rFonts w:hint="eastAsia" w:ascii="宋体" w:hAnsi="宋体" w:eastAsia="宋体" w:cs="宋体"/>
          <w:i w:val="0"/>
          <w:iCs w:val="0"/>
          <w:color w:val="auto"/>
          <w:sz w:val="24"/>
          <w:szCs w:val="24"/>
          <w:u w:val="single"/>
          <w:lang w:val="en-US" w:eastAsia="zh-CN"/>
        </w:rPr>
        <w:t xml:space="preserve">    </w:t>
      </w:r>
      <w:r>
        <w:rPr>
          <w:rFonts w:hint="eastAsia" w:ascii="宋体" w:hAnsi="宋体" w:eastAsia="宋体" w:cs="宋体"/>
          <w:i w:val="0"/>
          <w:iCs w:val="0"/>
          <w:color w:val="auto"/>
          <w:sz w:val="24"/>
          <w:szCs w:val="24"/>
          <w:lang w:val="en-US" w:eastAsia="zh-CN"/>
        </w:rPr>
        <w:t>万元，资产总额为</w:t>
      </w:r>
      <w:r>
        <w:rPr>
          <w:rFonts w:hint="eastAsia" w:ascii="宋体" w:hAnsi="宋体" w:eastAsia="宋体" w:cs="宋体"/>
          <w:i w:val="0"/>
          <w:iCs w:val="0"/>
          <w:color w:val="auto"/>
          <w:sz w:val="24"/>
          <w:szCs w:val="24"/>
          <w:u w:val="single"/>
          <w:lang w:val="en-US" w:eastAsia="zh-CN"/>
        </w:rPr>
        <w:t xml:space="preserve">    </w:t>
      </w:r>
      <w:r>
        <w:rPr>
          <w:rFonts w:hint="eastAsia" w:ascii="宋体" w:hAnsi="宋体" w:eastAsia="宋体" w:cs="宋体"/>
          <w:i w:val="0"/>
          <w:iCs w:val="0"/>
          <w:color w:val="auto"/>
          <w:sz w:val="24"/>
          <w:szCs w:val="24"/>
          <w:lang w:val="en-US" w:eastAsia="zh-CN"/>
        </w:rPr>
        <w:t>万元，属于</w:t>
      </w:r>
      <w:r>
        <w:rPr>
          <w:rFonts w:hint="eastAsia" w:ascii="宋体" w:hAnsi="宋体" w:eastAsia="宋体" w:cs="宋体"/>
          <w:i w:val="0"/>
          <w:iCs w:val="0"/>
          <w:color w:val="auto"/>
          <w:sz w:val="24"/>
          <w:szCs w:val="24"/>
          <w:u w:val="single"/>
          <w:lang w:val="en-US" w:eastAsia="zh-CN"/>
        </w:rPr>
        <w:t xml:space="preserve"> ( 中型企业、小型企业、微型企业 ) </w:t>
      </w:r>
      <w:r>
        <w:rPr>
          <w:rFonts w:hint="eastAsia" w:ascii="宋体" w:hAnsi="宋体" w:eastAsia="宋体" w:cs="宋体"/>
          <w:i w:val="0"/>
          <w:iCs w:val="0"/>
          <w:color w:val="auto"/>
          <w:sz w:val="24"/>
          <w:szCs w:val="24"/>
          <w:lang w:val="en-US" w:eastAsia="zh-CN"/>
        </w:rPr>
        <w:t>；</w:t>
      </w:r>
    </w:p>
    <w:p w14:paraId="2EB94A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2.</w:t>
      </w:r>
      <w:r>
        <w:rPr>
          <w:rFonts w:hint="eastAsia" w:ascii="宋体" w:hAnsi="宋体" w:eastAsia="宋体" w:cs="宋体"/>
          <w:i w:val="0"/>
          <w:iCs w:val="0"/>
          <w:color w:val="auto"/>
          <w:sz w:val="24"/>
          <w:szCs w:val="24"/>
          <w:u w:val="single"/>
          <w:lang w:val="en-US" w:eastAsia="zh-CN"/>
        </w:rPr>
        <w:t xml:space="preserve"> ( 标的名称 ) </w:t>
      </w:r>
      <w:r>
        <w:rPr>
          <w:rFonts w:hint="eastAsia" w:ascii="宋体" w:hAnsi="宋体" w:eastAsia="宋体" w:cs="宋体"/>
          <w:i w:val="0"/>
          <w:iCs w:val="0"/>
          <w:color w:val="auto"/>
          <w:sz w:val="24"/>
          <w:szCs w:val="24"/>
          <w:lang w:val="en-US" w:eastAsia="zh-CN"/>
        </w:rPr>
        <w:t>，属于</w:t>
      </w:r>
      <w:r>
        <w:rPr>
          <w:rFonts w:hint="eastAsia" w:ascii="宋体" w:hAnsi="宋体" w:eastAsia="宋体" w:cs="宋体"/>
          <w:i w:val="0"/>
          <w:iCs w:val="0"/>
          <w:color w:val="auto"/>
          <w:sz w:val="24"/>
          <w:szCs w:val="24"/>
          <w:u w:val="single"/>
          <w:lang w:val="en-US" w:eastAsia="zh-CN"/>
        </w:rPr>
        <w:t xml:space="preserve"> ( </w:t>
      </w:r>
      <w:r>
        <w:rPr>
          <w:rFonts w:hint="eastAsia" w:ascii="宋体" w:hAnsi="宋体" w:cs="宋体"/>
          <w:i w:val="0"/>
          <w:iCs w:val="0"/>
          <w:color w:val="auto"/>
          <w:sz w:val="24"/>
          <w:szCs w:val="24"/>
          <w:u w:val="single"/>
          <w:lang w:val="en-US" w:eastAsia="zh-CN"/>
        </w:rPr>
        <w:t>招标文件</w:t>
      </w:r>
      <w:r>
        <w:rPr>
          <w:rFonts w:hint="eastAsia" w:ascii="宋体" w:hAnsi="宋体" w:eastAsia="宋体" w:cs="宋体"/>
          <w:i w:val="0"/>
          <w:iCs w:val="0"/>
          <w:color w:val="auto"/>
          <w:sz w:val="24"/>
          <w:szCs w:val="24"/>
          <w:u w:val="single"/>
          <w:lang w:val="en-US" w:eastAsia="zh-CN"/>
        </w:rPr>
        <w:t xml:space="preserve">中明确的所属行业 ) </w:t>
      </w:r>
      <w:r>
        <w:rPr>
          <w:rFonts w:hint="eastAsia" w:ascii="宋体" w:hAnsi="宋体" w:eastAsia="宋体" w:cs="宋体"/>
          <w:i w:val="0"/>
          <w:iCs w:val="0"/>
          <w:color w:val="auto"/>
          <w:sz w:val="24"/>
          <w:szCs w:val="24"/>
          <w:lang w:val="en-US" w:eastAsia="zh-CN"/>
        </w:rPr>
        <w:t>；承建(承接)企业为</w:t>
      </w:r>
      <w:r>
        <w:rPr>
          <w:rFonts w:hint="eastAsia" w:ascii="宋体" w:hAnsi="宋体" w:eastAsia="宋体" w:cs="宋体"/>
          <w:i w:val="0"/>
          <w:iCs w:val="0"/>
          <w:color w:val="auto"/>
          <w:sz w:val="24"/>
          <w:szCs w:val="24"/>
          <w:u w:val="single"/>
          <w:lang w:val="en-US" w:eastAsia="zh-CN"/>
        </w:rPr>
        <w:t xml:space="preserve"> ( 企业名称 ) </w:t>
      </w:r>
      <w:r>
        <w:rPr>
          <w:rFonts w:hint="eastAsia" w:ascii="宋体" w:hAnsi="宋体" w:eastAsia="宋体" w:cs="宋体"/>
          <w:i w:val="0"/>
          <w:iCs w:val="0"/>
          <w:color w:val="auto"/>
          <w:sz w:val="24"/>
          <w:szCs w:val="24"/>
          <w:lang w:val="en-US" w:eastAsia="zh-CN"/>
        </w:rPr>
        <w:t>，从业人员</w:t>
      </w:r>
      <w:r>
        <w:rPr>
          <w:rFonts w:hint="eastAsia" w:ascii="宋体" w:hAnsi="宋体" w:eastAsia="宋体" w:cs="宋体"/>
          <w:i w:val="0"/>
          <w:iCs w:val="0"/>
          <w:color w:val="auto"/>
          <w:sz w:val="24"/>
          <w:szCs w:val="24"/>
          <w:u w:val="single"/>
          <w:lang w:val="en-US" w:eastAsia="zh-CN"/>
        </w:rPr>
        <w:t xml:space="preserve">    </w:t>
      </w:r>
      <w:r>
        <w:rPr>
          <w:rFonts w:hint="eastAsia" w:ascii="宋体" w:hAnsi="宋体" w:eastAsia="宋体" w:cs="宋体"/>
          <w:i w:val="0"/>
          <w:iCs w:val="0"/>
          <w:color w:val="auto"/>
          <w:sz w:val="24"/>
          <w:szCs w:val="24"/>
          <w:lang w:val="en-US" w:eastAsia="zh-CN"/>
        </w:rPr>
        <w:t>人，营业收入为</w:t>
      </w:r>
      <w:r>
        <w:rPr>
          <w:rFonts w:hint="eastAsia" w:ascii="宋体" w:hAnsi="宋体" w:eastAsia="宋体" w:cs="宋体"/>
          <w:i w:val="0"/>
          <w:iCs w:val="0"/>
          <w:color w:val="auto"/>
          <w:sz w:val="24"/>
          <w:szCs w:val="24"/>
          <w:u w:val="single"/>
          <w:lang w:val="en-US" w:eastAsia="zh-CN"/>
        </w:rPr>
        <w:t xml:space="preserve">    </w:t>
      </w:r>
      <w:r>
        <w:rPr>
          <w:rFonts w:hint="eastAsia" w:ascii="宋体" w:hAnsi="宋体" w:eastAsia="宋体" w:cs="宋体"/>
          <w:i w:val="0"/>
          <w:iCs w:val="0"/>
          <w:color w:val="auto"/>
          <w:sz w:val="24"/>
          <w:szCs w:val="24"/>
          <w:lang w:val="en-US" w:eastAsia="zh-CN"/>
        </w:rPr>
        <w:t>万元，资产总额为</w:t>
      </w:r>
      <w:r>
        <w:rPr>
          <w:rFonts w:hint="eastAsia" w:ascii="宋体" w:hAnsi="宋体" w:eastAsia="宋体" w:cs="宋体"/>
          <w:i w:val="0"/>
          <w:iCs w:val="0"/>
          <w:color w:val="auto"/>
          <w:sz w:val="24"/>
          <w:szCs w:val="24"/>
          <w:u w:val="single"/>
          <w:lang w:val="en-US" w:eastAsia="zh-CN"/>
        </w:rPr>
        <w:t xml:space="preserve">    </w:t>
      </w:r>
      <w:r>
        <w:rPr>
          <w:rFonts w:hint="eastAsia" w:ascii="宋体" w:hAnsi="宋体" w:eastAsia="宋体" w:cs="宋体"/>
          <w:i w:val="0"/>
          <w:iCs w:val="0"/>
          <w:color w:val="auto"/>
          <w:sz w:val="24"/>
          <w:szCs w:val="24"/>
          <w:lang w:val="en-US" w:eastAsia="zh-CN"/>
        </w:rPr>
        <w:t>万元，属于</w:t>
      </w:r>
      <w:r>
        <w:rPr>
          <w:rFonts w:hint="eastAsia" w:ascii="宋体" w:hAnsi="宋体" w:eastAsia="宋体" w:cs="宋体"/>
          <w:i w:val="0"/>
          <w:iCs w:val="0"/>
          <w:color w:val="auto"/>
          <w:sz w:val="24"/>
          <w:szCs w:val="24"/>
          <w:u w:val="single"/>
          <w:lang w:val="en-US" w:eastAsia="zh-CN"/>
        </w:rPr>
        <w:t xml:space="preserve"> ( 中型企业、小型企业、微型企业 ) </w:t>
      </w:r>
      <w:r>
        <w:rPr>
          <w:rFonts w:hint="eastAsia" w:ascii="宋体" w:hAnsi="宋体" w:eastAsia="宋体" w:cs="宋体"/>
          <w:i w:val="0"/>
          <w:iCs w:val="0"/>
          <w:color w:val="auto"/>
          <w:sz w:val="24"/>
          <w:szCs w:val="24"/>
          <w:lang w:val="en-US" w:eastAsia="zh-CN"/>
        </w:rPr>
        <w:t>；</w:t>
      </w:r>
    </w:p>
    <w:p w14:paraId="582882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w:t>
      </w:r>
    </w:p>
    <w:p w14:paraId="49F315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以上企业，不属于大企业的分支机构，不存在控股股东为大企业的情形，也不存在与大企业的负责人为同一人的情形。</w:t>
      </w:r>
    </w:p>
    <w:p w14:paraId="729C8D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本企业对上述声明内容的真实性负责。如有虚假，将依法承担相应责任。</w:t>
      </w:r>
    </w:p>
    <w:p w14:paraId="6276C0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p>
    <w:p w14:paraId="306BFCEF">
      <w:pPr>
        <w:keepNext w:val="0"/>
        <w:keepLines w:val="0"/>
        <w:pageBreakBefore w:val="0"/>
        <w:widowControl w:val="0"/>
        <w:kinsoku/>
        <w:wordWrap/>
        <w:overflowPunct/>
        <w:topLinePunct w:val="0"/>
        <w:autoSpaceDE/>
        <w:autoSpaceDN/>
        <w:bidi w:val="0"/>
        <w:adjustRightInd/>
        <w:snapToGrid/>
        <w:spacing w:line="360" w:lineRule="auto"/>
        <w:ind w:firstLine="4320" w:firstLineChars="1800"/>
        <w:textAlignment w:val="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企业名称</w:t>
      </w:r>
      <w:r>
        <w:rPr>
          <w:rFonts w:hint="eastAsia" w:ascii="宋体" w:hAnsi="宋体" w:cs="宋体"/>
          <w:color w:val="auto"/>
          <w:sz w:val="24"/>
          <w:szCs w:val="24"/>
          <w:lang w:val="en-US" w:eastAsia="zh-CN"/>
        </w:rPr>
        <w:t>(</w:t>
      </w:r>
      <w:r>
        <w:rPr>
          <w:rFonts w:hint="default" w:ascii="宋体" w:hAnsi="宋体" w:eastAsia="宋体" w:cs="宋体"/>
          <w:color w:val="auto"/>
          <w:sz w:val="24"/>
          <w:szCs w:val="24"/>
          <w:lang w:val="en-US" w:eastAsia="zh-CN"/>
        </w:rPr>
        <w:t>盖章</w:t>
      </w:r>
      <w:r>
        <w:rPr>
          <w:rFonts w:hint="eastAsia" w:ascii="宋体" w:hAnsi="宋体" w:cs="宋体"/>
          <w:color w:val="auto"/>
          <w:sz w:val="24"/>
          <w:szCs w:val="24"/>
          <w:lang w:val="en-US" w:eastAsia="zh-CN"/>
        </w:rPr>
        <w:t>):</w:t>
      </w:r>
    </w:p>
    <w:p w14:paraId="5E2F3D5D">
      <w:pPr>
        <w:keepNext w:val="0"/>
        <w:keepLines w:val="0"/>
        <w:pageBreakBefore w:val="0"/>
        <w:widowControl w:val="0"/>
        <w:kinsoku/>
        <w:wordWrap/>
        <w:overflowPunct/>
        <w:topLinePunct w:val="0"/>
        <w:autoSpaceDE/>
        <w:autoSpaceDN/>
        <w:bidi w:val="0"/>
        <w:adjustRightInd/>
        <w:snapToGrid/>
        <w:spacing w:line="360" w:lineRule="auto"/>
        <w:ind w:firstLine="4320" w:firstLineChars="1800"/>
        <w:textAlignment w:val="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日 期</w:t>
      </w:r>
      <w:r>
        <w:rPr>
          <w:rFonts w:hint="eastAsia" w:ascii="宋体" w:hAnsi="宋体" w:cs="宋体"/>
          <w:color w:val="auto"/>
          <w:sz w:val="24"/>
          <w:szCs w:val="24"/>
          <w:lang w:val="en-US" w:eastAsia="zh-CN"/>
        </w:rPr>
        <w:t>:</w:t>
      </w:r>
    </w:p>
    <w:p w14:paraId="11BCD52B">
      <w:pPr>
        <w:rPr>
          <w:rFonts w:hint="default"/>
          <w:color w:val="auto"/>
          <w:sz w:val="18"/>
          <w:szCs w:val="18"/>
          <w:lang w:val="en-US" w:eastAsia="zh-CN"/>
        </w:rPr>
      </w:pPr>
    </w:p>
    <w:p w14:paraId="0F02AFB5">
      <w:pPr>
        <w:rPr>
          <w:rFonts w:hint="default"/>
          <w:color w:val="auto"/>
          <w:sz w:val="18"/>
          <w:szCs w:val="18"/>
          <w:lang w:val="en-US" w:eastAsia="zh-CN"/>
        </w:rPr>
      </w:pPr>
    </w:p>
    <w:p w14:paraId="21FD915F">
      <w:pPr>
        <w:rPr>
          <w:rFonts w:hint="default"/>
          <w:color w:val="auto"/>
          <w:sz w:val="18"/>
          <w:szCs w:val="18"/>
          <w:lang w:val="en-US" w:eastAsia="zh-CN"/>
        </w:rPr>
      </w:pPr>
    </w:p>
    <w:p w14:paraId="42D64FB0">
      <w:pPr>
        <w:rPr>
          <w:rFonts w:hint="default"/>
          <w:color w:val="auto"/>
          <w:sz w:val="18"/>
          <w:szCs w:val="18"/>
          <w:lang w:val="en-US" w:eastAsia="zh-CN"/>
        </w:rPr>
      </w:pPr>
    </w:p>
    <w:p w14:paraId="283C9540">
      <w:pPr>
        <w:rPr>
          <w:rFonts w:hint="default" w:eastAsiaTheme="minorEastAsia"/>
          <w:color w:val="auto"/>
          <w:u w:val="single"/>
          <w:lang w:val="en-US" w:eastAsia="zh-CN"/>
        </w:rPr>
      </w:pPr>
      <w:r>
        <w:rPr>
          <w:rFonts w:hint="eastAsia"/>
          <w:color w:val="auto"/>
          <w:u w:val="single"/>
          <w:lang w:val="en-US" w:eastAsia="zh-CN"/>
        </w:rPr>
        <w:t xml:space="preserve">                                                                            </w:t>
      </w:r>
    </w:p>
    <w:p w14:paraId="00D4465D">
      <w:pPr>
        <w:rPr>
          <w:rFonts w:hint="eastAsia"/>
          <w:color w:val="auto"/>
          <w:sz w:val="18"/>
          <w:szCs w:val="18"/>
          <w:lang w:val="en-US" w:eastAsia="zh-CN"/>
        </w:rPr>
      </w:pPr>
      <w:r>
        <w:rPr>
          <w:rFonts w:hint="eastAsia"/>
          <w:color w:val="auto"/>
          <w:sz w:val="18"/>
          <w:szCs w:val="18"/>
          <w:lang w:val="en-US" w:eastAsia="zh-CN"/>
        </w:rPr>
        <w:t>1 从业人员、营业收入、资产总额填报上一年度数据，无上一年度数据的新成立企业可不填报。</w:t>
      </w:r>
    </w:p>
    <w:p w14:paraId="5EFBAFC9">
      <w:pPr>
        <w:widowControl/>
        <w:jc w:val="left"/>
        <w:rPr>
          <w:rFonts w:ascii="宋体" w:hAnsi="宋体" w:cs="宋体"/>
          <w:color w:val="auto"/>
          <w:sz w:val="24"/>
        </w:rPr>
      </w:pPr>
      <w:r>
        <w:rPr>
          <w:rFonts w:hAnsi="宋体" w:cs="宋体"/>
          <w:color w:val="auto"/>
          <w:sz w:val="24"/>
        </w:rPr>
        <w:br w:type="page"/>
      </w:r>
    </w:p>
    <w:p w14:paraId="513E7425">
      <w:pPr>
        <w:pStyle w:val="81"/>
        <w:snapToGrid w:val="0"/>
        <w:spacing w:beforeLines="50"/>
        <w:rPr>
          <w:rFonts w:hAnsi="宋体" w:cs="宋体"/>
          <w:color w:val="auto"/>
          <w:sz w:val="24"/>
          <w:szCs w:val="24"/>
        </w:rPr>
      </w:pPr>
    </w:p>
    <w:p w14:paraId="341C23E3">
      <w:pPr>
        <w:jc w:val="center"/>
        <w:outlineLvl w:val="2"/>
        <w:rPr>
          <w:rFonts w:hAnsi="宋体"/>
          <w:color w:val="auto"/>
          <w:sz w:val="32"/>
          <w:szCs w:val="32"/>
        </w:rPr>
      </w:pPr>
      <w:bookmarkStart w:id="300" w:name="_Toc22619"/>
      <w:bookmarkStart w:id="301" w:name="_Toc13395"/>
      <w:bookmarkStart w:id="302" w:name="_Toc3780"/>
      <w:bookmarkStart w:id="303" w:name="_Toc17321"/>
      <w:r>
        <w:rPr>
          <w:rFonts w:hint="eastAsia" w:hAnsi="宋体"/>
          <w:color w:val="auto"/>
          <w:sz w:val="32"/>
          <w:szCs w:val="32"/>
          <w:lang w:eastAsia="zh-CN"/>
        </w:rPr>
        <w:t>(</w:t>
      </w:r>
      <w:r>
        <w:rPr>
          <w:rFonts w:hint="eastAsia" w:hAnsi="宋体"/>
          <w:color w:val="auto"/>
          <w:sz w:val="32"/>
          <w:szCs w:val="32"/>
        </w:rPr>
        <w:t>二</w:t>
      </w:r>
      <w:r>
        <w:rPr>
          <w:rFonts w:hint="eastAsia" w:hAnsi="宋体"/>
          <w:color w:val="auto"/>
          <w:sz w:val="32"/>
          <w:szCs w:val="32"/>
          <w:lang w:eastAsia="zh-CN"/>
        </w:rPr>
        <w:t>)</w:t>
      </w:r>
      <w:r>
        <w:rPr>
          <w:rFonts w:hint="eastAsia" w:hAnsi="宋体"/>
          <w:color w:val="auto"/>
          <w:sz w:val="32"/>
          <w:szCs w:val="32"/>
        </w:rPr>
        <w:t>监狱企业证明</w:t>
      </w:r>
      <w:bookmarkEnd w:id="300"/>
      <w:bookmarkEnd w:id="301"/>
      <w:bookmarkEnd w:id="302"/>
      <w:bookmarkEnd w:id="303"/>
    </w:p>
    <w:p w14:paraId="4476C6DD">
      <w:pPr>
        <w:jc w:val="center"/>
        <w:rPr>
          <w:rFonts w:hint="eastAsia" w:eastAsia="宋体"/>
          <w:color w:val="auto"/>
          <w:sz w:val="24"/>
          <w:lang w:eastAsia="zh-CN"/>
        </w:rPr>
      </w:pPr>
      <w:r>
        <w:rPr>
          <w:rFonts w:hint="eastAsia"/>
          <w:color w:val="auto"/>
          <w:sz w:val="24"/>
          <w:lang w:eastAsia="zh-CN"/>
        </w:rPr>
        <w:t>(</w:t>
      </w:r>
      <w:r>
        <w:rPr>
          <w:rFonts w:hint="eastAsia"/>
          <w:color w:val="auto"/>
          <w:sz w:val="24"/>
        </w:rPr>
        <w:t>注</w:t>
      </w:r>
      <w:r>
        <w:rPr>
          <w:rFonts w:hint="eastAsia"/>
          <w:color w:val="auto"/>
          <w:sz w:val="24"/>
          <w:lang w:eastAsia="zh-CN"/>
        </w:rPr>
        <w:t>:</w:t>
      </w:r>
      <w:r>
        <w:rPr>
          <w:rFonts w:hint="eastAsia"/>
          <w:color w:val="auto"/>
          <w:sz w:val="24"/>
        </w:rPr>
        <w:t>符合条件的监狱企业请提供本函，不符合的不提供本函</w:t>
      </w:r>
      <w:r>
        <w:rPr>
          <w:rFonts w:hint="eastAsia"/>
          <w:color w:val="auto"/>
          <w:sz w:val="24"/>
          <w:lang w:eastAsia="zh-CN"/>
        </w:rPr>
        <w:t>)</w:t>
      </w:r>
    </w:p>
    <w:p w14:paraId="084D9320">
      <w:pPr>
        <w:pStyle w:val="81"/>
        <w:snapToGrid w:val="0"/>
        <w:spacing w:beforeLines="50"/>
        <w:rPr>
          <w:rFonts w:hAnsi="宋体" w:cs="宋体"/>
          <w:color w:val="auto"/>
          <w:sz w:val="24"/>
          <w:szCs w:val="24"/>
        </w:rPr>
      </w:pPr>
    </w:p>
    <w:p w14:paraId="1DE3C767">
      <w:pPr>
        <w:snapToGrid w:val="0"/>
        <w:spacing w:beforeLines="50" w:line="360" w:lineRule="auto"/>
        <w:ind w:firstLine="480" w:firstLineChars="200"/>
        <w:rPr>
          <w:rFonts w:hint="eastAsia" w:hAnsi="Times New Roman" w:cs="Times New Roman"/>
          <w:color w:val="auto"/>
          <w:sz w:val="24"/>
          <w:szCs w:val="24"/>
        </w:rPr>
      </w:pPr>
      <w:r>
        <w:rPr>
          <w:rFonts w:hint="eastAsia" w:hAnsi="Times New Roman" w:cs="Times New Roman"/>
          <w:color w:val="auto"/>
          <w:sz w:val="24"/>
          <w:szCs w:val="24"/>
        </w:rPr>
        <w:t>省级以上监狱管理局、戒毒管理局</w:t>
      </w:r>
      <w:r>
        <w:rPr>
          <w:rFonts w:hint="eastAsia" w:cs="Times New Roman"/>
          <w:color w:val="auto"/>
          <w:sz w:val="24"/>
          <w:szCs w:val="24"/>
          <w:lang w:eastAsia="zh-CN"/>
        </w:rPr>
        <w:t>(</w:t>
      </w:r>
      <w:r>
        <w:rPr>
          <w:rFonts w:hint="eastAsia" w:hAnsi="Times New Roman" w:cs="Times New Roman"/>
          <w:color w:val="auto"/>
          <w:sz w:val="24"/>
          <w:szCs w:val="24"/>
        </w:rPr>
        <w:t>含新疆生产建设兵团</w:t>
      </w:r>
      <w:r>
        <w:rPr>
          <w:rFonts w:hint="eastAsia" w:cs="Times New Roman"/>
          <w:color w:val="auto"/>
          <w:sz w:val="24"/>
          <w:szCs w:val="24"/>
          <w:lang w:eastAsia="zh-CN"/>
        </w:rPr>
        <w:t>)</w:t>
      </w:r>
      <w:r>
        <w:rPr>
          <w:rFonts w:hint="eastAsia" w:hAnsi="Times New Roman" w:cs="Times New Roman"/>
          <w:color w:val="auto"/>
          <w:sz w:val="24"/>
          <w:szCs w:val="24"/>
        </w:rPr>
        <w:t>出具的属于监狱企业的证明文件。</w:t>
      </w:r>
    </w:p>
    <w:p w14:paraId="2C92AE73">
      <w:pPr>
        <w:pStyle w:val="81"/>
        <w:snapToGrid w:val="0"/>
        <w:spacing w:beforeLines="50"/>
        <w:rPr>
          <w:rFonts w:hAnsi="宋体" w:cs="宋体"/>
          <w:color w:val="auto"/>
          <w:sz w:val="24"/>
          <w:szCs w:val="24"/>
        </w:rPr>
      </w:pPr>
    </w:p>
    <w:p w14:paraId="0C33B211">
      <w:pPr>
        <w:jc w:val="center"/>
        <w:outlineLvl w:val="2"/>
        <w:rPr>
          <w:rFonts w:hAnsi="宋体"/>
          <w:color w:val="auto"/>
          <w:sz w:val="32"/>
          <w:szCs w:val="32"/>
        </w:rPr>
      </w:pPr>
      <w:r>
        <w:rPr>
          <w:rFonts w:hAnsi="宋体" w:cs="宋体"/>
          <w:color w:val="auto"/>
          <w:sz w:val="24"/>
        </w:rPr>
        <w:br w:type="page"/>
      </w:r>
      <w:bookmarkStart w:id="304" w:name="_Toc13898"/>
      <w:bookmarkStart w:id="305" w:name="_Toc22239"/>
      <w:bookmarkStart w:id="306" w:name="_Toc25672"/>
      <w:bookmarkStart w:id="307" w:name="_Toc10862"/>
      <w:r>
        <w:rPr>
          <w:rFonts w:hint="eastAsia" w:hAnsi="宋体"/>
          <w:color w:val="auto"/>
          <w:sz w:val="32"/>
          <w:szCs w:val="32"/>
          <w:lang w:eastAsia="zh-CN"/>
        </w:rPr>
        <w:t>(</w:t>
      </w:r>
      <w:r>
        <w:rPr>
          <w:rFonts w:hint="eastAsia" w:hAnsi="宋体"/>
          <w:color w:val="auto"/>
          <w:sz w:val="32"/>
          <w:szCs w:val="32"/>
        </w:rPr>
        <w:t>三</w:t>
      </w:r>
      <w:r>
        <w:rPr>
          <w:rFonts w:hint="eastAsia" w:hAnsi="宋体"/>
          <w:color w:val="auto"/>
          <w:sz w:val="32"/>
          <w:szCs w:val="32"/>
          <w:lang w:eastAsia="zh-CN"/>
        </w:rPr>
        <w:t>)</w:t>
      </w:r>
      <w:r>
        <w:rPr>
          <w:rFonts w:hint="eastAsia" w:hAnsi="宋体"/>
          <w:color w:val="auto"/>
          <w:sz w:val="32"/>
          <w:szCs w:val="32"/>
        </w:rPr>
        <w:t>残疾人福利性单位声明函</w:t>
      </w:r>
      <w:bookmarkEnd w:id="304"/>
      <w:bookmarkEnd w:id="305"/>
      <w:bookmarkEnd w:id="306"/>
      <w:bookmarkEnd w:id="307"/>
    </w:p>
    <w:p w14:paraId="1549BA64">
      <w:pPr>
        <w:jc w:val="center"/>
        <w:rPr>
          <w:rFonts w:hint="eastAsia" w:eastAsia="宋体"/>
          <w:color w:val="auto"/>
          <w:sz w:val="24"/>
          <w:lang w:eastAsia="zh-CN"/>
        </w:rPr>
      </w:pPr>
      <w:r>
        <w:rPr>
          <w:rFonts w:hint="eastAsia"/>
          <w:color w:val="auto"/>
          <w:sz w:val="24"/>
          <w:lang w:eastAsia="zh-CN"/>
        </w:rPr>
        <w:t>(</w:t>
      </w:r>
      <w:r>
        <w:rPr>
          <w:rFonts w:hint="eastAsia"/>
          <w:color w:val="auto"/>
          <w:sz w:val="24"/>
        </w:rPr>
        <w:t>注</w:t>
      </w:r>
      <w:r>
        <w:rPr>
          <w:rFonts w:hint="eastAsia"/>
          <w:color w:val="auto"/>
          <w:sz w:val="24"/>
          <w:lang w:eastAsia="zh-CN"/>
        </w:rPr>
        <w:t>:</w:t>
      </w:r>
      <w:r>
        <w:rPr>
          <w:rFonts w:hint="eastAsia"/>
          <w:color w:val="auto"/>
          <w:sz w:val="24"/>
        </w:rPr>
        <w:t>符合条件的残疾人福利性单位请提供本函，不符合的不提供本函</w:t>
      </w:r>
      <w:r>
        <w:rPr>
          <w:rFonts w:hint="eastAsia"/>
          <w:color w:val="auto"/>
          <w:sz w:val="24"/>
          <w:lang w:eastAsia="zh-CN"/>
        </w:rPr>
        <w:t>)</w:t>
      </w:r>
    </w:p>
    <w:p w14:paraId="723565ED">
      <w:pPr>
        <w:rPr>
          <w:color w:val="auto"/>
          <w:sz w:val="24"/>
        </w:rPr>
      </w:pPr>
    </w:p>
    <w:p w14:paraId="6070A274">
      <w:pPr>
        <w:rPr>
          <w:color w:val="auto"/>
          <w:sz w:val="24"/>
        </w:rPr>
      </w:pPr>
    </w:p>
    <w:p w14:paraId="252C7612">
      <w:pPr>
        <w:spacing w:line="360" w:lineRule="auto"/>
        <w:ind w:firstLine="480" w:firstLineChars="200"/>
        <w:rPr>
          <w:color w:val="auto"/>
          <w:sz w:val="24"/>
        </w:rPr>
      </w:pPr>
      <w:r>
        <w:rPr>
          <w:rFonts w:hint="eastAsia"/>
          <w:color w:val="auto"/>
          <w:sz w:val="24"/>
        </w:rPr>
        <w:t>本单位郑重声明，根据《财政部 民政部 中国残疾人联合会关于促进残疾人就业政府采购政策的通知》</w:t>
      </w:r>
      <w:r>
        <w:rPr>
          <w:rFonts w:hint="eastAsia"/>
          <w:color w:val="auto"/>
          <w:sz w:val="24"/>
          <w:lang w:eastAsia="zh-CN"/>
        </w:rPr>
        <w:t>(</w:t>
      </w:r>
      <w:r>
        <w:rPr>
          <w:rFonts w:hint="eastAsia"/>
          <w:color w:val="auto"/>
          <w:sz w:val="24"/>
        </w:rPr>
        <w:t>财库〔2017〕141号</w:t>
      </w:r>
      <w:r>
        <w:rPr>
          <w:rFonts w:hint="eastAsia"/>
          <w:color w:val="auto"/>
          <w:sz w:val="24"/>
          <w:lang w:eastAsia="zh-CN"/>
        </w:rPr>
        <w:t>)</w:t>
      </w:r>
      <w:r>
        <w:rPr>
          <w:rFonts w:hint="eastAsia"/>
          <w:color w:val="auto"/>
          <w:sz w:val="24"/>
        </w:rPr>
        <w:t>的规定，本单位为符合条件的残疾人福利性单位，且本单位参加______单位的______项目采购活动提供本单位制造的货物</w:t>
      </w:r>
      <w:r>
        <w:rPr>
          <w:rFonts w:hint="eastAsia"/>
          <w:color w:val="auto"/>
          <w:sz w:val="24"/>
          <w:lang w:eastAsia="zh-CN"/>
        </w:rPr>
        <w:t>(</w:t>
      </w:r>
      <w:r>
        <w:rPr>
          <w:rFonts w:hint="eastAsia"/>
          <w:color w:val="auto"/>
          <w:sz w:val="24"/>
        </w:rPr>
        <w:t>由本单位承担工程/提供服务</w:t>
      </w:r>
      <w:r>
        <w:rPr>
          <w:rFonts w:hint="eastAsia"/>
          <w:color w:val="auto"/>
          <w:sz w:val="24"/>
          <w:lang w:eastAsia="zh-CN"/>
        </w:rPr>
        <w:t>)</w:t>
      </w:r>
      <w:r>
        <w:rPr>
          <w:rFonts w:hint="eastAsia"/>
          <w:color w:val="auto"/>
          <w:sz w:val="24"/>
        </w:rPr>
        <w:t>，或者提供其他残疾人福利性单位制造的货物</w:t>
      </w:r>
      <w:r>
        <w:rPr>
          <w:rFonts w:hint="eastAsia"/>
          <w:color w:val="auto"/>
          <w:sz w:val="24"/>
          <w:lang w:eastAsia="zh-CN"/>
        </w:rPr>
        <w:t>(</w:t>
      </w:r>
      <w:r>
        <w:rPr>
          <w:rFonts w:hint="eastAsia"/>
          <w:color w:val="auto"/>
          <w:sz w:val="24"/>
        </w:rPr>
        <w:t>不包括使用非残疾人福利性单位注册商标的货物</w:t>
      </w:r>
      <w:r>
        <w:rPr>
          <w:rFonts w:hint="eastAsia"/>
          <w:color w:val="auto"/>
          <w:sz w:val="24"/>
          <w:lang w:eastAsia="zh-CN"/>
        </w:rPr>
        <w:t>)</w:t>
      </w:r>
      <w:r>
        <w:rPr>
          <w:rFonts w:hint="eastAsia"/>
          <w:color w:val="auto"/>
          <w:sz w:val="24"/>
        </w:rPr>
        <w:t>。</w:t>
      </w:r>
    </w:p>
    <w:p w14:paraId="197037EE">
      <w:pPr>
        <w:spacing w:line="360" w:lineRule="auto"/>
        <w:ind w:firstLine="480" w:firstLineChars="200"/>
        <w:rPr>
          <w:color w:val="auto"/>
          <w:sz w:val="24"/>
        </w:rPr>
      </w:pPr>
    </w:p>
    <w:p w14:paraId="6772C819">
      <w:pPr>
        <w:spacing w:line="360" w:lineRule="auto"/>
        <w:ind w:firstLine="480" w:firstLineChars="200"/>
        <w:rPr>
          <w:color w:val="auto"/>
          <w:sz w:val="24"/>
        </w:rPr>
      </w:pPr>
      <w:r>
        <w:rPr>
          <w:rFonts w:hint="eastAsia"/>
          <w:color w:val="auto"/>
          <w:sz w:val="24"/>
        </w:rPr>
        <w:t>本单位对上述声明的真实性负责。如有虚假，将依法承担相应责任。</w:t>
      </w:r>
    </w:p>
    <w:p w14:paraId="3A27C5CB">
      <w:pPr>
        <w:spacing w:line="360" w:lineRule="auto"/>
        <w:ind w:firstLine="480" w:firstLineChars="200"/>
        <w:rPr>
          <w:color w:val="auto"/>
          <w:sz w:val="24"/>
        </w:rPr>
      </w:pPr>
    </w:p>
    <w:p w14:paraId="1394B90B">
      <w:pPr>
        <w:spacing w:line="360" w:lineRule="auto"/>
        <w:ind w:firstLine="480" w:firstLineChars="200"/>
        <w:rPr>
          <w:color w:val="auto"/>
          <w:sz w:val="24"/>
        </w:rPr>
      </w:pPr>
      <w:r>
        <w:rPr>
          <w:color w:val="auto"/>
          <w:sz w:val="24"/>
        </w:rPr>
        <w:t xml:space="preserve"> </w:t>
      </w:r>
    </w:p>
    <w:p w14:paraId="37003BD2">
      <w:pPr>
        <w:rPr>
          <w:color w:val="auto"/>
          <w:sz w:val="24"/>
        </w:rPr>
      </w:pPr>
    </w:p>
    <w:p w14:paraId="5F42CB92">
      <w:pPr>
        <w:rPr>
          <w:color w:val="auto"/>
          <w:sz w:val="24"/>
        </w:rPr>
      </w:pPr>
      <w:r>
        <w:rPr>
          <w:color w:val="auto"/>
          <w:sz w:val="24"/>
        </w:rPr>
        <w:t xml:space="preserve"> </w:t>
      </w:r>
    </w:p>
    <w:p w14:paraId="450D756C">
      <w:pPr>
        <w:rPr>
          <w:color w:val="auto"/>
          <w:sz w:val="24"/>
        </w:rPr>
      </w:pPr>
    </w:p>
    <w:p w14:paraId="73DB49BF">
      <w:pPr>
        <w:ind w:firstLine="5040" w:firstLineChars="2100"/>
        <w:rPr>
          <w:rFonts w:hint="default"/>
          <w:color w:val="auto"/>
          <w:sz w:val="24"/>
          <w:lang w:val="en-US" w:eastAsia="zh-CN"/>
        </w:rPr>
      </w:pPr>
      <w:r>
        <w:rPr>
          <w:rFonts w:hint="default"/>
          <w:color w:val="auto"/>
          <w:sz w:val="24"/>
          <w:lang w:val="en-US" w:eastAsia="zh-CN"/>
        </w:rPr>
        <w:t>企业名称</w:t>
      </w:r>
      <w:r>
        <w:rPr>
          <w:rFonts w:hint="eastAsia"/>
          <w:color w:val="auto"/>
          <w:sz w:val="24"/>
          <w:lang w:val="en-US" w:eastAsia="zh-CN"/>
        </w:rPr>
        <w:t>(</w:t>
      </w:r>
      <w:r>
        <w:rPr>
          <w:rFonts w:hint="default"/>
          <w:color w:val="auto"/>
          <w:sz w:val="24"/>
          <w:lang w:val="en-US" w:eastAsia="zh-CN"/>
        </w:rPr>
        <w:t>盖章</w:t>
      </w:r>
      <w:r>
        <w:rPr>
          <w:rFonts w:hint="eastAsia"/>
          <w:color w:val="auto"/>
          <w:sz w:val="24"/>
          <w:lang w:val="en-US" w:eastAsia="zh-CN"/>
        </w:rPr>
        <w:t>):</w:t>
      </w:r>
    </w:p>
    <w:p w14:paraId="371B82B0">
      <w:pPr>
        <w:rPr>
          <w:color w:val="auto"/>
          <w:sz w:val="24"/>
        </w:rPr>
      </w:pPr>
    </w:p>
    <w:p w14:paraId="386200B8">
      <w:pPr>
        <w:ind w:firstLine="5040" w:firstLineChars="2100"/>
        <w:rPr>
          <w:rFonts w:hint="eastAsia" w:eastAsia="宋体"/>
          <w:color w:val="auto"/>
          <w:sz w:val="24"/>
          <w:lang w:eastAsia="zh-CN"/>
        </w:rPr>
      </w:pPr>
      <w:r>
        <w:rPr>
          <w:rFonts w:hint="eastAsia"/>
          <w:color w:val="auto"/>
          <w:sz w:val="24"/>
        </w:rPr>
        <w:t>日  期</w:t>
      </w:r>
      <w:r>
        <w:rPr>
          <w:rFonts w:hint="eastAsia"/>
          <w:color w:val="auto"/>
          <w:sz w:val="24"/>
          <w:lang w:eastAsia="zh-CN"/>
        </w:rPr>
        <w:t>:</w:t>
      </w:r>
    </w:p>
    <w:p w14:paraId="2E679AA4">
      <w:pPr>
        <w:rPr>
          <w:color w:val="auto"/>
          <w:sz w:val="24"/>
        </w:rPr>
      </w:pPr>
    </w:p>
    <w:p w14:paraId="739AA389">
      <w:pPr>
        <w:pStyle w:val="81"/>
        <w:snapToGrid w:val="0"/>
        <w:spacing w:beforeLines="50"/>
        <w:jc w:val="center"/>
        <w:rPr>
          <w:rFonts w:ascii="仿宋_GB2312" w:hAnsi="宋体" w:eastAsia="仿宋_GB2312"/>
          <w:b/>
          <w:color w:val="auto"/>
          <w:sz w:val="24"/>
        </w:rPr>
      </w:pPr>
    </w:p>
    <w:p w14:paraId="34963C90">
      <w:pPr>
        <w:jc w:val="left"/>
        <w:outlineLvl w:val="1"/>
        <w:rPr>
          <w:b/>
          <w:bCs/>
          <w:color w:val="auto"/>
          <w:sz w:val="24"/>
        </w:rPr>
      </w:pPr>
      <w:r>
        <w:rPr>
          <w:rFonts w:ascii="宋体" w:hAnsi="宋体" w:cs="宋体"/>
          <w:color w:val="auto"/>
          <w:sz w:val="24"/>
        </w:rPr>
        <w:br w:type="page"/>
      </w:r>
      <w:bookmarkStart w:id="308" w:name="_Toc32222"/>
      <w:bookmarkStart w:id="309" w:name="_Toc20279"/>
      <w:bookmarkStart w:id="310" w:name="_Toc15941"/>
      <w:r>
        <w:rPr>
          <w:rFonts w:hint="eastAsia" w:ascii="宋体" w:hAnsi="宋体" w:eastAsia="宋体" w:cs="宋体"/>
          <w:b/>
          <w:color w:val="auto"/>
          <w:sz w:val="24"/>
        </w:rPr>
        <w:t>附件12 投标承诺书</w:t>
      </w:r>
      <w:bookmarkEnd w:id="308"/>
      <w:bookmarkEnd w:id="309"/>
      <w:bookmarkEnd w:id="310"/>
    </w:p>
    <w:p w14:paraId="5BD15CD1">
      <w:pPr>
        <w:rPr>
          <w:rFonts w:ascii="宋体" w:hAnsi="宋体"/>
          <w:color w:val="auto"/>
          <w:szCs w:val="21"/>
        </w:rPr>
      </w:pPr>
    </w:p>
    <w:p w14:paraId="146D5B3C">
      <w:pPr>
        <w:jc w:val="center"/>
        <w:rPr>
          <w:rFonts w:ascii="宋体" w:hAnsi="宋体"/>
          <w:color w:val="auto"/>
          <w:sz w:val="32"/>
          <w:szCs w:val="32"/>
        </w:rPr>
      </w:pPr>
      <w:r>
        <w:rPr>
          <w:rFonts w:hint="eastAsia" w:ascii="宋体" w:hAnsi="宋体"/>
          <w:color w:val="auto"/>
          <w:sz w:val="32"/>
          <w:szCs w:val="32"/>
        </w:rPr>
        <w:t>投标承诺书</w:t>
      </w:r>
    </w:p>
    <w:p w14:paraId="73E0D395">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w:t>
      </w:r>
    </w:p>
    <w:p w14:paraId="59C6821D">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我方在此声明，我方以下事项进行承诺</w:t>
      </w:r>
      <w:r>
        <w:rPr>
          <w:rFonts w:hint="eastAsia" w:ascii="宋体" w:hAnsi="宋体" w:eastAsia="宋体" w:cs="宋体"/>
          <w:color w:val="auto"/>
          <w:sz w:val="24"/>
          <w:szCs w:val="24"/>
          <w:lang w:eastAsia="zh-CN"/>
        </w:rPr>
        <w:t>:</w:t>
      </w:r>
    </w:p>
    <w:p w14:paraId="412A525E">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在本次投标中我公司无与其他</w:t>
      </w:r>
      <w:r>
        <w:rPr>
          <w:rFonts w:hint="eastAsia" w:ascii="宋体" w:hAnsi="宋体" w:cs="宋体"/>
          <w:color w:val="auto"/>
          <w:sz w:val="24"/>
          <w:szCs w:val="24"/>
          <w:lang w:eastAsia="zh-CN"/>
        </w:rPr>
        <w:t>供应商</w:t>
      </w:r>
      <w:r>
        <w:rPr>
          <w:rFonts w:hint="eastAsia" w:ascii="宋体" w:hAnsi="宋体" w:eastAsia="宋体" w:cs="宋体"/>
          <w:color w:val="auto"/>
          <w:sz w:val="24"/>
          <w:szCs w:val="24"/>
        </w:rPr>
        <w:t>相互串通投标，或与采购人串通投标的行为；</w:t>
      </w:r>
    </w:p>
    <w:p w14:paraId="60E4F66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在本次投标中我公司无向采购人或评标委员会成员行贿的手段谋取中标的行为；</w:t>
      </w:r>
    </w:p>
    <w:p w14:paraId="3F303A7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在本次投标中我公司无出借或借用资质行为、在投标文件中所附资料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业绩、项目负责人资料等</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无弄虚作假；</w:t>
      </w:r>
    </w:p>
    <w:p w14:paraId="0777AFE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我公司没有处于被责令停产、停业、投标资格被取消状态；</w:t>
      </w:r>
    </w:p>
    <w:p w14:paraId="42E651F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5</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我公司不采用非法手段获取证据进行质疑、投诉，在质疑、投诉过程中不提供虚假情况或进行恶意质疑、投诉。</w:t>
      </w:r>
    </w:p>
    <w:p w14:paraId="12F34CEF">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上述承诺内容如有不实，我公司愿意承担由此造成的一切法律责任，并承诺以投标保证金赔偿给采购人造成的损失。</w:t>
      </w:r>
    </w:p>
    <w:p w14:paraId="53936F5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特此承诺</w:t>
      </w:r>
    </w:p>
    <w:p w14:paraId="7E87F8CA">
      <w:pPr>
        <w:spacing w:line="360" w:lineRule="auto"/>
        <w:ind w:firstLine="480" w:firstLineChars="200"/>
        <w:rPr>
          <w:rFonts w:hint="eastAsia" w:ascii="宋体" w:hAnsi="宋体" w:eastAsia="宋体" w:cs="宋体"/>
          <w:color w:val="auto"/>
          <w:sz w:val="24"/>
          <w:szCs w:val="24"/>
        </w:rPr>
      </w:pPr>
    </w:p>
    <w:p w14:paraId="057D14A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cs="宋体"/>
          <w:color w:val="auto"/>
          <w:sz w:val="24"/>
          <w:szCs w:val="24"/>
          <w:lang w:eastAsia="zh-CN"/>
        </w:rPr>
        <w:t>供应商</w:t>
      </w:r>
      <w:r>
        <w:rPr>
          <w:rFonts w:hint="eastAsia" w:ascii="宋体" w:hAnsi="宋体" w:eastAsia="宋体" w:cs="宋体"/>
          <w:color w:val="auto"/>
          <w:sz w:val="24"/>
          <w:szCs w:val="24"/>
        </w:rPr>
        <w:t xml:space="preserve">名称(公章): </w:t>
      </w:r>
    </w:p>
    <w:p w14:paraId="12EC004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法定代表人或其委托代理人(签字或盖章):</w:t>
      </w:r>
    </w:p>
    <w:p w14:paraId="1ACEFDA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日期：</w:t>
      </w:r>
      <w:r>
        <w:rPr>
          <w:rFonts w:hint="eastAsia" w:ascii="宋体" w:hAnsi="宋体" w:eastAsia="宋体" w:cs="宋体"/>
          <w:color w:val="auto"/>
          <w:sz w:val="24"/>
          <w:szCs w:val="24"/>
          <w:lang w:val="en-US" w:eastAsia="zh-CN"/>
        </w:rPr>
        <w:t xml:space="preserve">  年  月  日</w:t>
      </w:r>
    </w:p>
    <w:p w14:paraId="165EF06B">
      <w:pPr>
        <w:widowControl/>
        <w:jc w:val="left"/>
        <w:rPr>
          <w:rFonts w:ascii="宋体" w:hAnsi="宋体" w:cs="宋体"/>
          <w:color w:val="auto"/>
          <w:sz w:val="24"/>
        </w:rPr>
      </w:pPr>
    </w:p>
    <w:p w14:paraId="31153587">
      <w:pPr>
        <w:pStyle w:val="81"/>
        <w:snapToGrid w:val="0"/>
        <w:spacing w:beforeLines="50"/>
        <w:rPr>
          <w:rFonts w:hAnsi="宋体" w:cs="宋体"/>
          <w:color w:val="auto"/>
          <w:sz w:val="24"/>
          <w:szCs w:val="24"/>
        </w:rPr>
      </w:pPr>
    </w:p>
    <w:p w14:paraId="64B9D52F">
      <w:pPr>
        <w:widowControl/>
        <w:jc w:val="left"/>
        <w:rPr>
          <w:rFonts w:ascii="宋体" w:hAnsi="宋体"/>
          <w:color w:val="auto"/>
          <w:sz w:val="24"/>
        </w:rPr>
      </w:pPr>
    </w:p>
    <w:p w14:paraId="15D941C1">
      <w:pPr>
        <w:adjustRightInd w:val="0"/>
        <w:spacing w:line="360" w:lineRule="atLeast"/>
        <w:jc w:val="left"/>
        <w:textAlignment w:val="baseline"/>
        <w:rPr>
          <w:b/>
          <w:color w:val="auto"/>
          <w:sz w:val="30"/>
          <w:szCs w:val="30"/>
        </w:rPr>
      </w:pPr>
      <w:r>
        <w:rPr>
          <w:b/>
          <w:color w:val="auto"/>
          <w:spacing w:val="20"/>
          <w:sz w:val="24"/>
        </w:rPr>
        <w:br w:type="page"/>
      </w:r>
    </w:p>
    <w:p w14:paraId="6B04E50E">
      <w:pPr>
        <w:spacing w:line="360" w:lineRule="auto"/>
        <w:outlineLvl w:val="1"/>
        <w:rPr>
          <w:rFonts w:hint="eastAsia" w:ascii="宋体" w:hAnsi="宋体" w:eastAsia="宋体" w:cs="宋体"/>
          <w:b/>
          <w:color w:val="auto"/>
          <w:sz w:val="24"/>
          <w:szCs w:val="24"/>
          <w:lang w:val="en-US" w:eastAsia="zh-CN"/>
        </w:rPr>
      </w:pPr>
      <w:bookmarkStart w:id="311" w:name="_Toc8760"/>
      <w:bookmarkStart w:id="312" w:name="_Toc10674"/>
      <w:bookmarkStart w:id="313" w:name="_Toc416103825"/>
      <w:bookmarkStart w:id="314" w:name="_Toc414445775"/>
      <w:bookmarkStart w:id="315" w:name="_Toc410631184"/>
      <w:bookmarkStart w:id="316" w:name="_Toc15161"/>
      <w:r>
        <w:rPr>
          <w:rFonts w:hint="eastAsia" w:ascii="宋体" w:hAnsi="宋体" w:eastAsia="宋体" w:cs="宋体"/>
          <w:b/>
          <w:color w:val="auto"/>
          <w:sz w:val="24"/>
          <w:szCs w:val="24"/>
          <w:lang w:val="en-US" w:eastAsia="zh-CN"/>
        </w:rPr>
        <w:t>附件13 技术偏离表</w:t>
      </w:r>
      <w:bookmarkEnd w:id="311"/>
      <w:bookmarkEnd w:id="312"/>
      <w:bookmarkEnd w:id="313"/>
      <w:bookmarkEnd w:id="314"/>
      <w:bookmarkEnd w:id="315"/>
      <w:bookmarkEnd w:id="316"/>
    </w:p>
    <w:p w14:paraId="6DEC0550">
      <w:pPr>
        <w:spacing w:after="240"/>
        <w:ind w:hanging="119"/>
        <w:rPr>
          <w:color w:val="auto"/>
        </w:rPr>
      </w:pPr>
    </w:p>
    <w:p w14:paraId="3D59CEFC">
      <w:pPr>
        <w:spacing w:after="240"/>
        <w:ind w:hanging="119"/>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供应商</w:t>
      </w:r>
      <w:r>
        <w:rPr>
          <w:rFonts w:hint="eastAsia" w:ascii="宋体" w:hAnsi="宋体" w:eastAsia="宋体" w:cs="宋体"/>
          <w:color w:val="auto"/>
          <w:sz w:val="24"/>
          <w:szCs w:val="24"/>
        </w:rPr>
        <w:t>名称</w:t>
      </w:r>
      <w:r>
        <w:rPr>
          <w:rFonts w:hint="eastAsia" w:ascii="宋体" w:hAnsi="宋体" w:eastAsia="宋体" w:cs="宋体"/>
          <w:color w:val="auto"/>
          <w:sz w:val="24"/>
          <w:szCs w:val="24"/>
          <w:lang w:eastAsia="zh-CN"/>
        </w:rPr>
        <w:t>:</w:t>
      </w:r>
    </w:p>
    <w:tbl>
      <w:tblPr>
        <w:tblStyle w:val="43"/>
        <w:tblW w:w="88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28"/>
        <w:gridCol w:w="1920"/>
        <w:gridCol w:w="2160"/>
        <w:gridCol w:w="1800"/>
        <w:gridCol w:w="1440"/>
        <w:gridCol w:w="900"/>
      </w:tblGrid>
      <w:tr w14:paraId="05350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800" w:hRule="atLeast"/>
        </w:trPr>
        <w:tc>
          <w:tcPr>
            <w:tcW w:w="628" w:type="dxa"/>
            <w:noWrap w:val="0"/>
            <w:vAlign w:val="center"/>
          </w:tcPr>
          <w:p w14:paraId="6BDA83A7">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920" w:type="dxa"/>
            <w:noWrap w:val="0"/>
            <w:vAlign w:val="center"/>
          </w:tcPr>
          <w:p w14:paraId="361BA5AE">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招标文件条目号</w:t>
            </w:r>
          </w:p>
        </w:tc>
        <w:tc>
          <w:tcPr>
            <w:tcW w:w="2160" w:type="dxa"/>
            <w:noWrap w:val="0"/>
            <w:vAlign w:val="center"/>
          </w:tcPr>
          <w:p w14:paraId="4CEA3CE2">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招标文件的规定</w:t>
            </w:r>
          </w:p>
          <w:p w14:paraId="53A95F20">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和要求</w:t>
            </w:r>
          </w:p>
        </w:tc>
        <w:tc>
          <w:tcPr>
            <w:tcW w:w="1800" w:type="dxa"/>
            <w:noWrap w:val="0"/>
            <w:vAlign w:val="center"/>
          </w:tcPr>
          <w:p w14:paraId="6E3227B1">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投标文件的响应</w:t>
            </w:r>
          </w:p>
        </w:tc>
        <w:tc>
          <w:tcPr>
            <w:tcW w:w="1440" w:type="dxa"/>
            <w:noWrap w:val="0"/>
            <w:vAlign w:val="center"/>
          </w:tcPr>
          <w:p w14:paraId="1D5E9DC7">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偏差</w:t>
            </w:r>
          </w:p>
        </w:tc>
        <w:tc>
          <w:tcPr>
            <w:tcW w:w="900" w:type="dxa"/>
            <w:noWrap w:val="0"/>
            <w:vAlign w:val="center"/>
          </w:tcPr>
          <w:p w14:paraId="15ADAF7E">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说明</w:t>
            </w:r>
          </w:p>
        </w:tc>
      </w:tr>
      <w:tr w14:paraId="1933C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1" w:hRule="atLeast"/>
        </w:trPr>
        <w:tc>
          <w:tcPr>
            <w:tcW w:w="628" w:type="dxa"/>
            <w:noWrap w:val="0"/>
            <w:vAlign w:val="center"/>
          </w:tcPr>
          <w:p w14:paraId="714C87E4">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920" w:type="dxa"/>
            <w:noWrap w:val="0"/>
            <w:vAlign w:val="center"/>
          </w:tcPr>
          <w:p w14:paraId="395221AA">
            <w:pPr>
              <w:spacing w:line="240" w:lineRule="auto"/>
              <w:rPr>
                <w:rFonts w:hint="eastAsia" w:ascii="宋体" w:hAnsi="宋体" w:eastAsia="宋体" w:cs="宋体"/>
                <w:color w:val="auto"/>
                <w:sz w:val="24"/>
                <w:szCs w:val="24"/>
              </w:rPr>
            </w:pPr>
          </w:p>
        </w:tc>
        <w:tc>
          <w:tcPr>
            <w:tcW w:w="2160" w:type="dxa"/>
            <w:noWrap w:val="0"/>
            <w:vAlign w:val="center"/>
          </w:tcPr>
          <w:p w14:paraId="1A704326">
            <w:pPr>
              <w:spacing w:line="240" w:lineRule="auto"/>
              <w:rPr>
                <w:rFonts w:hint="eastAsia" w:ascii="宋体" w:hAnsi="宋体" w:eastAsia="宋体" w:cs="宋体"/>
                <w:color w:val="auto"/>
                <w:sz w:val="24"/>
                <w:szCs w:val="24"/>
              </w:rPr>
            </w:pPr>
          </w:p>
        </w:tc>
        <w:tc>
          <w:tcPr>
            <w:tcW w:w="1800" w:type="dxa"/>
            <w:noWrap w:val="0"/>
            <w:vAlign w:val="center"/>
          </w:tcPr>
          <w:p w14:paraId="5D46CB74">
            <w:pPr>
              <w:spacing w:line="240" w:lineRule="auto"/>
              <w:rPr>
                <w:rFonts w:hint="eastAsia" w:ascii="宋体" w:hAnsi="宋体" w:eastAsia="宋体" w:cs="宋体"/>
                <w:color w:val="auto"/>
                <w:sz w:val="24"/>
                <w:szCs w:val="24"/>
              </w:rPr>
            </w:pPr>
          </w:p>
        </w:tc>
        <w:tc>
          <w:tcPr>
            <w:tcW w:w="1440" w:type="dxa"/>
            <w:noWrap w:val="0"/>
            <w:vAlign w:val="center"/>
          </w:tcPr>
          <w:p w14:paraId="649D6FB0">
            <w:pPr>
              <w:spacing w:line="240" w:lineRule="auto"/>
              <w:rPr>
                <w:rFonts w:hint="eastAsia" w:ascii="宋体" w:hAnsi="宋体" w:eastAsia="宋体" w:cs="宋体"/>
                <w:color w:val="auto"/>
                <w:sz w:val="24"/>
                <w:szCs w:val="24"/>
              </w:rPr>
            </w:pPr>
          </w:p>
        </w:tc>
        <w:tc>
          <w:tcPr>
            <w:tcW w:w="900" w:type="dxa"/>
            <w:noWrap w:val="0"/>
            <w:vAlign w:val="center"/>
          </w:tcPr>
          <w:p w14:paraId="5849B6E4">
            <w:pPr>
              <w:spacing w:line="240" w:lineRule="auto"/>
              <w:rPr>
                <w:rFonts w:hint="eastAsia" w:ascii="宋体" w:hAnsi="宋体" w:eastAsia="宋体" w:cs="宋体"/>
                <w:color w:val="auto"/>
                <w:sz w:val="24"/>
                <w:szCs w:val="24"/>
              </w:rPr>
            </w:pPr>
          </w:p>
        </w:tc>
      </w:tr>
      <w:tr w14:paraId="33439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1" w:hRule="atLeast"/>
        </w:trPr>
        <w:tc>
          <w:tcPr>
            <w:tcW w:w="628" w:type="dxa"/>
            <w:noWrap w:val="0"/>
            <w:vAlign w:val="center"/>
          </w:tcPr>
          <w:p w14:paraId="4DE51058">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920" w:type="dxa"/>
            <w:noWrap w:val="0"/>
            <w:vAlign w:val="center"/>
          </w:tcPr>
          <w:p w14:paraId="6C54EC5B">
            <w:pPr>
              <w:spacing w:line="240" w:lineRule="auto"/>
              <w:rPr>
                <w:rFonts w:hint="eastAsia" w:ascii="宋体" w:hAnsi="宋体" w:eastAsia="宋体" w:cs="宋体"/>
                <w:color w:val="auto"/>
                <w:sz w:val="24"/>
                <w:szCs w:val="24"/>
              </w:rPr>
            </w:pPr>
          </w:p>
        </w:tc>
        <w:tc>
          <w:tcPr>
            <w:tcW w:w="2160" w:type="dxa"/>
            <w:noWrap w:val="0"/>
            <w:vAlign w:val="center"/>
          </w:tcPr>
          <w:p w14:paraId="5B2AF09E">
            <w:pPr>
              <w:spacing w:line="240" w:lineRule="auto"/>
              <w:rPr>
                <w:rFonts w:hint="eastAsia" w:ascii="宋体" w:hAnsi="宋体" w:eastAsia="宋体" w:cs="宋体"/>
                <w:color w:val="auto"/>
                <w:sz w:val="24"/>
                <w:szCs w:val="24"/>
              </w:rPr>
            </w:pPr>
          </w:p>
        </w:tc>
        <w:tc>
          <w:tcPr>
            <w:tcW w:w="1800" w:type="dxa"/>
            <w:noWrap w:val="0"/>
            <w:vAlign w:val="center"/>
          </w:tcPr>
          <w:p w14:paraId="273F4B87">
            <w:pPr>
              <w:spacing w:line="240" w:lineRule="auto"/>
              <w:rPr>
                <w:rFonts w:hint="eastAsia" w:ascii="宋体" w:hAnsi="宋体" w:eastAsia="宋体" w:cs="宋体"/>
                <w:color w:val="auto"/>
                <w:sz w:val="24"/>
                <w:szCs w:val="24"/>
              </w:rPr>
            </w:pPr>
          </w:p>
        </w:tc>
        <w:tc>
          <w:tcPr>
            <w:tcW w:w="1440" w:type="dxa"/>
            <w:noWrap w:val="0"/>
            <w:vAlign w:val="center"/>
          </w:tcPr>
          <w:p w14:paraId="4385BA4E">
            <w:pPr>
              <w:spacing w:line="240" w:lineRule="auto"/>
              <w:rPr>
                <w:rFonts w:hint="eastAsia" w:ascii="宋体" w:hAnsi="宋体" w:eastAsia="宋体" w:cs="宋体"/>
                <w:color w:val="auto"/>
                <w:sz w:val="24"/>
                <w:szCs w:val="24"/>
              </w:rPr>
            </w:pPr>
          </w:p>
        </w:tc>
        <w:tc>
          <w:tcPr>
            <w:tcW w:w="900" w:type="dxa"/>
            <w:noWrap w:val="0"/>
            <w:vAlign w:val="center"/>
          </w:tcPr>
          <w:p w14:paraId="1122A3B1">
            <w:pPr>
              <w:spacing w:line="240" w:lineRule="auto"/>
              <w:rPr>
                <w:rFonts w:hint="eastAsia" w:ascii="宋体" w:hAnsi="宋体" w:eastAsia="宋体" w:cs="宋体"/>
                <w:color w:val="auto"/>
                <w:sz w:val="24"/>
                <w:szCs w:val="24"/>
              </w:rPr>
            </w:pPr>
          </w:p>
        </w:tc>
      </w:tr>
      <w:tr w14:paraId="59FBE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1" w:hRule="atLeast"/>
        </w:trPr>
        <w:tc>
          <w:tcPr>
            <w:tcW w:w="628" w:type="dxa"/>
            <w:noWrap w:val="0"/>
            <w:vAlign w:val="center"/>
          </w:tcPr>
          <w:p w14:paraId="5205183E">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1920" w:type="dxa"/>
            <w:noWrap w:val="0"/>
            <w:vAlign w:val="center"/>
          </w:tcPr>
          <w:p w14:paraId="4D4F82E7">
            <w:pPr>
              <w:spacing w:line="240" w:lineRule="auto"/>
              <w:rPr>
                <w:rFonts w:hint="eastAsia" w:ascii="宋体" w:hAnsi="宋体" w:eastAsia="宋体" w:cs="宋体"/>
                <w:color w:val="auto"/>
                <w:sz w:val="24"/>
                <w:szCs w:val="24"/>
              </w:rPr>
            </w:pPr>
          </w:p>
        </w:tc>
        <w:tc>
          <w:tcPr>
            <w:tcW w:w="2160" w:type="dxa"/>
            <w:noWrap w:val="0"/>
            <w:vAlign w:val="center"/>
          </w:tcPr>
          <w:p w14:paraId="7CD50043">
            <w:pPr>
              <w:spacing w:line="240" w:lineRule="auto"/>
              <w:rPr>
                <w:rFonts w:hint="eastAsia" w:ascii="宋体" w:hAnsi="宋体" w:eastAsia="宋体" w:cs="宋体"/>
                <w:color w:val="auto"/>
                <w:sz w:val="24"/>
                <w:szCs w:val="24"/>
              </w:rPr>
            </w:pPr>
          </w:p>
        </w:tc>
        <w:tc>
          <w:tcPr>
            <w:tcW w:w="1800" w:type="dxa"/>
            <w:noWrap w:val="0"/>
            <w:vAlign w:val="center"/>
          </w:tcPr>
          <w:p w14:paraId="36124B36">
            <w:pPr>
              <w:spacing w:line="240" w:lineRule="auto"/>
              <w:rPr>
                <w:rFonts w:hint="eastAsia" w:ascii="宋体" w:hAnsi="宋体" w:eastAsia="宋体" w:cs="宋体"/>
                <w:color w:val="auto"/>
                <w:sz w:val="24"/>
                <w:szCs w:val="24"/>
              </w:rPr>
            </w:pPr>
          </w:p>
        </w:tc>
        <w:tc>
          <w:tcPr>
            <w:tcW w:w="1440" w:type="dxa"/>
            <w:noWrap w:val="0"/>
            <w:vAlign w:val="center"/>
          </w:tcPr>
          <w:p w14:paraId="4D537394">
            <w:pPr>
              <w:spacing w:line="240" w:lineRule="auto"/>
              <w:rPr>
                <w:rFonts w:hint="eastAsia" w:ascii="宋体" w:hAnsi="宋体" w:eastAsia="宋体" w:cs="宋体"/>
                <w:color w:val="auto"/>
                <w:sz w:val="24"/>
                <w:szCs w:val="24"/>
              </w:rPr>
            </w:pPr>
          </w:p>
        </w:tc>
        <w:tc>
          <w:tcPr>
            <w:tcW w:w="900" w:type="dxa"/>
            <w:noWrap w:val="0"/>
            <w:vAlign w:val="center"/>
          </w:tcPr>
          <w:p w14:paraId="6ADAA8D3">
            <w:pPr>
              <w:spacing w:line="240" w:lineRule="auto"/>
              <w:rPr>
                <w:rFonts w:hint="eastAsia" w:ascii="宋体" w:hAnsi="宋体" w:eastAsia="宋体" w:cs="宋体"/>
                <w:color w:val="auto"/>
                <w:sz w:val="24"/>
                <w:szCs w:val="24"/>
              </w:rPr>
            </w:pPr>
          </w:p>
        </w:tc>
      </w:tr>
      <w:tr w14:paraId="6B8B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1" w:hRule="atLeast"/>
        </w:trPr>
        <w:tc>
          <w:tcPr>
            <w:tcW w:w="628" w:type="dxa"/>
            <w:noWrap w:val="0"/>
            <w:vAlign w:val="center"/>
          </w:tcPr>
          <w:p w14:paraId="68B2F175">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1920" w:type="dxa"/>
            <w:noWrap w:val="0"/>
            <w:vAlign w:val="center"/>
          </w:tcPr>
          <w:p w14:paraId="39AA323C">
            <w:pPr>
              <w:spacing w:line="240" w:lineRule="auto"/>
              <w:rPr>
                <w:rFonts w:hint="eastAsia" w:ascii="宋体" w:hAnsi="宋体" w:eastAsia="宋体" w:cs="宋体"/>
                <w:color w:val="auto"/>
                <w:sz w:val="24"/>
                <w:szCs w:val="24"/>
              </w:rPr>
            </w:pPr>
          </w:p>
        </w:tc>
        <w:tc>
          <w:tcPr>
            <w:tcW w:w="2160" w:type="dxa"/>
            <w:noWrap w:val="0"/>
            <w:vAlign w:val="center"/>
          </w:tcPr>
          <w:p w14:paraId="65609167">
            <w:pPr>
              <w:spacing w:line="240" w:lineRule="auto"/>
              <w:rPr>
                <w:rFonts w:hint="eastAsia" w:ascii="宋体" w:hAnsi="宋体" w:eastAsia="宋体" w:cs="宋体"/>
                <w:color w:val="auto"/>
                <w:sz w:val="24"/>
                <w:szCs w:val="24"/>
              </w:rPr>
            </w:pPr>
          </w:p>
        </w:tc>
        <w:tc>
          <w:tcPr>
            <w:tcW w:w="1800" w:type="dxa"/>
            <w:noWrap w:val="0"/>
            <w:vAlign w:val="center"/>
          </w:tcPr>
          <w:p w14:paraId="124C66FD">
            <w:pPr>
              <w:spacing w:line="240" w:lineRule="auto"/>
              <w:rPr>
                <w:rFonts w:hint="eastAsia" w:ascii="宋体" w:hAnsi="宋体" w:eastAsia="宋体" w:cs="宋体"/>
                <w:color w:val="auto"/>
                <w:sz w:val="24"/>
                <w:szCs w:val="24"/>
              </w:rPr>
            </w:pPr>
          </w:p>
        </w:tc>
        <w:tc>
          <w:tcPr>
            <w:tcW w:w="1440" w:type="dxa"/>
            <w:noWrap w:val="0"/>
            <w:vAlign w:val="center"/>
          </w:tcPr>
          <w:p w14:paraId="576549A1">
            <w:pPr>
              <w:spacing w:line="240" w:lineRule="auto"/>
              <w:rPr>
                <w:rFonts w:hint="eastAsia" w:ascii="宋体" w:hAnsi="宋体" w:eastAsia="宋体" w:cs="宋体"/>
                <w:color w:val="auto"/>
                <w:sz w:val="24"/>
                <w:szCs w:val="24"/>
              </w:rPr>
            </w:pPr>
          </w:p>
        </w:tc>
        <w:tc>
          <w:tcPr>
            <w:tcW w:w="900" w:type="dxa"/>
            <w:noWrap w:val="0"/>
            <w:vAlign w:val="center"/>
          </w:tcPr>
          <w:p w14:paraId="76432281">
            <w:pPr>
              <w:spacing w:line="240" w:lineRule="auto"/>
              <w:rPr>
                <w:rFonts w:hint="eastAsia" w:ascii="宋体" w:hAnsi="宋体" w:eastAsia="宋体" w:cs="宋体"/>
                <w:color w:val="auto"/>
                <w:sz w:val="24"/>
                <w:szCs w:val="24"/>
              </w:rPr>
            </w:pPr>
          </w:p>
        </w:tc>
      </w:tr>
      <w:tr w14:paraId="61479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1" w:hRule="atLeast"/>
        </w:trPr>
        <w:tc>
          <w:tcPr>
            <w:tcW w:w="628" w:type="dxa"/>
            <w:noWrap w:val="0"/>
            <w:vAlign w:val="center"/>
          </w:tcPr>
          <w:p w14:paraId="0A9AC34E">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5</w:t>
            </w:r>
          </w:p>
        </w:tc>
        <w:tc>
          <w:tcPr>
            <w:tcW w:w="1920" w:type="dxa"/>
            <w:noWrap w:val="0"/>
            <w:vAlign w:val="center"/>
          </w:tcPr>
          <w:p w14:paraId="25A08138">
            <w:pPr>
              <w:spacing w:line="240" w:lineRule="auto"/>
              <w:rPr>
                <w:rFonts w:hint="eastAsia" w:ascii="宋体" w:hAnsi="宋体" w:eastAsia="宋体" w:cs="宋体"/>
                <w:color w:val="auto"/>
                <w:sz w:val="24"/>
                <w:szCs w:val="24"/>
              </w:rPr>
            </w:pPr>
          </w:p>
        </w:tc>
        <w:tc>
          <w:tcPr>
            <w:tcW w:w="2160" w:type="dxa"/>
            <w:noWrap w:val="0"/>
            <w:vAlign w:val="center"/>
          </w:tcPr>
          <w:p w14:paraId="32A33DCC">
            <w:pPr>
              <w:spacing w:line="240" w:lineRule="auto"/>
              <w:rPr>
                <w:rFonts w:hint="eastAsia" w:ascii="宋体" w:hAnsi="宋体" w:eastAsia="宋体" w:cs="宋体"/>
                <w:color w:val="auto"/>
                <w:sz w:val="24"/>
                <w:szCs w:val="24"/>
              </w:rPr>
            </w:pPr>
          </w:p>
        </w:tc>
        <w:tc>
          <w:tcPr>
            <w:tcW w:w="1800" w:type="dxa"/>
            <w:noWrap w:val="0"/>
            <w:vAlign w:val="center"/>
          </w:tcPr>
          <w:p w14:paraId="43188710">
            <w:pPr>
              <w:spacing w:line="240" w:lineRule="auto"/>
              <w:rPr>
                <w:rFonts w:hint="eastAsia" w:ascii="宋体" w:hAnsi="宋体" w:eastAsia="宋体" w:cs="宋体"/>
                <w:color w:val="auto"/>
                <w:sz w:val="24"/>
                <w:szCs w:val="24"/>
              </w:rPr>
            </w:pPr>
          </w:p>
        </w:tc>
        <w:tc>
          <w:tcPr>
            <w:tcW w:w="1440" w:type="dxa"/>
            <w:noWrap w:val="0"/>
            <w:vAlign w:val="center"/>
          </w:tcPr>
          <w:p w14:paraId="7EA13F45">
            <w:pPr>
              <w:spacing w:line="240" w:lineRule="auto"/>
              <w:rPr>
                <w:rFonts w:hint="eastAsia" w:ascii="宋体" w:hAnsi="宋体" w:eastAsia="宋体" w:cs="宋体"/>
                <w:color w:val="auto"/>
                <w:sz w:val="24"/>
                <w:szCs w:val="24"/>
              </w:rPr>
            </w:pPr>
          </w:p>
        </w:tc>
        <w:tc>
          <w:tcPr>
            <w:tcW w:w="900" w:type="dxa"/>
            <w:noWrap w:val="0"/>
            <w:vAlign w:val="center"/>
          </w:tcPr>
          <w:p w14:paraId="14420CE7">
            <w:pPr>
              <w:spacing w:line="240" w:lineRule="auto"/>
              <w:rPr>
                <w:rFonts w:hint="eastAsia" w:ascii="宋体" w:hAnsi="宋体" w:eastAsia="宋体" w:cs="宋体"/>
                <w:color w:val="auto"/>
                <w:sz w:val="24"/>
                <w:szCs w:val="24"/>
              </w:rPr>
            </w:pPr>
          </w:p>
        </w:tc>
      </w:tr>
      <w:tr w14:paraId="2FCA0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1" w:hRule="atLeast"/>
        </w:trPr>
        <w:tc>
          <w:tcPr>
            <w:tcW w:w="628" w:type="dxa"/>
            <w:noWrap w:val="0"/>
            <w:vAlign w:val="center"/>
          </w:tcPr>
          <w:p w14:paraId="7F1C9BEC">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6</w:t>
            </w:r>
          </w:p>
        </w:tc>
        <w:tc>
          <w:tcPr>
            <w:tcW w:w="1920" w:type="dxa"/>
            <w:noWrap w:val="0"/>
            <w:vAlign w:val="center"/>
          </w:tcPr>
          <w:p w14:paraId="0A77FBFB">
            <w:pPr>
              <w:spacing w:line="240" w:lineRule="auto"/>
              <w:rPr>
                <w:rFonts w:hint="eastAsia" w:ascii="宋体" w:hAnsi="宋体" w:eastAsia="宋体" w:cs="宋体"/>
                <w:color w:val="auto"/>
                <w:sz w:val="24"/>
                <w:szCs w:val="24"/>
              </w:rPr>
            </w:pPr>
          </w:p>
        </w:tc>
        <w:tc>
          <w:tcPr>
            <w:tcW w:w="2160" w:type="dxa"/>
            <w:noWrap w:val="0"/>
            <w:vAlign w:val="center"/>
          </w:tcPr>
          <w:p w14:paraId="37B14AC6">
            <w:pPr>
              <w:spacing w:line="240" w:lineRule="auto"/>
              <w:rPr>
                <w:rFonts w:hint="eastAsia" w:ascii="宋体" w:hAnsi="宋体" w:eastAsia="宋体" w:cs="宋体"/>
                <w:color w:val="auto"/>
                <w:sz w:val="24"/>
                <w:szCs w:val="24"/>
              </w:rPr>
            </w:pPr>
          </w:p>
        </w:tc>
        <w:tc>
          <w:tcPr>
            <w:tcW w:w="1800" w:type="dxa"/>
            <w:noWrap w:val="0"/>
            <w:vAlign w:val="center"/>
          </w:tcPr>
          <w:p w14:paraId="2B16ADCD">
            <w:pPr>
              <w:spacing w:line="240" w:lineRule="auto"/>
              <w:rPr>
                <w:rFonts w:hint="eastAsia" w:ascii="宋体" w:hAnsi="宋体" w:eastAsia="宋体" w:cs="宋体"/>
                <w:color w:val="auto"/>
                <w:sz w:val="24"/>
                <w:szCs w:val="24"/>
              </w:rPr>
            </w:pPr>
          </w:p>
        </w:tc>
        <w:tc>
          <w:tcPr>
            <w:tcW w:w="1440" w:type="dxa"/>
            <w:noWrap w:val="0"/>
            <w:vAlign w:val="center"/>
          </w:tcPr>
          <w:p w14:paraId="6DE8726E">
            <w:pPr>
              <w:spacing w:line="240" w:lineRule="auto"/>
              <w:rPr>
                <w:rFonts w:hint="eastAsia" w:ascii="宋体" w:hAnsi="宋体" w:eastAsia="宋体" w:cs="宋体"/>
                <w:color w:val="auto"/>
                <w:sz w:val="24"/>
                <w:szCs w:val="24"/>
              </w:rPr>
            </w:pPr>
          </w:p>
        </w:tc>
        <w:tc>
          <w:tcPr>
            <w:tcW w:w="900" w:type="dxa"/>
            <w:noWrap w:val="0"/>
            <w:vAlign w:val="center"/>
          </w:tcPr>
          <w:p w14:paraId="4D28A43B">
            <w:pPr>
              <w:spacing w:line="240" w:lineRule="auto"/>
              <w:rPr>
                <w:rFonts w:hint="eastAsia" w:ascii="宋体" w:hAnsi="宋体" w:eastAsia="宋体" w:cs="宋体"/>
                <w:color w:val="auto"/>
                <w:sz w:val="24"/>
                <w:szCs w:val="24"/>
              </w:rPr>
            </w:pPr>
          </w:p>
        </w:tc>
      </w:tr>
      <w:tr w14:paraId="54E53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1" w:hRule="atLeast"/>
        </w:trPr>
        <w:tc>
          <w:tcPr>
            <w:tcW w:w="628" w:type="dxa"/>
            <w:noWrap w:val="0"/>
            <w:vAlign w:val="center"/>
          </w:tcPr>
          <w:p w14:paraId="00B01D44">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1920" w:type="dxa"/>
            <w:noWrap w:val="0"/>
            <w:vAlign w:val="center"/>
          </w:tcPr>
          <w:p w14:paraId="7D4B4F3B">
            <w:pPr>
              <w:spacing w:line="240" w:lineRule="auto"/>
              <w:rPr>
                <w:rFonts w:hint="eastAsia" w:ascii="宋体" w:hAnsi="宋体" w:eastAsia="宋体" w:cs="宋体"/>
                <w:color w:val="auto"/>
                <w:sz w:val="24"/>
                <w:szCs w:val="24"/>
              </w:rPr>
            </w:pPr>
          </w:p>
        </w:tc>
        <w:tc>
          <w:tcPr>
            <w:tcW w:w="2160" w:type="dxa"/>
            <w:noWrap w:val="0"/>
            <w:vAlign w:val="center"/>
          </w:tcPr>
          <w:p w14:paraId="1CBD0A0B">
            <w:pPr>
              <w:spacing w:line="240" w:lineRule="auto"/>
              <w:rPr>
                <w:rFonts w:hint="eastAsia" w:ascii="宋体" w:hAnsi="宋体" w:eastAsia="宋体" w:cs="宋体"/>
                <w:color w:val="auto"/>
                <w:sz w:val="24"/>
                <w:szCs w:val="24"/>
              </w:rPr>
            </w:pPr>
          </w:p>
        </w:tc>
        <w:tc>
          <w:tcPr>
            <w:tcW w:w="1800" w:type="dxa"/>
            <w:noWrap w:val="0"/>
            <w:vAlign w:val="center"/>
          </w:tcPr>
          <w:p w14:paraId="16A7934F">
            <w:pPr>
              <w:spacing w:line="240" w:lineRule="auto"/>
              <w:rPr>
                <w:rFonts w:hint="eastAsia" w:ascii="宋体" w:hAnsi="宋体" w:eastAsia="宋体" w:cs="宋体"/>
                <w:color w:val="auto"/>
                <w:sz w:val="24"/>
                <w:szCs w:val="24"/>
              </w:rPr>
            </w:pPr>
          </w:p>
        </w:tc>
        <w:tc>
          <w:tcPr>
            <w:tcW w:w="1440" w:type="dxa"/>
            <w:noWrap w:val="0"/>
            <w:vAlign w:val="center"/>
          </w:tcPr>
          <w:p w14:paraId="37ACA2EA">
            <w:pPr>
              <w:spacing w:line="240" w:lineRule="auto"/>
              <w:rPr>
                <w:rFonts w:hint="eastAsia" w:ascii="宋体" w:hAnsi="宋体" w:eastAsia="宋体" w:cs="宋体"/>
                <w:color w:val="auto"/>
                <w:sz w:val="24"/>
                <w:szCs w:val="24"/>
              </w:rPr>
            </w:pPr>
          </w:p>
        </w:tc>
        <w:tc>
          <w:tcPr>
            <w:tcW w:w="900" w:type="dxa"/>
            <w:noWrap w:val="0"/>
            <w:vAlign w:val="center"/>
          </w:tcPr>
          <w:p w14:paraId="2940BE3A">
            <w:pPr>
              <w:spacing w:line="240" w:lineRule="auto"/>
              <w:rPr>
                <w:rFonts w:hint="eastAsia" w:ascii="宋体" w:hAnsi="宋体" w:eastAsia="宋体" w:cs="宋体"/>
                <w:color w:val="auto"/>
                <w:sz w:val="24"/>
                <w:szCs w:val="24"/>
              </w:rPr>
            </w:pPr>
          </w:p>
        </w:tc>
      </w:tr>
    </w:tbl>
    <w:p w14:paraId="69503BCC">
      <w:pPr>
        <w:spacing w:after="240"/>
        <w:ind w:hanging="119"/>
        <w:rPr>
          <w:rFonts w:hint="eastAsia" w:ascii="宋体" w:hAnsi="宋体" w:eastAsia="宋体" w:cs="宋体"/>
          <w:color w:val="auto"/>
          <w:sz w:val="24"/>
          <w:szCs w:val="24"/>
        </w:rPr>
      </w:pPr>
    </w:p>
    <w:p w14:paraId="557F8793">
      <w:pPr>
        <w:spacing w:after="240"/>
        <w:ind w:hanging="119"/>
        <w:rPr>
          <w:rFonts w:hint="eastAsia" w:ascii="宋体" w:hAnsi="宋体" w:eastAsia="宋体" w:cs="宋体"/>
          <w:color w:val="auto"/>
          <w:sz w:val="24"/>
          <w:szCs w:val="24"/>
        </w:rPr>
      </w:pPr>
    </w:p>
    <w:p w14:paraId="356F753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cs="宋体"/>
          <w:color w:val="auto"/>
          <w:sz w:val="24"/>
          <w:szCs w:val="24"/>
          <w:lang w:eastAsia="zh-CN"/>
        </w:rPr>
        <w:t>供应商</w:t>
      </w:r>
      <w:r>
        <w:rPr>
          <w:rFonts w:hint="eastAsia" w:ascii="宋体" w:hAnsi="宋体" w:eastAsia="宋体" w:cs="宋体"/>
          <w:color w:val="auto"/>
          <w:sz w:val="24"/>
          <w:szCs w:val="24"/>
        </w:rPr>
        <w:t xml:space="preserve">名称(公章): </w:t>
      </w:r>
    </w:p>
    <w:p w14:paraId="3EF5285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法定代表人或其委托代理人(签字或盖章):</w:t>
      </w:r>
    </w:p>
    <w:p w14:paraId="66DB6B4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日期：</w:t>
      </w:r>
      <w:r>
        <w:rPr>
          <w:rFonts w:hint="eastAsia" w:ascii="宋体" w:hAnsi="宋体" w:eastAsia="宋体" w:cs="宋体"/>
          <w:color w:val="auto"/>
          <w:sz w:val="24"/>
          <w:szCs w:val="24"/>
          <w:lang w:val="en-US" w:eastAsia="zh-CN"/>
        </w:rPr>
        <w:t xml:space="preserve">  年  月  日</w:t>
      </w:r>
    </w:p>
    <w:p w14:paraId="57E48B23">
      <w:pPr>
        <w:spacing w:line="360" w:lineRule="auto"/>
        <w:rPr>
          <w:rFonts w:hint="eastAsia" w:ascii="宋体" w:hAnsi="宋体" w:eastAsia="宋体" w:cs="宋体"/>
          <w:color w:val="auto"/>
          <w:sz w:val="24"/>
          <w:szCs w:val="24"/>
        </w:rPr>
      </w:pPr>
    </w:p>
    <w:p w14:paraId="3968AE56">
      <w:pPr>
        <w:keepNext w:val="0"/>
        <w:keepLines w:val="0"/>
        <w:pageBreakBefore w:val="0"/>
        <w:widowControl w:val="0"/>
        <w:tabs>
          <w:tab w:val="left" w:pos="1200"/>
        </w:tabs>
        <w:kinsoku/>
        <w:wordWrap/>
        <w:overflowPunct/>
        <w:topLinePunct w:val="0"/>
        <w:autoSpaceDE/>
        <w:autoSpaceDN/>
        <w:bidi w:val="0"/>
        <w:adjustRightInd/>
        <w:snapToGrid w:val="0"/>
        <w:spacing w:afterLines="50"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注</w:t>
      </w:r>
      <w:r>
        <w:rPr>
          <w:rFonts w:hint="eastAsia" w:ascii="宋体" w:hAnsi="宋体" w:eastAsia="宋体" w:cs="宋体"/>
          <w:color w:val="auto"/>
          <w:sz w:val="24"/>
          <w:szCs w:val="24"/>
          <w:lang w:eastAsia="zh-CN"/>
        </w:rPr>
        <w:t>:</w:t>
      </w:r>
      <w:r>
        <w:rPr>
          <w:rFonts w:hint="eastAsia" w:ascii="宋体" w:hAnsi="宋体" w:cs="宋体"/>
          <w:color w:val="auto"/>
          <w:sz w:val="24"/>
          <w:szCs w:val="24"/>
          <w:lang w:eastAsia="zh-CN"/>
        </w:rPr>
        <w:t>供应商</w:t>
      </w:r>
      <w:r>
        <w:rPr>
          <w:rFonts w:hint="eastAsia" w:ascii="宋体" w:hAnsi="宋体" w:eastAsia="宋体" w:cs="宋体"/>
          <w:color w:val="auto"/>
          <w:sz w:val="24"/>
          <w:szCs w:val="24"/>
        </w:rPr>
        <w:t>递交的投标文件中与招标文件的</w:t>
      </w:r>
      <w:r>
        <w:rPr>
          <w:rFonts w:hint="eastAsia" w:ascii="宋体" w:hAnsi="宋体" w:eastAsia="宋体" w:cs="宋体"/>
          <w:color w:val="auto"/>
          <w:sz w:val="24"/>
          <w:szCs w:val="24"/>
          <w:lang w:val="en-US" w:eastAsia="zh-CN"/>
        </w:rPr>
        <w:t>技术</w:t>
      </w:r>
      <w:r>
        <w:rPr>
          <w:rFonts w:hint="eastAsia" w:ascii="宋体" w:hAnsi="宋体" w:eastAsia="宋体" w:cs="宋体"/>
          <w:color w:val="auto"/>
          <w:sz w:val="24"/>
          <w:szCs w:val="24"/>
        </w:rPr>
        <w:t>部分的要求有不同时，应逐条列在</w:t>
      </w:r>
      <w:r>
        <w:rPr>
          <w:rFonts w:hint="eastAsia" w:ascii="宋体" w:hAnsi="宋体" w:eastAsia="宋体" w:cs="宋体"/>
          <w:color w:val="auto"/>
          <w:sz w:val="24"/>
          <w:szCs w:val="24"/>
          <w:lang w:val="en-US" w:eastAsia="zh-CN"/>
        </w:rPr>
        <w:t>技术</w:t>
      </w:r>
      <w:r>
        <w:rPr>
          <w:rFonts w:hint="eastAsia" w:ascii="宋体" w:hAnsi="宋体" w:eastAsia="宋体" w:cs="宋体"/>
          <w:color w:val="auto"/>
          <w:sz w:val="24"/>
          <w:szCs w:val="24"/>
        </w:rPr>
        <w:t>偏差表中，否则将认为</w:t>
      </w:r>
      <w:r>
        <w:rPr>
          <w:rFonts w:hint="eastAsia" w:ascii="宋体" w:hAnsi="宋体" w:cs="宋体"/>
          <w:color w:val="auto"/>
          <w:sz w:val="24"/>
          <w:szCs w:val="24"/>
          <w:lang w:eastAsia="zh-CN"/>
        </w:rPr>
        <w:t>供应商</w:t>
      </w:r>
      <w:r>
        <w:rPr>
          <w:rFonts w:hint="eastAsia" w:ascii="宋体" w:hAnsi="宋体" w:eastAsia="宋体" w:cs="宋体"/>
          <w:color w:val="auto"/>
          <w:sz w:val="24"/>
          <w:szCs w:val="24"/>
        </w:rPr>
        <w:t>接受招标文件的要求。</w:t>
      </w:r>
    </w:p>
    <w:p w14:paraId="46F614AD">
      <w:pPr>
        <w:rPr>
          <w:b/>
          <w:color w:val="auto"/>
          <w:sz w:val="32"/>
          <w:szCs w:val="32"/>
        </w:rPr>
      </w:pPr>
      <w:r>
        <w:rPr>
          <w:b/>
          <w:color w:val="auto"/>
          <w:sz w:val="32"/>
          <w:szCs w:val="32"/>
        </w:rPr>
        <w:br w:type="page"/>
      </w:r>
    </w:p>
    <w:p w14:paraId="47310CE7">
      <w:pPr>
        <w:spacing w:line="360" w:lineRule="auto"/>
        <w:outlineLvl w:val="1"/>
        <w:rPr>
          <w:rFonts w:hint="eastAsia" w:ascii="宋体" w:hAnsi="宋体" w:eastAsia="宋体" w:cs="宋体"/>
          <w:b/>
          <w:color w:val="auto"/>
          <w:sz w:val="24"/>
          <w:szCs w:val="24"/>
          <w:lang w:val="en-US" w:eastAsia="zh-CN"/>
        </w:rPr>
      </w:pPr>
      <w:bookmarkStart w:id="317" w:name="_Toc410631182"/>
      <w:bookmarkStart w:id="318" w:name="_Toc416103823"/>
      <w:bookmarkStart w:id="319" w:name="_Toc414445773"/>
      <w:bookmarkStart w:id="320" w:name="_Toc12362"/>
      <w:bookmarkStart w:id="321" w:name="_Toc28168"/>
      <w:bookmarkStart w:id="322" w:name="_Toc4436"/>
      <w:r>
        <w:rPr>
          <w:rFonts w:hint="eastAsia" w:ascii="宋体" w:hAnsi="宋体" w:eastAsia="宋体" w:cs="宋体"/>
          <w:b/>
          <w:color w:val="auto"/>
          <w:sz w:val="24"/>
          <w:szCs w:val="24"/>
          <w:lang w:val="en-US" w:eastAsia="zh-CN"/>
        </w:rPr>
        <w:t>附件14</w:t>
      </w:r>
      <w:bookmarkEnd w:id="317"/>
      <w:bookmarkEnd w:id="318"/>
      <w:bookmarkEnd w:id="319"/>
      <w:bookmarkStart w:id="323" w:name="_Toc157759075"/>
      <w:r>
        <w:rPr>
          <w:rFonts w:hint="eastAsia" w:ascii="宋体" w:hAnsi="宋体" w:eastAsia="宋体" w:cs="宋体"/>
          <w:b/>
          <w:color w:val="auto"/>
          <w:sz w:val="24"/>
          <w:szCs w:val="24"/>
          <w:lang w:val="en-US" w:eastAsia="zh-CN"/>
        </w:rPr>
        <w:t xml:space="preserve"> </w:t>
      </w:r>
      <w:bookmarkEnd w:id="320"/>
      <w:bookmarkEnd w:id="321"/>
      <w:bookmarkEnd w:id="322"/>
      <w:bookmarkEnd w:id="323"/>
      <w:r>
        <w:rPr>
          <w:rFonts w:hint="eastAsia" w:ascii="宋体" w:hAnsi="宋体" w:eastAsia="宋体" w:cs="宋体"/>
          <w:b/>
          <w:color w:val="auto"/>
          <w:sz w:val="24"/>
          <w:szCs w:val="24"/>
          <w:lang w:val="en-US" w:eastAsia="zh-CN"/>
        </w:rPr>
        <w:t>技术部分内容格式自拟</w:t>
      </w:r>
    </w:p>
    <w:p w14:paraId="73DD2510">
      <w:pPr>
        <w:spacing w:beforeLines="50" w:line="440" w:lineRule="exact"/>
        <w:ind w:left="1105" w:leftChars="526" w:firstLine="15"/>
        <w:rPr>
          <w:color w:val="auto"/>
        </w:rPr>
      </w:pPr>
      <w:r>
        <w:rPr>
          <w:color w:val="auto"/>
        </w:rPr>
        <w:br w:type="page"/>
      </w:r>
    </w:p>
    <w:bookmarkEnd w:id="241"/>
    <w:p w14:paraId="7D225164">
      <w:pPr>
        <w:spacing w:line="360" w:lineRule="auto"/>
        <w:outlineLvl w:val="1"/>
        <w:rPr>
          <w:rFonts w:hint="eastAsia" w:ascii="宋体" w:hAnsi="宋体" w:eastAsia="宋体" w:cs="宋体"/>
          <w:b/>
          <w:color w:val="auto"/>
          <w:sz w:val="24"/>
          <w:szCs w:val="24"/>
          <w:lang w:eastAsia="zh-CN"/>
        </w:rPr>
      </w:pPr>
      <w:bookmarkStart w:id="324" w:name="_Toc30278"/>
      <w:bookmarkStart w:id="325" w:name="_Toc1899"/>
      <w:bookmarkStart w:id="326" w:name="_Toc22090"/>
      <w:bookmarkStart w:id="327" w:name="_Toc416103827"/>
      <w:r>
        <w:rPr>
          <w:rFonts w:hint="eastAsia" w:ascii="宋体" w:hAnsi="宋体" w:eastAsia="宋体" w:cs="宋体"/>
          <w:b/>
          <w:color w:val="auto"/>
          <w:sz w:val="24"/>
          <w:szCs w:val="24"/>
        </w:rPr>
        <w:t>附件</w:t>
      </w:r>
      <w:r>
        <w:rPr>
          <w:rFonts w:hint="eastAsia" w:ascii="宋体" w:hAnsi="宋体" w:eastAsia="宋体" w:cs="宋体"/>
          <w:b/>
          <w:color w:val="auto"/>
          <w:sz w:val="24"/>
          <w:szCs w:val="24"/>
          <w:lang w:val="en-US" w:eastAsia="zh-CN"/>
        </w:rPr>
        <w:t>15</w:t>
      </w:r>
      <w:r>
        <w:rPr>
          <w:rFonts w:hint="eastAsia" w:ascii="宋体" w:hAnsi="宋体" w:eastAsia="宋体" w:cs="宋体"/>
          <w:b/>
          <w:color w:val="auto"/>
          <w:sz w:val="24"/>
          <w:szCs w:val="24"/>
        </w:rPr>
        <w:t xml:space="preserve"> </w:t>
      </w:r>
      <w:r>
        <w:rPr>
          <w:rFonts w:hint="eastAsia" w:ascii="宋体" w:hAnsi="宋体" w:cs="宋体"/>
          <w:b/>
          <w:color w:val="auto"/>
          <w:sz w:val="24"/>
          <w:szCs w:val="24"/>
          <w:lang w:eastAsia="zh-CN"/>
        </w:rPr>
        <w:t>供应商</w:t>
      </w:r>
      <w:r>
        <w:rPr>
          <w:rFonts w:hint="eastAsia" w:ascii="宋体" w:hAnsi="宋体" w:eastAsia="宋体" w:cs="宋体"/>
          <w:b/>
          <w:color w:val="auto"/>
          <w:sz w:val="24"/>
          <w:szCs w:val="24"/>
        </w:rPr>
        <w:t>服务承诺</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如有</w:t>
      </w:r>
      <w:bookmarkEnd w:id="324"/>
      <w:r>
        <w:rPr>
          <w:rFonts w:hint="eastAsia" w:ascii="宋体" w:hAnsi="宋体" w:eastAsia="宋体" w:cs="宋体"/>
          <w:b/>
          <w:color w:val="auto"/>
          <w:sz w:val="24"/>
          <w:szCs w:val="24"/>
          <w:lang w:eastAsia="zh-CN"/>
        </w:rPr>
        <w:t>)</w:t>
      </w:r>
      <w:bookmarkEnd w:id="325"/>
    </w:p>
    <w:p w14:paraId="1FCE92EA">
      <w:pPr>
        <w:spacing w:line="360" w:lineRule="auto"/>
        <w:outlineLvl w:val="9"/>
        <w:rPr>
          <w:rFonts w:hint="eastAsia" w:ascii="宋体" w:hAnsi="宋体" w:eastAsia="宋体" w:cs="宋体"/>
          <w:b/>
          <w:color w:val="auto"/>
          <w:sz w:val="24"/>
          <w:szCs w:val="24"/>
        </w:rPr>
      </w:pPr>
    </w:p>
    <w:p w14:paraId="72A74EFB">
      <w:pPr>
        <w:spacing w:line="360" w:lineRule="auto"/>
        <w:outlineLvl w:val="9"/>
        <w:rPr>
          <w:rFonts w:hint="eastAsia" w:ascii="宋体" w:hAnsi="宋体" w:eastAsia="宋体" w:cs="宋体"/>
          <w:b/>
          <w:color w:val="auto"/>
          <w:sz w:val="24"/>
          <w:szCs w:val="24"/>
        </w:rPr>
      </w:pPr>
    </w:p>
    <w:p w14:paraId="78AD5116">
      <w:pPr>
        <w:spacing w:line="360" w:lineRule="auto"/>
        <w:outlineLvl w:val="9"/>
        <w:rPr>
          <w:rFonts w:hint="eastAsia" w:ascii="宋体" w:hAnsi="宋体" w:eastAsia="宋体" w:cs="宋体"/>
          <w:b/>
          <w:color w:val="auto"/>
          <w:sz w:val="24"/>
          <w:szCs w:val="24"/>
        </w:rPr>
      </w:pPr>
    </w:p>
    <w:p w14:paraId="3598B4B8">
      <w:pPr>
        <w:spacing w:line="360" w:lineRule="auto"/>
        <w:outlineLvl w:val="9"/>
        <w:rPr>
          <w:rFonts w:hint="eastAsia" w:ascii="宋体" w:hAnsi="宋体" w:eastAsia="宋体" w:cs="宋体"/>
          <w:b/>
          <w:color w:val="auto"/>
          <w:sz w:val="24"/>
          <w:szCs w:val="24"/>
        </w:rPr>
      </w:pPr>
    </w:p>
    <w:p w14:paraId="684D6A52">
      <w:pPr>
        <w:spacing w:line="360" w:lineRule="auto"/>
        <w:outlineLvl w:val="9"/>
        <w:rPr>
          <w:rFonts w:hint="eastAsia" w:ascii="宋体" w:hAnsi="宋体" w:eastAsia="宋体" w:cs="宋体"/>
          <w:b/>
          <w:color w:val="auto"/>
          <w:sz w:val="24"/>
          <w:szCs w:val="24"/>
        </w:rPr>
      </w:pPr>
    </w:p>
    <w:p w14:paraId="54FF68A2">
      <w:pPr>
        <w:spacing w:line="360" w:lineRule="auto"/>
        <w:outlineLvl w:val="9"/>
        <w:rPr>
          <w:rFonts w:hint="eastAsia" w:ascii="宋体" w:hAnsi="宋体" w:eastAsia="宋体" w:cs="宋体"/>
          <w:b/>
          <w:color w:val="auto"/>
          <w:sz w:val="24"/>
          <w:szCs w:val="24"/>
        </w:rPr>
      </w:pPr>
    </w:p>
    <w:p w14:paraId="5449D508">
      <w:pPr>
        <w:spacing w:line="360" w:lineRule="auto"/>
        <w:outlineLvl w:val="9"/>
        <w:rPr>
          <w:rFonts w:hint="eastAsia" w:ascii="宋体" w:hAnsi="宋体" w:eastAsia="宋体" w:cs="宋体"/>
          <w:b/>
          <w:color w:val="auto"/>
          <w:sz w:val="24"/>
          <w:szCs w:val="24"/>
        </w:rPr>
      </w:pPr>
    </w:p>
    <w:p w14:paraId="707C9E78">
      <w:pPr>
        <w:spacing w:beforeLines="50" w:line="440" w:lineRule="exact"/>
        <w:outlineLvl w:val="9"/>
        <w:rPr>
          <w:rFonts w:hint="eastAsia" w:ascii="宋体" w:hAnsi="宋体" w:eastAsia="宋体" w:cs="宋体"/>
          <w:b w:val="0"/>
          <w:color w:val="auto"/>
          <w:sz w:val="24"/>
          <w:szCs w:val="24"/>
        </w:rPr>
      </w:pPr>
      <w:r>
        <w:rPr>
          <w:rFonts w:hint="eastAsia" w:ascii="宋体" w:hAnsi="宋体" w:cs="宋体"/>
          <w:b w:val="0"/>
          <w:color w:val="auto"/>
          <w:sz w:val="24"/>
          <w:szCs w:val="24"/>
          <w:lang w:eastAsia="zh-CN"/>
        </w:rPr>
        <w:t>供应商</w:t>
      </w:r>
      <w:r>
        <w:rPr>
          <w:rFonts w:hint="eastAsia" w:ascii="宋体" w:hAnsi="宋体" w:eastAsia="宋体" w:cs="宋体"/>
          <w:b w:val="0"/>
          <w:color w:val="auto"/>
          <w:sz w:val="24"/>
          <w:szCs w:val="24"/>
        </w:rPr>
        <w:t xml:space="preserve">名称(公章): </w:t>
      </w:r>
    </w:p>
    <w:p w14:paraId="38B4ED45">
      <w:pPr>
        <w:spacing w:beforeLines="50" w:line="440" w:lineRule="exact"/>
        <w:outlineLvl w:val="9"/>
        <w:rPr>
          <w:rFonts w:hint="eastAsia" w:ascii="宋体" w:hAnsi="宋体" w:eastAsia="宋体" w:cs="宋体"/>
          <w:b w:val="0"/>
          <w:color w:val="auto"/>
          <w:sz w:val="24"/>
          <w:szCs w:val="24"/>
        </w:rPr>
      </w:pPr>
      <w:r>
        <w:rPr>
          <w:rFonts w:hint="eastAsia" w:ascii="宋体" w:hAnsi="宋体" w:eastAsia="宋体" w:cs="宋体"/>
          <w:b w:val="0"/>
          <w:color w:val="auto"/>
          <w:sz w:val="24"/>
          <w:szCs w:val="24"/>
        </w:rPr>
        <w:t>法定代表人或其委托代理人(签字或盖章):</w:t>
      </w:r>
    </w:p>
    <w:p w14:paraId="1279D2DA">
      <w:pPr>
        <w:spacing w:beforeLines="50" w:line="440" w:lineRule="exact"/>
        <w:outlineLvl w:val="9"/>
        <w:rPr>
          <w:rFonts w:hint="eastAsia" w:ascii="宋体" w:hAnsi="宋体" w:eastAsia="宋体" w:cs="宋体"/>
          <w:b w:val="0"/>
          <w:color w:val="auto"/>
          <w:sz w:val="24"/>
          <w:szCs w:val="24"/>
          <w:lang w:val="en-US" w:eastAsia="zh-CN"/>
        </w:rPr>
      </w:pPr>
      <w:r>
        <w:rPr>
          <w:rFonts w:hint="eastAsia" w:ascii="宋体" w:hAnsi="宋体" w:eastAsia="宋体" w:cs="宋体"/>
          <w:b w:val="0"/>
          <w:color w:val="auto"/>
          <w:sz w:val="24"/>
          <w:szCs w:val="24"/>
          <w:lang w:eastAsia="zh-CN"/>
        </w:rPr>
        <w:t>日期：</w:t>
      </w:r>
      <w:r>
        <w:rPr>
          <w:rFonts w:hint="eastAsia" w:ascii="宋体" w:hAnsi="宋体" w:eastAsia="宋体" w:cs="宋体"/>
          <w:b w:val="0"/>
          <w:color w:val="auto"/>
          <w:sz w:val="24"/>
          <w:szCs w:val="24"/>
          <w:lang w:val="en-US" w:eastAsia="zh-CN"/>
        </w:rPr>
        <w:t xml:space="preserve">  年  月  日</w:t>
      </w:r>
    </w:p>
    <w:p w14:paraId="3B36F15E">
      <w:pPr>
        <w:spacing w:beforeLines="50" w:line="440" w:lineRule="exact"/>
        <w:outlineLvl w:val="9"/>
        <w:rPr>
          <w:b/>
          <w:color w:val="auto"/>
          <w:sz w:val="24"/>
        </w:rPr>
      </w:pPr>
      <w:r>
        <w:rPr>
          <w:rFonts w:hint="eastAsia"/>
          <w:b w:val="0"/>
          <w:color w:val="auto"/>
          <w:sz w:val="21"/>
        </w:rPr>
        <w:br w:type="page"/>
      </w:r>
      <w:bookmarkEnd w:id="326"/>
      <w:bookmarkEnd w:id="327"/>
    </w:p>
    <w:p w14:paraId="09EC69B5">
      <w:pPr>
        <w:spacing w:line="360" w:lineRule="auto"/>
        <w:outlineLvl w:val="1"/>
        <w:rPr>
          <w:rFonts w:hint="eastAsia" w:ascii="宋体" w:hAnsi="宋体" w:eastAsia="宋体" w:cs="宋体"/>
          <w:b/>
          <w:color w:val="auto"/>
          <w:sz w:val="24"/>
          <w:szCs w:val="24"/>
          <w:lang w:eastAsia="zh-CN"/>
        </w:rPr>
      </w:pPr>
      <w:bookmarkStart w:id="328" w:name="_Toc10232"/>
      <w:bookmarkStart w:id="329" w:name="_Toc20074"/>
      <w:r>
        <w:rPr>
          <w:rFonts w:hint="eastAsia" w:ascii="宋体" w:hAnsi="宋体" w:eastAsia="宋体" w:cs="宋体"/>
          <w:b/>
          <w:color w:val="auto"/>
          <w:sz w:val="24"/>
          <w:szCs w:val="24"/>
        </w:rPr>
        <w:t>附件</w:t>
      </w:r>
      <w:r>
        <w:rPr>
          <w:rFonts w:hint="eastAsia" w:ascii="宋体" w:hAnsi="宋体" w:eastAsia="宋体" w:cs="宋体"/>
          <w:b/>
          <w:color w:val="auto"/>
          <w:sz w:val="24"/>
          <w:szCs w:val="24"/>
          <w:lang w:val="en-US" w:eastAsia="zh-CN"/>
        </w:rPr>
        <w:t>16</w:t>
      </w:r>
      <w:r>
        <w:rPr>
          <w:rFonts w:hint="eastAsia" w:ascii="宋体" w:hAnsi="宋体" w:eastAsia="宋体" w:cs="宋体"/>
          <w:b/>
          <w:color w:val="auto"/>
          <w:sz w:val="24"/>
          <w:szCs w:val="24"/>
        </w:rPr>
        <w:t xml:space="preserve"> </w:t>
      </w:r>
      <w:r>
        <w:rPr>
          <w:rFonts w:hint="eastAsia" w:ascii="宋体" w:hAnsi="宋体" w:eastAsia="宋体" w:cs="宋体"/>
          <w:b/>
          <w:color w:val="auto"/>
          <w:sz w:val="24"/>
          <w:szCs w:val="24"/>
          <w:lang w:val="en-US" w:eastAsia="zh-CN"/>
        </w:rPr>
        <w:t>供应商认为需要提供的其他材料</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如有</w:t>
      </w:r>
      <w:r>
        <w:rPr>
          <w:rFonts w:hint="eastAsia" w:ascii="宋体" w:hAnsi="宋体" w:eastAsia="宋体" w:cs="宋体"/>
          <w:b/>
          <w:color w:val="auto"/>
          <w:sz w:val="24"/>
          <w:szCs w:val="24"/>
          <w:lang w:eastAsia="zh-CN"/>
        </w:rPr>
        <w:t>)</w:t>
      </w:r>
    </w:p>
    <w:p w14:paraId="019B3325">
      <w:pPr>
        <w:pStyle w:val="15"/>
        <w:spacing w:line="480" w:lineRule="exact"/>
        <w:ind w:firstLine="480"/>
        <w:rPr>
          <w:rFonts w:hint="eastAsia" w:ascii="宋体" w:hAnsi="宋体" w:eastAsia="宋体" w:cs="宋体"/>
          <w:color w:val="auto"/>
          <w:sz w:val="24"/>
          <w:szCs w:val="24"/>
        </w:rPr>
      </w:pPr>
      <w:r>
        <w:rPr>
          <w:rFonts w:hint="eastAsia" w:ascii="宋体" w:hAnsi="宋体" w:eastAsia="宋体" w:cs="宋体"/>
          <w:bCs/>
          <w:color w:val="auto"/>
          <w:sz w:val="24"/>
          <w:szCs w:val="24"/>
        </w:rPr>
        <w:t>（格式自拟）</w:t>
      </w:r>
    </w:p>
    <w:p w14:paraId="748215F3">
      <w:pPr>
        <w:rPr>
          <w:rFonts w:hint="eastAsia" w:ascii="Times New Roman" w:hAnsi="Times New Roman" w:eastAsia="宋体" w:cs="Times New Roman"/>
          <w:color w:val="auto"/>
          <w:sz w:val="32"/>
          <w:szCs w:val="32"/>
          <w:lang w:val="en-US" w:eastAsia="zh-CN"/>
        </w:rPr>
      </w:pPr>
      <w:r>
        <w:rPr>
          <w:rFonts w:hint="eastAsia" w:ascii="Times New Roman" w:hAnsi="Times New Roman" w:eastAsia="宋体" w:cs="Times New Roman"/>
          <w:color w:val="auto"/>
          <w:sz w:val="32"/>
          <w:szCs w:val="32"/>
          <w:lang w:val="en-US" w:eastAsia="zh-CN"/>
        </w:rPr>
        <w:br w:type="page"/>
      </w:r>
    </w:p>
    <w:p w14:paraId="02406DA2">
      <w:pPr>
        <w:snapToGrid w:val="0"/>
        <w:spacing w:afterLines="50"/>
        <w:jc w:val="center"/>
        <w:outlineLvl w:val="0"/>
        <w:rPr>
          <w:rFonts w:hint="eastAsia" w:ascii="Times New Roman" w:hAnsi="Times New Roman" w:eastAsia="宋体" w:cs="Times New Roman"/>
          <w:color w:val="auto"/>
          <w:sz w:val="32"/>
          <w:szCs w:val="32"/>
        </w:rPr>
      </w:pPr>
      <w:r>
        <w:rPr>
          <w:rFonts w:hint="eastAsia" w:ascii="Times New Roman" w:hAnsi="Times New Roman" w:eastAsia="宋体" w:cs="Times New Roman"/>
          <w:color w:val="auto"/>
          <w:sz w:val="32"/>
          <w:szCs w:val="32"/>
          <w:lang w:val="en-US" w:eastAsia="zh-CN"/>
        </w:rPr>
        <w:t>第七章 其它</w:t>
      </w:r>
      <w:bookmarkEnd w:id="328"/>
      <w:bookmarkEnd w:id="329"/>
    </w:p>
    <w:p w14:paraId="256F57A3">
      <w:pPr>
        <w:snapToGrid w:val="0"/>
        <w:spacing w:afterLines="50"/>
        <w:rPr>
          <w:color w:val="auto"/>
        </w:rPr>
      </w:pPr>
    </w:p>
    <w:p w14:paraId="7BB8A9D1">
      <w:pPr>
        <w:jc w:val="center"/>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rPr>
        <w:t>质疑函范本</w:t>
      </w:r>
    </w:p>
    <w:p w14:paraId="2A1E1577">
      <w:pPr>
        <w:adjustRightInd w:val="0"/>
        <w:snapToGrid w:val="0"/>
        <w:spacing w:beforeLines="100" w:line="360" w:lineRule="auto"/>
        <w:outlineLvl w:val="9"/>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一、质疑供应商基本信息</w:t>
      </w:r>
    </w:p>
    <w:p w14:paraId="43F3F605">
      <w:pPr>
        <w:adjustRightInd w:val="0"/>
        <w:snapToGrid w:val="0"/>
        <w:spacing w:line="360" w:lineRule="auto"/>
        <w:rPr>
          <w:rFonts w:hint="eastAsia" w:ascii="宋体" w:hAnsi="宋体" w:eastAsia="宋体" w:cs="宋体"/>
          <w:color w:val="auto"/>
          <w:sz w:val="24"/>
          <w:szCs w:val="24"/>
          <w:u w:val="dotted"/>
        </w:rPr>
      </w:pPr>
      <w:r>
        <w:rPr>
          <w:rFonts w:hint="eastAsia" w:ascii="宋体" w:hAnsi="宋体" w:eastAsia="宋体" w:cs="宋体"/>
          <w:color w:val="auto"/>
          <w:sz w:val="24"/>
          <w:szCs w:val="24"/>
        </w:rPr>
        <w:t>质疑供应商</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p>
    <w:p w14:paraId="288B9C42">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地址</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r>
        <w:rPr>
          <w:rFonts w:hint="eastAsia" w:ascii="宋体" w:hAnsi="宋体" w:eastAsia="宋体" w:cs="宋体"/>
          <w:color w:val="auto"/>
          <w:sz w:val="24"/>
          <w:szCs w:val="24"/>
        </w:rPr>
        <w:t>邮编</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p>
    <w:p w14:paraId="4F170AEB">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联系人</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r>
        <w:rPr>
          <w:rFonts w:hint="eastAsia" w:ascii="宋体" w:hAnsi="宋体" w:eastAsia="宋体" w:cs="宋体"/>
          <w:color w:val="auto"/>
          <w:sz w:val="24"/>
          <w:szCs w:val="24"/>
        </w:rPr>
        <w:t>联系电话</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p>
    <w:p w14:paraId="15A4CD45">
      <w:pPr>
        <w:adjustRightInd w:val="0"/>
        <w:snapToGrid w:val="0"/>
        <w:spacing w:line="360" w:lineRule="auto"/>
        <w:rPr>
          <w:rFonts w:hint="eastAsia" w:ascii="宋体" w:hAnsi="宋体" w:eastAsia="宋体" w:cs="宋体"/>
          <w:color w:val="auto"/>
          <w:sz w:val="24"/>
          <w:szCs w:val="24"/>
          <w:u w:val="dotted"/>
        </w:rPr>
      </w:pPr>
      <w:r>
        <w:rPr>
          <w:rFonts w:hint="eastAsia" w:ascii="宋体" w:hAnsi="宋体" w:eastAsia="宋体" w:cs="宋体"/>
          <w:color w:val="auto"/>
          <w:sz w:val="24"/>
          <w:szCs w:val="24"/>
        </w:rPr>
        <w:t>授权代表</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p>
    <w:p w14:paraId="0595BB8A">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联系电话</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r>
        <w:rPr>
          <w:rFonts w:hint="eastAsia" w:ascii="宋体" w:hAnsi="宋体" w:eastAsia="宋体" w:cs="宋体"/>
          <w:color w:val="auto"/>
          <w:sz w:val="24"/>
          <w:szCs w:val="24"/>
        </w:rPr>
        <w:t xml:space="preserve"> </w:t>
      </w:r>
    </w:p>
    <w:p w14:paraId="41E92161">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地址</w:t>
      </w:r>
      <w:r>
        <w:rPr>
          <w:rFonts w:hint="eastAsia" w:ascii="宋体" w:hAnsi="宋体" w:cs="宋体"/>
          <w:color w:val="auto"/>
          <w:sz w:val="24"/>
          <w:szCs w:val="24"/>
          <w:lang w:eastAsia="zh-CN"/>
        </w:rPr>
        <w:t>:</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dotted"/>
        </w:rPr>
        <w:t xml:space="preserve">                        </w:t>
      </w:r>
      <w:r>
        <w:rPr>
          <w:rFonts w:hint="eastAsia" w:ascii="宋体" w:hAnsi="宋体" w:eastAsia="宋体" w:cs="宋体"/>
          <w:color w:val="auto"/>
          <w:sz w:val="24"/>
          <w:szCs w:val="24"/>
        </w:rPr>
        <w:t>邮编</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p>
    <w:p w14:paraId="2186E03F">
      <w:pPr>
        <w:adjustRightInd w:val="0"/>
        <w:snapToGrid w:val="0"/>
        <w:spacing w:line="360" w:lineRule="auto"/>
        <w:outlineLvl w:val="9"/>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二、质疑项目基本情况</w:t>
      </w:r>
    </w:p>
    <w:p w14:paraId="50C61466">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质疑项目的名称</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p>
    <w:p w14:paraId="2DEAEA58">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质疑项目的编号</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r>
        <w:rPr>
          <w:rFonts w:hint="eastAsia" w:ascii="宋体" w:hAnsi="宋体" w:eastAsia="宋体" w:cs="宋体"/>
          <w:color w:val="auto"/>
          <w:sz w:val="24"/>
          <w:szCs w:val="24"/>
        </w:rPr>
        <w:t>包号</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p>
    <w:p w14:paraId="57C2DAD3">
      <w:pPr>
        <w:adjustRightInd w:val="0"/>
        <w:snapToGrid w:val="0"/>
        <w:spacing w:line="360" w:lineRule="auto"/>
        <w:rPr>
          <w:rFonts w:hint="eastAsia" w:ascii="宋体" w:hAnsi="宋体" w:eastAsia="宋体" w:cs="宋体"/>
          <w:color w:val="auto"/>
          <w:sz w:val="24"/>
          <w:szCs w:val="24"/>
          <w:u w:val="dotted"/>
        </w:rPr>
      </w:pPr>
      <w:r>
        <w:rPr>
          <w:rFonts w:hint="eastAsia" w:ascii="宋体" w:hAnsi="宋体" w:eastAsia="宋体" w:cs="宋体"/>
          <w:color w:val="auto"/>
          <w:sz w:val="24"/>
          <w:szCs w:val="24"/>
        </w:rPr>
        <w:t>采购人名称</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p>
    <w:p w14:paraId="2C263649">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采购文件获取日期</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p>
    <w:p w14:paraId="4F857E13">
      <w:pPr>
        <w:adjustRightInd w:val="0"/>
        <w:snapToGrid w:val="0"/>
        <w:spacing w:line="360" w:lineRule="auto"/>
        <w:outlineLvl w:val="9"/>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三、质疑事项具体内容</w:t>
      </w:r>
    </w:p>
    <w:p w14:paraId="174961D2">
      <w:pPr>
        <w:adjustRightInd w:val="0"/>
        <w:snapToGrid w:val="0"/>
        <w:spacing w:line="360" w:lineRule="auto"/>
        <w:rPr>
          <w:rFonts w:hint="eastAsia" w:ascii="宋体" w:hAnsi="宋体" w:eastAsia="宋体" w:cs="宋体"/>
          <w:color w:val="auto"/>
          <w:sz w:val="24"/>
          <w:szCs w:val="24"/>
          <w:u w:val="dotted"/>
        </w:rPr>
      </w:pPr>
      <w:r>
        <w:rPr>
          <w:rFonts w:hint="eastAsia" w:ascii="宋体" w:hAnsi="宋体" w:eastAsia="宋体" w:cs="宋体"/>
          <w:color w:val="auto"/>
          <w:sz w:val="24"/>
          <w:szCs w:val="24"/>
        </w:rPr>
        <w:t>质疑事项1</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p>
    <w:p w14:paraId="3551C4D9">
      <w:pPr>
        <w:adjustRightInd w:val="0"/>
        <w:snapToGrid w:val="0"/>
        <w:spacing w:line="360" w:lineRule="auto"/>
        <w:rPr>
          <w:rFonts w:hint="eastAsia" w:ascii="宋体" w:hAnsi="宋体" w:eastAsia="宋体" w:cs="宋体"/>
          <w:color w:val="auto"/>
          <w:sz w:val="24"/>
          <w:szCs w:val="24"/>
          <w:u w:val="dotted"/>
        </w:rPr>
      </w:pPr>
      <w:r>
        <w:rPr>
          <w:rFonts w:hint="eastAsia" w:ascii="宋体" w:hAnsi="宋体" w:eastAsia="宋体" w:cs="宋体"/>
          <w:color w:val="auto"/>
          <w:sz w:val="24"/>
          <w:szCs w:val="24"/>
        </w:rPr>
        <w:t>事实依据</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p>
    <w:p w14:paraId="64C1FC9F">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dotted"/>
        </w:rPr>
        <w:t xml:space="preserve">                                                       </w:t>
      </w:r>
    </w:p>
    <w:p w14:paraId="2CC3A208">
      <w:pPr>
        <w:adjustRightInd w:val="0"/>
        <w:snapToGrid w:val="0"/>
        <w:spacing w:line="360" w:lineRule="auto"/>
        <w:rPr>
          <w:rFonts w:hint="eastAsia" w:ascii="宋体" w:hAnsi="宋体" w:eastAsia="宋体" w:cs="宋体"/>
          <w:color w:val="auto"/>
          <w:sz w:val="24"/>
          <w:szCs w:val="24"/>
          <w:u w:val="dotted"/>
        </w:rPr>
      </w:pPr>
      <w:r>
        <w:rPr>
          <w:rFonts w:hint="eastAsia" w:ascii="宋体" w:hAnsi="宋体" w:eastAsia="宋体" w:cs="宋体"/>
          <w:color w:val="auto"/>
          <w:sz w:val="24"/>
          <w:szCs w:val="24"/>
        </w:rPr>
        <w:t>法律依据</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p>
    <w:p w14:paraId="1D9FB44C">
      <w:pPr>
        <w:adjustRightInd w:val="0"/>
        <w:snapToGrid w:val="0"/>
        <w:spacing w:line="360" w:lineRule="auto"/>
        <w:rPr>
          <w:rFonts w:hint="eastAsia" w:ascii="宋体" w:hAnsi="宋体" w:eastAsia="宋体" w:cs="宋体"/>
          <w:color w:val="auto"/>
          <w:sz w:val="24"/>
          <w:szCs w:val="24"/>
          <w:u w:val="dotted"/>
        </w:rPr>
      </w:pPr>
      <w:r>
        <w:rPr>
          <w:rFonts w:hint="eastAsia" w:ascii="宋体" w:hAnsi="宋体" w:eastAsia="宋体" w:cs="宋体"/>
          <w:color w:val="auto"/>
          <w:sz w:val="24"/>
          <w:szCs w:val="24"/>
          <w:u w:val="dotted"/>
        </w:rPr>
        <w:t xml:space="preserve">                                                     </w:t>
      </w:r>
    </w:p>
    <w:p w14:paraId="06C51332">
      <w:pPr>
        <w:adjustRightInd w:val="0"/>
        <w:snapToGrid w:val="0"/>
        <w:spacing w:line="360" w:lineRule="auto"/>
        <w:rPr>
          <w:rFonts w:hint="eastAsia" w:ascii="宋体" w:hAnsi="宋体" w:eastAsia="宋体" w:cs="宋体"/>
          <w:color w:val="auto"/>
          <w:sz w:val="24"/>
          <w:szCs w:val="24"/>
          <w:u w:val="dotted"/>
        </w:rPr>
      </w:pPr>
      <w:r>
        <w:rPr>
          <w:rFonts w:hint="eastAsia" w:ascii="宋体" w:hAnsi="宋体" w:eastAsia="宋体" w:cs="宋体"/>
          <w:color w:val="auto"/>
          <w:sz w:val="24"/>
          <w:szCs w:val="24"/>
        </w:rPr>
        <w:t>质疑事项2</w:t>
      </w:r>
    </w:p>
    <w:p w14:paraId="67E88E1B">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w:t>
      </w:r>
    </w:p>
    <w:p w14:paraId="186AD031">
      <w:pPr>
        <w:snapToGrid w:val="0"/>
        <w:spacing w:afterLines="50"/>
        <w:outlineLvl w:val="9"/>
        <w:rPr>
          <w:rFonts w:hint="eastAsia" w:ascii="宋体" w:hAnsi="宋体" w:cs="宋体"/>
          <w:color w:val="auto"/>
          <w:sz w:val="24"/>
        </w:rPr>
      </w:pPr>
      <w:r>
        <w:rPr>
          <w:rFonts w:hint="eastAsia" w:ascii="宋体" w:hAnsi="宋体" w:eastAsia="宋体" w:cs="宋体"/>
          <w:bCs w:val="0"/>
          <w:color w:val="auto"/>
          <w:sz w:val="24"/>
          <w:szCs w:val="24"/>
        </w:rPr>
        <w:t>四、与质疑事项相关的质疑请求</w:t>
      </w:r>
    </w:p>
    <w:p w14:paraId="25EC7499">
      <w:pPr>
        <w:adjustRightInd w:val="0"/>
        <w:snapToGrid w:val="0"/>
        <w:spacing w:line="360" w:lineRule="auto"/>
        <w:rPr>
          <w:rFonts w:hint="eastAsia" w:ascii="宋体" w:hAnsi="宋体" w:eastAsia="宋体" w:cs="宋体"/>
          <w:color w:val="auto"/>
          <w:sz w:val="24"/>
          <w:szCs w:val="24"/>
          <w:u w:val="dotted"/>
        </w:rPr>
      </w:pPr>
      <w:r>
        <w:rPr>
          <w:rFonts w:hint="eastAsia" w:ascii="宋体" w:hAnsi="宋体" w:eastAsia="宋体" w:cs="宋体"/>
          <w:color w:val="auto"/>
          <w:sz w:val="24"/>
          <w:szCs w:val="24"/>
        </w:rPr>
        <w:t>请求</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p>
    <w:p w14:paraId="3D3A5DEC">
      <w:pPr>
        <w:rPr>
          <w:rFonts w:hint="eastAsia" w:ascii="宋体" w:hAnsi="宋体" w:eastAsia="宋体" w:cs="宋体"/>
          <w:color w:val="auto"/>
          <w:sz w:val="24"/>
          <w:szCs w:val="24"/>
        </w:rPr>
      </w:pPr>
      <w:r>
        <w:rPr>
          <w:rFonts w:hint="eastAsia" w:ascii="宋体" w:hAnsi="宋体" w:eastAsia="宋体" w:cs="宋体"/>
          <w:color w:val="auto"/>
          <w:sz w:val="24"/>
          <w:szCs w:val="24"/>
        </w:rPr>
        <w:t>签字(签章)</w:t>
      </w:r>
      <w:r>
        <w:rPr>
          <w:rFonts w:hint="eastAsia" w:ascii="宋体" w:hAnsi="宋体" w:cs="宋体"/>
          <w:color w:val="auto"/>
          <w:sz w:val="24"/>
          <w:szCs w:val="24"/>
          <w:lang w:eastAsia="zh-CN"/>
        </w:rPr>
        <w:t>:</w:t>
      </w:r>
      <w:r>
        <w:rPr>
          <w:rFonts w:hint="eastAsia" w:ascii="宋体" w:hAnsi="宋体" w:eastAsia="宋体" w:cs="宋体"/>
          <w:color w:val="auto"/>
          <w:sz w:val="24"/>
          <w:szCs w:val="24"/>
        </w:rPr>
        <w:t xml:space="preserve">                   公章</w:t>
      </w:r>
      <w:r>
        <w:rPr>
          <w:rFonts w:hint="eastAsia" w:ascii="宋体" w:hAnsi="宋体" w:cs="宋体"/>
          <w:color w:val="auto"/>
          <w:sz w:val="24"/>
          <w:szCs w:val="24"/>
          <w:lang w:eastAsia="zh-CN"/>
        </w:rPr>
        <w:t>:</w:t>
      </w:r>
      <w:r>
        <w:rPr>
          <w:rFonts w:hint="eastAsia" w:ascii="宋体" w:hAnsi="宋体" w:eastAsia="宋体" w:cs="宋体"/>
          <w:color w:val="auto"/>
          <w:sz w:val="24"/>
          <w:szCs w:val="24"/>
        </w:rPr>
        <w:t xml:space="preserve">                      </w:t>
      </w:r>
    </w:p>
    <w:p w14:paraId="2CF51B32">
      <w:pPr>
        <w:rPr>
          <w:rFonts w:hint="eastAsia" w:ascii="宋体" w:hAnsi="宋体" w:eastAsia="宋体" w:cs="宋体"/>
          <w:color w:val="auto"/>
          <w:sz w:val="24"/>
          <w:szCs w:val="24"/>
        </w:rPr>
      </w:pPr>
      <w:r>
        <w:rPr>
          <w:rFonts w:hint="eastAsia" w:ascii="宋体" w:hAnsi="宋体" w:eastAsia="宋体" w:cs="宋体"/>
          <w:color w:val="auto"/>
          <w:sz w:val="24"/>
          <w:szCs w:val="24"/>
        </w:rPr>
        <w:t>日期</w:t>
      </w:r>
      <w:r>
        <w:rPr>
          <w:rFonts w:hint="eastAsia" w:ascii="宋体" w:hAnsi="宋体" w:cs="宋体"/>
          <w:color w:val="auto"/>
          <w:sz w:val="24"/>
          <w:szCs w:val="24"/>
          <w:lang w:eastAsia="zh-CN"/>
        </w:rPr>
        <w:t>:</w:t>
      </w:r>
      <w:r>
        <w:rPr>
          <w:rFonts w:hint="eastAsia" w:ascii="宋体" w:hAnsi="宋体" w:eastAsia="宋体" w:cs="宋体"/>
          <w:color w:val="auto"/>
          <w:sz w:val="24"/>
          <w:szCs w:val="24"/>
        </w:rPr>
        <w:t xml:space="preserve">    </w:t>
      </w:r>
    </w:p>
    <w:p w14:paraId="32401DD7">
      <w:pPr>
        <w:adjustRightInd w:val="0"/>
        <w:snapToGrid w:val="0"/>
        <w:spacing w:line="360" w:lineRule="auto"/>
        <w:rPr>
          <w:rFonts w:hint="eastAsia" w:ascii="宋体" w:hAnsi="宋体" w:eastAsia="宋体" w:cs="宋体"/>
          <w:color w:val="auto"/>
          <w:sz w:val="24"/>
          <w:szCs w:val="24"/>
        </w:rPr>
      </w:pPr>
    </w:p>
    <w:p w14:paraId="5E554B92">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val="0"/>
          <w:color w:val="auto"/>
          <w:sz w:val="24"/>
          <w:szCs w:val="24"/>
          <w:lang w:eastAsia="zh-CN"/>
        </w:rPr>
      </w:pPr>
      <w:r>
        <w:rPr>
          <w:rFonts w:hint="eastAsia" w:ascii="宋体" w:hAnsi="宋体" w:cs="宋体"/>
          <w:color w:val="auto"/>
          <w:sz w:val="24"/>
        </w:rPr>
        <w:br w:type="page"/>
      </w:r>
      <w:r>
        <w:rPr>
          <w:rFonts w:hint="eastAsia" w:ascii="宋体" w:hAnsi="宋体" w:eastAsia="宋体" w:cs="宋体"/>
          <w:b w:val="0"/>
          <w:color w:val="auto"/>
          <w:sz w:val="24"/>
          <w:szCs w:val="24"/>
        </w:rPr>
        <w:t>质疑函制作说明</w:t>
      </w:r>
      <w:r>
        <w:rPr>
          <w:rFonts w:hint="eastAsia" w:ascii="宋体" w:hAnsi="宋体" w:cs="宋体"/>
          <w:b w:val="0"/>
          <w:color w:val="auto"/>
          <w:sz w:val="24"/>
          <w:szCs w:val="24"/>
          <w:lang w:eastAsia="zh-CN"/>
        </w:rPr>
        <w:t>:</w:t>
      </w:r>
    </w:p>
    <w:p w14:paraId="0C780AA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1.供应商提出质疑时，应提交质疑函和必要的证明材料。</w:t>
      </w:r>
    </w:p>
    <w:p w14:paraId="3CD7AA00">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2.质疑供应商若委托代理人进行质疑的，质疑函应按要求列明“授权代表”的有关内容，并在附件中提交由质疑</w:t>
      </w:r>
      <w:r>
        <w:rPr>
          <w:rFonts w:hint="eastAsia" w:ascii="宋体" w:hAnsi="宋体" w:eastAsia="宋体" w:cs="宋体"/>
          <w:color w:val="auto"/>
          <w:kern w:val="0"/>
          <w:sz w:val="24"/>
          <w:szCs w:val="24"/>
        </w:rPr>
        <w:t>供应商签署的授权委托书。授权委托书应载明代理人的姓名或者名称、代理事项、具体权限、期限和相关事项。</w:t>
      </w:r>
    </w:p>
    <w:p w14:paraId="332B26D6">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3.质疑供应商若对项目的某一分包进行质疑，质疑函中应列明具体分包号。</w:t>
      </w:r>
    </w:p>
    <w:p w14:paraId="0B576014">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4.质疑函的质疑事项应具体、明确，并有必要的事实依据和法律依据。</w:t>
      </w:r>
    </w:p>
    <w:p w14:paraId="47D8C7F1">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5.质疑函的质疑请求应与质疑事项相关。</w:t>
      </w:r>
    </w:p>
    <w:p w14:paraId="0EB4128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6.质疑供应商为自然人的，质疑函应由本人签字；质疑供应商为法人或者其他组织的，质疑函应由法定代表人、主要负责人，或者其授权代表签字或者盖章，并加盖公章。</w:t>
      </w:r>
    </w:p>
    <w:p w14:paraId="30B5251D">
      <w:pPr>
        <w:widowControl/>
        <w:ind w:firstLine="480" w:firstLineChars="200"/>
        <w:jc w:val="left"/>
        <w:rPr>
          <w:rFonts w:ascii="仿宋_GB2312" w:eastAsia="仿宋_GB2312"/>
          <w:color w:val="auto"/>
          <w:sz w:val="24"/>
          <w:szCs w:val="24"/>
        </w:rPr>
      </w:pPr>
    </w:p>
    <w:p w14:paraId="5E39C427">
      <w:pPr>
        <w:snapToGrid w:val="0"/>
        <w:spacing w:afterLines="50"/>
        <w:rPr>
          <w:color w:val="auto"/>
          <w:sz w:val="24"/>
        </w:rPr>
      </w:pPr>
    </w:p>
    <w:p w14:paraId="3B8C4156">
      <w:pPr>
        <w:snapToGrid w:val="0"/>
        <w:spacing w:afterLines="50"/>
        <w:rPr>
          <w:color w:val="auto"/>
        </w:rPr>
      </w:pPr>
    </w:p>
    <w:sectPr>
      <w:headerReference r:id="rId13" w:type="default"/>
      <w:footerReference r:id="rId14" w:type="default"/>
      <w:pgSz w:w="11906" w:h="16838"/>
      <w:pgMar w:top="1440" w:right="1080" w:bottom="1440" w:left="108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swiss"/>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F538758-63C3-49C7-87FE-DCABFCB3ABF8}"/>
  </w:font>
  <w:font w:name="Arial">
    <w:panose1 w:val="020B0604020202020204"/>
    <w:charset w:val="01"/>
    <w:family w:val="swiss"/>
    <w:pitch w:val="default"/>
    <w:sig w:usb0="E0002EFF" w:usb1="C000785B" w:usb2="00000009" w:usb3="00000000" w:csb0="400001FF" w:csb1="FFFF0000"/>
    <w:embedRegular r:id="rId2" w:fontKey="{AEC04E63-39BA-46DB-B066-A74ABE111FB9}"/>
  </w:font>
  <w:font w:name="黑体">
    <w:panose1 w:val="02010609060101010101"/>
    <w:charset w:val="86"/>
    <w:family w:val="auto"/>
    <w:pitch w:val="default"/>
    <w:sig w:usb0="800002BF" w:usb1="38CF7CFA" w:usb2="00000016" w:usb3="00000000" w:csb0="00040001" w:csb1="00000000"/>
    <w:embedRegular r:id="rId3" w:fontKey="{0F51ADD4-1026-4C5D-BBCE-A08726D7FED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7149E8C6-0E78-46DD-B0C7-52BE0C1C7CE8}"/>
  </w:font>
  <w:font w:name="Cambria">
    <w:panose1 w:val="02040503050406030204"/>
    <w:charset w:val="00"/>
    <w:family w:val="modern"/>
    <w:pitch w:val="default"/>
    <w:sig w:usb0="E00006FF" w:usb1="420024FF" w:usb2="02000000" w:usb3="00000000" w:csb0="2000019F" w:csb1="00000000"/>
    <w:embedRegular r:id="rId5" w:fontKey="{0E1A1365-205B-464A-A8CB-6087ACACB54F}"/>
  </w:font>
  <w:font w:name="仿宋_GB2312">
    <w:panose1 w:val="02010609030101010101"/>
    <w:charset w:val="86"/>
    <w:family w:val="auto"/>
    <w:pitch w:val="default"/>
    <w:sig w:usb0="00000001" w:usb1="080E0000" w:usb2="00000000" w:usb3="00000000" w:csb0="00040000" w:csb1="00000000"/>
    <w:embedRegular r:id="rId6" w:fontKey="{F7DE7E53-71D1-480F-8D08-B0486E39A189}"/>
  </w:font>
  <w:font w:name="楷体_GB2312">
    <w:panose1 w:val="02010609030101010101"/>
    <w:charset w:val="86"/>
    <w:family w:val="auto"/>
    <w:pitch w:val="default"/>
    <w:sig w:usb0="00000001" w:usb1="080E0000" w:usb2="00000000" w:usb3="00000000" w:csb0="00040000" w:csb1="00000000"/>
    <w:embedRegular r:id="rId7" w:fontKey="{6B98DC08-8EEF-4B8E-A666-E3C78900B5C3}"/>
  </w:font>
  <w:font w:name="Arial Unicode MS">
    <w:altName w:val="宋体"/>
    <w:panose1 w:val="020B0604020202020204"/>
    <w:charset w:val="86"/>
    <w:family w:val="auto"/>
    <w:pitch w:val="default"/>
    <w:sig w:usb0="00000000" w:usb1="00000000" w:usb2="0000003F" w:usb3="00000000" w:csb0="603F01FF" w:csb1="FFFF0000"/>
  </w:font>
  <w:font w:name="Univers">
    <w:altName w:val="Arial"/>
    <w:panose1 w:val="00000000000000000000"/>
    <w:charset w:val="00"/>
    <w:family w:val="auto"/>
    <w:pitch w:val="default"/>
    <w:sig w:usb0="00000000" w:usb1="00000000" w:usb2="00000000" w:usb3="00000000" w:csb0="00000093" w:csb1="00000000"/>
  </w:font>
  <w:font w:name="Tahoma">
    <w:panose1 w:val="020B0604030504040204"/>
    <w:charset w:val="00"/>
    <w:family w:val="auto"/>
    <w:pitch w:val="default"/>
    <w:sig w:usb0="E1002EFF" w:usb1="C000605B" w:usb2="00000029" w:usb3="00000000" w:csb0="200101FF" w:csb1="20280000"/>
  </w:font>
  <w:font w:name="Tms Rmn">
    <w:altName w:val="Segoe Print"/>
    <w:panose1 w:val="02020603040505020304"/>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Verdana">
    <w:panose1 w:val="020B0604030504040204"/>
    <w:charset w:val="00"/>
    <w:family w:val="auto"/>
    <w:pitch w:val="default"/>
    <w:sig w:usb0="A00006FF" w:usb1="4000205B" w:usb2="00000010" w:usb3="00000000" w:csb0="2000019F" w:csb1="00000000"/>
  </w:font>
  <w:font w:name="MS Gothic">
    <w:panose1 w:val="020B0609070205080204"/>
    <w:charset w:val="80"/>
    <w:family w:val="auto"/>
    <w:pitch w:val="default"/>
    <w:sig w:usb0="E00002FF" w:usb1="6AC7FDFB" w:usb2="08000012" w:usb3="00000000" w:csb0="4002009F" w:csb1="DFD70000"/>
  </w:font>
  <w:font w:name="Century">
    <w:panose1 w:val="02040604050505020304"/>
    <w:charset w:val="00"/>
    <w:family w:val="auto"/>
    <w:pitch w:val="default"/>
    <w:sig w:usb0="00000287" w:usb1="00000000" w:usb2="00000000" w:usb3="00000000" w:csb0="2000009F" w:csb1="DFD70000"/>
  </w:font>
  <w:font w:name="微软雅黑">
    <w:panose1 w:val="020B0503020204020204"/>
    <w:charset w:val="86"/>
    <w:family w:val="auto"/>
    <w:pitch w:val="default"/>
    <w:sig w:usb0="80000287" w:usb1="2ACF3C50" w:usb2="00000016" w:usb3="00000000" w:csb0="0004001F" w:csb1="00000000"/>
    <w:embedRegular r:id="rId8" w:fontKey="{79B6239E-4AE3-484D-AB95-BDEF12A4DA9F}"/>
  </w:font>
  <w:font w:name="方正小标宋简体">
    <w:panose1 w:val="02000000000000000000"/>
    <w:charset w:val="86"/>
    <w:family w:val="script"/>
    <w:pitch w:val="default"/>
    <w:sig w:usb0="00000001" w:usb1="08000000" w:usb2="00000000" w:usb3="00000000" w:csb0="00040000" w:csb1="00000000"/>
    <w:embedRegular r:id="rId9" w:fontKey="{B13F0EB9-3108-4B1C-9F14-B54900B709AE}"/>
  </w:font>
  <w:font w:name="仿宋">
    <w:panose1 w:val="02010609060101010101"/>
    <w:charset w:val="86"/>
    <w:family w:val="auto"/>
    <w:pitch w:val="default"/>
    <w:sig w:usb0="800002BF" w:usb1="38CF7CFA" w:usb2="00000016" w:usb3="00000000" w:csb0="00040001" w:csb1="00000000"/>
    <w:embedRegular r:id="rId10" w:fontKey="{C0412AA2-3A3A-4986-B197-AE3C6FE2816B}"/>
  </w:font>
  <w:font w:name="TimesNewRomanPSMT">
    <w:altName w:val="宋体"/>
    <w:panose1 w:val="00000000000000000000"/>
    <w:charset w:val="00"/>
    <w:family w:val="auto"/>
    <w:pitch w:val="default"/>
    <w:sig w:usb0="00000000" w:usb1="00000000" w:usb2="00000010" w:usb3="00000000" w:csb0="00040001" w:csb1="00000000"/>
    <w:embedRegular r:id="rId11" w:fontKey="{451F82A8-19D1-4BCE-B5DC-466DBE2ED43A}"/>
  </w:font>
  <w:font w:name="方正楷体简体">
    <w:altName w:val="宋体"/>
    <w:panose1 w:val="00000000000000000000"/>
    <w:charset w:val="86"/>
    <w:family w:val="auto"/>
    <w:pitch w:val="default"/>
    <w:sig w:usb0="00000000" w:usb1="00000000" w:usb2="00000010" w:usb3="00000000" w:csb0="00040000" w:csb1="00000000"/>
    <w:embedRegular r:id="rId12" w:fontKey="{6727DB8F-12EC-4D8D-8009-CE19E1493EB4}"/>
  </w:font>
  <w:font w:name="WPSEMBED1">
    <w:panose1 w:val="02010609030101010101"/>
    <w:charset w:val="86"/>
    <w:family w:val="auto"/>
    <w:pitch w:val="default"/>
    <w:sig w:usb0="00000001" w:usb1="080E0000" w:usb2="00000000" w:usb3="00000000" w:csb0="00040000" w:csb1="00000000"/>
  </w:font>
  <w:font w:name="WPSEMBED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9D092">
    <w:pPr>
      <w:widowControl w:val="0"/>
      <w:snapToGrid w:val="0"/>
      <w:spacing w:after="0" w:line="240" w:lineRule="auto"/>
      <w:jc w:val="left"/>
      <w:rPr>
        <w:rFonts w:ascii="Times New Roman" w:hAnsi="Times New Roman" w:eastAsia="宋体"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0A47B">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50CA7">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6EA54">
    <w:pPr>
      <w:pStyle w:val="31"/>
      <w:ind w:firstLine="90" w:firstLineChars="5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8A8515">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A8A8515">
                    <w:pPr>
                      <w:pStyle w:val="3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3EE6E">
    <w:pPr>
      <w:pStyle w:val="31"/>
      <w:ind w:firstLine="90" w:firstLineChars="5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79FA80">
                          <w:pPr>
                            <w:pStyle w:val="31"/>
                          </w:pPr>
                          <w:r>
                            <w:fldChar w:fldCharType="begin"/>
                          </w:r>
                          <w:r>
                            <w:instrText xml:space="preserve"> PAGE  \* MERGEFORMAT </w:instrText>
                          </w:r>
                          <w:r>
                            <w:fldChar w:fldCharType="separate"/>
                          </w:r>
                          <w:r>
                            <w:t>142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979FA80">
                    <w:pPr>
                      <w:pStyle w:val="31"/>
                    </w:pPr>
                    <w:r>
                      <w:fldChar w:fldCharType="begin"/>
                    </w:r>
                    <w:r>
                      <w:instrText xml:space="preserve"> PAGE  \* MERGEFORMAT </w:instrText>
                    </w:r>
                    <w:r>
                      <w:fldChar w:fldCharType="separate"/>
                    </w:r>
                    <w:r>
                      <w:t>142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001E8">
    <w:pPr>
      <w:pStyle w:val="31"/>
      <w:ind w:firstLine="90" w:firstLineChars="5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2BD234">
                          <w:pPr>
                            <w:pStyle w:val="31"/>
                          </w:pPr>
                          <w:r>
                            <w:fldChar w:fldCharType="begin"/>
                          </w:r>
                          <w:r>
                            <w:instrText xml:space="preserve"> PAGE  \* MERGEFORMAT </w:instrText>
                          </w:r>
                          <w:r>
                            <w:fldChar w:fldCharType="separate"/>
                          </w:r>
                          <w:r>
                            <w:t>143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22BD234">
                    <w:pPr>
                      <w:pStyle w:val="31"/>
                    </w:pPr>
                    <w:r>
                      <w:fldChar w:fldCharType="begin"/>
                    </w:r>
                    <w:r>
                      <w:instrText xml:space="preserve"> PAGE  \* MERGEFORMAT </w:instrText>
                    </w:r>
                    <w:r>
                      <w:fldChar w:fldCharType="separate"/>
                    </w:r>
                    <w:r>
                      <w:t>143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4FB67">
    <w:pPr>
      <w:widowControl w:val="0"/>
      <w:pBdr>
        <w:bottom w:val="none" w:color="auto" w:sz="0" w:space="1"/>
      </w:pBdr>
      <w:snapToGrid w:val="0"/>
      <w:spacing w:after="0" w:line="240" w:lineRule="auto"/>
      <w:jc w:val="right"/>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drawing>
        <wp:inline distT="0" distB="0" distL="114300" distR="114300">
          <wp:extent cx="2664460" cy="278765"/>
          <wp:effectExtent l="0" t="0" r="0" b="6985"/>
          <wp:docPr id="5" name="图片 6" descr="353afe324ad3cad658bf12ab6d32f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353afe324ad3cad658bf12ab6d32f44"/>
                  <pic:cNvPicPr>
                    <a:picLocks noChangeAspect="1"/>
                  </pic:cNvPicPr>
                </pic:nvPicPr>
                <pic:blipFill>
                  <a:blip r:embed="rId1"/>
                  <a:stretch>
                    <a:fillRect/>
                  </a:stretch>
                </pic:blipFill>
                <pic:spPr>
                  <a:xfrm>
                    <a:off x="0" y="0"/>
                    <a:ext cx="2664460" cy="27876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46B4D">
    <w:pPr>
      <w:widowControl w:val="0"/>
      <w:pBdr>
        <w:bottom w:val="single" w:color="auto" w:sz="6" w:space="1"/>
      </w:pBdr>
      <w:snapToGrid w:val="0"/>
      <w:spacing w:after="0" w:line="240" w:lineRule="auto"/>
      <w:jc w:val="center"/>
      <w:rPr>
        <w:rFonts w:ascii="Times New Roman" w:hAnsi="Times New Roman" w:eastAsia="宋体" w:cs="Times New Roman"/>
        <w:kern w:val="2"/>
        <w:sz w:val="18"/>
        <w:szCs w:val="18"/>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B3AE9">
    <w:pPr>
      <w:rPr>
        <w:rFonts w:hint="default" w:eastAsia="宋体"/>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131A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F2C7A">
    <w:pPr>
      <w:pStyle w:val="3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A50D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3A8E4C"/>
    <w:multiLevelType w:val="singleLevel"/>
    <w:tmpl w:val="873A8E4C"/>
    <w:lvl w:ilvl="0" w:tentative="0">
      <w:start w:val="1"/>
      <w:numFmt w:val="decimal"/>
      <w:suff w:val="nothing"/>
      <w:lvlText w:val="（%1）"/>
      <w:lvlJc w:val="left"/>
    </w:lvl>
  </w:abstractNum>
  <w:abstractNum w:abstractNumId="1">
    <w:nsid w:val="8C3A8FF4"/>
    <w:multiLevelType w:val="singleLevel"/>
    <w:tmpl w:val="8C3A8FF4"/>
    <w:lvl w:ilvl="0" w:tentative="0">
      <w:start w:val="9"/>
      <w:numFmt w:val="chineseCounting"/>
      <w:suff w:val="nothing"/>
      <w:lvlText w:val="%1、"/>
      <w:lvlJc w:val="left"/>
      <w:rPr>
        <w:rFonts w:hint="eastAsia"/>
      </w:rPr>
    </w:lvl>
  </w:abstractNum>
  <w:abstractNum w:abstractNumId="2">
    <w:nsid w:val="8DC35F13"/>
    <w:multiLevelType w:val="singleLevel"/>
    <w:tmpl w:val="8DC35F13"/>
    <w:lvl w:ilvl="0" w:tentative="0">
      <w:start w:val="1"/>
      <w:numFmt w:val="decimal"/>
      <w:lvlText w:val="%1."/>
      <w:lvlJc w:val="left"/>
      <w:pPr>
        <w:tabs>
          <w:tab w:val="left" w:pos="312"/>
        </w:tabs>
      </w:pPr>
    </w:lvl>
  </w:abstractNum>
  <w:abstractNum w:abstractNumId="3">
    <w:nsid w:val="F485322B"/>
    <w:multiLevelType w:val="singleLevel"/>
    <w:tmpl w:val="F485322B"/>
    <w:lvl w:ilvl="0" w:tentative="0">
      <w:start w:val="1"/>
      <w:numFmt w:val="decimal"/>
      <w:suff w:val="nothing"/>
      <w:lvlText w:val="%1、"/>
      <w:lvlJc w:val="left"/>
    </w:lvl>
  </w:abstractNum>
  <w:abstractNum w:abstractNumId="4">
    <w:nsid w:val="0000000A"/>
    <w:multiLevelType w:val="multilevel"/>
    <w:tmpl w:val="0000000A"/>
    <w:lvl w:ilvl="0" w:tentative="0">
      <w:start w:val="1"/>
      <w:numFmt w:val="decimal"/>
      <w:lvlText w:val="（%1）"/>
      <w:lvlJc w:val="left"/>
      <w:pPr>
        <w:ind w:left="1499" w:hanging="420"/>
      </w:pPr>
      <w:rPr>
        <w:rFonts w:hint="eastAsia"/>
      </w:rPr>
    </w:lvl>
    <w:lvl w:ilvl="1" w:tentative="0">
      <w:start w:val="1"/>
      <w:numFmt w:val="lowerLetter"/>
      <w:lvlText w:val="%2)"/>
      <w:lvlJc w:val="left"/>
      <w:pPr>
        <w:ind w:left="1919" w:hanging="420"/>
      </w:pPr>
    </w:lvl>
    <w:lvl w:ilvl="2" w:tentative="0">
      <w:start w:val="1"/>
      <w:numFmt w:val="lowerRoman"/>
      <w:lvlText w:val="%3."/>
      <w:lvlJc w:val="right"/>
      <w:pPr>
        <w:ind w:left="2339" w:hanging="420"/>
      </w:pPr>
    </w:lvl>
    <w:lvl w:ilvl="3" w:tentative="0">
      <w:start w:val="1"/>
      <w:numFmt w:val="decimal"/>
      <w:lvlText w:val="%4."/>
      <w:lvlJc w:val="left"/>
      <w:pPr>
        <w:ind w:left="2759" w:hanging="420"/>
      </w:pPr>
    </w:lvl>
    <w:lvl w:ilvl="4" w:tentative="0">
      <w:start w:val="1"/>
      <w:numFmt w:val="lowerLetter"/>
      <w:lvlText w:val="%5)"/>
      <w:lvlJc w:val="left"/>
      <w:pPr>
        <w:ind w:left="3179" w:hanging="420"/>
      </w:pPr>
    </w:lvl>
    <w:lvl w:ilvl="5" w:tentative="0">
      <w:start w:val="1"/>
      <w:numFmt w:val="lowerRoman"/>
      <w:lvlText w:val="%6."/>
      <w:lvlJc w:val="right"/>
      <w:pPr>
        <w:ind w:left="3599" w:hanging="420"/>
      </w:pPr>
    </w:lvl>
    <w:lvl w:ilvl="6" w:tentative="0">
      <w:start w:val="1"/>
      <w:numFmt w:val="decimal"/>
      <w:lvlText w:val="%7."/>
      <w:lvlJc w:val="left"/>
      <w:pPr>
        <w:ind w:left="4019" w:hanging="420"/>
      </w:pPr>
    </w:lvl>
    <w:lvl w:ilvl="7" w:tentative="0">
      <w:start w:val="1"/>
      <w:numFmt w:val="lowerLetter"/>
      <w:lvlText w:val="%8)"/>
      <w:lvlJc w:val="left"/>
      <w:pPr>
        <w:ind w:left="4439" w:hanging="420"/>
      </w:pPr>
    </w:lvl>
    <w:lvl w:ilvl="8" w:tentative="0">
      <w:start w:val="1"/>
      <w:numFmt w:val="lowerRoman"/>
      <w:lvlText w:val="%9."/>
      <w:lvlJc w:val="right"/>
      <w:pPr>
        <w:ind w:left="4859" w:hanging="420"/>
      </w:pPr>
    </w:lvl>
  </w:abstractNum>
  <w:abstractNum w:abstractNumId="5">
    <w:nsid w:val="0000000C"/>
    <w:multiLevelType w:val="multilevel"/>
    <w:tmpl w:val="0000000C"/>
    <w:lvl w:ilvl="0" w:tentative="0">
      <w:start w:val="1"/>
      <w:numFmt w:val="decimal"/>
      <w:lvlText w:val="%1"/>
      <w:lvlJc w:val="left"/>
      <w:pPr>
        <w:tabs>
          <w:tab w:val="left" w:pos="1134"/>
        </w:tabs>
        <w:ind w:left="1134" w:hanging="1134"/>
      </w:pPr>
      <w:rPr>
        <w:rFonts w:hint="eastAsia" w:ascii="宋体" w:eastAsia="宋体"/>
        <w:sz w:val="24"/>
        <w:szCs w:val="24"/>
      </w:rPr>
    </w:lvl>
    <w:lvl w:ilvl="1" w:tentative="0">
      <w:start w:val="1"/>
      <w:numFmt w:val="decimal"/>
      <w:lvlText w:val="%1.%2"/>
      <w:lvlJc w:val="left"/>
      <w:pPr>
        <w:tabs>
          <w:tab w:val="left" w:pos="1134"/>
        </w:tabs>
        <w:ind w:left="1134" w:hanging="1134"/>
      </w:pPr>
      <w:rPr>
        <w:rFonts w:hint="eastAsia" w:ascii="宋体" w:eastAsia="宋体"/>
        <w:color w:val="auto"/>
      </w:rPr>
    </w:lvl>
    <w:lvl w:ilvl="2" w:tentative="0">
      <w:start w:val="1"/>
      <w:numFmt w:val="decimal"/>
      <w:lvlText w:val="%1.%2.%3"/>
      <w:lvlJc w:val="left"/>
      <w:pPr>
        <w:tabs>
          <w:tab w:val="left" w:pos="1134"/>
        </w:tabs>
        <w:ind w:left="1134" w:hanging="1134"/>
      </w:pPr>
      <w:rPr>
        <w:rFonts w:hint="eastAsia" w:ascii="宋体" w:eastAsia="宋体"/>
      </w:rPr>
    </w:lvl>
    <w:lvl w:ilvl="3" w:tentative="0">
      <w:start w:val="1"/>
      <w:numFmt w:val="decimal"/>
      <w:lvlText w:val="%1.%2.%3.%4"/>
      <w:lvlJc w:val="left"/>
      <w:pPr>
        <w:tabs>
          <w:tab w:val="left" w:pos="1021"/>
        </w:tabs>
        <w:ind w:left="1134" w:hanging="1134"/>
      </w:pPr>
      <w:rPr>
        <w:rFonts w:hint="eastAsia"/>
      </w:rPr>
    </w:lvl>
    <w:lvl w:ilvl="4" w:tentative="0">
      <w:start w:val="1"/>
      <w:numFmt w:val="decimal"/>
      <w:lvlText w:val="%1.%2.%3.%4.%5"/>
      <w:lvlJc w:val="left"/>
      <w:pPr>
        <w:tabs>
          <w:tab w:val="left" w:pos="1021"/>
        </w:tabs>
        <w:ind w:left="1134" w:hanging="1134"/>
      </w:pPr>
      <w:rPr>
        <w:rFonts w:hint="eastAsia"/>
      </w:rPr>
    </w:lvl>
    <w:lvl w:ilvl="5" w:tentative="0">
      <w:start w:val="1"/>
      <w:numFmt w:val="decimal"/>
      <w:lvlText w:val="%1.%2.%3.%4.%5.%6."/>
      <w:lvlJc w:val="left"/>
      <w:pPr>
        <w:tabs>
          <w:tab w:val="left" w:pos="1021"/>
        </w:tabs>
        <w:ind w:left="1134" w:hanging="1134"/>
      </w:pPr>
      <w:rPr>
        <w:rFonts w:hint="eastAsia"/>
      </w:rPr>
    </w:lvl>
    <w:lvl w:ilvl="6" w:tentative="0">
      <w:start w:val="1"/>
      <w:numFmt w:val="decimal"/>
      <w:lvlText w:val="%1.%2.%3.%4.%5.%6.%7."/>
      <w:lvlJc w:val="left"/>
      <w:pPr>
        <w:tabs>
          <w:tab w:val="left" w:pos="1021"/>
        </w:tabs>
        <w:ind w:left="1134" w:hanging="1134"/>
      </w:pPr>
      <w:rPr>
        <w:rFonts w:hint="eastAsia"/>
      </w:rPr>
    </w:lvl>
    <w:lvl w:ilvl="7" w:tentative="0">
      <w:start w:val="1"/>
      <w:numFmt w:val="decimal"/>
      <w:lvlText w:val="%1.%2.%3.%4.%5.%6.%7.%8."/>
      <w:lvlJc w:val="left"/>
      <w:pPr>
        <w:tabs>
          <w:tab w:val="left" w:pos="1021"/>
        </w:tabs>
        <w:ind w:left="1134" w:hanging="1134"/>
      </w:pPr>
      <w:rPr>
        <w:rFonts w:hint="eastAsia"/>
      </w:rPr>
    </w:lvl>
    <w:lvl w:ilvl="8" w:tentative="0">
      <w:start w:val="1"/>
      <w:numFmt w:val="decimal"/>
      <w:lvlText w:val="%1.%2.%3.%4.%5.%6.%7.%8.%9."/>
      <w:lvlJc w:val="left"/>
      <w:pPr>
        <w:tabs>
          <w:tab w:val="left" w:pos="1021"/>
        </w:tabs>
        <w:ind w:left="1134" w:hanging="1134"/>
      </w:pPr>
      <w:rPr>
        <w:rFonts w:hint="eastAsia"/>
      </w:rPr>
    </w:lvl>
  </w:abstractNum>
  <w:abstractNum w:abstractNumId="6">
    <w:nsid w:val="0000000D"/>
    <w:multiLevelType w:val="multilevel"/>
    <w:tmpl w:val="0000000D"/>
    <w:lvl w:ilvl="0" w:tentative="0">
      <w:start w:val="1"/>
      <w:numFmt w:val="decimal"/>
      <w:lvlText w:val="%1)"/>
      <w:lvlJc w:val="left"/>
      <w:pPr>
        <w:ind w:left="1501" w:hanging="420"/>
      </w:pPr>
      <w:rPr>
        <w:rFonts w:hint="eastAsia"/>
      </w:rPr>
    </w:lvl>
    <w:lvl w:ilvl="1" w:tentative="0">
      <w:start w:val="1"/>
      <w:numFmt w:val="lowerLetter"/>
      <w:lvlText w:val="%2)"/>
      <w:lvlJc w:val="left"/>
      <w:pPr>
        <w:ind w:left="1921" w:hanging="420"/>
      </w:pPr>
    </w:lvl>
    <w:lvl w:ilvl="2" w:tentative="0">
      <w:start w:val="1"/>
      <w:numFmt w:val="lowerRoman"/>
      <w:lvlText w:val="%3."/>
      <w:lvlJc w:val="right"/>
      <w:pPr>
        <w:ind w:left="2341" w:hanging="420"/>
      </w:pPr>
    </w:lvl>
    <w:lvl w:ilvl="3" w:tentative="0">
      <w:start w:val="1"/>
      <w:numFmt w:val="decimal"/>
      <w:lvlText w:val="%4."/>
      <w:lvlJc w:val="left"/>
      <w:pPr>
        <w:ind w:left="2761" w:hanging="420"/>
      </w:pPr>
    </w:lvl>
    <w:lvl w:ilvl="4" w:tentative="0">
      <w:start w:val="1"/>
      <w:numFmt w:val="lowerLetter"/>
      <w:lvlText w:val="%5)"/>
      <w:lvlJc w:val="left"/>
      <w:pPr>
        <w:ind w:left="3181" w:hanging="420"/>
      </w:pPr>
    </w:lvl>
    <w:lvl w:ilvl="5" w:tentative="0">
      <w:start w:val="1"/>
      <w:numFmt w:val="lowerRoman"/>
      <w:lvlText w:val="%6."/>
      <w:lvlJc w:val="right"/>
      <w:pPr>
        <w:ind w:left="3601" w:hanging="420"/>
      </w:pPr>
    </w:lvl>
    <w:lvl w:ilvl="6" w:tentative="0">
      <w:start w:val="1"/>
      <w:numFmt w:val="decimal"/>
      <w:lvlText w:val="%7."/>
      <w:lvlJc w:val="left"/>
      <w:pPr>
        <w:ind w:left="4021" w:hanging="420"/>
      </w:pPr>
    </w:lvl>
    <w:lvl w:ilvl="7" w:tentative="0">
      <w:start w:val="1"/>
      <w:numFmt w:val="lowerLetter"/>
      <w:lvlText w:val="%8)"/>
      <w:lvlJc w:val="left"/>
      <w:pPr>
        <w:ind w:left="4441" w:hanging="420"/>
      </w:pPr>
    </w:lvl>
    <w:lvl w:ilvl="8" w:tentative="0">
      <w:start w:val="1"/>
      <w:numFmt w:val="lowerRoman"/>
      <w:lvlText w:val="%9."/>
      <w:lvlJc w:val="right"/>
      <w:pPr>
        <w:ind w:left="4861" w:hanging="420"/>
      </w:pPr>
    </w:lvl>
  </w:abstractNum>
  <w:abstractNum w:abstractNumId="7">
    <w:nsid w:val="00000012"/>
    <w:multiLevelType w:val="multilevel"/>
    <w:tmpl w:val="00000012"/>
    <w:lvl w:ilvl="0" w:tentative="0">
      <w:start w:val="1"/>
      <w:numFmt w:val="decimal"/>
      <w:lvlText w:val="附件%1"/>
      <w:lvlJc w:val="left"/>
      <w:pPr>
        <w:tabs>
          <w:tab w:val="left" w:pos="1134"/>
        </w:tabs>
        <w:ind w:left="1134" w:hanging="1134"/>
      </w:pPr>
      <w:rPr>
        <w:rFonts w:hint="eastAsia" w:eastAsia="宋体"/>
        <w:b/>
        <w:i w:val="0"/>
        <w:sz w:val="24"/>
        <w:szCs w:val="28"/>
      </w:rPr>
    </w:lvl>
    <w:lvl w:ilvl="1" w:tentative="0">
      <w:start w:val="1"/>
      <w:numFmt w:val="decimal"/>
      <w:lvlText w:val="%2、"/>
      <w:lvlJc w:val="left"/>
      <w:pPr>
        <w:tabs>
          <w:tab w:val="left" w:pos="780"/>
        </w:tabs>
        <w:ind w:left="780" w:hanging="360"/>
      </w:pPr>
      <w:rPr>
        <w:rFonts w:hint="default" w:hAnsi="宋体"/>
        <w:color w:val="000000"/>
      </w:rPr>
    </w:lvl>
    <w:lvl w:ilvl="2" w:tentative="0">
      <w:start w:val="1"/>
      <w:numFmt w:val="decimal"/>
      <w:lvlText w:val="%3."/>
      <w:lvlJc w:val="left"/>
      <w:pPr>
        <w:tabs>
          <w:tab w:val="left" w:pos="1260"/>
        </w:tabs>
        <w:ind w:left="1260" w:hanging="420"/>
      </w:pPr>
      <w:rPr>
        <w:rFonts w:hint="eastAsia"/>
        <w:b/>
        <w:i w:val="0"/>
        <w:sz w:val="24"/>
        <w:szCs w:val="28"/>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3"/>
    <w:multiLevelType w:val="multilevel"/>
    <w:tmpl w:val="00000013"/>
    <w:lvl w:ilvl="0" w:tentative="0">
      <w:start w:val="1"/>
      <w:numFmt w:val="decimal"/>
      <w:lvlText w:val="（%1）"/>
      <w:lvlJc w:val="left"/>
      <w:pPr>
        <w:ind w:left="1501" w:hanging="420"/>
      </w:pPr>
      <w:rPr>
        <w:rFonts w:hint="eastAsia"/>
      </w:rPr>
    </w:lvl>
    <w:lvl w:ilvl="1" w:tentative="0">
      <w:start w:val="1"/>
      <w:numFmt w:val="lowerLetter"/>
      <w:lvlText w:val="%2)"/>
      <w:lvlJc w:val="left"/>
      <w:pPr>
        <w:ind w:left="1921" w:hanging="420"/>
      </w:pPr>
    </w:lvl>
    <w:lvl w:ilvl="2" w:tentative="0">
      <w:start w:val="1"/>
      <w:numFmt w:val="lowerRoman"/>
      <w:lvlText w:val="%3."/>
      <w:lvlJc w:val="right"/>
      <w:pPr>
        <w:ind w:left="2341" w:hanging="420"/>
      </w:pPr>
    </w:lvl>
    <w:lvl w:ilvl="3" w:tentative="0">
      <w:start w:val="1"/>
      <w:numFmt w:val="decimal"/>
      <w:lvlText w:val="%4."/>
      <w:lvlJc w:val="left"/>
      <w:pPr>
        <w:ind w:left="2761" w:hanging="420"/>
      </w:pPr>
    </w:lvl>
    <w:lvl w:ilvl="4" w:tentative="0">
      <w:start w:val="1"/>
      <w:numFmt w:val="lowerLetter"/>
      <w:lvlText w:val="%5)"/>
      <w:lvlJc w:val="left"/>
      <w:pPr>
        <w:ind w:left="3181" w:hanging="420"/>
      </w:pPr>
    </w:lvl>
    <w:lvl w:ilvl="5" w:tentative="0">
      <w:start w:val="1"/>
      <w:numFmt w:val="lowerRoman"/>
      <w:lvlText w:val="%6."/>
      <w:lvlJc w:val="right"/>
      <w:pPr>
        <w:ind w:left="3601" w:hanging="420"/>
      </w:pPr>
    </w:lvl>
    <w:lvl w:ilvl="6" w:tentative="0">
      <w:start w:val="1"/>
      <w:numFmt w:val="decimal"/>
      <w:lvlText w:val="%7."/>
      <w:lvlJc w:val="left"/>
      <w:pPr>
        <w:ind w:left="4021" w:hanging="420"/>
      </w:pPr>
    </w:lvl>
    <w:lvl w:ilvl="7" w:tentative="0">
      <w:start w:val="1"/>
      <w:numFmt w:val="lowerLetter"/>
      <w:lvlText w:val="%8)"/>
      <w:lvlJc w:val="left"/>
      <w:pPr>
        <w:ind w:left="4441" w:hanging="420"/>
      </w:pPr>
    </w:lvl>
    <w:lvl w:ilvl="8" w:tentative="0">
      <w:start w:val="1"/>
      <w:numFmt w:val="lowerRoman"/>
      <w:lvlText w:val="%9."/>
      <w:lvlJc w:val="right"/>
      <w:pPr>
        <w:ind w:left="4861" w:hanging="420"/>
      </w:pPr>
    </w:lvl>
  </w:abstractNum>
  <w:abstractNum w:abstractNumId="9">
    <w:nsid w:val="00000014"/>
    <w:multiLevelType w:val="multilevel"/>
    <w:tmpl w:val="00000014"/>
    <w:lvl w:ilvl="0" w:tentative="0">
      <w:start w:val="1"/>
      <w:numFmt w:val="decimal"/>
      <w:lvlText w:val="%1)"/>
      <w:lvlJc w:val="left"/>
      <w:pPr>
        <w:ind w:left="1501" w:hanging="420"/>
      </w:pPr>
      <w:rPr>
        <w:rFonts w:hint="eastAsia"/>
      </w:rPr>
    </w:lvl>
    <w:lvl w:ilvl="1" w:tentative="0">
      <w:start w:val="1"/>
      <w:numFmt w:val="lowerLetter"/>
      <w:lvlText w:val="%2)"/>
      <w:lvlJc w:val="left"/>
      <w:pPr>
        <w:ind w:left="1921" w:hanging="420"/>
      </w:pPr>
    </w:lvl>
    <w:lvl w:ilvl="2" w:tentative="0">
      <w:start w:val="1"/>
      <w:numFmt w:val="lowerRoman"/>
      <w:lvlText w:val="%3."/>
      <w:lvlJc w:val="right"/>
      <w:pPr>
        <w:ind w:left="2341" w:hanging="420"/>
      </w:pPr>
    </w:lvl>
    <w:lvl w:ilvl="3" w:tentative="0">
      <w:start w:val="1"/>
      <w:numFmt w:val="decimal"/>
      <w:lvlText w:val="%4."/>
      <w:lvlJc w:val="left"/>
      <w:pPr>
        <w:ind w:left="2761" w:hanging="420"/>
      </w:pPr>
    </w:lvl>
    <w:lvl w:ilvl="4" w:tentative="0">
      <w:start w:val="1"/>
      <w:numFmt w:val="lowerLetter"/>
      <w:lvlText w:val="%5)"/>
      <w:lvlJc w:val="left"/>
      <w:pPr>
        <w:ind w:left="3181" w:hanging="420"/>
      </w:pPr>
    </w:lvl>
    <w:lvl w:ilvl="5" w:tentative="0">
      <w:start w:val="1"/>
      <w:numFmt w:val="lowerRoman"/>
      <w:lvlText w:val="%6."/>
      <w:lvlJc w:val="right"/>
      <w:pPr>
        <w:ind w:left="3601" w:hanging="420"/>
      </w:pPr>
    </w:lvl>
    <w:lvl w:ilvl="6" w:tentative="0">
      <w:start w:val="1"/>
      <w:numFmt w:val="decimal"/>
      <w:lvlText w:val="%7."/>
      <w:lvlJc w:val="left"/>
      <w:pPr>
        <w:ind w:left="4021" w:hanging="420"/>
      </w:pPr>
    </w:lvl>
    <w:lvl w:ilvl="7" w:tentative="0">
      <w:start w:val="1"/>
      <w:numFmt w:val="lowerLetter"/>
      <w:lvlText w:val="%8)"/>
      <w:lvlJc w:val="left"/>
      <w:pPr>
        <w:ind w:left="4441" w:hanging="420"/>
      </w:pPr>
    </w:lvl>
    <w:lvl w:ilvl="8" w:tentative="0">
      <w:start w:val="1"/>
      <w:numFmt w:val="lowerRoman"/>
      <w:lvlText w:val="%9."/>
      <w:lvlJc w:val="right"/>
      <w:pPr>
        <w:ind w:left="4861" w:hanging="420"/>
      </w:pPr>
    </w:lvl>
  </w:abstractNum>
  <w:abstractNum w:abstractNumId="10">
    <w:nsid w:val="00000015"/>
    <w:multiLevelType w:val="multilevel"/>
    <w:tmpl w:val="00000015"/>
    <w:lvl w:ilvl="0" w:tentative="0">
      <w:start w:val="1"/>
      <w:numFmt w:val="decimal"/>
      <w:lvlText w:val="%1"/>
      <w:lvlJc w:val="left"/>
      <w:pPr>
        <w:tabs>
          <w:tab w:val="left" w:pos="1077"/>
        </w:tabs>
        <w:ind w:left="1077" w:hanging="1077"/>
      </w:pPr>
      <w:rPr>
        <w:rFonts w:hint="eastAsia"/>
      </w:rPr>
    </w:lvl>
    <w:lvl w:ilvl="1" w:tentative="0">
      <w:start w:val="1"/>
      <w:numFmt w:val="decimal"/>
      <w:lvlText w:val="%1.%2"/>
      <w:lvlJc w:val="left"/>
      <w:pPr>
        <w:tabs>
          <w:tab w:val="left" w:pos="1077"/>
        </w:tabs>
        <w:ind w:left="1077" w:hanging="107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1">
    <w:nsid w:val="0000001B"/>
    <w:multiLevelType w:val="multilevel"/>
    <w:tmpl w:val="0000001B"/>
    <w:lvl w:ilvl="0" w:tentative="0">
      <w:start w:val="1"/>
      <w:numFmt w:val="decimal"/>
      <w:lvlText w:val="（%1）"/>
      <w:lvlJc w:val="left"/>
      <w:pPr>
        <w:ind w:left="1499" w:hanging="420"/>
      </w:pPr>
      <w:rPr>
        <w:rFonts w:hint="eastAsia"/>
      </w:rPr>
    </w:lvl>
    <w:lvl w:ilvl="1" w:tentative="0">
      <w:start w:val="1"/>
      <w:numFmt w:val="lowerLetter"/>
      <w:lvlText w:val="%2)"/>
      <w:lvlJc w:val="left"/>
      <w:pPr>
        <w:ind w:left="1919" w:hanging="420"/>
      </w:pPr>
    </w:lvl>
    <w:lvl w:ilvl="2" w:tentative="0">
      <w:start w:val="1"/>
      <w:numFmt w:val="lowerRoman"/>
      <w:lvlText w:val="%3."/>
      <w:lvlJc w:val="right"/>
      <w:pPr>
        <w:ind w:left="2339" w:hanging="420"/>
      </w:pPr>
    </w:lvl>
    <w:lvl w:ilvl="3" w:tentative="0">
      <w:start w:val="1"/>
      <w:numFmt w:val="decimal"/>
      <w:lvlText w:val="%4."/>
      <w:lvlJc w:val="left"/>
      <w:pPr>
        <w:ind w:left="2759" w:hanging="420"/>
      </w:pPr>
    </w:lvl>
    <w:lvl w:ilvl="4" w:tentative="0">
      <w:start w:val="1"/>
      <w:numFmt w:val="lowerLetter"/>
      <w:lvlText w:val="%5)"/>
      <w:lvlJc w:val="left"/>
      <w:pPr>
        <w:ind w:left="3179" w:hanging="420"/>
      </w:pPr>
    </w:lvl>
    <w:lvl w:ilvl="5" w:tentative="0">
      <w:start w:val="1"/>
      <w:numFmt w:val="lowerRoman"/>
      <w:lvlText w:val="%6."/>
      <w:lvlJc w:val="right"/>
      <w:pPr>
        <w:ind w:left="3599" w:hanging="420"/>
      </w:pPr>
    </w:lvl>
    <w:lvl w:ilvl="6" w:tentative="0">
      <w:start w:val="1"/>
      <w:numFmt w:val="decimal"/>
      <w:lvlText w:val="%7."/>
      <w:lvlJc w:val="left"/>
      <w:pPr>
        <w:ind w:left="4019" w:hanging="420"/>
      </w:pPr>
    </w:lvl>
    <w:lvl w:ilvl="7" w:tentative="0">
      <w:start w:val="1"/>
      <w:numFmt w:val="lowerLetter"/>
      <w:lvlText w:val="%8)"/>
      <w:lvlJc w:val="left"/>
      <w:pPr>
        <w:ind w:left="4439" w:hanging="420"/>
      </w:pPr>
    </w:lvl>
    <w:lvl w:ilvl="8" w:tentative="0">
      <w:start w:val="1"/>
      <w:numFmt w:val="lowerRoman"/>
      <w:lvlText w:val="%9."/>
      <w:lvlJc w:val="right"/>
      <w:pPr>
        <w:ind w:left="4859" w:hanging="420"/>
      </w:pPr>
    </w:lvl>
  </w:abstractNum>
  <w:abstractNum w:abstractNumId="12">
    <w:nsid w:val="007BF67D"/>
    <w:multiLevelType w:val="singleLevel"/>
    <w:tmpl w:val="007BF67D"/>
    <w:lvl w:ilvl="0" w:tentative="0">
      <w:start w:val="1"/>
      <w:numFmt w:val="decimal"/>
      <w:pStyle w:val="27"/>
      <w:lvlText w:val="%1."/>
      <w:lvlJc w:val="left"/>
      <w:pPr>
        <w:tabs>
          <w:tab w:val="left" w:pos="2040"/>
        </w:tabs>
        <w:ind w:left="2040" w:hanging="360"/>
      </w:pPr>
    </w:lvl>
  </w:abstractNum>
  <w:abstractNum w:abstractNumId="13">
    <w:nsid w:val="01330011"/>
    <w:multiLevelType w:val="singleLevel"/>
    <w:tmpl w:val="01330011"/>
    <w:lvl w:ilvl="0" w:tentative="0">
      <w:start w:val="1"/>
      <w:numFmt w:val="decimal"/>
      <w:suff w:val="nothing"/>
      <w:lvlText w:val="%1、"/>
      <w:lvlJc w:val="left"/>
    </w:lvl>
  </w:abstractNum>
  <w:abstractNum w:abstractNumId="14">
    <w:nsid w:val="1C05AF5F"/>
    <w:multiLevelType w:val="singleLevel"/>
    <w:tmpl w:val="1C05AF5F"/>
    <w:lvl w:ilvl="0" w:tentative="0">
      <w:start w:val="1"/>
      <w:numFmt w:val="decimal"/>
      <w:suff w:val="nothing"/>
      <w:lvlText w:val="%1）"/>
      <w:lvlJc w:val="left"/>
    </w:lvl>
  </w:abstractNum>
  <w:abstractNum w:abstractNumId="15">
    <w:nsid w:val="1D90AFEE"/>
    <w:multiLevelType w:val="singleLevel"/>
    <w:tmpl w:val="1D90AFEE"/>
    <w:lvl w:ilvl="0" w:tentative="0">
      <w:start w:val="1"/>
      <w:numFmt w:val="decimal"/>
      <w:suff w:val="nothing"/>
      <w:lvlText w:val="%1、"/>
      <w:lvlJc w:val="left"/>
    </w:lvl>
  </w:abstractNum>
  <w:abstractNum w:abstractNumId="16">
    <w:nsid w:val="30B23CB4"/>
    <w:multiLevelType w:val="singleLevel"/>
    <w:tmpl w:val="30B23CB4"/>
    <w:lvl w:ilvl="0" w:tentative="0">
      <w:start w:val="1"/>
      <w:numFmt w:val="decimal"/>
      <w:suff w:val="nothing"/>
      <w:lvlText w:val="%1、"/>
      <w:lvlJc w:val="left"/>
    </w:lvl>
  </w:abstractNum>
  <w:abstractNum w:abstractNumId="17">
    <w:nsid w:val="6DE5B428"/>
    <w:multiLevelType w:val="singleLevel"/>
    <w:tmpl w:val="6DE5B428"/>
    <w:lvl w:ilvl="0" w:tentative="0">
      <w:start w:val="1"/>
      <w:numFmt w:val="chineseCounting"/>
      <w:suff w:val="nothing"/>
      <w:lvlText w:val="%1、"/>
      <w:lvlJc w:val="left"/>
      <w:rPr>
        <w:rFonts w:hint="eastAsia"/>
      </w:rPr>
    </w:lvl>
  </w:abstractNum>
  <w:abstractNum w:abstractNumId="18">
    <w:nsid w:val="76D8736A"/>
    <w:multiLevelType w:val="singleLevel"/>
    <w:tmpl w:val="76D8736A"/>
    <w:lvl w:ilvl="0" w:tentative="0">
      <w:start w:val="1"/>
      <w:numFmt w:val="decimal"/>
      <w:lvlText w:val="%1."/>
      <w:lvlJc w:val="left"/>
      <w:pPr>
        <w:tabs>
          <w:tab w:val="left" w:pos="312"/>
        </w:tabs>
      </w:pPr>
    </w:lvl>
  </w:abstractNum>
  <w:num w:numId="1">
    <w:abstractNumId w:val="12"/>
  </w:num>
  <w:num w:numId="2">
    <w:abstractNumId w:val="15"/>
  </w:num>
  <w:num w:numId="3">
    <w:abstractNumId w:val="5"/>
  </w:num>
  <w:num w:numId="4">
    <w:abstractNumId w:val="11"/>
  </w:num>
  <w:num w:numId="5">
    <w:abstractNumId w:val="4"/>
  </w:num>
  <w:num w:numId="6">
    <w:abstractNumId w:val="8"/>
  </w:num>
  <w:num w:numId="7">
    <w:abstractNumId w:val="9"/>
  </w:num>
  <w:num w:numId="8">
    <w:abstractNumId w:val="6"/>
  </w:num>
  <w:num w:numId="9">
    <w:abstractNumId w:val="10"/>
  </w:num>
  <w:num w:numId="10">
    <w:abstractNumId w:val="13"/>
  </w:num>
  <w:num w:numId="11">
    <w:abstractNumId w:val="14"/>
  </w:num>
  <w:num w:numId="12">
    <w:abstractNumId w:val="0"/>
  </w:num>
  <w:num w:numId="13">
    <w:abstractNumId w:val="1"/>
  </w:num>
  <w:num w:numId="14">
    <w:abstractNumId w:val="2"/>
  </w:num>
  <w:num w:numId="15">
    <w:abstractNumId w:val="17"/>
  </w:num>
  <w:num w:numId="16">
    <w:abstractNumId w:val="18"/>
  </w:num>
  <w:num w:numId="17">
    <w:abstractNumId w:val="3"/>
  </w:num>
  <w:num w:numId="18">
    <w:abstractNumId w:val="16"/>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AxM2RhODQ4Y2FkMDNjZjNjOTExN2RkMWY1NWY3ODcifQ=="/>
  </w:docVars>
  <w:rsids>
    <w:rsidRoot w:val="00000000"/>
    <w:rsid w:val="00125237"/>
    <w:rsid w:val="00207852"/>
    <w:rsid w:val="0025734D"/>
    <w:rsid w:val="00277537"/>
    <w:rsid w:val="002B06D1"/>
    <w:rsid w:val="0046550B"/>
    <w:rsid w:val="004E0923"/>
    <w:rsid w:val="005746C9"/>
    <w:rsid w:val="006D2A98"/>
    <w:rsid w:val="007E2BB3"/>
    <w:rsid w:val="008878D1"/>
    <w:rsid w:val="00951FEE"/>
    <w:rsid w:val="009E70F5"/>
    <w:rsid w:val="00A12741"/>
    <w:rsid w:val="00A43468"/>
    <w:rsid w:val="00A959C7"/>
    <w:rsid w:val="00B92181"/>
    <w:rsid w:val="00BA1A55"/>
    <w:rsid w:val="00BA42F9"/>
    <w:rsid w:val="00D3394F"/>
    <w:rsid w:val="00D40D69"/>
    <w:rsid w:val="00DA7484"/>
    <w:rsid w:val="00E6284A"/>
    <w:rsid w:val="00ED31FD"/>
    <w:rsid w:val="0100390C"/>
    <w:rsid w:val="010351AA"/>
    <w:rsid w:val="01161381"/>
    <w:rsid w:val="01255120"/>
    <w:rsid w:val="013712F7"/>
    <w:rsid w:val="014337F8"/>
    <w:rsid w:val="014A51C2"/>
    <w:rsid w:val="01521135"/>
    <w:rsid w:val="01572F42"/>
    <w:rsid w:val="015A1704"/>
    <w:rsid w:val="016025FC"/>
    <w:rsid w:val="0176006D"/>
    <w:rsid w:val="017C2D6B"/>
    <w:rsid w:val="01975764"/>
    <w:rsid w:val="01C0309B"/>
    <w:rsid w:val="01C17A5F"/>
    <w:rsid w:val="01C43576"/>
    <w:rsid w:val="01D4523A"/>
    <w:rsid w:val="01D6466C"/>
    <w:rsid w:val="01DC07BC"/>
    <w:rsid w:val="01DE398C"/>
    <w:rsid w:val="01E0373D"/>
    <w:rsid w:val="01E36FD6"/>
    <w:rsid w:val="01EC20E2"/>
    <w:rsid w:val="01EE0B37"/>
    <w:rsid w:val="020B65DD"/>
    <w:rsid w:val="02105DD0"/>
    <w:rsid w:val="02322A46"/>
    <w:rsid w:val="02386CC9"/>
    <w:rsid w:val="024801C0"/>
    <w:rsid w:val="024975C9"/>
    <w:rsid w:val="024B0B1B"/>
    <w:rsid w:val="024C0DD3"/>
    <w:rsid w:val="02511F45"/>
    <w:rsid w:val="02595DB9"/>
    <w:rsid w:val="02624152"/>
    <w:rsid w:val="02671768"/>
    <w:rsid w:val="026F71B4"/>
    <w:rsid w:val="027A76EE"/>
    <w:rsid w:val="02963DFC"/>
    <w:rsid w:val="029C3B08"/>
    <w:rsid w:val="02A4307F"/>
    <w:rsid w:val="02BF15A4"/>
    <w:rsid w:val="02D06F2C"/>
    <w:rsid w:val="02D45050"/>
    <w:rsid w:val="02D54924"/>
    <w:rsid w:val="02EA4873"/>
    <w:rsid w:val="03190CB5"/>
    <w:rsid w:val="031F3DF1"/>
    <w:rsid w:val="032B6C3A"/>
    <w:rsid w:val="03365F38"/>
    <w:rsid w:val="03443858"/>
    <w:rsid w:val="03457CFC"/>
    <w:rsid w:val="035B4AE9"/>
    <w:rsid w:val="035C6FE2"/>
    <w:rsid w:val="035E31CD"/>
    <w:rsid w:val="03675EC4"/>
    <w:rsid w:val="037405E1"/>
    <w:rsid w:val="03744E73"/>
    <w:rsid w:val="037B4AA0"/>
    <w:rsid w:val="0394702E"/>
    <w:rsid w:val="039B3DC0"/>
    <w:rsid w:val="039C28DE"/>
    <w:rsid w:val="03A569EC"/>
    <w:rsid w:val="03A72764"/>
    <w:rsid w:val="03B22EB7"/>
    <w:rsid w:val="03C2759E"/>
    <w:rsid w:val="03E95B88"/>
    <w:rsid w:val="03F62DA4"/>
    <w:rsid w:val="0402799B"/>
    <w:rsid w:val="040C7782"/>
    <w:rsid w:val="041A22CB"/>
    <w:rsid w:val="042754E3"/>
    <w:rsid w:val="04293179"/>
    <w:rsid w:val="045A09FE"/>
    <w:rsid w:val="046248DD"/>
    <w:rsid w:val="0467259A"/>
    <w:rsid w:val="04675A50"/>
    <w:rsid w:val="0481195C"/>
    <w:rsid w:val="048E122E"/>
    <w:rsid w:val="048E5251"/>
    <w:rsid w:val="04910D1F"/>
    <w:rsid w:val="04987857"/>
    <w:rsid w:val="049D6FEC"/>
    <w:rsid w:val="04B844FD"/>
    <w:rsid w:val="04C335CE"/>
    <w:rsid w:val="04D806FC"/>
    <w:rsid w:val="04D96D31"/>
    <w:rsid w:val="04DC3B8C"/>
    <w:rsid w:val="04DF5F2E"/>
    <w:rsid w:val="04E83035"/>
    <w:rsid w:val="04EE6171"/>
    <w:rsid w:val="050140F6"/>
    <w:rsid w:val="0505666F"/>
    <w:rsid w:val="050B009A"/>
    <w:rsid w:val="050D2A9B"/>
    <w:rsid w:val="050F05C1"/>
    <w:rsid w:val="051200B1"/>
    <w:rsid w:val="05146E61"/>
    <w:rsid w:val="05147822"/>
    <w:rsid w:val="0521288B"/>
    <w:rsid w:val="05243941"/>
    <w:rsid w:val="05300538"/>
    <w:rsid w:val="056B77C2"/>
    <w:rsid w:val="05720B50"/>
    <w:rsid w:val="05760640"/>
    <w:rsid w:val="05816D3C"/>
    <w:rsid w:val="058B4100"/>
    <w:rsid w:val="059211F2"/>
    <w:rsid w:val="05A52CD4"/>
    <w:rsid w:val="05A7587F"/>
    <w:rsid w:val="05BC4ED6"/>
    <w:rsid w:val="05D15877"/>
    <w:rsid w:val="05D90BCF"/>
    <w:rsid w:val="05E76ED4"/>
    <w:rsid w:val="05EA1BE3"/>
    <w:rsid w:val="05EB4740"/>
    <w:rsid w:val="05F11A75"/>
    <w:rsid w:val="05F13014"/>
    <w:rsid w:val="05F40986"/>
    <w:rsid w:val="06020126"/>
    <w:rsid w:val="06112117"/>
    <w:rsid w:val="061340E1"/>
    <w:rsid w:val="06193506"/>
    <w:rsid w:val="06233BF8"/>
    <w:rsid w:val="063D2F0C"/>
    <w:rsid w:val="064918B1"/>
    <w:rsid w:val="06495287"/>
    <w:rsid w:val="06530982"/>
    <w:rsid w:val="06532730"/>
    <w:rsid w:val="065546FA"/>
    <w:rsid w:val="066606B5"/>
    <w:rsid w:val="066E7569"/>
    <w:rsid w:val="06710E08"/>
    <w:rsid w:val="0688299D"/>
    <w:rsid w:val="06B225CD"/>
    <w:rsid w:val="06B62CBE"/>
    <w:rsid w:val="06C02D46"/>
    <w:rsid w:val="06CA103D"/>
    <w:rsid w:val="06CC6FF0"/>
    <w:rsid w:val="06CD0F3D"/>
    <w:rsid w:val="06CE7A80"/>
    <w:rsid w:val="06D118A6"/>
    <w:rsid w:val="06DF5D71"/>
    <w:rsid w:val="06E33D11"/>
    <w:rsid w:val="06F270BC"/>
    <w:rsid w:val="070000D4"/>
    <w:rsid w:val="07095017"/>
    <w:rsid w:val="070D0B30"/>
    <w:rsid w:val="071E3C0C"/>
    <w:rsid w:val="07227628"/>
    <w:rsid w:val="07261A99"/>
    <w:rsid w:val="072F4F4B"/>
    <w:rsid w:val="073C7E19"/>
    <w:rsid w:val="074B59C8"/>
    <w:rsid w:val="074E2EF7"/>
    <w:rsid w:val="07541528"/>
    <w:rsid w:val="075A314D"/>
    <w:rsid w:val="075A3282"/>
    <w:rsid w:val="07683FB9"/>
    <w:rsid w:val="076B43DC"/>
    <w:rsid w:val="076D18CD"/>
    <w:rsid w:val="07707311"/>
    <w:rsid w:val="07752B3A"/>
    <w:rsid w:val="077C16C4"/>
    <w:rsid w:val="07807554"/>
    <w:rsid w:val="07846919"/>
    <w:rsid w:val="07943000"/>
    <w:rsid w:val="07A8437E"/>
    <w:rsid w:val="07AE561F"/>
    <w:rsid w:val="07AF3996"/>
    <w:rsid w:val="07B40FAC"/>
    <w:rsid w:val="07C5140B"/>
    <w:rsid w:val="07DE427B"/>
    <w:rsid w:val="07E040A3"/>
    <w:rsid w:val="07E5385B"/>
    <w:rsid w:val="07E61381"/>
    <w:rsid w:val="07EC45C8"/>
    <w:rsid w:val="07F77E76"/>
    <w:rsid w:val="0802172A"/>
    <w:rsid w:val="08074728"/>
    <w:rsid w:val="08144816"/>
    <w:rsid w:val="08147C9D"/>
    <w:rsid w:val="0822060B"/>
    <w:rsid w:val="08236BBF"/>
    <w:rsid w:val="085E53BC"/>
    <w:rsid w:val="086A667C"/>
    <w:rsid w:val="08760957"/>
    <w:rsid w:val="087924EA"/>
    <w:rsid w:val="087B405D"/>
    <w:rsid w:val="087F780C"/>
    <w:rsid w:val="08820183"/>
    <w:rsid w:val="088C3CD7"/>
    <w:rsid w:val="088E0677"/>
    <w:rsid w:val="08BA0844"/>
    <w:rsid w:val="08C72F61"/>
    <w:rsid w:val="08D22394"/>
    <w:rsid w:val="08D544C6"/>
    <w:rsid w:val="08DB6A0C"/>
    <w:rsid w:val="08DC57CD"/>
    <w:rsid w:val="08E65ADD"/>
    <w:rsid w:val="08EB6C4F"/>
    <w:rsid w:val="08F024B8"/>
    <w:rsid w:val="08F24482"/>
    <w:rsid w:val="08FC37A8"/>
    <w:rsid w:val="09102B5A"/>
    <w:rsid w:val="09112914"/>
    <w:rsid w:val="092D3070"/>
    <w:rsid w:val="092D7BF0"/>
    <w:rsid w:val="0934768A"/>
    <w:rsid w:val="09424A0F"/>
    <w:rsid w:val="094C3466"/>
    <w:rsid w:val="09586CBC"/>
    <w:rsid w:val="09594501"/>
    <w:rsid w:val="095C020E"/>
    <w:rsid w:val="0962344F"/>
    <w:rsid w:val="09646A02"/>
    <w:rsid w:val="097E3F67"/>
    <w:rsid w:val="097E7AC3"/>
    <w:rsid w:val="09896468"/>
    <w:rsid w:val="09945539"/>
    <w:rsid w:val="09991E4D"/>
    <w:rsid w:val="09AE175E"/>
    <w:rsid w:val="09B421E7"/>
    <w:rsid w:val="09CB4CD3"/>
    <w:rsid w:val="09DB16A8"/>
    <w:rsid w:val="09E244F6"/>
    <w:rsid w:val="09E35B78"/>
    <w:rsid w:val="09FD3F07"/>
    <w:rsid w:val="0A134CF5"/>
    <w:rsid w:val="0A2A768E"/>
    <w:rsid w:val="0A3D4581"/>
    <w:rsid w:val="0A650C83"/>
    <w:rsid w:val="0A7B4003"/>
    <w:rsid w:val="0A7E1D45"/>
    <w:rsid w:val="0A9216F6"/>
    <w:rsid w:val="0A960D5F"/>
    <w:rsid w:val="0AA17496"/>
    <w:rsid w:val="0AB1087D"/>
    <w:rsid w:val="0AB21F41"/>
    <w:rsid w:val="0AB35B63"/>
    <w:rsid w:val="0AB37C41"/>
    <w:rsid w:val="0ABB4D47"/>
    <w:rsid w:val="0AC41E4E"/>
    <w:rsid w:val="0AD61B81"/>
    <w:rsid w:val="0ADF4C24"/>
    <w:rsid w:val="0AE20526"/>
    <w:rsid w:val="0AE95411"/>
    <w:rsid w:val="0AF0679F"/>
    <w:rsid w:val="0AF33A92"/>
    <w:rsid w:val="0B036EA1"/>
    <w:rsid w:val="0B111DBA"/>
    <w:rsid w:val="0B23794B"/>
    <w:rsid w:val="0B2823DD"/>
    <w:rsid w:val="0B6A49C1"/>
    <w:rsid w:val="0B792C38"/>
    <w:rsid w:val="0B8D0D72"/>
    <w:rsid w:val="0B8D0F28"/>
    <w:rsid w:val="0B905282"/>
    <w:rsid w:val="0BAE737B"/>
    <w:rsid w:val="0BB023D2"/>
    <w:rsid w:val="0BB05F2E"/>
    <w:rsid w:val="0BBA0B5B"/>
    <w:rsid w:val="0BC01790"/>
    <w:rsid w:val="0BE65DF4"/>
    <w:rsid w:val="0C105683"/>
    <w:rsid w:val="0C13125D"/>
    <w:rsid w:val="0C1C2136"/>
    <w:rsid w:val="0C2506CA"/>
    <w:rsid w:val="0C526FE5"/>
    <w:rsid w:val="0C662A91"/>
    <w:rsid w:val="0C6805B7"/>
    <w:rsid w:val="0C6B0405"/>
    <w:rsid w:val="0C8427D5"/>
    <w:rsid w:val="0C8C24F7"/>
    <w:rsid w:val="0C8D626F"/>
    <w:rsid w:val="0C915D60"/>
    <w:rsid w:val="0CAA119E"/>
    <w:rsid w:val="0CAF06D2"/>
    <w:rsid w:val="0CAF268A"/>
    <w:rsid w:val="0CC20327"/>
    <w:rsid w:val="0CC5766E"/>
    <w:rsid w:val="0CD345CA"/>
    <w:rsid w:val="0CDB347F"/>
    <w:rsid w:val="0CE15D78"/>
    <w:rsid w:val="0CE42333"/>
    <w:rsid w:val="0CE54E38"/>
    <w:rsid w:val="0CF4009D"/>
    <w:rsid w:val="0D075C5D"/>
    <w:rsid w:val="0D1D5845"/>
    <w:rsid w:val="0D26294C"/>
    <w:rsid w:val="0D3D37F2"/>
    <w:rsid w:val="0D3E26CF"/>
    <w:rsid w:val="0D5F7C0C"/>
    <w:rsid w:val="0D847672"/>
    <w:rsid w:val="0D896A37"/>
    <w:rsid w:val="0D8E4894"/>
    <w:rsid w:val="0D984ECC"/>
    <w:rsid w:val="0DA25D4B"/>
    <w:rsid w:val="0DA925F8"/>
    <w:rsid w:val="0DBA593F"/>
    <w:rsid w:val="0DBC386E"/>
    <w:rsid w:val="0DE2767D"/>
    <w:rsid w:val="0DEF71E2"/>
    <w:rsid w:val="0DF06AB6"/>
    <w:rsid w:val="0DF30354"/>
    <w:rsid w:val="0DFA16E3"/>
    <w:rsid w:val="0DFE7425"/>
    <w:rsid w:val="0E034A3B"/>
    <w:rsid w:val="0E1924B1"/>
    <w:rsid w:val="0E193648"/>
    <w:rsid w:val="0E2449B2"/>
    <w:rsid w:val="0E2624D8"/>
    <w:rsid w:val="0E333B6D"/>
    <w:rsid w:val="0E342E47"/>
    <w:rsid w:val="0E440BB0"/>
    <w:rsid w:val="0E4C4E14"/>
    <w:rsid w:val="0E4D4AA5"/>
    <w:rsid w:val="0E682AF0"/>
    <w:rsid w:val="0E697DAA"/>
    <w:rsid w:val="0E6A4ABA"/>
    <w:rsid w:val="0E6D0107"/>
    <w:rsid w:val="0E6D2AA6"/>
    <w:rsid w:val="0E78305D"/>
    <w:rsid w:val="0E796AAB"/>
    <w:rsid w:val="0E7A4D4D"/>
    <w:rsid w:val="0E8033D3"/>
    <w:rsid w:val="0E8D07A9"/>
    <w:rsid w:val="0E927B6D"/>
    <w:rsid w:val="0E977E58"/>
    <w:rsid w:val="0E9C09EC"/>
    <w:rsid w:val="0EA1103E"/>
    <w:rsid w:val="0EB977F0"/>
    <w:rsid w:val="0EBB3118"/>
    <w:rsid w:val="0EBB3568"/>
    <w:rsid w:val="0EBE4E06"/>
    <w:rsid w:val="0ED131F4"/>
    <w:rsid w:val="0ED14B39"/>
    <w:rsid w:val="0ED63D33"/>
    <w:rsid w:val="0EFB0258"/>
    <w:rsid w:val="0F01062B"/>
    <w:rsid w:val="0F056591"/>
    <w:rsid w:val="0F1A2E5D"/>
    <w:rsid w:val="0F1C7D6F"/>
    <w:rsid w:val="0F337DA7"/>
    <w:rsid w:val="0F4E618A"/>
    <w:rsid w:val="0F535F76"/>
    <w:rsid w:val="0F704352"/>
    <w:rsid w:val="0F7450E6"/>
    <w:rsid w:val="0F7678CD"/>
    <w:rsid w:val="0F784FB5"/>
    <w:rsid w:val="0F7B17FE"/>
    <w:rsid w:val="0F7D3049"/>
    <w:rsid w:val="0F930041"/>
    <w:rsid w:val="0FA4224E"/>
    <w:rsid w:val="0FB26719"/>
    <w:rsid w:val="0FB96D88"/>
    <w:rsid w:val="0FD77F2D"/>
    <w:rsid w:val="0FE62385"/>
    <w:rsid w:val="0FE64614"/>
    <w:rsid w:val="10046849"/>
    <w:rsid w:val="10060813"/>
    <w:rsid w:val="100E76C7"/>
    <w:rsid w:val="10101691"/>
    <w:rsid w:val="10207B26"/>
    <w:rsid w:val="104B72DD"/>
    <w:rsid w:val="105C6FA6"/>
    <w:rsid w:val="106A2B50"/>
    <w:rsid w:val="107F6D0B"/>
    <w:rsid w:val="108005C5"/>
    <w:rsid w:val="10940AC7"/>
    <w:rsid w:val="10961D46"/>
    <w:rsid w:val="10A13A9A"/>
    <w:rsid w:val="10A36062"/>
    <w:rsid w:val="10B47313"/>
    <w:rsid w:val="10C85AC8"/>
    <w:rsid w:val="10D21E95"/>
    <w:rsid w:val="10D426BF"/>
    <w:rsid w:val="10E40346"/>
    <w:rsid w:val="10E462C0"/>
    <w:rsid w:val="10FD72BF"/>
    <w:rsid w:val="10FE598E"/>
    <w:rsid w:val="112C7E60"/>
    <w:rsid w:val="114415F3"/>
    <w:rsid w:val="114A362C"/>
    <w:rsid w:val="115148AF"/>
    <w:rsid w:val="11580205"/>
    <w:rsid w:val="115F58E9"/>
    <w:rsid w:val="115F642C"/>
    <w:rsid w:val="11677BA5"/>
    <w:rsid w:val="11683B30"/>
    <w:rsid w:val="11692E07"/>
    <w:rsid w:val="11737C30"/>
    <w:rsid w:val="117619C8"/>
    <w:rsid w:val="117B22D4"/>
    <w:rsid w:val="117E6A3C"/>
    <w:rsid w:val="119968E7"/>
    <w:rsid w:val="11B2449C"/>
    <w:rsid w:val="11B5429E"/>
    <w:rsid w:val="11CB1D14"/>
    <w:rsid w:val="11D30BC8"/>
    <w:rsid w:val="11E16725"/>
    <w:rsid w:val="11E71C7F"/>
    <w:rsid w:val="11F638FA"/>
    <w:rsid w:val="12014BAC"/>
    <w:rsid w:val="12080923"/>
    <w:rsid w:val="12117C99"/>
    <w:rsid w:val="121511E1"/>
    <w:rsid w:val="123775AD"/>
    <w:rsid w:val="12485D96"/>
    <w:rsid w:val="12505D75"/>
    <w:rsid w:val="126D2DCB"/>
    <w:rsid w:val="1274141C"/>
    <w:rsid w:val="12AD31C8"/>
    <w:rsid w:val="12AD6D05"/>
    <w:rsid w:val="12B471BD"/>
    <w:rsid w:val="12B609F2"/>
    <w:rsid w:val="12C549B5"/>
    <w:rsid w:val="12CB18A0"/>
    <w:rsid w:val="13001549"/>
    <w:rsid w:val="13097E72"/>
    <w:rsid w:val="130D362F"/>
    <w:rsid w:val="13243011"/>
    <w:rsid w:val="132C233E"/>
    <w:rsid w:val="133A6346"/>
    <w:rsid w:val="13426006"/>
    <w:rsid w:val="134373CC"/>
    <w:rsid w:val="13446FA4"/>
    <w:rsid w:val="134F0723"/>
    <w:rsid w:val="1352499F"/>
    <w:rsid w:val="135402A2"/>
    <w:rsid w:val="1365575B"/>
    <w:rsid w:val="13680E81"/>
    <w:rsid w:val="136F501E"/>
    <w:rsid w:val="137275F4"/>
    <w:rsid w:val="137F578F"/>
    <w:rsid w:val="13816D08"/>
    <w:rsid w:val="13914897"/>
    <w:rsid w:val="13923D70"/>
    <w:rsid w:val="139D4FEA"/>
    <w:rsid w:val="13BF65A8"/>
    <w:rsid w:val="13C938B1"/>
    <w:rsid w:val="13D87533"/>
    <w:rsid w:val="13DC75A4"/>
    <w:rsid w:val="13DE5AFD"/>
    <w:rsid w:val="13F7128E"/>
    <w:rsid w:val="13FF37F9"/>
    <w:rsid w:val="14095FAC"/>
    <w:rsid w:val="1417554F"/>
    <w:rsid w:val="14184FB8"/>
    <w:rsid w:val="142C56CF"/>
    <w:rsid w:val="142E0F4A"/>
    <w:rsid w:val="142E658A"/>
    <w:rsid w:val="14301957"/>
    <w:rsid w:val="143A53BF"/>
    <w:rsid w:val="144B713C"/>
    <w:rsid w:val="144E09DA"/>
    <w:rsid w:val="14522A66"/>
    <w:rsid w:val="145F2E2A"/>
    <w:rsid w:val="146401FE"/>
    <w:rsid w:val="1468384A"/>
    <w:rsid w:val="14717E92"/>
    <w:rsid w:val="147C605C"/>
    <w:rsid w:val="149363ED"/>
    <w:rsid w:val="14BE16BC"/>
    <w:rsid w:val="14C173FE"/>
    <w:rsid w:val="14CB3DD9"/>
    <w:rsid w:val="14CF6D94"/>
    <w:rsid w:val="14DA6A78"/>
    <w:rsid w:val="14DD478A"/>
    <w:rsid w:val="14E86BD0"/>
    <w:rsid w:val="14EC102F"/>
    <w:rsid w:val="14F90946"/>
    <w:rsid w:val="151242E9"/>
    <w:rsid w:val="151A3F56"/>
    <w:rsid w:val="151B08BC"/>
    <w:rsid w:val="151C4634"/>
    <w:rsid w:val="15204125"/>
    <w:rsid w:val="152652C9"/>
    <w:rsid w:val="15453B8B"/>
    <w:rsid w:val="15510782"/>
    <w:rsid w:val="15651385"/>
    <w:rsid w:val="156C2EC6"/>
    <w:rsid w:val="15710540"/>
    <w:rsid w:val="15762316"/>
    <w:rsid w:val="157A2903"/>
    <w:rsid w:val="157D50D3"/>
    <w:rsid w:val="15853F88"/>
    <w:rsid w:val="158C165B"/>
    <w:rsid w:val="15981F0D"/>
    <w:rsid w:val="15A20D98"/>
    <w:rsid w:val="15A563D8"/>
    <w:rsid w:val="15B8610B"/>
    <w:rsid w:val="15C543F3"/>
    <w:rsid w:val="15C947BC"/>
    <w:rsid w:val="15CC605B"/>
    <w:rsid w:val="15CF16A7"/>
    <w:rsid w:val="15D373E9"/>
    <w:rsid w:val="15D62A35"/>
    <w:rsid w:val="15DA37E6"/>
    <w:rsid w:val="15DC6CEA"/>
    <w:rsid w:val="15E92769"/>
    <w:rsid w:val="15F5110D"/>
    <w:rsid w:val="15F7693B"/>
    <w:rsid w:val="15F97D4A"/>
    <w:rsid w:val="15FD6410"/>
    <w:rsid w:val="160F7356"/>
    <w:rsid w:val="161E6859"/>
    <w:rsid w:val="16243086"/>
    <w:rsid w:val="16375ECF"/>
    <w:rsid w:val="163A7FE7"/>
    <w:rsid w:val="16576B9D"/>
    <w:rsid w:val="165A5414"/>
    <w:rsid w:val="165B2F3A"/>
    <w:rsid w:val="165F0C7D"/>
    <w:rsid w:val="16757794"/>
    <w:rsid w:val="167F4E7B"/>
    <w:rsid w:val="1683496B"/>
    <w:rsid w:val="168E1562"/>
    <w:rsid w:val="169B16A6"/>
    <w:rsid w:val="169F551D"/>
    <w:rsid w:val="16A67B30"/>
    <w:rsid w:val="16B34B25"/>
    <w:rsid w:val="16BA4105"/>
    <w:rsid w:val="16BC409B"/>
    <w:rsid w:val="16C429D7"/>
    <w:rsid w:val="16CB1E6E"/>
    <w:rsid w:val="16CB4564"/>
    <w:rsid w:val="16D01B7A"/>
    <w:rsid w:val="16E82A20"/>
    <w:rsid w:val="16E863E0"/>
    <w:rsid w:val="16F6268C"/>
    <w:rsid w:val="172F064F"/>
    <w:rsid w:val="174B25FE"/>
    <w:rsid w:val="17544559"/>
    <w:rsid w:val="175D7709"/>
    <w:rsid w:val="176D616F"/>
    <w:rsid w:val="17735C02"/>
    <w:rsid w:val="17762E55"/>
    <w:rsid w:val="1778756D"/>
    <w:rsid w:val="1783099B"/>
    <w:rsid w:val="178564C1"/>
    <w:rsid w:val="178A44B3"/>
    <w:rsid w:val="17C074F9"/>
    <w:rsid w:val="17CF5C8A"/>
    <w:rsid w:val="17D26918"/>
    <w:rsid w:val="17DE4C7C"/>
    <w:rsid w:val="17E31439"/>
    <w:rsid w:val="17EF58E9"/>
    <w:rsid w:val="17F81389"/>
    <w:rsid w:val="17F83F41"/>
    <w:rsid w:val="18153469"/>
    <w:rsid w:val="181C0A91"/>
    <w:rsid w:val="182E4DAB"/>
    <w:rsid w:val="18452800"/>
    <w:rsid w:val="18471533"/>
    <w:rsid w:val="186F4511"/>
    <w:rsid w:val="18702224"/>
    <w:rsid w:val="1888635B"/>
    <w:rsid w:val="18A1732B"/>
    <w:rsid w:val="18D730CA"/>
    <w:rsid w:val="18DD4584"/>
    <w:rsid w:val="19202945"/>
    <w:rsid w:val="192C06DB"/>
    <w:rsid w:val="194C312C"/>
    <w:rsid w:val="194F1CD5"/>
    <w:rsid w:val="19502AFF"/>
    <w:rsid w:val="19516FA3"/>
    <w:rsid w:val="19524AC9"/>
    <w:rsid w:val="19622F5E"/>
    <w:rsid w:val="196333D9"/>
    <w:rsid w:val="196562B6"/>
    <w:rsid w:val="19697667"/>
    <w:rsid w:val="196D2E5D"/>
    <w:rsid w:val="19742C26"/>
    <w:rsid w:val="19742C91"/>
    <w:rsid w:val="197E58BE"/>
    <w:rsid w:val="198729C4"/>
    <w:rsid w:val="199D0535"/>
    <w:rsid w:val="199D5F29"/>
    <w:rsid w:val="19A4548A"/>
    <w:rsid w:val="19BB441C"/>
    <w:rsid w:val="19BF7459"/>
    <w:rsid w:val="19D76D7C"/>
    <w:rsid w:val="19E775B5"/>
    <w:rsid w:val="19E971DB"/>
    <w:rsid w:val="19EB608A"/>
    <w:rsid w:val="19ED659F"/>
    <w:rsid w:val="19F45BB5"/>
    <w:rsid w:val="19F4792E"/>
    <w:rsid w:val="1A084D34"/>
    <w:rsid w:val="1A1514F0"/>
    <w:rsid w:val="1A1A7931"/>
    <w:rsid w:val="1A214239"/>
    <w:rsid w:val="1A3366A8"/>
    <w:rsid w:val="1A4237B0"/>
    <w:rsid w:val="1A4B1C44"/>
    <w:rsid w:val="1A5B1B46"/>
    <w:rsid w:val="1A623F06"/>
    <w:rsid w:val="1A676352"/>
    <w:rsid w:val="1A6A6061"/>
    <w:rsid w:val="1A6E23B6"/>
    <w:rsid w:val="1A7563FC"/>
    <w:rsid w:val="1A845156"/>
    <w:rsid w:val="1A8C6E4F"/>
    <w:rsid w:val="1A903AFB"/>
    <w:rsid w:val="1A9A08B1"/>
    <w:rsid w:val="1AB67028"/>
    <w:rsid w:val="1AB8095B"/>
    <w:rsid w:val="1AB85684"/>
    <w:rsid w:val="1AB95442"/>
    <w:rsid w:val="1ABC48F0"/>
    <w:rsid w:val="1AC75FC3"/>
    <w:rsid w:val="1ACD6BC9"/>
    <w:rsid w:val="1ACE4623"/>
    <w:rsid w:val="1AD02826"/>
    <w:rsid w:val="1ADA2FC8"/>
    <w:rsid w:val="1AEE368E"/>
    <w:rsid w:val="1B1A0A10"/>
    <w:rsid w:val="1B231E15"/>
    <w:rsid w:val="1B2A7AAB"/>
    <w:rsid w:val="1B4668DD"/>
    <w:rsid w:val="1B7230BD"/>
    <w:rsid w:val="1B744898"/>
    <w:rsid w:val="1B785BC3"/>
    <w:rsid w:val="1B7E3953"/>
    <w:rsid w:val="1B9273FE"/>
    <w:rsid w:val="1B9413C8"/>
    <w:rsid w:val="1B9C027D"/>
    <w:rsid w:val="1B9D5DED"/>
    <w:rsid w:val="1BAA0105"/>
    <w:rsid w:val="1BAE54E2"/>
    <w:rsid w:val="1BB63319"/>
    <w:rsid w:val="1BD16179"/>
    <w:rsid w:val="1BD45C69"/>
    <w:rsid w:val="1BDB6FF7"/>
    <w:rsid w:val="1C0E117B"/>
    <w:rsid w:val="1C246C7A"/>
    <w:rsid w:val="1C25782C"/>
    <w:rsid w:val="1C297D63"/>
    <w:rsid w:val="1C346708"/>
    <w:rsid w:val="1C3D380E"/>
    <w:rsid w:val="1C4F27D9"/>
    <w:rsid w:val="1C512E16"/>
    <w:rsid w:val="1C580648"/>
    <w:rsid w:val="1C5D17BA"/>
    <w:rsid w:val="1C61254A"/>
    <w:rsid w:val="1C6B3C57"/>
    <w:rsid w:val="1C6B69C5"/>
    <w:rsid w:val="1C6D1F48"/>
    <w:rsid w:val="1C744D56"/>
    <w:rsid w:val="1C78070F"/>
    <w:rsid w:val="1C872CDB"/>
    <w:rsid w:val="1C8812E8"/>
    <w:rsid w:val="1C897944"/>
    <w:rsid w:val="1C8C0794"/>
    <w:rsid w:val="1C993BFA"/>
    <w:rsid w:val="1CA7512B"/>
    <w:rsid w:val="1CAA2B55"/>
    <w:rsid w:val="1CB57848"/>
    <w:rsid w:val="1CBE569A"/>
    <w:rsid w:val="1CCA66E6"/>
    <w:rsid w:val="1CDA105D"/>
    <w:rsid w:val="1CDD28FB"/>
    <w:rsid w:val="1CE002F4"/>
    <w:rsid w:val="1CE369A5"/>
    <w:rsid w:val="1CEB71A3"/>
    <w:rsid w:val="1CEF74C6"/>
    <w:rsid w:val="1CFC5477"/>
    <w:rsid w:val="1CFC7225"/>
    <w:rsid w:val="1CFD2FA0"/>
    <w:rsid w:val="1CFE39D9"/>
    <w:rsid w:val="1D03542A"/>
    <w:rsid w:val="1D052F29"/>
    <w:rsid w:val="1D077978"/>
    <w:rsid w:val="1D0A1F5B"/>
    <w:rsid w:val="1D1B525E"/>
    <w:rsid w:val="1D255BF3"/>
    <w:rsid w:val="1D26331A"/>
    <w:rsid w:val="1D370008"/>
    <w:rsid w:val="1D412E8A"/>
    <w:rsid w:val="1D440BCC"/>
    <w:rsid w:val="1D4B1F5B"/>
    <w:rsid w:val="1D4B3D09"/>
    <w:rsid w:val="1D6B7088"/>
    <w:rsid w:val="1D6E4ED7"/>
    <w:rsid w:val="1D7A639C"/>
    <w:rsid w:val="1D8316F5"/>
    <w:rsid w:val="1D9E37F9"/>
    <w:rsid w:val="1DB21FDA"/>
    <w:rsid w:val="1DB554F3"/>
    <w:rsid w:val="1DB7139E"/>
    <w:rsid w:val="1DB77AB0"/>
    <w:rsid w:val="1DC51D0D"/>
    <w:rsid w:val="1DCF66E8"/>
    <w:rsid w:val="1DDC2BB3"/>
    <w:rsid w:val="1DE25359"/>
    <w:rsid w:val="1DE50621"/>
    <w:rsid w:val="1DED3012"/>
    <w:rsid w:val="1DF644C2"/>
    <w:rsid w:val="1DFB2EC7"/>
    <w:rsid w:val="1E032835"/>
    <w:rsid w:val="1E03765B"/>
    <w:rsid w:val="1E1171C1"/>
    <w:rsid w:val="1E171E3D"/>
    <w:rsid w:val="1E344EE0"/>
    <w:rsid w:val="1E36109D"/>
    <w:rsid w:val="1E3E2F64"/>
    <w:rsid w:val="1E4C5F8A"/>
    <w:rsid w:val="1E641DBE"/>
    <w:rsid w:val="1E6C1577"/>
    <w:rsid w:val="1E7948A6"/>
    <w:rsid w:val="1E9D2342"/>
    <w:rsid w:val="1E9D6FD2"/>
    <w:rsid w:val="1EA00084"/>
    <w:rsid w:val="1EA44D1C"/>
    <w:rsid w:val="1EA45A1A"/>
    <w:rsid w:val="1EA57449"/>
    <w:rsid w:val="1EAC6A29"/>
    <w:rsid w:val="1EB63404"/>
    <w:rsid w:val="1EC43D73"/>
    <w:rsid w:val="1ECD74FF"/>
    <w:rsid w:val="1EDA17E8"/>
    <w:rsid w:val="1EDC0634"/>
    <w:rsid w:val="1EED11DB"/>
    <w:rsid w:val="1EEF794E"/>
    <w:rsid w:val="1EF26B32"/>
    <w:rsid w:val="1EF67CA4"/>
    <w:rsid w:val="1F046865"/>
    <w:rsid w:val="1F0D19A2"/>
    <w:rsid w:val="1F3507CD"/>
    <w:rsid w:val="1F357B7F"/>
    <w:rsid w:val="1F43355A"/>
    <w:rsid w:val="1F5A6485"/>
    <w:rsid w:val="1F5C4C46"/>
    <w:rsid w:val="1F682713"/>
    <w:rsid w:val="1F7126D6"/>
    <w:rsid w:val="1F7F5EEC"/>
    <w:rsid w:val="1F882FF2"/>
    <w:rsid w:val="1F8E783A"/>
    <w:rsid w:val="1FA07A57"/>
    <w:rsid w:val="1FAA65AA"/>
    <w:rsid w:val="1FB042F7"/>
    <w:rsid w:val="1FC654C7"/>
    <w:rsid w:val="1FC833B6"/>
    <w:rsid w:val="1FD06747"/>
    <w:rsid w:val="1FE30229"/>
    <w:rsid w:val="1FE43FA1"/>
    <w:rsid w:val="1FE741BD"/>
    <w:rsid w:val="1FEA7809"/>
    <w:rsid w:val="1FFC12EA"/>
    <w:rsid w:val="20022FEF"/>
    <w:rsid w:val="20102DFE"/>
    <w:rsid w:val="2011502D"/>
    <w:rsid w:val="20121DA7"/>
    <w:rsid w:val="20142AD8"/>
    <w:rsid w:val="20144886"/>
    <w:rsid w:val="20337402"/>
    <w:rsid w:val="20580C17"/>
    <w:rsid w:val="206770AC"/>
    <w:rsid w:val="206A51C4"/>
    <w:rsid w:val="20717F2A"/>
    <w:rsid w:val="207D5D6C"/>
    <w:rsid w:val="207F7267"/>
    <w:rsid w:val="20895274"/>
    <w:rsid w:val="2091237A"/>
    <w:rsid w:val="209E05F3"/>
    <w:rsid w:val="20A57BD4"/>
    <w:rsid w:val="20B00A53"/>
    <w:rsid w:val="20BA614C"/>
    <w:rsid w:val="20D9162C"/>
    <w:rsid w:val="20DB35F6"/>
    <w:rsid w:val="20E64474"/>
    <w:rsid w:val="20FD356C"/>
    <w:rsid w:val="20FE449A"/>
    <w:rsid w:val="210F210F"/>
    <w:rsid w:val="21154D5A"/>
    <w:rsid w:val="211F1734"/>
    <w:rsid w:val="21244F9D"/>
    <w:rsid w:val="212E5E1B"/>
    <w:rsid w:val="21366A7E"/>
    <w:rsid w:val="213977FF"/>
    <w:rsid w:val="21501B14"/>
    <w:rsid w:val="21582E98"/>
    <w:rsid w:val="215D400B"/>
    <w:rsid w:val="21665946"/>
    <w:rsid w:val="216B02BD"/>
    <w:rsid w:val="21792FA7"/>
    <w:rsid w:val="217E2DB8"/>
    <w:rsid w:val="21863561"/>
    <w:rsid w:val="218850C1"/>
    <w:rsid w:val="218A31FD"/>
    <w:rsid w:val="218D48F0"/>
    <w:rsid w:val="2191002B"/>
    <w:rsid w:val="21923CC5"/>
    <w:rsid w:val="219263AA"/>
    <w:rsid w:val="21C978F2"/>
    <w:rsid w:val="21DA38AD"/>
    <w:rsid w:val="21DC37D4"/>
    <w:rsid w:val="21E11A55"/>
    <w:rsid w:val="21E32762"/>
    <w:rsid w:val="21F66939"/>
    <w:rsid w:val="221B014E"/>
    <w:rsid w:val="22266AF2"/>
    <w:rsid w:val="22353CA2"/>
    <w:rsid w:val="223E208E"/>
    <w:rsid w:val="22405740"/>
    <w:rsid w:val="224156DA"/>
    <w:rsid w:val="22477195"/>
    <w:rsid w:val="224C6733"/>
    <w:rsid w:val="22511DC1"/>
    <w:rsid w:val="227710FC"/>
    <w:rsid w:val="22804455"/>
    <w:rsid w:val="22873A35"/>
    <w:rsid w:val="2287505A"/>
    <w:rsid w:val="228D0920"/>
    <w:rsid w:val="22966C23"/>
    <w:rsid w:val="22AF0896"/>
    <w:rsid w:val="22B9223E"/>
    <w:rsid w:val="22C85FA2"/>
    <w:rsid w:val="22D66669"/>
    <w:rsid w:val="22E54E3C"/>
    <w:rsid w:val="22EE0645"/>
    <w:rsid w:val="2304785B"/>
    <w:rsid w:val="231177A3"/>
    <w:rsid w:val="232E7D6A"/>
    <w:rsid w:val="23333275"/>
    <w:rsid w:val="23333F99"/>
    <w:rsid w:val="233A2855"/>
    <w:rsid w:val="23580F2E"/>
    <w:rsid w:val="23623B5A"/>
    <w:rsid w:val="236723EA"/>
    <w:rsid w:val="236D16F9"/>
    <w:rsid w:val="23730E9E"/>
    <w:rsid w:val="237A5348"/>
    <w:rsid w:val="238002CA"/>
    <w:rsid w:val="23931A49"/>
    <w:rsid w:val="2398757C"/>
    <w:rsid w:val="239F377F"/>
    <w:rsid w:val="23A44173"/>
    <w:rsid w:val="23A925E7"/>
    <w:rsid w:val="23AC0BE2"/>
    <w:rsid w:val="23BD6805"/>
    <w:rsid w:val="23C95987"/>
    <w:rsid w:val="23CB4D3A"/>
    <w:rsid w:val="23CB6BBC"/>
    <w:rsid w:val="23CE0A96"/>
    <w:rsid w:val="23CE1710"/>
    <w:rsid w:val="23D63454"/>
    <w:rsid w:val="23D706B8"/>
    <w:rsid w:val="23D75530"/>
    <w:rsid w:val="23E00F22"/>
    <w:rsid w:val="23F23130"/>
    <w:rsid w:val="23F7700F"/>
    <w:rsid w:val="23F853FC"/>
    <w:rsid w:val="23FB11F4"/>
    <w:rsid w:val="24253506"/>
    <w:rsid w:val="24257A47"/>
    <w:rsid w:val="24311EAA"/>
    <w:rsid w:val="2435126F"/>
    <w:rsid w:val="243F3E9B"/>
    <w:rsid w:val="244020ED"/>
    <w:rsid w:val="246F652F"/>
    <w:rsid w:val="24773635"/>
    <w:rsid w:val="247863AB"/>
    <w:rsid w:val="2480698E"/>
    <w:rsid w:val="24816262"/>
    <w:rsid w:val="24B2466D"/>
    <w:rsid w:val="24B623B0"/>
    <w:rsid w:val="24D44611"/>
    <w:rsid w:val="24E45993"/>
    <w:rsid w:val="24FF34E2"/>
    <w:rsid w:val="24FF6206"/>
    <w:rsid w:val="25072C0B"/>
    <w:rsid w:val="250E4BA7"/>
    <w:rsid w:val="250F7D12"/>
    <w:rsid w:val="25120A61"/>
    <w:rsid w:val="251B2213"/>
    <w:rsid w:val="25214D21"/>
    <w:rsid w:val="252242AC"/>
    <w:rsid w:val="252F3F10"/>
    <w:rsid w:val="2536704D"/>
    <w:rsid w:val="25407ECB"/>
    <w:rsid w:val="254A2AF8"/>
    <w:rsid w:val="2564005E"/>
    <w:rsid w:val="25647C5C"/>
    <w:rsid w:val="256E67E6"/>
    <w:rsid w:val="256F5577"/>
    <w:rsid w:val="25911A7F"/>
    <w:rsid w:val="25A2137E"/>
    <w:rsid w:val="25A71CF8"/>
    <w:rsid w:val="25A81B02"/>
    <w:rsid w:val="25AE3CA5"/>
    <w:rsid w:val="25C30157"/>
    <w:rsid w:val="25C47954"/>
    <w:rsid w:val="25D232E4"/>
    <w:rsid w:val="25D32D3D"/>
    <w:rsid w:val="25DA0320"/>
    <w:rsid w:val="25DF67A2"/>
    <w:rsid w:val="25F120E5"/>
    <w:rsid w:val="2617030E"/>
    <w:rsid w:val="261C6242"/>
    <w:rsid w:val="262F6268"/>
    <w:rsid w:val="263C4B36"/>
    <w:rsid w:val="264439EB"/>
    <w:rsid w:val="26444656"/>
    <w:rsid w:val="264A075D"/>
    <w:rsid w:val="264E03C6"/>
    <w:rsid w:val="265A6D6B"/>
    <w:rsid w:val="2662092D"/>
    <w:rsid w:val="26667E05"/>
    <w:rsid w:val="26722306"/>
    <w:rsid w:val="268A7A18"/>
    <w:rsid w:val="269059F2"/>
    <w:rsid w:val="26971D6D"/>
    <w:rsid w:val="26976211"/>
    <w:rsid w:val="26B50445"/>
    <w:rsid w:val="26CB1012"/>
    <w:rsid w:val="26E06425"/>
    <w:rsid w:val="26E32EDA"/>
    <w:rsid w:val="26EE4083"/>
    <w:rsid w:val="26FA2AFF"/>
    <w:rsid w:val="27022491"/>
    <w:rsid w:val="270A3887"/>
    <w:rsid w:val="271B0BF0"/>
    <w:rsid w:val="27340456"/>
    <w:rsid w:val="273863B2"/>
    <w:rsid w:val="274F43F6"/>
    <w:rsid w:val="27897907"/>
    <w:rsid w:val="278A3680"/>
    <w:rsid w:val="278E2729"/>
    <w:rsid w:val="279B763B"/>
    <w:rsid w:val="27B63715"/>
    <w:rsid w:val="27C9064C"/>
    <w:rsid w:val="27E12C26"/>
    <w:rsid w:val="27E27C5C"/>
    <w:rsid w:val="27F60D15"/>
    <w:rsid w:val="27F751B9"/>
    <w:rsid w:val="280653FC"/>
    <w:rsid w:val="281D775F"/>
    <w:rsid w:val="28221B0A"/>
    <w:rsid w:val="28297F96"/>
    <w:rsid w:val="2831638F"/>
    <w:rsid w:val="2833236A"/>
    <w:rsid w:val="2833593F"/>
    <w:rsid w:val="28373807"/>
    <w:rsid w:val="283C56D0"/>
    <w:rsid w:val="284303FE"/>
    <w:rsid w:val="28452C36"/>
    <w:rsid w:val="28481571"/>
    <w:rsid w:val="28494F94"/>
    <w:rsid w:val="286363AA"/>
    <w:rsid w:val="28642123"/>
    <w:rsid w:val="28724840"/>
    <w:rsid w:val="28773C04"/>
    <w:rsid w:val="288602EB"/>
    <w:rsid w:val="288D66E5"/>
    <w:rsid w:val="288E2F16"/>
    <w:rsid w:val="28991DCC"/>
    <w:rsid w:val="289C690F"/>
    <w:rsid w:val="289E5635"/>
    <w:rsid w:val="28A95D87"/>
    <w:rsid w:val="28AA7209"/>
    <w:rsid w:val="28AC2239"/>
    <w:rsid w:val="28B766F6"/>
    <w:rsid w:val="28B93C10"/>
    <w:rsid w:val="28C31174"/>
    <w:rsid w:val="28C50E13"/>
    <w:rsid w:val="28EA2628"/>
    <w:rsid w:val="290D42B4"/>
    <w:rsid w:val="29115E06"/>
    <w:rsid w:val="291624C7"/>
    <w:rsid w:val="29332221"/>
    <w:rsid w:val="29385A89"/>
    <w:rsid w:val="294F2DD3"/>
    <w:rsid w:val="295201CD"/>
    <w:rsid w:val="295B3526"/>
    <w:rsid w:val="29752839"/>
    <w:rsid w:val="297E7214"/>
    <w:rsid w:val="29820AB2"/>
    <w:rsid w:val="29826D04"/>
    <w:rsid w:val="298567F4"/>
    <w:rsid w:val="2989065E"/>
    <w:rsid w:val="299A404E"/>
    <w:rsid w:val="29A8408B"/>
    <w:rsid w:val="29AC1FD3"/>
    <w:rsid w:val="29B11398"/>
    <w:rsid w:val="29C27101"/>
    <w:rsid w:val="29C4731D"/>
    <w:rsid w:val="29C8521C"/>
    <w:rsid w:val="29E21551"/>
    <w:rsid w:val="29EF6820"/>
    <w:rsid w:val="29F13D11"/>
    <w:rsid w:val="29FA689B"/>
    <w:rsid w:val="29FE1E73"/>
    <w:rsid w:val="29FF7471"/>
    <w:rsid w:val="2A0C4820"/>
    <w:rsid w:val="2A104310"/>
    <w:rsid w:val="2A13795C"/>
    <w:rsid w:val="2A331DAD"/>
    <w:rsid w:val="2A3C6EB3"/>
    <w:rsid w:val="2A3D4F2C"/>
    <w:rsid w:val="2A41271B"/>
    <w:rsid w:val="2A475858"/>
    <w:rsid w:val="2A506E02"/>
    <w:rsid w:val="2A5306A1"/>
    <w:rsid w:val="2A5C58A0"/>
    <w:rsid w:val="2A663F79"/>
    <w:rsid w:val="2A6A4A2E"/>
    <w:rsid w:val="2A7A3E7F"/>
    <w:rsid w:val="2A8E2F79"/>
    <w:rsid w:val="2A8F792B"/>
    <w:rsid w:val="2A9036A3"/>
    <w:rsid w:val="2A906CDB"/>
    <w:rsid w:val="2A930DCD"/>
    <w:rsid w:val="2A932F00"/>
    <w:rsid w:val="2AA00A7C"/>
    <w:rsid w:val="2AB05D59"/>
    <w:rsid w:val="2AC135BE"/>
    <w:rsid w:val="2AD43590"/>
    <w:rsid w:val="2AD74E2E"/>
    <w:rsid w:val="2AE33D87"/>
    <w:rsid w:val="2AE35581"/>
    <w:rsid w:val="2AE62252"/>
    <w:rsid w:val="2AE80DE9"/>
    <w:rsid w:val="2AF7727E"/>
    <w:rsid w:val="2AF8625E"/>
    <w:rsid w:val="2B033E75"/>
    <w:rsid w:val="2B043FCC"/>
    <w:rsid w:val="2B1020EE"/>
    <w:rsid w:val="2B225799"/>
    <w:rsid w:val="2B4324C3"/>
    <w:rsid w:val="2B4C581C"/>
    <w:rsid w:val="2B4F2EB5"/>
    <w:rsid w:val="2B53368F"/>
    <w:rsid w:val="2B69017C"/>
    <w:rsid w:val="2B795EE5"/>
    <w:rsid w:val="2B82123D"/>
    <w:rsid w:val="2B942D1F"/>
    <w:rsid w:val="2B9E70BF"/>
    <w:rsid w:val="2BAA2542"/>
    <w:rsid w:val="2BAB6CDC"/>
    <w:rsid w:val="2BAD5B8F"/>
    <w:rsid w:val="2BC730F4"/>
    <w:rsid w:val="2BD66F2D"/>
    <w:rsid w:val="2BEF0D62"/>
    <w:rsid w:val="2BEF1E49"/>
    <w:rsid w:val="2BF01C4F"/>
    <w:rsid w:val="2BF92F4B"/>
    <w:rsid w:val="2C1125C1"/>
    <w:rsid w:val="2C183950"/>
    <w:rsid w:val="2C1F6654"/>
    <w:rsid w:val="2C2B67D6"/>
    <w:rsid w:val="2C2D7486"/>
    <w:rsid w:val="2C5214E3"/>
    <w:rsid w:val="2C55458E"/>
    <w:rsid w:val="2C5D5807"/>
    <w:rsid w:val="2C637B18"/>
    <w:rsid w:val="2C680433"/>
    <w:rsid w:val="2C7A3CC3"/>
    <w:rsid w:val="2C864D5D"/>
    <w:rsid w:val="2C901738"/>
    <w:rsid w:val="2C9F3729"/>
    <w:rsid w:val="2CAA46BD"/>
    <w:rsid w:val="2CAA4CDC"/>
    <w:rsid w:val="2CAB494C"/>
    <w:rsid w:val="2CC032E9"/>
    <w:rsid w:val="2CC85EE2"/>
    <w:rsid w:val="2CC91616"/>
    <w:rsid w:val="2CCD473A"/>
    <w:rsid w:val="2CD32D88"/>
    <w:rsid w:val="2CD930DF"/>
    <w:rsid w:val="2CEF46B1"/>
    <w:rsid w:val="2CF77A09"/>
    <w:rsid w:val="2CFC0B7C"/>
    <w:rsid w:val="2D257531"/>
    <w:rsid w:val="2D27132C"/>
    <w:rsid w:val="2D300825"/>
    <w:rsid w:val="2D542766"/>
    <w:rsid w:val="2D5F6EC5"/>
    <w:rsid w:val="2D607001"/>
    <w:rsid w:val="2D7C1728"/>
    <w:rsid w:val="2D83203C"/>
    <w:rsid w:val="2D833278"/>
    <w:rsid w:val="2D840162"/>
    <w:rsid w:val="2D870D8D"/>
    <w:rsid w:val="2D8B7A0C"/>
    <w:rsid w:val="2DA21F75"/>
    <w:rsid w:val="2DA454A5"/>
    <w:rsid w:val="2DAC07F4"/>
    <w:rsid w:val="2DB17BB8"/>
    <w:rsid w:val="2DB72A1B"/>
    <w:rsid w:val="2DC06E51"/>
    <w:rsid w:val="2DDD275B"/>
    <w:rsid w:val="2DDF4D42"/>
    <w:rsid w:val="2DF13843"/>
    <w:rsid w:val="2E075A2A"/>
    <w:rsid w:val="2E155912"/>
    <w:rsid w:val="2E190FA2"/>
    <w:rsid w:val="2E2670DA"/>
    <w:rsid w:val="2E2E745B"/>
    <w:rsid w:val="2E400F3C"/>
    <w:rsid w:val="2E402CEA"/>
    <w:rsid w:val="2E422F06"/>
    <w:rsid w:val="2E5844D8"/>
    <w:rsid w:val="2E5C3FC8"/>
    <w:rsid w:val="2E5F1BB6"/>
    <w:rsid w:val="2E655ADE"/>
    <w:rsid w:val="2E70537D"/>
    <w:rsid w:val="2E7B72D6"/>
    <w:rsid w:val="2E870919"/>
    <w:rsid w:val="2E954277"/>
    <w:rsid w:val="2E980D78"/>
    <w:rsid w:val="2E9F62E3"/>
    <w:rsid w:val="2EA92857"/>
    <w:rsid w:val="2EB40E48"/>
    <w:rsid w:val="2EB615A3"/>
    <w:rsid w:val="2EBA2A9C"/>
    <w:rsid w:val="2ECB4CA9"/>
    <w:rsid w:val="2EDC6EB7"/>
    <w:rsid w:val="2EDE2C2F"/>
    <w:rsid w:val="2EDF0755"/>
    <w:rsid w:val="2EE45D6B"/>
    <w:rsid w:val="2EEB534C"/>
    <w:rsid w:val="2EED0DF9"/>
    <w:rsid w:val="2EF57F78"/>
    <w:rsid w:val="2EF7419D"/>
    <w:rsid w:val="2EFA558F"/>
    <w:rsid w:val="2EFE0BDB"/>
    <w:rsid w:val="2F0116F1"/>
    <w:rsid w:val="2F011DC7"/>
    <w:rsid w:val="2F195A15"/>
    <w:rsid w:val="2F2A2B97"/>
    <w:rsid w:val="2F302D5E"/>
    <w:rsid w:val="2F3B28B9"/>
    <w:rsid w:val="2F414EAA"/>
    <w:rsid w:val="2F561E0E"/>
    <w:rsid w:val="2F582888"/>
    <w:rsid w:val="2F5838AD"/>
    <w:rsid w:val="2F5C6DF5"/>
    <w:rsid w:val="2F5E5B1E"/>
    <w:rsid w:val="2F656EAC"/>
    <w:rsid w:val="2F6C002B"/>
    <w:rsid w:val="2F717864"/>
    <w:rsid w:val="2F7467BD"/>
    <w:rsid w:val="2F8446A2"/>
    <w:rsid w:val="2F9A3429"/>
    <w:rsid w:val="2FA80A0F"/>
    <w:rsid w:val="2FB362F6"/>
    <w:rsid w:val="2FC8743B"/>
    <w:rsid w:val="2FCF4325"/>
    <w:rsid w:val="2FDB716E"/>
    <w:rsid w:val="2FEA3851"/>
    <w:rsid w:val="2FF26266"/>
    <w:rsid w:val="2FF53156"/>
    <w:rsid w:val="30032221"/>
    <w:rsid w:val="3005243D"/>
    <w:rsid w:val="300761B5"/>
    <w:rsid w:val="30085A89"/>
    <w:rsid w:val="300E12F2"/>
    <w:rsid w:val="30182170"/>
    <w:rsid w:val="301E705B"/>
    <w:rsid w:val="302A3C52"/>
    <w:rsid w:val="30332B06"/>
    <w:rsid w:val="303E14AB"/>
    <w:rsid w:val="306727B0"/>
    <w:rsid w:val="306B57A3"/>
    <w:rsid w:val="30787801"/>
    <w:rsid w:val="307D5C1A"/>
    <w:rsid w:val="308C0468"/>
    <w:rsid w:val="309775A2"/>
    <w:rsid w:val="3098505F"/>
    <w:rsid w:val="30A9101A"/>
    <w:rsid w:val="30C365CE"/>
    <w:rsid w:val="30DD2A72"/>
    <w:rsid w:val="30EB624E"/>
    <w:rsid w:val="30EC548E"/>
    <w:rsid w:val="30EE4C7F"/>
    <w:rsid w:val="30F860E0"/>
    <w:rsid w:val="310256D5"/>
    <w:rsid w:val="31124E12"/>
    <w:rsid w:val="312132A7"/>
    <w:rsid w:val="31440ED2"/>
    <w:rsid w:val="314663BC"/>
    <w:rsid w:val="31560C6E"/>
    <w:rsid w:val="315620B8"/>
    <w:rsid w:val="31570D17"/>
    <w:rsid w:val="317038E6"/>
    <w:rsid w:val="317C228B"/>
    <w:rsid w:val="31822F4F"/>
    <w:rsid w:val="318B26F6"/>
    <w:rsid w:val="318D41A0"/>
    <w:rsid w:val="318E375F"/>
    <w:rsid w:val="31A70C60"/>
    <w:rsid w:val="31A87524"/>
    <w:rsid w:val="31AD4B3A"/>
    <w:rsid w:val="31AF08B2"/>
    <w:rsid w:val="31C0486E"/>
    <w:rsid w:val="31E645B2"/>
    <w:rsid w:val="31EA40DF"/>
    <w:rsid w:val="31FE7144"/>
    <w:rsid w:val="32006F4B"/>
    <w:rsid w:val="32130E41"/>
    <w:rsid w:val="32260F05"/>
    <w:rsid w:val="324976FD"/>
    <w:rsid w:val="325154C6"/>
    <w:rsid w:val="32563D7B"/>
    <w:rsid w:val="325E4A52"/>
    <w:rsid w:val="326162E8"/>
    <w:rsid w:val="32666042"/>
    <w:rsid w:val="3267118D"/>
    <w:rsid w:val="32843928"/>
    <w:rsid w:val="32987598"/>
    <w:rsid w:val="329B4993"/>
    <w:rsid w:val="32A63A63"/>
    <w:rsid w:val="32AC4DF2"/>
    <w:rsid w:val="32AE31AE"/>
    <w:rsid w:val="32B10138"/>
    <w:rsid w:val="32BA12BD"/>
    <w:rsid w:val="32BA7C70"/>
    <w:rsid w:val="32C45055"/>
    <w:rsid w:val="32C51A10"/>
    <w:rsid w:val="32CB26D6"/>
    <w:rsid w:val="32CF5C94"/>
    <w:rsid w:val="32E118FA"/>
    <w:rsid w:val="32ED1B36"/>
    <w:rsid w:val="32ED680E"/>
    <w:rsid w:val="32ED7014"/>
    <w:rsid w:val="32F02F31"/>
    <w:rsid w:val="33062754"/>
    <w:rsid w:val="33107F03"/>
    <w:rsid w:val="331A72C6"/>
    <w:rsid w:val="332C1A8F"/>
    <w:rsid w:val="33346287"/>
    <w:rsid w:val="333D579D"/>
    <w:rsid w:val="334943EF"/>
    <w:rsid w:val="33522129"/>
    <w:rsid w:val="335A2AA0"/>
    <w:rsid w:val="335C02D0"/>
    <w:rsid w:val="336C3DBF"/>
    <w:rsid w:val="33857B1D"/>
    <w:rsid w:val="3387512C"/>
    <w:rsid w:val="338C3EE8"/>
    <w:rsid w:val="339316C7"/>
    <w:rsid w:val="33A06705"/>
    <w:rsid w:val="33A63196"/>
    <w:rsid w:val="33AB32FB"/>
    <w:rsid w:val="33AE0ED8"/>
    <w:rsid w:val="33B201E6"/>
    <w:rsid w:val="33B91574"/>
    <w:rsid w:val="33BA63EC"/>
    <w:rsid w:val="33C7653D"/>
    <w:rsid w:val="33C817B8"/>
    <w:rsid w:val="33D75E9F"/>
    <w:rsid w:val="33E162AB"/>
    <w:rsid w:val="33EC0811"/>
    <w:rsid w:val="33F227BE"/>
    <w:rsid w:val="33FD1320"/>
    <w:rsid w:val="34075AD1"/>
    <w:rsid w:val="340A1DD0"/>
    <w:rsid w:val="340E22A5"/>
    <w:rsid w:val="340F5638"/>
    <w:rsid w:val="342750AF"/>
    <w:rsid w:val="342C56A2"/>
    <w:rsid w:val="342E2692"/>
    <w:rsid w:val="34325184"/>
    <w:rsid w:val="34346E4D"/>
    <w:rsid w:val="3435049D"/>
    <w:rsid w:val="343A34CB"/>
    <w:rsid w:val="343B467F"/>
    <w:rsid w:val="34441786"/>
    <w:rsid w:val="34442F4F"/>
    <w:rsid w:val="344D7F0F"/>
    <w:rsid w:val="345E3ECA"/>
    <w:rsid w:val="346E05B1"/>
    <w:rsid w:val="34727975"/>
    <w:rsid w:val="34766943"/>
    <w:rsid w:val="347E456C"/>
    <w:rsid w:val="34846FB6"/>
    <w:rsid w:val="348778C8"/>
    <w:rsid w:val="34A264AC"/>
    <w:rsid w:val="34B561E0"/>
    <w:rsid w:val="34C77CC1"/>
    <w:rsid w:val="34CA155F"/>
    <w:rsid w:val="34D36666"/>
    <w:rsid w:val="34F14D3E"/>
    <w:rsid w:val="34F57DE4"/>
    <w:rsid w:val="3507779A"/>
    <w:rsid w:val="350D65F0"/>
    <w:rsid w:val="350E3B42"/>
    <w:rsid w:val="35134CB4"/>
    <w:rsid w:val="352C2718"/>
    <w:rsid w:val="35317608"/>
    <w:rsid w:val="353327D7"/>
    <w:rsid w:val="3536405D"/>
    <w:rsid w:val="353D1152"/>
    <w:rsid w:val="354778FD"/>
    <w:rsid w:val="35492DCC"/>
    <w:rsid w:val="354B6B44"/>
    <w:rsid w:val="35507CB7"/>
    <w:rsid w:val="35531BEF"/>
    <w:rsid w:val="355F614C"/>
    <w:rsid w:val="3569521C"/>
    <w:rsid w:val="356C2617"/>
    <w:rsid w:val="35707279"/>
    <w:rsid w:val="35814314"/>
    <w:rsid w:val="358856A2"/>
    <w:rsid w:val="35977BFB"/>
    <w:rsid w:val="359978AF"/>
    <w:rsid w:val="35A26038"/>
    <w:rsid w:val="35A3428A"/>
    <w:rsid w:val="35AB313F"/>
    <w:rsid w:val="35B53FBD"/>
    <w:rsid w:val="35B9166D"/>
    <w:rsid w:val="35BE0413"/>
    <w:rsid w:val="35C44201"/>
    <w:rsid w:val="35CF507F"/>
    <w:rsid w:val="360F36CE"/>
    <w:rsid w:val="36211653"/>
    <w:rsid w:val="36222223"/>
    <w:rsid w:val="36296503"/>
    <w:rsid w:val="36421CF5"/>
    <w:rsid w:val="36463308"/>
    <w:rsid w:val="36470E64"/>
    <w:rsid w:val="364F191D"/>
    <w:rsid w:val="3651018A"/>
    <w:rsid w:val="36580022"/>
    <w:rsid w:val="36657792"/>
    <w:rsid w:val="36681030"/>
    <w:rsid w:val="36691889"/>
    <w:rsid w:val="36712E0A"/>
    <w:rsid w:val="3676199F"/>
    <w:rsid w:val="369D6F2B"/>
    <w:rsid w:val="369E54F7"/>
    <w:rsid w:val="36A0457C"/>
    <w:rsid w:val="36B85B13"/>
    <w:rsid w:val="36BA628E"/>
    <w:rsid w:val="36BF3346"/>
    <w:rsid w:val="36C4455F"/>
    <w:rsid w:val="37023232"/>
    <w:rsid w:val="370276D6"/>
    <w:rsid w:val="370A4C0F"/>
    <w:rsid w:val="37144761"/>
    <w:rsid w:val="371C32B0"/>
    <w:rsid w:val="371F32FC"/>
    <w:rsid w:val="371F77E4"/>
    <w:rsid w:val="37425D25"/>
    <w:rsid w:val="374A66EF"/>
    <w:rsid w:val="374C2700"/>
    <w:rsid w:val="375A4E1C"/>
    <w:rsid w:val="375F0685"/>
    <w:rsid w:val="3776710C"/>
    <w:rsid w:val="378473D8"/>
    <w:rsid w:val="37940F7C"/>
    <w:rsid w:val="37A64B53"/>
    <w:rsid w:val="37A81B3B"/>
    <w:rsid w:val="37A95DA4"/>
    <w:rsid w:val="37B3277F"/>
    <w:rsid w:val="37B37D87"/>
    <w:rsid w:val="37C12C4A"/>
    <w:rsid w:val="37D270A9"/>
    <w:rsid w:val="37E8067A"/>
    <w:rsid w:val="37EC213A"/>
    <w:rsid w:val="37FB6841"/>
    <w:rsid w:val="380D1E8F"/>
    <w:rsid w:val="380D6333"/>
    <w:rsid w:val="381B0A50"/>
    <w:rsid w:val="38206066"/>
    <w:rsid w:val="38210D36"/>
    <w:rsid w:val="3825367C"/>
    <w:rsid w:val="383270EA"/>
    <w:rsid w:val="38543F62"/>
    <w:rsid w:val="386D0E48"/>
    <w:rsid w:val="38771BE8"/>
    <w:rsid w:val="387D5266"/>
    <w:rsid w:val="388008B3"/>
    <w:rsid w:val="388B724B"/>
    <w:rsid w:val="38961E84"/>
    <w:rsid w:val="38A7646A"/>
    <w:rsid w:val="38B35BDE"/>
    <w:rsid w:val="38B467AE"/>
    <w:rsid w:val="38DD48B6"/>
    <w:rsid w:val="38E20AE5"/>
    <w:rsid w:val="38E452E6"/>
    <w:rsid w:val="38F00BB2"/>
    <w:rsid w:val="38FD48BB"/>
    <w:rsid w:val="390B4FA4"/>
    <w:rsid w:val="390E2362"/>
    <w:rsid w:val="39280094"/>
    <w:rsid w:val="39311BAD"/>
    <w:rsid w:val="39396CB4"/>
    <w:rsid w:val="393B1EAF"/>
    <w:rsid w:val="393C288A"/>
    <w:rsid w:val="394E6C03"/>
    <w:rsid w:val="39534219"/>
    <w:rsid w:val="39621D5E"/>
    <w:rsid w:val="3965375C"/>
    <w:rsid w:val="396808F7"/>
    <w:rsid w:val="397C2BEE"/>
    <w:rsid w:val="397C3770"/>
    <w:rsid w:val="397F763D"/>
    <w:rsid w:val="39811679"/>
    <w:rsid w:val="39B21AF3"/>
    <w:rsid w:val="39BC3B6C"/>
    <w:rsid w:val="39C46EC5"/>
    <w:rsid w:val="39C96289"/>
    <w:rsid w:val="39C9665C"/>
    <w:rsid w:val="39CA5389"/>
    <w:rsid w:val="39D72754"/>
    <w:rsid w:val="39DB3C6C"/>
    <w:rsid w:val="39E97DA8"/>
    <w:rsid w:val="3A0472C2"/>
    <w:rsid w:val="3A1514CF"/>
    <w:rsid w:val="3A1C460B"/>
    <w:rsid w:val="3A2F1EC9"/>
    <w:rsid w:val="3A39340F"/>
    <w:rsid w:val="3A40479E"/>
    <w:rsid w:val="3A433F47"/>
    <w:rsid w:val="3A4F039B"/>
    <w:rsid w:val="3A5C534F"/>
    <w:rsid w:val="3A7B6865"/>
    <w:rsid w:val="3A800389"/>
    <w:rsid w:val="3A8760D1"/>
    <w:rsid w:val="3A8C21FC"/>
    <w:rsid w:val="3AA1633F"/>
    <w:rsid w:val="3AB5795C"/>
    <w:rsid w:val="3ACD1DA9"/>
    <w:rsid w:val="3AEA64B7"/>
    <w:rsid w:val="3AFE3587"/>
    <w:rsid w:val="3B111C96"/>
    <w:rsid w:val="3B1A3241"/>
    <w:rsid w:val="3B422155"/>
    <w:rsid w:val="3B451F73"/>
    <w:rsid w:val="3B476F2C"/>
    <w:rsid w:val="3B4C0F20"/>
    <w:rsid w:val="3B4D1C93"/>
    <w:rsid w:val="3B585B17"/>
    <w:rsid w:val="3B612EFA"/>
    <w:rsid w:val="3B634927"/>
    <w:rsid w:val="3B64626A"/>
    <w:rsid w:val="3B7010B2"/>
    <w:rsid w:val="3B784FA0"/>
    <w:rsid w:val="3B787F67"/>
    <w:rsid w:val="3B7F12F6"/>
    <w:rsid w:val="3BAC19BF"/>
    <w:rsid w:val="3BB03A5D"/>
    <w:rsid w:val="3BB24A56"/>
    <w:rsid w:val="3BBB1B47"/>
    <w:rsid w:val="3BCB0097"/>
    <w:rsid w:val="3BCB5986"/>
    <w:rsid w:val="3BCB62E9"/>
    <w:rsid w:val="3BCE402B"/>
    <w:rsid w:val="3BD602EF"/>
    <w:rsid w:val="3BE525AB"/>
    <w:rsid w:val="3BF07AFD"/>
    <w:rsid w:val="3BFD221A"/>
    <w:rsid w:val="3C0B116B"/>
    <w:rsid w:val="3C256A70"/>
    <w:rsid w:val="3C3025F0"/>
    <w:rsid w:val="3C340332"/>
    <w:rsid w:val="3C351FEC"/>
    <w:rsid w:val="3C4147FD"/>
    <w:rsid w:val="3C447E49"/>
    <w:rsid w:val="3C522566"/>
    <w:rsid w:val="3C5D3E02"/>
    <w:rsid w:val="3C6D73A0"/>
    <w:rsid w:val="3C7B5B5E"/>
    <w:rsid w:val="3C8446EA"/>
    <w:rsid w:val="3C8F2735"/>
    <w:rsid w:val="3C923769"/>
    <w:rsid w:val="3CA10037"/>
    <w:rsid w:val="3CAA0CC8"/>
    <w:rsid w:val="3CB054DF"/>
    <w:rsid w:val="3CBC5380"/>
    <w:rsid w:val="3CD70CBD"/>
    <w:rsid w:val="3CDB07AE"/>
    <w:rsid w:val="3CF47AC1"/>
    <w:rsid w:val="3D112421"/>
    <w:rsid w:val="3D1F7830"/>
    <w:rsid w:val="3D233F03"/>
    <w:rsid w:val="3D31466F"/>
    <w:rsid w:val="3D314871"/>
    <w:rsid w:val="3D3305EA"/>
    <w:rsid w:val="3D3E6007"/>
    <w:rsid w:val="3D4000E7"/>
    <w:rsid w:val="3D581DFE"/>
    <w:rsid w:val="3D606013"/>
    <w:rsid w:val="3D6A38DF"/>
    <w:rsid w:val="3D6D13E7"/>
    <w:rsid w:val="3D6E1622"/>
    <w:rsid w:val="3D7D3613"/>
    <w:rsid w:val="3D8441F8"/>
    <w:rsid w:val="3D8449A1"/>
    <w:rsid w:val="3D8B14FA"/>
    <w:rsid w:val="3D9267FC"/>
    <w:rsid w:val="3D98669F"/>
    <w:rsid w:val="3D9A41C5"/>
    <w:rsid w:val="3DA36B83"/>
    <w:rsid w:val="3DAB4624"/>
    <w:rsid w:val="3DB66B25"/>
    <w:rsid w:val="3DC47569"/>
    <w:rsid w:val="3DE45365"/>
    <w:rsid w:val="3DE77327"/>
    <w:rsid w:val="3DF80EEB"/>
    <w:rsid w:val="3E09134A"/>
    <w:rsid w:val="3E0B6E71"/>
    <w:rsid w:val="3E191047"/>
    <w:rsid w:val="3E1A79B5"/>
    <w:rsid w:val="3E4811F1"/>
    <w:rsid w:val="3E5527E2"/>
    <w:rsid w:val="3E5E1696"/>
    <w:rsid w:val="3E686071"/>
    <w:rsid w:val="3E7C69A0"/>
    <w:rsid w:val="3E823CCF"/>
    <w:rsid w:val="3E8804C1"/>
    <w:rsid w:val="3E8D5AD7"/>
    <w:rsid w:val="3E927592"/>
    <w:rsid w:val="3E956FDC"/>
    <w:rsid w:val="3EAF1EF2"/>
    <w:rsid w:val="3EB201B0"/>
    <w:rsid w:val="3EB2553E"/>
    <w:rsid w:val="3EB50B70"/>
    <w:rsid w:val="3EB94B1E"/>
    <w:rsid w:val="3EC207BE"/>
    <w:rsid w:val="3ED7221E"/>
    <w:rsid w:val="3EE002FD"/>
    <w:rsid w:val="3EE76488"/>
    <w:rsid w:val="3EFC2C5D"/>
    <w:rsid w:val="3F1735AD"/>
    <w:rsid w:val="3F3917BB"/>
    <w:rsid w:val="3F5321A8"/>
    <w:rsid w:val="3F724CCD"/>
    <w:rsid w:val="3F80388E"/>
    <w:rsid w:val="3F836EDA"/>
    <w:rsid w:val="3F921001"/>
    <w:rsid w:val="3F9335C1"/>
    <w:rsid w:val="3F960F9D"/>
    <w:rsid w:val="3F9B06C8"/>
    <w:rsid w:val="3F9D1D4A"/>
    <w:rsid w:val="3FA376F7"/>
    <w:rsid w:val="3FA56E51"/>
    <w:rsid w:val="3FA72BC9"/>
    <w:rsid w:val="3FB05F21"/>
    <w:rsid w:val="3FB157F6"/>
    <w:rsid w:val="3FB96E43"/>
    <w:rsid w:val="3FD6525C"/>
    <w:rsid w:val="3FE21E53"/>
    <w:rsid w:val="3FEB6D63"/>
    <w:rsid w:val="3FFA719D"/>
    <w:rsid w:val="400420D2"/>
    <w:rsid w:val="4024545A"/>
    <w:rsid w:val="40316936"/>
    <w:rsid w:val="40325763"/>
    <w:rsid w:val="403846D3"/>
    <w:rsid w:val="404843AC"/>
    <w:rsid w:val="405467B0"/>
    <w:rsid w:val="405E5AFD"/>
    <w:rsid w:val="406C4F6A"/>
    <w:rsid w:val="4071385D"/>
    <w:rsid w:val="40776A3F"/>
    <w:rsid w:val="407927B7"/>
    <w:rsid w:val="407F76A2"/>
    <w:rsid w:val="4081341A"/>
    <w:rsid w:val="40980764"/>
    <w:rsid w:val="409C35D8"/>
    <w:rsid w:val="40A02A8F"/>
    <w:rsid w:val="40A8309D"/>
    <w:rsid w:val="40BC08F6"/>
    <w:rsid w:val="40C04C4A"/>
    <w:rsid w:val="40D514AA"/>
    <w:rsid w:val="40E34D5A"/>
    <w:rsid w:val="40E554D5"/>
    <w:rsid w:val="40F63E08"/>
    <w:rsid w:val="41032072"/>
    <w:rsid w:val="410C0680"/>
    <w:rsid w:val="410D3259"/>
    <w:rsid w:val="41120516"/>
    <w:rsid w:val="41173D7E"/>
    <w:rsid w:val="412A3AB2"/>
    <w:rsid w:val="412C31AD"/>
    <w:rsid w:val="41434B73"/>
    <w:rsid w:val="41596145"/>
    <w:rsid w:val="416C0546"/>
    <w:rsid w:val="416D1BF0"/>
    <w:rsid w:val="418036D2"/>
    <w:rsid w:val="41A8316A"/>
    <w:rsid w:val="41D103D1"/>
    <w:rsid w:val="41D55B17"/>
    <w:rsid w:val="41E73751"/>
    <w:rsid w:val="41E952A1"/>
    <w:rsid w:val="41FB544E"/>
    <w:rsid w:val="42066E88"/>
    <w:rsid w:val="420724F0"/>
    <w:rsid w:val="420E33D3"/>
    <w:rsid w:val="421107CE"/>
    <w:rsid w:val="42194C89"/>
    <w:rsid w:val="42254279"/>
    <w:rsid w:val="422E312E"/>
    <w:rsid w:val="42493C4E"/>
    <w:rsid w:val="424B6350"/>
    <w:rsid w:val="424D3EFC"/>
    <w:rsid w:val="425D7EB7"/>
    <w:rsid w:val="42641245"/>
    <w:rsid w:val="42785D1A"/>
    <w:rsid w:val="428E7F40"/>
    <w:rsid w:val="42B609B0"/>
    <w:rsid w:val="42B83F5B"/>
    <w:rsid w:val="42BF46CD"/>
    <w:rsid w:val="42C27D1A"/>
    <w:rsid w:val="42DA5063"/>
    <w:rsid w:val="42E1384A"/>
    <w:rsid w:val="42EA5FD9"/>
    <w:rsid w:val="431542ED"/>
    <w:rsid w:val="432A400D"/>
    <w:rsid w:val="432B3260"/>
    <w:rsid w:val="434C41B3"/>
    <w:rsid w:val="434F0F18"/>
    <w:rsid w:val="4355648A"/>
    <w:rsid w:val="435E67C4"/>
    <w:rsid w:val="435E7A42"/>
    <w:rsid w:val="43632D4D"/>
    <w:rsid w:val="436A4639"/>
    <w:rsid w:val="436B5346"/>
    <w:rsid w:val="437E6337"/>
    <w:rsid w:val="438C2802"/>
    <w:rsid w:val="439416B6"/>
    <w:rsid w:val="43A0005B"/>
    <w:rsid w:val="43A504BA"/>
    <w:rsid w:val="43A63197"/>
    <w:rsid w:val="43A833B4"/>
    <w:rsid w:val="43AA2C88"/>
    <w:rsid w:val="43BE3CB6"/>
    <w:rsid w:val="43BF6C09"/>
    <w:rsid w:val="43C0796C"/>
    <w:rsid w:val="43CA280D"/>
    <w:rsid w:val="43D917BF"/>
    <w:rsid w:val="43E8166A"/>
    <w:rsid w:val="43FE4D82"/>
    <w:rsid w:val="440B79EF"/>
    <w:rsid w:val="440E3217"/>
    <w:rsid w:val="44290050"/>
    <w:rsid w:val="442F10A5"/>
    <w:rsid w:val="443F5BFA"/>
    <w:rsid w:val="444D1E13"/>
    <w:rsid w:val="44586AB2"/>
    <w:rsid w:val="44591CCB"/>
    <w:rsid w:val="445F7F16"/>
    <w:rsid w:val="446E0159"/>
    <w:rsid w:val="447D2D74"/>
    <w:rsid w:val="44890AEF"/>
    <w:rsid w:val="44A0706A"/>
    <w:rsid w:val="44A90024"/>
    <w:rsid w:val="44A91191"/>
    <w:rsid w:val="44B32010"/>
    <w:rsid w:val="44BE2E8F"/>
    <w:rsid w:val="44C22253"/>
    <w:rsid w:val="44C84565"/>
    <w:rsid w:val="44D37FBC"/>
    <w:rsid w:val="44E0071B"/>
    <w:rsid w:val="44EB0946"/>
    <w:rsid w:val="44F0702D"/>
    <w:rsid w:val="450D1720"/>
    <w:rsid w:val="451727B4"/>
    <w:rsid w:val="45230F44"/>
    <w:rsid w:val="453C5AFD"/>
    <w:rsid w:val="45450EC4"/>
    <w:rsid w:val="454A2974"/>
    <w:rsid w:val="454F1D39"/>
    <w:rsid w:val="45592BB7"/>
    <w:rsid w:val="45617CBE"/>
    <w:rsid w:val="45677B22"/>
    <w:rsid w:val="45700BA9"/>
    <w:rsid w:val="458147D7"/>
    <w:rsid w:val="4586581D"/>
    <w:rsid w:val="45963843"/>
    <w:rsid w:val="459B4382"/>
    <w:rsid w:val="459C2AA4"/>
    <w:rsid w:val="45A73923"/>
    <w:rsid w:val="45AD4CB1"/>
    <w:rsid w:val="45B84DAD"/>
    <w:rsid w:val="45B93025"/>
    <w:rsid w:val="45BE6EBE"/>
    <w:rsid w:val="45BF75D2"/>
    <w:rsid w:val="45D43FEC"/>
    <w:rsid w:val="45D466E2"/>
    <w:rsid w:val="45DE453C"/>
    <w:rsid w:val="45E97AC0"/>
    <w:rsid w:val="45EE77A4"/>
    <w:rsid w:val="4603066A"/>
    <w:rsid w:val="46054AED"/>
    <w:rsid w:val="46092E03"/>
    <w:rsid w:val="46160196"/>
    <w:rsid w:val="46256F3D"/>
    <w:rsid w:val="46302710"/>
    <w:rsid w:val="46462F83"/>
    <w:rsid w:val="464C7B5F"/>
    <w:rsid w:val="46640D69"/>
    <w:rsid w:val="467579D7"/>
    <w:rsid w:val="467A6595"/>
    <w:rsid w:val="4686308E"/>
    <w:rsid w:val="469A087A"/>
    <w:rsid w:val="469F0A9E"/>
    <w:rsid w:val="46A81305"/>
    <w:rsid w:val="46A95926"/>
    <w:rsid w:val="46B8390E"/>
    <w:rsid w:val="46BC33FE"/>
    <w:rsid w:val="46BD2CD2"/>
    <w:rsid w:val="46C329DE"/>
    <w:rsid w:val="46E464B1"/>
    <w:rsid w:val="46E7412F"/>
    <w:rsid w:val="46E9584C"/>
    <w:rsid w:val="46EC2FAB"/>
    <w:rsid w:val="47072496"/>
    <w:rsid w:val="471634EF"/>
    <w:rsid w:val="47273F26"/>
    <w:rsid w:val="47290367"/>
    <w:rsid w:val="472D6E53"/>
    <w:rsid w:val="47356E70"/>
    <w:rsid w:val="473C453F"/>
    <w:rsid w:val="476A2E5A"/>
    <w:rsid w:val="477908C9"/>
    <w:rsid w:val="47841A42"/>
    <w:rsid w:val="47855EE6"/>
    <w:rsid w:val="479E601A"/>
    <w:rsid w:val="47BB36B5"/>
    <w:rsid w:val="47BD70E3"/>
    <w:rsid w:val="47CA1B4A"/>
    <w:rsid w:val="47CB7671"/>
    <w:rsid w:val="47D169E9"/>
    <w:rsid w:val="47D209FF"/>
    <w:rsid w:val="47D567FA"/>
    <w:rsid w:val="47E46DA5"/>
    <w:rsid w:val="47F67274"/>
    <w:rsid w:val="47FC782A"/>
    <w:rsid w:val="481C5974"/>
    <w:rsid w:val="482C010F"/>
    <w:rsid w:val="48302E11"/>
    <w:rsid w:val="48345216"/>
    <w:rsid w:val="48396CD0"/>
    <w:rsid w:val="483E35A8"/>
    <w:rsid w:val="485E04E5"/>
    <w:rsid w:val="486378A9"/>
    <w:rsid w:val="4864156E"/>
    <w:rsid w:val="48751A7C"/>
    <w:rsid w:val="487970CD"/>
    <w:rsid w:val="487D4E0F"/>
    <w:rsid w:val="48805E95"/>
    <w:rsid w:val="4881663E"/>
    <w:rsid w:val="48831CF9"/>
    <w:rsid w:val="489A091D"/>
    <w:rsid w:val="489D6486"/>
    <w:rsid w:val="48A736BB"/>
    <w:rsid w:val="48B96EBD"/>
    <w:rsid w:val="48E42798"/>
    <w:rsid w:val="48F21359"/>
    <w:rsid w:val="48FA1FBB"/>
    <w:rsid w:val="48FA7F79"/>
    <w:rsid w:val="48FC21D7"/>
    <w:rsid w:val="48FF50DD"/>
    <w:rsid w:val="4900334A"/>
    <w:rsid w:val="49066BB2"/>
    <w:rsid w:val="49067070"/>
    <w:rsid w:val="49211C3E"/>
    <w:rsid w:val="4928157F"/>
    <w:rsid w:val="492C1A9B"/>
    <w:rsid w:val="492D2391"/>
    <w:rsid w:val="49303C2F"/>
    <w:rsid w:val="493A2D00"/>
    <w:rsid w:val="494616A5"/>
    <w:rsid w:val="49463453"/>
    <w:rsid w:val="494B2817"/>
    <w:rsid w:val="495E69EE"/>
    <w:rsid w:val="496C6FE4"/>
    <w:rsid w:val="496D6C31"/>
    <w:rsid w:val="49786131"/>
    <w:rsid w:val="497C6E74"/>
    <w:rsid w:val="497D499A"/>
    <w:rsid w:val="49A62FC2"/>
    <w:rsid w:val="49AF4E14"/>
    <w:rsid w:val="49B26D3A"/>
    <w:rsid w:val="49BF718C"/>
    <w:rsid w:val="49CF3D92"/>
    <w:rsid w:val="49EA0BB5"/>
    <w:rsid w:val="49F31649"/>
    <w:rsid w:val="4A0C644A"/>
    <w:rsid w:val="4A112B40"/>
    <w:rsid w:val="4A176B9D"/>
    <w:rsid w:val="4A235542"/>
    <w:rsid w:val="4A2C1FD5"/>
    <w:rsid w:val="4A2C4B7F"/>
    <w:rsid w:val="4A33616E"/>
    <w:rsid w:val="4A372D4C"/>
    <w:rsid w:val="4A4072BC"/>
    <w:rsid w:val="4A4F6B22"/>
    <w:rsid w:val="4A5C2802"/>
    <w:rsid w:val="4A6D2653"/>
    <w:rsid w:val="4A7051E2"/>
    <w:rsid w:val="4A71390E"/>
    <w:rsid w:val="4A7B537E"/>
    <w:rsid w:val="4A8F2006"/>
    <w:rsid w:val="4A91694F"/>
    <w:rsid w:val="4A94029A"/>
    <w:rsid w:val="4AB63EA1"/>
    <w:rsid w:val="4AC559BD"/>
    <w:rsid w:val="4ACC7988"/>
    <w:rsid w:val="4ACF1226"/>
    <w:rsid w:val="4ADB345C"/>
    <w:rsid w:val="4AE253FD"/>
    <w:rsid w:val="4AE271AB"/>
    <w:rsid w:val="4AEB42B2"/>
    <w:rsid w:val="4B076C12"/>
    <w:rsid w:val="4B0E7FA0"/>
    <w:rsid w:val="4B132F8D"/>
    <w:rsid w:val="4B221C9D"/>
    <w:rsid w:val="4B35377F"/>
    <w:rsid w:val="4B402A1C"/>
    <w:rsid w:val="4B4B6AFE"/>
    <w:rsid w:val="4B555BCF"/>
    <w:rsid w:val="4B634A1D"/>
    <w:rsid w:val="4B667DDC"/>
    <w:rsid w:val="4B6B71A0"/>
    <w:rsid w:val="4B712E37"/>
    <w:rsid w:val="4B7666AB"/>
    <w:rsid w:val="4B7D0C82"/>
    <w:rsid w:val="4B8B339F"/>
    <w:rsid w:val="4B9E78FB"/>
    <w:rsid w:val="4BA206E8"/>
    <w:rsid w:val="4BB072A9"/>
    <w:rsid w:val="4BB723E6"/>
    <w:rsid w:val="4BB8649F"/>
    <w:rsid w:val="4BC15012"/>
    <w:rsid w:val="4BCD71F4"/>
    <w:rsid w:val="4BE807F1"/>
    <w:rsid w:val="4BED5EEE"/>
    <w:rsid w:val="4C033D8E"/>
    <w:rsid w:val="4C080E93"/>
    <w:rsid w:val="4C081F0C"/>
    <w:rsid w:val="4C1635B0"/>
    <w:rsid w:val="4C1965D2"/>
    <w:rsid w:val="4C1E06B7"/>
    <w:rsid w:val="4C3E6663"/>
    <w:rsid w:val="4C662E2A"/>
    <w:rsid w:val="4C6C5AF1"/>
    <w:rsid w:val="4C87625C"/>
    <w:rsid w:val="4C9E20D7"/>
    <w:rsid w:val="4C9F467F"/>
    <w:rsid w:val="4CB0430E"/>
    <w:rsid w:val="4CC151FB"/>
    <w:rsid w:val="4CE03BBE"/>
    <w:rsid w:val="4CF30EF4"/>
    <w:rsid w:val="4CF37072"/>
    <w:rsid w:val="4D072EF9"/>
    <w:rsid w:val="4D1869E5"/>
    <w:rsid w:val="4D187AA8"/>
    <w:rsid w:val="4D191715"/>
    <w:rsid w:val="4D1D07EB"/>
    <w:rsid w:val="4D2854C4"/>
    <w:rsid w:val="4D3010BC"/>
    <w:rsid w:val="4D3A32CE"/>
    <w:rsid w:val="4D4C3002"/>
    <w:rsid w:val="4D571ED4"/>
    <w:rsid w:val="4D5C1497"/>
    <w:rsid w:val="4D6907FF"/>
    <w:rsid w:val="4D6C0FAE"/>
    <w:rsid w:val="4D7F33D7"/>
    <w:rsid w:val="4D8C1650"/>
    <w:rsid w:val="4D97427D"/>
    <w:rsid w:val="4DA41222"/>
    <w:rsid w:val="4DAB09FB"/>
    <w:rsid w:val="4DB72B71"/>
    <w:rsid w:val="4DBD24C7"/>
    <w:rsid w:val="4DED6593"/>
    <w:rsid w:val="4DF01BDF"/>
    <w:rsid w:val="4DF032E3"/>
    <w:rsid w:val="4DFA5AD6"/>
    <w:rsid w:val="4DFC51E7"/>
    <w:rsid w:val="4E015B9A"/>
    <w:rsid w:val="4E061402"/>
    <w:rsid w:val="4E0B4C6B"/>
    <w:rsid w:val="4E2B2C17"/>
    <w:rsid w:val="4E3046D1"/>
    <w:rsid w:val="4E41243B"/>
    <w:rsid w:val="4E4B048B"/>
    <w:rsid w:val="4E4E5C86"/>
    <w:rsid w:val="4E5008D0"/>
    <w:rsid w:val="4E506F8B"/>
    <w:rsid w:val="4E600B13"/>
    <w:rsid w:val="4E604C84"/>
    <w:rsid w:val="4E6F0D56"/>
    <w:rsid w:val="4E88494E"/>
    <w:rsid w:val="4E8D38D2"/>
    <w:rsid w:val="4EAF1A9A"/>
    <w:rsid w:val="4EB00E7B"/>
    <w:rsid w:val="4EBC5AE8"/>
    <w:rsid w:val="4EBF34EF"/>
    <w:rsid w:val="4ED14827"/>
    <w:rsid w:val="4ED35788"/>
    <w:rsid w:val="4EE47996"/>
    <w:rsid w:val="4EE631A7"/>
    <w:rsid w:val="4EEC23A6"/>
    <w:rsid w:val="4F041DE6"/>
    <w:rsid w:val="4F05790C"/>
    <w:rsid w:val="4F0973FC"/>
    <w:rsid w:val="4F102A1D"/>
    <w:rsid w:val="4F132029"/>
    <w:rsid w:val="4F247D92"/>
    <w:rsid w:val="4F295E53"/>
    <w:rsid w:val="4F2A2D3C"/>
    <w:rsid w:val="4F3501F1"/>
    <w:rsid w:val="4F444FA2"/>
    <w:rsid w:val="4F477F24"/>
    <w:rsid w:val="4F5C097D"/>
    <w:rsid w:val="4F675ED1"/>
    <w:rsid w:val="4F7D56F4"/>
    <w:rsid w:val="4F7F3DFA"/>
    <w:rsid w:val="4F895C50"/>
    <w:rsid w:val="4F974A08"/>
    <w:rsid w:val="4FA233AD"/>
    <w:rsid w:val="4FA9473B"/>
    <w:rsid w:val="4FC24FED"/>
    <w:rsid w:val="4FC926E8"/>
    <w:rsid w:val="4FD23C92"/>
    <w:rsid w:val="4FE17A31"/>
    <w:rsid w:val="4FFE6835"/>
    <w:rsid w:val="50045AFA"/>
    <w:rsid w:val="501A73E7"/>
    <w:rsid w:val="501B304B"/>
    <w:rsid w:val="503E6C32"/>
    <w:rsid w:val="504273BB"/>
    <w:rsid w:val="50556BE8"/>
    <w:rsid w:val="50597F0F"/>
    <w:rsid w:val="50692B69"/>
    <w:rsid w:val="506B3DC0"/>
    <w:rsid w:val="507765E7"/>
    <w:rsid w:val="507B22BA"/>
    <w:rsid w:val="507B60D8"/>
    <w:rsid w:val="508C1FFF"/>
    <w:rsid w:val="50903205"/>
    <w:rsid w:val="50AA076B"/>
    <w:rsid w:val="50AC44E3"/>
    <w:rsid w:val="50B05365"/>
    <w:rsid w:val="50B060E2"/>
    <w:rsid w:val="50B63B0A"/>
    <w:rsid w:val="50B9287D"/>
    <w:rsid w:val="50C224CA"/>
    <w:rsid w:val="50D94BAC"/>
    <w:rsid w:val="50E13A61"/>
    <w:rsid w:val="50F6575E"/>
    <w:rsid w:val="50FB3A77"/>
    <w:rsid w:val="51037E7B"/>
    <w:rsid w:val="51200A2D"/>
    <w:rsid w:val="512A5408"/>
    <w:rsid w:val="513D3CF7"/>
    <w:rsid w:val="51501312"/>
    <w:rsid w:val="515245C0"/>
    <w:rsid w:val="5156444F"/>
    <w:rsid w:val="51577749"/>
    <w:rsid w:val="517C5E3E"/>
    <w:rsid w:val="51BD1FC9"/>
    <w:rsid w:val="51CB6BEB"/>
    <w:rsid w:val="51CC64BF"/>
    <w:rsid w:val="51D05E57"/>
    <w:rsid w:val="51D535C6"/>
    <w:rsid w:val="51DF65A7"/>
    <w:rsid w:val="51E90445"/>
    <w:rsid w:val="51EB140F"/>
    <w:rsid w:val="51F85506"/>
    <w:rsid w:val="522602C5"/>
    <w:rsid w:val="5229185E"/>
    <w:rsid w:val="522A286E"/>
    <w:rsid w:val="52383444"/>
    <w:rsid w:val="525070F0"/>
    <w:rsid w:val="5262140D"/>
    <w:rsid w:val="52972F71"/>
    <w:rsid w:val="52B87F79"/>
    <w:rsid w:val="52BD5936"/>
    <w:rsid w:val="52BF286B"/>
    <w:rsid w:val="52BF5CBB"/>
    <w:rsid w:val="52C00EF1"/>
    <w:rsid w:val="52C378C2"/>
    <w:rsid w:val="52C5188C"/>
    <w:rsid w:val="52C553E8"/>
    <w:rsid w:val="52D675F5"/>
    <w:rsid w:val="52D81DAF"/>
    <w:rsid w:val="52E31D12"/>
    <w:rsid w:val="52E31E5C"/>
    <w:rsid w:val="52F244BA"/>
    <w:rsid w:val="52F57E63"/>
    <w:rsid w:val="52F77B72"/>
    <w:rsid w:val="52FB1019"/>
    <w:rsid w:val="52FB3500"/>
    <w:rsid w:val="52FB705C"/>
    <w:rsid w:val="531613D5"/>
    <w:rsid w:val="53162274"/>
    <w:rsid w:val="53204D14"/>
    <w:rsid w:val="53283BC9"/>
    <w:rsid w:val="533267F6"/>
    <w:rsid w:val="53560736"/>
    <w:rsid w:val="535D7A5C"/>
    <w:rsid w:val="536B3351"/>
    <w:rsid w:val="536C2083"/>
    <w:rsid w:val="537137C2"/>
    <w:rsid w:val="53887489"/>
    <w:rsid w:val="53AE2320"/>
    <w:rsid w:val="53B55546"/>
    <w:rsid w:val="53C47CA2"/>
    <w:rsid w:val="53C51035"/>
    <w:rsid w:val="53C77C7D"/>
    <w:rsid w:val="53DB785D"/>
    <w:rsid w:val="53DF1B35"/>
    <w:rsid w:val="53E2021C"/>
    <w:rsid w:val="53FA7313"/>
    <w:rsid w:val="54055868"/>
    <w:rsid w:val="540B45EB"/>
    <w:rsid w:val="54171FAC"/>
    <w:rsid w:val="54296793"/>
    <w:rsid w:val="54372316"/>
    <w:rsid w:val="54436421"/>
    <w:rsid w:val="545D78A2"/>
    <w:rsid w:val="5463359B"/>
    <w:rsid w:val="546D1636"/>
    <w:rsid w:val="548F2152"/>
    <w:rsid w:val="549171C8"/>
    <w:rsid w:val="54A8045F"/>
    <w:rsid w:val="54B86B3E"/>
    <w:rsid w:val="54BE2A37"/>
    <w:rsid w:val="54BF6693"/>
    <w:rsid w:val="54D93F05"/>
    <w:rsid w:val="54DA7A98"/>
    <w:rsid w:val="54DC110F"/>
    <w:rsid w:val="54ED6FF7"/>
    <w:rsid w:val="54F14BBA"/>
    <w:rsid w:val="54F85256"/>
    <w:rsid w:val="54FF36DD"/>
    <w:rsid w:val="55014E8B"/>
    <w:rsid w:val="551B5793"/>
    <w:rsid w:val="5523289A"/>
    <w:rsid w:val="552E23F2"/>
    <w:rsid w:val="552F56E3"/>
    <w:rsid w:val="55342CF9"/>
    <w:rsid w:val="55357FE7"/>
    <w:rsid w:val="553E0B12"/>
    <w:rsid w:val="55472A2C"/>
    <w:rsid w:val="554A6079"/>
    <w:rsid w:val="5555648E"/>
    <w:rsid w:val="555B6F69"/>
    <w:rsid w:val="55621614"/>
    <w:rsid w:val="556233C2"/>
    <w:rsid w:val="55654C60"/>
    <w:rsid w:val="55691C72"/>
    <w:rsid w:val="556F5ADF"/>
    <w:rsid w:val="55717AA9"/>
    <w:rsid w:val="5572469F"/>
    <w:rsid w:val="557C6707"/>
    <w:rsid w:val="55816C76"/>
    <w:rsid w:val="559A7000"/>
    <w:rsid w:val="55A32FF3"/>
    <w:rsid w:val="55AA5C85"/>
    <w:rsid w:val="55B0022C"/>
    <w:rsid w:val="55C16D48"/>
    <w:rsid w:val="55C776C9"/>
    <w:rsid w:val="55F16944"/>
    <w:rsid w:val="55FD30EB"/>
    <w:rsid w:val="56051FA0"/>
    <w:rsid w:val="560D5A05"/>
    <w:rsid w:val="56127F5F"/>
    <w:rsid w:val="5613290E"/>
    <w:rsid w:val="561B7A15"/>
    <w:rsid w:val="561D19DF"/>
    <w:rsid w:val="564735D2"/>
    <w:rsid w:val="564B02FA"/>
    <w:rsid w:val="565465FE"/>
    <w:rsid w:val="565D2C08"/>
    <w:rsid w:val="56821842"/>
    <w:rsid w:val="568247E2"/>
    <w:rsid w:val="56835CE6"/>
    <w:rsid w:val="568D26C1"/>
    <w:rsid w:val="5692418E"/>
    <w:rsid w:val="569972B8"/>
    <w:rsid w:val="569A4C92"/>
    <w:rsid w:val="56BC2FA6"/>
    <w:rsid w:val="56FB1D20"/>
    <w:rsid w:val="56FE35BF"/>
    <w:rsid w:val="5708799A"/>
    <w:rsid w:val="570D1A54"/>
    <w:rsid w:val="5717642E"/>
    <w:rsid w:val="57193F55"/>
    <w:rsid w:val="571D6CF2"/>
    <w:rsid w:val="57243F2A"/>
    <w:rsid w:val="5728063B"/>
    <w:rsid w:val="572D17AE"/>
    <w:rsid w:val="57392849"/>
    <w:rsid w:val="57452F9B"/>
    <w:rsid w:val="576020B0"/>
    <w:rsid w:val="577214FD"/>
    <w:rsid w:val="5774562F"/>
    <w:rsid w:val="577606F8"/>
    <w:rsid w:val="577949F3"/>
    <w:rsid w:val="57897E23"/>
    <w:rsid w:val="5795259B"/>
    <w:rsid w:val="57964D51"/>
    <w:rsid w:val="57A47B2A"/>
    <w:rsid w:val="57A56669"/>
    <w:rsid w:val="57AE1AE6"/>
    <w:rsid w:val="57B95737"/>
    <w:rsid w:val="57DA1D5C"/>
    <w:rsid w:val="57E8209D"/>
    <w:rsid w:val="57EC3417"/>
    <w:rsid w:val="57FF75EE"/>
    <w:rsid w:val="58006A70"/>
    <w:rsid w:val="580249E9"/>
    <w:rsid w:val="58117322"/>
    <w:rsid w:val="581E2AA1"/>
    <w:rsid w:val="582548A9"/>
    <w:rsid w:val="582E1C82"/>
    <w:rsid w:val="58361F13"/>
    <w:rsid w:val="584C4139"/>
    <w:rsid w:val="5855720E"/>
    <w:rsid w:val="5861548F"/>
    <w:rsid w:val="586456A3"/>
    <w:rsid w:val="586B4C84"/>
    <w:rsid w:val="587A4EC7"/>
    <w:rsid w:val="58871392"/>
    <w:rsid w:val="589917F1"/>
    <w:rsid w:val="58B2640F"/>
    <w:rsid w:val="58B303D9"/>
    <w:rsid w:val="58B51F19"/>
    <w:rsid w:val="58C46E3D"/>
    <w:rsid w:val="58D14210"/>
    <w:rsid w:val="58DF2F7C"/>
    <w:rsid w:val="58EA3F45"/>
    <w:rsid w:val="58EC3877"/>
    <w:rsid w:val="58FE1654"/>
    <w:rsid w:val="5905624B"/>
    <w:rsid w:val="59084281"/>
    <w:rsid w:val="591A2206"/>
    <w:rsid w:val="59294B5B"/>
    <w:rsid w:val="59301A29"/>
    <w:rsid w:val="593058FE"/>
    <w:rsid w:val="5934151A"/>
    <w:rsid w:val="59372DB8"/>
    <w:rsid w:val="59387C36"/>
    <w:rsid w:val="593D0D6B"/>
    <w:rsid w:val="59417793"/>
    <w:rsid w:val="595B6AA6"/>
    <w:rsid w:val="59694B3B"/>
    <w:rsid w:val="596B7BA3"/>
    <w:rsid w:val="5973309F"/>
    <w:rsid w:val="5976568E"/>
    <w:rsid w:val="597F3D8D"/>
    <w:rsid w:val="59945B14"/>
    <w:rsid w:val="59957B00"/>
    <w:rsid w:val="59965D30"/>
    <w:rsid w:val="599D71ED"/>
    <w:rsid w:val="59B83EF9"/>
    <w:rsid w:val="59B960C5"/>
    <w:rsid w:val="59C86985"/>
    <w:rsid w:val="59CA3C2C"/>
    <w:rsid w:val="59D16D68"/>
    <w:rsid w:val="59D423B5"/>
    <w:rsid w:val="59E22D24"/>
    <w:rsid w:val="59E24AD2"/>
    <w:rsid w:val="59E93747"/>
    <w:rsid w:val="59FE06FB"/>
    <w:rsid w:val="5A0F7891"/>
    <w:rsid w:val="5A184997"/>
    <w:rsid w:val="5A1924BD"/>
    <w:rsid w:val="5A1F4B06"/>
    <w:rsid w:val="5A3D61AC"/>
    <w:rsid w:val="5A3E219F"/>
    <w:rsid w:val="5A407A4A"/>
    <w:rsid w:val="5A4412E8"/>
    <w:rsid w:val="5A5A6D5E"/>
    <w:rsid w:val="5A5E5E14"/>
    <w:rsid w:val="5A5E7555"/>
    <w:rsid w:val="5A5F4374"/>
    <w:rsid w:val="5A7476F4"/>
    <w:rsid w:val="5A785436"/>
    <w:rsid w:val="5A7A7400"/>
    <w:rsid w:val="5A7D2A4C"/>
    <w:rsid w:val="5A820063"/>
    <w:rsid w:val="5A987886"/>
    <w:rsid w:val="5A9B0E80"/>
    <w:rsid w:val="5A9D30EE"/>
    <w:rsid w:val="5A9F6E67"/>
    <w:rsid w:val="5AA20705"/>
    <w:rsid w:val="5AB3646E"/>
    <w:rsid w:val="5AB94067"/>
    <w:rsid w:val="5AC010AA"/>
    <w:rsid w:val="5AC71F19"/>
    <w:rsid w:val="5AD01AF2"/>
    <w:rsid w:val="5AD07020"/>
    <w:rsid w:val="5AD36B10"/>
    <w:rsid w:val="5B0B381E"/>
    <w:rsid w:val="5B13645B"/>
    <w:rsid w:val="5B264E92"/>
    <w:rsid w:val="5B49404A"/>
    <w:rsid w:val="5B4B42C4"/>
    <w:rsid w:val="5B5A7644"/>
    <w:rsid w:val="5B745285"/>
    <w:rsid w:val="5B751975"/>
    <w:rsid w:val="5B796A64"/>
    <w:rsid w:val="5B7E4CCE"/>
    <w:rsid w:val="5B914A01"/>
    <w:rsid w:val="5B9A33D5"/>
    <w:rsid w:val="5BAB43DA"/>
    <w:rsid w:val="5BAD110F"/>
    <w:rsid w:val="5BAF4E87"/>
    <w:rsid w:val="5BC776DF"/>
    <w:rsid w:val="5BD26DC8"/>
    <w:rsid w:val="5BF422D7"/>
    <w:rsid w:val="5BF77548"/>
    <w:rsid w:val="5BFE219A"/>
    <w:rsid w:val="5C0C22DA"/>
    <w:rsid w:val="5C0C75F5"/>
    <w:rsid w:val="5C234A62"/>
    <w:rsid w:val="5C2C472A"/>
    <w:rsid w:val="5C2D3FFE"/>
    <w:rsid w:val="5C34538D"/>
    <w:rsid w:val="5C473312"/>
    <w:rsid w:val="5C480E38"/>
    <w:rsid w:val="5C4C6B7A"/>
    <w:rsid w:val="5C55127E"/>
    <w:rsid w:val="5C566F61"/>
    <w:rsid w:val="5C734A4A"/>
    <w:rsid w:val="5C7B2FBB"/>
    <w:rsid w:val="5C7B7DB3"/>
    <w:rsid w:val="5C99367C"/>
    <w:rsid w:val="5C9D73D6"/>
    <w:rsid w:val="5CA644DC"/>
    <w:rsid w:val="5CC04E72"/>
    <w:rsid w:val="5CC6692D"/>
    <w:rsid w:val="5CCE3A33"/>
    <w:rsid w:val="5CD05255"/>
    <w:rsid w:val="5CD20E45"/>
    <w:rsid w:val="5CF36FF6"/>
    <w:rsid w:val="5CF959A1"/>
    <w:rsid w:val="5D070B0E"/>
    <w:rsid w:val="5D0E453B"/>
    <w:rsid w:val="5D153EC6"/>
    <w:rsid w:val="5D177188"/>
    <w:rsid w:val="5D261179"/>
    <w:rsid w:val="5D2B6B63"/>
    <w:rsid w:val="5D610403"/>
    <w:rsid w:val="5D6D3F49"/>
    <w:rsid w:val="5D870FD6"/>
    <w:rsid w:val="5D883BE2"/>
    <w:rsid w:val="5D944335"/>
    <w:rsid w:val="5DAA3B58"/>
    <w:rsid w:val="5DBB5D65"/>
    <w:rsid w:val="5DD30284"/>
    <w:rsid w:val="5DD4438F"/>
    <w:rsid w:val="5DDB6408"/>
    <w:rsid w:val="5DDE3B8B"/>
    <w:rsid w:val="5DE67D32"/>
    <w:rsid w:val="5DEF3C61"/>
    <w:rsid w:val="5DFD637E"/>
    <w:rsid w:val="5E0E2BEE"/>
    <w:rsid w:val="5E192A8C"/>
    <w:rsid w:val="5E23390B"/>
    <w:rsid w:val="5E2D1009"/>
    <w:rsid w:val="5E3E0745"/>
    <w:rsid w:val="5E56783C"/>
    <w:rsid w:val="5E6A778C"/>
    <w:rsid w:val="5E7E6D93"/>
    <w:rsid w:val="5E9842F9"/>
    <w:rsid w:val="5EA507C4"/>
    <w:rsid w:val="5EBA0657"/>
    <w:rsid w:val="5EBB5D67"/>
    <w:rsid w:val="5EC40C4A"/>
    <w:rsid w:val="5EC96260"/>
    <w:rsid w:val="5ED115B9"/>
    <w:rsid w:val="5ED54C05"/>
    <w:rsid w:val="5EDD61AF"/>
    <w:rsid w:val="5EEB02AD"/>
    <w:rsid w:val="5F0C3DE3"/>
    <w:rsid w:val="5F274BAB"/>
    <w:rsid w:val="5F36141C"/>
    <w:rsid w:val="5F3A0F0C"/>
    <w:rsid w:val="5F506981"/>
    <w:rsid w:val="5F5226F9"/>
    <w:rsid w:val="5F555D46"/>
    <w:rsid w:val="5F571ABE"/>
    <w:rsid w:val="5F5C5326"/>
    <w:rsid w:val="5F6D2C10"/>
    <w:rsid w:val="5F7D6C03"/>
    <w:rsid w:val="5F842A2D"/>
    <w:rsid w:val="5F8B729B"/>
    <w:rsid w:val="5FA6034F"/>
    <w:rsid w:val="5FA8056B"/>
    <w:rsid w:val="5FAF18FA"/>
    <w:rsid w:val="5FB05672"/>
    <w:rsid w:val="5FB4164E"/>
    <w:rsid w:val="5FB5076E"/>
    <w:rsid w:val="5FB70C17"/>
    <w:rsid w:val="5FCA0438"/>
    <w:rsid w:val="5FCA04E2"/>
    <w:rsid w:val="5FCB6D3A"/>
    <w:rsid w:val="5FD3008D"/>
    <w:rsid w:val="5FE01AB3"/>
    <w:rsid w:val="5FE175D9"/>
    <w:rsid w:val="5FF40044"/>
    <w:rsid w:val="600650AC"/>
    <w:rsid w:val="60184992"/>
    <w:rsid w:val="601D4C8E"/>
    <w:rsid w:val="602F11F1"/>
    <w:rsid w:val="603446C0"/>
    <w:rsid w:val="603B13E0"/>
    <w:rsid w:val="60471B32"/>
    <w:rsid w:val="60477D84"/>
    <w:rsid w:val="605B3830"/>
    <w:rsid w:val="605D5C3C"/>
    <w:rsid w:val="607A53CA"/>
    <w:rsid w:val="608763D3"/>
    <w:rsid w:val="609F196E"/>
    <w:rsid w:val="60A725D1"/>
    <w:rsid w:val="60AE3CB9"/>
    <w:rsid w:val="60B66CB8"/>
    <w:rsid w:val="60B8658C"/>
    <w:rsid w:val="60BD72E4"/>
    <w:rsid w:val="60C23997"/>
    <w:rsid w:val="60C279B1"/>
    <w:rsid w:val="60C767CF"/>
    <w:rsid w:val="60CF38D6"/>
    <w:rsid w:val="60D07D7A"/>
    <w:rsid w:val="60DC44B3"/>
    <w:rsid w:val="60EC4E87"/>
    <w:rsid w:val="61135EB8"/>
    <w:rsid w:val="611D0AE5"/>
    <w:rsid w:val="613D4CE3"/>
    <w:rsid w:val="61406361"/>
    <w:rsid w:val="614D4E1D"/>
    <w:rsid w:val="61572FDD"/>
    <w:rsid w:val="615F43D0"/>
    <w:rsid w:val="617C1CB0"/>
    <w:rsid w:val="617F2EE1"/>
    <w:rsid w:val="61840B64"/>
    <w:rsid w:val="61941B7F"/>
    <w:rsid w:val="619F4369"/>
    <w:rsid w:val="61A42FB4"/>
    <w:rsid w:val="61AB5D2B"/>
    <w:rsid w:val="61B52ACC"/>
    <w:rsid w:val="61C176C2"/>
    <w:rsid w:val="61D41430"/>
    <w:rsid w:val="61D816A3"/>
    <w:rsid w:val="61EA4E6B"/>
    <w:rsid w:val="61F45CEA"/>
    <w:rsid w:val="61F730E4"/>
    <w:rsid w:val="61F96E5C"/>
    <w:rsid w:val="61FC6F82"/>
    <w:rsid w:val="61FE6552"/>
    <w:rsid w:val="62083543"/>
    <w:rsid w:val="62137E26"/>
    <w:rsid w:val="62143C96"/>
    <w:rsid w:val="621F7940"/>
    <w:rsid w:val="623B56C7"/>
    <w:rsid w:val="6252656D"/>
    <w:rsid w:val="62643CF8"/>
    <w:rsid w:val="626764BC"/>
    <w:rsid w:val="626B73B4"/>
    <w:rsid w:val="627562FB"/>
    <w:rsid w:val="629848C7"/>
    <w:rsid w:val="62CF33A7"/>
    <w:rsid w:val="62D81168"/>
    <w:rsid w:val="62E418BB"/>
    <w:rsid w:val="62EC317A"/>
    <w:rsid w:val="62EC4C13"/>
    <w:rsid w:val="62F6339C"/>
    <w:rsid w:val="62FA10DE"/>
    <w:rsid w:val="62FD68B3"/>
    <w:rsid w:val="6302470A"/>
    <w:rsid w:val="63136B1F"/>
    <w:rsid w:val="63194464"/>
    <w:rsid w:val="631D301E"/>
    <w:rsid w:val="63202864"/>
    <w:rsid w:val="6329551F"/>
    <w:rsid w:val="632C14B3"/>
    <w:rsid w:val="6344466B"/>
    <w:rsid w:val="63507391"/>
    <w:rsid w:val="635A680F"/>
    <w:rsid w:val="635E5D0E"/>
    <w:rsid w:val="636F2E72"/>
    <w:rsid w:val="63710EF6"/>
    <w:rsid w:val="637644DD"/>
    <w:rsid w:val="638F5526"/>
    <w:rsid w:val="639C03E7"/>
    <w:rsid w:val="63A31776"/>
    <w:rsid w:val="63A921DA"/>
    <w:rsid w:val="63B75221"/>
    <w:rsid w:val="63C60FC0"/>
    <w:rsid w:val="63D42D01"/>
    <w:rsid w:val="63D97B78"/>
    <w:rsid w:val="63E53BC8"/>
    <w:rsid w:val="64025D70"/>
    <w:rsid w:val="640849DE"/>
    <w:rsid w:val="640B2E77"/>
    <w:rsid w:val="64137F7D"/>
    <w:rsid w:val="641D6FC0"/>
    <w:rsid w:val="642301C1"/>
    <w:rsid w:val="64370110"/>
    <w:rsid w:val="64406FC4"/>
    <w:rsid w:val="6468651B"/>
    <w:rsid w:val="64760C38"/>
    <w:rsid w:val="64846D27"/>
    <w:rsid w:val="6488096B"/>
    <w:rsid w:val="649015CE"/>
    <w:rsid w:val="64925346"/>
    <w:rsid w:val="64990483"/>
    <w:rsid w:val="649B41FB"/>
    <w:rsid w:val="649E3CEB"/>
    <w:rsid w:val="64AF2604"/>
    <w:rsid w:val="64B05F7E"/>
    <w:rsid w:val="64B25D57"/>
    <w:rsid w:val="64B27796"/>
    <w:rsid w:val="64B4350F"/>
    <w:rsid w:val="64BD0C9C"/>
    <w:rsid w:val="64BD6867"/>
    <w:rsid w:val="64BE438D"/>
    <w:rsid w:val="64C476ED"/>
    <w:rsid w:val="64C9520C"/>
    <w:rsid w:val="64D126C0"/>
    <w:rsid w:val="64D678D3"/>
    <w:rsid w:val="64F14FE5"/>
    <w:rsid w:val="64F434A4"/>
    <w:rsid w:val="64FB738F"/>
    <w:rsid w:val="65102634"/>
    <w:rsid w:val="651664A6"/>
    <w:rsid w:val="652B6A8A"/>
    <w:rsid w:val="6540216E"/>
    <w:rsid w:val="6543036F"/>
    <w:rsid w:val="65442AE4"/>
    <w:rsid w:val="655B29E2"/>
    <w:rsid w:val="65764C68"/>
    <w:rsid w:val="657B5DD8"/>
    <w:rsid w:val="657C227E"/>
    <w:rsid w:val="6583773F"/>
    <w:rsid w:val="65906F72"/>
    <w:rsid w:val="659B1574"/>
    <w:rsid w:val="65A215B9"/>
    <w:rsid w:val="65A92947"/>
    <w:rsid w:val="65B57676"/>
    <w:rsid w:val="65C67F8E"/>
    <w:rsid w:val="65D33E68"/>
    <w:rsid w:val="65E16061"/>
    <w:rsid w:val="65EA7846"/>
    <w:rsid w:val="65F85430"/>
    <w:rsid w:val="65FB00E6"/>
    <w:rsid w:val="66097CCC"/>
    <w:rsid w:val="660A2E72"/>
    <w:rsid w:val="660D7AB6"/>
    <w:rsid w:val="66173D55"/>
    <w:rsid w:val="662C39C8"/>
    <w:rsid w:val="663568D1"/>
    <w:rsid w:val="6639016F"/>
    <w:rsid w:val="66440382"/>
    <w:rsid w:val="664408C2"/>
    <w:rsid w:val="666176C6"/>
    <w:rsid w:val="66732DDF"/>
    <w:rsid w:val="66743F27"/>
    <w:rsid w:val="66833198"/>
    <w:rsid w:val="669453A6"/>
    <w:rsid w:val="66A03D4A"/>
    <w:rsid w:val="66BA21D2"/>
    <w:rsid w:val="66CD2666"/>
    <w:rsid w:val="66CD4D5B"/>
    <w:rsid w:val="66D460EA"/>
    <w:rsid w:val="66E54FF2"/>
    <w:rsid w:val="66E63727"/>
    <w:rsid w:val="66F17484"/>
    <w:rsid w:val="66FE4F15"/>
    <w:rsid w:val="67053426"/>
    <w:rsid w:val="67087B42"/>
    <w:rsid w:val="67114C48"/>
    <w:rsid w:val="671169F6"/>
    <w:rsid w:val="671A2FAC"/>
    <w:rsid w:val="67530DBD"/>
    <w:rsid w:val="675B5EC3"/>
    <w:rsid w:val="67696832"/>
    <w:rsid w:val="677F4484"/>
    <w:rsid w:val="678A0327"/>
    <w:rsid w:val="679413D5"/>
    <w:rsid w:val="679A69EC"/>
    <w:rsid w:val="679C6C08"/>
    <w:rsid w:val="67A755AC"/>
    <w:rsid w:val="67AE06E9"/>
    <w:rsid w:val="67C24ADE"/>
    <w:rsid w:val="67C779FD"/>
    <w:rsid w:val="67CD5013"/>
    <w:rsid w:val="67FC12C5"/>
    <w:rsid w:val="6808604B"/>
    <w:rsid w:val="6817003C"/>
    <w:rsid w:val="681731B9"/>
    <w:rsid w:val="681B45A6"/>
    <w:rsid w:val="682A1EF2"/>
    <w:rsid w:val="682B1D3A"/>
    <w:rsid w:val="6848469A"/>
    <w:rsid w:val="6864130D"/>
    <w:rsid w:val="68835179"/>
    <w:rsid w:val="688F051A"/>
    <w:rsid w:val="68A04B73"/>
    <w:rsid w:val="68BE1872"/>
    <w:rsid w:val="68C071FF"/>
    <w:rsid w:val="68C63810"/>
    <w:rsid w:val="68C83794"/>
    <w:rsid w:val="68D4413E"/>
    <w:rsid w:val="68DA6983"/>
    <w:rsid w:val="68EF4566"/>
    <w:rsid w:val="68FA3C61"/>
    <w:rsid w:val="69006EF7"/>
    <w:rsid w:val="692159A0"/>
    <w:rsid w:val="692C5CD5"/>
    <w:rsid w:val="69361881"/>
    <w:rsid w:val="693B3CE6"/>
    <w:rsid w:val="694A61EF"/>
    <w:rsid w:val="69594684"/>
    <w:rsid w:val="6969350C"/>
    <w:rsid w:val="698E49D9"/>
    <w:rsid w:val="698E7A0E"/>
    <w:rsid w:val="69AC6EAA"/>
    <w:rsid w:val="69AF0748"/>
    <w:rsid w:val="69B47B0D"/>
    <w:rsid w:val="69BD10B7"/>
    <w:rsid w:val="69C02956"/>
    <w:rsid w:val="69CA2F1C"/>
    <w:rsid w:val="69CD613A"/>
    <w:rsid w:val="69D56401"/>
    <w:rsid w:val="69D92DC0"/>
    <w:rsid w:val="69DA1138"/>
    <w:rsid w:val="69EC72A7"/>
    <w:rsid w:val="69F745C9"/>
    <w:rsid w:val="69FF0336"/>
    <w:rsid w:val="69FF522C"/>
    <w:rsid w:val="6A2C3B47"/>
    <w:rsid w:val="6A2E3D63"/>
    <w:rsid w:val="6A4814BC"/>
    <w:rsid w:val="6A513933"/>
    <w:rsid w:val="6A554E4C"/>
    <w:rsid w:val="6A5A6906"/>
    <w:rsid w:val="6A60340B"/>
    <w:rsid w:val="6A640604"/>
    <w:rsid w:val="6A696B49"/>
    <w:rsid w:val="6A793230"/>
    <w:rsid w:val="6AB6190B"/>
    <w:rsid w:val="6ABF58B0"/>
    <w:rsid w:val="6AC344AB"/>
    <w:rsid w:val="6AD47BDE"/>
    <w:rsid w:val="6AE368FC"/>
    <w:rsid w:val="6AEB66E2"/>
    <w:rsid w:val="6AF428B7"/>
    <w:rsid w:val="6AF44665"/>
    <w:rsid w:val="6AF6662F"/>
    <w:rsid w:val="6AF74155"/>
    <w:rsid w:val="6AF81E08"/>
    <w:rsid w:val="6AFC5C0F"/>
    <w:rsid w:val="6B0F149F"/>
    <w:rsid w:val="6B156E58"/>
    <w:rsid w:val="6B250CC2"/>
    <w:rsid w:val="6B3A1470"/>
    <w:rsid w:val="6B4C26F3"/>
    <w:rsid w:val="6B55564C"/>
    <w:rsid w:val="6B630195"/>
    <w:rsid w:val="6B6712DB"/>
    <w:rsid w:val="6B715CB5"/>
    <w:rsid w:val="6B911907"/>
    <w:rsid w:val="6B9B2D32"/>
    <w:rsid w:val="6BA01D5F"/>
    <w:rsid w:val="6BA42804"/>
    <w:rsid w:val="6BB875C8"/>
    <w:rsid w:val="6BC009EB"/>
    <w:rsid w:val="6BD2201D"/>
    <w:rsid w:val="6BD66460"/>
    <w:rsid w:val="6BDD7A8A"/>
    <w:rsid w:val="6BDE631A"/>
    <w:rsid w:val="6BE3474F"/>
    <w:rsid w:val="6BF53E04"/>
    <w:rsid w:val="6BFD1C3F"/>
    <w:rsid w:val="6C0C363E"/>
    <w:rsid w:val="6C1A00FB"/>
    <w:rsid w:val="6C22436F"/>
    <w:rsid w:val="6C225202"/>
    <w:rsid w:val="6C302907"/>
    <w:rsid w:val="6C3F4006"/>
    <w:rsid w:val="6C4258A4"/>
    <w:rsid w:val="6C521745"/>
    <w:rsid w:val="6C5F0204"/>
    <w:rsid w:val="6C6D154A"/>
    <w:rsid w:val="6C731F01"/>
    <w:rsid w:val="6C8F3454"/>
    <w:rsid w:val="6C937EAD"/>
    <w:rsid w:val="6C9472C6"/>
    <w:rsid w:val="6C9C0EC0"/>
    <w:rsid w:val="6CA86ED0"/>
    <w:rsid w:val="6CAE084F"/>
    <w:rsid w:val="6CAF619F"/>
    <w:rsid w:val="6CB6151D"/>
    <w:rsid w:val="6CBA7B30"/>
    <w:rsid w:val="6CBE13CE"/>
    <w:rsid w:val="6CCE0EE6"/>
    <w:rsid w:val="6CEC7186"/>
    <w:rsid w:val="6CF50B68"/>
    <w:rsid w:val="6D0137F7"/>
    <w:rsid w:val="6D031098"/>
    <w:rsid w:val="6D042B59"/>
    <w:rsid w:val="6D0A2B07"/>
    <w:rsid w:val="6D0D1A0E"/>
    <w:rsid w:val="6D172E93"/>
    <w:rsid w:val="6D231231"/>
    <w:rsid w:val="6D5B0E49"/>
    <w:rsid w:val="6D771B27"/>
    <w:rsid w:val="6D7C337B"/>
    <w:rsid w:val="6D80203B"/>
    <w:rsid w:val="6D8C5028"/>
    <w:rsid w:val="6D8F2D6B"/>
    <w:rsid w:val="6D9143ED"/>
    <w:rsid w:val="6D936168"/>
    <w:rsid w:val="6D967C55"/>
    <w:rsid w:val="6DA73C10"/>
    <w:rsid w:val="6DB427D1"/>
    <w:rsid w:val="6DB55CAD"/>
    <w:rsid w:val="6DBB3B60"/>
    <w:rsid w:val="6DBE71AC"/>
    <w:rsid w:val="6DC02F24"/>
    <w:rsid w:val="6DC04CD2"/>
    <w:rsid w:val="6DC742B3"/>
    <w:rsid w:val="6DC9627D"/>
    <w:rsid w:val="6E0659AC"/>
    <w:rsid w:val="6E123F24"/>
    <w:rsid w:val="6E1F6131"/>
    <w:rsid w:val="6E2B2A93"/>
    <w:rsid w:val="6E3365CF"/>
    <w:rsid w:val="6E46167B"/>
    <w:rsid w:val="6E5378F4"/>
    <w:rsid w:val="6E5C5F28"/>
    <w:rsid w:val="6E66064D"/>
    <w:rsid w:val="6E6835FB"/>
    <w:rsid w:val="6E731D44"/>
    <w:rsid w:val="6E854793"/>
    <w:rsid w:val="6E893520"/>
    <w:rsid w:val="6E930D4C"/>
    <w:rsid w:val="6E9310B7"/>
    <w:rsid w:val="6EA0448C"/>
    <w:rsid w:val="6EA6036C"/>
    <w:rsid w:val="6EB3321A"/>
    <w:rsid w:val="6EBD2B14"/>
    <w:rsid w:val="6EBE5AE7"/>
    <w:rsid w:val="6EC627BC"/>
    <w:rsid w:val="6EC9147E"/>
    <w:rsid w:val="6ED1619C"/>
    <w:rsid w:val="6EDC3D8E"/>
    <w:rsid w:val="6EE862ED"/>
    <w:rsid w:val="6EE91ECE"/>
    <w:rsid w:val="6F045092"/>
    <w:rsid w:val="6F046E40"/>
    <w:rsid w:val="6F0C162D"/>
    <w:rsid w:val="6F0E7CBF"/>
    <w:rsid w:val="6F240AD7"/>
    <w:rsid w:val="6F2614AD"/>
    <w:rsid w:val="6F416D8D"/>
    <w:rsid w:val="6F484F7F"/>
    <w:rsid w:val="6F55769C"/>
    <w:rsid w:val="6F5C6C7D"/>
    <w:rsid w:val="6F5D3B4B"/>
    <w:rsid w:val="6F6A4D73"/>
    <w:rsid w:val="6F6F097B"/>
    <w:rsid w:val="6F7D17E2"/>
    <w:rsid w:val="6F7E3097"/>
    <w:rsid w:val="6F863CF9"/>
    <w:rsid w:val="6F871F4B"/>
    <w:rsid w:val="6F987EA6"/>
    <w:rsid w:val="6F9C351D"/>
    <w:rsid w:val="6F9C48CC"/>
    <w:rsid w:val="6FB1521A"/>
    <w:rsid w:val="6FB645DF"/>
    <w:rsid w:val="6FB940CF"/>
    <w:rsid w:val="6FBE16E5"/>
    <w:rsid w:val="6FDE3B35"/>
    <w:rsid w:val="6FE258A8"/>
    <w:rsid w:val="6FE32EFA"/>
    <w:rsid w:val="6FF17ED0"/>
    <w:rsid w:val="6FFD692C"/>
    <w:rsid w:val="6FFD6D35"/>
    <w:rsid w:val="700532A9"/>
    <w:rsid w:val="700F3CEF"/>
    <w:rsid w:val="701B5529"/>
    <w:rsid w:val="701C60BF"/>
    <w:rsid w:val="70311913"/>
    <w:rsid w:val="703136BE"/>
    <w:rsid w:val="70485B31"/>
    <w:rsid w:val="705B5186"/>
    <w:rsid w:val="70666005"/>
    <w:rsid w:val="706A7177"/>
    <w:rsid w:val="706D598E"/>
    <w:rsid w:val="7073737B"/>
    <w:rsid w:val="70781894"/>
    <w:rsid w:val="707F2C23"/>
    <w:rsid w:val="70827584"/>
    <w:rsid w:val="70981F36"/>
    <w:rsid w:val="70982959"/>
    <w:rsid w:val="70992FE9"/>
    <w:rsid w:val="70A15B5A"/>
    <w:rsid w:val="70B05C7B"/>
    <w:rsid w:val="70B12FF8"/>
    <w:rsid w:val="70B56644"/>
    <w:rsid w:val="70C237DA"/>
    <w:rsid w:val="70D00C51"/>
    <w:rsid w:val="70D2369A"/>
    <w:rsid w:val="70E707C8"/>
    <w:rsid w:val="70EB02B8"/>
    <w:rsid w:val="70F00710"/>
    <w:rsid w:val="71003969"/>
    <w:rsid w:val="71167F14"/>
    <w:rsid w:val="711E7547"/>
    <w:rsid w:val="71203349"/>
    <w:rsid w:val="712F63C0"/>
    <w:rsid w:val="71324139"/>
    <w:rsid w:val="713C0B14"/>
    <w:rsid w:val="713F23B2"/>
    <w:rsid w:val="713F6856"/>
    <w:rsid w:val="71442AE2"/>
    <w:rsid w:val="71461992"/>
    <w:rsid w:val="7148395C"/>
    <w:rsid w:val="714E48D5"/>
    <w:rsid w:val="7155778A"/>
    <w:rsid w:val="71593474"/>
    <w:rsid w:val="715A543E"/>
    <w:rsid w:val="71840FD7"/>
    <w:rsid w:val="71862B21"/>
    <w:rsid w:val="71893DC4"/>
    <w:rsid w:val="71921344"/>
    <w:rsid w:val="71950224"/>
    <w:rsid w:val="719E474F"/>
    <w:rsid w:val="71B96608"/>
    <w:rsid w:val="71C9100E"/>
    <w:rsid w:val="71D15E9D"/>
    <w:rsid w:val="71F23E48"/>
    <w:rsid w:val="71FA137D"/>
    <w:rsid w:val="71FD3AE4"/>
    <w:rsid w:val="720535FB"/>
    <w:rsid w:val="72190E55"/>
    <w:rsid w:val="72225F5B"/>
    <w:rsid w:val="722577FA"/>
    <w:rsid w:val="722C2936"/>
    <w:rsid w:val="724D0AFE"/>
    <w:rsid w:val="727E1F3E"/>
    <w:rsid w:val="72956AF9"/>
    <w:rsid w:val="729B0987"/>
    <w:rsid w:val="72AA7EE7"/>
    <w:rsid w:val="72B3358B"/>
    <w:rsid w:val="72C64894"/>
    <w:rsid w:val="72D07765"/>
    <w:rsid w:val="72E444E7"/>
    <w:rsid w:val="72E6342D"/>
    <w:rsid w:val="72F0605A"/>
    <w:rsid w:val="72FD54F4"/>
    <w:rsid w:val="73041B05"/>
    <w:rsid w:val="730C2768"/>
    <w:rsid w:val="730D6C22"/>
    <w:rsid w:val="730E028E"/>
    <w:rsid w:val="731D6723"/>
    <w:rsid w:val="731F249B"/>
    <w:rsid w:val="73545094"/>
    <w:rsid w:val="735B0C3A"/>
    <w:rsid w:val="736A6EE2"/>
    <w:rsid w:val="73712FF0"/>
    <w:rsid w:val="737536C8"/>
    <w:rsid w:val="73981298"/>
    <w:rsid w:val="739E7864"/>
    <w:rsid w:val="73B93EE5"/>
    <w:rsid w:val="73CA0EA9"/>
    <w:rsid w:val="73D2575F"/>
    <w:rsid w:val="73D67E93"/>
    <w:rsid w:val="73DA2024"/>
    <w:rsid w:val="73DA238F"/>
    <w:rsid w:val="73E43BD8"/>
    <w:rsid w:val="73F13E37"/>
    <w:rsid w:val="73F6747D"/>
    <w:rsid w:val="74061483"/>
    <w:rsid w:val="74081181"/>
    <w:rsid w:val="740A6CA7"/>
    <w:rsid w:val="74187E90"/>
    <w:rsid w:val="742A559B"/>
    <w:rsid w:val="742C30C1"/>
    <w:rsid w:val="742D2ACC"/>
    <w:rsid w:val="74324450"/>
    <w:rsid w:val="743E1047"/>
    <w:rsid w:val="74486D25"/>
    <w:rsid w:val="745B39A7"/>
    <w:rsid w:val="745D496B"/>
    <w:rsid w:val="746242BC"/>
    <w:rsid w:val="746565D3"/>
    <w:rsid w:val="746960C4"/>
    <w:rsid w:val="746E36DA"/>
    <w:rsid w:val="74756912"/>
    <w:rsid w:val="748B1936"/>
    <w:rsid w:val="749B1FF5"/>
    <w:rsid w:val="74B44E65"/>
    <w:rsid w:val="74BA5640"/>
    <w:rsid w:val="74C94DB4"/>
    <w:rsid w:val="74D20524"/>
    <w:rsid w:val="74D80B53"/>
    <w:rsid w:val="74E45DB2"/>
    <w:rsid w:val="74FA4F6E"/>
    <w:rsid w:val="74FF5D81"/>
    <w:rsid w:val="75045DEC"/>
    <w:rsid w:val="750C3B91"/>
    <w:rsid w:val="750C6A4F"/>
    <w:rsid w:val="75220020"/>
    <w:rsid w:val="752244C4"/>
    <w:rsid w:val="752D3F1E"/>
    <w:rsid w:val="7535244A"/>
    <w:rsid w:val="75380C87"/>
    <w:rsid w:val="753B1657"/>
    <w:rsid w:val="75497CA3"/>
    <w:rsid w:val="754F701B"/>
    <w:rsid w:val="75510906"/>
    <w:rsid w:val="7554009A"/>
    <w:rsid w:val="7557416E"/>
    <w:rsid w:val="75581C94"/>
    <w:rsid w:val="755A5A0C"/>
    <w:rsid w:val="755B7815"/>
    <w:rsid w:val="756248C1"/>
    <w:rsid w:val="7568637B"/>
    <w:rsid w:val="75703482"/>
    <w:rsid w:val="758D7B90"/>
    <w:rsid w:val="75A31161"/>
    <w:rsid w:val="75B23A9A"/>
    <w:rsid w:val="75BF12C2"/>
    <w:rsid w:val="75C15A8B"/>
    <w:rsid w:val="75C15F39"/>
    <w:rsid w:val="75D25EEA"/>
    <w:rsid w:val="75E1200D"/>
    <w:rsid w:val="75E42D77"/>
    <w:rsid w:val="75E514EC"/>
    <w:rsid w:val="75E86FC4"/>
    <w:rsid w:val="75F41B11"/>
    <w:rsid w:val="75F776FF"/>
    <w:rsid w:val="7601057E"/>
    <w:rsid w:val="760616F0"/>
    <w:rsid w:val="760C26F5"/>
    <w:rsid w:val="76163F79"/>
    <w:rsid w:val="76181064"/>
    <w:rsid w:val="761D0650"/>
    <w:rsid w:val="762F0C47"/>
    <w:rsid w:val="76366479"/>
    <w:rsid w:val="76375D4D"/>
    <w:rsid w:val="763C4D91"/>
    <w:rsid w:val="763D362D"/>
    <w:rsid w:val="765A05BC"/>
    <w:rsid w:val="765B5EE0"/>
    <w:rsid w:val="76642E13"/>
    <w:rsid w:val="76742AFE"/>
    <w:rsid w:val="76876CD5"/>
    <w:rsid w:val="76B46DAD"/>
    <w:rsid w:val="76CF5F86"/>
    <w:rsid w:val="76D17F50"/>
    <w:rsid w:val="76D75E34"/>
    <w:rsid w:val="76E41A31"/>
    <w:rsid w:val="77162DC0"/>
    <w:rsid w:val="771D6F5D"/>
    <w:rsid w:val="7722255A"/>
    <w:rsid w:val="7727026C"/>
    <w:rsid w:val="772E53A2"/>
    <w:rsid w:val="773439AB"/>
    <w:rsid w:val="77366005"/>
    <w:rsid w:val="77416E84"/>
    <w:rsid w:val="775070C7"/>
    <w:rsid w:val="7751255B"/>
    <w:rsid w:val="775407D3"/>
    <w:rsid w:val="775E5C88"/>
    <w:rsid w:val="776E49BD"/>
    <w:rsid w:val="77703019"/>
    <w:rsid w:val="7770353A"/>
    <w:rsid w:val="778921AB"/>
    <w:rsid w:val="7792494C"/>
    <w:rsid w:val="77950F7E"/>
    <w:rsid w:val="77951EED"/>
    <w:rsid w:val="77A13FE0"/>
    <w:rsid w:val="77A67671"/>
    <w:rsid w:val="77B77146"/>
    <w:rsid w:val="77DB7E15"/>
    <w:rsid w:val="77E31CE9"/>
    <w:rsid w:val="77E5746E"/>
    <w:rsid w:val="77ED3F06"/>
    <w:rsid w:val="77F11C00"/>
    <w:rsid w:val="77F32708"/>
    <w:rsid w:val="77F9775E"/>
    <w:rsid w:val="78063C29"/>
    <w:rsid w:val="78073ADA"/>
    <w:rsid w:val="780C357D"/>
    <w:rsid w:val="780E5D20"/>
    <w:rsid w:val="780F6F82"/>
    <w:rsid w:val="78177BE5"/>
    <w:rsid w:val="781B5927"/>
    <w:rsid w:val="7820118F"/>
    <w:rsid w:val="78232A2D"/>
    <w:rsid w:val="78250553"/>
    <w:rsid w:val="78341C48"/>
    <w:rsid w:val="783A3580"/>
    <w:rsid w:val="784309DA"/>
    <w:rsid w:val="78474A20"/>
    <w:rsid w:val="78505037"/>
    <w:rsid w:val="785D3E82"/>
    <w:rsid w:val="786170B2"/>
    <w:rsid w:val="786A5D74"/>
    <w:rsid w:val="787709AC"/>
    <w:rsid w:val="787768D5"/>
    <w:rsid w:val="78941235"/>
    <w:rsid w:val="78A771BA"/>
    <w:rsid w:val="78B90C9C"/>
    <w:rsid w:val="78CF6F68"/>
    <w:rsid w:val="78D112C6"/>
    <w:rsid w:val="78E24696"/>
    <w:rsid w:val="78E81581"/>
    <w:rsid w:val="78EE6B97"/>
    <w:rsid w:val="790740FD"/>
    <w:rsid w:val="79143567"/>
    <w:rsid w:val="79187CFE"/>
    <w:rsid w:val="791E4FA3"/>
    <w:rsid w:val="79252C4D"/>
    <w:rsid w:val="793B43F9"/>
    <w:rsid w:val="7940675C"/>
    <w:rsid w:val="794A5D98"/>
    <w:rsid w:val="794F0D84"/>
    <w:rsid w:val="7956298E"/>
    <w:rsid w:val="7984574E"/>
    <w:rsid w:val="79915775"/>
    <w:rsid w:val="79940BDE"/>
    <w:rsid w:val="79AC464A"/>
    <w:rsid w:val="79B078F9"/>
    <w:rsid w:val="79BC5D3D"/>
    <w:rsid w:val="79CF0984"/>
    <w:rsid w:val="7A140C86"/>
    <w:rsid w:val="7A2361FE"/>
    <w:rsid w:val="7A2F56B9"/>
    <w:rsid w:val="7A335D20"/>
    <w:rsid w:val="7A7B6B83"/>
    <w:rsid w:val="7A7C01D3"/>
    <w:rsid w:val="7A807CC3"/>
    <w:rsid w:val="7A884DCA"/>
    <w:rsid w:val="7A8F43AA"/>
    <w:rsid w:val="7A9763C5"/>
    <w:rsid w:val="7AA80FC8"/>
    <w:rsid w:val="7AAC4F5C"/>
    <w:rsid w:val="7AB12572"/>
    <w:rsid w:val="7ABB57E7"/>
    <w:rsid w:val="7AC0190A"/>
    <w:rsid w:val="7AC73B44"/>
    <w:rsid w:val="7AD149C3"/>
    <w:rsid w:val="7AE910C2"/>
    <w:rsid w:val="7B29035B"/>
    <w:rsid w:val="7B2A40D3"/>
    <w:rsid w:val="7B357F37"/>
    <w:rsid w:val="7B38234C"/>
    <w:rsid w:val="7B4D01D8"/>
    <w:rsid w:val="7B565E42"/>
    <w:rsid w:val="7B71305D"/>
    <w:rsid w:val="7B79766B"/>
    <w:rsid w:val="7B8053B0"/>
    <w:rsid w:val="7BAB5214"/>
    <w:rsid w:val="7BAD3F8C"/>
    <w:rsid w:val="7BB31795"/>
    <w:rsid w:val="7BB85132"/>
    <w:rsid w:val="7BBA7205"/>
    <w:rsid w:val="7BCD1D87"/>
    <w:rsid w:val="7BCE0F02"/>
    <w:rsid w:val="7BD52290"/>
    <w:rsid w:val="7BDD621A"/>
    <w:rsid w:val="7BDE7397"/>
    <w:rsid w:val="7BF62A6B"/>
    <w:rsid w:val="7BFD5343"/>
    <w:rsid w:val="7C0B180E"/>
    <w:rsid w:val="7C120DEF"/>
    <w:rsid w:val="7C122B9D"/>
    <w:rsid w:val="7C142F4A"/>
    <w:rsid w:val="7C286864"/>
    <w:rsid w:val="7C3E4EBC"/>
    <w:rsid w:val="7C484810"/>
    <w:rsid w:val="7C510CBF"/>
    <w:rsid w:val="7C5238E1"/>
    <w:rsid w:val="7C5A2796"/>
    <w:rsid w:val="7C770FDF"/>
    <w:rsid w:val="7C80044E"/>
    <w:rsid w:val="7CAF2AE1"/>
    <w:rsid w:val="7CC85951"/>
    <w:rsid w:val="7CD67752"/>
    <w:rsid w:val="7CE107C1"/>
    <w:rsid w:val="7CE46E89"/>
    <w:rsid w:val="7CE85FF3"/>
    <w:rsid w:val="7CF42F0C"/>
    <w:rsid w:val="7CFA7D95"/>
    <w:rsid w:val="7CFC52F8"/>
    <w:rsid w:val="7D1206C6"/>
    <w:rsid w:val="7D1818A6"/>
    <w:rsid w:val="7D1E37C3"/>
    <w:rsid w:val="7D225061"/>
    <w:rsid w:val="7D263E1C"/>
    <w:rsid w:val="7D2708CA"/>
    <w:rsid w:val="7D2D0A25"/>
    <w:rsid w:val="7D3C46D8"/>
    <w:rsid w:val="7D3D3B42"/>
    <w:rsid w:val="7D4274B2"/>
    <w:rsid w:val="7D5B587B"/>
    <w:rsid w:val="7D69294D"/>
    <w:rsid w:val="7D80622C"/>
    <w:rsid w:val="7D807FDA"/>
    <w:rsid w:val="7D904B76"/>
    <w:rsid w:val="7D935CBD"/>
    <w:rsid w:val="7D947A81"/>
    <w:rsid w:val="7DA22646"/>
    <w:rsid w:val="7DA41F1A"/>
    <w:rsid w:val="7DA77C5D"/>
    <w:rsid w:val="7DA939D5"/>
    <w:rsid w:val="7DB54128"/>
    <w:rsid w:val="7DBC72F0"/>
    <w:rsid w:val="7DC409A9"/>
    <w:rsid w:val="7DE06CCB"/>
    <w:rsid w:val="7DE95B7F"/>
    <w:rsid w:val="7DEE13E8"/>
    <w:rsid w:val="7DF07571"/>
    <w:rsid w:val="7DF35DE3"/>
    <w:rsid w:val="7E011EBB"/>
    <w:rsid w:val="7E0429B9"/>
    <w:rsid w:val="7E0808FE"/>
    <w:rsid w:val="7E0A558D"/>
    <w:rsid w:val="7E130E4E"/>
    <w:rsid w:val="7E1365B7"/>
    <w:rsid w:val="7E1E7F1F"/>
    <w:rsid w:val="7E2364DE"/>
    <w:rsid w:val="7E2E3EDA"/>
    <w:rsid w:val="7E4259E5"/>
    <w:rsid w:val="7E4D25B2"/>
    <w:rsid w:val="7E6E2528"/>
    <w:rsid w:val="7E7713DD"/>
    <w:rsid w:val="7E7E09BD"/>
    <w:rsid w:val="7E7E10FB"/>
    <w:rsid w:val="7E83691D"/>
    <w:rsid w:val="7E8A5499"/>
    <w:rsid w:val="7EB81375"/>
    <w:rsid w:val="7EC34E28"/>
    <w:rsid w:val="7EC55299"/>
    <w:rsid w:val="7ECF2FC7"/>
    <w:rsid w:val="7ED3091C"/>
    <w:rsid w:val="7ED61762"/>
    <w:rsid w:val="7EE84089"/>
    <w:rsid w:val="7EEE764D"/>
    <w:rsid w:val="7EEF18BB"/>
    <w:rsid w:val="7F055A88"/>
    <w:rsid w:val="7F08094C"/>
    <w:rsid w:val="7F1C1F84"/>
    <w:rsid w:val="7F1D01D6"/>
    <w:rsid w:val="7F3E014D"/>
    <w:rsid w:val="7F4B6D8D"/>
    <w:rsid w:val="7F587460"/>
    <w:rsid w:val="7F601E71"/>
    <w:rsid w:val="7F6F0306"/>
    <w:rsid w:val="7F7123CF"/>
    <w:rsid w:val="7F78365F"/>
    <w:rsid w:val="7F7C38D3"/>
    <w:rsid w:val="7F800765"/>
    <w:rsid w:val="7F826563"/>
    <w:rsid w:val="7F902A52"/>
    <w:rsid w:val="7FA50AB1"/>
    <w:rsid w:val="7FAE7080"/>
    <w:rsid w:val="7FB923B7"/>
    <w:rsid w:val="7FBE053E"/>
    <w:rsid w:val="7FBF7B06"/>
    <w:rsid w:val="7FC12E32"/>
    <w:rsid w:val="7FD50AB1"/>
    <w:rsid w:val="7FF0144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2"/>
    <w:qFormat/>
    <w:uiPriority w:val="0"/>
    <w:pPr>
      <w:keepNext/>
      <w:keepLines/>
      <w:tabs>
        <w:tab w:val="left" w:pos="1440"/>
      </w:tabs>
      <w:spacing w:before="340" w:after="330" w:line="576" w:lineRule="auto"/>
      <w:ind w:left="432" w:hanging="432"/>
      <w:outlineLvl w:val="0"/>
    </w:pPr>
    <w:rPr>
      <w:rFonts w:ascii="Times New Roman" w:hAnsi="Times New Roman"/>
      <w:b/>
      <w:bCs/>
      <w:kern w:val="44"/>
      <w:sz w:val="44"/>
      <w:szCs w:val="44"/>
    </w:rPr>
  </w:style>
  <w:style w:type="paragraph" w:styleId="4">
    <w:name w:val="heading 2"/>
    <w:basedOn w:val="1"/>
    <w:next w:val="1"/>
    <w:link w:val="53"/>
    <w:qFormat/>
    <w:uiPriority w:val="0"/>
    <w:pPr>
      <w:keepNext/>
      <w:keepLines/>
      <w:spacing w:before="260" w:after="260" w:line="413" w:lineRule="auto"/>
      <w:outlineLvl w:val="1"/>
    </w:pPr>
    <w:rPr>
      <w:rFonts w:ascii="Arial" w:hAnsi="Arial" w:eastAsia="黑体"/>
      <w:b/>
      <w:bCs/>
      <w:kern w:val="2"/>
      <w:sz w:val="32"/>
      <w:szCs w:val="32"/>
    </w:rPr>
  </w:style>
  <w:style w:type="paragraph" w:styleId="5">
    <w:name w:val="heading 3"/>
    <w:basedOn w:val="1"/>
    <w:next w:val="1"/>
    <w:link w:val="54"/>
    <w:qFormat/>
    <w:uiPriority w:val="0"/>
    <w:pPr>
      <w:keepNext/>
      <w:keepLines/>
      <w:spacing w:before="260" w:after="260" w:line="416" w:lineRule="auto"/>
      <w:outlineLvl w:val="2"/>
    </w:pPr>
    <w:rPr>
      <w:rFonts w:ascii="Times New Roman" w:hAnsi="Times New Roman"/>
      <w:b/>
      <w:bCs/>
      <w:kern w:val="2"/>
      <w:sz w:val="32"/>
      <w:szCs w:val="32"/>
    </w:rPr>
  </w:style>
  <w:style w:type="paragraph" w:styleId="6">
    <w:name w:val="heading 4"/>
    <w:basedOn w:val="1"/>
    <w:next w:val="1"/>
    <w:link w:val="55"/>
    <w:qFormat/>
    <w:uiPriority w:val="0"/>
    <w:pPr>
      <w:keepNext/>
      <w:keepLines/>
      <w:spacing w:before="280" w:after="290" w:line="376" w:lineRule="auto"/>
      <w:outlineLvl w:val="3"/>
    </w:pPr>
    <w:rPr>
      <w:rFonts w:ascii="Cambria" w:hAnsi="Cambria" w:eastAsia="宋体" w:cs="Times New Roman"/>
      <w:b/>
      <w:bCs/>
      <w:kern w:val="2"/>
      <w:sz w:val="28"/>
      <w:szCs w:val="28"/>
    </w:rPr>
  </w:style>
  <w:style w:type="paragraph" w:styleId="7">
    <w:name w:val="heading 5"/>
    <w:basedOn w:val="1"/>
    <w:next w:val="1"/>
    <w:link w:val="369"/>
    <w:qFormat/>
    <w:uiPriority w:val="0"/>
    <w:pPr>
      <w:keepNext/>
      <w:keepLines/>
      <w:tabs>
        <w:tab w:val="left" w:pos="1008"/>
      </w:tabs>
      <w:spacing w:before="280" w:after="290" w:line="372" w:lineRule="auto"/>
      <w:ind w:left="1008" w:hanging="1008"/>
      <w:outlineLvl w:val="4"/>
    </w:pPr>
    <w:rPr>
      <w:rFonts w:ascii="Times New Roman" w:hAnsi="Times New Roman"/>
      <w:b/>
      <w:bCs/>
      <w:kern w:val="2"/>
      <w:sz w:val="28"/>
      <w:szCs w:val="28"/>
    </w:rPr>
  </w:style>
  <w:style w:type="paragraph" w:styleId="8">
    <w:name w:val="heading 6"/>
    <w:basedOn w:val="1"/>
    <w:next w:val="1"/>
    <w:link w:val="57"/>
    <w:qFormat/>
    <w:uiPriority w:val="0"/>
    <w:pPr>
      <w:keepNext/>
      <w:keepLines/>
      <w:tabs>
        <w:tab w:val="left" w:pos="1152"/>
      </w:tabs>
      <w:spacing w:before="240" w:after="64" w:line="317" w:lineRule="auto"/>
      <w:ind w:left="1152" w:hanging="1152"/>
      <w:outlineLvl w:val="5"/>
    </w:pPr>
    <w:rPr>
      <w:rFonts w:ascii="Arial" w:hAnsi="Arial" w:eastAsia="黑体"/>
      <w:b/>
      <w:kern w:val="2"/>
      <w:sz w:val="24"/>
    </w:rPr>
  </w:style>
  <w:style w:type="paragraph" w:styleId="9">
    <w:name w:val="heading 7"/>
    <w:basedOn w:val="1"/>
    <w:next w:val="1"/>
    <w:link w:val="58"/>
    <w:qFormat/>
    <w:uiPriority w:val="0"/>
    <w:pPr>
      <w:keepNext/>
      <w:keepLines/>
      <w:tabs>
        <w:tab w:val="left" w:pos="1296"/>
      </w:tabs>
      <w:spacing w:before="240" w:after="64" w:line="317" w:lineRule="auto"/>
      <w:ind w:left="1296" w:hanging="1296"/>
      <w:outlineLvl w:val="6"/>
    </w:pPr>
    <w:rPr>
      <w:rFonts w:ascii="Times New Roman" w:hAnsi="Times New Roman"/>
      <w:b/>
      <w:kern w:val="2"/>
      <w:sz w:val="24"/>
    </w:rPr>
  </w:style>
  <w:style w:type="paragraph" w:styleId="10">
    <w:name w:val="heading 8"/>
    <w:basedOn w:val="1"/>
    <w:next w:val="1"/>
    <w:link w:val="59"/>
    <w:qFormat/>
    <w:uiPriority w:val="0"/>
    <w:pPr>
      <w:keepNext/>
      <w:keepLines/>
      <w:tabs>
        <w:tab w:val="left" w:pos="1440"/>
      </w:tabs>
      <w:spacing w:before="240" w:after="64" w:line="317" w:lineRule="auto"/>
      <w:ind w:left="1440" w:hanging="1440"/>
      <w:outlineLvl w:val="7"/>
    </w:pPr>
    <w:rPr>
      <w:rFonts w:ascii="Arial" w:hAnsi="Arial" w:eastAsia="黑体"/>
      <w:kern w:val="2"/>
      <w:sz w:val="24"/>
    </w:rPr>
  </w:style>
  <w:style w:type="paragraph" w:styleId="11">
    <w:name w:val="heading 9"/>
    <w:basedOn w:val="1"/>
    <w:next w:val="1"/>
    <w:link w:val="60"/>
    <w:qFormat/>
    <w:uiPriority w:val="0"/>
    <w:pPr>
      <w:keepNext/>
      <w:keepLines/>
      <w:tabs>
        <w:tab w:val="left" w:pos="1584"/>
      </w:tabs>
      <w:spacing w:before="240" w:after="64" w:line="317" w:lineRule="auto"/>
      <w:ind w:left="1584" w:hanging="1584"/>
      <w:outlineLvl w:val="8"/>
    </w:pPr>
    <w:rPr>
      <w:rFonts w:ascii="Arial" w:hAnsi="Arial" w:eastAsia="黑体"/>
      <w:kern w:val="2"/>
      <w:sz w:val="21"/>
    </w:rPr>
  </w:style>
  <w:style w:type="character" w:default="1" w:styleId="45">
    <w:name w:val="Default Paragraph Font"/>
    <w:qFormat/>
    <w:uiPriority w:val="0"/>
  </w:style>
  <w:style w:type="table" w:default="1" w:styleId="43">
    <w:name w:val="Normal Table"/>
    <w:semiHidden/>
    <w:qFormat/>
    <w:uiPriority w:val="0"/>
    <w:tblPr>
      <w:tblCellMar>
        <w:top w:w="0" w:type="dxa"/>
        <w:left w:w="108" w:type="dxa"/>
        <w:bottom w:w="0" w:type="dxa"/>
        <w:right w:w="108" w:type="dxa"/>
      </w:tblCellMar>
    </w:tblPr>
  </w:style>
  <w:style w:type="paragraph" w:customStyle="1" w:styleId="2">
    <w:name w:val="Char"/>
    <w:basedOn w:val="1"/>
    <w:qFormat/>
    <w:uiPriority w:val="0"/>
    <w:rPr>
      <w:rFonts w:ascii="仿宋_GB2312" w:eastAsia="仿宋_GB2312"/>
      <w:b/>
      <w:sz w:val="32"/>
      <w:szCs w:val="32"/>
    </w:rPr>
  </w:style>
  <w:style w:type="paragraph" w:styleId="12">
    <w:name w:val="toc 7"/>
    <w:basedOn w:val="1"/>
    <w:next w:val="1"/>
    <w:qFormat/>
    <w:uiPriority w:val="0"/>
    <w:pPr>
      <w:ind w:left="1260"/>
      <w:jc w:val="left"/>
    </w:pPr>
    <w:rPr>
      <w:sz w:val="18"/>
      <w:szCs w:val="18"/>
    </w:rPr>
  </w:style>
  <w:style w:type="paragraph" w:styleId="13">
    <w:name w:val="List Bullet 4"/>
    <w:basedOn w:val="1"/>
    <w:qFormat/>
    <w:uiPriority w:val="0"/>
    <w:pPr>
      <w:tabs>
        <w:tab w:val="left" w:pos="1620"/>
      </w:tabs>
      <w:spacing w:line="360" w:lineRule="auto"/>
      <w:ind w:left="1620" w:hanging="360"/>
      <w:jc w:val="left"/>
    </w:pPr>
    <w:rPr>
      <w:rFonts w:ascii="宋体" w:hAnsi="宋体"/>
      <w:color w:val="7030A0"/>
      <w:sz w:val="24"/>
      <w:szCs w:val="20"/>
    </w:rPr>
  </w:style>
  <w:style w:type="paragraph" w:styleId="14">
    <w:name w:val="List Number"/>
    <w:basedOn w:val="1"/>
    <w:qFormat/>
    <w:uiPriority w:val="0"/>
    <w:pPr>
      <w:tabs>
        <w:tab w:val="left" w:pos="360"/>
      </w:tabs>
      <w:spacing w:line="360" w:lineRule="auto"/>
      <w:ind w:left="360" w:hanging="360"/>
      <w:jc w:val="left"/>
    </w:pPr>
    <w:rPr>
      <w:rFonts w:ascii="宋体" w:hAnsi="宋体"/>
      <w:color w:val="7030A0"/>
      <w:sz w:val="24"/>
      <w:szCs w:val="20"/>
    </w:rPr>
  </w:style>
  <w:style w:type="paragraph" w:styleId="15">
    <w:name w:val="Normal Indent"/>
    <w:basedOn w:val="1"/>
    <w:next w:val="1"/>
    <w:qFormat/>
    <w:uiPriority w:val="0"/>
    <w:pPr>
      <w:ind w:firstLine="420"/>
    </w:pPr>
  </w:style>
  <w:style w:type="paragraph" w:styleId="16">
    <w:name w:val="caption"/>
    <w:basedOn w:val="1"/>
    <w:next w:val="1"/>
    <w:link w:val="71"/>
    <w:qFormat/>
    <w:uiPriority w:val="0"/>
    <w:pPr>
      <w:ind w:firstLine="6290" w:firstLineChars="2282"/>
    </w:pPr>
    <w:rPr>
      <w:rFonts w:ascii="Times New Roman" w:hAnsi="Times New Roman"/>
      <w:b/>
      <w:bCs/>
      <w:color w:val="000080"/>
      <w:kern w:val="2"/>
      <w:sz w:val="28"/>
      <w:szCs w:val="24"/>
    </w:rPr>
  </w:style>
  <w:style w:type="paragraph" w:styleId="17">
    <w:name w:val="List Bullet"/>
    <w:basedOn w:val="1"/>
    <w:qFormat/>
    <w:uiPriority w:val="0"/>
    <w:pPr>
      <w:tabs>
        <w:tab w:val="left" w:pos="360"/>
      </w:tabs>
      <w:spacing w:line="360" w:lineRule="auto"/>
      <w:ind w:left="360" w:hanging="360"/>
      <w:jc w:val="left"/>
    </w:pPr>
    <w:rPr>
      <w:rFonts w:ascii="宋体" w:hAnsi="宋体"/>
      <w:color w:val="7030A0"/>
      <w:sz w:val="24"/>
      <w:szCs w:val="20"/>
    </w:rPr>
  </w:style>
  <w:style w:type="paragraph" w:styleId="18">
    <w:name w:val="annotation text"/>
    <w:basedOn w:val="1"/>
    <w:link w:val="62"/>
    <w:qFormat/>
    <w:uiPriority w:val="0"/>
    <w:pPr>
      <w:jc w:val="left"/>
    </w:pPr>
    <w:rPr>
      <w:rFonts w:ascii="Times New Roman" w:hAnsi="Times New Roman" w:eastAsia="宋体" w:cs="Times New Roman"/>
      <w:szCs w:val="24"/>
    </w:rPr>
  </w:style>
  <w:style w:type="paragraph" w:styleId="19">
    <w:name w:val="index 6"/>
    <w:basedOn w:val="1"/>
    <w:next w:val="1"/>
    <w:qFormat/>
    <w:uiPriority w:val="0"/>
    <w:pPr>
      <w:adjustRightInd w:val="0"/>
      <w:spacing w:line="240" w:lineRule="atLeast"/>
      <w:ind w:left="1440" w:hanging="240"/>
      <w:textAlignment w:val="baseline"/>
    </w:pPr>
    <w:rPr>
      <w:rFonts w:ascii="Times New Roman" w:hAnsi="Times New Roman" w:cs="Times New Roman"/>
      <w:kern w:val="0"/>
    </w:rPr>
  </w:style>
  <w:style w:type="paragraph" w:styleId="20">
    <w:name w:val="List Bullet 3"/>
    <w:basedOn w:val="1"/>
    <w:qFormat/>
    <w:uiPriority w:val="0"/>
    <w:pPr>
      <w:tabs>
        <w:tab w:val="left" w:pos="775"/>
      </w:tabs>
      <w:spacing w:line="360" w:lineRule="auto"/>
      <w:ind w:left="775" w:hanging="360"/>
    </w:pPr>
    <w:rPr>
      <w:kern w:val="0"/>
    </w:rPr>
  </w:style>
  <w:style w:type="paragraph" w:styleId="21">
    <w:name w:val="Body Text"/>
    <w:basedOn w:val="1"/>
    <w:next w:val="1"/>
    <w:link w:val="65"/>
    <w:qFormat/>
    <w:uiPriority w:val="0"/>
    <w:pPr>
      <w:spacing w:line="360" w:lineRule="auto"/>
    </w:pPr>
    <w:rPr>
      <w:rFonts w:ascii="Times New Roman" w:hAnsi="Times New Roman"/>
      <w:kern w:val="2"/>
      <w:sz w:val="21"/>
      <w:szCs w:val="24"/>
    </w:rPr>
  </w:style>
  <w:style w:type="paragraph" w:styleId="22">
    <w:name w:val="Body Text Indent"/>
    <w:basedOn w:val="1"/>
    <w:qFormat/>
    <w:uiPriority w:val="0"/>
    <w:pPr>
      <w:ind w:firstLine="420"/>
    </w:pPr>
    <w:rPr>
      <w:sz w:val="24"/>
    </w:rPr>
  </w:style>
  <w:style w:type="paragraph" w:styleId="23">
    <w:name w:val="List Bullet 2"/>
    <w:basedOn w:val="1"/>
    <w:qFormat/>
    <w:uiPriority w:val="0"/>
    <w:pPr>
      <w:tabs>
        <w:tab w:val="left" w:pos="780"/>
      </w:tabs>
      <w:spacing w:line="360" w:lineRule="auto"/>
      <w:ind w:left="780" w:hanging="360"/>
      <w:jc w:val="left"/>
    </w:pPr>
    <w:rPr>
      <w:rFonts w:ascii="宋体" w:hAnsi="宋体"/>
      <w:color w:val="7030A0"/>
      <w:sz w:val="24"/>
      <w:szCs w:val="20"/>
    </w:rPr>
  </w:style>
  <w:style w:type="paragraph" w:styleId="24">
    <w:name w:val="toc 5"/>
    <w:basedOn w:val="1"/>
    <w:next w:val="1"/>
    <w:qFormat/>
    <w:uiPriority w:val="0"/>
    <w:pPr>
      <w:ind w:left="840"/>
      <w:jc w:val="left"/>
    </w:pPr>
    <w:rPr>
      <w:sz w:val="18"/>
      <w:szCs w:val="18"/>
    </w:rPr>
  </w:style>
  <w:style w:type="paragraph" w:styleId="25">
    <w:name w:val="toc 3"/>
    <w:basedOn w:val="1"/>
    <w:next w:val="1"/>
    <w:qFormat/>
    <w:uiPriority w:val="0"/>
    <w:pPr>
      <w:tabs>
        <w:tab w:val="left" w:pos="400"/>
        <w:tab w:val="left" w:pos="576"/>
        <w:tab w:val="right" w:leader="dot" w:pos="8778"/>
      </w:tabs>
      <w:ind w:left="10"/>
      <w:jc w:val="center"/>
    </w:pPr>
    <w:rPr>
      <w:rFonts w:ascii="宋体" w:hAnsi="宋体"/>
      <w:b/>
      <w:iCs/>
      <w:sz w:val="24"/>
    </w:rPr>
  </w:style>
  <w:style w:type="paragraph" w:styleId="26">
    <w:name w:val="Plain Text"/>
    <w:basedOn w:val="1"/>
    <w:next w:val="27"/>
    <w:qFormat/>
    <w:uiPriority w:val="0"/>
    <w:pPr>
      <w:spacing w:before="156" w:beforeLines="50" w:after="156" w:afterLines="50" w:line="400" w:lineRule="exact"/>
    </w:pPr>
    <w:rPr>
      <w:rFonts w:ascii="宋体" w:hAnsi="Courier New"/>
      <w:sz w:val="24"/>
      <w:szCs w:val="24"/>
    </w:rPr>
  </w:style>
  <w:style w:type="paragraph" w:styleId="27">
    <w:name w:val="List Number 5"/>
    <w:basedOn w:val="1"/>
    <w:qFormat/>
    <w:uiPriority w:val="0"/>
    <w:pPr>
      <w:numPr>
        <w:ilvl w:val="0"/>
        <w:numId w:val="1"/>
      </w:numPr>
    </w:pPr>
  </w:style>
  <w:style w:type="paragraph" w:styleId="28">
    <w:name w:val="List Bullet 5"/>
    <w:basedOn w:val="1"/>
    <w:qFormat/>
    <w:uiPriority w:val="0"/>
    <w:pPr>
      <w:tabs>
        <w:tab w:val="left" w:pos="2040"/>
      </w:tabs>
      <w:spacing w:line="360" w:lineRule="auto"/>
      <w:ind w:left="2040" w:hanging="360"/>
      <w:jc w:val="left"/>
    </w:pPr>
    <w:rPr>
      <w:rFonts w:ascii="宋体" w:hAnsi="宋体"/>
      <w:color w:val="7030A0"/>
      <w:sz w:val="24"/>
      <w:szCs w:val="20"/>
    </w:rPr>
  </w:style>
  <w:style w:type="paragraph" w:styleId="29">
    <w:name w:val="toc 8"/>
    <w:basedOn w:val="1"/>
    <w:next w:val="1"/>
    <w:qFormat/>
    <w:uiPriority w:val="0"/>
    <w:pPr>
      <w:ind w:left="1470"/>
      <w:jc w:val="left"/>
    </w:pPr>
    <w:rPr>
      <w:sz w:val="18"/>
      <w:szCs w:val="18"/>
    </w:rPr>
  </w:style>
  <w:style w:type="paragraph" w:styleId="30">
    <w:name w:val="endnote text"/>
    <w:basedOn w:val="1"/>
    <w:link w:val="86"/>
    <w:qFormat/>
    <w:uiPriority w:val="0"/>
    <w:pPr>
      <w:snapToGrid w:val="0"/>
      <w:spacing w:line="500" w:lineRule="exact"/>
      <w:jc w:val="left"/>
    </w:pPr>
    <w:rPr>
      <w:rFonts w:ascii="Times New Roman" w:hAnsi="Times New Roman"/>
      <w:sz w:val="21"/>
      <w:szCs w:val="24"/>
    </w:rPr>
  </w:style>
  <w:style w:type="paragraph" w:styleId="31">
    <w:name w:val="footer"/>
    <w:basedOn w:val="1"/>
    <w:link w:val="87"/>
    <w:qFormat/>
    <w:uiPriority w:val="0"/>
    <w:pPr>
      <w:tabs>
        <w:tab w:val="center" w:pos="4153"/>
        <w:tab w:val="right" w:pos="8306"/>
      </w:tabs>
      <w:snapToGrid w:val="0"/>
      <w:jc w:val="left"/>
    </w:pPr>
    <w:rPr>
      <w:rFonts w:ascii="Times New Roman" w:hAnsi="Times New Roman"/>
      <w:kern w:val="2"/>
      <w:sz w:val="18"/>
      <w:szCs w:val="18"/>
    </w:rPr>
  </w:style>
  <w:style w:type="paragraph" w:styleId="32">
    <w:name w:val="header"/>
    <w:basedOn w:val="1"/>
    <w:link w:val="90"/>
    <w:qFormat/>
    <w:uiPriority w:val="0"/>
    <w:pPr>
      <w:pBdr>
        <w:bottom w:val="single" w:color="auto" w:sz="6" w:space="1"/>
      </w:pBdr>
      <w:tabs>
        <w:tab w:val="center" w:pos="4153"/>
        <w:tab w:val="right" w:pos="8306"/>
      </w:tabs>
      <w:snapToGrid w:val="0"/>
      <w:jc w:val="center"/>
    </w:pPr>
    <w:rPr>
      <w:rFonts w:ascii="Times New Roman" w:hAnsi="Times New Roman"/>
      <w:kern w:val="2"/>
      <w:sz w:val="18"/>
      <w:szCs w:val="18"/>
    </w:rPr>
  </w:style>
  <w:style w:type="paragraph" w:styleId="33">
    <w:name w:val="toc 1"/>
    <w:basedOn w:val="1"/>
    <w:next w:val="1"/>
    <w:qFormat/>
    <w:uiPriority w:val="0"/>
    <w:pPr>
      <w:tabs>
        <w:tab w:val="right" w:leader="dot" w:pos="8778"/>
      </w:tabs>
      <w:snapToGrid w:val="0"/>
      <w:spacing w:line="360" w:lineRule="auto"/>
      <w:jc w:val="center"/>
    </w:pPr>
    <w:rPr>
      <w:b/>
      <w:bCs/>
      <w:iCs/>
      <w:caps/>
      <w:kern w:val="0"/>
      <w:sz w:val="36"/>
      <w:szCs w:val="36"/>
    </w:rPr>
  </w:style>
  <w:style w:type="paragraph" w:styleId="34">
    <w:name w:val="toc 4"/>
    <w:basedOn w:val="1"/>
    <w:next w:val="1"/>
    <w:qFormat/>
    <w:uiPriority w:val="0"/>
    <w:pPr>
      <w:ind w:left="630"/>
      <w:jc w:val="left"/>
    </w:pPr>
    <w:rPr>
      <w:sz w:val="18"/>
      <w:szCs w:val="18"/>
    </w:rPr>
  </w:style>
  <w:style w:type="paragraph" w:styleId="35">
    <w:name w:val="footnote text"/>
    <w:basedOn w:val="1"/>
    <w:link w:val="91"/>
    <w:qFormat/>
    <w:uiPriority w:val="0"/>
    <w:pPr>
      <w:adjustRightInd w:val="0"/>
      <w:spacing w:line="312" w:lineRule="atLeast"/>
      <w:jc w:val="left"/>
      <w:textAlignment w:val="baseline"/>
    </w:pPr>
    <w:rPr>
      <w:rFonts w:ascii="Times New Roman" w:hAnsi="Times New Roman"/>
      <w:sz w:val="18"/>
    </w:rPr>
  </w:style>
  <w:style w:type="paragraph" w:styleId="36">
    <w:name w:val="toc 6"/>
    <w:basedOn w:val="1"/>
    <w:next w:val="1"/>
    <w:qFormat/>
    <w:uiPriority w:val="0"/>
    <w:pPr>
      <w:ind w:left="1050"/>
      <w:jc w:val="left"/>
    </w:pPr>
    <w:rPr>
      <w:sz w:val="18"/>
      <w:szCs w:val="18"/>
    </w:rPr>
  </w:style>
  <w:style w:type="paragraph" w:styleId="37">
    <w:name w:val="toc 2"/>
    <w:basedOn w:val="1"/>
    <w:next w:val="1"/>
    <w:qFormat/>
    <w:uiPriority w:val="0"/>
    <w:pPr>
      <w:tabs>
        <w:tab w:val="right" w:leader="dot" w:pos="8778"/>
      </w:tabs>
      <w:ind w:left="23" w:leftChars="9" w:hanging="4" w:hangingChars="2"/>
      <w:jc w:val="left"/>
    </w:pPr>
    <w:rPr>
      <w:smallCaps/>
      <w:sz w:val="20"/>
      <w:szCs w:val="20"/>
    </w:rPr>
  </w:style>
  <w:style w:type="paragraph" w:styleId="38">
    <w:name w:val="toc 9"/>
    <w:basedOn w:val="1"/>
    <w:next w:val="1"/>
    <w:qFormat/>
    <w:uiPriority w:val="0"/>
    <w:pPr>
      <w:ind w:left="1680"/>
      <w:jc w:val="left"/>
    </w:pPr>
    <w:rPr>
      <w:sz w:val="18"/>
      <w:szCs w:val="18"/>
    </w:rPr>
  </w:style>
  <w:style w:type="paragraph" w:styleId="39">
    <w:name w:val="Normal (Web)"/>
    <w:basedOn w:val="1"/>
    <w:next w:val="1"/>
    <w:qFormat/>
    <w:uiPriority w:val="0"/>
    <w:pPr>
      <w:spacing w:beforeAutospacing="1" w:afterAutospacing="1"/>
      <w:jc w:val="left"/>
    </w:pPr>
    <w:rPr>
      <w:rFonts w:cs="Times New Roman"/>
      <w:kern w:val="0"/>
      <w:sz w:val="24"/>
      <w:szCs w:val="24"/>
    </w:rPr>
  </w:style>
  <w:style w:type="paragraph" w:styleId="40">
    <w:name w:val="Title"/>
    <w:basedOn w:val="1"/>
    <w:link w:val="100"/>
    <w:qFormat/>
    <w:uiPriority w:val="0"/>
    <w:pPr>
      <w:widowControl/>
      <w:spacing w:before="240" w:after="60"/>
      <w:jc w:val="center"/>
      <w:outlineLvl w:val="0"/>
    </w:pPr>
    <w:rPr>
      <w:rFonts w:ascii="Arial" w:hAnsi="Arial" w:eastAsia="楷体_GB2312"/>
      <w:b/>
      <w:sz w:val="32"/>
    </w:rPr>
  </w:style>
  <w:style w:type="paragraph" w:styleId="41">
    <w:name w:val="Body Text First Indent"/>
    <w:basedOn w:val="21"/>
    <w:next w:val="19"/>
    <w:qFormat/>
    <w:uiPriority w:val="0"/>
    <w:pPr>
      <w:spacing w:line="312" w:lineRule="auto"/>
      <w:ind w:firstLine="420"/>
    </w:pPr>
  </w:style>
  <w:style w:type="paragraph" w:styleId="42">
    <w:name w:val="Body Text First Indent 2"/>
    <w:basedOn w:val="22"/>
    <w:unhideWhenUsed/>
    <w:qFormat/>
    <w:uiPriority w:val="99"/>
    <w:pPr>
      <w:spacing w:after="120"/>
      <w:ind w:left="420" w:leftChars="200" w:firstLine="420"/>
    </w:pPr>
    <w:rPr>
      <w:sz w:val="24"/>
    </w:rPr>
  </w:style>
  <w:style w:type="table" w:styleId="44">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basedOn w:val="45"/>
    <w:qFormat/>
    <w:uiPriority w:val="0"/>
    <w:rPr>
      <w:b/>
      <w:bCs/>
    </w:rPr>
  </w:style>
  <w:style w:type="character" w:styleId="47">
    <w:name w:val="endnote reference"/>
    <w:qFormat/>
    <w:uiPriority w:val="0"/>
    <w:rPr>
      <w:vertAlign w:val="superscript"/>
    </w:rPr>
  </w:style>
  <w:style w:type="character" w:styleId="48">
    <w:name w:val="FollowedHyperlink"/>
    <w:basedOn w:val="45"/>
    <w:qFormat/>
    <w:uiPriority w:val="0"/>
    <w:rPr>
      <w:color w:val="800080"/>
      <w:u w:val="single"/>
    </w:rPr>
  </w:style>
  <w:style w:type="character" w:styleId="49">
    <w:name w:val="Emphasis"/>
    <w:basedOn w:val="45"/>
    <w:qFormat/>
    <w:uiPriority w:val="0"/>
    <w:rPr>
      <w:i/>
    </w:rPr>
  </w:style>
  <w:style w:type="character" w:styleId="50">
    <w:name w:val="Hyperlink"/>
    <w:basedOn w:val="45"/>
    <w:qFormat/>
    <w:uiPriority w:val="0"/>
    <w:rPr>
      <w:color w:val="0000FF"/>
      <w:u w:val="single"/>
    </w:rPr>
  </w:style>
  <w:style w:type="character" w:styleId="51">
    <w:name w:val="footnote reference"/>
    <w:qFormat/>
    <w:uiPriority w:val="0"/>
    <w:rPr>
      <w:vertAlign w:val="superscript"/>
    </w:rPr>
  </w:style>
  <w:style w:type="character" w:customStyle="1" w:styleId="52">
    <w:name w:val="标题 1 Char"/>
    <w:basedOn w:val="45"/>
    <w:link w:val="3"/>
    <w:semiHidden/>
    <w:qFormat/>
    <w:uiPriority w:val="0"/>
    <w:rPr>
      <w:rFonts w:ascii="Times New Roman" w:hAnsi="Times New Roman"/>
      <w:b/>
      <w:bCs/>
      <w:kern w:val="44"/>
      <w:sz w:val="44"/>
      <w:szCs w:val="44"/>
    </w:rPr>
  </w:style>
  <w:style w:type="character" w:customStyle="1" w:styleId="53">
    <w:name w:val="标题 2 Char"/>
    <w:basedOn w:val="45"/>
    <w:link w:val="4"/>
    <w:semiHidden/>
    <w:qFormat/>
    <w:uiPriority w:val="0"/>
    <w:rPr>
      <w:rFonts w:ascii="Arial" w:hAnsi="Arial" w:eastAsia="黑体"/>
      <w:b/>
      <w:bCs/>
      <w:kern w:val="2"/>
      <w:sz w:val="32"/>
      <w:szCs w:val="32"/>
    </w:rPr>
  </w:style>
  <w:style w:type="character" w:customStyle="1" w:styleId="54">
    <w:name w:val="标题 3 Char"/>
    <w:basedOn w:val="45"/>
    <w:link w:val="5"/>
    <w:semiHidden/>
    <w:qFormat/>
    <w:uiPriority w:val="0"/>
    <w:rPr>
      <w:rFonts w:ascii="Times New Roman" w:hAnsi="Times New Roman"/>
      <w:b/>
      <w:bCs/>
      <w:kern w:val="2"/>
      <w:sz w:val="32"/>
      <w:szCs w:val="32"/>
    </w:rPr>
  </w:style>
  <w:style w:type="character" w:customStyle="1" w:styleId="55">
    <w:name w:val="标题 4 Char"/>
    <w:basedOn w:val="45"/>
    <w:link w:val="6"/>
    <w:semiHidden/>
    <w:qFormat/>
    <w:uiPriority w:val="0"/>
    <w:rPr>
      <w:rFonts w:ascii="Cambria" w:hAnsi="Cambria" w:eastAsia="宋体" w:cs="Times New Roman"/>
      <w:b/>
      <w:bCs/>
      <w:kern w:val="2"/>
      <w:sz w:val="28"/>
      <w:szCs w:val="28"/>
    </w:rPr>
  </w:style>
  <w:style w:type="character" w:customStyle="1" w:styleId="56">
    <w:name w:val="标题 5 Char"/>
    <w:basedOn w:val="45"/>
    <w:link w:val="7"/>
    <w:semiHidden/>
    <w:qFormat/>
    <w:uiPriority w:val="0"/>
    <w:rPr>
      <w:rFonts w:ascii="Times New Roman" w:hAnsi="Times New Roman"/>
      <w:b/>
      <w:bCs/>
      <w:kern w:val="2"/>
      <w:sz w:val="28"/>
      <w:szCs w:val="28"/>
    </w:rPr>
  </w:style>
  <w:style w:type="character" w:customStyle="1" w:styleId="57">
    <w:name w:val="标题 6 Char"/>
    <w:basedOn w:val="45"/>
    <w:link w:val="8"/>
    <w:semiHidden/>
    <w:qFormat/>
    <w:uiPriority w:val="0"/>
    <w:rPr>
      <w:rFonts w:ascii="Arial" w:hAnsi="Arial" w:eastAsia="黑体"/>
      <w:b/>
      <w:kern w:val="2"/>
      <w:sz w:val="24"/>
    </w:rPr>
  </w:style>
  <w:style w:type="character" w:customStyle="1" w:styleId="58">
    <w:name w:val="标题 7 Char"/>
    <w:basedOn w:val="45"/>
    <w:link w:val="9"/>
    <w:semiHidden/>
    <w:qFormat/>
    <w:uiPriority w:val="0"/>
    <w:rPr>
      <w:rFonts w:ascii="Times New Roman" w:hAnsi="Times New Roman"/>
      <w:b/>
      <w:kern w:val="2"/>
      <w:sz w:val="24"/>
    </w:rPr>
  </w:style>
  <w:style w:type="character" w:customStyle="1" w:styleId="59">
    <w:name w:val="标题 8 Char"/>
    <w:basedOn w:val="45"/>
    <w:link w:val="10"/>
    <w:semiHidden/>
    <w:qFormat/>
    <w:uiPriority w:val="0"/>
    <w:rPr>
      <w:rFonts w:ascii="Arial" w:hAnsi="Arial" w:eastAsia="黑体"/>
      <w:kern w:val="2"/>
      <w:sz w:val="24"/>
    </w:rPr>
  </w:style>
  <w:style w:type="character" w:customStyle="1" w:styleId="60">
    <w:name w:val="标题 9 Char"/>
    <w:basedOn w:val="45"/>
    <w:link w:val="11"/>
    <w:semiHidden/>
    <w:qFormat/>
    <w:uiPriority w:val="0"/>
    <w:rPr>
      <w:rFonts w:ascii="Arial" w:hAnsi="Arial" w:eastAsia="黑体"/>
      <w:kern w:val="2"/>
      <w:sz w:val="21"/>
    </w:rPr>
  </w:style>
  <w:style w:type="character" w:customStyle="1" w:styleId="61">
    <w:name w:val="批注主题 Char"/>
    <w:basedOn w:val="62"/>
    <w:link w:val="63"/>
    <w:semiHidden/>
    <w:qFormat/>
    <w:uiPriority w:val="0"/>
    <w:rPr>
      <w:b/>
      <w:bCs/>
      <w:kern w:val="2"/>
      <w:sz w:val="21"/>
    </w:rPr>
  </w:style>
  <w:style w:type="character" w:customStyle="1" w:styleId="62">
    <w:name w:val="批注文字 Char"/>
    <w:basedOn w:val="45"/>
    <w:link w:val="18"/>
    <w:semiHidden/>
    <w:qFormat/>
    <w:uiPriority w:val="0"/>
    <w:rPr>
      <w:rFonts w:ascii="Times New Roman" w:hAnsi="Times New Roman" w:eastAsia="宋体" w:cs="Times New Roman"/>
      <w:szCs w:val="24"/>
    </w:rPr>
  </w:style>
  <w:style w:type="paragraph" w:customStyle="1" w:styleId="63">
    <w:name w:val="annotation subject"/>
    <w:basedOn w:val="18"/>
    <w:next w:val="18"/>
    <w:link w:val="61"/>
    <w:qFormat/>
    <w:uiPriority w:val="0"/>
    <w:rPr>
      <w:b/>
      <w:bCs/>
      <w:kern w:val="2"/>
      <w:sz w:val="21"/>
    </w:rPr>
  </w:style>
  <w:style w:type="character" w:customStyle="1" w:styleId="64">
    <w:name w:val="正文首行缩进 Char"/>
    <w:basedOn w:val="65"/>
    <w:link w:val="66"/>
    <w:semiHidden/>
    <w:qFormat/>
    <w:uiPriority w:val="0"/>
    <w:rPr>
      <w:color w:val="7030A0"/>
    </w:rPr>
  </w:style>
  <w:style w:type="character" w:customStyle="1" w:styleId="65">
    <w:name w:val="正文文本 Char"/>
    <w:basedOn w:val="45"/>
    <w:link w:val="21"/>
    <w:semiHidden/>
    <w:qFormat/>
    <w:uiPriority w:val="0"/>
    <w:rPr>
      <w:rFonts w:ascii="Times New Roman" w:hAnsi="Times New Roman"/>
      <w:kern w:val="2"/>
      <w:sz w:val="21"/>
      <w:szCs w:val="24"/>
    </w:rPr>
  </w:style>
  <w:style w:type="paragraph" w:customStyle="1" w:styleId="66">
    <w:name w:val="Body Text First Indent"/>
    <w:basedOn w:val="1"/>
    <w:link w:val="64"/>
    <w:qFormat/>
    <w:uiPriority w:val="0"/>
    <w:pPr>
      <w:tabs>
        <w:tab w:val="left" w:pos="360"/>
      </w:tabs>
      <w:spacing w:line="220" w:lineRule="exact"/>
      <w:ind w:left="360" w:hanging="360" w:firstLineChars="200"/>
      <w:jc w:val="left"/>
    </w:pPr>
    <w:rPr>
      <w:color w:val="7030A0"/>
    </w:rPr>
  </w:style>
  <w:style w:type="character" w:customStyle="1" w:styleId="67">
    <w:name w:val="宏文本 Char"/>
    <w:basedOn w:val="45"/>
    <w:link w:val="68"/>
    <w:semiHidden/>
    <w:qFormat/>
    <w:uiPriority w:val="0"/>
    <w:rPr>
      <w:rFonts w:ascii="Courier New" w:hAnsi="Courier New" w:cs="Courier New"/>
      <w:kern w:val="2"/>
      <w:sz w:val="24"/>
      <w:szCs w:val="24"/>
      <w:lang w:val="en-US" w:eastAsia="zh-CN" w:bidi="ar-SA"/>
    </w:rPr>
  </w:style>
  <w:style w:type="paragraph" w:customStyle="1" w:styleId="68">
    <w:name w:val="macro"/>
    <w:link w:val="67"/>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character" w:customStyle="1" w:styleId="69">
    <w:name w:val="正文缩进 Char"/>
    <w:link w:val="70"/>
    <w:semiHidden/>
    <w:qFormat/>
    <w:uiPriority w:val="0"/>
    <w:rPr>
      <w:rFonts w:ascii="宋体" w:hAnsi="Times New Roman"/>
      <w:sz w:val="24"/>
    </w:rPr>
  </w:style>
  <w:style w:type="paragraph" w:customStyle="1" w:styleId="70">
    <w:name w:val="Normal Indent"/>
    <w:basedOn w:val="1"/>
    <w:link w:val="69"/>
    <w:qFormat/>
    <w:uiPriority w:val="0"/>
    <w:pPr>
      <w:autoSpaceDE w:val="0"/>
      <w:autoSpaceDN w:val="0"/>
      <w:adjustRightInd w:val="0"/>
      <w:spacing w:line="360" w:lineRule="atLeast"/>
      <w:ind w:firstLine="420"/>
      <w:textAlignment w:val="baseline"/>
    </w:pPr>
    <w:rPr>
      <w:rFonts w:ascii="宋体" w:hAnsi="Times New Roman"/>
      <w:sz w:val="24"/>
    </w:rPr>
  </w:style>
  <w:style w:type="character" w:customStyle="1" w:styleId="71">
    <w:name w:val="题注 Char"/>
    <w:link w:val="16"/>
    <w:semiHidden/>
    <w:qFormat/>
    <w:uiPriority w:val="0"/>
    <w:rPr>
      <w:rFonts w:ascii="Times New Roman" w:hAnsi="Times New Roman"/>
      <w:b/>
      <w:bCs/>
      <w:color w:val="000080"/>
      <w:kern w:val="2"/>
      <w:sz w:val="28"/>
      <w:szCs w:val="24"/>
    </w:rPr>
  </w:style>
  <w:style w:type="character" w:customStyle="1" w:styleId="72">
    <w:name w:val="文档结构图 Char"/>
    <w:basedOn w:val="45"/>
    <w:link w:val="73"/>
    <w:semiHidden/>
    <w:qFormat/>
    <w:uiPriority w:val="0"/>
    <w:rPr>
      <w:rFonts w:ascii="宋体" w:hAnsi="Times New Roman" w:eastAsia="宋体" w:cs="Times New Roman"/>
      <w:sz w:val="18"/>
      <w:szCs w:val="18"/>
    </w:rPr>
  </w:style>
  <w:style w:type="paragraph" w:customStyle="1" w:styleId="73">
    <w:name w:val="Document Map"/>
    <w:basedOn w:val="1"/>
    <w:link w:val="72"/>
    <w:qFormat/>
    <w:uiPriority w:val="0"/>
    <w:rPr>
      <w:rFonts w:ascii="宋体" w:hAnsi="Times New Roman" w:eastAsia="宋体" w:cs="Times New Roman"/>
      <w:sz w:val="18"/>
      <w:szCs w:val="18"/>
    </w:rPr>
  </w:style>
  <w:style w:type="character" w:customStyle="1" w:styleId="74">
    <w:name w:val="称呼 Char"/>
    <w:basedOn w:val="45"/>
    <w:link w:val="75"/>
    <w:semiHidden/>
    <w:qFormat/>
    <w:uiPriority w:val="0"/>
    <w:rPr>
      <w:rFonts w:ascii="Times New Roman" w:hAnsi="Times New Roman"/>
      <w:kern w:val="2"/>
      <w:sz w:val="24"/>
    </w:rPr>
  </w:style>
  <w:style w:type="paragraph" w:customStyle="1" w:styleId="75">
    <w:name w:val="Salutation"/>
    <w:basedOn w:val="1"/>
    <w:next w:val="1"/>
    <w:link w:val="74"/>
    <w:qFormat/>
    <w:uiPriority w:val="0"/>
    <w:rPr>
      <w:rFonts w:ascii="Times New Roman" w:hAnsi="Times New Roman"/>
      <w:kern w:val="2"/>
      <w:sz w:val="24"/>
    </w:rPr>
  </w:style>
  <w:style w:type="character" w:customStyle="1" w:styleId="76">
    <w:name w:val="正文文本 3 Char"/>
    <w:basedOn w:val="45"/>
    <w:link w:val="77"/>
    <w:semiHidden/>
    <w:qFormat/>
    <w:uiPriority w:val="0"/>
    <w:rPr>
      <w:rFonts w:ascii="Times New Roman" w:hAnsi="Times New Roman"/>
      <w:kern w:val="2"/>
      <w:sz w:val="16"/>
      <w:szCs w:val="16"/>
    </w:rPr>
  </w:style>
  <w:style w:type="paragraph" w:customStyle="1" w:styleId="77">
    <w:name w:val="Body Text 3"/>
    <w:basedOn w:val="1"/>
    <w:link w:val="76"/>
    <w:qFormat/>
    <w:uiPriority w:val="0"/>
    <w:pPr>
      <w:spacing w:after="120"/>
    </w:pPr>
    <w:rPr>
      <w:rFonts w:ascii="Times New Roman" w:hAnsi="Times New Roman"/>
      <w:kern w:val="2"/>
      <w:sz w:val="16"/>
      <w:szCs w:val="16"/>
    </w:rPr>
  </w:style>
  <w:style w:type="character" w:customStyle="1" w:styleId="78">
    <w:name w:val="正文文本缩进 Char"/>
    <w:basedOn w:val="45"/>
    <w:semiHidden/>
    <w:qFormat/>
    <w:uiPriority w:val="0"/>
    <w:rPr>
      <w:rFonts w:ascii="Times New Roman" w:hAnsi="Times New Roman"/>
      <w:kern w:val="2"/>
      <w:sz w:val="21"/>
      <w:szCs w:val="24"/>
    </w:rPr>
  </w:style>
  <w:style w:type="paragraph" w:customStyle="1" w:styleId="79">
    <w:name w:val="Body Text Indent"/>
    <w:basedOn w:val="1"/>
    <w:link w:val="413"/>
    <w:qFormat/>
    <w:uiPriority w:val="0"/>
    <w:pPr>
      <w:spacing w:line="360" w:lineRule="auto"/>
    </w:pPr>
    <w:rPr>
      <w:rFonts w:ascii="宋体" w:hAnsi="Times New Roman"/>
      <w:kern w:val="2"/>
      <w:sz w:val="21"/>
    </w:rPr>
  </w:style>
  <w:style w:type="character" w:customStyle="1" w:styleId="80">
    <w:name w:val="纯文本 Char"/>
    <w:basedOn w:val="45"/>
    <w:link w:val="81"/>
    <w:semiHidden/>
    <w:qFormat/>
    <w:uiPriority w:val="0"/>
    <w:rPr>
      <w:rFonts w:ascii="宋体" w:hAnsi="Courier New" w:cs="Courier New"/>
      <w:kern w:val="2"/>
      <w:sz w:val="21"/>
      <w:szCs w:val="21"/>
    </w:rPr>
  </w:style>
  <w:style w:type="paragraph" w:customStyle="1" w:styleId="81">
    <w:name w:val="Plain Text"/>
    <w:basedOn w:val="1"/>
    <w:link w:val="80"/>
    <w:qFormat/>
    <w:uiPriority w:val="0"/>
    <w:rPr>
      <w:rFonts w:ascii="宋体" w:hAnsi="Courier New" w:cs="Courier New"/>
      <w:kern w:val="2"/>
      <w:sz w:val="21"/>
      <w:szCs w:val="21"/>
    </w:rPr>
  </w:style>
  <w:style w:type="character" w:customStyle="1" w:styleId="82">
    <w:name w:val="日期 Char"/>
    <w:link w:val="83"/>
    <w:semiHidden/>
    <w:qFormat/>
    <w:uiPriority w:val="0"/>
    <w:rPr>
      <w:rFonts w:eastAsia="楷体_GB2312"/>
      <w:kern w:val="2"/>
      <w:sz w:val="30"/>
    </w:rPr>
  </w:style>
  <w:style w:type="paragraph" w:customStyle="1" w:styleId="83">
    <w:name w:val="Date"/>
    <w:basedOn w:val="1"/>
    <w:next w:val="1"/>
    <w:link w:val="82"/>
    <w:qFormat/>
    <w:uiPriority w:val="0"/>
    <w:pPr>
      <w:autoSpaceDE w:val="0"/>
      <w:autoSpaceDN w:val="0"/>
      <w:adjustRightInd w:val="0"/>
      <w:textAlignment w:val="baseline"/>
    </w:pPr>
    <w:rPr>
      <w:rFonts w:eastAsia="楷体_GB2312"/>
      <w:kern w:val="2"/>
      <w:sz w:val="30"/>
    </w:rPr>
  </w:style>
  <w:style w:type="character" w:customStyle="1" w:styleId="84">
    <w:name w:val="正文文本缩进 2 Char"/>
    <w:basedOn w:val="45"/>
    <w:link w:val="85"/>
    <w:semiHidden/>
    <w:qFormat/>
    <w:uiPriority w:val="0"/>
    <w:rPr>
      <w:rFonts w:ascii="Times New Roman" w:hAnsi="Times New Roman"/>
      <w:kern w:val="2"/>
      <w:sz w:val="21"/>
    </w:rPr>
  </w:style>
  <w:style w:type="paragraph" w:customStyle="1" w:styleId="85">
    <w:name w:val="Body Text Indent 2"/>
    <w:basedOn w:val="1"/>
    <w:link w:val="84"/>
    <w:qFormat/>
    <w:uiPriority w:val="0"/>
    <w:pPr>
      <w:spacing w:after="120" w:line="480" w:lineRule="auto"/>
      <w:ind w:left="420" w:leftChars="200"/>
    </w:pPr>
    <w:rPr>
      <w:rFonts w:ascii="Times New Roman" w:hAnsi="Times New Roman"/>
      <w:kern w:val="2"/>
      <w:sz w:val="21"/>
    </w:rPr>
  </w:style>
  <w:style w:type="character" w:customStyle="1" w:styleId="86">
    <w:name w:val="尾注文本 Char"/>
    <w:basedOn w:val="45"/>
    <w:link w:val="30"/>
    <w:semiHidden/>
    <w:qFormat/>
    <w:uiPriority w:val="0"/>
    <w:rPr>
      <w:rFonts w:ascii="Times New Roman" w:hAnsi="Times New Roman"/>
      <w:sz w:val="21"/>
      <w:szCs w:val="24"/>
    </w:rPr>
  </w:style>
  <w:style w:type="character" w:customStyle="1" w:styleId="87">
    <w:name w:val="页脚 Char"/>
    <w:basedOn w:val="45"/>
    <w:link w:val="31"/>
    <w:semiHidden/>
    <w:qFormat/>
    <w:uiPriority w:val="0"/>
    <w:rPr>
      <w:rFonts w:ascii="Times New Roman" w:hAnsi="Times New Roman"/>
      <w:kern w:val="2"/>
      <w:sz w:val="18"/>
      <w:szCs w:val="18"/>
    </w:rPr>
  </w:style>
  <w:style w:type="character" w:customStyle="1" w:styleId="88">
    <w:name w:val="正文首行缩进 2 Char"/>
    <w:basedOn w:val="78"/>
    <w:link w:val="89"/>
    <w:semiHidden/>
    <w:qFormat/>
    <w:uiPriority w:val="0"/>
    <w:rPr>
      <w:rFonts w:ascii="宋体" w:hAnsi="宋体"/>
    </w:rPr>
  </w:style>
  <w:style w:type="paragraph" w:customStyle="1" w:styleId="89">
    <w:name w:val="Body Text First Indent 2"/>
    <w:basedOn w:val="79"/>
    <w:link w:val="88"/>
    <w:qFormat/>
    <w:uiPriority w:val="0"/>
    <w:pPr>
      <w:spacing w:after="120" w:line="240" w:lineRule="auto"/>
      <w:ind w:left="420" w:leftChars="200" w:firstLine="200" w:firstLineChars="200"/>
      <w:jc w:val="left"/>
    </w:pPr>
    <w:rPr>
      <w:rFonts w:ascii="宋体" w:hAnsi="宋体"/>
    </w:rPr>
  </w:style>
  <w:style w:type="character" w:customStyle="1" w:styleId="90">
    <w:name w:val="页眉 Char"/>
    <w:basedOn w:val="45"/>
    <w:link w:val="32"/>
    <w:semiHidden/>
    <w:qFormat/>
    <w:uiPriority w:val="0"/>
    <w:rPr>
      <w:rFonts w:ascii="Times New Roman" w:hAnsi="Times New Roman"/>
      <w:kern w:val="2"/>
      <w:sz w:val="18"/>
      <w:szCs w:val="18"/>
    </w:rPr>
  </w:style>
  <w:style w:type="character" w:customStyle="1" w:styleId="91">
    <w:name w:val="脚注文本 Char"/>
    <w:basedOn w:val="45"/>
    <w:link w:val="35"/>
    <w:semiHidden/>
    <w:qFormat/>
    <w:uiPriority w:val="0"/>
    <w:rPr>
      <w:rFonts w:ascii="Times New Roman" w:hAnsi="Times New Roman"/>
      <w:sz w:val="18"/>
    </w:rPr>
  </w:style>
  <w:style w:type="character" w:customStyle="1" w:styleId="92">
    <w:name w:val="正文文本缩进 3 Char"/>
    <w:basedOn w:val="45"/>
    <w:link w:val="93"/>
    <w:semiHidden/>
    <w:qFormat/>
    <w:uiPriority w:val="0"/>
    <w:rPr>
      <w:rFonts w:ascii="Times New Roman" w:hAnsi="Times New Roman"/>
      <w:kern w:val="2"/>
      <w:sz w:val="21"/>
    </w:rPr>
  </w:style>
  <w:style w:type="paragraph" w:customStyle="1" w:styleId="93">
    <w:name w:val="Body Text Indent 3"/>
    <w:basedOn w:val="1"/>
    <w:link w:val="92"/>
    <w:qFormat/>
    <w:uiPriority w:val="0"/>
    <w:pPr>
      <w:ind w:left="1260" w:leftChars="600"/>
    </w:pPr>
    <w:rPr>
      <w:rFonts w:ascii="Times New Roman" w:hAnsi="Times New Roman"/>
      <w:kern w:val="2"/>
      <w:sz w:val="21"/>
    </w:rPr>
  </w:style>
  <w:style w:type="character" w:customStyle="1" w:styleId="94">
    <w:name w:val="正文文本 2 Char"/>
    <w:basedOn w:val="45"/>
    <w:link w:val="95"/>
    <w:semiHidden/>
    <w:qFormat/>
    <w:uiPriority w:val="0"/>
    <w:rPr>
      <w:rFonts w:ascii="Times New Roman" w:hAnsi="Times New Roman"/>
      <w:kern w:val="2"/>
      <w:sz w:val="21"/>
    </w:rPr>
  </w:style>
  <w:style w:type="paragraph" w:customStyle="1" w:styleId="95">
    <w:name w:val="Body Text 2"/>
    <w:basedOn w:val="1"/>
    <w:link w:val="94"/>
    <w:qFormat/>
    <w:uiPriority w:val="0"/>
    <w:pPr>
      <w:spacing w:after="120" w:line="480" w:lineRule="auto"/>
    </w:pPr>
    <w:rPr>
      <w:rFonts w:ascii="Times New Roman" w:hAnsi="Times New Roman"/>
      <w:kern w:val="2"/>
      <w:sz w:val="21"/>
    </w:rPr>
  </w:style>
  <w:style w:type="character" w:customStyle="1" w:styleId="96">
    <w:name w:val="信息标题 Char"/>
    <w:basedOn w:val="45"/>
    <w:link w:val="97"/>
    <w:semiHidden/>
    <w:qFormat/>
    <w:uiPriority w:val="0"/>
    <w:rPr>
      <w:rFonts w:ascii="Arial" w:hAnsi="Arial" w:cs="Arial"/>
      <w:color w:val="7030A0"/>
      <w:kern w:val="2"/>
      <w:sz w:val="24"/>
      <w:szCs w:val="24"/>
      <w:shd w:val="pct20" w:color="auto" w:fill="auto"/>
    </w:rPr>
  </w:style>
  <w:style w:type="paragraph" w:customStyle="1" w:styleId="97">
    <w:name w:val="Message Header"/>
    <w:basedOn w:val="1"/>
    <w:link w:val="96"/>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left"/>
    </w:pPr>
    <w:rPr>
      <w:rFonts w:ascii="Arial" w:hAnsi="Arial" w:cs="Arial"/>
      <w:color w:val="7030A0"/>
      <w:kern w:val="2"/>
      <w:sz w:val="24"/>
      <w:szCs w:val="24"/>
      <w:shd w:val="pct20" w:color="auto" w:fill="auto"/>
    </w:rPr>
  </w:style>
  <w:style w:type="character" w:customStyle="1" w:styleId="98">
    <w:name w:val="HTML 预设格式 Char"/>
    <w:basedOn w:val="45"/>
    <w:link w:val="99"/>
    <w:semiHidden/>
    <w:qFormat/>
    <w:uiPriority w:val="0"/>
    <w:rPr>
      <w:rFonts w:ascii="Arial" w:hAnsi="Arial"/>
      <w:sz w:val="21"/>
      <w:szCs w:val="21"/>
    </w:rPr>
  </w:style>
  <w:style w:type="paragraph" w:customStyle="1" w:styleId="99">
    <w:name w:val="HTML Preformatted"/>
    <w:basedOn w:val="1"/>
    <w:link w:val="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firstLine="200" w:firstLineChars="200"/>
      <w:jc w:val="left"/>
    </w:pPr>
    <w:rPr>
      <w:rFonts w:ascii="Arial" w:hAnsi="Arial"/>
      <w:sz w:val="21"/>
      <w:szCs w:val="21"/>
    </w:rPr>
  </w:style>
  <w:style w:type="character" w:customStyle="1" w:styleId="100">
    <w:name w:val="标题 Char"/>
    <w:basedOn w:val="45"/>
    <w:link w:val="40"/>
    <w:semiHidden/>
    <w:qFormat/>
    <w:uiPriority w:val="0"/>
    <w:rPr>
      <w:rFonts w:ascii="Arial" w:hAnsi="Arial" w:eastAsia="楷体_GB2312"/>
      <w:b/>
      <w:sz w:val="32"/>
    </w:rPr>
  </w:style>
  <w:style w:type="paragraph" w:customStyle="1" w:styleId="101">
    <w:name w:val="批注框文本 Char Char"/>
    <w:basedOn w:val="1"/>
    <w:link w:val="365"/>
    <w:qFormat/>
    <w:uiPriority w:val="0"/>
    <w:rPr>
      <w:rFonts w:ascii="Times New Roman" w:hAnsi="Times New Roman" w:eastAsia="宋体" w:cs="Times New Roman"/>
      <w:sz w:val="18"/>
      <w:szCs w:val="18"/>
    </w:rPr>
  </w:style>
  <w:style w:type="paragraph" w:customStyle="1" w:styleId="102">
    <w:name w:val="List Number 2"/>
    <w:basedOn w:val="1"/>
    <w:qFormat/>
    <w:uiPriority w:val="0"/>
    <w:pPr>
      <w:tabs>
        <w:tab w:val="left" w:pos="780"/>
      </w:tabs>
      <w:spacing w:line="360" w:lineRule="auto"/>
      <w:ind w:left="780" w:hanging="360"/>
      <w:jc w:val="left"/>
    </w:pPr>
    <w:rPr>
      <w:rFonts w:ascii="宋体" w:hAnsi="宋体"/>
      <w:color w:val="7030A0"/>
      <w:sz w:val="24"/>
      <w:szCs w:val="20"/>
    </w:rPr>
  </w:style>
  <w:style w:type="paragraph" w:customStyle="1" w:styleId="103">
    <w:name w:val="table of authorities"/>
    <w:basedOn w:val="1"/>
    <w:next w:val="1"/>
    <w:qFormat/>
    <w:uiPriority w:val="0"/>
    <w:pPr>
      <w:spacing w:line="480" w:lineRule="exact"/>
      <w:ind w:left="420" w:leftChars="200" w:firstLine="200" w:firstLineChars="200"/>
      <w:jc w:val="left"/>
    </w:pPr>
    <w:rPr>
      <w:color w:val="7030A0"/>
      <w:sz w:val="24"/>
    </w:rPr>
  </w:style>
  <w:style w:type="paragraph" w:customStyle="1" w:styleId="104">
    <w:name w:val="index 8"/>
    <w:basedOn w:val="1"/>
    <w:next w:val="1"/>
    <w:qFormat/>
    <w:uiPriority w:val="0"/>
    <w:pPr>
      <w:spacing w:line="480" w:lineRule="exact"/>
      <w:ind w:left="1400" w:leftChars="1400" w:firstLine="200" w:firstLineChars="200"/>
      <w:jc w:val="left"/>
    </w:pPr>
    <w:rPr>
      <w:color w:val="7030A0"/>
      <w:sz w:val="24"/>
    </w:rPr>
  </w:style>
  <w:style w:type="paragraph" w:customStyle="1" w:styleId="105">
    <w:name w:val="index 5"/>
    <w:basedOn w:val="1"/>
    <w:next w:val="1"/>
    <w:qFormat/>
    <w:uiPriority w:val="0"/>
    <w:pPr>
      <w:spacing w:line="480" w:lineRule="exact"/>
      <w:ind w:left="800" w:leftChars="800" w:firstLine="200" w:firstLineChars="200"/>
      <w:jc w:val="left"/>
    </w:pPr>
    <w:rPr>
      <w:color w:val="7030A0"/>
      <w:sz w:val="24"/>
    </w:rPr>
  </w:style>
  <w:style w:type="paragraph" w:customStyle="1" w:styleId="106">
    <w:name w:val="toa heading"/>
    <w:basedOn w:val="1"/>
    <w:next w:val="1"/>
    <w:qFormat/>
    <w:uiPriority w:val="0"/>
    <w:pPr>
      <w:spacing w:before="120"/>
    </w:pPr>
    <w:rPr>
      <w:rFonts w:ascii="Arial" w:hAnsi="Arial" w:cs="Arial"/>
      <w:sz w:val="24"/>
    </w:rPr>
  </w:style>
  <w:style w:type="paragraph" w:customStyle="1" w:styleId="107">
    <w:name w:val="index 6"/>
    <w:basedOn w:val="1"/>
    <w:next w:val="1"/>
    <w:qFormat/>
    <w:uiPriority w:val="0"/>
    <w:pPr>
      <w:spacing w:line="480" w:lineRule="exact"/>
      <w:ind w:left="1000" w:leftChars="1000" w:firstLine="200" w:firstLineChars="200"/>
      <w:jc w:val="left"/>
    </w:pPr>
    <w:rPr>
      <w:color w:val="7030A0"/>
      <w:sz w:val="24"/>
    </w:rPr>
  </w:style>
  <w:style w:type="paragraph" w:customStyle="1" w:styleId="108">
    <w:name w:val="List Number 3"/>
    <w:basedOn w:val="1"/>
    <w:qFormat/>
    <w:uiPriority w:val="0"/>
    <w:pPr>
      <w:tabs>
        <w:tab w:val="left" w:pos="1200"/>
      </w:tabs>
      <w:spacing w:line="360" w:lineRule="auto"/>
      <w:ind w:left="1200" w:hanging="360"/>
      <w:jc w:val="left"/>
    </w:pPr>
    <w:rPr>
      <w:rFonts w:ascii="宋体" w:hAnsi="宋体"/>
      <w:color w:val="7030A0"/>
      <w:sz w:val="24"/>
      <w:szCs w:val="20"/>
    </w:rPr>
  </w:style>
  <w:style w:type="paragraph" w:customStyle="1" w:styleId="109">
    <w:name w:val="List 2"/>
    <w:basedOn w:val="1"/>
    <w:qFormat/>
    <w:uiPriority w:val="0"/>
    <w:pPr>
      <w:widowControl/>
      <w:ind w:left="840" w:hanging="420"/>
      <w:jc w:val="left"/>
    </w:pPr>
    <w:rPr>
      <w:rFonts w:ascii="宋体"/>
      <w:kern w:val="0"/>
      <w:sz w:val="22"/>
      <w:szCs w:val="20"/>
    </w:rPr>
  </w:style>
  <w:style w:type="paragraph" w:customStyle="1" w:styleId="110">
    <w:name w:val="List Continue"/>
    <w:basedOn w:val="1"/>
    <w:qFormat/>
    <w:uiPriority w:val="0"/>
    <w:pPr>
      <w:widowControl/>
      <w:spacing w:after="120"/>
      <w:ind w:left="420"/>
      <w:jc w:val="left"/>
    </w:pPr>
    <w:rPr>
      <w:rFonts w:ascii="宋体"/>
      <w:kern w:val="0"/>
      <w:sz w:val="22"/>
      <w:szCs w:val="20"/>
    </w:rPr>
  </w:style>
  <w:style w:type="paragraph" w:customStyle="1" w:styleId="111">
    <w:name w:val="Block Text"/>
    <w:basedOn w:val="1"/>
    <w:qFormat/>
    <w:uiPriority w:val="0"/>
    <w:pPr>
      <w:tabs>
        <w:tab w:val="left" w:pos="8364"/>
      </w:tabs>
      <w:ind w:left="840" w:right="-57" w:hanging="300"/>
    </w:pPr>
    <w:rPr>
      <w:rFonts w:ascii="宋体"/>
      <w:szCs w:val="20"/>
    </w:rPr>
  </w:style>
  <w:style w:type="paragraph" w:customStyle="1" w:styleId="112">
    <w:name w:val="index 4"/>
    <w:basedOn w:val="1"/>
    <w:next w:val="1"/>
    <w:qFormat/>
    <w:uiPriority w:val="0"/>
    <w:pPr>
      <w:spacing w:line="480" w:lineRule="exact"/>
      <w:ind w:left="600" w:leftChars="600" w:firstLine="200" w:firstLineChars="200"/>
      <w:jc w:val="left"/>
    </w:pPr>
    <w:rPr>
      <w:color w:val="7030A0"/>
      <w:sz w:val="24"/>
    </w:rPr>
  </w:style>
  <w:style w:type="paragraph" w:customStyle="1" w:styleId="113">
    <w:name w:val="List Number 4"/>
    <w:basedOn w:val="1"/>
    <w:qFormat/>
    <w:uiPriority w:val="0"/>
    <w:pPr>
      <w:tabs>
        <w:tab w:val="left" w:pos="1620"/>
      </w:tabs>
      <w:spacing w:line="360" w:lineRule="auto"/>
      <w:ind w:left="1620" w:hanging="360"/>
    </w:pPr>
    <w:rPr>
      <w:rFonts w:ascii="宋体" w:hAnsi="宋体"/>
      <w:sz w:val="24"/>
      <w:szCs w:val="20"/>
    </w:rPr>
  </w:style>
  <w:style w:type="paragraph" w:customStyle="1" w:styleId="114">
    <w:name w:val="index 3"/>
    <w:basedOn w:val="1"/>
    <w:next w:val="1"/>
    <w:qFormat/>
    <w:uiPriority w:val="0"/>
    <w:pPr>
      <w:spacing w:line="480" w:lineRule="exact"/>
      <w:ind w:left="400" w:leftChars="400" w:firstLine="200" w:firstLineChars="200"/>
      <w:jc w:val="left"/>
    </w:pPr>
    <w:rPr>
      <w:color w:val="7030A0"/>
      <w:sz w:val="24"/>
    </w:rPr>
  </w:style>
  <w:style w:type="paragraph" w:customStyle="1" w:styleId="115">
    <w:name w:val="index heading"/>
    <w:basedOn w:val="1"/>
    <w:next w:val="116"/>
    <w:qFormat/>
    <w:uiPriority w:val="0"/>
  </w:style>
  <w:style w:type="paragraph" w:customStyle="1" w:styleId="116">
    <w:name w:val="index 1"/>
    <w:basedOn w:val="1"/>
    <w:next w:val="1"/>
    <w:qFormat/>
    <w:uiPriority w:val="0"/>
    <w:pPr>
      <w:spacing w:line="360" w:lineRule="auto"/>
      <w:ind w:left="1149" w:leftChars="547"/>
    </w:pPr>
    <w:rPr>
      <w:szCs w:val="20"/>
    </w:rPr>
  </w:style>
  <w:style w:type="paragraph" w:customStyle="1" w:styleId="117">
    <w:name w:val="List Number 5"/>
    <w:basedOn w:val="1"/>
    <w:qFormat/>
    <w:uiPriority w:val="0"/>
    <w:pPr>
      <w:tabs>
        <w:tab w:val="left" w:pos="2040"/>
      </w:tabs>
      <w:spacing w:line="360" w:lineRule="auto"/>
      <w:ind w:left="2040" w:hanging="360"/>
      <w:jc w:val="left"/>
    </w:pPr>
    <w:rPr>
      <w:rFonts w:ascii="宋体" w:hAnsi="宋体"/>
      <w:color w:val="7030A0"/>
      <w:sz w:val="24"/>
      <w:szCs w:val="20"/>
    </w:rPr>
  </w:style>
  <w:style w:type="paragraph" w:customStyle="1" w:styleId="118">
    <w:name w:val="List"/>
    <w:basedOn w:val="1"/>
    <w:qFormat/>
    <w:uiPriority w:val="0"/>
    <w:pPr>
      <w:ind w:left="200" w:hanging="200" w:hangingChars="200"/>
    </w:pPr>
    <w:rPr>
      <w:szCs w:val="20"/>
    </w:rPr>
  </w:style>
  <w:style w:type="paragraph" w:customStyle="1" w:styleId="119">
    <w:name w:val="index 7"/>
    <w:basedOn w:val="1"/>
    <w:next w:val="1"/>
    <w:qFormat/>
    <w:uiPriority w:val="0"/>
    <w:pPr>
      <w:spacing w:line="480" w:lineRule="exact"/>
      <w:ind w:left="1200" w:leftChars="1200" w:firstLine="200" w:firstLineChars="200"/>
      <w:jc w:val="left"/>
    </w:pPr>
    <w:rPr>
      <w:color w:val="7030A0"/>
      <w:sz w:val="24"/>
    </w:rPr>
  </w:style>
  <w:style w:type="paragraph" w:customStyle="1" w:styleId="120">
    <w:name w:val="index 9"/>
    <w:basedOn w:val="1"/>
    <w:next w:val="1"/>
    <w:qFormat/>
    <w:uiPriority w:val="0"/>
    <w:pPr>
      <w:spacing w:line="480" w:lineRule="exact"/>
      <w:ind w:left="1600" w:leftChars="1600" w:firstLine="200" w:firstLineChars="200"/>
      <w:jc w:val="left"/>
    </w:pPr>
    <w:rPr>
      <w:color w:val="7030A0"/>
      <w:sz w:val="24"/>
    </w:rPr>
  </w:style>
  <w:style w:type="paragraph" w:customStyle="1" w:styleId="121">
    <w:name w:val="table of figures"/>
    <w:basedOn w:val="1"/>
    <w:next w:val="1"/>
    <w:qFormat/>
    <w:uiPriority w:val="0"/>
    <w:pPr>
      <w:spacing w:line="480" w:lineRule="exact"/>
      <w:ind w:left="200" w:leftChars="200" w:hanging="200" w:hangingChars="200"/>
      <w:jc w:val="left"/>
    </w:pPr>
    <w:rPr>
      <w:color w:val="7030A0"/>
      <w:sz w:val="24"/>
    </w:rPr>
  </w:style>
  <w:style w:type="paragraph" w:customStyle="1" w:styleId="122">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customStyle="1" w:styleId="123">
    <w:name w:val="index 2"/>
    <w:basedOn w:val="1"/>
    <w:next w:val="1"/>
    <w:qFormat/>
    <w:uiPriority w:val="0"/>
    <w:pPr>
      <w:spacing w:line="480" w:lineRule="exact"/>
      <w:ind w:left="200" w:leftChars="200" w:firstLine="200" w:firstLineChars="200"/>
      <w:jc w:val="left"/>
    </w:pPr>
    <w:rPr>
      <w:color w:val="7030A0"/>
      <w:sz w:val="24"/>
    </w:rPr>
  </w:style>
  <w:style w:type="paragraph" w:customStyle="1" w:styleId="124">
    <w:name w:val="标题4"/>
    <w:basedOn w:val="1"/>
    <w:next w:val="1"/>
    <w:qFormat/>
    <w:uiPriority w:val="0"/>
    <w:pPr>
      <w:keepNext/>
      <w:spacing w:line="360" w:lineRule="auto"/>
      <w:ind w:firstLine="200" w:firstLineChars="200"/>
      <w:jc w:val="left"/>
      <w:outlineLvl w:val="3"/>
    </w:pPr>
    <w:rPr>
      <w:b/>
      <w:kern w:val="0"/>
      <w:sz w:val="30"/>
    </w:rPr>
  </w:style>
  <w:style w:type="paragraph" w:customStyle="1" w:styleId="125">
    <w:name w:val="四级标题格式"/>
    <w:basedOn w:val="6"/>
    <w:link w:val="368"/>
    <w:qFormat/>
    <w:uiPriority w:val="0"/>
    <w:pPr>
      <w:spacing w:before="0" w:afterLines="100" w:line="240" w:lineRule="auto"/>
      <w:jc w:val="left"/>
    </w:pPr>
    <w:rPr>
      <w:rFonts w:ascii="Times New Roman" w:hAnsi="Times New Roman" w:eastAsia="黑体"/>
      <w:kern w:val="2"/>
      <w:sz w:val="28"/>
      <w:szCs w:val="28"/>
    </w:rPr>
  </w:style>
  <w:style w:type="paragraph" w:customStyle="1" w:styleId="126">
    <w:name w:val="标题3"/>
    <w:basedOn w:val="5"/>
    <w:link w:val="371"/>
    <w:qFormat/>
    <w:uiPriority w:val="0"/>
    <w:pPr>
      <w:tabs>
        <w:tab w:val="left" w:pos="360"/>
        <w:tab w:val="left" w:pos="840"/>
        <w:tab w:val="left" w:pos="2160"/>
      </w:tabs>
      <w:adjustRightInd w:val="0"/>
      <w:spacing w:before="0" w:after="0" w:line="360" w:lineRule="auto"/>
      <w:textAlignment w:val="baseline"/>
    </w:pPr>
    <w:rPr>
      <w:rFonts w:ascii="宋体" w:hAnsi="宋体"/>
      <w:color w:val="92D050"/>
      <w:kern w:val="44"/>
      <w:sz w:val="24"/>
      <w:szCs w:val="21"/>
    </w:rPr>
  </w:style>
  <w:style w:type="paragraph" w:customStyle="1" w:styleId="127">
    <w:name w:val="样式 宋体 行距: 固定值 24 磅"/>
    <w:basedOn w:val="1"/>
    <w:link w:val="373"/>
    <w:qFormat/>
    <w:uiPriority w:val="0"/>
    <w:pPr>
      <w:spacing w:line="480" w:lineRule="exact"/>
      <w:ind w:firstLine="585" w:firstLineChars="200"/>
      <w:jc w:val="left"/>
    </w:pPr>
    <w:rPr>
      <w:rFonts w:ascii="宋体" w:cs="宋体"/>
      <w:color w:val="7030A0"/>
      <w:kern w:val="2"/>
      <w:sz w:val="28"/>
    </w:rPr>
  </w:style>
  <w:style w:type="paragraph" w:customStyle="1" w:styleId="128">
    <w:name w:val="样式 首行缩进:  2 字符"/>
    <w:basedOn w:val="1"/>
    <w:link w:val="374"/>
    <w:qFormat/>
    <w:uiPriority w:val="0"/>
    <w:pPr>
      <w:spacing w:line="480" w:lineRule="exact"/>
      <w:ind w:firstLine="480" w:firstLineChars="200"/>
      <w:jc w:val="left"/>
    </w:pPr>
    <w:rPr>
      <w:rFonts w:ascii="Times New Roman" w:hAnsi="Times New Roman"/>
      <w:color w:val="7030A0"/>
      <w:kern w:val="2"/>
      <w:sz w:val="24"/>
    </w:rPr>
  </w:style>
  <w:style w:type="paragraph" w:customStyle="1" w:styleId="129">
    <w:name w:val="正文－wjnew"/>
    <w:basedOn w:val="1"/>
    <w:link w:val="376"/>
    <w:qFormat/>
    <w:uiPriority w:val="0"/>
    <w:pPr>
      <w:adjustRightInd w:val="0"/>
      <w:snapToGrid w:val="0"/>
      <w:spacing w:line="360" w:lineRule="auto"/>
      <w:ind w:firstLine="420"/>
    </w:pPr>
    <w:rPr>
      <w:rFonts w:ascii="宋体" w:cs="宋体"/>
      <w:kern w:val="2"/>
      <w:sz w:val="21"/>
      <w:szCs w:val="21"/>
    </w:rPr>
  </w:style>
  <w:style w:type="paragraph" w:customStyle="1" w:styleId="130">
    <w:name w:val="(1)"/>
    <w:basedOn w:val="1"/>
    <w:next w:val="1"/>
    <w:link w:val="378"/>
    <w:qFormat/>
    <w:uiPriority w:val="0"/>
    <w:pPr>
      <w:tabs>
        <w:tab w:val="left" w:pos="813"/>
      </w:tabs>
      <w:spacing w:line="360" w:lineRule="auto"/>
      <w:ind w:left="813" w:hanging="567"/>
    </w:pPr>
    <w:rPr>
      <w:rFonts w:ascii="宋体" w:hAnsi="宋体"/>
      <w:kern w:val="2"/>
      <w:sz w:val="24"/>
      <w:szCs w:val="24"/>
    </w:rPr>
  </w:style>
  <w:style w:type="paragraph" w:customStyle="1" w:styleId="131">
    <w:name w:val="正文 BJ15"/>
    <w:basedOn w:val="1"/>
    <w:link w:val="381"/>
    <w:qFormat/>
    <w:uiPriority w:val="0"/>
    <w:pPr>
      <w:adjustRightInd w:val="0"/>
      <w:snapToGrid w:val="0"/>
      <w:spacing w:line="360" w:lineRule="auto"/>
      <w:ind w:firstLine="200" w:firstLineChars="200"/>
      <w:jc w:val="left"/>
    </w:pPr>
    <w:rPr>
      <w:rFonts w:ascii="Times New Roman" w:hAnsi="Times New Roman"/>
      <w:kern w:val="2"/>
      <w:sz w:val="24"/>
      <w:szCs w:val="24"/>
    </w:rPr>
  </w:style>
  <w:style w:type="paragraph" w:customStyle="1" w:styleId="132">
    <w:name w:val="正文－zlb"/>
    <w:basedOn w:val="1"/>
    <w:link w:val="389"/>
    <w:qFormat/>
    <w:uiPriority w:val="0"/>
    <w:pPr>
      <w:adjustRightInd w:val="0"/>
      <w:snapToGrid w:val="0"/>
      <w:spacing w:line="360" w:lineRule="auto"/>
      <w:ind w:firstLine="420"/>
    </w:pPr>
    <w:rPr>
      <w:rFonts w:ascii="宋体" w:cs="宋体"/>
      <w:kern w:val="2"/>
      <w:sz w:val="24"/>
      <w:szCs w:val="24"/>
    </w:rPr>
  </w:style>
  <w:style w:type="paragraph" w:customStyle="1" w:styleId="133">
    <w:name w:val="图表标题 BJ8"/>
    <w:basedOn w:val="1"/>
    <w:link w:val="394"/>
    <w:qFormat/>
    <w:uiPriority w:val="0"/>
    <w:pPr>
      <w:adjustRightInd w:val="0"/>
      <w:snapToGrid w:val="0"/>
      <w:ind w:firstLine="200" w:firstLineChars="200"/>
      <w:jc w:val="center"/>
    </w:pPr>
    <w:rPr>
      <w:rFonts w:ascii="Times New Roman" w:hAnsi="Times New Roman" w:eastAsia="黑体"/>
      <w:kern w:val="2"/>
      <w:sz w:val="24"/>
    </w:rPr>
  </w:style>
  <w:style w:type="paragraph" w:customStyle="1" w:styleId="134">
    <w:name w:val="列表框2"/>
    <w:basedOn w:val="1"/>
    <w:link w:val="396"/>
    <w:qFormat/>
    <w:uiPriority w:val="0"/>
    <w:pPr>
      <w:tabs>
        <w:tab w:val="left" w:pos="360"/>
        <w:tab w:val="left" w:pos="1628"/>
        <w:tab w:val="left" w:pos="2086"/>
      </w:tabs>
      <w:adjustRightInd w:val="0"/>
      <w:snapToGrid w:val="0"/>
      <w:ind w:left="1748" w:right="210" w:rightChars="100" w:hanging="434" w:firstLineChars="200"/>
      <w:jc w:val="left"/>
    </w:pPr>
    <w:rPr>
      <w:color w:val="7030A0"/>
      <w:spacing w:val="10"/>
      <w:sz w:val="24"/>
      <w:szCs w:val="24"/>
    </w:rPr>
  </w:style>
  <w:style w:type="paragraph" w:customStyle="1" w:styleId="135">
    <w:name w:val="五级标题格式"/>
    <w:basedOn w:val="7"/>
    <w:link w:val="398"/>
    <w:qFormat/>
    <w:uiPriority w:val="0"/>
    <w:pPr>
      <w:tabs>
        <w:tab w:val="clear" w:pos="1008"/>
      </w:tabs>
      <w:spacing w:before="0" w:afterLines="50" w:line="240" w:lineRule="auto"/>
      <w:ind w:left="0" w:firstLine="0"/>
      <w:jc w:val="left"/>
    </w:pPr>
    <w:rPr>
      <w:rFonts w:ascii="Times New Roman" w:hAnsi="Times New Roman"/>
      <w:kern w:val="2"/>
      <w:sz w:val="24"/>
      <w:szCs w:val="28"/>
    </w:rPr>
  </w:style>
  <w:style w:type="paragraph" w:customStyle="1" w:styleId="136">
    <w:name w:val="正文段落格式"/>
    <w:basedOn w:val="128"/>
    <w:link w:val="402"/>
    <w:qFormat/>
    <w:uiPriority w:val="0"/>
    <w:pPr>
      <w:spacing w:afterLines="50" w:line="336" w:lineRule="auto"/>
    </w:pPr>
    <w:rPr>
      <w:rFonts w:ascii="Times New Roman" w:hAnsi="Times New Roman"/>
      <w:color w:val="7030A0"/>
      <w:kern w:val="2"/>
      <w:sz w:val="24"/>
    </w:rPr>
  </w:style>
  <w:style w:type="paragraph" w:customStyle="1" w:styleId="137">
    <w:name w:val="表格文字 BJ8"/>
    <w:basedOn w:val="1"/>
    <w:link w:val="403"/>
    <w:qFormat/>
    <w:uiPriority w:val="0"/>
    <w:pPr>
      <w:adjustRightInd w:val="0"/>
      <w:snapToGrid w:val="0"/>
      <w:spacing w:line="400" w:lineRule="exact"/>
      <w:ind w:firstLine="200" w:firstLineChars="200"/>
      <w:jc w:val="center"/>
    </w:pPr>
    <w:rPr>
      <w:rFonts w:ascii="Times New Roman" w:hAnsi="Times New Roman"/>
      <w:kern w:val="2"/>
      <w:sz w:val="21"/>
      <w:szCs w:val="21"/>
    </w:rPr>
  </w:style>
  <w:style w:type="paragraph" w:customStyle="1" w:styleId="138">
    <w:name w:val="样式 标题 31.1条标题1.1.1二级节名h3Heading 3 - oldheading 3H3H31H3..."/>
    <w:basedOn w:val="5"/>
    <w:link w:val="405"/>
    <w:qFormat/>
    <w:uiPriority w:val="0"/>
    <w:pPr>
      <w:spacing w:before="240" w:after="120" w:line="480" w:lineRule="exact"/>
      <w:jc w:val="left"/>
    </w:pPr>
    <w:rPr>
      <w:rFonts w:ascii="宋体" w:hAnsi="宋体" w:eastAsia="黑体"/>
      <w:kern w:val="2"/>
      <w:sz w:val="24"/>
      <w:szCs w:val="21"/>
    </w:rPr>
  </w:style>
  <w:style w:type="paragraph" w:customStyle="1" w:styleId="139">
    <w:name w:val="标题2"/>
    <w:basedOn w:val="3"/>
    <w:link w:val="406"/>
    <w:qFormat/>
    <w:uiPriority w:val="0"/>
    <w:pPr>
      <w:spacing w:before="0" w:after="0" w:line="312" w:lineRule="auto"/>
      <w:ind w:left="0" w:firstLine="0"/>
      <w:jc w:val="center"/>
    </w:pPr>
    <w:rPr>
      <w:rFonts w:ascii="宋体" w:hAnsi="Times New Roman"/>
      <w:color w:val="92D050"/>
      <w:kern w:val="44"/>
      <w:sz w:val="30"/>
    </w:rPr>
  </w:style>
  <w:style w:type="paragraph" w:customStyle="1" w:styleId="140">
    <w:name w:val="正文 QD3"/>
    <w:basedOn w:val="1"/>
    <w:link w:val="409"/>
    <w:qFormat/>
    <w:uiPriority w:val="0"/>
    <w:pPr>
      <w:adjustRightInd w:val="0"/>
      <w:snapToGrid w:val="0"/>
      <w:spacing w:line="360" w:lineRule="auto"/>
      <w:ind w:firstLine="200" w:firstLineChars="200"/>
      <w:jc w:val="left"/>
    </w:pPr>
    <w:rPr>
      <w:rFonts w:ascii="Times New Roman" w:hAnsi="Times New Roman"/>
      <w:kern w:val="2"/>
      <w:sz w:val="24"/>
      <w:szCs w:val="24"/>
    </w:rPr>
  </w:style>
  <w:style w:type="paragraph" w:customStyle="1" w:styleId="141">
    <w:name w:val="正文 BJ8"/>
    <w:basedOn w:val="1"/>
    <w:link w:val="410"/>
    <w:qFormat/>
    <w:uiPriority w:val="0"/>
    <w:pPr>
      <w:adjustRightInd w:val="0"/>
      <w:snapToGrid w:val="0"/>
      <w:spacing w:line="360" w:lineRule="auto"/>
      <w:ind w:firstLine="200" w:firstLineChars="200"/>
      <w:jc w:val="left"/>
    </w:pPr>
    <w:rPr>
      <w:rFonts w:ascii="Times New Roman" w:hAnsi="Times New Roman"/>
      <w:color w:val="7030A0"/>
      <w:kern w:val="2"/>
      <w:sz w:val="24"/>
      <w:szCs w:val="24"/>
    </w:rPr>
  </w:style>
  <w:style w:type="paragraph" w:customStyle="1" w:styleId="142">
    <w:name w:val="正文1"/>
    <w:basedOn w:val="1"/>
    <w:link w:val="414"/>
    <w:qFormat/>
    <w:uiPriority w:val="0"/>
    <w:pPr>
      <w:tabs>
        <w:tab w:val="left" w:pos="720"/>
        <w:tab w:val="right" w:pos="1191"/>
      </w:tabs>
      <w:spacing w:line="360" w:lineRule="auto"/>
      <w:ind w:left="720" w:hanging="360"/>
    </w:pPr>
    <w:rPr>
      <w:rFonts w:ascii="宋体" w:hAnsi="宋体"/>
      <w:kern w:val="10"/>
      <w:sz w:val="21"/>
      <w:szCs w:val="24"/>
    </w:rPr>
  </w:style>
  <w:style w:type="paragraph" w:customStyle="1" w:styleId="143">
    <w:name w:val="样式"/>
    <w:link w:val="415"/>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44">
    <w:name w:val="无编号正文"/>
    <w:basedOn w:val="21"/>
    <w:next w:val="1"/>
    <w:link w:val="416"/>
    <w:qFormat/>
    <w:uiPriority w:val="0"/>
    <w:pPr>
      <w:ind w:left="200" w:leftChars="200" w:firstLine="200" w:firstLineChars="200"/>
    </w:pPr>
    <w:rPr>
      <w:rFonts w:ascii="宋体" w:hAnsi="宋体"/>
      <w:sz w:val="24"/>
      <w:szCs w:val="24"/>
    </w:rPr>
  </w:style>
  <w:style w:type="paragraph" w:customStyle="1" w:styleId="145">
    <w:name w:val="表图名称"/>
    <w:link w:val="417"/>
    <w:qFormat/>
    <w:uiPriority w:val="0"/>
    <w:pPr>
      <w:widowControl w:val="0"/>
      <w:tabs>
        <w:tab w:val="left" w:pos="6120"/>
        <w:tab w:val="left" w:pos="13784"/>
      </w:tabs>
      <w:adjustRightInd w:val="0"/>
      <w:snapToGrid w:val="0"/>
      <w:spacing w:line="360" w:lineRule="auto"/>
      <w:jc w:val="center"/>
    </w:pPr>
    <w:rPr>
      <w:rFonts w:ascii="黑体" w:hAnsi="宋体" w:eastAsia="黑体" w:cs="Times New Roman"/>
      <w:kern w:val="2"/>
      <w:sz w:val="24"/>
      <w:szCs w:val="24"/>
      <w:lang w:val="en-US" w:eastAsia="zh-CN" w:bidi="ar-SA"/>
    </w:rPr>
  </w:style>
  <w:style w:type="paragraph" w:customStyle="1" w:styleId="146">
    <w:name w:val="表格文字图表文字"/>
    <w:basedOn w:val="1"/>
    <w:link w:val="419"/>
    <w:qFormat/>
    <w:uiPriority w:val="0"/>
    <w:pPr>
      <w:snapToGrid w:val="0"/>
      <w:ind w:firstLine="200" w:firstLineChars="200"/>
      <w:jc w:val="center"/>
    </w:pPr>
    <w:rPr>
      <w:rFonts w:ascii="Times New Roman" w:hAnsi="Times New Roman"/>
      <w:color w:val="7030A0"/>
      <w:kern w:val="2"/>
      <w:sz w:val="21"/>
    </w:rPr>
  </w:style>
  <w:style w:type="paragraph" w:customStyle="1" w:styleId="147">
    <w:name w:val="xl51"/>
    <w:basedOn w:val="1"/>
    <w:qFormat/>
    <w:uiPriority w:val="0"/>
    <w:pPr>
      <w:widowControl/>
      <w:pBdr>
        <w:top w:val="single" w:color="auto" w:sz="4" w:space="0"/>
        <w:bottom w:val="single" w:color="auto" w:sz="4" w:space="0"/>
        <w:right w:val="single" w:color="auto" w:sz="4" w:space="0"/>
      </w:pBdr>
      <w:spacing w:before="100" w:after="100"/>
      <w:ind w:firstLine="200" w:firstLineChars="200"/>
      <w:jc w:val="center"/>
    </w:pPr>
    <w:rPr>
      <w:rFonts w:ascii="Arial Unicode MS" w:hAnsi="Arial Unicode MS" w:eastAsia="Arial Unicode MS"/>
      <w:color w:val="7030A0"/>
      <w:kern w:val="0"/>
      <w:szCs w:val="20"/>
    </w:rPr>
  </w:style>
  <w:style w:type="paragraph" w:customStyle="1" w:styleId="148">
    <w:name w:val="通用"/>
    <w:basedOn w:val="1"/>
    <w:qFormat/>
    <w:uiPriority w:val="0"/>
    <w:pPr>
      <w:spacing w:line="360" w:lineRule="auto"/>
      <w:ind w:left="840" w:leftChars="400"/>
    </w:pPr>
    <w:rPr>
      <w:rFonts w:ascii="宋体" w:hAnsi="宋体"/>
      <w:szCs w:val="20"/>
    </w:rPr>
  </w:style>
  <w:style w:type="paragraph" w:customStyle="1" w:styleId="149">
    <w:name w:val="样式 目录 1 + 首行缩进:  2 字符"/>
    <w:basedOn w:val="1"/>
    <w:qFormat/>
    <w:uiPriority w:val="0"/>
    <w:pPr>
      <w:adjustRightInd w:val="0"/>
      <w:snapToGrid w:val="0"/>
      <w:spacing w:line="360" w:lineRule="auto"/>
      <w:ind w:firstLine="200" w:firstLineChars="200"/>
      <w:jc w:val="center"/>
    </w:pPr>
    <w:rPr>
      <w:rFonts w:cs="宋体"/>
      <w:b/>
      <w:bCs/>
      <w:caps/>
      <w:color w:val="7030A0"/>
      <w:sz w:val="30"/>
      <w:szCs w:val="28"/>
    </w:rPr>
  </w:style>
  <w:style w:type="paragraph" w:customStyle="1" w:styleId="150">
    <w:name w:val="1"/>
    <w:basedOn w:val="1"/>
    <w:next w:val="95"/>
    <w:qFormat/>
    <w:uiPriority w:val="0"/>
    <w:pPr>
      <w:spacing w:after="120" w:line="480" w:lineRule="auto"/>
      <w:ind w:firstLine="200" w:firstLineChars="200"/>
      <w:jc w:val="left"/>
    </w:pPr>
    <w:rPr>
      <w:color w:val="7030A0"/>
    </w:rPr>
  </w:style>
  <w:style w:type="paragraph" w:customStyle="1" w:styleId="151">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宋体" w:hAnsi="宋体" w:cs="宋体"/>
      <w:kern w:val="0"/>
      <w:sz w:val="20"/>
      <w:szCs w:val="20"/>
    </w:rPr>
  </w:style>
  <w:style w:type="paragraph" w:customStyle="1" w:styleId="152">
    <w:name w:val="Footer First"/>
    <w:basedOn w:val="31"/>
    <w:qFormat/>
    <w:uiPriority w:val="0"/>
    <w:pPr>
      <w:keepLines/>
      <w:widowControl/>
      <w:tabs>
        <w:tab w:val="left" w:pos="1080"/>
        <w:tab w:val="left" w:pos="1627"/>
        <w:tab w:val="left" w:pos="2160"/>
        <w:tab w:val="left" w:pos="2880"/>
        <w:tab w:val="center" w:pos="4320"/>
        <w:tab w:val="clear" w:pos="4153"/>
        <w:tab w:val="clear" w:pos="8306"/>
      </w:tabs>
      <w:snapToGrid/>
      <w:spacing w:line="300" w:lineRule="exact"/>
      <w:jc w:val="center"/>
    </w:pPr>
    <w:rPr>
      <w:rFonts w:ascii="Univers" w:hAnsi="Univers"/>
      <w:kern w:val="0"/>
      <w:sz w:val="22"/>
      <w:szCs w:val="20"/>
    </w:rPr>
  </w:style>
  <w:style w:type="paragraph" w:customStyle="1" w:styleId="153">
    <w:name w:val="zhengwen"/>
    <w:basedOn w:val="1"/>
    <w:qFormat/>
    <w:uiPriority w:val="0"/>
    <w:pPr>
      <w:tabs>
        <w:tab w:val="left" w:pos="1077"/>
      </w:tabs>
      <w:adjustRightInd w:val="0"/>
      <w:snapToGrid w:val="0"/>
      <w:spacing w:line="520" w:lineRule="exact"/>
      <w:ind w:left="1077" w:firstLine="200" w:firstLineChars="200"/>
      <w:jc w:val="left"/>
    </w:pPr>
    <w:rPr>
      <w:bCs/>
      <w:color w:val="7030A0"/>
      <w:sz w:val="28"/>
    </w:rPr>
  </w:style>
  <w:style w:type="paragraph" w:customStyle="1" w:styleId="154">
    <w:name w:val="样式 宋体 行距: 1.5 倍行距"/>
    <w:basedOn w:val="1"/>
    <w:qFormat/>
    <w:uiPriority w:val="0"/>
    <w:pPr>
      <w:ind w:firstLine="200" w:firstLineChars="200"/>
      <w:jc w:val="left"/>
    </w:pPr>
    <w:rPr>
      <w:rFonts w:ascii="宋体" w:hAnsi="宋体"/>
      <w:color w:val="7030A0"/>
      <w:szCs w:val="20"/>
    </w:rPr>
  </w:style>
  <w:style w:type="paragraph" w:customStyle="1" w:styleId="155">
    <w:name w:val="样式 左侧:  2 字符 段前: 0.5 行"/>
    <w:basedOn w:val="1"/>
    <w:qFormat/>
    <w:uiPriority w:val="0"/>
    <w:pPr>
      <w:spacing w:beforeLines="50"/>
      <w:ind w:firstLine="200" w:firstLineChars="200"/>
    </w:pPr>
    <w:rPr>
      <w:rFonts w:ascii="宋体" w:cs="宋体"/>
      <w:sz w:val="24"/>
      <w:szCs w:val="20"/>
    </w:rPr>
  </w:style>
  <w:style w:type="paragraph" w:customStyle="1" w:styleId="156">
    <w:name w:val="八级正文格式"/>
    <w:basedOn w:val="136"/>
    <w:qFormat/>
    <w:uiPriority w:val="0"/>
    <w:pPr>
      <w:spacing w:after="120"/>
      <w:ind w:firstLine="0" w:firstLineChars="0"/>
    </w:pPr>
  </w:style>
  <w:style w:type="paragraph" w:customStyle="1" w:styleId="157">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宋体" w:eastAsia="黑体" w:cs="宋体"/>
      <w:kern w:val="0"/>
      <w:szCs w:val="21"/>
    </w:rPr>
  </w:style>
  <w:style w:type="paragraph" w:customStyle="1" w:styleId="158">
    <w:name w:val="样式 样式 列表框 Char Char Char Char Char + 段后: 0.5 行 + 左侧:  6 字符 首行缩进..."/>
    <w:basedOn w:val="159"/>
    <w:qFormat/>
    <w:uiPriority w:val="0"/>
    <w:pPr>
      <w:tabs>
        <w:tab w:val="left" w:pos="420"/>
        <w:tab w:val="left" w:pos="2297"/>
      </w:tabs>
      <w:ind w:left="2297" w:leftChars="0" w:hanging="420" w:firstLineChars="0"/>
    </w:pPr>
  </w:style>
  <w:style w:type="paragraph" w:customStyle="1" w:styleId="159">
    <w:name w:val="样式 列表框 Char Char Char Char Char + 段后: 0.5 行"/>
    <w:basedOn w:val="160"/>
    <w:qFormat/>
    <w:uiPriority w:val="0"/>
    <w:pPr>
      <w:tabs>
        <w:tab w:val="left" w:pos="420"/>
      </w:tabs>
      <w:spacing w:after="156"/>
    </w:pPr>
    <w:rPr>
      <w:szCs w:val="20"/>
    </w:rPr>
  </w:style>
  <w:style w:type="paragraph" w:customStyle="1" w:styleId="160">
    <w:name w:val="正常文本 Char Char Char Char Char Char Char Char Char Char Char Char Char Char"/>
    <w:basedOn w:val="1"/>
    <w:qFormat/>
    <w:uiPriority w:val="0"/>
    <w:pPr>
      <w:spacing w:afterLines="50" w:line="320" w:lineRule="exact"/>
      <w:ind w:left="600" w:leftChars="600" w:firstLine="208" w:firstLineChars="208"/>
      <w:jc w:val="left"/>
    </w:pPr>
    <w:rPr>
      <w:rFonts w:ascii="宋体" w:hAnsi="宋体" w:eastAsia="楷体_GB2312"/>
      <w:color w:val="7030A0"/>
      <w:szCs w:val="18"/>
    </w:rPr>
  </w:style>
  <w:style w:type="paragraph" w:customStyle="1" w:styleId="161">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62">
    <w:name w:val="条文 5"/>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163">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164">
    <w:name w:val="xl7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 w:val="24"/>
    </w:rPr>
  </w:style>
  <w:style w:type="paragraph" w:customStyle="1" w:styleId="165">
    <w:name w:val="正文111"/>
    <w:basedOn w:val="1"/>
    <w:qFormat/>
    <w:uiPriority w:val="0"/>
    <w:pPr>
      <w:tabs>
        <w:tab w:val="left" w:pos="840"/>
      </w:tabs>
      <w:snapToGrid w:val="0"/>
      <w:spacing w:line="500" w:lineRule="exact"/>
      <w:ind w:left="840" w:hanging="420"/>
    </w:pPr>
    <w:rPr>
      <w:rFonts w:ascii="宋体" w:hAnsi="宋体"/>
      <w:sz w:val="24"/>
      <w:szCs w:val="20"/>
    </w:rPr>
  </w:style>
  <w:style w:type="paragraph" w:customStyle="1" w:styleId="166">
    <w:name w:val="正文文本缩进 21"/>
    <w:basedOn w:val="1"/>
    <w:qFormat/>
    <w:uiPriority w:val="0"/>
    <w:pPr>
      <w:autoSpaceDE w:val="0"/>
      <w:autoSpaceDN w:val="0"/>
      <w:adjustRightInd w:val="0"/>
      <w:spacing w:line="360" w:lineRule="auto"/>
      <w:ind w:firstLine="360" w:firstLineChars="200"/>
      <w:jc w:val="left"/>
      <w:textAlignment w:val="baseline"/>
    </w:pPr>
    <w:rPr>
      <w:rFonts w:ascii="宋体"/>
      <w:color w:val="7030A0"/>
      <w:sz w:val="24"/>
      <w:szCs w:val="20"/>
    </w:rPr>
  </w:style>
  <w:style w:type="paragraph" w:customStyle="1" w:styleId="167">
    <w:name w:val="批注框文本1"/>
    <w:basedOn w:val="1"/>
    <w:qFormat/>
    <w:uiPriority w:val="0"/>
    <w:rPr>
      <w:sz w:val="16"/>
      <w:szCs w:val="16"/>
    </w:rPr>
  </w:style>
  <w:style w:type="paragraph" w:customStyle="1" w:styleId="168">
    <w:name w:val="*"/>
    <w:basedOn w:val="1"/>
    <w:qFormat/>
    <w:uiPriority w:val="0"/>
    <w:pPr>
      <w:spacing w:line="360" w:lineRule="auto"/>
    </w:pPr>
    <w:rPr>
      <w:rFonts w:ascii="宋体" w:hAnsi="宋体"/>
      <w:kern w:val="0"/>
      <w:sz w:val="24"/>
    </w:rPr>
  </w:style>
  <w:style w:type="paragraph" w:customStyle="1" w:styleId="169">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rPr>
  </w:style>
  <w:style w:type="paragraph" w:customStyle="1" w:styleId="170">
    <w:name w:val="表格标题"/>
    <w:basedOn w:val="7"/>
    <w:qFormat/>
    <w:uiPriority w:val="0"/>
    <w:pPr>
      <w:tabs>
        <w:tab w:val="clear" w:pos="1008"/>
      </w:tabs>
      <w:spacing w:before="0" w:after="0" w:line="240" w:lineRule="auto"/>
      <w:ind w:left="0" w:firstLine="0"/>
      <w:jc w:val="center"/>
      <w:outlineLvl w:val="8"/>
    </w:pPr>
    <w:rPr>
      <w:b w:val="0"/>
      <w:sz w:val="21"/>
      <w:szCs w:val="28"/>
      <w:lang w:val="zh-CN"/>
    </w:rPr>
  </w:style>
  <w:style w:type="paragraph" w:customStyle="1" w:styleId="171">
    <w:name w:val="七级标题格式"/>
    <w:basedOn w:val="1"/>
    <w:qFormat/>
    <w:uiPriority w:val="0"/>
    <w:pPr>
      <w:spacing w:afterLines="50" w:line="336" w:lineRule="auto"/>
      <w:ind w:firstLine="200" w:firstLineChars="200"/>
      <w:jc w:val="left"/>
      <w:outlineLvl w:val="6"/>
    </w:pPr>
    <w:rPr>
      <w:color w:val="7030A0"/>
      <w:sz w:val="24"/>
    </w:rPr>
  </w:style>
  <w:style w:type="paragraph" w:customStyle="1" w:styleId="172">
    <w:name w:val="Part Title"/>
    <w:basedOn w:val="1"/>
    <w:next w:val="1"/>
    <w:qFormat/>
    <w:uiPriority w:val="0"/>
    <w:pPr>
      <w:keepNext/>
      <w:keepLines/>
      <w:widowControl/>
      <w:tabs>
        <w:tab w:val="left" w:pos="720"/>
        <w:tab w:val="left" w:pos="1080"/>
        <w:tab w:val="left" w:pos="1627"/>
      </w:tabs>
      <w:spacing w:before="600" w:after="120" w:line="300" w:lineRule="exact"/>
      <w:jc w:val="center"/>
    </w:pPr>
    <w:rPr>
      <w:rFonts w:ascii="Arial" w:hAnsi="Arial"/>
      <w:b/>
      <w:kern w:val="28"/>
      <w:sz w:val="36"/>
      <w:szCs w:val="20"/>
    </w:rPr>
  </w:style>
  <w:style w:type="paragraph" w:customStyle="1" w:styleId="173">
    <w:name w:val="表格文字"/>
    <w:basedOn w:val="146"/>
    <w:qFormat/>
    <w:uiPriority w:val="0"/>
  </w:style>
  <w:style w:type="paragraph" w:customStyle="1" w:styleId="174">
    <w:name w:val="二级标题格式"/>
    <w:basedOn w:val="4"/>
    <w:qFormat/>
    <w:uiPriority w:val="0"/>
    <w:pPr>
      <w:spacing w:before="0" w:afterLines="100" w:line="240" w:lineRule="auto"/>
      <w:jc w:val="left"/>
    </w:pPr>
    <w:rPr>
      <w:rFonts w:ascii="Times New Roman" w:hAnsi="Times New Roman"/>
      <w:b w:val="0"/>
      <w:color w:val="C00000"/>
      <w:sz w:val="28"/>
      <w:szCs w:val="28"/>
    </w:rPr>
  </w:style>
  <w:style w:type="paragraph" w:customStyle="1" w:styleId="175">
    <w:name w:val="样式 标题 1标题 1 1编号标题1标题1 + 宋体 加粗"/>
    <w:basedOn w:val="3"/>
    <w:qFormat/>
    <w:uiPriority w:val="0"/>
    <w:pPr>
      <w:tabs>
        <w:tab w:val="left" w:pos="2340"/>
        <w:tab w:val="clear" w:pos="1440"/>
      </w:tabs>
      <w:spacing w:before="240" w:afterLines="50" w:line="360" w:lineRule="exact"/>
      <w:ind w:left="1304" w:hanging="1304"/>
      <w:jc w:val="left"/>
    </w:pPr>
    <w:rPr>
      <w:rFonts w:ascii="宋体" w:hAnsi="宋体" w:cs="Arial"/>
      <w:sz w:val="28"/>
      <w:szCs w:val="28"/>
    </w:rPr>
  </w:style>
  <w:style w:type="paragraph" w:customStyle="1" w:styleId="176">
    <w:name w:val="xl36"/>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77">
    <w:name w:val="列表框 Char Char Char Char Char"/>
    <w:basedOn w:val="160"/>
    <w:next w:val="160"/>
    <w:qFormat/>
    <w:uiPriority w:val="0"/>
    <w:pPr>
      <w:tabs>
        <w:tab w:val="left" w:pos="450"/>
        <w:tab w:val="left" w:pos="874"/>
      </w:tabs>
      <w:adjustRightInd w:val="0"/>
      <w:snapToGrid w:val="0"/>
      <w:ind w:left="874" w:leftChars="0" w:right="-5" w:rightChars="-5" w:hanging="420" w:firstLineChars="0"/>
    </w:pPr>
    <w:rPr>
      <w:rFonts w:ascii="Times New Roman" w:hAnsi="Times New Roman"/>
      <w:szCs w:val="21"/>
    </w:rPr>
  </w:style>
  <w:style w:type="paragraph" w:customStyle="1" w:styleId="178">
    <w:name w:val="Subhead 1"/>
    <w:basedOn w:val="1"/>
    <w:qFormat/>
    <w:uiPriority w:val="0"/>
    <w:pPr>
      <w:keepNext/>
      <w:pageBreakBefore/>
      <w:widowControl/>
      <w:tabs>
        <w:tab w:val="left" w:pos="1134"/>
        <w:tab w:val="left" w:pos="2552"/>
      </w:tabs>
      <w:autoSpaceDE w:val="0"/>
      <w:autoSpaceDN w:val="0"/>
      <w:adjustRightInd w:val="0"/>
      <w:spacing w:before="510" w:after="400" w:line="420" w:lineRule="atLeast"/>
      <w:ind w:left="1134" w:hanging="1134"/>
      <w:jc w:val="left"/>
    </w:pPr>
    <w:rPr>
      <w:rFonts w:ascii="Arial" w:hAnsi="Arial" w:eastAsia="黑体"/>
      <w:b/>
      <w:kern w:val="0"/>
      <w:sz w:val="32"/>
      <w:szCs w:val="20"/>
    </w:rPr>
  </w:style>
  <w:style w:type="paragraph" w:customStyle="1" w:styleId="179">
    <w:name w:val="正文文本2"/>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80">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81">
    <w:name w:val="Sprechblasentext"/>
    <w:basedOn w:val="1"/>
    <w:qFormat/>
    <w:uiPriority w:val="0"/>
    <w:pPr>
      <w:spacing w:line="300" w:lineRule="atLeast"/>
      <w:ind w:firstLine="709"/>
    </w:pPr>
    <w:rPr>
      <w:rFonts w:ascii="Tahoma" w:hAnsi="Tahoma" w:cs="Tahoma"/>
      <w:sz w:val="16"/>
      <w:szCs w:val="16"/>
    </w:rPr>
  </w:style>
  <w:style w:type="paragraph" w:customStyle="1" w:styleId="182">
    <w:name w:val="p0"/>
    <w:basedOn w:val="1"/>
    <w:qFormat/>
    <w:uiPriority w:val="0"/>
    <w:pPr>
      <w:widowControl/>
    </w:pPr>
    <w:rPr>
      <w:kern w:val="0"/>
      <w:szCs w:val="21"/>
    </w:rPr>
  </w:style>
  <w:style w:type="paragraph" w:customStyle="1" w:styleId="183">
    <w:name w:val="样式 样式 标题 3 + 段前: 1 行 段后: 0.5 行 + 段前: 1 行 段后: 0.5 行"/>
    <w:basedOn w:val="1"/>
    <w:qFormat/>
    <w:uiPriority w:val="0"/>
    <w:pPr>
      <w:keepNext/>
      <w:keepLines/>
      <w:spacing w:beforeLines="100" w:afterLines="50"/>
      <w:ind w:firstLine="200" w:firstLineChars="200"/>
      <w:jc w:val="left"/>
      <w:outlineLvl w:val="2"/>
    </w:pPr>
    <w:rPr>
      <w:rFonts w:eastAsia="黑体" w:cs="宋体"/>
      <w:bCs/>
      <w:color w:val="7030A0"/>
      <w:sz w:val="22"/>
      <w:szCs w:val="22"/>
    </w:rPr>
  </w:style>
  <w:style w:type="paragraph" w:customStyle="1" w:styleId="184">
    <w:name w:val="表格正文"/>
    <w:basedOn w:val="1"/>
    <w:next w:val="1"/>
    <w:qFormat/>
    <w:uiPriority w:val="0"/>
    <w:pPr>
      <w:adjustRightInd w:val="0"/>
      <w:snapToGrid w:val="0"/>
      <w:jc w:val="center"/>
    </w:pPr>
    <w:rPr>
      <w:color w:val="548DD4"/>
    </w:rPr>
  </w:style>
  <w:style w:type="paragraph" w:customStyle="1" w:styleId="185">
    <w:name w:val="样式1"/>
    <w:basedOn w:val="32"/>
    <w:next w:val="1"/>
    <w:qFormat/>
    <w:uiPriority w:val="0"/>
    <w:pPr>
      <w:jc w:val="left"/>
    </w:pPr>
  </w:style>
  <w:style w:type="paragraph" w:customStyle="1" w:styleId="186">
    <w:name w:val="_Style 19"/>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7">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8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89">
    <w:name w:val="Body text 1"/>
    <w:basedOn w:val="1"/>
    <w:qFormat/>
    <w:uiPriority w:val="0"/>
    <w:pPr>
      <w:tabs>
        <w:tab w:val="left" w:pos="1134"/>
      </w:tabs>
      <w:autoSpaceDE w:val="0"/>
      <w:autoSpaceDN w:val="0"/>
      <w:adjustRightInd w:val="0"/>
      <w:spacing w:before="170" w:line="300" w:lineRule="atLeast"/>
      <w:ind w:left="1134" w:hanging="1134"/>
    </w:pPr>
    <w:rPr>
      <w:color w:val="000000"/>
      <w:kern w:val="0"/>
      <w:sz w:val="24"/>
      <w:szCs w:val="20"/>
    </w:rPr>
  </w:style>
  <w:style w:type="paragraph" w:customStyle="1" w:styleId="190">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91">
    <w:name w:val="一级标题"/>
    <w:qFormat/>
    <w:uiPriority w:val="0"/>
    <w:pPr>
      <w:spacing w:before="480" w:after="120"/>
    </w:pPr>
    <w:rPr>
      <w:rFonts w:ascii="Times New Roman" w:hAnsi="Times New Roman" w:eastAsia="黑体" w:cs="Times New Roman"/>
      <w:b/>
      <w:kern w:val="2"/>
      <w:sz w:val="28"/>
      <w:lang w:val="en-US" w:eastAsia="zh-CN" w:bidi="ar-SA"/>
    </w:rPr>
  </w:style>
  <w:style w:type="paragraph" w:customStyle="1" w:styleId="192">
    <w:name w:val="xl7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黑体" w:hAnsi="宋体" w:eastAsia="黑体" w:cs="宋体"/>
      <w:kern w:val="0"/>
      <w:szCs w:val="21"/>
    </w:rPr>
  </w:style>
  <w:style w:type="paragraph" w:customStyle="1" w:styleId="193">
    <w:name w:val="默认段落字体 Para Char Char Char Char Char Char Char"/>
    <w:basedOn w:val="1"/>
    <w:qFormat/>
    <w:uiPriority w:val="0"/>
    <w:pPr>
      <w:tabs>
        <w:tab w:val="left" w:pos="4665"/>
        <w:tab w:val="left" w:pos="8970"/>
      </w:tabs>
      <w:ind w:firstLine="400"/>
    </w:pPr>
    <w:rPr>
      <w:szCs w:val="20"/>
    </w:rPr>
  </w:style>
  <w:style w:type="paragraph" w:customStyle="1" w:styleId="194">
    <w:name w:val="mjd"/>
    <w:basedOn w:val="1"/>
    <w:qFormat/>
    <w:uiPriority w:val="0"/>
    <w:pPr>
      <w:tabs>
        <w:tab w:val="left" w:pos="1080"/>
        <w:tab w:val="left" w:pos="6960"/>
      </w:tabs>
      <w:autoSpaceDE w:val="0"/>
      <w:autoSpaceDN w:val="0"/>
      <w:adjustRightInd w:val="0"/>
      <w:spacing w:line="312" w:lineRule="atLeast"/>
      <w:ind w:left="1080" w:hanging="1080"/>
      <w:jc w:val="left"/>
    </w:pPr>
    <w:rPr>
      <w:rFonts w:hint="eastAsia" w:ascii="宋体" w:hAnsi="Tms Rmn"/>
      <w:kern w:val="0"/>
      <w:szCs w:val="20"/>
    </w:rPr>
  </w:style>
  <w:style w:type="paragraph" w:customStyle="1" w:styleId="195">
    <w:name w:val="xl40"/>
    <w:basedOn w:val="1"/>
    <w:qFormat/>
    <w:uiPriority w:val="0"/>
    <w:pPr>
      <w:widowControl/>
      <w:pBdr>
        <w:top w:val="single" w:color="auto" w:sz="4" w:space="0"/>
        <w:bottom w:val="single" w:color="auto" w:sz="4" w:space="0"/>
      </w:pBdr>
      <w:spacing w:before="100" w:beforeAutospacing="1" w:after="100" w:afterAutospacing="1"/>
      <w:jc w:val="left"/>
    </w:pPr>
    <w:rPr>
      <w:kern w:val="0"/>
      <w:sz w:val="24"/>
    </w:rPr>
  </w:style>
  <w:style w:type="paragraph" w:customStyle="1" w:styleId="196">
    <w:name w:val="招标文件》"/>
    <w:basedOn w:val="197"/>
    <w:qFormat/>
    <w:uiPriority w:val="0"/>
    <w:pPr>
      <w:tabs>
        <w:tab w:val="left" w:pos="560"/>
      </w:tabs>
      <w:ind w:left="200" w:firstLine="0" w:firstLineChars="0"/>
    </w:pPr>
  </w:style>
  <w:style w:type="paragraph" w:customStyle="1" w:styleId="197">
    <w:name w:val="招标文件正文"/>
    <w:qFormat/>
    <w:uiPriority w:val="0"/>
    <w:pPr>
      <w:spacing w:before="120" w:after="120" w:line="300" w:lineRule="auto"/>
      <w:ind w:firstLine="200" w:firstLineChars="200"/>
    </w:pPr>
    <w:rPr>
      <w:rFonts w:ascii="宋体" w:hAnsi="Times New Roman" w:eastAsia="宋体" w:cs="Times New Roman"/>
      <w:spacing w:val="10"/>
      <w:w w:val="95"/>
      <w:sz w:val="21"/>
      <w:lang w:val="en-US" w:eastAsia="zh-CN" w:bidi="ar-SA"/>
    </w:rPr>
  </w:style>
  <w:style w:type="paragraph" w:customStyle="1" w:styleId="198">
    <w:name w:val="Numbered List"/>
    <w:basedOn w:val="32"/>
    <w:qFormat/>
    <w:uiPriority w:val="0"/>
    <w:pPr>
      <w:widowControl/>
      <w:pBdr>
        <w:bottom w:val="none" w:color="auto" w:sz="0" w:space="0"/>
      </w:pBdr>
      <w:tabs>
        <w:tab w:val="left" w:pos="360"/>
        <w:tab w:val="clear" w:pos="4153"/>
        <w:tab w:val="clear" w:pos="8306"/>
      </w:tabs>
      <w:snapToGrid/>
      <w:ind w:left="360" w:hanging="360"/>
      <w:jc w:val="left"/>
    </w:pPr>
    <w:rPr>
      <w:rFonts w:ascii="Univers" w:hAnsi="Univers"/>
      <w:kern w:val="0"/>
      <w:sz w:val="22"/>
      <w:szCs w:val="20"/>
    </w:rPr>
  </w:style>
  <w:style w:type="paragraph" w:customStyle="1" w:styleId="199">
    <w:name w:val="列出段落1"/>
    <w:basedOn w:val="1"/>
    <w:qFormat/>
    <w:uiPriority w:val="0"/>
    <w:pPr>
      <w:ind w:firstLine="420" w:firstLineChars="200"/>
    </w:pPr>
    <w:rPr>
      <w:szCs w:val="20"/>
    </w:rPr>
  </w:style>
  <w:style w:type="paragraph" w:customStyle="1" w:styleId="200">
    <w:name w:val="font6"/>
    <w:basedOn w:val="1"/>
    <w:qFormat/>
    <w:uiPriority w:val="0"/>
    <w:pPr>
      <w:widowControl/>
      <w:spacing w:before="100" w:beforeAutospacing="1" w:after="100" w:afterAutospacing="1"/>
      <w:jc w:val="left"/>
    </w:pPr>
    <w:rPr>
      <w:rFonts w:hint="eastAsia" w:ascii="宋体" w:hAnsi="宋体"/>
      <w:kern w:val="0"/>
      <w:sz w:val="20"/>
      <w:szCs w:val="20"/>
    </w:rPr>
  </w:style>
  <w:style w:type="paragraph" w:customStyle="1" w:styleId="201">
    <w:name w:val="font7"/>
    <w:basedOn w:val="1"/>
    <w:qFormat/>
    <w:uiPriority w:val="0"/>
    <w:pPr>
      <w:widowControl/>
      <w:spacing w:before="100" w:beforeAutospacing="1" w:after="100" w:afterAutospacing="1"/>
      <w:jc w:val="left"/>
    </w:pPr>
    <w:rPr>
      <w:rFonts w:ascii="宋体" w:hAnsi="宋体" w:cs="宋体"/>
      <w:kern w:val="0"/>
      <w:szCs w:val="21"/>
    </w:rPr>
  </w:style>
  <w:style w:type="paragraph" w:customStyle="1" w:styleId="202">
    <w:name w:val="xl52"/>
    <w:basedOn w:val="1"/>
    <w:qFormat/>
    <w:uiPriority w:val="0"/>
    <w:pPr>
      <w:widowControl/>
      <w:pBdr>
        <w:top w:val="single" w:color="auto" w:sz="4" w:space="0"/>
        <w:left w:val="single" w:color="auto" w:sz="4" w:space="0"/>
        <w:right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203">
    <w:name w:val="正文3"/>
    <w:qFormat/>
    <w:uiPriority w:val="0"/>
    <w:pPr>
      <w:spacing w:line="400" w:lineRule="exact"/>
      <w:ind w:firstLine="200" w:firstLineChars="200"/>
      <w:jc w:val="both"/>
    </w:pPr>
    <w:rPr>
      <w:rFonts w:ascii="Times New Roman" w:hAnsi="Times New Roman" w:eastAsia="宋体" w:cs="Times New Roman"/>
      <w:kern w:val="2"/>
      <w:sz w:val="24"/>
      <w:lang w:val="en-US" w:eastAsia="zh-CN" w:bidi="ar-SA"/>
    </w:rPr>
  </w:style>
  <w:style w:type="paragraph" w:customStyle="1" w:styleId="204">
    <w:name w:val="Char1 Char Char1 Char Char Char Char Char Char"/>
    <w:basedOn w:val="1"/>
    <w:qFormat/>
    <w:uiPriority w:val="0"/>
  </w:style>
  <w:style w:type="paragraph" w:customStyle="1" w:styleId="205">
    <w:name w:val="正文文本1"/>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206">
    <w:name w:val="样式 标题 5 + 右侧:  -0.18 字符"/>
    <w:basedOn w:val="1"/>
    <w:qFormat/>
    <w:uiPriority w:val="0"/>
    <w:pPr>
      <w:tabs>
        <w:tab w:val="left" w:pos="1008"/>
      </w:tabs>
      <w:ind w:left="1134" w:hanging="1134"/>
    </w:pPr>
  </w:style>
  <w:style w:type="paragraph" w:customStyle="1" w:styleId="207">
    <w:name w:val="xl24"/>
    <w:basedOn w:val="1"/>
    <w:qFormat/>
    <w:uiPriority w:val="0"/>
    <w:pPr>
      <w:widowControl/>
      <w:spacing w:before="100" w:beforeAutospacing="1" w:after="100" w:afterAutospacing="1"/>
      <w:jc w:val="left"/>
    </w:pPr>
    <w:rPr>
      <w:kern w:val="0"/>
      <w:sz w:val="24"/>
    </w:rPr>
  </w:style>
  <w:style w:type="paragraph" w:customStyle="1" w:styleId="208">
    <w:name w:val="xl28"/>
    <w:basedOn w:val="1"/>
    <w:qFormat/>
    <w:uiPriority w:val="0"/>
    <w:pPr>
      <w:widowControl/>
      <w:spacing w:before="100" w:beforeAutospacing="1" w:after="100" w:afterAutospacing="1"/>
      <w:jc w:val="center"/>
    </w:pPr>
    <w:rPr>
      <w:kern w:val="0"/>
      <w:sz w:val="24"/>
    </w:rPr>
  </w:style>
  <w:style w:type="paragraph" w:customStyle="1" w:styleId="209">
    <w:name w:val="默认段落字体 Para Char Char Char Char"/>
    <w:basedOn w:val="1"/>
    <w:qFormat/>
    <w:uiPriority w:val="0"/>
    <w:rPr>
      <w:szCs w:val="20"/>
    </w:rPr>
  </w:style>
  <w:style w:type="paragraph" w:customStyle="1" w:styleId="210">
    <w:name w:val="註解方塊文字"/>
    <w:basedOn w:val="1"/>
    <w:qFormat/>
    <w:uiPriority w:val="0"/>
    <w:pPr>
      <w:widowControl/>
      <w:jc w:val="left"/>
    </w:pPr>
    <w:rPr>
      <w:rFonts w:ascii="Arial" w:hAnsi="Arial" w:eastAsia="PMingLiU"/>
      <w:kern w:val="0"/>
      <w:sz w:val="18"/>
      <w:szCs w:val="18"/>
    </w:rPr>
  </w:style>
  <w:style w:type="paragraph" w:customStyle="1" w:styleId="211">
    <w:name w:val="标题四"/>
    <w:basedOn w:val="212"/>
    <w:qFormat/>
    <w:uiPriority w:val="0"/>
    <w:pPr>
      <w:tabs>
        <w:tab w:val="left" w:pos="0"/>
      </w:tabs>
      <w:spacing w:line="360" w:lineRule="auto"/>
      <w:ind w:left="0"/>
    </w:pPr>
    <w:rPr>
      <w:rFonts w:ascii="Tahoma" w:hAnsi="Tahoma"/>
      <w:sz w:val="24"/>
      <w:szCs w:val="24"/>
    </w:rPr>
  </w:style>
  <w:style w:type="paragraph" w:customStyle="1" w:styleId="212">
    <w:name w:val="招标文件1.1.1"/>
    <w:qFormat/>
    <w:uiPriority w:val="0"/>
    <w:pPr>
      <w:spacing w:before="120" w:after="120" w:line="480" w:lineRule="exact"/>
      <w:ind w:left="200"/>
      <w:outlineLvl w:val="3"/>
    </w:pPr>
    <w:rPr>
      <w:rFonts w:ascii="宋体" w:hAnsi="Times New Roman" w:eastAsia="宋体" w:cs="Times New Roman"/>
      <w:b/>
      <w:spacing w:val="10"/>
      <w:w w:val="95"/>
      <w:sz w:val="21"/>
      <w:lang w:val="en-US" w:eastAsia="zh-CN" w:bidi="ar-SA"/>
    </w:rPr>
  </w:style>
  <w:style w:type="paragraph" w:customStyle="1" w:styleId="213">
    <w:name w:val="font5"/>
    <w:basedOn w:val="1"/>
    <w:qFormat/>
    <w:uiPriority w:val="0"/>
    <w:pPr>
      <w:widowControl/>
      <w:spacing w:before="100" w:beforeAutospacing="1" w:after="100" w:afterAutospacing="1"/>
      <w:jc w:val="left"/>
    </w:pPr>
    <w:rPr>
      <w:b/>
      <w:bCs/>
      <w:kern w:val="0"/>
      <w:sz w:val="22"/>
      <w:szCs w:val="22"/>
    </w:rPr>
  </w:style>
  <w:style w:type="paragraph" w:customStyle="1" w:styleId="214">
    <w:name w:val="Char Char Char Char Char"/>
    <w:basedOn w:val="1"/>
    <w:qFormat/>
    <w:uiPriority w:val="0"/>
    <w:pPr>
      <w:ind w:firstLine="200" w:firstLineChars="200"/>
      <w:jc w:val="left"/>
    </w:pPr>
    <w:rPr>
      <w:rFonts w:ascii="Tahoma" w:hAnsi="Tahoma"/>
      <w:color w:val="7030A0"/>
      <w:sz w:val="24"/>
      <w:szCs w:val="20"/>
    </w:rPr>
  </w:style>
  <w:style w:type="paragraph" w:customStyle="1" w:styleId="21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kern w:val="0"/>
      <w:sz w:val="20"/>
      <w:szCs w:val="20"/>
    </w:rPr>
  </w:style>
  <w:style w:type="paragraph" w:customStyle="1" w:styleId="216">
    <w:name w:val="样式 标题 4 + 段前: 自动"/>
    <w:basedOn w:val="6"/>
    <w:qFormat/>
    <w:uiPriority w:val="0"/>
    <w:pPr>
      <w:tabs>
        <w:tab w:val="left" w:pos="1062"/>
      </w:tabs>
      <w:spacing w:beforeLines="50" w:after="0" w:line="400" w:lineRule="exact"/>
      <w:ind w:left="1062" w:hanging="864"/>
    </w:pPr>
    <w:rPr>
      <w:rFonts w:ascii="宋体" w:hAnsi="Arial" w:cs="宋体"/>
      <w:sz w:val="24"/>
      <w:szCs w:val="24"/>
    </w:rPr>
  </w:style>
  <w:style w:type="paragraph" w:customStyle="1" w:styleId="217">
    <w:name w:val="顺序编号-zlb"/>
    <w:basedOn w:val="218"/>
    <w:qFormat/>
    <w:uiPriority w:val="0"/>
    <w:pPr>
      <w:tabs>
        <w:tab w:val="left" w:pos="0"/>
      </w:tabs>
      <w:ind w:firstLine="425"/>
      <w:outlineLvl w:val="8"/>
    </w:pPr>
  </w:style>
  <w:style w:type="paragraph" w:customStyle="1" w:styleId="218">
    <w:name w:val="级别4"/>
    <w:basedOn w:val="219"/>
    <w:qFormat/>
    <w:uiPriority w:val="0"/>
    <w:pPr>
      <w:tabs>
        <w:tab w:val="left" w:pos="0"/>
      </w:tabs>
      <w:outlineLvl w:val="3"/>
    </w:pPr>
    <w:rPr>
      <w:b w:val="0"/>
      <w:kern w:val="0"/>
    </w:rPr>
  </w:style>
  <w:style w:type="paragraph" w:customStyle="1" w:styleId="219">
    <w:name w:val="级别2"/>
    <w:basedOn w:val="3"/>
    <w:qFormat/>
    <w:uiPriority w:val="0"/>
    <w:pPr>
      <w:tabs>
        <w:tab w:val="left" w:pos="0"/>
        <w:tab w:val="clear" w:pos="1440"/>
      </w:tabs>
      <w:adjustRightInd w:val="0"/>
      <w:snapToGrid w:val="0"/>
      <w:spacing w:before="0" w:after="0" w:line="360" w:lineRule="auto"/>
      <w:ind w:left="0" w:firstLine="0"/>
      <w:outlineLvl w:val="1"/>
    </w:pPr>
    <w:rPr>
      <w:rFonts w:ascii="宋体" w:hAnsi="宋体"/>
      <w:bCs w:val="0"/>
      <w:sz w:val="24"/>
      <w:szCs w:val="24"/>
    </w:rPr>
  </w:style>
  <w:style w:type="paragraph" w:customStyle="1" w:styleId="220">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221">
    <w:name w:val="专用"/>
    <w:basedOn w:val="1"/>
    <w:qFormat/>
    <w:uiPriority w:val="0"/>
    <w:pPr>
      <w:spacing w:afterLines="100"/>
      <w:ind w:left="838" w:hanging="838" w:hangingChars="262"/>
    </w:pPr>
    <w:rPr>
      <w:rFonts w:ascii="宋体"/>
      <w:b/>
      <w:color w:val="000000"/>
      <w:sz w:val="32"/>
      <w:szCs w:val="20"/>
    </w:rPr>
  </w:style>
  <w:style w:type="paragraph" w:customStyle="1" w:styleId="222">
    <w:name w:val="二级标题"/>
    <w:qFormat/>
    <w:uiPriority w:val="0"/>
    <w:pPr>
      <w:spacing w:before="240" w:after="120"/>
    </w:pPr>
    <w:rPr>
      <w:rFonts w:ascii="Times New Roman" w:hAnsi="Times New Roman" w:eastAsia="黑体" w:cs="Times New Roman"/>
      <w:b/>
      <w:kern w:val="2"/>
      <w:sz w:val="26"/>
      <w:lang w:val="en-US" w:eastAsia="zh-CN" w:bidi="ar-SA"/>
    </w:rPr>
  </w:style>
  <w:style w:type="paragraph" w:customStyle="1" w:styleId="223">
    <w:name w:val="xl56"/>
    <w:basedOn w:val="1"/>
    <w:qFormat/>
    <w:uiPriority w:val="0"/>
    <w:pPr>
      <w:widowControl/>
      <w:pBdr>
        <w:top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224">
    <w:name w:val="llp2"/>
    <w:basedOn w:val="1"/>
    <w:qFormat/>
    <w:uiPriority w:val="0"/>
    <w:pPr>
      <w:spacing w:beforeLines="100" w:afterLines="100" w:line="240" w:lineRule="atLeast"/>
      <w:ind w:firstLine="200" w:firstLineChars="200"/>
      <w:jc w:val="left"/>
      <w:outlineLvl w:val="1"/>
    </w:pPr>
    <w:rPr>
      <w:rFonts w:eastAsia="黑体"/>
      <w:color w:val="7030A0"/>
      <w:sz w:val="32"/>
      <w:szCs w:val="32"/>
    </w:rPr>
  </w:style>
  <w:style w:type="paragraph" w:customStyle="1" w:styleId="225">
    <w:name w:val="Sub title 1"/>
    <w:basedOn w:val="205"/>
    <w:qFormat/>
    <w:uiPriority w:val="0"/>
    <w:pPr>
      <w:tabs>
        <w:tab w:val="left" w:pos="1304"/>
      </w:tabs>
      <w:ind w:left="1304" w:hanging="170"/>
    </w:pPr>
    <w:rPr>
      <w:color w:val="auto"/>
    </w:rPr>
  </w:style>
  <w:style w:type="paragraph" w:customStyle="1" w:styleId="226">
    <w:name w:val="xl47"/>
    <w:basedOn w:val="1"/>
    <w:qFormat/>
    <w:uiPriority w:val="0"/>
    <w:pPr>
      <w:widowControl/>
      <w:pBdr>
        <w:left w:val="single" w:color="auto" w:sz="4" w:space="0"/>
        <w:right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227">
    <w:name w:val="样式 样式 首行缩进:  2 字符 + 首行缩进:  2 字符"/>
    <w:basedOn w:val="1"/>
    <w:qFormat/>
    <w:uiPriority w:val="0"/>
    <w:pPr>
      <w:spacing w:line="360" w:lineRule="auto"/>
      <w:ind w:firstLine="200" w:firstLineChars="200"/>
      <w:jc w:val="left"/>
    </w:pPr>
    <w:rPr>
      <w:rFonts w:cs="宋体"/>
      <w:color w:val="7030A0"/>
      <w:szCs w:val="20"/>
    </w:rPr>
  </w:style>
  <w:style w:type="paragraph" w:customStyle="1" w:styleId="228">
    <w:name w:val="正缩2字符"/>
    <w:basedOn w:val="1"/>
    <w:qFormat/>
    <w:uiPriority w:val="0"/>
    <w:pPr>
      <w:spacing w:line="480" w:lineRule="exact"/>
      <w:ind w:firstLine="200" w:firstLineChars="200"/>
    </w:pPr>
    <w:rPr>
      <w:sz w:val="24"/>
    </w:rPr>
  </w:style>
  <w:style w:type="paragraph" w:customStyle="1" w:styleId="229">
    <w:name w:val="招标文件1.1.1.1"/>
    <w:basedOn w:val="1"/>
    <w:qFormat/>
    <w:uiPriority w:val="0"/>
    <w:pPr>
      <w:spacing w:before="120" w:after="120" w:line="480" w:lineRule="exact"/>
      <w:ind w:left="200" w:firstLine="200" w:firstLineChars="200"/>
      <w:jc w:val="left"/>
      <w:outlineLvl w:val="4"/>
    </w:pPr>
    <w:rPr>
      <w:rFonts w:ascii="宋体"/>
      <w:b/>
      <w:color w:val="7030A0"/>
      <w:spacing w:val="10"/>
      <w:w w:val="95"/>
    </w:rPr>
  </w:style>
  <w:style w:type="paragraph" w:customStyle="1" w:styleId="230">
    <w:name w:val="样式 样式 宋体 小四 左侧:  1.85 厘米 段前: 11.15 磅 段后: 11.15 磅 + 图案: 清除 (白色)"/>
    <w:basedOn w:val="1"/>
    <w:qFormat/>
    <w:uiPriority w:val="0"/>
    <w:pPr>
      <w:snapToGrid w:val="0"/>
      <w:ind w:left="1049" w:firstLine="200" w:firstLineChars="200"/>
      <w:jc w:val="left"/>
    </w:pPr>
    <w:rPr>
      <w:color w:val="7030A0"/>
      <w:sz w:val="24"/>
      <w:shd w:val="clear" w:color="auto" w:fill="FFFFFF"/>
    </w:rPr>
  </w:style>
  <w:style w:type="paragraph" w:customStyle="1" w:styleId="231">
    <w:name w:val="标书正文1"/>
    <w:basedOn w:val="1"/>
    <w:qFormat/>
    <w:uiPriority w:val="0"/>
    <w:pPr>
      <w:tabs>
        <w:tab w:val="left" w:pos="1438"/>
      </w:tabs>
      <w:spacing w:before="100" w:after="100" w:line="360" w:lineRule="auto"/>
      <w:ind w:left="1438" w:hanging="720"/>
    </w:pPr>
    <w:rPr>
      <w:rFonts w:ascii="宋体" w:hAnsi="宋体"/>
    </w:rPr>
  </w:style>
  <w:style w:type="paragraph" w:customStyle="1" w:styleId="232">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33">
    <w:name w:val="级别3"/>
    <w:basedOn w:val="219"/>
    <w:qFormat/>
    <w:uiPriority w:val="0"/>
    <w:pPr>
      <w:ind w:firstLine="425"/>
      <w:outlineLvl w:val="2"/>
    </w:pPr>
    <w:rPr>
      <w:b w:val="0"/>
    </w:rPr>
  </w:style>
  <w:style w:type="paragraph" w:customStyle="1" w:styleId="234">
    <w:name w:val="招标文件1）"/>
    <w:qFormat/>
    <w:uiPriority w:val="0"/>
    <w:pPr>
      <w:spacing w:before="120" w:after="120" w:line="300" w:lineRule="auto"/>
      <w:outlineLvl w:val="5"/>
    </w:pPr>
    <w:rPr>
      <w:rFonts w:ascii="宋体" w:hAnsi="Times New Roman" w:eastAsia="宋体" w:cs="Times New Roman"/>
      <w:spacing w:val="10"/>
      <w:w w:val="95"/>
      <w:sz w:val="21"/>
      <w:lang w:val="en-US" w:eastAsia="zh-CN" w:bidi="ar-SA"/>
    </w:rPr>
  </w:style>
  <w:style w:type="paragraph" w:customStyle="1" w:styleId="235">
    <w:name w:val="样式 标题 3列表编号33 bulletb23 bullet1b1213 bullet2b2223 bul...2"/>
    <w:basedOn w:val="1"/>
    <w:qFormat/>
    <w:uiPriority w:val="0"/>
    <w:pPr>
      <w:ind w:left="1320" w:hanging="420" w:firstLineChars="200"/>
      <w:jc w:val="left"/>
    </w:pPr>
    <w:rPr>
      <w:color w:val="7030A0"/>
    </w:rPr>
  </w:style>
  <w:style w:type="paragraph" w:customStyle="1" w:styleId="236">
    <w:name w:val="xl53"/>
    <w:basedOn w:val="1"/>
    <w:qFormat/>
    <w:uiPriority w:val="0"/>
    <w:pPr>
      <w:widowControl/>
      <w:pBdr>
        <w:left w:val="single" w:color="auto" w:sz="4" w:space="0"/>
        <w:right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237">
    <w:name w:val="附图 BJ8"/>
    <w:basedOn w:val="1"/>
    <w:qFormat/>
    <w:uiPriority w:val="0"/>
    <w:pPr>
      <w:adjustRightInd w:val="0"/>
      <w:snapToGrid w:val="0"/>
      <w:ind w:firstLine="200" w:firstLineChars="200"/>
      <w:jc w:val="center"/>
    </w:pPr>
    <w:rPr>
      <w:rFonts w:hAnsi="Arial"/>
      <w:color w:val="7030A0"/>
      <w:kern w:val="0"/>
    </w:rPr>
  </w:style>
  <w:style w:type="paragraph" w:customStyle="1" w:styleId="238">
    <w:name w:val="xl54"/>
    <w:basedOn w:val="1"/>
    <w:qFormat/>
    <w:uiPriority w:val="0"/>
    <w:pPr>
      <w:widowControl/>
      <w:pBdr>
        <w:left w:val="single" w:color="auto" w:sz="4" w:space="0"/>
        <w:bottom w:val="single" w:color="auto" w:sz="4" w:space="0"/>
        <w:right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239">
    <w:name w:val="招标文件1"/>
    <w:basedOn w:val="1"/>
    <w:qFormat/>
    <w:uiPriority w:val="0"/>
    <w:pPr>
      <w:tabs>
        <w:tab w:val="left" w:pos="420"/>
      </w:tabs>
      <w:spacing w:before="120" w:after="120" w:line="480" w:lineRule="exact"/>
      <w:ind w:left="200" w:firstLine="200" w:firstLineChars="200"/>
      <w:jc w:val="left"/>
      <w:outlineLvl w:val="1"/>
    </w:pPr>
    <w:rPr>
      <w:rFonts w:ascii="宋体"/>
      <w:b/>
      <w:color w:val="7030A0"/>
      <w:spacing w:val="10"/>
      <w:w w:val="95"/>
      <w:kern w:val="0"/>
      <w:sz w:val="28"/>
    </w:rPr>
  </w:style>
  <w:style w:type="paragraph" w:customStyle="1" w:styleId="240">
    <w:name w:val="Report Level 1"/>
    <w:basedOn w:val="1"/>
    <w:next w:val="241"/>
    <w:qFormat/>
    <w:uiPriority w:val="0"/>
    <w:pPr>
      <w:keepNext/>
      <w:widowControl/>
      <w:tabs>
        <w:tab w:val="left" w:pos="1080"/>
      </w:tabs>
      <w:spacing w:before="240" w:after="240" w:line="360" w:lineRule="auto"/>
      <w:ind w:left="1080" w:hanging="1080" w:firstLineChars="200"/>
      <w:jc w:val="left"/>
      <w:outlineLvl w:val="0"/>
    </w:pPr>
    <w:rPr>
      <w:rFonts w:ascii="Arial" w:hAnsi="Arial"/>
      <w:b/>
      <w:caps/>
      <w:color w:val="7030A0"/>
      <w:kern w:val="0"/>
      <w:sz w:val="24"/>
      <w:szCs w:val="21"/>
    </w:rPr>
  </w:style>
  <w:style w:type="paragraph" w:customStyle="1" w:styleId="241">
    <w:name w:val="Report Text"/>
    <w:basedOn w:val="1"/>
    <w:qFormat/>
    <w:uiPriority w:val="0"/>
    <w:pPr>
      <w:widowControl/>
      <w:spacing w:after="138"/>
      <w:ind w:left="1080" w:firstLine="200" w:firstLineChars="200"/>
      <w:jc w:val="left"/>
    </w:pPr>
    <w:rPr>
      <w:color w:val="7030A0"/>
      <w:kern w:val="0"/>
      <w:sz w:val="22"/>
      <w:szCs w:val="20"/>
      <w:lang w:eastAsia="en-US"/>
    </w:rPr>
  </w:style>
  <w:style w:type="paragraph" w:customStyle="1" w:styleId="242">
    <w:name w:val="xl59"/>
    <w:basedOn w:val="1"/>
    <w:qFormat/>
    <w:uiPriority w:val="0"/>
    <w:pPr>
      <w:widowControl/>
      <w:pBdr>
        <w:bottom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243">
    <w:name w:val="xl45"/>
    <w:basedOn w:val="1"/>
    <w:qFormat/>
    <w:uiPriority w:val="0"/>
    <w:pPr>
      <w:widowControl/>
      <w:pBdr>
        <w:bottom w:val="single" w:color="auto" w:sz="4" w:space="0"/>
        <w:right w:val="single" w:color="auto" w:sz="4" w:space="0"/>
      </w:pBdr>
      <w:spacing w:before="100" w:after="100"/>
      <w:ind w:firstLine="200" w:firstLineChars="200"/>
      <w:jc w:val="center"/>
      <w:textAlignment w:val="center"/>
    </w:pPr>
    <w:rPr>
      <w:rFonts w:eastAsia="Arial Unicode MS"/>
      <w:color w:val="7030A0"/>
      <w:kern w:val="0"/>
      <w:sz w:val="22"/>
      <w:szCs w:val="20"/>
    </w:rPr>
  </w:style>
  <w:style w:type="paragraph" w:customStyle="1" w:styleId="244">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rPr>
  </w:style>
  <w:style w:type="paragraph" w:customStyle="1" w:styleId="245">
    <w:name w:val="xl58"/>
    <w:basedOn w:val="1"/>
    <w:qFormat/>
    <w:uiPriority w:val="0"/>
    <w:pPr>
      <w:widowControl/>
      <w:pBdr>
        <w:left w:val="single" w:color="auto" w:sz="4" w:space="0"/>
        <w:bottom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246">
    <w:name w:val="级别5"/>
    <w:basedOn w:val="218"/>
    <w:qFormat/>
    <w:uiPriority w:val="0"/>
    <w:pPr>
      <w:outlineLvl w:val="4"/>
    </w:pPr>
  </w:style>
  <w:style w:type="paragraph" w:customStyle="1" w:styleId="247">
    <w:name w:val="xl43"/>
    <w:basedOn w:val="1"/>
    <w:qFormat/>
    <w:uiPriority w:val="0"/>
    <w:pPr>
      <w:widowControl/>
      <w:pBdr>
        <w:top w:val="single" w:color="auto" w:sz="4" w:space="0"/>
        <w:left w:val="single" w:color="auto" w:sz="4" w:space="0"/>
        <w:bottom w:val="single" w:color="auto" w:sz="4" w:space="0"/>
        <w:right w:val="single" w:color="auto" w:sz="4" w:space="0"/>
      </w:pBdr>
      <w:spacing w:before="100" w:after="100"/>
      <w:ind w:firstLine="200" w:firstLineChars="200"/>
      <w:jc w:val="center"/>
    </w:pPr>
    <w:rPr>
      <w:rFonts w:eastAsia="Arial Unicode MS"/>
      <w:color w:val="7030A0"/>
      <w:kern w:val="0"/>
      <w:szCs w:val="20"/>
    </w:rPr>
  </w:style>
  <w:style w:type="paragraph" w:customStyle="1" w:styleId="248">
    <w:name w:val="级别1"/>
    <w:basedOn w:val="3"/>
    <w:qFormat/>
    <w:uiPriority w:val="0"/>
    <w:pPr>
      <w:tabs>
        <w:tab w:val="left" w:pos="-1620"/>
        <w:tab w:val="clear" w:pos="1440"/>
      </w:tabs>
      <w:adjustRightInd w:val="0"/>
      <w:snapToGrid w:val="0"/>
      <w:spacing w:before="0" w:after="0" w:line="360" w:lineRule="auto"/>
      <w:ind w:left="2098" w:hanging="2098"/>
    </w:pPr>
    <w:rPr>
      <w:rFonts w:ascii="宋体" w:hAnsi="宋体"/>
      <w:bCs w:val="0"/>
      <w:sz w:val="28"/>
      <w:szCs w:val="28"/>
    </w:rPr>
  </w:style>
  <w:style w:type="paragraph" w:customStyle="1" w:styleId="249">
    <w:name w:val="纯文本1"/>
    <w:basedOn w:val="1"/>
    <w:qFormat/>
    <w:uiPriority w:val="0"/>
    <w:pPr>
      <w:adjustRightInd w:val="0"/>
      <w:spacing w:line="312" w:lineRule="atLeast"/>
      <w:ind w:firstLine="567" w:firstLineChars="200"/>
      <w:jc w:val="left"/>
      <w:textAlignment w:val="baseline"/>
    </w:pPr>
    <w:rPr>
      <w:rFonts w:ascii="宋体" w:hAnsi="Courier New"/>
      <w:color w:val="7030A0"/>
      <w:kern w:val="0"/>
      <w:sz w:val="28"/>
    </w:rPr>
  </w:style>
  <w:style w:type="paragraph" w:customStyle="1" w:styleId="250">
    <w:name w:val="应答文本"/>
    <w:basedOn w:val="1"/>
    <w:qFormat/>
    <w:uiPriority w:val="0"/>
    <w:pPr>
      <w:adjustRightInd w:val="0"/>
      <w:spacing w:afterLines="50" w:line="320" w:lineRule="exact"/>
      <w:ind w:left="480" w:leftChars="200" w:firstLine="460" w:firstLineChars="200"/>
      <w:jc w:val="left"/>
    </w:pPr>
    <w:rPr>
      <w:rFonts w:ascii="Arial" w:hAnsi="Arial" w:eastAsia="楷体_GB2312" w:cs="宋体"/>
      <w:color w:val="7030A0"/>
      <w:spacing w:val="10"/>
      <w:kern w:val="0"/>
      <w:szCs w:val="20"/>
    </w:rPr>
  </w:style>
  <w:style w:type="paragraph" w:customStyle="1" w:styleId="251">
    <w:name w:val="标准"/>
    <w:basedOn w:val="1"/>
    <w:qFormat/>
    <w:uiPriority w:val="0"/>
    <w:pPr>
      <w:adjustRightInd w:val="0"/>
      <w:spacing w:line="312" w:lineRule="atLeast"/>
      <w:jc w:val="center"/>
      <w:textAlignment w:val="baseline"/>
    </w:pPr>
    <w:rPr>
      <w:kern w:val="24"/>
      <w:sz w:val="24"/>
    </w:rPr>
  </w:style>
  <w:style w:type="paragraph" w:customStyle="1" w:styleId="252">
    <w:name w:val="1.1"/>
    <w:basedOn w:val="4"/>
    <w:qFormat/>
    <w:uiPriority w:val="0"/>
    <w:pPr>
      <w:tabs>
        <w:tab w:val="left" w:pos="180"/>
      </w:tabs>
      <w:autoSpaceDE w:val="0"/>
      <w:autoSpaceDN w:val="0"/>
      <w:adjustRightInd w:val="0"/>
      <w:spacing w:before="0" w:after="0" w:line="360" w:lineRule="auto"/>
      <w:jc w:val="left"/>
      <w:outlineLvl w:val="2"/>
    </w:pPr>
    <w:rPr>
      <w:rFonts w:ascii="宋体" w:hAnsi="宋体"/>
      <w:bCs w:val="0"/>
      <w:kern w:val="0"/>
      <w:sz w:val="21"/>
      <w:szCs w:val="20"/>
    </w:rPr>
  </w:style>
  <w:style w:type="paragraph" w:customStyle="1" w:styleId="253">
    <w:name w:val="Char Char Char Char"/>
    <w:basedOn w:val="73"/>
    <w:qFormat/>
    <w:uiPriority w:val="0"/>
    <w:pPr>
      <w:shd w:val="clear" w:color="auto" w:fill="000080"/>
      <w:adjustRightInd w:val="0"/>
      <w:spacing w:line="436" w:lineRule="exact"/>
      <w:ind w:left="357"/>
      <w:jc w:val="left"/>
      <w:outlineLvl w:val="3"/>
    </w:pPr>
    <w:rPr>
      <w:rFonts w:ascii="Tahoma" w:hAnsi="Tahoma"/>
      <w:b/>
      <w:sz w:val="24"/>
      <w:szCs w:val="24"/>
    </w:rPr>
  </w:style>
  <w:style w:type="paragraph" w:customStyle="1" w:styleId="254">
    <w:name w:val="样式 标题2 + 字距调整8 磅"/>
    <w:qFormat/>
    <w:uiPriority w:val="0"/>
    <w:rPr>
      <w:rFonts w:ascii="Times New Roman" w:hAnsi="Times New Roman" w:eastAsia="宋体" w:cs="Times New Roman"/>
      <w:kern w:val="16"/>
      <w:lang w:val="en-US" w:eastAsia="zh-CN" w:bidi="ar-SA"/>
    </w:rPr>
  </w:style>
  <w:style w:type="paragraph" w:customStyle="1" w:styleId="255">
    <w:name w:val="Char Char Char Char Char Char1 Char Char Char Char"/>
    <w:basedOn w:val="1"/>
    <w:qFormat/>
    <w:uiPriority w:val="0"/>
    <w:rPr>
      <w:rFonts w:ascii="仿宋_GB2312" w:eastAsia="仿宋_GB2312"/>
      <w:b/>
      <w:sz w:val="32"/>
      <w:szCs w:val="32"/>
    </w:rPr>
  </w:style>
  <w:style w:type="paragraph" w:customStyle="1" w:styleId="256">
    <w:name w:val="xl32"/>
    <w:basedOn w:val="1"/>
    <w:qFormat/>
    <w:uiPriority w:val="0"/>
    <w:pPr>
      <w:widowControl/>
      <w:spacing w:before="100" w:beforeAutospacing="1" w:after="100" w:afterAutospacing="1"/>
      <w:jc w:val="center"/>
    </w:pPr>
    <w:rPr>
      <w:b/>
      <w:bCs/>
      <w:kern w:val="0"/>
      <w:sz w:val="24"/>
      <w:u w:val="single"/>
    </w:rPr>
  </w:style>
  <w:style w:type="paragraph" w:customStyle="1" w:styleId="25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58">
    <w:name w:val="图1"/>
    <w:basedOn w:val="1"/>
    <w:next w:val="1"/>
    <w:qFormat/>
    <w:uiPriority w:val="0"/>
    <w:pPr>
      <w:tabs>
        <w:tab w:val="left" w:pos="1440"/>
      </w:tabs>
      <w:spacing w:beforeLines="50" w:afterLines="100" w:line="360" w:lineRule="auto"/>
      <w:ind w:left="1105" w:hanging="748"/>
      <w:jc w:val="center"/>
    </w:pPr>
    <w:rPr>
      <w:kern w:val="0"/>
    </w:rPr>
  </w:style>
  <w:style w:type="paragraph" w:customStyle="1" w:styleId="259">
    <w:name w:val="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60">
    <w:name w:val="级别6"/>
    <w:basedOn w:val="246"/>
    <w:qFormat/>
    <w:uiPriority w:val="0"/>
    <w:pPr>
      <w:tabs>
        <w:tab w:val="left" w:pos="405"/>
      </w:tabs>
      <w:ind w:left="409" w:hanging="23"/>
      <w:outlineLvl w:val="5"/>
    </w:pPr>
  </w:style>
  <w:style w:type="paragraph" w:customStyle="1" w:styleId="261">
    <w:name w:val="tll"/>
    <w:basedOn w:val="1"/>
    <w:qFormat/>
    <w:uiPriority w:val="0"/>
    <w:pPr>
      <w:autoSpaceDE w:val="0"/>
      <w:autoSpaceDN w:val="0"/>
      <w:adjustRightInd w:val="0"/>
      <w:spacing w:line="300" w:lineRule="atLeast"/>
      <w:ind w:firstLine="709"/>
      <w:jc w:val="left"/>
      <w:textAlignment w:val="baseline"/>
    </w:pPr>
    <w:rPr>
      <w:rFonts w:ascii="仿宋_GB2312" w:hAnsi="Arial" w:eastAsia="仿宋_GB2312"/>
      <w:kern w:val="0"/>
      <w:szCs w:val="20"/>
    </w:rPr>
  </w:style>
  <w:style w:type="paragraph" w:customStyle="1" w:styleId="262">
    <w:name w:val="xl3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263">
    <w:name w:val="样式 标题 2标题 1.1head:2#2 headlinehheadlineS&amp;R2ERMH2Head 2 +..."/>
    <w:basedOn w:val="4"/>
    <w:qFormat/>
    <w:uiPriority w:val="0"/>
    <w:pPr>
      <w:tabs>
        <w:tab w:val="left" w:pos="907"/>
      </w:tabs>
      <w:autoSpaceDE w:val="0"/>
      <w:autoSpaceDN w:val="0"/>
      <w:adjustRightInd w:val="0"/>
      <w:spacing w:before="120" w:after="120" w:line="360" w:lineRule="auto"/>
      <w:ind w:left="907" w:hanging="907"/>
      <w:jc w:val="center"/>
      <w:textAlignment w:val="baseline"/>
    </w:pPr>
    <w:rPr>
      <w:rFonts w:eastAsia="宋体"/>
      <w:kern w:val="0"/>
      <w:sz w:val="24"/>
      <w:szCs w:val="20"/>
    </w:rPr>
  </w:style>
  <w:style w:type="paragraph" w:customStyle="1" w:styleId="264">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265">
    <w:name w:val="样式4"/>
    <w:basedOn w:val="1"/>
    <w:next w:val="4"/>
    <w:qFormat/>
    <w:uiPriority w:val="0"/>
    <w:pPr>
      <w:tabs>
        <w:tab w:val="left" w:pos="360"/>
      </w:tabs>
      <w:spacing w:line="360" w:lineRule="auto"/>
      <w:ind w:left="360" w:hanging="360"/>
    </w:pPr>
    <w:rPr>
      <w:rFonts w:ascii="宋体" w:hAnsi="宋体"/>
      <w:b/>
      <w:sz w:val="28"/>
      <w:szCs w:val="20"/>
    </w:rPr>
  </w:style>
  <w:style w:type="paragraph" w:customStyle="1" w:styleId="266">
    <w:name w:val="一"/>
    <w:basedOn w:val="3"/>
    <w:qFormat/>
    <w:uiPriority w:val="0"/>
    <w:pPr>
      <w:autoSpaceDE w:val="0"/>
      <w:autoSpaceDN w:val="0"/>
      <w:adjustRightInd w:val="0"/>
      <w:spacing w:before="0" w:after="0" w:line="360" w:lineRule="auto"/>
      <w:jc w:val="left"/>
    </w:pPr>
    <w:rPr>
      <w:rFonts w:ascii="宋体" w:hAnsi="宋体"/>
      <w:kern w:val="0"/>
      <w:sz w:val="28"/>
      <w:szCs w:val="20"/>
    </w:rPr>
  </w:style>
  <w:style w:type="paragraph" w:customStyle="1" w:styleId="267">
    <w:name w:val="样式 样式 正文段落 + 段前: 0.2 行 + 段前: 0.5 行"/>
    <w:basedOn w:val="1"/>
    <w:qFormat/>
    <w:uiPriority w:val="0"/>
    <w:pPr>
      <w:autoSpaceDE w:val="0"/>
      <w:autoSpaceDN w:val="0"/>
      <w:adjustRightInd w:val="0"/>
      <w:snapToGrid w:val="0"/>
      <w:spacing w:beforeLines="20" w:line="540" w:lineRule="exact"/>
      <w:ind w:firstLine="567"/>
      <w:textAlignment w:val="baseline"/>
    </w:pPr>
    <w:rPr>
      <w:rFonts w:ascii="宋体" w:hAnsi="Tms Rmn" w:cs="宋体"/>
      <w:kern w:val="0"/>
      <w:sz w:val="26"/>
      <w:szCs w:val="20"/>
    </w:rPr>
  </w:style>
  <w:style w:type="paragraph" w:customStyle="1" w:styleId="268">
    <w:name w:val="xl50"/>
    <w:basedOn w:val="1"/>
    <w:qFormat/>
    <w:uiPriority w:val="0"/>
    <w:pPr>
      <w:widowControl/>
      <w:pBdr>
        <w:top w:val="single" w:color="auto" w:sz="4" w:space="0"/>
        <w:bottom w:val="single" w:color="auto" w:sz="4" w:space="0"/>
      </w:pBdr>
      <w:spacing w:before="100" w:after="100"/>
      <w:ind w:firstLine="200" w:firstLineChars="200"/>
      <w:jc w:val="center"/>
    </w:pPr>
    <w:rPr>
      <w:rFonts w:ascii="Arial Unicode MS" w:hAnsi="Arial Unicode MS" w:eastAsia="Arial Unicode MS"/>
      <w:color w:val="7030A0"/>
      <w:kern w:val="0"/>
      <w:szCs w:val="20"/>
    </w:rPr>
  </w:style>
  <w:style w:type="paragraph" w:customStyle="1" w:styleId="269">
    <w:name w:val="font0"/>
    <w:basedOn w:val="1"/>
    <w:qFormat/>
    <w:uiPriority w:val="0"/>
    <w:pPr>
      <w:widowControl/>
      <w:spacing w:before="100" w:beforeAutospacing="1" w:after="100" w:afterAutospacing="1"/>
      <w:jc w:val="left"/>
    </w:pPr>
    <w:rPr>
      <w:rFonts w:ascii="Arial" w:hAnsi="Arial" w:cs="Arial"/>
      <w:kern w:val="0"/>
      <w:sz w:val="20"/>
      <w:szCs w:val="20"/>
    </w:rPr>
  </w:style>
  <w:style w:type="paragraph" w:customStyle="1" w:styleId="270">
    <w:name w:val="xl49"/>
    <w:basedOn w:val="1"/>
    <w:qFormat/>
    <w:uiPriority w:val="0"/>
    <w:pPr>
      <w:widowControl/>
      <w:pBdr>
        <w:top w:val="single" w:color="auto" w:sz="4" w:space="0"/>
        <w:left w:val="single" w:color="auto" w:sz="4" w:space="0"/>
        <w:bottom w:val="single" w:color="auto" w:sz="4" w:space="0"/>
      </w:pBdr>
      <w:spacing w:before="100" w:after="100"/>
      <w:ind w:firstLine="200" w:firstLineChars="200"/>
      <w:jc w:val="center"/>
    </w:pPr>
    <w:rPr>
      <w:rFonts w:ascii="Arial Unicode MS" w:hAnsi="Arial Unicode MS" w:eastAsia="Arial Unicode MS"/>
      <w:color w:val="7030A0"/>
      <w:kern w:val="0"/>
      <w:szCs w:val="20"/>
    </w:rPr>
  </w:style>
  <w:style w:type="paragraph" w:customStyle="1" w:styleId="271">
    <w:name w:val="三点段 Char"/>
    <w:basedOn w:val="1"/>
    <w:qFormat/>
    <w:uiPriority w:val="0"/>
    <w:pPr>
      <w:spacing w:line="360" w:lineRule="auto"/>
      <w:ind w:left="1200" w:hanging="1200" w:hangingChars="500"/>
    </w:pPr>
    <w:rPr>
      <w:rFonts w:hint="eastAsia" w:ascii="宋体"/>
      <w:sz w:val="24"/>
    </w:rPr>
  </w:style>
  <w:style w:type="paragraph" w:customStyle="1" w:styleId="272">
    <w:name w:val="样式2"/>
    <w:basedOn w:val="1"/>
    <w:qFormat/>
    <w:uiPriority w:val="0"/>
    <w:pPr>
      <w:adjustRightInd w:val="0"/>
      <w:spacing w:before="120" w:after="120" w:line="312" w:lineRule="atLeast"/>
      <w:jc w:val="center"/>
      <w:textAlignment w:val="baseline"/>
    </w:pPr>
    <w:rPr>
      <w:kern w:val="0"/>
      <w:sz w:val="24"/>
      <w:szCs w:val="20"/>
    </w:rPr>
  </w:style>
  <w:style w:type="paragraph" w:customStyle="1" w:styleId="273">
    <w:name w:val="小标题一"/>
    <w:basedOn w:val="1"/>
    <w:next w:val="1"/>
    <w:qFormat/>
    <w:uiPriority w:val="0"/>
    <w:pPr>
      <w:tabs>
        <w:tab w:val="left" w:pos="1080"/>
      </w:tabs>
      <w:spacing w:line="500" w:lineRule="exact"/>
      <w:ind w:left="1080" w:hanging="1080"/>
    </w:pPr>
    <w:rPr>
      <w:sz w:val="28"/>
      <w:szCs w:val="20"/>
    </w:rPr>
  </w:style>
  <w:style w:type="paragraph" w:customStyle="1" w:styleId="274">
    <w:name w:val="文档正文"/>
    <w:basedOn w:val="1"/>
    <w:qFormat/>
    <w:uiPriority w:val="0"/>
    <w:pPr>
      <w:spacing w:line="360" w:lineRule="auto"/>
      <w:ind w:firstLine="200" w:firstLineChars="200"/>
    </w:pPr>
    <w:rPr>
      <w:rFonts w:ascii="宋体" w:hAnsi="宋体"/>
      <w:sz w:val="24"/>
    </w:rPr>
  </w:style>
  <w:style w:type="paragraph" w:customStyle="1" w:styleId="275">
    <w:name w:val="标题1"/>
    <w:basedOn w:val="3"/>
    <w:qFormat/>
    <w:uiPriority w:val="0"/>
    <w:pPr>
      <w:tabs>
        <w:tab w:val="left" w:pos="450"/>
        <w:tab w:val="left" w:pos="709"/>
        <w:tab w:val="left" w:pos="907"/>
        <w:tab w:val="clear" w:pos="1440"/>
      </w:tabs>
      <w:adjustRightInd w:val="0"/>
      <w:spacing w:before="120" w:after="0" w:line="360" w:lineRule="auto"/>
      <w:ind w:left="450" w:hanging="450"/>
      <w:textAlignment w:val="baseline"/>
    </w:pPr>
    <w:rPr>
      <w:rFonts w:ascii="宋体" w:hAnsi="宋体"/>
      <w:bCs w:val="0"/>
      <w:sz w:val="28"/>
      <w:szCs w:val="20"/>
    </w:rPr>
  </w:style>
  <w:style w:type="paragraph" w:customStyle="1" w:styleId="276">
    <w:name w:val="合同书"/>
    <w:basedOn w:val="1"/>
    <w:qFormat/>
    <w:uiPriority w:val="0"/>
    <w:pPr>
      <w:spacing w:afterLines="100"/>
      <w:jc w:val="center"/>
    </w:pPr>
    <w:rPr>
      <w:rFonts w:hAnsi="宋体"/>
      <w:b/>
      <w:color w:val="000000"/>
      <w:sz w:val="44"/>
      <w:szCs w:val="44"/>
    </w:rPr>
  </w:style>
  <w:style w:type="paragraph" w:customStyle="1" w:styleId="277">
    <w:name w:val="条文 0"/>
    <w:next w:val="1"/>
    <w:qFormat/>
    <w:uiPriority w:val="0"/>
    <w:pPr>
      <w:spacing w:before="240" w:after="240"/>
    </w:pPr>
    <w:rPr>
      <w:rFonts w:ascii="Times New Roman" w:hAnsi="Times New Roman" w:eastAsia="黑体" w:cs="Times New Roman"/>
      <w:sz w:val="21"/>
      <w:lang w:val="en-US" w:eastAsia="zh-CN" w:bidi="ar-SA"/>
    </w:rPr>
  </w:style>
  <w:style w:type="paragraph" w:customStyle="1" w:styleId="278">
    <w:name w:val="条文 4"/>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279">
    <w:name w:val="图名图序"/>
    <w:qFormat/>
    <w:uiPriority w:val="0"/>
    <w:pPr>
      <w:adjustRightInd w:val="0"/>
      <w:spacing w:before="120" w:after="240"/>
      <w:jc w:val="center"/>
    </w:pPr>
    <w:rPr>
      <w:rFonts w:ascii="宋体" w:hAnsi="宋体" w:eastAsia="宋体" w:cs="Times New Roman"/>
      <w:kern w:val="2"/>
      <w:sz w:val="21"/>
      <w:lang w:val="en-US" w:eastAsia="zh-CN" w:bidi="ar-SA"/>
    </w:rPr>
  </w:style>
  <w:style w:type="paragraph" w:customStyle="1" w:styleId="280">
    <w:name w:val="条文 3"/>
    <w:next w:val="1"/>
    <w:qFormat/>
    <w:uiPriority w:val="0"/>
    <w:pPr>
      <w:spacing w:line="310" w:lineRule="exact"/>
      <w:ind w:left="420"/>
    </w:pPr>
    <w:rPr>
      <w:rFonts w:ascii="Times New Roman" w:hAnsi="Times New Roman" w:eastAsia="黑体" w:cs="Times New Roman"/>
      <w:sz w:val="21"/>
      <w:lang w:val="en-US" w:eastAsia="zh-CN" w:bidi="ar-SA"/>
    </w:rPr>
  </w:style>
  <w:style w:type="paragraph" w:customStyle="1" w:styleId="281">
    <w:name w:val="样式 目录 1 + 左侧:  3 字符"/>
    <w:basedOn w:val="33"/>
    <w:qFormat/>
    <w:uiPriority w:val="0"/>
    <w:pPr>
      <w:tabs>
        <w:tab w:val="left" w:pos="425"/>
        <w:tab w:val="left" w:pos="1680"/>
        <w:tab w:val="right" w:leader="dot" w:pos="8495"/>
        <w:tab w:val="right" w:pos="9060"/>
        <w:tab w:val="clear" w:pos="8778"/>
      </w:tabs>
      <w:snapToGrid/>
      <w:spacing w:line="240" w:lineRule="auto"/>
      <w:ind w:left="425" w:hanging="425"/>
    </w:pPr>
    <w:rPr>
      <w:bCs w:val="0"/>
      <w:iCs w:val="0"/>
      <w:caps w:val="0"/>
      <w:color w:val="7030A0"/>
      <w:kern w:val="2"/>
      <w:sz w:val="21"/>
      <w:szCs w:val="20"/>
    </w:rPr>
  </w:style>
  <w:style w:type="paragraph" w:customStyle="1" w:styleId="282">
    <w:name w:val="章节标题 BJ8"/>
    <w:basedOn w:val="141"/>
    <w:next w:val="141"/>
    <w:qFormat/>
    <w:uiPriority w:val="0"/>
    <w:pPr>
      <w:ind w:firstLine="0" w:firstLineChars="0"/>
      <w:jc w:val="center"/>
    </w:pPr>
    <w:rPr>
      <w:rFonts w:eastAsia="黑体"/>
      <w:b/>
      <w:sz w:val="44"/>
      <w:szCs w:val="84"/>
    </w:rPr>
  </w:style>
  <w:style w:type="paragraph" w:customStyle="1" w:styleId="283">
    <w:name w:val="条文 1"/>
    <w:next w:val="1"/>
    <w:qFormat/>
    <w:uiPriority w:val="0"/>
    <w:pPr>
      <w:spacing w:line="310" w:lineRule="exact"/>
      <w:ind w:left="420"/>
    </w:pPr>
    <w:rPr>
      <w:rFonts w:ascii="Times New Roman" w:hAnsi="Times New Roman" w:eastAsia="黑体" w:cs="Times New Roman"/>
      <w:sz w:val="21"/>
      <w:lang w:val="en-US" w:eastAsia="zh-CN" w:bidi="ar-SA"/>
    </w:rPr>
  </w:style>
  <w:style w:type="paragraph" w:customStyle="1" w:styleId="284">
    <w:name w:val="表格"/>
    <w:basedOn w:val="1"/>
    <w:qFormat/>
    <w:uiPriority w:val="0"/>
    <w:pPr>
      <w:widowControl/>
      <w:snapToGrid w:val="0"/>
      <w:spacing w:before="60" w:after="60"/>
      <w:jc w:val="left"/>
    </w:pPr>
    <w:rPr>
      <w:rFonts w:ascii="宋体"/>
      <w:sz w:val="20"/>
      <w:szCs w:val="20"/>
    </w:rPr>
  </w:style>
  <w:style w:type="paragraph" w:customStyle="1" w:styleId="285">
    <w:name w:val="xl2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28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8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88">
    <w:name w:val="条文 表"/>
    <w:next w:val="1"/>
    <w:qFormat/>
    <w:uiPriority w:val="0"/>
    <w:pPr>
      <w:jc w:val="center"/>
    </w:pPr>
    <w:rPr>
      <w:rFonts w:ascii="Times New Roman" w:hAnsi="Times New Roman" w:eastAsia="黑体" w:cs="Times New Roman"/>
      <w:sz w:val="21"/>
      <w:lang w:val="en-US" w:eastAsia="zh-CN" w:bidi="ar-SA"/>
    </w:rPr>
  </w:style>
  <w:style w:type="paragraph" w:customStyle="1" w:styleId="289">
    <w:name w:val="大标题"/>
    <w:qFormat/>
    <w:uiPriority w:val="0"/>
    <w:pPr>
      <w:tabs>
        <w:tab w:val="left" w:pos="1134"/>
      </w:tabs>
      <w:snapToGrid w:val="0"/>
      <w:spacing w:before="240" w:after="240" w:line="288" w:lineRule="auto"/>
    </w:pPr>
    <w:rPr>
      <w:rFonts w:ascii="黑体" w:hAnsi="Times New Roman" w:eastAsia="黑体" w:cs="Times New Roman"/>
      <w:sz w:val="24"/>
      <w:lang w:val="en-US" w:eastAsia="zh-CN" w:bidi="ar-SA"/>
    </w:rPr>
  </w:style>
  <w:style w:type="paragraph" w:customStyle="1" w:styleId="290">
    <w:name w:val="重点"/>
    <w:basedOn w:val="1"/>
    <w:qFormat/>
    <w:uiPriority w:val="0"/>
    <w:pPr>
      <w:tabs>
        <w:tab w:val="left" w:pos="0"/>
        <w:tab w:val="left" w:pos="814"/>
      </w:tabs>
      <w:adjustRightInd w:val="0"/>
      <w:snapToGrid w:val="0"/>
      <w:spacing w:line="560" w:lineRule="atLeast"/>
      <w:ind w:left="737" w:hanging="283" w:firstLineChars="200"/>
      <w:jc w:val="left"/>
    </w:pPr>
    <w:rPr>
      <w:color w:val="7030A0"/>
      <w:kern w:val="24"/>
      <w:sz w:val="30"/>
      <w:szCs w:val="20"/>
    </w:rPr>
  </w:style>
  <w:style w:type="paragraph" w:customStyle="1" w:styleId="291">
    <w:name w:val="青岛正文"/>
    <w:basedOn w:val="1"/>
    <w:qFormat/>
    <w:uiPriority w:val="0"/>
    <w:pPr>
      <w:spacing w:line="360" w:lineRule="auto"/>
    </w:pPr>
    <w:rPr>
      <w:sz w:val="28"/>
    </w:rPr>
  </w:style>
  <w:style w:type="paragraph" w:customStyle="1" w:styleId="292">
    <w:name w:val="样式 样式 列表框 Char Char Char Char Char + 右侧:  -0.05 字符 段后: 0.5 行 + 右..."/>
    <w:basedOn w:val="293"/>
    <w:qFormat/>
    <w:uiPriority w:val="0"/>
    <w:pPr>
      <w:tabs>
        <w:tab w:val="left" w:pos="375"/>
        <w:tab w:val="left" w:pos="630"/>
      </w:tabs>
    </w:pPr>
  </w:style>
  <w:style w:type="paragraph" w:customStyle="1" w:styleId="293">
    <w:name w:val="样式 列表框 Char Char Char Char Char + 右侧:  -0.05 字符 段后: 0.5 行"/>
    <w:basedOn w:val="177"/>
    <w:qFormat/>
    <w:uiPriority w:val="0"/>
    <w:pPr>
      <w:tabs>
        <w:tab w:val="left" w:pos="375"/>
        <w:tab w:val="clear" w:pos="450"/>
        <w:tab w:val="clear" w:pos="874"/>
      </w:tabs>
      <w:ind w:left="0" w:firstLine="0"/>
    </w:pPr>
    <w:rPr>
      <w:szCs w:val="20"/>
    </w:rPr>
  </w:style>
  <w:style w:type="paragraph" w:customStyle="1" w:styleId="294">
    <w:name w:val="xl39"/>
    <w:basedOn w:val="1"/>
    <w:qFormat/>
    <w:uiPriority w:val="0"/>
    <w:pPr>
      <w:widowControl/>
      <w:pBdr>
        <w:top w:val="single" w:color="auto" w:sz="4" w:space="0"/>
        <w:bottom w:val="single" w:color="auto" w:sz="4" w:space="0"/>
      </w:pBdr>
      <w:spacing w:before="100" w:beforeAutospacing="1" w:after="100" w:afterAutospacing="1"/>
      <w:jc w:val="left"/>
    </w:pPr>
    <w:rPr>
      <w:kern w:val="0"/>
      <w:sz w:val="24"/>
    </w:rPr>
  </w:style>
  <w:style w:type="paragraph" w:customStyle="1" w:styleId="295">
    <w:name w:val="正文文本 21"/>
    <w:basedOn w:val="1"/>
    <w:qFormat/>
    <w:uiPriority w:val="0"/>
    <w:pPr>
      <w:autoSpaceDE w:val="0"/>
      <w:autoSpaceDN w:val="0"/>
      <w:adjustRightInd w:val="0"/>
      <w:ind w:left="525" w:firstLine="525" w:firstLineChars="200"/>
      <w:jc w:val="left"/>
      <w:textAlignment w:val="baseline"/>
    </w:pPr>
    <w:rPr>
      <w:color w:val="7030A0"/>
      <w:szCs w:val="20"/>
    </w:rPr>
  </w:style>
  <w:style w:type="paragraph" w:customStyle="1" w:styleId="296">
    <w:name w:val="Report Heading"/>
    <w:basedOn w:val="1"/>
    <w:next w:val="1"/>
    <w:qFormat/>
    <w:uiPriority w:val="0"/>
    <w:pPr>
      <w:keepNext/>
      <w:widowControl/>
      <w:spacing w:before="120" w:after="138"/>
      <w:ind w:left="1080" w:firstLine="200" w:firstLineChars="200"/>
      <w:jc w:val="left"/>
    </w:pPr>
    <w:rPr>
      <w:rFonts w:ascii="Arial" w:hAnsi="Arial"/>
      <w:b/>
      <w:color w:val="7030A0"/>
      <w:kern w:val="0"/>
      <w:sz w:val="22"/>
      <w:szCs w:val="20"/>
    </w:rPr>
  </w:style>
  <w:style w:type="paragraph" w:customStyle="1" w:styleId="297">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298">
    <w:name w:val="修订1"/>
    <w:qFormat/>
    <w:uiPriority w:val="0"/>
    <w:rPr>
      <w:rFonts w:ascii="Times New Roman" w:hAnsi="Times New Roman" w:eastAsia="宋体" w:cs="Times New Roman"/>
      <w:kern w:val="2"/>
      <w:sz w:val="21"/>
      <w:lang w:val="en-US" w:eastAsia="zh-CN" w:bidi="ar-SA"/>
    </w:rPr>
  </w:style>
  <w:style w:type="paragraph" w:customStyle="1" w:styleId="299">
    <w:name w:val="正文C"/>
    <w:qFormat/>
    <w:uiPriority w:val="0"/>
    <w:pPr>
      <w:widowControl w:val="0"/>
      <w:adjustRightInd w:val="0"/>
      <w:snapToGrid w:val="0"/>
      <w:spacing w:line="360" w:lineRule="auto"/>
      <w:ind w:right="31" w:rightChars="15" w:firstLine="420" w:firstLineChars="200"/>
      <w:jc w:val="both"/>
    </w:pPr>
    <w:rPr>
      <w:rFonts w:ascii="Times New Roman" w:hAnsi="Times New Roman" w:eastAsia="宋体" w:cs="宋体"/>
      <w:kern w:val="44"/>
      <w:sz w:val="24"/>
      <w:lang w:val="en-US" w:eastAsia="zh-CN" w:bidi="ar-SA"/>
    </w:rPr>
  </w:style>
  <w:style w:type="paragraph" w:customStyle="1" w:styleId="300">
    <w:name w:val="文档结构图2"/>
    <w:basedOn w:val="1"/>
    <w:qFormat/>
    <w:uiPriority w:val="0"/>
    <w:pPr>
      <w:shd w:val="clear" w:color="auto" w:fill="000080"/>
      <w:autoSpaceDE w:val="0"/>
      <w:autoSpaceDN w:val="0"/>
      <w:adjustRightInd w:val="0"/>
      <w:ind w:firstLine="200" w:firstLineChars="200"/>
      <w:jc w:val="left"/>
      <w:textAlignment w:val="baseline"/>
    </w:pPr>
    <w:rPr>
      <w:color w:val="7030A0"/>
      <w:szCs w:val="20"/>
    </w:rPr>
  </w:style>
  <w:style w:type="paragraph" w:customStyle="1" w:styleId="301">
    <w:name w:val="Char Char Char Char11"/>
    <w:basedOn w:val="1"/>
    <w:qFormat/>
    <w:uiPriority w:val="0"/>
    <w:pPr>
      <w:ind w:firstLine="200" w:firstLineChars="200"/>
      <w:jc w:val="left"/>
    </w:pPr>
    <w:rPr>
      <w:rFonts w:ascii="仿宋_GB2312" w:eastAsia="仿宋_GB2312"/>
      <w:b/>
      <w:color w:val="7030A0"/>
      <w:sz w:val="32"/>
      <w:szCs w:val="32"/>
    </w:rPr>
  </w:style>
  <w:style w:type="paragraph" w:customStyle="1" w:styleId="302">
    <w:name w:val="样式 标题 2标题 1.1编号标题2head:2#2 headlinehheadlineS&amp;R2ERMH2He..."/>
    <w:basedOn w:val="4"/>
    <w:qFormat/>
    <w:uiPriority w:val="0"/>
    <w:pPr>
      <w:spacing w:before="120" w:after="120" w:line="500" w:lineRule="exact"/>
      <w:jc w:val="left"/>
    </w:pPr>
    <w:rPr>
      <w:rFonts w:cs="宋体"/>
      <w:color w:val="C00000"/>
      <w:kern w:val="44"/>
      <w:sz w:val="28"/>
      <w:szCs w:val="20"/>
    </w:rPr>
  </w:style>
  <w:style w:type="paragraph" w:customStyle="1" w:styleId="303">
    <w:name w:val="章节标题 QD3"/>
    <w:basedOn w:val="140"/>
    <w:next w:val="140"/>
    <w:qFormat/>
    <w:uiPriority w:val="0"/>
    <w:pPr>
      <w:ind w:firstLine="0" w:firstLineChars="0"/>
      <w:jc w:val="center"/>
    </w:pPr>
    <w:rPr>
      <w:rFonts w:eastAsia="黑体"/>
      <w:b/>
      <w:sz w:val="44"/>
      <w:szCs w:val="84"/>
    </w:rPr>
  </w:style>
  <w:style w:type="paragraph" w:customStyle="1" w:styleId="304">
    <w:name w:val="Char2"/>
    <w:basedOn w:val="1"/>
    <w:qFormat/>
    <w:uiPriority w:val="0"/>
    <w:pPr>
      <w:widowControl/>
      <w:spacing w:after="160" w:line="240" w:lineRule="exact"/>
      <w:ind w:firstLine="200" w:firstLineChars="200"/>
      <w:jc w:val="left"/>
    </w:pPr>
    <w:rPr>
      <w:rFonts w:ascii="Verdana" w:hAnsi="Verdana" w:eastAsia="仿宋_GB2312"/>
      <w:color w:val="7030A0"/>
      <w:kern w:val="0"/>
      <w:sz w:val="24"/>
      <w:szCs w:val="20"/>
      <w:lang w:eastAsia="en-US"/>
    </w:rPr>
  </w:style>
  <w:style w:type="paragraph" w:customStyle="1" w:styleId="305">
    <w:name w:val="xiao b"/>
    <w:basedOn w:val="1"/>
    <w:qFormat/>
    <w:uiPriority w:val="0"/>
    <w:pPr>
      <w:ind w:firstLine="200" w:firstLineChars="200"/>
      <w:jc w:val="center"/>
    </w:pPr>
    <w:rPr>
      <w:rFonts w:eastAsia="黑体"/>
      <w:color w:val="7030A0"/>
      <w:sz w:val="24"/>
      <w:szCs w:val="20"/>
    </w:rPr>
  </w:style>
  <w:style w:type="paragraph" w:customStyle="1" w:styleId="306">
    <w:name w:val="样式 标题 4 + 加粗"/>
    <w:basedOn w:val="6"/>
    <w:qFormat/>
    <w:uiPriority w:val="0"/>
    <w:pPr>
      <w:spacing w:before="120" w:after="0" w:line="240" w:lineRule="auto"/>
      <w:jc w:val="left"/>
    </w:pPr>
    <w:rPr>
      <w:rFonts w:ascii="Times New Roman" w:hAnsi="Times New Roman"/>
      <w:b w:val="0"/>
      <w:color w:val="00B050"/>
      <w:sz w:val="24"/>
    </w:rPr>
  </w:style>
  <w:style w:type="paragraph" w:customStyle="1" w:styleId="307">
    <w:name w:val="Plain Text1"/>
    <w:basedOn w:val="1"/>
    <w:qFormat/>
    <w:uiPriority w:val="0"/>
    <w:pPr>
      <w:adjustRightInd w:val="0"/>
      <w:spacing w:line="312" w:lineRule="atLeast"/>
      <w:ind w:firstLine="200" w:firstLineChars="200"/>
      <w:jc w:val="left"/>
      <w:textAlignment w:val="baseline"/>
    </w:pPr>
    <w:rPr>
      <w:rFonts w:ascii="宋体" w:hAnsi="Courier New"/>
      <w:color w:val="7030A0"/>
      <w:kern w:val="0"/>
      <w:sz w:val="28"/>
      <w:szCs w:val="20"/>
    </w:rPr>
  </w:style>
  <w:style w:type="paragraph" w:customStyle="1" w:styleId="308">
    <w:name w:val="Char Char Char Char1"/>
    <w:basedOn w:val="1"/>
    <w:qFormat/>
    <w:uiPriority w:val="0"/>
    <w:pPr>
      <w:ind w:firstLine="200" w:firstLineChars="200"/>
      <w:jc w:val="left"/>
    </w:pPr>
    <w:rPr>
      <w:rFonts w:ascii="仿宋_GB2312" w:eastAsia="仿宋_GB2312"/>
      <w:b/>
      <w:color w:val="7030A0"/>
      <w:sz w:val="32"/>
      <w:szCs w:val="32"/>
    </w:rPr>
  </w:style>
  <w:style w:type="paragraph" w:customStyle="1" w:styleId="309">
    <w:name w:val="Plain Text2"/>
    <w:basedOn w:val="1"/>
    <w:qFormat/>
    <w:uiPriority w:val="0"/>
    <w:pPr>
      <w:adjustRightInd w:val="0"/>
      <w:spacing w:line="312" w:lineRule="atLeast"/>
      <w:ind w:firstLine="200" w:firstLineChars="200"/>
      <w:jc w:val="left"/>
      <w:textAlignment w:val="baseline"/>
    </w:pPr>
    <w:rPr>
      <w:rFonts w:ascii="宋体" w:hAnsi="Courier New"/>
      <w:color w:val="7030A0"/>
      <w:kern w:val="0"/>
      <w:sz w:val="28"/>
      <w:szCs w:val="20"/>
    </w:rPr>
  </w:style>
  <w:style w:type="paragraph" w:customStyle="1" w:styleId="310">
    <w:name w:val="正文2"/>
    <w:basedOn w:val="21"/>
    <w:qFormat/>
    <w:uiPriority w:val="0"/>
    <w:pPr>
      <w:ind w:firstLine="480" w:firstLineChars="200"/>
      <w:jc w:val="left"/>
    </w:pPr>
    <w:rPr>
      <w:rFonts w:ascii="宋体"/>
      <w:color w:val="7030A0"/>
      <w:szCs w:val="24"/>
    </w:rPr>
  </w:style>
  <w:style w:type="paragraph" w:customStyle="1" w:styleId="311">
    <w:name w:val="列表框1"/>
    <w:basedOn w:val="250"/>
    <w:next w:val="250"/>
    <w:qFormat/>
    <w:uiPriority w:val="0"/>
    <w:pPr>
      <w:tabs>
        <w:tab w:val="left" w:pos="960"/>
        <w:tab w:val="left" w:pos="1314"/>
      </w:tabs>
      <w:snapToGrid w:val="0"/>
      <w:ind w:left="1328" w:leftChars="397" w:hanging="375" w:hangingChars="163"/>
    </w:pPr>
    <w:rPr>
      <w:rFonts w:cs="Arial"/>
    </w:rPr>
  </w:style>
  <w:style w:type="paragraph" w:customStyle="1" w:styleId="312">
    <w:name w:val="Body text"/>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313">
    <w:name w:val="五级"/>
    <w:basedOn w:val="4"/>
    <w:qFormat/>
    <w:uiPriority w:val="0"/>
    <w:pPr>
      <w:tabs>
        <w:tab w:val="left" w:pos="851"/>
      </w:tabs>
      <w:spacing w:before="0" w:after="0" w:line="360" w:lineRule="auto"/>
      <w:ind w:left="851" w:hanging="851"/>
      <w:jc w:val="left"/>
    </w:pPr>
    <w:rPr>
      <w:rFonts w:ascii="宋体" w:hAnsi="宋体" w:eastAsia="宋体"/>
      <w:b w:val="0"/>
      <w:color w:val="C00000"/>
      <w:sz w:val="24"/>
    </w:rPr>
  </w:style>
  <w:style w:type="paragraph" w:customStyle="1" w:styleId="314">
    <w:name w:val="1."/>
    <w:basedOn w:val="1"/>
    <w:qFormat/>
    <w:uiPriority w:val="0"/>
    <w:pPr>
      <w:tabs>
        <w:tab w:val="left" w:pos="0"/>
        <w:tab w:val="left" w:pos="426"/>
      </w:tabs>
      <w:adjustRightInd w:val="0"/>
      <w:spacing w:before="60" w:after="60" w:line="360" w:lineRule="atLeast"/>
      <w:ind w:left="426" w:hanging="426" w:firstLineChars="200"/>
      <w:jc w:val="left"/>
      <w:textAlignment w:val="baseline"/>
    </w:pPr>
    <w:rPr>
      <w:rFonts w:ascii="Arial" w:hAnsi="Arial"/>
      <w:color w:val="7030A0"/>
      <w:kern w:val="0"/>
      <w:szCs w:val="20"/>
    </w:rPr>
  </w:style>
  <w:style w:type="paragraph" w:customStyle="1" w:styleId="315">
    <w:name w:val="xl57"/>
    <w:basedOn w:val="1"/>
    <w:qFormat/>
    <w:uiPriority w:val="0"/>
    <w:pPr>
      <w:widowControl/>
      <w:pBdr>
        <w:top w:val="single" w:color="auto" w:sz="4" w:space="0"/>
        <w:right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316">
    <w:name w:val="正文点缩进"/>
    <w:basedOn w:val="1"/>
    <w:qFormat/>
    <w:uiPriority w:val="0"/>
    <w:pPr>
      <w:widowControl/>
      <w:tabs>
        <w:tab w:val="left" w:pos="1758"/>
      </w:tabs>
      <w:snapToGrid w:val="0"/>
      <w:spacing w:after="60" w:line="288" w:lineRule="auto"/>
      <w:ind w:firstLine="200" w:firstLineChars="200"/>
      <w:jc w:val="left"/>
    </w:pPr>
    <w:rPr>
      <w:rFonts w:ascii="宋体"/>
      <w:color w:val="7030A0"/>
      <w:sz w:val="22"/>
      <w:szCs w:val="20"/>
      <w:shd w:val="clear" w:color="auto" w:fill="FFFFFF"/>
    </w:rPr>
  </w:style>
  <w:style w:type="paragraph" w:customStyle="1" w:styleId="317">
    <w:name w:val="xl41"/>
    <w:basedOn w:val="1"/>
    <w:qFormat/>
    <w:uiPriority w:val="0"/>
    <w:pPr>
      <w:widowControl/>
      <w:spacing w:before="100" w:beforeAutospacing="1" w:after="100" w:afterAutospacing="1"/>
      <w:ind w:firstLine="200" w:firstLineChars="200"/>
      <w:jc w:val="center"/>
      <w:textAlignment w:val="center"/>
    </w:pPr>
    <w:rPr>
      <w:rFonts w:ascii="宋体" w:hAnsi="宋体"/>
      <w:color w:val="7030A0"/>
      <w:kern w:val="0"/>
      <w:szCs w:val="21"/>
    </w:rPr>
  </w:style>
  <w:style w:type="paragraph" w:customStyle="1" w:styleId="318">
    <w:name w:val="样式 左侧:  2 字符 首行缩进:  0.85 厘米"/>
    <w:basedOn w:val="1"/>
    <w:qFormat/>
    <w:uiPriority w:val="0"/>
    <w:pPr>
      <w:adjustRightInd w:val="0"/>
      <w:snapToGrid w:val="0"/>
      <w:spacing w:line="360" w:lineRule="auto"/>
      <w:ind w:firstLine="425" w:firstLineChars="200"/>
      <w:jc w:val="left"/>
    </w:pPr>
    <w:rPr>
      <w:rFonts w:ascii="宋体" w:hAnsi="宋体" w:cs="宋体"/>
      <w:color w:val="7030A0"/>
      <w:szCs w:val="20"/>
    </w:rPr>
  </w:style>
  <w:style w:type="paragraph" w:customStyle="1" w:styleId="319">
    <w:name w:val="xl55"/>
    <w:basedOn w:val="1"/>
    <w:qFormat/>
    <w:uiPriority w:val="0"/>
    <w:pPr>
      <w:widowControl/>
      <w:pBdr>
        <w:top w:val="single" w:color="auto" w:sz="4" w:space="0"/>
        <w:left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320">
    <w:name w:val="Char Char Char Char Char Char Char Char"/>
    <w:basedOn w:val="1"/>
    <w:qFormat/>
    <w:uiPriority w:val="0"/>
    <w:pPr>
      <w:ind w:firstLine="200" w:firstLineChars="200"/>
      <w:jc w:val="left"/>
    </w:pPr>
    <w:rPr>
      <w:rFonts w:ascii="Tahoma" w:hAnsi="Tahoma"/>
      <w:color w:val="7030A0"/>
      <w:sz w:val="24"/>
      <w:szCs w:val="20"/>
    </w:rPr>
  </w:style>
  <w:style w:type="paragraph" w:customStyle="1" w:styleId="321">
    <w:name w:val="StandardOhneEinzug"/>
    <w:basedOn w:val="1"/>
    <w:qFormat/>
    <w:uiPriority w:val="0"/>
    <w:pPr>
      <w:widowControl/>
      <w:tabs>
        <w:tab w:val="left" w:pos="560"/>
      </w:tabs>
      <w:spacing w:after="240" w:line="288" w:lineRule="auto"/>
      <w:ind w:left="200" w:firstLine="200" w:firstLineChars="200"/>
      <w:jc w:val="left"/>
    </w:pPr>
    <w:rPr>
      <w:rFonts w:ascii="Arial" w:hAnsi="Arial"/>
      <w:color w:val="7030A0"/>
      <w:kern w:val="0"/>
      <w:sz w:val="22"/>
      <w:szCs w:val="20"/>
    </w:rPr>
  </w:style>
  <w:style w:type="paragraph" w:customStyle="1" w:styleId="322">
    <w:name w:val="投标正文"/>
    <w:basedOn w:val="1"/>
    <w:qFormat/>
    <w:uiPriority w:val="0"/>
    <w:pPr>
      <w:spacing w:line="360" w:lineRule="auto"/>
      <w:ind w:firstLine="200" w:firstLineChars="200"/>
      <w:jc w:val="left"/>
    </w:pPr>
    <w:rPr>
      <w:rFonts w:eastAsia="黑体"/>
      <w:color w:val="7030A0"/>
      <w:spacing w:val="20"/>
      <w:sz w:val="32"/>
      <w:szCs w:val="32"/>
    </w:rPr>
  </w:style>
  <w:style w:type="paragraph" w:customStyle="1" w:styleId="323">
    <w:name w:val="招标文件A）"/>
    <w:qFormat/>
    <w:uiPriority w:val="0"/>
    <w:pPr>
      <w:spacing w:before="120" w:after="120" w:line="300" w:lineRule="auto"/>
      <w:outlineLvl w:val="6"/>
    </w:pPr>
    <w:rPr>
      <w:rFonts w:ascii="宋体" w:hAnsi="Times New Roman" w:eastAsia="宋体" w:cs="Times New Roman"/>
      <w:spacing w:val="10"/>
      <w:w w:val="95"/>
      <w:sz w:val="21"/>
      <w:lang w:val="en-US" w:eastAsia="zh-CN" w:bidi="ar-SA"/>
    </w:rPr>
  </w:style>
  <w:style w:type="paragraph" w:customStyle="1" w:styleId="324">
    <w:name w:val="标书正文"/>
    <w:basedOn w:val="1"/>
    <w:qFormat/>
    <w:uiPriority w:val="0"/>
    <w:pPr>
      <w:spacing w:before="100" w:after="100" w:line="440" w:lineRule="atLeast"/>
      <w:ind w:left="176" w:firstLine="200" w:firstLineChars="200"/>
      <w:jc w:val="left"/>
    </w:pPr>
    <w:rPr>
      <w:rFonts w:ascii="宋体" w:hAnsi="宋体"/>
      <w:color w:val="7030A0"/>
      <w:spacing w:val="20"/>
      <w:sz w:val="24"/>
    </w:rPr>
  </w:style>
  <w:style w:type="paragraph" w:customStyle="1" w:styleId="325">
    <w:name w:val="xl44"/>
    <w:basedOn w:val="1"/>
    <w:qFormat/>
    <w:uiPriority w:val="0"/>
    <w:pPr>
      <w:widowControl/>
      <w:pBdr>
        <w:right w:val="single" w:color="auto" w:sz="4" w:space="0"/>
      </w:pBdr>
      <w:spacing w:before="100" w:after="100"/>
      <w:ind w:firstLine="200" w:firstLineChars="200"/>
      <w:jc w:val="center"/>
    </w:pPr>
    <w:rPr>
      <w:rFonts w:ascii="宋体" w:hAnsi="宋体"/>
      <w:color w:val="7030A0"/>
      <w:kern w:val="0"/>
      <w:sz w:val="24"/>
      <w:szCs w:val="20"/>
    </w:rPr>
  </w:style>
  <w:style w:type="paragraph" w:customStyle="1" w:styleId="326">
    <w:name w:val="招标文件1.1"/>
    <w:qFormat/>
    <w:uiPriority w:val="0"/>
    <w:pPr>
      <w:tabs>
        <w:tab w:val="left" w:pos="630"/>
      </w:tabs>
      <w:spacing w:before="120" w:after="120" w:line="480" w:lineRule="exact"/>
      <w:ind w:left="200"/>
      <w:outlineLvl w:val="2"/>
    </w:pPr>
    <w:rPr>
      <w:rFonts w:ascii="宋体" w:hAnsi="Times New Roman" w:eastAsia="宋体" w:cs="Times New Roman"/>
      <w:b/>
      <w:spacing w:val="10"/>
      <w:w w:val="95"/>
      <w:sz w:val="24"/>
      <w:lang w:val="en-US" w:eastAsia="zh-CN" w:bidi="ar-SA"/>
    </w:rPr>
  </w:style>
  <w:style w:type="paragraph" w:customStyle="1" w:styleId="327">
    <w:name w:val="xl42"/>
    <w:basedOn w:val="1"/>
    <w:qFormat/>
    <w:uiPriority w:val="0"/>
    <w:pPr>
      <w:widowControl/>
      <w:pBdr>
        <w:top w:val="single" w:color="auto" w:sz="4" w:space="0"/>
        <w:left w:val="single" w:color="auto" w:sz="4" w:space="0"/>
        <w:bottom w:val="single" w:color="auto" w:sz="4" w:space="0"/>
        <w:right w:val="single" w:color="auto" w:sz="4" w:space="0"/>
      </w:pBdr>
      <w:spacing w:before="100" w:after="100"/>
      <w:ind w:firstLine="200" w:firstLineChars="200"/>
      <w:jc w:val="center"/>
      <w:textAlignment w:val="center"/>
    </w:pPr>
    <w:rPr>
      <w:rFonts w:eastAsia="Arial Unicode MS"/>
      <w:color w:val="7030A0"/>
      <w:kern w:val="0"/>
      <w:szCs w:val="20"/>
    </w:rPr>
  </w:style>
  <w:style w:type="paragraph" w:customStyle="1" w:styleId="328">
    <w:name w:val="xl46"/>
    <w:basedOn w:val="1"/>
    <w:qFormat/>
    <w:uiPriority w:val="0"/>
    <w:pPr>
      <w:widowControl/>
      <w:pBdr>
        <w:top w:val="single" w:color="auto" w:sz="4" w:space="0"/>
        <w:left w:val="single" w:color="auto" w:sz="4" w:space="0"/>
        <w:right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329">
    <w:name w:val="xl48"/>
    <w:basedOn w:val="1"/>
    <w:qFormat/>
    <w:uiPriority w:val="0"/>
    <w:pPr>
      <w:widowControl/>
      <w:pBdr>
        <w:left w:val="single" w:color="auto" w:sz="4" w:space="0"/>
        <w:bottom w:val="single" w:color="auto" w:sz="4" w:space="0"/>
        <w:right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330">
    <w:name w:val="xl60"/>
    <w:basedOn w:val="1"/>
    <w:qFormat/>
    <w:uiPriority w:val="0"/>
    <w:pPr>
      <w:widowControl/>
      <w:pBdr>
        <w:top w:val="single" w:color="auto" w:sz="4" w:space="0"/>
        <w:left w:val="single" w:color="auto" w:sz="4" w:space="0"/>
        <w:bottom w:val="single" w:color="auto" w:sz="4" w:space="0"/>
      </w:pBdr>
      <w:spacing w:before="100" w:after="100"/>
      <w:ind w:firstLine="200" w:firstLineChars="200"/>
      <w:jc w:val="center"/>
      <w:textAlignment w:val="center"/>
    </w:pPr>
    <w:rPr>
      <w:rFonts w:eastAsia="Arial Unicode MS"/>
      <w:color w:val="7030A0"/>
      <w:kern w:val="0"/>
      <w:szCs w:val="20"/>
    </w:rPr>
  </w:style>
  <w:style w:type="paragraph" w:customStyle="1" w:styleId="331">
    <w:name w:val="样式 目录 1"/>
    <w:basedOn w:val="33"/>
    <w:qFormat/>
    <w:uiPriority w:val="0"/>
    <w:pPr>
      <w:tabs>
        <w:tab w:val="left" w:pos="420"/>
        <w:tab w:val="left" w:pos="525"/>
        <w:tab w:val="left" w:pos="1680"/>
        <w:tab w:val="right" w:leader="dot" w:pos="8495"/>
        <w:tab w:val="right" w:pos="9060"/>
        <w:tab w:val="clear" w:pos="8778"/>
      </w:tabs>
      <w:snapToGrid/>
      <w:spacing w:line="240" w:lineRule="auto"/>
      <w:ind w:left="525" w:hanging="425"/>
    </w:pPr>
    <w:rPr>
      <w:bCs w:val="0"/>
      <w:iCs w:val="0"/>
      <w:caps w:val="0"/>
      <w:color w:val="7030A0"/>
      <w:kern w:val="2"/>
      <w:sz w:val="21"/>
      <w:szCs w:val="20"/>
    </w:rPr>
  </w:style>
  <w:style w:type="paragraph" w:customStyle="1" w:styleId="332">
    <w:name w:val="A-12"/>
    <w:basedOn w:val="1"/>
    <w:qFormat/>
    <w:uiPriority w:val="0"/>
    <w:pPr>
      <w:widowControl/>
      <w:ind w:firstLine="200" w:firstLineChars="200"/>
      <w:jc w:val="left"/>
    </w:pPr>
    <w:rPr>
      <w:rFonts w:ascii="Arial" w:hAnsi="Arial"/>
      <w:color w:val="7030A0"/>
      <w:kern w:val="0"/>
      <w:sz w:val="24"/>
      <w:szCs w:val="20"/>
    </w:rPr>
  </w:style>
  <w:style w:type="paragraph" w:customStyle="1" w:styleId="333">
    <w:name w:val="样式 样式 样式 宋体 小四 左侧:  1.85 厘米 段前: 11.15 磅 段后: 11.15 磅 + 图案: 清除 (白色..."/>
    <w:basedOn w:val="230"/>
    <w:qFormat/>
    <w:uiPriority w:val="0"/>
    <w:pPr>
      <w:spacing w:beforeLines="50" w:afterLines="50"/>
      <w:ind w:left="318"/>
    </w:pPr>
    <w:rPr>
      <w:szCs w:val="20"/>
    </w:rPr>
  </w:style>
  <w:style w:type="paragraph" w:customStyle="1" w:styleId="334">
    <w:name w:val="无间隔1"/>
    <w:qFormat/>
    <w:uiPriority w:val="0"/>
    <w:pPr>
      <w:widowControl w:val="0"/>
      <w:ind w:firstLine="200" w:firstLineChars="200"/>
    </w:pPr>
    <w:rPr>
      <w:rFonts w:ascii="Times New Roman" w:hAnsi="Times New Roman" w:eastAsia="宋体" w:cs="Times New Roman"/>
      <w:color w:val="7030A0"/>
      <w:kern w:val="2"/>
      <w:sz w:val="24"/>
      <w:szCs w:val="24"/>
      <w:lang w:val="en-US" w:eastAsia="zh-CN" w:bidi="ar-SA"/>
    </w:rPr>
  </w:style>
  <w:style w:type="paragraph" w:customStyle="1" w:styleId="335">
    <w:name w:val="正文文本缩进 32"/>
    <w:basedOn w:val="1"/>
    <w:qFormat/>
    <w:uiPriority w:val="0"/>
    <w:pPr>
      <w:autoSpaceDE w:val="0"/>
      <w:autoSpaceDN w:val="0"/>
      <w:adjustRightInd w:val="0"/>
      <w:ind w:firstLine="525" w:firstLineChars="200"/>
      <w:jc w:val="left"/>
      <w:textAlignment w:val="baseline"/>
    </w:pPr>
    <w:rPr>
      <w:color w:val="7030A0"/>
      <w:sz w:val="24"/>
      <w:szCs w:val="20"/>
    </w:rPr>
  </w:style>
  <w:style w:type="paragraph" w:customStyle="1" w:styleId="336">
    <w:name w:val="一级条标题"/>
    <w:basedOn w:val="1"/>
    <w:next w:val="1"/>
    <w:qFormat/>
    <w:uiPriority w:val="0"/>
    <w:pPr>
      <w:widowControl/>
      <w:tabs>
        <w:tab w:val="left" w:pos="425"/>
        <w:tab w:val="left" w:pos="525"/>
      </w:tabs>
      <w:ind w:left="425" w:hanging="425" w:firstLineChars="200"/>
      <w:jc w:val="left"/>
      <w:outlineLvl w:val="2"/>
    </w:pPr>
    <w:rPr>
      <w:rFonts w:ascii="黑体" w:eastAsia="黑体"/>
      <w:color w:val="7030A0"/>
      <w:kern w:val="0"/>
      <w:szCs w:val="20"/>
    </w:rPr>
  </w:style>
  <w:style w:type="paragraph" w:customStyle="1" w:styleId="337">
    <w:name w:val="样式 样式 正文（首行缩进两字） + 宋体 小四 首行缩进:  0 厘米 段前: 11.15 磅 段后: 11.15 磅 + 左...1"/>
    <w:basedOn w:val="1"/>
    <w:qFormat/>
    <w:uiPriority w:val="0"/>
    <w:pPr>
      <w:tabs>
        <w:tab w:val="left" w:pos="425"/>
        <w:tab w:val="left" w:pos="720"/>
      </w:tabs>
      <w:snapToGrid w:val="0"/>
      <w:spacing w:before="223" w:after="223"/>
      <w:ind w:left="200" w:leftChars="200" w:firstLine="200" w:firstLineChars="200"/>
      <w:jc w:val="left"/>
    </w:pPr>
    <w:rPr>
      <w:rFonts w:ascii="宋体" w:hAnsi="宋体"/>
      <w:color w:val="7030A0"/>
      <w:sz w:val="24"/>
      <w:szCs w:val="20"/>
    </w:rPr>
  </w:style>
  <w:style w:type="paragraph" w:customStyle="1" w:styleId="338">
    <w:name w:val="Char Char Char Char Char Char Char Char1"/>
    <w:basedOn w:val="1"/>
    <w:qFormat/>
    <w:uiPriority w:val="0"/>
    <w:pPr>
      <w:ind w:firstLine="200" w:firstLineChars="200"/>
      <w:jc w:val="left"/>
    </w:pPr>
    <w:rPr>
      <w:rFonts w:ascii="Tahoma" w:hAnsi="Tahoma"/>
      <w:color w:val="7030A0"/>
      <w:sz w:val="24"/>
      <w:szCs w:val="20"/>
    </w:rPr>
  </w:style>
  <w:style w:type="paragraph" w:customStyle="1" w:styleId="339">
    <w:name w:val="三级条标题"/>
    <w:basedOn w:val="340"/>
    <w:next w:val="1"/>
    <w:qFormat/>
    <w:uiPriority w:val="0"/>
    <w:pPr>
      <w:tabs>
        <w:tab w:val="left" w:pos="425"/>
      </w:tabs>
      <w:outlineLvl w:val="4"/>
    </w:pPr>
  </w:style>
  <w:style w:type="paragraph" w:customStyle="1" w:styleId="340">
    <w:name w:val="二级条标题"/>
    <w:basedOn w:val="336"/>
    <w:next w:val="1"/>
    <w:qFormat/>
    <w:uiPriority w:val="0"/>
    <w:pPr>
      <w:tabs>
        <w:tab w:val="clear" w:pos="525"/>
      </w:tabs>
      <w:ind w:firstLine="0" w:firstLineChars="0"/>
      <w:outlineLvl w:val="3"/>
    </w:pPr>
  </w:style>
  <w:style w:type="paragraph" w:customStyle="1" w:styleId="341">
    <w:name w:val="样式 宋体 小四 左 图案: 清除 (白色) 行距: 1.5 倍行距"/>
    <w:basedOn w:val="1"/>
    <w:qFormat/>
    <w:uiPriority w:val="0"/>
    <w:pPr>
      <w:tabs>
        <w:tab w:val="left" w:pos="840"/>
      </w:tabs>
      <w:spacing w:beforeLines="50" w:afterLines="50"/>
      <w:ind w:firstLine="200" w:firstLineChars="200"/>
      <w:jc w:val="left"/>
    </w:pPr>
    <w:rPr>
      <w:rFonts w:ascii="宋体" w:hAnsi="宋体"/>
      <w:color w:val="7030A0"/>
      <w:sz w:val="24"/>
      <w:szCs w:val="20"/>
      <w:shd w:val="clear" w:color="auto" w:fill="FFFFFF"/>
    </w:rPr>
  </w:style>
  <w:style w:type="paragraph" w:customStyle="1" w:styleId="342">
    <w:name w:val="四级条标题"/>
    <w:basedOn w:val="339"/>
    <w:next w:val="1"/>
    <w:qFormat/>
    <w:uiPriority w:val="0"/>
    <w:pPr>
      <w:outlineLvl w:val="5"/>
    </w:pPr>
  </w:style>
  <w:style w:type="paragraph" w:customStyle="1" w:styleId="343">
    <w:name w:val="六级标题格式"/>
    <w:basedOn w:val="1"/>
    <w:qFormat/>
    <w:uiPriority w:val="0"/>
    <w:pPr>
      <w:spacing w:afterLines="50" w:line="336" w:lineRule="auto"/>
      <w:ind w:firstLine="200" w:firstLineChars="200"/>
      <w:jc w:val="left"/>
      <w:outlineLvl w:val="5"/>
    </w:pPr>
    <w:rPr>
      <w:color w:val="7030A0"/>
      <w:sz w:val="24"/>
    </w:rPr>
  </w:style>
  <w:style w:type="paragraph" w:customStyle="1" w:styleId="344">
    <w:name w:val="附图 BJ15"/>
    <w:basedOn w:val="1"/>
    <w:qFormat/>
    <w:uiPriority w:val="0"/>
    <w:pPr>
      <w:adjustRightInd w:val="0"/>
      <w:snapToGrid w:val="0"/>
      <w:ind w:firstLine="200" w:firstLineChars="200"/>
      <w:jc w:val="center"/>
    </w:pPr>
    <w:rPr>
      <w:rFonts w:hAnsi="Arial"/>
      <w:color w:val="7030A0"/>
      <w:kern w:val="0"/>
    </w:rPr>
  </w:style>
  <w:style w:type="paragraph" w:customStyle="1" w:styleId="345">
    <w:name w:val="正文文本缩进 31"/>
    <w:basedOn w:val="1"/>
    <w:qFormat/>
    <w:uiPriority w:val="0"/>
    <w:pPr>
      <w:autoSpaceDE w:val="0"/>
      <w:autoSpaceDN w:val="0"/>
      <w:adjustRightInd w:val="0"/>
      <w:ind w:firstLine="525" w:firstLineChars="200"/>
      <w:jc w:val="left"/>
      <w:textAlignment w:val="baseline"/>
    </w:pPr>
    <w:rPr>
      <w:color w:val="7030A0"/>
      <w:sz w:val="24"/>
      <w:szCs w:val="20"/>
    </w:rPr>
  </w:style>
  <w:style w:type="paragraph" w:customStyle="1" w:styleId="346">
    <w:name w:val="TOC 标题1"/>
    <w:basedOn w:val="3"/>
    <w:next w:val="1"/>
    <w:qFormat/>
    <w:uiPriority w:val="0"/>
    <w:pPr>
      <w:widowControl/>
      <w:spacing w:before="480" w:after="0" w:line="276" w:lineRule="auto"/>
      <w:ind w:left="0" w:firstLine="0"/>
      <w:jc w:val="left"/>
      <w:outlineLvl w:val="9"/>
    </w:pPr>
    <w:rPr>
      <w:rFonts w:ascii="Cambria" w:hAnsi="Cambria"/>
      <w:color w:val="365F91"/>
      <w:kern w:val="0"/>
      <w:sz w:val="30"/>
      <w:szCs w:val="28"/>
    </w:rPr>
  </w:style>
  <w:style w:type="paragraph" w:customStyle="1" w:styleId="347">
    <w:name w:val="Report Level 2"/>
    <w:basedOn w:val="240"/>
    <w:next w:val="241"/>
    <w:qFormat/>
    <w:uiPriority w:val="0"/>
    <w:pPr>
      <w:tabs>
        <w:tab w:val="left" w:pos="1500"/>
        <w:tab w:val="clear" w:pos="1080"/>
      </w:tabs>
      <w:ind w:left="1500"/>
      <w:outlineLvl w:val="1"/>
    </w:pPr>
    <w:rPr>
      <w:caps w:val="0"/>
    </w:rPr>
  </w:style>
  <w:style w:type="paragraph" w:customStyle="1" w:styleId="348">
    <w:name w:val="Report Level 3"/>
    <w:basedOn w:val="240"/>
    <w:next w:val="241"/>
    <w:qFormat/>
    <w:uiPriority w:val="0"/>
    <w:pPr>
      <w:tabs>
        <w:tab w:val="left" w:pos="1889"/>
        <w:tab w:val="clear" w:pos="1080"/>
      </w:tabs>
      <w:spacing w:before="120"/>
      <w:ind w:left="1889" w:hanging="420"/>
      <w:outlineLvl w:val="2"/>
    </w:pPr>
    <w:rPr>
      <w:caps w:val="0"/>
      <w:sz w:val="20"/>
    </w:rPr>
  </w:style>
  <w:style w:type="paragraph" w:customStyle="1" w:styleId="349">
    <w:name w:val="Report Level 4"/>
    <w:basedOn w:val="348"/>
    <w:next w:val="241"/>
    <w:qFormat/>
    <w:uiPriority w:val="0"/>
    <w:pPr>
      <w:tabs>
        <w:tab w:val="left" w:pos="720"/>
        <w:tab w:val="left" w:pos="2309"/>
        <w:tab w:val="clear" w:pos="1889"/>
      </w:tabs>
      <w:ind w:left="720" w:hanging="720"/>
      <w:outlineLvl w:val="3"/>
    </w:pPr>
    <w:rPr>
      <w:rFonts w:ascii="Times New Roman" w:hAnsi="Times New Roman"/>
    </w:rPr>
  </w:style>
  <w:style w:type="paragraph" w:customStyle="1" w:styleId="350">
    <w:name w:val="样式3"/>
    <w:basedOn w:val="5"/>
    <w:next w:val="1"/>
    <w:qFormat/>
    <w:uiPriority w:val="0"/>
    <w:pPr>
      <w:tabs>
        <w:tab w:val="left" w:pos="709"/>
      </w:tabs>
      <w:spacing w:before="0" w:after="0" w:line="240" w:lineRule="auto"/>
      <w:ind w:left="709" w:hanging="709"/>
      <w:jc w:val="left"/>
    </w:pPr>
    <w:rPr>
      <w:rFonts w:ascii="Tahoma" w:hAnsi="Tahoma"/>
      <w:b w:val="0"/>
      <w:bCs w:val="0"/>
      <w:sz w:val="28"/>
      <w:szCs w:val="20"/>
    </w:rPr>
  </w:style>
  <w:style w:type="paragraph" w:customStyle="1" w:styleId="351">
    <w:name w:val="小标4"/>
    <w:basedOn w:val="1"/>
    <w:next w:val="1"/>
    <w:qFormat/>
    <w:uiPriority w:val="0"/>
    <w:pPr>
      <w:tabs>
        <w:tab w:val="left" w:pos="900"/>
      </w:tabs>
      <w:spacing w:line="400" w:lineRule="exact"/>
      <w:ind w:left="900" w:firstLine="200" w:firstLineChars="200"/>
      <w:jc w:val="left"/>
    </w:pPr>
    <w:rPr>
      <w:rFonts w:ascii="宋体"/>
      <w:color w:val="7030A0"/>
      <w:sz w:val="24"/>
    </w:rPr>
  </w:style>
  <w:style w:type="paragraph" w:customStyle="1" w:styleId="352">
    <w:name w:val="样式 标题2 1.1 + 段前: 0 磅 段后: 0 磅"/>
    <w:basedOn w:val="1"/>
    <w:qFormat/>
    <w:uiPriority w:val="0"/>
    <w:pPr>
      <w:keepNext/>
      <w:tabs>
        <w:tab w:val="left" w:pos="567"/>
      </w:tabs>
      <w:spacing w:line="480" w:lineRule="atLeast"/>
      <w:ind w:left="567" w:hanging="567" w:firstLineChars="200"/>
      <w:jc w:val="left"/>
      <w:outlineLvl w:val="1"/>
    </w:pPr>
    <w:rPr>
      <w:color w:val="7030A0"/>
      <w:sz w:val="28"/>
      <w:szCs w:val="20"/>
    </w:rPr>
  </w:style>
  <w:style w:type="paragraph" w:customStyle="1" w:styleId="353">
    <w:name w:val="表格文字格式"/>
    <w:basedOn w:val="1"/>
    <w:qFormat/>
    <w:uiPriority w:val="0"/>
    <w:pPr>
      <w:snapToGrid w:val="0"/>
      <w:jc w:val="center"/>
    </w:pPr>
    <w:rPr>
      <w:rFonts w:cs="宋体"/>
      <w:szCs w:val="20"/>
    </w:rPr>
  </w:style>
  <w:style w:type="paragraph" w:customStyle="1" w:styleId="354">
    <w:name w:val="正文文本 22"/>
    <w:basedOn w:val="1"/>
    <w:qFormat/>
    <w:uiPriority w:val="0"/>
    <w:pPr>
      <w:autoSpaceDE w:val="0"/>
      <w:autoSpaceDN w:val="0"/>
      <w:adjustRightInd w:val="0"/>
      <w:ind w:left="525" w:firstLine="525" w:firstLineChars="200"/>
      <w:jc w:val="left"/>
      <w:textAlignment w:val="baseline"/>
    </w:pPr>
    <w:rPr>
      <w:color w:val="7030A0"/>
      <w:szCs w:val="20"/>
    </w:rPr>
  </w:style>
  <w:style w:type="paragraph" w:customStyle="1" w:styleId="355">
    <w:name w:val="样式 宋体 小四 首行缩进:  0.93 厘米 段前: 11.15 磅 段后: 11.15 磅1 Char"/>
    <w:basedOn w:val="1"/>
    <w:qFormat/>
    <w:uiPriority w:val="0"/>
    <w:pPr>
      <w:adjustRightInd w:val="0"/>
      <w:snapToGrid w:val="0"/>
      <w:ind w:left="200" w:leftChars="200" w:firstLine="200" w:firstLineChars="200"/>
      <w:jc w:val="left"/>
    </w:pPr>
    <w:rPr>
      <w:rFonts w:ascii="宋体"/>
      <w:color w:val="7030A0"/>
      <w:sz w:val="24"/>
      <w:szCs w:val="20"/>
    </w:rPr>
  </w:style>
  <w:style w:type="paragraph" w:customStyle="1" w:styleId="356">
    <w:name w:val="五级条标题"/>
    <w:basedOn w:val="342"/>
    <w:next w:val="1"/>
    <w:qFormat/>
    <w:uiPriority w:val="0"/>
    <w:pPr>
      <w:outlineLvl w:val="6"/>
    </w:pPr>
  </w:style>
  <w:style w:type="paragraph" w:customStyle="1" w:styleId="357">
    <w:name w:val="文档结构图1"/>
    <w:basedOn w:val="1"/>
    <w:qFormat/>
    <w:uiPriority w:val="0"/>
    <w:pPr>
      <w:shd w:val="clear" w:color="auto" w:fill="000080"/>
      <w:autoSpaceDE w:val="0"/>
      <w:autoSpaceDN w:val="0"/>
      <w:adjustRightInd w:val="0"/>
      <w:ind w:firstLine="200" w:firstLineChars="200"/>
      <w:jc w:val="left"/>
      <w:textAlignment w:val="baseline"/>
    </w:pPr>
    <w:rPr>
      <w:color w:val="7030A0"/>
      <w:szCs w:val="20"/>
    </w:rPr>
  </w:style>
  <w:style w:type="paragraph" w:customStyle="1" w:styleId="358">
    <w:name w:val="註解方塊文字2"/>
    <w:basedOn w:val="1"/>
    <w:qFormat/>
    <w:uiPriority w:val="0"/>
    <w:rPr>
      <w:rFonts w:ascii="Arial" w:hAnsi="Arial" w:eastAsia="PMingLiU"/>
      <w:color w:val="7030A0"/>
      <w:sz w:val="18"/>
      <w:szCs w:val="18"/>
    </w:rPr>
  </w:style>
  <w:style w:type="paragraph" w:customStyle="1" w:styleId="359">
    <w:name w:val="正文文本缩进 22"/>
    <w:basedOn w:val="1"/>
    <w:qFormat/>
    <w:uiPriority w:val="0"/>
    <w:pPr>
      <w:autoSpaceDE w:val="0"/>
      <w:autoSpaceDN w:val="0"/>
      <w:adjustRightInd w:val="0"/>
      <w:ind w:firstLine="420" w:firstLineChars="200"/>
      <w:jc w:val="left"/>
      <w:textAlignment w:val="baseline"/>
    </w:pPr>
    <w:rPr>
      <w:color w:val="7030A0"/>
      <w:szCs w:val="20"/>
    </w:rPr>
  </w:style>
  <w:style w:type="paragraph" w:customStyle="1" w:styleId="360">
    <w:name w:val="纯文本2"/>
    <w:basedOn w:val="1"/>
    <w:qFormat/>
    <w:uiPriority w:val="0"/>
    <w:pPr>
      <w:adjustRightInd w:val="0"/>
      <w:spacing w:line="312" w:lineRule="atLeast"/>
      <w:ind w:firstLine="200" w:firstLineChars="200"/>
      <w:jc w:val="left"/>
      <w:textAlignment w:val="baseline"/>
    </w:pPr>
    <w:rPr>
      <w:rFonts w:ascii="宋体" w:hAnsi="Courier New"/>
      <w:color w:val="7030A0"/>
      <w:kern w:val="0"/>
      <w:sz w:val="28"/>
      <w:szCs w:val="20"/>
    </w:rPr>
  </w:style>
  <w:style w:type="paragraph" w:customStyle="1" w:styleId="361">
    <w:name w:val="三级标题格式"/>
    <w:basedOn w:val="5"/>
    <w:qFormat/>
    <w:uiPriority w:val="0"/>
    <w:pPr>
      <w:spacing w:before="0" w:afterLines="100" w:line="240" w:lineRule="auto"/>
      <w:jc w:val="left"/>
    </w:pPr>
    <w:rPr>
      <w:rFonts w:eastAsia="黑体"/>
      <w:b w:val="0"/>
      <w:sz w:val="28"/>
      <w:szCs w:val="28"/>
    </w:rPr>
  </w:style>
  <w:style w:type="paragraph" w:customStyle="1" w:styleId="362">
    <w:name w:val="正文缩进1"/>
    <w:basedOn w:val="1"/>
    <w:link w:val="421"/>
    <w:qFormat/>
    <w:uiPriority w:val="0"/>
    <w:pPr>
      <w:spacing w:line="360" w:lineRule="auto"/>
      <w:ind w:firstLine="420"/>
    </w:pPr>
    <w:rPr>
      <w:kern w:val="2"/>
      <w:sz w:val="21"/>
      <w:szCs w:val="24"/>
    </w:rPr>
  </w:style>
  <w:style w:type="paragraph" w:customStyle="1" w:styleId="363">
    <w:name w:val="图文"/>
    <w:basedOn w:val="1"/>
    <w:qFormat/>
    <w:uiPriority w:val="0"/>
    <w:pPr>
      <w:adjustRightInd w:val="0"/>
      <w:snapToGrid w:val="0"/>
      <w:spacing w:after="50" w:line="360" w:lineRule="auto"/>
    </w:pPr>
    <w:rPr>
      <w:sz w:val="24"/>
    </w:rPr>
  </w:style>
  <w:style w:type="character" w:customStyle="1" w:styleId="364">
    <w:name w:val="page number"/>
    <w:basedOn w:val="45"/>
    <w:qFormat/>
    <w:uiPriority w:val="0"/>
  </w:style>
  <w:style w:type="character" w:customStyle="1" w:styleId="365">
    <w:name w:val="批注框文本 Char Char Char Char"/>
    <w:basedOn w:val="45"/>
    <w:link w:val="101"/>
    <w:semiHidden/>
    <w:qFormat/>
    <w:uiPriority w:val="0"/>
    <w:rPr>
      <w:rFonts w:ascii="Times New Roman" w:hAnsi="Times New Roman" w:eastAsia="宋体" w:cs="Times New Roman"/>
      <w:sz w:val="18"/>
      <w:szCs w:val="18"/>
    </w:rPr>
  </w:style>
  <w:style w:type="character" w:customStyle="1" w:styleId="366">
    <w:name w:val="HTML Typewriter"/>
    <w:qFormat/>
    <w:uiPriority w:val="0"/>
    <w:rPr>
      <w:rFonts w:ascii="黑体" w:hAnsi="Courier New" w:eastAsia="黑体" w:cs="Courier New"/>
      <w:sz w:val="20"/>
      <w:szCs w:val="20"/>
    </w:rPr>
  </w:style>
  <w:style w:type="character" w:customStyle="1" w:styleId="367">
    <w:name w:val="annotation reference"/>
    <w:basedOn w:val="45"/>
    <w:qFormat/>
    <w:uiPriority w:val="0"/>
    <w:rPr>
      <w:sz w:val="21"/>
      <w:szCs w:val="21"/>
    </w:rPr>
  </w:style>
  <w:style w:type="character" w:customStyle="1" w:styleId="368">
    <w:name w:val="四级标题格式 Char Char"/>
    <w:link w:val="125"/>
    <w:semiHidden/>
    <w:qFormat/>
    <w:uiPriority w:val="0"/>
    <w:rPr>
      <w:rFonts w:ascii="Times New Roman" w:hAnsi="Times New Roman" w:eastAsia="黑体"/>
      <w:bCs/>
      <w:kern w:val="2"/>
      <w:sz w:val="28"/>
      <w:szCs w:val="28"/>
    </w:rPr>
  </w:style>
  <w:style w:type="character" w:customStyle="1" w:styleId="369">
    <w:name w:val="标题 5 Char1"/>
    <w:link w:val="7"/>
    <w:semiHidden/>
    <w:qFormat/>
    <w:uiPriority w:val="0"/>
    <w:rPr>
      <w:rFonts w:ascii="Times New Roman" w:hAnsi="Times New Roman"/>
      <w:b/>
      <w:kern w:val="2"/>
      <w:sz w:val="28"/>
    </w:rPr>
  </w:style>
  <w:style w:type="character" w:customStyle="1" w:styleId="370">
    <w:name w:val="样式 标题 31.1条标题1.1.1二级节名h3Heading 3 - oldheading 3H3H31H3... Char Char"/>
    <w:qFormat/>
    <w:uiPriority w:val="0"/>
    <w:rPr>
      <w:rFonts w:ascii="宋体" w:hAnsi="宋体" w:eastAsia="黑体"/>
      <w:kern w:val="2"/>
      <w:sz w:val="24"/>
      <w:szCs w:val="21"/>
    </w:rPr>
  </w:style>
  <w:style w:type="character" w:customStyle="1" w:styleId="371">
    <w:name w:val="标题3 Char Char"/>
    <w:link w:val="126"/>
    <w:semiHidden/>
    <w:qFormat/>
    <w:uiPriority w:val="0"/>
    <w:rPr>
      <w:rFonts w:ascii="宋体" w:hAnsi="宋体"/>
      <w:b/>
      <w:bCs/>
      <w:color w:val="92D050"/>
      <w:kern w:val="44"/>
      <w:sz w:val="24"/>
      <w:szCs w:val="21"/>
    </w:rPr>
  </w:style>
  <w:style w:type="character" w:customStyle="1" w:styleId="372">
    <w:name w:val="selected"/>
    <w:basedOn w:val="45"/>
    <w:qFormat/>
    <w:uiPriority w:val="0"/>
    <w:rPr>
      <w:shd w:val="clear" w:color="auto" w:fill="B00006"/>
    </w:rPr>
  </w:style>
  <w:style w:type="character" w:customStyle="1" w:styleId="373">
    <w:name w:val="样式 宋体 行距: 固定值 24 磅 Char Char"/>
    <w:link w:val="127"/>
    <w:semiHidden/>
    <w:qFormat/>
    <w:uiPriority w:val="0"/>
    <w:rPr>
      <w:rFonts w:ascii="宋体" w:cs="宋体"/>
      <w:color w:val="7030A0"/>
      <w:kern w:val="2"/>
      <w:sz w:val="28"/>
    </w:rPr>
  </w:style>
  <w:style w:type="character" w:customStyle="1" w:styleId="374">
    <w:name w:val="样式 首行缩进:  2 字符 Char1"/>
    <w:link w:val="128"/>
    <w:semiHidden/>
    <w:qFormat/>
    <w:uiPriority w:val="0"/>
    <w:rPr>
      <w:rFonts w:ascii="Times New Roman" w:hAnsi="Times New Roman"/>
      <w:color w:val="7030A0"/>
      <w:kern w:val="2"/>
      <w:sz w:val="24"/>
    </w:rPr>
  </w:style>
  <w:style w:type="character" w:customStyle="1" w:styleId="375">
    <w:name w:val="日期 Char1"/>
    <w:basedOn w:val="45"/>
    <w:qFormat/>
    <w:uiPriority w:val="0"/>
    <w:rPr>
      <w:rFonts w:ascii="Times New Roman" w:hAnsi="Times New Roman"/>
      <w:kern w:val="2"/>
      <w:sz w:val="21"/>
      <w:szCs w:val="24"/>
    </w:rPr>
  </w:style>
  <w:style w:type="character" w:customStyle="1" w:styleId="376">
    <w:name w:val="正文－wjnew Char Char"/>
    <w:link w:val="129"/>
    <w:semiHidden/>
    <w:qFormat/>
    <w:uiPriority w:val="0"/>
    <w:rPr>
      <w:rFonts w:ascii="宋体" w:cs="宋体"/>
      <w:kern w:val="2"/>
      <w:sz w:val="21"/>
      <w:szCs w:val="21"/>
    </w:rPr>
  </w:style>
  <w:style w:type="character" w:customStyle="1" w:styleId="377">
    <w:name w:val="标题 4 Char1"/>
    <w:qFormat/>
    <w:uiPriority w:val="0"/>
    <w:rPr>
      <w:rFonts w:ascii="宋体" w:hAnsi="宋体"/>
      <w:b/>
      <w:bCs/>
      <w:kern w:val="2"/>
      <w:sz w:val="21"/>
    </w:rPr>
  </w:style>
  <w:style w:type="character" w:customStyle="1" w:styleId="378">
    <w:name w:val="(1) Char Char"/>
    <w:link w:val="130"/>
    <w:semiHidden/>
    <w:qFormat/>
    <w:uiPriority w:val="0"/>
    <w:rPr>
      <w:rFonts w:ascii="宋体" w:hAnsi="宋体"/>
      <w:kern w:val="2"/>
      <w:sz w:val="24"/>
      <w:szCs w:val="24"/>
    </w:rPr>
  </w:style>
  <w:style w:type="character" w:customStyle="1" w:styleId="379">
    <w:name w:val="样式 标题 2标题 1.1head:2#2 headlinehheadlineS&amp;R2ERMH2Head 2 +... Char Char"/>
    <w:qFormat/>
    <w:uiPriority w:val="0"/>
    <w:rPr>
      <w:rFonts w:ascii="Arial" w:hAnsi="Arial" w:eastAsia="宋体"/>
      <w:b/>
      <w:bCs/>
      <w:sz w:val="24"/>
      <w:lang w:val="en-US" w:eastAsia="zh-CN" w:bidi="ar-SA"/>
    </w:rPr>
  </w:style>
  <w:style w:type="character" w:customStyle="1" w:styleId="380">
    <w:name w:val="樣式 標題 3 + (中文) MS Gothic 10.5 點 Char Char Char Char Char Char Char Char"/>
    <w:qFormat/>
    <w:uiPriority w:val="0"/>
    <w:rPr>
      <w:rFonts w:hAnsi="PMingLiU" w:eastAsia="MS Gothic"/>
      <w:snapToGrid w:val="0"/>
      <w:kern w:val="2"/>
      <w:sz w:val="24"/>
      <w:lang w:eastAsia="zh-TW"/>
    </w:rPr>
  </w:style>
  <w:style w:type="character" w:customStyle="1" w:styleId="381">
    <w:name w:val="正文 BJ15 Char Char"/>
    <w:link w:val="131"/>
    <w:semiHidden/>
    <w:qFormat/>
    <w:uiPriority w:val="0"/>
    <w:rPr>
      <w:rFonts w:ascii="Times New Roman" w:hAnsi="Times New Roman"/>
      <w:kern w:val="2"/>
      <w:sz w:val="24"/>
      <w:szCs w:val="24"/>
    </w:rPr>
  </w:style>
  <w:style w:type="character" w:customStyle="1" w:styleId="382">
    <w:name w:val="纯文本 Char Char"/>
    <w:qFormat/>
    <w:uiPriority w:val="0"/>
    <w:rPr>
      <w:rFonts w:ascii="宋体" w:hAnsi="Courier New" w:eastAsia="宋体" w:cs="Century"/>
      <w:kern w:val="2"/>
      <w:sz w:val="21"/>
      <w:szCs w:val="21"/>
      <w:lang w:val="en-US" w:eastAsia="zh-CN" w:bidi="ar-SA"/>
    </w:rPr>
  </w:style>
  <w:style w:type="character" w:customStyle="1" w:styleId="383">
    <w:name w:val="样式 楷体_GB2312 二号 加粗 Char"/>
    <w:qFormat/>
    <w:uiPriority w:val="0"/>
    <w:rPr>
      <w:rFonts w:ascii="楷体_GB2312" w:hAnsi="Arial" w:eastAsia="楷体_GB2312" w:cs="Arial"/>
      <w:b/>
      <w:kern w:val="2"/>
      <w:sz w:val="44"/>
      <w:szCs w:val="24"/>
      <w:lang w:val="en-US" w:eastAsia="zh-CN" w:bidi="ar-SA"/>
    </w:rPr>
  </w:style>
  <w:style w:type="character" w:customStyle="1" w:styleId="384">
    <w:name w:val="1.1 Char Char"/>
    <w:qFormat/>
    <w:uiPriority w:val="0"/>
    <w:rPr>
      <w:rFonts w:ascii="宋体" w:eastAsia="宋体"/>
      <w:b/>
      <w:bCs/>
      <w:kern w:val="2"/>
      <w:sz w:val="24"/>
      <w:szCs w:val="32"/>
      <w:lang w:val="en-US" w:eastAsia="zh-CN" w:bidi="ar-SA"/>
    </w:rPr>
  </w:style>
  <w:style w:type="character" w:customStyle="1" w:styleId="385">
    <w:name w:val="正文文本 Char1"/>
    <w:qFormat/>
    <w:uiPriority w:val="0"/>
    <w:rPr>
      <w:rFonts w:ascii="Times New Roman" w:hAnsi="Times New Roman"/>
      <w:kern w:val="2"/>
      <w:sz w:val="24"/>
    </w:rPr>
  </w:style>
  <w:style w:type="character" w:customStyle="1" w:styleId="386">
    <w:name w:val="普通文字 Char Char"/>
    <w:qFormat/>
    <w:uiPriority w:val="0"/>
    <w:rPr>
      <w:rFonts w:ascii="宋体" w:hAnsi="Courier New" w:eastAsia="宋体"/>
      <w:kern w:val="2"/>
      <w:sz w:val="21"/>
      <w:lang w:val="en-US" w:eastAsia="zh-CN" w:bidi="ar-SA"/>
    </w:rPr>
  </w:style>
  <w:style w:type="character" w:customStyle="1" w:styleId="387">
    <w:name w:val="样式 二号 红色 边框:: (单实线 自动设置  0.5 磅 行宽)"/>
    <w:qFormat/>
    <w:uiPriority w:val="0"/>
    <w:rPr>
      <w:rFonts w:eastAsia="宋体"/>
      <w:color w:val="0000FF"/>
      <w:sz w:val="44"/>
      <w:bdr w:val="single" w:color="0000FF" w:sz="4" w:space="0"/>
    </w:rPr>
  </w:style>
  <w:style w:type="character" w:customStyle="1" w:styleId="388">
    <w:name w:val="displayarti"/>
    <w:basedOn w:val="45"/>
    <w:qFormat/>
    <w:uiPriority w:val="0"/>
    <w:rPr>
      <w:color w:val="FFFFFF"/>
      <w:shd w:val="clear" w:color="auto" w:fill="A00000"/>
    </w:rPr>
  </w:style>
  <w:style w:type="character" w:customStyle="1" w:styleId="389">
    <w:name w:val="正文－zlb Char Char"/>
    <w:link w:val="132"/>
    <w:semiHidden/>
    <w:qFormat/>
    <w:uiPriority w:val="0"/>
    <w:rPr>
      <w:rFonts w:ascii="宋体" w:cs="宋体"/>
      <w:kern w:val="2"/>
      <w:sz w:val="24"/>
      <w:szCs w:val="24"/>
    </w:rPr>
  </w:style>
  <w:style w:type="character" w:customStyle="1" w:styleId="390">
    <w:name w:val="Char Char11"/>
    <w:qFormat/>
    <w:uiPriority w:val="0"/>
    <w:rPr>
      <w:rFonts w:eastAsia="宋体"/>
      <w:b/>
      <w:bCs/>
      <w:kern w:val="2"/>
      <w:sz w:val="24"/>
      <w:szCs w:val="24"/>
      <w:lang w:val="en-US" w:eastAsia="zh-CN" w:bidi="ar-SA"/>
    </w:rPr>
  </w:style>
  <w:style w:type="character" w:customStyle="1" w:styleId="391">
    <w:name w:val="正文（首行缩进两字） Char"/>
    <w:qFormat/>
    <w:uiPriority w:val="0"/>
    <w:rPr>
      <w:rFonts w:eastAsia="宋体"/>
      <w:sz w:val="32"/>
      <w:lang w:val="en-US" w:eastAsia="zh-CN" w:bidi="ar-SA"/>
    </w:rPr>
  </w:style>
  <w:style w:type="character" w:customStyle="1" w:styleId="392">
    <w:name w:val="b Char"/>
    <w:qFormat/>
    <w:uiPriority w:val="0"/>
    <w:rPr>
      <w:rFonts w:eastAsia="宋体"/>
      <w:b/>
      <w:bCs/>
      <w:kern w:val="2"/>
      <w:sz w:val="28"/>
      <w:szCs w:val="28"/>
      <w:lang w:val="en-US" w:eastAsia="zh-CN" w:bidi="ar-SA"/>
    </w:rPr>
  </w:style>
  <w:style w:type="character" w:customStyle="1" w:styleId="393">
    <w:name w:val="正文段落格式 Char Char"/>
    <w:qFormat/>
    <w:uiPriority w:val="0"/>
    <w:rPr>
      <w:rFonts w:cs="宋体"/>
      <w:color w:val="7030A0"/>
      <w:kern w:val="2"/>
      <w:sz w:val="24"/>
    </w:rPr>
  </w:style>
  <w:style w:type="character" w:customStyle="1" w:styleId="394">
    <w:name w:val="图表标题 BJ8 Char Char"/>
    <w:link w:val="133"/>
    <w:semiHidden/>
    <w:qFormat/>
    <w:uiPriority w:val="0"/>
    <w:rPr>
      <w:rFonts w:ascii="Times New Roman" w:hAnsi="Times New Roman" w:eastAsia="黑体"/>
      <w:kern w:val="2"/>
      <w:sz w:val="24"/>
    </w:rPr>
  </w:style>
  <w:style w:type="character" w:customStyle="1" w:styleId="395">
    <w:name w:val="应答文本 Char Char"/>
    <w:qFormat/>
    <w:uiPriority w:val="0"/>
    <w:rPr>
      <w:rFonts w:ascii="Arial" w:hAnsi="Arial" w:eastAsia="楷体_GB2312" w:cs="宋体"/>
      <w:spacing w:val="10"/>
      <w:sz w:val="21"/>
      <w:lang w:val="en-US" w:eastAsia="zh-CN" w:bidi="ar-SA"/>
    </w:rPr>
  </w:style>
  <w:style w:type="character" w:customStyle="1" w:styleId="396">
    <w:name w:val="列表框2 Char Char"/>
    <w:link w:val="134"/>
    <w:semiHidden/>
    <w:qFormat/>
    <w:uiPriority w:val="0"/>
    <w:rPr>
      <w:color w:val="7030A0"/>
      <w:spacing w:val="10"/>
      <w:sz w:val="24"/>
      <w:szCs w:val="24"/>
    </w:rPr>
  </w:style>
  <w:style w:type="character" w:customStyle="1" w:styleId="397">
    <w:name w:val="sub-dash Char"/>
    <w:qFormat/>
    <w:uiPriority w:val="0"/>
    <w:rPr>
      <w:rFonts w:ascii="Arial" w:hAnsi="Arial" w:eastAsia="黑体"/>
      <w:b/>
      <w:bCs/>
      <w:kern w:val="2"/>
      <w:sz w:val="24"/>
      <w:szCs w:val="24"/>
      <w:lang w:val="en-US" w:eastAsia="zh-CN" w:bidi="ar-SA"/>
    </w:rPr>
  </w:style>
  <w:style w:type="character" w:customStyle="1" w:styleId="398">
    <w:name w:val="五级标题格式 Char Char"/>
    <w:link w:val="135"/>
    <w:semiHidden/>
    <w:qFormat/>
    <w:uiPriority w:val="0"/>
    <w:rPr>
      <w:rFonts w:ascii="Times New Roman" w:hAnsi="Times New Roman"/>
      <w:b/>
      <w:bCs/>
      <w:kern w:val="2"/>
      <w:sz w:val="24"/>
      <w:szCs w:val="28"/>
    </w:rPr>
  </w:style>
  <w:style w:type="character" w:customStyle="1" w:styleId="399">
    <w:name w:val="Char Char111"/>
    <w:qFormat/>
    <w:uiPriority w:val="0"/>
    <w:rPr>
      <w:rFonts w:eastAsia="宋体"/>
      <w:b/>
      <w:bCs/>
      <w:kern w:val="2"/>
      <w:sz w:val="24"/>
      <w:szCs w:val="24"/>
      <w:lang w:val="en-US" w:eastAsia="zh-CN" w:bidi="ar-SA"/>
    </w:rPr>
  </w:style>
  <w:style w:type="character" w:customStyle="1" w:styleId="400">
    <w:name w:val="表格文字图表文字 Char Char"/>
    <w:qFormat/>
    <w:uiPriority w:val="0"/>
    <w:rPr>
      <w:color w:val="7030A0"/>
      <w:kern w:val="2"/>
      <w:sz w:val="21"/>
    </w:rPr>
  </w:style>
  <w:style w:type="character" w:customStyle="1" w:styleId="401">
    <w:name w:val="占位符文本1"/>
    <w:basedOn w:val="45"/>
    <w:qFormat/>
    <w:uiPriority w:val="0"/>
    <w:rPr>
      <w:color w:val="808080"/>
    </w:rPr>
  </w:style>
  <w:style w:type="character" w:customStyle="1" w:styleId="402">
    <w:name w:val="正文段落格式 Char Char Char"/>
    <w:link w:val="136"/>
    <w:semiHidden/>
    <w:qFormat/>
    <w:uiPriority w:val="0"/>
    <w:rPr>
      <w:rFonts w:ascii="Times New Roman" w:hAnsi="Times New Roman"/>
      <w:color w:val="7030A0"/>
      <w:kern w:val="2"/>
      <w:sz w:val="24"/>
    </w:rPr>
  </w:style>
  <w:style w:type="character" w:customStyle="1" w:styleId="403">
    <w:name w:val="表格文字 BJ8 Char Char"/>
    <w:link w:val="137"/>
    <w:semiHidden/>
    <w:qFormat/>
    <w:uiPriority w:val="0"/>
    <w:rPr>
      <w:rFonts w:ascii="Times New Roman" w:hAnsi="Times New Roman"/>
      <w:kern w:val="2"/>
      <w:sz w:val="21"/>
      <w:szCs w:val="21"/>
    </w:rPr>
  </w:style>
  <w:style w:type="character" w:customStyle="1" w:styleId="404">
    <w:name w:val="gpa"/>
    <w:basedOn w:val="45"/>
    <w:qFormat/>
    <w:uiPriority w:val="0"/>
    <w:rPr>
      <w:rFonts w:ascii="Arial" w:hAnsi="Arial" w:cs="Arial"/>
      <w:sz w:val="12"/>
      <w:szCs w:val="12"/>
    </w:rPr>
  </w:style>
  <w:style w:type="character" w:customStyle="1" w:styleId="405">
    <w:name w:val="样式 标题 31.1条标题1.1.1二级节名h3Heading 3 - oldheading 3H3H31H3... Char Char Char"/>
    <w:link w:val="138"/>
    <w:semiHidden/>
    <w:qFormat/>
    <w:uiPriority w:val="0"/>
    <w:rPr>
      <w:rFonts w:ascii="宋体" w:hAnsi="宋体" w:eastAsia="黑体"/>
      <w:kern w:val="2"/>
      <w:sz w:val="24"/>
      <w:szCs w:val="21"/>
    </w:rPr>
  </w:style>
  <w:style w:type="character" w:customStyle="1" w:styleId="406">
    <w:name w:val="标题2 Char Char"/>
    <w:link w:val="139"/>
    <w:semiHidden/>
    <w:qFormat/>
    <w:uiPriority w:val="0"/>
    <w:rPr>
      <w:rFonts w:ascii="宋体" w:hAnsi="Times New Roman"/>
      <w:b/>
      <w:color w:val="92D050"/>
      <w:kern w:val="44"/>
      <w:sz w:val="30"/>
    </w:rPr>
  </w:style>
  <w:style w:type="character" w:customStyle="1" w:styleId="407">
    <w:name w:val="Char Char2"/>
    <w:qFormat/>
    <w:uiPriority w:val="0"/>
    <w:rPr>
      <w:rFonts w:eastAsia="仿宋_GB2312"/>
      <w:kern w:val="2"/>
      <w:sz w:val="28"/>
      <w:lang w:val="en-US" w:eastAsia="zh-CN" w:bidi="ar-SA"/>
    </w:rPr>
  </w:style>
  <w:style w:type="character" w:customStyle="1" w:styleId="408">
    <w:name w:val="2 headline Char Char"/>
    <w:qFormat/>
    <w:uiPriority w:val="0"/>
    <w:rPr>
      <w:rFonts w:eastAsia="黑体"/>
      <w:bCs/>
      <w:kern w:val="2"/>
      <w:sz w:val="28"/>
      <w:szCs w:val="28"/>
      <w:lang w:val="en-US" w:eastAsia="zh-CN" w:bidi="ar-SA"/>
    </w:rPr>
  </w:style>
  <w:style w:type="character" w:customStyle="1" w:styleId="409">
    <w:name w:val="正文 QD3 Char Char"/>
    <w:link w:val="140"/>
    <w:semiHidden/>
    <w:qFormat/>
    <w:uiPriority w:val="0"/>
    <w:rPr>
      <w:rFonts w:ascii="Times New Roman" w:hAnsi="Times New Roman"/>
      <w:kern w:val="2"/>
      <w:sz w:val="24"/>
      <w:szCs w:val="24"/>
    </w:rPr>
  </w:style>
  <w:style w:type="character" w:customStyle="1" w:styleId="410">
    <w:name w:val="正文 BJ8 Char Char"/>
    <w:link w:val="141"/>
    <w:semiHidden/>
    <w:qFormat/>
    <w:uiPriority w:val="0"/>
    <w:rPr>
      <w:rFonts w:ascii="Times New Roman" w:hAnsi="Times New Roman"/>
      <w:color w:val="7030A0"/>
      <w:kern w:val="2"/>
      <w:sz w:val="24"/>
      <w:szCs w:val="24"/>
    </w:rPr>
  </w:style>
  <w:style w:type="character" w:customStyle="1" w:styleId="411">
    <w:name w:val="书籍标题1"/>
    <w:qFormat/>
    <w:uiPriority w:val="0"/>
    <w:rPr>
      <w:b/>
      <w:bCs/>
      <w:smallCaps/>
      <w:spacing w:val="5"/>
    </w:rPr>
  </w:style>
  <w:style w:type="character" w:customStyle="1" w:styleId="412">
    <w:name w:val="Char Char8"/>
    <w:qFormat/>
    <w:uiPriority w:val="0"/>
    <w:rPr>
      <w:rFonts w:eastAsia="宋体"/>
      <w:kern w:val="2"/>
      <w:sz w:val="21"/>
      <w:lang w:val="en-US" w:eastAsia="zh-CN" w:bidi="ar-SA"/>
    </w:rPr>
  </w:style>
  <w:style w:type="character" w:customStyle="1" w:styleId="413">
    <w:name w:val="正文文本缩进 Char1"/>
    <w:link w:val="79"/>
    <w:semiHidden/>
    <w:qFormat/>
    <w:uiPriority w:val="0"/>
    <w:rPr>
      <w:rFonts w:ascii="宋体" w:hAnsi="Times New Roman"/>
      <w:kern w:val="2"/>
      <w:sz w:val="21"/>
    </w:rPr>
  </w:style>
  <w:style w:type="character" w:customStyle="1" w:styleId="414">
    <w:name w:val="正文1 Char Char"/>
    <w:link w:val="142"/>
    <w:semiHidden/>
    <w:qFormat/>
    <w:uiPriority w:val="0"/>
    <w:rPr>
      <w:rFonts w:ascii="宋体" w:hAnsi="宋体"/>
      <w:kern w:val="10"/>
      <w:sz w:val="21"/>
      <w:szCs w:val="24"/>
    </w:rPr>
  </w:style>
  <w:style w:type="character" w:customStyle="1" w:styleId="415">
    <w:name w:val="样式 Char Char"/>
    <w:link w:val="143"/>
    <w:semiHidden/>
    <w:qFormat/>
    <w:uiPriority w:val="0"/>
    <w:rPr>
      <w:rFonts w:ascii="宋体" w:hAnsi="宋体" w:cs="宋体"/>
      <w:sz w:val="24"/>
      <w:szCs w:val="24"/>
      <w:lang w:val="en-US" w:eastAsia="zh-CN" w:bidi="ar-SA"/>
    </w:rPr>
  </w:style>
  <w:style w:type="character" w:customStyle="1" w:styleId="416">
    <w:name w:val="无编号正文 Char Char"/>
    <w:link w:val="144"/>
    <w:semiHidden/>
    <w:qFormat/>
    <w:uiPriority w:val="0"/>
    <w:rPr>
      <w:rFonts w:ascii="宋体" w:hAnsi="宋体"/>
      <w:sz w:val="24"/>
      <w:szCs w:val="24"/>
    </w:rPr>
  </w:style>
  <w:style w:type="character" w:customStyle="1" w:styleId="417">
    <w:name w:val="表图名称 Char Char"/>
    <w:link w:val="145"/>
    <w:semiHidden/>
    <w:qFormat/>
    <w:uiPriority w:val="0"/>
    <w:rPr>
      <w:rFonts w:ascii="黑体" w:hAnsi="宋体" w:eastAsia="黑体"/>
      <w:kern w:val="2"/>
      <w:sz w:val="24"/>
      <w:szCs w:val="24"/>
      <w:lang w:val="en-US" w:eastAsia="zh-CN" w:bidi="ar-SA"/>
    </w:rPr>
  </w:style>
  <w:style w:type="character" w:customStyle="1" w:styleId="418">
    <w:name w:val="列表框1 Char Char"/>
    <w:qFormat/>
    <w:uiPriority w:val="0"/>
    <w:rPr>
      <w:rFonts w:ascii="Arial" w:hAnsi="Arial" w:eastAsia="楷体_GB2312" w:cs="Arial"/>
      <w:spacing w:val="10"/>
      <w:sz w:val="21"/>
      <w:lang w:val="en-US" w:eastAsia="zh-CN" w:bidi="ar-SA"/>
    </w:rPr>
  </w:style>
  <w:style w:type="character" w:customStyle="1" w:styleId="419">
    <w:name w:val="表格文字图表文字 Char Char Char"/>
    <w:link w:val="146"/>
    <w:semiHidden/>
    <w:qFormat/>
    <w:uiPriority w:val="0"/>
    <w:rPr>
      <w:rFonts w:ascii="Times New Roman" w:hAnsi="Times New Roman"/>
      <w:color w:val="7030A0"/>
      <w:kern w:val="2"/>
      <w:sz w:val="21"/>
    </w:rPr>
  </w:style>
  <w:style w:type="character" w:customStyle="1" w:styleId="420">
    <w:name w:val="批注文字 Char1"/>
    <w:qFormat/>
    <w:uiPriority w:val="0"/>
    <w:rPr>
      <w:kern w:val="2"/>
      <w:sz w:val="24"/>
      <w:szCs w:val="24"/>
    </w:rPr>
  </w:style>
  <w:style w:type="character" w:customStyle="1" w:styleId="421">
    <w:name w:val="正文缩进 Char Char"/>
    <w:link w:val="362"/>
    <w:semiHidden/>
    <w:qFormat/>
    <w:uiPriority w:val="0"/>
    <w:rPr>
      <w:kern w:val="2"/>
      <w:sz w:val="21"/>
      <w:szCs w:val="24"/>
    </w:rPr>
  </w:style>
  <w:style w:type="paragraph" w:customStyle="1" w:styleId="422">
    <w:name w:val="列出段落11"/>
    <w:basedOn w:val="1"/>
    <w:semiHidden/>
    <w:qFormat/>
    <w:uiPriority w:val="99"/>
    <w:pPr>
      <w:widowControl/>
      <w:adjustRightInd/>
      <w:spacing w:before="40" w:after="160" w:line="240" w:lineRule="auto"/>
      <w:ind w:firstLine="420" w:firstLineChars="200"/>
      <w:textAlignment w:val="auto"/>
    </w:pPr>
    <w:rPr>
      <w:rFonts w:ascii="Cambria" w:hAnsi="Cambria" w:eastAsia="微软雅黑" w:cs="Cambria"/>
      <w:color w:val="565656"/>
      <w:kern w:val="20"/>
      <w:sz w:val="21"/>
      <w:szCs w:val="21"/>
      <w:lang w:val="zh-CN"/>
    </w:rPr>
  </w:style>
  <w:style w:type="paragraph" w:customStyle="1" w:styleId="423">
    <w:name w:val="列出段落2"/>
    <w:basedOn w:val="1"/>
    <w:qFormat/>
    <w:uiPriority w:val="99"/>
    <w:pPr>
      <w:widowControl/>
      <w:adjustRightInd/>
      <w:spacing w:before="40" w:after="160" w:line="240" w:lineRule="auto"/>
      <w:ind w:firstLine="420" w:firstLineChars="200"/>
      <w:textAlignment w:val="auto"/>
    </w:pPr>
    <w:rPr>
      <w:rFonts w:ascii="Cambria" w:hAnsi="Cambria" w:eastAsia="微软雅黑" w:cs="Cambria"/>
      <w:color w:val="565656"/>
      <w:kern w:val="20"/>
      <w:sz w:val="21"/>
      <w:szCs w:val="21"/>
      <w:lang w:val="zh-CN"/>
    </w:rPr>
  </w:style>
  <w:style w:type="paragraph" w:customStyle="1" w:styleId="424">
    <w:name w:val="WPSOffice手动目录 1"/>
    <w:qFormat/>
    <w:uiPriority w:val="0"/>
    <w:pPr>
      <w:ind w:leftChars="0"/>
    </w:pPr>
    <w:rPr>
      <w:rFonts w:ascii="Times New Roman" w:hAnsi="Times New Roman" w:eastAsia="宋体" w:cs="Times New Roman"/>
      <w:sz w:val="20"/>
      <w:szCs w:val="20"/>
    </w:rPr>
  </w:style>
  <w:style w:type="paragraph" w:customStyle="1" w:styleId="425">
    <w:name w:val="WPSOffice手动目录 2"/>
    <w:qFormat/>
    <w:uiPriority w:val="0"/>
    <w:pPr>
      <w:ind w:leftChars="200"/>
    </w:pPr>
    <w:rPr>
      <w:rFonts w:ascii="Times New Roman" w:hAnsi="Times New Roman" w:eastAsia="宋体" w:cs="Times New Roman"/>
      <w:sz w:val="20"/>
      <w:szCs w:val="20"/>
    </w:rPr>
  </w:style>
  <w:style w:type="paragraph" w:customStyle="1" w:styleId="426">
    <w:name w:val="null3"/>
    <w:hidden/>
    <w:qFormat/>
    <w:uiPriority w:val="0"/>
    <w:rPr>
      <w:rFonts w:hint="eastAsia" w:asciiTheme="minorHAnsi" w:hAnsiTheme="minorHAnsi" w:eastAsiaTheme="minorEastAsia" w:cstheme="minorBidi"/>
      <w:lang w:val="en-US" w:eastAsia="zh-Hans"/>
    </w:rPr>
  </w:style>
  <w:style w:type="character" w:customStyle="1" w:styleId="427">
    <w:name w:val="NormalCharacter"/>
    <w:link w:val="428"/>
    <w:semiHidden/>
    <w:qFormat/>
    <w:uiPriority w:val="0"/>
    <w:rPr>
      <w:szCs w:val="24"/>
    </w:rPr>
  </w:style>
  <w:style w:type="paragraph" w:customStyle="1" w:styleId="428">
    <w:name w:val="UserStyle_2"/>
    <w:basedOn w:val="1"/>
    <w:link w:val="427"/>
    <w:qFormat/>
    <w:uiPriority w:val="0"/>
    <w:pPr>
      <w:textAlignment w:val="baseline"/>
    </w:pPr>
    <w:rPr>
      <w:szCs w:val="24"/>
    </w:rPr>
  </w:style>
  <w:style w:type="paragraph" w:customStyle="1" w:styleId="429">
    <w:name w:val="正文首行缩进1"/>
    <w:basedOn w:val="21"/>
    <w:qFormat/>
    <w:uiPriority w:val="0"/>
    <w:pPr>
      <w:ind w:firstLine="420" w:firstLineChars="100"/>
    </w:pPr>
  </w:style>
  <w:style w:type="paragraph" w:customStyle="1" w:styleId="430">
    <w:name w:val="Table Paragraph"/>
    <w:basedOn w:val="1"/>
    <w:qFormat/>
    <w:uiPriority w:val="1"/>
  </w:style>
  <w:style w:type="character" w:customStyle="1" w:styleId="431">
    <w:name w:val="font41"/>
    <w:basedOn w:val="45"/>
    <w:qFormat/>
    <w:uiPriority w:val="0"/>
    <w:rPr>
      <w:rFonts w:hint="eastAsia" w:ascii="仿宋_GB2312" w:eastAsia="仿宋_GB2312" w:cs="仿宋_GB2312"/>
      <w:color w:val="000000"/>
      <w:sz w:val="20"/>
      <w:szCs w:val="20"/>
      <w:u w:val="none"/>
    </w:rPr>
  </w:style>
  <w:style w:type="character" w:customStyle="1" w:styleId="432">
    <w:name w:val="font91"/>
    <w:basedOn w:val="45"/>
    <w:qFormat/>
    <w:uiPriority w:val="0"/>
    <w:rPr>
      <w:rFonts w:hint="eastAsia" w:ascii="宋体" w:hAnsi="宋体" w:eastAsia="宋体" w:cs="宋体"/>
      <w:color w:val="000000"/>
      <w:sz w:val="20"/>
      <w:szCs w:val="20"/>
      <w:u w:val="none"/>
    </w:rPr>
  </w:style>
  <w:style w:type="character" w:customStyle="1" w:styleId="433">
    <w:name w:val="font51"/>
    <w:basedOn w:val="45"/>
    <w:qFormat/>
    <w:uiPriority w:val="0"/>
    <w:rPr>
      <w:rFonts w:hint="eastAsia" w:ascii="仿宋_GB2312" w:eastAsia="仿宋_GB2312" w:cs="仿宋_GB2312"/>
      <w:color w:val="000000"/>
      <w:sz w:val="20"/>
      <w:szCs w:val="20"/>
      <w:u w:val="none"/>
    </w:rPr>
  </w:style>
  <w:style w:type="paragraph" w:customStyle="1" w:styleId="434">
    <w:name w:val="Normal Indent1"/>
    <w:basedOn w:val="1"/>
    <w:qFormat/>
    <w:uiPriority w:val="99"/>
    <w:pPr>
      <w:ind w:firstLine="420" w:firstLineChars="200"/>
    </w:pPr>
  </w:style>
  <w:style w:type="paragraph" w:styleId="435">
    <w:name w:val="No Spacing"/>
    <w:qFormat/>
    <w:uiPriority w:val="1"/>
    <w:pPr>
      <w:adjustRightInd w:val="0"/>
      <w:snapToGrid w:val="0"/>
    </w:pPr>
    <w:rPr>
      <w:rFonts w:ascii="Tahoma" w:hAnsi="Tahoma" w:eastAsia="微软雅黑"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zzz</Company>
  <Pages>136</Pages>
  <Words>11212</Words>
  <Characters>12142</Characters>
  <Lines>71</Lines>
  <Paragraphs>78</Paragraphs>
  <TotalTime>84</TotalTime>
  <ScaleCrop>false</ScaleCrop>
  <LinksUpToDate>false</LinksUpToDate>
  <CharactersWithSpaces>12265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2018-04-06T03:50:00Z</dcterms:created>
  <dc:creator>wmq</dc:creator>
  <cp:lastModifiedBy>梁坤磊</cp:lastModifiedBy>
  <cp:lastPrinted>2026-05-25T16:22:00Z</cp:lastPrinted>
  <dcterms:modified xsi:type="dcterms:W3CDTF">2026-05-25T16:53:55Z</dcterms:modified>
  <dc:title>适用一般货物采购/非建筑设备货物采购含安装等伴随服务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087C973C522D400C8D747ECDC036A07C_13</vt:lpwstr>
  </property>
  <property fmtid="{D5CDD505-2E9C-101B-9397-08002B2CF9AE}" pid="4" name="KSOTemplateDocerSaveRecord">
    <vt:lpwstr>eyJoZGlkIjoiYTQ3ZWI1N2IwYjczOGVkNmZiYjMzYWMxMzU5Y2Q2NmYiLCJ1c2VySWQiOiIxNzUyMTIzMTU0In0=</vt:lpwstr>
  </property>
</Properties>
</file>